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8AE" w:rsidRPr="009D7554" w:rsidRDefault="007608AE" w:rsidP="007608AE">
      <w:pPr>
        <w:snapToGrid w:val="0"/>
        <w:spacing w:line="360" w:lineRule="auto"/>
        <w:jc w:val="both"/>
        <w:rPr>
          <w:rFonts w:ascii="Book Antiqua" w:hAnsi="Book Antiqua"/>
          <w:bCs/>
          <w:lang w:val="en-US"/>
        </w:rPr>
      </w:pPr>
      <w:bookmarkStart w:id="0" w:name="_GoBack"/>
      <w:bookmarkEnd w:id="0"/>
      <w:r w:rsidRPr="009D7554">
        <w:rPr>
          <w:rFonts w:ascii="Book Antiqua" w:hAnsi="Book Antiqua"/>
          <w:b/>
          <w:lang w:val="en-US"/>
        </w:rPr>
        <w:t xml:space="preserve">Name of Journal: </w:t>
      </w:r>
      <w:r w:rsidRPr="009D7554">
        <w:rPr>
          <w:rFonts w:ascii="Book Antiqua" w:hAnsi="Book Antiqua"/>
          <w:bCs/>
          <w:i/>
          <w:iCs/>
          <w:lang w:val="en-US"/>
        </w:rPr>
        <w:t>World Journal of Gastroenterology</w:t>
      </w:r>
    </w:p>
    <w:p w:rsidR="007608AE" w:rsidRPr="009D7554" w:rsidRDefault="007608AE" w:rsidP="007608AE">
      <w:pPr>
        <w:snapToGrid w:val="0"/>
        <w:spacing w:line="360" w:lineRule="auto"/>
        <w:jc w:val="both"/>
        <w:rPr>
          <w:rFonts w:ascii="Book Antiqua" w:hAnsi="Book Antiqua"/>
          <w:bCs/>
          <w:lang w:val="en-US"/>
        </w:rPr>
      </w:pPr>
      <w:bookmarkStart w:id="1" w:name="OLE_LINK485"/>
      <w:bookmarkStart w:id="2" w:name="OLE_LINK486"/>
      <w:bookmarkStart w:id="3" w:name="OLE_LINK661"/>
      <w:bookmarkStart w:id="4" w:name="OLE_LINK768"/>
      <w:r w:rsidRPr="009D7554">
        <w:rPr>
          <w:rFonts w:ascii="Book Antiqua" w:hAnsi="Book Antiqua"/>
          <w:b/>
          <w:lang w:val="en-US" w:eastAsia="zh-CN"/>
        </w:rPr>
        <w:t>Manuscript NO:</w:t>
      </w:r>
      <w:bookmarkEnd w:id="1"/>
      <w:bookmarkEnd w:id="2"/>
      <w:bookmarkEnd w:id="3"/>
      <w:bookmarkEnd w:id="4"/>
      <w:r w:rsidRPr="009D7554">
        <w:rPr>
          <w:rFonts w:ascii="Book Antiqua" w:hAnsi="Book Antiqua"/>
          <w:b/>
          <w:lang w:val="en-US" w:eastAsia="zh-CN"/>
        </w:rPr>
        <w:t xml:space="preserve"> </w:t>
      </w:r>
      <w:r w:rsidRPr="009D7554">
        <w:rPr>
          <w:rFonts w:ascii="Book Antiqua" w:hAnsi="Book Antiqua"/>
          <w:lang w:val="en-US" w:eastAsia="zh-CN"/>
        </w:rPr>
        <w:t>49800</w:t>
      </w:r>
    </w:p>
    <w:p w:rsidR="007608AE" w:rsidRPr="009D7554" w:rsidRDefault="007608AE" w:rsidP="007608AE">
      <w:pPr>
        <w:snapToGrid w:val="0"/>
        <w:spacing w:line="360" w:lineRule="auto"/>
        <w:jc w:val="both"/>
        <w:rPr>
          <w:rFonts w:ascii="Book Antiqua" w:hAnsi="Book Antiqua"/>
          <w:bCs/>
          <w:lang w:val="en-US"/>
        </w:rPr>
      </w:pPr>
      <w:r w:rsidRPr="009D7554">
        <w:rPr>
          <w:rFonts w:ascii="Book Antiqua" w:hAnsi="Book Antiqua"/>
          <w:b/>
          <w:lang w:val="en-US"/>
        </w:rPr>
        <w:t xml:space="preserve">Manuscript Type: </w:t>
      </w:r>
      <w:r w:rsidRPr="009D7554">
        <w:rPr>
          <w:rFonts w:ascii="Book Antiqua" w:hAnsi="Book Antiqua"/>
          <w:bCs/>
          <w:lang w:val="en-US"/>
        </w:rPr>
        <w:t xml:space="preserve">REVIEW </w:t>
      </w:r>
    </w:p>
    <w:p w:rsidR="007608AE" w:rsidRPr="009D7554" w:rsidRDefault="007608AE" w:rsidP="007608AE">
      <w:pPr>
        <w:snapToGrid w:val="0"/>
        <w:spacing w:line="360" w:lineRule="auto"/>
        <w:jc w:val="both"/>
        <w:rPr>
          <w:rFonts w:ascii="Book Antiqua" w:hAnsi="Book Antiqua"/>
          <w:b/>
          <w:lang w:val="en-US"/>
        </w:rPr>
      </w:pPr>
    </w:p>
    <w:p w:rsidR="007608AE" w:rsidRPr="009D7554" w:rsidRDefault="007608AE" w:rsidP="007608AE">
      <w:pPr>
        <w:snapToGrid w:val="0"/>
        <w:spacing w:line="360" w:lineRule="auto"/>
        <w:jc w:val="both"/>
        <w:rPr>
          <w:rFonts w:ascii="Book Antiqua" w:hAnsi="Book Antiqua"/>
          <w:b/>
          <w:lang w:val="en-US"/>
        </w:rPr>
      </w:pPr>
      <w:r w:rsidRPr="009D7554">
        <w:rPr>
          <w:rFonts w:ascii="Book Antiqua" w:hAnsi="Book Antiqua"/>
          <w:b/>
          <w:lang w:val="en-US"/>
        </w:rPr>
        <w:t>Colorectal cancer:</w:t>
      </w:r>
      <w:r w:rsidR="000F2554" w:rsidRPr="009D7554">
        <w:rPr>
          <w:rFonts w:ascii="Book Antiqua" w:hAnsi="Book Antiqua"/>
          <w:b/>
          <w:lang w:val="en-US"/>
        </w:rPr>
        <w:t xml:space="preserve"> </w:t>
      </w:r>
      <w:r w:rsidRPr="009D7554">
        <w:rPr>
          <w:rFonts w:ascii="Book Antiqua" w:hAnsi="Book Antiqua"/>
          <w:b/>
          <w:caps/>
          <w:lang w:val="en-US"/>
        </w:rPr>
        <w:t>p</w:t>
      </w:r>
      <w:r w:rsidRPr="009D7554">
        <w:rPr>
          <w:rFonts w:ascii="Book Antiqua" w:hAnsi="Book Antiqua"/>
          <w:b/>
          <w:lang w:val="en-US"/>
        </w:rPr>
        <w:t>arametric evaluation of morphological, functional and molecular tomographic imaging</w:t>
      </w:r>
    </w:p>
    <w:p w:rsidR="007608AE" w:rsidRPr="009D7554" w:rsidRDefault="007608AE" w:rsidP="007608AE">
      <w:pPr>
        <w:snapToGrid w:val="0"/>
        <w:spacing w:line="360" w:lineRule="auto"/>
        <w:jc w:val="both"/>
        <w:rPr>
          <w:rFonts w:ascii="Book Antiqua" w:hAnsi="Book Antiqua"/>
          <w:b/>
          <w:lang w:val="en-US"/>
        </w:rPr>
      </w:pPr>
    </w:p>
    <w:p w:rsidR="007608AE" w:rsidRPr="009D7554" w:rsidRDefault="007608AE" w:rsidP="007608AE">
      <w:pPr>
        <w:snapToGrid w:val="0"/>
        <w:spacing w:line="360" w:lineRule="auto"/>
        <w:jc w:val="both"/>
        <w:rPr>
          <w:rFonts w:ascii="Book Antiqua" w:hAnsi="Book Antiqua"/>
          <w:b/>
          <w:lang w:val="en-US"/>
        </w:rPr>
      </w:pPr>
      <w:r w:rsidRPr="009D7554">
        <w:rPr>
          <w:rFonts w:ascii="Book Antiqua" w:hAnsi="Book Antiqua"/>
          <w:bCs/>
          <w:lang w:val="en-US"/>
        </w:rPr>
        <w:t xml:space="preserve">Mainenti PP </w:t>
      </w:r>
      <w:r w:rsidRPr="009D7554">
        <w:rPr>
          <w:rFonts w:ascii="Book Antiqua" w:hAnsi="Book Antiqua"/>
          <w:bCs/>
          <w:i/>
          <w:iCs/>
          <w:lang w:val="en-US"/>
        </w:rPr>
        <w:t xml:space="preserve">et al. </w:t>
      </w:r>
      <w:r w:rsidRPr="009D7554">
        <w:rPr>
          <w:rFonts w:ascii="Book Antiqua" w:hAnsi="Book Antiqua"/>
          <w:bCs/>
          <w:lang w:val="en-US"/>
        </w:rPr>
        <w:t>Parametric imaging of colorectal cancer</w:t>
      </w:r>
    </w:p>
    <w:p w:rsidR="007608AE" w:rsidRPr="009D7554" w:rsidRDefault="007608AE" w:rsidP="007608AE">
      <w:pPr>
        <w:snapToGrid w:val="0"/>
        <w:spacing w:line="360" w:lineRule="auto"/>
        <w:jc w:val="both"/>
        <w:rPr>
          <w:rFonts w:ascii="Book Antiqua" w:hAnsi="Book Antiqua"/>
          <w:b/>
          <w:lang w:val="en-US"/>
        </w:rPr>
      </w:pPr>
    </w:p>
    <w:p w:rsidR="007608AE" w:rsidRPr="009D7554" w:rsidRDefault="007608AE" w:rsidP="007608AE">
      <w:pPr>
        <w:snapToGrid w:val="0"/>
        <w:spacing w:line="360" w:lineRule="auto"/>
        <w:jc w:val="both"/>
        <w:rPr>
          <w:rFonts w:ascii="Book Antiqua" w:hAnsi="Book Antiqua"/>
        </w:rPr>
      </w:pPr>
      <w:r w:rsidRPr="009D7554">
        <w:rPr>
          <w:rFonts w:ascii="Book Antiqua" w:hAnsi="Book Antiqua"/>
        </w:rPr>
        <w:t>Pier Paolo Mainenti, Arnaldo Stanzione, Salvatore Guarino, Valeria Romeo, Lorenzo Ugga, Federica Romano, Giovanni Storto, Simone Maurea, Arturo Brunetti</w:t>
      </w:r>
    </w:p>
    <w:p w:rsidR="007608AE" w:rsidRPr="009D7554" w:rsidRDefault="007608AE" w:rsidP="007608AE">
      <w:pPr>
        <w:snapToGrid w:val="0"/>
        <w:spacing w:line="360" w:lineRule="auto"/>
        <w:jc w:val="both"/>
        <w:rPr>
          <w:rFonts w:ascii="Book Antiqua" w:hAnsi="Book Antiqua"/>
        </w:rPr>
      </w:pPr>
    </w:p>
    <w:p w:rsidR="007608AE" w:rsidRPr="009D7554" w:rsidRDefault="007608AE" w:rsidP="007608AE">
      <w:pPr>
        <w:snapToGrid w:val="0"/>
        <w:spacing w:line="360" w:lineRule="auto"/>
        <w:jc w:val="both"/>
        <w:rPr>
          <w:rFonts w:ascii="Book Antiqua" w:hAnsi="Book Antiqua"/>
          <w:b/>
          <w:bCs/>
          <w:lang w:val="en-US"/>
        </w:rPr>
      </w:pPr>
      <w:r w:rsidRPr="009D7554">
        <w:rPr>
          <w:rFonts w:ascii="Book Antiqua" w:hAnsi="Book Antiqua"/>
          <w:b/>
          <w:bCs/>
          <w:lang w:val="en-US"/>
        </w:rPr>
        <w:t xml:space="preserve">Pier Paolo Mainenti, </w:t>
      </w:r>
      <w:r w:rsidRPr="009D7554">
        <w:rPr>
          <w:rFonts w:ascii="Book Antiqua" w:hAnsi="Book Antiqua"/>
          <w:lang w:val="en-US"/>
        </w:rPr>
        <w:t>Institute of Biostructures and Bioimaging of the National Council of Research (CNR), Naples</w:t>
      </w:r>
      <w:r w:rsidR="00E96541" w:rsidRPr="009D7554">
        <w:rPr>
          <w:rFonts w:ascii="Book Antiqua" w:hAnsi="Book Antiqua"/>
          <w:lang w:val="en-US"/>
        </w:rPr>
        <w:t xml:space="preserve"> </w:t>
      </w:r>
      <w:r w:rsidRPr="009D7554">
        <w:rPr>
          <w:rFonts w:ascii="Book Antiqua" w:hAnsi="Book Antiqua"/>
          <w:lang w:val="en-US"/>
        </w:rPr>
        <w:t>80145, Italy</w:t>
      </w:r>
    </w:p>
    <w:p w:rsidR="007608AE" w:rsidRPr="009D7554" w:rsidRDefault="007608AE" w:rsidP="007608AE">
      <w:pPr>
        <w:snapToGrid w:val="0"/>
        <w:spacing w:line="360" w:lineRule="auto"/>
        <w:jc w:val="both"/>
        <w:rPr>
          <w:rFonts w:ascii="Book Antiqua" w:hAnsi="Book Antiqua"/>
          <w:lang w:val="en-US"/>
        </w:rPr>
      </w:pPr>
    </w:p>
    <w:p w:rsidR="007608AE" w:rsidRPr="009D7554" w:rsidRDefault="007608AE" w:rsidP="007608AE">
      <w:pPr>
        <w:snapToGrid w:val="0"/>
        <w:spacing w:line="360" w:lineRule="auto"/>
        <w:jc w:val="both"/>
        <w:rPr>
          <w:rFonts w:ascii="Book Antiqua" w:hAnsi="Book Antiqua"/>
          <w:lang w:val="en-US"/>
        </w:rPr>
      </w:pPr>
      <w:r w:rsidRPr="009D7554">
        <w:rPr>
          <w:rFonts w:ascii="Book Antiqua" w:hAnsi="Book Antiqua"/>
          <w:b/>
          <w:bCs/>
          <w:lang w:val="en-US"/>
        </w:rPr>
        <w:t xml:space="preserve">Arnaldo Stanzione, Salvatore Guarino, Valeria Romeo, Lorenzo Ugga, Federica Romano, Simone Maurea, Arturo Brunetti, </w:t>
      </w:r>
      <w:r w:rsidRPr="009D7554">
        <w:rPr>
          <w:rFonts w:ascii="Book Antiqua" w:hAnsi="Book Antiqua"/>
          <w:lang w:val="en-US"/>
        </w:rPr>
        <w:t>University of Naples "Federico II", Department of Advanced Biomedical Sciences, Naples</w:t>
      </w:r>
      <w:r w:rsidR="00F460F9" w:rsidRPr="009D7554">
        <w:rPr>
          <w:rFonts w:ascii="Book Antiqua" w:hAnsi="Book Antiqua"/>
          <w:lang w:val="en-US"/>
        </w:rPr>
        <w:t xml:space="preserve"> </w:t>
      </w:r>
      <w:r w:rsidRPr="009D7554">
        <w:rPr>
          <w:rFonts w:ascii="Book Antiqua" w:hAnsi="Book Antiqua"/>
          <w:lang w:val="en-US"/>
        </w:rPr>
        <w:t>80131, Italy</w:t>
      </w:r>
    </w:p>
    <w:p w:rsidR="007608AE" w:rsidRPr="009D7554" w:rsidRDefault="007608AE" w:rsidP="007608AE">
      <w:pPr>
        <w:snapToGrid w:val="0"/>
        <w:spacing w:line="360" w:lineRule="auto"/>
        <w:jc w:val="both"/>
        <w:rPr>
          <w:rFonts w:ascii="Book Antiqua" w:hAnsi="Book Antiqua"/>
          <w:lang w:val="en-US"/>
        </w:rPr>
      </w:pPr>
    </w:p>
    <w:p w:rsidR="007608AE" w:rsidRPr="009D7554" w:rsidRDefault="007608AE" w:rsidP="007608AE">
      <w:pPr>
        <w:snapToGrid w:val="0"/>
        <w:spacing w:line="360" w:lineRule="auto"/>
        <w:jc w:val="both"/>
        <w:rPr>
          <w:rFonts w:ascii="Book Antiqua" w:hAnsi="Book Antiqua"/>
        </w:rPr>
      </w:pPr>
      <w:r w:rsidRPr="009D7554">
        <w:rPr>
          <w:rFonts w:ascii="Book Antiqua" w:hAnsi="Book Antiqua"/>
          <w:b/>
        </w:rPr>
        <w:t>Giovanni Storto</w:t>
      </w:r>
      <w:r w:rsidRPr="009D7554">
        <w:rPr>
          <w:rFonts w:ascii="Book Antiqua" w:hAnsi="Book Antiqua"/>
        </w:rPr>
        <w:t>, IRCCS-CROB, Referral Cancer Center of Basilicata, Rionero in Vulture 85028, Italy</w:t>
      </w:r>
    </w:p>
    <w:p w:rsidR="007608AE" w:rsidRPr="009D7554" w:rsidRDefault="007608AE" w:rsidP="007608AE">
      <w:pPr>
        <w:snapToGrid w:val="0"/>
        <w:spacing w:line="360" w:lineRule="auto"/>
        <w:jc w:val="both"/>
        <w:rPr>
          <w:rFonts w:ascii="Book Antiqua" w:hAnsi="Book Antiqua"/>
          <w:b/>
          <w:bCs/>
        </w:rPr>
      </w:pPr>
    </w:p>
    <w:p w:rsidR="007608AE" w:rsidRPr="009D7554" w:rsidRDefault="007608AE" w:rsidP="007608AE">
      <w:pPr>
        <w:snapToGrid w:val="0"/>
        <w:spacing w:line="360" w:lineRule="auto"/>
        <w:jc w:val="both"/>
        <w:rPr>
          <w:rFonts w:ascii="Book Antiqua" w:hAnsi="Book Antiqua"/>
        </w:rPr>
      </w:pPr>
      <w:r w:rsidRPr="009D7554">
        <w:rPr>
          <w:rFonts w:ascii="Book Antiqua" w:hAnsi="Book Antiqua"/>
          <w:b/>
          <w:bCs/>
        </w:rPr>
        <w:t>ORCID number:</w:t>
      </w:r>
      <w:r w:rsidRPr="009D7554">
        <w:rPr>
          <w:rFonts w:ascii="Book Antiqua" w:hAnsi="Book Antiqua"/>
        </w:rPr>
        <w:t xml:space="preserve"> Pier Paolo Mainenti (0000-0003-3592-808X); Arnaldo Stanzione (0000-0002-7905-5789); Salvatore Guarino (0000-0003-3978-2567); Valeria Romeo (0000-0002-1603-6396); Lorenzo Ugga (0000-0001-7811-4612); Federica Romano (0000-0003-0685-0201); Giovanni Storto (0000-0002-6168-5598); Simone Maurea (0000-0002-8269-3765); Arturo Brunetti (0000-0001-7057-3494).</w:t>
      </w:r>
    </w:p>
    <w:p w:rsidR="007608AE" w:rsidRPr="009D7554" w:rsidRDefault="007608AE" w:rsidP="007608AE">
      <w:pPr>
        <w:snapToGrid w:val="0"/>
        <w:spacing w:line="360" w:lineRule="auto"/>
        <w:jc w:val="both"/>
        <w:rPr>
          <w:rFonts w:ascii="Book Antiqua" w:hAnsi="Book Antiqua"/>
        </w:rPr>
      </w:pPr>
    </w:p>
    <w:p w:rsidR="007608AE" w:rsidRPr="009D7554" w:rsidRDefault="007608AE" w:rsidP="007608AE">
      <w:pPr>
        <w:snapToGrid w:val="0"/>
        <w:spacing w:line="360" w:lineRule="auto"/>
        <w:jc w:val="both"/>
        <w:rPr>
          <w:rFonts w:ascii="Book Antiqua" w:hAnsi="Book Antiqua"/>
          <w:lang w:val="en-US"/>
        </w:rPr>
      </w:pPr>
      <w:r w:rsidRPr="009D7554">
        <w:rPr>
          <w:rFonts w:ascii="Book Antiqua" w:hAnsi="Book Antiqua"/>
          <w:b/>
          <w:bCs/>
          <w:lang w:val="en-US"/>
        </w:rPr>
        <w:t>Author contributions:</w:t>
      </w:r>
      <w:r w:rsidRPr="009D7554">
        <w:rPr>
          <w:rFonts w:ascii="Book Antiqua" w:hAnsi="Book Antiqua"/>
          <w:lang w:val="en-US"/>
        </w:rPr>
        <w:t xml:space="preserve"> All authors equally contributed to this paper with conception and design of the study, literature review and analysis, drafting and critical revision and editing, and final approval of the final version.</w:t>
      </w:r>
    </w:p>
    <w:p w:rsidR="007608AE" w:rsidRPr="009D7554" w:rsidRDefault="007608AE" w:rsidP="007608AE">
      <w:pPr>
        <w:snapToGrid w:val="0"/>
        <w:spacing w:line="360" w:lineRule="auto"/>
        <w:jc w:val="both"/>
        <w:rPr>
          <w:rFonts w:ascii="Book Antiqua" w:hAnsi="Book Antiqua"/>
          <w:lang w:val="en-US"/>
        </w:rPr>
      </w:pPr>
    </w:p>
    <w:p w:rsidR="007608AE" w:rsidRPr="009D7554" w:rsidRDefault="007608AE" w:rsidP="007608AE">
      <w:pPr>
        <w:snapToGrid w:val="0"/>
        <w:spacing w:line="360" w:lineRule="auto"/>
        <w:jc w:val="both"/>
        <w:rPr>
          <w:rFonts w:ascii="Book Antiqua" w:hAnsi="Book Antiqua"/>
          <w:lang w:val="en-US"/>
        </w:rPr>
      </w:pPr>
      <w:r w:rsidRPr="009D7554">
        <w:rPr>
          <w:rFonts w:ascii="Book Antiqua" w:hAnsi="Book Antiqua"/>
          <w:b/>
          <w:bCs/>
          <w:lang w:val="en-US"/>
        </w:rPr>
        <w:t>Conflict-of-interest statement:</w:t>
      </w:r>
      <w:r w:rsidRPr="009D7554">
        <w:rPr>
          <w:rFonts w:ascii="Book Antiqua" w:hAnsi="Book Antiqua"/>
          <w:lang w:val="en-US"/>
        </w:rPr>
        <w:t xml:space="preserve"> No potential conflicts of interest. No financial support.</w:t>
      </w:r>
    </w:p>
    <w:p w:rsidR="007608AE" w:rsidRPr="009D7554" w:rsidRDefault="007608AE" w:rsidP="007608AE">
      <w:pPr>
        <w:snapToGrid w:val="0"/>
        <w:spacing w:line="360" w:lineRule="auto"/>
        <w:jc w:val="both"/>
        <w:rPr>
          <w:rFonts w:ascii="Book Antiqua" w:hAnsi="Book Antiqua"/>
          <w:b/>
          <w:bCs/>
          <w:lang w:val="en-US"/>
        </w:rPr>
      </w:pPr>
    </w:p>
    <w:p w:rsidR="000A0C93" w:rsidRPr="009D7554" w:rsidRDefault="000A0C93" w:rsidP="000A0C93">
      <w:pPr>
        <w:pStyle w:val="12"/>
        <w:snapToGrid w:val="0"/>
        <w:spacing w:line="360" w:lineRule="auto"/>
        <w:jc w:val="both"/>
        <w:rPr>
          <w:rFonts w:ascii="Book Antiqua" w:hAnsi="Book Antiqua" w:cs="Times New Roman"/>
          <w:bCs/>
          <w:color w:val="auto"/>
          <w:sz w:val="24"/>
          <w:szCs w:val="24"/>
          <w:lang w:val="en-US"/>
        </w:rPr>
      </w:pPr>
      <w:bookmarkStart w:id="5" w:name="_Hlk11330706"/>
      <w:r w:rsidRPr="009D7554">
        <w:rPr>
          <w:rFonts w:ascii="Book Antiqua" w:hAnsi="Book Antiqua" w:cs="Times New Roman"/>
          <w:b/>
          <w:bCs/>
          <w:color w:val="auto"/>
          <w:sz w:val="24"/>
          <w:szCs w:val="24"/>
          <w:lang w:val="en-US"/>
        </w:rPr>
        <w:t>Open-Access:</w:t>
      </w:r>
      <w:r w:rsidRPr="009D7554">
        <w:rPr>
          <w:rFonts w:ascii="Book Antiqua" w:hAnsi="Book Antiqua" w:cs="Times New Roman"/>
          <w:bCs/>
          <w:color w:val="auto"/>
          <w:sz w:val="24"/>
          <w:szCs w:val="24"/>
          <w:lang w:val="en-US"/>
        </w:rPr>
        <w:t xml:space="preserve"> </w:t>
      </w:r>
      <w:bookmarkStart w:id="6" w:name="OLE_LINK479"/>
      <w:bookmarkStart w:id="7" w:name="OLE_LINK496"/>
      <w:bookmarkStart w:id="8" w:name="OLE_LINK506"/>
      <w:bookmarkStart w:id="9" w:name="OLE_LINK507"/>
      <w:r w:rsidRPr="009D7554">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9D7554">
        <w:rPr>
          <w:rFonts w:ascii="Book Antiqua" w:hAnsi="Book Antiqua" w:cs="Times New Roman"/>
          <w:bCs/>
          <w:color w:val="auto"/>
          <w:sz w:val="24"/>
          <w:szCs w:val="24"/>
          <w:lang w:val="en-US" w:eastAsia="zh-CN"/>
        </w:rPr>
        <w:t xml:space="preserve"> </w:t>
      </w:r>
      <w:r w:rsidRPr="009D7554">
        <w:rPr>
          <w:rFonts w:ascii="Book Antiqua" w:hAnsi="Book Antiqua" w:cs="Times New Roman"/>
          <w:bCs/>
          <w:color w:val="auto"/>
          <w:sz w:val="24"/>
          <w:szCs w:val="24"/>
          <w:lang w:val="en-US"/>
        </w:rPr>
        <w:t>in</w:t>
      </w:r>
      <w:r w:rsidRPr="009D7554">
        <w:rPr>
          <w:rFonts w:ascii="Book Antiqua" w:hAnsi="Book Antiqua" w:cs="Times New Roman"/>
          <w:bCs/>
          <w:color w:val="auto"/>
          <w:sz w:val="24"/>
          <w:szCs w:val="24"/>
          <w:lang w:val="en-US" w:eastAsia="zh-CN"/>
        </w:rPr>
        <w:t xml:space="preserve"> </w:t>
      </w:r>
      <w:r w:rsidRPr="009D7554">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D7554">
          <w:rPr>
            <w:rStyle w:val="a8"/>
            <w:rFonts w:ascii="Book Antiqua" w:hAnsi="Book Antiqua" w:cs="Times New Roman"/>
            <w:bCs/>
            <w:color w:val="auto"/>
            <w:sz w:val="24"/>
            <w:szCs w:val="24"/>
            <w:lang w:val="en-US"/>
          </w:rPr>
          <w:t>http://creativecommons.org/licenses/by-nc/4.0/</w:t>
        </w:r>
      </w:hyperlink>
      <w:bookmarkEnd w:id="6"/>
      <w:bookmarkEnd w:id="7"/>
      <w:bookmarkEnd w:id="8"/>
      <w:bookmarkEnd w:id="9"/>
    </w:p>
    <w:p w:rsidR="000A0C93" w:rsidRPr="009D7554" w:rsidRDefault="000A0C93" w:rsidP="000A0C93">
      <w:pPr>
        <w:pStyle w:val="12"/>
        <w:snapToGrid w:val="0"/>
        <w:spacing w:line="360" w:lineRule="auto"/>
        <w:jc w:val="both"/>
        <w:rPr>
          <w:rFonts w:ascii="Book Antiqua" w:hAnsi="Book Antiqua" w:cs="Times New Roman"/>
          <w:b/>
          <w:bCs/>
          <w:color w:val="auto"/>
          <w:sz w:val="24"/>
          <w:szCs w:val="24"/>
          <w:lang w:val="en-US" w:eastAsia="zh-CN"/>
        </w:rPr>
      </w:pPr>
    </w:p>
    <w:p w:rsidR="000A0C93" w:rsidRPr="009D7554" w:rsidRDefault="000A0C93" w:rsidP="000A0C93">
      <w:pPr>
        <w:pStyle w:val="12"/>
        <w:snapToGrid w:val="0"/>
        <w:spacing w:line="360" w:lineRule="auto"/>
        <w:jc w:val="both"/>
        <w:rPr>
          <w:rFonts w:ascii="Book Antiqua" w:hAnsi="Book Antiqua" w:cs="Times New Roman"/>
          <w:b/>
          <w:bCs/>
          <w:color w:val="auto"/>
          <w:sz w:val="24"/>
          <w:szCs w:val="24"/>
          <w:lang w:val="en-US" w:eastAsia="zh-CN"/>
        </w:rPr>
      </w:pPr>
      <w:r w:rsidRPr="009D7554">
        <w:rPr>
          <w:rFonts w:ascii="Book Antiqua" w:hAnsi="Book Antiqua" w:cs="Times New Roman"/>
          <w:b/>
          <w:bCs/>
          <w:color w:val="auto"/>
          <w:sz w:val="24"/>
          <w:szCs w:val="24"/>
          <w:lang w:val="en-US"/>
        </w:rPr>
        <w:t>Manuscript source:</w:t>
      </w:r>
      <w:r w:rsidRPr="009D7554">
        <w:rPr>
          <w:rFonts w:ascii="Book Antiqua" w:hAnsi="Book Antiqua" w:cs="Times New Roman"/>
          <w:b/>
          <w:bCs/>
          <w:color w:val="auto"/>
          <w:sz w:val="24"/>
          <w:szCs w:val="24"/>
          <w:lang w:val="en-US" w:eastAsia="zh-CN"/>
        </w:rPr>
        <w:t xml:space="preserve"> </w:t>
      </w:r>
      <w:r w:rsidRPr="009D7554">
        <w:rPr>
          <w:rFonts w:ascii="Book Antiqua" w:hAnsi="Book Antiqua" w:cs="Times New Roman"/>
          <w:bCs/>
          <w:color w:val="auto"/>
          <w:sz w:val="24"/>
          <w:szCs w:val="24"/>
          <w:lang w:val="en-US"/>
        </w:rPr>
        <w:t>Invited manuscript</w:t>
      </w:r>
    </w:p>
    <w:bookmarkEnd w:id="5"/>
    <w:p w:rsidR="000A0C93" w:rsidRPr="009D7554" w:rsidRDefault="000A0C93" w:rsidP="007608AE">
      <w:pPr>
        <w:snapToGrid w:val="0"/>
        <w:spacing w:line="360" w:lineRule="auto"/>
        <w:jc w:val="both"/>
        <w:rPr>
          <w:rFonts w:ascii="Book Antiqua" w:hAnsi="Book Antiqua"/>
          <w:b/>
          <w:bCs/>
          <w:lang w:val="en-US"/>
        </w:rPr>
      </w:pPr>
    </w:p>
    <w:p w:rsidR="007608AE" w:rsidRPr="009D7554" w:rsidRDefault="007608AE" w:rsidP="007608AE">
      <w:pPr>
        <w:snapToGrid w:val="0"/>
        <w:spacing w:line="360" w:lineRule="auto"/>
        <w:jc w:val="both"/>
        <w:rPr>
          <w:rFonts w:ascii="Book Antiqua" w:hAnsi="Book Antiqua"/>
          <w:lang w:val="en-US"/>
        </w:rPr>
      </w:pPr>
      <w:r w:rsidRPr="009D7554">
        <w:rPr>
          <w:rFonts w:ascii="Book Antiqua" w:hAnsi="Book Antiqua"/>
          <w:b/>
          <w:bCs/>
          <w:lang w:val="en-US"/>
        </w:rPr>
        <w:t xml:space="preserve">Corresponding author: </w:t>
      </w:r>
      <w:r w:rsidRPr="009D7554">
        <w:rPr>
          <w:rFonts w:ascii="Book Antiqua" w:hAnsi="Book Antiqua"/>
          <w:b/>
          <w:lang w:val="en-US"/>
        </w:rPr>
        <w:t xml:space="preserve">Pier Paolo Mainenti, MD, </w:t>
      </w:r>
      <w:r w:rsidR="00CF58DE" w:rsidRPr="009D7554">
        <w:rPr>
          <w:rFonts w:ascii="Book Antiqua" w:hAnsi="Book Antiqua"/>
          <w:b/>
          <w:lang w:val="en-US"/>
        </w:rPr>
        <w:t xml:space="preserve">Academic Research, Doctor, </w:t>
      </w:r>
      <w:r w:rsidRPr="009D7554">
        <w:rPr>
          <w:rFonts w:ascii="Book Antiqua" w:hAnsi="Book Antiqua"/>
          <w:lang w:val="en-US"/>
        </w:rPr>
        <w:t>Institute of Biostructures and Bioimaging of the National Council of Research (CNR), Naples</w:t>
      </w:r>
      <w:r w:rsidR="00784E0F" w:rsidRPr="009D7554">
        <w:rPr>
          <w:rFonts w:ascii="Book Antiqua" w:hAnsi="Book Antiqua"/>
          <w:lang w:val="en-US"/>
        </w:rPr>
        <w:t xml:space="preserve"> </w:t>
      </w:r>
      <w:r w:rsidRPr="009D7554">
        <w:rPr>
          <w:rFonts w:ascii="Book Antiqua" w:hAnsi="Book Antiqua"/>
          <w:lang w:val="en-US"/>
        </w:rPr>
        <w:t>80145, Italy.</w:t>
      </w:r>
      <w:r w:rsidR="00784E0F" w:rsidRPr="009D7554">
        <w:rPr>
          <w:rFonts w:ascii="Book Antiqua" w:hAnsi="Book Antiqua"/>
          <w:b/>
          <w:bCs/>
          <w:lang w:val="en-US"/>
        </w:rPr>
        <w:t xml:space="preserve"> </w:t>
      </w:r>
      <w:hyperlink r:id="rId9" w:history="1">
        <w:r w:rsidRPr="009D7554">
          <w:rPr>
            <w:rStyle w:val="a8"/>
            <w:rFonts w:ascii="Book Antiqua" w:hAnsi="Book Antiqua"/>
            <w:bCs/>
            <w:color w:val="auto"/>
            <w:u w:val="none"/>
            <w:lang w:val="en-US"/>
          </w:rPr>
          <w:t>pierpamainenti@hotmail.com</w:t>
        </w:r>
      </w:hyperlink>
      <w:r w:rsidRPr="009D7554">
        <w:rPr>
          <w:rFonts w:ascii="Book Antiqua" w:hAnsi="Book Antiqua"/>
          <w:lang w:val="en-US"/>
        </w:rPr>
        <w:t xml:space="preserve"> </w:t>
      </w:r>
    </w:p>
    <w:p w:rsidR="007608AE" w:rsidRPr="009D7554" w:rsidRDefault="007608AE" w:rsidP="007608AE">
      <w:pPr>
        <w:snapToGrid w:val="0"/>
        <w:spacing w:line="360" w:lineRule="auto"/>
        <w:jc w:val="both"/>
        <w:rPr>
          <w:rFonts w:ascii="Book Antiqua" w:hAnsi="Book Antiqua"/>
          <w:lang w:val="en-US"/>
        </w:rPr>
      </w:pPr>
      <w:r w:rsidRPr="009D7554">
        <w:rPr>
          <w:rFonts w:ascii="Book Antiqua" w:hAnsi="Book Antiqua"/>
          <w:b/>
          <w:bCs/>
          <w:lang w:val="en-US"/>
        </w:rPr>
        <w:t>Telephone:</w:t>
      </w:r>
      <w:r w:rsidRPr="009D7554">
        <w:rPr>
          <w:rFonts w:ascii="Book Antiqua" w:hAnsi="Book Antiqua"/>
          <w:lang w:val="en-US"/>
        </w:rPr>
        <w:t xml:space="preserve"> +39-347-1873089</w:t>
      </w:r>
    </w:p>
    <w:p w:rsidR="007608AE" w:rsidRPr="009D7554" w:rsidRDefault="007608AE" w:rsidP="007608AE">
      <w:pPr>
        <w:snapToGrid w:val="0"/>
        <w:spacing w:line="360" w:lineRule="auto"/>
        <w:jc w:val="both"/>
        <w:rPr>
          <w:rFonts w:ascii="Book Antiqua" w:hAnsi="Book Antiqua"/>
          <w:lang w:val="en-US"/>
        </w:rPr>
      </w:pPr>
      <w:r w:rsidRPr="009D7554">
        <w:rPr>
          <w:rFonts w:ascii="Book Antiqua" w:hAnsi="Book Antiqua"/>
          <w:b/>
          <w:bCs/>
          <w:lang w:val="en-US"/>
        </w:rPr>
        <w:t xml:space="preserve">Fax: </w:t>
      </w:r>
      <w:r w:rsidRPr="009D7554">
        <w:rPr>
          <w:rFonts w:ascii="Book Antiqua" w:hAnsi="Book Antiqua"/>
          <w:lang w:val="en-US"/>
        </w:rPr>
        <w:t>+39-081-5457081</w:t>
      </w:r>
    </w:p>
    <w:p w:rsidR="000A0C93" w:rsidRPr="009D7554" w:rsidRDefault="000A0C93" w:rsidP="007608AE">
      <w:pPr>
        <w:snapToGrid w:val="0"/>
        <w:spacing w:line="360" w:lineRule="auto"/>
        <w:jc w:val="both"/>
        <w:rPr>
          <w:rFonts w:ascii="Book Antiqua" w:hAnsi="Book Antiqua"/>
          <w:lang w:val="en-US"/>
        </w:rPr>
      </w:pPr>
    </w:p>
    <w:p w:rsidR="000A0C93" w:rsidRPr="009D7554" w:rsidRDefault="000A0C93" w:rsidP="000A0C93">
      <w:pPr>
        <w:snapToGrid w:val="0"/>
        <w:spacing w:line="360" w:lineRule="auto"/>
        <w:jc w:val="both"/>
        <w:rPr>
          <w:rFonts w:ascii="Book Antiqua" w:eastAsia="宋体" w:hAnsi="Book Antiqua" w:cs="宋体"/>
          <w:b/>
          <w:lang w:val="en-US" w:eastAsia="zh-CN"/>
        </w:rPr>
      </w:pPr>
      <w:bookmarkStart w:id="10" w:name="_Hlk11330731"/>
      <w:r w:rsidRPr="009D7554">
        <w:rPr>
          <w:rFonts w:ascii="Book Antiqua" w:eastAsia="宋体" w:hAnsi="Book Antiqua" w:cs="宋体"/>
          <w:b/>
          <w:lang w:val="en-US" w:eastAsia="zh-CN"/>
        </w:rPr>
        <w:t>Received:</w:t>
      </w:r>
      <w:r w:rsidR="006141A0" w:rsidRPr="009D7554">
        <w:rPr>
          <w:rFonts w:ascii="Book Antiqua" w:eastAsia="宋体" w:hAnsi="Book Antiqua" w:cs="宋体"/>
          <w:b/>
          <w:lang w:val="en-US" w:eastAsia="zh-CN"/>
        </w:rPr>
        <w:t xml:space="preserve"> </w:t>
      </w:r>
      <w:r w:rsidR="006141A0" w:rsidRPr="009D7554">
        <w:rPr>
          <w:rFonts w:ascii="Book Antiqua" w:eastAsia="宋体" w:hAnsi="Book Antiqua" w:cs="宋体" w:hint="eastAsia"/>
          <w:bCs/>
          <w:lang w:val="en-US" w:eastAsia="zh-CN"/>
        </w:rPr>
        <w:t>June</w:t>
      </w:r>
      <w:r w:rsidR="006141A0" w:rsidRPr="009D7554">
        <w:rPr>
          <w:rFonts w:ascii="Book Antiqua" w:eastAsia="宋体" w:hAnsi="Book Antiqua" w:cs="宋体"/>
          <w:bCs/>
          <w:lang w:val="en-US" w:eastAsia="zh-CN"/>
        </w:rPr>
        <w:t xml:space="preserve"> 18, 2019</w:t>
      </w:r>
    </w:p>
    <w:p w:rsidR="000A0C93" w:rsidRPr="009D7554" w:rsidRDefault="000A0C93" w:rsidP="000A0C93">
      <w:pPr>
        <w:snapToGrid w:val="0"/>
        <w:spacing w:line="360" w:lineRule="auto"/>
        <w:jc w:val="both"/>
        <w:rPr>
          <w:rFonts w:ascii="Book Antiqua" w:eastAsia="宋体" w:hAnsi="Book Antiqua" w:cs="宋体"/>
          <w:b/>
          <w:lang w:val="en-US" w:eastAsia="zh-CN"/>
        </w:rPr>
      </w:pPr>
      <w:r w:rsidRPr="009D7554">
        <w:rPr>
          <w:rFonts w:ascii="Book Antiqua" w:eastAsia="宋体" w:hAnsi="Book Antiqua" w:cs="宋体"/>
          <w:b/>
          <w:lang w:val="en-US" w:eastAsia="zh-CN"/>
        </w:rPr>
        <w:t>Peer-review started:</w:t>
      </w:r>
      <w:r w:rsidR="006141A0" w:rsidRPr="009D7554">
        <w:rPr>
          <w:rFonts w:ascii="Book Antiqua" w:eastAsia="宋体" w:hAnsi="Book Antiqua" w:cs="宋体"/>
          <w:b/>
          <w:lang w:val="en-US" w:eastAsia="zh-CN"/>
        </w:rPr>
        <w:t xml:space="preserve"> </w:t>
      </w:r>
      <w:r w:rsidR="006141A0" w:rsidRPr="009D7554">
        <w:rPr>
          <w:rFonts w:ascii="Book Antiqua" w:eastAsia="宋体" w:hAnsi="Book Antiqua" w:cs="宋体" w:hint="eastAsia"/>
          <w:bCs/>
          <w:lang w:val="en-US" w:eastAsia="zh-CN"/>
        </w:rPr>
        <w:t>June</w:t>
      </w:r>
      <w:r w:rsidR="006141A0" w:rsidRPr="009D7554">
        <w:rPr>
          <w:rFonts w:ascii="Book Antiqua" w:eastAsia="宋体" w:hAnsi="Book Antiqua" w:cs="宋体"/>
          <w:bCs/>
          <w:lang w:val="en-US" w:eastAsia="zh-CN"/>
        </w:rPr>
        <w:t xml:space="preserve"> 20, 2019</w:t>
      </w:r>
    </w:p>
    <w:p w:rsidR="000A0C93" w:rsidRPr="009D7554" w:rsidRDefault="000A0C93" w:rsidP="000A0C93">
      <w:pPr>
        <w:snapToGrid w:val="0"/>
        <w:spacing w:line="360" w:lineRule="auto"/>
        <w:jc w:val="both"/>
        <w:rPr>
          <w:rFonts w:ascii="Book Antiqua" w:eastAsia="宋体" w:hAnsi="Book Antiqua" w:cs="宋体"/>
          <w:b/>
          <w:lang w:val="en-US" w:eastAsia="zh-CN"/>
        </w:rPr>
      </w:pPr>
      <w:r w:rsidRPr="009D7554">
        <w:rPr>
          <w:rFonts w:ascii="Book Antiqua" w:eastAsia="宋体" w:hAnsi="Book Antiqua" w:cs="宋体"/>
          <w:b/>
          <w:lang w:val="en-US" w:eastAsia="zh-CN"/>
        </w:rPr>
        <w:t>First decision:</w:t>
      </w:r>
      <w:r w:rsidR="006141A0" w:rsidRPr="009D7554">
        <w:rPr>
          <w:rFonts w:ascii="Book Antiqua" w:eastAsia="宋体" w:hAnsi="Book Antiqua" w:cs="宋体"/>
          <w:b/>
          <w:lang w:val="en-US" w:eastAsia="zh-CN"/>
        </w:rPr>
        <w:t xml:space="preserve"> </w:t>
      </w:r>
      <w:r w:rsidR="006141A0" w:rsidRPr="009D7554">
        <w:rPr>
          <w:rFonts w:ascii="Book Antiqua" w:eastAsia="宋体" w:hAnsi="Book Antiqua" w:cs="宋体"/>
          <w:bCs/>
          <w:lang w:val="en-US" w:eastAsia="zh-CN"/>
        </w:rPr>
        <w:t>July 22, 2019</w:t>
      </w:r>
    </w:p>
    <w:p w:rsidR="000A0C93" w:rsidRPr="009D7554" w:rsidRDefault="000A0C93" w:rsidP="000A0C93">
      <w:pPr>
        <w:snapToGrid w:val="0"/>
        <w:spacing w:line="360" w:lineRule="auto"/>
        <w:jc w:val="both"/>
        <w:rPr>
          <w:rFonts w:ascii="Book Antiqua" w:eastAsia="宋体" w:hAnsi="Book Antiqua" w:cs="宋体"/>
          <w:b/>
          <w:lang w:val="en-US" w:eastAsia="zh-CN"/>
        </w:rPr>
      </w:pPr>
      <w:r w:rsidRPr="009D7554">
        <w:rPr>
          <w:rFonts w:ascii="Book Antiqua" w:eastAsia="宋体" w:hAnsi="Book Antiqua" w:cs="宋体"/>
          <w:b/>
          <w:lang w:val="en-US" w:eastAsia="zh-CN"/>
        </w:rPr>
        <w:t>Revised:</w:t>
      </w:r>
      <w:r w:rsidR="006141A0" w:rsidRPr="009D7554">
        <w:rPr>
          <w:rFonts w:ascii="Book Antiqua" w:eastAsia="宋体" w:hAnsi="Book Antiqua" w:cs="宋体"/>
          <w:b/>
          <w:lang w:val="en-US" w:eastAsia="zh-CN"/>
        </w:rPr>
        <w:t xml:space="preserve"> </w:t>
      </w:r>
      <w:r w:rsidR="006141A0" w:rsidRPr="009D7554">
        <w:rPr>
          <w:rFonts w:ascii="Book Antiqua" w:eastAsia="宋体" w:hAnsi="Book Antiqua" w:cs="宋体"/>
          <w:bCs/>
          <w:lang w:val="en-US" w:eastAsia="zh-CN"/>
        </w:rPr>
        <w:t>August 6, 2019</w:t>
      </w:r>
    </w:p>
    <w:p w:rsidR="000A0C93" w:rsidRPr="009D7554" w:rsidRDefault="000A0C93" w:rsidP="000A0C93">
      <w:pPr>
        <w:snapToGrid w:val="0"/>
        <w:spacing w:line="360" w:lineRule="auto"/>
        <w:jc w:val="both"/>
        <w:rPr>
          <w:rFonts w:ascii="Book Antiqua" w:eastAsia="宋体" w:hAnsi="Book Antiqua" w:cs="宋体"/>
          <w:b/>
          <w:lang w:val="en-US" w:eastAsia="zh-CN"/>
        </w:rPr>
      </w:pPr>
      <w:r w:rsidRPr="009D7554">
        <w:rPr>
          <w:rFonts w:ascii="Book Antiqua" w:eastAsia="宋体" w:hAnsi="Book Antiqua" w:cs="宋体"/>
          <w:b/>
          <w:lang w:val="en-US" w:eastAsia="zh-CN"/>
        </w:rPr>
        <w:t>Accepted:</w:t>
      </w:r>
      <w:r w:rsidR="00971B5D" w:rsidRPr="009D7554">
        <w:t xml:space="preserve"> </w:t>
      </w:r>
      <w:r w:rsidR="00971B5D" w:rsidRPr="009D7554">
        <w:rPr>
          <w:rFonts w:ascii="Book Antiqua" w:eastAsia="宋体" w:hAnsi="Book Antiqua" w:cs="宋体"/>
          <w:lang w:val="en-US" w:eastAsia="zh-CN"/>
        </w:rPr>
        <w:t>August 24, 2019</w:t>
      </w:r>
    </w:p>
    <w:p w:rsidR="000A0C93" w:rsidRPr="009D7554" w:rsidRDefault="000A0C93" w:rsidP="000A0C93">
      <w:pPr>
        <w:snapToGrid w:val="0"/>
        <w:spacing w:line="360" w:lineRule="auto"/>
        <w:jc w:val="both"/>
        <w:rPr>
          <w:rFonts w:ascii="Book Antiqua" w:eastAsia="宋体" w:hAnsi="Book Antiqua" w:cs="宋体"/>
          <w:b/>
          <w:lang w:val="en-US" w:eastAsia="zh-CN"/>
        </w:rPr>
      </w:pPr>
      <w:r w:rsidRPr="009D7554">
        <w:rPr>
          <w:rFonts w:ascii="Book Antiqua" w:eastAsia="宋体" w:hAnsi="Book Antiqua" w:cs="宋体"/>
          <w:b/>
          <w:lang w:val="en-US" w:eastAsia="zh-CN"/>
        </w:rPr>
        <w:t>Article in press:</w:t>
      </w:r>
      <w:r w:rsidR="009D7554" w:rsidRPr="009D7554">
        <w:rPr>
          <w:rFonts w:ascii="Book Antiqua" w:eastAsia="宋体" w:hAnsi="Book Antiqua" w:cs="宋体"/>
          <w:b/>
          <w:lang w:val="en-US" w:eastAsia="zh-CN"/>
        </w:rPr>
        <w:t xml:space="preserve"> </w:t>
      </w:r>
      <w:r w:rsidR="009D7554" w:rsidRPr="009D7554">
        <w:rPr>
          <w:rFonts w:ascii="Book Antiqua" w:eastAsia="宋体" w:hAnsi="Book Antiqua" w:cs="宋体"/>
          <w:lang w:val="en-US" w:eastAsia="zh-CN"/>
        </w:rPr>
        <w:t>August 24, 2019</w:t>
      </w:r>
    </w:p>
    <w:p w:rsidR="000A0C93" w:rsidRPr="009D7554" w:rsidRDefault="000A0C93" w:rsidP="000A0C93">
      <w:pPr>
        <w:snapToGrid w:val="0"/>
        <w:spacing w:line="360" w:lineRule="auto"/>
        <w:jc w:val="both"/>
        <w:rPr>
          <w:rFonts w:ascii="Book Antiqua" w:eastAsia="宋体" w:hAnsi="Book Antiqua" w:cs="Arial"/>
          <w:b/>
          <w:lang w:val="pl-PL" w:eastAsia="zh-CN"/>
        </w:rPr>
      </w:pPr>
      <w:r w:rsidRPr="009D7554">
        <w:rPr>
          <w:rFonts w:ascii="Book Antiqua" w:eastAsia="宋体" w:hAnsi="Book Antiqua" w:cs="Arial"/>
          <w:b/>
          <w:lang w:val="pl-PL" w:eastAsia="pl-PL"/>
        </w:rPr>
        <w:t>Published online:</w:t>
      </w:r>
      <w:r w:rsidR="009D7554" w:rsidRPr="009D7554">
        <w:rPr>
          <w:rFonts w:ascii="Book Antiqua" w:eastAsia="宋体" w:hAnsi="Book Antiqua" w:cs="Arial"/>
          <w:b/>
          <w:lang w:val="pl-PL" w:eastAsia="pl-PL"/>
        </w:rPr>
        <w:t xml:space="preserve"> </w:t>
      </w:r>
      <w:r w:rsidR="009D7554" w:rsidRPr="009D7554">
        <w:rPr>
          <w:rFonts w:ascii="Book Antiqua" w:eastAsia="宋体" w:hAnsi="Book Antiqua" w:cs="宋体"/>
          <w:lang w:val="en-US" w:eastAsia="zh-CN"/>
        </w:rPr>
        <w:t>September 21, 2019</w:t>
      </w:r>
    </w:p>
    <w:bookmarkEnd w:id="10"/>
    <w:p w:rsidR="000A0C93" w:rsidRPr="009D7554" w:rsidRDefault="000A0C93" w:rsidP="007608AE">
      <w:pPr>
        <w:snapToGrid w:val="0"/>
        <w:spacing w:line="360" w:lineRule="auto"/>
        <w:jc w:val="both"/>
        <w:rPr>
          <w:rFonts w:ascii="Book Antiqua" w:hAnsi="Book Antiqua"/>
          <w:lang w:val="en-US"/>
        </w:rPr>
      </w:pPr>
    </w:p>
    <w:p w:rsidR="00AB4FFB" w:rsidRPr="009D7554" w:rsidRDefault="007608AE" w:rsidP="006A253E">
      <w:pPr>
        <w:snapToGrid w:val="0"/>
        <w:spacing w:line="360" w:lineRule="auto"/>
        <w:jc w:val="both"/>
        <w:rPr>
          <w:rFonts w:ascii="Book Antiqua" w:hAnsi="Book Antiqua"/>
          <w:b/>
          <w:bCs/>
          <w:lang w:val="en-US"/>
        </w:rPr>
      </w:pPr>
      <w:r w:rsidRPr="009D7554">
        <w:rPr>
          <w:rFonts w:ascii="Book Antiqua" w:hAnsi="Book Antiqua"/>
          <w:b/>
          <w:lang w:val="en-US"/>
        </w:rPr>
        <w:br w:type="page"/>
      </w:r>
      <w:r w:rsidR="00AB4FFB" w:rsidRPr="009D7554">
        <w:rPr>
          <w:rFonts w:ascii="Book Antiqua" w:hAnsi="Book Antiqua"/>
          <w:b/>
          <w:bCs/>
          <w:lang w:val="en-US"/>
        </w:rPr>
        <w:lastRenderedPageBreak/>
        <w:t>A</w:t>
      </w:r>
      <w:r w:rsidR="001016B1" w:rsidRPr="009D7554">
        <w:rPr>
          <w:rFonts w:ascii="Book Antiqua" w:hAnsi="Book Antiqua"/>
          <w:b/>
          <w:bCs/>
          <w:lang w:val="en-US"/>
        </w:rPr>
        <w:t>bstract</w:t>
      </w:r>
    </w:p>
    <w:p w:rsidR="00536740" w:rsidRPr="009D7554" w:rsidRDefault="00F64F91" w:rsidP="006A253E">
      <w:pPr>
        <w:snapToGrid w:val="0"/>
        <w:spacing w:line="360" w:lineRule="auto"/>
        <w:jc w:val="both"/>
        <w:rPr>
          <w:rFonts w:ascii="Book Antiqua" w:hAnsi="Book Antiqua"/>
          <w:lang w:val="en-US"/>
        </w:rPr>
      </w:pPr>
      <w:r w:rsidRPr="009D7554">
        <w:rPr>
          <w:rFonts w:ascii="Book Antiqua" w:hAnsi="Book Antiqua"/>
          <w:lang w:val="en-US"/>
        </w:rPr>
        <w:t xml:space="preserve">Colorectal cancer </w:t>
      </w:r>
      <w:r w:rsidR="002636DE" w:rsidRPr="009D7554">
        <w:rPr>
          <w:rFonts w:ascii="Book Antiqua" w:hAnsi="Book Antiqua"/>
          <w:lang w:val="en-US"/>
        </w:rPr>
        <w:t xml:space="preserve">(CRC) </w:t>
      </w:r>
      <w:r w:rsidRPr="009D7554">
        <w:rPr>
          <w:rFonts w:ascii="Book Antiqua" w:hAnsi="Book Antiqua"/>
          <w:lang w:val="en-US"/>
        </w:rPr>
        <w:t xml:space="preserve">represents one of the leading causes of tumor-related deaths worldwide. Among the various tools at physicians’ disposal for </w:t>
      </w:r>
      <w:r w:rsidR="00100BC4" w:rsidRPr="009D7554">
        <w:rPr>
          <w:rFonts w:ascii="Book Antiqua" w:hAnsi="Book Antiqua"/>
          <w:lang w:val="en-US"/>
        </w:rPr>
        <w:t xml:space="preserve">the </w:t>
      </w:r>
      <w:r w:rsidRPr="009D7554">
        <w:rPr>
          <w:rFonts w:ascii="Book Antiqua" w:hAnsi="Book Antiqua"/>
          <w:lang w:val="en-US"/>
        </w:rPr>
        <w:t>diagnostic management of the disease, tomographic imaging (</w:t>
      </w:r>
      <w:r w:rsidRPr="009D7554">
        <w:rPr>
          <w:rFonts w:ascii="Book Antiqua" w:hAnsi="Book Antiqua"/>
          <w:i/>
          <w:iCs/>
          <w:lang w:val="en-US"/>
        </w:rPr>
        <w:t>e.g.</w:t>
      </w:r>
      <w:r w:rsidR="001F0F25" w:rsidRPr="009D7554">
        <w:rPr>
          <w:rFonts w:ascii="Book Antiqua" w:hAnsi="Book Antiqua"/>
          <w:lang w:val="en-US"/>
        </w:rPr>
        <w:t>,</w:t>
      </w:r>
      <w:r w:rsidRPr="009D7554">
        <w:rPr>
          <w:rFonts w:ascii="Book Antiqua" w:hAnsi="Book Antiqua"/>
          <w:lang w:val="en-US"/>
        </w:rPr>
        <w:t xml:space="preserve"> CT, MRI, </w:t>
      </w:r>
      <w:r w:rsidR="00100BC4" w:rsidRPr="009D7554">
        <w:rPr>
          <w:rFonts w:ascii="Book Antiqua" w:hAnsi="Book Antiqua"/>
          <w:lang w:val="en-US"/>
        </w:rPr>
        <w:t xml:space="preserve">and </w:t>
      </w:r>
      <w:r w:rsidRPr="009D7554">
        <w:rPr>
          <w:rFonts w:ascii="Book Antiqua" w:hAnsi="Book Antiqua"/>
          <w:lang w:val="en-US"/>
        </w:rPr>
        <w:t xml:space="preserve">hybrid PET imaging) is considered </w:t>
      </w:r>
      <w:r w:rsidR="00100BC4" w:rsidRPr="009D7554">
        <w:rPr>
          <w:rFonts w:ascii="Book Antiqua" w:hAnsi="Book Antiqua"/>
          <w:lang w:val="en-US"/>
        </w:rPr>
        <w:t>essential</w:t>
      </w:r>
      <w:r w:rsidRPr="009D7554">
        <w:rPr>
          <w:rFonts w:ascii="Book Antiqua" w:hAnsi="Book Antiqua"/>
          <w:lang w:val="en-US"/>
        </w:rPr>
        <w:t xml:space="preserve">. </w:t>
      </w:r>
      <w:r w:rsidR="00100BC4" w:rsidRPr="009D7554">
        <w:rPr>
          <w:rFonts w:ascii="Book Antiqua" w:hAnsi="Book Antiqua"/>
          <w:lang w:val="en-US"/>
        </w:rPr>
        <w:t>The q</w:t>
      </w:r>
      <w:r w:rsidRPr="009D7554">
        <w:rPr>
          <w:rFonts w:ascii="Book Antiqua" w:hAnsi="Book Antiqua"/>
          <w:lang w:val="en-US"/>
        </w:rPr>
        <w:t xml:space="preserve">ualitative and subjective evaluation of tomographic images </w:t>
      </w:r>
      <w:r w:rsidR="00502E2D" w:rsidRPr="009D7554">
        <w:rPr>
          <w:rFonts w:ascii="Book Antiqua" w:hAnsi="Book Antiqua"/>
          <w:lang w:val="en-US"/>
        </w:rPr>
        <w:t xml:space="preserve">is </w:t>
      </w:r>
      <w:r w:rsidRPr="009D7554">
        <w:rPr>
          <w:rFonts w:ascii="Book Antiqua" w:hAnsi="Book Antiqua"/>
          <w:lang w:val="en-US"/>
        </w:rPr>
        <w:t xml:space="preserve">the main approach </w:t>
      </w:r>
      <w:r w:rsidR="00100BC4" w:rsidRPr="009D7554">
        <w:rPr>
          <w:rFonts w:ascii="Book Antiqua" w:hAnsi="Book Antiqua"/>
          <w:lang w:val="en-US"/>
        </w:rPr>
        <w:t xml:space="preserve">used </w:t>
      </w:r>
      <w:r w:rsidRPr="009D7554">
        <w:rPr>
          <w:rFonts w:ascii="Book Antiqua" w:hAnsi="Book Antiqua"/>
          <w:lang w:val="en-US"/>
        </w:rPr>
        <w:t xml:space="preserve">to </w:t>
      </w:r>
      <w:r w:rsidR="001F0F25" w:rsidRPr="009D7554">
        <w:rPr>
          <w:rFonts w:ascii="Book Antiqua" w:hAnsi="Book Antiqua"/>
          <w:lang w:val="en-US"/>
        </w:rPr>
        <w:t>obtain</w:t>
      </w:r>
      <w:r w:rsidRPr="009D7554">
        <w:rPr>
          <w:rFonts w:ascii="Book Antiqua" w:hAnsi="Book Antiqua"/>
          <w:lang w:val="en-US"/>
        </w:rPr>
        <w:t xml:space="preserve"> valuable clinical information, although this strategy suffers from both intrinsic and operator</w:t>
      </w:r>
      <w:r w:rsidR="001F0F25" w:rsidRPr="009D7554">
        <w:rPr>
          <w:rFonts w:ascii="Book Antiqua" w:hAnsi="Book Antiqua"/>
          <w:lang w:val="en-US"/>
        </w:rPr>
        <w:t>-</w:t>
      </w:r>
      <w:r w:rsidRPr="009D7554">
        <w:rPr>
          <w:rFonts w:ascii="Book Antiqua" w:hAnsi="Book Antiqua"/>
          <w:lang w:val="en-US"/>
        </w:rPr>
        <w:t>dependent limitations. More recently, advanced imaging techniques have been developed with the aim of overcoming these issues. Such techniques,</w:t>
      </w:r>
      <w:r w:rsidR="001F0F25" w:rsidRPr="009D7554">
        <w:rPr>
          <w:rFonts w:ascii="Book Antiqua" w:hAnsi="Book Antiqua"/>
          <w:lang w:val="en-US"/>
        </w:rPr>
        <w:t xml:space="preserve"> such as</w:t>
      </w:r>
      <w:r w:rsidRPr="009D7554">
        <w:rPr>
          <w:rFonts w:ascii="Book Antiqua" w:hAnsi="Book Antiqua"/>
          <w:lang w:val="en-US"/>
        </w:rPr>
        <w:t xml:space="preserve"> </w:t>
      </w:r>
      <w:r w:rsidR="00100BC4" w:rsidRPr="009D7554">
        <w:rPr>
          <w:rFonts w:ascii="Book Antiqua" w:hAnsi="Book Antiqua"/>
          <w:lang w:val="en-US"/>
        </w:rPr>
        <w:t xml:space="preserve">diffusion-weighted </w:t>
      </w:r>
      <w:r w:rsidRPr="009D7554">
        <w:rPr>
          <w:rFonts w:ascii="Book Antiqua" w:hAnsi="Book Antiqua"/>
          <w:lang w:val="en-US"/>
        </w:rPr>
        <w:t xml:space="preserve">MRI and </w:t>
      </w:r>
      <w:r w:rsidR="00100BC4" w:rsidRPr="009D7554">
        <w:rPr>
          <w:rFonts w:ascii="Book Antiqua" w:hAnsi="Book Antiqua"/>
          <w:lang w:val="en-US"/>
        </w:rPr>
        <w:t>p</w:t>
      </w:r>
      <w:r w:rsidRPr="009D7554">
        <w:rPr>
          <w:rFonts w:ascii="Book Antiqua" w:hAnsi="Book Antiqua"/>
          <w:lang w:val="en-US"/>
        </w:rPr>
        <w:t xml:space="preserve">erfusion </w:t>
      </w:r>
      <w:r w:rsidR="00100BC4" w:rsidRPr="009D7554">
        <w:rPr>
          <w:rFonts w:ascii="Book Antiqua" w:hAnsi="Book Antiqua"/>
          <w:lang w:val="en-US"/>
        </w:rPr>
        <w:t>i</w:t>
      </w:r>
      <w:r w:rsidRPr="009D7554">
        <w:rPr>
          <w:rFonts w:ascii="Book Antiqua" w:hAnsi="Book Antiqua"/>
          <w:lang w:val="en-US"/>
        </w:rPr>
        <w:t xml:space="preserve">maging, were designed for the “in vivo” evaluation of specific biological tissue features </w:t>
      </w:r>
      <w:r w:rsidR="00502E2D" w:rsidRPr="009D7554">
        <w:rPr>
          <w:rFonts w:ascii="Book Antiqua" w:hAnsi="Book Antiqua"/>
          <w:lang w:val="en-US"/>
        </w:rPr>
        <w:t xml:space="preserve">in order </w:t>
      </w:r>
      <w:r w:rsidR="00100BC4" w:rsidRPr="009D7554">
        <w:rPr>
          <w:rFonts w:ascii="Book Antiqua" w:hAnsi="Book Antiqua"/>
          <w:lang w:val="en-US"/>
        </w:rPr>
        <w:t>to describe</w:t>
      </w:r>
      <w:r w:rsidRPr="009D7554">
        <w:rPr>
          <w:rFonts w:ascii="Book Antiqua" w:hAnsi="Book Antiqua"/>
          <w:lang w:val="en-US"/>
        </w:rPr>
        <w:t xml:space="preserve"> them in terms of quantitative parameters</w:t>
      </w:r>
      <w:r w:rsidR="00502E2D" w:rsidRPr="009D7554">
        <w:rPr>
          <w:rFonts w:ascii="Book Antiqua" w:hAnsi="Book Antiqua"/>
          <w:lang w:val="en-US"/>
        </w:rPr>
        <w:t>, which</w:t>
      </w:r>
      <w:r w:rsidRPr="009D7554">
        <w:rPr>
          <w:rFonts w:ascii="Book Antiqua" w:hAnsi="Book Antiqua"/>
          <w:lang w:val="en-US"/>
        </w:rPr>
        <w:t xml:space="preserve"> could </w:t>
      </w:r>
      <w:r w:rsidR="00502E2D" w:rsidRPr="009D7554">
        <w:rPr>
          <w:rFonts w:ascii="Book Antiqua" w:hAnsi="Book Antiqua"/>
          <w:lang w:val="en-US"/>
        </w:rPr>
        <w:t>answer questions</w:t>
      </w:r>
      <w:r w:rsidRPr="009D7554">
        <w:rPr>
          <w:rFonts w:ascii="Book Antiqua" w:hAnsi="Book Antiqua"/>
          <w:lang w:val="en-US"/>
        </w:rPr>
        <w:t xml:space="preserve"> difficult to </w:t>
      </w:r>
      <w:r w:rsidR="00100BC4" w:rsidRPr="009D7554">
        <w:rPr>
          <w:rFonts w:ascii="Book Antiqua" w:hAnsi="Book Antiqua"/>
          <w:lang w:val="en-US"/>
        </w:rPr>
        <w:t xml:space="preserve">address </w:t>
      </w:r>
      <w:r w:rsidRPr="009D7554">
        <w:rPr>
          <w:rFonts w:ascii="Book Antiqua" w:hAnsi="Book Antiqua"/>
          <w:lang w:val="en-US"/>
        </w:rPr>
        <w:t>with conventional imaging alone (</w:t>
      </w:r>
      <w:r w:rsidR="001016B1" w:rsidRPr="009D7554">
        <w:rPr>
          <w:rFonts w:ascii="Book Antiqua" w:hAnsi="Book Antiqua"/>
          <w:i/>
          <w:iCs/>
          <w:lang w:val="en-US"/>
        </w:rPr>
        <w:t>e.g.</w:t>
      </w:r>
      <w:r w:rsidR="001F0F25" w:rsidRPr="009D7554">
        <w:rPr>
          <w:rFonts w:ascii="Book Antiqua" w:hAnsi="Book Antiqua"/>
          <w:lang w:val="en-US"/>
        </w:rPr>
        <w:t>,</w:t>
      </w:r>
      <w:r w:rsidRPr="009D7554">
        <w:rPr>
          <w:rFonts w:ascii="Book Antiqua" w:hAnsi="Book Antiqua"/>
          <w:lang w:val="en-US"/>
        </w:rPr>
        <w:t xml:space="preserve"> </w:t>
      </w:r>
      <w:r w:rsidR="00502E2D" w:rsidRPr="009D7554">
        <w:rPr>
          <w:rFonts w:ascii="Book Antiqua" w:hAnsi="Book Antiqua"/>
          <w:lang w:val="en-US"/>
        </w:rPr>
        <w:t xml:space="preserve">questions related to </w:t>
      </w:r>
      <w:r w:rsidRPr="009D7554">
        <w:rPr>
          <w:rFonts w:ascii="Book Antiqua" w:hAnsi="Book Antiqua"/>
          <w:lang w:val="en-US"/>
        </w:rPr>
        <w:t xml:space="preserve">tissue characterization and prognosis). Furthermore, it has been observed that </w:t>
      </w:r>
      <w:r w:rsidR="00100BC4" w:rsidRPr="009D7554">
        <w:rPr>
          <w:rFonts w:ascii="Book Antiqua" w:hAnsi="Book Antiqua"/>
          <w:lang w:val="en-US"/>
        </w:rPr>
        <w:t xml:space="preserve">a large amount of </w:t>
      </w:r>
      <w:r w:rsidRPr="009D7554">
        <w:rPr>
          <w:rFonts w:ascii="Book Antiqua" w:hAnsi="Book Antiqua"/>
          <w:lang w:val="en-US"/>
        </w:rPr>
        <w:t>numerical and statistical information is buried inside tomographic images</w:t>
      </w:r>
      <w:r w:rsidR="001F0F25" w:rsidRPr="009D7554">
        <w:rPr>
          <w:rFonts w:ascii="Book Antiqua" w:hAnsi="Book Antiqua"/>
          <w:lang w:val="en-US"/>
        </w:rPr>
        <w:t>,</w:t>
      </w:r>
      <w:r w:rsidRPr="009D7554">
        <w:rPr>
          <w:rFonts w:ascii="Book Antiqua" w:hAnsi="Book Antiqua"/>
          <w:lang w:val="en-US"/>
        </w:rPr>
        <w:t xml:space="preserve"> resulting</w:t>
      </w:r>
      <w:r w:rsidR="001F0F25" w:rsidRPr="009D7554">
        <w:rPr>
          <w:rFonts w:ascii="Book Antiqua" w:hAnsi="Book Antiqua"/>
          <w:lang w:val="en-US"/>
        </w:rPr>
        <w:t xml:space="preserve"> in</w:t>
      </w:r>
      <w:r w:rsidRPr="009D7554">
        <w:rPr>
          <w:rFonts w:ascii="Book Antiqua" w:hAnsi="Book Antiqua"/>
          <w:lang w:val="en-US"/>
        </w:rPr>
        <w:t xml:space="preserve"> </w:t>
      </w:r>
      <w:r w:rsidR="00100BC4" w:rsidRPr="009D7554">
        <w:rPr>
          <w:rFonts w:ascii="Book Antiqua" w:hAnsi="Book Antiqua"/>
          <w:lang w:val="en-US"/>
        </w:rPr>
        <w:t>their</w:t>
      </w:r>
      <w:r w:rsidR="001F0F25" w:rsidRPr="009D7554">
        <w:rPr>
          <w:rFonts w:ascii="Book Antiqua" w:hAnsi="Book Antiqua"/>
          <w:lang w:val="en-US"/>
        </w:rPr>
        <w:t xml:space="preserve"> </w:t>
      </w:r>
      <w:r w:rsidRPr="009D7554">
        <w:rPr>
          <w:rFonts w:ascii="Book Antiqua" w:hAnsi="Book Antiqua"/>
          <w:lang w:val="en-US"/>
        </w:rPr>
        <w:t>invisib</w:t>
      </w:r>
      <w:r w:rsidR="00100BC4" w:rsidRPr="009D7554">
        <w:rPr>
          <w:rFonts w:ascii="Book Antiqua" w:hAnsi="Book Antiqua"/>
          <w:lang w:val="en-US"/>
        </w:rPr>
        <w:t xml:space="preserve">ility </w:t>
      </w:r>
      <w:r w:rsidR="00502E2D" w:rsidRPr="009D7554">
        <w:rPr>
          <w:rFonts w:ascii="Book Antiqua" w:hAnsi="Book Antiqua"/>
          <w:lang w:val="en-US"/>
        </w:rPr>
        <w:t>during</w:t>
      </w:r>
      <w:r w:rsidR="00100BC4" w:rsidRPr="009D7554">
        <w:rPr>
          <w:rFonts w:ascii="Book Antiqua" w:hAnsi="Book Antiqua"/>
          <w:lang w:val="en-US"/>
        </w:rPr>
        <w:t xml:space="preserve"> </w:t>
      </w:r>
      <w:r w:rsidRPr="009D7554">
        <w:rPr>
          <w:rFonts w:ascii="Book Antiqua" w:hAnsi="Book Antiqua"/>
          <w:lang w:val="en-US"/>
        </w:rPr>
        <w:t>conventional assessment. This information can be extracted and represented in terms of quantitative parameters through different processes (</w:t>
      </w:r>
      <w:r w:rsidR="001016B1" w:rsidRPr="009D7554">
        <w:rPr>
          <w:rFonts w:ascii="Book Antiqua" w:hAnsi="Book Antiqua"/>
          <w:i/>
          <w:iCs/>
          <w:lang w:val="en-US"/>
        </w:rPr>
        <w:t>e.g.</w:t>
      </w:r>
      <w:r w:rsidR="001F0F25" w:rsidRPr="009D7554">
        <w:rPr>
          <w:rFonts w:ascii="Book Antiqua" w:hAnsi="Book Antiqua"/>
          <w:lang w:val="en-US"/>
        </w:rPr>
        <w:t>,</w:t>
      </w:r>
      <w:r w:rsidRPr="009D7554">
        <w:rPr>
          <w:rFonts w:ascii="Book Antiqua" w:hAnsi="Book Antiqua"/>
          <w:lang w:val="en-US"/>
        </w:rPr>
        <w:t xml:space="preserve"> texture analysis). Numerous researchers </w:t>
      </w:r>
      <w:r w:rsidR="001F0F25" w:rsidRPr="009D7554">
        <w:rPr>
          <w:rFonts w:ascii="Book Antiqua" w:hAnsi="Book Antiqua"/>
          <w:lang w:val="en-US"/>
        </w:rPr>
        <w:t xml:space="preserve">have </w:t>
      </w:r>
      <w:r w:rsidRPr="009D7554">
        <w:rPr>
          <w:rFonts w:ascii="Book Antiqua" w:hAnsi="Book Antiqua"/>
          <w:lang w:val="en-US"/>
        </w:rPr>
        <w:t xml:space="preserve">focused their work on the significance of these quantitative imaging parameters for the management of </w:t>
      </w:r>
      <w:r w:rsidR="002636DE" w:rsidRPr="009D7554">
        <w:rPr>
          <w:rFonts w:ascii="Book Antiqua" w:hAnsi="Book Antiqua"/>
          <w:lang w:val="en-US"/>
        </w:rPr>
        <w:t>CRC</w:t>
      </w:r>
      <w:r w:rsidRPr="009D7554">
        <w:rPr>
          <w:rFonts w:ascii="Book Antiqua" w:hAnsi="Book Antiqua"/>
          <w:lang w:val="en-US"/>
        </w:rPr>
        <w:t xml:space="preserve"> patients. In this review, we aimed to focus on </w:t>
      </w:r>
      <w:r w:rsidR="001F0F25" w:rsidRPr="009D7554">
        <w:rPr>
          <w:rFonts w:ascii="Book Antiqua" w:hAnsi="Book Antiqua"/>
          <w:lang w:val="en-US"/>
        </w:rPr>
        <w:t>evidence</w:t>
      </w:r>
      <w:r w:rsidRPr="009D7554">
        <w:rPr>
          <w:rFonts w:ascii="Book Antiqua" w:hAnsi="Book Antiqua"/>
          <w:lang w:val="en-US"/>
        </w:rPr>
        <w:t xml:space="preserve"> </w:t>
      </w:r>
      <w:r w:rsidR="00502E2D" w:rsidRPr="009D7554">
        <w:rPr>
          <w:rFonts w:ascii="Book Antiqua" w:hAnsi="Book Antiqua"/>
          <w:lang w:val="en-US"/>
        </w:rPr>
        <w:t xml:space="preserve">reported </w:t>
      </w:r>
      <w:r w:rsidRPr="009D7554">
        <w:rPr>
          <w:rFonts w:ascii="Book Antiqua" w:hAnsi="Book Antiqua"/>
          <w:lang w:val="en-US"/>
        </w:rPr>
        <w:t xml:space="preserve">in </w:t>
      </w:r>
      <w:r w:rsidR="001F0F25" w:rsidRPr="009D7554">
        <w:rPr>
          <w:rFonts w:ascii="Book Antiqua" w:hAnsi="Book Antiqua"/>
          <w:lang w:val="en-US"/>
        </w:rPr>
        <w:t xml:space="preserve">the </w:t>
      </w:r>
      <w:r w:rsidRPr="009D7554">
        <w:rPr>
          <w:rFonts w:ascii="Book Antiqua" w:hAnsi="Book Antiqua"/>
          <w:lang w:val="en-US"/>
        </w:rPr>
        <w:t xml:space="preserve">academic literature regarding the application of parametric imaging to </w:t>
      </w:r>
      <w:r w:rsidR="001F0F25" w:rsidRPr="009D7554">
        <w:rPr>
          <w:rFonts w:ascii="Book Antiqua" w:hAnsi="Book Antiqua"/>
          <w:lang w:val="en-US"/>
        </w:rPr>
        <w:t xml:space="preserve">the </w:t>
      </w:r>
      <w:r w:rsidRPr="009D7554">
        <w:rPr>
          <w:rFonts w:ascii="Book Antiqua" w:hAnsi="Book Antiqua"/>
          <w:lang w:val="en-US"/>
        </w:rPr>
        <w:t xml:space="preserve">diagnosis, staging and prognosis of </w:t>
      </w:r>
      <w:r w:rsidR="002636DE" w:rsidRPr="009D7554">
        <w:rPr>
          <w:rFonts w:ascii="Book Antiqua" w:hAnsi="Book Antiqua"/>
          <w:lang w:val="en-US"/>
        </w:rPr>
        <w:t xml:space="preserve">CRC </w:t>
      </w:r>
      <w:r w:rsidRPr="009D7554">
        <w:rPr>
          <w:rFonts w:ascii="Book Antiqua" w:hAnsi="Book Antiqua"/>
          <w:lang w:val="en-US"/>
        </w:rPr>
        <w:t xml:space="preserve">while discussing future </w:t>
      </w:r>
      <w:r w:rsidR="001F0F25" w:rsidRPr="009D7554">
        <w:rPr>
          <w:rFonts w:ascii="Book Antiqua" w:hAnsi="Book Antiqua"/>
          <w:lang w:val="en-US"/>
        </w:rPr>
        <w:t>perspectives</w:t>
      </w:r>
      <w:r w:rsidRPr="009D7554">
        <w:rPr>
          <w:rFonts w:ascii="Book Antiqua" w:hAnsi="Book Antiqua"/>
          <w:lang w:val="en-US"/>
        </w:rPr>
        <w:t xml:space="preserve"> and present limitations. While the transition from pure</w:t>
      </w:r>
      <w:r w:rsidR="00100BC4" w:rsidRPr="009D7554">
        <w:rPr>
          <w:rFonts w:ascii="Book Antiqua" w:hAnsi="Book Antiqua"/>
          <w:lang w:val="en-US"/>
        </w:rPr>
        <w:t>ly</w:t>
      </w:r>
      <w:r w:rsidRPr="009D7554">
        <w:rPr>
          <w:rFonts w:ascii="Book Antiqua" w:hAnsi="Book Antiqua"/>
          <w:lang w:val="en-US"/>
        </w:rPr>
        <w:t xml:space="preserve"> anatomic</w:t>
      </w:r>
      <w:r w:rsidR="00502E2D" w:rsidRPr="009D7554">
        <w:rPr>
          <w:rFonts w:ascii="Book Antiqua" w:hAnsi="Book Antiqua"/>
          <w:lang w:val="en-US"/>
        </w:rPr>
        <w:t>al</w:t>
      </w:r>
      <w:r w:rsidRPr="009D7554">
        <w:rPr>
          <w:rFonts w:ascii="Book Antiqua" w:hAnsi="Book Antiqua"/>
          <w:lang w:val="en-US"/>
        </w:rPr>
        <w:t xml:space="preserve"> to quantitative tomographic imaging appears achievable for CRC diagnostics, some essential milestones, </w:t>
      </w:r>
      <w:r w:rsidR="001F0F25" w:rsidRPr="009D7554">
        <w:rPr>
          <w:rFonts w:ascii="Book Antiqua" w:hAnsi="Book Antiqua"/>
          <w:lang w:val="en-US"/>
        </w:rPr>
        <w:t xml:space="preserve">such </w:t>
      </w:r>
      <w:r w:rsidRPr="009D7554">
        <w:rPr>
          <w:rFonts w:ascii="Book Antiqua" w:hAnsi="Book Antiqua"/>
          <w:lang w:val="en-US"/>
        </w:rPr>
        <w:t xml:space="preserve">as scanning and analysis standardization and </w:t>
      </w:r>
      <w:r w:rsidR="00100BC4" w:rsidRPr="009D7554">
        <w:rPr>
          <w:rFonts w:ascii="Book Antiqua" w:hAnsi="Book Antiqua"/>
          <w:lang w:val="en-US"/>
        </w:rPr>
        <w:t xml:space="preserve">the definition of </w:t>
      </w:r>
      <w:r w:rsidRPr="009D7554">
        <w:rPr>
          <w:rFonts w:ascii="Book Antiqua" w:hAnsi="Book Antiqua"/>
          <w:lang w:val="en-US"/>
        </w:rPr>
        <w:t>robust cut-off values,</w:t>
      </w:r>
      <w:r w:rsidR="001F0F25" w:rsidRPr="009D7554">
        <w:rPr>
          <w:rFonts w:ascii="Book Antiqua" w:hAnsi="Book Antiqua"/>
          <w:lang w:val="en-US"/>
        </w:rPr>
        <w:t xml:space="preserve"> </w:t>
      </w:r>
      <w:r w:rsidRPr="009D7554">
        <w:rPr>
          <w:rFonts w:ascii="Book Antiqua" w:hAnsi="Book Antiqua"/>
          <w:lang w:val="en-US"/>
        </w:rPr>
        <w:t xml:space="preserve">must be </w:t>
      </w:r>
      <w:r w:rsidR="00100BC4" w:rsidRPr="009D7554">
        <w:rPr>
          <w:rFonts w:ascii="Book Antiqua" w:hAnsi="Book Antiqua"/>
          <w:lang w:val="en-US"/>
        </w:rPr>
        <w:t xml:space="preserve">achieved </w:t>
      </w:r>
      <w:r w:rsidRPr="009D7554">
        <w:rPr>
          <w:rFonts w:ascii="Book Antiqua" w:hAnsi="Book Antiqua"/>
          <w:lang w:val="en-US"/>
        </w:rPr>
        <w:t xml:space="preserve">before </w:t>
      </w:r>
      <w:r w:rsidR="00502E2D" w:rsidRPr="009D7554">
        <w:rPr>
          <w:rFonts w:ascii="Book Antiqua" w:hAnsi="Book Antiqua"/>
          <w:lang w:val="en-US"/>
        </w:rPr>
        <w:t xml:space="preserve">quantitative tomographic imaging </w:t>
      </w:r>
      <w:r w:rsidRPr="009D7554">
        <w:rPr>
          <w:rFonts w:ascii="Book Antiqua" w:hAnsi="Book Antiqua"/>
          <w:lang w:val="en-US"/>
        </w:rPr>
        <w:t xml:space="preserve">can </w:t>
      </w:r>
      <w:r w:rsidR="00100BC4" w:rsidRPr="009D7554">
        <w:rPr>
          <w:rFonts w:ascii="Book Antiqua" w:hAnsi="Book Antiqua"/>
          <w:lang w:val="en-US"/>
        </w:rPr>
        <w:t xml:space="preserve">be incorporated into </w:t>
      </w:r>
      <w:r w:rsidRPr="009D7554">
        <w:rPr>
          <w:rFonts w:ascii="Book Antiqua" w:hAnsi="Book Antiqua"/>
          <w:lang w:val="en-US"/>
        </w:rPr>
        <w:t>daily clinical practice.</w:t>
      </w:r>
    </w:p>
    <w:p w:rsidR="00213273" w:rsidRPr="009D7554" w:rsidRDefault="00213273" w:rsidP="006A253E">
      <w:pPr>
        <w:snapToGrid w:val="0"/>
        <w:spacing w:line="360" w:lineRule="auto"/>
        <w:jc w:val="both"/>
        <w:rPr>
          <w:rFonts w:ascii="Book Antiqua" w:hAnsi="Book Antiqua"/>
          <w:lang w:val="en-US"/>
        </w:rPr>
      </w:pPr>
    </w:p>
    <w:p w:rsidR="00213273" w:rsidRPr="009D7554" w:rsidRDefault="00AB4FFB" w:rsidP="006A253E">
      <w:pPr>
        <w:snapToGrid w:val="0"/>
        <w:spacing w:line="360" w:lineRule="auto"/>
        <w:jc w:val="both"/>
        <w:rPr>
          <w:rFonts w:ascii="Book Antiqua" w:hAnsi="Book Antiqua"/>
          <w:lang w:val="en-US"/>
        </w:rPr>
      </w:pPr>
      <w:r w:rsidRPr="009D7554">
        <w:rPr>
          <w:rFonts w:ascii="Book Antiqua" w:hAnsi="Book Antiqua"/>
          <w:b/>
          <w:bCs/>
          <w:lang w:val="en-US"/>
        </w:rPr>
        <w:t>K</w:t>
      </w:r>
      <w:r w:rsidR="001016B1" w:rsidRPr="009D7554">
        <w:rPr>
          <w:rFonts w:ascii="Book Antiqua" w:hAnsi="Book Antiqua"/>
          <w:b/>
          <w:bCs/>
          <w:lang w:val="en-US"/>
        </w:rPr>
        <w:t>ey</w:t>
      </w:r>
      <w:r w:rsidRPr="009D7554">
        <w:rPr>
          <w:rFonts w:ascii="Book Antiqua" w:hAnsi="Book Antiqua"/>
          <w:b/>
          <w:bCs/>
          <w:lang w:val="en-US"/>
        </w:rPr>
        <w:t xml:space="preserve"> </w:t>
      </w:r>
      <w:r w:rsidR="001016B1" w:rsidRPr="009D7554">
        <w:rPr>
          <w:rFonts w:ascii="Book Antiqua" w:hAnsi="Book Antiqua"/>
          <w:b/>
          <w:bCs/>
          <w:lang w:val="en-US"/>
        </w:rPr>
        <w:t>words</w:t>
      </w:r>
      <w:r w:rsidR="00044F25" w:rsidRPr="009D7554">
        <w:rPr>
          <w:rFonts w:ascii="Book Antiqua" w:hAnsi="Book Antiqua"/>
          <w:bCs/>
          <w:lang w:val="en-US"/>
        </w:rPr>
        <w:t>: Colorectal cancer</w:t>
      </w:r>
      <w:r w:rsidR="001016B1" w:rsidRPr="009D7554">
        <w:rPr>
          <w:rFonts w:ascii="Book Antiqua" w:eastAsia="等线" w:hAnsi="Book Antiqua"/>
          <w:bCs/>
          <w:lang w:val="en-US" w:eastAsia="zh-CN"/>
        </w:rPr>
        <w:t xml:space="preserve">; </w:t>
      </w:r>
      <w:r w:rsidR="001016B1" w:rsidRPr="009D7554">
        <w:rPr>
          <w:rFonts w:ascii="Book Antiqua" w:hAnsi="Book Antiqua"/>
          <w:bCs/>
          <w:caps/>
          <w:lang w:val="en-US"/>
        </w:rPr>
        <w:t>c</w:t>
      </w:r>
      <w:r w:rsidR="001016B1" w:rsidRPr="009D7554">
        <w:rPr>
          <w:rFonts w:ascii="Book Antiqua" w:hAnsi="Book Antiqua"/>
          <w:bCs/>
          <w:lang w:val="en-US"/>
        </w:rPr>
        <w:t>omputed tomography;</w:t>
      </w:r>
      <w:r w:rsidR="00044F25" w:rsidRPr="009D7554">
        <w:rPr>
          <w:rFonts w:ascii="Book Antiqua" w:hAnsi="Book Antiqua"/>
          <w:bCs/>
          <w:lang w:val="en-US"/>
        </w:rPr>
        <w:t xml:space="preserve"> </w:t>
      </w:r>
      <w:r w:rsidR="001016B1" w:rsidRPr="009D7554">
        <w:rPr>
          <w:rFonts w:ascii="Book Antiqua" w:hAnsi="Book Antiqua"/>
          <w:caps/>
          <w:lang w:val="en-US"/>
        </w:rPr>
        <w:t>m</w:t>
      </w:r>
      <w:r w:rsidR="001016B1" w:rsidRPr="009D7554">
        <w:rPr>
          <w:rFonts w:ascii="Book Antiqua" w:hAnsi="Book Antiqua"/>
          <w:lang w:val="en-US"/>
        </w:rPr>
        <w:t>agnetic resonance imaging</w:t>
      </w:r>
      <w:r w:rsidR="001016B1" w:rsidRPr="009D7554">
        <w:rPr>
          <w:rFonts w:ascii="Book Antiqua" w:hAnsi="Book Antiqua"/>
          <w:bCs/>
          <w:lang w:val="en-US"/>
        </w:rPr>
        <w:t xml:space="preserve">; </w:t>
      </w:r>
      <w:r w:rsidR="001016B1" w:rsidRPr="009D7554">
        <w:rPr>
          <w:rFonts w:ascii="Book Antiqua" w:hAnsi="Book Antiqua"/>
          <w:bCs/>
          <w:caps/>
          <w:lang w:val="en-US"/>
        </w:rPr>
        <w:t>p</w:t>
      </w:r>
      <w:r w:rsidR="001016B1" w:rsidRPr="009D7554">
        <w:rPr>
          <w:rFonts w:ascii="Book Antiqua" w:hAnsi="Book Antiqua"/>
          <w:bCs/>
          <w:lang w:val="en-US"/>
        </w:rPr>
        <w:t>ositron emission tomography</w:t>
      </w:r>
      <w:r w:rsidR="001016B1" w:rsidRPr="009D7554">
        <w:rPr>
          <w:rFonts w:ascii="Book Antiqua" w:hAnsi="Book Antiqua"/>
          <w:lang w:val="en-US"/>
        </w:rPr>
        <w:t xml:space="preserve">; </w:t>
      </w:r>
      <w:r w:rsidR="00213273" w:rsidRPr="009D7554">
        <w:rPr>
          <w:rFonts w:ascii="Book Antiqua" w:hAnsi="Book Antiqua"/>
          <w:lang w:val="en-US"/>
        </w:rPr>
        <w:t>Parametric imaging</w:t>
      </w:r>
      <w:r w:rsidR="001016B1" w:rsidRPr="009D7554">
        <w:rPr>
          <w:rFonts w:ascii="Book Antiqua" w:hAnsi="Book Antiqua"/>
          <w:lang w:val="en-US"/>
        </w:rPr>
        <w:t>;</w:t>
      </w:r>
      <w:r w:rsidR="00213273" w:rsidRPr="009D7554">
        <w:rPr>
          <w:rFonts w:ascii="Book Antiqua" w:hAnsi="Book Antiqua"/>
          <w:lang w:val="en-US"/>
        </w:rPr>
        <w:t xml:space="preserve"> Perfusion imaging</w:t>
      </w:r>
      <w:r w:rsidR="001016B1" w:rsidRPr="009D7554">
        <w:rPr>
          <w:rFonts w:ascii="Book Antiqua" w:hAnsi="Book Antiqua"/>
          <w:lang w:val="en-US"/>
        </w:rPr>
        <w:t>;</w:t>
      </w:r>
      <w:r w:rsidR="00213273" w:rsidRPr="009D7554">
        <w:rPr>
          <w:rFonts w:ascii="Book Antiqua" w:hAnsi="Book Antiqua"/>
          <w:lang w:val="en-US"/>
        </w:rPr>
        <w:t xml:space="preserve"> Diffusion imaging</w:t>
      </w:r>
      <w:r w:rsidR="001016B1" w:rsidRPr="009D7554">
        <w:rPr>
          <w:rFonts w:ascii="Book Antiqua" w:hAnsi="Book Antiqua"/>
          <w:lang w:val="en-US"/>
        </w:rPr>
        <w:t xml:space="preserve">; </w:t>
      </w:r>
      <w:r w:rsidR="00213273" w:rsidRPr="009D7554">
        <w:rPr>
          <w:rFonts w:ascii="Book Antiqua" w:hAnsi="Book Antiqua"/>
          <w:lang w:val="en-US"/>
        </w:rPr>
        <w:t>Texture analysis</w:t>
      </w:r>
    </w:p>
    <w:p w:rsidR="00044F25" w:rsidRPr="009D7554" w:rsidRDefault="00044F25" w:rsidP="006A253E">
      <w:pPr>
        <w:snapToGrid w:val="0"/>
        <w:spacing w:line="360" w:lineRule="auto"/>
        <w:jc w:val="both"/>
        <w:rPr>
          <w:rFonts w:ascii="Book Antiqua" w:hAnsi="Book Antiqua"/>
          <w:lang w:val="en-US"/>
        </w:rPr>
      </w:pPr>
    </w:p>
    <w:p w:rsidR="00435D31" w:rsidRPr="009D7554" w:rsidRDefault="00435D31" w:rsidP="00435D31">
      <w:pPr>
        <w:adjustRightInd w:val="0"/>
        <w:snapToGrid w:val="0"/>
        <w:spacing w:line="360" w:lineRule="auto"/>
        <w:jc w:val="both"/>
        <w:rPr>
          <w:rFonts w:ascii="Book Antiqua" w:hAnsi="Book Antiqua"/>
        </w:rPr>
      </w:pPr>
      <w:bookmarkStart w:id="11" w:name="OLE_LINK363"/>
      <w:bookmarkStart w:id="12" w:name="OLE_LINK364"/>
      <w:bookmarkStart w:id="13" w:name="OLE_LINK359"/>
      <w:bookmarkStart w:id="14" w:name="OLE_LINK1037"/>
      <w:bookmarkStart w:id="15" w:name="OLE_LINK1195"/>
      <w:bookmarkStart w:id="16" w:name="OLE_LINK1140"/>
      <w:bookmarkStart w:id="17" w:name="OLE_LINK1062"/>
      <w:bookmarkStart w:id="18" w:name="OLE_LINK500"/>
      <w:bookmarkStart w:id="19" w:name="OLE_LINK916"/>
      <w:bookmarkStart w:id="20" w:name="OLE_LINK956"/>
      <w:bookmarkStart w:id="21" w:name="OLE_LINK994"/>
      <w:r w:rsidRPr="009D7554">
        <w:rPr>
          <w:rFonts w:ascii="Book Antiqua" w:hAnsi="Book Antiqua"/>
          <w:b/>
        </w:rPr>
        <w:lastRenderedPageBreak/>
        <w:t>© The Author(s) 201</w:t>
      </w:r>
      <w:r w:rsidRPr="009D7554">
        <w:rPr>
          <w:rFonts w:ascii="Book Antiqua" w:hAnsi="Book Antiqua" w:hint="eastAsia"/>
          <w:b/>
        </w:rPr>
        <w:t>9</w:t>
      </w:r>
      <w:r w:rsidRPr="009D7554">
        <w:rPr>
          <w:rFonts w:ascii="Book Antiqua" w:hAnsi="Book Antiqua"/>
          <w:b/>
        </w:rPr>
        <w:t>.</w:t>
      </w:r>
      <w:r w:rsidRPr="009D7554">
        <w:rPr>
          <w:rFonts w:ascii="Book Antiqua" w:hAnsi="Book Antiqua"/>
        </w:rPr>
        <w:t xml:space="preserve"> Published by Baishideng Publishing Group Inc. All rights reserved.</w:t>
      </w:r>
    </w:p>
    <w:bookmarkEnd w:id="11"/>
    <w:bookmarkEnd w:id="12"/>
    <w:bookmarkEnd w:id="13"/>
    <w:bookmarkEnd w:id="14"/>
    <w:bookmarkEnd w:id="15"/>
    <w:bookmarkEnd w:id="16"/>
    <w:bookmarkEnd w:id="17"/>
    <w:bookmarkEnd w:id="18"/>
    <w:bookmarkEnd w:id="19"/>
    <w:bookmarkEnd w:id="20"/>
    <w:bookmarkEnd w:id="21"/>
    <w:p w:rsidR="00435D31" w:rsidRPr="009D7554" w:rsidRDefault="00435D31" w:rsidP="006A253E">
      <w:pPr>
        <w:snapToGrid w:val="0"/>
        <w:spacing w:line="360" w:lineRule="auto"/>
        <w:jc w:val="both"/>
        <w:rPr>
          <w:rFonts w:ascii="Book Antiqua" w:hAnsi="Book Antiqua"/>
          <w:lang w:val="en-US"/>
        </w:rPr>
      </w:pPr>
    </w:p>
    <w:p w:rsidR="00213273" w:rsidRPr="009D7554" w:rsidRDefault="00AB4FFB" w:rsidP="006A253E">
      <w:pPr>
        <w:snapToGrid w:val="0"/>
        <w:spacing w:line="360" w:lineRule="auto"/>
        <w:jc w:val="both"/>
        <w:rPr>
          <w:rFonts w:ascii="Book Antiqua" w:hAnsi="Book Antiqua"/>
          <w:lang w:val="en-US"/>
        </w:rPr>
      </w:pPr>
      <w:r w:rsidRPr="009D7554">
        <w:rPr>
          <w:rFonts w:ascii="Book Antiqua" w:hAnsi="Book Antiqua"/>
          <w:b/>
          <w:bCs/>
          <w:lang w:val="en-US"/>
        </w:rPr>
        <w:t>C</w:t>
      </w:r>
      <w:r w:rsidR="002636DE" w:rsidRPr="009D7554">
        <w:rPr>
          <w:rFonts w:ascii="Book Antiqua" w:hAnsi="Book Antiqua"/>
          <w:b/>
          <w:bCs/>
          <w:lang w:val="en-US"/>
        </w:rPr>
        <w:t>ore tip:</w:t>
      </w:r>
      <w:r w:rsidRPr="009D7554">
        <w:rPr>
          <w:rFonts w:ascii="Book Antiqua" w:hAnsi="Book Antiqua"/>
          <w:b/>
          <w:bCs/>
          <w:lang w:val="en-US"/>
        </w:rPr>
        <w:t xml:space="preserve"> </w:t>
      </w:r>
      <w:r w:rsidR="00B6100F" w:rsidRPr="009D7554">
        <w:rPr>
          <w:rFonts w:ascii="Book Antiqua" w:hAnsi="Book Antiqua"/>
          <w:lang w:val="en-US"/>
        </w:rPr>
        <w:t xml:space="preserve">While encouraging </w:t>
      </w:r>
      <w:r w:rsidR="001F0F25" w:rsidRPr="009D7554">
        <w:rPr>
          <w:rFonts w:ascii="Book Antiqua" w:hAnsi="Book Antiqua"/>
          <w:lang w:val="en-US"/>
        </w:rPr>
        <w:t>progress has</w:t>
      </w:r>
      <w:r w:rsidR="00B6100F" w:rsidRPr="009D7554">
        <w:rPr>
          <w:rFonts w:ascii="Book Antiqua" w:hAnsi="Book Antiqua"/>
          <w:lang w:val="en-US"/>
        </w:rPr>
        <w:t xml:space="preserve"> been made in the management of colorectal cancer (CRC), it still remains among the malignancies with higher incidence and mortality. Tomographic imaging plays a crucial role </w:t>
      </w:r>
      <w:r w:rsidR="001F0F25" w:rsidRPr="009D7554">
        <w:rPr>
          <w:rFonts w:ascii="Book Antiqua" w:hAnsi="Book Antiqua"/>
          <w:lang w:val="en-US"/>
        </w:rPr>
        <w:t>in the</w:t>
      </w:r>
      <w:r w:rsidR="00B6100F" w:rsidRPr="009D7554">
        <w:rPr>
          <w:rFonts w:ascii="Book Antiqua" w:hAnsi="Book Antiqua"/>
          <w:lang w:val="en-US"/>
        </w:rPr>
        <w:t xml:space="preserve"> diagnosis, staging and evaluation of treatment response</w:t>
      </w:r>
      <w:r w:rsidR="00100BC4" w:rsidRPr="009D7554">
        <w:rPr>
          <w:rFonts w:ascii="Book Antiqua" w:hAnsi="Book Antiqua"/>
          <w:lang w:val="en-US"/>
        </w:rPr>
        <w:t>s</w:t>
      </w:r>
      <w:r w:rsidR="00B6100F" w:rsidRPr="009D7554">
        <w:rPr>
          <w:rFonts w:ascii="Book Antiqua" w:hAnsi="Book Antiqua"/>
          <w:lang w:val="en-US"/>
        </w:rPr>
        <w:t xml:space="preserve"> in CRC; however, it </w:t>
      </w:r>
      <w:r w:rsidR="00100BC4" w:rsidRPr="009D7554">
        <w:rPr>
          <w:rFonts w:ascii="Book Antiqua" w:hAnsi="Book Antiqua"/>
          <w:lang w:val="en-US"/>
        </w:rPr>
        <w:t xml:space="preserve">may also </w:t>
      </w:r>
      <w:r w:rsidR="00B6100F" w:rsidRPr="009D7554">
        <w:rPr>
          <w:rFonts w:ascii="Book Antiqua" w:hAnsi="Book Antiqua"/>
          <w:lang w:val="en-US"/>
        </w:rPr>
        <w:t xml:space="preserve">conceal </w:t>
      </w:r>
      <w:r w:rsidR="00100BC4" w:rsidRPr="009D7554">
        <w:rPr>
          <w:rFonts w:ascii="Book Antiqua" w:hAnsi="Book Antiqua"/>
          <w:lang w:val="en-US"/>
        </w:rPr>
        <w:t>critical information that could guide treatment decisions</w:t>
      </w:r>
      <w:r w:rsidR="00B6100F" w:rsidRPr="009D7554">
        <w:rPr>
          <w:rFonts w:ascii="Book Antiqua" w:hAnsi="Book Antiqua"/>
          <w:lang w:val="en-US"/>
        </w:rPr>
        <w:t xml:space="preserve">. The quantitative analysis of </w:t>
      </w:r>
      <w:r w:rsidR="00742910" w:rsidRPr="009D7554">
        <w:rPr>
          <w:rFonts w:ascii="Book Antiqua" w:hAnsi="Book Antiqua"/>
          <w:bCs/>
          <w:lang w:val="en-US"/>
        </w:rPr>
        <w:t>computed tomography (</w:t>
      </w:r>
      <w:r w:rsidR="00742910" w:rsidRPr="009D7554">
        <w:rPr>
          <w:rFonts w:ascii="Book Antiqua" w:hAnsi="Book Antiqua"/>
          <w:lang w:val="en-US"/>
        </w:rPr>
        <w:t>CT</w:t>
      </w:r>
      <w:r w:rsidR="00742910" w:rsidRPr="009D7554">
        <w:rPr>
          <w:rFonts w:ascii="Book Antiqua" w:hAnsi="Book Antiqua"/>
          <w:bCs/>
          <w:lang w:val="en-US"/>
        </w:rPr>
        <w:t>)</w:t>
      </w:r>
      <w:r w:rsidR="00B6100F" w:rsidRPr="009D7554">
        <w:rPr>
          <w:rFonts w:ascii="Book Antiqua" w:hAnsi="Book Antiqua"/>
          <w:lang w:val="en-US"/>
        </w:rPr>
        <w:t xml:space="preserve">, </w:t>
      </w:r>
      <w:r w:rsidR="00742910" w:rsidRPr="009D7554">
        <w:rPr>
          <w:rFonts w:ascii="Book Antiqua" w:hAnsi="Book Antiqua"/>
          <w:lang w:val="en-US"/>
        </w:rPr>
        <w:t xml:space="preserve">magnetic resonance imaging </w:t>
      </w:r>
      <w:r w:rsidR="00B6100F" w:rsidRPr="009D7554">
        <w:rPr>
          <w:rFonts w:ascii="Book Antiqua" w:hAnsi="Book Antiqua"/>
          <w:lang w:val="en-US"/>
        </w:rPr>
        <w:t xml:space="preserve">and </w:t>
      </w:r>
      <w:r w:rsidR="00742910" w:rsidRPr="009D7554">
        <w:rPr>
          <w:rFonts w:ascii="Book Antiqua" w:hAnsi="Book Antiqua"/>
          <w:lang w:val="en-US"/>
        </w:rPr>
        <w:t>positron emission tomography</w:t>
      </w:r>
      <w:r w:rsidR="00B6100F" w:rsidRPr="009D7554">
        <w:rPr>
          <w:rFonts w:ascii="Book Antiqua" w:hAnsi="Book Antiqua"/>
          <w:lang w:val="en-US"/>
        </w:rPr>
        <w:t>/CT images could unveil novel promising biomarkers in</w:t>
      </w:r>
      <w:r w:rsidR="001F0F25" w:rsidRPr="009D7554">
        <w:rPr>
          <w:rFonts w:ascii="Book Antiqua" w:hAnsi="Book Antiqua"/>
          <w:lang w:val="en-US"/>
        </w:rPr>
        <w:t xml:space="preserve"> the</w:t>
      </w:r>
      <w:r w:rsidR="00B6100F" w:rsidRPr="009D7554">
        <w:rPr>
          <w:rFonts w:ascii="Book Antiqua" w:hAnsi="Book Antiqua"/>
          <w:lang w:val="en-US"/>
        </w:rPr>
        <w:t xml:space="preserve"> form of numerical parameters. These parameters, if validated in </w:t>
      </w:r>
      <w:r w:rsidR="00100BC4" w:rsidRPr="009D7554">
        <w:rPr>
          <w:rFonts w:ascii="Book Antiqua" w:hAnsi="Book Antiqua"/>
          <w:lang w:val="en-US"/>
        </w:rPr>
        <w:t xml:space="preserve">terms of </w:t>
      </w:r>
      <w:r w:rsidR="00B6100F" w:rsidRPr="009D7554">
        <w:rPr>
          <w:rFonts w:ascii="Book Antiqua" w:hAnsi="Book Antiqua"/>
          <w:lang w:val="en-US"/>
        </w:rPr>
        <w:t xml:space="preserve">their clinical significance, </w:t>
      </w:r>
      <w:r w:rsidR="00100BC4" w:rsidRPr="009D7554">
        <w:rPr>
          <w:rFonts w:ascii="Book Antiqua" w:hAnsi="Book Antiqua"/>
          <w:lang w:val="en-US"/>
        </w:rPr>
        <w:t xml:space="preserve">may </w:t>
      </w:r>
      <w:r w:rsidR="00B6100F" w:rsidRPr="009D7554">
        <w:rPr>
          <w:rFonts w:ascii="Book Antiqua" w:hAnsi="Book Antiqua"/>
          <w:lang w:val="en-US"/>
        </w:rPr>
        <w:t xml:space="preserve">contribute to </w:t>
      </w:r>
      <w:r w:rsidR="001F0F25" w:rsidRPr="009D7554">
        <w:rPr>
          <w:rFonts w:ascii="Book Antiqua" w:hAnsi="Book Antiqua"/>
          <w:lang w:val="en-US"/>
        </w:rPr>
        <w:t>redefining</w:t>
      </w:r>
      <w:r w:rsidR="00B6100F" w:rsidRPr="009D7554">
        <w:rPr>
          <w:rFonts w:ascii="Book Antiqua" w:hAnsi="Book Antiqua"/>
          <w:lang w:val="en-US"/>
        </w:rPr>
        <w:t xml:space="preserve"> the role of diagnostic imaging and </w:t>
      </w:r>
      <w:r w:rsidR="001F0F25" w:rsidRPr="009D7554">
        <w:rPr>
          <w:rFonts w:ascii="Book Antiqua" w:hAnsi="Book Antiqua"/>
          <w:lang w:val="en-US"/>
        </w:rPr>
        <w:t>improving</w:t>
      </w:r>
      <w:r w:rsidR="00B6100F" w:rsidRPr="009D7554">
        <w:rPr>
          <w:rFonts w:ascii="Book Antiqua" w:hAnsi="Book Antiqua"/>
          <w:lang w:val="en-US"/>
        </w:rPr>
        <w:t xml:space="preserve"> </w:t>
      </w:r>
      <w:r w:rsidR="002636DE" w:rsidRPr="009D7554">
        <w:rPr>
          <w:rFonts w:ascii="Book Antiqua" w:hAnsi="Book Antiqua"/>
          <w:lang w:val="en-US"/>
        </w:rPr>
        <w:t>CRC</w:t>
      </w:r>
      <w:r w:rsidR="00E439C5" w:rsidRPr="009D7554">
        <w:rPr>
          <w:rFonts w:ascii="Book Antiqua" w:hAnsi="Book Antiqua"/>
          <w:lang w:val="en-US"/>
        </w:rPr>
        <w:t xml:space="preserve"> </w:t>
      </w:r>
      <w:r w:rsidR="00B6100F" w:rsidRPr="009D7554">
        <w:rPr>
          <w:rFonts w:ascii="Book Antiqua" w:hAnsi="Book Antiqua"/>
          <w:lang w:val="en-US"/>
        </w:rPr>
        <w:t>management.</w:t>
      </w:r>
    </w:p>
    <w:p w:rsidR="00E968A5" w:rsidRPr="009D7554" w:rsidRDefault="00E968A5" w:rsidP="00E968A5">
      <w:pPr>
        <w:snapToGrid w:val="0"/>
        <w:spacing w:line="360" w:lineRule="auto"/>
        <w:jc w:val="both"/>
        <w:rPr>
          <w:rFonts w:ascii="Book Antiqua" w:hAnsi="Book Antiqua"/>
          <w:b/>
          <w:lang w:val="en-US"/>
        </w:rPr>
      </w:pPr>
    </w:p>
    <w:p w:rsidR="009D7554" w:rsidRPr="009D7554" w:rsidRDefault="009D7554" w:rsidP="009D7554">
      <w:pPr>
        <w:snapToGrid w:val="0"/>
        <w:spacing w:line="360" w:lineRule="auto"/>
        <w:rPr>
          <w:rFonts w:ascii="Book Antiqua" w:hAnsi="Book Antiqua"/>
          <w:bCs/>
        </w:rPr>
      </w:pPr>
      <w:r w:rsidRPr="009D7554">
        <w:rPr>
          <w:rFonts w:ascii="Book Antiqua" w:hAnsi="Book Antiqua"/>
          <w:b/>
        </w:rPr>
        <w:t>Citation:</w:t>
      </w:r>
      <w:r w:rsidRPr="009D7554">
        <w:rPr>
          <w:rFonts w:ascii="Book Antiqua" w:hAnsi="Book Antiqua"/>
        </w:rPr>
        <w:t xml:space="preserve"> Mainenti PP, Stanzione A, Guarino S, Romeo V, Ugga L, Romano F, Storto G, Maurea S, Brunetti A. </w:t>
      </w:r>
      <w:r w:rsidRPr="009D7554">
        <w:rPr>
          <w:rFonts w:ascii="Book Antiqua" w:hAnsi="Book Antiqua"/>
          <w:bCs/>
        </w:rPr>
        <w:t xml:space="preserve">Colorectal cancer: parametric evaluation of morphological, functional and molecular tomographic imaging. </w:t>
      </w:r>
      <w:bookmarkStart w:id="22" w:name="OLE_LINK1105"/>
      <w:bookmarkStart w:id="23" w:name="OLE_LINK1107"/>
      <w:r w:rsidRPr="009D7554">
        <w:rPr>
          <w:rFonts w:ascii="Book Antiqua" w:hAnsi="Book Antiqua"/>
          <w:bCs/>
          <w:i/>
        </w:rPr>
        <w:t xml:space="preserve">World J Gastroenterol </w:t>
      </w:r>
      <w:r w:rsidRPr="009D7554">
        <w:rPr>
          <w:rFonts w:ascii="Book Antiqua" w:hAnsi="Book Antiqua"/>
          <w:bCs/>
        </w:rPr>
        <w:t>201</w:t>
      </w:r>
      <w:r w:rsidRPr="009D7554">
        <w:rPr>
          <w:rFonts w:ascii="Book Antiqua" w:hAnsi="Book Antiqua" w:hint="eastAsia"/>
          <w:bCs/>
        </w:rPr>
        <w:t>9</w:t>
      </w:r>
      <w:r w:rsidRPr="009D7554">
        <w:rPr>
          <w:rFonts w:ascii="Book Antiqua" w:hAnsi="Book Antiqua"/>
          <w:bCs/>
        </w:rPr>
        <w:t>;</w:t>
      </w:r>
      <w:bookmarkEnd w:id="22"/>
      <w:bookmarkEnd w:id="23"/>
      <w:r w:rsidRPr="009D7554">
        <w:t xml:space="preserve"> </w:t>
      </w:r>
      <w:r w:rsidRPr="009D7554">
        <w:rPr>
          <w:rFonts w:ascii="Book Antiqua" w:hAnsi="Book Antiqua"/>
          <w:bCs/>
        </w:rPr>
        <w:t xml:space="preserve">25(35): 5233-5256  </w:t>
      </w:r>
    </w:p>
    <w:p w:rsidR="009D7554" w:rsidRPr="009D7554" w:rsidRDefault="009D7554" w:rsidP="009D7554">
      <w:pPr>
        <w:snapToGrid w:val="0"/>
        <w:spacing w:line="360" w:lineRule="auto"/>
        <w:rPr>
          <w:rFonts w:ascii="Book Antiqua" w:hAnsi="Book Antiqua"/>
          <w:bCs/>
        </w:rPr>
      </w:pPr>
      <w:r w:rsidRPr="009D7554">
        <w:rPr>
          <w:rFonts w:ascii="Book Antiqua" w:hAnsi="Book Antiqua"/>
          <w:b/>
          <w:bCs/>
        </w:rPr>
        <w:t>URL:</w:t>
      </w:r>
      <w:r w:rsidRPr="009D7554">
        <w:rPr>
          <w:rFonts w:ascii="Book Antiqua" w:hAnsi="Book Antiqua"/>
          <w:bCs/>
        </w:rPr>
        <w:t xml:space="preserve"> https://www.wjgnet.com/1007-9327/full/v25/i35/5233.htm  </w:t>
      </w:r>
    </w:p>
    <w:p w:rsidR="009D7554" w:rsidRPr="009D7554" w:rsidRDefault="009D7554" w:rsidP="009D7554">
      <w:pPr>
        <w:snapToGrid w:val="0"/>
        <w:spacing w:line="360" w:lineRule="auto"/>
        <w:rPr>
          <w:rFonts w:ascii="Book Antiqua" w:hAnsi="Book Antiqua"/>
          <w:b/>
        </w:rPr>
      </w:pPr>
      <w:r w:rsidRPr="009D7554">
        <w:rPr>
          <w:rFonts w:ascii="Book Antiqua" w:hAnsi="Book Antiqua"/>
          <w:b/>
          <w:bCs/>
        </w:rPr>
        <w:t>DOI:</w:t>
      </w:r>
      <w:r w:rsidRPr="009D7554">
        <w:rPr>
          <w:rFonts w:ascii="Book Antiqua" w:hAnsi="Book Antiqua"/>
          <w:bCs/>
        </w:rPr>
        <w:t xml:space="preserve"> https://dx.doi.org/10.3748/wjg.v25.i35.5233</w:t>
      </w:r>
    </w:p>
    <w:p w:rsidR="009515E9" w:rsidRPr="009D7554" w:rsidRDefault="001C2FFB" w:rsidP="006A253E">
      <w:pPr>
        <w:snapToGrid w:val="0"/>
        <w:spacing w:line="360" w:lineRule="auto"/>
        <w:jc w:val="both"/>
        <w:rPr>
          <w:rFonts w:ascii="Book Antiqua" w:hAnsi="Book Antiqua"/>
          <w:b/>
          <w:lang w:val="en-US"/>
        </w:rPr>
      </w:pPr>
      <w:r w:rsidRPr="009D7554">
        <w:rPr>
          <w:rFonts w:ascii="Book Antiqua" w:hAnsi="Book Antiqua"/>
          <w:lang w:val="en-US"/>
        </w:rPr>
        <w:br w:type="page"/>
      </w:r>
      <w:r w:rsidR="009515E9" w:rsidRPr="009D7554">
        <w:rPr>
          <w:rFonts w:ascii="Book Antiqua" w:hAnsi="Book Antiqua"/>
          <w:b/>
          <w:lang w:val="en-US"/>
        </w:rPr>
        <w:lastRenderedPageBreak/>
        <w:t>INTRODUCTION</w:t>
      </w:r>
    </w:p>
    <w:p w:rsidR="009515E9" w:rsidRPr="009D7554" w:rsidRDefault="009515E9" w:rsidP="006A253E">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lang w:val="en-US"/>
        </w:rPr>
        <w:t xml:space="preserve">Colorectal cancer (CRC) is one of the malignancies with the highest incidence in </w:t>
      </w:r>
      <w:r w:rsidR="00100BC4" w:rsidRPr="009D7554">
        <w:rPr>
          <w:rFonts w:ascii="Book Antiqua" w:hAnsi="Book Antiqua"/>
          <w:lang w:val="en-US"/>
        </w:rPr>
        <w:t xml:space="preserve">Western </w:t>
      </w:r>
      <w:r w:rsidRPr="009D7554">
        <w:rPr>
          <w:rFonts w:ascii="Book Antiqua" w:hAnsi="Book Antiqua"/>
          <w:lang w:val="en-US"/>
        </w:rPr>
        <w:t>countries</w:t>
      </w:r>
      <w:r w:rsidR="00100BC4" w:rsidRPr="009D7554">
        <w:rPr>
          <w:rFonts w:ascii="Book Antiqua" w:hAnsi="Book Antiqua"/>
          <w:lang w:val="en-US"/>
        </w:rPr>
        <w:t xml:space="preserve"> and</w:t>
      </w:r>
      <w:r w:rsidRPr="009D7554">
        <w:rPr>
          <w:rFonts w:ascii="Book Antiqua" w:hAnsi="Book Antiqua"/>
          <w:lang w:val="en-US"/>
        </w:rPr>
        <w:t xml:space="preserve"> </w:t>
      </w:r>
      <w:r w:rsidR="00100BC4" w:rsidRPr="009D7554">
        <w:rPr>
          <w:rFonts w:ascii="Book Antiqua" w:hAnsi="Book Antiqua"/>
          <w:lang w:val="en-US"/>
        </w:rPr>
        <w:t xml:space="preserve">is </w:t>
      </w:r>
      <w:r w:rsidRPr="009D7554">
        <w:rPr>
          <w:rFonts w:ascii="Book Antiqua" w:hAnsi="Book Antiqua"/>
          <w:lang w:val="en-US"/>
        </w:rPr>
        <w:t>the third most common cancer in both men and women</w:t>
      </w:r>
      <w:r w:rsidR="00A75298" w:rsidRPr="009D7554">
        <w:rPr>
          <w:rFonts w:ascii="Book Antiqua" w:hAnsi="Book Antiqua"/>
          <w:lang w:val="en-US"/>
        </w:rPr>
        <w:fldChar w:fldCharType="begin" w:fldLock="1"/>
      </w:r>
      <w:r w:rsidR="00EA621A" w:rsidRPr="009D7554">
        <w:rPr>
          <w:rFonts w:ascii="Book Antiqua" w:hAnsi="Book Antiqua"/>
          <w:lang w:val="en-US"/>
        </w:rPr>
        <w:instrText>ADDIN CSL_CITATION {"citationItems":[{"id":"ITEM-1","itemData":{"DOI":"10.3322/caac.21551","ISSN":"00079235","PMID":"30620402","abstract":"Each year, the American Cancer Society estimates the numbers of new cancer cases and deaths that will occur in the United States and compiles the most recent data on cancer incidence, mortality, and survival. Incidence data, available through 2015, were collected by the Surveillance, Epidemiology, and End Results Program; the National Program of Cancer Registries; and the North American Association of Central Cancer Registries. Mortality data, available through 2016, were collected by the National Center for Health Statistics. In 2019, 1,762,450 new cancer cases and 606,880 cancer deaths are projected to occur in the United States. Over the past decade of data, the cancer incidence rate (2006-2015) was stable in women and declined by approximately 2% per year in men, whereas the cancer death rate (2007-2016) declined annually by 1.4% and 1.8%, respectively. The overall cancer death rate dropped continuously from 1991 to 2016 by a total of 27%, translating into approximately 2,629,200 fewer cancer deaths than would have been expected if death rates had remained at their peak. Although the racial gap in cancer mortality is slowly narrowing, socioeconomic inequalities are widening, with the most notable gaps for the most preventable cancers. For example, compared with the most affluent counties, mortality rates in the poorest counties were 2-fold higher for cervical cancer and 40% higher for male lung and liver cancers during 2012-2016. Some states are home to both the wealthiest and the poorest counties, suggesting the opportunity for more equitable dissemination of effective cancer prevention, early detection, and treatment strategies. A broader application of existing cancer control knowledge with an emphasis on disadvantaged groups would undoubtedly accelerate progress against cancer.","author":[{"dropping-particle":"","family":"Siegel","given":"Rebecca L","non-dropping-particle":"","parse-names":false,"suffix":""},{"dropping-particle":"","family":"Miller","given":"Kimberly D","non-dropping-particle":"","parse-names":false,"suffix":""},{"dropping-particle":"","family":"Jemal","given":"Ahmedin","non-dropping-particle":"","parse-names":false,"suffix":""}],"container-title":"CA: A Cancer Journal for Clinicians","id":"ITEM-1","issue":"1","issued":{"date-parts":[["2019","1"]]},"page":"7-34","title":"Cancer statistics, 2019","type":"article-journal","volume":"69"},"uris":["http://www.mendeley.com/documents/?uuid=57bc0bfc-1d98-4e60-8aba-6656a34ff567"]}],"mendeley":{"formattedCitation":"&lt;sup&gt;[1]&lt;/sup&gt;","plainTextFormattedCitation":"[1]","previouslyFormattedCitation":"&lt;sup&gt;[1]&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[1]</w:t>
      </w:r>
      <w:r w:rsidR="00A75298" w:rsidRPr="009D7554">
        <w:rPr>
          <w:rFonts w:ascii="Book Antiqua" w:hAnsi="Book Antiqua"/>
          <w:lang w:val="en-US"/>
        </w:rPr>
        <w:fldChar w:fldCharType="end"/>
      </w:r>
      <w:r w:rsidRPr="009D7554">
        <w:rPr>
          <w:rFonts w:ascii="Book Antiqua" w:hAnsi="Book Antiqua"/>
          <w:lang w:val="en-US"/>
        </w:rPr>
        <w:t xml:space="preserve">. The TNM staging classification of CRC, based on </w:t>
      </w:r>
      <w:r w:rsidR="0096089A" w:rsidRPr="009D7554">
        <w:rPr>
          <w:rFonts w:ascii="Book Antiqua" w:hAnsi="Book Antiqua"/>
          <w:lang w:val="en-US"/>
        </w:rPr>
        <w:t xml:space="preserve">the </w:t>
      </w:r>
      <w:r w:rsidRPr="009D7554">
        <w:rPr>
          <w:rFonts w:ascii="Book Antiqua" w:hAnsi="Book Antiqua"/>
          <w:lang w:val="en-US"/>
        </w:rPr>
        <w:t xml:space="preserve">depth of tumor invasion (T), lymph node involvement (N) and metastatic spread (M), </w:t>
      </w:r>
      <w:r w:rsidR="0096089A" w:rsidRPr="009D7554">
        <w:rPr>
          <w:rFonts w:ascii="Book Antiqua" w:hAnsi="Book Antiqua"/>
          <w:lang w:val="en-US"/>
        </w:rPr>
        <w:t xml:space="preserve">is </w:t>
      </w:r>
      <w:r w:rsidRPr="009D7554">
        <w:rPr>
          <w:rFonts w:ascii="Book Antiqua" w:hAnsi="Book Antiqua"/>
          <w:lang w:val="en-US"/>
        </w:rPr>
        <w:t xml:space="preserve">strongly </w:t>
      </w:r>
      <w:r w:rsidR="0096089A" w:rsidRPr="009D7554">
        <w:rPr>
          <w:rFonts w:ascii="Book Antiqua" w:hAnsi="Book Antiqua"/>
          <w:lang w:val="en-US"/>
        </w:rPr>
        <w:t xml:space="preserve">associated with </w:t>
      </w:r>
      <w:r w:rsidRPr="009D7554">
        <w:rPr>
          <w:rFonts w:ascii="Book Antiqua" w:hAnsi="Book Antiqua"/>
          <w:lang w:val="en-US"/>
        </w:rPr>
        <w:t>the 5-</w:t>
      </w:r>
      <w:r w:rsidR="001F0F25" w:rsidRPr="009D7554">
        <w:rPr>
          <w:rFonts w:ascii="Book Antiqua" w:hAnsi="Book Antiqua"/>
          <w:lang w:val="en-US"/>
        </w:rPr>
        <w:t>year</w:t>
      </w:r>
      <w:r w:rsidRPr="009D7554">
        <w:rPr>
          <w:rFonts w:ascii="Book Antiqua" w:hAnsi="Book Antiqua"/>
          <w:lang w:val="en-US"/>
        </w:rPr>
        <w:t xml:space="preserve"> survival rate</w:t>
      </w:r>
      <w:r w:rsidR="00A75298" w:rsidRPr="009D7554">
        <w:rPr>
          <w:rFonts w:ascii="Book Antiqua" w:hAnsi="Book Antiqua"/>
          <w:lang w:val="en-US"/>
        </w:rPr>
        <w:fldChar w:fldCharType="begin" w:fldLock="1"/>
      </w:r>
      <w:r w:rsidR="00EA621A" w:rsidRPr="009D7554">
        <w:rPr>
          <w:rFonts w:ascii="Book Antiqua" w:hAnsi="Book Antiqua"/>
          <w:lang w:val="en-US"/>
        </w:rPr>
        <w:instrText>ADDIN CSL_CITATION {"citationItems":[{"id":"ITEM-1","itemData":{"DOI":"10.3748/wjg.v19.i17.2650","ISSN":"1007-9327","PMID":"23674872","abstract":"AIM: To develop a prognostic model to predict survival of patients with colorectal cancer (CRC).\\n\\nMETHODS: Survival data of 837 CRC patients undergoing surgery between 1996 and 2006 were collected and analyzed by univariate analysis and Cox proportional hazard regression model to reveal the prognostic factors for CRC. All data were recorded using a standard data form and analyzed using SPSS version 18.0 (SPSS, Chicago, IL, United States). Survival curves were calculated by the Kaplan-Meier method. The log rank test was used to assess differences in survival. Univariate hazard ratios and significant and independent predictors of disease-specific survival and were identified by Cox proportional hazard analysis. The stepwise procedure was set to a threshold of 0.05. Statistical significance was defined as P &lt; 0.05.\\n\\nRESULTS: The survival rate was 74% at 3 years and 68% at 5 years. The results of univariate analysis suggested age, preoperative obstruction, serum carcinoembryonic antigen level at diagnosis, status of resection, tumor size, histological grade, pathological type, lymphovascular invasion, invasion of adjacent organs, and tumor node metastasis (TNM) staging were positive prognostic factors (P &lt; 0.05). Lymph node ratio (LNR) was also a strong prognostic factor in stage III CRC (P &lt; 0.0001). We divided 341 stage III patients into three groups according to LNR values (LNR1, LNR ≤ 0.33, n = 211; LNR2, LNR 0.34-0.66, n = 76; and LNR3, LNR ≥ 0.67, n = 54). Univariate analysis showed a significant statistical difference in 3-year survival among these groups: LNR1, 73%; LNR2, 55%; and LNR3, 42% (P &lt; 0.0001). The multivariate analysis results showed that histological grade, depth of bowel wall invasion, and number of metastatic lymph nodes were the most important prognostic factors for CRC if we did not consider the interaction of the TNM staging system (P &lt; 0.05). When the TNM staging was taken into account, histological grade lost its statistical significance, while the specific TNM staging system showed a statistically significant difference (P &lt; 0.0001).\\n\\nCONCLUSION: The overall survival of CRC patients has improved between 1996 and 2006. LNR is a powerful factor for estimating the survival of stage III CRC patients.","author":[{"dropping-particle":"","family":"Yuan","given":"Ying","non-dropping-particle":"","parse-names":false,"suffix":""}],"container-title":"World Journal of Gastroenterology","id":"ITEM-1","issue":"17","issued":{"date-parts":[["2013"]]},"page":"2650","title":"Prognostic and survival analysis of 837 Chinese colorectal cancer patients","type":"article-journal","volume":"19"},"uris":["http://www.mendeley.com/documents/?uuid=10a92df5-8498-426f-bc4a-a5cf6bdcdbfe"]}],"mendeley":{"formattedCitation":"&lt;sup&gt;[2]&lt;/sup&gt;","plainTextFormattedCitation":"[2]","previouslyFormattedCitation":"&lt;sup&gt;[2]&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[2]</w:t>
      </w:r>
      <w:r w:rsidR="00A75298" w:rsidRPr="009D7554">
        <w:rPr>
          <w:rFonts w:ascii="Book Antiqua" w:hAnsi="Book Antiqua"/>
          <w:lang w:val="en-US"/>
        </w:rPr>
        <w:fldChar w:fldCharType="end"/>
      </w:r>
      <w:r w:rsidR="001B4602" w:rsidRPr="009D7554">
        <w:rPr>
          <w:rFonts w:ascii="Book Antiqua" w:hAnsi="Book Antiqua"/>
          <w:lang w:val="en-US"/>
        </w:rPr>
        <w:t xml:space="preserve">. Therefore, </w:t>
      </w:r>
      <w:r w:rsidR="001F0F25" w:rsidRPr="009D7554">
        <w:rPr>
          <w:rFonts w:ascii="Book Antiqua" w:hAnsi="Book Antiqua"/>
          <w:lang w:val="en-US"/>
        </w:rPr>
        <w:t>the</w:t>
      </w:r>
      <w:r w:rsidR="001B4602" w:rsidRPr="009D7554">
        <w:rPr>
          <w:rFonts w:ascii="Book Antiqua" w:hAnsi="Book Antiqua"/>
          <w:lang w:val="en-US"/>
        </w:rPr>
        <w:t xml:space="preserve"> timely identification of CRC represents a</w:t>
      </w:r>
      <w:r w:rsidR="002E27FA" w:rsidRPr="009D7554">
        <w:rPr>
          <w:rFonts w:ascii="Book Antiqua" w:hAnsi="Book Antiqua"/>
          <w:lang w:val="en-US"/>
        </w:rPr>
        <w:t xml:space="preserve"> </w:t>
      </w:r>
      <w:r w:rsidR="0096089A" w:rsidRPr="009D7554">
        <w:rPr>
          <w:rFonts w:ascii="Book Antiqua" w:hAnsi="Book Antiqua"/>
          <w:lang w:val="en-US"/>
        </w:rPr>
        <w:t>critical</w:t>
      </w:r>
      <w:r w:rsidR="001B4602" w:rsidRPr="009D7554">
        <w:rPr>
          <w:rFonts w:ascii="Book Antiqua" w:hAnsi="Book Antiqua"/>
          <w:lang w:val="en-US"/>
        </w:rPr>
        <w:t xml:space="preserve"> </w:t>
      </w:r>
      <w:r w:rsidR="0096089A" w:rsidRPr="009D7554">
        <w:rPr>
          <w:rFonts w:ascii="Book Antiqua" w:hAnsi="Book Antiqua"/>
          <w:lang w:val="en-US"/>
        </w:rPr>
        <w:t>step</w:t>
      </w:r>
      <w:r w:rsidR="001B4602" w:rsidRPr="009D7554">
        <w:rPr>
          <w:rFonts w:ascii="Book Antiqua" w:hAnsi="Book Antiqua"/>
          <w:lang w:val="en-US"/>
        </w:rPr>
        <w:t xml:space="preserve"> to prevent the growth of invasive neoplasms. Similarly, accurate preoperative staging is necessary to differentiate CRCs with a good prognosis from those with </w:t>
      </w:r>
      <w:r w:rsidR="001F0F25" w:rsidRPr="009D7554">
        <w:rPr>
          <w:rFonts w:ascii="Book Antiqua" w:hAnsi="Book Antiqua"/>
          <w:lang w:val="en-US"/>
        </w:rPr>
        <w:t xml:space="preserve">a </w:t>
      </w:r>
      <w:r w:rsidR="001B4602" w:rsidRPr="009D7554">
        <w:rPr>
          <w:rFonts w:ascii="Book Antiqua" w:hAnsi="Book Antiqua"/>
          <w:lang w:val="en-US"/>
        </w:rPr>
        <w:t xml:space="preserve">poor prognosis to select the </w:t>
      </w:r>
      <w:r w:rsidR="0096089A" w:rsidRPr="009D7554">
        <w:rPr>
          <w:rFonts w:ascii="Book Antiqua" w:hAnsi="Book Antiqua"/>
          <w:lang w:val="en-US"/>
        </w:rPr>
        <w:t xml:space="preserve">most </w:t>
      </w:r>
      <w:r w:rsidR="001B4602" w:rsidRPr="009D7554">
        <w:rPr>
          <w:rFonts w:ascii="Book Antiqua" w:hAnsi="Book Antiqua"/>
          <w:lang w:val="en-US"/>
        </w:rPr>
        <w:t xml:space="preserve">appropriate treatment and </w:t>
      </w:r>
      <w:r w:rsidR="0096089A" w:rsidRPr="009D7554">
        <w:rPr>
          <w:rFonts w:ascii="Book Antiqua" w:hAnsi="Book Antiqua"/>
          <w:lang w:val="en-US"/>
        </w:rPr>
        <w:t xml:space="preserve">to </w:t>
      </w:r>
      <w:r w:rsidR="001B4602" w:rsidRPr="009D7554">
        <w:rPr>
          <w:rFonts w:ascii="Book Antiqua" w:hAnsi="Book Antiqua"/>
          <w:lang w:val="en-US"/>
        </w:rPr>
        <w:t>optimize outcomes.</w:t>
      </w:r>
    </w:p>
    <w:p w:rsidR="009258D7" w:rsidRPr="009D7554" w:rsidRDefault="009258D7" w:rsidP="001016B1">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 xml:space="preserve">Currently, various imaging modalities are recommended for the clinical evaluation of patients affected by CRC </w:t>
      </w:r>
      <w:r w:rsidR="0096089A" w:rsidRPr="009D7554">
        <w:rPr>
          <w:rFonts w:ascii="Book Antiqua" w:hAnsi="Book Antiqua"/>
          <w:lang w:val="en-US"/>
        </w:rPr>
        <w:t>for</w:t>
      </w:r>
      <w:r w:rsidRPr="009D7554">
        <w:rPr>
          <w:rFonts w:ascii="Book Antiqua" w:hAnsi="Book Antiqua"/>
          <w:lang w:val="en-US"/>
        </w:rPr>
        <w:t xml:space="preserve"> diagnosis, characterization (differentiation between mucinous and </w:t>
      </w:r>
      <w:r w:rsidR="009A70D4" w:rsidRPr="009D7554">
        <w:rPr>
          <w:rFonts w:ascii="Book Antiqua" w:hAnsi="Book Antiqua"/>
          <w:lang w:val="en-US"/>
        </w:rPr>
        <w:t>nonm</w:t>
      </w:r>
      <w:r w:rsidRPr="009D7554">
        <w:rPr>
          <w:rFonts w:ascii="Book Antiqua" w:hAnsi="Book Antiqua"/>
          <w:lang w:val="en-US"/>
        </w:rPr>
        <w:t xml:space="preserve">ucinous tumors), staging (depth of tumor spread, extramural vascular invasion, </w:t>
      </w:r>
      <w:r w:rsidR="0096089A" w:rsidRPr="009D7554">
        <w:rPr>
          <w:rFonts w:ascii="Book Antiqua" w:hAnsi="Book Antiqua"/>
          <w:lang w:val="en-US"/>
        </w:rPr>
        <w:t xml:space="preserve">and the </w:t>
      </w:r>
      <w:r w:rsidRPr="009D7554">
        <w:rPr>
          <w:rFonts w:ascii="Book Antiqua" w:hAnsi="Book Antiqua"/>
          <w:lang w:val="en-US"/>
        </w:rPr>
        <w:t>presence of malignant lymph nodes</w:t>
      </w:r>
      <w:r w:rsidR="0096089A" w:rsidRPr="009D7554">
        <w:rPr>
          <w:rFonts w:ascii="Book Antiqua" w:hAnsi="Book Antiqua"/>
          <w:lang w:val="en-US"/>
        </w:rPr>
        <w:t xml:space="preserve"> and</w:t>
      </w:r>
      <w:r w:rsidRPr="009D7554">
        <w:rPr>
          <w:rFonts w:ascii="Book Antiqua" w:hAnsi="Book Antiqua"/>
          <w:lang w:val="en-US"/>
        </w:rPr>
        <w:t xml:space="preserve"> distant metastasis), surgical planning (circumferential resection margin and sphincteric involvement in rectal cancer), </w:t>
      </w:r>
      <w:r w:rsidR="0096089A" w:rsidRPr="009D7554">
        <w:rPr>
          <w:rFonts w:ascii="Book Antiqua" w:hAnsi="Book Antiqua"/>
          <w:lang w:val="en-US"/>
        </w:rPr>
        <w:t xml:space="preserve">the </w:t>
      </w:r>
      <w:r w:rsidRPr="009D7554">
        <w:rPr>
          <w:rFonts w:ascii="Book Antiqua" w:hAnsi="Book Antiqua"/>
          <w:lang w:val="en-US"/>
        </w:rPr>
        <w:t xml:space="preserve">assessment of </w:t>
      </w:r>
      <w:r w:rsidR="009A70D4" w:rsidRPr="009D7554">
        <w:rPr>
          <w:rFonts w:ascii="Book Antiqua" w:hAnsi="Book Antiqua"/>
          <w:lang w:val="en-US"/>
        </w:rPr>
        <w:t>postt</w:t>
      </w:r>
      <w:r w:rsidRPr="009D7554">
        <w:rPr>
          <w:rFonts w:ascii="Book Antiqua" w:hAnsi="Book Antiqua"/>
          <w:lang w:val="en-US"/>
        </w:rPr>
        <w:t>reatment tumor response</w:t>
      </w:r>
      <w:r w:rsidR="0096089A" w:rsidRPr="009D7554">
        <w:rPr>
          <w:rFonts w:ascii="Book Antiqua" w:hAnsi="Book Antiqua"/>
          <w:lang w:val="en-US"/>
        </w:rPr>
        <w:t>s</w:t>
      </w:r>
      <w:r w:rsidRPr="009D7554">
        <w:rPr>
          <w:rFonts w:ascii="Book Antiqua" w:hAnsi="Book Antiqua"/>
          <w:lang w:val="en-US"/>
        </w:rPr>
        <w:t xml:space="preserve"> and follow-up after therapy</w:t>
      </w:r>
      <w:r w:rsidR="00A75298" w:rsidRPr="009D7554">
        <w:rPr>
          <w:rFonts w:ascii="Book Antiqua" w:hAnsi="Book Antiqua"/>
          <w:lang w:val="en-US"/>
        </w:rPr>
        <w:fldChar w:fldCharType="begin" w:fldLock="1"/>
      </w:r>
      <w:r w:rsidR="00EA621A" w:rsidRPr="009D7554">
        <w:rPr>
          <w:rFonts w:ascii="Book Antiqua" w:hAnsi="Book Antiqua"/>
          <w:lang w:val="en-US"/>
        </w:rPr>
        <w:instrText>ADDIN CSL_CITATION {"citationItems":[{"id":"ITEM-1","itemData":{"DOI":"10.1093/annonc/mdt354","ISSN":"0923-7534","PMID":"24078664","abstract":"The DNA modification 5-hydroxymethylcytosine (5hmC) is now referred to as the sixth base of DNA with evidence of tissue-specific patterns and correlation with gene regulation and expression. This epigenetic mark was recently reported as a potential biomarker for multiple types of cancer, but its application in the clinic is limited by the utility of recent 5hmC quantification assays. We use a recently developed, ultra-sensitive, fluorescence-based single-molecule method for global quantification of 5hmC in genomic DNA. The high sensitivity of the method gives access to precise quantification of extremely low 5hmC levels common in many cancers. We assessed 5hmC levels in DNA extracted from a set of colon and blood cancer samples and compared 5hmC levels with healthy controls, in a single-molecule approach. Using our method, we observed a significantly reduced level of 5hmC in blood and colon cancers and could distinguish between colon tumor and colon tissue adjacent to the tumor based on the global levels of this molecular biomarker. Single-molecule detection of 5hmC allows distinguishing between malignant and healthy tissue in clinically relevant and accessible tissue such as blood and colon. The presented method outperforms current commercially available quantification kits and may potentially be developed into a widely used, 5hmC quantification assay for research and clinical diagnostics. Furthermore, using this method, we confirm that 5hmC is a good molecular biomarker for diagnosing colon and various types of blood cancer.","author":[{"dropping-particle":"","family":"Labianca","given":"R.","non-dropping-particle":"","parse-names":false,"suffix":""},{"dropping-particle":"","family":"Nordlinger","given":"B.","non-dropping-particle":"","parse-names":false,"suffix":""},{"dropping-particle":"","family":"Beretta","given":"G. D.","non-dropping-particle":"","parse-names":false,"suffix":""},{"dropping-particle":"","family":"Mosconi","given":"S.","non-dropping-particle":"","parse-names":false,"suffix":""},{"dropping-particle":"","family":"Mandala","given":"M.","non-dropping-particle":"","parse-names":false,"suffix":""},{"dropping-particle":"","family":"Cervantes","given":"A.","non-dropping-particle":"","parse-names":false,"suffix":""},{"dropping-particle":"","family":"Arnold","given":"D.","non-dropping-particle":"","parse-names":false,"suffix":""}],"container-title":"Annals of Oncology","id":"ITEM-1","issue":"suppl 6","issued":{"date-parts":[["2013","10","1"]]},"page":"vi64-vi72","title":"Early colon cancer: ESMO Clinical Practice Guidelines for diagnosis, treatment and follow-up","type":"article-journal","volume":"24"},"uris":["http://www.mendeley.com/documents/?uuid=bce6c570-7147-473f-bc20-23a90ed695be"]},{"id":"ITEM-2","itemData":{"DOI":"10.1093/annonc/mdy161","ISSN":"0923-7534","PMID":"29741565","abstract":"The COP9 signalosome (CSN) complex controls protein degradation via the ubiquitin (Ub) proteasome system (UPS) in eukaryotes. In mammalian cells, the multimeric CSN is composed of eight subunits (CSN1 - CSN8). It regulates cullin-RING Ub ligases (CRLs), which target essential regulatory proteins for ubiquitination and subsequent degradation. Thereby, the CSN cooperates with the UPS in a variety of essential cellular functions, including DNA repair, cell cycle and differentiation. Although functions of the CSN have been elucidated, mechanisms and regulatory principles of its de novo formation are completely unknown. Here, we show that there is a fundamental mechanism that allows a coordinated expression of all CSN subunits, a prerequisite for CSN assembly. CSN subunit mRNAs are targets of miRNAs of the let-7 family suppressing CSN subunit expression in human cells. Factors that reduce or block let-7 miRNAs induce the coordinated expression of CSN subunits. For instance, over-expression of CSN1 specifically traps let-7a-1 miRNA and elevates CSN subunit levels by two- to fourfold in a coordinated manner. CSN subunit expression is also increased by specific miRNA inhibitors or by interferon (IFN)-mediated induction of STAT1 and c-Myc reducing levels of let-7 miRNAs. Activation of STAT1 by IFNα or IFNγ induces c-Myc, which increases CSN subunit expression via the Lin28B/let-7 regulatory pathway. By contrast, a let-7a-1 mimic reduces CSN subunit expression. Our data show that let-7 miRNAs control the fine-tuning and coordinated expression of subunits for CSN de novo formation, presumably a general regulatory principle for other Zomes complexes as well.","author":[{"dropping-particle":"","family":"Glynne-Jones","given":"R.","non-dropping-particle":"","parse-names":false,"suffix":""},{"dropping-particle":"","family":"Wyrwicz","given":"L.","non-dropping-particle":"","parse-names":false,"suffix":""},{"dropping-particle":"","family":"Tiret","given":"E.","non-dropping-particle":"","parse-names":false,"suffix":""},{"dropping-particle":"","family":"Brown","given":"G.","non-dropping-particle":"","parse-names":false,"suffix":""},{"dropping-particle":"","family":"Rödel","given":"C.","non-dropping-particle":"","parse-names":false,"suffix":""},{"dropping-particle":"","family":"Cervantes","given":"A.","non-dropping-particle":"","parse-names":false,"suffix":""},{"dropping-particle":"","family":"Arnold","given":"D.","non-dropping-particle":"","parse-names":false,"suffix":""}],"container-title":"Annals of Oncology","id":"ITEM-2","issue":"Supplement_4","issued":{"date-parts":[["2018","10","1"]]},"page":"iv263-iv263","title":"Rectal cancer: ESMO Clinical Practice Guidelines for diagnosis, treatment and follow-up","type":"article-journal","volume":"29"},"uris":["http://www.mendeley.com/documents/?uuid=4333d49d-1e00-4bda-97a8-f6f9fbc24487"]},{"id":"ITEM-3","itemData":{"DOI":"10.1093/annonc/mdu260","ISSN":"0923-7534","PMID":"25190710","abstract":"screening and early detection Subclinical prostate cancer is common in men &gt;50 years of age. Population-based screening of men aged between 55 and 69 years, using prostate-specific antigen (PSA) testing, has been evaluated in randomised trials [1, 2]. After a median follow-up of 13 years, the European screening trial demonstrated a relative reduction in the risk of prostate cancer mortality of 21% (29% if adjusted for non-compliance). However, 781 men needed to be invited for screening and 27 patients needed to be treated to prevent one death from prostate cancer. Risk-adapted early de-tection of prostate cancer using a baseline PSA level has also been evaluated in retrospective cohort studies. The baseline PSA at or before the age of 50 years is associated with the risk of prostate cancer mortality over the subsequent 25 years [3]. recommendations • Population-based PSA screening for prostate cancer reduces prostate cancer mortality at the expense of over diagnosis and overtreatment and is not recommended [I, C]. • Testing for prostate cancer in asymptomatic men should not be done in men over the age of 70 years [I, B]. diagnosis and pathology The risk of clinically significant prostate cancer is related to age, ethnicity, family history, PSA level, free/total PSA ratio and find-ings on digital rectal examination (DRE) [4]. High-grade prostate cancer can occur in men with a 'normal' PSA level. After a previ-ous negative biopsy, indications for repeated biopsies include a rising PSA, suspicious DRE, abnormal multi-parametric magnetic resonance imaging (MRI), atypical small acinar proliferation or multifocal high-grade prostatic intraepithelial neoplasia. recommendations • A single elevated PSA level should not prompt a prostate","author":[{"dropping-particle":"","family":"Cutsem","given":"E.","non-dropping-particle":"Van","parse-names":false,"suffix":""},{"dropping-particle":"","family":"Cervantes","given":"A.","non-dropping-particle":"","parse-names":false,"suffix":""},{"dropping-particle":"","family":"Nordlinger","given":"B.","non-dropping-particle":"","parse-names":false,"suffix":""},{"dropping-particle":"","family":"Arnold","given":"D.","non-dropping-particle":"","parse-names":false,"suffix":""}],"container-title":"Annals of Oncology","id":"ITEM-3","issue":"suppl 3","issued":{"date-parts":[["2014","9","1"]]},"page":"iii1-iii9","title":"Metastatic colorectal cancer: ESMO Clinical Practice Guidelines for diagnosis, treatment and follow-up","type":"article-journal","volume":"25"},"uris":["http://www.mendeley.com/documents/?uuid=2f76562e-294f-4d86-a8fa-91e69f787760"]}],"mendeley":{"formattedCitation":"&lt;sup&gt;[3–5]&lt;/sup&gt;","plainTextFormattedCitation":"[3–5]","previouslyFormattedCitation":"&lt;sup&gt;[3–5]&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[3–5]</w:t>
      </w:r>
      <w:r w:rsidR="00A75298" w:rsidRPr="009D7554">
        <w:rPr>
          <w:rFonts w:ascii="Book Antiqua" w:hAnsi="Book Antiqua"/>
          <w:lang w:val="en-US"/>
        </w:rPr>
        <w:fldChar w:fldCharType="end"/>
      </w:r>
      <w:r w:rsidR="009A7C29" w:rsidRPr="009D7554">
        <w:rPr>
          <w:rFonts w:ascii="Book Antiqua" w:hAnsi="Book Antiqua"/>
          <w:lang w:val="en-US"/>
        </w:rPr>
        <w:t xml:space="preserve">. Among </w:t>
      </w:r>
      <w:r w:rsidR="0096089A" w:rsidRPr="009D7554">
        <w:rPr>
          <w:rFonts w:ascii="Book Antiqua" w:hAnsi="Book Antiqua"/>
          <w:lang w:val="en-US"/>
        </w:rPr>
        <w:t>these</w:t>
      </w:r>
      <w:r w:rsidR="009A7C29" w:rsidRPr="009D7554">
        <w:rPr>
          <w:rFonts w:ascii="Book Antiqua" w:hAnsi="Book Antiqua"/>
          <w:lang w:val="en-US"/>
        </w:rPr>
        <w:t xml:space="preserve">, computed tomography (CT), magnetic resonance imaging (MRI) and </w:t>
      </w:r>
      <w:r w:rsidR="009A7C29" w:rsidRPr="009D7554">
        <w:rPr>
          <w:rFonts w:ascii="Book Antiqua" w:hAnsi="Book Antiqua"/>
          <w:position w:val="10"/>
          <w:sz w:val="16"/>
          <w:szCs w:val="16"/>
          <w:lang w:val="en-US"/>
        </w:rPr>
        <w:t>18</w:t>
      </w:r>
      <w:r w:rsidRPr="009D7554">
        <w:rPr>
          <w:rFonts w:ascii="Book Antiqua" w:hAnsi="Book Antiqua"/>
          <w:lang w:val="en-US"/>
        </w:rPr>
        <w:t>F-fluorodeoxyglucose (</w:t>
      </w:r>
      <w:r w:rsidRPr="009D7554">
        <w:rPr>
          <w:rFonts w:ascii="Book Antiqua" w:hAnsi="Book Antiqua"/>
          <w:position w:val="10"/>
          <w:sz w:val="16"/>
          <w:szCs w:val="16"/>
          <w:lang w:val="en-US"/>
        </w:rPr>
        <w:t>18</w:t>
      </w:r>
      <w:r w:rsidRPr="009D7554">
        <w:rPr>
          <w:rFonts w:ascii="Book Antiqua" w:hAnsi="Book Antiqua"/>
          <w:lang w:val="en-US"/>
        </w:rPr>
        <w:t xml:space="preserve">FDG) positron emission tomography (PET) associated </w:t>
      </w:r>
      <w:r w:rsidR="001F0F25" w:rsidRPr="009D7554">
        <w:rPr>
          <w:rFonts w:ascii="Book Antiqua" w:hAnsi="Book Antiqua"/>
          <w:lang w:val="en-US"/>
        </w:rPr>
        <w:t>with</w:t>
      </w:r>
      <w:r w:rsidRPr="009D7554">
        <w:rPr>
          <w:rFonts w:ascii="Book Antiqua" w:hAnsi="Book Antiqua"/>
          <w:lang w:val="en-US"/>
        </w:rPr>
        <w:t xml:space="preserve"> CT (</w:t>
      </w:r>
      <w:r w:rsidR="009A7C29" w:rsidRPr="009D7554">
        <w:rPr>
          <w:rFonts w:ascii="Book Antiqua" w:hAnsi="Book Antiqua"/>
          <w:position w:val="10"/>
          <w:sz w:val="16"/>
          <w:szCs w:val="16"/>
          <w:lang w:val="en-US"/>
        </w:rPr>
        <w:t>18</w:t>
      </w:r>
      <w:r w:rsidRPr="009D7554">
        <w:rPr>
          <w:rFonts w:ascii="Book Antiqua" w:hAnsi="Book Antiqua"/>
          <w:lang w:val="en-US"/>
        </w:rPr>
        <w:t>FDG-PET/CT) or MRI (</w:t>
      </w:r>
      <w:r w:rsidR="009A7C29" w:rsidRPr="009D7554">
        <w:rPr>
          <w:rFonts w:ascii="Book Antiqua" w:hAnsi="Book Antiqua"/>
          <w:position w:val="10"/>
          <w:sz w:val="16"/>
          <w:szCs w:val="16"/>
          <w:lang w:val="en-US"/>
        </w:rPr>
        <w:t>18</w:t>
      </w:r>
      <w:r w:rsidRPr="009D7554">
        <w:rPr>
          <w:rFonts w:ascii="Book Antiqua" w:hAnsi="Book Antiqua"/>
          <w:lang w:val="en-US"/>
        </w:rPr>
        <w:t xml:space="preserve">FDG-PET/MRI) play a crucial role in the management of CRC. </w:t>
      </w:r>
      <w:r w:rsidR="0096089A" w:rsidRPr="009D7554">
        <w:rPr>
          <w:rFonts w:ascii="Book Antiqua" w:hAnsi="Book Antiqua"/>
          <w:lang w:val="en-US"/>
        </w:rPr>
        <w:t>Q</w:t>
      </w:r>
      <w:r w:rsidRPr="009D7554">
        <w:rPr>
          <w:rFonts w:ascii="Book Antiqua" w:hAnsi="Book Antiqua"/>
          <w:lang w:val="en-US"/>
        </w:rPr>
        <w:t xml:space="preserve">ualitative evaluation represents the conventional approach to </w:t>
      </w:r>
      <w:r w:rsidR="0096089A" w:rsidRPr="009D7554">
        <w:rPr>
          <w:rFonts w:ascii="Book Antiqua" w:hAnsi="Book Antiqua"/>
          <w:lang w:val="en-US"/>
        </w:rPr>
        <w:t xml:space="preserve">the use of </w:t>
      </w:r>
      <w:r w:rsidRPr="009D7554">
        <w:rPr>
          <w:rFonts w:ascii="Book Antiqua" w:hAnsi="Book Antiqua"/>
          <w:lang w:val="en-US"/>
        </w:rPr>
        <w:t>these imaging modalities</w:t>
      </w:r>
    </w:p>
    <w:p w:rsidR="009515E9" w:rsidRPr="009D7554" w:rsidRDefault="008A1582" w:rsidP="00ED4C04">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 xml:space="preserve">The growth of CRC is accompanied by </w:t>
      </w:r>
      <w:r w:rsidR="0096089A" w:rsidRPr="009D7554">
        <w:rPr>
          <w:rFonts w:ascii="Book Antiqua" w:hAnsi="Book Antiqua"/>
          <w:lang w:val="en-US"/>
        </w:rPr>
        <w:t xml:space="preserve">the activation of </w:t>
      </w:r>
      <w:r w:rsidRPr="009D7554">
        <w:rPr>
          <w:rFonts w:ascii="Book Antiqua" w:hAnsi="Book Antiqua"/>
          <w:lang w:val="en-US"/>
        </w:rPr>
        <w:t xml:space="preserve">numerous </w:t>
      </w:r>
      <w:r w:rsidR="001F0F25" w:rsidRPr="009D7554">
        <w:rPr>
          <w:rFonts w:ascii="Book Antiqua" w:hAnsi="Book Antiqua"/>
          <w:lang w:val="en-US"/>
        </w:rPr>
        <w:t>biological</w:t>
      </w:r>
      <w:r w:rsidRPr="009D7554">
        <w:rPr>
          <w:rFonts w:ascii="Book Antiqua" w:hAnsi="Book Antiqua"/>
          <w:lang w:val="en-US"/>
        </w:rPr>
        <w:t xml:space="preserve"> processes, such as neoangiogenesis</w:t>
      </w:r>
      <w:r w:rsidR="0096089A" w:rsidRPr="009D7554">
        <w:rPr>
          <w:rFonts w:ascii="Book Antiqua" w:hAnsi="Book Antiqua"/>
          <w:lang w:val="en-US"/>
        </w:rPr>
        <w:t xml:space="preserve"> and </w:t>
      </w:r>
      <w:r w:rsidRPr="009D7554">
        <w:rPr>
          <w:rFonts w:ascii="Book Antiqua" w:hAnsi="Book Antiqua"/>
          <w:lang w:val="en-US"/>
        </w:rPr>
        <w:t xml:space="preserve">anarchic cellular proliferation, </w:t>
      </w:r>
      <w:r w:rsidR="001F0F25" w:rsidRPr="009D7554">
        <w:rPr>
          <w:rFonts w:ascii="Book Antiqua" w:hAnsi="Book Antiqua"/>
          <w:lang w:val="en-US"/>
        </w:rPr>
        <w:t>and an</w:t>
      </w:r>
      <w:r w:rsidRPr="009D7554">
        <w:rPr>
          <w:rFonts w:ascii="Book Antiqua" w:hAnsi="Book Antiqua"/>
          <w:lang w:val="en-US"/>
        </w:rPr>
        <w:t xml:space="preserve"> increase in cellular energy metabolism and glucose consumption. These processes determine neoplastic heterogeneity, which is characterized by a misshapen, irregular and disorganized tissue architecture with areas of high cell density, hypoxia, necrosis, hemorrhage and myxoid changes. Intratumor heterogeneity </w:t>
      </w:r>
      <w:r w:rsidR="0096089A" w:rsidRPr="009D7554">
        <w:rPr>
          <w:rFonts w:ascii="Book Antiqua" w:hAnsi="Book Antiqua"/>
          <w:lang w:val="en-US"/>
        </w:rPr>
        <w:t xml:space="preserve">tends to </w:t>
      </w:r>
      <w:r w:rsidRPr="009D7554">
        <w:rPr>
          <w:rFonts w:ascii="Book Antiqua" w:hAnsi="Book Antiqua"/>
          <w:lang w:val="en-US"/>
        </w:rPr>
        <w:t xml:space="preserve">change over time and to increase as tumors grow, impacting local and distant neoplastic invasion, </w:t>
      </w:r>
      <w:r w:rsidR="0096089A" w:rsidRPr="009D7554">
        <w:rPr>
          <w:rFonts w:ascii="Book Antiqua" w:hAnsi="Book Antiqua"/>
          <w:lang w:val="en-US"/>
        </w:rPr>
        <w:t xml:space="preserve">the </w:t>
      </w:r>
      <w:r w:rsidRPr="009D7554">
        <w:rPr>
          <w:rFonts w:ascii="Book Antiqua" w:hAnsi="Book Antiqua"/>
          <w:lang w:val="en-US"/>
        </w:rPr>
        <w:t>delivery of chemotherapeutic agents, cellular resistance to chemotherapy and radiotherapy and, consequently, prognosis</w:t>
      </w:r>
      <w:r w:rsidR="00A75298" w:rsidRPr="009D7554">
        <w:rPr>
          <w:rFonts w:ascii="Book Antiqua" w:hAnsi="Book Antiqua"/>
          <w:lang w:val="en-US"/>
        </w:rPr>
        <w:fldChar w:fldCharType="begin" w:fldLock="1"/>
      </w:r>
      <w:r w:rsidR="00EA621A" w:rsidRPr="009D7554">
        <w:rPr>
          <w:rFonts w:ascii="Book Antiqua" w:hAnsi="Book Antiqua"/>
          <w:lang w:val="en-US"/>
        </w:rPr>
        <w:instrText>ADDIN CSL_CITATION {"citationItems":[{"id":"ITEM-1","itemData":{"DOI":"10.1056/NEJMoa1113205","ISSN":"0028-4793","PMID":"22397650","abstract":"BACKGROUND: Intratumor heterogeneity may foster tumor evolution and adaptation and hinder personalized-medicine strategies that depend on results from single tumor-biopsy samples. METHODS: To examine intratumor heterogeneity, we performed exome sequencing, chromosome aberration analysis, and ploidy profiling on multiple spatially separated samples obtained from primary renal carcinomas and associated metastatic sites. We characterized the consequences of intratumor heterogeneity using immunohistochemical analysis, mutation functional analysis, and profiling of messenger RNA expression. RESULTS: Phylogenetic reconstruction revealed branched evolutionary tumor growth, with 63 to 69% of all somatic mutations not detectable across every tumor region. Intratumor heterogeneity was observed for a mutation within an autoinhibitory domain of the mammalian target of rapamycin (mTOR) kinase, correlating with S6 and 4EBP phosphorylation in vivo and constitutive activation of mTOR kinase activity in vitro. Mutational intratumor heterogeneity was seen for multiple tumor-suppressor genes converging on loss of function; SETD2, PTEN, and KDM5C underwent multiple distinct and spatially separated inactivating mutations within a single tumor, suggesting convergent phenotypic evolution. Gene-expression signatures of good and poor prognosis were detected in different regions of the same tumor. Allelic composition and ploidy profiling analysis revealed extensive intratumor heterogeneity, with 26 of 30 tumor samples from four tumors harboring divergent allelic-imbalance profiles and with ploidy heterogeneity in two of four tumors. CONCLUSIONS: Intratumor heterogeneity can lead to underestimation of the tumor genomics landscape portrayed from single tumor-biopsy samples and may present major challenges to personalized-medicine and biomarker development. Intratumor heterogeneity, associated with heterogeneous protein function, may foster tumor adaptation and therapeutic failure through Darwinian selection. (Funded by the Medical Research Council and others.).","author":[{"dropping-particle":"","family":"Gerlinger","given":"Marco","non-dropping-particle":"","parse-names":false,"suffix":""},{"dropping-particle":"","family":"Rowan","given":"Andrew J.","non-dropping-particle":"","parse-names":false,"suffix":""},{"dropping-particle":"","family":"Horswell","given":"Stuart","non-dropping-particle":"","parse-names":false,"suffix":""},{"dropping-particle":"","family":"Larkin","given":"James","non-dropping-particle":"","parse-names":false,"suffix":""},{"dropping-particle":"","family":"Endesfelder","given":"David","non-dropping-particle":"","parse-names":false,"suffix":""},{"dropping-particle":"","family":"Gronroos","given":"Eva","non-dropping-particle":"","parse-names":false,"suffix":""},{"dropping-particle":"","family":"Martinez","given":"Pierre","non-dropping-particle":"","parse-names":false,"suffix":""},{"dropping-particle":"","family":"Matthews","given":"Nicholas","non-dropping-particle":"","parse-names":false,"suffix":""},{"dropping-particle":"","family":"Stewart","given":"Aengus","non-dropping-particle":"","parse-names":false,"suffix":""},{"dropping-particle":"","family":"Tarpey","given":"Patrick","non-dropping-particle":"","parse-names":false,"suffix":""},{"dropping-particle":"","family":"Varela","given":"Ignacio","non-dropping-particle":"","parse-names":false,"suffix":""},{"dropping-particle":"","family":"Phillimore","given":"Benjamin","non-dropping-particle":"","parse-names":false,"suffix":""},{"dropping-particle":"","family":"Begum","given":"Sharmin","non-dropping-particle":"","parse-names":false,"suffix":""},{"dropping-particle":"","family":"McDonald","given":"Neil Q.","non-dropping-particle":"","parse-names":false,"suffix":""},{"dropping-particle":"","family":"Butler","given":"Adam","non-dropping-particle":"","parse-names":false,"suffix":""},{"dropping-particle":"","family":"Jones","given":"David","non-dropping-particle":"","parse-names":false,"suffix":""},{"dropping-particle":"","family":"Raine","given":"Keiran","non-dropping-particle":"","parse-names":false,"suffix":""},{"dropping-particle":"","family":"Latimer","given":"Calli","non-dropping-particle":"","parse-names":false,"suffix":""},{"dropping-particle":"","family":"Santos","given":"Claudio R.","non-dropping-particle":"","parse-names":false,"suffix":""},{"dropping-particle":"","family":"Nohadani","given":"Mahrokh","non-dropping-particle":"","parse-names":false,"suffix":""},{"dropping-particle":"","family":"Eklund","given":"Aron C.","non-dropping-particle":"","parse-names":false,"suffix":""},{"dropping-particle":"","family":"Spencer-Dene","given":"Bradley","non-dropping-particle":"","parse-names":false,"suffix":""},{"dropping-particle":"","family":"Clark","given":"Graham","non-dropping-particle":"","parse-names":false,"suffix":""},{"dropping-particle":"","family":"Pickering","given":"Lisa","non-dropping-particle":"","parse-names":false,"suffix":""},{"dropping-particle":"","family":"Stamp","given":"Gordon","non-dropping-particle":"","parse-names":false,"suffix":""},{"dropping-particle":"","family":"Gore","given":"Martin","non-dropping-particle":"","parse-names":false,"suffix":""},{"dropping-particle":"","family":"Szallasi","given":"Zoltan","non-dropping-particle":"","parse-names":false,"suffix":""},{"dropping-particle":"","family":"Downward","given":"Julian","non-dropping-particle":"","parse-names":false,"suffix":""},{"dropping-particle":"","family":"Futreal","given":"P. Andrew","non-dropping-particle":"","parse-names":false,"suffix":""},{"dropping-particle":"","family":"Swanton","given":"Charles","non-dropping-particle":"","parse-names":false,"suffix":""}],"container-title":"New England Journal of Medicine","id":"ITEM-1","issue":"10","issued":{"date-parts":[["2012","3","8"]]},"page":"883-892","title":"Intratumor Heterogeneity and Branched Evolution Revealed by Multiregion Sequencing","type":"article-journal","volume":"366"},"uris":["http://www.mendeley.com/documents/?uuid=1e03a878-1c46-45c4-8245-eb9f1ceff60b"]}],"mendeley":{"formattedCitation":"&lt;sup&gt;[6]&lt;/sup&gt;","plainTextFormattedCitation":"[6]","previouslyFormattedCitation":"&lt;sup&gt;[6]&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[6]</w:t>
      </w:r>
      <w:r w:rsidR="00A75298" w:rsidRPr="009D7554">
        <w:rPr>
          <w:rFonts w:ascii="Book Antiqua" w:hAnsi="Book Antiqua"/>
          <w:lang w:val="en-US"/>
        </w:rPr>
        <w:fldChar w:fldCharType="end"/>
      </w:r>
      <w:r w:rsidR="009515E9" w:rsidRPr="009D7554">
        <w:rPr>
          <w:rFonts w:ascii="Book Antiqua" w:hAnsi="Book Antiqua"/>
          <w:lang w:val="en-US"/>
        </w:rPr>
        <w:t>.</w:t>
      </w:r>
    </w:p>
    <w:p w:rsidR="009515E9" w:rsidRPr="009D7554" w:rsidRDefault="00892EE1" w:rsidP="00ED4C04">
      <w:pPr>
        <w:pStyle w:val="Grigliachiara-Colore31"/>
        <w:widowControl w:val="0"/>
        <w:autoSpaceDE w:val="0"/>
        <w:autoSpaceDN w:val="0"/>
        <w:adjustRightInd w:val="0"/>
        <w:snapToGrid w:val="0"/>
        <w:spacing w:line="360" w:lineRule="auto"/>
        <w:ind w:left="0" w:firstLineChars="100" w:firstLine="240"/>
        <w:contextualSpacing w:val="0"/>
        <w:jc w:val="both"/>
        <w:rPr>
          <w:rFonts w:ascii="Book Antiqua" w:hAnsi="Book Antiqua"/>
          <w:lang w:val="en-US"/>
        </w:rPr>
      </w:pPr>
      <w:r w:rsidRPr="009D7554">
        <w:rPr>
          <w:rFonts w:ascii="Book Antiqua" w:hAnsi="Book Antiqua"/>
          <w:lang w:val="en-US"/>
        </w:rPr>
        <w:t xml:space="preserve">The current state-of-the-art CT, MRI, </w:t>
      </w:r>
      <w:r w:rsidR="0096089A" w:rsidRPr="009D7554">
        <w:rPr>
          <w:rFonts w:ascii="Book Antiqua" w:hAnsi="Book Antiqua"/>
          <w:lang w:val="en-US"/>
        </w:rPr>
        <w:t xml:space="preserve">and </w:t>
      </w:r>
      <w:r w:rsidRPr="009D7554">
        <w:rPr>
          <w:rFonts w:ascii="Book Antiqua" w:hAnsi="Book Antiqua"/>
          <w:lang w:val="en-US"/>
        </w:rPr>
        <w:t xml:space="preserve">hybrid PET scanners offer the possibility </w:t>
      </w:r>
      <w:r w:rsidR="0096089A" w:rsidRPr="009D7554">
        <w:rPr>
          <w:rFonts w:ascii="Book Antiqua" w:hAnsi="Book Antiqua"/>
          <w:lang w:val="en-US"/>
        </w:rPr>
        <w:lastRenderedPageBreak/>
        <w:t xml:space="preserve">to </w:t>
      </w:r>
      <w:r w:rsidRPr="009D7554">
        <w:rPr>
          <w:rFonts w:ascii="Book Antiqua" w:hAnsi="Book Antiqua"/>
          <w:lang w:val="en-US"/>
        </w:rPr>
        <w:t xml:space="preserve">obtain structural, functional and molecular information </w:t>
      </w:r>
      <w:r w:rsidR="0096089A" w:rsidRPr="009D7554">
        <w:rPr>
          <w:rFonts w:ascii="Book Antiqua" w:hAnsi="Book Antiqua"/>
          <w:lang w:val="en-US"/>
        </w:rPr>
        <w:t>about</w:t>
      </w:r>
      <w:r w:rsidRPr="009D7554">
        <w:rPr>
          <w:rFonts w:ascii="Book Antiqua" w:hAnsi="Book Antiqua"/>
          <w:lang w:val="en-US"/>
        </w:rPr>
        <w:t xml:space="preserve"> these biologic</w:t>
      </w:r>
      <w:r w:rsidR="0096089A" w:rsidRPr="009D7554">
        <w:rPr>
          <w:rFonts w:ascii="Book Antiqua" w:hAnsi="Book Antiqua"/>
          <w:lang w:val="en-US"/>
        </w:rPr>
        <w:t>al</w:t>
      </w:r>
      <w:r w:rsidRPr="009D7554">
        <w:rPr>
          <w:rFonts w:ascii="Book Antiqua" w:hAnsi="Book Antiqua"/>
          <w:lang w:val="en-US"/>
        </w:rPr>
        <w:t xml:space="preserve"> neoplastic processes. Their “in vivo” quantitative evaluation can </w:t>
      </w:r>
      <w:r w:rsidR="001914D2" w:rsidRPr="009D7554">
        <w:rPr>
          <w:rFonts w:ascii="Book Antiqua" w:hAnsi="Book Antiqua"/>
          <w:lang w:val="en-US"/>
        </w:rPr>
        <w:t>add</w:t>
      </w:r>
      <w:r w:rsidRPr="009D7554">
        <w:rPr>
          <w:rFonts w:ascii="Book Antiqua" w:hAnsi="Book Antiqua"/>
          <w:lang w:val="en-US"/>
        </w:rPr>
        <w:t xml:space="preserve"> value to the diagnostic management of CRC in different clinical settings. Parametric analysis (PA) allows the extraction of the numerical data contained in the voxels of each image and</w:t>
      </w:r>
      <w:r w:rsidR="001914D2" w:rsidRPr="009D7554">
        <w:rPr>
          <w:rFonts w:ascii="Book Antiqua" w:hAnsi="Book Antiqua"/>
          <w:lang w:val="en-US"/>
        </w:rPr>
        <w:t xml:space="preserve"> </w:t>
      </w:r>
      <w:r w:rsidR="00502E2D" w:rsidRPr="009D7554">
        <w:rPr>
          <w:rFonts w:ascii="Book Antiqua" w:hAnsi="Book Antiqua"/>
          <w:lang w:val="en-US"/>
        </w:rPr>
        <w:t>information</w:t>
      </w:r>
      <w:r w:rsidR="001914D2" w:rsidRPr="009D7554">
        <w:rPr>
          <w:rFonts w:ascii="Book Antiqua" w:hAnsi="Book Antiqua"/>
          <w:lang w:val="en-US"/>
        </w:rPr>
        <w:t xml:space="preserve"> regarding</w:t>
      </w:r>
      <w:r w:rsidRPr="009D7554">
        <w:rPr>
          <w:rFonts w:ascii="Book Antiqua" w:hAnsi="Book Antiqua"/>
          <w:lang w:val="en-US"/>
        </w:rPr>
        <w:t xml:space="preserve"> their processing in terms of parametric maps, parameter distributions, </w:t>
      </w:r>
      <w:r w:rsidR="001914D2" w:rsidRPr="009D7554">
        <w:rPr>
          <w:rFonts w:ascii="Book Antiqua" w:hAnsi="Book Antiqua"/>
          <w:lang w:val="en-US"/>
        </w:rPr>
        <w:t xml:space="preserve">and the </w:t>
      </w:r>
      <w:r w:rsidRPr="009D7554">
        <w:rPr>
          <w:rFonts w:ascii="Book Antiqua" w:hAnsi="Book Antiqua"/>
          <w:lang w:val="en-US"/>
        </w:rPr>
        <w:t>quantification of spatial complexity</w:t>
      </w:r>
      <w:r w:rsidR="001914D2" w:rsidRPr="009D7554">
        <w:rPr>
          <w:rFonts w:ascii="Book Antiqua" w:hAnsi="Book Antiqua"/>
          <w:lang w:val="en-US"/>
        </w:rPr>
        <w:t xml:space="preserve"> and</w:t>
      </w:r>
      <w:r w:rsidRPr="009D7554">
        <w:rPr>
          <w:rFonts w:ascii="Book Antiqua" w:hAnsi="Book Antiqua"/>
          <w:lang w:val="en-US"/>
        </w:rPr>
        <w:t xml:space="preserve"> density</w:t>
      </w:r>
      <w:r w:rsidR="001914D2" w:rsidRPr="009D7554">
        <w:rPr>
          <w:rFonts w:ascii="Book Antiqua" w:hAnsi="Book Antiqua"/>
          <w:lang w:val="en-US"/>
        </w:rPr>
        <w:t>,</w:t>
      </w:r>
      <w:r w:rsidRPr="009D7554">
        <w:rPr>
          <w:rFonts w:ascii="Book Antiqua" w:hAnsi="Book Antiqua"/>
          <w:lang w:val="en-US"/>
        </w:rPr>
        <w:t xml:space="preserve"> signal intensity or activity for </w:t>
      </w:r>
      <w:r w:rsidR="001914D2" w:rsidRPr="009D7554">
        <w:rPr>
          <w:rFonts w:ascii="Book Antiqua" w:hAnsi="Book Antiqua"/>
          <w:lang w:val="en-US"/>
        </w:rPr>
        <w:t xml:space="preserve">CT, MRI or </w:t>
      </w:r>
      <w:r w:rsidRPr="009D7554">
        <w:rPr>
          <w:rFonts w:ascii="Book Antiqua" w:hAnsi="Book Antiqua"/>
          <w:lang w:val="en-US"/>
        </w:rPr>
        <w:t>PET</w:t>
      </w:r>
      <w:r w:rsidR="001914D2" w:rsidRPr="009D7554">
        <w:rPr>
          <w:rFonts w:ascii="Book Antiqua" w:hAnsi="Book Antiqua"/>
          <w:lang w:val="en-US"/>
        </w:rPr>
        <w:t>, respectively, by using</w:t>
      </w:r>
      <w:r w:rsidRPr="009D7554">
        <w:rPr>
          <w:rFonts w:ascii="Book Antiqua" w:hAnsi="Book Antiqua"/>
          <w:lang w:val="en-US"/>
        </w:rPr>
        <w:t xml:space="preserve"> time curves and volumetry</w:t>
      </w:r>
      <w:r w:rsidR="00A75298" w:rsidRPr="009D7554">
        <w:rPr>
          <w:rFonts w:ascii="Book Antiqua" w:hAnsi="Book Antiqua"/>
          <w:lang w:val="en-US"/>
        </w:rPr>
        <w:fldChar w:fldCharType="begin" w:fldLock="1"/>
      </w:r>
      <w:r w:rsidR="00EA621A" w:rsidRPr="009D7554">
        <w:rPr>
          <w:rFonts w:ascii="Book Antiqua" w:hAnsi="Book Antiqua"/>
          <w:lang w:val="en-US"/>
        </w:rPr>
        <w:instrText>ADDIN CSL_CITATION {"citationItems":[{"id":"ITEM-1","itemData":{"DOI":"10.1055/s-2006-926973","ISSN":"1438-9029","PMID":"17136644","abstract":"Quantitative parametric imaging approaches provide new perspectives for radiological imaging. These include quantitative 2D, 3D, and 4D visualization options along with the parametric depiction of biological tissue properties and tissue function. This allows the interpretation of radiological data from a biochemical, biomechanical, or physiological perspective. Quantification permits the detection of small changes that are not yet visually apparent, thus allowing application in early disease diagnosis and monitoring therapy with enhanced sensitivity. This review outlines the potential of quantitative parametric imaging methods and demonstrates this on the basis of a few exemplary applications. One field of particular interest, the use of these methods for investigational new drug application studies, is presented. Assessment criteria for judging the quality of quantitative imaging approaches are discussed in the context of the potential and the limitations of these methods. While quantitative parametric imaging methods do not replace but rather supplement established visual interpretation methods in radiology, they do open up new perspectives for diagnosis and prognosis and in particular for monitoring disease progression and therapy. © Georg Thieme Verlag KG Stuttgart.","author":[{"dropping-particle":"","family":"Glüer","given":"C.-C","non-dropping-particle":"","parse-names":false,"suffix":""},{"dropping-particle":"","family":"Barkmann","given":"R","non-dropping-particle":"","parse-names":false,"suffix":""},{"dropping-particle":"","family":"Hahn","given":"H","non-dropping-particle":"","parse-names":false,"suffix":""},{"dropping-particle":"","family":"Majumdar","given":"S","non-dropping-particle":"","parse-names":false,"suffix":""},{"dropping-particle":"","family":"Eckstein","given":"F","non-dropping-particle":"","parse-names":false,"suffix":""},{"dropping-particle":"","family":"Nickelsen","given":"T","non-dropping-particle":"","parse-names":false,"suffix":""},{"dropping-particle":"","family":"Bolte","given":"H","non-dropping-particle":"","parse-names":false,"suffix":""},{"dropping-particle":"","family":"Dicken","given":"V","non-dropping-particle":"","parse-names":false,"suffix":""},{"dropping-particle":"","family":"Heller","given":"M","non-dropping-particle":"","parse-names":false,"suffix":""}],"container-title":"RöFo - Fortschritte auf dem Gebiet der Röntgenstrahlen und der bildgebenden Verfahren","id":"ITEM-1","issue":"12","issued":{"date-parts":[["2006","11","29"]]},"page":"1187-1201","title":"Parametrische biomedizinische Bildgebung - was macht die Qualität quantitativer radiologischer Verfahren aus?","type":"article-journal","volume":"178"},"uris":["http://www.mendeley.com/documents/?uuid=b0429461-78cb-4c01-b41a-72d7b51a413d"]},{"id":"ITEM-2","itemData":{"DOI":"10.1007/s13244-016-0465-x","ISSN":"1869-4101","PMID":"27136925","abstract":"© 2016, The Author(s). Abstract: Imaging techniques play a key role in the management of patients with colorectal cancer. The introduction of new advanced anatomical, functional, and molecular imaging techniques may improve the assessment of diagnosis, prognosis, planning therapy, and assessment of response to treatment of these patients. Functional and molecular imaging techniques in clinical practice may allow the assessment of tumour-specific characteristics and tumour heterogeneity. This paper will review recent developments in imaging technologies and the evolving roles for these techniques in colorectal cancer. Teaching Points: • Imaging techniques play a key role in the management of patients with colorectal cancer. • Advanced imaging techniques improve the evaluation of these patients. • Functional and molecular imaging allows assessment of tumour hallmarks and tumour heterogeneity.","author":[{"dropping-particle":"","family":"García-Figueiras","given":"Roberto","non-dropping-particle":"","parse-names":false,"suffix":""},{"dropping-particle":"","family":"Baleato-González","given":"Sandra","non-dropping-particle":"","parse-names":false,"suffix":""},{"dropping-particle":"","family":"Padhani","given":"Anwar R.","non-dropping-particle":"","parse-names":false,"suffix":""},{"dropping-particle":"","family":"Marhuenda","given":"Ana","non-dropping-particle":"","parse-names":false,"suffix":""},{"dropping-particle":"","family":"Luna","given":"Antonio","non-dropping-particle":"","parse-names":false,"suffix":""},{"dropping-particle":"","family":"Alcalá","given":"Lidia","non-dropping-particle":"","parse-names":false,"suffix":""},{"dropping-particle":"","family":"Carballo-Castro","given":"Ana","non-dropping-particle":"","parse-names":false,"suffix":""},{"dropping-particle":"","family":"Álvarez-Castro","given":"Ana","non-dropping-particle":"","parse-names":false,"suffix":""}],"container-title":"Insights into Imaging","id":"ITEM-2","issue":"3","issued":{"date-parts":[["2016","6","30"]]},"page":"285-309","title":"Advanced imaging of colorectal cancer: From anatomy to molecular imaging","type":"article-journal","volume":"7"},"uris":["http://www.mendeley.com/documents/?uuid=db1fbb6e-6486-475e-97fc-a2dafc043141"]},{"id":"ITEM-3","itemData":{"DOI":"10.1016/j.clon.2015.10.010","ISSN":"09366555","PMID":"26586163","abstract":"Magnetic resonance imaging (MRI) has in recent years progressively established itself as one of the most valuable modalities for the diagnosis, staging and response assessment of rectal cancer and its use has largely focused on accurate morphological assessment.The potential of MRI, however, extends beyond detailed anatomical depiction: aspects of tissue physiology, such as perfusion, oxygenation and water molecule diffusivity, can be assessed indirectly. Functional MRI is rapidly evolving as a promising non-invasive assessment tool for tumour phenotyping and assessment of response to new therapeutic agents. In spite of promising experimental data, the evidence base for the application of functional MRI techniques in rectal cancer remains modest, reflecting the relatively poor agreement on technical protocols, image processing techniques and quantitative methodology to date, hampering routine integration into clinical management. This overview outlines the established strengths and the critical limitations of anatomical MRI in rectal cancer; it then introduces some of the functional MRI techniques and quantitative analysis methods that are currently available, describing their applicability in rectal cancer and reviewing the relevant literature; finally, it introduces the concept of a multi-parametric quantitative approach to rectal cancer.","author":[{"dropping-particle":"","family":"Prezzi","given":"D.","non-dropping-particle":"","parse-names":false,"suffix":""},{"dropping-particle":"","family":"Goh","given":"V.","non-dropping-particle":"","parse-names":false,"suffix":""}],"container-title":"Clinical Oncology","id":"ITEM-3","issue":"2","issued":{"date-parts":[["2016","2"]]},"page":"83-92","title":"Rectal Cancer Magnetic Resonance Imaging: Imaging Beyond Morphology","type":"article-journal","volume":"28"},"uris":["http://www.mendeley.com/documents/?uuid=cb095dbc-c94c-4c0e-b96c-19e1aa22c1d3"]}],"mendeley":{"formattedCitation":"&lt;sup&gt;[7–9]&lt;/sup&gt;","plainTextFormattedCitation":"[7–9]","previouslyFormattedCitation":"&lt;sup&gt;[7–9]&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[7–9]</w:t>
      </w:r>
      <w:r w:rsidR="00A75298" w:rsidRPr="009D7554">
        <w:rPr>
          <w:rFonts w:ascii="Book Antiqua" w:hAnsi="Book Antiqua"/>
          <w:lang w:val="en-US"/>
        </w:rPr>
        <w:fldChar w:fldCharType="end"/>
      </w:r>
      <w:r w:rsidR="009515E9" w:rsidRPr="009D7554">
        <w:rPr>
          <w:rFonts w:ascii="Book Antiqua" w:hAnsi="Book Antiqua"/>
          <w:lang w:val="en-US"/>
        </w:rPr>
        <w:t xml:space="preserve">. PA requires the drawing of </w:t>
      </w:r>
      <w:r w:rsidR="001914D2" w:rsidRPr="009D7554">
        <w:rPr>
          <w:rFonts w:ascii="Book Antiqua" w:hAnsi="Book Antiqua"/>
          <w:lang w:val="en-US"/>
        </w:rPr>
        <w:t xml:space="preserve">a </w:t>
      </w:r>
      <w:r w:rsidR="009515E9" w:rsidRPr="009D7554">
        <w:rPr>
          <w:rFonts w:ascii="Book Antiqua" w:hAnsi="Book Antiqua"/>
          <w:lang w:val="en-US"/>
        </w:rPr>
        <w:t xml:space="preserve">region of </w:t>
      </w:r>
      <w:r w:rsidR="001F0F25" w:rsidRPr="009D7554">
        <w:rPr>
          <w:rFonts w:ascii="Book Antiqua" w:hAnsi="Book Antiqua"/>
          <w:lang w:val="en-US"/>
        </w:rPr>
        <w:t>interest</w:t>
      </w:r>
      <w:r w:rsidR="009515E9" w:rsidRPr="009D7554">
        <w:rPr>
          <w:rFonts w:ascii="Book Antiqua" w:hAnsi="Book Antiqua"/>
          <w:lang w:val="en-US"/>
        </w:rPr>
        <w:t xml:space="preserve"> (ROI)</w:t>
      </w:r>
      <w:r w:rsidR="001914D2" w:rsidRPr="009D7554">
        <w:rPr>
          <w:rFonts w:ascii="Book Antiqua" w:hAnsi="Book Antiqua"/>
          <w:lang w:val="en-US"/>
        </w:rPr>
        <w:t xml:space="preserve"> that</w:t>
      </w:r>
      <w:r w:rsidR="009515E9" w:rsidRPr="009D7554">
        <w:rPr>
          <w:rFonts w:ascii="Book Antiqua" w:hAnsi="Book Antiqua"/>
          <w:lang w:val="en-US"/>
        </w:rPr>
        <w:t xml:space="preserve"> </w:t>
      </w:r>
      <w:r w:rsidR="001914D2" w:rsidRPr="009D7554">
        <w:rPr>
          <w:rFonts w:ascii="Book Antiqua" w:hAnsi="Book Antiqua"/>
          <w:lang w:val="en-US"/>
        </w:rPr>
        <w:t>includes</w:t>
      </w:r>
      <w:r w:rsidR="009515E9" w:rsidRPr="009D7554">
        <w:rPr>
          <w:rFonts w:ascii="Book Antiqua" w:hAnsi="Book Antiqua"/>
          <w:lang w:val="en-US"/>
        </w:rPr>
        <w:t xml:space="preserve"> </w:t>
      </w:r>
      <w:r w:rsidR="001914D2" w:rsidRPr="009D7554">
        <w:rPr>
          <w:rFonts w:ascii="Book Antiqua" w:hAnsi="Book Antiqua"/>
          <w:lang w:val="en-US"/>
        </w:rPr>
        <w:t xml:space="preserve">the </w:t>
      </w:r>
      <w:r w:rsidR="009515E9" w:rsidRPr="009D7554">
        <w:rPr>
          <w:rFonts w:ascii="Book Antiqua" w:hAnsi="Book Antiqua"/>
          <w:lang w:val="en-US"/>
        </w:rPr>
        <w:t>target tissue</w:t>
      </w:r>
      <w:r w:rsidR="001914D2" w:rsidRPr="009D7554">
        <w:rPr>
          <w:rFonts w:ascii="Book Antiqua" w:hAnsi="Book Antiqua"/>
          <w:lang w:val="en-US"/>
        </w:rPr>
        <w:t xml:space="preserve"> for</w:t>
      </w:r>
      <w:r w:rsidR="009515E9" w:rsidRPr="009D7554">
        <w:rPr>
          <w:rFonts w:ascii="Book Antiqua" w:hAnsi="Book Antiqua"/>
          <w:lang w:val="en-US"/>
        </w:rPr>
        <w:t xml:space="preserve"> analy</w:t>
      </w:r>
      <w:r w:rsidR="001914D2" w:rsidRPr="009D7554">
        <w:rPr>
          <w:rFonts w:ascii="Book Antiqua" w:hAnsi="Book Antiqua"/>
          <w:lang w:val="en-US"/>
        </w:rPr>
        <w:t>sis</w:t>
      </w:r>
      <w:r w:rsidR="009515E9" w:rsidRPr="009D7554">
        <w:rPr>
          <w:rFonts w:ascii="Book Antiqua" w:hAnsi="Book Antiqua"/>
          <w:lang w:val="en-US"/>
        </w:rPr>
        <w:t>. Depending on the imaging modalities and techniques</w:t>
      </w:r>
      <w:r w:rsidR="001914D2" w:rsidRPr="009D7554">
        <w:rPr>
          <w:rFonts w:ascii="Book Antiqua" w:hAnsi="Book Antiqua"/>
          <w:lang w:val="en-US"/>
        </w:rPr>
        <w:t xml:space="preserve"> used</w:t>
      </w:r>
      <w:r w:rsidR="009515E9" w:rsidRPr="009D7554">
        <w:rPr>
          <w:rFonts w:ascii="Book Antiqua" w:hAnsi="Book Antiqua"/>
          <w:lang w:val="en-US"/>
        </w:rPr>
        <w:t>, it is possible to obtain different quantitative parameters</w:t>
      </w:r>
      <w:r w:rsidR="001914D2" w:rsidRPr="009D7554">
        <w:rPr>
          <w:rFonts w:ascii="Book Antiqua" w:hAnsi="Book Antiqua"/>
          <w:lang w:val="en-US"/>
        </w:rPr>
        <w:t xml:space="preserve"> that are</w:t>
      </w:r>
      <w:r w:rsidR="009515E9" w:rsidRPr="009D7554">
        <w:rPr>
          <w:rFonts w:ascii="Book Antiqua" w:hAnsi="Book Antiqua"/>
          <w:lang w:val="en-US"/>
        </w:rPr>
        <w:t xml:space="preserve"> representative of peculiar neoplastic features such as perfusion, structural heterogeneity, cellularity, oxygenation and glucose consumption.</w:t>
      </w:r>
    </w:p>
    <w:p w:rsidR="009515E9" w:rsidRPr="009D7554" w:rsidRDefault="00D4689F" w:rsidP="00ED4C04">
      <w:pPr>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The present review describes the role of imaging PA in patients with CRC</w:t>
      </w:r>
      <w:r w:rsidR="001914D2" w:rsidRPr="009D7554">
        <w:rPr>
          <w:rFonts w:ascii="Book Antiqua" w:hAnsi="Book Antiqua"/>
          <w:lang w:val="en-US"/>
        </w:rPr>
        <w:t xml:space="preserve"> by</w:t>
      </w:r>
      <w:r w:rsidRPr="009D7554">
        <w:rPr>
          <w:rFonts w:ascii="Book Antiqua" w:hAnsi="Book Antiqua"/>
          <w:lang w:val="en-US"/>
        </w:rPr>
        <w:t xml:space="preserve"> focusing on its technical features, clinical advantages and limitations in advanced quantitative functional and molecular imaging, such as diffusion-weighted MRI (DWI), perfusion imaging (PI), </w:t>
      </w:r>
      <w:r w:rsidR="00B53223" w:rsidRPr="009D7554">
        <w:rPr>
          <w:rFonts w:ascii="Book Antiqua" w:hAnsi="Book Antiqua"/>
          <w:lang w:val="en-US"/>
        </w:rPr>
        <w:t>blood oxygenation level</w:t>
      </w:r>
      <w:r w:rsidR="001914D2" w:rsidRPr="009D7554">
        <w:rPr>
          <w:rFonts w:ascii="Book Antiqua" w:hAnsi="Book Antiqua"/>
          <w:lang w:val="en-US"/>
        </w:rPr>
        <w:t>-</w:t>
      </w:r>
      <w:r w:rsidR="00B53223" w:rsidRPr="009D7554">
        <w:rPr>
          <w:rFonts w:ascii="Book Antiqua" w:hAnsi="Book Antiqua"/>
          <w:lang w:val="en-US"/>
        </w:rPr>
        <w:t xml:space="preserve">dependent (BOLD) MRI, </w:t>
      </w:r>
      <w:r w:rsidR="009515E9" w:rsidRPr="009D7554">
        <w:rPr>
          <w:rFonts w:ascii="Book Antiqua" w:hAnsi="Book Antiqua"/>
          <w:lang w:val="en-US"/>
        </w:rPr>
        <w:t xml:space="preserve">MR spectroscopy (MRSI) and metabolic imaging as well as advanced quantitative image analysis techniques, </w:t>
      </w:r>
      <w:r w:rsidR="001F0F25" w:rsidRPr="009D7554">
        <w:rPr>
          <w:rFonts w:ascii="Book Antiqua" w:hAnsi="Book Antiqua"/>
          <w:lang w:val="en-US"/>
        </w:rPr>
        <w:t xml:space="preserve">such </w:t>
      </w:r>
      <w:r w:rsidR="009515E9" w:rsidRPr="009D7554">
        <w:rPr>
          <w:rFonts w:ascii="Book Antiqua" w:hAnsi="Book Antiqua"/>
          <w:lang w:val="en-US"/>
        </w:rPr>
        <w:t>as texture analysis (TA) and volumetry.</w:t>
      </w:r>
    </w:p>
    <w:p w:rsidR="00ED4C04" w:rsidRPr="009D7554" w:rsidRDefault="00ED4C04" w:rsidP="00ED4C04">
      <w:pPr>
        <w:autoSpaceDE w:val="0"/>
        <w:autoSpaceDN w:val="0"/>
        <w:adjustRightInd w:val="0"/>
        <w:snapToGrid w:val="0"/>
        <w:spacing w:line="360" w:lineRule="auto"/>
        <w:ind w:firstLineChars="100" w:firstLine="240"/>
        <w:jc w:val="both"/>
        <w:rPr>
          <w:rFonts w:ascii="Book Antiqua" w:hAnsi="Book Antiqua"/>
          <w:lang w:val="en-US"/>
        </w:rPr>
      </w:pPr>
    </w:p>
    <w:p w:rsidR="00C54702" w:rsidRPr="009D7554" w:rsidRDefault="00354CCC" w:rsidP="006A253E">
      <w:pPr>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 xml:space="preserve">LIMITATIONS OF </w:t>
      </w:r>
      <w:r w:rsidR="001914D2" w:rsidRPr="009D7554">
        <w:rPr>
          <w:rFonts w:ascii="Book Antiqua" w:hAnsi="Book Antiqua"/>
          <w:b/>
          <w:lang w:val="en-US"/>
        </w:rPr>
        <w:t xml:space="preserve">THE </w:t>
      </w:r>
      <w:r w:rsidRPr="009D7554">
        <w:rPr>
          <w:rFonts w:ascii="Book Antiqua" w:hAnsi="Book Antiqua"/>
          <w:b/>
          <w:lang w:val="en-US"/>
        </w:rPr>
        <w:t>CONVENTIONAL QUALITATIVE ASSESSMENT OF MORPHOL</w:t>
      </w:r>
      <w:r w:rsidR="00C8073A" w:rsidRPr="009D7554">
        <w:rPr>
          <w:rFonts w:ascii="Book Antiqua" w:hAnsi="Book Antiqua"/>
          <w:b/>
          <w:lang w:val="en-US"/>
        </w:rPr>
        <w:t>O</w:t>
      </w:r>
      <w:r w:rsidRPr="009D7554">
        <w:rPr>
          <w:rFonts w:ascii="Book Antiqua" w:hAnsi="Book Antiqua"/>
          <w:b/>
          <w:lang w:val="en-US"/>
        </w:rPr>
        <w:t>GICAL IMAGING</w:t>
      </w:r>
    </w:p>
    <w:p w:rsidR="00046570" w:rsidRPr="009D7554" w:rsidRDefault="00046570" w:rsidP="006A253E">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lang w:val="en-US"/>
        </w:rPr>
        <w:t>The evaluation of images based on morphologic</w:t>
      </w:r>
      <w:r w:rsidR="00C8073A" w:rsidRPr="009D7554">
        <w:rPr>
          <w:rFonts w:ascii="Book Antiqua" w:hAnsi="Book Antiqua"/>
          <w:lang w:val="en-US"/>
        </w:rPr>
        <w:t>al</w:t>
      </w:r>
      <w:r w:rsidRPr="009D7554">
        <w:rPr>
          <w:rFonts w:ascii="Book Antiqua" w:hAnsi="Book Antiqua"/>
          <w:lang w:val="en-US"/>
        </w:rPr>
        <w:t xml:space="preserve"> features represents the routine clinical approach to CT and MRI. Although this diagnostic approach is recommended in clinical guidelines for</w:t>
      </w:r>
      <w:r w:rsidR="001F0F25" w:rsidRPr="009D7554">
        <w:rPr>
          <w:rFonts w:ascii="Book Antiqua" w:hAnsi="Book Antiqua"/>
          <w:lang w:val="en-US"/>
        </w:rPr>
        <w:t xml:space="preserve"> the</w:t>
      </w:r>
      <w:r w:rsidRPr="009D7554">
        <w:rPr>
          <w:rFonts w:ascii="Book Antiqua" w:hAnsi="Book Antiqua"/>
          <w:lang w:val="en-US"/>
        </w:rPr>
        <w:t xml:space="preserve"> management of CRC, it suffers from several limitations, as shown in Table </w:t>
      </w:r>
      <w:smartTag w:uri="urn:schemas-microsoft-com:office:smarttags" w:element="metricconverter">
        <w:smartTagPr>
          <w:attr w:name="ProductID" w:val="1. In"/>
        </w:smartTagPr>
        <w:r w:rsidRPr="009D7554">
          <w:rPr>
            <w:rFonts w:ascii="Book Antiqua" w:hAnsi="Book Antiqua"/>
            <w:lang w:val="en-US"/>
          </w:rPr>
          <w:t xml:space="preserve">1. </w:t>
        </w:r>
        <w:r w:rsidR="001F0F25" w:rsidRPr="009D7554">
          <w:rPr>
            <w:rFonts w:ascii="Book Antiqua" w:hAnsi="Book Antiqua"/>
            <w:lang w:val="en-US"/>
          </w:rPr>
          <w:t>In</w:t>
        </w:r>
      </w:smartTag>
      <w:r w:rsidR="001F0F25" w:rsidRPr="009D7554">
        <w:rPr>
          <w:rFonts w:ascii="Book Antiqua" w:hAnsi="Book Antiqua"/>
          <w:lang w:val="en-US"/>
        </w:rPr>
        <w:t xml:space="preserve"> particular</w:t>
      </w:r>
      <w:r w:rsidRPr="009D7554">
        <w:rPr>
          <w:rFonts w:ascii="Book Antiqua" w:hAnsi="Book Antiqua"/>
          <w:lang w:val="en-US"/>
        </w:rPr>
        <w:t xml:space="preserve">, the Response Evaluation Criteria in Solid Tumors (RECIST) have been introduced for standardizing the assessment of </w:t>
      </w:r>
      <w:r w:rsidR="001F0F25" w:rsidRPr="009D7554">
        <w:rPr>
          <w:rFonts w:ascii="Book Antiqua" w:hAnsi="Book Antiqua"/>
          <w:lang w:val="en-US"/>
        </w:rPr>
        <w:t>tumor</w:t>
      </w:r>
      <w:r w:rsidRPr="009D7554">
        <w:rPr>
          <w:rFonts w:ascii="Book Antiqua" w:hAnsi="Book Antiqua"/>
          <w:lang w:val="en-US"/>
        </w:rPr>
        <w:t xml:space="preserve"> response</w:t>
      </w:r>
      <w:r w:rsidR="00C8073A" w:rsidRPr="009D7554">
        <w:rPr>
          <w:rFonts w:ascii="Book Antiqua" w:hAnsi="Book Antiqua"/>
          <w:lang w:val="en-US"/>
        </w:rPr>
        <w:t>s</w:t>
      </w:r>
      <w:r w:rsidRPr="009D7554">
        <w:rPr>
          <w:rFonts w:ascii="Book Antiqua" w:hAnsi="Book Antiqua"/>
          <w:lang w:val="en-US"/>
        </w:rPr>
        <w:t xml:space="preserve"> to cytotoxic chemotherapy</w:t>
      </w:r>
      <w:r w:rsidR="001F0F25" w:rsidRPr="009D7554">
        <w:rPr>
          <w:rFonts w:ascii="Book Antiqua" w:hAnsi="Book Antiqua"/>
          <w:lang w:val="en-US"/>
        </w:rPr>
        <w:t>,</w:t>
      </w:r>
      <w:r w:rsidRPr="009D7554">
        <w:rPr>
          <w:rFonts w:ascii="Book Antiqua" w:hAnsi="Book Antiqua"/>
          <w:lang w:val="en-US"/>
        </w:rPr>
        <w:t xml:space="preserve"> and they are mainly based on tumor size measurements</w:t>
      </w:r>
      <w:r w:rsidR="00A75298" w:rsidRPr="009D7554">
        <w:rPr>
          <w:rFonts w:ascii="Book Antiqua" w:hAnsi="Book Antiqua"/>
          <w:lang w:val="en-US"/>
        </w:rPr>
        <w:fldChar w:fldCharType="begin" w:fldLock="1"/>
      </w:r>
      <w:r w:rsidR="00EA621A" w:rsidRPr="009D7554">
        <w:rPr>
          <w:rFonts w:ascii="Book Antiqua" w:hAnsi="Book Antiqua"/>
          <w:lang w:val="en-US"/>
        </w:rPr>
        <w:instrText>ADDIN CSL_CITATION {"citationItems":[{"id":"ITEM-1","itemData":{"DOI":"10.1001/jama.2009.1755","ISSN":"0098-7484","PMID":"19952320","abstract":"CONTEXT: The standard criteria used to evaluate tumor response, the Response Evaluation Criteria in Solid Tumors (RECIST), were developed to assess tumor shrinkage after cytotoxic chemotherapy and may be limited in assessing response to biologic agents, which have a cytostatic mechanism of action.\\n\\nOBJECTIVE: To validate novel tumor response criteria based on morphologic changes observed on computed tomography (CT) in patients with colorectal liver metastases treated with bevacizumab-containing chemotherapy regimens.\\n\\nDESIGN, SETTING, AND PATIENTS: A total of 234 colorectal liver metastases were analyzed from 50 patients who underwent hepatic resection after preoperative chemotherapy that included bevacizumab at a comprehensive US cancer center from 2004 to 2007; date of last follow-up was March 2008. All patients underwent routine contrast-enhanced CT at the start and end of preoperative therapy. Three blinded, independent radiologists evaluated images for morphologic response, based on metastases changing from heterogeneous masses with ill-defined margins into homogeneous hypoattenuating lesions with sharp borders. These criteria were validated with a separate cohort of 82 patients with unresectable colorectal liver metastases treated with bevacizumab-containing chemotherapy.\\n\\nMAIN OUTCOME MEASURES: Response determined using morphologic criteria and RECIST was correlated with pathologic response in resected liver specimens and with patient survival.\\n\\nRESULTS: Interobserver agreement for scoring morphologic changes was good among 3 radiologists (kappa, 0.68-0.78; 95% confidence interval [CI], 0.51-0.93). In resected tumor specimens, the median (interquartile range [IQR]) percentages of residual tumor cells for optimal morphologic response was 20% (10%-30%); for incomplete response, 50% (30%-60%); and no response, 70% (60%-70%; P &lt; .001). With RECIST, the median (IQR) percentages of residual tumor cells were for partial response 30% (10%-60%); for stable disease, 50% (20%-70%); and for progressive disease, 70% (65%-70%; P = .04). Among patients who underwent hepatic resection, median overall survival was not yet reached with optimal morphologic response and 25 months (95% CI, 20.2-29.8 months) with incomplete or no morphologic response (P = .03). In the validation cohort, patients with optimal morphologic response had median overall survival of 31 months (95% CI, 26.8-35.2 months) compared with 19 months (95% CI, 14.6-23.4 months) with incomplet…","author":[{"dropping-particle":"","family":"Chun","given":"Yun Shin","non-dropping-particle":"","parse-names":false,"suffix":""}],"container-title":"JAMA","id":"ITEM-1","issue":"21","issued":{"date-parts":[["2009","12","2"]]},"page":"2338","title":"Association of Computed Tomography Morphologic Criteria With Pathologic Response and Survival in Patients Treated With Bevacizumab for Colorectal Liver Metastases","type":"article-journal","volume":"302"},"uris":["http://www.mendeley.com/documents/?uuid=fcc955e1-a5c0-435f-b8b8-f603087ee561"]}],"mendeley":{"formattedCitation":"&lt;sup&gt;[10]&lt;/sup&gt;","plainTextFormattedCitation":"[10]","previouslyFormattedCitation":"&lt;sup&gt;[10]&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[10]</w:t>
      </w:r>
      <w:r w:rsidR="00A75298" w:rsidRPr="009D7554">
        <w:rPr>
          <w:rFonts w:ascii="Book Antiqua" w:hAnsi="Book Antiqua"/>
          <w:lang w:val="en-US"/>
        </w:rPr>
        <w:fldChar w:fldCharType="end"/>
      </w:r>
      <w:r w:rsidRPr="009D7554">
        <w:rPr>
          <w:rFonts w:ascii="Book Antiqua" w:hAnsi="Book Antiqua"/>
          <w:lang w:val="en-US"/>
        </w:rPr>
        <w:t>. However, it has been observed that RECIST can underestimate both response</w:t>
      </w:r>
      <w:r w:rsidR="00C8073A" w:rsidRPr="009D7554">
        <w:rPr>
          <w:rFonts w:ascii="Book Antiqua" w:hAnsi="Book Antiqua"/>
          <w:lang w:val="en-US"/>
        </w:rPr>
        <w:t>s</w:t>
      </w:r>
      <w:r w:rsidRPr="009D7554">
        <w:rPr>
          <w:rFonts w:ascii="Book Antiqua" w:hAnsi="Book Antiqua"/>
          <w:lang w:val="en-US"/>
        </w:rPr>
        <w:t xml:space="preserve"> to chemotherapy (alone or coupled with antiangiogenic agents) and focal therapies</w:t>
      </w:r>
      <w:r w:rsidR="00A75298" w:rsidRPr="009D7554">
        <w:rPr>
          <w:rFonts w:ascii="Book Antiqua" w:hAnsi="Book Antiqua"/>
          <w:lang w:val="en-US"/>
        </w:rPr>
        <w:fldChar w:fldCharType="begin" w:fldLock="1"/>
      </w:r>
      <w:r w:rsidR="00EA621A" w:rsidRPr="009D7554">
        <w:rPr>
          <w:rFonts w:ascii="Book Antiqua" w:hAnsi="Book Antiqua"/>
          <w:lang w:val="en-US"/>
        </w:rPr>
        <w:instrText>ADDIN CSL_CITATION {"citationItems":[{"id":"ITEM-1","itemData":{"DOI":"10.1200/JCO.2006.07.3049","ISSN":"0732-183X","PMID":"17470865","abstract":"PURPOSE: Response Evaluation Criteria in Solid Tumors (RECIST) are insensitive in evaluating gastrointestinal stromal tumors (GISTs) treated with imatinib. This study evaluates whether computed tomography (CT) findings of GIST after imatinib treatment correlate with tumor responses by [18F]fluorodeoxyglucose (FDG) positron emission tomography (PET) and develops reliable, quantitative, CT response criteria. PATIENTS AND METHODS: A total of 172 lesions selected by RECIST were evaluated in 40 patients with metastatic GISTs treated with imatinib. All patients had pretreatment and 2-month follow-up CTs and FDG-PETs. Multivariate analysis was performed using tumor size and density (Hounsfield unit [HU]) on CT and maximum standardized uptake value (SUVmax) on FDG-PET. Patients were observed up to 28 months. RESULTS: Mean baseline tumor size and density on CT were 5.3 cm and 72.8 HU, respectively, and mean baseline SUVmax on FDG-PET was 5.8. Thirty-three patients had good response on FDG-PET. A decrease in tumor size of more than 10% or a decrease in tumor density of more than 15% on CT had a sensitivity of 97% and a specificity of 100% in identifying PET responders versus 52% and 100% by RECIST. Good responders on CT at 2 months had significantly longer time to progression than those who did not respond (P = .01). CONCLUSION: Small changes in tumor size or density on CT are sensitive and specific methods of assessing the response of GISTs. If the prognostic value of our proposed CT response criteria can be confirmed prospectively, the criteria should be employed in future studies of patients with GIST.","author":[{"dropping-particle":"","family":"Choi","given":"Haesun","non-dropping-particle":"","parse-names":false,"suffix":""},{"dropping-particle":"","family":"Charnsangavej","given":"Chuslip","non-dropping-particle":"","parse-names":false,"suffix":""},{"dropping-particle":"","family":"Faria","given":"Silvana C.","non-dropping-particle":"","parse-names":false,"suffix":""},{"dropping-particle":"","family":"Macapinlac","given":"Homer A.","non-dropping-particle":"","parse-names":false,"suffix":""},{"dropping-particle":"","family":"Burgess","given":"Michael A.","non-dropping-particle":"","parse-names":false,"suffix":""},{"dropping-particle":"","family":"Patel","given":"Shreyaskumar R.","non-dropping-particle":"","parse-names":false,"suffix":""},{"dropping-particle":"","family":"Chen","given":"Lei L.","non-dropping-particle":"","parse-names":false,"suffix":""},{"dropping-particle":"","family":"Podoloff","given":"Donald A.","non-dropping-particle":"","parse-names":false,"suffix":""},{"dropping-particle":"","family":"Benjamin","given":"Robert S.","non-dropping-particle":"","parse-names":false,"suffix":""}],"container-title":"Journal of Clinical Oncology","id":"ITEM-1","issue":"13","issued":{"date-parts":[["2007","5"]]},"page":"1753-1759","title":"Correlation of Computed Tomography and Positron Emission Tomography in Patients With Metastatic Gastrointestinal Stromal Tumor Treated at a Single Institution With Imatinib Mesylate: Proposal of New Computed Tomography Response Criteria","type":"article-journal","volume":"25"},"uris":["http://www.mendeley.com/documents/?uuid=886603bb-707c-4748-a99e-4559f2f8bbf2"]},{"id":"ITEM-2","itemData":{"DOI":"10.1055/s-0030-1247132","ISSN":"0272-8087","PMID":"20175033","abstract":"The endpoint in cancer research is overall survival. Nonetheless, other potential surrogate endpoints, such as response rate and time to progression, are currently used. Measurement of response rate in hepatocellular carcinoma (HCC) has become a controversial issue. The World Health Organization (WHO) criteria underestimate the actual response rate; thus, they were amended in 2000 by a panel of experts convened by the European Association for the Study of the Liver (EASL) to take into account treatment-induced tumor necrosis. Applying these guidelines, there was an association between response rate and outcome prediction. More recently, the Response Evaluation Criteria in Solid Tumors (RECIST) guideline was proposed as a method for measuring treatment response based on tumor shrinkage, which is a valuable measure of antitumor activity of cytotoxic drugs. This method was initially adopted by regulatory agencies, such as the U. S. Food and Drug Administration (FDA), for drug approval. However, anatomic tumor response metrics can be misleading when applied to molecular-targeted therapies or locoregional therapies in HCC. In 2008, a group of experts convened by the American Association for the Study of Liver Diseases (AASLD) developed a set of guidelines aimed at providing a common framework for the design of clinical trials in HCC and adapted the concept of viable tumor-tumoral tissue showing uptake in arterial phase of contrast-enhanced radiologic imaging techniques-to formally amend RECIST. These amendments conformed the AASLD-JNCI (Journal of the National Cancer Institute) guidelines and are summarized and clarified in the current article. They are referred to herein as the modified RECIST assessment (mRECIST). Further studies are needed to confirm the accuracy of this measurement compared with conventional gold standards such as pathologic studies of explanted livers.","author":[{"dropping-particle":"","family":"Lencioni","given":"Riccardo","non-dropping-particle":"","parse-names":false,"suffix":""},{"dropping-particle":"","family":"Llovet","given":"Josep","non-dropping-particle":"","parse-names":false,"suffix":""}],"container-title":"Seminars in Liver Disease","id":"ITEM-2","issue":"01","issued":{"date-parts":[["2010","2","19"]]},"page":"052-060","title":"Modified RECIST (mRECIST) Assessment for Hepatocellular Carcinoma","type":"article-journal","volume":"30"},"uris":["http://www.mendeley.com/documents/?uuid=70c3c660-9d48-496f-948a-dc0ca93f3a14"]},{"id":"ITEM-3","itemData":{"DOI":"10.1007/s13244-016-0465-x","ISSN":"1869-4101","PMID":"27136925","abstract":"© 2016, The Author(s). Abstract: Imaging techniques play a key role in the management of patients with colorectal cancer. The introduction of new advanced anatomical, functional, and molecular imaging techniques may improve the assessment of diagnosis, prognosis, planning therapy, and assessment of response to treatment of these patients. Functional and molecular imaging techniques in clinical practice may allow the assessment of tumour-specific characteristics and tumour heterogeneity. This paper will review recent developments in imaging technologies and the evolving roles for these techniques in colorectal cancer. Teaching Points: • Imaging techniques play a key role in the management of patients with colorectal cancer. • Advanced imaging techniques improve the evaluation of these patients. • Functional and molecular imaging allows assessment of tumour hallmarks and tumour heterogeneity.","author":[{"dropping-particle":"","family":"García-Figueiras","given":"Roberto","non-dropping-particle":"","parse-names":false,"suffix":""},{"dropping-particle":"","family":"Baleato-González","given":"Sandra","non-dropping-particle":"","parse-names":false,"suffix":""},{"dropping-particle":"","family":"Padhani","given":"Anwar R.","non-dropping-particle":"","parse-names":false,"suffix":""},{"dropping-particle":"","family":"Marhuenda","given":"Ana","non-dropping-particle":"","parse-names":false,"suffix":""},{"dropping-particle":"","family":"Luna","given":"Antonio","non-dropping-particle":"","parse-names":false,"suffix":""},{"dropping-particle":"","family":"Alcalá","given":"Lidia","non-dropping-particle":"","parse-names":false,"suffix":""},{"dropping-particle":"","family":"Carballo-Castro","given":"Ana","non-dropping-particle":"","parse-names":false,"suffix":""},{"dropping-particle":"","family":"Álvarez-Castro","given":"Ana","non-dropping-particle":"","parse-names":false,"suffix":""}],"container-title":"Insights into Imaging","id":"ITEM-3","issue":"3","issued":{"date-parts":[["2016","6","30"]]},"page":"285-309","title":"Advanced imaging of colorectal cancer: From anatomy to molecular imaging","type":"article-journal","volume":"7"},"uris":["http://www.mendeley.com/documents/?uuid=db1fbb6e-6486-475e-97fc-a2dafc043141"]},{"id":"ITEM-4","itemData":{"DOI":"10.1177/2050640615601603","ISSN":"2050-6406","PMID":"27087955","abstract":"? Author(s) 2016.Background: Response Evaluation Criteria In Solid Tumors (RECIST) are known to have limitations in assessing the response of colorectal liver metastases (CRLMs) to chemotherapy. Objective: The objective of this article is to compare CT texture analysis to RECIST-based size measurements and tumor volumetry for response assessment of CRLMs to chemotherapy. Methods: Twenty-one patients with CRLMs underwent CT pre- and post-chemotherapy. Texture parameters mean intensity (M), entropy (E) and uniformity (U) were assessed for the largest metastatic lesion using different filter values (0.0 = no/0.5 = fine/1.5 = medium/2.5 = coarse filtration). Total volume (cm3) of all metastatic lesions and the largest size of one to two lesions (according to RECIST 1.1) were determined. Potential predictive parameters to differentiate good responders (n = 9; histological TRG 1-2) from poor responders (n = 12; TRG 3-5) were identified by univariable logistic regression analysis and subsequently tested in multivariable logistic regression analysis. Diagnostic odds ratios were recorded. Results: The best predictive texture parameters were ?uniformity and ?entropy (without filtration). Odds ratios for ?uniformity and ?entropy in the multivariable analyses were 0.95 and 1.34, respectively. Pre- and post-treatment texture parameters, as well as the various size and volume measures, were not significant predictors. Odds ratios for ?size and ?volume in the univariable logistic regression were 1.08 and 1.05, respectively. Conclusions: Relative differences in CT texture occurring after treatment hold promise to assess the pathologic response to chemotherapy in patients with CRLMs and may be better predictors of response than changes in lesion size or volume.","author":[{"dropping-particle":"","family":"Rao","given":"Sheng-Xiang","non-dropping-particle":"","parse-names":false,"suffix":""},{"dropping-particle":"","family":"Lambregts","given":"Doenja M.J.","non-dropping-particle":"","parse-names":false,"suffix":""},{"dropping-particle":"","family":"Schnerr","given":"Roald S.","non-dropping-particle":"","parse-names":false,"suffix":""},{"dropping-particle":"","family":"Beckers","given":"Rianne C.J.","non-dropping-particle":"","parse-names":false,"suffix":""},{"dropping-particle":"","family":"Maas","given":"Monique","non-dropping-particle":"","parse-names":false,"suffix":""},{"dropping-particle":"","family":"Albarello","given":"Fabrizio","non-dropping-particle":"","parse-names":false,"suffix":""},{"dropping-particle":"","family":"Riedl","given":"Robert G.","non-dropping-particle":"","parse-names":false,"suffix":""},{"dropping-particle":"","family":"Dejong","given":"Cornelis H.C.","non-dropping-particle":"","parse-names":false,"suffix":""},{"dropping-particle":"","family":"Martens","given":"Milou H.","non-dropping-particle":"","parse-names":false,"suffix":""},{"dropping-particle":"","family":"Heijnen","given":"Luc A.","non-dropping-particle":"","parse-names":false,"suffix":""},{"dropping-particle":"","family":"Backes","given":"Walter H.","non-dropping-particle":"","parse-names":false,"suffix":""},{"dropping-particle":"","family":"Beets","given":"Geerard L.","non-dropping-particle":"","parse-names":false,"suffix":""},{"dropping-particle":"","family":"Zeng","given":"Meng-Su","non-dropping-particle":"","parse-names":false,"suffix":""},{"dropping-particle":"","family":"Beets-Tan","given":"Regina G.H.","non-dropping-particle":"","parse-names":false,"suffix":""}],"container-title":"United European Gastroenterology Journal","id":"ITEM-4","issue":"2","issued":{"date-parts":[["2016","4","21"]]},"page":"257-263","title":"CT texture analysis in colorectal liver metastases: A better way than size and volume measurements to assess response to chemotherapy?","type":"article-journal","volume":"4"},"uris":["http://www.mendeley.com/documents/?uuid=45548516-291d-49bc-b080-a142c69d87e6"]}],"mendeley":{"formattedCitation":"&lt;sup&gt;[8,11–13]&lt;/sup&gt;","plainTextFormattedCitation":"[8,11–13]","previouslyFormattedCitation":"&lt;sup&gt;[8,11–13]&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[8,11–13]</w:t>
      </w:r>
      <w:r w:rsidR="00A75298" w:rsidRPr="009D7554">
        <w:rPr>
          <w:rFonts w:ascii="Book Antiqua" w:hAnsi="Book Antiqua"/>
          <w:lang w:val="en-US"/>
        </w:rPr>
        <w:fldChar w:fldCharType="end"/>
      </w:r>
      <w:r w:rsidRPr="009D7554">
        <w:rPr>
          <w:rFonts w:ascii="Book Antiqua" w:hAnsi="Book Antiqua"/>
          <w:lang w:val="en-US"/>
        </w:rPr>
        <w:t xml:space="preserve">. Indeed, solid tumors may respond to therapies </w:t>
      </w:r>
      <w:r w:rsidR="00C8073A" w:rsidRPr="009D7554">
        <w:rPr>
          <w:rFonts w:ascii="Book Antiqua" w:hAnsi="Book Antiqua"/>
          <w:lang w:val="en-US"/>
        </w:rPr>
        <w:t xml:space="preserve">by developing </w:t>
      </w:r>
      <w:r w:rsidRPr="009D7554">
        <w:rPr>
          <w:rFonts w:ascii="Book Antiqua" w:hAnsi="Book Antiqua"/>
          <w:lang w:val="en-US"/>
        </w:rPr>
        <w:t xml:space="preserve">intratumoral necrotic areas and/or cystic or myxoid degeneration; as a result, the overall </w:t>
      </w:r>
      <w:r w:rsidR="00C8073A" w:rsidRPr="009D7554">
        <w:rPr>
          <w:rFonts w:ascii="Book Antiqua" w:hAnsi="Book Antiqua"/>
          <w:lang w:val="en-US"/>
        </w:rPr>
        <w:t xml:space="preserve">size of the </w:t>
      </w:r>
      <w:r w:rsidRPr="009D7554">
        <w:rPr>
          <w:rFonts w:ascii="Book Antiqua" w:hAnsi="Book Antiqua"/>
          <w:lang w:val="en-US"/>
        </w:rPr>
        <w:t>neoplas</w:t>
      </w:r>
      <w:r w:rsidR="00C8073A" w:rsidRPr="009D7554">
        <w:rPr>
          <w:rFonts w:ascii="Book Antiqua" w:hAnsi="Book Antiqua"/>
          <w:lang w:val="en-US"/>
        </w:rPr>
        <w:t>m</w:t>
      </w:r>
      <w:r w:rsidRPr="009D7554">
        <w:rPr>
          <w:rFonts w:ascii="Book Antiqua" w:hAnsi="Book Antiqua"/>
          <w:lang w:val="en-US"/>
        </w:rPr>
        <w:t xml:space="preserve"> may be reduced, unchanged or paradoxically increased</w:t>
      </w:r>
      <w:r w:rsidR="00A75298" w:rsidRPr="009D7554">
        <w:rPr>
          <w:rFonts w:ascii="Book Antiqua" w:hAnsi="Book Antiqua"/>
          <w:lang w:val="en-US"/>
        </w:rPr>
        <w:fldChar w:fldCharType="begin" w:fldLock="1"/>
      </w:r>
      <w:r w:rsidR="00EA621A" w:rsidRPr="009D7554">
        <w:rPr>
          <w:rFonts w:ascii="Book Antiqua" w:hAnsi="Book Antiqua"/>
          <w:lang w:val="en-US"/>
        </w:rPr>
        <w:instrText>ADDIN CSL_CITATION {"citationItems":[{"id":"ITEM-1","itemData":{"DOI":"10.1055/s-0030-1247132","ISSN":"0272-8087","PMID":"20175033","abstract":"The endpoint in cancer research is overall survival. Nonetheless, other potential surrogate endpoints, such as response rate and time to progression, are currently used. Measurement of response rate in hepatocellular carcinoma (HCC) has become a controversial issue. The World Health Organization (WHO) criteria underestimate the actual response rate; thus, they were amended in 2000 by a panel of experts convened by the European Association for the Study of the Liver (EASL) to take into account treatment-induced tumor necrosis. Applying these guidelines, there was an association between response rate and outcome prediction. More recently, the Response Evaluation Criteria in Solid Tumors (RECIST) guideline was proposed as a method for measuring treatment response based on tumor shrinkage, which is a valuable measure of antitumor activity of cytotoxic drugs. This method was initially adopted by regulatory agencies, such as the U. S. Food and Drug Administration (FDA), for drug approval. However, anatomic tumor response metrics can be misleading when applied to molecular-targeted therapies or locoregional therapies in HCC. In 2008, a group of experts convened by the American Association for the Study of Liver Diseases (AASLD) developed a set of guidelines aimed at providing a common framework for the design of clinical trials in HCC and adapted the concept of viable tumor-tumoral tissue showing uptake in arterial phase of contrast-enhanced radiologic imaging techniques-to formally amend RECIST. These amendments conformed the AASLD-JNCI (Journal of the National Cancer Institute) guidelines and are summarized and clarified in the current article. They are referred to herein as the modified RECIST assessment (mRECIST). Further studies are needed to confirm the accuracy of this measurement compared with conventional gold standards such as pathologic studies of explanted livers.","author":[{"dropping-particle":"","family":"Lencioni","given":"Riccardo","non-dropping-particle":"","parse-names":false,"suffix":""},{"dropping-particle":"","family":"Llovet","given":"Josep","non-dropping-particle":"","parse-names":false,"suffix":""}],"container-title":"Seminars in Liver Disease","id":"ITEM-1","issue":"01","issued":{"date-parts":[["2010","2","19"]]},"page":"052-060","title":"Modified RECIST (mRECIST) Assessment for Hepatocellular Carcinoma","type":"article-journal","volume":"30"},"uris":["http://www.mendeley.com/documents/?uuid=70c3c660-9d48-496f-948a-dc0ca93f3a14"]},{"id":"ITEM-2","itemData":{"DOI":"10.1080/02841850903059423","ISSN":"0284-1851","PMID":"19735005","abstract":"Gastrointestinal stromal tumors (GISTs) account for the majority of gastrointestinal mesenchymal tumors. Recent advances in treatment using the molecular targeting agent imatinib mesylate have shown startling response rates and variegated imaging findings. We present the various imaging appearances of GIST on computed tomography (CT) and magnetic resonance imaging (MRI), both before and after treatment. © 2009 Informa UK Ltd.","author":[{"dropping-particle":"","family":"Shankar","given":"S.","non-dropping-particle":"","parse-names":false,"suffix":""},{"dropping-particle":"","family":"Dundamadappa","given":"S. K.","non-dropping-particle":"","parse-names":false,"suffix":""},{"dropping-particle":"","family":"Karam","given":"A. R.","non-dropping-particle":"","parse-names":false,"suffix":""},{"dropping-particle":"","family":"Stay","given":"R. M.","non-dropping-particle":"","parse-names":false,"suffix":""},{"dropping-particle":"","family":"Sonnenberg","given":"E.","non-dropping-particle":"van","parse-names":false,"suffix":""}],"container-title":"Acta Radiologica","id":"ITEM-2","issue":"8","issued":{"date-parts":[["2009","10"]]},"page":"837-844","title":"Imaging of gastrointestinal stromal tumors before and after imatinib mesylate therapy","type":"article-journal","volume":"50"},"uris":["http://www.mendeley.com/documents/?uuid=7bc988a6-1e5e-488e-9823-5f8e5365e5cb"]},{"id":"ITEM-3","itemData":{"DOI":"10.2214/AJR.11.7910","ISSN":"0361-803X","PMID":"22997372","abstract":"OBJECTIVE: Our retrospective study compared Response Evaluation Criteria in Solid Tumors (RECIST) version 1.1 with modified CT criteria to determine their respective utilities as a prognostic indicator. Using both sets of criteria, we compared treatment responses of patients with colorectal liver metastases treated with bevacizumab-containing chemotherapy with those of patients treated with chemotherapy alone.\\n\\nMATERIALS AND METHODS: Fifty-nine patients who received bevacizumab-containing chemotherapy (n=30, group 1) or chemotherapy alone (n=29, group 2) for the treatment of colorectal carcinoma underwent contrast-enhanced CT before treatment and 2 months after treatment. Two radiologists determined changes in tumor size and density between the pretreatment and 2-month follow-up CT images. RECIST 1.1 assesses responses on the basis of changes in tumor size, and the modified CT criteria assesses responses on the basis of changes in tumor density and size. Responses were correlated with time to tumor progression by log rank test.\\n\\nRESULTS: According to RECIST 1.1, nine of 30 patients (30%) in group 1 and 12 of 29 patients (41%) in group 2 were good responders. According to the modified CT criteria, 23 of 30 patients in group 1 (77%) and 23 of 29 patients in group 2 (79%) were good responders. As assessed by the modified CT criteria, good responders in both groups had significantly longer time to tumor progression than poor responders (p&lt;0.05). As assessed by RECIST 1.1, good responders in group 1 had significantly longer time to tumor progression than poor responders (p=0.0154), but there was no difference in group 2.\\n\\nCONCLUSION: Evaluating treatment response with tumor size and density changes on CT was a better predictor of time to tumor progression than changes in tumor size alone in both groups.","author":[{"dropping-particle":"","family":"Chung","given":"Woo-Suk","non-dropping-particle":"","parse-names":false,"suffix":""},{"dropping-particle":"","family":"Park","given":"Mi-Suk","non-dropping-particle":"","parse-names":false,"suffix":""},{"dropping-particle":"","family":"Shin","given":"Sang Joon","non-dropping-particle":"","parse-names":false,"suffix":""},{"dropping-particle":"","family":"Baek","given":"Song-Ee","non-dropping-particle":"","parse-names":false,"suffix":""},{"dropping-particle":"","family":"Kim","given":"Yeo-Eun","non-dropping-particle":"","parse-names":false,"suffix":""},{"dropping-particle":"","family":"Choi","given":"Jin Young","non-dropping-particle":"","parse-names":false,"suffix":""},{"dropping-particle":"","family":"Kim","given":"Myeong-Jin","non-dropping-particle":"","parse-names":false,"suffix":""}],"container-title":"American Journal of Roentgenology","id":"ITEM-3","issue":"4","issued":{"date-parts":[["2012","10"]]},"page":"809-815","title":"Response Evaluation in Patients With Colorectal Liver Metastases: RECIST Version 1.1 Versus Modified CT Criteria","type":"article-journal","volume":"199"},"uris":["http://www.mendeley.com/documents/?uuid=9578ac01-e7a4-49ba-a226-f55832525612"]}],"mendeley":{"formattedCitation":"&lt;sup&gt;[12,14,15]&lt;/sup&gt;","plainTextFormattedCitation":"[12,14,15]","previouslyFormattedCitation":"&lt;sup&gt;[12,14,15]&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[12,14,15]</w:t>
      </w:r>
      <w:r w:rsidR="00A75298" w:rsidRPr="009D7554">
        <w:rPr>
          <w:rFonts w:ascii="Book Antiqua" w:hAnsi="Book Antiqua"/>
          <w:lang w:val="en-US"/>
        </w:rPr>
        <w:fldChar w:fldCharType="end"/>
      </w:r>
      <w:r w:rsidR="00EA621A" w:rsidRPr="009D7554">
        <w:rPr>
          <w:rFonts w:ascii="Book Antiqua" w:hAnsi="Book Antiqua"/>
          <w:lang w:val="en-US"/>
        </w:rPr>
        <w:t>.</w:t>
      </w:r>
    </w:p>
    <w:p w:rsidR="003F78BF" w:rsidRPr="009D7554" w:rsidRDefault="003F78BF" w:rsidP="00C2451F">
      <w:pPr>
        <w:widowControl w:val="0"/>
        <w:autoSpaceDE w:val="0"/>
        <w:snapToGrid w:val="0"/>
        <w:spacing w:line="360" w:lineRule="auto"/>
        <w:ind w:firstLineChars="100" w:firstLine="240"/>
        <w:jc w:val="both"/>
        <w:rPr>
          <w:rFonts w:ascii="Book Antiqua" w:hAnsi="Book Antiqua"/>
          <w:lang w:val="en-US"/>
        </w:rPr>
      </w:pPr>
      <w:r w:rsidRPr="009D7554">
        <w:rPr>
          <w:rFonts w:ascii="Book Antiqua" w:hAnsi="Book Antiqua"/>
          <w:lang w:val="en-US"/>
        </w:rPr>
        <w:t>To overcome the above</w:t>
      </w:r>
      <w:r w:rsidR="00502E2D" w:rsidRPr="009D7554">
        <w:rPr>
          <w:rFonts w:ascii="Book Antiqua" w:hAnsi="Book Antiqua"/>
          <w:lang w:val="en-US"/>
        </w:rPr>
        <w:t>-</w:t>
      </w:r>
      <w:r w:rsidR="00C8073A" w:rsidRPr="009D7554">
        <w:rPr>
          <w:rFonts w:ascii="Book Antiqua" w:hAnsi="Book Antiqua"/>
          <w:lang w:val="en-US"/>
        </w:rPr>
        <w:t>described</w:t>
      </w:r>
      <w:r w:rsidRPr="009D7554">
        <w:rPr>
          <w:rFonts w:ascii="Book Antiqua" w:hAnsi="Book Antiqua"/>
          <w:lang w:val="en-US"/>
        </w:rPr>
        <w:t xml:space="preserve"> limitations, parametric imaging could a useful tool to integrate the information </w:t>
      </w:r>
      <w:r w:rsidR="00C8073A" w:rsidRPr="009D7554">
        <w:rPr>
          <w:rFonts w:ascii="Book Antiqua" w:hAnsi="Book Antiqua"/>
          <w:lang w:val="en-US"/>
        </w:rPr>
        <w:t xml:space="preserve">obtained from </w:t>
      </w:r>
      <w:r w:rsidRPr="009D7554">
        <w:rPr>
          <w:rFonts w:ascii="Book Antiqua" w:hAnsi="Book Antiqua"/>
          <w:lang w:val="en-US"/>
        </w:rPr>
        <w:t xml:space="preserve">morphological imaging. PA allows the extraction of numerical data </w:t>
      </w:r>
      <w:r w:rsidR="00C8073A" w:rsidRPr="009D7554">
        <w:rPr>
          <w:rFonts w:ascii="Book Antiqua" w:hAnsi="Book Antiqua"/>
          <w:lang w:val="en-US"/>
        </w:rPr>
        <w:t>as either</w:t>
      </w:r>
      <w:r w:rsidRPr="009D7554">
        <w:rPr>
          <w:rFonts w:ascii="Book Antiqua" w:hAnsi="Book Antiqua"/>
          <w:lang w:val="en-US"/>
        </w:rPr>
        <w:t xml:space="preserve"> quantitative parameters (processed according to a pharmacokinetic model and expressed as </w:t>
      </w:r>
      <w:r w:rsidR="00C8073A" w:rsidRPr="009D7554">
        <w:rPr>
          <w:rFonts w:ascii="Book Antiqua" w:hAnsi="Book Antiqua"/>
          <w:lang w:val="en-US"/>
        </w:rPr>
        <w:t xml:space="preserve">an </w:t>
      </w:r>
      <w:r w:rsidRPr="009D7554">
        <w:rPr>
          <w:rFonts w:ascii="Book Antiqua" w:hAnsi="Book Antiqua"/>
          <w:lang w:val="en-US"/>
        </w:rPr>
        <w:t xml:space="preserve">absolute amount with a corresponding unit of measurement) or </w:t>
      </w:r>
      <w:r w:rsidR="00C8073A" w:rsidRPr="009D7554">
        <w:rPr>
          <w:rFonts w:ascii="Book Antiqua" w:hAnsi="Book Antiqua"/>
          <w:lang w:val="en-US"/>
        </w:rPr>
        <w:t xml:space="preserve">as </w:t>
      </w:r>
      <w:r w:rsidRPr="009D7554">
        <w:rPr>
          <w:rFonts w:ascii="Book Antiqua" w:hAnsi="Book Antiqua"/>
          <w:lang w:val="en-US"/>
        </w:rPr>
        <w:t>semiquantitative parameters (</w:t>
      </w:r>
      <w:r w:rsidR="00C8073A" w:rsidRPr="009D7554">
        <w:rPr>
          <w:rFonts w:ascii="Book Antiqua" w:hAnsi="Book Antiqua"/>
          <w:lang w:val="en-US"/>
        </w:rPr>
        <w:t xml:space="preserve">as a </w:t>
      </w:r>
      <w:r w:rsidRPr="009D7554">
        <w:rPr>
          <w:rFonts w:ascii="Book Antiqua" w:hAnsi="Book Antiqua"/>
          <w:lang w:val="en-US"/>
        </w:rPr>
        <w:t xml:space="preserve">ratio </w:t>
      </w:r>
      <w:r w:rsidR="00C8073A" w:rsidRPr="009D7554">
        <w:rPr>
          <w:rFonts w:ascii="Book Antiqua" w:hAnsi="Book Antiqua"/>
          <w:lang w:val="en-US"/>
        </w:rPr>
        <w:t xml:space="preserve">of </w:t>
      </w:r>
      <w:r w:rsidRPr="009D7554">
        <w:rPr>
          <w:rFonts w:ascii="Book Antiqua" w:hAnsi="Book Antiqua"/>
          <w:lang w:val="en-US"/>
        </w:rPr>
        <w:t xml:space="preserve">the </w:t>
      </w:r>
      <w:r w:rsidR="00C8073A" w:rsidRPr="009D7554">
        <w:rPr>
          <w:rFonts w:ascii="Book Antiqua" w:hAnsi="Book Antiqua"/>
          <w:lang w:val="en-US"/>
        </w:rPr>
        <w:t xml:space="preserve">measured amount </w:t>
      </w:r>
      <w:r w:rsidRPr="009D7554">
        <w:rPr>
          <w:rFonts w:ascii="Book Antiqua" w:hAnsi="Book Antiqua"/>
          <w:lang w:val="en-US"/>
        </w:rPr>
        <w:t xml:space="preserve">and a standard of reference and expressed as pure number). In the following text, for </w:t>
      </w:r>
      <w:r w:rsidR="00C8073A" w:rsidRPr="009D7554">
        <w:rPr>
          <w:rFonts w:ascii="Book Antiqua" w:hAnsi="Book Antiqua"/>
          <w:lang w:val="en-US"/>
        </w:rPr>
        <w:t xml:space="preserve">the </w:t>
      </w:r>
      <w:r w:rsidRPr="009D7554">
        <w:rPr>
          <w:rFonts w:ascii="Book Antiqua" w:hAnsi="Book Antiqua"/>
          <w:lang w:val="en-US"/>
        </w:rPr>
        <w:t>sake of simplicity, we will use the term quantitative to indicate both quantitative and semiquantitative parameters.</w:t>
      </w:r>
    </w:p>
    <w:p w:rsidR="00C308D7" w:rsidRPr="009D7554" w:rsidRDefault="00C308D7" w:rsidP="006A253E">
      <w:pPr>
        <w:widowControl w:val="0"/>
        <w:autoSpaceDE w:val="0"/>
        <w:autoSpaceDN w:val="0"/>
        <w:adjustRightInd w:val="0"/>
        <w:snapToGrid w:val="0"/>
        <w:spacing w:line="360" w:lineRule="auto"/>
        <w:jc w:val="both"/>
        <w:rPr>
          <w:rFonts w:ascii="Book Antiqua" w:hAnsi="Book Antiqua"/>
          <w:b/>
          <w:lang w:val="en-US"/>
        </w:rPr>
      </w:pPr>
    </w:p>
    <w:p w:rsidR="006763B2" w:rsidRPr="009D7554" w:rsidRDefault="001B0D9A" w:rsidP="006A253E">
      <w:pPr>
        <w:widowControl w:val="0"/>
        <w:autoSpaceDE w:val="0"/>
        <w:autoSpaceDN w:val="0"/>
        <w:adjustRightInd w:val="0"/>
        <w:snapToGrid w:val="0"/>
        <w:spacing w:line="360" w:lineRule="auto"/>
        <w:jc w:val="both"/>
        <w:rPr>
          <w:rFonts w:ascii="Book Antiqua" w:hAnsi="Book Antiqua"/>
          <w:b/>
          <w:strike/>
          <w:lang w:val="x-none"/>
        </w:rPr>
      </w:pPr>
      <w:r w:rsidRPr="009D7554">
        <w:rPr>
          <w:rFonts w:ascii="Book Antiqua" w:hAnsi="Book Antiqua"/>
          <w:b/>
          <w:lang w:val="en-US"/>
        </w:rPr>
        <w:t>ADVANCED QUANTITA</w:t>
      </w:r>
      <w:r w:rsidR="00C8073A" w:rsidRPr="009D7554">
        <w:rPr>
          <w:rFonts w:ascii="Book Antiqua" w:hAnsi="Book Antiqua"/>
          <w:b/>
          <w:lang w:val="en-US"/>
        </w:rPr>
        <w:t>TI</w:t>
      </w:r>
      <w:r w:rsidRPr="009D7554">
        <w:rPr>
          <w:rFonts w:ascii="Book Antiqua" w:hAnsi="Book Antiqua"/>
          <w:b/>
          <w:lang w:val="en-US"/>
        </w:rPr>
        <w:t xml:space="preserve">VE </w:t>
      </w:r>
      <w:r w:rsidR="007608AE" w:rsidRPr="009D7554">
        <w:rPr>
          <w:rFonts w:ascii="Book Antiqua" w:hAnsi="Book Antiqua"/>
          <w:b/>
          <w:lang w:val="en-US"/>
        </w:rPr>
        <w:t>FUNCTIONAL AND MOLECULAR IMAGING</w:t>
      </w:r>
    </w:p>
    <w:p w:rsidR="00E168AA" w:rsidRPr="009D7554" w:rsidRDefault="001B0D9A" w:rsidP="006A253E">
      <w:pPr>
        <w:widowControl w:val="0"/>
        <w:autoSpaceDE w:val="0"/>
        <w:autoSpaceDN w:val="0"/>
        <w:adjustRightInd w:val="0"/>
        <w:snapToGrid w:val="0"/>
        <w:spacing w:line="360" w:lineRule="auto"/>
        <w:jc w:val="both"/>
        <w:rPr>
          <w:rFonts w:ascii="Book Antiqua" w:hAnsi="Book Antiqua"/>
          <w:b/>
          <w:bCs/>
          <w:i/>
          <w:lang w:val="en-US"/>
        </w:rPr>
      </w:pPr>
      <w:r w:rsidRPr="009D7554">
        <w:rPr>
          <w:rFonts w:ascii="Book Antiqua" w:hAnsi="Book Antiqua"/>
          <w:b/>
          <w:bCs/>
          <w:i/>
          <w:lang w:val="en-US"/>
        </w:rPr>
        <w:t>Physiological aspects and technical features</w:t>
      </w:r>
    </w:p>
    <w:p w:rsidR="007A5A4C" w:rsidRPr="009D7554" w:rsidRDefault="00BE6FFD"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 xml:space="preserve">DWI with </w:t>
      </w:r>
      <w:r w:rsidR="00C308D7" w:rsidRPr="009D7554">
        <w:rPr>
          <w:rFonts w:ascii="Book Antiqua" w:hAnsi="Book Antiqua"/>
          <w:b/>
          <w:lang w:val="en-US"/>
        </w:rPr>
        <w:t xml:space="preserve">apparent diffusion coefficient </w:t>
      </w:r>
      <w:r w:rsidRPr="009D7554">
        <w:rPr>
          <w:rFonts w:ascii="Book Antiqua" w:hAnsi="Book Antiqua"/>
          <w:b/>
          <w:lang w:val="en-US"/>
        </w:rPr>
        <w:t>maps</w:t>
      </w:r>
      <w:r w:rsidR="00C308D7" w:rsidRPr="009D7554">
        <w:rPr>
          <w:rFonts w:ascii="Book Antiqua" w:eastAsia="等线" w:hAnsi="Book Antiqua" w:hint="eastAsia"/>
          <w:b/>
          <w:lang w:val="en-US" w:eastAsia="zh-CN"/>
        </w:rPr>
        <w:t>:</w:t>
      </w:r>
      <w:r w:rsidR="00C308D7" w:rsidRPr="009D7554">
        <w:rPr>
          <w:rFonts w:ascii="Book Antiqua" w:eastAsia="等线" w:hAnsi="Book Antiqua"/>
          <w:b/>
          <w:lang w:val="en-US" w:eastAsia="zh-CN"/>
        </w:rPr>
        <w:t xml:space="preserve"> </w:t>
      </w:r>
      <w:r w:rsidR="007A5A4C" w:rsidRPr="009D7554">
        <w:rPr>
          <w:rFonts w:ascii="Book Antiqua" w:hAnsi="Book Antiqua"/>
          <w:lang w:val="en-US"/>
        </w:rPr>
        <w:t xml:space="preserve">DWI is a functional MR technique that </w:t>
      </w:r>
      <w:r w:rsidR="00C8073A" w:rsidRPr="009D7554">
        <w:rPr>
          <w:rFonts w:ascii="Book Antiqua" w:hAnsi="Book Antiqua"/>
          <w:lang w:val="en-US"/>
        </w:rPr>
        <w:t>measures</w:t>
      </w:r>
      <w:r w:rsidR="007A5A4C" w:rsidRPr="009D7554">
        <w:rPr>
          <w:rFonts w:ascii="Book Antiqua" w:hAnsi="Book Antiqua"/>
          <w:lang w:val="en-US"/>
        </w:rPr>
        <w:t xml:space="preserve"> the Brownian motion of water molecules in biological tissues, which is restricted by </w:t>
      </w:r>
      <w:r w:rsidR="00C8073A" w:rsidRPr="009D7554">
        <w:rPr>
          <w:rFonts w:ascii="Book Antiqua" w:hAnsi="Book Antiqua"/>
          <w:lang w:val="en-US"/>
        </w:rPr>
        <w:t xml:space="preserve">an </w:t>
      </w:r>
      <w:r w:rsidR="007A5A4C" w:rsidRPr="009D7554">
        <w:rPr>
          <w:rFonts w:ascii="Book Antiqua" w:hAnsi="Book Antiqua"/>
          <w:lang w:val="en-US"/>
        </w:rPr>
        <w:t>increase in cellularity and architectural tissue changes</w:t>
      </w:r>
      <w:r w:rsidR="00A75298" w:rsidRPr="009D7554">
        <w:rPr>
          <w:rFonts w:ascii="Book Antiqua" w:hAnsi="Book Antiqua"/>
          <w:lang w:val="en-US"/>
        </w:rPr>
        <w:fldChar w:fldCharType="begin" w:fldLock="1"/>
      </w:r>
      <w:r w:rsidR="00EA621A" w:rsidRPr="009D7554">
        <w:rPr>
          <w:rFonts w:ascii="Book Antiqua" w:hAnsi="Book Antiqua"/>
          <w:lang w:val="en-US"/>
        </w:rPr>
        <w:instrText>ADDIN CSL_CITATION {"citationItems":[{"id":"ITEM-1","itemData":{"DOI":"10.1038/ncponc1073","ISSN":"1743-4254","PMID":"18301415","abstract":"Diffusion-weighted MRI (DW-MRI) is a functional imaging technique that displays information about the extent and direction of random water motion in tissues. Water movement in tissues is modified by interactions with hydrophobic cellular membranes, intracellular organelles and macromolecules. DW-MRI provides information on extracellular-space tortuosity, tissue cellularity and the integrity of cellular membranes. Images can be sensitive to large or small displacements of water, therefore, macroscopic water flows and microscopic water displacements in the extracellular space can be depicted. Preclinical and clinical data indicate a number of potential roles of DW-MRI in the characterization of malignancy, including determination of lesion aggressiveness and monitoring response to therapy. This Review outlines the biological basis of observations made on DW-MRI and describes how measurements are acquired and quantified, and discusses the interpretation of images and limitations of the technique. The strength of evidence for adoption of DW-MRI as a biomarker for the assessment of tumor response is presented.","author":[{"dropping-particle":"","family":"Patterson","given":"Daniel M.","non-dropping-particle":"","parse-names":false,"suffix":""},{"dropping-particle":"","family":"Padhani","given":"Anwar R.","non-dropping-particle":"","parse-names":false,"suffix":""},{"dropping-particle":"","family":"Collins","given":"David J.","non-dropping-particle":"","parse-names":false,"suffix":""}],"container-title":"Nature Clinical Practice Oncology","id":"ITEM-1","issue":"4","issued":{"date-parts":[["2008","4","26"]]},"page":"220-233","title":"Technology Insight: water diffusion MRI—a potential new biomarker of response to cancer therapy","type":"article-journal","volume":"5"},"uris":["http://www.mendeley.com/documents/?uuid=fd7d8afc-3ac6-4ab9-a8ec-76e47e6fb009"]},{"id":"ITEM-2","itemData":{"DOI":"10.1016/j.crad.2008.02.001","ISSN":"00099260","PMID":"18555035","abstract":"Aim: To evaluate diffusion-weighted magnetic resonance imaging (DW-MRI) as a marker for disease aggressiveness by comparing tumour apparent diffusion coefficients (ADCs) between patients with low- versus higher-risk localized prostate cancer. Method: Forty-four consecutive patients classified as low- [n = 26, stageT1/T2a, Gleason score ≤ 6, prostate-specific antigen (PSA) &lt; 10 (group 1)] or intermediate/high- [n = 18, stage ≥ T2b and/or Gleason score ≥ 7, and/or PSA &gt; 10 (group 2)] risk, who subsequently were monitored with active surveillance or started neoadjuvant hormone and radiotherapy, respectively, underwent endorectal MRI. T2-weighted (T2W) and DW images (5 b values, 0-800 s/mm2) were acquired and isotropic ADC maps generated. Regions of interest (ROIs) on T2W axial images [around whole prostate, central gland (CG), and tumour] were transferred to ADC maps. Tumour, CG, and peripheral zone (PZ = whole prostate minus CG and tumour) ADCs (fast component from b = 0-100 s/mm2, slow component from b = 100-800 s/mm2) were compared. Results: T2W-defined tumour volume medians, and quartiles were 1.2 cm3, 0.7 and 3.3 cm3 (group 1); and 6 cm3, 1.3 and 16.5 cm3 (group 2). There were significant differences in both ADCfast (1778 ± 264 × 10-6 versus 1583 ± 283 × 10-6 mm2/s, p = 0.03) and ADCslow (1379 ± 321 × 10-6 versus 1196 ± 158 × 10-6 mm2/s, p = 0.001) between groups. Tumour volume (p = 0.002) and ADCslow (p = 0.005) were significant differentiators of risk group. Conclusion: Significant differences in tumour ADCs exist between patients with low-risk, and those with higher-risk localized prostate cancer. DW-MRI merits further study with respect to clinical outcomes. © 2008 The Royal College of Radiologists.","author":[{"dropping-particle":"","family":"deSouza","given":"N.M.","non-dropping-particle":"","parse-names":false,"suffix":""},{"dropping-particle":"","family":"Riches","given":"S.F.","non-dropping-particle":"","parse-names":false,"suffix":""},{"dropping-particle":"","family":"VanAs","given":"N.J.","non-dropping-particle":"","parse-names":false,"suffix":""},{"dropping-particle":"","family":"Morgan","given":"V.A.","non-dropping-particle":"","parse-names":false,"suffix":""},{"dropping-particle":"","family":"Ashley","given":"S.A.","non-dropping-particle":"","parse-names":false,"suffix":""},{"dropping-particle":"","family":"Fisher","given":"C.","non-dropping-particle":"","parse-names":false,"suffix":""},{"dropping-particle":"","family":"Payne","given":"G.S.","non-dropping-particle":"","parse-names":false,"suffix":""},{"dropping-particle":"","family":"Parker","given":"C.","non-dropping-particle":"","parse-names":false,"suffix":""}],"container-title":"Clinical Radiology","id":"ITEM-2","issue":"7","issued":{"date-parts":[["2008","7"]]},"page":"774-782","title":"Diffusion-weighted magnetic resonance imaging: a potential non-invasive marker of tumour aggressiveness in localized prostate cancer","type":"article-journal","volume":"63"},"uris":["http://www.mendeley.com/documents/?uuid=f587ecbf-9749-4fcb-b344-1d25030f9e70"]}],"mendeley":{"formattedCitation":"&lt;sup&gt;[16,17]&lt;/sup&gt;","plainTextFormattedCitation":"[16,17]","previouslyFormattedCitation":"&lt;sup&gt;[16,17]&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[16,17]</w:t>
      </w:r>
      <w:r w:rsidR="00A75298" w:rsidRPr="009D7554">
        <w:rPr>
          <w:rFonts w:ascii="Book Antiqua" w:hAnsi="Book Antiqua"/>
          <w:lang w:val="en-US"/>
        </w:rPr>
        <w:fldChar w:fldCharType="end"/>
      </w:r>
      <w:r w:rsidR="007A5A4C" w:rsidRPr="009D7554">
        <w:rPr>
          <w:rFonts w:ascii="Book Antiqua" w:hAnsi="Book Antiqua"/>
          <w:lang w:val="en-US"/>
        </w:rPr>
        <w:t xml:space="preserve">. Consequently, water diffusion properties are altered in tumors </w:t>
      </w:r>
      <w:r w:rsidR="001F0F25" w:rsidRPr="009D7554">
        <w:rPr>
          <w:rFonts w:ascii="Book Antiqua" w:hAnsi="Book Antiqua"/>
          <w:lang w:val="en-US"/>
        </w:rPr>
        <w:t>because</w:t>
      </w:r>
      <w:r w:rsidR="007A5A4C" w:rsidRPr="009D7554">
        <w:rPr>
          <w:rFonts w:ascii="Book Antiqua" w:hAnsi="Book Antiqua"/>
          <w:lang w:val="en-US"/>
        </w:rPr>
        <w:t xml:space="preserve"> </w:t>
      </w:r>
      <w:r w:rsidR="00C8073A" w:rsidRPr="009D7554">
        <w:rPr>
          <w:rFonts w:ascii="Book Antiqua" w:hAnsi="Book Antiqua"/>
          <w:lang w:val="en-US"/>
        </w:rPr>
        <w:t>of</w:t>
      </w:r>
      <w:r w:rsidR="007A5A4C" w:rsidRPr="009D7554">
        <w:rPr>
          <w:rFonts w:ascii="Book Antiqua" w:hAnsi="Book Antiqua"/>
          <w:lang w:val="en-US"/>
        </w:rPr>
        <w:t xml:space="preserve"> the coexistence of dense cellularity, fibrosis, necrosis, neovascularization and hemorrhage. In detail, </w:t>
      </w:r>
      <w:r w:rsidR="001F0F25" w:rsidRPr="009D7554">
        <w:rPr>
          <w:rFonts w:ascii="Book Antiqua" w:hAnsi="Book Antiqua"/>
          <w:lang w:val="en-US"/>
        </w:rPr>
        <w:t xml:space="preserve">the </w:t>
      </w:r>
      <w:r w:rsidR="007A5A4C" w:rsidRPr="009D7554">
        <w:rPr>
          <w:rFonts w:ascii="Book Antiqua" w:hAnsi="Book Antiqua"/>
          <w:lang w:val="en-US"/>
        </w:rPr>
        <w:t xml:space="preserve">increased tissue cellularity observed in the solid part of a tumor reduces the intercellular space and consequently restricts Brownian motion. </w:t>
      </w:r>
      <w:r w:rsidR="00C8073A" w:rsidRPr="009D7554">
        <w:rPr>
          <w:rFonts w:ascii="Book Antiqua" w:hAnsi="Book Antiqua"/>
          <w:lang w:val="en-US"/>
        </w:rPr>
        <w:t xml:space="preserve">By using </w:t>
      </w:r>
      <w:r w:rsidR="007A5A4C" w:rsidRPr="009D7554">
        <w:rPr>
          <w:rFonts w:ascii="Book Antiqua" w:hAnsi="Book Antiqua"/>
          <w:lang w:val="en-US"/>
        </w:rPr>
        <w:t xml:space="preserve">DWI, it is possible to calculate a quantitative measure of water </w:t>
      </w:r>
      <w:r w:rsidR="001F0F25" w:rsidRPr="009D7554">
        <w:rPr>
          <w:rFonts w:ascii="Book Antiqua" w:hAnsi="Book Antiqua"/>
          <w:lang w:val="en-US"/>
        </w:rPr>
        <w:t>molecule</w:t>
      </w:r>
      <w:r w:rsidR="007A5A4C" w:rsidRPr="009D7554">
        <w:rPr>
          <w:rFonts w:ascii="Book Antiqua" w:hAnsi="Book Antiqua"/>
          <w:lang w:val="en-US"/>
        </w:rPr>
        <w:t xml:space="preserve"> diffusion over time, known as the ADC. The </w:t>
      </w:r>
      <w:r w:rsidR="00C308D7" w:rsidRPr="009D7554">
        <w:rPr>
          <w:rFonts w:ascii="Book Antiqua" w:hAnsi="Book Antiqua"/>
          <w:lang w:val="en-US"/>
        </w:rPr>
        <w:t xml:space="preserve">apparent diffusion coefficient (ADC) </w:t>
      </w:r>
      <w:r w:rsidR="007A5A4C" w:rsidRPr="009D7554">
        <w:rPr>
          <w:rFonts w:ascii="Book Antiqua" w:hAnsi="Book Antiqua"/>
          <w:lang w:val="en-US"/>
        </w:rPr>
        <w:t>value is expressed as 10</w:t>
      </w:r>
      <w:r w:rsidR="007A5A4C" w:rsidRPr="009D7554">
        <w:rPr>
          <w:rFonts w:ascii="Book Antiqua" w:hAnsi="Book Antiqua"/>
          <w:vertAlign w:val="superscript"/>
          <w:lang w:val="en-US"/>
        </w:rPr>
        <w:t>-3</w:t>
      </w:r>
      <w:r w:rsidR="007A5A4C" w:rsidRPr="009D7554">
        <w:rPr>
          <w:rFonts w:ascii="Book Antiqua" w:hAnsi="Book Antiqua"/>
          <w:lang w:val="en-US"/>
        </w:rPr>
        <w:t xml:space="preserve"> mm</w:t>
      </w:r>
      <w:r w:rsidR="007A5A4C" w:rsidRPr="009D7554">
        <w:rPr>
          <w:rFonts w:ascii="Book Antiqua" w:hAnsi="Book Antiqua"/>
          <w:vertAlign w:val="superscript"/>
          <w:lang w:val="en-US"/>
        </w:rPr>
        <w:t>2</w:t>
      </w:r>
      <w:r w:rsidR="007A5A4C" w:rsidRPr="009D7554">
        <w:rPr>
          <w:rFonts w:ascii="Book Antiqua" w:hAnsi="Book Antiqua"/>
          <w:lang w:val="en-US"/>
        </w:rPr>
        <w:t xml:space="preserve">/s and can be </w:t>
      </w:r>
      <w:r w:rsidR="00C46717" w:rsidRPr="009D7554">
        <w:rPr>
          <w:rFonts w:ascii="Book Antiqua" w:hAnsi="Book Antiqua"/>
          <w:lang w:val="en-US"/>
        </w:rPr>
        <w:t xml:space="preserve">calculated </w:t>
      </w:r>
      <w:r w:rsidR="00C8073A" w:rsidRPr="009D7554">
        <w:rPr>
          <w:rFonts w:ascii="Book Antiqua" w:hAnsi="Book Antiqua"/>
          <w:lang w:val="en-US"/>
        </w:rPr>
        <w:t xml:space="preserve">for </w:t>
      </w:r>
      <w:r w:rsidR="007A5A4C" w:rsidRPr="009D7554">
        <w:rPr>
          <w:rFonts w:ascii="Book Antiqua" w:hAnsi="Book Antiqua"/>
          <w:lang w:val="en-US"/>
        </w:rPr>
        <w:t xml:space="preserve">each unit volume (voxel) to provide a parametric ADC map. </w:t>
      </w:r>
      <w:r w:rsidR="001F0F25" w:rsidRPr="009D7554">
        <w:rPr>
          <w:rFonts w:ascii="Book Antiqua" w:hAnsi="Book Antiqua"/>
          <w:lang w:val="en-US"/>
        </w:rPr>
        <w:t>In particular</w:t>
      </w:r>
      <w:r w:rsidR="007A5A4C" w:rsidRPr="009D7554">
        <w:rPr>
          <w:rFonts w:ascii="Book Antiqua" w:hAnsi="Book Antiqua"/>
          <w:lang w:val="en-US"/>
        </w:rPr>
        <w:t>, ADC has been shown to be inversely related to tumor cellularity</w:t>
      </w:r>
      <w:r w:rsidR="001F0F25" w:rsidRPr="009D7554">
        <w:rPr>
          <w:rFonts w:ascii="Book Antiqua" w:hAnsi="Book Antiqua"/>
          <w:lang w:val="en-US"/>
        </w:rPr>
        <w:t>,</w:t>
      </w:r>
      <w:r w:rsidR="007A5A4C" w:rsidRPr="009D7554">
        <w:rPr>
          <w:rFonts w:ascii="Book Antiqua" w:hAnsi="Book Antiqua"/>
          <w:lang w:val="en-US"/>
        </w:rPr>
        <w:t xml:space="preserve"> and it has been clinically applied to distinguish benign from malignant tumors, to assess tumor grade, to delineate </w:t>
      </w:r>
      <w:r w:rsidR="00C46717" w:rsidRPr="009D7554">
        <w:rPr>
          <w:rFonts w:ascii="Book Antiqua" w:hAnsi="Book Antiqua"/>
          <w:lang w:val="en-US"/>
        </w:rPr>
        <w:t xml:space="preserve">the extent of a </w:t>
      </w:r>
      <w:r w:rsidR="007A5A4C" w:rsidRPr="009D7554">
        <w:rPr>
          <w:rFonts w:ascii="Book Antiqua" w:hAnsi="Book Antiqua"/>
          <w:lang w:val="en-US"/>
        </w:rPr>
        <w:t xml:space="preserve">tumor, to define </w:t>
      </w:r>
      <w:r w:rsidR="00C46717" w:rsidRPr="009D7554">
        <w:rPr>
          <w:rFonts w:ascii="Book Antiqua" w:hAnsi="Book Antiqua"/>
          <w:lang w:val="en-US"/>
        </w:rPr>
        <w:t xml:space="preserve">the </w:t>
      </w:r>
      <w:r w:rsidR="007A5A4C" w:rsidRPr="009D7554">
        <w:rPr>
          <w:rFonts w:ascii="Book Antiqua" w:hAnsi="Book Antiqua"/>
          <w:lang w:val="en-US"/>
        </w:rPr>
        <w:t xml:space="preserve">classes of risk </w:t>
      </w:r>
      <w:r w:rsidR="00C46717" w:rsidRPr="009D7554">
        <w:rPr>
          <w:rFonts w:ascii="Book Antiqua" w:hAnsi="Book Antiqua"/>
          <w:lang w:val="en-US"/>
        </w:rPr>
        <w:t>that influence</w:t>
      </w:r>
      <w:r w:rsidR="007A5A4C" w:rsidRPr="009D7554">
        <w:rPr>
          <w:rFonts w:ascii="Book Antiqua" w:hAnsi="Book Antiqua"/>
          <w:lang w:val="en-US"/>
        </w:rPr>
        <w:t xml:space="preserve"> the prognosis, </w:t>
      </w:r>
      <w:r w:rsidR="00C46717" w:rsidRPr="009D7554">
        <w:rPr>
          <w:rFonts w:ascii="Book Antiqua" w:hAnsi="Book Antiqua"/>
          <w:lang w:val="en-US"/>
        </w:rPr>
        <w:t xml:space="preserve">and </w:t>
      </w:r>
      <w:r w:rsidR="007A5A4C" w:rsidRPr="009D7554">
        <w:rPr>
          <w:rFonts w:ascii="Book Antiqua" w:hAnsi="Book Antiqua"/>
          <w:lang w:val="en-US"/>
        </w:rPr>
        <w:t>to evaluate and predict tumor treatment response</w:t>
      </w:r>
      <w:r w:rsidR="00C46717" w:rsidRPr="009D7554">
        <w:rPr>
          <w:rFonts w:ascii="Book Antiqua" w:hAnsi="Book Antiqua"/>
          <w:lang w:val="en-US"/>
        </w:rPr>
        <w:t>s</w:t>
      </w:r>
      <w:r w:rsidR="007A5A4C" w:rsidRPr="009D7554">
        <w:rPr>
          <w:rFonts w:ascii="Book Antiqua" w:hAnsi="Book Antiqua"/>
          <w:lang w:val="en-US"/>
        </w:rPr>
        <w:t xml:space="preserve"> in CRC patients</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{"citationItems":[{"id":"ITEM-1","itemData":{"DOI":"10.2214/AJR.06.1403","ISSN":"0361-803X","PMID":"17515386","abstract":"OBJECTIVE In this article, we present the basic principles of diffusion-weighted imaging (DWI) that can aid radiologists in the qualitative and quantitative interpretation of DW images. However, a detailed discussion of the physics of DWI is beyond the scope of this article. A short discussion ensues on the technical aspects of performing DWI in the body. The emerging applications of DWI for tumor detection, tumor characterization, distinguishing tumor tissue from nontumor tissue, and monitoring and predicting treatment response are highlighted. The challenges to widespread adoption of the technique for cancer imaging in the body are discussed. CONCLUSION DWI derives its image contrast from differences in the motion of water molecules between tissues. Such imaging can be performed quickly without the need for the administration of exogenous contrast medium. The technique yields qualitative and quantitative information that reflects changes at a cellular level and provides unique insights about tumor cellularity and the integrity of cell membranes. Recent advances enable the technique to be widely applied for tumor evaluation in the abdomen and pelvis and have led to the development of whole-body DWI.","author":[{"dropping-particle":"","family":"Koh","given":"Dow-Mu","non-dropping-particle":"","parse-names":false,"suffix":""},{"dropping-particle":"","family":"Collins","given":"David J.","non-dropping-particle":"","parse-names":false,"suffix":""}],"container-title":"American Journal of Roentgenology","id":"ITEM-1","issue":"6","issued":{"date-parts":[["2007","6"]]},"page":"1622-1635","title":"Diffusion-Weighted MRI in the Body: Applications and Challenges in Oncology","type":"article-journal","volume":"188"},"uris":["http://www.mendeley.com/documents/?uuid=602ddb9b-e683-4139-9a14-ca48367ae821"]},{"id":"ITEM-2","itemData":{"DOI":"10.1016/j.critrevonc.2011.12.008","ISSN":"10408428","PMID":"22269446","abstract":"Background: The efficacy of anticancer therapy is usually evaluated by anatomical imaging. However, this method may be suboptimal for the evaluation of novel treatment modalities, such as targeted therapy. Theoretically, functional assessment of tumour response by diffusion weighted imaging (DWI) is an attractive tool for this purpose and may allow an early prediction of response. The optimal use of this method has still to be determined. Method: We reviewed the published literature on clinical DWI in the prediction of response to anticancer therapy, especially targeted therapy. Studies investigating the role of DWI in patients with cancer either for response prediction and/or response monitoring were selected for this analysis. Results: We identified 24 studies that met our criteria. Most studies showed a significant correlation between (changes in) apparent diffusion coefficient (ADC) values and treatment response. However, in different tumours and studies, both high and low pretreatment ADC were found to be associated with response rate. In the course of treatment, an increase in ADC was associated with response in most cases. Conclusion: The potential of DWI for (early) response monitoring of anticancer therapies has been demonstrated. However, validation is hampered by the lack of reproducibility and standardisation. We recommend that these issues should be properly addressed prior to further testing the clinical use of DWI in the assessment of treatments. © 2012 Elsevier Ireland Ltd.","author":[{"dropping-particle":"","family":"Heijmen","given":"Linda","non-dropping-particle":"","parse-names":false,"suffix":""},{"dropping-particle":"","family":"Verstappen","given":"Maartje C.H.M.","non-dropping-particle":"","parse-names":false,"suffix":""},{"dropping-particle":"","family":"Voert","given":"Edwin E.G.W.","non-dropping-particle":"ter","parse-names":false,"suffix":""},{"dropping-particle":"","family":"Punt","given":"Cornelis J.A.","non-dropping-particle":"","parse-names":false,"suffix":""},{"dropping-particle":"","family":"Oyen","given":"Wim J.G.","non-dropping-particle":"","parse-names":false,"suffix":""},{"dropping-particle":"","family":"Geus-Oei","given":"Lioe-Fee","non-dropping-particle":"de","parse-names":false,"suffix":""},{"dropping-particle":"","family":"Hermans","given":"John J.","non-dropping-particle":"","parse-names":false,"suffix":""},{"dropping-particle":"","family":"Heerschap","given":"Arend","non-dropping-particle":"","parse-names":false,"suffix":""},{"dropping-particle":"","family":"Laarhoven","given":"Hanneke W.M.","non-dropping-particle":"van","parse-names":false,"suffix":""}],"container-title":"Critical Reviews in Oncology/Hematology","id":"ITEM-2","issue":"2","issued":{"date-parts":[["2012","8"]]},"page":"194-207","title":"Tumour response prediction by diffusion-weighted MR imaging: Ready for clinical use?","type":"article-journal","volume":"83"},"uris":["http://www.mendeley.com/documents/?uuid=d780ca81-eee3-468e-9dff-d0a19604742a"]}],"mendeley":{"formattedCitation":"&lt;sup&gt;[18,19]&lt;/sup&gt;","plainTextFormattedCitation":"[18,19]","previouslyFormattedCitation":"&lt;sup&gt;[18,19]&lt;/sup&gt;"},"properties":{"noteIndex":0},"schema":"https://github.com/citation-style-language/schema/raw/master/csl-citation.json"}</w:instrText>
      </w:r>
      <w:r w:rsidR="00A75298" w:rsidRPr="009D7554">
        <w:rPr>
          <w:rFonts w:ascii="Book Antiqua" w:hAnsi="Book Antiqua"/>
          <w:lang w:val="en-US"/>
        </w:rPr>
        <w:fldChar w:fldCharType="separate"/>
      </w:r>
      <w:r w:rsidR="00EA621A" w:rsidRPr="009D7554">
        <w:rPr>
          <w:rFonts w:ascii="Book Antiqua" w:hAnsi="Book Antiqua"/>
          <w:vertAlign w:val="superscript"/>
          <w:lang w:val="en-US"/>
        </w:rPr>
        <w:t>[18,19]</w:t>
      </w:r>
      <w:r w:rsidR="00A75298" w:rsidRPr="009D7554">
        <w:rPr>
          <w:rFonts w:ascii="Book Antiqua" w:hAnsi="Book Antiqua"/>
          <w:lang w:val="en-US"/>
        </w:rPr>
        <w:fldChar w:fldCharType="end"/>
      </w:r>
      <w:r w:rsidR="007A5A4C" w:rsidRPr="009D7554">
        <w:rPr>
          <w:rFonts w:ascii="Book Antiqua" w:hAnsi="Book Antiqua"/>
          <w:lang w:val="en-US"/>
        </w:rPr>
        <w:t xml:space="preserve"> (Figure 1).</w:t>
      </w:r>
    </w:p>
    <w:p w:rsidR="000767F2" w:rsidRPr="009D7554" w:rsidRDefault="000767F2" w:rsidP="006A253E">
      <w:pPr>
        <w:widowControl w:val="0"/>
        <w:autoSpaceDE w:val="0"/>
        <w:autoSpaceDN w:val="0"/>
        <w:adjustRightInd w:val="0"/>
        <w:snapToGrid w:val="0"/>
        <w:spacing w:line="360" w:lineRule="auto"/>
        <w:jc w:val="both"/>
        <w:rPr>
          <w:rFonts w:ascii="Book Antiqua" w:hAnsi="Book Antiqua"/>
          <w:lang w:val="en-US"/>
        </w:rPr>
      </w:pPr>
    </w:p>
    <w:p w:rsidR="002071AC" w:rsidRPr="009D7554" w:rsidRDefault="00757517"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PI</w:t>
      </w:r>
      <w:r w:rsidR="009379B5" w:rsidRPr="009D7554">
        <w:rPr>
          <w:rFonts w:ascii="Book Antiqua" w:hAnsi="Book Antiqua"/>
          <w:b/>
          <w:lang w:val="en-US"/>
        </w:rPr>
        <w:t xml:space="preserve"> </w:t>
      </w:r>
      <w:r w:rsidRPr="009D7554">
        <w:rPr>
          <w:rFonts w:ascii="Book Antiqua" w:hAnsi="Book Antiqua"/>
          <w:b/>
          <w:lang w:val="en-US"/>
        </w:rPr>
        <w:t xml:space="preserve">based on </w:t>
      </w:r>
      <w:r w:rsidR="009379B5" w:rsidRPr="009D7554">
        <w:rPr>
          <w:rFonts w:ascii="Book Antiqua" w:hAnsi="Book Antiqua"/>
          <w:b/>
          <w:lang w:val="en-US"/>
        </w:rPr>
        <w:t xml:space="preserve">dynamic contrast enhanced </w:t>
      </w:r>
      <w:r w:rsidRPr="009D7554">
        <w:rPr>
          <w:rFonts w:ascii="Book Antiqua" w:hAnsi="Book Antiqua"/>
          <w:b/>
          <w:lang w:val="en-US"/>
        </w:rPr>
        <w:t>CT or MRI</w:t>
      </w:r>
      <w:r w:rsidR="009379B5" w:rsidRPr="009D7554">
        <w:rPr>
          <w:rFonts w:ascii="Book Antiqua" w:eastAsia="等线" w:hAnsi="Book Antiqua" w:hint="eastAsia"/>
          <w:b/>
          <w:lang w:val="en-US" w:eastAsia="zh-CN"/>
        </w:rPr>
        <w:t>:</w:t>
      </w:r>
      <w:r w:rsidR="009379B5" w:rsidRPr="009D7554">
        <w:rPr>
          <w:rFonts w:ascii="Book Antiqua" w:eastAsia="等线" w:hAnsi="Book Antiqua"/>
          <w:b/>
          <w:lang w:val="en-US" w:eastAsia="zh-CN"/>
        </w:rPr>
        <w:t xml:space="preserve"> </w:t>
      </w:r>
      <w:r w:rsidR="002071AC" w:rsidRPr="009D7554">
        <w:rPr>
          <w:rFonts w:ascii="Book Antiqua" w:hAnsi="Book Antiqua"/>
          <w:lang w:val="en-US"/>
        </w:rPr>
        <w:t xml:space="preserve">Neoangiogenesis, a process induced by the upregulation of vascular growth factors, is a </w:t>
      </w:r>
      <w:r w:rsidR="00C46717" w:rsidRPr="009D7554">
        <w:rPr>
          <w:rFonts w:ascii="Book Antiqua" w:hAnsi="Book Antiqua"/>
          <w:lang w:val="en-US"/>
        </w:rPr>
        <w:t>well-</w:t>
      </w:r>
      <w:r w:rsidR="002071AC" w:rsidRPr="009D7554">
        <w:rPr>
          <w:rFonts w:ascii="Book Antiqua" w:hAnsi="Book Antiqua"/>
          <w:lang w:val="en-US"/>
        </w:rPr>
        <w:t xml:space="preserve">known </w:t>
      </w:r>
      <w:r w:rsidR="00C46717" w:rsidRPr="009D7554">
        <w:rPr>
          <w:rFonts w:ascii="Book Antiqua" w:hAnsi="Book Antiqua"/>
          <w:lang w:val="en-US"/>
        </w:rPr>
        <w:t>critical</w:t>
      </w:r>
      <w:r w:rsidR="002071AC" w:rsidRPr="009D7554">
        <w:rPr>
          <w:rFonts w:ascii="Book Antiqua" w:hAnsi="Book Antiqua"/>
          <w:lang w:val="en-US"/>
        </w:rPr>
        <w:t xml:space="preserve"> aspect of CRC that leads to the development of a new, altered and immature microcirculatory network inside the tumor</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{"citationItems":[{"id":"ITEM-1","itemData":{"ISSN":"0008-5472","PMID":"7553632","abstract":"The growth of solid tumors in vivo beyond 1-2 mm in diameter requires induction and maintenance of an angiogenic response. This can occur through the release of various angiogenic growth factors from tumor cells. One such factor is vascular endothelial growth factor/vascular permeability factor (VEGF/VPF), a secreted and specific mitogen for vascular endothelial cells. We show that one of the most commonly encountered genetic changes detected in human cancer, i.e., expression of mutant ras oncogenes, is associated with marked up-regulation of VEGF/VPF in transformed epithelial cells. Thus, elevation of the levels of both VEGF/VPF mRNA and secreted functional protein were detected in human and rodent tumor cell lines expressing mutant K-ras or H-ras oncogenes, respectively. Genetic disruption of the mutant K-ras allele in human colon carcinoma cells was associated with a reduction in VEGF/VPF activity. Furthermore, pharmacological disruption of mutant RAS protein function in H-ras transformed rat intestinal epithelial cells by treatment with L-739,749 (a protein farnesyltransferase inhibitor) caused a significant suppression of VEGF/VPF. The results suggest that dominantly acting ras oncogenes may contribute to the growth of solid tumors in vivo not only by a direct effect on tumor cell proliferation but also indirectly, i.e., by facilitating tumor angiogenesis. Hence, pharmacologically targeting mutant ras oncogenes could conceivably suppress solid tumor growth in vivo, in part, by inhibiting tumor-induced angiogenesis.","author":[{"dropping-particle":"","family":"Rak","given":"J.","non-dropping-particle":"","parse-names":false,"suffix":""},{"dropping-particle":"","family":"Mitsuhashi","given":"Y.","non-dropping-particle":"","parse-names":false,"suffix":""},{"dropping-particle":"","family":"Bayko","given":"L.","non-dropping-particle":"","parse-names":false,"suffix":""},{"dropping-particle":"","family":"Filmus","given":"J.","non-dropping-particle":"","parse-names":false,"suffix":""},{"dropping-particle":"","family":"Shirasawa","given":"S.","non-dropping-particle":"","parse-names":false,"suffix":""},{"dropping-particle":"","family":"Sasazuki","given":"T.","non-dropping-particle":"","parse-names":false,"suffix":""},{"dropping-particle":"","family":"Kerbel","given":"R. S.","non-dropping-particle":"","parse-names":false,"suffix":""}],"container-title":"Cancer research","id":"ITEM-1","issue":"20","issued":{"date-parts":[["1995","10","15"]]},"page":"4575-80","title":"Mutant ras oncogenes upregulate VEGF/VPF expression: implications for induction and inhibition of tumor angiogenesis.","type":"article-journal","volume":"55"},"uris":["http://www.mendeley.com/documents/?uuid=75f8a330-00da-4978-ae49-69bae1cc90ce"]},{"id":"ITEM-2","itemData":{"DOI":"10.1148/radiol.2492071365","ISSN":"0033-8419","PMID":"18812560","abstract":"Purpose: To establish the relationships between quantitative perfusion computed tomography (CT) parameters-specifically, primary tumor blood flow, blood volume, transit time, and permeability surface-area product-and immunohistologic markers of angiogenesis in colorectal cancer. Materials and Methods: After institutional review board approval and informed patient consent were obtained for this prospective study, 23 patients (11 men, 12 women; mean age, 68.4 years; age range, 34.8-87.1 years) with colorectal adenocarcinoma underwent a 65-second perfusion CT examination, and tumor blood flow, blood volume, mean transit time, and permeability surface-area product were determined. After surgery, resected specimens were sectioned and stained immunohistochemically to identify CD34 for quantification of microvessel density (MVD), to identify smooth muscle actin for assessment of pericyte coverage index, to identify vascular endothelial growth factor (VEGF), and to identify glucose transporter protein (GLUT-1). Perfusion CT measurements were correlated with MVD, pericyte coverage index, VEGF expression, and GLUT-1 expression by using Pearson or Spearman rank correlation analysis, with significance assigned at the 5% level. Results: Mean blood flow, blood volume, transit time, and permeability surface-area product values were 72.1 mL/min/100 g of tissue ± 28.4 (standard deviation), 6.2 mL/100 g of tissue ± 1.4, 9.3 seconds ± 3.9, and 13.9 mL/min/100 g of tissue ± 3.2, respectively. Blood volume (r = 0.59, P = .002) and permeability surface-area product (r = 0.46, P = .03) correlated positively with MVD, but blood flow (r = 0.27, P = .22) and transit time (r=-0.18, P = .44) did not. There were no significant associations between any perfusion CT parameter and pericyte coverage index (r ≤ 0.36, P gt; .05), VEGF score (p le; 0.30, P ge; .15), or GLUT-1 score (p lt; 0.21, P ge; .33). Conclusion: Tumor permeability surface-area product and blood volume correlate positively with MVD and may reflect the microvascularity of colorectal tumors. © RSNA, 2008.","author":[{"dropping-particle":"","family":"Goh","given":"Vicky","non-dropping-particle":"","parse-names":false,"suffix":""},{"dropping-particle":"","family":"Halligan","given":"Steve","non-dropping-particle":"","parse-names":false,"suffix":""},{"dropping-particle":"","family":"Daley","given":"Frances","non-dropping-particle":"","parse-names":false,"suffix":""},{"dropping-particle":"","family":"Wellsted","given":"David M.","non-dropping-particle":"","parse-names":false,"suffix":""},{"dropping-particle":"","family":"Guenther","given":"Thomas","non-dropping-particle":"","parse-names":false,"suffix":""},{"dropping-particle":"","family":"Bartram","given":"Clive I.","non-dropping-particle":"","parse-names":false,"suffix":""}],"container-title":"Radiology","id":"ITEM-2","issue":"2","issued":{"date-parts":[["2008","11"]]},"page":"510-517","title":"Colorectal Tumor Vascularity: Quantitative Assessment with Multidetector CT—Do Tumor Perfusion Measurements Reflect Angiogenesis?","type":"article-journal","volume":"249"},"uris":["http://www.mendeley.com/documents/?uuid=c06075f5-0af5-4f12-838a-75310abb7df8"]},{"id":"ITEM-3","itemData":{"DOI":"10.1259/bjr.20130811","ISSN":"1748-880X","PMID":"24434157","abstract":"Imaging plays an important role in the assessment of colorectal cancer, including diagnosis, staging, selection of treatment, assessment of treatment response, surveillance and investigation of suspected disease relapse. Anatomical imaging remains the mainstay for size measurement and structural evaluation; however, functional imaging techniques may provide additional insights into the tumour microenvironment. With dynamic contrast-enhanced CT techniques, iodinated contrast agent kinetics may inform on regional tumour perfusion, shunting and microvascular function and provide a surrogate measure of tumour hypoxia and angiogenesis. In colorectal cancer, this may be relevant for clinical practice in terms of tumour phenotyping, prognostication, selection of individualized treatment and therapy response assessment.","author":[{"dropping-particle":"","family":"Goh","given":"V","non-dropping-particle":"","parse-names":false,"suffix":""},{"dropping-particle":"","family":"Glynne-Jones","given":"R","non-dropping-particle":"","parse-names":false,"suffix":""}],"container-title":"The British journal of radiology","id":"ITEM-3","issue":"1034","issued":{"date-parts":[["2014","2"]]},"page":"20130811","title":"Perfusion CT imaging of colorectal cancer.","type":"article-journal","volume":"87"},"uris":["http://www.mendeley.com/documents/?uuid=80fe028b-f749-4a3e-aa8f-1fe6c380d86e"]}],"mendeley":{"formattedCitation":"&lt;sup&gt;[20–22]&lt;/sup&gt;","plainTextFormattedCitation":"[20–22]","previouslyFormattedCitation":"&lt;sup&gt;[20–22]&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[20–22]</w:t>
      </w:r>
      <w:r w:rsidR="00A75298" w:rsidRPr="009D7554">
        <w:rPr>
          <w:rFonts w:ascii="Book Antiqua" w:hAnsi="Book Antiqua"/>
          <w:lang w:val="en-US"/>
        </w:rPr>
        <w:fldChar w:fldCharType="end"/>
      </w:r>
      <w:r w:rsidR="002071AC" w:rsidRPr="009D7554">
        <w:rPr>
          <w:rFonts w:ascii="Book Antiqua" w:hAnsi="Book Antiqua"/>
          <w:lang w:val="en-US"/>
        </w:rPr>
        <w:t>. In particular, neoangiogenesis promotes an irregular architectural vascular pattern</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{"citationItems":[{"id":"ITEM-1","itemData":{"DOI":"10.1054/bjoc.2001.1809","ISSN":"15321827","PMID":"11355947","abstract":"Summary Despite the significance of tumour neoangiogenesis and the extensive knowledge on the molecular basis of blood vessel formation currently no quantitative data exist on the 3D microvascular architecture in human primary tumours and their precursor lesions. This prompted us to examine the 3D vascular network of normal colon mucosa, adenomas and invasive carcinomas by means of quantitative microvascular corrosion casting. Fresh hemicolectomy specimens from 20 patients undergoing cancer or polyposis coli surgery were used for corrosion casting, factor VIII and VEGF immunostaining. In addition, immunostaining was done on colorectal tissue from 33 patients with metastatic and non-metastatic carcinomas, polyposis coil and adenomas. This first quantitative analysis of intervessel and interbranching distances, branching angles and vessel diameters in human cancer specimens revealed distinct patterns of the microvascular unit in the tumour centre and periphery. Irrespective of the tumour localization and grading all individual tumours displayed qualitatively and quantitatively the same vascular architecture. This gives further evidence for the existence of a tumour type-specific vascular architecture as recently demonstrated for experimental tumours. Metastatic tumours displayed different vascular architectures only within hot spots, in terms of smaller intervascular distances than in non-metastatic tumours. Pre-cancerous lesions have in part virtually the same vascular architecture like invasive carcinomas. Comparison of VEGF immunostaining also suggests that angiogenesis sets in long before the progress towards invasive phenotypes and that the so-called angiogenic switch is more likely a sequence of events. © 2001 Cancer Research Campaign.","author":[{"dropping-particle":"","family":"Konerding","given":"M. A.","non-dropping-particle":"","parse-names":false,"suffix":""},{"dropping-particle":"","family":"Fait","given":"E.","non-dropping-particle":"","parse-names":false,"suffix":""},{"dropping-particle":"","family":"Gaumann","given":"A.","non-dropping-particle":"","parse-names":false,"suffix":""}],"container-title":"British Journal of Cancer","id":"ITEM-1","issue":"10","issued":{"date-parts":[["2001","5","15"]]},"page":"1354-1362","title":"3D microvascular architecture of pre-cancerous lesions and invasive carcinomas of the colon","type":"article-journal","volume":"84"},"uris":["http://www.mendeley.com/documents/?uuid=57803476-89ca-4de2-8aec-98627d64ac44"]}],"mendeley":{"formattedCitation":"&lt;sup&gt;[23]&lt;/sup&gt;","plainTextFormattedCitation":"[23]","previouslyFormattedCitation":"&lt;sup&gt;[23]&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[23]</w:t>
      </w:r>
      <w:r w:rsidR="00A75298" w:rsidRPr="009D7554">
        <w:rPr>
          <w:rFonts w:ascii="Book Antiqua" w:hAnsi="Book Antiqua"/>
          <w:lang w:val="en-US"/>
        </w:rPr>
        <w:fldChar w:fldCharType="end"/>
      </w:r>
      <w:r w:rsidR="002071AC" w:rsidRPr="009D7554">
        <w:rPr>
          <w:rFonts w:ascii="Book Antiqua" w:hAnsi="Book Antiqua"/>
          <w:lang w:val="en-US"/>
        </w:rPr>
        <w:t xml:space="preserve"> with areas of low vascular density and regions of high angiogenic activity. Consequently, neoangiogenesis causes structural heterogeneity due to the coexistence of areas of high cell density, necrosis, hemorrhage and myxoid change</w:t>
      </w:r>
      <w:r w:rsidR="00C46717" w:rsidRPr="009D7554">
        <w:rPr>
          <w:rFonts w:ascii="Book Antiqua" w:hAnsi="Book Antiqua"/>
          <w:lang w:val="en-US"/>
        </w:rPr>
        <w:t>s</w:t>
      </w:r>
      <w:r w:rsidR="002071AC" w:rsidRPr="009D7554">
        <w:rPr>
          <w:rFonts w:ascii="Book Antiqua" w:hAnsi="Book Antiqua"/>
          <w:lang w:val="en-US"/>
        </w:rPr>
        <w:t xml:space="preserve"> within tumoral tissue</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{"citationItems":[{"id":"ITEM-1","itemData":{"DOI":"10.1101/gad.1204904","ISSN":"0890-9369","PMID":"15314031","abstract":"Genomic instability is a hallmark of cancer development and progression, and characterizing the stresses that create and the mechanisms by which cells respond to genomic perturbations is essential. Here we demonstrate that antiapoptotic BCL-2 family proteins promoted tumor formation of transformed baby mouse kidney (BMK) epithelial cells by antagonizing BAX- and BAK-dependent apoptosis. Cell death in vivo correlated with hypoxia and induction of PUMA (p53 up-regulated modulator of apoptosis). Strikingly, carcinomas formed by transformed BMK cells in which apoptosis was blocked by aberrant BCL-2 family protein function displayed prevalent, highly polyploid, tumor giant cells. Examination of the transformed BMK cells in vivo revealed aberrant metaphases and ploidy changes in tumors as early as 9 d after implantation, which progressed in magnitude during the tumorigenic process. An in vitro ischemia system mimicked the tumor microenvironment, and gain of BCL-2 or loss of BAX and BAK was sufficient to confer resistance to apoptosis and to allow for accumulation of polyploid cells in vitro. These data suggest that in vivo, even in cells in which p53 function is compromised, apoptosis is an essential response to hypoxia and ischemia in the tumor microenvironment and that abrogation of this response allows the survival of cells with abnormal genomes and promotes tumorigenesis.","author":[{"dropping-particle":"","family":"Nelson","given":"Deirdre A.","non-dropping-particle":"","parse-names":false,"suffix":""}],"container-title":"Genes &amp; Development","id":"ITEM-1","issue":"17","issued":{"date-parts":[["2004","9","1"]]},"page":"2095-2107","title":"Hypoxia and defective apoptosis drive genomic instability and tumorigenesis","type":"article-journal","volume":"18"},"uris":["http://www.mendeley.com/documents/?uuid=d5591b45-ee47-4c54-959e-d3ff77deddf2"]}],"mendeley":{"formattedCitation":"&lt;sup&gt;[24]&lt;/sup&gt;","plainTextFormattedCitation":"[24]","previouslyFormattedCitation":"&lt;sup&gt;[24]&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[24]</w:t>
      </w:r>
      <w:r w:rsidR="00A75298" w:rsidRPr="009D7554">
        <w:rPr>
          <w:rFonts w:ascii="Book Antiqua" w:hAnsi="Book Antiqua"/>
          <w:lang w:val="en-US"/>
        </w:rPr>
        <w:fldChar w:fldCharType="end"/>
      </w:r>
      <w:r w:rsidR="002071AC" w:rsidRPr="009D7554">
        <w:rPr>
          <w:rFonts w:ascii="Book Antiqua" w:hAnsi="Book Antiqua"/>
          <w:lang w:val="en-US"/>
        </w:rPr>
        <w:t>.</w:t>
      </w:r>
    </w:p>
    <w:p w:rsidR="00991A45" w:rsidRPr="009D7554" w:rsidRDefault="008B551C" w:rsidP="00307B86">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The above</w:t>
      </w:r>
      <w:r w:rsidR="00C46717" w:rsidRPr="009D7554">
        <w:rPr>
          <w:rFonts w:ascii="Book Antiqua" w:hAnsi="Book Antiqua"/>
          <w:lang w:val="en-US"/>
        </w:rPr>
        <w:t xml:space="preserve">-described </w:t>
      </w:r>
      <w:r w:rsidRPr="009D7554">
        <w:rPr>
          <w:rFonts w:ascii="Book Antiqua" w:hAnsi="Book Antiqua"/>
          <w:lang w:val="en-US"/>
        </w:rPr>
        <w:t xml:space="preserve">phenomena can be investigated using a functional modality </w:t>
      </w:r>
      <w:r w:rsidR="001F0F25" w:rsidRPr="009D7554">
        <w:rPr>
          <w:rFonts w:ascii="Book Antiqua" w:hAnsi="Book Antiqua"/>
          <w:lang w:val="en-US"/>
        </w:rPr>
        <w:t xml:space="preserve">such </w:t>
      </w:r>
      <w:r w:rsidRPr="009D7554">
        <w:rPr>
          <w:rFonts w:ascii="Book Antiqua" w:hAnsi="Book Antiqua"/>
          <w:lang w:val="en-US"/>
        </w:rPr>
        <w:t xml:space="preserve">as PI based on </w:t>
      </w:r>
      <w:r w:rsidR="009379B5" w:rsidRPr="009D7554">
        <w:rPr>
          <w:rFonts w:ascii="Book Antiqua" w:hAnsi="Book Antiqua"/>
          <w:lang w:val="en-US"/>
        </w:rPr>
        <w:t>dynamic contrast enhanced (DCE)</w:t>
      </w:r>
      <w:r w:rsidRPr="009D7554">
        <w:rPr>
          <w:rFonts w:ascii="Book Antiqua" w:hAnsi="Book Antiqua"/>
          <w:lang w:val="en-US"/>
        </w:rPr>
        <w:t xml:space="preserve">. DCE imaging consists </w:t>
      </w:r>
      <w:r w:rsidR="001F0F25" w:rsidRPr="009D7554">
        <w:rPr>
          <w:rFonts w:ascii="Book Antiqua" w:hAnsi="Book Antiqua"/>
          <w:lang w:val="en-US"/>
        </w:rPr>
        <w:t>of</w:t>
      </w:r>
      <w:r w:rsidRPr="009D7554">
        <w:rPr>
          <w:rFonts w:ascii="Book Antiqua" w:hAnsi="Book Antiqua"/>
          <w:lang w:val="en-US"/>
        </w:rPr>
        <w:t xml:space="preserve"> the acquisition of baseline images before intravenous contrast agent injection, followed by subsequent image acquisition</w:t>
      </w:r>
      <w:r w:rsidR="00C46717" w:rsidRPr="009D7554">
        <w:rPr>
          <w:rFonts w:ascii="Book Antiqua" w:hAnsi="Book Antiqua"/>
          <w:lang w:val="en-US"/>
        </w:rPr>
        <w:t xml:space="preserve"> over time </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{"citationItems":[{"id":"ITEM-1","itemData":{"DOI":"10.1259/bjr/55166688","ISSN":"0007-1285","PMID":"22433822","abstract":"Over the last few decades there has been considerable research into quantifying the cerebral microvasculature with imaging, for use in studies of the human brain and various pathologies including cerebral tumours. This review highlights key issues in dynamic contrast-enhanced CT, dynamic contrast-enhanced MRI and arterial spin labelling, the various applications of which are considered elsewhere in this special issue of the British Journal of Radiology. © 2011 The British Institute of Radiology.","author":[{"dropping-particle":"","family":"O'Connor","given":"J P B","non-dropping-particle":"","parse-names":false,"suffix":""},{"dropping-particle":"","family":"Tofts","given":"P. S.","non-dropping-particle":"","parse-names":false,"suffix":""},{"dropping-particle":"","family":"Miles","given":"K. A.","non-dropping-particle":"","parse-names":false,"suffix":""},{"dropping-particle":"","family":"Parkes","given":"L. M.","non-dropping-particle":"","parse-names":false,"suffix":""},{"dropping-particle":"","family":"Thompson","given":"G.","non-dropping-particle":"","parse-names":false,"suffix":""},{"dropping-particle":"","family":"Jackson","given":"A.","non-dropping-particle":"","parse-names":false,"suffix":""}],"container-title":"The British Journal of Radiology","id":"ITEM-1","issue":"special_issue_2","issued":{"date-parts":[["2011","12"]]},"page":"S112-S120","title":"Dynamic contrast-enhanced imaging techniques: CT and MRI","type":"article-journal","volume":"84"},"uris":["http://www.mendeley.com/documents/?uuid=ca54422e-c4ef-4be6-9f85-9cca8b94781b"]}],"mendeley":{"formattedCitation":"&lt;sup&gt;[25]&lt;/sup&gt;","plainTextFormattedCitation":"[25]","previouslyFormattedCitation":"&lt;sup&gt;[25]&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[25]</w:t>
      </w:r>
      <w:r w:rsidR="00A75298" w:rsidRPr="009D7554">
        <w:rPr>
          <w:rFonts w:ascii="Book Antiqua" w:hAnsi="Book Antiqua"/>
          <w:lang w:val="en-US"/>
        </w:rPr>
        <w:fldChar w:fldCharType="end"/>
      </w:r>
      <w:r w:rsidR="00784820" w:rsidRPr="009D7554">
        <w:rPr>
          <w:rFonts w:ascii="Book Antiqua" w:hAnsi="Book Antiqua"/>
          <w:lang w:val="en-US"/>
        </w:rPr>
        <w:t xml:space="preserve">. PI is an advanced DCE quantitative technique based on </w:t>
      </w:r>
      <w:r w:rsidR="00C46717" w:rsidRPr="009D7554">
        <w:rPr>
          <w:rFonts w:ascii="Book Antiqua" w:hAnsi="Book Antiqua"/>
          <w:lang w:val="en-US"/>
        </w:rPr>
        <w:t xml:space="preserve">the </w:t>
      </w:r>
      <w:r w:rsidR="00784820" w:rsidRPr="009D7554">
        <w:rPr>
          <w:rFonts w:ascii="Book Antiqua" w:hAnsi="Book Antiqua"/>
          <w:lang w:val="en-US"/>
        </w:rPr>
        <w:t xml:space="preserve">repeated high frequency acquisition of images, which allows </w:t>
      </w:r>
      <w:r w:rsidR="00C46717" w:rsidRPr="009D7554">
        <w:rPr>
          <w:rFonts w:ascii="Book Antiqua" w:hAnsi="Book Antiqua"/>
          <w:lang w:val="en-US"/>
        </w:rPr>
        <w:t xml:space="preserve">the </w:t>
      </w:r>
      <w:r w:rsidR="00784820" w:rsidRPr="009D7554">
        <w:rPr>
          <w:rFonts w:ascii="Book Antiqua" w:hAnsi="Book Antiqua"/>
          <w:lang w:val="en-US"/>
        </w:rPr>
        <w:t xml:space="preserve">assessment of changes in signal intensity over time. It can be performed with both CT and MRI scanners. PI allows the assessment of vascularity in biological tissues in terms of tumor vessel features (perfusion, permeability, </w:t>
      </w:r>
      <w:r w:rsidR="00C46717" w:rsidRPr="009D7554">
        <w:rPr>
          <w:rFonts w:ascii="Book Antiqua" w:hAnsi="Book Antiqua"/>
          <w:lang w:val="en-US"/>
        </w:rPr>
        <w:t xml:space="preserve">and </w:t>
      </w:r>
      <w:r w:rsidR="00784820" w:rsidRPr="009D7554">
        <w:rPr>
          <w:rFonts w:ascii="Book Antiqua" w:hAnsi="Book Antiqua"/>
          <w:lang w:val="en-US"/>
        </w:rPr>
        <w:t>density), extracellular-extravascular space composition and plasma volume</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{"citationItems":[{"id":"ITEM-1","itemData":{"DOI":"10.1259/bjr/55166688","ISSN":"0007-1285","PMID":"22433822","abstract":"Over the last few decades there has been considerable research into quantifying the cerebral microvasculature with imaging, for use in studies of the human brain and various pathologies including cerebral tumours. This review highlights key issues in dynamic contrast-enhanced CT, dynamic contrast-enhanced MRI and arterial spin labelling, the various applications of which are considered elsewhere in this special issue of the British Journal of Radiology. © 2011 The British Institute of Radiology.","author":[{"dropping-particle":"","family":"O'Connor","given":"J P B","non-dropping-particle":"","parse-names":false,"suffix":""},{"dropping-particle":"","family":"Tofts","given":"P. S.","non-dropping-particle":"","parse-names":false,"suffix":""},{"dropping-particle":"","family":"Miles","given":"K. A.","non-dropping-particle":"","parse-names":false,"suffix":""},{"dropping-particle":"","family":"Parkes","given":"L. M.","non-dropping-particle":"","parse-names":false,"suffix":""},{"dropping-particle":"","family":"Thompson","given":"G.","non-dropping-particle":"","parse-names":false,"suffix":""},{"dropping-particle":"","family":"Jackson","given":"A.","non-dropping-particle":"","parse-names":false,"suffix":""}],"container-title":"The British Journal of Radiology","id":"ITEM-1","issue":"special_issue_2","issued":{"date-parts":[["2011","12"]]},"page":"S112-S120","title":"Dynamic contrast-enhanced imaging techniques: CT and MRI","type":"article-journal","volume":"84"},"uris":["http://www.mendeley.com/documents/?uuid=ca54422e-c4ef-4be6-9f85-9cca8b94781b"]}],"mendeley":{"formattedCitation":"&lt;sup&gt;[25]&lt;/sup&gt;","plainTextFormattedCitation":"[25]","previouslyFormattedCitation":"&lt;sup&gt;[25]&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[25]</w:t>
      </w:r>
      <w:r w:rsidR="00A75298" w:rsidRPr="009D7554">
        <w:rPr>
          <w:rFonts w:ascii="Book Antiqua" w:hAnsi="Book Antiqua"/>
          <w:lang w:val="en-US"/>
        </w:rPr>
        <w:fldChar w:fldCharType="end"/>
      </w:r>
      <w:r w:rsidR="00B02005" w:rsidRPr="009D7554">
        <w:rPr>
          <w:rFonts w:ascii="Book Antiqua" w:hAnsi="Book Antiqua"/>
          <w:lang w:val="en-US"/>
        </w:rPr>
        <w:t xml:space="preserve">. In the following text, we will use the terms DCE and PI </w:t>
      </w:r>
      <w:r w:rsidR="00C46717" w:rsidRPr="009D7554">
        <w:rPr>
          <w:rFonts w:ascii="Book Antiqua" w:hAnsi="Book Antiqua"/>
          <w:lang w:val="en-US"/>
        </w:rPr>
        <w:t>interchangeably</w:t>
      </w:r>
      <w:r w:rsidR="00B02005" w:rsidRPr="009D7554">
        <w:rPr>
          <w:rFonts w:ascii="Book Antiqua" w:hAnsi="Book Antiqua"/>
          <w:lang w:val="en-US"/>
        </w:rPr>
        <w:t xml:space="preserve">. A broad spectrum of quantitative parameters can be obtained using PI to assess </w:t>
      </w:r>
      <w:r w:rsidR="00C46717" w:rsidRPr="009D7554">
        <w:rPr>
          <w:rFonts w:ascii="Book Antiqua" w:hAnsi="Book Antiqua"/>
          <w:lang w:val="en-US"/>
        </w:rPr>
        <w:t xml:space="preserve">the </w:t>
      </w:r>
      <w:r w:rsidR="00B02005" w:rsidRPr="009D7554">
        <w:rPr>
          <w:rFonts w:ascii="Book Antiqua" w:hAnsi="Book Antiqua"/>
          <w:lang w:val="en-US"/>
        </w:rPr>
        <w:t>vascular properties of pathological tissues</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{"citationItems":[{"id":"ITEM-1","itemData":{"DOI":"10.1259/bjr.20130811","ISSN":"1748-880X","PMID":"24434157","abstract":"Imaging plays an important role in the assessment of colorectal cancer, including diagnosis, staging, selection of treatment, assessment of treatment response, surveillance and investigation of suspected disease relapse. Anatomical imaging remains the mainstay for size measurement and structural evaluation; however, functional imaging techniques may provide additional insights into the tumour microenvironment. With dynamic contrast-enhanced CT techniques, iodinated contrast agent kinetics may inform on regional tumour perfusion, shunting and microvascular function and provide a surrogate measure of tumour hypoxia and angiogenesis. In colorectal cancer, this may be relevant for clinical practice in terms of tumour phenotyping, prognostication, selection of individualized treatment and therapy response assessment.","author":[{"dropping-particle":"","family":"Goh","given":"V","non-dropping-particle":"","parse-names":false,"suffix":""},{"dropping-particle":"","family":"Glynne-Jones","given":"R","non-dropping-particle":"","parse-names":false,"suffix":""}],"container-title":"The British journal of radiology","id":"ITEM-1","issue":"1034","issued":{"date-parts":[["2014","2"]]},"page":"20130811","title":"Perfusion CT imaging of colorectal cancer.","type":"article-journal","volume":"87"},"uris":["http://www.mendeley.com/documents/?uuid=80fe028b-f749-4a3e-aa8f-1fe6c380d86e"]}],"mendeley":{"formattedCitation":"&lt;sup&gt;[22]&lt;/sup&gt;","plainTextFormattedCitation":"[22]","previouslyFormattedCitation":"&lt;sup&gt;[22]&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[22]</w:t>
      </w:r>
      <w:r w:rsidR="00A75298" w:rsidRPr="009D7554">
        <w:rPr>
          <w:rFonts w:ascii="Book Antiqua" w:hAnsi="Book Antiqua"/>
          <w:lang w:val="en-US"/>
        </w:rPr>
        <w:fldChar w:fldCharType="end"/>
      </w:r>
      <w:r w:rsidR="00F5443F" w:rsidRPr="009D7554">
        <w:rPr>
          <w:rFonts w:ascii="Book Antiqua" w:hAnsi="Book Antiqua"/>
          <w:lang w:val="en-US"/>
        </w:rPr>
        <w:t xml:space="preserve"> (Figure 2). A summary of the main PI quantitative parameters used </w:t>
      </w:r>
      <w:r w:rsidR="00C46717" w:rsidRPr="009D7554">
        <w:rPr>
          <w:rFonts w:ascii="Book Antiqua" w:hAnsi="Book Antiqua"/>
          <w:lang w:val="en-US"/>
        </w:rPr>
        <w:t xml:space="preserve">in the assessment of </w:t>
      </w:r>
      <w:r w:rsidR="00F5443F" w:rsidRPr="009D7554">
        <w:rPr>
          <w:rFonts w:ascii="Book Antiqua" w:hAnsi="Book Antiqua"/>
          <w:lang w:val="en-US"/>
        </w:rPr>
        <w:t>CRC is shown in Table 2</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{"citationItems":[{"id":"ITEM-1","itemData":{"DOI":"10.1016/j.diii.2013.10.010","ISSN":"22115684","PMID":"24211260","abstract":"The microvascular network formed by the capillaries supplies the tissues and per- mits their function. It provides a considerable surface area for exchanges between blood and tissues. All pathological conditions cause changes in the microcirculation. These changes can be used as imaging biomarkers for the diagnosis of lesions and optimisation of treatment. Among the many imaging techniques developed to study the microcirculation, the analysis of the tissue kinetics of intravenously injected contrast agents is the most widely used, either as positive enhancement for CT, T1-weighted MRI and ultrasound — dynamic contrast-enhanced-imaging (DCE-imaging) — or negative enhancement in T2*-weighted brain MRI — dynamic susceptibility contrast-MRI (DSC-MRI) —. Acquisition involves an injection of contrast agent during the acqui- sition of a dynamic series of images on a zone of interest. These kinetics may be analyzed visually, to define qualitative criteria, or with software using mathematical modelling, to extract quantitative physiological parameters. The results depend on the acquisition conditions (type of imaging device, imaging mode, frequency and total duration of acquisition), the type of contrast agent, the data pre-processing (motion correction, conversion of the signal into concentration) and the data analysis method. Because of these multiple choices it is necessary to understand the physiological processes involved and understand the advantages and limits of each strategy.","author":[{"dropping-particle":"","family":"Cuenod","given":"C.A.","non-dropping-particle":"","parse-names":false,"suffix":""},{"dropping-particle":"","family":"Balvay","given":"D.","non-dropping-particle":"","parse-names":false,"suffix":""}],"container-title":"Diagnostic and Interventional Imaging","id":"ITEM-1","issue":"12","issued":{"date-parts":[["2013","12"]]},"page":"1187-1204","title":"Perfusion and vascular permeability: Basic concepts and measurement in DCE-CT and DCE-MRI","type":"article-journal","volume":"94"},"uris":["http://www.mendeley.com/documents/?uuid=ea9cc2dc-4845-46f6-80d1-8981d325bc3b"]},{"id":"ITEM-2","itemData":{"DOI":"10.3348/kjr.2014.15.5.554","ISSN":"1229-6929","PMID":"25246817","abstract":"Perfusion is a fundamental biological function that refers to the delivery of oxygen and nutrients to tissue by means of blood flow. Perfusion MRI is sensitive to microvasculature and has been applied in a wide variety of clinical applications, including the classification of tumors, identification of stroke regions, and characterization of other diseases. Perfusion MRI techniques are classified with or without using an exogenous contrast agent. Bolus methods, with injections of a contrast agent, provide better sensitivity with higher spatial resolution, and are therefore more widely used in clinical applications. However, arterial spin-labeling methods provide a unique opportunity to measure cerebral blood flow without requiring an exogenous contrast agent and have better accuracy for quantification. Importantly, MRI-based perfusion measurements are minimally invasive overall, and do not use any radiation and radioisotopes. In this review, we describe the principles and techniques of perfusion MRI. This review summarizes comprehensive updated knowledge on the physical principles and techniques of perfusion MRI.","author":[{"dropping-particle":"","family":"Jahng","given":"Geon-Ho","non-dropping-particle":"","parse-names":false,"suffix":""},{"dropping-particle":"","family":"Li","given":"Ka-Loh","non-dropping-particle":"","parse-names":false,"suffix":""},{"dropping-particle":"","family":"Ostergaard","given":"Leif","non-dropping-particle":"","parse-names":false,"suffix":""},{"dropping-particle":"","family":"Calamante","given":"Fernando","non-dropping-particle":"","parse-names":false,"suffix":""}],"container-title":"Korean Journal of Radiology","id":"ITEM-2","issue":"5","issued":{"date-parts":[["2014"]]},"page":"554","title":"Perfusion Magnetic Resonance Imaging: A Comprehensive Update on Principles and Techniques","type":"article-journal","volume":"15"},"uris":["http://www.mendeley.com/documents/?uuid=cfd3d7eb-087f-440e-a453-e50396ae0029"]}],"mendeley":{"formattedCitation":"&lt;sup&gt;[26,27]&lt;/sup&gt;","plainTextFormattedCitation":"[26,27]","previouslyFormattedCitation":"&lt;sup&gt;[26,27]&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[26,27]</w:t>
      </w:r>
      <w:r w:rsidR="00A75298" w:rsidRPr="009D7554">
        <w:rPr>
          <w:rFonts w:ascii="Book Antiqua" w:hAnsi="Book Antiqua"/>
          <w:lang w:val="en-US"/>
        </w:rPr>
        <w:fldChar w:fldCharType="end"/>
      </w:r>
      <w:r w:rsidR="00991A45" w:rsidRPr="009D7554">
        <w:rPr>
          <w:rFonts w:ascii="Book Antiqua" w:hAnsi="Book Antiqua"/>
          <w:lang w:val="en-US"/>
        </w:rPr>
        <w:t xml:space="preserve">. There is a growing interest </w:t>
      </w:r>
      <w:r w:rsidR="001F0F25" w:rsidRPr="009D7554">
        <w:rPr>
          <w:rFonts w:ascii="Book Antiqua" w:hAnsi="Book Antiqua"/>
          <w:lang w:val="en-US"/>
        </w:rPr>
        <w:t>in</w:t>
      </w:r>
      <w:r w:rsidR="00991A45" w:rsidRPr="009D7554">
        <w:rPr>
          <w:rFonts w:ascii="Book Antiqua" w:hAnsi="Book Antiqua"/>
          <w:lang w:val="en-US"/>
        </w:rPr>
        <w:t xml:space="preserve"> the role of PI in clinical practice for tumor detection and characterization</w:t>
      </w:r>
      <w:r w:rsidR="00EE7208" w:rsidRPr="009D7554">
        <w:rPr>
          <w:rFonts w:ascii="Book Antiqua" w:hAnsi="Book Antiqua"/>
          <w:lang w:val="en-US"/>
        </w:rPr>
        <w:t xml:space="preserve"> and</w:t>
      </w:r>
      <w:r w:rsidR="00991A45" w:rsidRPr="009D7554">
        <w:rPr>
          <w:rFonts w:ascii="Book Antiqua" w:hAnsi="Book Antiqua"/>
          <w:lang w:val="en-US"/>
        </w:rPr>
        <w:t xml:space="preserve"> </w:t>
      </w:r>
      <w:r w:rsidR="00C46717" w:rsidRPr="009D7554">
        <w:rPr>
          <w:rFonts w:ascii="Book Antiqua" w:hAnsi="Book Antiqua"/>
          <w:lang w:val="en-US"/>
        </w:rPr>
        <w:t xml:space="preserve">the </w:t>
      </w:r>
      <w:r w:rsidR="00991A45" w:rsidRPr="009D7554">
        <w:rPr>
          <w:rFonts w:ascii="Book Antiqua" w:hAnsi="Book Antiqua"/>
          <w:lang w:val="en-US"/>
        </w:rPr>
        <w:t>assessment of response</w:t>
      </w:r>
      <w:r w:rsidR="00C46717" w:rsidRPr="009D7554">
        <w:rPr>
          <w:rFonts w:ascii="Book Antiqua" w:hAnsi="Book Antiqua"/>
          <w:lang w:val="en-US"/>
        </w:rPr>
        <w:t>s</w:t>
      </w:r>
      <w:r w:rsidR="00991A45" w:rsidRPr="009D7554">
        <w:rPr>
          <w:rFonts w:ascii="Book Antiqua" w:hAnsi="Book Antiqua"/>
          <w:lang w:val="en-US"/>
        </w:rPr>
        <w:t xml:space="preserve"> to therapy (especially </w:t>
      </w:r>
      <w:r w:rsidR="001F0F25" w:rsidRPr="009D7554">
        <w:rPr>
          <w:rFonts w:ascii="Book Antiqua" w:hAnsi="Book Antiqua"/>
          <w:lang w:val="en-US"/>
        </w:rPr>
        <w:t xml:space="preserve">with </w:t>
      </w:r>
      <w:r w:rsidR="00991A45" w:rsidRPr="009D7554">
        <w:rPr>
          <w:rFonts w:ascii="Book Antiqua" w:hAnsi="Book Antiqua"/>
          <w:lang w:val="en-US"/>
        </w:rPr>
        <w:t xml:space="preserve">respect to antiangiogenic </w:t>
      </w:r>
      <w:r w:rsidR="00EE7208" w:rsidRPr="009D7554">
        <w:rPr>
          <w:rFonts w:ascii="Book Antiqua" w:hAnsi="Book Antiqua"/>
          <w:lang w:val="en-US"/>
        </w:rPr>
        <w:t xml:space="preserve">treatment </w:t>
      </w:r>
      <w:r w:rsidR="00991A45" w:rsidRPr="009D7554">
        <w:rPr>
          <w:rFonts w:ascii="Book Antiqua" w:hAnsi="Book Antiqua"/>
          <w:lang w:val="en-US"/>
        </w:rPr>
        <w:t>strategies) and prognosis.</w:t>
      </w:r>
    </w:p>
    <w:p w:rsidR="00784820" w:rsidRPr="009D7554" w:rsidRDefault="00784820" w:rsidP="006A253E">
      <w:pPr>
        <w:widowControl w:val="0"/>
        <w:autoSpaceDE w:val="0"/>
        <w:autoSpaceDN w:val="0"/>
        <w:adjustRightInd w:val="0"/>
        <w:snapToGrid w:val="0"/>
        <w:spacing w:line="360" w:lineRule="auto"/>
        <w:jc w:val="both"/>
        <w:rPr>
          <w:rFonts w:ascii="Book Antiqua" w:hAnsi="Book Antiqua"/>
          <w:lang w:val="en-US"/>
        </w:rPr>
      </w:pPr>
    </w:p>
    <w:p w:rsidR="001D5C62" w:rsidRPr="009D7554" w:rsidRDefault="00E82DFC"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Hybrid Imaging</w:t>
      </w:r>
      <w:r w:rsidR="00307B86" w:rsidRPr="009D7554">
        <w:rPr>
          <w:rFonts w:ascii="Book Antiqua" w:eastAsia="等线" w:hAnsi="Book Antiqua" w:hint="eastAsia"/>
          <w:b/>
          <w:lang w:val="en-US" w:eastAsia="zh-CN"/>
        </w:rPr>
        <w:t>:</w:t>
      </w:r>
      <w:r w:rsidR="00307B86" w:rsidRPr="009D7554">
        <w:rPr>
          <w:rFonts w:ascii="Book Antiqua" w:eastAsia="等线" w:hAnsi="Book Antiqua"/>
          <w:b/>
          <w:lang w:val="en-US" w:eastAsia="zh-CN"/>
        </w:rPr>
        <w:t xml:space="preserve"> </w:t>
      </w:r>
      <w:r w:rsidR="00E10ECA" w:rsidRPr="009D7554">
        <w:rPr>
          <w:rFonts w:ascii="Book Antiqua" w:hAnsi="Book Antiqua"/>
          <w:position w:val="10"/>
          <w:sz w:val="18"/>
          <w:szCs w:val="18"/>
          <w:lang w:val="en-US"/>
        </w:rPr>
        <w:t>18</w:t>
      </w:r>
      <w:r w:rsidR="001D5C62" w:rsidRPr="009D7554">
        <w:rPr>
          <w:rFonts w:ascii="Book Antiqua" w:hAnsi="Book Antiqua"/>
          <w:lang w:val="en-US"/>
        </w:rPr>
        <w:t xml:space="preserve">FDG-PET/CT and </w:t>
      </w:r>
      <w:r w:rsidR="002B3591" w:rsidRPr="009D7554">
        <w:rPr>
          <w:rFonts w:ascii="Book Antiqua" w:hAnsi="Book Antiqua"/>
          <w:position w:val="10"/>
          <w:sz w:val="18"/>
          <w:szCs w:val="18"/>
          <w:lang w:val="en-US"/>
        </w:rPr>
        <w:t>18</w:t>
      </w:r>
      <w:r w:rsidR="001D5C62" w:rsidRPr="009D7554">
        <w:rPr>
          <w:rFonts w:ascii="Book Antiqua" w:hAnsi="Book Antiqua"/>
          <w:lang w:val="en-US"/>
        </w:rPr>
        <w:t xml:space="preserve">FDG-PET/MRI are molecular and morphological imaging techniques </w:t>
      </w:r>
      <w:r w:rsidR="00EE7208" w:rsidRPr="009D7554">
        <w:rPr>
          <w:rFonts w:ascii="Book Antiqua" w:hAnsi="Book Antiqua"/>
          <w:lang w:val="en-US"/>
        </w:rPr>
        <w:t xml:space="preserve">that couple the </w:t>
      </w:r>
      <w:r w:rsidR="001D5C62" w:rsidRPr="009D7554">
        <w:rPr>
          <w:rFonts w:ascii="Book Antiqua" w:hAnsi="Book Antiqua"/>
          <w:lang w:val="en-US"/>
        </w:rPr>
        <w:t>metabolic and anatomic</w:t>
      </w:r>
      <w:r w:rsidR="00EE7208" w:rsidRPr="009D7554">
        <w:rPr>
          <w:rFonts w:ascii="Book Antiqua" w:hAnsi="Book Antiqua"/>
          <w:lang w:val="en-US"/>
        </w:rPr>
        <w:t>al</w:t>
      </w:r>
      <w:r w:rsidR="001D5C62" w:rsidRPr="009D7554">
        <w:rPr>
          <w:rFonts w:ascii="Book Antiqua" w:hAnsi="Book Antiqua"/>
          <w:lang w:val="en-US"/>
        </w:rPr>
        <w:t xml:space="preserve"> assessment of tumor lesions</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{"citationItems":[{"id":"ITEM-1","itemData":{"DOI":"10.1007/978-3-642-01139-9","ISBN":"978-3-642-01138-2","collection-title":"Medical Radiology","editor":[{"dropping-particle":"","family":"Peller","given":"Patrick","non-dropping-particle":"","parse-names":false,"suffix":""},{"dropping-particle":"","family":"Subramaniam","given":"Rathan","non-dropping-particle":"","parse-names":false,"suffix":""},{"dropping-particle":"","family":"Guermazi","given":"Ali","non-dropping-particle":"","parse-names":false,"suffix":""}],"id":"ITEM-1","issued":{"date-parts":[["2012"]]},"publisher":"Springer Berlin Heidelberg","publisher-place":"Berlin, Heidelberg","title":"PET-CT and PET-MRI in Oncology","type":"book"},"uris":["http://www.mendeley.com/documents/?uuid=a48d1058-2ccf-4b37-a982-d78b8ea95465"]}],"mendeley":{"formattedCitation":"&lt;sup&gt;[28]&lt;/sup&gt;","plainTextFormattedCitation":"[28]","previouslyFormattedCitation":"&lt;sup&gt;[28]&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[28]</w:t>
      </w:r>
      <w:r w:rsidR="00A75298" w:rsidRPr="009D7554">
        <w:rPr>
          <w:rFonts w:ascii="Book Antiqua" w:hAnsi="Book Antiqua"/>
          <w:lang w:val="en-US"/>
        </w:rPr>
        <w:fldChar w:fldCharType="end"/>
      </w:r>
      <w:r w:rsidR="00B51727" w:rsidRPr="009D7554">
        <w:rPr>
          <w:rFonts w:ascii="Book Antiqua" w:hAnsi="Book Antiqua"/>
          <w:lang w:val="en-US"/>
        </w:rPr>
        <w:t>.</w:t>
      </w:r>
      <w:r w:rsidR="002B3591" w:rsidRPr="009D7554">
        <w:rPr>
          <w:rFonts w:ascii="Book Antiqua" w:hAnsi="Book Antiqua"/>
          <w:position w:val="10"/>
          <w:sz w:val="18"/>
          <w:szCs w:val="18"/>
          <w:lang w:val="en-US"/>
        </w:rPr>
        <w:t xml:space="preserve"> 18</w:t>
      </w:r>
      <w:r w:rsidR="001D5C62" w:rsidRPr="009D7554">
        <w:rPr>
          <w:rFonts w:ascii="Book Antiqua" w:hAnsi="Book Antiqua"/>
          <w:lang w:val="en-US"/>
        </w:rPr>
        <w:t>F-FDG is an analog of glucose that is transported into cells through membrane glucose transporter proteins after intravenous administration</w:t>
      </w:r>
      <w:r w:rsidR="00A75298" w:rsidRPr="009D7554">
        <w:rPr>
          <w:rFonts w:ascii="Book Antiqua" w:hAnsi="Book Antiqua"/>
          <w:lang w:val="en-US"/>
        </w:rPr>
        <w:fldChar w:fldCharType="begin" w:fldLock="1"/>
      </w:r>
      <w:r w:rsidR="006D1BD7" w:rsidRPr="009D7554">
        <w:rPr>
          <w:rFonts w:ascii="Book Antiqua" w:hAnsi="Book Antiqua"/>
          <w:lang w:val="en-US"/>
        </w:rPr>
        <w:instrText>ADDIN CSL_CITATION {"citationItems":[{"id":"ITEM-1","itemData":{"DOI":"10.1007/s13277-015-4218-0","ISSN":"1010-4283","PMID":"26476536","author":[{"dropping-particle":"","family":"Kocael","given":"Ahmet","non-dropping-particle":"","parse-names":false,"suffix":""},{"dropping-particle":"","family":"Vatankulu","given":"Betül","non-dropping-particle":"","parse-names":false,"suffix":""},{"dropping-particle":"","family":"Şimşek","given":"Osman","non-dropping-particle":"","parse-names":false,"suffix":""},{"dropping-particle":"","family":"Cengiz","given":"Mahir","non-dropping-particle":"","parse-names":false,"suffix":""},{"dropping-particle":"","family":"Kemik","given":"Ahu","non-dropping-particle":"","parse-names":false,"suffix":""},{"dropping-particle":"","family":"Kocael","given":"Pınar","non-dropping-particle":"","parse-names":false,"suffix":""},{"dropping-particle":"","family":"Halaç","given":"Metin","non-dropping-particle":"","parse-names":false,"suffix":""},{"dropping-particle":"","family":"Sönmezoğlu","given":"Kerim","non-dropping-particle":"","parse-names":false,"suffix":""},{"dropping-particle":"","family":"Ulualp","given":"Kenan","non-dropping-particle":"","parse-names":false,"suffix":""}],"container-title":"Tumor Biology","id":"ITEM-1","issue":"3","issued":{"date-parts":[["2016","3","17"]]},"page":"3871-3877","title":"Comparison of 18F-fluorodeoxyglucose PET/CT findings with vascular endothelial growth factors and receptors in colorectal cancer","type":"article-journal","volume":"37"},"uris":["http://www.mendeley.com/documents/?uuid=58c612bb-c4e4-4cd3-9773-398837b996ab"]}],"mendeley":{"formattedCitation":"&lt;sup&gt;[29]&lt;/sup&gt;","plainTextFormattedCitation":"[29]","previouslyFormattedCitation":"&lt;sup&gt;[29]&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[29]</w:t>
      </w:r>
      <w:r w:rsidR="00A75298" w:rsidRPr="009D7554">
        <w:rPr>
          <w:rFonts w:ascii="Book Antiqua" w:hAnsi="Book Antiqua"/>
          <w:lang w:val="en-US"/>
        </w:rPr>
        <w:fldChar w:fldCharType="end"/>
      </w:r>
      <w:r w:rsidR="00F23FDB" w:rsidRPr="009D7554">
        <w:rPr>
          <w:rFonts w:ascii="Book Antiqua" w:hAnsi="Book Antiqua"/>
          <w:lang w:val="en-US"/>
        </w:rPr>
        <w:t>. Since malignant cells have increased</w:t>
      </w:r>
      <w:r w:rsidR="001D5C62" w:rsidRPr="009D7554">
        <w:rPr>
          <w:rFonts w:ascii="Book Antiqua" w:hAnsi="Book Antiqua"/>
          <w:lang w:val="en-US"/>
        </w:rPr>
        <w:t xml:space="preserve"> glucose consumption (Figure 3), a preferential accumulation of </w:t>
      </w:r>
      <w:r w:rsidR="002B3591" w:rsidRPr="009D7554">
        <w:rPr>
          <w:rFonts w:ascii="Book Antiqua" w:hAnsi="Book Antiqua"/>
          <w:position w:val="10"/>
          <w:sz w:val="18"/>
          <w:szCs w:val="18"/>
          <w:lang w:val="en-US"/>
        </w:rPr>
        <w:t>18</w:t>
      </w:r>
      <w:r w:rsidR="00193DBB" w:rsidRPr="009D7554">
        <w:rPr>
          <w:rFonts w:ascii="Book Antiqua" w:hAnsi="Book Antiqua"/>
          <w:lang w:val="en-US"/>
        </w:rPr>
        <w:t xml:space="preserve">F-FDG </w:t>
      </w:r>
      <w:r w:rsidR="001D5C62" w:rsidRPr="009D7554">
        <w:rPr>
          <w:rFonts w:ascii="Book Antiqua" w:hAnsi="Book Antiqua"/>
          <w:lang w:val="en-US"/>
        </w:rPr>
        <w:t xml:space="preserve">occurs in cancer cells compared to normal </w:t>
      </w:r>
      <w:r w:rsidR="00D76296" w:rsidRPr="009D7554">
        <w:rPr>
          <w:rFonts w:ascii="Book Antiqua" w:hAnsi="Book Antiqua"/>
          <w:lang w:val="en-US"/>
        </w:rPr>
        <w:t>cells</w:t>
      </w:r>
      <w:r w:rsidR="00A75298" w:rsidRPr="009D7554">
        <w:rPr>
          <w:rFonts w:ascii="Book Antiqua" w:hAnsi="Book Antiqua"/>
          <w:lang w:val="en-US"/>
        </w:rPr>
        <w:fldChar w:fldCharType="begin" w:fldLock="1"/>
      </w:r>
      <w:r w:rsidR="00914E0E" w:rsidRPr="009D7554">
        <w:rPr>
          <w:rFonts w:ascii="Book Antiqua" w:hAnsi="Book Antiqua"/>
          <w:lang w:val="en-US"/>
        </w:rPr>
        <w:instrText>ADDIN CSL_CITATION {"citationItems":[{"id":"ITEM-1","itemData":{"DOI":"10.1159/000346303","ISSN":"1423-0151","PMID":"23363934","author":[{"dropping-particle":"","family":"Pauwels","given":"Ernest K.J.","non-dropping-particle":"","parse-names":false,"suffix":""},{"dropping-particle":"","family":"Coumou","given":"Annette W.","non-dropping-particle":"","parse-names":false,"suffix":""},{"dropping-particle":"","family":"Kostkiewicz","given":"Magdalena","non-dropping-particle":"","parse-names":false,"suffix":""},{"dropping-particle":"","family":"Kairemo","given":"Kalevi","non-dropping-particle":"","parse-names":false,"suffix":""}],"container-title":"Medical Principles and Practice","id":"ITEM-1","issue":"5","issued":{"date-parts":[["2013"]]},"page":"427-437","title":"[ 18 F]Fluoro-2-Deoxy-D-Glucose Positron Emission Tomography/Computed Tomography Imaging in Oncology: Initial Staging and Evaluation of Cancer Therapy","type":"article-journal","volume":"22"},"uris":["http://www.mendeley.com/documents/?uuid=3fa1966e-5f67-4220-8c5f-837c0c31bd44"]}],"mendeley":{"formattedCitation":"&lt;sup&gt;[30]&lt;/sup&gt;","plainTextFormattedCitation":"[30]","previouslyFormattedCitation":"&lt;sup&gt;[30]&lt;/sup&gt;"},"properties":{"noteIndex":0},"schema":"https://github.com/citation-style-language/schema/raw/master/csl-citation.json"}</w:instrText>
      </w:r>
      <w:r w:rsidR="00A75298" w:rsidRPr="009D7554">
        <w:rPr>
          <w:rFonts w:ascii="Book Antiqua" w:hAnsi="Book Antiqua"/>
          <w:lang w:val="en-US"/>
        </w:rPr>
        <w:fldChar w:fldCharType="separate"/>
      </w:r>
      <w:r w:rsidR="006D1BD7" w:rsidRPr="009D7554">
        <w:rPr>
          <w:rFonts w:ascii="Book Antiqua" w:hAnsi="Book Antiqua"/>
          <w:vertAlign w:val="superscript"/>
          <w:lang w:val="en-US"/>
        </w:rPr>
        <w:t>[30]</w:t>
      </w:r>
      <w:r w:rsidR="00A75298" w:rsidRPr="009D7554">
        <w:rPr>
          <w:rFonts w:ascii="Book Antiqua" w:hAnsi="Book Antiqua"/>
          <w:lang w:val="en-US"/>
        </w:rPr>
        <w:fldChar w:fldCharType="end"/>
      </w:r>
      <w:r w:rsidR="001D5C62" w:rsidRPr="009D7554">
        <w:rPr>
          <w:rFonts w:ascii="Book Antiqua" w:hAnsi="Book Antiqua"/>
          <w:lang w:val="en-US"/>
        </w:rPr>
        <w:t xml:space="preserve">. The uptake of </w:t>
      </w:r>
      <w:r w:rsidR="002B3591" w:rsidRPr="009D7554">
        <w:rPr>
          <w:rFonts w:ascii="Book Antiqua" w:hAnsi="Book Antiqua"/>
          <w:position w:val="10"/>
          <w:sz w:val="18"/>
          <w:szCs w:val="18"/>
          <w:lang w:val="en-US"/>
        </w:rPr>
        <w:t>18</w:t>
      </w:r>
      <w:r w:rsidR="00110962" w:rsidRPr="009D7554">
        <w:rPr>
          <w:rFonts w:ascii="Book Antiqua" w:hAnsi="Book Antiqua"/>
          <w:lang w:val="en-US"/>
        </w:rPr>
        <w:t>F-FDG</w:t>
      </w:r>
      <w:r w:rsidR="00B310FE" w:rsidRPr="009D7554">
        <w:rPr>
          <w:rFonts w:ascii="Book Antiqua" w:hAnsi="Book Antiqua"/>
          <w:lang w:val="en-US"/>
        </w:rPr>
        <w:t xml:space="preserve"> detected by PET can be</w:t>
      </w:r>
      <w:r w:rsidR="002B3591" w:rsidRPr="009D7554">
        <w:rPr>
          <w:rFonts w:ascii="Book Antiqua" w:hAnsi="Book Antiqua"/>
          <w:lang w:val="en-US"/>
        </w:rPr>
        <w:t xml:space="preserve"> quantified using parameters such as the </w:t>
      </w:r>
      <w:r w:rsidR="002B3591" w:rsidRPr="009D7554">
        <w:rPr>
          <w:rFonts w:ascii="Book Antiqua" w:hAnsi="Book Antiqua"/>
          <w:iCs/>
          <w:lang w:val="en-US"/>
        </w:rPr>
        <w:t xml:space="preserve">standardized maximum or mean uptake value (SUVmax or SUVmean), the </w:t>
      </w:r>
      <w:r w:rsidR="001D5C62" w:rsidRPr="009D7554">
        <w:rPr>
          <w:rFonts w:ascii="Book Antiqua" w:hAnsi="Book Antiqua"/>
          <w:lang w:val="en-US"/>
        </w:rPr>
        <w:t xml:space="preserve">metabolic tumor volume (MTV) or the total lesion glycolysis (TLG). </w:t>
      </w:r>
      <w:r w:rsidR="001F0F25" w:rsidRPr="009D7554">
        <w:rPr>
          <w:rFonts w:ascii="Book Antiqua" w:hAnsi="Book Antiqua"/>
          <w:lang w:val="en-US"/>
        </w:rPr>
        <w:t xml:space="preserve">The </w:t>
      </w:r>
      <w:r w:rsidR="00B310FE" w:rsidRPr="009D7554">
        <w:rPr>
          <w:rFonts w:ascii="Book Antiqua" w:hAnsi="Book Antiqua"/>
          <w:lang w:val="en-US"/>
        </w:rPr>
        <w:t>SUVmax</w:t>
      </w:r>
      <w:r w:rsidR="001D5C62" w:rsidRPr="009D7554">
        <w:rPr>
          <w:rFonts w:ascii="Book Antiqua" w:hAnsi="Book Antiqua"/>
          <w:lang w:val="en-US"/>
        </w:rPr>
        <w:t xml:space="preserve"> is defined as the uptake value of the pixel with the highest activity inside</w:t>
      </w:r>
      <w:r w:rsidR="009A70D4" w:rsidRPr="009D7554">
        <w:rPr>
          <w:rFonts w:ascii="Book Antiqua" w:hAnsi="Book Antiqua"/>
          <w:lang w:val="en-US"/>
        </w:rPr>
        <w:t xml:space="preserve"> an ROI</w:t>
      </w:r>
      <w:r w:rsidR="001D5C62" w:rsidRPr="009D7554">
        <w:rPr>
          <w:rFonts w:ascii="Book Antiqua" w:hAnsi="Book Antiqua"/>
          <w:lang w:val="en-US"/>
        </w:rPr>
        <w:t xml:space="preserve"> divided by the injected dose (which has to be corrected for decay and normalized for the patient’s weight or body surface). </w:t>
      </w:r>
      <w:r w:rsidR="001F0F25" w:rsidRPr="009D7554">
        <w:rPr>
          <w:rFonts w:ascii="Book Antiqua" w:hAnsi="Book Antiqua"/>
          <w:lang w:val="en-US"/>
        </w:rPr>
        <w:t xml:space="preserve">The </w:t>
      </w:r>
      <w:r w:rsidR="001D5C62" w:rsidRPr="009D7554">
        <w:rPr>
          <w:rFonts w:ascii="Book Antiqua" w:hAnsi="Book Antiqua"/>
          <w:lang w:val="en-US"/>
        </w:rPr>
        <w:t xml:space="preserve">SUVmean is the average of all </w:t>
      </w:r>
      <w:r w:rsidR="001F0F25" w:rsidRPr="009D7554">
        <w:rPr>
          <w:rFonts w:ascii="Book Antiqua" w:hAnsi="Book Antiqua"/>
          <w:lang w:val="en-US"/>
        </w:rPr>
        <w:t xml:space="preserve">the </w:t>
      </w:r>
      <w:r w:rsidR="001D5C62" w:rsidRPr="009D7554">
        <w:rPr>
          <w:rFonts w:ascii="Book Antiqua" w:hAnsi="Book Antiqua"/>
          <w:lang w:val="en-US"/>
        </w:rPr>
        <w:t>uptake values</w:t>
      </w:r>
      <w:r w:rsidR="001F0F25" w:rsidRPr="009D7554">
        <w:rPr>
          <w:rFonts w:ascii="Book Antiqua" w:hAnsi="Book Antiqua"/>
          <w:lang w:val="en-US"/>
        </w:rPr>
        <w:t xml:space="preserve"> of the</w:t>
      </w:r>
      <w:r w:rsidR="001D5C62" w:rsidRPr="009D7554">
        <w:rPr>
          <w:rFonts w:ascii="Book Antiqua" w:hAnsi="Book Antiqua"/>
          <w:lang w:val="en-US"/>
        </w:rPr>
        <w:t xml:space="preserve"> </w:t>
      </w:r>
      <w:r w:rsidR="001F0F25" w:rsidRPr="009D7554">
        <w:rPr>
          <w:rFonts w:ascii="Book Antiqua" w:hAnsi="Book Antiqua"/>
          <w:lang w:val="en-US"/>
        </w:rPr>
        <w:t>pixels</w:t>
      </w:r>
      <w:r w:rsidR="00502E2D" w:rsidRPr="009D7554">
        <w:rPr>
          <w:rFonts w:ascii="Book Antiqua" w:hAnsi="Book Antiqua"/>
          <w:lang w:val="en-US"/>
        </w:rPr>
        <w:t xml:space="preserve"> </w:t>
      </w:r>
      <w:r w:rsidR="001D5C62" w:rsidRPr="009D7554">
        <w:rPr>
          <w:rFonts w:ascii="Book Antiqua" w:hAnsi="Book Antiqua"/>
          <w:lang w:val="en-US"/>
        </w:rPr>
        <w:t>within</w:t>
      </w:r>
      <w:r w:rsidR="009A70D4" w:rsidRPr="009D7554">
        <w:rPr>
          <w:rFonts w:ascii="Book Antiqua" w:hAnsi="Book Antiqua"/>
          <w:lang w:val="en-US"/>
        </w:rPr>
        <w:t xml:space="preserve"> an ROI.</w:t>
      </w:r>
      <w:r w:rsidR="001D5C62" w:rsidRPr="009D7554">
        <w:rPr>
          <w:rFonts w:ascii="Book Antiqua" w:hAnsi="Book Antiqua"/>
          <w:lang w:val="en-US"/>
        </w:rPr>
        <w:t xml:space="preserve"> The MTV is defined as </w:t>
      </w:r>
      <w:r w:rsidR="0061231D" w:rsidRPr="009D7554">
        <w:rPr>
          <w:rFonts w:ascii="Book Antiqua" w:hAnsi="Book Antiqua"/>
          <w:lang w:val="en-US"/>
        </w:rPr>
        <w:t xml:space="preserve">the volume of tumor tissues with pathological </w:t>
      </w:r>
      <w:r w:rsidR="001F0F25" w:rsidRPr="009D7554">
        <w:rPr>
          <w:rFonts w:ascii="Book Antiqua" w:hAnsi="Book Antiqua"/>
          <w:lang w:val="en-US"/>
        </w:rPr>
        <w:t xml:space="preserve">FDG </w:t>
      </w:r>
      <w:r w:rsidR="0061231D" w:rsidRPr="009D7554">
        <w:rPr>
          <w:rFonts w:ascii="Book Antiqua" w:hAnsi="Book Antiqua"/>
          <w:lang w:val="en-US"/>
        </w:rPr>
        <w:t>uptake and calculated as follows: all the voxels inside a tridimensional ROI with SUV values above a determined threshold are included in the final volume</w:t>
      </w:r>
      <w:r w:rsidR="001F0F25" w:rsidRPr="009D7554">
        <w:rPr>
          <w:rFonts w:ascii="Book Antiqua" w:hAnsi="Book Antiqua"/>
          <w:lang w:val="en-US"/>
        </w:rPr>
        <w:t>;</w:t>
      </w:r>
      <w:r w:rsidR="0061231D" w:rsidRPr="009D7554">
        <w:rPr>
          <w:rFonts w:ascii="Book Antiqua" w:hAnsi="Book Antiqua"/>
          <w:lang w:val="en-US"/>
        </w:rPr>
        <w:t xml:space="preserve"> </w:t>
      </w:r>
      <w:r w:rsidR="001F0F25" w:rsidRPr="009D7554">
        <w:rPr>
          <w:rFonts w:ascii="Book Antiqua" w:hAnsi="Book Antiqua"/>
          <w:lang w:val="en-US"/>
        </w:rPr>
        <w:t>t</w:t>
      </w:r>
      <w:r w:rsidR="0061231D" w:rsidRPr="009D7554">
        <w:rPr>
          <w:rFonts w:ascii="Book Antiqua" w:hAnsi="Book Antiqua"/>
          <w:lang w:val="en-US"/>
        </w:rPr>
        <w:t>he threshold may be represented by the absolute value (</w:t>
      </w:r>
      <w:r w:rsidR="00062214" w:rsidRPr="009D7554">
        <w:rPr>
          <w:rFonts w:ascii="Book Antiqua" w:hAnsi="Book Antiqua"/>
          <w:lang w:val="en-US"/>
        </w:rPr>
        <w:t>≥</w:t>
      </w:r>
      <w:r w:rsidR="0061231D" w:rsidRPr="009D7554">
        <w:rPr>
          <w:rFonts w:ascii="Book Antiqua" w:hAnsi="Book Antiqua"/>
          <w:lang w:val="en-US"/>
        </w:rPr>
        <w:t xml:space="preserve"> 2.5 or </w:t>
      </w:r>
      <w:r w:rsidR="00062214" w:rsidRPr="009D7554">
        <w:rPr>
          <w:rFonts w:ascii="Book Antiqua" w:hAnsi="Book Antiqua"/>
          <w:lang w:val="en-US"/>
        </w:rPr>
        <w:t xml:space="preserve">≥ </w:t>
      </w:r>
      <w:r w:rsidR="0061231D" w:rsidRPr="009D7554">
        <w:rPr>
          <w:rFonts w:ascii="Book Antiqua" w:hAnsi="Book Antiqua"/>
          <w:lang w:val="en-US"/>
        </w:rPr>
        <w:t>3 or</w:t>
      </w:r>
      <w:r w:rsidR="00221B64" w:rsidRPr="009D7554">
        <w:rPr>
          <w:rFonts w:ascii="Book Antiqua" w:hAnsi="Book Antiqua"/>
          <w:lang w:val="en-US"/>
        </w:rPr>
        <w:t xml:space="preserve"> ≥ </w:t>
      </w:r>
      <w:r w:rsidR="0061231D" w:rsidRPr="009D7554">
        <w:rPr>
          <w:rFonts w:ascii="Book Antiqua" w:hAnsi="Book Antiqua"/>
          <w:lang w:val="en-US"/>
        </w:rPr>
        <w:t>3.5) or the percentage (</w:t>
      </w:r>
      <w:r w:rsidR="00221B64" w:rsidRPr="009D7554">
        <w:rPr>
          <w:rFonts w:ascii="Book Antiqua" w:hAnsi="Book Antiqua"/>
          <w:lang w:val="en-US"/>
        </w:rPr>
        <w:t xml:space="preserve">≥ </w:t>
      </w:r>
      <w:r w:rsidR="0061231D" w:rsidRPr="009D7554">
        <w:rPr>
          <w:rFonts w:ascii="Book Antiqua" w:hAnsi="Book Antiqua"/>
          <w:lang w:val="en-US"/>
        </w:rPr>
        <w:t xml:space="preserve">20% or </w:t>
      </w:r>
      <w:r w:rsidR="00221B64" w:rsidRPr="009D7554">
        <w:rPr>
          <w:rFonts w:ascii="Book Antiqua" w:hAnsi="Book Antiqua"/>
          <w:lang w:val="en-US"/>
        </w:rPr>
        <w:t>≥</w:t>
      </w:r>
      <w:r w:rsidR="0061231D" w:rsidRPr="009D7554">
        <w:rPr>
          <w:rFonts w:ascii="Book Antiqua" w:hAnsi="Book Antiqua"/>
          <w:lang w:val="en-US"/>
        </w:rPr>
        <w:t xml:space="preserve"> 30% or </w:t>
      </w:r>
      <w:r w:rsidR="00221B64" w:rsidRPr="009D7554">
        <w:rPr>
          <w:rFonts w:ascii="Book Antiqua" w:hAnsi="Book Antiqua"/>
          <w:lang w:val="en-US"/>
        </w:rPr>
        <w:t xml:space="preserve">≥ </w:t>
      </w:r>
      <w:r w:rsidR="0061231D" w:rsidRPr="009D7554">
        <w:rPr>
          <w:rFonts w:ascii="Book Antiqua" w:hAnsi="Book Antiqua"/>
          <w:lang w:val="en-US"/>
        </w:rPr>
        <w:t xml:space="preserve">40% or </w:t>
      </w:r>
      <w:r w:rsidR="00221B64" w:rsidRPr="009D7554">
        <w:rPr>
          <w:rFonts w:ascii="Book Antiqua" w:hAnsi="Book Antiqua"/>
          <w:lang w:val="en-US"/>
        </w:rPr>
        <w:t xml:space="preserve">≥ </w:t>
      </w:r>
      <w:r w:rsidR="00B310FE" w:rsidRPr="009D7554">
        <w:rPr>
          <w:rFonts w:ascii="Book Antiqua" w:hAnsi="Book Antiqua"/>
          <w:lang w:val="en-US"/>
        </w:rPr>
        <w:t xml:space="preserve">50%) of </w:t>
      </w:r>
      <w:r w:rsidR="001F0F25" w:rsidRPr="009D7554">
        <w:rPr>
          <w:rFonts w:ascii="Book Antiqua" w:hAnsi="Book Antiqua"/>
          <w:lang w:val="en-US"/>
        </w:rPr>
        <w:t xml:space="preserve">the </w:t>
      </w:r>
      <w:r w:rsidR="00B310FE" w:rsidRPr="009D7554">
        <w:rPr>
          <w:rFonts w:ascii="Book Antiqua" w:hAnsi="Book Antiqua"/>
          <w:lang w:val="en-US"/>
        </w:rPr>
        <w:t xml:space="preserve">SUVmax. As a result, the MTV incorporates the characteristics of </w:t>
      </w:r>
      <w:r w:rsidR="001F0F25" w:rsidRPr="009D7554">
        <w:rPr>
          <w:rFonts w:ascii="Book Antiqua" w:hAnsi="Book Antiqua"/>
          <w:lang w:val="en-US"/>
        </w:rPr>
        <w:t xml:space="preserve">both the </w:t>
      </w:r>
      <w:r w:rsidR="00B310FE" w:rsidRPr="009D7554">
        <w:rPr>
          <w:rFonts w:ascii="Book Antiqua" w:hAnsi="Book Antiqua"/>
          <w:lang w:val="en-US"/>
        </w:rPr>
        <w:t>volumetric data and the metabolic activity of</w:t>
      </w:r>
      <w:r w:rsidR="001F0F25" w:rsidRPr="009D7554">
        <w:rPr>
          <w:rFonts w:ascii="Book Antiqua" w:hAnsi="Book Antiqua"/>
          <w:lang w:val="en-US"/>
        </w:rPr>
        <w:t xml:space="preserve"> the</w:t>
      </w:r>
      <w:r w:rsidR="00B310FE" w:rsidRPr="009D7554">
        <w:rPr>
          <w:rFonts w:ascii="Book Antiqua" w:hAnsi="Book Antiqua"/>
          <w:lang w:val="en-US"/>
        </w:rPr>
        <w:t xml:space="preserve"> tumor. Finally, the TLG is calculated according </w:t>
      </w:r>
      <w:r w:rsidR="001F0F25" w:rsidRPr="009D7554">
        <w:rPr>
          <w:rFonts w:ascii="Book Antiqua" w:hAnsi="Book Antiqua"/>
          <w:lang w:val="en-US"/>
        </w:rPr>
        <w:t xml:space="preserve">to </w:t>
      </w:r>
      <w:r w:rsidR="00B310FE" w:rsidRPr="009D7554">
        <w:rPr>
          <w:rFonts w:ascii="Book Antiqua" w:hAnsi="Book Antiqua"/>
          <w:lang w:val="en-US"/>
        </w:rPr>
        <w:t xml:space="preserve">the following formula: SUVmean </w:t>
      </w:r>
      <w:r w:rsidR="007D3F34" w:rsidRPr="009D7554">
        <w:rPr>
          <w:rFonts w:ascii="Book Antiqua" w:hAnsi="Book Antiqua"/>
          <w:lang w:val="en-US"/>
        </w:rPr>
        <w:t>×</w:t>
      </w:r>
      <w:r w:rsidR="00B310FE" w:rsidRPr="009D7554">
        <w:rPr>
          <w:rFonts w:ascii="Book Antiqua" w:hAnsi="Book Antiqua"/>
          <w:lang w:val="en-US"/>
        </w:rPr>
        <w:t xml:space="preserve"> MTV.</w:t>
      </w:r>
      <w:r w:rsidR="00E61A55" w:rsidRPr="009D7554">
        <w:rPr>
          <w:rFonts w:ascii="Book Antiqua" w:hAnsi="Book Antiqua"/>
          <w:position w:val="10"/>
          <w:sz w:val="18"/>
          <w:szCs w:val="18"/>
          <w:lang w:val="en-US"/>
        </w:rPr>
        <w:t xml:space="preserve"> 18</w:t>
      </w:r>
      <w:r w:rsidR="007D2AE2" w:rsidRPr="009D7554">
        <w:rPr>
          <w:rFonts w:ascii="Book Antiqua" w:hAnsi="Book Antiqua"/>
          <w:lang w:val="en-US"/>
        </w:rPr>
        <w:t xml:space="preserve">FDG-PET/CT </w:t>
      </w:r>
      <w:r w:rsidR="001F0F25" w:rsidRPr="009D7554">
        <w:rPr>
          <w:rFonts w:ascii="Book Antiqua" w:hAnsi="Book Antiqua"/>
          <w:lang w:val="en-US"/>
        </w:rPr>
        <w:t>has</w:t>
      </w:r>
      <w:r w:rsidR="007D2AE2" w:rsidRPr="009D7554">
        <w:rPr>
          <w:rFonts w:ascii="Book Antiqua" w:hAnsi="Book Antiqua"/>
          <w:lang w:val="en-US"/>
        </w:rPr>
        <w:t xml:space="preserve"> </w:t>
      </w:r>
      <w:r w:rsidR="001F0F25" w:rsidRPr="009D7554">
        <w:rPr>
          <w:rFonts w:ascii="Book Antiqua" w:hAnsi="Book Antiqua"/>
          <w:lang w:val="en-US"/>
        </w:rPr>
        <w:t xml:space="preserve">played </w:t>
      </w:r>
      <w:r w:rsidR="007D2AE2" w:rsidRPr="009D7554">
        <w:rPr>
          <w:rFonts w:ascii="Book Antiqua" w:hAnsi="Book Antiqua"/>
          <w:lang w:val="en-US"/>
        </w:rPr>
        <w:t xml:space="preserve">a role in clinical practice in </w:t>
      </w:r>
      <w:r w:rsidR="001F0F25" w:rsidRPr="009D7554">
        <w:rPr>
          <w:rFonts w:ascii="Book Antiqua" w:hAnsi="Book Antiqua"/>
          <w:lang w:val="en-US"/>
        </w:rPr>
        <w:t>the</w:t>
      </w:r>
      <w:r w:rsidR="007D2AE2" w:rsidRPr="009D7554">
        <w:rPr>
          <w:rFonts w:ascii="Book Antiqua" w:hAnsi="Book Antiqua"/>
          <w:lang w:val="en-US"/>
        </w:rPr>
        <w:t xml:space="preserve"> detection of </w:t>
      </w:r>
      <w:r w:rsidR="009A70D4" w:rsidRPr="009D7554">
        <w:rPr>
          <w:rFonts w:ascii="Book Antiqua" w:hAnsi="Book Antiqua"/>
          <w:lang w:val="en-US"/>
        </w:rPr>
        <w:t>extrah</w:t>
      </w:r>
      <w:r w:rsidR="007D2AE2" w:rsidRPr="009D7554">
        <w:rPr>
          <w:rFonts w:ascii="Book Antiqua" w:hAnsi="Book Antiqua"/>
          <w:lang w:val="en-US"/>
        </w:rPr>
        <w:t xml:space="preserve">epatic distant metastasis, </w:t>
      </w:r>
      <w:r w:rsidR="001F0F25" w:rsidRPr="009D7554">
        <w:rPr>
          <w:rFonts w:ascii="Book Antiqua" w:hAnsi="Book Antiqua"/>
          <w:lang w:val="en-US"/>
        </w:rPr>
        <w:t xml:space="preserve">the </w:t>
      </w:r>
      <w:r w:rsidR="007D2AE2" w:rsidRPr="009D7554">
        <w:rPr>
          <w:rFonts w:ascii="Book Antiqua" w:hAnsi="Book Antiqua"/>
          <w:lang w:val="en-US"/>
        </w:rPr>
        <w:t>evaluation of tumor response</w:t>
      </w:r>
      <w:r w:rsidR="001F0F25" w:rsidRPr="009D7554">
        <w:rPr>
          <w:rFonts w:ascii="Book Antiqua" w:hAnsi="Book Antiqua"/>
          <w:lang w:val="en-US"/>
        </w:rPr>
        <w:t>s</w:t>
      </w:r>
      <w:r w:rsidR="007D2AE2" w:rsidRPr="009D7554">
        <w:rPr>
          <w:rFonts w:ascii="Book Antiqua" w:hAnsi="Book Antiqua"/>
          <w:lang w:val="en-US"/>
        </w:rPr>
        <w:t xml:space="preserve"> to therapy and </w:t>
      </w:r>
      <w:r w:rsidR="001F0F25" w:rsidRPr="009D7554">
        <w:rPr>
          <w:rFonts w:ascii="Book Antiqua" w:hAnsi="Book Antiqua"/>
          <w:lang w:val="en-US"/>
        </w:rPr>
        <w:t xml:space="preserve">the </w:t>
      </w:r>
      <w:r w:rsidR="007D2AE2" w:rsidRPr="009D7554">
        <w:rPr>
          <w:rFonts w:ascii="Book Antiqua" w:hAnsi="Book Antiqua"/>
          <w:lang w:val="en-US"/>
        </w:rPr>
        <w:t>follow</w:t>
      </w:r>
      <w:r w:rsidR="001F0F25" w:rsidRPr="009D7554">
        <w:rPr>
          <w:rFonts w:ascii="Book Antiqua" w:hAnsi="Book Antiqua"/>
          <w:lang w:val="en-US"/>
        </w:rPr>
        <w:t>-</w:t>
      </w:r>
      <w:r w:rsidR="007D2AE2" w:rsidRPr="009D7554">
        <w:rPr>
          <w:rFonts w:ascii="Book Antiqua" w:hAnsi="Book Antiqua"/>
          <w:lang w:val="en-US"/>
        </w:rPr>
        <w:t xml:space="preserve">up of treated patients with rising serum carcinoembryonic antigen levels without detectable disease </w:t>
      </w:r>
      <w:r w:rsidR="001F0F25" w:rsidRPr="009D7554">
        <w:rPr>
          <w:rFonts w:ascii="Book Antiqua" w:hAnsi="Book Antiqua"/>
          <w:lang w:val="en-US"/>
        </w:rPr>
        <w:t xml:space="preserve">according to </w:t>
      </w:r>
      <w:r w:rsidR="007D2AE2" w:rsidRPr="009D7554">
        <w:rPr>
          <w:rFonts w:ascii="Book Antiqua" w:hAnsi="Book Antiqua"/>
          <w:lang w:val="en-US"/>
        </w:rPr>
        <w:t>morphologic</w:t>
      </w:r>
      <w:r w:rsidR="001F0F25" w:rsidRPr="009D7554">
        <w:rPr>
          <w:rFonts w:ascii="Book Antiqua" w:hAnsi="Book Antiqua"/>
          <w:lang w:val="en-US"/>
        </w:rPr>
        <w:t>al</w:t>
      </w:r>
      <w:r w:rsidR="007D2AE2" w:rsidRPr="009D7554">
        <w:rPr>
          <w:rFonts w:ascii="Book Antiqua" w:hAnsi="Book Antiqua"/>
          <w:lang w:val="en-US"/>
        </w:rPr>
        <w:t xml:space="preserve"> imaging.</w:t>
      </w:r>
    </w:p>
    <w:p w:rsidR="002D1E91" w:rsidRPr="009D7554" w:rsidRDefault="002D1E91" w:rsidP="00D42957">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 xml:space="preserve">While </w:t>
      </w:r>
      <w:r w:rsidR="001F0F25" w:rsidRPr="009D7554">
        <w:rPr>
          <w:rFonts w:ascii="Book Antiqua" w:hAnsi="Book Antiqua"/>
          <w:lang w:val="en-US"/>
        </w:rPr>
        <w:t xml:space="preserve">the </w:t>
      </w:r>
      <w:r w:rsidRPr="009D7554">
        <w:rPr>
          <w:rFonts w:ascii="Book Antiqua" w:hAnsi="Book Antiqua"/>
          <w:lang w:val="en-US"/>
        </w:rPr>
        <w:t xml:space="preserve">potential </w:t>
      </w:r>
      <w:r w:rsidR="001F0F25" w:rsidRPr="009D7554">
        <w:rPr>
          <w:rFonts w:ascii="Book Antiqua" w:hAnsi="Book Antiqua"/>
          <w:lang w:val="en-US"/>
        </w:rPr>
        <w:t xml:space="preserve">use of </w:t>
      </w:r>
      <w:r w:rsidRPr="009D7554">
        <w:rPr>
          <w:rFonts w:ascii="Book Antiqua" w:hAnsi="Book Antiqua"/>
          <w:lang w:val="en-US"/>
        </w:rPr>
        <w:t xml:space="preserve">non-FDG PET radiotracers </w:t>
      </w:r>
      <w:r w:rsidR="001F0F25" w:rsidRPr="009D7554">
        <w:rPr>
          <w:rFonts w:ascii="Book Antiqua" w:hAnsi="Book Antiqua"/>
          <w:lang w:val="en-US"/>
        </w:rPr>
        <w:t xml:space="preserve">in CRC imaging is a current </w:t>
      </w:r>
      <w:r w:rsidRPr="009D7554">
        <w:rPr>
          <w:rFonts w:ascii="Book Antiqua" w:hAnsi="Book Antiqua"/>
          <w:lang w:val="en-US"/>
        </w:rPr>
        <w:t>topic</w:t>
      </w:r>
      <w:r w:rsidR="001F0F25" w:rsidRPr="009D7554">
        <w:rPr>
          <w:rFonts w:ascii="Book Antiqua" w:hAnsi="Book Antiqua"/>
          <w:lang w:val="en-US"/>
        </w:rPr>
        <w:t xml:space="preserve"> of investigation</w:t>
      </w:r>
      <w:r w:rsidRPr="009D7554">
        <w:rPr>
          <w:rFonts w:ascii="Book Antiqua" w:hAnsi="Book Antiqua"/>
          <w:lang w:val="en-US"/>
        </w:rPr>
        <w:t xml:space="preserve">, we refrained from discussing this matter in the present review due to the dearth of clinically oriented </w:t>
      </w:r>
      <w:r w:rsidR="001F0F25" w:rsidRPr="009D7554">
        <w:rPr>
          <w:rFonts w:ascii="Book Antiqua" w:hAnsi="Book Antiqua"/>
          <w:lang w:val="en-US"/>
        </w:rPr>
        <w:t>evidence</w:t>
      </w:r>
      <w:r w:rsidRPr="009D7554">
        <w:rPr>
          <w:rFonts w:ascii="Book Antiqua" w:hAnsi="Book Antiqua"/>
          <w:lang w:val="en-US"/>
        </w:rPr>
        <w:t xml:space="preserve"> available in </w:t>
      </w:r>
      <w:r w:rsidR="001F0F25" w:rsidRPr="009D7554">
        <w:rPr>
          <w:rFonts w:ascii="Book Antiqua" w:hAnsi="Book Antiqua"/>
          <w:lang w:val="en-US"/>
        </w:rPr>
        <w:t xml:space="preserve">the </w:t>
      </w:r>
      <w:r w:rsidRPr="009D7554">
        <w:rPr>
          <w:rFonts w:ascii="Book Antiqua" w:hAnsi="Book Antiqua"/>
          <w:lang w:val="en-US"/>
        </w:rPr>
        <w:t>current literature.</w:t>
      </w:r>
    </w:p>
    <w:p w:rsidR="00427020" w:rsidRPr="009D7554" w:rsidRDefault="00427020" w:rsidP="006A253E">
      <w:pPr>
        <w:widowControl w:val="0"/>
        <w:autoSpaceDE w:val="0"/>
        <w:autoSpaceDN w:val="0"/>
        <w:adjustRightInd w:val="0"/>
        <w:snapToGrid w:val="0"/>
        <w:spacing w:line="360" w:lineRule="auto"/>
        <w:jc w:val="both"/>
        <w:rPr>
          <w:rFonts w:ascii="Book Antiqua" w:hAnsi="Book Antiqua"/>
          <w:i/>
          <w:lang w:val="en-US"/>
        </w:rPr>
      </w:pPr>
    </w:p>
    <w:p w:rsidR="00E168AA" w:rsidRPr="009D7554" w:rsidRDefault="00F557DC" w:rsidP="006A253E">
      <w:pPr>
        <w:widowControl w:val="0"/>
        <w:autoSpaceDE w:val="0"/>
        <w:autoSpaceDN w:val="0"/>
        <w:adjustRightInd w:val="0"/>
        <w:snapToGrid w:val="0"/>
        <w:spacing w:line="360" w:lineRule="auto"/>
        <w:jc w:val="both"/>
        <w:rPr>
          <w:rFonts w:ascii="Book Antiqua" w:hAnsi="Book Antiqua"/>
          <w:b/>
          <w:bCs/>
          <w:i/>
          <w:lang w:val="en-US"/>
        </w:rPr>
      </w:pPr>
      <w:r w:rsidRPr="009D7554">
        <w:rPr>
          <w:rFonts w:ascii="Book Antiqua" w:hAnsi="Book Antiqua"/>
          <w:b/>
          <w:bCs/>
          <w:i/>
          <w:lang w:val="en-US"/>
        </w:rPr>
        <w:t xml:space="preserve">Primary tumor identification, tumor grading and differentiation, </w:t>
      </w:r>
      <w:r w:rsidR="0080395C" w:rsidRPr="009D7554">
        <w:rPr>
          <w:rFonts w:ascii="Book Antiqua" w:hAnsi="Book Antiqua"/>
          <w:b/>
          <w:bCs/>
          <w:i/>
          <w:lang w:val="en-US"/>
        </w:rPr>
        <w:t xml:space="preserve">and </w:t>
      </w:r>
      <w:r w:rsidRPr="009D7554">
        <w:rPr>
          <w:rFonts w:ascii="Book Antiqua" w:hAnsi="Book Antiqua"/>
          <w:b/>
          <w:bCs/>
          <w:i/>
          <w:lang w:val="en-US"/>
        </w:rPr>
        <w:t>local staging</w:t>
      </w:r>
    </w:p>
    <w:p w:rsidR="006D3608" w:rsidRPr="009D7554" w:rsidRDefault="00E63ACC" w:rsidP="006A253E">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bCs/>
          <w:iCs/>
          <w:lang w:val="en-US"/>
        </w:rPr>
        <w:t>While endoscopy is considered the main diagnostic tool for the detection of CRC, imaging has the potential to identify primary tumors. Nevertheless, both malignant and benign abnormalities (</w:t>
      </w:r>
      <w:r w:rsidRPr="009D7554">
        <w:rPr>
          <w:rFonts w:ascii="Book Antiqua" w:hAnsi="Book Antiqua"/>
          <w:bCs/>
          <w:i/>
          <w:lang w:val="en-US"/>
        </w:rPr>
        <w:t>e.g.</w:t>
      </w:r>
      <w:r w:rsidR="001F0F25" w:rsidRPr="009D7554">
        <w:rPr>
          <w:rFonts w:ascii="Book Antiqua" w:hAnsi="Book Antiqua"/>
          <w:bCs/>
          <w:iCs/>
          <w:lang w:val="en-US"/>
        </w:rPr>
        <w:t>,</w:t>
      </w:r>
      <w:r w:rsidRPr="009D7554">
        <w:rPr>
          <w:rFonts w:ascii="Book Antiqua" w:hAnsi="Book Antiqua"/>
          <w:bCs/>
          <w:iCs/>
          <w:lang w:val="en-US"/>
        </w:rPr>
        <w:t xml:space="preserve"> inflammatory bowel disease, complicated diverticulitis, </w:t>
      </w:r>
      <w:r w:rsidR="0080395C" w:rsidRPr="009D7554">
        <w:rPr>
          <w:rFonts w:ascii="Book Antiqua" w:hAnsi="Book Antiqua"/>
          <w:bCs/>
          <w:iCs/>
          <w:lang w:val="en-US"/>
        </w:rPr>
        <w:t xml:space="preserve">and </w:t>
      </w:r>
      <w:r w:rsidRPr="009D7554">
        <w:rPr>
          <w:rFonts w:ascii="Book Antiqua" w:hAnsi="Book Antiqua"/>
          <w:bCs/>
          <w:iCs/>
          <w:lang w:val="en-US"/>
        </w:rPr>
        <w:t xml:space="preserve">hyperplasic polyps and adenomas) </w:t>
      </w:r>
      <w:r w:rsidR="0080395C" w:rsidRPr="009D7554">
        <w:rPr>
          <w:rFonts w:ascii="Book Antiqua" w:hAnsi="Book Antiqua"/>
          <w:bCs/>
          <w:iCs/>
          <w:lang w:val="en-US"/>
        </w:rPr>
        <w:t xml:space="preserve">can </w:t>
      </w:r>
      <w:r w:rsidRPr="009D7554">
        <w:rPr>
          <w:rFonts w:ascii="Book Antiqua" w:hAnsi="Book Antiqua"/>
          <w:bCs/>
          <w:iCs/>
          <w:lang w:val="en-US"/>
        </w:rPr>
        <w:t xml:space="preserve">present with an increase in bowel wall thickness or as polypoid lesions. </w:t>
      </w:r>
      <w:r w:rsidR="0080395C" w:rsidRPr="009D7554">
        <w:rPr>
          <w:rFonts w:ascii="Book Antiqua" w:hAnsi="Book Antiqua"/>
          <w:bCs/>
          <w:iCs/>
          <w:lang w:val="en-US"/>
        </w:rPr>
        <w:t xml:space="preserve">When using </w:t>
      </w:r>
      <w:r w:rsidRPr="009D7554">
        <w:rPr>
          <w:rFonts w:ascii="Book Antiqua" w:hAnsi="Book Antiqua"/>
          <w:bCs/>
          <w:iCs/>
          <w:lang w:val="en-US"/>
        </w:rPr>
        <w:t>conventional imaging, differential diagnosis is mainly based on morphological features (</w:t>
      </w:r>
      <w:r w:rsidRPr="009D7554">
        <w:rPr>
          <w:rFonts w:ascii="Book Antiqua" w:hAnsi="Book Antiqua"/>
          <w:bCs/>
          <w:i/>
          <w:lang w:val="en-US"/>
        </w:rPr>
        <w:t>e.g.</w:t>
      </w:r>
      <w:r w:rsidR="001F0F25" w:rsidRPr="009D7554">
        <w:rPr>
          <w:rFonts w:ascii="Book Antiqua" w:hAnsi="Book Antiqua"/>
          <w:bCs/>
          <w:iCs/>
          <w:lang w:val="en-US"/>
        </w:rPr>
        <w:t>,</w:t>
      </w:r>
      <w:r w:rsidRPr="009D7554">
        <w:rPr>
          <w:rFonts w:ascii="Book Antiqua" w:hAnsi="Book Antiqua"/>
          <w:bCs/>
          <w:iCs/>
          <w:lang w:val="en-US"/>
        </w:rPr>
        <w:t xml:space="preserve"> lesion size and longitudinal extension, </w:t>
      </w:r>
      <w:r w:rsidR="0080395C" w:rsidRPr="009D7554">
        <w:rPr>
          <w:rFonts w:ascii="Book Antiqua" w:hAnsi="Book Antiqua"/>
          <w:bCs/>
          <w:iCs/>
          <w:lang w:val="en-US"/>
        </w:rPr>
        <w:t xml:space="preserve">the </w:t>
      </w:r>
      <w:r w:rsidRPr="009D7554">
        <w:rPr>
          <w:rFonts w:ascii="Book Antiqua" w:hAnsi="Book Antiqua"/>
          <w:bCs/>
          <w:iCs/>
          <w:lang w:val="en-US"/>
        </w:rPr>
        <w:t>evaluation of the transition</w:t>
      </w:r>
      <w:r w:rsidR="0080395C" w:rsidRPr="009D7554">
        <w:rPr>
          <w:rFonts w:ascii="Book Antiqua" w:hAnsi="Book Antiqua"/>
          <w:bCs/>
          <w:iCs/>
          <w:lang w:val="en-US"/>
        </w:rPr>
        <w:t>al</w:t>
      </w:r>
      <w:r w:rsidRPr="009D7554">
        <w:rPr>
          <w:rFonts w:ascii="Book Antiqua" w:hAnsi="Book Antiqua"/>
          <w:bCs/>
          <w:iCs/>
          <w:lang w:val="en-US"/>
        </w:rPr>
        <w:t xml:space="preserve"> zone between pathological and healthy mucosa, </w:t>
      </w:r>
      <w:r w:rsidR="0080395C" w:rsidRPr="009D7554">
        <w:rPr>
          <w:rFonts w:ascii="Book Antiqua" w:hAnsi="Book Antiqua"/>
          <w:bCs/>
          <w:iCs/>
          <w:lang w:val="en-US"/>
        </w:rPr>
        <w:t xml:space="preserve">the </w:t>
      </w:r>
      <w:r w:rsidRPr="009D7554">
        <w:rPr>
          <w:rFonts w:ascii="Book Antiqua" w:hAnsi="Book Antiqua"/>
          <w:bCs/>
          <w:iCs/>
          <w:lang w:val="en-US"/>
        </w:rPr>
        <w:t xml:space="preserve">presence of focal or multifocal intestinal involvement, </w:t>
      </w:r>
      <w:r w:rsidR="0080395C" w:rsidRPr="009D7554">
        <w:rPr>
          <w:rFonts w:ascii="Book Antiqua" w:hAnsi="Book Antiqua"/>
          <w:bCs/>
          <w:iCs/>
          <w:lang w:val="en-US"/>
        </w:rPr>
        <w:t xml:space="preserve">the preservation of </w:t>
      </w:r>
      <w:r w:rsidRPr="009D7554">
        <w:rPr>
          <w:rFonts w:ascii="Book Antiqua" w:hAnsi="Book Antiqua"/>
          <w:bCs/>
          <w:iCs/>
          <w:lang w:val="en-US"/>
        </w:rPr>
        <w:t xml:space="preserve">mural stratification, </w:t>
      </w:r>
      <w:r w:rsidR="0080395C" w:rsidRPr="009D7554">
        <w:rPr>
          <w:rFonts w:ascii="Book Antiqua" w:hAnsi="Book Antiqua"/>
          <w:bCs/>
          <w:iCs/>
          <w:lang w:val="en-US"/>
        </w:rPr>
        <w:t xml:space="preserve">and the </w:t>
      </w:r>
      <w:r w:rsidRPr="009D7554">
        <w:rPr>
          <w:rFonts w:ascii="Book Antiqua" w:hAnsi="Book Antiqua"/>
          <w:bCs/>
          <w:iCs/>
          <w:lang w:val="en-US"/>
        </w:rPr>
        <w:t xml:space="preserve">pattern of mesenteric and lymph </w:t>
      </w:r>
      <w:r w:rsidR="001F0F25" w:rsidRPr="009D7554">
        <w:rPr>
          <w:rFonts w:ascii="Book Antiqua" w:hAnsi="Book Antiqua"/>
          <w:bCs/>
          <w:iCs/>
          <w:lang w:val="en-US"/>
        </w:rPr>
        <w:t>node</w:t>
      </w:r>
      <w:r w:rsidRPr="009D7554">
        <w:rPr>
          <w:rFonts w:ascii="Book Antiqua" w:hAnsi="Book Antiqua"/>
          <w:bCs/>
          <w:iCs/>
          <w:lang w:val="en-US"/>
        </w:rPr>
        <w:t xml:space="preserve"> involvement). Although all these characteristics contribute </w:t>
      </w:r>
      <w:r w:rsidR="0080395C" w:rsidRPr="009D7554">
        <w:rPr>
          <w:rFonts w:ascii="Book Antiqua" w:hAnsi="Book Antiqua"/>
          <w:bCs/>
          <w:iCs/>
          <w:lang w:val="en-US"/>
        </w:rPr>
        <w:t xml:space="preserve">the </w:t>
      </w:r>
      <w:r w:rsidRPr="009D7554">
        <w:rPr>
          <w:rFonts w:ascii="Book Antiqua" w:hAnsi="Book Antiqua"/>
          <w:bCs/>
          <w:iCs/>
          <w:lang w:val="en-US"/>
        </w:rPr>
        <w:t>most</w:t>
      </w:r>
      <w:r w:rsidR="0080395C" w:rsidRPr="009D7554">
        <w:rPr>
          <w:rFonts w:ascii="Book Antiqua" w:hAnsi="Book Antiqua"/>
          <w:bCs/>
          <w:iCs/>
          <w:lang w:val="en-US"/>
        </w:rPr>
        <w:t xml:space="preserve"> to the determination of</w:t>
      </w:r>
      <w:r w:rsidRPr="009D7554">
        <w:rPr>
          <w:rFonts w:ascii="Book Antiqua" w:hAnsi="Book Antiqua"/>
          <w:bCs/>
          <w:iCs/>
          <w:lang w:val="en-US"/>
        </w:rPr>
        <w:t xml:space="preserve"> the correct diagnosis, parametric imaging could </w:t>
      </w:r>
      <w:r w:rsidR="001F0F25" w:rsidRPr="009D7554">
        <w:rPr>
          <w:rFonts w:ascii="Book Antiqua" w:hAnsi="Book Antiqua"/>
          <w:bCs/>
          <w:iCs/>
          <w:lang w:val="en-US"/>
        </w:rPr>
        <w:t xml:space="preserve">increase </w:t>
      </w:r>
      <w:r w:rsidRPr="009D7554">
        <w:rPr>
          <w:rFonts w:ascii="Book Antiqua" w:hAnsi="Book Antiqua"/>
          <w:bCs/>
          <w:iCs/>
          <w:lang w:val="en-US"/>
        </w:rPr>
        <w:t xml:space="preserve">the overall diagnostic accuracy; moreover, it may be useful </w:t>
      </w:r>
      <w:r w:rsidR="0080395C" w:rsidRPr="009D7554">
        <w:rPr>
          <w:rFonts w:ascii="Book Antiqua" w:hAnsi="Book Antiqua"/>
          <w:bCs/>
          <w:iCs/>
          <w:lang w:val="en-US"/>
        </w:rPr>
        <w:t xml:space="preserve">for </w:t>
      </w:r>
      <w:r w:rsidRPr="009D7554">
        <w:rPr>
          <w:rFonts w:ascii="Book Antiqua" w:hAnsi="Book Antiqua"/>
          <w:bCs/>
          <w:iCs/>
          <w:lang w:val="en-US"/>
        </w:rPr>
        <w:t>the tumor grading and differentiation and local staging.</w:t>
      </w:r>
    </w:p>
    <w:p w:rsidR="009B5C82" w:rsidRPr="009D7554" w:rsidRDefault="009B5C82" w:rsidP="006A253E">
      <w:pPr>
        <w:widowControl w:val="0"/>
        <w:autoSpaceDE w:val="0"/>
        <w:autoSpaceDN w:val="0"/>
        <w:adjustRightInd w:val="0"/>
        <w:snapToGrid w:val="0"/>
        <w:spacing w:line="360" w:lineRule="auto"/>
        <w:jc w:val="both"/>
        <w:rPr>
          <w:rFonts w:ascii="Book Antiqua" w:hAnsi="Book Antiqua"/>
          <w:bCs/>
          <w:i/>
          <w:iCs/>
          <w:lang w:val="en-US"/>
        </w:rPr>
      </w:pPr>
    </w:p>
    <w:p w:rsidR="006D3608" w:rsidRPr="009D7554" w:rsidRDefault="00335B08"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DWI with ADC maps</w:t>
      </w:r>
      <w:r w:rsidR="00686FF4" w:rsidRPr="009D7554">
        <w:rPr>
          <w:rFonts w:ascii="Book Antiqua" w:eastAsia="等线" w:hAnsi="Book Antiqua" w:hint="eastAsia"/>
          <w:b/>
          <w:lang w:val="en-US" w:eastAsia="zh-CN"/>
        </w:rPr>
        <w:t>:</w:t>
      </w:r>
      <w:r w:rsidR="00686FF4" w:rsidRPr="009D7554">
        <w:rPr>
          <w:rFonts w:ascii="Book Antiqua" w:eastAsia="等线" w:hAnsi="Book Antiqua"/>
          <w:b/>
          <w:lang w:val="en-US" w:eastAsia="zh-CN"/>
        </w:rPr>
        <w:t xml:space="preserve"> </w:t>
      </w:r>
      <w:r w:rsidR="00AF3A82" w:rsidRPr="009D7554">
        <w:rPr>
          <w:rFonts w:ascii="Book Antiqua" w:hAnsi="Book Antiqua"/>
          <w:bCs/>
          <w:lang w:val="en-US"/>
        </w:rPr>
        <w:t xml:space="preserve">ADC values have been investigated as possible quantitative parameters </w:t>
      </w:r>
      <w:r w:rsidR="0080395C" w:rsidRPr="009D7554">
        <w:rPr>
          <w:rFonts w:ascii="Book Antiqua" w:hAnsi="Book Antiqua"/>
          <w:bCs/>
          <w:lang w:val="en-US"/>
        </w:rPr>
        <w:t xml:space="preserve">that are </w:t>
      </w:r>
      <w:r w:rsidR="00AF3A82" w:rsidRPr="009D7554">
        <w:rPr>
          <w:rFonts w:ascii="Book Antiqua" w:hAnsi="Book Antiqua"/>
          <w:bCs/>
          <w:lang w:val="en-US"/>
        </w:rPr>
        <w:t xml:space="preserve">useful </w:t>
      </w:r>
      <w:r w:rsidR="0080395C" w:rsidRPr="009D7554">
        <w:rPr>
          <w:rFonts w:ascii="Book Antiqua" w:hAnsi="Book Antiqua"/>
          <w:bCs/>
          <w:lang w:val="en-US"/>
        </w:rPr>
        <w:t>for</w:t>
      </w:r>
      <w:r w:rsidR="00AF3A82" w:rsidRPr="009D7554">
        <w:rPr>
          <w:rFonts w:ascii="Book Antiqua" w:hAnsi="Book Antiqua"/>
          <w:bCs/>
          <w:lang w:val="en-US"/>
        </w:rPr>
        <w:t xml:space="preserve"> differential diagnosis. Kilickesmez </w:t>
      </w:r>
      <w:r w:rsidR="006D3608" w:rsidRPr="009D7554">
        <w:rPr>
          <w:rFonts w:ascii="Book Antiqua" w:hAnsi="Book Antiqua"/>
          <w:i/>
          <w:lang w:val="en-US"/>
        </w:rPr>
        <w:t>et al</w:t>
      </w:r>
      <w:r w:rsidR="00A75298" w:rsidRPr="009D7554">
        <w:rPr>
          <w:rFonts w:ascii="Book Antiqua" w:hAnsi="Book Antiqua"/>
          <w:i/>
          <w:lang w:val="en-US"/>
        </w:rPr>
        <w:fldChar w:fldCharType="begin" w:fldLock="1"/>
      </w:r>
      <w:r w:rsidR="00914E0E" w:rsidRPr="009D7554">
        <w:rPr>
          <w:rFonts w:ascii="Book Antiqua" w:hAnsi="Book Antiqua"/>
          <w:i/>
          <w:lang w:val="en-US"/>
        </w:rPr>
        <w:instrText>ADDIN CSL_CITATION {"citationItems":[{"id":"ITEM-1","itemData":{"DOI":"10.1097/RCT.0b013e31819a60f3","ISSN":"0363-8715","PMID":"19940651","author":[{"dropping-particle":"","family":"Kilickesmez","given":"Ozgur","non-dropping-particle":"","parse-names":false,"suffix":""},{"dropping-particle":"","family":"Atilla","given":"Serhan","non-dropping-particle":"","parse-names":false,"suffix":""},{"dropping-particle":"","family":"Soylu","given":"Aliye","non-dropping-particle":"","parse-names":false,"suffix":""},{"dropping-particle":"","family":"Tasdelen","given":"Neslihan","non-dropping-particle":"","parse-names":false,"suffix":""},{"dropping-particle":"","family":"Bayramoglu","given":"Sibel","non-dropping-particle":"","parse-names":false,"suffix":""},{"dropping-particle":"","family":"Cimilli","given":"Tan","non-dropping-particle":"","parse-names":false,"suffix":""},{"dropping-particle":"","family":"Gurmen","given":"Nevzat","non-dropping-particle":"","parse-names":false,"suffix":""}],"container-title":"Journal of Computer Assisted Tomography","id":"ITEM-1","issue":"6","issued":{"date-parts":[["2009","11"]]},"page":"863-866","title":"Diffusion-Weighted Imaging of the Rectosigmoid Colon","type":"article-journal","volume":"33"},"uris":["http://www.mendeley.com/documents/?uuid=be7633a6-d362-4f8f-921b-d963dcd21245"]}],"mendeley":{"formattedCitation":"&lt;sup&gt;[31]&lt;/sup&gt;","plainTextFormattedCitation":"[31]","previouslyFormattedCitation":"&lt;sup&gt;[31]&lt;/sup&gt;"},"properties":{"noteIndex":0},"schema":"https://github.com/citation-style-language/schema/raw/master/csl-citation.json"}</w:instrText>
      </w:r>
      <w:r w:rsidR="00A75298" w:rsidRPr="009D7554">
        <w:rPr>
          <w:rFonts w:ascii="Book Antiqua" w:hAnsi="Book Antiqua"/>
          <w:i/>
          <w:lang w:val="en-US"/>
        </w:rPr>
        <w:fldChar w:fldCharType="separate"/>
      </w:r>
      <w:r w:rsidR="00914E0E" w:rsidRPr="009D7554">
        <w:rPr>
          <w:rFonts w:ascii="Book Antiqua" w:hAnsi="Book Antiqua"/>
          <w:vertAlign w:val="superscript"/>
          <w:lang w:val="en-US"/>
        </w:rPr>
        <w:t>[31]</w:t>
      </w:r>
      <w:r w:rsidR="00A75298" w:rsidRPr="009D7554">
        <w:rPr>
          <w:rFonts w:ascii="Book Antiqua" w:hAnsi="Book Antiqua"/>
          <w:i/>
          <w:lang w:val="en-US"/>
        </w:rPr>
        <w:fldChar w:fldCharType="end"/>
      </w:r>
      <w:r w:rsidR="00AF3A82" w:rsidRPr="009D7554">
        <w:rPr>
          <w:rFonts w:ascii="Book Antiqua" w:hAnsi="Book Antiqua"/>
          <w:i/>
          <w:lang w:val="en-US"/>
        </w:rPr>
        <w:t xml:space="preserve"> </w:t>
      </w:r>
      <w:r w:rsidR="006D3608" w:rsidRPr="009D7554">
        <w:rPr>
          <w:rFonts w:ascii="Book Antiqua" w:hAnsi="Book Antiqua"/>
          <w:lang w:val="en-US"/>
        </w:rPr>
        <w:t xml:space="preserve">reported that mean ADC values may be </w:t>
      </w:r>
      <w:r w:rsidR="0080395C" w:rsidRPr="009D7554">
        <w:rPr>
          <w:rFonts w:ascii="Book Antiqua" w:hAnsi="Book Antiqua"/>
          <w:lang w:val="en-US"/>
        </w:rPr>
        <w:t xml:space="preserve">used </w:t>
      </w:r>
      <w:r w:rsidR="006D3608" w:rsidRPr="009D7554">
        <w:rPr>
          <w:rFonts w:ascii="Book Antiqua" w:hAnsi="Book Antiqua"/>
          <w:lang w:val="en-US"/>
        </w:rPr>
        <w:t>to differentiate recto-sigmoid malignancy from both normal rectum and inflammatory bowel disease</w:t>
      </w:r>
      <w:r w:rsidR="00B02A68" w:rsidRPr="009D7554">
        <w:rPr>
          <w:rFonts w:ascii="Book Antiqua" w:hAnsi="Book Antiqua"/>
          <w:lang w:val="en-US"/>
        </w:rPr>
        <w:t>-affected tissues</w:t>
      </w:r>
      <w:r w:rsidR="006D3608" w:rsidRPr="009D7554">
        <w:rPr>
          <w:rFonts w:ascii="Book Antiqua" w:hAnsi="Book Antiqua"/>
          <w:lang w:val="en-US"/>
        </w:rPr>
        <w:t xml:space="preserve">. The mean ADC value (0.97 </w:t>
      </w:r>
      <w:r w:rsidR="007D3F34" w:rsidRPr="009D7554">
        <w:rPr>
          <w:rFonts w:ascii="Book Antiqua" w:hAnsi="Book Antiqua"/>
          <w:lang w:val="en-US"/>
        </w:rPr>
        <w:t xml:space="preserve">× </w:t>
      </w:r>
      <w:r w:rsidR="006D3608" w:rsidRPr="009D7554">
        <w:rPr>
          <w:rFonts w:ascii="Book Antiqua" w:hAnsi="Book Antiqua"/>
          <w:lang w:val="en-US"/>
        </w:rPr>
        <w:t>10</w:t>
      </w:r>
      <w:r w:rsidR="006D3608" w:rsidRPr="009D7554">
        <w:rPr>
          <w:rFonts w:ascii="Book Antiqua" w:hAnsi="Book Antiqua"/>
          <w:vertAlign w:val="superscript"/>
          <w:lang w:val="en-US"/>
        </w:rPr>
        <w:t>-3</w:t>
      </w:r>
      <w:r w:rsidR="006D3608" w:rsidRPr="009D7554">
        <w:rPr>
          <w:rFonts w:ascii="Book Antiqua" w:hAnsi="Book Antiqua"/>
          <w:lang w:val="en-US"/>
        </w:rPr>
        <w:t xml:space="preserve"> mm</w:t>
      </w:r>
      <w:r w:rsidR="006D3608" w:rsidRPr="009D7554">
        <w:rPr>
          <w:rFonts w:ascii="Book Antiqua" w:hAnsi="Book Antiqua"/>
          <w:vertAlign w:val="superscript"/>
          <w:lang w:val="en-US"/>
        </w:rPr>
        <w:t>2</w:t>
      </w:r>
      <w:r w:rsidR="006D3608" w:rsidRPr="009D7554">
        <w:rPr>
          <w:rFonts w:ascii="Book Antiqua" w:hAnsi="Book Antiqua"/>
          <w:lang w:val="en-US"/>
        </w:rPr>
        <w:t xml:space="preserve">/s) of the recto-sigmoid </w:t>
      </w:r>
      <w:r w:rsidR="001F0F25" w:rsidRPr="009D7554">
        <w:rPr>
          <w:rFonts w:ascii="Book Antiqua" w:hAnsi="Book Antiqua"/>
          <w:lang w:val="en-US"/>
        </w:rPr>
        <w:t>tumor</w:t>
      </w:r>
      <w:r w:rsidR="006D3608" w:rsidRPr="009D7554">
        <w:rPr>
          <w:rFonts w:ascii="Book Antiqua" w:hAnsi="Book Antiqua"/>
          <w:lang w:val="en-US"/>
        </w:rPr>
        <w:t xml:space="preserve"> group </w:t>
      </w:r>
      <w:r w:rsidR="00B02A68" w:rsidRPr="009D7554">
        <w:rPr>
          <w:rFonts w:ascii="Book Antiqua" w:hAnsi="Book Antiqua"/>
          <w:lang w:val="en-US"/>
        </w:rPr>
        <w:t xml:space="preserve">was </w:t>
      </w:r>
      <w:r w:rsidR="006D3608" w:rsidRPr="009D7554">
        <w:rPr>
          <w:rFonts w:ascii="Book Antiqua" w:hAnsi="Book Antiqua"/>
          <w:lang w:val="en-US"/>
        </w:rPr>
        <w:t xml:space="preserve">significantly different from those of </w:t>
      </w:r>
      <w:r w:rsidR="001F0F25" w:rsidRPr="009D7554">
        <w:rPr>
          <w:rFonts w:ascii="Book Antiqua" w:hAnsi="Book Antiqua"/>
          <w:lang w:val="en-US"/>
        </w:rPr>
        <w:t xml:space="preserve">the </w:t>
      </w:r>
      <w:r w:rsidR="006D3608" w:rsidRPr="009D7554">
        <w:rPr>
          <w:rFonts w:ascii="Book Antiqua" w:hAnsi="Book Antiqua"/>
          <w:lang w:val="en-US"/>
        </w:rPr>
        <w:t xml:space="preserve">healthy control (1.47 </w:t>
      </w:r>
      <w:r w:rsidR="007D3F34" w:rsidRPr="009D7554">
        <w:rPr>
          <w:rFonts w:ascii="Book Antiqua" w:hAnsi="Book Antiqua"/>
          <w:lang w:val="en-US"/>
        </w:rPr>
        <w:t xml:space="preserve">× </w:t>
      </w:r>
      <w:r w:rsidR="006D3608" w:rsidRPr="009D7554">
        <w:rPr>
          <w:rFonts w:ascii="Book Antiqua" w:hAnsi="Book Antiqua"/>
          <w:lang w:val="en-US"/>
        </w:rPr>
        <w:t>10</w:t>
      </w:r>
      <w:r w:rsidR="006D3608" w:rsidRPr="009D7554">
        <w:rPr>
          <w:rFonts w:ascii="Book Antiqua" w:hAnsi="Book Antiqua"/>
          <w:vertAlign w:val="superscript"/>
          <w:lang w:val="en-US"/>
        </w:rPr>
        <w:t>-3</w:t>
      </w:r>
      <w:r w:rsidR="006D3608" w:rsidRPr="009D7554">
        <w:rPr>
          <w:rFonts w:ascii="Book Antiqua" w:hAnsi="Book Antiqua"/>
          <w:lang w:val="en-US"/>
        </w:rPr>
        <w:t xml:space="preserve"> mm</w:t>
      </w:r>
      <w:r w:rsidR="006D3608" w:rsidRPr="009D7554">
        <w:rPr>
          <w:rFonts w:ascii="Book Antiqua" w:hAnsi="Book Antiqua"/>
          <w:vertAlign w:val="superscript"/>
          <w:lang w:val="en-US"/>
        </w:rPr>
        <w:t>2</w:t>
      </w:r>
      <w:r w:rsidR="006D3608" w:rsidRPr="009D7554">
        <w:rPr>
          <w:rFonts w:ascii="Book Antiqua" w:hAnsi="Book Antiqua"/>
          <w:lang w:val="en-US"/>
        </w:rPr>
        <w:t xml:space="preserve">/s) and inflammatory bowel disease </w:t>
      </w:r>
      <w:r w:rsidR="00B02A68" w:rsidRPr="009D7554">
        <w:rPr>
          <w:rFonts w:ascii="Book Antiqua" w:hAnsi="Book Antiqua"/>
          <w:lang w:val="en-US"/>
        </w:rPr>
        <w:t xml:space="preserve">groups </w:t>
      </w:r>
      <w:r w:rsidR="006D3608" w:rsidRPr="009D7554">
        <w:rPr>
          <w:rFonts w:ascii="Book Antiqua" w:hAnsi="Book Antiqua"/>
          <w:lang w:val="en-US"/>
        </w:rPr>
        <w:t>(1.37</w:t>
      </w:r>
      <w:r w:rsidR="007D3F34" w:rsidRPr="009D7554">
        <w:rPr>
          <w:rFonts w:ascii="Book Antiqua" w:hAnsi="Book Antiqua"/>
          <w:lang w:val="en-US"/>
        </w:rPr>
        <w:t xml:space="preserve"> × </w:t>
      </w:r>
      <w:r w:rsidR="006D3608" w:rsidRPr="009D7554">
        <w:rPr>
          <w:rFonts w:ascii="Book Antiqua" w:hAnsi="Book Antiqua"/>
          <w:lang w:val="en-US"/>
        </w:rPr>
        <w:t>10</w:t>
      </w:r>
      <w:r w:rsidR="006D3608" w:rsidRPr="009D7554">
        <w:rPr>
          <w:rFonts w:ascii="Book Antiqua" w:hAnsi="Book Antiqua"/>
          <w:vertAlign w:val="superscript"/>
          <w:lang w:val="en-US"/>
        </w:rPr>
        <w:t>-3</w:t>
      </w:r>
      <w:r w:rsidR="006D3608" w:rsidRPr="009D7554">
        <w:rPr>
          <w:rFonts w:ascii="Book Antiqua" w:hAnsi="Book Antiqua"/>
          <w:lang w:val="en-US"/>
        </w:rPr>
        <w:t xml:space="preserve"> mm</w:t>
      </w:r>
      <w:r w:rsidR="006D3608" w:rsidRPr="009D7554">
        <w:rPr>
          <w:rFonts w:ascii="Book Antiqua" w:hAnsi="Book Antiqua"/>
          <w:vertAlign w:val="superscript"/>
          <w:lang w:val="en-US"/>
        </w:rPr>
        <w:t>2</w:t>
      </w:r>
      <w:r w:rsidR="006D3608" w:rsidRPr="009D7554">
        <w:rPr>
          <w:rFonts w:ascii="Book Antiqua" w:hAnsi="Book Antiqua"/>
          <w:lang w:val="en-US"/>
        </w:rPr>
        <w:t>/s). A recent metanalysis</w:t>
      </w:r>
      <w:r w:rsidR="00A75298" w:rsidRPr="009D7554">
        <w:rPr>
          <w:rFonts w:ascii="Book Antiqua" w:hAnsi="Book Antiqua"/>
          <w:lang w:val="en-US"/>
        </w:rPr>
        <w:fldChar w:fldCharType="begin" w:fldLock="1"/>
      </w:r>
      <w:r w:rsidR="00914E0E" w:rsidRPr="009D7554">
        <w:rPr>
          <w:rFonts w:ascii="Book Antiqua" w:hAnsi="Book Antiqua"/>
          <w:lang w:val="en-US"/>
        </w:rPr>
        <w:instrText>ADDIN CSL_CITATION {"citationItems":[{"id":"ITEM-1","itemData":{"ISSN":"1940-5901","PMID":"26770325","abstract":"PURPOSE This meta-analysis aimed to evaluate the performance of diffusion-weighted magnetic resonance imaging (DWI) in identification of colorectal cancer. METHODS A systematic literature search was performed for studies that evaluated the diagnostic accuracy of DWI in identification of colorectal cancer. Methodological quality was assessed by Quality Assessment for Studies of Diagnostic Accuracy 2 (QUADAS 2) tool. After extracting data, we estimated the pooled sensitivity, specificity, likelihood ratios, and constructed summary receiver operating characteristics (SROC) curve. RESULTS Ten studies involving 367 malignant lesions and 178 benign lesions were considered eligible after full-text review. The pooled sensitivity and specificity were 0.95 (95% CI: 0.90-0.97) and 0.93 (95% CI: 0.85-0.97), respectively. Positive likelihood ratio and negative likelihood ratio were 12.8 (95% CI: 5.99-27.4) and 0.06 (95% CI: 0.03-0.11), respectively. The area under SROC curve was 0.98. CONCLUSIONS Our meta-analysis indicates that DWI is a highly accurate diagnostic method in identification of colorectal cancer.","author":[{"dropping-particle":"","family":"Jia","given":"Hongyuan","non-dropping-particle":"","parse-names":false,"suffix":""},{"dropping-particle":"","family":"Ma","given":"Xuelei","non-dropping-particle":"","parse-names":false,"suffix":""},{"dropping-particle":"","family":"Zhao","given":"Yang","non-dropping-particle":"","parse-names":false,"suffix":""},{"dropping-particle":"","family":"Zhao","given":"Jingyi","non-dropping-particle":"","parse-names":false,"suffix":""},{"dropping-particle":"","family":"Liu","given":"Rongjun","non-dropping-particle":"","parse-names":false,"suffix":""},{"dropping-particle":"","family":"Chen","given":"Zihang","non-dropping-particle":"","parse-names":false,"suffix":""},{"dropping-particle":"","family":"Chen","given":"Jinna","non-dropping-particle":"","parse-names":false,"suffix":""},{"dropping-particle":"","family":"Huang","given":"Jingwen","non-dropping-particle":"","parse-names":false,"suffix":""},{"dropping-particle":"","family":"Li","given":"Yanyan","non-dropping-particle":"","parse-names":false,"suffix":""},{"dropping-particle":"","family":"Zhang","given":"Jing","non-dropping-particle":"","parse-names":false,"suffix":""},{"dropping-particle":"","family":"Wang","given":"Feng","non-dropping-particle":"","parse-names":false,"suffix":""}],"container-title":"International journal of clinical and experimental medicine","id":"ITEM-1","issue":"10","issued":{"date-parts":[["2015","8"]]},"page":"17333-42","title":"Meta-analysis of diffusion-weighted magnetic resonance imaging in identification of colorectal cancer.","type":"article-journal","volume":"8"},"uris":["http://www.mendeley.com/documents/?uuid=69d5695b-37c3-44b5-bccf-1a10cdc35276"]}],"mendeley":{"formattedCitation":"&lt;sup&gt;[32]&lt;/sup&gt;","plainTextFormattedCitation":"[32]","previouslyFormattedCitation":"&lt;sup&gt;[32]&lt;/sup&gt;"},"properties":{"noteIndex":0},"schema":"https://github.com/citation-style-language/schema/raw/master/csl-citation.json"}</w:instrText>
      </w:r>
      <w:r w:rsidR="00A75298" w:rsidRPr="009D7554">
        <w:rPr>
          <w:rFonts w:ascii="Book Antiqua" w:hAnsi="Book Antiqua"/>
          <w:lang w:val="en-US"/>
        </w:rPr>
        <w:fldChar w:fldCharType="separate"/>
      </w:r>
      <w:r w:rsidR="00914E0E" w:rsidRPr="009D7554">
        <w:rPr>
          <w:rFonts w:ascii="Book Antiqua" w:hAnsi="Book Antiqua"/>
          <w:vertAlign w:val="superscript"/>
          <w:lang w:val="en-US"/>
        </w:rPr>
        <w:t>[32]</w:t>
      </w:r>
      <w:r w:rsidR="00A75298" w:rsidRPr="009D7554">
        <w:rPr>
          <w:rFonts w:ascii="Book Antiqua" w:hAnsi="Book Antiqua"/>
          <w:lang w:val="en-US"/>
        </w:rPr>
        <w:fldChar w:fldCharType="end"/>
      </w:r>
      <w:r w:rsidR="006D3608" w:rsidRPr="009D7554">
        <w:rPr>
          <w:rFonts w:ascii="Book Antiqua" w:hAnsi="Book Antiqua"/>
          <w:lang w:val="en-US"/>
        </w:rPr>
        <w:t xml:space="preserve"> reported that the ADC values of CRC malignant lesions ranged from 0.97 </w:t>
      </w:r>
      <w:r w:rsidR="007D3F34" w:rsidRPr="009D7554">
        <w:rPr>
          <w:rFonts w:ascii="Book Antiqua" w:hAnsi="Book Antiqua"/>
          <w:lang w:val="en-US"/>
        </w:rPr>
        <w:t xml:space="preserve">× </w:t>
      </w:r>
      <w:r w:rsidR="006D3608" w:rsidRPr="009D7554">
        <w:rPr>
          <w:rFonts w:ascii="Book Antiqua" w:hAnsi="Book Antiqua"/>
          <w:lang w:val="en-US"/>
        </w:rPr>
        <w:t>10</w:t>
      </w:r>
      <w:r w:rsidR="006D3608" w:rsidRPr="009D7554">
        <w:rPr>
          <w:rFonts w:ascii="Book Antiqua" w:hAnsi="Book Antiqua"/>
          <w:vertAlign w:val="superscript"/>
          <w:lang w:val="en-US"/>
        </w:rPr>
        <w:t>-3</w:t>
      </w:r>
      <w:r w:rsidR="006D3608" w:rsidRPr="009D7554">
        <w:rPr>
          <w:rFonts w:ascii="Book Antiqua" w:hAnsi="Book Antiqua"/>
          <w:lang w:val="en-US"/>
        </w:rPr>
        <w:t xml:space="preserve"> mm</w:t>
      </w:r>
      <w:r w:rsidR="006D3608" w:rsidRPr="009D7554">
        <w:rPr>
          <w:rFonts w:ascii="Book Antiqua" w:hAnsi="Book Antiqua"/>
          <w:vertAlign w:val="superscript"/>
          <w:lang w:val="en-US"/>
        </w:rPr>
        <w:t>2</w:t>
      </w:r>
      <w:r w:rsidR="006D3608" w:rsidRPr="009D7554">
        <w:rPr>
          <w:rFonts w:ascii="Book Antiqua" w:hAnsi="Book Antiqua"/>
          <w:lang w:val="en-US"/>
        </w:rPr>
        <w:t xml:space="preserve">/s to 1.19 </w:t>
      </w:r>
      <w:r w:rsidR="007D3F34" w:rsidRPr="009D7554">
        <w:rPr>
          <w:rFonts w:ascii="Book Antiqua" w:hAnsi="Book Antiqua"/>
          <w:lang w:val="en-US"/>
        </w:rPr>
        <w:t xml:space="preserve">× </w:t>
      </w:r>
      <w:r w:rsidR="006D3608" w:rsidRPr="009D7554">
        <w:rPr>
          <w:rFonts w:ascii="Book Antiqua" w:hAnsi="Book Antiqua"/>
          <w:lang w:val="en-US"/>
        </w:rPr>
        <w:t>10</w:t>
      </w:r>
      <w:r w:rsidR="006D3608" w:rsidRPr="009D7554">
        <w:rPr>
          <w:rFonts w:ascii="Book Antiqua" w:hAnsi="Book Antiqua"/>
          <w:vertAlign w:val="superscript"/>
          <w:lang w:val="en-US"/>
        </w:rPr>
        <w:t>-3</w:t>
      </w:r>
      <w:r w:rsidR="006D3608" w:rsidRPr="009D7554">
        <w:rPr>
          <w:rFonts w:ascii="Book Antiqua" w:hAnsi="Book Antiqua"/>
          <w:lang w:val="en-US"/>
        </w:rPr>
        <w:t xml:space="preserve"> mm</w:t>
      </w:r>
      <w:r w:rsidR="006D3608" w:rsidRPr="009D7554">
        <w:rPr>
          <w:rFonts w:ascii="Book Antiqua" w:hAnsi="Book Antiqua"/>
          <w:vertAlign w:val="superscript"/>
          <w:lang w:val="en-US"/>
        </w:rPr>
        <w:t>2</w:t>
      </w:r>
      <w:r w:rsidR="006D3608" w:rsidRPr="009D7554">
        <w:rPr>
          <w:rFonts w:ascii="Book Antiqua" w:hAnsi="Book Antiqua"/>
          <w:lang w:val="en-US"/>
        </w:rPr>
        <w:t xml:space="preserve">/s, while those of benign lesions </w:t>
      </w:r>
      <w:r w:rsidR="001F0F25" w:rsidRPr="009D7554">
        <w:rPr>
          <w:rFonts w:ascii="Book Antiqua" w:hAnsi="Book Antiqua"/>
          <w:lang w:val="en-US"/>
        </w:rPr>
        <w:t xml:space="preserve">ranged </w:t>
      </w:r>
      <w:r w:rsidR="006D3608" w:rsidRPr="009D7554">
        <w:rPr>
          <w:rFonts w:ascii="Book Antiqua" w:hAnsi="Book Antiqua"/>
          <w:lang w:val="en-US"/>
        </w:rPr>
        <w:t xml:space="preserve">from 1.37 </w:t>
      </w:r>
      <w:r w:rsidR="001D4C85" w:rsidRPr="009D7554">
        <w:rPr>
          <w:rFonts w:ascii="Book Antiqua" w:hAnsi="Book Antiqua"/>
          <w:lang w:val="en-US"/>
        </w:rPr>
        <w:t xml:space="preserve">× </w:t>
      </w:r>
      <w:r w:rsidR="006D3608" w:rsidRPr="009D7554">
        <w:rPr>
          <w:rFonts w:ascii="Book Antiqua" w:hAnsi="Book Antiqua"/>
          <w:lang w:val="en-US"/>
        </w:rPr>
        <w:t>10</w:t>
      </w:r>
      <w:r w:rsidR="006D3608" w:rsidRPr="009D7554">
        <w:rPr>
          <w:rFonts w:ascii="Book Antiqua" w:hAnsi="Book Antiqua"/>
          <w:vertAlign w:val="superscript"/>
          <w:lang w:val="en-US"/>
        </w:rPr>
        <w:t>-3</w:t>
      </w:r>
      <w:r w:rsidR="006D3608" w:rsidRPr="009D7554">
        <w:rPr>
          <w:rFonts w:ascii="Book Antiqua" w:hAnsi="Book Antiqua"/>
          <w:lang w:val="en-US"/>
        </w:rPr>
        <w:t xml:space="preserve"> mm</w:t>
      </w:r>
      <w:r w:rsidR="006D3608" w:rsidRPr="009D7554">
        <w:rPr>
          <w:rFonts w:ascii="Book Antiqua" w:hAnsi="Book Antiqua"/>
          <w:vertAlign w:val="superscript"/>
          <w:lang w:val="en-US"/>
        </w:rPr>
        <w:t>2</w:t>
      </w:r>
      <w:r w:rsidR="006D3608" w:rsidRPr="009D7554">
        <w:rPr>
          <w:rFonts w:ascii="Book Antiqua" w:hAnsi="Book Antiqua"/>
          <w:lang w:val="en-US"/>
        </w:rPr>
        <w:t xml:space="preserve">/s to 2.69 </w:t>
      </w:r>
      <w:r w:rsidR="001D4C85" w:rsidRPr="009D7554">
        <w:rPr>
          <w:rFonts w:ascii="Book Antiqua" w:hAnsi="Book Antiqua"/>
          <w:lang w:val="en-US"/>
        </w:rPr>
        <w:t xml:space="preserve">× </w:t>
      </w:r>
      <w:r w:rsidR="006D3608" w:rsidRPr="009D7554">
        <w:rPr>
          <w:rFonts w:ascii="Book Antiqua" w:hAnsi="Book Antiqua"/>
          <w:lang w:val="en-US"/>
        </w:rPr>
        <w:t>10</w:t>
      </w:r>
      <w:r w:rsidR="006D3608" w:rsidRPr="009D7554">
        <w:rPr>
          <w:rFonts w:ascii="Book Antiqua" w:hAnsi="Book Antiqua"/>
          <w:vertAlign w:val="superscript"/>
          <w:lang w:val="en-US"/>
        </w:rPr>
        <w:t>-3</w:t>
      </w:r>
      <w:r w:rsidR="006D3608" w:rsidRPr="009D7554">
        <w:rPr>
          <w:rFonts w:ascii="Book Antiqua" w:hAnsi="Book Antiqua"/>
          <w:lang w:val="en-US"/>
        </w:rPr>
        <w:t xml:space="preserve"> mm</w:t>
      </w:r>
      <w:r w:rsidR="006D3608" w:rsidRPr="009D7554">
        <w:rPr>
          <w:rFonts w:ascii="Book Antiqua" w:hAnsi="Book Antiqua"/>
          <w:vertAlign w:val="superscript"/>
          <w:lang w:val="en-US"/>
        </w:rPr>
        <w:t>2</w:t>
      </w:r>
      <w:r w:rsidR="006D3608" w:rsidRPr="009D7554">
        <w:rPr>
          <w:rFonts w:ascii="Book Antiqua" w:hAnsi="Book Antiqua"/>
          <w:lang w:val="en-US"/>
        </w:rPr>
        <w:t>/s.</w:t>
      </w:r>
    </w:p>
    <w:p w:rsidR="00534853" w:rsidRPr="009D7554" w:rsidRDefault="00AF3A82" w:rsidP="004520B0">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bCs/>
          <w:iCs/>
          <w:lang w:val="en-US"/>
        </w:rPr>
        <w:t xml:space="preserve">The ADC value might </w:t>
      </w:r>
      <w:r w:rsidR="00B02A68" w:rsidRPr="009D7554">
        <w:rPr>
          <w:rFonts w:ascii="Book Antiqua" w:hAnsi="Book Antiqua"/>
          <w:bCs/>
          <w:iCs/>
          <w:lang w:val="en-US"/>
        </w:rPr>
        <w:t xml:space="preserve">serve as </w:t>
      </w:r>
      <w:r w:rsidRPr="009D7554">
        <w:rPr>
          <w:rFonts w:ascii="Book Antiqua" w:hAnsi="Book Antiqua"/>
          <w:bCs/>
          <w:iCs/>
          <w:lang w:val="en-US"/>
        </w:rPr>
        <w:t xml:space="preserve">a potential </w:t>
      </w:r>
      <w:r w:rsidR="009A70D4" w:rsidRPr="009D7554">
        <w:rPr>
          <w:rFonts w:ascii="Book Antiqua" w:hAnsi="Book Antiqua"/>
          <w:bCs/>
          <w:iCs/>
          <w:lang w:val="en-US"/>
        </w:rPr>
        <w:t>noni</w:t>
      </w:r>
      <w:r w:rsidRPr="009D7554">
        <w:rPr>
          <w:rFonts w:ascii="Book Antiqua" w:hAnsi="Book Antiqua"/>
          <w:bCs/>
          <w:iCs/>
          <w:lang w:val="en-US"/>
        </w:rPr>
        <w:t xml:space="preserve">nvasive biomarker of CRC tumor aggressiveness. Indeed, Curvo-Semedo </w:t>
      </w:r>
      <w:r w:rsidR="00534853" w:rsidRPr="009D7554">
        <w:rPr>
          <w:rFonts w:ascii="Book Antiqua" w:hAnsi="Book Antiqua"/>
          <w:i/>
          <w:lang w:val="en-US"/>
        </w:rPr>
        <w:t>et al</w:t>
      </w:r>
      <w:r w:rsidR="00A75298" w:rsidRPr="009D7554">
        <w:rPr>
          <w:rFonts w:ascii="Book Antiqua" w:hAnsi="Book Antiqua"/>
          <w:i/>
          <w:lang w:val="en-US"/>
        </w:rPr>
        <w:fldChar w:fldCharType="begin" w:fldLock="1"/>
      </w:r>
      <w:r w:rsidR="00914E0E" w:rsidRPr="009D7554">
        <w:rPr>
          <w:rFonts w:ascii="Book Antiqua" w:hAnsi="Book Antiqua"/>
          <w:i/>
          <w:lang w:val="en-US"/>
        </w:rPr>
        <w:instrText>ADDIN CSL_CITATION {"citationItems":[{"id":"ITEM-1","itemData":{"DOI":"10.1002/jmri.23589","ISSN":"1522-2586","PMID":"22271382","abstract":"PURPOSE To assess the value of diffusion-weighted MR imaging (DWI) as a potential noninvasive marker of tumor aggressiveness in rectal cancer, by analyzing the relationship between tumoral apparent diffusion coefficient (ADC) values and MRI and histological prognostic parameters. MATERIALS AND METHODS Fifty rectal cancer patients underwent primary staging MRI including DWI before surgery and neo-adjuvant therapy. In 47, surgery was preceded by short-course radiation therapy (n = 28) or long-course chemoradiation therapy (n = 19). Mean tumor ADC was measured and compared between subgroups based on pretreatment CEA levels, MRI parameters (mesorectal fascia - MRF - status; T-stage; N-stage) and histological parameters (differentiation grade: poorly differentiated, poorly moderately differentiated, moderately differentiated, moderately well differentiated, well-differentiated; lymphangiovascular invasion). RESULTS Mean tumor ADCs differ between MRF-free versus MRF-invaded tumors (P = 0.013), the groups of cN0 versus cN+ cancers (P = 0.011), and between the several groups of histological differentiation grades (P = 0.025). There was no significant difference in mean ADCs between the various groups of CEA levels, the T stage, and the presence of lymphangiovascular invasion. CONCLUSION Lower ADC values were associated with a more aggressive tumor profile. Significant correlations were found between mean ADC values and radiological MRF status, N stage and differentiation grade. ADC has the potential to become an imaging biomarker of tumor aggressiveness profile.","author":[{"dropping-particle":"","family":"Curvo-Semedo","given":"Luís","non-dropping-particle":"","parse-names":false,"suffix":""},{"dropping-particle":"","family":"Lambregts","given":"Doenja M J","non-dropping-particle":"","parse-names":false,"suffix":""},{"dropping-particle":"","family":"Maas","given":"Monique","non-dropping-particle":"","parse-names":false,"suffix":""},{"dropping-particle":"","family":"Beets","given":"Geerard L","non-dropping-particle":"","parse-names":false,"suffix":""},{"dropping-particle":"","family":"Caseiro-Alves","given":"Filipe","non-dropping-particle":"","parse-names":false,"suffix":""},{"dropping-particle":"","family":"Beets-Tan","given":"Regina G H","non-dropping-particle":"","parse-names":false,"suffix":""}],"container-title":"Journal of magnetic resonance imaging : JMRI","id":"ITEM-1","issue":"6","issued":{"date-parts":[["2012","6"]]},"page":"1365-71","title":"Diffusion-weighted MRI in rectal cancer: apparent diffusion coefficient as a potential noninvasive marker of tumor aggressiveness.","type":"article-journal","volume":"35"},"uris":["http://www.mendeley.com/documents/?uuid=ed2e6e1d-f193-4dd9-82d3-99cf5ee96813"]}],"mendeley":{"formattedCitation":"&lt;sup&gt;[33]&lt;/sup&gt;","plainTextFormattedCitation":"[33]","previouslyFormattedCitation":"&lt;sup&gt;[33]&lt;/sup&gt;"},"properties":{"noteIndex":0},"schema":"https://github.com/citation-style-language/schema/raw/master/csl-citation.json"}</w:instrText>
      </w:r>
      <w:r w:rsidR="00A75298" w:rsidRPr="009D7554">
        <w:rPr>
          <w:rFonts w:ascii="Book Antiqua" w:hAnsi="Book Antiqua"/>
          <w:i/>
          <w:lang w:val="en-US"/>
        </w:rPr>
        <w:fldChar w:fldCharType="separate"/>
      </w:r>
      <w:r w:rsidR="00914E0E" w:rsidRPr="009D7554">
        <w:rPr>
          <w:rFonts w:ascii="Book Antiqua" w:hAnsi="Book Antiqua"/>
          <w:vertAlign w:val="superscript"/>
          <w:lang w:val="en-US"/>
        </w:rPr>
        <w:t>[33]</w:t>
      </w:r>
      <w:r w:rsidR="00A75298" w:rsidRPr="009D7554">
        <w:rPr>
          <w:rFonts w:ascii="Book Antiqua" w:hAnsi="Book Antiqua"/>
          <w:i/>
          <w:lang w:val="en-US"/>
        </w:rPr>
        <w:fldChar w:fldCharType="end"/>
      </w:r>
      <w:r w:rsidR="0052148D" w:rsidRPr="009D7554">
        <w:rPr>
          <w:rFonts w:ascii="Book Antiqua" w:hAnsi="Book Antiqua"/>
          <w:i/>
          <w:lang w:val="en-US"/>
        </w:rPr>
        <w:t xml:space="preserve"> </w:t>
      </w:r>
      <w:r w:rsidRPr="009D7554">
        <w:rPr>
          <w:rFonts w:ascii="Book Antiqua" w:hAnsi="Book Antiqua"/>
          <w:bCs/>
          <w:lang w:val="en-US"/>
        </w:rPr>
        <w:t>reported significantly lower ADCmean values in poorly differentiated versus well-differentiated RC, as well as in</w:t>
      </w:r>
      <w:r w:rsidR="001F0F25" w:rsidRPr="009D7554">
        <w:rPr>
          <w:rFonts w:ascii="Book Antiqua" w:hAnsi="Book Antiqua"/>
          <w:bCs/>
          <w:lang w:val="en-US"/>
        </w:rPr>
        <w:t xml:space="preserve"> </w:t>
      </w:r>
      <w:r w:rsidR="00B02A68" w:rsidRPr="009D7554">
        <w:rPr>
          <w:rFonts w:ascii="Book Antiqua" w:hAnsi="Book Antiqua"/>
          <w:bCs/>
          <w:lang w:val="en-US"/>
        </w:rPr>
        <w:t>a</w:t>
      </w:r>
      <w:r w:rsidRPr="009D7554">
        <w:rPr>
          <w:rFonts w:ascii="Book Antiqua" w:hAnsi="Book Antiqua"/>
          <w:bCs/>
          <w:lang w:val="en-US"/>
        </w:rPr>
        <w:t xml:space="preserve"> T3-T4 </w:t>
      </w:r>
      <w:r w:rsidR="00B02A68" w:rsidRPr="009D7554">
        <w:rPr>
          <w:rFonts w:ascii="Book Antiqua" w:hAnsi="Book Antiqua"/>
          <w:bCs/>
          <w:lang w:val="en-US"/>
        </w:rPr>
        <w:t xml:space="preserve">stage </w:t>
      </w:r>
      <w:r w:rsidRPr="009D7554">
        <w:rPr>
          <w:rFonts w:ascii="Book Antiqua" w:hAnsi="Book Antiqua"/>
          <w:bCs/>
          <w:lang w:val="en-US"/>
        </w:rPr>
        <w:t xml:space="preserve">group versus </w:t>
      </w:r>
      <w:r w:rsidR="00B02A68" w:rsidRPr="009D7554">
        <w:rPr>
          <w:rFonts w:ascii="Book Antiqua" w:hAnsi="Book Antiqua"/>
          <w:bCs/>
          <w:lang w:val="en-US"/>
        </w:rPr>
        <w:t>a</w:t>
      </w:r>
      <w:r w:rsidR="001F0F25" w:rsidRPr="009D7554">
        <w:rPr>
          <w:rFonts w:ascii="Book Antiqua" w:hAnsi="Book Antiqua"/>
          <w:bCs/>
          <w:lang w:val="en-US"/>
        </w:rPr>
        <w:t xml:space="preserve"> </w:t>
      </w:r>
      <w:r w:rsidRPr="009D7554">
        <w:rPr>
          <w:rFonts w:ascii="Book Antiqua" w:hAnsi="Book Antiqua"/>
          <w:bCs/>
          <w:lang w:val="en-US"/>
        </w:rPr>
        <w:t xml:space="preserve">T1-T2 </w:t>
      </w:r>
      <w:r w:rsidR="001F0F25" w:rsidRPr="009D7554">
        <w:rPr>
          <w:rFonts w:ascii="Book Antiqua" w:hAnsi="Book Antiqua"/>
          <w:bCs/>
          <w:lang w:val="en-US"/>
        </w:rPr>
        <w:t>stag</w:t>
      </w:r>
      <w:r w:rsidR="00B02A68" w:rsidRPr="009D7554">
        <w:rPr>
          <w:rFonts w:ascii="Book Antiqua" w:hAnsi="Book Antiqua"/>
          <w:bCs/>
          <w:lang w:val="en-US"/>
        </w:rPr>
        <w:t>e</w:t>
      </w:r>
      <w:r w:rsidR="001F0F25" w:rsidRPr="009D7554">
        <w:rPr>
          <w:rFonts w:ascii="Book Antiqua" w:hAnsi="Book Antiqua"/>
          <w:bCs/>
          <w:lang w:val="en-US"/>
        </w:rPr>
        <w:t xml:space="preserve"> group</w:t>
      </w:r>
      <w:r w:rsidRPr="009D7554">
        <w:rPr>
          <w:rFonts w:ascii="Book Antiqua" w:hAnsi="Book Antiqua"/>
          <w:bCs/>
          <w:lang w:val="en-US"/>
        </w:rPr>
        <w:t xml:space="preserve">. Additionally, Tong </w:t>
      </w:r>
      <w:r w:rsidR="00202774" w:rsidRPr="009D7554">
        <w:rPr>
          <w:rFonts w:ascii="Book Antiqua" w:hAnsi="Book Antiqua"/>
          <w:i/>
          <w:lang w:val="en-US"/>
        </w:rPr>
        <w:t>et a</w:t>
      </w:r>
      <w:r w:rsidR="00202774" w:rsidRPr="009D7554">
        <w:rPr>
          <w:rFonts w:ascii="Book Antiqua" w:hAnsi="Book Antiqua"/>
          <w:i/>
          <w:iCs/>
          <w:lang w:val="en-US"/>
        </w:rPr>
        <w:t>l</w:t>
      </w:r>
      <w:r w:rsidR="00A75298" w:rsidRPr="009D7554">
        <w:rPr>
          <w:rFonts w:ascii="Book Antiqua" w:hAnsi="Book Antiqua"/>
          <w:lang w:val="en-US"/>
        </w:rPr>
        <w:fldChar w:fldCharType="begin" w:fldLock="1"/>
      </w:r>
      <w:r w:rsidR="00B22EAC" w:rsidRPr="009D7554">
        <w:rPr>
          <w:rFonts w:ascii="Book Antiqua" w:hAnsi="Book Antiqua"/>
          <w:lang w:val="en-US"/>
        </w:rPr>
        <w:instrText>ADDIN CSL_CITATION {"citationItems":[{"id":"ITEM-1","itemData":{"DOI":"10.1002/jmri.24398","ISSN":"1522-2586","PMID":"24307597","abstract":"PURPOSE To assess the value of maximal extramural depth (EMD) of T3 tumor spread on MRI as a potential noninvasive imaging biomarker of tumor aggressiveness in rectal cancer, by analyzing the relationship between tumoral EMD values and clinical or histological prognostic parameters. In addition, we try to investigate the relationship between EMD and apparent diffusion coefficient (ADC) values. MATERIALS AND METHODS Ninety rectal cancer patients who underwent primary MRI staging and diffusion weighted imaging (DWI) as T3 tumor were included. Tumor EMD was measured, and the EMD values of the subgroups based on pretreatment CEA, CA19-9 levels, N stage, and histological parameters were compared. The correlation between EMD and ADC values was compared. RESULTS Interobserver agreement of confidence levels for observers 1 and 2 was good for cN stage (k = 0.678) and EMD measurement(k = 0.612) and was excellent for ADC measurement (k = 0.880). Tumor EMDs differ between CEA &lt;5 ng/mL versus ≥ 5 ng/mL (P = 0.013), CA19-9 &lt; 27 U/mL versus ≥ 27 U/mL (P = 0.012), the groups of cN0 versus cN+ cancers (P = 0.049), and between the several groups of histological differentiation grades (P = 0.033). There was no significant difference in EMDs between the various groups of vessel carcinoma embolus and neural invasion. A significant negative correlation (r = -0.581; P = 0.001) between ADC and EMD values was found. CONCLUSION Significant correlations were found between EMD values and CEA, CA19-9 level, differentiation grade and ADC value. As been found, higher EMD values were associated with a more aggressive tumor profile and, therefore, EMD has the potential to become an imaging biomarker of tumor aggressiveness indicator.","author":[{"dropping-particle":"","family":"Tong","given":"Tong","non-dropping-particle":"","parse-names":false,"suffix":""},{"dropping-particle":"","family":"Yao","given":"Zhenwei","non-dropping-particle":"","parse-names":false,"suffix":""},{"dropping-particle":"","family":"Xu","given":"Linhui","non-dropping-particle":"","parse-names":false,"suffix":""},{"dropping-particle":"","family":"Cai","given":"Sanjun","non-dropping-particle":"","parse-names":false,"suffix":""},{"dropping-particle":"","family":"Bi","given":"Rui","non-dropping-particle":"","parse-names":false,"suffix":""},{"dropping-particle":"","family":"Xin","given":"Chao","non-dropping-particle":"","parse-names":false,"suffix":""},{"dropping-particle":"","family":"Gu","given":"Yajia","non-dropping-particle":"","parse-names":false,"suffix":""},{"dropping-particle":"","family":"Peng","given":"Weijun","non-dropping-particle":"","parse-names":false,"suffix":""}],"container-title":"Journal of magnetic resonance imaging : JMRI","id":"ITEM-1","issue":"3","issued":{"date-parts":[["2014","9"]]},"page":"738-44","title":"Extramural depth of tumor invasion at thin-section MR in rectal cancer: associating with prognostic factors and ADC value.","type":"article-journal","volume":"40"},"uris":["http://www.mendeley.com/documents/?uuid=ebb77650-f780-4a1e-8f9c-ea5e053d39ae"]}],"mendeley":{"formattedCitation":"&lt;sup&gt;[34]&lt;/sup&gt;","plainTextFormattedCitation":"[34]","previouslyFormattedCitation":"&lt;sup&gt;[34]&lt;/sup&gt;"},"properties":{"noteIndex":0},"schema":"https://github.com/citation-style-language/schema/raw/master/csl-citation.json"}</w:instrText>
      </w:r>
      <w:r w:rsidR="00A75298" w:rsidRPr="009D7554">
        <w:rPr>
          <w:rFonts w:ascii="Book Antiqua" w:hAnsi="Book Antiqua"/>
          <w:lang w:val="en-US"/>
        </w:rPr>
        <w:fldChar w:fldCharType="separate"/>
      </w:r>
      <w:r w:rsidR="00914E0E" w:rsidRPr="009D7554">
        <w:rPr>
          <w:rFonts w:ascii="Book Antiqua" w:hAnsi="Book Antiqua"/>
          <w:vertAlign w:val="superscript"/>
          <w:lang w:val="en-US"/>
        </w:rPr>
        <w:t>[34]</w:t>
      </w:r>
      <w:r w:rsidR="00A75298" w:rsidRPr="009D7554">
        <w:rPr>
          <w:rFonts w:ascii="Book Antiqua" w:hAnsi="Book Antiqua"/>
          <w:lang w:val="en-US"/>
        </w:rPr>
        <w:fldChar w:fldCharType="end"/>
      </w:r>
      <w:r w:rsidR="00202774" w:rsidRPr="009D7554">
        <w:rPr>
          <w:rFonts w:ascii="Book Antiqua" w:hAnsi="Book Antiqua"/>
          <w:lang w:val="en-US"/>
        </w:rPr>
        <w:t xml:space="preserve"> showed a negative correlation between ADC values and extramural maximal depth in RC.</w:t>
      </w:r>
    </w:p>
    <w:p w:rsidR="00534853" w:rsidRPr="009D7554" w:rsidRDefault="00534853" w:rsidP="006A253E">
      <w:pPr>
        <w:widowControl w:val="0"/>
        <w:autoSpaceDE w:val="0"/>
        <w:autoSpaceDN w:val="0"/>
        <w:adjustRightInd w:val="0"/>
        <w:snapToGrid w:val="0"/>
        <w:spacing w:line="360" w:lineRule="auto"/>
        <w:jc w:val="both"/>
        <w:rPr>
          <w:rFonts w:ascii="Book Antiqua" w:hAnsi="Book Antiqua"/>
          <w:lang w:val="en-US"/>
        </w:rPr>
      </w:pPr>
    </w:p>
    <w:p w:rsidR="00940322" w:rsidRPr="009D7554" w:rsidRDefault="00823255"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PI</w:t>
      </w:r>
      <w:r w:rsidR="004520B0" w:rsidRPr="009D7554">
        <w:rPr>
          <w:rFonts w:ascii="Book Antiqua" w:eastAsia="等线" w:hAnsi="Book Antiqua" w:hint="eastAsia"/>
          <w:b/>
          <w:lang w:val="en-US" w:eastAsia="zh-CN"/>
        </w:rPr>
        <w:t>:</w:t>
      </w:r>
      <w:r w:rsidR="004520B0" w:rsidRPr="009D7554">
        <w:rPr>
          <w:rFonts w:ascii="Book Antiqua" w:eastAsia="等线" w:hAnsi="Book Antiqua"/>
          <w:b/>
          <w:lang w:val="en-US" w:eastAsia="zh-CN"/>
        </w:rPr>
        <w:t xml:space="preserve"> </w:t>
      </w:r>
      <w:r w:rsidR="00AF3A82" w:rsidRPr="009D7554">
        <w:rPr>
          <w:rFonts w:ascii="Book Antiqua" w:hAnsi="Book Antiqua"/>
          <w:bCs/>
          <w:lang w:val="en-US"/>
        </w:rPr>
        <w:t xml:space="preserve">Quantitative perfusion parameters have been reported as feasible tools </w:t>
      </w:r>
      <w:r w:rsidR="00B02A68" w:rsidRPr="009D7554">
        <w:rPr>
          <w:rFonts w:ascii="Book Antiqua" w:hAnsi="Book Antiqua"/>
          <w:bCs/>
          <w:lang w:val="en-US"/>
        </w:rPr>
        <w:t xml:space="preserve">that could be used </w:t>
      </w:r>
      <w:r w:rsidR="00AF3A82" w:rsidRPr="009D7554">
        <w:rPr>
          <w:rFonts w:ascii="Book Antiqua" w:hAnsi="Book Antiqua"/>
          <w:bCs/>
          <w:lang w:val="en-US"/>
        </w:rPr>
        <w:t xml:space="preserve">to discriminate between CRC and </w:t>
      </w:r>
      <w:r w:rsidR="009A70D4" w:rsidRPr="009D7554">
        <w:rPr>
          <w:rFonts w:ascii="Book Antiqua" w:hAnsi="Book Antiqua"/>
          <w:bCs/>
          <w:lang w:val="en-US"/>
        </w:rPr>
        <w:t>nonc</w:t>
      </w:r>
      <w:r w:rsidR="00AF3A82" w:rsidRPr="009D7554">
        <w:rPr>
          <w:rFonts w:ascii="Book Antiqua" w:hAnsi="Book Antiqua"/>
          <w:bCs/>
          <w:lang w:val="en-US"/>
        </w:rPr>
        <w:t xml:space="preserve">ancerous diseases. Goh </w:t>
      </w:r>
      <w:r w:rsidR="00D01265" w:rsidRPr="009D7554">
        <w:rPr>
          <w:rFonts w:ascii="Book Antiqua" w:hAnsi="Book Antiqua"/>
          <w:i/>
          <w:lang w:val="en-US"/>
        </w:rPr>
        <w:t>et al</w:t>
      </w:r>
      <w:r w:rsidR="00A75298" w:rsidRPr="009D7554">
        <w:rPr>
          <w:rFonts w:ascii="Book Antiqua" w:hAnsi="Book Antiqua"/>
          <w:i/>
          <w:lang w:val="en-US"/>
        </w:rPr>
        <w:fldChar w:fldCharType="begin" w:fldLock="1"/>
      </w:r>
      <w:r w:rsidR="00B22EAC" w:rsidRPr="009D7554">
        <w:rPr>
          <w:rFonts w:ascii="Book Antiqua" w:hAnsi="Book Antiqua"/>
          <w:i/>
          <w:lang w:val="en-US"/>
        </w:rPr>
        <w:instrText>ADDIN CSL_CITATION {"citationItems":[{"id":"ITEM-1","itemData":{"DOI":"10.1148/radiol.2422051670","ISSN":"0033-8419","PMID":"17255417","abstract":"PURPOSE To determine whether computed tomographic (CT) perfusion measurements in prospectively recruited patients can be used to differentiate between diverticulitis and colorectal cancer and to compare this discrimination with that of standard morphologic criteria. MATERIALS AND METHODS After institutional review board approval and written informed consent were obtained, 60 patients (24 men, 36 women; mean age, 69 years; range, 33.5-90.4 years; 20 patients with cancer, 20 with diverticulitis, and 20 with inactive diverticular disease) underwent CT perfusion imaging at the level of the colonic abnormality, and perfusion parameters were calculated. Analysis of variance was used to investigate any differences in perfusion between the patient groups. Two independent observers also analyzed an abdominopelvic CT study obtained immediately after the CT perfusion study and noted standard morphologic criteria for differential diagnosis. The sensitivity and specificity of CT perfusion measurements for determining the diagnostic category were compared with morphologic criteria by means of multivariate analysis to identify the most discriminatory criteria. RESULTS Mean blood volume, blood flow, transit time, and permeability were significantly different between patients with cancer and those with diverticulitis (P &lt; .0001); patients with cancer had the highest blood volume, blood flow, and permeability and the shortest transit time. The most discriminatory criteria for determining diagnostic category were blood volume, transit time, permeability, and presence of pericolonic nodes (P = .05, .02, .04, and .02, respectively). Blood volume and blood flow each had a sensitivity of 80% and had specificity of 70% and 75%, respectively, for cancer in comparison with standard morphologic criteria: less than 5 cm of bowel involvement (45% sensitivity, 95% specificity), presence of a mass (85% sensitivity, 90% specificity), pericolonic inflammation (75% sensitivity, 5% specificity), and pericolonic nodes (90% sensitivity, 45% specificity). CONCLUSION CT perfusion measurements enable differentiation and better discrimination, in comparison with morphologic criteria, between cancer and diverticulitis.","author":[{"dropping-particle":"","family":"Goh","given":"Vicky","non-dropping-particle":"","parse-names":false,"suffix":""},{"dropping-particle":"","family":"Halligan","given":"Steve","non-dropping-particle":"","parse-names":false,"suffix":""},{"dropping-particle":"","family":"Taylor","given":"Stuart A","non-dropping-particle":"","parse-names":false,"suffix":""},{"dropping-particle":"","family":"Burling","given":"David","non-dropping-particle":"","parse-names":false,"suffix":""},{"dropping-particle":"","family":"Bassett","given":"Paul","non-dropping-particle":"","parse-names":false,"suffix":""},{"dropping-particle":"","family":"Bartram","given":"Clive I","non-dropping-particle":"","parse-names":false,"suffix":""}],"container-title":"Radiology","id":"ITEM-1","issue":"2","issued":{"date-parts":[["2007","2"]]},"page":"456-62","title":"Differentiation between diverticulitis and colorectal cancer: quantitative CT perfusion measurements versus morphologic criteria--initial experience.","type":"article-journal","volume":"242"},"uris":["http://www.mendeley.com/documents/?uuid=05e72c37-0570-408c-9b05-a0dbc80e69a4"]}],"mendeley":{"formattedCitation":"&lt;sup&gt;[35]&lt;/sup&gt;","plainTextFormattedCitation":"[35]","previouslyFormattedCitation":"&lt;sup&gt;[35]&lt;/sup&gt;"},"properties":{"noteIndex":0},"schema":"https://github.com/citation-style-language/schema/raw/master/csl-citation.json"}</w:instrText>
      </w:r>
      <w:r w:rsidR="00A75298" w:rsidRPr="009D7554">
        <w:rPr>
          <w:rFonts w:ascii="Book Antiqua" w:hAnsi="Book Antiqua"/>
          <w:i/>
          <w:lang w:val="en-US"/>
        </w:rPr>
        <w:fldChar w:fldCharType="separate"/>
      </w:r>
      <w:r w:rsidR="00B22EAC" w:rsidRPr="009D7554">
        <w:rPr>
          <w:rFonts w:ascii="Book Antiqua" w:hAnsi="Book Antiqua"/>
          <w:vertAlign w:val="superscript"/>
          <w:lang w:val="en-US"/>
        </w:rPr>
        <w:t>[35]</w:t>
      </w:r>
      <w:r w:rsidR="00A75298" w:rsidRPr="009D7554">
        <w:rPr>
          <w:rFonts w:ascii="Book Antiqua" w:hAnsi="Book Antiqua"/>
          <w:i/>
          <w:lang w:val="en-US"/>
        </w:rPr>
        <w:fldChar w:fldCharType="end"/>
      </w:r>
      <w:r w:rsidR="00AF3A82" w:rsidRPr="009D7554">
        <w:rPr>
          <w:rFonts w:ascii="Book Antiqua" w:hAnsi="Book Antiqua"/>
          <w:i/>
          <w:lang w:val="en-US"/>
        </w:rPr>
        <w:t xml:space="preserve"> </w:t>
      </w:r>
      <w:r w:rsidR="00415550" w:rsidRPr="009D7554">
        <w:rPr>
          <w:rFonts w:ascii="Book Antiqua" w:hAnsi="Book Antiqua"/>
          <w:bCs/>
          <w:lang w:val="en-US"/>
        </w:rPr>
        <w:t xml:space="preserve">reported that </w:t>
      </w:r>
      <w:r w:rsidR="00B02A68" w:rsidRPr="009D7554">
        <w:rPr>
          <w:rFonts w:ascii="Book Antiqua" w:hAnsi="Book Antiqua"/>
          <w:bCs/>
          <w:lang w:val="en-US"/>
        </w:rPr>
        <w:t xml:space="preserve">the </w:t>
      </w:r>
      <w:r w:rsidR="00415550" w:rsidRPr="009D7554">
        <w:rPr>
          <w:rFonts w:ascii="Book Antiqua" w:hAnsi="Book Antiqua"/>
          <w:bCs/>
          <w:lang w:val="en-US"/>
        </w:rPr>
        <w:t xml:space="preserve">blood volume (BV), blood flow (BF), mean transit time (MTT), and permeability-surface area product (PS) </w:t>
      </w:r>
      <w:r w:rsidR="00B02A68" w:rsidRPr="009D7554">
        <w:rPr>
          <w:rFonts w:ascii="Book Antiqua" w:hAnsi="Book Antiqua"/>
          <w:bCs/>
          <w:lang w:val="en-US"/>
        </w:rPr>
        <w:t>determined based on</w:t>
      </w:r>
      <w:r w:rsidR="00415550" w:rsidRPr="009D7554">
        <w:rPr>
          <w:rFonts w:ascii="Book Antiqua" w:hAnsi="Book Antiqua"/>
          <w:bCs/>
          <w:lang w:val="en-US"/>
        </w:rPr>
        <w:t xml:space="preserve"> perfusion CT were significantly different between patients with CRC and diverticulitis. In particular, the CRC group showed </w:t>
      </w:r>
      <w:r w:rsidR="001F0F25" w:rsidRPr="009D7554">
        <w:rPr>
          <w:rFonts w:ascii="Book Antiqua" w:hAnsi="Book Antiqua"/>
          <w:bCs/>
          <w:lang w:val="en-US"/>
        </w:rPr>
        <w:t>significantly</w:t>
      </w:r>
      <w:r w:rsidR="00415550" w:rsidRPr="009D7554">
        <w:rPr>
          <w:rFonts w:ascii="Book Antiqua" w:hAnsi="Book Antiqua"/>
          <w:bCs/>
          <w:lang w:val="en-US"/>
        </w:rPr>
        <w:t xml:space="preserve"> higher BV, BF and PS and </w:t>
      </w:r>
      <w:r w:rsidR="00B02A68" w:rsidRPr="009D7554">
        <w:rPr>
          <w:rFonts w:ascii="Book Antiqua" w:hAnsi="Book Antiqua"/>
          <w:bCs/>
          <w:lang w:val="en-US"/>
        </w:rPr>
        <w:t xml:space="preserve">a </w:t>
      </w:r>
      <w:r w:rsidR="00415550" w:rsidRPr="009D7554">
        <w:rPr>
          <w:rFonts w:ascii="Book Antiqua" w:hAnsi="Book Antiqua"/>
          <w:bCs/>
          <w:lang w:val="en-US"/>
        </w:rPr>
        <w:t xml:space="preserve">shorter MTT compared to the diverticulitis </w:t>
      </w:r>
      <w:r w:rsidR="001F0F25" w:rsidRPr="009D7554">
        <w:rPr>
          <w:rFonts w:ascii="Book Antiqua" w:hAnsi="Book Antiqua"/>
          <w:bCs/>
          <w:lang w:val="en-US"/>
        </w:rPr>
        <w:t>group</w:t>
      </w:r>
      <w:r w:rsidR="00415550" w:rsidRPr="009D7554">
        <w:rPr>
          <w:rFonts w:ascii="Book Antiqua" w:hAnsi="Book Antiqua"/>
          <w:bCs/>
          <w:lang w:val="en-US"/>
        </w:rPr>
        <w:t xml:space="preserve">. These findings are correlated </w:t>
      </w:r>
      <w:r w:rsidR="001F0F25" w:rsidRPr="009D7554">
        <w:rPr>
          <w:rFonts w:ascii="Book Antiqua" w:hAnsi="Book Antiqua"/>
          <w:bCs/>
          <w:lang w:val="en-US"/>
        </w:rPr>
        <w:t>with</w:t>
      </w:r>
      <w:r w:rsidR="00415550" w:rsidRPr="009D7554">
        <w:rPr>
          <w:rFonts w:ascii="Book Antiqua" w:hAnsi="Book Antiqua"/>
          <w:bCs/>
          <w:lang w:val="en-US"/>
        </w:rPr>
        <w:t xml:space="preserve"> neoangiogenesis processes associated </w:t>
      </w:r>
      <w:r w:rsidR="001F0F25" w:rsidRPr="009D7554">
        <w:rPr>
          <w:rFonts w:ascii="Book Antiqua" w:hAnsi="Book Antiqua"/>
          <w:bCs/>
          <w:lang w:val="en-US"/>
        </w:rPr>
        <w:t>with</w:t>
      </w:r>
      <w:r w:rsidR="00415550" w:rsidRPr="009D7554">
        <w:rPr>
          <w:rFonts w:ascii="Book Antiqua" w:hAnsi="Book Antiqua"/>
          <w:bCs/>
          <w:lang w:val="en-US"/>
        </w:rPr>
        <w:t xml:space="preserve"> CRC growth. Similarly, Shen </w:t>
      </w:r>
      <w:r w:rsidR="00415550" w:rsidRPr="009D7554">
        <w:rPr>
          <w:rFonts w:ascii="Book Antiqua" w:hAnsi="Book Antiqua"/>
          <w:i/>
          <w:lang w:val="en-US"/>
        </w:rPr>
        <w:t>et al</w:t>
      </w:r>
      <w:r w:rsidR="00A75298" w:rsidRPr="009D7554">
        <w:rPr>
          <w:rFonts w:ascii="Book Antiqua" w:hAnsi="Book Antiqua"/>
          <w:i/>
          <w:lang w:val="en-US"/>
        </w:rPr>
        <w:fldChar w:fldCharType="begin" w:fldLock="1"/>
      </w:r>
      <w:r w:rsidR="00E16829" w:rsidRPr="009D7554">
        <w:rPr>
          <w:rFonts w:ascii="Book Antiqua" w:hAnsi="Book Antiqua"/>
          <w:i/>
          <w:lang w:val="en-US"/>
        </w:rPr>
        <w:instrText>ADDIN CSL_CITATION {"citationItems":[{"id":"ITEM-1","itemData":{"DOI":"10.3892/mco.2016.762","ISSN":"2049-9450","PMID":"27073650","author":[{"dropping-particle":"","family":"Shen","given":"FU","non-dropping-particle":"","parse-names":false,"suffix":""},{"dropping-particle":"","family":"Lu","given":"Jianping","non-dropping-particle":"","parse-names":false,"suffix":""},{"dropping-particle":"","family":"Chen","given":"Luguang","non-dropping-particle":"","parse-names":false,"suffix":""},{"dropping-particle":"","family":"Wang","given":"Zhen","non-dropping-particle":"","parse-names":false,"suffix":""},{"dropping-particle":"","family":"Chen","given":"Yukun","non-dropping-particle":"","parse-names":false,"suffix":""}],"container-title":"Molecular and Clinical Oncology","id":"ITEM-1","issue":"4","issued":{"date-parts":[["2016","4"]]},"page":"500-506","title":"Diagnostic value of dynamic contrast-enhanced magnetic resonance imaging in rectal cancer and its correlation with tumor differentiation","type":"article-journal","volume":"4"},"uris":["http://www.mendeley.com/documents/?uuid=111f6864-6290-4d12-b8c7-c84125f88cf9"]}],"mendeley":{"formattedCitation":"&lt;sup&gt;[36]&lt;/sup&gt;","plainTextFormattedCitation":"[36]","previouslyFormattedCitation":"&lt;sup&gt;[36]&lt;/sup&gt;"},"properties":{"noteIndex":0},"schema":"https://github.com/citation-style-language/schema/raw/master/csl-citation.json"}</w:instrText>
      </w:r>
      <w:r w:rsidR="00A75298" w:rsidRPr="009D7554">
        <w:rPr>
          <w:rFonts w:ascii="Book Antiqua" w:hAnsi="Book Antiqua"/>
          <w:i/>
          <w:lang w:val="en-US"/>
        </w:rPr>
        <w:fldChar w:fldCharType="separate"/>
      </w:r>
      <w:r w:rsidR="00B22EAC" w:rsidRPr="009D7554">
        <w:rPr>
          <w:rFonts w:ascii="Book Antiqua" w:hAnsi="Book Antiqua"/>
          <w:vertAlign w:val="superscript"/>
          <w:lang w:val="en-US"/>
        </w:rPr>
        <w:t>[36]</w:t>
      </w:r>
      <w:r w:rsidR="00A75298" w:rsidRPr="009D7554">
        <w:rPr>
          <w:rFonts w:ascii="Book Antiqua" w:hAnsi="Book Antiqua"/>
          <w:i/>
          <w:lang w:val="en-US"/>
        </w:rPr>
        <w:fldChar w:fldCharType="end"/>
      </w:r>
      <w:r w:rsidR="00415550" w:rsidRPr="009D7554">
        <w:rPr>
          <w:rFonts w:ascii="Book Antiqua" w:hAnsi="Book Antiqua"/>
          <w:i/>
          <w:lang w:val="en-US"/>
        </w:rPr>
        <w:t xml:space="preserve"> </w:t>
      </w:r>
      <w:r w:rsidR="00EA470D" w:rsidRPr="009D7554">
        <w:rPr>
          <w:rFonts w:ascii="Book Antiqua" w:hAnsi="Book Antiqua"/>
          <w:lang w:val="en-US"/>
        </w:rPr>
        <w:t xml:space="preserve">showed that transfer constant (Ktrans) values obtained from perfusion MRI were significantly higher in rectal cancer (RC) compared to </w:t>
      </w:r>
      <w:r w:rsidR="00B02A68" w:rsidRPr="009D7554">
        <w:rPr>
          <w:rFonts w:ascii="Book Antiqua" w:hAnsi="Book Antiqua"/>
          <w:lang w:val="en-US"/>
        </w:rPr>
        <w:t xml:space="preserve">those in </w:t>
      </w:r>
      <w:r w:rsidR="00EA470D" w:rsidRPr="009D7554">
        <w:rPr>
          <w:rFonts w:ascii="Book Antiqua" w:hAnsi="Book Antiqua"/>
          <w:lang w:val="en-US"/>
        </w:rPr>
        <w:t>benign abnormalities (0.</w:t>
      </w:r>
      <w:r w:rsidR="001F0F25" w:rsidRPr="009D7554">
        <w:rPr>
          <w:rFonts w:ascii="Book Antiqua" w:hAnsi="Book Antiqua"/>
          <w:lang w:val="en-US"/>
        </w:rPr>
        <w:t>267 min</w:t>
      </w:r>
      <w:r w:rsidR="00EA470D" w:rsidRPr="009D7554">
        <w:rPr>
          <w:rFonts w:ascii="Book Antiqua" w:hAnsi="Book Antiqua"/>
          <w:vertAlign w:val="superscript"/>
          <w:lang w:val="en-US"/>
        </w:rPr>
        <w:t xml:space="preserve">-1 </w:t>
      </w:r>
      <w:r w:rsidR="009A70D4" w:rsidRPr="009D7554">
        <w:rPr>
          <w:rFonts w:ascii="Book Antiqua" w:hAnsi="Book Antiqua"/>
          <w:lang w:val="en-US"/>
        </w:rPr>
        <w:t>±</w:t>
      </w:r>
      <w:r w:rsidR="00EA470D" w:rsidRPr="009D7554">
        <w:rPr>
          <w:rFonts w:ascii="Book Antiqua" w:hAnsi="Book Antiqua"/>
          <w:lang w:val="en-US"/>
        </w:rPr>
        <w:t xml:space="preserve"> 0.07 </w:t>
      </w:r>
      <w:r w:rsidR="00EA470D" w:rsidRPr="009D7554">
        <w:rPr>
          <w:rFonts w:ascii="Book Antiqua" w:hAnsi="Book Antiqua"/>
          <w:i/>
          <w:iCs/>
          <w:lang w:val="en-US"/>
        </w:rPr>
        <w:t>vs</w:t>
      </w:r>
      <w:r w:rsidR="00EA470D" w:rsidRPr="009D7554">
        <w:rPr>
          <w:rFonts w:ascii="Book Antiqua" w:hAnsi="Book Antiqua"/>
          <w:lang w:val="en-US"/>
        </w:rPr>
        <w:t xml:space="preserve"> 0.118 min</w:t>
      </w:r>
      <w:r w:rsidR="00EA470D" w:rsidRPr="009D7554">
        <w:rPr>
          <w:rFonts w:ascii="Book Antiqua" w:hAnsi="Book Antiqua"/>
          <w:vertAlign w:val="superscript"/>
          <w:lang w:val="en-US"/>
        </w:rPr>
        <w:t xml:space="preserve">-1 </w:t>
      </w:r>
      <w:r w:rsidR="009A70D4" w:rsidRPr="009D7554">
        <w:rPr>
          <w:rFonts w:ascii="Book Antiqua" w:hAnsi="Book Antiqua"/>
          <w:lang w:val="en-US"/>
        </w:rPr>
        <w:t>±</w:t>
      </w:r>
      <w:r w:rsidR="00746933" w:rsidRPr="009D7554">
        <w:rPr>
          <w:rFonts w:ascii="Book Antiqua" w:hAnsi="Book Antiqua"/>
          <w:lang w:val="en-US"/>
        </w:rPr>
        <w:t xml:space="preserve"> 0.03), indicating that </w:t>
      </w:r>
      <w:r w:rsidR="00B02A68" w:rsidRPr="009D7554">
        <w:rPr>
          <w:rFonts w:ascii="Book Antiqua" w:hAnsi="Book Antiqua"/>
          <w:lang w:val="en-US"/>
        </w:rPr>
        <w:t xml:space="preserve">significant </w:t>
      </w:r>
      <w:r w:rsidR="00746933" w:rsidRPr="009D7554">
        <w:rPr>
          <w:rFonts w:ascii="Book Antiqua" w:hAnsi="Book Antiqua"/>
          <w:lang w:val="en-US"/>
        </w:rPr>
        <w:t xml:space="preserve">angiogenesis and abnormal vasculature enhanced the influx of </w:t>
      </w:r>
      <w:r w:rsidR="00B02A68" w:rsidRPr="009D7554">
        <w:rPr>
          <w:rFonts w:ascii="Book Antiqua" w:hAnsi="Book Antiqua"/>
          <w:lang w:val="en-US"/>
        </w:rPr>
        <w:t xml:space="preserve">the </w:t>
      </w:r>
      <w:r w:rsidR="00746933" w:rsidRPr="009D7554">
        <w:rPr>
          <w:rFonts w:ascii="Book Antiqua" w:hAnsi="Book Antiqua"/>
          <w:lang w:val="en-US"/>
        </w:rPr>
        <w:t>contrast agent. Using a 0.156 min</w:t>
      </w:r>
      <w:r w:rsidR="00746933" w:rsidRPr="009D7554">
        <w:rPr>
          <w:rFonts w:ascii="Book Antiqua" w:hAnsi="Book Antiqua"/>
          <w:vertAlign w:val="superscript"/>
          <w:lang w:val="en-US"/>
        </w:rPr>
        <w:t>-1</w:t>
      </w:r>
      <w:r w:rsidR="0054351F" w:rsidRPr="009D7554">
        <w:rPr>
          <w:rFonts w:ascii="Book Antiqua" w:hAnsi="Book Antiqua"/>
          <w:lang w:val="en-US"/>
        </w:rPr>
        <w:t xml:space="preserve"> cut-off value for Ktrans, a sensitivity of 100.0% and a specificity of 93.3% were observed </w:t>
      </w:r>
      <w:r w:rsidR="00B02A68" w:rsidRPr="009D7554">
        <w:rPr>
          <w:rFonts w:ascii="Book Antiqua" w:hAnsi="Book Antiqua"/>
          <w:lang w:val="en-US"/>
        </w:rPr>
        <w:t xml:space="preserve">when </w:t>
      </w:r>
      <w:r w:rsidR="0054351F" w:rsidRPr="009D7554">
        <w:rPr>
          <w:rFonts w:ascii="Book Antiqua" w:hAnsi="Book Antiqua"/>
          <w:lang w:val="en-US"/>
        </w:rPr>
        <w:t xml:space="preserve">discriminating RC </w:t>
      </w:r>
      <w:r w:rsidR="00B02A68" w:rsidRPr="009D7554">
        <w:rPr>
          <w:rFonts w:ascii="Book Antiqua" w:hAnsi="Book Antiqua"/>
          <w:lang w:val="en-US"/>
        </w:rPr>
        <w:t xml:space="preserve">patients </w:t>
      </w:r>
      <w:r w:rsidR="0054351F" w:rsidRPr="009D7554">
        <w:rPr>
          <w:rFonts w:ascii="Book Antiqua" w:hAnsi="Book Antiqua"/>
          <w:lang w:val="en-US"/>
        </w:rPr>
        <w:t>from controls.</w:t>
      </w:r>
    </w:p>
    <w:p w:rsidR="006D3608" w:rsidRPr="009D7554" w:rsidRDefault="00D00FA0" w:rsidP="004520B0">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bCs/>
          <w:lang w:val="en-US"/>
        </w:rPr>
        <w:t xml:space="preserve">Sun </w:t>
      </w:r>
      <w:r w:rsidR="000032FF" w:rsidRPr="009D7554">
        <w:rPr>
          <w:rFonts w:ascii="Book Antiqua" w:hAnsi="Book Antiqua"/>
          <w:i/>
          <w:lang w:val="en-US"/>
        </w:rPr>
        <w:t>et al</w:t>
      </w:r>
      <w:r w:rsidR="00A75298" w:rsidRPr="009D7554">
        <w:rPr>
          <w:rFonts w:ascii="Book Antiqua" w:hAnsi="Book Antiqua"/>
          <w:i/>
          <w:lang w:val="en-US"/>
        </w:rPr>
        <w:fldChar w:fldCharType="begin" w:fldLock="1"/>
      </w:r>
      <w:r w:rsidR="00845282" w:rsidRPr="009D7554">
        <w:rPr>
          <w:rFonts w:ascii="Book Antiqua" w:hAnsi="Book Antiqua"/>
          <w:i/>
          <w:lang w:val="en-US"/>
        </w:rPr>
        <w:instrText>ADDIN CSL_CITATION {"citationItems":[{"id":"ITEM-1","itemData":{"DOI":"10.1016/j.acra.2014.02.011","ISSN":"10766332","PMID":"24809317","author":[{"dropping-particle":"","family":"Sun","given":"Hongliang","non-dropping-particle":"","parse-names":false,"suffix":""},{"dropping-particle":"","family":"Xu","given":"Yanyan","non-dropping-particle":"","parse-names":false,"suffix":""},{"dropping-particle":"","family":"Yang","given":"Qiang","non-dropping-particle":"","parse-names":false,"suffix":""},{"dropping-particle":"","family":"Wang","given":"Wu","non-dropping-particle":"","parse-names":false,"suffix":""}],"container-title":"Academic Radiology","id":"ITEM-1","issue":"6","issued":{"date-parts":[["2014","6"]]},"page":"750-757","title":"Assessment of Tumor Grade and Angiogenesis in Colorectal Cancer","type":"article-journal","volume":"21"},"uris":["http://www.mendeley.com/documents/?uuid=9067439d-c0dd-4ace-9314-558f7c0b4e46"]}],"mendeley":{"formattedCitation":"&lt;sup&gt;[37]&lt;/sup&gt;","plainTextFormattedCitation":"[37]","previouslyFormattedCitation":"&lt;sup&gt;[37]&lt;/sup&gt;"},"properties":{"noteIndex":0},"schema":"https://github.com/citation-style-language/schema/raw/master/csl-citation.json"}</w:instrText>
      </w:r>
      <w:r w:rsidR="00A75298" w:rsidRPr="009D7554">
        <w:rPr>
          <w:rFonts w:ascii="Book Antiqua" w:hAnsi="Book Antiqua"/>
          <w:i/>
          <w:lang w:val="en-US"/>
        </w:rPr>
        <w:fldChar w:fldCharType="separate"/>
      </w:r>
      <w:r w:rsidR="00845282" w:rsidRPr="009D7554">
        <w:rPr>
          <w:rFonts w:ascii="Book Antiqua" w:hAnsi="Book Antiqua"/>
          <w:vertAlign w:val="superscript"/>
          <w:lang w:val="en-US"/>
        </w:rPr>
        <w:t>[37]</w:t>
      </w:r>
      <w:r w:rsidR="00A75298" w:rsidRPr="009D7554">
        <w:rPr>
          <w:rFonts w:ascii="Book Antiqua" w:hAnsi="Book Antiqua"/>
          <w:i/>
          <w:lang w:val="en-US"/>
        </w:rPr>
        <w:fldChar w:fldCharType="end"/>
      </w:r>
      <w:r w:rsidR="000032FF" w:rsidRPr="009D7554">
        <w:rPr>
          <w:rFonts w:ascii="Book Antiqua" w:hAnsi="Book Antiqua"/>
          <w:lang w:val="en-US"/>
        </w:rPr>
        <w:t xml:space="preserve"> reported that </w:t>
      </w:r>
      <w:r w:rsidR="001F0F25" w:rsidRPr="009D7554">
        <w:rPr>
          <w:rFonts w:ascii="Book Antiqua" w:hAnsi="Book Antiqua"/>
          <w:lang w:val="en-US"/>
        </w:rPr>
        <w:t xml:space="preserve">the </w:t>
      </w:r>
      <w:r w:rsidR="000032FF" w:rsidRPr="009D7554">
        <w:rPr>
          <w:rFonts w:ascii="Book Antiqua" w:hAnsi="Book Antiqua"/>
          <w:lang w:val="en-US"/>
        </w:rPr>
        <w:t xml:space="preserve">mean BF and BV obtained from perfusion CT </w:t>
      </w:r>
      <w:r w:rsidR="001F0F25" w:rsidRPr="009D7554">
        <w:rPr>
          <w:rFonts w:ascii="Book Antiqua" w:hAnsi="Book Antiqua"/>
          <w:lang w:val="en-US"/>
        </w:rPr>
        <w:t>were</w:t>
      </w:r>
      <w:r w:rsidR="000032FF" w:rsidRPr="009D7554">
        <w:rPr>
          <w:rFonts w:ascii="Book Antiqua" w:hAnsi="Book Antiqua"/>
          <w:lang w:val="en-US"/>
        </w:rPr>
        <w:t xml:space="preserve"> significantly different among well, moderately, and poorly differentiated tumors (61.17 </w:t>
      </w:r>
      <w:r w:rsidR="001F0F25" w:rsidRPr="009D7554">
        <w:rPr>
          <w:rFonts w:ascii="Book Antiqua" w:hAnsi="Book Antiqua"/>
          <w:lang w:val="en-US"/>
        </w:rPr>
        <w:t>±</w:t>
      </w:r>
      <w:r w:rsidR="000032FF" w:rsidRPr="009D7554">
        <w:rPr>
          <w:rFonts w:ascii="Book Antiqua" w:hAnsi="Book Antiqua"/>
          <w:lang w:val="en-US"/>
        </w:rPr>
        <w:t xml:space="preserve"> 17.97, 34.8 </w:t>
      </w:r>
      <w:r w:rsidR="001F0F25" w:rsidRPr="009D7554">
        <w:rPr>
          <w:rFonts w:ascii="Book Antiqua" w:hAnsi="Book Antiqua"/>
          <w:lang w:val="en-US"/>
        </w:rPr>
        <w:t>±</w:t>
      </w:r>
      <w:r w:rsidR="000032FF" w:rsidRPr="009D7554">
        <w:rPr>
          <w:rFonts w:ascii="Book Antiqua" w:hAnsi="Book Antiqua"/>
          <w:lang w:val="en-US"/>
        </w:rPr>
        <w:t xml:space="preserve"> 13.06 and 22.24 </w:t>
      </w:r>
      <w:r w:rsidR="001F0F25" w:rsidRPr="009D7554">
        <w:rPr>
          <w:rFonts w:ascii="Book Antiqua" w:hAnsi="Book Antiqua"/>
          <w:lang w:val="en-US"/>
        </w:rPr>
        <w:t>±</w:t>
      </w:r>
      <w:r w:rsidR="00940322" w:rsidRPr="009D7554">
        <w:rPr>
          <w:rFonts w:ascii="Book Antiqua" w:hAnsi="Book Antiqua"/>
          <w:lang w:val="en-US"/>
        </w:rPr>
        <w:t xml:space="preserve"> 9.31 mL/min/100 g, respectively). The same working group confirmed these findings</w:t>
      </w:r>
      <w:r w:rsidR="001F0F25" w:rsidRPr="009D7554">
        <w:rPr>
          <w:rFonts w:ascii="Book Antiqua" w:hAnsi="Book Antiqua"/>
          <w:lang w:val="en-US"/>
        </w:rPr>
        <w:t>,</w:t>
      </w:r>
      <w:r w:rsidR="00940322" w:rsidRPr="009D7554">
        <w:rPr>
          <w:rFonts w:ascii="Book Antiqua" w:hAnsi="Book Antiqua"/>
          <w:lang w:val="en-US"/>
        </w:rPr>
        <w:t xml:space="preserve"> providing further </w:t>
      </w:r>
      <w:r w:rsidR="001F0F25" w:rsidRPr="009D7554">
        <w:rPr>
          <w:rFonts w:ascii="Book Antiqua" w:hAnsi="Book Antiqua"/>
          <w:lang w:val="en-US"/>
        </w:rPr>
        <w:t>evidence</w:t>
      </w:r>
      <w:r w:rsidR="00940322" w:rsidRPr="009D7554">
        <w:rPr>
          <w:rFonts w:ascii="Book Antiqua" w:hAnsi="Book Antiqua"/>
          <w:lang w:val="en-US"/>
        </w:rPr>
        <w:t xml:space="preserve"> that BF</w:t>
      </w:r>
      <w:r w:rsidR="00111155" w:rsidRPr="009D7554">
        <w:rPr>
          <w:rFonts w:ascii="Book Antiqua" w:hAnsi="Book Antiqua"/>
          <w:lang w:val="en-US"/>
        </w:rPr>
        <w:t>, when determined using</w:t>
      </w:r>
      <w:r w:rsidR="00940322" w:rsidRPr="009D7554">
        <w:rPr>
          <w:rFonts w:ascii="Book Antiqua" w:hAnsi="Book Antiqua"/>
          <w:lang w:val="en-US"/>
        </w:rPr>
        <w:t xml:space="preserve"> perfusion CT images</w:t>
      </w:r>
      <w:r w:rsidR="00111155" w:rsidRPr="009D7554">
        <w:rPr>
          <w:rFonts w:ascii="Book Antiqua" w:hAnsi="Book Antiqua"/>
          <w:lang w:val="en-US"/>
        </w:rPr>
        <w:t>,</w:t>
      </w:r>
      <w:r w:rsidR="00940322" w:rsidRPr="009D7554">
        <w:rPr>
          <w:rFonts w:ascii="Book Antiqua" w:hAnsi="Book Antiqua"/>
          <w:lang w:val="en-US"/>
        </w:rPr>
        <w:t xml:space="preserve"> is associated with tumor grade</w:t>
      </w:r>
      <w:r w:rsidR="00A75298" w:rsidRPr="009D7554">
        <w:rPr>
          <w:rFonts w:ascii="Book Antiqua" w:hAnsi="Book Antiqua"/>
          <w:lang w:val="en-US"/>
        </w:rPr>
        <w:fldChar w:fldCharType="begin" w:fldLock="1"/>
      </w:r>
      <w:r w:rsidR="00694F3C" w:rsidRPr="009D7554">
        <w:rPr>
          <w:rFonts w:ascii="Book Antiqua" w:hAnsi="Book Antiqua"/>
          <w:lang w:val="en-US"/>
        </w:rPr>
        <w:instrText>ADDIN CSL_CITATION {"citationItems":[{"id":"ITEM-1","itemData":{"DOI":"10.1016/j.acra.2015.08.023","ISSN":"1878-4046","PMID":"26421473","abstract":"RATIONALE AND OBJECTIVES The preoperative assessment of tumor grade has important clinical implications for the treatment and prognosis of patients with colorectal adenocarcinomas. The purpose of this study is to investigate the predictive significance of colorectal adenocarcinoma grade using 256-slice whole-tumor computed tomography (CT) perfusion. MATERIALS AND METHODS Fifty-three patients with proven colorectal adenocarcinomas were enrolled. All of them underwent 256-slice whole-tumor CT perfusion. They were divided into two different subgroups according to postoperative pathological results: low grade and high grade. The Kruskal-Wallis test or one-way analysis of variance was used for comparison of CT perfusion parameters between different tumor grades. Multivariant correlation between pathologic tumor stage, histologic tumor differentiation, and whole-tumor CT perfusion parameters was evaluated by Spearman rank correlation coefficient. According to receiver operating characteristic (ROC) curves, perfusion parameters including blood flow (BF), peak enhancement index (PEI), blood volume (BV), and time to peak (TTP) of 53 patients were analyzed, and the sensitivity, specificity, and accuracy of these parameters in predicting tumor grade were calculated. RESULTS There were significant differences in BF and TTP between low-grade and high-grade tumors. According to the ROC curve, BF and TTP were of diagnostic significance, with the area under the curve values of 0.828 and 0.736, respectively. The diagnostic threshold of BF was 32.12 mL/min/100 g and that of TTP was 18.10 seconds. CONCLUSIONS The CT perfusion parameters (BF, TTP) of first-pass 256-slice whole-tumor CT perfusion imaging can reflect tumor grade in colorectal adenocarcinoma.","author":[{"dropping-particle":"","family":"Xu","given":"Yanyan","non-dropping-particle":"","parse-names":false,"suffix":""},{"dropping-particle":"","family":"Sun","given":"Hongliang","non-dropping-particle":"","parse-names":false,"suffix":""},{"dropping-particle":"","family":"Song","given":"Aiping","non-dropping-particle":"","parse-names":false,"suffix":""},{"dropping-particle":"","family":"Yang","given":"Qiang","non-dropping-particle":"","parse-names":false,"suffix":""},{"dropping-particle":"","family":"Lu","given":"Xiaomei","non-dropping-particle":"","parse-names":false,"suffix":""},{"dropping-particle":"","family":"Wang","given":"Wu","non-dropping-particle":"","parse-names":false,"suffix":""}],"container-title":"Academic radiology","id":"ITEM-1","issue":"12","issued":{"date-parts":[["2015","12"]]},"page":"1529-35","title":"Predictive Significance of Tumor Grade Using 256-Slice CT Whole-Tumor Perfusion Imaging in Colorectal Adenocarcinoma.","type":"article-journal","volume":"22"},"uris":["http://www.mendeley.com/documents/?uuid=9a9b0d72-4cac-47b3-af2e-c0cc2e59ff9f"]}],"mendeley":{"formattedCitation":"&lt;sup&gt;[38]&lt;/sup&gt;","plainTextFormattedCitation":"[38]","previouslyFormattedCitation":"&lt;sup&gt;[38]&lt;/sup&gt;"},"properties":{"noteIndex":0},"schema":"https://github.com/citation-style-language/schema/raw/master/csl-citation.json"}</w:instrText>
      </w:r>
      <w:r w:rsidR="00A75298" w:rsidRPr="009D7554">
        <w:rPr>
          <w:rFonts w:ascii="Book Antiqua" w:hAnsi="Book Antiqua"/>
          <w:lang w:val="en-US"/>
        </w:rPr>
        <w:fldChar w:fldCharType="separate"/>
      </w:r>
      <w:r w:rsidR="00845282" w:rsidRPr="009D7554">
        <w:rPr>
          <w:rFonts w:ascii="Book Antiqua" w:hAnsi="Book Antiqua"/>
          <w:vertAlign w:val="superscript"/>
          <w:lang w:val="en-US"/>
        </w:rPr>
        <w:t>[38]</w:t>
      </w:r>
      <w:r w:rsidR="00A75298" w:rsidRPr="009D7554">
        <w:rPr>
          <w:rFonts w:ascii="Book Antiqua" w:hAnsi="Book Antiqua"/>
          <w:lang w:val="en-US"/>
        </w:rPr>
        <w:fldChar w:fldCharType="end"/>
      </w:r>
      <w:r w:rsidR="00845282" w:rsidRPr="009D7554">
        <w:rPr>
          <w:rFonts w:ascii="Book Antiqua" w:hAnsi="Book Antiqua"/>
          <w:lang w:val="en-US"/>
        </w:rPr>
        <w:t>.</w:t>
      </w:r>
    </w:p>
    <w:p w:rsidR="00E30F9F" w:rsidRPr="009D7554" w:rsidRDefault="00E30F9F" w:rsidP="006A253E">
      <w:pPr>
        <w:widowControl w:val="0"/>
        <w:autoSpaceDE w:val="0"/>
        <w:autoSpaceDN w:val="0"/>
        <w:adjustRightInd w:val="0"/>
        <w:snapToGrid w:val="0"/>
        <w:spacing w:line="360" w:lineRule="auto"/>
        <w:jc w:val="both"/>
        <w:rPr>
          <w:rFonts w:ascii="Book Antiqua" w:hAnsi="Book Antiqua"/>
          <w:bCs/>
          <w:i/>
          <w:iCs/>
          <w:lang w:val="en-US"/>
        </w:rPr>
      </w:pPr>
    </w:p>
    <w:p w:rsidR="00CA2CAE" w:rsidRPr="009D7554" w:rsidRDefault="006D3608"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 xml:space="preserve">Hybrid </w:t>
      </w:r>
      <w:r w:rsidR="00B12A46" w:rsidRPr="009D7554">
        <w:rPr>
          <w:rFonts w:ascii="Book Antiqua" w:hAnsi="Book Antiqua"/>
          <w:b/>
          <w:lang w:val="en-US"/>
        </w:rPr>
        <w:t>i</w:t>
      </w:r>
      <w:r w:rsidRPr="009D7554">
        <w:rPr>
          <w:rFonts w:ascii="Book Antiqua" w:hAnsi="Book Antiqua"/>
          <w:b/>
          <w:lang w:val="en-US"/>
        </w:rPr>
        <w:t>maging</w:t>
      </w:r>
      <w:r w:rsidR="00B12A46" w:rsidRPr="009D7554">
        <w:rPr>
          <w:rFonts w:ascii="Book Antiqua" w:eastAsia="等线" w:hAnsi="Book Antiqua" w:hint="eastAsia"/>
          <w:b/>
          <w:lang w:val="en-US" w:eastAsia="zh-CN"/>
        </w:rPr>
        <w:t>:</w:t>
      </w:r>
      <w:r w:rsidR="00B12A46" w:rsidRPr="009D7554">
        <w:rPr>
          <w:rFonts w:ascii="Book Antiqua" w:eastAsia="等线" w:hAnsi="Book Antiqua"/>
          <w:b/>
          <w:lang w:val="en-US" w:eastAsia="zh-CN"/>
        </w:rPr>
        <w:t xml:space="preserve"> </w:t>
      </w:r>
      <w:r w:rsidR="001F0F25" w:rsidRPr="009D7554">
        <w:rPr>
          <w:rFonts w:ascii="Book Antiqua" w:hAnsi="Book Antiqua"/>
          <w:iCs/>
          <w:lang w:val="en-US"/>
        </w:rPr>
        <w:t>Due</w:t>
      </w:r>
      <w:r w:rsidR="00FC1089" w:rsidRPr="009D7554">
        <w:rPr>
          <w:rFonts w:ascii="Book Antiqua" w:hAnsi="Book Antiqua"/>
          <w:iCs/>
          <w:lang w:val="en-US"/>
        </w:rPr>
        <w:t xml:space="preserve"> to </w:t>
      </w:r>
      <w:r w:rsidR="00111155" w:rsidRPr="009D7554">
        <w:rPr>
          <w:rFonts w:ascii="Book Antiqua" w:hAnsi="Book Antiqua"/>
          <w:iCs/>
          <w:lang w:val="en-US"/>
        </w:rPr>
        <w:t xml:space="preserve">its utilization of a </w:t>
      </w:r>
      <w:r w:rsidR="00FC1089" w:rsidRPr="009D7554">
        <w:rPr>
          <w:rFonts w:ascii="Book Antiqua" w:hAnsi="Book Antiqua"/>
          <w:iCs/>
          <w:lang w:val="en-US"/>
        </w:rPr>
        <w:t>combination of morphological and molecular information,</w:t>
      </w:r>
      <w:r w:rsidR="009E1B9E" w:rsidRPr="009D7554">
        <w:rPr>
          <w:rFonts w:ascii="Book Antiqua" w:hAnsi="Book Antiqua"/>
          <w:position w:val="10"/>
          <w:sz w:val="18"/>
          <w:szCs w:val="18"/>
          <w:lang w:val="en-US"/>
        </w:rPr>
        <w:t xml:space="preserve"> 18</w:t>
      </w:r>
      <w:r w:rsidR="00E461DE" w:rsidRPr="009D7554">
        <w:rPr>
          <w:rFonts w:ascii="Book Antiqua" w:hAnsi="Book Antiqua"/>
          <w:iCs/>
          <w:lang w:val="en-US"/>
        </w:rPr>
        <w:t xml:space="preserve">FDG-PET/CT has a high sensitivity </w:t>
      </w:r>
      <w:r w:rsidR="00111155" w:rsidRPr="009D7554">
        <w:rPr>
          <w:rFonts w:ascii="Book Antiqua" w:hAnsi="Book Antiqua"/>
          <w:iCs/>
          <w:lang w:val="en-US"/>
        </w:rPr>
        <w:t xml:space="preserve">for </w:t>
      </w:r>
      <w:r w:rsidR="00E461DE" w:rsidRPr="009D7554">
        <w:rPr>
          <w:rFonts w:ascii="Book Antiqua" w:hAnsi="Book Antiqua"/>
          <w:iCs/>
          <w:lang w:val="en-US"/>
        </w:rPr>
        <w:t xml:space="preserve">the detection of colorectal lesions. However, </w:t>
      </w:r>
      <w:r w:rsidR="00111155" w:rsidRPr="009D7554">
        <w:rPr>
          <w:rFonts w:ascii="Book Antiqua" w:hAnsi="Book Antiqua"/>
          <w:iCs/>
          <w:lang w:val="en-US"/>
        </w:rPr>
        <w:t>unlike determinations based on</w:t>
      </w:r>
      <w:r w:rsidR="00E461DE" w:rsidRPr="009D7554">
        <w:rPr>
          <w:rFonts w:ascii="Book Antiqua" w:hAnsi="Book Antiqua"/>
          <w:iCs/>
          <w:lang w:val="en-US"/>
        </w:rPr>
        <w:t xml:space="preserve"> metabolic information, there is no established consensus </w:t>
      </w:r>
      <w:r w:rsidR="00111155" w:rsidRPr="009D7554">
        <w:rPr>
          <w:rFonts w:ascii="Book Antiqua" w:hAnsi="Book Antiqua"/>
          <w:iCs/>
          <w:lang w:val="en-US"/>
        </w:rPr>
        <w:t xml:space="preserve">regarding the discrimination of </w:t>
      </w:r>
      <w:r w:rsidR="00E461DE" w:rsidRPr="009D7554">
        <w:rPr>
          <w:rFonts w:ascii="Book Antiqua" w:hAnsi="Book Antiqua"/>
          <w:iCs/>
          <w:lang w:val="en-US"/>
        </w:rPr>
        <w:t xml:space="preserve">benign lesions from </w:t>
      </w:r>
      <w:r w:rsidR="009A70D4" w:rsidRPr="009D7554">
        <w:rPr>
          <w:rFonts w:ascii="Book Antiqua" w:hAnsi="Book Antiqua"/>
          <w:iCs/>
          <w:lang w:val="en-US"/>
        </w:rPr>
        <w:t>prem</w:t>
      </w:r>
      <w:r w:rsidR="00E461DE" w:rsidRPr="009D7554">
        <w:rPr>
          <w:rFonts w:ascii="Book Antiqua" w:hAnsi="Book Antiqua"/>
          <w:iCs/>
          <w:lang w:val="en-US"/>
        </w:rPr>
        <w:t xml:space="preserve">alignant or malignant </w:t>
      </w:r>
      <w:r w:rsidR="001F0F25" w:rsidRPr="009D7554">
        <w:rPr>
          <w:rFonts w:ascii="Book Antiqua" w:hAnsi="Book Antiqua"/>
          <w:iCs/>
          <w:lang w:val="en-US"/>
        </w:rPr>
        <w:t>lesions</w:t>
      </w:r>
      <w:r w:rsidR="00E461DE" w:rsidRPr="009D7554">
        <w:rPr>
          <w:rFonts w:ascii="Book Antiqua" w:hAnsi="Book Antiqua"/>
          <w:iCs/>
          <w:lang w:val="en-US"/>
        </w:rPr>
        <w:t xml:space="preserve"> based on visual appearance alone. A quantitative approach to focal colorectal uptake has been investigated. A few studies have observed that PET quantitative parameters could help to differentiate benign from </w:t>
      </w:r>
      <w:r w:rsidR="009A70D4" w:rsidRPr="009D7554">
        <w:rPr>
          <w:rFonts w:ascii="Book Antiqua" w:hAnsi="Book Antiqua"/>
          <w:iCs/>
          <w:lang w:val="en-US"/>
        </w:rPr>
        <w:t>prem</w:t>
      </w:r>
      <w:r w:rsidR="00E461DE" w:rsidRPr="009D7554">
        <w:rPr>
          <w:rFonts w:ascii="Book Antiqua" w:hAnsi="Book Antiqua"/>
          <w:iCs/>
          <w:lang w:val="en-US"/>
        </w:rPr>
        <w:t>alignant or malignant lesions</w:t>
      </w:r>
      <w:r w:rsidR="00A75298" w:rsidRPr="009D7554">
        <w:rPr>
          <w:rFonts w:ascii="Book Antiqua" w:hAnsi="Book Antiqua"/>
          <w:iCs/>
          <w:lang w:val="en-US"/>
        </w:rPr>
        <w:fldChar w:fldCharType="begin" w:fldLock="1"/>
      </w:r>
      <w:r w:rsidR="00694F3C" w:rsidRPr="009D7554">
        <w:rPr>
          <w:rFonts w:ascii="Book Antiqua" w:hAnsi="Book Antiqua"/>
          <w:iCs/>
          <w:lang w:val="en-US"/>
        </w:rPr>
        <w:instrText>ADDIN CSL_CITATION {"citationItems":[{"id":"ITEM-1","itemData":{"DOI":"10.1097/RLU.0b013e318239245d","ISSN":"1536-0229","PMID":"22614211","abstract":"PURPOSE The purpose of this study was to suggest a new diagnostic strategy using metabolic volume (MV) and maximum standardized uptake value (SUVmax) to differentiate malignancy and dysplasia from benign colonic 2-deoxy-2-18F-fluoro-D-glucose (FDG) uptakes. MATERIALS AND METHODS From records of 21,317 consecutive FDG positron emission tomography/computed tomography (PET/CT) scans at 2 centers, 102 focal colonic lesions in 99 patients investigated by colonoscopy and histopathologic examination were eligible for this retrospective study. SUVmax and MV were compared according to colonoscopic and histopathologic results. Firstly, dysplasia was separated from malignancy and benign lesions. Secondly, malignancy and benign lesions were separated from each other. The better parameters of each step were determined, and a diagnostic strategy was developed from their combination. RESULTS A total of 102 incidental colonic FDG uptakes were revealed as 32 malignancies, 43 dysplasias, and 27 benign lesions. MV better differentiated dysplasia from malignancy and benign lesions (cutoff value, ≤3.14 cm3; area under the receiver-operating characteristic curve [AUC] = 0.947), and SUVmax better differentiated malignancy from benign lesions (cutoff value, &gt;9.1; AUC = 0.934). Overall, the stepwise algorithm using MV and SUVmax (AUC = 0.886) was superior to single measurements of SUVmax (AUC = 0.750) and MV (AUC = 0.714) for differentiating malignancy and dysplasia from benign lesions; sensitivity: 92%, specificity: 85%, accuracy: 90%, positive predictive value: 94%, negative predictive value: 79%. CONCLUSIONS The stepwise approach using MV and SUVmax was able to differentiate malignancy and dysplasia from benign colonic FDG uptakes on PET/CT. Colonic FDG uptake with MV ≤3.14 cm3 had a high probability of dysplasia. MV &gt;3.14 cm3 and SUVmax &gt;9.1 indicated malignancy, whereas MV &gt;3.14 cm3 and SUVmax ≤9.1 indicated benign lesions.","author":[{"dropping-particle":"","family":"Oh","given":"Jong-Ryool","non-dropping-particle":"","parse-names":false,"suffix":""},{"dropping-particle":"","family":"Min","given":"Jung-Joon","non-dropping-particle":"","parse-names":false,"suffix":""},{"dropping-particle":"","family":"Song","given":"Ho-Chun","non-dropping-particle":"","parse-names":false,"suffix":""},{"dropping-particle":"","family":"Chong","given":"Ari","non-dropping-particle":"","parse-names":false,"suffix":""},{"dropping-particle":"","family":"Kim","given":"Ga-Eon","non-dropping-particle":"","parse-names":false,"suffix":""},{"dropping-particle":"","family":"Choi","given":"Chan","non-dropping-particle":"","parse-names":false,"suffix":""},{"dropping-particle":"","family":"Seo","given":"Ji-Hyoung","non-dropping-particle":"","parse-names":false,"suffix":""},{"dropping-particle":"","family":"Bom","given":"Hee-Seung","non-dropping-particle":"","parse-names":false,"suffix":""}],"container-title":"Clinical nuclear medicine","id":"ITEM-1","issue":"6","issued":{"date-parts":[["2012","6"]]},"page":"e134-40","title":"A stepwise approach using metabolic volume and SUVmax to differentiate malignancy and dysplasia from benign colonic uptakes on 18F-FDG PET/CT.","type":"article-journal","volume":"37"},"uris":["http://www.mendeley.com/documents/?uuid=284907da-866a-447e-9208-4832e70d65c7"]}],"mendeley":{"formattedCitation":"&lt;sup&gt;[39]&lt;/sup&gt;","plainTextFormattedCitation":"[39]","previouslyFormattedCitation":"&lt;sup&gt;[39]&lt;/sup&gt;"},"properties":{"noteIndex":0},"schema":"https://github.com/citation-style-language/schema/raw/master/csl-citation.json"}</w:instrText>
      </w:r>
      <w:r w:rsidR="00A75298" w:rsidRPr="009D7554">
        <w:rPr>
          <w:rFonts w:ascii="Book Antiqua" w:hAnsi="Book Antiqua"/>
          <w:iCs/>
          <w:lang w:val="en-US"/>
        </w:rPr>
        <w:fldChar w:fldCharType="separate"/>
      </w:r>
      <w:r w:rsidR="00694F3C" w:rsidRPr="009D7554">
        <w:rPr>
          <w:rFonts w:ascii="Book Antiqua" w:hAnsi="Book Antiqua"/>
          <w:iCs/>
          <w:vertAlign w:val="superscript"/>
          <w:lang w:val="en-US"/>
        </w:rPr>
        <w:t>[39]</w:t>
      </w:r>
      <w:r w:rsidR="00A75298" w:rsidRPr="009D7554">
        <w:rPr>
          <w:rFonts w:ascii="Book Antiqua" w:hAnsi="Book Antiqua"/>
          <w:iCs/>
          <w:lang w:val="en-US"/>
        </w:rPr>
        <w:fldChar w:fldCharType="end"/>
      </w:r>
      <w:r w:rsidR="008A1582" w:rsidRPr="009D7554">
        <w:rPr>
          <w:rFonts w:ascii="Book Antiqua" w:hAnsi="Book Antiqua"/>
          <w:iCs/>
          <w:lang w:val="en-US"/>
        </w:rPr>
        <w:t xml:space="preserve">, while there </w:t>
      </w:r>
      <w:r w:rsidR="00111155" w:rsidRPr="009D7554">
        <w:rPr>
          <w:rFonts w:ascii="Book Antiqua" w:hAnsi="Book Antiqua"/>
          <w:iCs/>
          <w:lang w:val="en-US"/>
        </w:rPr>
        <w:t>have been other studies that</w:t>
      </w:r>
      <w:r w:rsidR="001F0F25" w:rsidRPr="009D7554">
        <w:rPr>
          <w:rFonts w:ascii="Book Antiqua" w:hAnsi="Book Antiqua"/>
          <w:iCs/>
          <w:lang w:val="en-US"/>
        </w:rPr>
        <w:t xml:space="preserve"> </w:t>
      </w:r>
      <w:r w:rsidR="00111155" w:rsidRPr="009D7554">
        <w:rPr>
          <w:rFonts w:ascii="Book Antiqua" w:hAnsi="Book Antiqua"/>
          <w:iCs/>
          <w:lang w:val="en-US"/>
        </w:rPr>
        <w:t>have found the opposite</w:t>
      </w:r>
      <w:r w:rsidR="00A75298" w:rsidRPr="009D7554">
        <w:rPr>
          <w:rFonts w:ascii="Book Antiqua" w:hAnsi="Book Antiqua"/>
          <w:iCs/>
          <w:lang w:val="en-US"/>
        </w:rPr>
        <w:fldChar w:fldCharType="begin" w:fldLock="1"/>
      </w:r>
      <w:r w:rsidR="00694F3C" w:rsidRPr="009D7554">
        <w:rPr>
          <w:rFonts w:ascii="Book Antiqua" w:hAnsi="Book Antiqua"/>
          <w:iCs/>
          <w:lang w:val="en-US"/>
        </w:rPr>
        <w:instrText>ADDIN CSL_CITATION {"citationItems":[{"id":"ITEM-1","itemData":{"DOI":"10.1007/s00259-014-2887-3","ISSN":"1619-7089","PMID":"25139518","abstract":"PURPOSE In patients undergoing (18)F-FDG PET/CT, incidental colonic focal lesions can be indicative of inflammatory, premalignant or malignant lesions. The maximum standardized uptake value (SUVmax) of these lesions, representing the FDG uptake intensity, might be helpful in differentiating malignant from benign lesions, and thereby be helpful in determining the urgency of colonoscopy. The aim of our study was to assess the incidence and underlying pathology of incidental PET-positive colonic lesions in a large cohort of patients, and to determine the usefulness of the SUVmax in differentiating benign from malignant pathology. METHODS The electronic records of all patients who underwent FDG PET/CT from January 2010 to March 2013 in our hospital were retrospectively reviewed. The main indications for PET/CT were: characterization of an indeterminate mass on radiological imaging, suspicion or staging of malignancy, and suspicion of inflammation. In patients with incidental focal FDG uptake in the large bowel, data regarding subsequent colonoscopy were retrieved, if performed within 120 days. The final diagnosis was defined using colonoscopy findings, combined with additional histopathological assessment of the lesion, if applicable. RESULTS Of 7,318 patients analysed, 359 (5 %) had 404 foci of unexpected colonic FDG uptake. In 242 of these 404 lesions (60 %), colonoscopy follow-up data were available. Final diagnoses were: adenocarcinoma in 25 (10 %), adenoma in 90 (37 %), and benign in 127 (53 %). The median [IQR] SUVmax was significantly higher in adenocarcinoma (16.6 [12 - 20.8]) than in benign lesions (8.2 [5.9 - 10.1]; p &lt; 0.0001), non-advanced adenoma (8.3 [6.1 - 10.5]; p &lt; 0.0001) and advanced adenoma (9.7 [7.2 - 12.6]; p &lt; 0.001). The receiver operating characteristic curve of SUVmax for malignant versus nonmalignant lesions had an area under the curve of 0.868 (SD ± 0.038), the optimal cut-off value being 11.4 (sensitivity 80 %, specificity 82 %, positive predictive value 34 %, negative predictive value 98 %). CONCLUSION In these patients with incidental colonic focal activity undergoing PET/CT (the largest series published to date), malignancies had significantly higher SUVmax values than all other types of lesions. However, SUVmax could not distinguish between benign lesions and adenomas. In conclusion, all incidental findings in the colon should be further evaluated and lesions with SUVmax ≥11.4 should be evaluated without delay.","author":[{"dropping-particle":"","family":"Hoeij","given":"F B","non-dropping-particle":"van","parse-names":false,"suffix":""},{"dropping-particle":"","family":"Keijsers","given":"R G M","non-dropping-particle":"","parse-names":false,"suffix":""},{"dropping-particle":"","family":"Loffeld","given":"B C A J","non-dropping-particle":"","parse-names":false,"suffix":""},{"dropping-particle":"","family":"Dun","given":"G","non-dropping-particle":"","parse-names":false,"suffix":""},{"dropping-particle":"","family":"Stadhouders","given":"P H G M","non-dropping-particle":"","parse-names":false,"suffix":""},{"dropping-particle":"","family":"Weusten","given":"B L A M","non-dropping-particle":"","parse-names":false,"suffix":""}],"container-title":"European journal of nuclear medicine and molecular imaging","id":"ITEM-1","issue":"1","issued":{"date-parts":[["2015","1"]]},"page":"66-71","title":"Incidental colonic focal FDG uptake on PET/CT: can the maximum standardized uptake value (SUVmax) guide us in the timing of colonoscopy?","type":"article-journal","volume":"42"},"uris":["http://www.mendeley.com/documents/?uuid=9b9648ce-e2ee-4fa0-b2b5-284ef1bcb32a"]},{"id":"ITEM-2","itemData":{"DOI":"10.1007/s00259-007-0422-5","ISSN":"1619-7070","PMID":"17492447","abstract":"PURPOSE To examine: (1) the feasibility of PET/CT colonography (PET/CTc) in patients with colorectal polyps; (2) the impact of metabolic information on CTc interpretation and, conversely, the impact of morphological information on PET characterisation of focal colorectal uptake. METHODS Ten patients with colorectal polyps underwent PET/CTc, followed within 3 h by therapeutic conventional colonoscopy (CC). A radiologist and a nuclear medicine physician analysed the PET/CTc images. The agreement of morphological and metabolic information in the colon and rectum was evaluated. The sensitivity and specificity of PET, CT and PET/CT were calculated for colorectal polyps. RESULTS Seventeen polypoid lesions were identified at CC: six&lt; or =5 mm, six between 6 and 9 mm, and five &gt; or =10 mm (four hyperplastic polyps, 11 tubular adenomas, one adenocarcinoma and one submucosal lipoma). A total of 20 scans (supine and prone) were performed in the ten patients: the agreement of morphological and metabolic information was excellent in 17 scans, good in two and moderate in one. PET/CTc showed a sensitivity of 91% for lesions &gt; or =6 mm and a specificity of 100%. The metabolic information did not disclose any further polyps missed on CTc. The morphological information permitted correct classification of all eight instances of focal radiotracer uptake. CONCLUSION PET/CTc is a feasible study. Adding a colonographic protocol to PET/CT images seems to allow correct characterisation of all cases of colorectal focal radiotracer uptake. The metabolic information does not seem to increase the accuracy of CTc.","author":[{"dropping-particle":"","family":"Mainenti","given":"Pier Paolo","non-dropping-particle":"","parse-names":false,"suffix":""},{"dropping-particle":"","family":"Salvatore","given":"Barbara","non-dropping-particle":"","parse-names":false,"suffix":""},{"dropping-particle":"","family":"D'Antonio","given":"Dario","non-dropping-particle":"","parse-names":false,"suffix":""},{"dropping-particle":"","family":"Falco","given":"Teresa","non-dropping-particle":"De","parse-names":false,"suffix":""},{"dropping-particle":"","family":"Palma","given":"Giovanni Domenico","non-dropping-particle":"De","parse-names":false,"suffix":""},{"dropping-particle":"","family":"D'Armiento","given":"Francesco Paolo","non-dropping-particle":"","parse-names":false,"suffix":""},{"dropping-particle":"","family":"Bucci","given":"Luigi","non-dropping-particle":"","parse-names":false,"suffix":""},{"dropping-particle":"","family":"Pace","given":"Leonardo","non-dropping-particle":"","parse-names":false,"suffix":""},{"dropping-particle":"","family":"Salvatore","given":"Marco","non-dropping-particle":"","parse-names":false,"suffix":""}],"container-title":"European journal of nuclear medicine and molecular imaging","id":"ITEM-2","issue":"10","issued":{"date-parts":[["2007","10"]]},"page":"1594-603","title":"PET/CT colonography in patients with colorectal polyps: a feasibility study.","type":"article-journal","volume":"34"},"uris":["http://www.mendeley.com/documents/?uuid=ffc6d32b-feee-46a0-99d3-e5b74b13e76c"]}],"mendeley":{"formattedCitation":"&lt;sup&gt;[40,41]&lt;/sup&gt;","plainTextFormattedCitation":"[40,41]","previouslyFormattedCitation":"&lt;sup&gt;[40,41]&lt;/sup&gt;"},"properties":{"noteIndex":0},"schema":"https://github.com/citation-style-language/schema/raw/master/csl-citation.json"}</w:instrText>
      </w:r>
      <w:r w:rsidR="00A75298" w:rsidRPr="009D7554">
        <w:rPr>
          <w:rFonts w:ascii="Book Antiqua" w:hAnsi="Book Antiqua"/>
          <w:iCs/>
          <w:lang w:val="en-US"/>
        </w:rPr>
        <w:fldChar w:fldCharType="separate"/>
      </w:r>
      <w:r w:rsidR="00694F3C" w:rsidRPr="009D7554">
        <w:rPr>
          <w:rFonts w:ascii="Book Antiqua" w:hAnsi="Book Antiqua"/>
          <w:iCs/>
          <w:vertAlign w:val="superscript"/>
          <w:lang w:val="en-US"/>
        </w:rPr>
        <w:t>[40,41]</w:t>
      </w:r>
      <w:r w:rsidR="00A75298" w:rsidRPr="009D7554">
        <w:rPr>
          <w:rFonts w:ascii="Book Antiqua" w:hAnsi="Book Antiqua"/>
          <w:iCs/>
          <w:lang w:val="en-US"/>
        </w:rPr>
        <w:fldChar w:fldCharType="end"/>
      </w:r>
      <w:r w:rsidR="009E1B9E" w:rsidRPr="009D7554">
        <w:rPr>
          <w:rFonts w:ascii="Book Antiqua" w:hAnsi="Book Antiqua"/>
          <w:bCs/>
          <w:iCs/>
          <w:lang w:val="en-US"/>
        </w:rPr>
        <w:t xml:space="preserve">. Moreover, a quantitative approach may be useful </w:t>
      </w:r>
      <w:r w:rsidR="00111155" w:rsidRPr="009D7554">
        <w:rPr>
          <w:rFonts w:ascii="Book Antiqua" w:hAnsi="Book Antiqua"/>
          <w:bCs/>
          <w:iCs/>
          <w:lang w:val="en-US"/>
        </w:rPr>
        <w:t xml:space="preserve">for </w:t>
      </w:r>
      <w:r w:rsidR="009E1B9E" w:rsidRPr="009D7554">
        <w:rPr>
          <w:rFonts w:ascii="Book Antiqua" w:hAnsi="Book Antiqua"/>
          <w:bCs/>
          <w:iCs/>
          <w:lang w:val="en-US"/>
        </w:rPr>
        <w:t xml:space="preserve">local staging. Liao </w:t>
      </w:r>
      <w:r w:rsidR="00FB4083" w:rsidRPr="009D7554">
        <w:rPr>
          <w:rFonts w:ascii="Book Antiqua" w:hAnsi="Book Antiqua"/>
          <w:i/>
          <w:iCs/>
          <w:lang w:val="en-US"/>
        </w:rPr>
        <w:t>et al</w:t>
      </w:r>
      <w:r w:rsidR="00A75298" w:rsidRPr="009D7554">
        <w:rPr>
          <w:rFonts w:ascii="Book Antiqua" w:hAnsi="Book Antiqua"/>
          <w:i/>
          <w:iCs/>
          <w:lang w:val="en-US"/>
        </w:rPr>
        <w:fldChar w:fldCharType="begin" w:fldLock="1"/>
      </w:r>
      <w:r w:rsidR="00694F3C" w:rsidRPr="009D7554">
        <w:rPr>
          <w:rFonts w:ascii="Book Antiqua" w:hAnsi="Book Antiqua"/>
          <w:i/>
          <w:iCs/>
          <w:lang w:val="en-US"/>
        </w:rPr>
        <w:instrText>ADDIN CSL_CITATION {"citationItems":[{"id":"ITEM-1","itemData":{"DOI":"10.1097/RLU.0b013e318292f0f6","ISSN":"1536-0229","PMID":"24335567","abstract":"PURPOSE This study examined the correlations between F-FDG PET/CT results and tumor specimen pathology in patients with rectal cancer. METHODS Sixty-seven patients with rectal cancer who had received preoperative PET/CT were included in this study. Autosegmentation methods were used to determine the maximum PET/CT-based tumor length (TL), tumor width (TW), and metabolic tumor volume for each patient. The TL and TW values were compared with the maximum pathological length and width of the tumor specimen. To forecast the pathological T and N stages, a receiver operating characteristic curve was created for each parameter to evaluate its predictive ability. Logistic regression analysis was used to identify the predictors of pathology. RESULTS The values of 30% of maximum uptake for TL and 40% of maximum uptake for TW provided the best match with the maximum pathological tumor length and width (Pearson r = 0.72, P &lt; 0.001; r = 0.44, P &lt; 0.001, respectively). Metabolic tumor volume with a fixed threshold of 2.5 emerged as an independent factor for predicting the pathological T3 or T4 stage (P = 0.001; odds ratio, 1.81; 95% confidence interval, 1.26-2.60). CONCLUSIONS Preoperative PET/CT can be used as a supplemental tool in predicting pathological findings for patients with rectal cancer requiring operation.","author":[{"dropping-particle":"","family":"Liao","given":"Chih-Ying","non-dropping-particle":"","parse-names":false,"suffix":""},{"dropping-particle":"","family":"Chen","given":"Shang-Wen","non-dropping-particle":"","parse-names":false,"suffix":""},{"dropping-particle":"","family":"Wu","given":"Yi-Chen","non-dropping-particle":"","parse-names":false,"suffix":""},{"dropping-particle":"","family":"Chen","given":"William Tzu-Liang","non-dropping-particle":"","parse-names":false,"suffix":""},{"dropping-particle":"","family":"Yen","given":"Kuo-Yang","non-dropping-particle":"","parse-names":false,"suffix":""},{"dropping-particle":"","family":"Hsieh","given":"Te-Chun","non-dropping-particle":"","parse-names":false,"suffix":""},{"dropping-particle":"","family":"Chen","given":"Pin-Jie","non-dropping-particle":"","parse-names":false,"suffix":""},{"dropping-particle":"","family":"Kao","given":"Chia-Hung","non-dropping-particle":"","parse-names":false,"suffix":""}],"container-title":"Clinical nuclear medicine","id":"ITEM-1","issue":"1","issued":{"date-parts":[["2014","1"]]},"page":"e40-5","title":"Correlations between 18F-FDG PET/CT parameters and pathological findings in patients with rectal cancer.","type":"article-journal","volume":"39"},"uris":["http://www.mendeley.com/documents/?uuid=cd5f7f2a-2852-4178-b37d-a2ad857cf3e0"]}],"mendeley":{"formattedCitation":"&lt;sup&gt;[42]&lt;/sup&gt;","plainTextFormattedCitation":"[42]","previouslyFormattedCitation":"&lt;sup&gt;[42]&lt;/sup&gt;"},"properties":{"noteIndex":0},"schema":"https://github.com/citation-style-language/schema/raw/master/csl-citation.json"}</w:instrText>
      </w:r>
      <w:r w:rsidR="00A75298" w:rsidRPr="009D7554">
        <w:rPr>
          <w:rFonts w:ascii="Book Antiqua" w:hAnsi="Book Antiqua"/>
          <w:i/>
          <w:iCs/>
          <w:lang w:val="en-US"/>
        </w:rPr>
        <w:fldChar w:fldCharType="separate"/>
      </w:r>
      <w:r w:rsidR="00694F3C" w:rsidRPr="009D7554">
        <w:rPr>
          <w:rFonts w:ascii="Book Antiqua" w:hAnsi="Book Antiqua"/>
          <w:iCs/>
          <w:vertAlign w:val="superscript"/>
          <w:lang w:val="en-US"/>
        </w:rPr>
        <w:t>[42]</w:t>
      </w:r>
      <w:r w:rsidR="00A75298" w:rsidRPr="009D7554">
        <w:rPr>
          <w:rFonts w:ascii="Book Antiqua" w:hAnsi="Book Antiqua"/>
          <w:i/>
          <w:iCs/>
          <w:lang w:val="en-US"/>
        </w:rPr>
        <w:fldChar w:fldCharType="end"/>
      </w:r>
      <w:r w:rsidR="009E1B9E" w:rsidRPr="009D7554">
        <w:rPr>
          <w:rFonts w:ascii="Book Antiqua" w:hAnsi="Book Antiqua"/>
          <w:i/>
          <w:iCs/>
          <w:lang w:val="en-US"/>
        </w:rPr>
        <w:t xml:space="preserve"> </w:t>
      </w:r>
      <w:r w:rsidR="005B3B9F" w:rsidRPr="009D7554">
        <w:rPr>
          <w:rFonts w:ascii="Book Antiqua" w:hAnsi="Book Antiqua"/>
          <w:iCs/>
          <w:lang w:val="en-US"/>
        </w:rPr>
        <w:t>reported that quantitative parameters</w:t>
      </w:r>
      <w:r w:rsidR="001F0F25" w:rsidRPr="009D7554">
        <w:rPr>
          <w:rFonts w:ascii="Book Antiqua" w:hAnsi="Book Antiqua"/>
          <w:iCs/>
          <w:lang w:val="en-US"/>
        </w:rPr>
        <w:t xml:space="preserve"> such</w:t>
      </w:r>
      <w:r w:rsidR="005B3B9F" w:rsidRPr="009D7554">
        <w:rPr>
          <w:rFonts w:ascii="Book Antiqua" w:hAnsi="Book Antiqua"/>
          <w:iCs/>
          <w:lang w:val="en-US"/>
        </w:rPr>
        <w:t xml:space="preserve"> as MTV calculated with a 2.5 threshold aided </w:t>
      </w:r>
      <w:r w:rsidR="001F0F25" w:rsidRPr="009D7554">
        <w:rPr>
          <w:rFonts w:ascii="Book Antiqua" w:hAnsi="Book Antiqua"/>
          <w:iCs/>
          <w:lang w:val="en-US"/>
        </w:rPr>
        <w:t>in discriminating the</w:t>
      </w:r>
      <w:r w:rsidR="005B3B9F" w:rsidRPr="009D7554">
        <w:rPr>
          <w:rFonts w:ascii="Book Antiqua" w:hAnsi="Book Antiqua"/>
          <w:iCs/>
          <w:lang w:val="en-US"/>
        </w:rPr>
        <w:t xml:space="preserve"> pT1-T2 group from </w:t>
      </w:r>
      <w:r w:rsidR="001F0F25" w:rsidRPr="009D7554">
        <w:rPr>
          <w:rFonts w:ascii="Book Antiqua" w:hAnsi="Book Antiqua"/>
          <w:iCs/>
          <w:lang w:val="en-US"/>
        </w:rPr>
        <w:t xml:space="preserve">the </w:t>
      </w:r>
      <w:r w:rsidR="005B3B9F" w:rsidRPr="009D7554">
        <w:rPr>
          <w:rFonts w:ascii="Book Antiqua" w:hAnsi="Book Antiqua"/>
          <w:iCs/>
          <w:lang w:val="en-US"/>
        </w:rPr>
        <w:t xml:space="preserve">pT3-T4 </w:t>
      </w:r>
      <w:r w:rsidR="001F0F25" w:rsidRPr="009D7554">
        <w:rPr>
          <w:rFonts w:ascii="Book Antiqua" w:hAnsi="Book Antiqua"/>
          <w:iCs/>
          <w:lang w:val="en-US"/>
        </w:rPr>
        <w:t>group</w:t>
      </w:r>
      <w:r w:rsidR="005B3B9F" w:rsidRPr="009D7554">
        <w:rPr>
          <w:rFonts w:ascii="Book Antiqua" w:hAnsi="Book Antiqua"/>
          <w:iCs/>
          <w:lang w:val="en-US"/>
        </w:rPr>
        <w:t xml:space="preserve"> in patients with RC. The MTV2.5 values for the pT1-T2 and pT3-T4 patient groups were 11.6 </w:t>
      </w:r>
      <w:r w:rsidR="001F0F25" w:rsidRPr="009D7554">
        <w:rPr>
          <w:rFonts w:ascii="Book Antiqua" w:hAnsi="Book Antiqua"/>
          <w:iCs/>
          <w:lang w:val="en-US"/>
        </w:rPr>
        <w:t>±</w:t>
      </w:r>
      <w:r w:rsidR="005B3B9F" w:rsidRPr="009D7554">
        <w:rPr>
          <w:rFonts w:ascii="Book Antiqua" w:hAnsi="Book Antiqua"/>
          <w:iCs/>
          <w:lang w:val="en-US"/>
        </w:rPr>
        <w:t xml:space="preserve"> 11.4 and 34.6 </w:t>
      </w:r>
      <w:r w:rsidR="001F0F25" w:rsidRPr="009D7554">
        <w:rPr>
          <w:rFonts w:ascii="Book Antiqua" w:hAnsi="Book Antiqua"/>
          <w:iCs/>
          <w:lang w:val="en-US"/>
        </w:rPr>
        <w:t>±</w:t>
      </w:r>
      <w:r w:rsidR="00092D92" w:rsidRPr="009D7554">
        <w:rPr>
          <w:rFonts w:ascii="Book Antiqua" w:hAnsi="Book Antiqua"/>
          <w:iCs/>
          <w:lang w:val="en-US"/>
        </w:rPr>
        <w:t xml:space="preserve"> 21.4, respectively. Using the median value of 28 mL as a cut-off, MTV2.5 provided excellent specificity (92.8%) and </w:t>
      </w:r>
      <w:r w:rsidR="00111155" w:rsidRPr="009D7554">
        <w:rPr>
          <w:rFonts w:ascii="Book Antiqua" w:hAnsi="Book Antiqua"/>
          <w:iCs/>
          <w:lang w:val="en-US"/>
        </w:rPr>
        <w:t xml:space="preserve">a </w:t>
      </w:r>
      <w:r w:rsidR="00092D92" w:rsidRPr="009D7554">
        <w:rPr>
          <w:rFonts w:ascii="Book Antiqua" w:hAnsi="Book Antiqua"/>
          <w:iCs/>
          <w:lang w:val="en-US"/>
        </w:rPr>
        <w:t>positive predictive value (97.1%) for</w:t>
      </w:r>
      <w:r w:rsidR="001F0F25" w:rsidRPr="009D7554">
        <w:rPr>
          <w:rFonts w:ascii="Book Antiqua" w:hAnsi="Book Antiqua"/>
          <w:iCs/>
          <w:lang w:val="en-US"/>
        </w:rPr>
        <w:t xml:space="preserve"> the</w:t>
      </w:r>
      <w:r w:rsidR="00092D92" w:rsidRPr="009D7554">
        <w:rPr>
          <w:rFonts w:ascii="Book Antiqua" w:hAnsi="Book Antiqua"/>
          <w:iCs/>
          <w:lang w:val="en-US"/>
        </w:rPr>
        <w:t xml:space="preserve"> T3-T4 group</w:t>
      </w:r>
      <w:r w:rsidR="001F0F25" w:rsidRPr="009D7554">
        <w:rPr>
          <w:rFonts w:ascii="Book Antiqua" w:hAnsi="Book Antiqua"/>
          <w:iCs/>
          <w:lang w:val="en-US"/>
        </w:rPr>
        <w:t>,</w:t>
      </w:r>
      <w:r w:rsidR="00092D92" w:rsidRPr="009D7554">
        <w:rPr>
          <w:rFonts w:ascii="Book Antiqua" w:hAnsi="Book Antiqua"/>
          <w:iCs/>
          <w:lang w:val="en-US"/>
        </w:rPr>
        <w:t xml:space="preserve"> helping to identify patients who would benefit from preoperative chemoradiation therapy (CRT).</w:t>
      </w:r>
    </w:p>
    <w:p w:rsidR="00B12A46" w:rsidRPr="009D7554" w:rsidRDefault="00B12A46" w:rsidP="006A253E">
      <w:pPr>
        <w:widowControl w:val="0"/>
        <w:autoSpaceDE w:val="0"/>
        <w:autoSpaceDN w:val="0"/>
        <w:adjustRightInd w:val="0"/>
        <w:snapToGrid w:val="0"/>
        <w:spacing w:line="360" w:lineRule="auto"/>
        <w:jc w:val="both"/>
        <w:rPr>
          <w:rFonts w:ascii="Book Antiqua" w:hAnsi="Book Antiqua"/>
          <w:iCs/>
          <w:lang w:val="en-US"/>
        </w:rPr>
      </w:pPr>
    </w:p>
    <w:p w:rsidR="004E768B" w:rsidRPr="009D7554" w:rsidRDefault="004E768B" w:rsidP="006A253E">
      <w:pPr>
        <w:widowControl w:val="0"/>
        <w:autoSpaceDE w:val="0"/>
        <w:autoSpaceDN w:val="0"/>
        <w:adjustRightInd w:val="0"/>
        <w:snapToGrid w:val="0"/>
        <w:spacing w:line="360" w:lineRule="auto"/>
        <w:jc w:val="both"/>
        <w:rPr>
          <w:rFonts w:ascii="Book Antiqua" w:hAnsi="Book Antiqua"/>
          <w:b/>
          <w:bCs/>
          <w:i/>
          <w:lang w:val="en-US"/>
        </w:rPr>
      </w:pPr>
      <w:r w:rsidRPr="009D7554">
        <w:rPr>
          <w:rFonts w:ascii="Book Antiqua" w:hAnsi="Book Antiqua"/>
          <w:b/>
          <w:bCs/>
          <w:i/>
          <w:lang w:val="en-US"/>
        </w:rPr>
        <w:t>Lymph node involvement</w:t>
      </w:r>
    </w:p>
    <w:p w:rsidR="004E768B" w:rsidRPr="009D7554" w:rsidRDefault="004E768B" w:rsidP="006A253E">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lang w:val="en-US"/>
        </w:rPr>
        <w:t>Nodal involvement has an important role in the stratification of risk for CRC patients</w:t>
      </w:r>
      <w:r w:rsidR="001F0F25" w:rsidRPr="009D7554">
        <w:rPr>
          <w:rFonts w:ascii="Book Antiqua" w:hAnsi="Book Antiqua"/>
          <w:lang w:val="en-US"/>
        </w:rPr>
        <w:t>,</w:t>
      </w:r>
      <w:r w:rsidRPr="009D7554">
        <w:rPr>
          <w:rFonts w:ascii="Book Antiqua" w:hAnsi="Book Antiqua"/>
          <w:lang w:val="en-US"/>
        </w:rPr>
        <w:t xml:space="preserve"> and an accurate assessment of this parameter could significantly influence therapeutic management and prognosis. Morphological criteria (size, margins, structural disomogeneity, </w:t>
      </w:r>
      <w:r w:rsidR="00111155" w:rsidRPr="009D7554">
        <w:rPr>
          <w:rFonts w:ascii="Book Antiqua" w:hAnsi="Book Antiqua"/>
          <w:lang w:val="en-US"/>
        </w:rPr>
        <w:t xml:space="preserve">and </w:t>
      </w:r>
      <w:r w:rsidRPr="009D7554">
        <w:rPr>
          <w:rFonts w:ascii="Book Antiqua" w:hAnsi="Book Antiqua"/>
          <w:lang w:val="en-US"/>
        </w:rPr>
        <w:t xml:space="preserve">clustering) </w:t>
      </w:r>
      <w:r w:rsidR="00111155" w:rsidRPr="009D7554">
        <w:rPr>
          <w:rFonts w:ascii="Book Antiqua" w:hAnsi="Book Antiqua"/>
          <w:lang w:val="en-US"/>
        </w:rPr>
        <w:t>have been used</w:t>
      </w:r>
      <w:r w:rsidRPr="009D7554">
        <w:rPr>
          <w:rFonts w:ascii="Book Antiqua" w:hAnsi="Book Antiqua"/>
          <w:lang w:val="en-US"/>
        </w:rPr>
        <w:t xml:space="preserve"> for the detection of pathologic</w:t>
      </w:r>
      <w:r w:rsidR="00111155" w:rsidRPr="009D7554">
        <w:rPr>
          <w:rFonts w:ascii="Book Antiqua" w:hAnsi="Book Antiqua"/>
          <w:lang w:val="en-US"/>
        </w:rPr>
        <w:t>al</w:t>
      </w:r>
      <w:r w:rsidRPr="009D7554">
        <w:rPr>
          <w:rFonts w:ascii="Book Antiqua" w:hAnsi="Book Antiqua"/>
          <w:lang w:val="en-US"/>
        </w:rPr>
        <w:t xml:space="preserve"> lymph node involvement</w:t>
      </w:r>
      <w:r w:rsidR="00A75298" w:rsidRPr="009D7554">
        <w:rPr>
          <w:rFonts w:ascii="Book Antiqua" w:hAnsi="Book Antiqua"/>
          <w:lang w:val="en-US"/>
        </w:rPr>
        <w:fldChar w:fldCharType="begin" w:fldLock="1"/>
      </w:r>
      <w:r w:rsidR="006821F4" w:rsidRPr="009D7554">
        <w:rPr>
          <w:rFonts w:ascii="Book Antiqua" w:hAnsi="Book Antiqua"/>
          <w:lang w:val="en-US"/>
        </w:rPr>
        <w:instrText>ADDIN CSL_CITATION {"citationItems":[{"id":"ITEM-1","itemData":{"DOI":"10.1016/j.ejrad.2006.08.001","ISSN":"0720048X","PMID":"16965883","author":[{"dropping-particle":"","family":"Mainenti","given":"Pier Paolo","non-dropping-particle":"","parse-names":false,"suffix":""},{"dropping-particle":"","family":"Cirillo","given":"Luigi Carlo","non-dropping-particle":"","parse-names":false,"suffix":""},{"dropping-particle":"","family":"Camera","given":"Luigi","non-dropping-particle":"","parse-names":false,"suffix":""},{"dropping-particle":"","family":"Persico","given":"Francesco","non-dropping-particle":"","parse-names":false,"suffix":""},{"dropping-particle":"","family":"Cantalupo","given":"Teresa","non-dropping-particle":"","parse-names":false,"suffix":""},{"dropping-particle":"","family":"Pace","given":"Leonardo","non-dropping-particle":"","parse-names":false,"suffix":""},{"dropping-particle":"De","family":"Palma","given":"Giovanni Domenico","non-dropping-particle":"","parse-names":false,"suffix":""},{"dropping-particle":"","family":"Persico","given":"Giovanni","non-dropping-particle":"","parse-names":false,"suffix":""},{"dropping-particle":"","family":"Salvatore","given":"Marco","non-dropping-particle":"","parse-names":false,"suffix":""}],"container-title":"European Journal of Radiology","id":"ITEM-1","issue":"3","issued":{"date-parts":[["2006","12"]]},"page":"453-459","title":"Accuracy of single phase contrast enhanced multidetector CT colonography in the preoperative staging of colo-rectal cancer","type":"article-journal","volume":"60"},"uris":["http://www.mendeley.com/documents/?uuid=a23cd1e4-1bbd-4d35-b30b-64a038a5fb38"]},{"id":"ITEM-2","itemData":{"DOI":"10.1148/radiol.2311021152","ISSN":"0033-8419","PMID":"14990815","abstract":"PURPOSE To evaluate the accuracy of contrast material-enhanced multi-detector row computed tomographic (CT) colonography for preoperative staging of colorectal cancer. MATERIALS AND METHODS Forty-one patients with colorectal carcinoma underwent preoperative contrast-enhanced multi-detector row CT colonography. Images were obtained in the arterial (start delay of 35 seconds) and portal venous (start delay of 70 seconds) phases. The arterial phase was focused on the suspected region of neoplasm, whereas the venous phase included the whole abdomen and pelvis. Two radiologists independently evaluated the depth of tumor invasion into the colorectal wall (T) and regional lymph node involvement (N) on transverse CT images alone and in combination with multiplanar reformations (MPRs). Disagreements were resolved by means of consensus. CT findings were compared with pathologic results, which served as the reference standard. Sensitivity, specificity, accuracy, positive predictive value, and negative predictive value were assessed. Differences in accuracy for T and N staging were assessed by using the McNemar test. RESULTS In T staging, overall accuracy was 73% when transverse images were evaluated alone and 83% when they were evaluated in combination with MPRs. This difference was not significant. N staging was associated with an overall accuracy of 59% with transverse images alone and 80% with combined transverse and MPR images (P &lt;.01). CONCLUSION Contrast-enhanced multi-detector row CT colonography is an accurate technique for preoperative local staging of colorectal tumors.","author":[{"dropping-particle":"","family":"Filippone","given":"Antonella","non-dropping-particle":"","parse-names":false,"suffix":""},{"dropping-particle":"","family":"Ambrosini","given":"Roberta","non-dropping-particle":"","parse-names":false,"suffix":""},{"dropping-particle":"","family":"Fuschi","given":"Maurizio","non-dropping-particle":"","parse-names":false,"suffix":""},{"dropping-particle":"","family":"Marinelli","given":"Tiziana","non-dropping-particle":"","parse-names":false,"suffix":""},{"dropping-particle":"","family":"Genovesi","given":"Domenico","non-dropping-particle":"","parse-names":false,"suffix":""},{"dropping-particle":"","family":"Bonomo","given":"Lorenzo","non-dropping-particle":"","parse-names":false,"suffix":""}],"container-title":"Radiology","id":"ITEM-2","issue":"1","issued":{"date-parts":[["2004","4"]]},"page":"83-90","title":"Preoperative T and N staging of colorectal cancer: accuracy of contrast-enhanced multi-detector row CT colonography--initial experience.","type":"article-journal","volume":"231"},"uris":["http://www.mendeley.com/documents/?uuid=ae92061a-881b-4184-84a0-6a16d8cf9893"]},{"id":"ITEM-3","itemData":{"DOI":"10.2214/ajr.183.2.1830421","ISSN":"0361-803X","PMID":"15269036","abstract":"OBJECTIVE The purpose of this study was to evaluate whether multiplanar reconstructions (MPRs) of MDCT could improve local staging of rectal cancer. CONCLUSION Adding MPRs, on the basis of the MDCT data sets, provides definite improvements in the accurate local staging of rectal cancer compared with standard axial reconstructions alone.","author":[{"dropping-particle":"","family":"Kulinna","given":"C","non-dropping-particle":"","parse-names":false,"suffix":""},{"dropping-particle":"","family":"Eibel","given":"R","non-dropping-particle":"","parse-names":false,"suffix":""},{"dropping-particle":"","family":"Matzek","given":"W","non-dropping-particle":"","parse-names":false,"suffix":""},{"dropping-particle":"","family":"Bonel","given":"H","non-dropping-particle":"","parse-names":false,"suffix":""},{"dropping-particle":"","family":"Aust","given":"D","non-dropping-particle":"","parse-names":false,"suffix":""},{"dropping-particle":"","family":"Strauss","given":"T","non-dropping-particle":"","parse-names":false,"suffix":""},{"dropping-particle":"","family":"Reiser","given":"M","non-dropping-particle":"","parse-names":false,"suffix":""},{"dropping-particle":"","family":"Scheidler","given":"J","non-dropping-particle":"","parse-names":false,"suffix":""}],"container-title":"AJR. American journal of roentgenology","id":"ITEM-3","issue":"2","issued":{"date-parts":[["2004","8"]]},"page":"421-7","title":"Staging of rectal cancer: diagnostic potential of multiplanar reconstructions with MDCT.","type":"article-journal","volume":"183"},"uris":["http://www.mendeley.com/documents/?uuid=ab4f9ea6-b46a-4855-a198-dfef77c6c11d"]},{"id":"ITEM-4","itemData":{"DOI":"10.1148/radiol.2272011747","ISSN":"0033-8419","PMID":"12732695","abstract":"PURPOSE To evaluate signal intensity and border characteristics of lymph nodes at high-spatial-resolution magnetic resonance (MR) imaging in patients with rectal cancer and to compare these findings with size in prediction of nodal status. MATERIALS AND METHODS Forty-two patients who underwent total mesorectal excision of the rectum to determine if they had rectal carcinoma were studied with preoperative thin-section MR imaging. Lymph nodes were harvested from 42 transversely sectioned surgical specimens. The slice of each lymph node was carefully matched with its location on the corresponding MR images. Nodal size, border contour, and signal intensity on MR images were characterized and related to histologic involvement with metastases. Differences in sensitivity and specificity with border or signal intensity were calculated with CIs by using method 10 of Newcombe. RESULTS Of the 437 nodes harvested, 102 were too small (&lt;3 mm) to be depicted on MR images, and only two of these contained metastases. In 15 (68%) of 22 patients with nodal metastases, the size of normal or reactive nodes was equal to or greater than that of positive nodes in the same specimen. Fifty-one nodes were above the area imaged, and seven of these contained metastases. The diameter of benign and malignant nodes was similar; therefore, size was a poor predictor of nodal status. If a node was defined as suspicious because of an irregular border or mixed signal intensity, a superior accuracy was obtained and resulted in a sensitivity of 51 (85%) of 60 (95% CI: 74%, 92%) and a specificity of 216 (97%) of 221 (95% CI: 95%, 99%). CONCLUSION Prediction of nodal involvement in rectal cancer with MR imaging is improved by using the border contour and signal intensity characteristics of lymph nodes instead of size criteria.","author":[{"dropping-particle":"","family":"Brown","given":"Gina","non-dropping-particle":"","parse-names":false,"suffix":""},{"dropping-particle":"","family":"Richards","given":"Catherine J","non-dropping-particle":"","parse-names":false,"suffix":""},{"dropping-particle":"","family":"Bourne","given":"Michael W","non-dropping-particle":"","parse-names":false,"suffix":""},{"dropping-particle":"","family":"Newcombe","given":"Robert G","non-dropping-particle":"","parse-names":false,"suffix":""},{"dropping-particle":"","family":"Radcliffe","given":"Andrew G","non-dropping-particle":"","parse-names":false,"suffix":""},{"dropping-particle":"","family":"Dallimore","given":"Nicholas S","non-dropping-particle":"","parse-names":false,"suffix":""},{"dropping-particle":"","family":"Williams","given":"Geraint T","non-dropping-particle":"","parse-names":false,"suffix":""}],"container-title":"Radiology","id":"ITEM-4","issue":"2","issued":{"date-parts":[["2003","5"]]},"page":"371-7","title":"Morphologic predictors of lymph node status in rectal cancer with use of high-spatial-resolution MR imaging with histopathologic comparison.","type":"article-journal","volume":"227"},"uris":["http://www.mendeley.com/documents/?uuid=127c3b67-5bb4-418a-a0e8-fef95d9202b2"]},{"id":"ITEM-5","itemData":{"DOI":"10.3748/wjg.v17.i11.1427","ISSN":"2219-2840","PMID":"21472100","abstract":"AIM To evaluate whether FDG-positron emission tomography (PET)/computed tomography (CT) may be an accurate technique in the assessment of the T stage in patients with colorectal cancer. METHODS Thirty four consecutive patients (20 men and 14 women; mean age: 63 years) with a histologically proven diagnosis of colorectal adenocarcinoma and scheduled for surgery in our hospital were enrolled in this study. All patients underwent FDG-PET/CT preoperatively. The primary tumor site and extent were evaluated on PET/CT images. Colorectal wall invasion was analysed according to a modified T classification that considers only three stages (≤ T2, T3, T4). Assessment of accuracy was carried out using 95% confidence intervals for T. RESULTS Thirty five/37 (94.6%) adenocarcinomas were identified and correctly located on PET/CT images. PET/CT correctly staged the T of 33/35 lesions identified showing an accuracy of 94.3% (95% CI: 87%-100%). All T1, T3 and T4 lesions were correctly staged, while two T2 neoplasms were overstated as T3. CONCLUSION Our data suggest that FDG-PET/CT may be an accurate modality for identifying primary tumor and defining its local extent in patients with colorectal cancer.","author":[{"dropping-particle":"","family":"Mainenti","given":"Pier Paolo","non-dropping-particle":"","parse-names":false,"suffix":""},{"dropping-particle":"","family":"Iodice","given":"Delfina","non-dropping-particle":"","parse-names":false,"suffix":""},{"dropping-particle":"","family":"Segreto","given":"Sabrina","non-dropping-particle":"","parse-names":false,"suffix":""},{"dropping-particle":"","family":"Storto","given":"Giovanni","non-dropping-particle":"","parse-names":false,"suffix":""},{"dropping-particle":"","family":"Magliulo","given":"Mario","non-dropping-particle":"","parse-names":false,"suffix":""},{"dropping-particle":"","family":"Palma","given":"Giovanni Domenico","non-dropping-particle":"De","parse-names":false,"suffix":""},{"dropping-particle":"","family":"Salvatore","given":"Marco","non-dropping-particle":"","parse-names":false,"suffix":""},{"dropping-particle":"","family":"Pace","given":"Leonardo","non-dropping-particle":"","parse-names":false,"suffix":""}],"container-title":"World journal of gastroenterology","id":"ITEM-5","issue":"11","issued":{"date-parts":[["2011","3","21"]]},"page":"1427-33","title":"Colorectal cancer and 18FDG-PET/CT: what about adding the T to the N parameter in loco-regional staging?","type":"article-journal","volume":"17"},"uris":["http://www.mendeley.com/documents/?uuid=194d41fb-5b96-4af1-b3d3-d5a2fa013425"]}],"mendeley":{"formattedCitation":"&lt;sup&gt;[43–47]&lt;/sup&gt;","plainTextFormattedCitation":"[43–47]","previouslyFormattedCitation":"&lt;sup&gt;[43–47]&lt;/sup&gt;"},"properties":{"noteIndex":0},"schema":"https://github.com/citation-style-language/schema/raw/master/csl-citation.json"}</w:instrText>
      </w:r>
      <w:r w:rsidR="00A75298" w:rsidRPr="009D7554">
        <w:rPr>
          <w:rFonts w:ascii="Book Antiqua" w:hAnsi="Book Antiqua"/>
          <w:lang w:val="en-US"/>
        </w:rPr>
        <w:fldChar w:fldCharType="separate"/>
      </w:r>
      <w:r w:rsidR="000D56F8" w:rsidRPr="009D7554">
        <w:rPr>
          <w:rFonts w:ascii="Book Antiqua" w:hAnsi="Book Antiqua"/>
          <w:vertAlign w:val="superscript"/>
          <w:lang w:val="en-US"/>
        </w:rPr>
        <w:t>[43–47]</w:t>
      </w:r>
      <w:r w:rsidR="00A75298" w:rsidRPr="009D7554">
        <w:rPr>
          <w:rFonts w:ascii="Book Antiqua" w:hAnsi="Book Antiqua"/>
          <w:lang w:val="en-US"/>
        </w:rPr>
        <w:fldChar w:fldCharType="end"/>
      </w:r>
      <w:r w:rsidR="001F0F25" w:rsidRPr="009D7554">
        <w:rPr>
          <w:rFonts w:ascii="Book Antiqua" w:hAnsi="Book Antiqua"/>
          <w:lang w:val="en-US"/>
        </w:rPr>
        <w:t>;</w:t>
      </w:r>
      <w:r w:rsidR="00B32A18" w:rsidRPr="009D7554">
        <w:rPr>
          <w:rFonts w:ascii="Book Antiqua" w:hAnsi="Book Antiqua"/>
          <w:lang w:val="en-US"/>
        </w:rPr>
        <w:t xml:space="preserve"> however</w:t>
      </w:r>
      <w:r w:rsidR="001F0F25" w:rsidRPr="009D7554">
        <w:rPr>
          <w:rFonts w:ascii="Book Antiqua" w:hAnsi="Book Antiqua"/>
          <w:lang w:val="en-US"/>
        </w:rPr>
        <w:t>,</w:t>
      </w:r>
      <w:r w:rsidR="00B32A18" w:rsidRPr="009D7554">
        <w:rPr>
          <w:rFonts w:ascii="Book Antiqua" w:hAnsi="Book Antiqua"/>
          <w:lang w:val="en-US"/>
        </w:rPr>
        <w:t xml:space="preserve"> this approach is still highly debated.</w:t>
      </w:r>
    </w:p>
    <w:p w:rsidR="004E768B" w:rsidRPr="009D7554" w:rsidRDefault="004E768B" w:rsidP="006A253E">
      <w:pPr>
        <w:widowControl w:val="0"/>
        <w:autoSpaceDE w:val="0"/>
        <w:autoSpaceDN w:val="0"/>
        <w:adjustRightInd w:val="0"/>
        <w:snapToGrid w:val="0"/>
        <w:spacing w:line="360" w:lineRule="auto"/>
        <w:jc w:val="both"/>
        <w:rPr>
          <w:rFonts w:ascii="Book Antiqua" w:hAnsi="Book Antiqua"/>
          <w:b/>
          <w:bCs/>
          <w:iCs/>
          <w:lang w:val="en-US"/>
        </w:rPr>
      </w:pPr>
    </w:p>
    <w:p w:rsidR="004E768B" w:rsidRPr="009D7554" w:rsidRDefault="00335B08"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DWI with ADC maps</w:t>
      </w:r>
      <w:r w:rsidR="00B12A46" w:rsidRPr="009D7554">
        <w:rPr>
          <w:rFonts w:ascii="Book Antiqua" w:eastAsia="等线" w:hAnsi="Book Antiqua" w:hint="eastAsia"/>
          <w:b/>
          <w:lang w:val="en-US" w:eastAsia="zh-CN"/>
        </w:rPr>
        <w:t>:</w:t>
      </w:r>
      <w:r w:rsidR="00B12A46" w:rsidRPr="009D7554">
        <w:rPr>
          <w:rFonts w:ascii="Book Antiqua" w:eastAsia="等线" w:hAnsi="Book Antiqua"/>
          <w:b/>
          <w:lang w:val="en-US" w:eastAsia="zh-CN"/>
        </w:rPr>
        <w:t xml:space="preserve"> </w:t>
      </w:r>
      <w:r w:rsidR="004E768B" w:rsidRPr="009D7554">
        <w:rPr>
          <w:rFonts w:ascii="Book Antiqua" w:hAnsi="Book Antiqua"/>
          <w:bCs/>
          <w:lang w:val="en-US"/>
        </w:rPr>
        <w:t>Quantitative ADC values extracted from DWI have been proposed as tools to differentiate between benign and malignant lymph nodes; however, their role remains unclear in this setting. Heijnen</w:t>
      </w:r>
      <w:r w:rsidR="004E768B" w:rsidRPr="009D7554">
        <w:rPr>
          <w:rFonts w:ascii="Book Antiqua" w:hAnsi="Book Antiqua"/>
          <w:i/>
          <w:lang w:val="en-US"/>
        </w:rPr>
        <w:t xml:space="preserve"> 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{"citationItems":[{"id":"ITEM-1","itemData":{"DOI":"10.1007/s00330-013-2952-5","ISSN":"1432-1084","PMID":"23821022","abstract":"OBJECTIVES To evaluate the performance of diffusion-weighted MRI (DWI) for the detection of lymph nodes and for differentiating between benign and metastatic nodes during primary rectal cancer staging. METHODS Twenty-one patients underwent 1.5-T MRI followed by surgery (± preoperative 5 × 5 Gy). Imaging consisted of T2-weighted MRI, DWI (b0, 500, 1000), and 3DT1-weighted MRI with 1-mm isotropic voxels. The latter was used for accurate detection and per lesion histological validation of nodes. Two independent readers analysed the signal intensity on DWI and measured the mean apparent diffusion coefficient (ADC) for each node (ADCnode) and the ADC of each node relative to the mean tumour ADC (ADCrel). RESULTS DWI detected 6 % more nodes than T2W-MRI. The signal on DWI was not accurate for the differentiation of metastatic nodes (AUC 0.45-0.50). Interobserver reproducibility for the nodal ADC measurements was excellent (ICC 0.93). Mean ADCnode was higher for benign than for malignant nodes (1.15 ± 0.24 vs. 1.04 ± 0.22 *10(-3) mm(2)/s), though not statistically significant (P = 0.10). Area under the ROC curve/sensitivity/specificity for the assessment of metastatic nodes were 0.64/67 %/60 % for ADCnode and 0.67/75 %/61 % for ADCrel. CONCLUSIONS DWI can facilitate lymph node detection, but alone it is not reliable for differentiating between benign and malignant lymph nodes.","author":[{"dropping-particle":"","family":"Heijnen","given":"Luc A","non-dropping-particle":"","parse-names":false,"suffix":""},{"dropping-particle":"","family":"Lambregts","given":"Doenja M J","non-dropping-particle":"","parse-names":false,"suffix":""},{"dropping-particle":"","family":"Mondal","given":"Dipanjali","non-dropping-particle":"","parse-names":false,"suffix":""},{"dropping-particle":"","family":"Martens","given":"Milou H","non-dropping-particle":"","parse-names":false,"suffix":""},{"dropping-particle":"","family":"Riedl","given":"Robert G","non-dropping-particle":"","parse-names":false,"suffix":""},{"dropping-particle":"","family":"Beets","given":"Geerard L","non-dropping-particle":"","parse-names":false,"suffix":""},{"dropping-particle":"","family":"Beets-Tan","given":"Regina G H","non-dropping-particle":"","parse-names":false,"suffix":""}],"container-title":"European radiology","id":"ITEM-1","issue":"12","issued":{"date-parts":[["2013","12"]]},"page":"3354-60","title":"Diffusion-weighted MR imaging in primary rectal cancer staging demonstrates but does not characterise lymph nodes.","type":"article-journal","volume":"23"},"uris":["http://www.mendeley.com/documents/?uuid=e8db489a-80ab-4395-8223-1574607c2999"]}],"mendeley":{"formattedCitation":"&lt;sup&gt;[48]&lt;/sup&gt;","plainTextFormattedCitation":"[48]","previouslyFormattedCitation":"&lt;sup&gt;[48]&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[48]</w:t>
      </w:r>
      <w:r w:rsidR="00A75298" w:rsidRPr="009D7554">
        <w:rPr>
          <w:rFonts w:ascii="Book Antiqua" w:hAnsi="Book Antiqua"/>
          <w:i/>
          <w:lang w:val="en-US"/>
        </w:rPr>
        <w:fldChar w:fldCharType="end"/>
      </w:r>
      <w:r w:rsidR="00971376" w:rsidRPr="009D7554">
        <w:rPr>
          <w:rFonts w:ascii="Book Antiqua" w:hAnsi="Book Antiqua"/>
          <w:i/>
          <w:lang w:val="en-US"/>
        </w:rPr>
        <w:t xml:space="preserve"> </w:t>
      </w:r>
      <w:r w:rsidR="004E768B" w:rsidRPr="009D7554">
        <w:rPr>
          <w:rFonts w:ascii="Book Antiqua" w:hAnsi="Book Antiqua"/>
          <w:lang w:val="en-US"/>
        </w:rPr>
        <w:t xml:space="preserve">reported that DWI can facilitate lymph node detection during </w:t>
      </w:r>
      <w:r w:rsidR="00111155" w:rsidRPr="009D7554">
        <w:rPr>
          <w:rFonts w:ascii="Book Antiqua" w:hAnsi="Book Antiqua"/>
          <w:lang w:val="en-US"/>
        </w:rPr>
        <w:t xml:space="preserve">the </w:t>
      </w:r>
      <w:r w:rsidR="004E768B" w:rsidRPr="009D7554">
        <w:rPr>
          <w:rFonts w:ascii="Book Antiqua" w:hAnsi="Book Antiqua"/>
          <w:lang w:val="en-US"/>
        </w:rPr>
        <w:t xml:space="preserve">primary staging of RC, but although the ADCmean value </w:t>
      </w:r>
      <w:r w:rsidR="00111155" w:rsidRPr="009D7554">
        <w:rPr>
          <w:rFonts w:ascii="Book Antiqua" w:hAnsi="Book Antiqua"/>
          <w:lang w:val="en-US"/>
        </w:rPr>
        <w:t xml:space="preserve">was </w:t>
      </w:r>
      <w:r w:rsidR="004E768B" w:rsidRPr="009D7554">
        <w:rPr>
          <w:rFonts w:ascii="Book Antiqua" w:hAnsi="Book Antiqua"/>
          <w:lang w:val="en-US"/>
        </w:rPr>
        <w:t xml:space="preserve">higher for benign </w:t>
      </w:r>
      <w:r w:rsidR="00111155" w:rsidRPr="009D7554">
        <w:rPr>
          <w:rFonts w:ascii="Book Antiqua" w:hAnsi="Book Antiqua"/>
          <w:lang w:val="en-US"/>
        </w:rPr>
        <w:t xml:space="preserve">nodes </w:t>
      </w:r>
      <w:r w:rsidR="004E768B" w:rsidRPr="009D7554">
        <w:rPr>
          <w:rFonts w:ascii="Book Antiqua" w:hAnsi="Book Antiqua"/>
          <w:lang w:val="en-US"/>
        </w:rPr>
        <w:t xml:space="preserve">compared to malignant nodes (1.15 </w:t>
      </w:r>
      <w:r w:rsidR="00DE54AE" w:rsidRPr="009D7554">
        <w:rPr>
          <w:rFonts w:ascii="Book Antiqua" w:hAnsi="Book Antiqua"/>
          <w:lang w:val="en-US"/>
        </w:rPr>
        <w:t>×</w:t>
      </w:r>
      <w:r w:rsidR="004E768B" w:rsidRPr="009D7554">
        <w:rPr>
          <w:rFonts w:ascii="Book Antiqua" w:hAnsi="Book Antiqua"/>
          <w:lang w:val="en-US"/>
        </w:rPr>
        <w:t xml:space="preserve"> 10</w:t>
      </w:r>
      <w:r w:rsidR="004E768B" w:rsidRPr="009D7554">
        <w:rPr>
          <w:rFonts w:ascii="Book Antiqua" w:hAnsi="Book Antiqua"/>
          <w:vertAlign w:val="superscript"/>
          <w:lang w:val="en-US"/>
        </w:rPr>
        <w:t>-3</w:t>
      </w:r>
      <w:r w:rsidR="004E768B" w:rsidRPr="009D7554">
        <w:rPr>
          <w:rFonts w:ascii="Book Antiqua" w:hAnsi="Book Antiqua"/>
          <w:lang w:val="en-US"/>
        </w:rPr>
        <w:t xml:space="preserve"> mm</w:t>
      </w:r>
      <w:r w:rsidR="004E768B" w:rsidRPr="009D7554">
        <w:rPr>
          <w:rFonts w:ascii="Book Antiqua" w:hAnsi="Book Antiqua"/>
          <w:vertAlign w:val="superscript"/>
          <w:lang w:val="en-US"/>
        </w:rPr>
        <w:t>2</w:t>
      </w:r>
      <w:r w:rsidR="004E768B" w:rsidRPr="009D7554">
        <w:rPr>
          <w:rFonts w:ascii="Book Antiqua" w:hAnsi="Book Antiqua"/>
          <w:lang w:val="en-US"/>
        </w:rPr>
        <w:t xml:space="preserve">/s </w:t>
      </w:r>
      <w:r w:rsidR="004E768B" w:rsidRPr="009D7554">
        <w:rPr>
          <w:rFonts w:ascii="Book Antiqua" w:hAnsi="Book Antiqua"/>
          <w:i/>
          <w:iCs/>
          <w:lang w:val="en-US"/>
        </w:rPr>
        <w:t>vs</w:t>
      </w:r>
      <w:r w:rsidR="004E768B" w:rsidRPr="009D7554">
        <w:rPr>
          <w:rFonts w:ascii="Book Antiqua" w:hAnsi="Book Antiqua"/>
          <w:lang w:val="en-US"/>
        </w:rPr>
        <w:t xml:space="preserve"> 1.04 </w:t>
      </w:r>
      <w:r w:rsidR="00DE54AE" w:rsidRPr="009D7554">
        <w:rPr>
          <w:rFonts w:ascii="Book Antiqua" w:hAnsi="Book Antiqua"/>
          <w:lang w:val="en-US"/>
        </w:rPr>
        <w:t xml:space="preserve">× </w:t>
      </w:r>
      <w:r w:rsidR="004E768B" w:rsidRPr="009D7554">
        <w:rPr>
          <w:rFonts w:ascii="Book Antiqua" w:hAnsi="Book Antiqua"/>
          <w:lang w:val="en-US"/>
        </w:rPr>
        <w:t>10</w:t>
      </w:r>
      <w:r w:rsidR="004E768B" w:rsidRPr="009D7554">
        <w:rPr>
          <w:rFonts w:ascii="Book Antiqua" w:hAnsi="Book Antiqua"/>
          <w:vertAlign w:val="superscript"/>
          <w:lang w:val="en-US"/>
        </w:rPr>
        <w:t>-3</w:t>
      </w:r>
      <w:r w:rsidR="004E768B" w:rsidRPr="009D7554">
        <w:rPr>
          <w:rFonts w:ascii="Book Antiqua" w:hAnsi="Book Antiqua"/>
          <w:lang w:val="en-US"/>
        </w:rPr>
        <w:t xml:space="preserve"> mm</w:t>
      </w:r>
      <w:r w:rsidR="004E768B" w:rsidRPr="009D7554">
        <w:rPr>
          <w:rFonts w:ascii="Book Antiqua" w:hAnsi="Book Antiqua"/>
          <w:vertAlign w:val="superscript"/>
          <w:lang w:val="en-US"/>
        </w:rPr>
        <w:t>2</w:t>
      </w:r>
      <w:r w:rsidR="00971376" w:rsidRPr="009D7554">
        <w:rPr>
          <w:rFonts w:ascii="Book Antiqua" w:hAnsi="Book Antiqua"/>
          <w:bCs/>
          <w:lang w:val="en-US"/>
        </w:rPr>
        <w:t xml:space="preserve">/s), the difference was not statistically significant. Lambregts </w:t>
      </w:r>
      <w:r w:rsidR="004E768B"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{"citationItems":[{"id":"ITEM-1","itemData":{"DOI":"10.1007/s00330-010-1937-x","ISSN":"1432-1084","PMID":"20730540","abstract":"OBJECTIVES To evaluate the performance of diffusion-weighted MRI (DWI) in addition to T2-weighted (T2W) MRI for nodal restaging after chemoradiation in rectal cancer. METHODS Thirty patients underwent chemoradiation followed by MRI (1.5 T) and surgery. Imaging consisted of T2W-MRI and DWI (b0, 500, 1000). On T2W-MRI, nodes were scored as benign/malignant by two independent readers (R1, R2). Mean apparent diffusion coefficient (ADC) was measured for each node. Diagnostic performance was compared for T2W-MRI, ADC and T2W+ADC, using a per lesion histological validation. RESULTS ADC was higher for the malignant nodes (1.43 ± 0.38 vs 1.19 ± 0.27 *10</w:instrText>
      </w:r>
      <w:r w:rsidR="006821F4" w:rsidRPr="009D7554">
        <w:rPr>
          <w:rFonts w:ascii="Book Antiqua" w:hAnsi="Cambria Math" w:cs="Cambria Math"/>
          <w:i/>
          <w:lang w:val="en-US"/>
        </w:rPr>
        <w:instrText>⁻</w:instrText>
      </w:r>
      <w:r w:rsidR="006821F4" w:rsidRPr="009D7554">
        <w:rPr>
          <w:rFonts w:ascii="Book Antiqua" w:hAnsi="Book Antiqua"/>
          <w:i/>
          <w:lang w:val="en-US"/>
        </w:rPr>
        <w:instrText>³ mm²/s, p &lt; 0.001). Area under the ROC curve/sensitivity/specificity were 0.88/65%/93% (R1) and 0.95/71%/91% (R2) using T2W-MRI; 0.66/53%/82% using ADC (mean of two readers); and 0.91/56%/98% (R1) and 0.96/56%/99% (R2) using T2W+ADC. There was no significant difference between T2W-MRI and T2W+ADC. Interobserver reproducibility was good for T2W-MRI (κ0.73) and ADC (intraclass correlation coefficient 0.77). CONCLUSIONS After chemoradiation, ADC measurements may have potential for nodal characterisation, but DWI on its own is not reliable. Addition of DWI to T2W-MRI does not improve accuracy and T2W-MRI is already sufficiently accurate.","author":[{"dropping-particle":"","family":"Lambregts","given":"Doenja M J","non-dropping-particle":"","parse-names":false,"suffix":""},{"dropping-particle":"","family":"Maas","given":"Monique","non-dropping-particle":"","parse-names":false,"suffix":""},{"dropping-particle":"","family":"Riedl","given":"Robert G","non-dropping-particle":"","parse-names":false,"suffix":""},{"dropping-particle":"","family":"Bakers","given":"Frans C H","non-dropping-particle":"","parse-names":false,"suffix":""},{"dropping-particle":"","family":"Verwoerd","given":"Jan L","non-dropping-particle":"","parse-names":false,"suffix":""},{"dropping-particle":"","family":"Kessels","given":"Alfons G H","non-dropping-particle":"","parse-names":false,"suffix":""},{"dropping-particle":"","family":"Lammering","given":"Guido","non-dropping-particle":"","parse-names":false,"suffix":""},{"dropping-particle":"","family":"Boetes","given":"Carla","non-dropping-particle":"","parse-names":false,"suffix":""},{"dropping-particle":"","family":"Beets","given":"Geerard L","non-dropping-particle":"","parse-names":false,"suffix":""},{"dropping-particle":"","family":"Beets-Tan","given":"Regina G H","non-dropping-particle":"","parse-names":false,"suffix":""}],"container-title":"European radiology","id":"ITEM-1","issue":"2","issued":{"date-parts":[["2011","2"]]},"page":"265-73","title":"Value of ADC measurements for nodal staging after chemoradiation in locally advanced rectal cancer-a per lesion validation study.","type":"article-journal","volume":"21"},"uris":["http://www.mendeley.com/documents/?uuid=98a4965c-acdf-4165-96fd-6c815e9c79e4"]}],"mendeley":{"formattedCitation":"&lt;sup&gt;[49]&lt;/sup&gt;","plainTextFormattedCitation":"[49]","previouslyFormattedCitation":"&lt;sup&gt;[49]&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[49]</w:t>
      </w:r>
      <w:r w:rsidR="00A75298" w:rsidRPr="009D7554">
        <w:rPr>
          <w:rFonts w:ascii="Book Antiqua" w:hAnsi="Book Antiqua"/>
          <w:i/>
          <w:lang w:val="en-US"/>
        </w:rPr>
        <w:fldChar w:fldCharType="end"/>
      </w:r>
      <w:r w:rsidR="00971376" w:rsidRPr="009D7554">
        <w:rPr>
          <w:rFonts w:ascii="Book Antiqua" w:hAnsi="Book Antiqua"/>
          <w:i/>
          <w:lang w:val="en-US"/>
        </w:rPr>
        <w:t xml:space="preserve"> </w:t>
      </w:r>
      <w:r w:rsidR="004E768B" w:rsidRPr="009D7554">
        <w:rPr>
          <w:rFonts w:ascii="Book Antiqua" w:eastAsia="Calibri" w:hAnsi="Book Antiqua"/>
          <w:lang w:val="en-US"/>
        </w:rPr>
        <w:t xml:space="preserve">assessed the performance of </w:t>
      </w:r>
      <w:r w:rsidR="004E768B" w:rsidRPr="009D7554">
        <w:rPr>
          <w:rFonts w:ascii="Book Antiqua" w:hAnsi="Book Antiqua"/>
          <w:lang w:val="en-US"/>
        </w:rPr>
        <w:t>ADC</w:t>
      </w:r>
      <w:r w:rsidR="004E768B" w:rsidRPr="009D7554">
        <w:rPr>
          <w:rFonts w:ascii="Book Antiqua" w:eastAsia="Calibri" w:hAnsi="Book Antiqua"/>
          <w:lang w:val="en-US"/>
        </w:rPr>
        <w:t xml:space="preserve"> measurements for nodal restaging </w:t>
      </w:r>
      <w:r w:rsidR="004E768B" w:rsidRPr="009D7554">
        <w:rPr>
          <w:rFonts w:ascii="Book Antiqua" w:hAnsi="Book Antiqua"/>
          <w:lang w:val="en-US"/>
        </w:rPr>
        <w:t>in patients with RC undergoing preoperative CRT.</w:t>
      </w:r>
      <w:r w:rsidR="004E768B" w:rsidRPr="009D7554">
        <w:rPr>
          <w:rFonts w:ascii="Book Antiqua" w:eastAsia="Calibri" w:hAnsi="Book Antiqua"/>
          <w:lang w:val="en-US"/>
        </w:rPr>
        <w:t xml:space="preserve"> The </w:t>
      </w:r>
      <w:r w:rsidR="001F0F25" w:rsidRPr="009D7554">
        <w:rPr>
          <w:rFonts w:ascii="Book Antiqua" w:eastAsia="Calibri" w:hAnsi="Book Antiqua"/>
          <w:lang w:val="en-US"/>
        </w:rPr>
        <w:t>authors</w:t>
      </w:r>
      <w:r w:rsidR="004E768B" w:rsidRPr="009D7554">
        <w:rPr>
          <w:rFonts w:ascii="Book Antiqua" w:eastAsia="Calibri" w:hAnsi="Book Antiqua"/>
          <w:lang w:val="en-US"/>
        </w:rPr>
        <w:t xml:space="preserve"> reported that </w:t>
      </w:r>
      <w:r w:rsidR="004E768B" w:rsidRPr="009D7554">
        <w:rPr>
          <w:rFonts w:ascii="Book Antiqua" w:hAnsi="Book Antiqua"/>
          <w:lang w:val="en-US"/>
        </w:rPr>
        <w:t xml:space="preserve">the ADCmean value of malignant lymph </w:t>
      </w:r>
      <w:r w:rsidR="001F0F25" w:rsidRPr="009D7554">
        <w:rPr>
          <w:rFonts w:ascii="Book Antiqua" w:hAnsi="Book Antiqua"/>
          <w:lang w:val="en-US"/>
        </w:rPr>
        <w:t>nodes</w:t>
      </w:r>
      <w:r w:rsidR="004E768B" w:rsidRPr="009D7554">
        <w:rPr>
          <w:rFonts w:ascii="Book Antiqua" w:hAnsi="Book Antiqua"/>
          <w:lang w:val="en-US"/>
        </w:rPr>
        <w:t xml:space="preserve"> after CRT </w:t>
      </w:r>
      <w:r w:rsidR="00E61542" w:rsidRPr="009D7554">
        <w:rPr>
          <w:rFonts w:ascii="Book Antiqua" w:hAnsi="Book Antiqua"/>
          <w:lang w:val="en-US"/>
        </w:rPr>
        <w:t xml:space="preserve">was </w:t>
      </w:r>
      <w:r w:rsidR="004E768B" w:rsidRPr="009D7554">
        <w:rPr>
          <w:rFonts w:ascii="Book Antiqua" w:hAnsi="Book Antiqua"/>
          <w:lang w:val="en-US"/>
        </w:rPr>
        <w:t xml:space="preserve">significantly higher compared to </w:t>
      </w:r>
      <w:r w:rsidR="00E61542" w:rsidRPr="009D7554">
        <w:rPr>
          <w:rFonts w:ascii="Book Antiqua" w:hAnsi="Book Antiqua"/>
          <w:lang w:val="en-US"/>
        </w:rPr>
        <w:t xml:space="preserve">that of </w:t>
      </w:r>
      <w:r w:rsidR="004E768B" w:rsidRPr="009D7554">
        <w:rPr>
          <w:rFonts w:ascii="Book Antiqua" w:hAnsi="Book Antiqua"/>
          <w:lang w:val="en-US"/>
        </w:rPr>
        <w:t xml:space="preserve">benign lymph nodes (1.43 </w:t>
      </w:r>
      <w:r w:rsidR="00DE54AE" w:rsidRPr="009D7554">
        <w:rPr>
          <w:rFonts w:ascii="Book Antiqua" w:hAnsi="Book Antiqua"/>
          <w:lang w:val="en-US"/>
        </w:rPr>
        <w:t xml:space="preserve">× </w:t>
      </w:r>
      <w:r w:rsidR="004E768B" w:rsidRPr="009D7554">
        <w:rPr>
          <w:rFonts w:ascii="Book Antiqua" w:hAnsi="Book Antiqua"/>
          <w:lang w:val="en-US"/>
        </w:rPr>
        <w:t>10</w:t>
      </w:r>
      <w:r w:rsidR="004E768B" w:rsidRPr="009D7554">
        <w:rPr>
          <w:rFonts w:ascii="Book Antiqua" w:hAnsi="Book Antiqua"/>
          <w:vertAlign w:val="superscript"/>
          <w:lang w:val="en-US"/>
        </w:rPr>
        <w:t>-3</w:t>
      </w:r>
      <w:r w:rsidR="004E768B" w:rsidRPr="009D7554">
        <w:rPr>
          <w:rFonts w:ascii="Book Antiqua" w:hAnsi="Book Antiqua"/>
          <w:lang w:val="en-US"/>
        </w:rPr>
        <w:t xml:space="preserve"> mm</w:t>
      </w:r>
      <w:r w:rsidR="004E768B" w:rsidRPr="009D7554">
        <w:rPr>
          <w:rFonts w:ascii="Book Antiqua" w:hAnsi="Book Antiqua"/>
          <w:vertAlign w:val="superscript"/>
          <w:lang w:val="en-US"/>
        </w:rPr>
        <w:t>2</w:t>
      </w:r>
      <w:r w:rsidR="004E768B" w:rsidRPr="009D7554">
        <w:rPr>
          <w:rFonts w:ascii="Book Antiqua" w:hAnsi="Book Antiqua"/>
          <w:lang w:val="en-US"/>
        </w:rPr>
        <w:t xml:space="preserve">/s </w:t>
      </w:r>
      <w:r w:rsidR="009A70D4" w:rsidRPr="009D7554">
        <w:rPr>
          <w:rFonts w:ascii="Book Antiqua" w:hAnsi="Book Antiqua"/>
          <w:lang w:val="en-US"/>
        </w:rPr>
        <w:t>±</w:t>
      </w:r>
      <w:r w:rsidR="004E768B" w:rsidRPr="009D7554">
        <w:rPr>
          <w:rFonts w:ascii="Book Antiqua" w:hAnsi="Book Antiqua"/>
          <w:lang w:val="en-US"/>
        </w:rPr>
        <w:t xml:space="preserve"> 0.38</w:t>
      </w:r>
      <w:r w:rsidR="004E768B" w:rsidRPr="009D7554">
        <w:rPr>
          <w:rFonts w:ascii="Book Antiqua" w:hAnsi="Book Antiqua"/>
          <w:i/>
          <w:iCs/>
          <w:lang w:val="en-US"/>
        </w:rPr>
        <w:t xml:space="preserve"> vs</w:t>
      </w:r>
      <w:r w:rsidR="004E768B" w:rsidRPr="009D7554">
        <w:rPr>
          <w:rFonts w:ascii="Book Antiqua" w:hAnsi="Book Antiqua"/>
          <w:lang w:val="en-US"/>
        </w:rPr>
        <w:t xml:space="preserve"> 1.19 </w:t>
      </w:r>
      <w:r w:rsidR="00DE54AE" w:rsidRPr="009D7554">
        <w:rPr>
          <w:rFonts w:ascii="Book Antiqua" w:hAnsi="Book Antiqua"/>
          <w:lang w:val="en-US"/>
        </w:rPr>
        <w:t xml:space="preserve">× </w:t>
      </w:r>
      <w:r w:rsidR="004E768B" w:rsidRPr="009D7554">
        <w:rPr>
          <w:rFonts w:ascii="Book Antiqua" w:hAnsi="Book Antiqua"/>
          <w:lang w:val="en-US"/>
        </w:rPr>
        <w:t>10</w:t>
      </w:r>
      <w:r w:rsidR="004E768B" w:rsidRPr="009D7554">
        <w:rPr>
          <w:rFonts w:ascii="Book Antiqua" w:hAnsi="Book Antiqua"/>
          <w:vertAlign w:val="superscript"/>
          <w:lang w:val="en-US"/>
        </w:rPr>
        <w:t>-3</w:t>
      </w:r>
      <w:r w:rsidR="004E768B" w:rsidRPr="009D7554">
        <w:rPr>
          <w:rFonts w:ascii="Book Antiqua" w:hAnsi="Book Antiqua"/>
          <w:lang w:val="en-US"/>
        </w:rPr>
        <w:t xml:space="preserve"> mm</w:t>
      </w:r>
      <w:r w:rsidR="004E768B" w:rsidRPr="009D7554">
        <w:rPr>
          <w:rFonts w:ascii="Book Antiqua" w:hAnsi="Book Antiqua"/>
          <w:vertAlign w:val="superscript"/>
          <w:lang w:val="en-US"/>
        </w:rPr>
        <w:t>2</w:t>
      </w:r>
      <w:r w:rsidR="004E768B" w:rsidRPr="009D7554">
        <w:rPr>
          <w:rFonts w:ascii="Book Antiqua" w:hAnsi="Book Antiqua"/>
          <w:lang w:val="en-US"/>
        </w:rPr>
        <w:t>/s</w:t>
      </w:r>
      <w:r w:rsidR="00B12A46" w:rsidRPr="009D7554">
        <w:rPr>
          <w:rFonts w:ascii="Book Antiqua" w:hAnsi="Book Antiqua"/>
          <w:lang w:val="en-US"/>
        </w:rPr>
        <w:t xml:space="preserve"> </w:t>
      </w:r>
      <w:r w:rsidR="009A70D4" w:rsidRPr="009D7554">
        <w:rPr>
          <w:rFonts w:ascii="Book Antiqua" w:hAnsi="Book Antiqua"/>
          <w:lang w:val="en-US"/>
        </w:rPr>
        <w:t>±</w:t>
      </w:r>
      <w:r w:rsidR="00B12A46" w:rsidRPr="009D7554">
        <w:rPr>
          <w:rFonts w:ascii="Book Antiqua" w:hAnsi="Book Antiqua"/>
          <w:lang w:val="en-US"/>
        </w:rPr>
        <w:t xml:space="preserve"> </w:t>
      </w:r>
      <w:r w:rsidR="004E768B" w:rsidRPr="009D7554">
        <w:rPr>
          <w:rFonts w:ascii="Book Antiqua" w:hAnsi="Book Antiqua"/>
          <w:lang w:val="en-US"/>
        </w:rPr>
        <w:t>0.27)</w:t>
      </w:r>
      <w:r w:rsidR="00A75298" w:rsidRPr="009D7554">
        <w:rPr>
          <w:rFonts w:ascii="Book Antiqua" w:hAnsi="Book Antiqua"/>
          <w:lang w:val="en-US"/>
        </w:rPr>
        <w:fldChar w:fldCharType="begin" w:fldLock="1"/>
      </w:r>
      <w:r w:rsidR="006821F4" w:rsidRPr="009D7554">
        <w:rPr>
          <w:rFonts w:ascii="Book Antiqua" w:hAnsi="Book Antiqua"/>
          <w:lang w:val="en-US"/>
        </w:rPr>
        <w:instrText>ADDIN CSL_CITATION {"citationItems":[{"id":"ITEM-1","itemData":{"DOI":"10.1007/s00330-010-1937-x","ISSN":"1432-1084","PMID":"20730540","abstract":"OBJECTIVES To evaluate the performance of diffusion-weighted MRI (DWI) in addition to T2-weighted (T2W) MRI for nodal restaging after chemoradiation in rectal cancer. METHODS Thirty patients underwent chemoradiation followed by MRI (1.5 T) and surgery. Imaging consisted of T2W-MRI and DWI (b0, 500, 1000). On T2W-MRI, nodes were scored as benign/malignant by two independent readers (R1, R2). Mean apparent diffusion coefficient (ADC) was measured for each node. Diagnostic performance was compared for T2W-MRI, ADC and T2W+ADC, using a per lesion histological validation. RESULTS ADC was higher for the malignant nodes (1.43 ± 0.38 vs 1.19 ± 0.27 *10</w:instrText>
      </w:r>
      <w:r w:rsidR="006821F4" w:rsidRPr="009D7554">
        <w:rPr>
          <w:rFonts w:ascii="Book Antiqua" w:hAnsi="Cambria Math" w:cs="Cambria Math"/>
          <w:lang w:val="en-US"/>
        </w:rPr>
        <w:instrText>⁻</w:instrText>
      </w:r>
      <w:r w:rsidR="006821F4" w:rsidRPr="009D7554">
        <w:rPr>
          <w:rFonts w:ascii="Book Antiqua" w:hAnsi="Book Antiqua"/>
          <w:lang w:val="en-US"/>
        </w:rPr>
        <w:instrText>³ mm²/s, p &lt; 0.001). Area under the ROC curve/sensitivity/specificity were 0.88/65%/93% (R1) and 0.95/71%/91% (R2) using T2W-MRI; 0.66/53%/82% using ADC (mean of two readers); and 0.91/56%/98% (R1) and 0.96/56%/99% (R2) using T2W+ADC. There was no significant difference between T2W-MRI and T2W+ADC. Interobserver reproducibility was good for T2W-MRI (κ0.73) and ADC (intraclass correlation coefficient 0.77). CONCLUSIONS After chemoradiation, ADC measurements may have potential for nodal characterisation, but DWI on its own is not reliable. Addition of DWI to T2W-MRI does not improve accuracy and T2W-MRI is already sufficiently accurate.","author":[{"dropping-particle":"","family":"Lambregts","given":"Doenja M J","non-dropping-particle":"","parse-names":false,"suffix":""},{"dropping-particle":"","family":"Maas","given":"Monique","non-dropping-particle":"","parse-names":false,"suffix":""},{"dropping-particle":"","family":"Riedl","given":"Robert G","non-dropping-particle":"","parse-names":false,"suffix":""},{"dropping-particle":"","family":"Bakers","given":"Frans C H","non-dropping-particle":"","parse-names":false,"suffix":""},{"dropping-particle":"","family":"Verwoerd","given":"Jan L","non-dropping-particle":"","parse-names":false,"suffix":""},{"dropping-particle":"","family":"Kessels","given":"Alfons G H","non-dropping-particle":"","parse-names":false,"suffix":""},{"dropping-particle":"","family":"Lammering","given":"Guido","non-dropping-particle":"","parse-names":false,"suffix":""},{"dropping-particle":"","family":"Boetes","given":"Carla","non-dropping-particle":"","parse-names":false,"suffix":""},{"dropping-particle":"","family":"Beets","given":"Geerard L","non-dropping-particle":"","parse-names":false,"suffix":""},{"dropping-particle":"","family":"Beets-Tan","given":"Regina G H","non-dropping-particle":"","parse-names":false,"suffix":""}],"container-title":"European radiology","id":"ITEM-1","issue":"2","issued":{"date-parts":[["2011","2"]]},"page":"265-73","title":"Value of ADC measurements for nodal staging after chemoradiation in locally advanced rectal cancer-a per lesion validation study.","type":"article-journal","volume":"21"},"uris":["http://www.mendeley.com/documents/?uuid=98a4965c-acdf-4165-96fd-6c815e9c79e4"]}],"mendeley":{"formattedCitation":"&lt;sup&gt;[49]&lt;/sup&gt;","plainTextFormattedCitation":"[49]","previouslyFormattedCitation":"&lt;sup&gt;[49]&lt;/sup&gt;"},"properties":{"noteIndex":0},"schema":"https://github.com/citation-style-language/schema/raw/master/csl-citation.json"}</w:instrText>
      </w:r>
      <w:r w:rsidR="00A75298" w:rsidRPr="009D7554">
        <w:rPr>
          <w:rFonts w:ascii="Book Antiqua" w:hAnsi="Book Antiqua"/>
          <w:lang w:val="en-US"/>
        </w:rPr>
        <w:fldChar w:fldCharType="separate"/>
      </w:r>
      <w:r w:rsidR="000D56F8" w:rsidRPr="009D7554">
        <w:rPr>
          <w:rFonts w:ascii="Book Antiqua" w:hAnsi="Book Antiqua"/>
          <w:vertAlign w:val="superscript"/>
          <w:lang w:val="en-US"/>
        </w:rPr>
        <w:t>[49]</w:t>
      </w:r>
      <w:r w:rsidR="00A75298" w:rsidRPr="009D7554">
        <w:rPr>
          <w:rFonts w:ascii="Book Antiqua" w:hAnsi="Book Antiqua"/>
          <w:lang w:val="en-US"/>
        </w:rPr>
        <w:fldChar w:fldCharType="end"/>
      </w:r>
      <w:r w:rsidR="002846A8" w:rsidRPr="009D7554">
        <w:rPr>
          <w:rFonts w:ascii="Book Antiqua" w:hAnsi="Book Antiqua"/>
          <w:lang w:val="en-US"/>
        </w:rPr>
        <w:t xml:space="preserve">. This finding was attributed to the </w:t>
      </w:r>
      <w:r w:rsidR="00E61542" w:rsidRPr="009D7554">
        <w:rPr>
          <w:rFonts w:ascii="Book Antiqua" w:hAnsi="Book Antiqua"/>
          <w:lang w:val="en-US"/>
        </w:rPr>
        <w:t xml:space="preserve">induction of </w:t>
      </w:r>
      <w:r w:rsidR="009A70D4" w:rsidRPr="009D7554">
        <w:rPr>
          <w:rFonts w:ascii="Book Antiqua" w:hAnsi="Book Antiqua"/>
          <w:lang w:val="en-US"/>
        </w:rPr>
        <w:t>postt</w:t>
      </w:r>
      <w:r w:rsidR="002846A8" w:rsidRPr="009D7554">
        <w:rPr>
          <w:rFonts w:ascii="Book Antiqua" w:hAnsi="Book Antiqua"/>
          <w:lang w:val="en-US"/>
        </w:rPr>
        <w:t>reatment necrosis</w:t>
      </w:r>
      <w:r w:rsidR="00E61542" w:rsidRPr="009D7554">
        <w:rPr>
          <w:rFonts w:ascii="Book Antiqua" w:hAnsi="Book Antiqua"/>
          <w:lang w:val="en-US"/>
        </w:rPr>
        <w:t>, which</w:t>
      </w:r>
      <w:r w:rsidR="002846A8" w:rsidRPr="009D7554">
        <w:rPr>
          <w:rFonts w:ascii="Book Antiqua" w:hAnsi="Book Antiqua"/>
          <w:lang w:val="en-US"/>
        </w:rPr>
        <w:t xml:space="preserve"> increases the diffusivity and consequently the ADC value. However, the overlapping of ADC values between benign and malignant nodes </w:t>
      </w:r>
      <w:r w:rsidR="00E61542" w:rsidRPr="009D7554">
        <w:rPr>
          <w:rFonts w:ascii="Book Antiqua" w:hAnsi="Book Antiqua"/>
          <w:lang w:val="en-US"/>
        </w:rPr>
        <w:t>resulted in</w:t>
      </w:r>
      <w:r w:rsidR="002846A8" w:rsidRPr="009D7554">
        <w:rPr>
          <w:rFonts w:ascii="Book Antiqua" w:hAnsi="Book Antiqua"/>
          <w:lang w:val="en-US"/>
        </w:rPr>
        <w:t xml:space="preserve"> insufficient accuracy when ADC values </w:t>
      </w:r>
      <w:r w:rsidR="00E61542" w:rsidRPr="009D7554">
        <w:rPr>
          <w:rFonts w:ascii="Book Antiqua" w:hAnsi="Book Antiqua"/>
          <w:lang w:val="en-US"/>
        </w:rPr>
        <w:t xml:space="preserve">were used </w:t>
      </w:r>
      <w:r w:rsidR="002846A8" w:rsidRPr="009D7554">
        <w:rPr>
          <w:rFonts w:ascii="Book Antiqua" w:hAnsi="Book Antiqua"/>
          <w:lang w:val="en-US"/>
        </w:rPr>
        <w:t>alone for the detection of nodal metastases after CRT.</w:t>
      </w:r>
    </w:p>
    <w:p w:rsidR="002846A8" w:rsidRPr="009D7554" w:rsidRDefault="002846A8" w:rsidP="006A253E">
      <w:pPr>
        <w:widowControl w:val="0"/>
        <w:autoSpaceDE w:val="0"/>
        <w:autoSpaceDN w:val="0"/>
        <w:adjustRightInd w:val="0"/>
        <w:snapToGrid w:val="0"/>
        <w:spacing w:line="360" w:lineRule="auto"/>
        <w:jc w:val="both"/>
        <w:rPr>
          <w:rFonts w:ascii="Book Antiqua" w:hAnsi="Book Antiqua"/>
          <w:lang w:val="en-US"/>
        </w:rPr>
      </w:pPr>
    </w:p>
    <w:p w:rsidR="00B80B92" w:rsidRPr="009D7554" w:rsidRDefault="00823255"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PI</w:t>
      </w:r>
      <w:r w:rsidR="00F64E9D" w:rsidRPr="009D7554">
        <w:rPr>
          <w:rFonts w:ascii="Book Antiqua" w:hAnsi="Book Antiqua"/>
          <w:b/>
          <w:lang w:val="en-US"/>
        </w:rPr>
        <w:t xml:space="preserve">: </w:t>
      </w:r>
      <w:r w:rsidR="004A1105" w:rsidRPr="009D7554">
        <w:rPr>
          <w:rFonts w:ascii="Book Antiqua" w:hAnsi="Book Antiqua"/>
          <w:lang w:val="en-US"/>
        </w:rPr>
        <w:t xml:space="preserve">PA of </w:t>
      </w:r>
      <w:r w:rsidR="00F64E9D" w:rsidRPr="009D7554">
        <w:rPr>
          <w:rFonts w:ascii="Book Antiqua" w:hAnsi="Book Antiqua"/>
          <w:lang w:val="en-US"/>
        </w:rPr>
        <w:t xml:space="preserve">PI </w:t>
      </w:r>
      <w:r w:rsidR="004A1105" w:rsidRPr="009D7554">
        <w:rPr>
          <w:rFonts w:ascii="Book Antiqua" w:hAnsi="Book Antiqua"/>
          <w:lang w:val="en-US"/>
        </w:rPr>
        <w:t>could further increase the diagnostic accuracy of conventional imaging for nodal involvement evaluation in RC patients</w:t>
      </w:r>
      <w:r w:rsidR="00A75298" w:rsidRPr="009D7554">
        <w:rPr>
          <w:rFonts w:ascii="Book Antiqua" w:hAnsi="Book Antiqua"/>
          <w:lang w:val="en-US"/>
        </w:rPr>
        <w:fldChar w:fldCharType="begin" w:fldLock="1"/>
      </w:r>
      <w:r w:rsidR="006821F4" w:rsidRPr="009D7554">
        <w:rPr>
          <w:rFonts w:ascii="Book Antiqua" w:hAnsi="Book Antiqua"/>
          <w:lang w:val="en-US"/>
        </w:rPr>
        <w:instrText>ADDIN CSL_CITATION {"citationItems":[{"id":"ITEM-1","itemData":{"DOI":"10.1007/s00384-018-3083-x","ISSN":"0179-1958","PMID":"29774398","author":[{"dropping-particle":"","family":"Armbruster","given":"Marco","non-dropping-particle":"","parse-names":false,"suffix":""},{"dropping-particle":"","family":"D’Anastasi","given":"Melvin","non-dropping-particle":"","parse-names":false,"suffix":""},{"dropping-particle":"","family":"Holzner","given":"Veronika","non-dropping-particle":"","parse-names":false,"suffix":""},{"dropping-particle":"","family":"Kreis","given":"Martin E.","non-dropping-particle":"","parse-names":false,"suffix":""},{"dropping-particle":"","family":"Dietrich","given":"Olaf","non-dropping-particle":"","parse-names":false,"suffix":""},{"dropping-particle":"","family":"Brandlhuber","given":"Bernhard","non-dropping-particle":"","parse-names":false,"suffix":""},{"dropping-particle":"","family":"Graser","given":"Anno","non-dropping-particle":"","parse-names":false,"suffix":""},{"dropping-particle":"","family":"Brandlhuber","given":"Martina","non-dropping-particle":"","parse-names":false,"suffix":""}],"container-title":"International Journal of Colorectal Disease","id":"ITEM-1","issue":"7","issued":{"date-parts":[["2018","7","17"]]},"page":"901-909","title":"Improved detection of a tumorous involvement of the mesorectal fascia and locoregional lymph nodes in locally advanced rectal cancer using DCE-MRI","type":"article-journal","volume":"33"},"uris":["http://www.mendeley.com/documents/?uuid=e3d06e3a-d997-4282-bb76-5acafedc5a5f"]},{"id":"ITEM-2","itemData":{"DOI":"10.1002/jmri.25566","ISSN":"1522-2586","PMID":"28001320","abstract":"PURPOSE To implement a dynamic contrast-based multi-echo MRI sequence in assessment of rectal cancer and evaluate associations between histopathologic data and the acquired dynamic contrast-enhanced (DCE) and dynamic susceptibility contrast (DSC) -MRI parameters. MATERIALS AND METHODS This pilot study reports results from 17 patients with resectable rectal cancer. Dynamic contrast-based multi-echo MRI (1.5T) was acquired using a three-dimensional multi-shot EPI sequence, yielding both DCE- and DSC-data following a single injection of contrast agent. The Institutional Review Board approved the study and all patients provided written informed consent. Quantitative analysis was performed by pharmacokinetic modeling on DCE data and tracer kinetic modeling on DSC data. Mann-Whitney U-test and receiver operating characteristics curve statistics was used to evaluate associations between histopathologic data and the acquired DCE- and DSC-MRI parameters. RESULTS For patients with histologically confirmed nodal metastasis, the primary tumor demonstrated a significantly lower Ktrans and peak change in R2*, R2*-peakenh , than patients without nodal metastasis, showing a P-value of 0.010 and 0.005 for reader 1, and 0.043 and 0.019 for reader 2, respectively. CONCLUSION This study shows the feasibility of acquiring DCE- and DSC-MRI in rectal cancer by dynamic multi-echo MRI. A significant association was found between both Ktrans and R2*-peakenh in the primary tumor and histological nodal status of the surgical specimen, which may improve stratification of patients to intensified multimodal treatment. LEVEL OF EVIDENCE 4 Technical Efficacy: Stage 2 J. MAGN. RESON. IMAGING 2017;46:194-206.","author":[{"dropping-particle":"","family":"Grøvik","given":"Endre","non-dropping-particle":"","parse-names":false,"suffix":""},{"dropping-particle":"","family":"Redalen","given":"Kathrine Røe","non-dropping-particle":"","parse-names":false,"suffix":""},{"dropping-particle":"","family":"Storås","given":"Tryggve Holck","non-dropping-particle":"","parse-names":false,"suffix":""},{"dropping-particle":"","family":"Negård","given":"Anne","non-dropping-particle":"","parse-names":false,"suffix":""},{"dropping-particle":"","family":"Holmedal","given":"Stein Harald","non-dropping-particle":"","parse-names":false,"suffix":""},{"dropping-particle":"","family":"Ree","given":"Anne Hansen","non-dropping-particle":"","parse-names":false,"suffix":""},{"dropping-particle":"","family":"Meltzer","given":"Sebastian","non-dropping-particle":"","parse-names":false,"suffix":""},{"dropping-particle":"","family":"Bjørnerud","given":"Atle","non-dropping-particle":"","parse-names":false,"suffix":""},{"dropping-particle":"","family":"Gjesdal","given":"Kjell-Inge","non-dropping-particle":"","parse-names":false,"suffix":""}],"container-title":"Journal of magnetic resonance imaging : JMRI","id":"ITEM-2","issue":"1","issued":{"date-parts":[["2017"]]},"page":"194-206","title":"Dynamic multi-echo DCE- and DSC-MRI in rectal cancer: Low primary tumor Ktrans and ΔR2* peak are significantly associated with lymph node metastasis.","type":"article-journal","volume":"46"},"uris":["http://www.mendeley.com/documents/?uuid=56f319f9-dc8e-42b6-b467-d845e77feec9"]},{"id":"ITEM-3","itemData":{"DOI":"10.1002/jmri.24541","ISSN":"1522-2586","PMID":"24375840","abstract":"PURPOSE To investigate whether quantitative parameters derived from dynamic contrast-enhanced magnetic resonance imaging (DCE-MRI) are correlated with angiogenesis and biologic aggressiveness of rectal cancer. MATERIALS AND METHODS A total of 46 patients with rectal cancer underwent DCE-MRI. Using a two-compartmental model, quantitative parameters (K(trans) , kep , ve , and iAUC) were calculated from the whole-transverse region of interest (ROI) and high K(trans) area ROI of entire tumors. Histological specimens were analyzed for tumor size; T/N stage; lymphatic, vascular, perineural invasion; expression of epidermal growth factor receptor (EGFR); and KRAS gene mutations. Tumor angiogenesis was evaluated based on the microvessel density (MVD) and the expression level of the vascular endothelial growth factor. Correlations of the DCE-MRI parameters with histological markers and angiogenesis were determined using Student's t-test and analysis of variance (ANOVA). RESULTS The mean kep from high K(trans) area ROIs showed a significantly positive correlation with MVD (P = 0.030, r = 0.514, R(2) = 0.264). The mean kep from the whole-transverse ROIs showed a significant inverse correlation with T stage (T1 vs. T2-4, P = 0.021). EGFR-positive cancer displayed higher mean K(trans) (P = 0.045) and kep (P = 0.038) than EGFR-negative cancer in whole-transverse ROIs. CONCLUSION These preliminary results suggest that the determination of kep of high K(trans) area permits the noninvasive estimation of tumor angiogenesis in rectal cancer and that DCE-MRI parameters can be used as imaging biomarkers to predict the biologic aggressiveness of the tumor and patient prognosis.","author":[{"dropping-particle":"","family":"Yeo","given":"Dong-Myung","non-dropping-particle":"","parse-names":false,"suffix":""},{"dropping-particle":"","family":"Oh","given":"Soon Nam","non-dropping-particle":"","parse-names":false,"suffix":""},{"dropping-particle":"","family":"Jung","given":"Chan-Kwon","non-dropping-particle":"","parse-names":false,"suffix":""},{"dropping-particle":"","family":"Lee","given":"Myung Ah","non-dropping-particle":"","parse-names":false,"suffix":""},{"dropping-particle":"","family":"Oh","given":"Seong Taek","non-dropping-particle":"","parse-names":false,"suffix":""},{"dropping-particle":"","family":"Rha","given":"Sung Eun","non-dropping-particle":"","parse-names":false,"suffix":""},{"dropping-particle":"","family":"Jung","given":"Seung Eun","non-dropping-particle":"","parse-names":false,"suffix":""},{"dropping-particle":"","family":"Byun","given":"Jae Young","non-dropping-particle":"","parse-names":false,"suffix":""},{"dropping-particle":"","family":"Gall","given":"Peter","non-dropping-particle":"","parse-names":false,"suffix":""},{"dropping-particle":"","family":"Son","given":"Yohan","non-dropping-particle":"","parse-names":false,"suffix":""}],"container-title":"Journal of magnetic resonance imaging : JMRI","id":"ITEM-3","issue":"2","issued":{"date-parts":[["2015","2"]]},"page":"474-80","title":"Correlation of dynamic contrast-enhanced MRI perfusion parameters with angiogenesis and biologic aggressiveness of rectal cancer: Preliminary results.","type":"article-journal","volume":"41"},"uris":["http://www.mendeley.com/documents/?uuid=84ca00c0-408a-4678-b181-cb0205864666"]},{"id":"ITEM-4","itemData":{"DOI":"10.1002/jmri.24301","ISSN":"1522-2586","PMID":"24127411","abstract":"PURPOSE To evaluate correlations between dynamic contrast-enhanced magnetic resonance imaging (DCE-MRI) and clinicopathologic data as well as immunostaining of the markers of angiogenesis epidermal growth factor receptor (EGFR) and CXC-motif chemokine receptor 4 (CXCR4) in patients with rectal cancer. MATERIALS AND METHODS Presurgical DCE-MRI was performed in 41 patients according to a standardized protocol. Two quantitative parameters (k21 , A) were derived from a pharmacokinetic two-compartment model, and one semiquantitative parameter (TTP) was assessed. Standardized surgery and histopathologic examinations were performed in all patients. Immunostaining for EGFR and CXCR4 was performed and evaluated with a standardized scoring system. RESULTS DCE-MRI parameter A correlated significantly with the N category (P = 0.048) and k21 with the occurrence of synchronous and metachronous distant metastases (P = 0.029). A trend was shown toward a correlation between k21 and EGFR expression (P = 0.107). A significant correlation was found between DCE-MRI parameter TTP and the expression of EGFR (P = 0.044). DCE-MRI data did not correlate with CXCR4 expression. CONCLUSION DCE-MRI is a noninvasive method which can characterize microcirculation in rectal cancer and correlates with EGFR expression. Given the relationship between the dynamic parameters and the clinicopathologic data, DCE-MRI data may constitute a prognostic indicator for lymph node and distant metastases in patients with rectal cancer.","author":[{"dropping-particle":"","family":"Lollert","given":"André","non-dropping-particle":"","parse-names":false,"suffix":""},{"dropping-particle":"","family":"Junginger","given":"Theodor","non-dropping-particle":"","parse-names":false,"suffix":""},{"dropping-particle":"","family":"Schimanski","given":"Carl Christoph","non-dropping-particle":"","parse-names":false,"suffix":""},{"dropping-particle":"","family":"Biesterfeld","given":"Stefan","non-dropping-particle":"","parse-names":false,"suffix":""},{"dropping-particle":"","family":"Gockel","given":"Ines","non-dropping-particle":"","parse-names":false,"suffix":""},{"dropping-particle":"","family":"Düber","given":"Christoph","non-dropping-particle":"","parse-names":false,"suffix":""},{"dropping-particle":"","family":"Oberholzer","given":"Katja","non-dropping-particle":"","parse-names":false,"suffix":""}],"container-title":"Journal of magnetic resonance imaging : JMRI","id":"ITEM-4","issue":"6","issued":{"date-parts":[["2014","6"]]},"page":"1436-42","title":"Rectal cancer: dynamic contrast-enhanced MRI correlates with lymph node status and epidermal growth factor receptor expression.","type":"article-journal","volume":"39"},"uris":["http://www.mendeley.com/documents/?uuid=7a1c1b80-deca-49da-83f9-501adda3cc5d"]},{"id":"ITEM-5","itemData":{"DOI":"10.2214/AJR.18.19866","ISSN":"1546-3141","PMID":"30354269","abstract":"OBJECTIVE The aim of this study was to discriminate metastatic from nonmetastatic regional lymph nodes (LNs) with short-axis diameters of less than 5 mm in rectal cancer using quantitative parameters derived from dynamic contrast-enhanced (DCE) MRI. SUBJECTS AND METHODS Sixty-five LNs from 122 patients were evaluated, including malignant LNs (n = 27) and benign LNs (n = 38). The following parameters were assessed: the forward volume transfer constant (Ktrans), reverse volume transfer constant (kep), fractional extravascular extracellular space volume (Ve), short-axis diameter, long-axis diameter, and short- to long-axis diameter ratio. ROC curves were used to analyze statistically significant parameters. RESULTS Metastatic LNs exhibited a lower Ktrans than did nonmetastatic LNs (p &lt; 0.001), but the other parameters were not significantly different between the two groups. The AUC of the Ktrans was 0.732, with a 95% CI of 0.610-0.854, and the diagnostic cutoff value was 0.088 min-1 (sensitivity, 60.5%; specificity, 81.5%). CONCLUSION Ktrans had moderate diagnostic performance in assessing small regional LNs in rectal cancer and appears to be a useful predictor when distinguishing malignant LNs from benign LNs only by morphology is difficult.","author":[{"dropping-particle":"","family":"Yang","given":"Xinyue","non-dropping-particle":"","parse-names":false,"suffix":""},{"dropping-particle":"","family":"Chen","given":"Yan","non-dropping-particle":"","parse-names":false,"suffix":""},{"dropping-particle":"","family":"Wen","given":"Ziqiang","non-dropping-particle":"","parse-names":false,"suffix":""},{"dropping-particle":"","family":"Lu","given":"Baolan","non-dropping-particle":"","parse-names":false,"suffix":""},{"dropping-particle":"","family":"Shen","given":"Bingqi","non-dropping-particle":"","parse-names":false,"suffix":""},{"dropping-particle":"","family":"Xiao","given":"Xiaojuan","non-dropping-particle":"","parse-names":false,"suffix":""},{"dropping-particle":"","family":"Yu","given":"Shenping","non-dropping-particle":"","parse-names":false,"suffix":""}],"container-title":"AJR. American journal of roentgenology","id":"ITEM-5","issue":"1","issued":{"date-parts":[["2019","1"]]},"page":"77-83","title":"Role of Quantitative Dynamic Contrast-Enhanced MRI in Evaluating Regional Lymph Nodes With a Short-Axis Diameter of Less Than 5 mm in Rectal Cancer.","type":"article-journal","volume":"212"},"uris":["http://www.mendeley.com/documents/?uuid=b9fdab22-1202-489c-a928-83dd893bdf17"]}],"mendeley":{"formattedCitation":"&lt;sup&gt;[50–54]&lt;/sup&gt;","plainTextFormattedCitation":"[50–54]","previouslyFormattedCitation":"&lt;sup&gt;[50–54]&lt;/sup&gt;"},"properties":{"noteIndex":0},"schema":"https://github.com/citation-style-language/schema/raw/master/csl-citation.json"}</w:instrText>
      </w:r>
      <w:r w:rsidR="00A75298" w:rsidRPr="009D7554">
        <w:rPr>
          <w:rFonts w:ascii="Book Antiqua" w:hAnsi="Book Antiqua"/>
          <w:lang w:val="en-US"/>
        </w:rPr>
        <w:fldChar w:fldCharType="separate"/>
      </w:r>
      <w:r w:rsidR="000D56F8" w:rsidRPr="009D7554">
        <w:rPr>
          <w:rFonts w:ascii="Book Antiqua" w:hAnsi="Book Antiqua"/>
          <w:vertAlign w:val="superscript"/>
          <w:lang w:val="en-US"/>
        </w:rPr>
        <w:t>[50–54]</w:t>
      </w:r>
      <w:r w:rsidR="00A75298" w:rsidRPr="009D7554">
        <w:rPr>
          <w:rFonts w:ascii="Book Antiqua" w:hAnsi="Book Antiqua"/>
          <w:lang w:val="en-US"/>
        </w:rPr>
        <w:fldChar w:fldCharType="end"/>
      </w:r>
      <w:r w:rsidR="00D00FA0" w:rsidRPr="009D7554">
        <w:rPr>
          <w:rFonts w:ascii="Book Antiqua" w:hAnsi="Book Antiqua"/>
          <w:bCs/>
          <w:lang w:val="en-US"/>
        </w:rPr>
        <w:t xml:space="preserve">. Ambruster </w:t>
      </w:r>
      <w:r w:rsidR="004A1105"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10.1007/s00384-018-3083-x","ISSN":"0179-1958","PMID":"29774398","author":[{"dropping-particle":"","family":"Armbruster","given":"Marco","non-dropping-particle":"","parse-names":false,"suffix":""},{"dropping-particle":"","family":"D’Anastasi","given":"Melvin","non-dropping-particle":"","parse-names":false,"suffix":""},{"dropping-particle":"","family":"Holzner","given":"Veronika","non-dropping-particle":"","parse-names":false,"suffix":""},{"dropping-particle":"","family":"Kreis","given":"Martin E.","non-dropping-particle":"","parse-names":false,"suffix":""},{"dropping-particle":"","family":"Dietrich","given":"Olaf","non-dropping-particle":"","parse-names":false,"suffix":""},{"dropping-particle":"","family":"Brandlhuber","given":"Bernhard","non-dropping-particle":"","parse-names":false,"suffix":""},{"dropping-particle":"","family":"Graser","given":"Anno","non-dropping-particle":"","parse-names":false,"suffix":""},{"dropping-particle":"","family":"Brandlhuber","given":"Martina","non-dropping-particle":"","parse-names":false,"suffix":""}],"container-title":"International Journal of Colorectal Disease","id":"ITEM-1","issue":"7","issued":{"date-parts":[["2018","7","17"]]},"page":"901-909","title":"Improved detection of a tumorous involvement of the mesorectal fascia and locoregional lymph nodes in locally advanced rectal cancer using DCE-MRI","type":"article-journal","volume":"33"},"uris":["http://www.mendeley.com/documents/?uuid=e3d06e3a-d997-4282-bb76-5acafedc5a5f"]}],"mendeley":{"formattedCitation":"&lt;sup&gt;[50]&lt;/sup&gt;","plainTextFormattedCitation":"[50]","previouslyFormattedCitation":"&lt;sup&gt;[50]&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[50]</w:t>
      </w:r>
      <w:r w:rsidR="00A75298" w:rsidRPr="009D7554">
        <w:rPr>
          <w:rFonts w:ascii="Book Antiqua" w:hAnsi="Book Antiqua"/>
          <w:i/>
          <w:lang w:val="en-US"/>
        </w:rPr>
        <w:fldChar w:fldCharType="end"/>
      </w:r>
      <w:r w:rsidR="00D00FA0" w:rsidRPr="009D7554">
        <w:rPr>
          <w:rFonts w:ascii="Book Antiqua" w:hAnsi="Book Antiqua"/>
          <w:bCs/>
          <w:lang w:val="en-US"/>
        </w:rPr>
        <w:t xml:space="preserve"> have reported that </w:t>
      </w:r>
      <w:r w:rsidR="00E61542" w:rsidRPr="009D7554">
        <w:rPr>
          <w:rFonts w:ascii="Book Antiqua" w:hAnsi="Book Antiqua"/>
          <w:bCs/>
          <w:lang w:val="en-US"/>
        </w:rPr>
        <w:t xml:space="preserve">DCE-MRI </w:t>
      </w:r>
      <w:r w:rsidR="00D00FA0" w:rsidRPr="009D7554">
        <w:rPr>
          <w:rFonts w:ascii="Book Antiqua" w:hAnsi="Book Antiqua"/>
          <w:bCs/>
          <w:lang w:val="en-US"/>
        </w:rPr>
        <w:t xml:space="preserve">quantitative maps increase both </w:t>
      </w:r>
      <w:r w:rsidR="00E61542" w:rsidRPr="009D7554">
        <w:rPr>
          <w:rFonts w:ascii="Book Antiqua" w:hAnsi="Book Antiqua"/>
          <w:bCs/>
          <w:lang w:val="en-US"/>
        </w:rPr>
        <w:t xml:space="preserve">the </w:t>
      </w:r>
      <w:r w:rsidR="00D00FA0" w:rsidRPr="009D7554">
        <w:rPr>
          <w:rFonts w:ascii="Book Antiqua" w:hAnsi="Book Antiqua"/>
          <w:bCs/>
          <w:lang w:val="en-US"/>
        </w:rPr>
        <w:t xml:space="preserve">sensitivity (86% </w:t>
      </w:r>
      <w:r w:rsidR="00D00FA0" w:rsidRPr="009D7554">
        <w:rPr>
          <w:rFonts w:ascii="Book Antiqua" w:hAnsi="Book Antiqua"/>
          <w:bCs/>
          <w:i/>
          <w:iCs/>
          <w:lang w:val="en-US"/>
        </w:rPr>
        <w:t>vs</w:t>
      </w:r>
      <w:r w:rsidR="00D00FA0" w:rsidRPr="009D7554">
        <w:rPr>
          <w:rFonts w:ascii="Book Antiqua" w:hAnsi="Book Antiqua"/>
          <w:bCs/>
          <w:lang w:val="en-US"/>
        </w:rPr>
        <w:t xml:space="preserve"> 71%) and specificity (90% </w:t>
      </w:r>
      <w:r w:rsidR="00D00FA0" w:rsidRPr="009D7554">
        <w:rPr>
          <w:rFonts w:ascii="Book Antiqua" w:hAnsi="Book Antiqua"/>
          <w:bCs/>
          <w:i/>
          <w:iCs/>
          <w:lang w:val="en-US"/>
        </w:rPr>
        <w:t>vs</w:t>
      </w:r>
      <w:r w:rsidR="00D00FA0" w:rsidRPr="009D7554">
        <w:rPr>
          <w:rFonts w:ascii="Book Antiqua" w:hAnsi="Book Antiqua"/>
          <w:bCs/>
          <w:lang w:val="en-US"/>
        </w:rPr>
        <w:t xml:space="preserve"> 70%) </w:t>
      </w:r>
      <w:r w:rsidR="00E61542" w:rsidRPr="009D7554">
        <w:rPr>
          <w:rFonts w:ascii="Book Antiqua" w:hAnsi="Book Antiqua"/>
          <w:bCs/>
          <w:lang w:val="en-US"/>
        </w:rPr>
        <w:t>of</w:t>
      </w:r>
      <w:r w:rsidR="00D00FA0" w:rsidRPr="009D7554">
        <w:rPr>
          <w:rFonts w:ascii="Book Antiqua" w:hAnsi="Book Antiqua"/>
          <w:bCs/>
          <w:lang w:val="en-US"/>
        </w:rPr>
        <w:t xml:space="preserve"> conventional MRI </w:t>
      </w:r>
      <w:r w:rsidR="00E61542" w:rsidRPr="009D7554">
        <w:rPr>
          <w:rFonts w:ascii="Book Antiqua" w:hAnsi="Book Antiqua"/>
          <w:bCs/>
          <w:lang w:val="en-US"/>
        </w:rPr>
        <w:t xml:space="preserve">for </w:t>
      </w:r>
      <w:r w:rsidR="00D00FA0" w:rsidRPr="009D7554">
        <w:rPr>
          <w:rFonts w:ascii="Book Antiqua" w:hAnsi="Book Antiqua"/>
          <w:bCs/>
          <w:lang w:val="en-US"/>
        </w:rPr>
        <w:t xml:space="preserve">the detection of malignant lymph nodes in locally advanced RC (LARC). Grovik </w:t>
      </w:r>
      <w:r w:rsidR="00ED7E07"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{"citationItems":[{"id":"ITEM-1","itemData":{"DOI":"10.1002/jmri.25566","ISSN":"1522-2586","PMID":"28001320","abstract":"PURPOSE To implement a dynamic contrast-based multi-echo MRI sequence in assessment of rectal cancer and evaluate associations between histopathologic data and the acquired dynamic contrast-enhanced (DCE) and dynamic susceptibility contrast (DSC) -MRI parameters. MATERIALS AND METHODS This pilot study reports results from 17 patients with resectable rectal cancer. Dynamic contrast-based multi-echo MRI (1.5T) was acquired using a three-dimensional multi-shot EPI sequence, yielding both DCE- and DSC-data following a single injection of contrast agent. The Institutional Review Board approved the study and all patients provided written informed consent. Quantitative analysis was performed by pharmacokinetic modeling on DCE data and tracer kinetic modeling on DSC data. Mann-Whitney U-test and receiver operating characteristics curve statistics was used to evaluate associations between histopathologic data and the acquired DCE- and DSC-MRI parameters. RESULTS For patients with histologically confirmed nodal metastasis, the primary tumor demonstrated a significantly lower Ktrans and peak change in R2*, R2*-peakenh , than patients without nodal metastasis, showing a P-value of 0.010 and 0.005 for reader 1, and 0.043 and 0.019 for reader 2, respectively. CONCLUSION This study shows the feasibility of acquiring DCE- and DSC-MRI in rectal cancer by dynamic multi-echo MRI. A significant association was found between both Ktrans and R2*-peakenh in the primary tumor and histological nodal status of the surgical specimen, which may improve stratification of patients to intensified multimodal treatment. LEVEL OF EVIDENCE 4 Technical Efficacy: Stage 2 J. MAGN. RESON. IMAGING 2017;46:194-206.","author":[{"dropping-particle":"","family":"Grøvik","given":"Endre","non-dropping-particle":"","parse-names":false,"suffix":""},{"dropping-particle":"","family":"Redalen","given":"Kathrine Røe","non-dropping-particle":"","parse-names":false,"suffix":""},{"dropping-particle":"","family":"Storås","given":"Tryggve Holck","non-dropping-particle":"","parse-names":false,"suffix":""},{"dropping-particle":"","family":"Negård","given":"Anne","non-dropping-particle":"","parse-names":false,"suffix":""},{"dropping-particle":"","family":"Holmedal","given":"Stein Harald","non-dropping-particle":"","parse-names":false,"suffix":""},{"dropping-particle":"","family":"Ree","given":"Anne Hansen","non-dropping-particle":"","parse-names":false,"suffix":""},{"dropping-particle":"","family":"Meltzer","given":"Sebastian","non-dropping-particle":"","parse-names":false,"suffix":""},{"dropping-particle":"","family":"Bjørnerud","given":"Atle","non-dropping-particle":"","parse-names":false,"suffix":""},{"dropping-particle":"","family":"Gjesdal","given":"Kjell-Inge","non-dropping-particle":"","parse-names":false,"suffix":""}],"container-title":"Journal of magnetic resonance imaging : JMRI","id":"ITEM-1","issue":"1","issued":{"date-parts":[["2017"]]},"page":"194-206","title":"Dynamic multi-echo DCE- and DSC-MRI in rectal cancer: Low primary tumor Ktrans and ΔR2* peak are significantly associated with lymph node metastasis.","type":"article-journal","volume":"46"},"uris":["http://www.mendeley.com/documents/?uuid=56f319f9-dc8e-42b6-b467-d845e77feec9"]}],"mendeley":{"formattedCitation":"&lt;sup&gt;[51]&lt;/sup&gt;","plainTextFormattedCitation":"[51]","previouslyFormattedCitation":"&lt;sup&gt;[51]&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[51]</w:t>
      </w:r>
      <w:r w:rsidR="00A75298" w:rsidRPr="009D7554">
        <w:rPr>
          <w:rFonts w:ascii="Book Antiqua" w:hAnsi="Book Antiqua"/>
          <w:i/>
          <w:lang w:val="en-US"/>
        </w:rPr>
        <w:fldChar w:fldCharType="end"/>
      </w:r>
      <w:r w:rsidR="00357531" w:rsidRPr="009D7554">
        <w:rPr>
          <w:rFonts w:ascii="Book Antiqua" w:hAnsi="Book Antiqua"/>
          <w:i/>
          <w:lang w:val="en-US"/>
        </w:rPr>
        <w:t xml:space="preserve"> </w:t>
      </w:r>
      <w:r w:rsidR="00357531" w:rsidRPr="009D7554">
        <w:rPr>
          <w:rFonts w:ascii="Book Antiqua" w:hAnsi="Book Antiqua"/>
          <w:bCs/>
          <w:lang w:val="en-US"/>
        </w:rPr>
        <w:t xml:space="preserve">and Yeo </w:t>
      </w:r>
      <w:r w:rsidR="00DF66F5"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{"citationItems":[{"id":"ITEM-1","itemData":{"DOI":"10.1002/jmri.24541","ISSN":"1522-2586","PMID":"24375840","abstract":"PURPOSE To investigate whether quantitative parameters derived from dynamic contrast-enhanced magnetic resonance imaging (DCE-MRI) are correlated with angiogenesis and biologic aggressiveness of rectal cancer. MATERIALS AND METHODS A total of 46 patients with rectal cancer underwent DCE-MRI. Using a two-compartmental model, quantitative parameters (K(trans) , kep , ve , and iAUC) were calculated from the whole-transverse region of interest (ROI) and high K(trans) area ROI of entire tumors. Histological specimens were analyzed for tumor size; T/N stage; lymphatic, vascular, perineural invasion; expression of epidermal growth factor receptor (EGFR); and KRAS gene mutations. Tumor angiogenesis was evaluated based on the microvessel density (MVD) and the expression level of the vascular endothelial growth factor. Correlations of the DCE-MRI parameters with histological markers and angiogenesis were determined using Student's t-test and analysis of variance (ANOVA). RESULTS The mean kep from high K(trans) area ROIs showed a significantly positive correlation with MVD (P = 0.030, r = 0.514, R(2) = 0.264). The mean kep from the whole-transverse ROIs showed a significant inverse correlation with T stage (T1 vs. T2-4, P = 0.021). EGFR-positive cancer displayed higher mean K(trans) (P = 0.045) and kep (P = 0.038) than EGFR-negative cancer in whole-transverse ROIs. CONCLUSION These preliminary results suggest that the determination of kep of high K(trans) area permits the noninvasive estimation of tumor angiogenesis in rectal cancer and that DCE-MRI parameters can be used as imaging biomarkers to predict the biologic aggressiveness of the tumor and patient prognosis.","author":[{"dropping-particle":"","family":"Yeo","given":"Dong-Myung","non-dropping-particle":"","parse-names":false,"suffix":""},{"dropping-particle":"","family":"Oh","given":"Soon Nam","non-dropping-particle":"","parse-names":false,"suffix":""},{"dropping-particle":"","family":"Jung","given":"Chan-Kwon","non-dropping-particle":"","parse-names":false,"suffix":""},{"dropping-particle":"","family":"Lee","given":"Myung Ah","non-dropping-particle":"","parse-names":false,"suffix":""},{"dropping-particle":"","family":"Oh","given":"Seong Taek","non-dropping-particle":"","parse-names":false,"suffix":""},{"dropping-particle":"","family":"Rha","given":"Sung Eun","non-dropping-particle":"","parse-names":false,"suffix":""},{"dropping-particle":"","family":"Jung","given":"Seung Eun","non-dropping-particle":"","parse-names":false,"suffix":""},{"dropping-particle":"","family":"Byun","given":"Jae Young","non-dropping-particle":"","parse-names":false,"suffix":""},{"dropping-particle":"","family":"Gall","given":"Peter","non-dropping-particle":"","parse-names":false,"suffix":""},{"dropping-particle":"","family":"Son","given":"Yohan","non-dropping-particle":"","parse-names":false,"suffix":""}],"container-title":"Journal of magnetic resonance imaging : JMRI","id":"ITEM-1","issue":"2","issued":{"date-parts":[["2015","2"]]},"page":"474-80","title":"Correlation of dynamic contrast-enhanced MRI perfusion parameters with angiogenesis and biologic aggressiveness of rectal cancer: Preliminary results.","type":"article-journal","volume":"41"},"uris":["http://www.mendeley.com/documents/?uuid=84ca00c0-408a-4678-b181-cb0205864666"]}],"mendeley":{"formattedCitation":"&lt;sup&gt;[52]&lt;/sup&gt;","plainTextFormattedCitation":"[52]","previouslyFormattedCitation":"&lt;sup&gt;[52]&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[52]</w:t>
      </w:r>
      <w:r w:rsidR="00A75298" w:rsidRPr="009D7554">
        <w:rPr>
          <w:rFonts w:ascii="Book Antiqua" w:hAnsi="Book Antiqua"/>
          <w:i/>
          <w:lang w:val="en-US"/>
        </w:rPr>
        <w:fldChar w:fldCharType="end"/>
      </w:r>
      <w:r w:rsidR="00357531" w:rsidRPr="009D7554">
        <w:rPr>
          <w:rFonts w:ascii="Book Antiqua" w:hAnsi="Book Antiqua"/>
          <w:i/>
          <w:lang w:val="en-US"/>
        </w:rPr>
        <w:t xml:space="preserve"> </w:t>
      </w:r>
      <w:r w:rsidR="00971376" w:rsidRPr="009D7554">
        <w:rPr>
          <w:rFonts w:ascii="Book Antiqua" w:hAnsi="Book Antiqua"/>
          <w:bCs/>
          <w:lang w:val="en-US"/>
        </w:rPr>
        <w:t xml:space="preserve">found that Ktrans values obtained </w:t>
      </w:r>
      <w:r w:rsidR="00E61542" w:rsidRPr="009D7554">
        <w:rPr>
          <w:rFonts w:ascii="Book Antiqua" w:hAnsi="Book Antiqua"/>
          <w:bCs/>
          <w:lang w:val="en-US"/>
        </w:rPr>
        <w:t xml:space="preserve">for </w:t>
      </w:r>
      <w:r w:rsidR="00971376" w:rsidRPr="009D7554">
        <w:rPr>
          <w:rFonts w:ascii="Book Antiqua" w:hAnsi="Book Antiqua"/>
          <w:bCs/>
          <w:lang w:val="en-US"/>
        </w:rPr>
        <w:t>primary tumor</w:t>
      </w:r>
      <w:r w:rsidR="00E61542" w:rsidRPr="009D7554">
        <w:rPr>
          <w:rFonts w:ascii="Book Antiqua" w:hAnsi="Book Antiqua"/>
          <w:bCs/>
          <w:lang w:val="en-US"/>
        </w:rPr>
        <w:t>s</w:t>
      </w:r>
      <w:r w:rsidR="00971376" w:rsidRPr="009D7554">
        <w:rPr>
          <w:rFonts w:ascii="Book Antiqua" w:hAnsi="Book Antiqua"/>
          <w:bCs/>
          <w:lang w:val="en-US"/>
        </w:rPr>
        <w:t xml:space="preserve"> </w:t>
      </w:r>
      <w:r w:rsidR="00E61542" w:rsidRPr="009D7554">
        <w:rPr>
          <w:rFonts w:ascii="Book Antiqua" w:hAnsi="Book Antiqua"/>
          <w:bCs/>
          <w:lang w:val="en-US"/>
        </w:rPr>
        <w:t xml:space="preserve">with </w:t>
      </w:r>
      <w:r w:rsidR="00971376" w:rsidRPr="009D7554">
        <w:rPr>
          <w:rFonts w:ascii="Book Antiqua" w:hAnsi="Book Antiqua"/>
          <w:bCs/>
          <w:lang w:val="en-US"/>
        </w:rPr>
        <w:t xml:space="preserve">perfusion MRI </w:t>
      </w:r>
      <w:r w:rsidR="00E61542" w:rsidRPr="009D7554">
        <w:rPr>
          <w:rFonts w:ascii="Book Antiqua" w:hAnsi="Book Antiqua"/>
          <w:bCs/>
          <w:lang w:val="en-US"/>
        </w:rPr>
        <w:t xml:space="preserve">were </w:t>
      </w:r>
      <w:r w:rsidR="00971376" w:rsidRPr="009D7554">
        <w:rPr>
          <w:rFonts w:ascii="Book Antiqua" w:hAnsi="Book Antiqua"/>
          <w:bCs/>
          <w:lang w:val="en-US"/>
        </w:rPr>
        <w:t xml:space="preserve">strongly </w:t>
      </w:r>
      <w:r w:rsidR="001F0F25" w:rsidRPr="009D7554">
        <w:rPr>
          <w:rFonts w:ascii="Book Antiqua" w:hAnsi="Book Antiqua"/>
          <w:bCs/>
          <w:lang w:val="en-US"/>
        </w:rPr>
        <w:t>correlate</w:t>
      </w:r>
      <w:r w:rsidR="00E61542" w:rsidRPr="009D7554">
        <w:rPr>
          <w:rFonts w:ascii="Book Antiqua" w:hAnsi="Book Antiqua"/>
          <w:bCs/>
          <w:lang w:val="en-US"/>
        </w:rPr>
        <w:t>d</w:t>
      </w:r>
      <w:r w:rsidR="00971376" w:rsidRPr="009D7554">
        <w:rPr>
          <w:rFonts w:ascii="Book Antiqua" w:hAnsi="Book Antiqua"/>
          <w:bCs/>
          <w:lang w:val="en-US"/>
        </w:rPr>
        <w:t xml:space="preserve"> with nodal status </w:t>
      </w:r>
      <w:r w:rsidR="001F0F25" w:rsidRPr="009D7554">
        <w:rPr>
          <w:rFonts w:ascii="Book Antiqua" w:hAnsi="Book Antiqua"/>
          <w:bCs/>
          <w:lang w:val="en-US"/>
        </w:rPr>
        <w:t>in</w:t>
      </w:r>
      <w:r w:rsidR="00971376" w:rsidRPr="009D7554">
        <w:rPr>
          <w:rFonts w:ascii="Book Antiqua" w:hAnsi="Book Antiqua"/>
          <w:bCs/>
          <w:lang w:val="en-US"/>
        </w:rPr>
        <w:t xml:space="preserve"> surgical </w:t>
      </w:r>
      <w:r w:rsidR="001F0F25" w:rsidRPr="009D7554">
        <w:rPr>
          <w:rFonts w:ascii="Book Antiqua" w:hAnsi="Book Antiqua"/>
          <w:bCs/>
          <w:lang w:val="en-US"/>
        </w:rPr>
        <w:t>specimens</w:t>
      </w:r>
      <w:r w:rsidR="00971376" w:rsidRPr="009D7554">
        <w:rPr>
          <w:rFonts w:ascii="Book Antiqua" w:hAnsi="Book Antiqua"/>
          <w:bCs/>
          <w:lang w:val="en-US"/>
        </w:rPr>
        <w:t xml:space="preserve">. Yu </w:t>
      </w:r>
      <w:r w:rsidR="0046407B"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{"citationItems":[{"id":"ITEM-1","itemData":{"DOI":"10.1007/s11596-016-1631-6","ISSN":"1993-1352","PMID":"27465339","abstract":"Preoperative detection of lymph nodes (LNs) metastasis is always highly challenging for radiologists nowadays. The utility of quantitative dynamic contrast-enhanced magnetic resonance imaging (QDCE-MRI) in identifying LNs metastasis is not well understood. In the present study, 59 patients with histologically proven rectal carcinoma underwent preoperative QDCE-MRI. The short axis diameter ratio, long axis diameter ratio, short-to-long axis diameter ratio and QDEC-MRI parameters (K(trans), Kep, fPV and Ve) values were compared between the non-metastatic (n=44) and metastatic (n=35) LNs groups based on pathological examination. Compared with the non-metastatic group, the metastatic group exhibited significantly higher short axis diameter (7.558±0.668 mm vs. 5.427±0.285 mm), K(trans) (0.483±0.198 min(-1) vs. 0.218±0.116 min(-1)) and Ve (0.399±0.118 vs. 0.203±0.096) values (all P&lt;0.05). The short-to-long axis diameter ratio, long axis diameter ratio, Kep and fPV values did not show significant differences between the two groups. In conclusion, our results showed that for LNs larger than 5 mm in rectal cancer, there are distinctive differences in the K(trans) and Ve values between the metastatic and non-metastatic LNs, suggesting that QDCE-MRI may be potentially helpful in identifying LNs status.","author":[{"dropping-particle":"","family":"Yu","given":"Xiao-Ping","non-dropping-particle":"","parse-names":false,"suffix":""},{"dropping-particle":"","family":"Wen","given":"Lu","non-dropping-particle":"","parse-names":false,"suffix":""},{"dropping-particle":"","family":"Hou","given":"Jing","non-dropping-particle":"","parse-names":false,"suffix":""},{"dropping-particle":"","family":"Wang","given":"Hui","non-dropping-particle":"","parse-names":false,"suffix":""},{"dropping-particle":"","family":"Lu","given":"Qiang","non-dropping-particle":"","parse-names":false,"suffix":""}],"container-title":"Journal of Huazhong University of Science and Technology. Medical sciences = Hua zhong ke ji da xue xue bao. Yi xue Ying De wen ban = Huazhong keji daxue xuebao. Yixue Yingdewen ban","id":"ITEM-1","issue":"4","issued":{"date-parts":[["2016","8"]]},"page":"594-600","title":"Discrimination of metastatic from non-metastatic mesorectal lymph nodes in rectal cancer using quantitative dynamic contrast-enhanced magnetic resonance imaging.","type":"article-journal","volume":"36"},"uris":["http://www.mendeley.com/documents/?uuid=507432f9-128c-4921-8c8d-1a62a01043ed"]}],"mendeley":{"formattedCitation":"&lt;sup&gt;[55]&lt;/sup&gt;","plainTextFormattedCitation":"[55]","previouslyFormattedCitation":"&lt;sup&gt;[55]&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[55]</w:t>
      </w:r>
      <w:r w:rsidR="00A75298" w:rsidRPr="009D7554">
        <w:rPr>
          <w:rFonts w:ascii="Book Antiqua" w:hAnsi="Book Antiqua"/>
          <w:i/>
          <w:lang w:val="en-US"/>
        </w:rPr>
        <w:fldChar w:fldCharType="end"/>
      </w:r>
      <w:r w:rsidR="004A1105" w:rsidRPr="009D7554">
        <w:rPr>
          <w:rFonts w:ascii="Book Antiqua" w:hAnsi="Book Antiqua"/>
          <w:lang w:val="en-US"/>
        </w:rPr>
        <w:t xml:space="preserve"> reported that metastatic lymph nodes from RC showed significantly higher Ktrans </w:t>
      </w:r>
      <w:r w:rsidR="00E61542" w:rsidRPr="009D7554">
        <w:rPr>
          <w:rFonts w:ascii="Book Antiqua" w:hAnsi="Book Antiqua"/>
          <w:lang w:val="en-US"/>
        </w:rPr>
        <w:t xml:space="preserve">values </w:t>
      </w:r>
      <w:r w:rsidR="004A1105" w:rsidRPr="009D7554">
        <w:rPr>
          <w:rFonts w:ascii="Book Antiqua" w:hAnsi="Book Antiqua"/>
          <w:lang w:val="en-US"/>
        </w:rPr>
        <w:t>and tissue interstitial volume (Ve)</w:t>
      </w:r>
      <w:r w:rsidR="001F0F25" w:rsidRPr="009D7554">
        <w:rPr>
          <w:rFonts w:ascii="Book Antiqua" w:hAnsi="Book Antiqua"/>
          <w:lang w:val="en-US"/>
        </w:rPr>
        <w:t xml:space="preserve"> </w:t>
      </w:r>
      <w:r w:rsidR="00E61542" w:rsidRPr="009D7554">
        <w:rPr>
          <w:rFonts w:ascii="Book Antiqua" w:hAnsi="Book Antiqua"/>
          <w:lang w:val="en-US"/>
        </w:rPr>
        <w:t>compared with</w:t>
      </w:r>
      <w:r w:rsidR="004A1105" w:rsidRPr="009D7554">
        <w:rPr>
          <w:rFonts w:ascii="Book Antiqua" w:hAnsi="Book Antiqua"/>
          <w:lang w:val="en-US"/>
        </w:rPr>
        <w:t xml:space="preserve"> </w:t>
      </w:r>
      <w:r w:rsidR="009A70D4" w:rsidRPr="009D7554">
        <w:rPr>
          <w:rFonts w:ascii="Book Antiqua" w:hAnsi="Book Antiqua"/>
          <w:lang w:val="en-US"/>
        </w:rPr>
        <w:t>nonm</w:t>
      </w:r>
      <w:r w:rsidR="004A1105" w:rsidRPr="009D7554">
        <w:rPr>
          <w:rFonts w:ascii="Book Antiqua" w:hAnsi="Book Antiqua"/>
          <w:lang w:val="en-US"/>
        </w:rPr>
        <w:t xml:space="preserve">etastatic lymph nodes </w:t>
      </w:r>
      <w:r w:rsidR="00E61542" w:rsidRPr="009D7554">
        <w:rPr>
          <w:rFonts w:ascii="Book Antiqua" w:hAnsi="Book Antiqua"/>
          <w:lang w:val="en-US"/>
        </w:rPr>
        <w:t>during</w:t>
      </w:r>
      <w:r w:rsidR="004A1105" w:rsidRPr="009D7554">
        <w:rPr>
          <w:rFonts w:ascii="Book Antiqua" w:hAnsi="Book Antiqua"/>
          <w:lang w:val="en-US"/>
        </w:rPr>
        <w:t xml:space="preserve"> perfusion MRI </w:t>
      </w:r>
      <w:r w:rsidR="00E61542" w:rsidRPr="009D7554">
        <w:rPr>
          <w:rFonts w:ascii="Book Antiqua" w:hAnsi="Book Antiqua"/>
          <w:lang w:val="en-US"/>
        </w:rPr>
        <w:t xml:space="preserve">of </w:t>
      </w:r>
      <w:r w:rsidR="004A1105" w:rsidRPr="009D7554">
        <w:rPr>
          <w:rFonts w:ascii="Book Antiqua" w:hAnsi="Book Antiqua"/>
          <w:lang w:val="en-US"/>
        </w:rPr>
        <w:t xml:space="preserve">lymph nodes with short axis </w:t>
      </w:r>
      <w:r w:rsidR="001F0F25" w:rsidRPr="009D7554">
        <w:rPr>
          <w:rFonts w:ascii="Book Antiqua" w:hAnsi="Book Antiqua"/>
          <w:lang w:val="en-US"/>
        </w:rPr>
        <w:t>diameters</w:t>
      </w:r>
      <w:r w:rsidR="004A1105" w:rsidRPr="009D7554">
        <w:rPr>
          <w:rFonts w:ascii="Book Antiqua" w:hAnsi="Book Antiqua"/>
          <w:lang w:val="en-US"/>
        </w:rPr>
        <w:t xml:space="preserve"> &gt; </w:t>
      </w:r>
      <w:smartTag w:uri="urn:schemas-microsoft-com:office:smarttags" w:element="metricconverter">
        <w:smartTagPr>
          <w:attr w:name="ProductID" w:val="5 mm"/>
        </w:smartTagPr>
        <w:r w:rsidR="004A1105" w:rsidRPr="009D7554">
          <w:rPr>
            <w:rFonts w:ascii="Book Antiqua" w:hAnsi="Book Antiqua"/>
            <w:lang w:val="en-US"/>
          </w:rPr>
          <w:t>5 mm</w:t>
        </w:r>
      </w:smartTag>
      <w:r w:rsidR="00E61542" w:rsidRPr="009D7554">
        <w:rPr>
          <w:rFonts w:ascii="Book Antiqua" w:hAnsi="Book Antiqua"/>
          <w:lang w:val="en-US"/>
        </w:rPr>
        <w:t xml:space="preserve"> (</w:t>
      </w:r>
      <w:r w:rsidR="004A1105" w:rsidRPr="009D7554">
        <w:rPr>
          <w:rFonts w:ascii="Book Antiqua" w:hAnsi="Book Antiqua"/>
          <w:lang w:val="en-US"/>
        </w:rPr>
        <w:t>Ktrans: 0.484 min</w:t>
      </w:r>
      <w:r w:rsidR="004A1105" w:rsidRPr="009D7554">
        <w:rPr>
          <w:rFonts w:ascii="Book Antiqua" w:hAnsi="Book Antiqua"/>
          <w:vertAlign w:val="superscript"/>
          <w:lang w:val="en-US"/>
        </w:rPr>
        <w:t xml:space="preserve">-1 </w:t>
      </w:r>
      <w:r w:rsidR="009A70D4" w:rsidRPr="009D7554">
        <w:rPr>
          <w:rFonts w:ascii="Book Antiqua" w:hAnsi="Book Antiqua"/>
          <w:lang w:val="en-US"/>
        </w:rPr>
        <w:t>±</w:t>
      </w:r>
      <w:r w:rsidR="004A1105" w:rsidRPr="009D7554">
        <w:rPr>
          <w:rFonts w:ascii="Book Antiqua" w:hAnsi="Book Antiqua"/>
          <w:lang w:val="en-US"/>
        </w:rPr>
        <w:t xml:space="preserve"> 0.198 </w:t>
      </w:r>
      <w:r w:rsidR="004A1105" w:rsidRPr="009D7554">
        <w:rPr>
          <w:rFonts w:ascii="Book Antiqua" w:hAnsi="Book Antiqua"/>
          <w:i/>
          <w:iCs/>
          <w:lang w:val="en-US"/>
        </w:rPr>
        <w:t>vs</w:t>
      </w:r>
      <w:r w:rsidR="004A1105" w:rsidRPr="009D7554">
        <w:rPr>
          <w:rFonts w:ascii="Book Antiqua" w:hAnsi="Book Antiqua"/>
          <w:lang w:val="en-US"/>
        </w:rPr>
        <w:t xml:space="preserve"> 0.218 min</w:t>
      </w:r>
      <w:r w:rsidR="004A1105" w:rsidRPr="009D7554">
        <w:rPr>
          <w:rFonts w:ascii="Book Antiqua" w:hAnsi="Book Antiqua"/>
          <w:vertAlign w:val="superscript"/>
          <w:lang w:val="en-US"/>
        </w:rPr>
        <w:t>-1</w:t>
      </w:r>
      <w:r w:rsidR="00AF7B7E" w:rsidRPr="009D7554">
        <w:rPr>
          <w:rFonts w:ascii="Book Antiqua" w:hAnsi="Book Antiqua"/>
          <w:vertAlign w:val="superscript"/>
          <w:lang w:val="en-US"/>
        </w:rPr>
        <w:t xml:space="preserve"> </w:t>
      </w:r>
      <w:r w:rsidR="009A70D4" w:rsidRPr="009D7554">
        <w:rPr>
          <w:rFonts w:ascii="Book Antiqua" w:hAnsi="Book Antiqua"/>
          <w:lang w:val="en-US"/>
        </w:rPr>
        <w:t>±</w:t>
      </w:r>
      <w:r w:rsidR="000D666A" w:rsidRPr="009D7554">
        <w:rPr>
          <w:rFonts w:ascii="Book Antiqua" w:hAnsi="Book Antiqua"/>
          <w:lang w:val="en-US"/>
        </w:rPr>
        <w:t xml:space="preserve"> 0.116; Ve</w:t>
      </w:r>
      <w:r w:rsidR="00502E2D" w:rsidRPr="009D7554">
        <w:rPr>
          <w:rFonts w:ascii="Book Antiqua" w:hAnsi="Book Antiqua"/>
          <w:lang w:val="en-US"/>
        </w:rPr>
        <w:t>:</w:t>
      </w:r>
      <w:r w:rsidR="000D666A" w:rsidRPr="009D7554">
        <w:rPr>
          <w:rFonts w:ascii="Book Antiqua" w:hAnsi="Book Antiqua"/>
          <w:lang w:val="en-US"/>
        </w:rPr>
        <w:t xml:space="preserve"> 0.399</w:t>
      </w:r>
      <w:r w:rsidR="00AF7B7E" w:rsidRPr="009D7554">
        <w:rPr>
          <w:rFonts w:ascii="Book Antiqua" w:hAnsi="Book Antiqua"/>
          <w:lang w:val="en-US"/>
        </w:rPr>
        <w:t xml:space="preserve"> </w:t>
      </w:r>
      <w:r w:rsidR="009A70D4" w:rsidRPr="009D7554">
        <w:rPr>
          <w:rFonts w:ascii="Book Antiqua" w:hAnsi="Book Antiqua"/>
          <w:lang w:val="en-US"/>
        </w:rPr>
        <w:t>±</w:t>
      </w:r>
      <w:r w:rsidR="00AF7B7E" w:rsidRPr="009D7554">
        <w:rPr>
          <w:rFonts w:ascii="Book Antiqua" w:hAnsi="Book Antiqua"/>
          <w:lang w:val="en-US"/>
        </w:rPr>
        <w:t xml:space="preserve"> </w:t>
      </w:r>
      <w:r w:rsidR="000D666A" w:rsidRPr="009D7554">
        <w:rPr>
          <w:rFonts w:ascii="Book Antiqua" w:hAnsi="Book Antiqua"/>
          <w:lang w:val="en-US"/>
        </w:rPr>
        <w:t xml:space="preserve">0.118 </w:t>
      </w:r>
      <w:r w:rsidR="004C4C0F" w:rsidRPr="009D7554">
        <w:rPr>
          <w:rFonts w:ascii="Book Antiqua" w:hAnsi="Book Antiqua"/>
          <w:i/>
          <w:iCs/>
          <w:lang w:val="en-US"/>
        </w:rPr>
        <w:t>vs</w:t>
      </w:r>
      <w:r w:rsidR="000D666A" w:rsidRPr="009D7554">
        <w:rPr>
          <w:rFonts w:ascii="Book Antiqua" w:hAnsi="Book Antiqua"/>
          <w:lang w:val="en-US"/>
        </w:rPr>
        <w:t xml:space="preserve"> 0.203 </w:t>
      </w:r>
      <w:r w:rsidR="009A70D4" w:rsidRPr="009D7554">
        <w:rPr>
          <w:rFonts w:ascii="Book Antiqua" w:hAnsi="Book Antiqua"/>
          <w:lang w:val="en-US"/>
        </w:rPr>
        <w:t>±</w:t>
      </w:r>
      <w:r w:rsidR="00AF7B7E" w:rsidRPr="009D7554">
        <w:rPr>
          <w:rFonts w:ascii="Book Antiqua" w:hAnsi="Book Antiqua"/>
          <w:lang w:val="en-US"/>
        </w:rPr>
        <w:t xml:space="preserve"> </w:t>
      </w:r>
      <w:r w:rsidR="00357531" w:rsidRPr="009D7554">
        <w:rPr>
          <w:rFonts w:ascii="Book Antiqua" w:hAnsi="Book Antiqua"/>
          <w:bCs/>
          <w:lang w:val="en-US"/>
        </w:rPr>
        <w:t xml:space="preserve">0.096). Conversely, Yang </w:t>
      </w:r>
      <w:r w:rsidR="00ED7E07"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{"citationItems":[{"id":"ITEM-1","itemData":{"DOI":"10.2214/AJR.18.19866","ISSN":"1546-3141","PMID":"30354269","abstract":"OBJECTIVE The aim of this study was to discriminate metastatic from nonmetastatic regional lymph nodes (LNs) with short-axis diameters of less than 5 mm in rectal cancer using quantitative parameters derived from dynamic contrast-enhanced (DCE) MRI. SUBJECTS AND METHODS Sixty-five LNs from 122 patients were evaluated, including malignant LNs (n = 27) and benign LNs (n = 38). The following parameters were assessed: the forward volume transfer constant (Ktrans), reverse volume transfer constant (kep), fractional extravascular extracellular space volume (Ve), short-axis diameter, long-axis diameter, and short- to long-axis diameter ratio. ROC curves were used to analyze statistically significant parameters. RESULTS Metastatic LNs exhibited a lower Ktrans than did nonmetastatic LNs (p &lt; 0.001), but the other parameters were not significantly different between the two groups. The AUC of the Ktrans was 0.732, with a 95% CI of 0.610-0.854, and the diagnostic cutoff value was 0.088 min-1 (sensitivity, 60.5%; specificity, 81.5%). CONCLUSION Ktrans had moderate diagnostic performance in assessing small regional LNs in rectal cancer and appears to be a useful predictor when distinguishing malignant LNs from benign LNs only by morphology is difficult.","author":[{"dropping-particle":"","family":"Yang","given":"Xinyue","non-dropping-particle":"","parse-names":false,"suffix":""},{"dropping-particle":"","family":"Chen","given":"Yan","non-dropping-particle":"","parse-names":false,"suffix":""},{"dropping-particle":"","family":"Wen","given":"Ziqiang","non-dropping-particle":"","parse-names":false,"suffix":""},{"dropping-particle":"","family":"Lu","given":"Baolan","non-dropping-particle":"","parse-names":false,"suffix":""},{"dropping-particle":"","family":"Shen","given":"Bingqi","non-dropping-particle":"","parse-names":false,"suffix":""},{"dropping-particle":"","family":"Xiao","given":"Xiaojuan","non-dropping-particle":"","parse-names":false,"suffix":""},{"dropping-particle":"","family":"Yu","given":"Shenping","non-dropping-particle":"","parse-names":false,"suffix":""}],"container-title":"AJR. American journal of roentgenology","id":"ITEM-1","issue":"1","issued":{"date-parts":[["2019","1"]]},"page":"77-83","title":"Role of Quantitative Dynamic Contrast-Enhanced MRI in Evaluating Regional Lymph Nodes With a Short-Axis Diameter of Less Than 5 mm in Rectal Cancer.","type":"article-journal","volume":"212"},"uris":["http://www.mendeley.com/documents/?uuid=b9fdab22-1202-489c-a928-83dd893bdf17"]}],"mendeley":{"formattedCitation":"&lt;sup&gt;[54]&lt;/sup&gt;","plainTextFormattedCitation":"[54]","previouslyFormattedCitation":"&lt;sup&gt;[54]&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[54]</w:t>
      </w:r>
      <w:r w:rsidR="00A75298" w:rsidRPr="009D7554">
        <w:rPr>
          <w:rFonts w:ascii="Book Antiqua" w:hAnsi="Book Antiqua"/>
          <w:i/>
          <w:lang w:val="en-US"/>
        </w:rPr>
        <w:fldChar w:fldCharType="end"/>
      </w:r>
      <w:r w:rsidR="003E59BE" w:rsidRPr="009D7554">
        <w:rPr>
          <w:rFonts w:ascii="Book Antiqua" w:hAnsi="Book Antiqua"/>
          <w:lang w:val="en-US"/>
        </w:rPr>
        <w:t xml:space="preserve"> demonstrated that </w:t>
      </w:r>
      <w:r w:rsidR="00E61542" w:rsidRPr="009D7554">
        <w:rPr>
          <w:rFonts w:ascii="Book Antiqua" w:hAnsi="Book Antiqua"/>
          <w:lang w:val="en-US"/>
        </w:rPr>
        <w:t xml:space="preserve">the </w:t>
      </w:r>
      <w:r w:rsidR="003E59BE" w:rsidRPr="009D7554">
        <w:rPr>
          <w:rFonts w:ascii="Book Antiqua" w:hAnsi="Book Antiqua"/>
          <w:lang w:val="en-US"/>
        </w:rPr>
        <w:t xml:space="preserve">Ktrans values were significantly lower in metastatic lymph nodes from RC </w:t>
      </w:r>
      <w:r w:rsidR="00E61542" w:rsidRPr="009D7554">
        <w:rPr>
          <w:rFonts w:ascii="Book Antiqua" w:hAnsi="Book Antiqua"/>
          <w:lang w:val="en-US"/>
        </w:rPr>
        <w:t xml:space="preserve">during </w:t>
      </w:r>
      <w:r w:rsidR="003E59BE" w:rsidRPr="009D7554">
        <w:rPr>
          <w:rFonts w:ascii="Book Antiqua" w:hAnsi="Book Antiqua"/>
          <w:lang w:val="en-US"/>
        </w:rPr>
        <w:t xml:space="preserve">perfusion MRI </w:t>
      </w:r>
      <w:r w:rsidR="00E61542" w:rsidRPr="009D7554">
        <w:rPr>
          <w:rFonts w:ascii="Book Antiqua" w:hAnsi="Book Antiqua"/>
          <w:lang w:val="en-US"/>
        </w:rPr>
        <w:t xml:space="preserve">of </w:t>
      </w:r>
      <w:r w:rsidR="003E59BE" w:rsidRPr="009D7554">
        <w:rPr>
          <w:rFonts w:ascii="Book Antiqua" w:hAnsi="Book Antiqua"/>
          <w:lang w:val="en-US"/>
        </w:rPr>
        <w:t xml:space="preserve">lymph nodes with short axis </w:t>
      </w:r>
      <w:r w:rsidR="001F0F25" w:rsidRPr="009D7554">
        <w:rPr>
          <w:rFonts w:ascii="Book Antiqua" w:hAnsi="Book Antiqua"/>
          <w:lang w:val="en-US"/>
        </w:rPr>
        <w:t>diameters</w:t>
      </w:r>
      <w:r w:rsidR="003E59BE" w:rsidRPr="009D7554">
        <w:rPr>
          <w:rFonts w:ascii="Book Antiqua" w:hAnsi="Book Antiqua"/>
          <w:lang w:val="en-US"/>
        </w:rPr>
        <w:t xml:space="preserve"> &lt; </w:t>
      </w:r>
      <w:smartTag w:uri="urn:schemas-microsoft-com:office:smarttags" w:element="metricconverter">
        <w:smartTagPr>
          <w:attr w:name="ProductID" w:val="5 mm"/>
        </w:smartTagPr>
        <w:r w:rsidR="003E59BE" w:rsidRPr="009D7554">
          <w:rPr>
            <w:rFonts w:ascii="Book Antiqua" w:hAnsi="Book Antiqua"/>
            <w:lang w:val="en-US"/>
          </w:rPr>
          <w:t>5 mm</w:t>
        </w:r>
      </w:smartTag>
      <w:r w:rsidR="003E59BE" w:rsidRPr="009D7554">
        <w:rPr>
          <w:rFonts w:ascii="Book Antiqua" w:hAnsi="Book Antiqua"/>
          <w:lang w:val="en-US"/>
        </w:rPr>
        <w:t xml:space="preserve">. However, </w:t>
      </w:r>
      <w:r w:rsidR="00E61542" w:rsidRPr="009D7554">
        <w:rPr>
          <w:rFonts w:ascii="Book Antiqua" w:hAnsi="Book Antiqua"/>
          <w:lang w:val="en-US"/>
        </w:rPr>
        <w:t xml:space="preserve">when </w:t>
      </w:r>
      <w:r w:rsidR="003E59BE" w:rsidRPr="009D7554">
        <w:rPr>
          <w:rFonts w:ascii="Book Antiqua" w:hAnsi="Book Antiqua"/>
          <w:lang w:val="en-US"/>
        </w:rPr>
        <w:t>using a Ktrans cut-off value of 0.088 min</w:t>
      </w:r>
      <w:r w:rsidR="003E59BE" w:rsidRPr="009D7554">
        <w:rPr>
          <w:rFonts w:ascii="Book Antiqua" w:hAnsi="Book Antiqua"/>
          <w:vertAlign w:val="superscript"/>
          <w:lang w:val="en-US"/>
        </w:rPr>
        <w:t xml:space="preserve">-1 </w:t>
      </w:r>
      <w:r w:rsidR="006A28B2" w:rsidRPr="009D7554">
        <w:rPr>
          <w:rFonts w:ascii="Book Antiqua" w:hAnsi="Book Antiqua"/>
          <w:lang w:val="en-US"/>
        </w:rPr>
        <w:t>to differentiate between positive and negative lymph nodes, a sensitivity of 60</w:t>
      </w:r>
      <w:r w:rsidR="001F0F25" w:rsidRPr="009D7554">
        <w:rPr>
          <w:rFonts w:ascii="Book Antiqua" w:hAnsi="Book Antiqua"/>
          <w:lang w:val="en-US"/>
        </w:rPr>
        <w:t>.</w:t>
      </w:r>
      <w:r w:rsidR="006A28B2" w:rsidRPr="009D7554">
        <w:rPr>
          <w:rFonts w:ascii="Book Antiqua" w:hAnsi="Book Antiqua"/>
          <w:lang w:val="en-US"/>
        </w:rPr>
        <w:t>5% and a specificity of 81</w:t>
      </w:r>
      <w:r w:rsidR="001F0F25" w:rsidRPr="009D7554">
        <w:rPr>
          <w:rFonts w:ascii="Book Antiqua" w:hAnsi="Book Antiqua"/>
          <w:lang w:val="en-US"/>
        </w:rPr>
        <w:t>.</w:t>
      </w:r>
      <w:r w:rsidR="006A28B2" w:rsidRPr="009D7554">
        <w:rPr>
          <w:rFonts w:ascii="Book Antiqua" w:hAnsi="Book Antiqua"/>
          <w:lang w:val="en-US"/>
        </w:rPr>
        <w:t>5% were observed.</w:t>
      </w:r>
    </w:p>
    <w:p w:rsidR="006A28B2" w:rsidRPr="009D7554" w:rsidRDefault="006A28B2" w:rsidP="006A253E">
      <w:pPr>
        <w:widowControl w:val="0"/>
        <w:autoSpaceDE w:val="0"/>
        <w:autoSpaceDN w:val="0"/>
        <w:adjustRightInd w:val="0"/>
        <w:snapToGrid w:val="0"/>
        <w:spacing w:line="360" w:lineRule="auto"/>
        <w:jc w:val="both"/>
        <w:rPr>
          <w:rFonts w:ascii="Book Antiqua" w:hAnsi="Book Antiqua"/>
          <w:bCs/>
          <w:i/>
          <w:iCs/>
          <w:lang w:val="en-US"/>
        </w:rPr>
      </w:pPr>
    </w:p>
    <w:p w:rsidR="009D7E3B" w:rsidRPr="009D7554" w:rsidRDefault="004E768B" w:rsidP="006A253E">
      <w:pPr>
        <w:widowControl w:val="0"/>
        <w:autoSpaceDE w:val="0"/>
        <w:autoSpaceDN w:val="0"/>
        <w:adjustRightInd w:val="0"/>
        <w:snapToGrid w:val="0"/>
        <w:spacing w:line="360" w:lineRule="auto"/>
        <w:jc w:val="both"/>
        <w:rPr>
          <w:rFonts w:ascii="Book Antiqua" w:hAnsi="Book Antiqua"/>
          <w:bCs/>
          <w:lang w:val="en-US"/>
        </w:rPr>
      </w:pPr>
      <w:r w:rsidRPr="009D7554">
        <w:rPr>
          <w:rFonts w:ascii="Book Antiqua" w:hAnsi="Book Antiqua"/>
          <w:b/>
          <w:lang w:val="en-US"/>
        </w:rPr>
        <w:t>Hybrid</w:t>
      </w:r>
      <w:r w:rsidR="004C4C0F" w:rsidRPr="009D7554">
        <w:rPr>
          <w:rFonts w:ascii="Book Antiqua" w:hAnsi="Book Antiqua"/>
          <w:b/>
          <w:lang w:val="en-US"/>
        </w:rPr>
        <w:t xml:space="preserve"> i</w:t>
      </w:r>
      <w:r w:rsidRPr="009D7554">
        <w:rPr>
          <w:rFonts w:ascii="Book Antiqua" w:hAnsi="Book Antiqua"/>
          <w:b/>
          <w:lang w:val="en-US"/>
        </w:rPr>
        <w:t>maging</w:t>
      </w:r>
      <w:r w:rsidR="004C4C0F" w:rsidRPr="009D7554">
        <w:rPr>
          <w:rFonts w:ascii="Book Antiqua" w:eastAsia="等线" w:hAnsi="Book Antiqua" w:hint="eastAsia"/>
          <w:b/>
          <w:lang w:val="en-US" w:eastAsia="zh-CN"/>
        </w:rPr>
        <w:t>:</w:t>
      </w:r>
      <w:r w:rsidR="004C4C0F" w:rsidRPr="009D7554">
        <w:rPr>
          <w:rFonts w:ascii="Book Antiqua" w:eastAsia="等线" w:hAnsi="Book Antiqua"/>
          <w:b/>
          <w:lang w:val="en-US" w:eastAsia="zh-CN"/>
        </w:rPr>
        <w:t xml:space="preserve"> </w:t>
      </w:r>
      <w:r w:rsidR="00E61542" w:rsidRPr="009D7554">
        <w:rPr>
          <w:rFonts w:ascii="Book Antiqua" w:hAnsi="Book Antiqua"/>
          <w:bCs/>
          <w:lang w:val="en-US"/>
        </w:rPr>
        <w:t>Q</w:t>
      </w:r>
      <w:r w:rsidR="00971376" w:rsidRPr="009D7554">
        <w:rPr>
          <w:rFonts w:ascii="Book Antiqua" w:hAnsi="Book Antiqua"/>
          <w:bCs/>
          <w:lang w:val="en-US"/>
        </w:rPr>
        <w:t xml:space="preserve">ualitative evaluation </w:t>
      </w:r>
      <w:r w:rsidR="00E61542" w:rsidRPr="009D7554">
        <w:rPr>
          <w:rFonts w:ascii="Book Antiqua" w:hAnsi="Book Antiqua"/>
          <w:bCs/>
          <w:lang w:val="en-US"/>
        </w:rPr>
        <w:t xml:space="preserve">with </w:t>
      </w:r>
      <w:r w:rsidR="00B500E5" w:rsidRPr="009D7554">
        <w:rPr>
          <w:rFonts w:ascii="Book Antiqua" w:hAnsi="Book Antiqua"/>
          <w:position w:val="10"/>
          <w:sz w:val="16"/>
          <w:szCs w:val="16"/>
          <w:lang w:val="en-US"/>
        </w:rPr>
        <w:t>18</w:t>
      </w:r>
      <w:r w:rsidR="00737F58" w:rsidRPr="009D7554">
        <w:rPr>
          <w:rFonts w:ascii="Book Antiqua" w:hAnsi="Book Antiqua"/>
          <w:bCs/>
          <w:lang w:val="en-US"/>
        </w:rPr>
        <w:t xml:space="preserve">FDG-PET/CT for </w:t>
      </w:r>
      <w:r w:rsidR="00E61542" w:rsidRPr="009D7554">
        <w:rPr>
          <w:rFonts w:ascii="Book Antiqua" w:hAnsi="Book Antiqua"/>
          <w:bCs/>
          <w:lang w:val="en-US"/>
        </w:rPr>
        <w:t xml:space="preserve">the assessment of </w:t>
      </w:r>
      <w:r w:rsidR="00737F58" w:rsidRPr="009D7554">
        <w:rPr>
          <w:rFonts w:ascii="Book Antiqua" w:hAnsi="Book Antiqua"/>
          <w:bCs/>
          <w:lang w:val="en-US"/>
        </w:rPr>
        <w:t xml:space="preserve">nodal involvement has limited advantages compared to </w:t>
      </w:r>
      <w:r w:rsidR="00E61542" w:rsidRPr="009D7554">
        <w:rPr>
          <w:rFonts w:ascii="Book Antiqua" w:hAnsi="Book Antiqua"/>
          <w:bCs/>
          <w:lang w:val="en-US"/>
        </w:rPr>
        <w:t xml:space="preserve">evaluation with </w:t>
      </w:r>
      <w:r w:rsidR="00737F58" w:rsidRPr="009D7554">
        <w:rPr>
          <w:rFonts w:ascii="Book Antiqua" w:hAnsi="Book Antiqua"/>
          <w:bCs/>
          <w:lang w:val="en-US"/>
        </w:rPr>
        <w:t>CT</w:t>
      </w:r>
      <w:r w:rsidR="00A75298" w:rsidRPr="009D7554">
        <w:rPr>
          <w:rFonts w:ascii="Book Antiqua" w:hAnsi="Book Antiqua"/>
          <w:bCs/>
          <w:lang w:val="en-US"/>
        </w:rPr>
        <w:fldChar w:fldCharType="begin" w:fldLock="1"/>
      </w:r>
      <w:r w:rsidR="006821F4" w:rsidRPr="009D7554">
        <w:rPr>
          <w:rFonts w:ascii="Book Antiqua" w:hAnsi="Book Antiqua"/>
          <w:bCs/>
          <w:lang w:val="en-US"/>
        </w:rPr>
        <w:instrText>ADDIN CSL_CITATION {"citationItems":[{"id":"ITEM-1","itemData":{"DOI":"10.1097/MNM.0b013e328357b2d9","ISSN":"0143-3636","PMID":"23000829","author":[{"dropping-particle":"","family":"Lu","given":"Yu-Yu","non-dropping-particle":"","parse-names":false,"suffix":""},{"dropping-particle":"","family":"Chen","given":"Jin-Hua","non-dropping-particle":"","parse-names":false,"suffix":""},{"dropping-particle":"","family":"Ding","given":"Hueisch-Jy","non-dropping-particle":"","parse-names":false,"suffix":""},{"dropping-particle":"","family":"Chien","given":"Chun-Ru","non-dropping-particle":"","parse-names":false,"suffix":""},{"dropping-particle":"","family":"Lin","given":"Wan-Yu","non-dropping-particle":"","parse-names":false,"suffix":""},{"dropping-particle":"","family":"Kao","given":"Chia-Hung","non-dropping-particle":"","parse-names":false,"suffix":""}],"container-title":"Nuclear Medicine Communications","id":"ITEM-1","issue":"11","issued":{"date-parts":[["2012","11"]]},"page":"1127-1133","title":"A systematic review and meta-analysis of pretherapeutic lymph node staging of colorectal cancer by 18F-FDG PET or PET/CT","type":"article-journal","volume":"33"},"uris":["http://www.mendeley.com/documents/?uuid=8ba1c8a3-cc1a-4fe6-b0fb-da2d0e4e2e76"]},{"id":"ITEM-2","itemData":{"DOI":"10.3393/ac.2014.30.6.259","ISSN":"2287-9714","PMID":"25580412","author":[{"dropping-particle":"","family":"Yi","given":"Hee Jung","non-dropping-particle":"","parse-names":false,"suffix":""},{"dropping-particle":"","family":"Hong","given":"Kyung Sook","non-dropping-particle":"","parse-names":false,"suffix":""},{"dropping-particle":"","family":"Moon","given":"Nara","non-dropping-particle":"","parse-names":false,"suffix":""},{"dropping-particle":"","family":"Chung","given":"Soon Sup","non-dropping-particle":"","parse-names":false,"suffix":""},{"dropping-particle":"","family":"Lee","given":"Ryung-Ah","non-dropping-particle":"","parse-names":false,"suffix":""},{"dropping-particle":"","family":"Kim","given":"Kwang Ho","non-dropping-particle":"","parse-names":false,"suffix":""}],"container-title":"Annals of Coloproctology","id":"ITEM-2","issue":"6","issued":{"date-parts":[["2014"]]},"page":"259","title":"Reliability of 18 F-Fluorodeoxyglucose Positron Emission Tomography/Computed Tomography in the Nodal Staging of Colorectal Cancer Patients","type":"article-journal","volume":"30"},"uris":["http://www.mendeley.com/documents/?uuid=96f7bc42-9439-4e89-b7b4-161e47259e92"]}],"mendeley":{"formattedCitation":"&lt;sup&gt;[56,57]&lt;/sup&gt;","plainTextFormattedCitation":"[56,57]","previouslyFormattedCitation":"&lt;sup&gt;[56,57]&lt;/sup&gt;"},"properties":{"noteIndex":0},"schema":"https://github.com/citation-style-language/schema/raw/master/csl-citation.json"}</w:instrText>
      </w:r>
      <w:r w:rsidR="00A75298" w:rsidRPr="009D7554">
        <w:rPr>
          <w:rFonts w:ascii="Book Antiqua" w:hAnsi="Book Antiqua"/>
          <w:bCs/>
          <w:lang w:val="en-US"/>
        </w:rPr>
        <w:fldChar w:fldCharType="separate"/>
      </w:r>
      <w:r w:rsidR="000D56F8" w:rsidRPr="009D7554">
        <w:rPr>
          <w:rFonts w:ascii="Book Antiqua" w:hAnsi="Book Antiqua"/>
          <w:bCs/>
          <w:vertAlign w:val="superscript"/>
          <w:lang w:val="en-US"/>
        </w:rPr>
        <w:t>[56,57]</w:t>
      </w:r>
      <w:r w:rsidR="00A75298" w:rsidRPr="009D7554">
        <w:rPr>
          <w:rFonts w:ascii="Book Antiqua" w:hAnsi="Book Antiqua"/>
          <w:bCs/>
          <w:lang w:val="en-US"/>
        </w:rPr>
        <w:fldChar w:fldCharType="end"/>
      </w:r>
      <w:r w:rsidR="00971376" w:rsidRPr="009D7554">
        <w:rPr>
          <w:rFonts w:ascii="Book Antiqua" w:hAnsi="Book Antiqua"/>
          <w:lang w:val="en-US"/>
        </w:rPr>
        <w:t xml:space="preserve">, but a quantitative approach might be </w:t>
      </w:r>
      <w:r w:rsidR="00E61542" w:rsidRPr="009D7554">
        <w:rPr>
          <w:rFonts w:ascii="Book Antiqua" w:hAnsi="Book Antiqua"/>
          <w:lang w:val="en-US"/>
        </w:rPr>
        <w:t xml:space="preserve">utilized </w:t>
      </w:r>
      <w:r w:rsidR="00971376" w:rsidRPr="009D7554">
        <w:rPr>
          <w:rFonts w:ascii="Book Antiqua" w:hAnsi="Book Antiqua"/>
          <w:lang w:val="en-US"/>
        </w:rPr>
        <w:t xml:space="preserve">to overcome this limitation. Tsunoda </w:t>
      </w:r>
      <w:r w:rsidR="009D7E3B" w:rsidRPr="009D7554">
        <w:rPr>
          <w:rFonts w:ascii="Book Antiqua" w:hAnsi="Book Antiqua"/>
          <w:bCs/>
          <w:i/>
          <w:lang w:val="en-US"/>
        </w:rPr>
        <w:t>et al</w:t>
      </w:r>
      <w:r w:rsidR="00A75298" w:rsidRPr="009D7554">
        <w:rPr>
          <w:rFonts w:ascii="Book Antiqua" w:hAnsi="Book Antiqua"/>
          <w:bCs/>
          <w:i/>
          <w:lang w:val="en-US"/>
        </w:rPr>
        <w:fldChar w:fldCharType="begin" w:fldLock="1"/>
      </w:r>
      <w:r w:rsidR="006821F4" w:rsidRPr="009D7554">
        <w:rPr>
          <w:rFonts w:ascii="Book Antiqua" w:hAnsi="Book Antiqua"/>
          <w:bCs/>
          <w:i/>
          <w:lang w:val="en-US"/>
        </w:rPr>
        <w:instrText>ADDIN CSL_CITATION {"citationItems":[{"id":"ITEM-1","itemData":{"DOI":"10.1093/jjco/hyn032","ISSN":"1465-3621","PMID":"18424814","abstract":"PURPOSE The purpose of this study was to assess the diagnostic value of 18F-fluorodeoxyglucose positron emission tomography/computed tomography (FDG-PET/CT) for lymph node (LN) metastasis of colorectal cancer. METHODS FDG-PET/CT was used to preoperatively evaluate 88 patients with colorectal cancer. In this study, LN sites were divided into proximal and distant according to their distance from the primary tumor. The FDG-PET/CT images were evaluated by three criteria; nodal diameter, abnormal uptake and maximum standardized uptake value (SUV). We compared the diagnostic ability of these methods for LN metastasis at proximal and distant sites. RESULTS The mean SUV of the malignant LNs was significantly higher than that of the benign LNs. The sensitivity, specificity and accuracy of diagnosis by abnormal uptake were 28.6, 92.9 and 75.0%, those by nodal diameter using cutoff value of 10 mm were 30.6, 95.3 and 74.4% and those by SUV using cutoff value of 1.5 were 53.1, 90.6 and 80.1%, respectively. The sensitivity, specificity and accuracy of diagnosis based on optimal SUV were 51.2, 85.1 and 69.3% in the proximal site and 62.5, 92.5 and 89.7%, respectively, in the distant site. CONCLUSIONS FDG-PET/CT is useful for preoperative diagnosis of distant LN metastases of colorectal cancers.","author":[{"dropping-particle":"","family":"Tsunoda","given":"Yoshiyuki","non-dropping-particle":"","parse-names":false,"suffix":""},{"dropping-particle":"","family":"Ito","given":"Masaaki","non-dropping-particle":"","parse-names":false,"suffix":""},{"dropping-particle":"","family":"Fujii","given":"Hirofumi","non-dropping-particle":"","parse-names":false,"suffix":""},{"dropping-particle":"","family":"Kuwano","given":"Hiroyuki","non-dropping-particle":"","parse-names":false,"suffix":""},{"dropping-particle":"","family":"Saito","given":"Norio","non-dropping-particle":"","parse-names":false,"suffix":""}],"container-title":"Japanese journal of clinical oncology","id":"ITEM-1","issue":"5","issued":{"date-parts":[["2008","5"]]},"page":"347-53","title":"Preoperative diagnosis of lymph node metastases of colorectal cancer by FDG-PET/CT.","type":"article-journal","volume":"38"},"uris":["http://www.mendeley.com/documents/?uuid=41043a61-5a48-4fd0-b48f-ee1fd10e4c51"]}],"mendeley":{"formattedCitation":"&lt;sup&gt;[58]&lt;/sup&gt;","plainTextFormattedCitation":"[58]","previouslyFormattedCitation":"&lt;sup&gt;[58]&lt;/sup&gt;"},"properties":{"noteIndex":0},"schema":"https://github.com/citation-style-language/schema/raw/master/csl-citation.json"}</w:instrText>
      </w:r>
      <w:r w:rsidR="00A75298" w:rsidRPr="009D7554">
        <w:rPr>
          <w:rFonts w:ascii="Book Antiqua" w:hAnsi="Book Antiqua"/>
          <w:bCs/>
          <w:i/>
          <w:lang w:val="en-US"/>
        </w:rPr>
        <w:fldChar w:fldCharType="separate"/>
      </w:r>
      <w:r w:rsidR="000D56F8" w:rsidRPr="009D7554">
        <w:rPr>
          <w:rFonts w:ascii="Book Antiqua" w:hAnsi="Book Antiqua"/>
          <w:bCs/>
          <w:vertAlign w:val="superscript"/>
          <w:lang w:val="en-US"/>
        </w:rPr>
        <w:t>[58]</w:t>
      </w:r>
      <w:r w:rsidR="00A75298" w:rsidRPr="009D7554">
        <w:rPr>
          <w:rFonts w:ascii="Book Antiqua" w:hAnsi="Book Antiqua"/>
          <w:bCs/>
          <w:i/>
          <w:lang w:val="en-US"/>
        </w:rPr>
        <w:fldChar w:fldCharType="end"/>
      </w:r>
      <w:r w:rsidR="00971376" w:rsidRPr="009D7554">
        <w:rPr>
          <w:rFonts w:ascii="Book Antiqua" w:hAnsi="Book Antiqua"/>
          <w:bCs/>
          <w:i/>
          <w:lang w:val="en-US"/>
        </w:rPr>
        <w:t xml:space="preserve"> </w:t>
      </w:r>
      <w:r w:rsidR="00944C9B" w:rsidRPr="009D7554">
        <w:rPr>
          <w:rFonts w:ascii="Book Antiqua" w:hAnsi="Book Antiqua"/>
          <w:bCs/>
          <w:lang w:val="en-US"/>
        </w:rPr>
        <w:t xml:space="preserve">compared the diagnostic accuracy of visual analysis and SUVmax </w:t>
      </w:r>
      <w:r w:rsidR="00E61542" w:rsidRPr="009D7554">
        <w:rPr>
          <w:rFonts w:ascii="Book Antiqua" w:hAnsi="Book Antiqua"/>
          <w:bCs/>
          <w:lang w:val="en-US"/>
        </w:rPr>
        <w:t xml:space="preserve">evaluation </w:t>
      </w:r>
      <w:r w:rsidR="00944C9B" w:rsidRPr="009D7554">
        <w:rPr>
          <w:rFonts w:ascii="Book Antiqua" w:hAnsi="Book Antiqua"/>
          <w:bCs/>
          <w:lang w:val="en-US"/>
        </w:rPr>
        <w:t xml:space="preserve">for lymph node metastases using </w:t>
      </w:r>
      <w:r w:rsidR="00944C9B" w:rsidRPr="009D7554">
        <w:rPr>
          <w:rFonts w:ascii="Book Antiqua" w:hAnsi="Book Antiqua"/>
          <w:position w:val="10"/>
          <w:sz w:val="16"/>
          <w:szCs w:val="16"/>
          <w:lang w:val="en-US"/>
        </w:rPr>
        <w:t>18</w:t>
      </w:r>
      <w:r w:rsidR="00022B8D" w:rsidRPr="009D7554">
        <w:rPr>
          <w:rFonts w:ascii="Book Antiqua" w:hAnsi="Book Antiqua"/>
          <w:lang w:val="en-US"/>
        </w:rPr>
        <w:t>FDG-PET/CT in patients with CRC. The sensitivity, specificity and accuracy were 28.6%, 92.9% and 75.</w:t>
      </w:r>
      <w:r w:rsidR="001F0F25" w:rsidRPr="009D7554">
        <w:rPr>
          <w:rFonts w:ascii="Book Antiqua" w:hAnsi="Book Antiqua"/>
          <w:lang w:val="en-US"/>
        </w:rPr>
        <w:t>0%</w:t>
      </w:r>
      <w:r w:rsidR="00022B8D" w:rsidRPr="009D7554">
        <w:rPr>
          <w:rFonts w:ascii="Book Antiqua" w:hAnsi="Book Antiqua"/>
          <w:lang w:val="en-US"/>
        </w:rPr>
        <w:t xml:space="preserve">, respectively, </w:t>
      </w:r>
      <w:r w:rsidR="00E61542" w:rsidRPr="009D7554">
        <w:rPr>
          <w:rFonts w:ascii="Book Antiqua" w:hAnsi="Book Antiqua"/>
          <w:lang w:val="en-US"/>
        </w:rPr>
        <w:t xml:space="preserve">when </w:t>
      </w:r>
      <w:r w:rsidR="00022B8D" w:rsidRPr="009D7554">
        <w:rPr>
          <w:rFonts w:ascii="Book Antiqua" w:hAnsi="Book Antiqua"/>
          <w:lang w:val="en-US"/>
        </w:rPr>
        <w:t xml:space="preserve">using </w:t>
      </w:r>
      <w:r w:rsidR="001F0F25" w:rsidRPr="009D7554">
        <w:rPr>
          <w:rFonts w:ascii="Book Antiqua" w:hAnsi="Book Antiqua"/>
          <w:lang w:val="en-US"/>
        </w:rPr>
        <w:t xml:space="preserve">a </w:t>
      </w:r>
      <w:r w:rsidR="00022B8D" w:rsidRPr="009D7554">
        <w:rPr>
          <w:rFonts w:ascii="Book Antiqua" w:hAnsi="Book Antiqua"/>
          <w:lang w:val="en-US"/>
        </w:rPr>
        <w:t xml:space="preserve">visual approach, while they were 53.1%, 90.6% and 80.1%, respectively, </w:t>
      </w:r>
      <w:r w:rsidR="00E61542" w:rsidRPr="009D7554">
        <w:rPr>
          <w:rFonts w:ascii="Book Antiqua" w:hAnsi="Book Antiqua"/>
          <w:lang w:val="en-US"/>
        </w:rPr>
        <w:t xml:space="preserve">when </w:t>
      </w:r>
      <w:r w:rsidR="00022B8D" w:rsidRPr="009D7554">
        <w:rPr>
          <w:rFonts w:ascii="Book Antiqua" w:hAnsi="Book Antiqua"/>
          <w:lang w:val="en-US"/>
        </w:rPr>
        <w:t>using a SUVmax cut-off value of 1.5. The mean SUVmax of the malignant lymph nodes (6.3; range: 1.0</w:t>
      </w:r>
      <w:r w:rsidR="00AF7B7E" w:rsidRPr="009D7554">
        <w:rPr>
          <w:rFonts w:ascii="Book Antiqua" w:hAnsi="Book Antiqua"/>
          <w:lang w:val="en-US"/>
        </w:rPr>
        <w:t>-</w:t>
      </w:r>
      <w:r w:rsidR="00022B8D" w:rsidRPr="009D7554">
        <w:rPr>
          <w:rFonts w:ascii="Book Antiqua" w:hAnsi="Book Antiqua"/>
          <w:lang w:val="en-US"/>
        </w:rPr>
        <w:t xml:space="preserve">33.8) was significantly higher than that of the benign </w:t>
      </w:r>
      <w:r w:rsidR="001F0F25" w:rsidRPr="009D7554">
        <w:rPr>
          <w:rFonts w:ascii="Book Antiqua" w:hAnsi="Book Antiqua"/>
          <w:lang w:val="en-US"/>
        </w:rPr>
        <w:t>lymph nodes</w:t>
      </w:r>
      <w:r w:rsidR="00022B8D" w:rsidRPr="009D7554">
        <w:rPr>
          <w:rFonts w:ascii="Book Antiqua" w:hAnsi="Book Antiqua"/>
          <w:lang w:val="en-US"/>
        </w:rPr>
        <w:t xml:space="preserve"> (2.5; range: 1.3</w:t>
      </w:r>
      <w:r w:rsidR="00AF7B7E" w:rsidRPr="009D7554">
        <w:rPr>
          <w:rFonts w:ascii="Book Antiqua" w:hAnsi="Book Antiqua"/>
          <w:lang w:val="en-US"/>
        </w:rPr>
        <w:t>-</w:t>
      </w:r>
      <w:r w:rsidR="00022B8D" w:rsidRPr="009D7554">
        <w:rPr>
          <w:rFonts w:ascii="Book Antiqua" w:hAnsi="Book Antiqua"/>
          <w:lang w:val="en-US"/>
        </w:rPr>
        <w:t xml:space="preserve">3.3). Similarly, Yu </w:t>
      </w:r>
      <w:r w:rsidR="009D7E3B" w:rsidRPr="009D7554">
        <w:rPr>
          <w:rFonts w:ascii="Book Antiqua" w:hAnsi="Book Antiqua"/>
          <w:bCs/>
          <w:i/>
          <w:lang w:val="en-US"/>
        </w:rPr>
        <w:t>et al</w:t>
      </w:r>
      <w:r w:rsidR="00A75298" w:rsidRPr="009D7554">
        <w:rPr>
          <w:rFonts w:ascii="Book Antiqua" w:hAnsi="Book Antiqua"/>
          <w:bCs/>
          <w:i/>
          <w:lang w:val="en-US"/>
        </w:rPr>
        <w:fldChar w:fldCharType="begin" w:fldLock="1"/>
      </w:r>
      <w:r w:rsidR="006821F4" w:rsidRPr="009D7554">
        <w:rPr>
          <w:rFonts w:ascii="Book Antiqua" w:hAnsi="Book Antiqua"/>
          <w:bCs/>
          <w:i/>
          <w:lang w:val="en-US"/>
        </w:rPr>
        <w:instrText>ADDIN CSL_CITATION {"citationItems":[{"id":"ITEM-1","itemData":{"DOI":"10.1016/j.acra.2011.12.007","ISSN":"1878-4046","PMID":"22265721","abstract":"RATIONALE AND OBJECTIVES The aim of this study was to analyze the morphologic and functional features of metastatic lymph nodes of colorectal carcinoma on (18)F-fluorodeoxyglucose positron emission tomographic (PET)/computed tomographic (CT) images and correlate these with pathologic results to explore the best diagnostic performance. METHODS Sixty-eight patients without any previous treatment underwent (18)F-fluorodeoxyglucose PET/CT examinations and subsequent operations. All lymph nodes were evaluated by recording short diameter and maximum standardized uptake value (SUVmax) on axial images and were carefully verified on the surgically resected specimens. The radiologic diagnostic efficacies on the basis of different diagnostic criteria were compared and evaluated with pathologic results. RESULTS There was a significant difference for SUVmax between metastatic and benign juxtaintestinal lymph nodes (F = 96.836, P = .000) and a correlation between size and SUVmax in metastatic juxtaintestinal lymph nodes (r = 0.352, P = .038). Diagnosing according to short diameter ≥ 10 mm and SUVmax ≥ 2.5, the sensitivity, specificity, positivity prediction value (PPV), and negative prediction value (NPV) were 10.00%, 98.26%, 66.67%, and 75.84% and 82.50%, 90.43%, 75.00%, and 93.69%, respectively. Considered together, the sensitivity, specificity, PPV, and NPV were 10.00%, 99.13%, 80.00%, and 76.00%, respectively. Receiver-operating characteristic curves showed that the best cutoff values for SUVmax and short diameter were 2.0 and 4.85 mm, respectively; the corresponding sensitivity, specificity, PPV, and NPV, were 91.43%, 87.83%, 69.57%, and 97.12% and 85.71%, 60.87%, 40.00%, and 98.2%, respectively. Considered together, the sensitivity, specificity, PPV, and NPV were 95.00%, 86.96%, 71.70%, and 98.04%, respectively. CONCLUSIONS Fluorine-18-fluorodeoxyglucose uptake was a more reliable indicator in diagnosing malignant juxtaintestinal lymph node of colorectal carcinoma. The optimal diagnostic efficacy could be reached by considering morphologic and functional features together.","author":[{"dropping-particle":"","family":"Yu","given":"Lijuan","non-dropping-particle":"","parse-names":false,"suffix":""},{"dropping-particle":"","family":"Tian","given":"Mohan","non-dropping-particle":"","parse-names":false,"suffix":""},{"dropping-particle":"","family":"Gao","given":"Xuan","non-dropping-particle":"","parse-names":false,"suffix":""},{"dropping-particle":"","family":"Wang","given":"Dalong","non-dropping-particle":"","parse-names":false,"suffix":""},{"dropping-particle":"","family":"Qin","given":"Yu","non-dropping-particle":"","parse-names":false,"suffix":""},{"dropping-particle":"","family":"Geng","given":"Jingshu","non-dropping-particle":"","parse-names":false,"suffix":""}],"container-title":"Academic radiology","id":"ITEM-1","issue":"4","issued":{"date-parts":[["2012","4"]]},"page":"427-33","title":"The method and efficacy of 18F-fluorodeoxyglucose positron emission tomography/computed tomography for diagnosing the lymphatic metastasis of colorectal carcinoma.","type":"article-journal","volume":"19"},"uris":["http://www.mendeley.com/documents/?uuid=1b6585df-954d-4e34-a914-44058fb4ea51"]}],"mendeley":{"formattedCitation":"&lt;sup&gt;[59]&lt;/sup&gt;","plainTextFormattedCitation":"[59]","previouslyFormattedCitation":"&lt;sup&gt;[59]&lt;/sup&gt;"},"properties":{"noteIndex":0},"schema":"https://github.com/citation-style-language/schema/raw/master/csl-citation.json"}</w:instrText>
      </w:r>
      <w:r w:rsidR="00A75298" w:rsidRPr="009D7554">
        <w:rPr>
          <w:rFonts w:ascii="Book Antiqua" w:hAnsi="Book Antiqua"/>
          <w:bCs/>
          <w:i/>
          <w:lang w:val="en-US"/>
        </w:rPr>
        <w:fldChar w:fldCharType="separate"/>
      </w:r>
      <w:r w:rsidR="000D56F8" w:rsidRPr="009D7554">
        <w:rPr>
          <w:rFonts w:ascii="Book Antiqua" w:hAnsi="Book Antiqua"/>
          <w:bCs/>
          <w:vertAlign w:val="superscript"/>
          <w:lang w:val="en-US"/>
        </w:rPr>
        <w:t>[59]</w:t>
      </w:r>
      <w:r w:rsidR="00A75298" w:rsidRPr="009D7554">
        <w:rPr>
          <w:rFonts w:ascii="Book Antiqua" w:hAnsi="Book Antiqua"/>
          <w:bCs/>
          <w:i/>
          <w:lang w:val="en-US"/>
        </w:rPr>
        <w:fldChar w:fldCharType="end"/>
      </w:r>
      <w:r w:rsidR="00944C9B" w:rsidRPr="009D7554">
        <w:rPr>
          <w:rFonts w:ascii="Book Antiqua" w:hAnsi="Book Antiqua"/>
          <w:bCs/>
          <w:lang w:val="en-US"/>
        </w:rPr>
        <w:t xml:space="preserve"> observed that a quantitative approach based on </w:t>
      </w:r>
      <w:r w:rsidR="00E61542" w:rsidRPr="009D7554">
        <w:rPr>
          <w:rFonts w:ascii="Book Antiqua" w:hAnsi="Book Antiqua"/>
          <w:bCs/>
          <w:lang w:val="en-US"/>
        </w:rPr>
        <w:t xml:space="preserve">the use of </w:t>
      </w:r>
      <w:r w:rsidR="00944C9B" w:rsidRPr="009D7554">
        <w:rPr>
          <w:rFonts w:ascii="Book Antiqua" w:hAnsi="Book Antiqua"/>
          <w:bCs/>
          <w:lang w:val="en-US"/>
        </w:rPr>
        <w:t>SUVmax might improve the detection of regional lymph</w:t>
      </w:r>
      <w:r w:rsidR="00E61542" w:rsidRPr="009D7554">
        <w:rPr>
          <w:rFonts w:ascii="Book Antiqua" w:hAnsi="Book Antiqua"/>
          <w:bCs/>
          <w:lang w:val="en-US"/>
        </w:rPr>
        <w:t xml:space="preserve"> </w:t>
      </w:r>
      <w:r w:rsidR="00944C9B" w:rsidRPr="009D7554">
        <w:rPr>
          <w:rFonts w:ascii="Book Antiqua" w:hAnsi="Book Antiqua"/>
          <w:bCs/>
          <w:lang w:val="en-US"/>
        </w:rPr>
        <w:t xml:space="preserve">node metastasis </w:t>
      </w:r>
      <w:r w:rsidR="00E61542" w:rsidRPr="009D7554">
        <w:rPr>
          <w:rFonts w:ascii="Book Antiqua" w:hAnsi="Book Antiqua"/>
          <w:bCs/>
          <w:lang w:val="en-US"/>
        </w:rPr>
        <w:t xml:space="preserve">when </w:t>
      </w:r>
      <w:r w:rsidR="00944C9B" w:rsidRPr="009D7554">
        <w:rPr>
          <w:rFonts w:ascii="Book Antiqua" w:hAnsi="Book Antiqua"/>
          <w:bCs/>
          <w:lang w:val="en-US"/>
        </w:rPr>
        <w:t xml:space="preserve">using </w:t>
      </w:r>
      <w:r w:rsidR="00944C9B" w:rsidRPr="009D7554">
        <w:rPr>
          <w:rFonts w:ascii="Book Antiqua" w:hAnsi="Book Antiqua"/>
          <w:position w:val="10"/>
          <w:sz w:val="16"/>
          <w:szCs w:val="16"/>
          <w:lang w:val="en-US"/>
        </w:rPr>
        <w:t>18</w:t>
      </w:r>
      <w:r w:rsidR="009D7E3B" w:rsidRPr="009D7554">
        <w:rPr>
          <w:rFonts w:ascii="Book Antiqua" w:hAnsi="Book Antiqua"/>
          <w:bCs/>
          <w:lang w:val="en-US"/>
        </w:rPr>
        <w:t xml:space="preserve">FDG-PET/CT in patients with CRC. A significant difference </w:t>
      </w:r>
      <w:r w:rsidR="001F0F25" w:rsidRPr="009D7554">
        <w:rPr>
          <w:rFonts w:ascii="Book Antiqua" w:hAnsi="Book Antiqua"/>
          <w:bCs/>
          <w:lang w:val="en-US"/>
        </w:rPr>
        <w:t>in</w:t>
      </w:r>
      <w:r w:rsidR="009D7E3B" w:rsidRPr="009D7554">
        <w:rPr>
          <w:rFonts w:ascii="Book Antiqua" w:hAnsi="Book Antiqua"/>
          <w:bCs/>
          <w:lang w:val="en-US"/>
        </w:rPr>
        <w:t xml:space="preserve"> SUVmax between metastatic and benign juxtaintestinal lymph nodes was observed. </w:t>
      </w:r>
      <w:r w:rsidR="00E61542" w:rsidRPr="009D7554">
        <w:rPr>
          <w:rFonts w:ascii="Book Antiqua" w:hAnsi="Book Antiqua"/>
          <w:bCs/>
          <w:lang w:val="en-US"/>
        </w:rPr>
        <w:t xml:space="preserve">When using a </w:t>
      </w:r>
      <w:r w:rsidR="009D7E3B" w:rsidRPr="009D7554">
        <w:rPr>
          <w:rFonts w:ascii="Book Antiqua" w:hAnsi="Book Antiqua"/>
          <w:bCs/>
          <w:lang w:val="en-US"/>
        </w:rPr>
        <w:t>cut-off value for SUVmax of 2.0, the corresponding sensitivity, specificity, PPV and NPV were 91.4%, 87.8%, 69.6% and 97.1%, respectively</w:t>
      </w:r>
      <w:r w:rsidR="001F0F25" w:rsidRPr="009D7554">
        <w:rPr>
          <w:rFonts w:ascii="Book Antiqua" w:hAnsi="Book Antiqua"/>
          <w:bCs/>
          <w:lang w:val="en-US"/>
        </w:rPr>
        <w:t>.</w:t>
      </w:r>
    </w:p>
    <w:p w:rsidR="00B12A46" w:rsidRPr="009D7554" w:rsidRDefault="00B12A46" w:rsidP="006A253E">
      <w:pPr>
        <w:widowControl w:val="0"/>
        <w:autoSpaceDE w:val="0"/>
        <w:autoSpaceDN w:val="0"/>
        <w:adjustRightInd w:val="0"/>
        <w:snapToGrid w:val="0"/>
        <w:spacing w:line="360" w:lineRule="auto"/>
        <w:jc w:val="both"/>
        <w:rPr>
          <w:rFonts w:ascii="Book Antiqua" w:hAnsi="Book Antiqua"/>
          <w:bCs/>
          <w:lang w:val="en-US"/>
        </w:rPr>
      </w:pPr>
    </w:p>
    <w:p w:rsidR="001C3C53" w:rsidRPr="009D7554" w:rsidRDefault="006176C6" w:rsidP="006A253E">
      <w:pPr>
        <w:snapToGrid w:val="0"/>
        <w:spacing w:line="360" w:lineRule="auto"/>
        <w:jc w:val="both"/>
        <w:rPr>
          <w:rFonts w:ascii="Book Antiqua" w:hAnsi="Book Antiqua"/>
          <w:b/>
          <w:bCs/>
          <w:i/>
          <w:lang w:val="en-US"/>
        </w:rPr>
      </w:pPr>
      <w:r w:rsidRPr="009D7554">
        <w:rPr>
          <w:rFonts w:ascii="Book Antiqua" w:hAnsi="Book Antiqua"/>
          <w:b/>
          <w:bCs/>
          <w:i/>
          <w:lang w:val="en-US"/>
        </w:rPr>
        <w:t xml:space="preserve">Response to treatment: efficacy prediction and </w:t>
      </w:r>
      <w:r w:rsidR="00E61542" w:rsidRPr="009D7554">
        <w:rPr>
          <w:rFonts w:ascii="Book Antiqua" w:hAnsi="Book Antiqua"/>
          <w:b/>
          <w:bCs/>
          <w:i/>
          <w:lang w:val="en-US"/>
        </w:rPr>
        <w:t xml:space="preserve">the </w:t>
      </w:r>
      <w:r w:rsidRPr="009D7554">
        <w:rPr>
          <w:rFonts w:ascii="Book Antiqua" w:hAnsi="Book Antiqua"/>
          <w:b/>
          <w:bCs/>
          <w:i/>
          <w:lang w:val="en-US"/>
        </w:rPr>
        <w:t>assessment of neoadjuvant CRT</w:t>
      </w:r>
      <w:r w:rsidR="00AF7B7E" w:rsidRPr="009D7554">
        <w:rPr>
          <w:rFonts w:ascii="Book Antiqua" w:hAnsi="Book Antiqua"/>
          <w:b/>
          <w:bCs/>
          <w:i/>
          <w:lang w:val="en-US"/>
        </w:rPr>
        <w:t xml:space="preserve"> </w:t>
      </w:r>
      <w:r w:rsidRPr="009D7554">
        <w:rPr>
          <w:rFonts w:ascii="Book Antiqua" w:hAnsi="Book Antiqua"/>
          <w:b/>
          <w:bCs/>
          <w:i/>
          <w:lang w:val="en-US"/>
        </w:rPr>
        <w:t>in RC</w:t>
      </w:r>
    </w:p>
    <w:p w:rsidR="001C3C53" w:rsidRPr="009D7554" w:rsidRDefault="001C3C53" w:rsidP="006A253E">
      <w:pPr>
        <w:widowControl w:val="0"/>
        <w:autoSpaceDE w:val="0"/>
        <w:autoSpaceDN w:val="0"/>
        <w:adjustRightInd w:val="0"/>
        <w:snapToGrid w:val="0"/>
        <w:spacing w:line="360" w:lineRule="auto"/>
        <w:jc w:val="both"/>
        <w:rPr>
          <w:rFonts w:ascii="Book Antiqua" w:hAnsi="Book Antiqua"/>
          <w:b/>
          <w:bCs/>
          <w:iCs/>
          <w:lang w:val="en-US"/>
        </w:rPr>
      </w:pPr>
      <w:r w:rsidRPr="009D7554">
        <w:rPr>
          <w:rFonts w:ascii="Book Antiqua" w:hAnsi="Book Antiqua"/>
          <w:lang w:val="en-US"/>
        </w:rPr>
        <w:t xml:space="preserve">CRT has become the standard of care for LARC. This treatment is associated with fewer local recurrences and may also result in improved long-term survival. </w:t>
      </w:r>
      <w:r w:rsidR="00E61542" w:rsidRPr="009D7554">
        <w:rPr>
          <w:rFonts w:ascii="Book Antiqua" w:hAnsi="Book Antiqua"/>
          <w:lang w:val="en-US"/>
        </w:rPr>
        <w:t>The p</w:t>
      </w:r>
      <w:r w:rsidRPr="009D7554">
        <w:rPr>
          <w:rFonts w:ascii="Book Antiqua" w:hAnsi="Book Antiqua"/>
          <w:lang w:val="en-US"/>
        </w:rPr>
        <w:t xml:space="preserve">reoperative </w:t>
      </w:r>
      <w:r w:rsidR="009A70D4" w:rsidRPr="009D7554">
        <w:rPr>
          <w:rFonts w:ascii="Book Antiqua" w:hAnsi="Book Antiqua"/>
          <w:lang w:val="en-US"/>
        </w:rPr>
        <w:t>noni</w:t>
      </w:r>
      <w:r w:rsidRPr="009D7554">
        <w:rPr>
          <w:rFonts w:ascii="Book Antiqua" w:hAnsi="Book Antiqua"/>
          <w:lang w:val="en-US"/>
        </w:rPr>
        <w:t xml:space="preserve">nvasive assessment of CRT response in LARC is crucial for planning the surgical approach. MRI is largely used for </w:t>
      </w:r>
      <w:r w:rsidR="00E61542" w:rsidRPr="009D7554">
        <w:rPr>
          <w:rFonts w:ascii="Book Antiqua" w:hAnsi="Book Antiqua"/>
          <w:lang w:val="en-US"/>
        </w:rPr>
        <w:t xml:space="preserve">the </w:t>
      </w:r>
      <w:r w:rsidRPr="009D7554">
        <w:rPr>
          <w:rFonts w:ascii="Book Antiqua" w:hAnsi="Book Antiqua"/>
          <w:lang w:val="en-US"/>
        </w:rPr>
        <w:t>local restaging of LARC after neoadjuvant CRT</w:t>
      </w:r>
      <w:r w:rsidR="001F0F25" w:rsidRPr="009D7554">
        <w:rPr>
          <w:rFonts w:ascii="Book Antiqua" w:hAnsi="Book Antiqua"/>
          <w:lang w:val="en-US"/>
        </w:rPr>
        <w:t>;</w:t>
      </w:r>
      <w:r w:rsidRPr="009D7554">
        <w:rPr>
          <w:rFonts w:ascii="Book Antiqua" w:hAnsi="Book Antiqua"/>
          <w:lang w:val="en-US"/>
        </w:rPr>
        <w:t xml:space="preserve"> however</w:t>
      </w:r>
      <w:r w:rsidR="001F0F25" w:rsidRPr="009D7554">
        <w:rPr>
          <w:rFonts w:ascii="Book Antiqua" w:hAnsi="Book Antiqua"/>
          <w:lang w:val="en-US"/>
        </w:rPr>
        <w:t>,</w:t>
      </w:r>
      <w:r w:rsidRPr="009D7554">
        <w:rPr>
          <w:rFonts w:ascii="Book Antiqua" w:hAnsi="Book Antiqua"/>
          <w:lang w:val="en-US"/>
        </w:rPr>
        <w:t xml:space="preserve"> conventional morphological sequences have intrinsic </w:t>
      </w:r>
      <w:r w:rsidR="001F0F25" w:rsidRPr="009D7554">
        <w:rPr>
          <w:rFonts w:ascii="Book Antiqua" w:hAnsi="Book Antiqua"/>
          <w:lang w:val="en-US"/>
        </w:rPr>
        <w:t>limitations</w:t>
      </w:r>
      <w:r w:rsidRPr="009D7554">
        <w:rPr>
          <w:rFonts w:ascii="Book Antiqua" w:hAnsi="Book Antiqua"/>
          <w:lang w:val="en-US"/>
        </w:rPr>
        <w:t xml:space="preserve"> </w:t>
      </w:r>
      <w:r w:rsidR="002675FE" w:rsidRPr="009D7554">
        <w:rPr>
          <w:rFonts w:ascii="Book Antiqua" w:hAnsi="Book Antiqua"/>
          <w:lang w:val="en-US"/>
        </w:rPr>
        <w:t xml:space="preserve">when used </w:t>
      </w:r>
      <w:r w:rsidR="00E61542" w:rsidRPr="009D7554">
        <w:rPr>
          <w:rFonts w:ascii="Book Antiqua" w:hAnsi="Book Antiqua"/>
          <w:lang w:val="en-US"/>
        </w:rPr>
        <w:t xml:space="preserve">for </w:t>
      </w:r>
      <w:r w:rsidRPr="009D7554">
        <w:rPr>
          <w:rFonts w:ascii="Book Antiqua" w:hAnsi="Book Antiqua"/>
          <w:lang w:val="en-US"/>
        </w:rPr>
        <w:t xml:space="preserve">the differentiation of residual viable </w:t>
      </w:r>
      <w:r w:rsidR="001F0F25" w:rsidRPr="009D7554">
        <w:rPr>
          <w:rFonts w:ascii="Book Antiqua" w:hAnsi="Book Antiqua"/>
          <w:lang w:val="en-US"/>
        </w:rPr>
        <w:t>tumors</w:t>
      </w:r>
      <w:r w:rsidRPr="009D7554">
        <w:rPr>
          <w:rFonts w:ascii="Book Antiqua" w:hAnsi="Book Antiqua"/>
          <w:lang w:val="en-US"/>
        </w:rPr>
        <w:t xml:space="preserve"> from surrounding fibrosis</w:t>
      </w:r>
      <w:r w:rsidR="00A75298" w:rsidRPr="009D7554">
        <w:rPr>
          <w:rFonts w:ascii="Book Antiqua" w:hAnsi="Book Antiqua"/>
          <w:lang w:val="en-US"/>
        </w:rPr>
        <w:fldChar w:fldCharType="begin" w:fldLock="1"/>
      </w:r>
      <w:r w:rsidR="006821F4" w:rsidRPr="009D7554">
        <w:rPr>
          <w:rFonts w:ascii="Book Antiqua" w:hAnsi="Book Antiqua"/>
          <w:lang w:val="en-US"/>
        </w:rPr>
        <w:instrText>ADDIN CSL_CITATION {"citationItems":[{"id":"ITEM-1","itemData":{"DOI":"10.1245/s10434-006-9269-4","ISSN":"1068-9265","PMID":"17139456","author":[{"dropping-particle":"","family":"Maretto","given":"Isacco","non-dropping-particle":"","parse-names":false,"suffix":""},{"dropping-particle":"","family":"Pomerri","given":"Fabio","non-dropping-particle":"","parse-names":false,"suffix":""},{"dropping-particle":"","family":"Pucciarelli","given":"Salvatore","non-dropping-particle":"","parse-names":false,"suffix":""},{"dropping-particle":"","family":"Mescoli","given":"Claudia","non-dropping-particle":"","parse-names":false,"suffix":""},{"dropping-particle":"","family":"Belluco","given":"Enrico","non-dropping-particle":"","parse-names":false,"suffix":""},{"dropping-particle":"","family":"Burzi","given":"Simona","non-dropping-particle":"","parse-names":false,"suffix":""},{"dropping-particle":"","family":"Rugge","given":"Massimo","non-dropping-particle":"","parse-names":false,"suffix":""},{"dropping-particle":"","family":"Muzzio","given":"Pier Carlo","non-dropping-particle":"","parse-names":false,"suffix":""},{"dropping-particle":"","family":"Nitti","given":"Donato","non-dropping-particle":"","parse-names":false,"suffix":""}],"container-title":"Annals of Surgical Oncology","id":"ITEM-1","issue":"2","issued":{"date-parts":[["2007","2","2"]]},"page":"455-461","title":"The Potential of Restaging in the Prediction of Pathologic Response After Preoperative Chemoradiotherapy for Rectal Cancer","type":"article-journal","volume":"14"},"uris":["http://www.mendeley.com/documents/?uuid=c87be32a-511b-47e5-9522-c5255f8e6f46"]},{"id":"ITEM-2","itemData":{"DOI":"10.1007/s10350-004-0851-1","ISSN":"0012-3706","PMID":"15747073","abstract":"PURPOSE Preoperative combined chemoradiotherapy is currently the main neoadjuvant therapy used to treat locally advanced middle and low rectal adenocarcinoma. A restaging work-up with magnetic resonance imaging was hoped to provide information about the effects related to combined chemoradiotherapy. The goal was to evaluate the correlation between pathologically verified tumor stages and clinical stages predicted by magnetic resonance imaging after combined chemoradiotherapy. METHODS Between August 2000 and June 2003, 50 patients with biopsy-proven middle and lower rectal adenocarcinoma, with initial stage T3-T4 or N+, M0, were recruited in this series. Pelvic magnetic resonance imaging was used to stage the tumor before and after combined chemoradiotherapy. A protocol of the standard external radiation dose and oral combined uracil and 5-fluorouracil plus leucovorin was used. The results of magnetic resonance imaging restaging after combined chemoradiotherapy were correlated with the pathologic staging. RESULTS The overall predictive accuracy in T stage was 52 percent, whereas overstaging and understaging occurred in 38 percent and 10 percent of patients, respectively. Most of the inaccurate T staging was a result of the overstaging of superficial tumors (T0-T2). In N stage, accurate staging was noted in 68 percent of all patients, whereas 24 percent were overstaged and 8 percent were understaged. CONCLUSION In restaging irradiated tumors, magnetic resonance imaging had the accuracy of 52 percent in T stage and 68 percent in N stage. Poor agreement between post-combined chemoradiotherapy magnetic resonance imaging and pathologic staging was observed in both T (k = 0.017) and N (k = 0.031) stages. Most of the inaccuracy in both T and N stages was caused by overstaging. The problem with magnetic resonance imaging was believed to be that it could not completely differentiate fibrosis from viable residual tumors.","author":[{"dropping-particle":"","family":"Chen","given":"Chien-Chih","non-dropping-particle":"","parse-names":false,"suffix":""},{"dropping-particle":"","family":"Lee","given":"Rheun-Chuan","non-dropping-particle":"","parse-names":false,"suffix":""},{"dropping-particle":"","family":"Lin","given":"Jen-Kou","non-dropping-particle":"","parse-names":false,"suffix":""},{"dropping-particle":"","family":"Wang","given":"Ling-Wei","non-dropping-particle":"","parse-names":false,"suffix":""},{"dropping-particle":"","family":"Yang","given":"Shung-Haur","non-dropping-particle":"","parse-names":false,"suffix":""}],"container-title":"Diseases of the colon and rectum","id":"ITEM-2","issue":"4","issued":{"date-parts":[["2005","4"]]},"page":"722-8","title":"How accurate is magnetic resonance imaging in restaging rectal cancer in patients receiving preoperative combined chemoradiotherapy?","type":"article-journal","volume":"48"},"uris":["http://www.mendeley.com/documents/?uuid=76b4ace2-fd23-402c-bdbc-a5da5714de36"]}],"mendeley":{"formattedCitation":"&lt;sup&gt;[60,61]&lt;/sup&gt;","plainTextFormattedCitation":"[60,61]","previouslyFormattedCitation":"&lt;sup&gt;[60,61]&lt;/sup&gt;"},"properties":{"noteIndex":0},"schema":"https://github.com/citation-style-language/schema/raw/master/csl-citation.json"}</w:instrText>
      </w:r>
      <w:r w:rsidR="00A75298" w:rsidRPr="009D7554">
        <w:rPr>
          <w:rFonts w:ascii="Book Antiqua" w:hAnsi="Book Antiqua"/>
          <w:lang w:val="en-US"/>
        </w:rPr>
        <w:fldChar w:fldCharType="separate"/>
      </w:r>
      <w:r w:rsidR="000D56F8" w:rsidRPr="009D7554">
        <w:rPr>
          <w:rFonts w:ascii="Book Antiqua" w:hAnsi="Book Antiqua"/>
          <w:vertAlign w:val="superscript"/>
          <w:lang w:val="en-US"/>
        </w:rPr>
        <w:t>[60,61]</w:t>
      </w:r>
      <w:r w:rsidR="00A75298" w:rsidRPr="009D7554">
        <w:rPr>
          <w:rFonts w:ascii="Book Antiqua" w:hAnsi="Book Antiqua"/>
          <w:lang w:val="en-US"/>
        </w:rPr>
        <w:fldChar w:fldCharType="end"/>
      </w:r>
      <w:r w:rsidRPr="009D7554">
        <w:rPr>
          <w:rFonts w:ascii="Book Antiqua" w:hAnsi="Book Antiqua"/>
          <w:lang w:val="en-US"/>
        </w:rPr>
        <w:t xml:space="preserve">. The overall accuracy of local neoplastic </w:t>
      </w:r>
      <w:r w:rsidR="009A70D4" w:rsidRPr="009D7554">
        <w:rPr>
          <w:rFonts w:ascii="Book Antiqua" w:hAnsi="Book Antiqua"/>
          <w:lang w:val="en-US"/>
        </w:rPr>
        <w:t>res</w:t>
      </w:r>
      <w:r w:rsidRPr="009D7554">
        <w:rPr>
          <w:rFonts w:ascii="Book Antiqua" w:hAnsi="Book Antiqua"/>
          <w:lang w:val="en-US"/>
        </w:rPr>
        <w:t>taging using only morphological T2</w:t>
      </w:r>
      <w:r w:rsidR="00502E2D" w:rsidRPr="009D7554">
        <w:rPr>
          <w:rFonts w:ascii="Book Antiqua" w:hAnsi="Book Antiqua"/>
          <w:lang w:val="en-US"/>
        </w:rPr>
        <w:t>-</w:t>
      </w:r>
      <w:r w:rsidRPr="009D7554">
        <w:rPr>
          <w:rFonts w:ascii="Book Antiqua" w:hAnsi="Book Antiqua"/>
          <w:lang w:val="en-US"/>
        </w:rPr>
        <w:t>weighted (T2w) sequences after CRT is reported to be 47-52%</w:t>
      </w:r>
      <w:r w:rsidR="00A75298" w:rsidRPr="009D7554">
        <w:rPr>
          <w:rFonts w:ascii="Book Antiqua" w:hAnsi="Book Antiqua"/>
          <w:lang w:val="en-US"/>
        </w:rPr>
        <w:fldChar w:fldCharType="begin" w:fldLock="1"/>
      </w:r>
      <w:r w:rsidR="006821F4" w:rsidRPr="009D7554">
        <w:rPr>
          <w:rFonts w:ascii="Book Antiqua" w:hAnsi="Book Antiqua"/>
          <w:lang w:val="en-US"/>
        </w:rPr>
        <w:instrText>ADDIN CSL_CITATION {"citationItems":[{"id":"ITEM-1","itemData":{"ISSN":"0012-3706","PMID":"15690653","abstract":"PURPOSE Neoadjuvant concomitant chemoradiotherapy has been used in cases of locally advanced rectal cancer to preserve sphincter function, decrease local recurrence, and improve survival. Preoperative staging is essential for planning and providing optimal therapy. The purpose of this study is to determine the accuracy of staging with magnetic resonance imaging and to define any factors that interfere in interpretation of images obtained after preoperative chemoradiation therapy. METHODS Thirty-six patients with biopsy-proven, locally advanced rectal cancer were treated with preoperative concomitant 5-fluorouracil-based chemotherapy and radiation, followed six to eight weeks later by radical surgery. Preoperative magnetic resonance images were reinterpreted by one radiologist and the results compared with histopathologic staging. RESULTS T-level downstaging occurred in 10 of 36 patients (28 percent), and N-level downstaging occurred in 29 of 36 patients (80 percent) after completion of chemoradiation therapy. Pathologic complete remission after chemoradiotherapy occurred in five patients (12 percent). Of the 36 patients, 17 (47 percent) were overstaged and 2 (6 percent) were understaged in T-level, whereas 10 patients (28 percent) were overstaged and 3 patients (8 percent) were understaged in N-level. The accuracy of magnetic resonance imaging for determining depth of wall invasion was 47 percent, with 64 percent accuracy for nodal staging. CONCLUSIONS Magnetic resonance imaging is commonly used in staging of pelvic malignancies because of its fine resolution, but chemoradiotherapy may decrease its accuracy. Thickening of the rectal wall after radiation by marked fibrosis, and peritumoral infiltration of inflammatory cells and vascular proliferation may contribute to overestimation of stage. By contrast, pathologic residual cancer beneath normal mural structure after chemoradiation therapy may result in understaging of rectal cancer.","author":[{"dropping-particle":"","family":"Kuo","given":"Li-Jen","non-dropping-particle":"","parse-names":false,"suffix":""},{"dropping-particle":"","family":"Chern","given":"Ming-Chih","non-dropping-particle":"","parse-names":false,"suffix":""},{"dropping-particle":"","family":"Tsou","given":"Mei-Hua","non-dropping-particle":"","parse-names":false,"suffix":""},{"dropping-particle":"","family":"Liu","given":"Mei-Ching","non-dropping-particle":"","parse-names":false,"suffix":""},{"dropping-particle":"","family":"Jian","given":"James Jer-Min","non-dropping-particle":"","parse-names":false,"suffix":""},{"dropping-particle":"","family":"Chen","given":"Chung-Ming","non-dropping-particle":"","parse-names":false,"suffix":""},{"dropping-particle":"","family":"Chung","given":"Yih-Lin","non-dropping-particle":"","parse-names":false,"suffix":""},{"dropping-particle":"","family":"Fang","given":"Wei-Tse","non-dropping-particle":"","parse-names":false,"suffix":""}],"container-title":"Diseases of the colon and rectum","id":"ITEM-1","issue":"1","issued":{"date-parts":[["2005","1"]]},"page":"23-8","title":"Interpretation of magnetic resonance imaging for locally advanced rectal carcinoma after preoperative chemoradiation therapy.","type":"article-journal","volume":"48"},"uris":["http://www.mendeley.com/documents/?uuid=4103ad93-f74a-4b56-8b86-8188279006f9"]},{"id":"ITEM-2","itemData":{"DOI":"10.1007/s10350-004-0851-1","ISSN":"0012-3706","PMID":"15747073","abstract":"PURPOSE Preoperative combined chemoradiotherapy is currently the main neoadjuvant therapy used to treat locally advanced middle and low rectal adenocarcinoma. A restaging work-up with magnetic resonance imaging was hoped to provide information about the effects related to combined chemoradiotherapy. The goal was to evaluate the correlation between pathologically verified tumor stages and clinical stages predicted by magnetic resonance imaging after combined chemoradiotherapy. METHODS Between August 2000 and June 2003, 50 patients with biopsy-proven middle and lower rectal adenocarcinoma, with initial stage T3-T4 or N+, M0, were recruited in this series. Pelvic magnetic resonance imaging was used to stage the tumor before and after combined chemoradiotherapy. A protocol of the standard external radiation dose and oral combined uracil and 5-fluorouracil plus leucovorin was used. The results of magnetic resonance imaging restaging after combined chemoradiotherapy were correlated with the pathologic staging. RESULTS The overall predictive accuracy in T stage was 52 percent, whereas overstaging and understaging occurred in 38 percent and 10 percent of patients, respectively. Most of the inaccurate T staging was a result of the overstaging of superficial tumors (T0-T2). In N stage, accurate staging was noted in 68 percent of all patients, whereas 24 percent were overstaged and 8 percent were understaged. CONCLUSION In restaging irradiated tumors, magnetic resonance imaging had the accuracy of 52 percent in T stage and 68 percent in N stage. Poor agreement between post-combined chemoradiotherapy magnetic resonance imaging and pathologic staging was observed in both T (k = 0.017) and N (k = 0.031) stages. Most of the inaccuracy in both T and N stages was caused by overstaging. The problem with magnetic resonance imaging was believed to be that it could not completely differentiate fibrosis from viable residual tumors.","author":[{"dropping-particle":"","family":"Chen","given":"Chien-Chih","non-dropping-particle":"","parse-names":false,"suffix":""},{"dropping-particle":"","family":"Lee","given":"Rheun-Chuan","non-dropping-particle":"","parse-names":false,"suffix":""},{"dropping-particle":"","family":"Lin","given":"Jen-Kou","non-dropping-particle":"","parse-names":false,"suffix":""},{"dropping-particle":"","family":"Wang","given":"Ling-Wei","non-dropping-particle":"","parse-names":false,"suffix":""},{"dropping-particle":"","family":"Yang","given":"Shung-Haur","non-dropping-particle":"","parse-names":false,"suffix":""}],"container-title":"Diseases of the colon and rectum","id":"ITEM-2","issue":"4","issued":{"date-parts":[["2005","4"]]},"page":"722-8","title":"How accurate is magnetic resonance imaging in restaging rectal cancer in patients receiving preoperative combined chemoradiotherapy?","type":"article-journal","volume":"48"},"uris":["http://www.mendeley.com/documents/?uuid=76b4ace2-fd23-402c-bdbc-a5da5714de36"]}],"mendeley":{"formattedCitation":"&lt;sup&gt;[61,62]&lt;/sup&gt;","plainTextFormattedCitation":"[61,62]","previouslyFormattedCitation":"&lt;sup&gt;[61,62]&lt;/sup&gt;"},"properties":{"noteIndex":0},"schema":"https://github.com/citation-style-language/schema/raw/master/csl-citation.json"}</w:instrText>
      </w:r>
      <w:r w:rsidR="00A75298" w:rsidRPr="009D7554">
        <w:rPr>
          <w:rFonts w:ascii="Book Antiqua" w:hAnsi="Book Antiqua"/>
          <w:lang w:val="en-US"/>
        </w:rPr>
        <w:fldChar w:fldCharType="separate"/>
      </w:r>
      <w:r w:rsidR="000D56F8" w:rsidRPr="009D7554">
        <w:rPr>
          <w:rFonts w:ascii="Book Antiqua" w:hAnsi="Book Antiqua"/>
          <w:vertAlign w:val="superscript"/>
          <w:lang w:val="en-US"/>
        </w:rPr>
        <w:t>[61,62]</w:t>
      </w:r>
      <w:r w:rsidR="00A75298" w:rsidRPr="009D7554">
        <w:rPr>
          <w:rFonts w:ascii="Book Antiqua" w:hAnsi="Book Antiqua"/>
          <w:lang w:val="en-US"/>
        </w:rPr>
        <w:fldChar w:fldCharType="end"/>
      </w:r>
      <w:r w:rsidR="00B40CC3" w:rsidRPr="009D7554">
        <w:rPr>
          <w:rFonts w:ascii="Book Antiqua" w:hAnsi="Book Antiqua"/>
          <w:iCs/>
          <w:lang w:val="en-US"/>
        </w:rPr>
        <w:t xml:space="preserve">. CRT induces </w:t>
      </w:r>
      <w:r w:rsidR="002675FE" w:rsidRPr="009D7554">
        <w:rPr>
          <w:rFonts w:ascii="Book Antiqua" w:hAnsi="Book Antiqua"/>
          <w:iCs/>
          <w:lang w:val="en-US"/>
        </w:rPr>
        <w:t xml:space="preserve">the </w:t>
      </w:r>
      <w:r w:rsidR="00B40CC3" w:rsidRPr="009D7554">
        <w:rPr>
          <w:rFonts w:ascii="Book Antiqua" w:hAnsi="Book Antiqua"/>
          <w:iCs/>
          <w:lang w:val="en-US"/>
        </w:rPr>
        <w:t xml:space="preserve">necrosis of neoplastic tissue </w:t>
      </w:r>
      <w:r w:rsidR="002675FE" w:rsidRPr="009D7554">
        <w:rPr>
          <w:rFonts w:ascii="Book Antiqua" w:hAnsi="Book Antiqua"/>
          <w:iCs/>
          <w:lang w:val="en-US"/>
        </w:rPr>
        <w:t xml:space="preserve">as well as </w:t>
      </w:r>
      <w:r w:rsidR="00B40CC3" w:rsidRPr="009D7554">
        <w:rPr>
          <w:rFonts w:ascii="Book Antiqua" w:hAnsi="Book Antiqua"/>
          <w:iCs/>
          <w:lang w:val="en-US"/>
        </w:rPr>
        <w:t>reduction</w:t>
      </w:r>
      <w:r w:rsidR="002675FE" w:rsidRPr="009D7554">
        <w:rPr>
          <w:rFonts w:ascii="Book Antiqua" w:hAnsi="Book Antiqua"/>
          <w:iCs/>
          <w:lang w:val="en-US"/>
        </w:rPr>
        <w:t>s</w:t>
      </w:r>
      <w:r w:rsidR="00B40CC3" w:rsidRPr="009D7554">
        <w:rPr>
          <w:rFonts w:ascii="Book Antiqua" w:hAnsi="Book Antiqua"/>
          <w:iCs/>
          <w:lang w:val="en-US"/>
        </w:rPr>
        <w:t xml:space="preserve"> </w:t>
      </w:r>
      <w:r w:rsidR="002675FE" w:rsidRPr="009D7554">
        <w:rPr>
          <w:rFonts w:ascii="Book Antiqua" w:hAnsi="Book Antiqua"/>
          <w:iCs/>
          <w:lang w:val="en-US"/>
        </w:rPr>
        <w:t xml:space="preserve">in </w:t>
      </w:r>
      <w:r w:rsidR="00B40CC3" w:rsidRPr="009D7554">
        <w:rPr>
          <w:rFonts w:ascii="Book Antiqua" w:hAnsi="Book Antiqua"/>
          <w:iCs/>
          <w:lang w:val="en-US"/>
        </w:rPr>
        <w:t>cellular density and metabolism, increase</w:t>
      </w:r>
      <w:r w:rsidR="002675FE" w:rsidRPr="009D7554">
        <w:rPr>
          <w:rFonts w:ascii="Book Antiqua" w:hAnsi="Book Antiqua"/>
          <w:iCs/>
          <w:lang w:val="en-US"/>
        </w:rPr>
        <w:t>s</w:t>
      </w:r>
      <w:r w:rsidR="00B40CC3" w:rsidRPr="009D7554">
        <w:rPr>
          <w:rFonts w:ascii="Book Antiqua" w:hAnsi="Book Antiqua"/>
          <w:iCs/>
          <w:lang w:val="en-US"/>
        </w:rPr>
        <w:t xml:space="preserve"> </w:t>
      </w:r>
      <w:r w:rsidR="002675FE" w:rsidRPr="009D7554">
        <w:rPr>
          <w:rFonts w:ascii="Book Antiqua" w:hAnsi="Book Antiqua"/>
          <w:iCs/>
          <w:lang w:val="en-US"/>
        </w:rPr>
        <w:t xml:space="preserve">in the </w:t>
      </w:r>
      <w:r w:rsidR="00B40CC3" w:rsidRPr="009D7554">
        <w:rPr>
          <w:rFonts w:ascii="Book Antiqua" w:hAnsi="Book Antiqua"/>
          <w:iCs/>
          <w:lang w:val="en-US"/>
        </w:rPr>
        <w:t xml:space="preserve">extracellular space and </w:t>
      </w:r>
      <w:r w:rsidR="002675FE" w:rsidRPr="009D7554">
        <w:rPr>
          <w:rFonts w:ascii="Book Antiqua" w:hAnsi="Book Antiqua"/>
          <w:iCs/>
          <w:lang w:val="en-US"/>
        </w:rPr>
        <w:t xml:space="preserve">the </w:t>
      </w:r>
      <w:r w:rsidR="00B40CC3" w:rsidRPr="009D7554">
        <w:rPr>
          <w:rFonts w:ascii="Book Antiqua" w:hAnsi="Book Antiqua"/>
          <w:iCs/>
          <w:lang w:val="en-US"/>
        </w:rPr>
        <w:t xml:space="preserve">suppression of neoangiogenesis (Figure 4); these phenomena can be investigated </w:t>
      </w:r>
      <w:r w:rsidR="002675FE" w:rsidRPr="009D7554">
        <w:rPr>
          <w:rFonts w:ascii="Book Antiqua" w:hAnsi="Book Antiqua"/>
          <w:iCs/>
          <w:lang w:val="en-US"/>
        </w:rPr>
        <w:t>via</w:t>
      </w:r>
      <w:r w:rsidR="00B40CC3" w:rsidRPr="009D7554">
        <w:rPr>
          <w:rFonts w:ascii="Book Antiqua" w:hAnsi="Book Antiqua"/>
          <w:iCs/>
          <w:lang w:val="en-US"/>
        </w:rPr>
        <w:t xml:space="preserve"> PA of tomographic images.</w:t>
      </w:r>
    </w:p>
    <w:p w:rsidR="001C3C53" w:rsidRPr="009D7554" w:rsidRDefault="001C3C53" w:rsidP="006A253E">
      <w:pPr>
        <w:widowControl w:val="0"/>
        <w:autoSpaceDE w:val="0"/>
        <w:autoSpaceDN w:val="0"/>
        <w:adjustRightInd w:val="0"/>
        <w:snapToGrid w:val="0"/>
        <w:spacing w:line="360" w:lineRule="auto"/>
        <w:jc w:val="both"/>
        <w:rPr>
          <w:rFonts w:ascii="Book Antiqua" w:hAnsi="Book Antiqua"/>
          <w:b/>
          <w:bCs/>
          <w:iCs/>
          <w:lang w:val="en-US"/>
        </w:rPr>
      </w:pPr>
    </w:p>
    <w:p w:rsidR="00C525F8" w:rsidRPr="009D7554" w:rsidRDefault="00D132FA"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DWI with ADC maps</w:t>
      </w:r>
      <w:r w:rsidR="00252B1C" w:rsidRPr="009D7554">
        <w:rPr>
          <w:rFonts w:ascii="Book Antiqua" w:eastAsia="等线" w:hAnsi="Book Antiqua" w:hint="eastAsia"/>
          <w:b/>
          <w:lang w:val="en-US" w:eastAsia="zh-CN"/>
        </w:rPr>
        <w:t>:</w:t>
      </w:r>
      <w:r w:rsidR="00252B1C" w:rsidRPr="009D7554">
        <w:rPr>
          <w:rFonts w:ascii="Book Antiqua" w:eastAsia="等线" w:hAnsi="Book Antiqua"/>
          <w:b/>
          <w:lang w:val="en-US" w:eastAsia="zh-CN"/>
        </w:rPr>
        <w:t xml:space="preserve"> </w:t>
      </w:r>
      <w:r w:rsidR="0066150B" w:rsidRPr="009D7554">
        <w:rPr>
          <w:rFonts w:ascii="Book Antiqua" w:hAnsi="Book Antiqua"/>
          <w:lang w:val="en-US"/>
        </w:rPr>
        <w:t>Several studies</w:t>
      </w:r>
      <w:r w:rsidR="00A75298" w:rsidRPr="009D7554">
        <w:rPr>
          <w:rFonts w:ascii="Book Antiqua" w:hAnsi="Book Antiqua"/>
          <w:lang w:val="en-US"/>
        </w:rPr>
        <w:fldChar w:fldCharType="begin" w:fldLock="1"/>
      </w:r>
      <w:r w:rsidR="006821F4" w:rsidRPr="009D7554">
        <w:rPr>
          <w:rFonts w:ascii="Book Antiqua" w:hAnsi="Book Antiqua"/>
          <w:lang w:val="en-US"/>
        </w:rPr>
        <w:instrText>ADDIN CSL_CITATION {"citationItems":[{"id":"ITEM-1","itemData":{"DOI":"10.1016/j.radonc.2014.11.026","ISSN":"1879-0887","PMID":"25483833","abstract":"After neoadjuvant radiochemotherapy (RCT) for locally advanced rectal cancer, 15-27% of the patients experience a pathological complete response (pCR). This observation raises the question as to whether invasive surgery could be avoided in a selected cohort of patients who obtain a clinical complete response after preoperative RCT. In this respect, there has been growing interest in functional imaging techniques to improve clinical response assessment. This systematic review focuses on the role of diffusion-weighted imaging (DWI) and (18)F-fluorodeoxyglucose positron emission tomography/computed tomography ((18)F-FDG PET/CT) in the prediction of pCR after RCT for rectal cancer. A total of 14 publications on DWI and 25 on (18)F-FDG PET/CT were retrieved. Pooled analysis of individual patient data shows both imaging modalities have a low positive predictive value in the prediction of pCR (mean PPV of 54% and 39% for DWI- and (18)F-FDG PET/CT-based parameters respectively). Especially pre-RCT imaging is unable to predict pCR with overall accuracies of 68-72% for DWI and 44% for (18)F-FDG PET/CT. Qualitative DWI assessment 5-10weeks after the end of RCT may outperform apparent diffusion coefficient (ADC)-based DWI-parameters (overall accuracy of 87% vs. 74-78%). Although few data are available, early changes in FDG-uptake seem promising in the prediction of pCR and the role of (18)F-FDG PET/CT during RCT should be further investigated. Quantitative and qualitative (18)F-FDG PET/CT measurements are equally effective in the assessment of pCR after RCT. The major strength of DWI and (18)F-FDG PET/CT lies in the identification of non-responders who are not candidates for organ preservation. Up to now, DWI and (18)F-FDG PET/CT are not accurate enough to safely select patients for organ-sparing strategies. Future research must focus on the integration of functional imaging with clinical data and molecular biomarkers.","author":[{"dropping-particle":"","family":"Joye","given":"Ines","non-dropping-particle":"","parse-names":false,"suffix":""},{"dropping-particle":"","family":"Deroose","given":"Christophe M","non-dropping-particle":"","parse-names":false,"suffix":""},{"dropping-particle":"","family":"Vandecaveye","given":"Vincent","non-dropping-particle":"","parse-names":false,"suffix":""},{"dropping-particle":"","family":"Haustermans","given":"Karin","non-dropping-particle":"","parse-names":false,"suffix":""}],"container-title":"Radiotherapy and oncology : journal of the European Society for Therapeutic Radiology and Oncology","id":"ITEM-1","issue":"2","issued":{"date-parts":[["2014","11"]]},"page":"158-65","title":"The role of diffusion-weighted MRI and (18)F-FDG PET/CT in the prediction of pathologic complete response after radiochemotherapy for rectal cancer: a systematic review.","type":"article-journal","volume":"113"},"uris":["http://www.mendeley.com/documents/?uuid=56bbd7c5-9730-46b2-9247-8fc9356ec1f2"]},{"id":"ITEM-2","itemData":{"DOI":"10.1007/s00330-010-1937-x","ISSN":"1432-1084","PMID":"20730540","abstract":"OBJECTIVES To evaluate the performance of diffusion-weighted MRI (DWI) in addition to T2-weighted (T2W) MRI for nodal restaging after chemoradiation in rectal cancer. METHODS Thirty patients underwent chemoradiation followed by MRI (1.5 T) and surgery. Imaging consisted of T2W-MRI and DWI (b0, 500, 1000). On T2W-MRI, nodes were scored as benign/malignant by two independent readers (R1, R2). Mean apparent diffusion coefficient (ADC) was measured for each node. Diagnostic performance was compared for T2W-MRI, ADC and T2W+ADC, using a per lesion histological validation. RESULTS ADC was higher for the malignant nodes (1.43 ± 0.38 vs 1.19 ± 0.27 *10</w:instrText>
      </w:r>
      <w:r w:rsidR="006821F4" w:rsidRPr="009D7554">
        <w:rPr>
          <w:rFonts w:ascii="Book Antiqua" w:hAnsi="Cambria Math" w:cs="Cambria Math"/>
          <w:lang w:val="en-US"/>
        </w:rPr>
        <w:instrText>⁻</w:instrText>
      </w:r>
      <w:r w:rsidR="006821F4" w:rsidRPr="009D7554">
        <w:rPr>
          <w:rFonts w:ascii="Book Antiqua" w:hAnsi="Book Antiqua"/>
          <w:lang w:val="en-US"/>
        </w:rPr>
        <w:instrText>³ mm²/s, p &lt; 0.001). Area under the ROC curve/sensitivity/specificity were 0.88/65%/93% (R1) and 0.95/71%/91% (R2) using T2W-MRI; 0.66/53%/82% using ADC (mean of two readers); and 0.91/56%/98% (R1) and 0.96/56%/99% (R2) using T2W+ADC. There was no significant difference between T2W-MRI and T2W+ADC. Interobserver reproducibility was good for T2W-MRI (κ0.73) and ADC (intraclass correlation coefficient 0.77). CONCLUSIONS After chemoradiation, ADC measurements may have potential for nodal characterisation, but DWI on its own is not reliable. Addition of DWI to T2W-MRI does not improve accuracy and T2W-MRI is already sufficiently accurate.","author":[{"dropping-particle":"","family":"Lambregts","given":"Doenja M J","non-dropping-particle":"","parse-names":false,"suffix":""},{"dropping-particle":"","family":"Maas","given":"Monique","non-dropping-particle":"","parse-names":false,"suffix":""},{"dropping-particle":"","family":"Riedl","given":"Robert G","non-dropping-particle":"","parse-names":false,"suffix":""},{"dropping-particle":"","family":"Bakers","given":"Frans C H","non-dropping-particle":"","parse-names":false,"suffix":""},{"dropping-particle":"","family":"Verwoerd","given":"Jan L","non-dropping-particle":"","parse-names":false,"suffix":""},{"dropping-particle":"","family":"Kessels","given":"Alfons G H","non-dropping-particle":"","parse-names":false,"suffix":""},{"dropping-particle":"","family":"Lammering","given":"Guido","non-dropping-particle":"","parse-names":false,"suffix":""},{"dropping-particle":"","family":"Boetes","given":"Carla","non-dropping-particle":"","parse-names":false,"suffix":""},{"dropping-particle":"","family":"Beets","given":"Geerard L","non-dropping-particle":"","parse-names":false,"suffix":""},{"dropping-particle":"","family":"Beets-Tan","given":"Regina G H","non-dropping-particle":"","parse-names":false,"suffix":""}],"container-title":"European radiology","id":"ITEM-2","issue":"2","issued":{"date-parts":[["2011","2"]]},"page":"265-73","title":"Value of ADC measurements for nodal staging after chemoradiation in locally advanced rectal cancer-a per lesion validation study.","type":"article-journal","volume":"21"},"uris":["http://www.mendeley.com/documents/?uuid=98a4965c-acdf-4165-96fd-6c815e9c79e4"]},{"id":"ITEM-3","itemData":{"DOI":"10.1002/jmri.24387","ISSN":"1522-2586","PMID":"24307571","abstract":"PURPOSE To evaluate the usefulness of perfusion parameters derived from dynamic contrast-enhanced MR imaging (DCE-MRI) for assessing the therapeutic response to neoadjuvant chemoradiation therapy (CRT) for locally advanced rectal cancer (LARC). MATERIALS AND METHODS Fifty patients with LARC (≥T3 or lymph-node metastasis) who underwent CRT and subsequent surgery, were included in this study. All patients underwent pre- and post-CRT DCE-MRI on a 1.5 Tesla unit. By using a postprocessing software, the following perfusion parameters (K(trans) , kep , ve ) were measured for tumor. Those perfusion parameters were compared not only between the T-downstaged group and the nondownstaged group, but also before and after CRT in each group. RESULTS After CRT, the mean K(trans) (min(-1) ) significantly decreased from 1.24 ± 0.53 to 0.76 ± 0.45 in the T-downstaged group (n = 24) (P = 0.0007), whereas it did not significantly decrease in the nondownstaged group (n = 26) (from 1.02 ± 0.53 to 0.87 ± 0.48, P = 0.24). The percentage difference between pre- and post-CRT K(trans) in the T-downstaged group was significantly higher than that in the nondownstaged group (43%, 16%, respectively, P = 0.0092). However, none of the other parameters showed significant differences. CONCLUSION A large decrease in the mean K(trans) after CRT was associated with a good therapeutic response to CRT for LARC.","author":[{"dropping-particle":"","family":"Kim","given":"Seung Ho","non-dropping-particle":"","parse-names":false,"suffix":""},{"dropping-particle":"","family":"Lee","given":"Jeong Min","non-dropping-particle":"","parse-names":false,"suffix":""},{"dropping-particle":"","family":"Gupta","given":"Sandeep N","non-dropping-particle":"","parse-names":false,"suffix":""},{"dropping-particle":"","family":"Han","given":"Joon Koo","non-dropping-particle":"","parse-names":false,"suffix":""},{"dropping-particle":"","family":"Choi","given":"Byung Ihn","non-dropping-particle":"","parse-names":false,"suffix":""}],"container-title":"Journal of magnetic resonance imaging : JMRI","id":"ITEM-3","issue":"3","issued":{"date-parts":[["2014","9"]]},"page":"730-7","title":"Dynamic contrast-enhanced MRI to evaluate the therapeutic response to neoadjuvant chemoradiation therapy in locally advanced rectal cancer.","type":"article-journal","volume":"40"},"uris":["http://www.mendeley.com/documents/?uuid=48d2c7fa-e4a8-43f2-a9c1-42207eed63b5"]},{"id":"ITEM-4","itemData":{"DOI":"10.1016/j.ijrobp.2010.12.063","ISSN":"1879-355X","PMID":"21398048","abstract":"PURPOSE To evaluate diffusion-weighted magnetic resonance imaging (DWI) for response prediction before and response assessment during and early after preoperative radiochemotherapy (RCT) for locally advanced rectal cancer (LARC). METHODS AND MATERIALS Twenty patients receiving RCT for LARC underwent MRI including DWI before RCT, after 10-15 fractions and 1 to 2 weeks before surgery. Tumor volume and apparent diffusion coefficient (ADC; b-values: 0-1000 s/mm(2)) were determined at all time points. Pretreatment tumor ADC and volume, tumor ADC change (∆ADC), and volume change (∆V) between pretreatment and follow-up examinations were compared with histopathologic findings after total mesorectal excision (pathologic complete response [pCR] vs. no pCR, ypT0-2 vs. ypT3-4, T-downstaging or not). The discriminatory capability of pretreatment tumor ADC and volume, ∆ADC, and ∆V for the detection of pCR was compared with receiver operating characteristics analysis. RESULTS Pretreatment ADC was significantly lower in patients with pCR compared with patients without (in mm(2)/s: 0.94 ± 0.12 × 10(-3) vs. 1.19 ± 0.22 × 10(-3), p = 0.003), yielding a sensitivity of 100% and specificity of 86% for detection of pCR. The volume reduction during and after RCT was significantly higher in patients with pCR compared with patients without (in %: ΔV(during): -62 ± 16 vs. -33 ± 16, respectively, p = 0.015; and ΔV(post): -86 ± 12 vs. -60 ± 21, p = 0.012), yielding a sensitivity of 83% and specificity of 71% for the ΔV(during) and, respectively, 83% and 86% for the ΔV(post). The ∆ADC during (ΔADC(during)) and after RCT (ΔADC(post)) showed a significantly higher value in patients with pCR compared with patients without (in %: ΔADC(during): 72 ± 14 vs. 16 ± 12, p = 0.0006; and ΔADC(post): 88 ± 35 vs. 26 ± 19, p = 0.0011), yielding a sensitivity and specificity of 100% for the ΔADC(during) and, respectively, 100% and 93% for the ΔADC(post). CONCLUSIONS These initial findings indicate that DWI, using pretreatment ADC, ΔADC(during), and ΔADC(post) may be useful for prediction and early assessment of pathologic response to preoperative RCT of LARC, with higher accuracy than volumetric measurements.","author":[{"dropping-particle":"","family":"Lambrecht","given":"Maarten","non-dropping-particle":"","parse-names":false,"suffix":""},{"dropping-particle":"","family":"Vandecaveye","given":"Vincent","non-dropping-particle":"","parse-names":false,"suffix":""},{"dropping-particle":"","family":"Keyzer","given":"Frederik","non-dropping-particle":"De","parse-names":false,"suffix":""},{"dropping-particle":"","family":"Roels","given":"Sarah","non-dropping-particle":"","parse-names":false,"suffix":""},{"dropping-particle":"","family":"Penninckx","given":"Freddy","non-dropping-particle":"","parse-names":false,"suffix":""},{"dropping-particle":"","family":"Cutsem","given":"Eric","non-dropping-particle":"Van","parse-names":false,"suffix":""},{"dropping-particle":"","family":"Filip","given":"Claus","non-dropping-particle":"","parse-names":false,"suffix":""},{"dropping-particle":"","family":"Haustermans","given":"Karin","non-dropping-particle":"","parse-names":false,"suffix":""}],"container-title":"International journal of radiation oncology, biology, physics","id":"ITEM-4","issue":"2","issued":{"date-parts":[["2012","2","1"]]},"page":"863-70","title":"Value of diffusion-weighted magnetic resonance imaging for prediction and early assessment of response to neoadjuvant radiochemotherapy in rectal cancer: preliminary results.","type":"article-journal","volume":"82"},"uris":["http://www.mendeley.com/documents/?uuid=ea75359e-3747-4b84-9a52-abcc02c102b8"]}],"mendeley":{"formattedCitation":"&lt;sup&gt;[49,63–65]&lt;/sup&gt;","plainTextFormattedCitation":"[49,63–65]","previouslyFormattedCitation":"&lt;sup&gt;[49,63–65]&lt;/sup&gt;"},"properties":{"noteIndex":0},"schema":"https://github.com/citation-style-language/schema/raw/master/csl-citation.json"}</w:instrText>
      </w:r>
      <w:r w:rsidR="00A75298" w:rsidRPr="009D7554">
        <w:rPr>
          <w:rFonts w:ascii="Book Antiqua" w:hAnsi="Book Antiqua"/>
          <w:lang w:val="en-US"/>
        </w:rPr>
        <w:fldChar w:fldCharType="separate"/>
      </w:r>
      <w:r w:rsidR="000D56F8" w:rsidRPr="009D7554">
        <w:rPr>
          <w:rFonts w:ascii="Book Antiqua" w:hAnsi="Book Antiqua"/>
          <w:vertAlign w:val="superscript"/>
          <w:lang w:val="en-US"/>
        </w:rPr>
        <w:t>[49,63–65]</w:t>
      </w:r>
      <w:r w:rsidR="00A75298" w:rsidRPr="009D7554">
        <w:rPr>
          <w:rFonts w:ascii="Book Antiqua" w:hAnsi="Book Antiqua"/>
          <w:lang w:val="en-US"/>
        </w:rPr>
        <w:fldChar w:fldCharType="end"/>
      </w:r>
      <w:r w:rsidR="0066150B" w:rsidRPr="009D7554">
        <w:rPr>
          <w:rFonts w:ascii="Book Antiqua" w:hAnsi="Book Antiqua"/>
          <w:lang w:val="en-US"/>
        </w:rPr>
        <w:t xml:space="preserve"> have shown the usefulness of ADC values for </w:t>
      </w:r>
      <w:r w:rsidR="001F0F25" w:rsidRPr="009D7554">
        <w:rPr>
          <w:rFonts w:ascii="Book Antiqua" w:hAnsi="Book Antiqua"/>
          <w:lang w:val="en-US"/>
        </w:rPr>
        <w:t xml:space="preserve">the </w:t>
      </w:r>
      <w:r w:rsidR="0066150B" w:rsidRPr="009D7554">
        <w:rPr>
          <w:rFonts w:ascii="Book Antiqua" w:hAnsi="Book Antiqua"/>
          <w:lang w:val="en-US"/>
        </w:rPr>
        <w:t>assessment of tumor response</w:t>
      </w:r>
      <w:r w:rsidR="002675FE" w:rsidRPr="009D7554">
        <w:rPr>
          <w:rFonts w:ascii="Book Antiqua" w:hAnsi="Book Antiqua"/>
          <w:lang w:val="en-US"/>
        </w:rPr>
        <w:t>s</w:t>
      </w:r>
      <w:r w:rsidR="00502E2D" w:rsidRPr="009D7554">
        <w:rPr>
          <w:rFonts w:ascii="Book Antiqua" w:hAnsi="Book Antiqua"/>
          <w:lang w:val="en-US"/>
        </w:rPr>
        <w:t xml:space="preserve"> </w:t>
      </w:r>
      <w:r w:rsidR="0066150B" w:rsidRPr="009D7554">
        <w:rPr>
          <w:rFonts w:ascii="Book Antiqua" w:hAnsi="Book Antiqua"/>
          <w:lang w:val="en-US"/>
        </w:rPr>
        <w:t>to preoperative CRT</w:t>
      </w:r>
      <w:r w:rsidR="001F0F25" w:rsidRPr="009D7554">
        <w:rPr>
          <w:rFonts w:ascii="Book Antiqua" w:hAnsi="Book Antiqua"/>
          <w:lang w:val="en-US"/>
        </w:rPr>
        <w:t>,</w:t>
      </w:r>
      <w:r w:rsidR="0066150B" w:rsidRPr="009D7554">
        <w:rPr>
          <w:rFonts w:ascii="Book Antiqua" w:hAnsi="Book Antiqua"/>
          <w:lang w:val="en-US"/>
        </w:rPr>
        <w:t xml:space="preserve"> suggesting that the increase of ADC values after CRT is associated </w:t>
      </w:r>
      <w:r w:rsidR="001F0F25" w:rsidRPr="009D7554">
        <w:rPr>
          <w:rFonts w:ascii="Book Antiqua" w:hAnsi="Book Antiqua"/>
          <w:lang w:val="en-US"/>
        </w:rPr>
        <w:t>with</w:t>
      </w:r>
      <w:r w:rsidR="0066150B" w:rsidRPr="009D7554">
        <w:rPr>
          <w:rFonts w:ascii="Book Antiqua" w:hAnsi="Book Antiqua"/>
          <w:lang w:val="en-US"/>
        </w:rPr>
        <w:t xml:space="preserve"> a good response to preoperative CRT</w:t>
      </w:r>
      <w:r w:rsidR="001F0F25" w:rsidRPr="009D7554">
        <w:rPr>
          <w:rFonts w:ascii="Book Antiqua" w:hAnsi="Book Antiqua"/>
          <w:lang w:val="en-US"/>
        </w:rPr>
        <w:t>.</w:t>
      </w:r>
      <w:r w:rsidR="0066150B" w:rsidRPr="009D7554">
        <w:rPr>
          <w:rFonts w:ascii="Book Antiqua" w:hAnsi="Book Antiqua"/>
          <w:lang w:val="en-US"/>
        </w:rPr>
        <w:t xml:space="preserve"> </w:t>
      </w:r>
      <w:r w:rsidR="001F0F25" w:rsidRPr="009D7554">
        <w:rPr>
          <w:rFonts w:ascii="Book Antiqua" w:hAnsi="Book Antiqua"/>
          <w:lang w:val="en-US"/>
        </w:rPr>
        <w:t xml:space="preserve">The </w:t>
      </w:r>
      <w:r w:rsidR="0066150B" w:rsidRPr="009D7554">
        <w:rPr>
          <w:rFonts w:ascii="Book Antiqua" w:hAnsi="Book Antiqua"/>
          <w:lang w:val="en-US"/>
        </w:rPr>
        <w:t xml:space="preserve">absence of ADC </w:t>
      </w:r>
      <w:r w:rsidR="001F0F25" w:rsidRPr="009D7554">
        <w:rPr>
          <w:rFonts w:ascii="Book Antiqua" w:hAnsi="Book Antiqua"/>
          <w:lang w:val="en-US"/>
        </w:rPr>
        <w:t>value</w:t>
      </w:r>
      <w:r w:rsidR="0066150B" w:rsidRPr="009D7554">
        <w:rPr>
          <w:rFonts w:ascii="Book Antiqua" w:hAnsi="Book Antiqua"/>
          <w:lang w:val="en-US"/>
        </w:rPr>
        <w:t xml:space="preserve"> changes during CRT could </w:t>
      </w:r>
      <w:r w:rsidR="002675FE" w:rsidRPr="009D7554">
        <w:rPr>
          <w:rFonts w:ascii="Book Antiqua" w:hAnsi="Book Antiqua"/>
          <w:lang w:val="en-US"/>
        </w:rPr>
        <w:t xml:space="preserve">be used to </w:t>
      </w:r>
      <w:r w:rsidR="0066150B" w:rsidRPr="009D7554">
        <w:rPr>
          <w:rFonts w:ascii="Book Antiqua" w:hAnsi="Book Antiqua"/>
          <w:lang w:val="en-US"/>
        </w:rPr>
        <w:t xml:space="preserve">identify </w:t>
      </w:r>
      <w:r w:rsidR="009A70D4" w:rsidRPr="009D7554">
        <w:rPr>
          <w:rFonts w:ascii="Book Antiqua" w:hAnsi="Book Antiqua"/>
          <w:lang w:val="en-US"/>
        </w:rPr>
        <w:t>nonr</w:t>
      </w:r>
      <w:r w:rsidR="0066150B" w:rsidRPr="009D7554">
        <w:rPr>
          <w:rFonts w:ascii="Book Antiqua" w:hAnsi="Book Antiqua"/>
          <w:lang w:val="en-US"/>
        </w:rPr>
        <w:t>esponding patients</w:t>
      </w:r>
      <w:r w:rsidR="00A75298" w:rsidRPr="009D7554">
        <w:rPr>
          <w:rFonts w:ascii="Book Antiqua" w:hAnsi="Book Antiqua"/>
          <w:lang w:val="en-US"/>
        </w:rPr>
        <w:fldChar w:fldCharType="begin" w:fldLock="1"/>
      </w:r>
      <w:r w:rsidR="006821F4" w:rsidRPr="009D7554">
        <w:rPr>
          <w:rFonts w:ascii="Book Antiqua" w:hAnsi="Book Antiqua"/>
          <w:lang w:val="en-US"/>
        </w:rPr>
        <w:instrText xml:space="preserve">ADDIN CSL_CITATION {"citationItems":[{"id":"ITEM-1","itemData":{"DOI":"10.1016/j.radonc.2014.08.035","ISSN":"1879-0887","PMID":"25281582","abstract":"PURPOSE We conducted a systematic review and meta-analysis to quantify the pathological complete response (pCR) rate after preoperative (chemo)radiation with doses of </w:instrText>
      </w:r>
      <w:r w:rsidR="006821F4" w:rsidRPr="009D7554">
        <w:rPr>
          <w:rFonts w:ascii="Book Antiqua" w:hAnsi="Cambria Math" w:cs="Cambria Math"/>
          <w:lang w:val="en-US"/>
        </w:rPr>
        <w:instrText>⩾</w:instrText>
      </w:r>
      <w:r w:rsidR="006821F4" w:rsidRPr="009D7554">
        <w:rPr>
          <w:rFonts w:ascii="Book Antiqua" w:hAnsi="Book Antiqua"/>
          <w:lang w:val="en-US"/>
        </w:rPr>
        <w:instrText xml:space="preserve">60Gy in patients with locally advanced rectal cancer. Complete response is relevant since this could select a proportion of patients for which organ-preserving strategies might be possible. Furthermore, we investigated correlations between EQD2 dose and pCR-rate, toxicity or resectability, and additionally between pCR-rate and chemotherapy, boost-approach or surgical-interval. METHODS AND MATERIALS PubMed, EMBASE and Cochrane libraries were searched with the terms 'radiotherapy', 'boost' and 'rectal cancer' and synonym terms. Studies delivering a preoperative dose of </w:instrText>
      </w:r>
      <w:r w:rsidR="006821F4" w:rsidRPr="009D7554">
        <w:rPr>
          <w:rFonts w:ascii="Book Antiqua" w:hAnsi="Cambria Math" w:cs="Cambria Math"/>
          <w:lang w:val="en-US"/>
        </w:rPr>
        <w:instrText>⩾</w:instrText>
      </w:r>
      <w:r w:rsidR="006821F4" w:rsidRPr="009D7554">
        <w:rPr>
          <w:rFonts w:ascii="Book Antiqua" w:hAnsi="Book Antiqua"/>
          <w:lang w:val="en-US"/>
        </w:rPr>
        <w:instrText xml:space="preserve">60 Gy were eligible for inclusion. Original English full texts that allowed intention-to-treat pCR-rate calculation were included. Study variables, including pCR, acute grade </w:instrText>
      </w:r>
      <w:r w:rsidR="006821F4" w:rsidRPr="009D7554">
        <w:rPr>
          <w:rFonts w:ascii="Book Antiqua" w:hAnsi="Cambria Math" w:cs="Cambria Math"/>
          <w:lang w:val="en-US"/>
        </w:rPr>
        <w:instrText>⩾</w:instrText>
      </w:r>
      <w:r w:rsidR="006821F4" w:rsidRPr="009D7554">
        <w:rPr>
          <w:rFonts w:ascii="Book Antiqua" w:hAnsi="Book Antiqua"/>
          <w:lang w:val="en-US"/>
        </w:rPr>
        <w:instrText xml:space="preserve">3 toxicity and resectability-rate, were extracted by two authors independently. Eligibility for meta-analysis was assessed by critical appraisal. Heterogeneity and pooled estimates were calculated for all three outcomes. Pearson correlation coefficients were calculated between the variables mentioned earlier. RESULTS The search identified 3377 original articles, of which 18 met our inclusion criteria (1106 patients). Fourteen studies were included for meta-analysis (487 patients treated with </w:instrText>
      </w:r>
      <w:r w:rsidR="006821F4" w:rsidRPr="009D7554">
        <w:rPr>
          <w:rFonts w:ascii="Book Antiqua" w:hAnsi="Cambria Math" w:cs="Cambria Math"/>
          <w:lang w:val="en-US"/>
        </w:rPr>
        <w:instrText>⩾</w:instrText>
      </w:r>
      <w:r w:rsidR="006821F4" w:rsidRPr="009D7554">
        <w:rPr>
          <w:rFonts w:ascii="Book Antiqua" w:hAnsi="Book Antiqua"/>
          <w:lang w:val="en-US"/>
        </w:rPr>
        <w:instrText xml:space="preserve">60 Gy). pCR-rate ranged between 0.0% and 44.4%. Toxicity ranged between 1.3% and 43.8% and resectability-rate between 34.0% and 100%. Pooled pCR-rate was 20.4% (95% CI 16.8-24.5%), with low heterogeneity (I2 0.0%, 95% CI 0.00-84.0%). Pooled acute grade </w:instrText>
      </w:r>
      <w:r w:rsidR="006821F4" w:rsidRPr="009D7554">
        <w:rPr>
          <w:rFonts w:ascii="Book Antiqua" w:hAnsi="Cambria Math" w:cs="Cambria Math"/>
          <w:lang w:val="en-US"/>
        </w:rPr>
        <w:instrText>⩾</w:instrText>
      </w:r>
      <w:r w:rsidR="006821F4" w:rsidRPr="009D7554">
        <w:rPr>
          <w:rFonts w:ascii="Book Antiqua" w:hAnsi="Book Antiqua"/>
          <w:lang w:val="en-US"/>
        </w:rPr>
        <w:instrText>3 toxicity was 10.3% (95% CI 5.4-18.6%) and pooled resectability-rate was 89.5% (95% CI 78.2-95.3%). CONCLUSION Dose escalation above 60 Gy for locally advanced rectal cancer results in high pCR-rates and acceptable early toxicity. This observation needs to be further investigated within larger randomized controlled phase 3 trials in the future.","author":[{"dropping-particle":"","family":"Burbach","given":"Johannes Peter Maarten","non-dropping-particle":"","parse-names":false,"suffix":""},{"dropping-particle":"","family":"Harder","given":"Annemarie Maria","non-dropping-particle":"den","parse-names":false,"suffix":""},{"dropping-particle":"","family":"Intven","given":"Martijn","non-dropping-particle":"","parse-names":false,"suffix":""},{"dropping-particle":"","family":"Vulpen","given":"Marco","non-dropping-particle":"van","parse-names":false,"suffix":""},{"dropping-particle":"","family":"Verkooijen","given":"Helena Marieke","non-dropping-particle":"","parse-names":false,"suffix":""},{"dropping-particle":"","family":"Reerink","given":"Onne","non-dropping-particle":"","parse-names":false,"suffix":""}],"container-title":"Radiotherapy and oncology : journal of the European Society for Therapeutic Radiology and Oncology","id":"ITEM-1","issue":"1","issued":{"date-parts":[["2014","10"]]},"page":"1-9","title":"Impact of radiotherapy boost on pathological complete response in patients with locally advanced rectal cancer: a systematic review and meta-analysis.","type":"article-journal","volume":"113"},"uris":["http://www.mendeley.com/documents/?uuid=aceaac5f-10e4-402c-8682-e3dab2873f10"]}],"mendeley":{"formattedCitation":"&lt;sup&gt;[66]&lt;/sup&gt;","plainTextFormattedCitation":"[66]","previouslyFormattedCitation":"&lt;sup&gt;[66]&lt;/sup&gt;"},"properties":{"noteIndex":0},"schema":"https://github.com/citation-style-language/schema/raw/master/csl-citation.json"}</w:instrText>
      </w:r>
      <w:r w:rsidR="00A75298" w:rsidRPr="009D7554">
        <w:rPr>
          <w:rFonts w:ascii="Book Antiqua" w:hAnsi="Book Antiqua"/>
          <w:lang w:val="en-US"/>
        </w:rPr>
        <w:fldChar w:fldCharType="separate"/>
      </w:r>
      <w:r w:rsidR="000D56F8" w:rsidRPr="009D7554">
        <w:rPr>
          <w:rFonts w:ascii="Book Antiqua" w:hAnsi="Book Antiqua"/>
          <w:vertAlign w:val="superscript"/>
          <w:lang w:val="en-US"/>
        </w:rPr>
        <w:t>[66]</w:t>
      </w:r>
      <w:r w:rsidR="00A75298" w:rsidRPr="009D7554">
        <w:rPr>
          <w:rFonts w:ascii="Book Antiqua" w:hAnsi="Book Antiqua"/>
          <w:lang w:val="en-US"/>
        </w:rPr>
        <w:fldChar w:fldCharType="end"/>
      </w:r>
      <w:r w:rsidR="0066150B" w:rsidRPr="009D7554">
        <w:rPr>
          <w:rFonts w:ascii="Book Antiqua" w:eastAsia="Calibri" w:hAnsi="Book Antiqua"/>
          <w:lang w:val="en-US"/>
        </w:rPr>
        <w:t xml:space="preserve">. The increase </w:t>
      </w:r>
      <w:r w:rsidR="002675FE" w:rsidRPr="009D7554">
        <w:rPr>
          <w:rFonts w:ascii="Book Antiqua" w:eastAsia="Calibri" w:hAnsi="Book Antiqua"/>
          <w:lang w:val="en-US"/>
        </w:rPr>
        <w:t xml:space="preserve">in </w:t>
      </w:r>
      <w:r w:rsidR="0066150B" w:rsidRPr="009D7554">
        <w:rPr>
          <w:rFonts w:ascii="Book Antiqua" w:eastAsia="Calibri" w:hAnsi="Book Antiqua"/>
          <w:lang w:val="en-US"/>
        </w:rPr>
        <w:t xml:space="preserve">ADC in neoadjuvant CRT responders may be due to cell death, cellular membrane disruption and decreased cellularity, which contribute to increased water diffusion. </w:t>
      </w:r>
      <w:r w:rsidR="00465249" w:rsidRPr="009D7554">
        <w:rPr>
          <w:rFonts w:ascii="Book Antiqua" w:hAnsi="Book Antiqua"/>
          <w:bCs/>
          <w:lang w:val="en-US"/>
        </w:rPr>
        <w:t>Regarding the assessment of post-CRT residual tumor</w:t>
      </w:r>
      <w:r w:rsidR="002675FE" w:rsidRPr="009D7554">
        <w:rPr>
          <w:rFonts w:ascii="Book Antiqua" w:hAnsi="Book Antiqua"/>
          <w:bCs/>
          <w:lang w:val="en-US"/>
        </w:rPr>
        <w:t>s</w:t>
      </w:r>
      <w:r w:rsidR="00465249" w:rsidRPr="009D7554">
        <w:rPr>
          <w:rFonts w:ascii="Book Antiqua" w:hAnsi="Book Antiqua"/>
          <w:bCs/>
          <w:lang w:val="en-US"/>
        </w:rPr>
        <w:t xml:space="preserve"> in LARC, Song </w:t>
      </w:r>
      <w:r w:rsidR="001C3C53" w:rsidRPr="009D7554">
        <w:rPr>
          <w:rFonts w:ascii="Book Antiqua" w:hAnsi="Book Antiqua"/>
          <w:i/>
          <w:lang w:val="en-US"/>
        </w:rPr>
        <w:t>et al</w:t>
      </w:r>
      <w:r w:rsidR="00A75298" w:rsidRPr="009D7554">
        <w:rPr>
          <w:rFonts w:ascii="Book Antiqua" w:hAnsi="Book Antiqua"/>
          <w:i/>
          <w:lang w:val="en-US"/>
        </w:rPr>
        <w:fldChar w:fldCharType="begin" w:fldLock="1"/>
      </w:r>
      <w:r w:rsidR="00DF4FB7" w:rsidRPr="009D7554">
        <w:rPr>
          <w:rFonts w:ascii="Book Antiqua" w:hAnsi="Book Antiqua"/>
          <w:i/>
          <w:lang w:val="en-US"/>
        </w:rPr>
        <w:instrText>ADDIN CSL_CITATION {"citationItems":[{"id":"ITEM-1","itemData":{"DOI":"10.1259/bjr/68424021","ISSN":"1748-880X","PMID":"21343320","abstract":"OBJECTIVES To evaluate the added value of diffusion-weighted imaging (DWI) in combination with T(2) weighted imaging (T2WI) compared with T2WI alone or positron emission tomography (PET)/CT for detecting viable tumour after neoadjuvant chemoradiation therapy (CRT) in patients with locally advanced rectal cancer. METHODS 50 consecutive patients with locally advanced rectal cancer (≥T3 or lymph node positive) who underwent neoadjuvant CRT and subsequent surgery were enrolled in this retrospective study. All patients underwent 3.0 T rectal MRI and PET/CT after completing CRT. For qualitative analysis, two radiologists independently reviewed T2WI alone and DWI with T2WI over a 1-month interval. One nuclear medicine physician reviewed PET/CT images using a five-point scale. Diagnostic accuracy, sensitivity, specificity, positive predictive value (PPV) and negative predictive value (NPV) for detecting viable tumour were assessed. For quantitative analysis, the apparent diffusion coefficients (ADCs) of the lesions were measured and compared between the viable tumour group and non-viable tumour groups. RESULTS For detecting viable tumours, DWI with T2WI improved diagnostic accuracies (Reviewer 1 detected 90%; Reviewer 2, 86%) over T2WI alone (Reviewer 1 detected 76%, p=0.5; Reviewer 2, 64%, p=0.013) or PET/CT (48%, p&lt;0.001). The sensitivity of DWI with T2WI (Reviewer 1 detected 98%; Reviewer 2, 91%) was significantly higher than those of T2WI alone (Reviewer 1 detected 77%; Reviewer 2, 64%) or PET-CT (43%, p&lt;0.05). Only for Reviewer 2 was the NPV of DWI with T2WI (43%) significantly different from that of PET/CT (17%, p&lt;0.05). The specificities and PPVs of DWI with T2WI were not improved over those of T2WI alone or of PET/CT (both p&gt;0.05). The mean ADC of the viable tumour group (0.93 × 10(-3) mm(2) sc(-1)) was significantly lower than that of the non-viable tumour group (1.55 × 10(-3) mm(2) sc(-1), p&lt;0.0001). CONCLUSION Adding DWI to T2WI is helpful for detecting viable tumours after neoadjuvant CRT compared with T2WI alone or PET/CT in patients with locally advanced rectal cancer.","author":[{"dropping-particle":"","family":"Song","given":"I","non-dropping-particle":"","parse-names":false,"suffix":""},{"dropping-particle":"","family":"Kim","given":"S H","non-dropping-particle":"","parse-names":false,"suffix":""},{"dropping-particle":"","family":"Lee","given":"S J","non-dropping-particle":"","parse-names":false,"suffix":""},{"dropping-particle":"","family":"Choi","given":"J Y","non-dropping-particle":"","parse-names":false,"suffix":""},{"dropping-particle":"","family":"Kim","given":"M J","non-dropping-particle":"","parse-names":false,"suffix":""},{"dropping-particle":"","family":"Rhim","given":"H","non-dropping-particle":"","parse-names":false,"suffix":""}],"container-title":"The British journal of radiology","id":"ITEM-1","issue":"1013","issued":{"date-parts":[["2012","5"]]},"page":"577-86","title":"Value of diffusion-weighted imaging in the detection of viable tumour after neoadjuvant chemoradiation therapy in patients with locally advanced rectal cancer: comparison with T2 weighted and PET/CT imaging.","type":"article-journal","volume":"85"},"uris":["http://www.mendeley.com/documents/?uuid=1febe84d-8b4f-4476-99b5-31677779ebf3"]}],"mendeley":{"formattedCitation":"&lt;sup&gt;[67]&lt;/sup&gt;","plainTextFormattedCitation":"[67]","previouslyFormattedCitation":"&lt;sup&gt;[67]&lt;/sup&gt;"},"properties":{"noteIndex":0},"schema":"https://github.com/citation-style-language/schema/raw/master/csl-citation.json"}</w:instrText>
      </w:r>
      <w:r w:rsidR="00A75298" w:rsidRPr="009D7554">
        <w:rPr>
          <w:rFonts w:ascii="Book Antiqua" w:hAnsi="Book Antiqua"/>
          <w:i/>
          <w:lang w:val="en-US"/>
        </w:rPr>
        <w:fldChar w:fldCharType="separate"/>
      </w:r>
      <w:r w:rsidR="006821F4" w:rsidRPr="009D7554">
        <w:rPr>
          <w:rFonts w:ascii="Book Antiqua" w:hAnsi="Book Antiqua"/>
          <w:vertAlign w:val="superscript"/>
          <w:lang w:val="en-US"/>
        </w:rPr>
        <w:t>[67]</w:t>
      </w:r>
      <w:r w:rsidR="00A75298" w:rsidRPr="009D7554">
        <w:rPr>
          <w:rFonts w:ascii="Book Antiqua" w:hAnsi="Book Antiqua"/>
          <w:i/>
          <w:lang w:val="en-US"/>
        </w:rPr>
        <w:fldChar w:fldCharType="end"/>
      </w:r>
      <w:r w:rsidR="00B034EE" w:rsidRPr="009D7554">
        <w:rPr>
          <w:rFonts w:ascii="Book Antiqua" w:hAnsi="Book Antiqua"/>
          <w:i/>
          <w:lang w:val="en-US"/>
        </w:rPr>
        <w:t xml:space="preserve"> </w:t>
      </w:r>
      <w:r w:rsidR="001C3C53" w:rsidRPr="009D7554">
        <w:rPr>
          <w:rFonts w:ascii="Book Antiqua" w:hAnsi="Book Antiqua"/>
          <w:lang w:val="en-US"/>
        </w:rPr>
        <w:t xml:space="preserve">reported that the mean ADC after CRT of viable tumors (0.93 </w:t>
      </w:r>
      <w:r w:rsidR="005617ED" w:rsidRPr="009D7554">
        <w:rPr>
          <w:rFonts w:ascii="Book Antiqua" w:hAnsi="Book Antiqua"/>
          <w:lang w:val="en-US"/>
        </w:rPr>
        <w:t xml:space="preserve">× </w:t>
      </w:r>
      <w:r w:rsidR="001C3C53" w:rsidRPr="009D7554">
        <w:rPr>
          <w:rFonts w:ascii="Book Antiqua" w:hAnsi="Book Antiqua"/>
          <w:lang w:val="en-US"/>
        </w:rPr>
        <w:t>10</w:t>
      </w:r>
      <w:r w:rsidR="001C3C53" w:rsidRPr="009D7554">
        <w:rPr>
          <w:rFonts w:ascii="Book Antiqua" w:hAnsi="Book Antiqua"/>
          <w:vertAlign w:val="superscript"/>
          <w:lang w:val="en-US"/>
        </w:rPr>
        <w:t>-3</w:t>
      </w:r>
      <w:r w:rsidR="001C3C53" w:rsidRPr="009D7554">
        <w:rPr>
          <w:rFonts w:ascii="Book Antiqua" w:hAnsi="Book Antiqua"/>
          <w:lang w:val="en-US"/>
        </w:rPr>
        <w:t xml:space="preserve"> mm</w:t>
      </w:r>
      <w:r w:rsidR="001C3C53" w:rsidRPr="009D7554">
        <w:rPr>
          <w:rFonts w:ascii="Book Antiqua" w:hAnsi="Book Antiqua"/>
          <w:vertAlign w:val="superscript"/>
          <w:lang w:val="en-US"/>
        </w:rPr>
        <w:t>2</w:t>
      </w:r>
      <w:r w:rsidR="001C3C53" w:rsidRPr="009D7554">
        <w:rPr>
          <w:rFonts w:ascii="Book Antiqua" w:hAnsi="Book Antiqua"/>
          <w:lang w:val="en-US"/>
        </w:rPr>
        <w:t xml:space="preserve">/s) differed significantly from that of </w:t>
      </w:r>
      <w:r w:rsidR="009A70D4" w:rsidRPr="009D7554">
        <w:rPr>
          <w:rFonts w:ascii="Book Antiqua" w:hAnsi="Book Antiqua"/>
          <w:lang w:val="en-US"/>
        </w:rPr>
        <w:t>nonv</w:t>
      </w:r>
      <w:r w:rsidR="001C3C53" w:rsidRPr="009D7554">
        <w:rPr>
          <w:rFonts w:ascii="Book Antiqua" w:hAnsi="Book Antiqua"/>
          <w:lang w:val="en-US"/>
        </w:rPr>
        <w:t xml:space="preserve">iable tumors (1.55 </w:t>
      </w:r>
      <w:r w:rsidR="005617ED" w:rsidRPr="009D7554">
        <w:rPr>
          <w:rFonts w:ascii="Book Antiqua" w:hAnsi="Book Antiqua"/>
          <w:lang w:val="en-US"/>
        </w:rPr>
        <w:t xml:space="preserve">× </w:t>
      </w:r>
      <w:r w:rsidR="001C3C53" w:rsidRPr="009D7554">
        <w:rPr>
          <w:rFonts w:ascii="Book Antiqua" w:hAnsi="Book Antiqua"/>
          <w:lang w:val="en-US"/>
        </w:rPr>
        <w:t>10</w:t>
      </w:r>
      <w:r w:rsidR="001C3C53" w:rsidRPr="009D7554">
        <w:rPr>
          <w:rFonts w:ascii="Book Antiqua" w:hAnsi="Book Antiqua"/>
          <w:vertAlign w:val="superscript"/>
          <w:lang w:val="en-US"/>
        </w:rPr>
        <w:t>-3</w:t>
      </w:r>
      <w:r w:rsidR="001C3C53" w:rsidRPr="009D7554">
        <w:rPr>
          <w:rFonts w:ascii="Book Antiqua" w:hAnsi="Book Antiqua"/>
          <w:lang w:val="en-US"/>
        </w:rPr>
        <w:t xml:space="preserve"> mm</w:t>
      </w:r>
      <w:r w:rsidR="001C3C53" w:rsidRPr="009D7554">
        <w:rPr>
          <w:rFonts w:ascii="Book Antiqua" w:hAnsi="Book Antiqua"/>
          <w:vertAlign w:val="superscript"/>
          <w:lang w:val="en-US"/>
        </w:rPr>
        <w:t>2</w:t>
      </w:r>
      <w:r w:rsidR="001C3C53" w:rsidRPr="009D7554">
        <w:rPr>
          <w:rFonts w:ascii="Book Antiqua" w:hAnsi="Book Antiqua"/>
          <w:lang w:val="en-US"/>
        </w:rPr>
        <w:t>/s). Moreover, when an ADC value of 1.045 x 10</w:t>
      </w:r>
      <w:r w:rsidR="001C3C53" w:rsidRPr="009D7554">
        <w:rPr>
          <w:rFonts w:ascii="Book Antiqua" w:hAnsi="Book Antiqua"/>
          <w:vertAlign w:val="superscript"/>
          <w:lang w:val="en-US"/>
        </w:rPr>
        <w:t>-3</w:t>
      </w:r>
      <w:r w:rsidR="001C3C53" w:rsidRPr="009D7554">
        <w:rPr>
          <w:rFonts w:ascii="Book Antiqua" w:hAnsi="Book Antiqua"/>
          <w:lang w:val="en-US"/>
        </w:rPr>
        <w:t xml:space="preserve"> mm</w:t>
      </w:r>
      <w:r w:rsidR="001C3C53" w:rsidRPr="009D7554">
        <w:rPr>
          <w:rFonts w:ascii="Book Antiqua" w:hAnsi="Book Antiqua"/>
          <w:vertAlign w:val="superscript"/>
          <w:lang w:val="en-US"/>
        </w:rPr>
        <w:t>2</w:t>
      </w:r>
      <w:r w:rsidR="00B034EE" w:rsidRPr="009D7554">
        <w:rPr>
          <w:rFonts w:ascii="Book Antiqua" w:hAnsi="Book Antiqua"/>
          <w:bCs/>
          <w:lang w:val="en-US"/>
        </w:rPr>
        <w:t>/s was used as</w:t>
      </w:r>
      <w:r w:rsidR="001F0F25" w:rsidRPr="009D7554">
        <w:rPr>
          <w:rFonts w:ascii="Book Antiqua" w:hAnsi="Book Antiqua"/>
          <w:bCs/>
          <w:lang w:val="en-US"/>
        </w:rPr>
        <w:t xml:space="preserve"> a</w:t>
      </w:r>
      <w:r w:rsidR="00B034EE" w:rsidRPr="009D7554">
        <w:rPr>
          <w:rFonts w:ascii="Book Antiqua" w:hAnsi="Book Antiqua"/>
          <w:bCs/>
          <w:lang w:val="en-US"/>
        </w:rPr>
        <w:t xml:space="preserve"> cut-off value for distinguishing between viable and </w:t>
      </w:r>
      <w:r w:rsidR="009A70D4" w:rsidRPr="009D7554">
        <w:rPr>
          <w:rFonts w:ascii="Book Antiqua" w:hAnsi="Book Antiqua"/>
          <w:bCs/>
          <w:lang w:val="en-US"/>
        </w:rPr>
        <w:t>nonv</w:t>
      </w:r>
      <w:r w:rsidR="00B034EE" w:rsidRPr="009D7554">
        <w:rPr>
          <w:rFonts w:ascii="Book Antiqua" w:hAnsi="Book Antiqua"/>
          <w:bCs/>
          <w:lang w:val="en-US"/>
        </w:rPr>
        <w:t>iable tumors, false positive findings were not observed</w:t>
      </w:r>
      <w:r w:rsidR="001F0F25" w:rsidRPr="009D7554">
        <w:rPr>
          <w:rFonts w:ascii="Book Antiqua" w:hAnsi="Book Antiqua"/>
          <w:bCs/>
          <w:lang w:val="en-US"/>
        </w:rPr>
        <w:t>,</w:t>
      </w:r>
      <w:r w:rsidR="00B034EE" w:rsidRPr="009D7554">
        <w:rPr>
          <w:rFonts w:ascii="Book Antiqua" w:hAnsi="Book Antiqua"/>
          <w:bCs/>
          <w:lang w:val="en-US"/>
        </w:rPr>
        <w:t xml:space="preserve"> resulting in a specificity and positive predictive value of 100%. In the same clinical setting, Grosu </w:t>
      </w:r>
      <w:r w:rsidR="00036DA6" w:rsidRPr="009D7554">
        <w:rPr>
          <w:rFonts w:ascii="Book Antiqua" w:hAnsi="Book Antiqua"/>
          <w:i/>
          <w:lang w:val="en-US"/>
        </w:rPr>
        <w:t>et al</w:t>
      </w:r>
      <w:r w:rsidR="00A75298" w:rsidRPr="009D7554">
        <w:rPr>
          <w:rFonts w:ascii="Book Antiqua" w:hAnsi="Book Antiqua"/>
          <w:i/>
          <w:lang w:val="en-US"/>
        </w:rPr>
        <w:fldChar w:fldCharType="begin" w:fldLock="1"/>
      </w:r>
      <w:r w:rsidR="00DF4FB7" w:rsidRPr="009D7554">
        <w:rPr>
          <w:rFonts w:ascii="Book Antiqua" w:hAnsi="Book Antiqua"/>
          <w:i/>
          <w:lang w:val="en-US"/>
        </w:rPr>
        <w:instrText>ADDIN CSL_CITATION {"citationItems":[{"id":"ITEM-1","itemData":{"DOI":"10.1016/j.ejrad.2016.04.006","ISSN":"1872-7727","PMID":"27235873","abstract":"OBJECTIVES To determine a cut-off apparent diffusion coefficient (ADC) value distinguishing local recurrence from scar tissue in patients with rectal cancer treated with complete surgical tumour removal. METHODS 72 patients were retrospectively included. Patients underwent 1.5T MRI including multiplanar T2-weighted turbo-spin-echo sequences (TSE) and axial single-shot epi-diffusion-weighted sequences (EPSE). Two independent observers measured mean tumour and scar tissue ADCs by manually drawing regions of interest (ROIs). The t-test and ROC analysis were used for comparison and determining an optimal discrimination threshold. As reference standard histopathological results were used in 23 patients (32%) and clinical follow-up in 49 patients (68%). RESULTS Recurrent rectal cancer was found in 30 patients (4 female, 26 male, median age 63.13 years) and treatment related changes such as scar tissue in 42 patients (11 female, 31 male, median age 63.67 years). The mean ADC value of tumour recurrence was 1.02×10(-3)mm(2)/s (0.63-1.44×10(-3)mm(2)/s) and of scar tissue 1.77×10(-3)mm(2)/s (1.11-2.41×10(-3)mm(2)/s) showing a statistically significant difference (p&lt;0.001). The cut-off ADC value was 1.34×10(-3)mm(2)/s with a sensitivity, specificity, and accuracy of 93%, 91%, and 92% respectively. CONCLUSIONS Diffusion weighted MRI allows for the differentiation of tumour recurrence from scar tissue after surgical resection of rectal cancer.","author":[{"dropping-particle":"","family":"Grosu","given":"Sergio","non-dropping-particle":"","parse-names":false,"suffix":""},{"dropping-particle":"","family":"Schäfer","given":"Arnd-Oliver","non-dropping-particle":"","parse-names":false,"suffix":""},{"dropping-particle":"","family":"Baumann","given":"Tobias","non-dropping-particle":"","parse-names":false,"suffix":""},{"dropping-particle":"","family":"Manegold","given":"Philipp","non-dropping-particle":"","parse-names":false,"suffix":""},{"dropping-particle":"","family":"Langer","given":"Mathias","non-dropping-particle":"","parse-names":false,"suffix":""},{"dropping-particle":"","family":"Gerstmair","given":"Axel","non-dropping-particle":"","parse-names":false,"suffix":""}],"container-title":"European journal of radiology","id":"ITEM-1","issue":"7","issued":{"date-parts":[["2016","7"]]},"page":"1265-70","title":"Differentiating locally recurrent rectal cancer from scar tissue: Value of diffusion-weighted MRI.","type":"article-journal","volume":"85"},"uris":["http://www.mendeley.com/documents/?uuid=f2fcc266-47bd-4239-84b4-3fb3f65d5ff6"]}],"mendeley":{"formattedCitation":"&lt;sup&gt;[68]&lt;/sup&gt;","plainTextFormattedCitation":"[68]","previouslyFormattedCitation":"&lt;sup&gt;[68]&lt;/sup&gt;"},"properties":{"noteIndex":0},"schema":"https://github.com/citation-style-language/schema/raw/master/csl-citation.json"}</w:instrText>
      </w:r>
      <w:r w:rsidR="00A75298" w:rsidRPr="009D7554">
        <w:rPr>
          <w:rFonts w:ascii="Book Antiqua" w:hAnsi="Book Antiqua"/>
          <w:i/>
          <w:lang w:val="en-US"/>
        </w:rPr>
        <w:fldChar w:fldCharType="separate"/>
      </w:r>
      <w:r w:rsidR="006821F4" w:rsidRPr="009D7554">
        <w:rPr>
          <w:rFonts w:ascii="Book Antiqua" w:hAnsi="Book Antiqua"/>
          <w:vertAlign w:val="superscript"/>
          <w:lang w:val="en-US"/>
        </w:rPr>
        <w:t>[68]</w:t>
      </w:r>
      <w:r w:rsidR="00A75298" w:rsidRPr="009D7554">
        <w:rPr>
          <w:rFonts w:ascii="Book Antiqua" w:hAnsi="Book Antiqua"/>
          <w:i/>
          <w:lang w:val="en-US"/>
        </w:rPr>
        <w:fldChar w:fldCharType="end"/>
      </w:r>
      <w:r w:rsidR="00B034EE" w:rsidRPr="009D7554">
        <w:rPr>
          <w:rFonts w:ascii="Book Antiqua" w:hAnsi="Book Antiqua"/>
          <w:i/>
          <w:lang w:val="en-US"/>
        </w:rPr>
        <w:t xml:space="preserve"> </w:t>
      </w:r>
      <w:r w:rsidR="00DD7105" w:rsidRPr="009D7554">
        <w:rPr>
          <w:rFonts w:ascii="Book Antiqua" w:hAnsi="Book Antiqua"/>
          <w:lang w:val="en-US"/>
        </w:rPr>
        <w:t>reported that the ADCmean after CRT of viable tumors (1.02</w:t>
      </w:r>
      <w:r w:rsidR="003C31C6" w:rsidRPr="009D7554">
        <w:rPr>
          <w:rFonts w:ascii="Book Antiqua" w:hAnsi="Book Antiqua"/>
          <w:lang w:val="en-US"/>
        </w:rPr>
        <w:t xml:space="preserve"> × </w:t>
      </w:r>
      <w:r w:rsidR="00DD7105" w:rsidRPr="009D7554">
        <w:rPr>
          <w:rFonts w:ascii="Book Antiqua" w:hAnsi="Book Antiqua"/>
          <w:lang w:val="en-US"/>
        </w:rPr>
        <w:t>10</w:t>
      </w:r>
      <w:r w:rsidR="00DD7105" w:rsidRPr="009D7554">
        <w:rPr>
          <w:rFonts w:ascii="Book Antiqua" w:hAnsi="Book Antiqua"/>
          <w:vertAlign w:val="superscript"/>
          <w:lang w:val="en-US"/>
        </w:rPr>
        <w:t>-3</w:t>
      </w:r>
      <w:r w:rsidR="00DD7105" w:rsidRPr="009D7554">
        <w:rPr>
          <w:rFonts w:ascii="Book Antiqua" w:hAnsi="Book Antiqua"/>
          <w:lang w:val="en-US"/>
        </w:rPr>
        <w:t xml:space="preserve"> mm</w:t>
      </w:r>
      <w:r w:rsidR="00DD7105" w:rsidRPr="009D7554">
        <w:rPr>
          <w:rFonts w:ascii="Book Antiqua" w:hAnsi="Book Antiqua"/>
          <w:vertAlign w:val="superscript"/>
          <w:lang w:val="en-US"/>
        </w:rPr>
        <w:t>2</w:t>
      </w:r>
      <w:r w:rsidR="00DD7105" w:rsidRPr="009D7554">
        <w:rPr>
          <w:rFonts w:ascii="Book Antiqua" w:hAnsi="Book Antiqua"/>
          <w:lang w:val="en-US"/>
        </w:rPr>
        <w:t xml:space="preserve">/s) differed significantly from that of scar tissue (1.77 </w:t>
      </w:r>
      <w:r w:rsidR="003C31C6" w:rsidRPr="009D7554">
        <w:rPr>
          <w:rFonts w:ascii="Book Antiqua" w:hAnsi="Book Antiqua"/>
          <w:lang w:val="en-US"/>
        </w:rPr>
        <w:t xml:space="preserve">× </w:t>
      </w:r>
      <w:r w:rsidR="00DD7105" w:rsidRPr="009D7554">
        <w:rPr>
          <w:rFonts w:ascii="Book Antiqua" w:hAnsi="Book Antiqua"/>
          <w:lang w:val="en-US"/>
        </w:rPr>
        <w:t>10</w:t>
      </w:r>
      <w:r w:rsidR="00DD7105" w:rsidRPr="009D7554">
        <w:rPr>
          <w:rFonts w:ascii="Book Antiqua" w:hAnsi="Book Antiqua"/>
          <w:vertAlign w:val="superscript"/>
          <w:lang w:val="en-US"/>
        </w:rPr>
        <w:t>-3</w:t>
      </w:r>
      <w:r w:rsidR="00DD7105" w:rsidRPr="009D7554">
        <w:rPr>
          <w:rFonts w:ascii="Book Antiqua" w:hAnsi="Book Antiqua"/>
          <w:lang w:val="en-US"/>
        </w:rPr>
        <w:t xml:space="preserve"> mm</w:t>
      </w:r>
      <w:r w:rsidR="00DD7105" w:rsidRPr="009D7554">
        <w:rPr>
          <w:rFonts w:ascii="Book Antiqua" w:hAnsi="Book Antiqua"/>
          <w:vertAlign w:val="superscript"/>
          <w:lang w:val="en-US"/>
        </w:rPr>
        <w:t>2</w:t>
      </w:r>
      <w:r w:rsidR="00036DA6" w:rsidRPr="009D7554">
        <w:rPr>
          <w:rFonts w:ascii="Book Antiqua" w:hAnsi="Book Antiqua"/>
          <w:lang w:val="en-US"/>
        </w:rPr>
        <w:t>/s). An ADC cut-off value of 1.34</w:t>
      </w:r>
      <w:r w:rsidR="003C31C6" w:rsidRPr="009D7554">
        <w:rPr>
          <w:rFonts w:ascii="Book Antiqua" w:hAnsi="Book Antiqua"/>
          <w:lang w:val="en-US"/>
        </w:rPr>
        <w:t xml:space="preserve"> × </w:t>
      </w:r>
      <w:r w:rsidR="00036DA6" w:rsidRPr="009D7554">
        <w:rPr>
          <w:rFonts w:ascii="Book Antiqua" w:hAnsi="Book Antiqua"/>
          <w:lang w:val="en-US"/>
        </w:rPr>
        <w:t>10</w:t>
      </w:r>
      <w:r w:rsidR="00036DA6" w:rsidRPr="009D7554">
        <w:rPr>
          <w:rFonts w:ascii="Book Antiqua" w:hAnsi="Book Antiqua"/>
          <w:vertAlign w:val="superscript"/>
          <w:lang w:val="en-US"/>
        </w:rPr>
        <w:t>-3</w:t>
      </w:r>
      <w:r w:rsidR="00036DA6" w:rsidRPr="009D7554">
        <w:rPr>
          <w:rFonts w:ascii="Book Antiqua" w:hAnsi="Book Antiqua"/>
          <w:lang w:val="en-US"/>
        </w:rPr>
        <w:t xml:space="preserve"> mm</w:t>
      </w:r>
      <w:r w:rsidR="00036DA6" w:rsidRPr="009D7554">
        <w:rPr>
          <w:rFonts w:ascii="Book Antiqua" w:hAnsi="Book Antiqua"/>
          <w:vertAlign w:val="superscript"/>
          <w:lang w:val="en-US"/>
        </w:rPr>
        <w:t>2</w:t>
      </w:r>
      <w:r w:rsidR="00B034EE" w:rsidRPr="009D7554">
        <w:rPr>
          <w:rFonts w:ascii="Book Antiqua" w:hAnsi="Book Antiqua"/>
          <w:bCs/>
          <w:lang w:val="en-US"/>
        </w:rPr>
        <w:t xml:space="preserve">/s </w:t>
      </w:r>
      <w:r w:rsidR="002675FE" w:rsidRPr="009D7554">
        <w:rPr>
          <w:rFonts w:ascii="Book Antiqua" w:hAnsi="Book Antiqua"/>
          <w:bCs/>
          <w:lang w:val="en-US"/>
        </w:rPr>
        <w:t xml:space="preserve">resulted in </w:t>
      </w:r>
      <w:r w:rsidR="00B034EE" w:rsidRPr="009D7554">
        <w:rPr>
          <w:rFonts w:ascii="Book Antiqua" w:hAnsi="Book Antiqua"/>
          <w:bCs/>
          <w:lang w:val="en-US"/>
        </w:rPr>
        <w:t xml:space="preserve">a sensitivity, specificity, and accuracy of 93%, 91%, and 92%, respectively. Bassaneze </w:t>
      </w:r>
      <w:r w:rsidR="001C3C53" w:rsidRPr="009D7554">
        <w:rPr>
          <w:rFonts w:ascii="Book Antiqua" w:hAnsi="Book Antiqua"/>
          <w:i/>
          <w:lang w:val="en-US"/>
        </w:rPr>
        <w:t>et al</w:t>
      </w:r>
      <w:r w:rsidR="00A75298" w:rsidRPr="009D7554">
        <w:rPr>
          <w:rFonts w:ascii="Book Antiqua" w:hAnsi="Book Antiqua"/>
          <w:i/>
          <w:lang w:val="en-US"/>
        </w:rPr>
        <w:fldChar w:fldCharType="begin" w:fldLock="1"/>
      </w:r>
      <w:r w:rsidR="00DF4FB7" w:rsidRPr="009D7554">
        <w:rPr>
          <w:rFonts w:ascii="Book Antiqua" w:hAnsi="Book Antiqua"/>
          <w:i/>
          <w:lang w:val="en-US"/>
        </w:rPr>
        <w:instrText>ADDIN CSL_CITATION {"citationItems":[{"id":"ITEM-1","itemData":{"DOI":"10.1515/raon-2017-0025","ISSN":"1581-3207","PMID":"28959163","author":[{"dropping-particle":"","family":"Bassaneze","given":"Thiago","non-dropping-particle":"","parse-names":false,"suffix":""},{"dropping-particle":"","family":"Gonçalves","given":"José Eduardo","non-dropping-particle":"","parse-names":false,"suffix":""},{"dropping-particle":"","family":"Faria","given":"Juliano Ferreira","non-dropping-particle":"","parse-names":false,"suffix":""},{"dropping-particle":"","family":"Palma","given":"Rogério Tadeu","non-dropping-particle":"","parse-names":false,"suffix":""},{"dropping-particle":"","family":"Waisberg","given":"Jaques","non-dropping-particle":"","parse-names":false,"suffix":""}],"container-title":"Radiology and Oncology","id":"ITEM-1","issue":"3","issued":{"date-parts":[["2017","6","25"]]},"page":"270-276","title":"Quantitative aspects of diffusion-weighted magnetic resonance imaging in rectal cancer response to neoadjuvant therapy","type":"article-journal","volume":"51"},"uris":["http://www.mendeley.com/documents/?uuid=0c9d16dd-f129-4393-9c91-cd3dea3f7078"]}],"mendeley":{"formattedCitation":"&lt;sup&gt;[69]&lt;/sup&gt;","plainTextFormattedCitation":"[69]","previouslyFormattedCitation":"&lt;sup&gt;[69]&lt;/sup&gt;"},"properties":{"noteIndex":0},"schema":"https://github.com/citation-style-language/schema/raw/master/csl-citation.json"}</w:instrText>
      </w:r>
      <w:r w:rsidR="00A75298" w:rsidRPr="009D7554">
        <w:rPr>
          <w:rFonts w:ascii="Book Antiqua" w:hAnsi="Book Antiqua"/>
          <w:i/>
          <w:lang w:val="en-US"/>
        </w:rPr>
        <w:fldChar w:fldCharType="separate"/>
      </w:r>
      <w:r w:rsidR="006821F4" w:rsidRPr="009D7554">
        <w:rPr>
          <w:rFonts w:ascii="Book Antiqua" w:hAnsi="Book Antiqua"/>
          <w:vertAlign w:val="superscript"/>
          <w:lang w:val="en-US"/>
        </w:rPr>
        <w:t>[69]</w:t>
      </w:r>
      <w:r w:rsidR="00A75298" w:rsidRPr="009D7554">
        <w:rPr>
          <w:rFonts w:ascii="Book Antiqua" w:hAnsi="Book Antiqua"/>
          <w:i/>
          <w:lang w:val="en-US"/>
        </w:rPr>
        <w:fldChar w:fldCharType="end"/>
      </w:r>
      <w:r w:rsidR="00AA61BC" w:rsidRPr="009D7554">
        <w:rPr>
          <w:rFonts w:ascii="Book Antiqua" w:hAnsi="Book Antiqua"/>
          <w:lang w:val="en-US"/>
        </w:rPr>
        <w:t xml:space="preserve"> reported that patients with pathological complete response</w:t>
      </w:r>
      <w:r w:rsidR="002675FE" w:rsidRPr="009D7554">
        <w:rPr>
          <w:rFonts w:ascii="Book Antiqua" w:hAnsi="Book Antiqua"/>
          <w:lang w:val="en-US"/>
        </w:rPr>
        <w:t>s</w:t>
      </w:r>
      <w:r w:rsidR="00AA61BC" w:rsidRPr="009D7554">
        <w:rPr>
          <w:rFonts w:ascii="Book Antiqua" w:hAnsi="Book Antiqua"/>
          <w:lang w:val="en-US"/>
        </w:rPr>
        <w:t xml:space="preserve"> (pCR</w:t>
      </w:r>
      <w:r w:rsidR="002675FE" w:rsidRPr="009D7554">
        <w:rPr>
          <w:rFonts w:ascii="Book Antiqua" w:hAnsi="Book Antiqua"/>
          <w:lang w:val="en-US"/>
        </w:rPr>
        <w:t>s</w:t>
      </w:r>
      <w:r w:rsidR="00AA61BC" w:rsidRPr="009D7554">
        <w:rPr>
          <w:rFonts w:ascii="Book Antiqua" w:hAnsi="Book Antiqua"/>
          <w:lang w:val="en-US"/>
        </w:rPr>
        <w:t>) to neoadjuvant treatment differed significantly from th</w:t>
      </w:r>
      <w:r w:rsidR="002675FE" w:rsidRPr="009D7554">
        <w:rPr>
          <w:rFonts w:ascii="Book Antiqua" w:hAnsi="Book Antiqua"/>
          <w:lang w:val="en-US"/>
        </w:rPr>
        <w:t>ose with</w:t>
      </w:r>
      <w:r w:rsidR="00AA61BC" w:rsidRPr="009D7554">
        <w:rPr>
          <w:rFonts w:ascii="Book Antiqua" w:hAnsi="Book Antiqua"/>
          <w:lang w:val="en-US"/>
        </w:rPr>
        <w:t xml:space="preserve"> non-pCR</w:t>
      </w:r>
      <w:r w:rsidR="002675FE" w:rsidRPr="009D7554">
        <w:rPr>
          <w:rFonts w:ascii="Book Antiqua" w:hAnsi="Book Antiqua"/>
          <w:lang w:val="en-US"/>
        </w:rPr>
        <w:t>s</w:t>
      </w:r>
      <w:r w:rsidR="00AA61BC" w:rsidRPr="009D7554">
        <w:rPr>
          <w:rFonts w:ascii="Book Antiqua" w:hAnsi="Book Antiqua"/>
          <w:lang w:val="en-US"/>
        </w:rPr>
        <w:t xml:space="preserve"> in </w:t>
      </w:r>
      <w:r w:rsidR="002675FE" w:rsidRPr="009D7554">
        <w:rPr>
          <w:rFonts w:ascii="Book Antiqua" w:hAnsi="Book Antiqua"/>
          <w:lang w:val="en-US"/>
        </w:rPr>
        <w:t xml:space="preserve">terms of the </w:t>
      </w:r>
      <w:r w:rsidR="00AA61BC" w:rsidRPr="009D7554">
        <w:rPr>
          <w:rFonts w:ascii="Book Antiqua" w:hAnsi="Book Antiqua"/>
          <w:lang w:val="en-US"/>
        </w:rPr>
        <w:t xml:space="preserve">absolute value of </w:t>
      </w:r>
      <w:r w:rsidR="002675FE" w:rsidRPr="009D7554">
        <w:rPr>
          <w:rFonts w:ascii="Book Antiqua" w:hAnsi="Book Antiqua"/>
          <w:lang w:val="en-US"/>
        </w:rPr>
        <w:t xml:space="preserve">the </w:t>
      </w:r>
      <w:r w:rsidR="00AA61BC" w:rsidRPr="009D7554">
        <w:rPr>
          <w:rFonts w:ascii="Book Antiqua" w:hAnsi="Book Antiqua"/>
          <w:lang w:val="en-US"/>
        </w:rPr>
        <w:t xml:space="preserve">post-CRT ADC. The mean post-CRT ADC value </w:t>
      </w:r>
      <w:r w:rsidR="002675FE" w:rsidRPr="009D7554">
        <w:rPr>
          <w:rFonts w:ascii="Book Antiqua" w:hAnsi="Book Antiqua"/>
          <w:lang w:val="en-US"/>
        </w:rPr>
        <w:t xml:space="preserve">was </w:t>
      </w:r>
      <w:r w:rsidR="00AA61BC" w:rsidRPr="009D7554">
        <w:rPr>
          <w:rFonts w:ascii="Book Antiqua" w:hAnsi="Book Antiqua"/>
          <w:lang w:val="en-US"/>
        </w:rPr>
        <w:t xml:space="preserve">1.53 </w:t>
      </w:r>
      <w:r w:rsidR="003C31C6" w:rsidRPr="009D7554">
        <w:rPr>
          <w:rFonts w:ascii="Book Antiqua" w:hAnsi="Book Antiqua"/>
          <w:lang w:val="en-US"/>
        </w:rPr>
        <w:t xml:space="preserve">× </w:t>
      </w:r>
      <w:r w:rsidR="00AA61BC" w:rsidRPr="009D7554">
        <w:rPr>
          <w:rFonts w:ascii="Book Antiqua" w:hAnsi="Book Antiqua"/>
          <w:lang w:val="en-US"/>
        </w:rPr>
        <w:t>10</w:t>
      </w:r>
      <w:r w:rsidR="00AA61BC" w:rsidRPr="009D7554">
        <w:rPr>
          <w:rFonts w:ascii="Book Antiqua" w:hAnsi="Book Antiqua"/>
          <w:vertAlign w:val="superscript"/>
          <w:lang w:val="en-US"/>
        </w:rPr>
        <w:t xml:space="preserve">-3 </w:t>
      </w:r>
      <w:r w:rsidR="00AA61BC" w:rsidRPr="009D7554">
        <w:rPr>
          <w:rFonts w:ascii="Book Antiqua" w:hAnsi="Book Antiqua"/>
          <w:lang w:val="en-US"/>
        </w:rPr>
        <w:t>mm</w:t>
      </w:r>
      <w:r w:rsidR="00AA61BC" w:rsidRPr="009D7554">
        <w:rPr>
          <w:rFonts w:ascii="Book Antiqua" w:hAnsi="Book Antiqua"/>
          <w:vertAlign w:val="superscript"/>
          <w:lang w:val="en-US"/>
        </w:rPr>
        <w:t>2</w:t>
      </w:r>
      <w:r w:rsidR="001C3C53" w:rsidRPr="009D7554">
        <w:rPr>
          <w:rFonts w:ascii="Book Antiqua" w:hAnsi="Book Antiqua"/>
          <w:lang w:val="en-US"/>
        </w:rPr>
        <w:t xml:space="preserve">/s in </w:t>
      </w:r>
      <w:r w:rsidR="001F0F25" w:rsidRPr="009D7554">
        <w:rPr>
          <w:rFonts w:ascii="Book Antiqua" w:hAnsi="Book Antiqua"/>
          <w:lang w:val="en-US"/>
        </w:rPr>
        <w:t xml:space="preserve">the </w:t>
      </w:r>
      <w:r w:rsidR="001C3C53" w:rsidRPr="009D7554">
        <w:rPr>
          <w:rFonts w:ascii="Book Antiqua" w:hAnsi="Book Antiqua"/>
          <w:lang w:val="en-US"/>
        </w:rPr>
        <w:t xml:space="preserve">pCR </w:t>
      </w:r>
      <w:r w:rsidR="001F0F25" w:rsidRPr="009D7554">
        <w:rPr>
          <w:rFonts w:ascii="Book Antiqua" w:hAnsi="Book Antiqua"/>
          <w:lang w:val="en-US"/>
        </w:rPr>
        <w:t>patient</w:t>
      </w:r>
      <w:r w:rsidR="001C3C53" w:rsidRPr="009D7554">
        <w:rPr>
          <w:rFonts w:ascii="Book Antiqua" w:hAnsi="Book Antiqua"/>
          <w:lang w:val="en-US"/>
        </w:rPr>
        <w:t xml:space="preserve"> group and 1.16 </w:t>
      </w:r>
      <w:r w:rsidR="0003260E" w:rsidRPr="009D7554">
        <w:rPr>
          <w:rFonts w:ascii="Book Antiqua" w:hAnsi="Book Antiqua"/>
          <w:lang w:val="en-US"/>
        </w:rPr>
        <w:t>×</w:t>
      </w:r>
      <w:r w:rsidR="001C3C53" w:rsidRPr="009D7554">
        <w:rPr>
          <w:rFonts w:ascii="Book Antiqua" w:hAnsi="Book Antiqua"/>
          <w:lang w:val="en-US"/>
        </w:rPr>
        <w:t xml:space="preserve"> 10</w:t>
      </w:r>
      <w:r w:rsidR="001C3C53" w:rsidRPr="009D7554">
        <w:rPr>
          <w:rFonts w:ascii="Book Antiqua" w:hAnsi="Book Antiqua"/>
          <w:vertAlign w:val="superscript"/>
          <w:lang w:val="en-US"/>
        </w:rPr>
        <w:t>-3</w:t>
      </w:r>
      <w:r w:rsidR="001C3C53" w:rsidRPr="009D7554">
        <w:rPr>
          <w:rFonts w:ascii="Book Antiqua" w:hAnsi="Book Antiqua"/>
          <w:lang w:val="en-US"/>
        </w:rPr>
        <w:t xml:space="preserve"> mm</w:t>
      </w:r>
      <w:r w:rsidR="001C3C53" w:rsidRPr="009D7554">
        <w:rPr>
          <w:rFonts w:ascii="Book Antiqua" w:hAnsi="Book Antiqua"/>
          <w:vertAlign w:val="superscript"/>
          <w:lang w:val="en-US"/>
        </w:rPr>
        <w:t>2</w:t>
      </w:r>
      <w:r w:rsidR="001C3C53" w:rsidRPr="009D7554">
        <w:rPr>
          <w:rFonts w:ascii="Book Antiqua" w:hAnsi="Book Antiqua"/>
          <w:lang w:val="en-US"/>
        </w:rPr>
        <w:t xml:space="preserve">/s in </w:t>
      </w:r>
      <w:r w:rsidR="001F0F25" w:rsidRPr="009D7554">
        <w:rPr>
          <w:rFonts w:ascii="Book Antiqua" w:hAnsi="Book Antiqua"/>
          <w:lang w:val="en-US"/>
        </w:rPr>
        <w:t xml:space="preserve">the </w:t>
      </w:r>
      <w:r w:rsidR="001C3C53" w:rsidRPr="009D7554">
        <w:rPr>
          <w:rFonts w:ascii="Book Antiqua" w:hAnsi="Book Antiqua"/>
          <w:lang w:val="en-US"/>
        </w:rPr>
        <w:t>non-pCR patient group.</w:t>
      </w:r>
      <w:r w:rsidR="001F0F25" w:rsidRPr="009D7554">
        <w:rPr>
          <w:rFonts w:ascii="Book Antiqua" w:hAnsi="Book Antiqua"/>
          <w:lang w:val="en-US"/>
        </w:rPr>
        <w:t xml:space="preserve"> </w:t>
      </w:r>
      <w:r w:rsidR="001C3C53" w:rsidRPr="009D7554">
        <w:rPr>
          <w:rFonts w:ascii="Book Antiqua" w:hAnsi="Book Antiqua"/>
          <w:lang w:val="en-US"/>
        </w:rPr>
        <w:t>All patients with residual tumor</w:t>
      </w:r>
      <w:r w:rsidR="002675FE" w:rsidRPr="009D7554">
        <w:rPr>
          <w:rFonts w:ascii="Book Antiqua" w:hAnsi="Book Antiqua"/>
          <w:lang w:val="en-US"/>
        </w:rPr>
        <w:t>s</w:t>
      </w:r>
      <w:r w:rsidR="001C3C53" w:rsidRPr="009D7554">
        <w:rPr>
          <w:rFonts w:ascii="Book Antiqua" w:hAnsi="Book Antiqua"/>
          <w:lang w:val="en-US"/>
        </w:rPr>
        <w:t xml:space="preserve"> in the surgical specimen showed ADC values </w:t>
      </w:r>
      <w:r w:rsidR="002675FE" w:rsidRPr="009D7554">
        <w:rPr>
          <w:rFonts w:ascii="Book Antiqua" w:hAnsi="Book Antiqua"/>
          <w:lang w:val="en-US"/>
        </w:rPr>
        <w:t xml:space="preserve">that were </w:t>
      </w:r>
      <w:r w:rsidR="001C3C53" w:rsidRPr="009D7554">
        <w:rPr>
          <w:rFonts w:ascii="Book Antiqua" w:hAnsi="Book Antiqua"/>
          <w:lang w:val="en-US"/>
        </w:rPr>
        <w:t xml:space="preserve">below </w:t>
      </w:r>
      <w:r w:rsidR="002675FE" w:rsidRPr="009D7554">
        <w:rPr>
          <w:rFonts w:ascii="Book Antiqua" w:hAnsi="Book Antiqua"/>
          <w:lang w:val="en-US"/>
        </w:rPr>
        <w:t xml:space="preserve">the </w:t>
      </w:r>
      <w:r w:rsidR="001C3C53" w:rsidRPr="009D7554">
        <w:rPr>
          <w:rFonts w:ascii="Book Antiqua" w:hAnsi="Book Antiqua"/>
          <w:lang w:val="en-US"/>
        </w:rPr>
        <w:t xml:space="preserve">cut-off of 1.49 </w:t>
      </w:r>
      <w:r w:rsidR="0078039B" w:rsidRPr="009D7554">
        <w:rPr>
          <w:rFonts w:ascii="Book Antiqua" w:hAnsi="Book Antiqua"/>
          <w:lang w:val="en-US"/>
        </w:rPr>
        <w:t>×</w:t>
      </w:r>
      <w:r w:rsidR="001C3C53" w:rsidRPr="009D7554">
        <w:rPr>
          <w:rFonts w:ascii="Book Antiqua" w:hAnsi="Book Antiqua"/>
          <w:lang w:val="en-US"/>
        </w:rPr>
        <w:t xml:space="preserve"> 10</w:t>
      </w:r>
      <w:r w:rsidR="001C3C53" w:rsidRPr="009D7554">
        <w:rPr>
          <w:rFonts w:ascii="Book Antiqua" w:hAnsi="Book Antiqua"/>
          <w:vertAlign w:val="superscript"/>
          <w:lang w:val="en-US"/>
        </w:rPr>
        <w:t>-3</w:t>
      </w:r>
      <w:r w:rsidR="001C3C53" w:rsidRPr="009D7554">
        <w:rPr>
          <w:rFonts w:ascii="Book Antiqua" w:hAnsi="Book Antiqua"/>
          <w:lang w:val="en-US"/>
        </w:rPr>
        <w:t xml:space="preserve"> mm</w:t>
      </w:r>
      <w:r w:rsidR="001C3C53" w:rsidRPr="009D7554">
        <w:rPr>
          <w:rFonts w:ascii="Book Antiqua" w:hAnsi="Book Antiqua"/>
          <w:vertAlign w:val="superscript"/>
          <w:lang w:val="en-US"/>
        </w:rPr>
        <w:t>2</w:t>
      </w:r>
      <w:r w:rsidR="001C3C53" w:rsidRPr="009D7554">
        <w:rPr>
          <w:rFonts w:ascii="Book Antiqua" w:hAnsi="Book Antiqua"/>
          <w:lang w:val="en-US"/>
        </w:rPr>
        <w:t>/s.</w:t>
      </w:r>
    </w:p>
    <w:p w:rsidR="00D476AC" w:rsidRPr="009D7554" w:rsidRDefault="001F0F25" w:rsidP="0078039B">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eastAsia="Calibri" w:hAnsi="Book Antiqua"/>
          <w:lang w:val="en-US"/>
        </w:rPr>
        <w:t>However</w:t>
      </w:r>
      <w:r w:rsidR="00D476AC" w:rsidRPr="009D7554">
        <w:rPr>
          <w:rFonts w:ascii="Book Antiqua" w:eastAsia="Calibri" w:hAnsi="Book Antiqua"/>
          <w:lang w:val="en-US"/>
        </w:rPr>
        <w:t xml:space="preserve">, </w:t>
      </w:r>
      <w:r w:rsidR="00D476AC" w:rsidRPr="009D7554">
        <w:rPr>
          <w:rFonts w:ascii="Book Antiqua" w:hAnsi="Book Antiqua"/>
          <w:lang w:val="en-US"/>
        </w:rPr>
        <w:t>conflicting results</w:t>
      </w:r>
      <w:r w:rsidRPr="009D7554">
        <w:rPr>
          <w:rFonts w:ascii="Book Antiqua" w:hAnsi="Book Antiqua"/>
          <w:lang w:val="en-US"/>
        </w:rPr>
        <w:t xml:space="preserve"> have been</w:t>
      </w:r>
      <w:r w:rsidR="00D476AC" w:rsidRPr="009D7554">
        <w:rPr>
          <w:rFonts w:ascii="Book Antiqua" w:hAnsi="Book Antiqua"/>
          <w:lang w:val="en-US"/>
        </w:rPr>
        <w:t xml:space="preserve"> reported </w:t>
      </w:r>
      <w:r w:rsidRPr="009D7554">
        <w:rPr>
          <w:rFonts w:ascii="Book Antiqua" w:hAnsi="Book Antiqua"/>
          <w:lang w:val="en-US"/>
        </w:rPr>
        <w:t>regarding</w:t>
      </w:r>
      <w:r w:rsidR="00D476AC" w:rsidRPr="009D7554">
        <w:rPr>
          <w:rFonts w:ascii="Book Antiqua" w:hAnsi="Book Antiqua"/>
          <w:lang w:val="en-US"/>
        </w:rPr>
        <w:t xml:space="preserve"> the </w:t>
      </w:r>
      <w:r w:rsidR="002675FE" w:rsidRPr="009D7554">
        <w:rPr>
          <w:rFonts w:ascii="Book Antiqua" w:hAnsi="Book Antiqua"/>
          <w:lang w:val="en-US"/>
        </w:rPr>
        <w:t xml:space="preserve">value </w:t>
      </w:r>
      <w:r w:rsidR="00D476AC" w:rsidRPr="009D7554">
        <w:rPr>
          <w:rFonts w:ascii="Book Antiqua" w:hAnsi="Book Antiqua"/>
          <w:lang w:val="en-US"/>
        </w:rPr>
        <w:t xml:space="preserve">of pretreatment tumor ADC values </w:t>
      </w:r>
      <w:r w:rsidR="002675FE" w:rsidRPr="009D7554">
        <w:rPr>
          <w:rFonts w:ascii="Book Antiqua" w:hAnsi="Book Antiqua"/>
          <w:lang w:val="en-US"/>
        </w:rPr>
        <w:t>for the pred</w:t>
      </w:r>
      <w:r w:rsidR="00502E2D" w:rsidRPr="009D7554">
        <w:rPr>
          <w:rFonts w:ascii="Book Antiqua" w:hAnsi="Book Antiqua"/>
          <w:lang w:val="en-US"/>
        </w:rPr>
        <w:t>i</w:t>
      </w:r>
      <w:r w:rsidR="002675FE" w:rsidRPr="009D7554">
        <w:rPr>
          <w:rFonts w:ascii="Book Antiqua" w:hAnsi="Book Antiqua"/>
          <w:lang w:val="en-US"/>
        </w:rPr>
        <w:t>ction of</w:t>
      </w:r>
      <w:r w:rsidR="00D476AC" w:rsidRPr="009D7554">
        <w:rPr>
          <w:rFonts w:ascii="Book Antiqua" w:hAnsi="Book Antiqua"/>
          <w:lang w:val="en-US"/>
        </w:rPr>
        <w:t xml:space="preserve"> CRT response in patients with LARC </w:t>
      </w:r>
      <w:r w:rsidR="002675FE" w:rsidRPr="009D7554">
        <w:rPr>
          <w:rFonts w:ascii="Book Antiqua" w:hAnsi="Book Antiqua"/>
          <w:lang w:val="en-US"/>
        </w:rPr>
        <w:t xml:space="preserve">when </w:t>
      </w:r>
      <w:r w:rsidR="00D476AC" w:rsidRPr="009D7554">
        <w:rPr>
          <w:rFonts w:ascii="Book Antiqua" w:hAnsi="Book Antiqua"/>
          <w:lang w:val="en-US"/>
        </w:rPr>
        <w:t xml:space="preserve">using surgical </w:t>
      </w:r>
      <w:r w:rsidRPr="009D7554">
        <w:rPr>
          <w:rFonts w:ascii="Book Antiqua" w:hAnsi="Book Antiqua"/>
          <w:lang w:val="en-US"/>
        </w:rPr>
        <w:t>specimens</w:t>
      </w:r>
      <w:r w:rsidR="00D476AC" w:rsidRPr="009D7554">
        <w:rPr>
          <w:rFonts w:ascii="Book Antiqua" w:hAnsi="Book Antiqua"/>
          <w:lang w:val="en-US"/>
        </w:rPr>
        <w:t xml:space="preserve"> as </w:t>
      </w:r>
      <w:r w:rsidRPr="009D7554">
        <w:rPr>
          <w:rFonts w:ascii="Book Antiqua" w:hAnsi="Book Antiqua"/>
          <w:lang w:val="en-US"/>
        </w:rPr>
        <w:t xml:space="preserve">the </w:t>
      </w:r>
      <w:r w:rsidR="00D476AC" w:rsidRPr="009D7554">
        <w:rPr>
          <w:rFonts w:ascii="Book Antiqua" w:hAnsi="Book Antiqua"/>
          <w:lang w:val="en-US"/>
        </w:rPr>
        <w:t xml:space="preserve">standard of reference. Some </w:t>
      </w:r>
      <w:r w:rsidRPr="009D7554">
        <w:rPr>
          <w:rFonts w:ascii="Book Antiqua" w:hAnsi="Book Antiqua"/>
          <w:lang w:val="en-US"/>
        </w:rPr>
        <w:t>authors</w:t>
      </w:r>
      <w:r w:rsidR="00D476AC" w:rsidRPr="009D7554">
        <w:rPr>
          <w:rFonts w:ascii="Book Antiqua" w:hAnsi="Book Antiqua"/>
          <w:lang w:val="en-US"/>
        </w:rPr>
        <w:t xml:space="preserve"> observed significantly lower pretreatment ADC values </w:t>
      </w:r>
      <w:r w:rsidR="002675FE" w:rsidRPr="009D7554">
        <w:rPr>
          <w:rFonts w:ascii="Book Antiqua" w:hAnsi="Book Antiqua"/>
          <w:lang w:val="en-US"/>
        </w:rPr>
        <w:t>in</w:t>
      </w:r>
      <w:r w:rsidR="00D476AC" w:rsidRPr="009D7554">
        <w:rPr>
          <w:rFonts w:ascii="Book Antiqua" w:hAnsi="Book Antiqua"/>
          <w:lang w:val="en-US"/>
        </w:rPr>
        <w:t xml:space="preserve"> good responders compared to </w:t>
      </w:r>
      <w:r w:rsidR="009A70D4" w:rsidRPr="009D7554">
        <w:rPr>
          <w:rFonts w:ascii="Book Antiqua" w:hAnsi="Book Antiqua"/>
          <w:lang w:val="en-US"/>
        </w:rPr>
        <w:t>nonr</w:t>
      </w:r>
      <w:r w:rsidR="00D476AC" w:rsidRPr="009D7554">
        <w:rPr>
          <w:rFonts w:ascii="Book Antiqua" w:hAnsi="Book Antiqua"/>
          <w:lang w:val="en-US"/>
        </w:rPr>
        <w:t>esponders</w:t>
      </w:r>
      <w:r w:rsidR="00D476AC" w:rsidRPr="009D7554">
        <w:rPr>
          <w:rFonts w:ascii="Book Antiqua" w:hAnsi="Book Antiqua"/>
          <w:lang w:val="en-US"/>
        </w:rPr>
        <w:fldChar w:fldCharType="begin" w:fldLock="1"/>
      </w:r>
      <w:r w:rsidR="00DF4FB7" w:rsidRPr="009D7554">
        <w:rPr>
          <w:rFonts w:ascii="Book Antiqua" w:hAnsi="Book Antiqua"/>
          <w:lang w:val="en-US"/>
        </w:rPr>
        <w:instrText>ADDIN CSL_CITATION {"citationItems":[{"id":"ITEM-1","itemData":{"DOI":"10.3109/0284186X.2010.498439","ISSN":"1651-226X","PMID":"20586658","abstract":"PURPOSE To investigate the use of FDG-PET/CT before, during and after chemoradiotherapy (CRT) and diffusion-weighted magnetic resonance imaging (DW-MRI) before CRT for the prediction of pathological response (pCR) in rectal cancer patients. MATERIAL AND METHODS Twenty-two rectal cancer patients treated with long course CRT were included. An FDG-PET/CT was performed prior to the start of CRT, after 10 to 12 fractions of CRT and five weeks after the end of CRT. The tumor was delineated using a gradient based delineation method and the maximal standardized uptake values (SUV(max)) were calculated. A DW-MRI was performed before start of CRT. Mean apparent diffusion coefficients (ADC) were determined. The ΔSUV(max) during and after CRT and the initial ADC values were correlated to the histopathological findings after total mesorectal excision (TME). RESULTS ΔSUV(max) during and after CRT significantly correlated with the pathological response to treatment (during CRT: ΔSUV(max) = 59% ± 12% for pCR vs. 25% ± 27% if no pCR, p=0.0036; post-CRT: 90% ± 11 for pCR vs. 63% ± 22 if no pCR p=0.013). ROC curve analysis revealed an optimal threshold for ΔSUV(max) of 40% during CRT and 76% after CRT. The initial ADC value was also significantly correlated with pCR (0.94 ± 0.12 × 10(-3) mm(2)/s for pCR vs. 1.2 ± 0.24 × 10(-3) mm(2)/s, p=0.002) and ROC curve analysis revealed an optimal threshold of 1.06 × 10(-3) mm(2)/s. Combining the provided ΔSUV(max) thresholds during and after CRT increased specificity of the prediction (sensitivity 100% and specificity 94%). The combination of the thresholds for the initial ADC value and the ΔSUV(max) during CRT increased specificity of the prediction to a similar level (sensitivity of 100% and specificity of 94%). CONCLUSIONS The combination of the different time points and the different imaging modalities increased the specificity of the response assessment both during and after CRT.","author":[{"dropping-particle":"","family":"Lambrecht","given":"Maarten","non-dropping-particle":"","parse-names":false,"suffix":""},{"dropping-particle":"","family":"Deroose","given":"Christophe","non-dropping-particle":"","parse-names":false,"suffix":""},{"dropping-particle":"","family":"Roels","given":"Sarah","non-dropping-particle":"","parse-names":false,"suffix":""},{"dropping-particle":"","family":"Vandecaveye","given":"Vincent","non-dropping-particle":"","parse-names":false,"suffix":""},{"dropping-particle":"","family":"Penninckx","given":"Freddy","non-dropping-particle":"","parse-names":false,"suffix":""},{"dropping-particle":"","family":"Sagaert","given":"Xavier","non-dropping-particle":"","parse-names":false,"suffix":""},{"dropping-particle":"","family":"Cutsem","given":"Eric","non-dropping-particle":"van","parse-names":false,"suffix":""},{"dropping-particle":"","family":"Keyzer","given":"Frederik","non-dropping-particle":"de","parse-names":false,"suffix":""},{"dropping-particle":"","family":"Haustermans","given":"Karin","non-dropping-particle":"","parse-names":false,"suffix":""}],"container-title":"Acta oncologica (Stockholm, Sweden)","id":"ITEM-1","issue":"7","issued":{"date-parts":[["2010","10"]]},"page":"956-63","title":"The use of FDG-PET/CT and diffusion-weighted magnetic resonance imaging for response prediction before, during and after preoperative chemoradiotherapy for rectal cancer.","type":"article-journal","volume":"49"},"uris":["http://www.mendeley.com/documents/?uuid=d49cd08a-ff01-4a52-bc1d-c742fb318fe1"]},{"id":"ITEM-2","itemData":{"DOI":"10.1148/radiol.2541082230","ISSN":"1527-1315","PMID":"20019139","abstract":"PURPOSE To determine whether changes in apparent diffusion coefficients (ADCs) of rectal carcinoma obtained 1 week after the beginning of chemotherapy and radiation therapy (CRT) correlate with tumor histopathologic downstaging after preoperative CRT. MATERIALS AND METHODS This prospective study was approved by an institutional review board; informed consent was obtained from all patients. Thirty-seven patients (mean age, 54.7 years; 13 women, 24 men) with primary rectal carcinoma who were undergoing preoperative CRT were recruited for the study. Diffusion-weighted (DW) magnetic resonance (MR) imaging was performed with a 1.5-T MR imager in all patients before therapy, at the end of the 1st and 2nd week of therapy, and before surgery. Tumor ADCs were calculated. Linear mixed-effects modeling was applied to analyze change in ADCs and volumes following treatment. RESULTS Patients were assigned to the tumor downstaged group (n = 17) or the tumor nondownstaged group (n = 20) on the basis of histopathologic examination results following surgery. Before CRT, the mean tumor ADC in the downstaged group was lower than that in the nondownstaged group (1.07 x 10(-3) mm(2)/sec +/- 0.13 [standard deviation] vs 1.19 x 10(-3) mm(2)/sec +/- 0.15, F = 6.91, P = .013). At the end of the 1st week of CRT, the mean tumor ADC increased significantly from 1.07 x 10(-3) mm(2)/sec +/- 0.13 to 1.32 x 10(-3) mm(2)/sec +/- 0.16 (F = 37.63, P &lt;.001) in the downstaged group, but there was no significant ADC increase in the nondownstaged group (F = 1.18, P = .291). The mean percentage of tumor ADC change in the downstaged group was significantly higher than that in the nondownstaged group at each time point (F = 18.39, P &lt; .001). CONCLUSION Early increase of mean tumor ADC and low pretherapy mean ADC in rectal carcinoma correlate with good response to CRT. DW MR imaging is a promising noninvasive technique for helping predict and monitor early therapeutic response in patients with rectal carcinoma who are undergoing CRT.","author":[{"dropping-particle":"","family":"Sun","given":"Ying-Shi","non-dropping-particle":"","parse-names":false,"suffix":""},{"dropping-particle":"","family":"Zhang","given":"Xiao-Peng","non-dropping-particle":"","parse-names":false,"suffix":""},{"dropping-particle":"","family":"Tang","given":"Lei","non-dropping-particle":"","parse-names":false,"suffix":""},{"dropping-particle":"","family":"Ji","given":"Jia-Fu","non-dropping-particle":"","parse-names":false,"suffix":""},{"dropping-particle":"","family":"Gu","given":"Jin","non-dropping-particle":"","parse-names":false,"suffix":""},{"dropping-particle":"","family":"Cai","given":"Yong","non-dropping-particle":"","parse-names":false,"suffix":""},{"dropping-particle":"","family":"Zhang","given":"Xiao-Yan","non-dropping-particle":"","parse-names":false,"suffix":""}],"container-title":"Radiology","id":"ITEM-2","issue":"1","issued":{"date-parts":[["2010","1"]]},"page":"170-8","title":"Locally advanced rectal carcinoma treated with preoperative chemotherapy and radiation therapy: preliminary analysis of diffusion-weighted MR imaging for early detection of tumor histopathologic downstaging.","type":"article-journal","volume":"254"},"uris":["http://www.mendeley.com/documents/?uuid=b902b59d-3fb3-4010-a1f4-c136424b66fc"]}],"mendeley":{"formattedCitation":"&lt;sup&gt;[70,71]&lt;/sup&gt;","plainTextFormattedCitation":"[70,71]","previouslyFormattedCitation":"&lt;sup&gt;[70,71]&lt;/sup&gt;"},"properties":{"noteIndex":0},"schema":"https://github.com/citation-style-language/schema/raw/master/csl-citation.json"}</w:instrText>
      </w:r>
      <w:r w:rsidR="00D476AC" w:rsidRPr="009D7554">
        <w:rPr>
          <w:rFonts w:ascii="Book Antiqua" w:hAnsi="Book Antiqua"/>
          <w:lang w:val="en-US"/>
        </w:rPr>
        <w:fldChar w:fldCharType="separate"/>
      </w:r>
      <w:r w:rsidR="006821F4" w:rsidRPr="009D7554">
        <w:rPr>
          <w:rFonts w:ascii="Book Antiqua" w:hAnsi="Book Antiqua"/>
          <w:vertAlign w:val="superscript"/>
          <w:lang w:val="en-US"/>
        </w:rPr>
        <w:t>[70,71]</w:t>
      </w:r>
      <w:r w:rsidR="00D476AC" w:rsidRPr="009D7554">
        <w:rPr>
          <w:rFonts w:ascii="Book Antiqua" w:hAnsi="Book Antiqua"/>
          <w:lang w:val="en-US"/>
        </w:rPr>
        <w:fldChar w:fldCharType="end"/>
      </w:r>
      <w:r w:rsidR="00D476AC" w:rsidRPr="009D7554">
        <w:rPr>
          <w:rFonts w:ascii="Book Antiqua" w:hAnsi="Book Antiqua"/>
          <w:lang w:val="en-US"/>
        </w:rPr>
        <w:t xml:space="preserve">. Conversely, others reported that </w:t>
      </w:r>
      <w:r w:rsidR="002675FE" w:rsidRPr="009D7554">
        <w:rPr>
          <w:rFonts w:ascii="Book Antiqua" w:hAnsi="Book Antiqua"/>
          <w:lang w:val="en-US"/>
        </w:rPr>
        <w:t xml:space="preserve">the </w:t>
      </w:r>
      <w:r w:rsidR="00D476AC" w:rsidRPr="009D7554">
        <w:rPr>
          <w:rFonts w:ascii="Book Antiqua" w:hAnsi="Book Antiqua"/>
          <w:lang w:val="en-US"/>
        </w:rPr>
        <w:t xml:space="preserve">pretreatment ADC values were not </w:t>
      </w:r>
      <w:r w:rsidRPr="009D7554">
        <w:rPr>
          <w:rFonts w:ascii="Book Antiqua" w:hAnsi="Book Antiqua"/>
          <w:lang w:val="en-US"/>
        </w:rPr>
        <w:t>significantly</w:t>
      </w:r>
      <w:r w:rsidR="00D476AC" w:rsidRPr="009D7554">
        <w:rPr>
          <w:rFonts w:ascii="Book Antiqua" w:hAnsi="Book Antiqua"/>
          <w:lang w:val="en-US"/>
        </w:rPr>
        <w:t xml:space="preserve"> different between responders and </w:t>
      </w:r>
      <w:r w:rsidR="009A70D4" w:rsidRPr="009D7554">
        <w:rPr>
          <w:rFonts w:ascii="Book Antiqua" w:hAnsi="Book Antiqua"/>
          <w:lang w:val="en-US"/>
        </w:rPr>
        <w:t>nonr</w:t>
      </w:r>
      <w:r w:rsidR="00D476AC" w:rsidRPr="009D7554">
        <w:rPr>
          <w:rFonts w:ascii="Book Antiqua" w:hAnsi="Book Antiqua"/>
          <w:lang w:val="en-US"/>
        </w:rPr>
        <w:t>esponders</w:t>
      </w:r>
      <w:r w:rsidR="00D476AC" w:rsidRPr="009D7554">
        <w:rPr>
          <w:rFonts w:ascii="Book Antiqua" w:hAnsi="Book Antiqua"/>
          <w:lang w:val="en-US"/>
        </w:rPr>
        <w:fldChar w:fldCharType="begin" w:fldLock="1"/>
      </w:r>
      <w:r w:rsidR="006821F4" w:rsidRPr="009D7554">
        <w:rPr>
          <w:rFonts w:ascii="Book Antiqua" w:hAnsi="Book Antiqua"/>
          <w:lang w:val="en-US"/>
        </w:rPr>
        <w:instrText>ADDIN CSL_CITATION {"citationItems":[{"id":"ITEM-1","itemData":{"ISSN":"0360-3016","PMID":"12829130","abstract":"PURPOSE The aim of our study was to correlate perfusion indices and apparent diffusion coefficients with therapy outcome after chemoradiation. METHODS AND MATERIALS In 34 patients with primary rectal carcinoma (cT3) undergoing preoperative chemoradiation, pretherapeutic perfusion indices and apparent diffusion coefficients were obtained by dynamic or diffusion-weighted magnetic resonance imaging. Therapy response was defined if the pathologic observation revealed no invasion into the perirectal fat after chemoradiation. RESULTS In 18 patients, a response and in 16, no response was observed. Statistically significant differences were found for the mean perfusion index (p &lt; 0.001; 7.5 +/- 1.5 mL/min/100 g vs. 10.7 +/- 2.7 mL/min/100 g) and for the intratumoral cumulative fraction of pixels with perfusion-indices &gt; 12 mL/min/100 g (p &lt; 0.001, 3.7 +/- 4.0% vs. 24.7 +/- 17.9%). A three-way ANOVA resulted in significant effects for therapy responder/nonresponder (p &lt; 0.001) and for apparent diffusion coefficient and the individual patients. CONCLUSION Perfusion indices and apparent diffusion coefficients inside the tumor region seem to be of predictive value for therapy outcome of preoperative therapy in patients with primary rectal carcinoma. Higher parameter levels in the nonresponding group could be explained by increased shunt flow or increased angiogenic activity in aggressive tumor cell clusters resulting in reduced nutrients supply and higher fraction of intratumoral necrosis respectively.","author":[{"dropping-particle":"","family":"DeVries","given":"Alexander F","non-dropping-particle":"","parse-names":false,"suffix":""},{"dropping-particle":"","family":"Kremser","given":"Christian","non-dropping-particle":"","parse-names":false,"suffix":""},{"dropping-particle":"","family":"Hein","given":"Patrick A","non-dropping-particle":"","parse-names":false,"suffix":""},{"dropping-particle":"","family":"Griebel","given":"Jürgen","non-dropping-particle":"","parse-names":false,"suffix":""},{"dropping-particle":"","family":"Krezcy","given":"Alfons","non-dropping-particle":"","parse-names":false,"suffix":""},{"dropping-particle":"","family":"Ofner","given":"Dietmar","non-dropping-particle":"","parse-names":false,"suffix":""},{"dropping-particle":"","family":"Pfeiffer","given":"Karl Peter","non-dropping-particle":"","parse-names":false,"suffix":""},{"dropping-particle":"","family":"Lukas","given":"Peter","non-dropping-particle":"","parse-names":false,"suffix":""},{"dropping-particle":"","family":"Judmaier","given":"Werner","non-dropping-particle":"","parse-names":false,"suffix":""}],"container-title":"International journal of radiation oncology, biology, physics","id":"ITEM-1","issue":"4","issued":{"date-parts":[["2003","7","15"]]},"page":"958-65","title":"Tumor microcirculation and diffusion predict therapy outcome for primary rectal carcinoma.","type":"article-journal","volume":"56"},"uris":["http://www.mendeley.com/documents/?uuid=249d1424-0c79-4c25-bbca-92b010ce7d68"]}],"mendeley":{"formattedCitation":"&lt;sup&gt;[72]&lt;/sup&gt;","plainTextFormattedCitation":"[72]","previouslyFormattedCitation":"&lt;sup&gt;[72]&lt;/sup&gt;"},"properties":{"noteIndex":0},"schema":"https://github.com/citation-style-language/schema/raw/master/csl-citation.json"}</w:instrText>
      </w:r>
      <w:r w:rsidR="00D476AC" w:rsidRPr="009D7554">
        <w:rPr>
          <w:rFonts w:ascii="Book Antiqua" w:hAnsi="Book Antiqua"/>
          <w:lang w:val="en-US"/>
        </w:rPr>
        <w:fldChar w:fldCharType="separate"/>
      </w:r>
      <w:r w:rsidR="006821F4" w:rsidRPr="009D7554">
        <w:rPr>
          <w:rFonts w:ascii="Book Antiqua" w:hAnsi="Book Antiqua"/>
          <w:vertAlign w:val="superscript"/>
          <w:lang w:val="en-US"/>
        </w:rPr>
        <w:t>[72]</w:t>
      </w:r>
      <w:r w:rsidR="00D476AC" w:rsidRPr="009D7554">
        <w:rPr>
          <w:rFonts w:ascii="Book Antiqua" w:hAnsi="Book Antiqua"/>
          <w:lang w:val="en-US"/>
        </w:rPr>
        <w:fldChar w:fldCharType="end"/>
      </w:r>
      <w:r w:rsidR="00D476AC" w:rsidRPr="009D7554">
        <w:rPr>
          <w:rFonts w:ascii="Book Antiqua" w:hAnsi="Book Antiqua"/>
          <w:lang w:val="en-US"/>
        </w:rPr>
        <w:t>.</w:t>
      </w:r>
    </w:p>
    <w:p w:rsidR="006821F4" w:rsidRPr="009D7554" w:rsidRDefault="006821F4" w:rsidP="006A253E">
      <w:pPr>
        <w:widowControl w:val="0"/>
        <w:autoSpaceDE w:val="0"/>
        <w:autoSpaceDN w:val="0"/>
        <w:adjustRightInd w:val="0"/>
        <w:snapToGrid w:val="0"/>
        <w:spacing w:line="360" w:lineRule="auto"/>
        <w:jc w:val="both"/>
        <w:rPr>
          <w:rFonts w:ascii="Book Antiqua" w:hAnsi="Book Antiqua"/>
          <w:lang w:val="en-US"/>
        </w:rPr>
      </w:pPr>
    </w:p>
    <w:p w:rsidR="001C3C53" w:rsidRPr="009D7554" w:rsidRDefault="00823255"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PI</w:t>
      </w:r>
      <w:r w:rsidR="0078039B" w:rsidRPr="009D7554">
        <w:rPr>
          <w:rFonts w:ascii="Book Antiqua" w:eastAsia="等线" w:hAnsi="Book Antiqua" w:hint="eastAsia"/>
          <w:b/>
          <w:lang w:val="en-US" w:eastAsia="zh-CN"/>
        </w:rPr>
        <w:t>:</w:t>
      </w:r>
      <w:r w:rsidR="0078039B" w:rsidRPr="009D7554">
        <w:rPr>
          <w:rFonts w:ascii="Book Antiqua" w:eastAsia="等线" w:hAnsi="Book Antiqua"/>
          <w:b/>
          <w:lang w:val="en-US" w:eastAsia="zh-CN"/>
        </w:rPr>
        <w:t xml:space="preserve"> </w:t>
      </w:r>
      <w:r w:rsidR="00465249" w:rsidRPr="009D7554">
        <w:rPr>
          <w:rFonts w:ascii="Book Antiqua" w:hAnsi="Book Antiqua"/>
          <w:lang w:val="en-US"/>
        </w:rPr>
        <w:t xml:space="preserve">Perfusion CT quantitative parameters have been evaluated </w:t>
      </w:r>
      <w:r w:rsidR="002675FE" w:rsidRPr="009D7554">
        <w:rPr>
          <w:rFonts w:ascii="Book Antiqua" w:hAnsi="Book Antiqua"/>
          <w:lang w:val="en-US"/>
        </w:rPr>
        <w:t xml:space="preserve">for the prediction </w:t>
      </w:r>
      <w:r w:rsidR="00465249" w:rsidRPr="009D7554">
        <w:rPr>
          <w:rFonts w:ascii="Book Antiqua" w:hAnsi="Book Antiqua"/>
          <w:lang w:val="en-US"/>
        </w:rPr>
        <w:t>and assess</w:t>
      </w:r>
      <w:r w:rsidR="002675FE" w:rsidRPr="009D7554">
        <w:rPr>
          <w:rFonts w:ascii="Book Antiqua" w:hAnsi="Book Antiqua"/>
          <w:lang w:val="en-US"/>
        </w:rPr>
        <w:t>ment of</w:t>
      </w:r>
      <w:r w:rsidR="00465249" w:rsidRPr="009D7554">
        <w:rPr>
          <w:rFonts w:ascii="Book Antiqua" w:hAnsi="Book Antiqua"/>
          <w:lang w:val="en-US"/>
        </w:rPr>
        <w:t xml:space="preserve"> </w:t>
      </w:r>
      <w:r w:rsidR="001F0F25" w:rsidRPr="009D7554">
        <w:rPr>
          <w:rFonts w:ascii="Book Antiqua" w:hAnsi="Book Antiqua"/>
          <w:lang w:val="en-US"/>
        </w:rPr>
        <w:t xml:space="preserve">the </w:t>
      </w:r>
      <w:r w:rsidR="00465249" w:rsidRPr="009D7554">
        <w:rPr>
          <w:rFonts w:ascii="Book Antiqua" w:hAnsi="Book Antiqua"/>
          <w:lang w:val="en-US"/>
        </w:rPr>
        <w:t xml:space="preserve">response of LARC to neoadjuvant CRT. </w:t>
      </w:r>
      <w:r w:rsidR="00465249" w:rsidRPr="009D7554">
        <w:rPr>
          <w:rFonts w:ascii="Book Antiqua" w:hAnsi="Book Antiqua"/>
        </w:rPr>
        <w:t xml:space="preserve">Bellomi </w:t>
      </w:r>
      <w:r w:rsidR="001C3C53" w:rsidRPr="009D7554">
        <w:rPr>
          <w:rFonts w:ascii="Book Antiqua" w:hAnsi="Book Antiqua"/>
          <w:bCs/>
          <w:i/>
        </w:rPr>
        <w:t>et al</w:t>
      </w:r>
      <w:r w:rsidR="00A75298" w:rsidRPr="009D7554">
        <w:rPr>
          <w:rFonts w:ascii="Book Antiqua" w:hAnsi="Book Antiqua"/>
          <w:bCs/>
          <w:i/>
          <w:lang w:val="en-US"/>
        </w:rPr>
        <w:fldChar w:fldCharType="begin" w:fldLock="1"/>
      </w:r>
      <w:r w:rsidR="006821F4" w:rsidRPr="009D7554">
        <w:rPr>
          <w:rFonts w:ascii="Book Antiqua" w:hAnsi="Book Antiqua"/>
          <w:bCs/>
          <w:i/>
        </w:rPr>
        <w:instrText>ADDIN CSL_CITATION {"citationItems":[{"id":"ITEM-1","itemData":{"DOI":"10.1148/radiol.2442061189","ISSN":"0033-8419","PMID":"17641369","abstract":"PURPOSE To prospectively monitor changes in rectal cancer perfusion after combined neoadjuvant chemotherapy and radiation therapy with perfusion computed tomography (CT) and to evaluate whether perfusion CT findings correlate with response to therapy. MATERIALS AND METHODS The study was approved by the institutional ethics committee of the European Institute of Oncology; written informed consent was obtained from all participants before the study. Twenty-five patients with rectal adenocarcinoma (18 men, seven women; age range, 42-72 years; mean age, 61.3 years) underwent perfusion CT; all of them underwent neoadjuvant chemotherapy and radiation therapy, followed by surgery. In 19 patients, perfusion CT was repeated after chemotherapy and radiation therapy. Dynamic perfusion CT was performed for 50 seconds after intravenous injection of contrast medium (40 mL, 370 mg iodine per milliliter, 4 mL/sec). Blood flow (BF), blood volume (BV), mean transit time, and permeability-surface area product (PS) were computed in the tumor and in normal rectal wall by two independent blinded radiologists. Microvessel density was evaluated in pretreatment biopsy specimens in nine patients and in surgical specimens in seven patients. Wilcoxon signed-rank and rank sum tests were used for paired and independent comparisons, respectively. RESULTS BF, BV, and PS were significantly higher in rectal cancer than in normal rectal wall (P &lt; .001). BF, BV, and PS significantly decreased after combined chemotherapy and radiation therapy (P &lt; .009). No correlation was found between perfusion parameters and microvessel density, neither in baseline values nor in posttherapy changes. Baseline BF and BV in the seven patients who failed to respond to treatment were significantly lower than in the 17 responders (P = .02 for BF and &lt; .001 for BV). CONCLUSION Perfusion CT has potential for monitoring the effects of combined neoadjuvant chemotherapy and radiation therapy and predicting the response of rectal cancer to such therapy.","author":[{"dropping-particle":"","family":"Bellomi","given":"Massimo","non-dropping-particle":"","parse-names":false,"suffix":""},{"dropping-particle":"","family":"Petralia","given":"Giuseppe","non-dropping-particle":"","parse-names":false,"suffix":""},{"dropping-particle":"","family":"Sonzogni","given":"Angelica","non-dropping-particle":"","parse-names":false,"suffix":""},{"dropping-particle":"","family":"Zampino","given":"Maria Giulia","non-dropping-particle":"","parse-names":false,"suffix":""},{"dropping-particle":"","family":"Rocca","given":"Andrea","non-dropping-particle":"","parse-names":false,"suffix":""}],"container-title":"Radiology","id":"ITEM-1","issue":"2","issued":{"date-parts":[["2007","8"]]},"page":"486-93","title":"CT perfusion for the monitoring of neoadjuvant chemotherapy and radiation therapy in rectal carcinoma: initial experience.","type":"article-journal","volume":"244"},"uris":["http://www.mendeley.com/documents/?uuid=624aed2d-bf26-4a3e-9640-f9534259d531"]}],"mendeley":{"formattedCitation":"&lt;sup&gt;[73]&lt;/sup&gt;","plainTextFormattedCitation":"[73]","previouslyFormattedCitation":"&lt;sup&gt;[73]&lt;/sup&gt;"},"properties":{"noteIndex":0},"schema":"https://github.com/citation-style-language/schema/raw/master/csl-citation.json"}</w:instrText>
      </w:r>
      <w:r w:rsidR="00A75298" w:rsidRPr="009D7554">
        <w:rPr>
          <w:rFonts w:ascii="Book Antiqua" w:hAnsi="Book Antiqua"/>
          <w:bCs/>
          <w:i/>
          <w:lang w:val="en-US"/>
        </w:rPr>
        <w:fldChar w:fldCharType="separate"/>
      </w:r>
      <w:r w:rsidR="000D56F8" w:rsidRPr="009D7554">
        <w:rPr>
          <w:rFonts w:ascii="Book Antiqua" w:hAnsi="Book Antiqua"/>
          <w:bCs/>
          <w:vertAlign w:val="superscript"/>
        </w:rPr>
        <w:t>[73]</w:t>
      </w:r>
      <w:r w:rsidR="00A75298" w:rsidRPr="009D7554">
        <w:rPr>
          <w:rFonts w:ascii="Book Antiqua" w:hAnsi="Book Antiqua"/>
          <w:bCs/>
          <w:i/>
          <w:lang w:val="en-US"/>
        </w:rPr>
        <w:fldChar w:fldCharType="end"/>
      </w:r>
      <w:r w:rsidR="00465249" w:rsidRPr="009D7554">
        <w:rPr>
          <w:rFonts w:ascii="Book Antiqua" w:hAnsi="Book Antiqua"/>
          <w:bCs/>
          <w:i/>
        </w:rPr>
        <w:t xml:space="preserve"> </w:t>
      </w:r>
      <w:r w:rsidR="00465249" w:rsidRPr="009D7554">
        <w:rPr>
          <w:rFonts w:ascii="Book Antiqua" w:hAnsi="Book Antiqua"/>
        </w:rPr>
        <w:t xml:space="preserve">reported that </w:t>
      </w:r>
      <w:r w:rsidR="002675FE" w:rsidRPr="009D7554">
        <w:rPr>
          <w:rFonts w:ascii="Book Antiqua" w:hAnsi="Book Antiqua"/>
        </w:rPr>
        <w:t xml:space="preserve">the </w:t>
      </w:r>
      <w:r w:rsidR="00465249" w:rsidRPr="009D7554">
        <w:rPr>
          <w:rFonts w:ascii="Book Antiqua" w:hAnsi="Book Antiqua"/>
        </w:rPr>
        <w:t xml:space="preserve">baseline BF and BV were significantly higher and </w:t>
      </w:r>
      <w:r w:rsidR="002675FE" w:rsidRPr="009D7554">
        <w:rPr>
          <w:rFonts w:ascii="Book Antiqua" w:hAnsi="Book Antiqua"/>
        </w:rPr>
        <w:t xml:space="preserve">the </w:t>
      </w:r>
      <w:r w:rsidR="00465249" w:rsidRPr="009D7554">
        <w:rPr>
          <w:rFonts w:ascii="Book Antiqua" w:hAnsi="Book Antiqua"/>
        </w:rPr>
        <w:t xml:space="preserve">MTT </w:t>
      </w:r>
      <w:r w:rsidR="001F0F25" w:rsidRPr="009D7554">
        <w:rPr>
          <w:rFonts w:ascii="Book Antiqua" w:hAnsi="Book Antiqua"/>
        </w:rPr>
        <w:t xml:space="preserve">was </w:t>
      </w:r>
      <w:r w:rsidR="00465249" w:rsidRPr="009D7554">
        <w:rPr>
          <w:rFonts w:ascii="Book Antiqua" w:hAnsi="Book Antiqua"/>
        </w:rPr>
        <w:t xml:space="preserve">significantly lower in responders compared to </w:t>
      </w:r>
      <w:r w:rsidR="009A70D4" w:rsidRPr="009D7554">
        <w:rPr>
          <w:rFonts w:ascii="Book Antiqua" w:hAnsi="Book Antiqua"/>
        </w:rPr>
        <w:t>nonr</w:t>
      </w:r>
      <w:r w:rsidR="00465249" w:rsidRPr="009D7554">
        <w:rPr>
          <w:rFonts w:ascii="Book Antiqua" w:hAnsi="Book Antiqua"/>
        </w:rPr>
        <w:t xml:space="preserve">esponders. </w:t>
      </w:r>
      <w:r w:rsidR="00465249" w:rsidRPr="009D7554">
        <w:rPr>
          <w:rFonts w:ascii="Book Antiqua" w:hAnsi="Book Antiqua"/>
          <w:lang w:val="en-US"/>
        </w:rPr>
        <w:t xml:space="preserve">Conversely, Sahani </w:t>
      </w:r>
      <w:r w:rsidR="001C3C53" w:rsidRPr="009D7554">
        <w:rPr>
          <w:rFonts w:ascii="Book Antiqua" w:hAnsi="Book Antiqua"/>
          <w:bCs/>
          <w:i/>
          <w:lang w:val="en-US"/>
        </w:rPr>
        <w:t>et al</w:t>
      </w:r>
      <w:r w:rsidR="00A75298" w:rsidRPr="009D7554">
        <w:rPr>
          <w:rFonts w:ascii="Book Antiqua" w:hAnsi="Book Antiqua"/>
          <w:bCs/>
          <w:i/>
          <w:lang w:val="en-US"/>
        </w:rPr>
        <w:fldChar w:fldCharType="begin" w:fldLock="1"/>
      </w:r>
      <w:r w:rsidR="006821F4" w:rsidRPr="009D7554">
        <w:rPr>
          <w:rFonts w:ascii="Book Antiqua" w:hAnsi="Book Antiqua"/>
          <w:bCs/>
          <w:i/>
          <w:lang w:val="en-US"/>
        </w:rPr>
        <w:instrText>ADDIN CSL_CITATION {"citationItems":[{"id":"ITEM-1","itemData":{"DOI":"10.1148/radiol.2343040286","ISSN":"0033-8419","PMID":"15734934","abstract":"PURPOSE To use first-pass perfusion computed tomography (CT) to prospectively investigate tumor vascularity in rectal cancer and to determine whether any of the perfusion parameters would predict tumor response to chemotherapy and radiation therapy. MATERIALS AND METHODS The institutional review board approved this study, and informed prior consent was obtained from participants. Perfusion CT of rectal cancer was performed with four-section multi-detector row CT in 15 patients (13 men, two women; mean age, 62.1 years; age range, 46-84 years). Five patients with prostate cancer served as controls. All patients with rectal cancer underwent 6-8 weeks of chemotherapy and radiation therapy followed by surgery. In nine patients, perfusion CT was repeated after completion of chemotherapy and radiation therapy. Contrast medium-enhanced dynamic CT was performed with a static table position for 45 seconds, and the data were analyzed by using commercial software to calculate tissue blood flow (BF), blood volume, mean transit time (MTT), and vascular permeability-surface area product. Perfusion parameters of normal rectum and tumor were compared. Perfusion parameters before and after chemotherapy and radiation therapy were compared. A tumor was considered to have responded if its stage at pathologic analysis indicated regression compared with the preoperative stage. Baseline perfusion values were compared between responders and nonresponders. Statistical analysis was performed with the Student t test. RESULTS Rectal cancer showed higher BF and shorter MTT compared with those of normal rectum (P &lt; or =.05). After chemotherapy and radiation therapy, tumors showed significant reduction in BF and increase in MTT (P &lt; or =.05). There was a significant difference in baseline BF and MTT values between responders and nonresponders (P &lt; or =.05). Tumors in three patients with high initial BF and short MTT showed poor response. CONCLUSION Perfusion CT of rectal cancer can enable assessment of tumor vascularity and perfusion changes that result from chemotherapy and radiation therapy. In this small patient sample, tumors with initial high BF and short MTT values tended to respond poorly to chemotherapy and radiation therapy.","author":[{"dropping-particle":"V","family":"Sahani","given":"Dushyant","non-dropping-particle":"","parse-names":false,"suffix":""},{"dropping-particle":"","family":"Kalva","given":"Sanjeeva P","non-dropping-particle":"","parse-names":false,"suffix":""},{"dropping-particle":"","family":"Hamberg","given":"Leena M","non-dropping-particle":"","parse-names":false,"suffix":""},{"dropping-particle":"","family":"Hahn","given":"Peter F","non-dropping-particle":"","parse-names":false,"suffix":""},{"dropping-particle":"","family":"Willett","given":"Christopher G","non-dropping-particle":"","parse-names":false,"suffix":""},{"dropping-particle":"","family":"Saini","given":"Sanjay","non-dropping-particle":"","parse-names":false,"suffix":""},{"dropping-particle":"","family":"Mueller","given":"Peter R","non-dropping-particle":"","parse-names":false,"suffix":""},{"dropping-particle":"","family":"Lee","given":"Ting-Yim","non-dropping-particle":"","parse-names":false,"suffix":""}],"container-title":"Radiology","id":"ITEM-1","issue":"3","issued":{"date-parts":[["2005","3"]]},"page":"785-92","title":"Assessing tumor perfusion and treatment response in rectal cancer with multisection CT: initial observations.","type":"article-journal","volume":"234"},"uris":["http://www.mendeley.com/documents/?uuid=408d2cc6-4c7a-416a-a90a-a94b6a867bf8"]}],"mendeley":{"formattedCitation":"&lt;sup&gt;[74]&lt;/sup&gt;","plainTextFormattedCitation":"[74]","previouslyFormattedCitation":"&lt;sup&gt;[74]&lt;/sup&gt;"},"properties":{"noteIndex":0},"schema":"https://github.com/citation-style-language/schema/raw/master/csl-citation.json"}</w:instrText>
      </w:r>
      <w:r w:rsidR="00A75298" w:rsidRPr="009D7554">
        <w:rPr>
          <w:rFonts w:ascii="Book Antiqua" w:hAnsi="Book Antiqua"/>
          <w:bCs/>
          <w:i/>
          <w:lang w:val="en-US"/>
        </w:rPr>
        <w:fldChar w:fldCharType="separate"/>
      </w:r>
      <w:r w:rsidR="000D56F8" w:rsidRPr="009D7554">
        <w:rPr>
          <w:rFonts w:ascii="Book Antiqua" w:hAnsi="Book Antiqua"/>
          <w:bCs/>
          <w:vertAlign w:val="superscript"/>
          <w:lang w:val="en-US"/>
        </w:rPr>
        <w:t>[74]</w:t>
      </w:r>
      <w:r w:rsidR="00A75298" w:rsidRPr="009D7554">
        <w:rPr>
          <w:rFonts w:ascii="Book Antiqua" w:hAnsi="Book Antiqua"/>
          <w:bCs/>
          <w:i/>
          <w:lang w:val="en-US"/>
        </w:rPr>
        <w:fldChar w:fldCharType="end"/>
      </w:r>
      <w:r w:rsidR="00465249" w:rsidRPr="009D7554">
        <w:rPr>
          <w:rFonts w:ascii="Book Antiqua" w:hAnsi="Book Antiqua"/>
          <w:lang w:val="en-US"/>
        </w:rPr>
        <w:t xml:space="preserve"> and Curvo-Semedo </w:t>
      </w:r>
      <w:r w:rsidR="001C3C53" w:rsidRPr="009D7554">
        <w:rPr>
          <w:rFonts w:ascii="Book Antiqua" w:hAnsi="Book Antiqua"/>
          <w:bCs/>
          <w:i/>
          <w:lang w:val="en-US"/>
        </w:rPr>
        <w:t>et al</w:t>
      </w:r>
      <w:r w:rsidR="00A75298" w:rsidRPr="009D7554">
        <w:rPr>
          <w:rFonts w:ascii="Book Antiqua" w:hAnsi="Book Antiqua"/>
          <w:bCs/>
          <w:i/>
          <w:lang w:val="en-US"/>
        </w:rPr>
        <w:fldChar w:fldCharType="begin" w:fldLock="1"/>
      </w:r>
      <w:r w:rsidR="006821F4" w:rsidRPr="009D7554">
        <w:rPr>
          <w:rFonts w:ascii="Book Antiqua" w:hAnsi="Book Antiqua"/>
          <w:bCs/>
          <w:i/>
          <w:lang w:val="en-US"/>
        </w:rPr>
        <w:instrText>ADDIN CSL_CITATION {"citationItems":[{"id":"ITEM-1","itemData":{"DOI":"10.1016/j.acra.2011.10.019","ISSN":"10766332","PMID":"22130088","author":[{"dropping-particle":"","family":"Curvo-Semedo","given":"Luís","non-dropping-particle":"","parse-names":false,"suffix":""},{"dropping-particle":"","family":"Portilha","given":"M. Antónia","non-dropping-particle":"","parse-names":false,"suffix":""},{"dropping-particle":"","family":"Ruivo","given":"Catarina","non-dropping-particle":"","parse-names":false,"suffix":""},{"dropping-particle":"","family":"Borrego","given":"Margarida","non-dropping-particle":"","parse-names":false,"suffix":""},{"dropping-particle":"","family":"Leite","given":"Júlio S.","non-dropping-particle":"","parse-names":false,"suffix":""},{"dropping-particle":"","family":"Caseiro-Alves","given":"Filipe","non-dropping-particle":"","parse-names":false,"suffix":""}],"container-title":"Academic Radiology","id":"ITEM-1","issue":"2","issued":{"date-parts":[["2012","2"]]},"page":"203-213","title":"Usefulness of Perfusion CT to Assess Response to Neoadjuvant Combined Chemoradiotherapy in Patients with Locally Advanced Rectal Cancer","type":"article-journal","volume":"19"},"uris":["http://www.mendeley.com/documents/?uuid=2a651db0-f8d8-4304-af70-c5f82c2a6bbc"]}],"mendeley":{"formattedCitation":"&lt;sup&gt;[75]&lt;/sup&gt;","plainTextFormattedCitation":"[75]","previouslyFormattedCitation":"&lt;sup&gt;[75]&lt;/sup&gt;"},"properties":{"noteIndex":0},"schema":"https://github.com/citation-style-language/schema/raw/master/csl-citation.json"}</w:instrText>
      </w:r>
      <w:r w:rsidR="00A75298" w:rsidRPr="009D7554">
        <w:rPr>
          <w:rFonts w:ascii="Book Antiqua" w:hAnsi="Book Antiqua"/>
          <w:bCs/>
          <w:i/>
          <w:lang w:val="en-US"/>
        </w:rPr>
        <w:fldChar w:fldCharType="separate"/>
      </w:r>
      <w:r w:rsidR="000D56F8" w:rsidRPr="009D7554">
        <w:rPr>
          <w:rFonts w:ascii="Book Antiqua" w:hAnsi="Book Antiqua"/>
          <w:bCs/>
          <w:vertAlign w:val="superscript"/>
          <w:lang w:val="en-US"/>
        </w:rPr>
        <w:t>[75]</w:t>
      </w:r>
      <w:r w:rsidR="00A75298" w:rsidRPr="009D7554">
        <w:rPr>
          <w:rFonts w:ascii="Book Antiqua" w:hAnsi="Book Antiqua"/>
          <w:bCs/>
          <w:i/>
          <w:lang w:val="en-US"/>
        </w:rPr>
        <w:fldChar w:fldCharType="end"/>
      </w:r>
      <w:r w:rsidR="00120CCE" w:rsidRPr="009D7554">
        <w:rPr>
          <w:rFonts w:ascii="Book Antiqua" w:hAnsi="Book Antiqua"/>
          <w:bCs/>
          <w:lang w:val="en-US"/>
        </w:rPr>
        <w:t xml:space="preserve"> reported that </w:t>
      </w:r>
      <w:r w:rsidR="002675FE" w:rsidRPr="009D7554">
        <w:rPr>
          <w:rFonts w:ascii="Book Antiqua" w:hAnsi="Book Antiqua"/>
          <w:bCs/>
          <w:lang w:val="en-US"/>
        </w:rPr>
        <w:t xml:space="preserve">the </w:t>
      </w:r>
      <w:r w:rsidR="00120CCE" w:rsidRPr="009D7554">
        <w:rPr>
          <w:rFonts w:ascii="Book Antiqua" w:hAnsi="Book Antiqua"/>
          <w:bCs/>
          <w:lang w:val="en-US"/>
        </w:rPr>
        <w:t xml:space="preserve">baseline BF was significantly higher and </w:t>
      </w:r>
      <w:r w:rsidR="002675FE" w:rsidRPr="009D7554">
        <w:rPr>
          <w:rFonts w:ascii="Book Antiqua" w:hAnsi="Book Antiqua"/>
          <w:bCs/>
          <w:lang w:val="en-US"/>
        </w:rPr>
        <w:t xml:space="preserve">the </w:t>
      </w:r>
      <w:r w:rsidR="00120CCE" w:rsidRPr="009D7554">
        <w:rPr>
          <w:rFonts w:ascii="Book Antiqua" w:hAnsi="Book Antiqua"/>
          <w:bCs/>
          <w:lang w:val="en-US"/>
        </w:rPr>
        <w:t>MTT</w:t>
      </w:r>
      <w:r w:rsidR="001F0F25" w:rsidRPr="009D7554">
        <w:rPr>
          <w:rFonts w:ascii="Book Antiqua" w:hAnsi="Book Antiqua"/>
          <w:bCs/>
          <w:lang w:val="en-US"/>
        </w:rPr>
        <w:t xml:space="preserve"> was</w:t>
      </w:r>
      <w:r w:rsidR="00120CCE" w:rsidRPr="009D7554">
        <w:rPr>
          <w:rFonts w:ascii="Book Antiqua" w:hAnsi="Book Antiqua"/>
          <w:bCs/>
          <w:lang w:val="en-US"/>
        </w:rPr>
        <w:t xml:space="preserve"> significantly lower in non-</w:t>
      </w:r>
      <w:r w:rsidR="001F0F25" w:rsidRPr="009D7554">
        <w:rPr>
          <w:rFonts w:ascii="Book Antiqua" w:hAnsi="Book Antiqua"/>
          <w:bCs/>
          <w:lang w:val="en-US"/>
        </w:rPr>
        <w:t>responders</w:t>
      </w:r>
      <w:r w:rsidR="00120CCE" w:rsidRPr="009D7554">
        <w:rPr>
          <w:rFonts w:ascii="Book Antiqua" w:hAnsi="Book Antiqua"/>
          <w:bCs/>
          <w:lang w:val="en-US"/>
        </w:rPr>
        <w:t xml:space="preserve"> compared to responders. Additionally, both groups</w:t>
      </w:r>
      <w:r w:rsidR="00A75298" w:rsidRPr="009D7554">
        <w:rPr>
          <w:rFonts w:ascii="Book Antiqua" w:hAnsi="Book Antiqua"/>
          <w:bCs/>
          <w:lang w:val="en-US"/>
        </w:rPr>
        <w:fldChar w:fldCharType="begin" w:fldLock="1"/>
      </w:r>
      <w:r w:rsidR="006821F4" w:rsidRPr="009D7554">
        <w:rPr>
          <w:rFonts w:ascii="Book Antiqua" w:hAnsi="Book Antiqua"/>
          <w:bCs/>
          <w:lang w:val="en-US"/>
        </w:rPr>
        <w:instrText>ADDIN CSL_CITATION {"citationItems":[{"id":"ITEM-1","itemData":{"DOI":"10.1148/radiol.2442061189","ISSN":"0033-8419","PMID":"17641369","abstract":"PURPOSE To prospectively monitor changes in rectal cancer perfusion after combined neoadjuvant chemotherapy and radiation therapy with perfusion computed tomography (CT) and to evaluate whether perfusion CT findings correlate with response to therapy. MATERIALS AND METHODS The study was approved by the institutional ethics committee of the European Institute of Oncology; written informed consent was obtained from all participants before the study. Twenty-five patients with rectal adenocarcinoma (18 men, seven women; age range, 42-72 years; mean age, 61.3 years) underwent perfusion CT; all of them underwent neoadjuvant chemotherapy and radiation therapy, followed by surgery. In 19 patients, perfusion CT was repeated after chemotherapy and radiation therapy. Dynamic perfusion CT was performed for 50 seconds after intravenous injection of contrast medium (40 mL, 370 mg iodine per milliliter, 4 mL/sec). Blood flow (BF), blood volume (BV), mean transit time, and permeability-surface area product (PS) were computed in the tumor and in normal rectal wall by two independent blinded radiologists. Microvessel density was evaluated in pretreatment biopsy specimens in nine patients and in surgical specimens in seven patients. Wilcoxon signed-rank and rank sum tests were used for paired and independent comparisons, respectively. RESULTS BF, BV, and PS were significantly higher in rectal cancer than in normal rectal wall (P &lt; .001). BF, BV, and PS significantly decreased after combined chemotherapy and radiation therapy (P &lt; .009). No correlation was found between perfusion parameters and microvessel density, neither in baseline values nor in posttherapy changes. Baseline BF and BV in the seven patients who failed to respond to treatment were significantly lower than in the 17 responders (P = .02 for BF and &lt; .001 for BV). CONCLUSION Perfusion CT has potential for monitoring the effects of combined neoadjuvant chemotherapy and radiation therapy and predicting the response of rectal cancer to such therapy.","author":[{"dropping-particle":"","family":"Bellomi","given":"Massimo","non-dropping-particle":"","parse-names":false,"suffix":""},{"dropping-particle":"","family":"Petralia","given":"Giuseppe","non-dropping-particle":"","parse-names":false,"suffix":""},{"dropping-particle":"","family":"Sonzogni","given":"Angelica","non-dropping-particle":"","parse-names":false,"suffix":""},{"dropping-particle":"","family":"Zampino","given":"Maria Giulia","non-dropping-particle":"","parse-names":false,"suffix":""},{"dropping-particle":"","family":"Rocca","given":"Andrea","non-dropping-particle":"","parse-names":false,"suffix":""}],"container-title":"Radiology","id":"ITEM-1","issue":"2","issued":{"date-parts":[["2007","8"]]},"page":"486-93","title":"CT perfusion for the monitoring of neoadjuvant chemotherapy and radiation therapy in rectal carcinoma: initial experience.","type":"article-journal","volume":"244"},"uris":["http://www.mendeley.com/documents/?uuid=624aed2d-bf26-4a3e-9640-f9534259d531"]},{"id":"ITEM-2","itemData":{"DOI":"10.1016/j.acra.2011.10.019","ISSN":"10766332","PMID":"22130088","author":[{"dropping-particle":"","family":"Curvo-Semedo","given":"Luís","non-dropping-particle":"","parse-names":false,"suffix":""},{"dropping-particle":"","family":"Portilha","given":"M. Antónia","non-dropping-particle":"","parse-names":false,"suffix":""},{"dropping-particle":"","family":"Ruivo","given":"Catarina","non-dropping-particle":"","parse-names":false,"suffix":""},{"dropping-particle":"","family":"Borrego","given":"Margarida","non-dropping-particle":"","parse-names":false,"suffix":""},{"dropping-particle":"","family":"Leite","given":"Júlio S.","non-dropping-particle":"","parse-names":false,"suffix":""},{"dropping-particle":"","family":"Caseiro-Alves","given":"Filipe","non-dropping-particle":"","parse-names":false,"suffix":""}],"container-title":"Academic Radiology","id":"ITEM-2","issue":"2","issued":{"date-parts":[["2012","2"]]},"page":"203-213","title":"Usefulness of Perfusion CT to Assess Response to Neoadjuvant Combined Chemoradiotherapy in Patients with Locally Advanced Rectal Cancer","type":"article-journal","volume":"19"},"uris":["http://www.mendeley.com/documents/?uuid=2a651db0-f8d8-4304-af70-c5f82c2a6bbc"]}],"mendeley":{"formattedCitation":"&lt;sup&gt;[73,75]&lt;/sup&gt;","plainTextFormattedCitation":"[73,75]","previouslyFormattedCitation":"&lt;sup&gt;[73,75]&lt;/sup&gt;"},"properties":{"noteIndex":0},"schema":"https://github.com/citation-style-language/schema/raw/master/csl-citation.json"}</w:instrText>
      </w:r>
      <w:r w:rsidR="00A75298" w:rsidRPr="009D7554">
        <w:rPr>
          <w:rFonts w:ascii="Book Antiqua" w:hAnsi="Book Antiqua"/>
          <w:bCs/>
          <w:lang w:val="en-US"/>
        </w:rPr>
        <w:fldChar w:fldCharType="separate"/>
      </w:r>
      <w:r w:rsidR="000D56F8" w:rsidRPr="009D7554">
        <w:rPr>
          <w:rFonts w:ascii="Book Antiqua" w:hAnsi="Book Antiqua"/>
          <w:bCs/>
          <w:vertAlign w:val="superscript"/>
          <w:lang w:val="en-US"/>
        </w:rPr>
        <w:t>[73,75]</w:t>
      </w:r>
      <w:r w:rsidR="00A75298" w:rsidRPr="009D7554">
        <w:rPr>
          <w:rFonts w:ascii="Book Antiqua" w:hAnsi="Book Antiqua"/>
          <w:bCs/>
          <w:lang w:val="en-US"/>
        </w:rPr>
        <w:fldChar w:fldCharType="end"/>
      </w:r>
      <w:r w:rsidR="001C3C53" w:rsidRPr="009D7554">
        <w:rPr>
          <w:rFonts w:ascii="Book Antiqua" w:hAnsi="Book Antiqua"/>
          <w:bCs/>
          <w:lang w:val="en-US"/>
        </w:rPr>
        <w:t xml:space="preserve"> reported a reduction </w:t>
      </w:r>
      <w:r w:rsidR="002675FE" w:rsidRPr="009D7554">
        <w:rPr>
          <w:rFonts w:ascii="Book Antiqua" w:hAnsi="Book Antiqua"/>
          <w:bCs/>
          <w:lang w:val="en-US"/>
        </w:rPr>
        <w:t xml:space="preserve">in </w:t>
      </w:r>
      <w:r w:rsidR="001C3C53" w:rsidRPr="009D7554">
        <w:rPr>
          <w:rFonts w:ascii="Book Antiqua" w:hAnsi="Book Antiqua"/>
          <w:bCs/>
          <w:lang w:val="en-US"/>
        </w:rPr>
        <w:t xml:space="preserve">BF, BV and PS and an increase </w:t>
      </w:r>
      <w:r w:rsidR="002675FE" w:rsidRPr="009D7554">
        <w:rPr>
          <w:rFonts w:ascii="Book Antiqua" w:hAnsi="Book Antiqua"/>
          <w:bCs/>
          <w:lang w:val="en-US"/>
        </w:rPr>
        <w:t xml:space="preserve">in </w:t>
      </w:r>
      <w:r w:rsidR="001C3C53" w:rsidRPr="009D7554">
        <w:rPr>
          <w:rFonts w:ascii="Book Antiqua" w:hAnsi="Book Antiqua"/>
          <w:bCs/>
          <w:lang w:val="en-US"/>
        </w:rPr>
        <w:t xml:space="preserve">MTT after CRT. These perfusion changes are </w:t>
      </w:r>
      <w:r w:rsidR="002675FE" w:rsidRPr="009D7554">
        <w:rPr>
          <w:rFonts w:ascii="Book Antiqua" w:hAnsi="Book Antiqua"/>
          <w:bCs/>
          <w:lang w:val="en-US"/>
        </w:rPr>
        <w:t xml:space="preserve">thought </w:t>
      </w:r>
      <w:r w:rsidR="001C3C53" w:rsidRPr="009D7554">
        <w:rPr>
          <w:rFonts w:ascii="Book Antiqua" w:hAnsi="Book Antiqua"/>
          <w:bCs/>
          <w:lang w:val="en-US"/>
        </w:rPr>
        <w:t xml:space="preserve">to be due to CRT-related fibrosis, </w:t>
      </w:r>
      <w:r w:rsidR="00577D64" w:rsidRPr="009D7554">
        <w:rPr>
          <w:rFonts w:ascii="Book Antiqua" w:hAnsi="Book Antiqua"/>
          <w:bCs/>
          <w:lang w:val="en-US"/>
        </w:rPr>
        <w:t xml:space="preserve">which causes the </w:t>
      </w:r>
      <w:r w:rsidR="001C3C53" w:rsidRPr="009D7554">
        <w:rPr>
          <w:rFonts w:ascii="Book Antiqua" w:hAnsi="Book Antiqua"/>
          <w:bCs/>
          <w:lang w:val="en-US"/>
        </w:rPr>
        <w:t xml:space="preserve">compression of tumor capillaries, </w:t>
      </w:r>
      <w:r w:rsidR="00577D64" w:rsidRPr="009D7554">
        <w:rPr>
          <w:rFonts w:ascii="Book Antiqua" w:hAnsi="Book Antiqua"/>
          <w:bCs/>
          <w:lang w:val="en-US"/>
        </w:rPr>
        <w:t xml:space="preserve">a </w:t>
      </w:r>
      <w:r w:rsidR="001C3C53" w:rsidRPr="009D7554">
        <w:rPr>
          <w:rFonts w:ascii="Book Antiqua" w:hAnsi="Book Antiqua"/>
          <w:bCs/>
          <w:lang w:val="en-US"/>
        </w:rPr>
        <w:t>decreased number of arter</w:t>
      </w:r>
      <w:r w:rsidR="00502E2D" w:rsidRPr="009D7554">
        <w:rPr>
          <w:rFonts w:ascii="Book Antiqua" w:hAnsi="Book Antiqua"/>
          <w:bCs/>
          <w:lang w:val="en-US"/>
        </w:rPr>
        <w:t>i</w:t>
      </w:r>
      <w:r w:rsidR="001C3C53" w:rsidRPr="009D7554">
        <w:rPr>
          <w:rFonts w:ascii="Book Antiqua" w:hAnsi="Book Antiqua"/>
          <w:bCs/>
          <w:lang w:val="en-US"/>
        </w:rPr>
        <w:t xml:space="preserve">ovenous shunts, </w:t>
      </w:r>
      <w:r w:rsidR="00577D64" w:rsidRPr="009D7554">
        <w:rPr>
          <w:rFonts w:ascii="Book Antiqua" w:hAnsi="Book Antiqua"/>
          <w:bCs/>
          <w:lang w:val="en-US"/>
        </w:rPr>
        <w:t xml:space="preserve">an </w:t>
      </w:r>
      <w:r w:rsidR="001F0F25" w:rsidRPr="009D7554">
        <w:rPr>
          <w:rFonts w:ascii="Book Antiqua" w:hAnsi="Book Antiqua"/>
          <w:bCs/>
          <w:lang w:val="en-US"/>
        </w:rPr>
        <w:t>increased</w:t>
      </w:r>
      <w:r w:rsidR="001C3C53" w:rsidRPr="009D7554">
        <w:rPr>
          <w:rFonts w:ascii="Book Antiqua" w:hAnsi="Book Antiqua"/>
          <w:bCs/>
          <w:lang w:val="en-US"/>
        </w:rPr>
        <w:t xml:space="preserve"> resistance to flow and </w:t>
      </w:r>
      <w:r w:rsidR="00577D64" w:rsidRPr="009D7554">
        <w:rPr>
          <w:rFonts w:ascii="Book Antiqua" w:hAnsi="Book Antiqua"/>
          <w:bCs/>
          <w:lang w:val="en-US"/>
        </w:rPr>
        <w:t xml:space="preserve">a </w:t>
      </w:r>
      <w:r w:rsidR="001C3C53" w:rsidRPr="009D7554">
        <w:rPr>
          <w:rFonts w:ascii="Book Antiqua" w:hAnsi="Book Antiqua"/>
          <w:bCs/>
          <w:lang w:val="en-US"/>
        </w:rPr>
        <w:t xml:space="preserve">reduced volume </w:t>
      </w:r>
      <w:r w:rsidR="00577D64" w:rsidRPr="009D7554">
        <w:rPr>
          <w:rFonts w:ascii="Book Antiqua" w:hAnsi="Book Antiqua"/>
          <w:bCs/>
          <w:lang w:val="en-US"/>
        </w:rPr>
        <w:t xml:space="preserve">in </w:t>
      </w:r>
      <w:r w:rsidR="001C3C53" w:rsidRPr="009D7554">
        <w:rPr>
          <w:rFonts w:ascii="Book Antiqua" w:hAnsi="Book Antiqua"/>
          <w:bCs/>
          <w:lang w:val="en-US"/>
        </w:rPr>
        <w:t>the vascular bed</w:t>
      </w:r>
      <w:r w:rsidR="00A75298" w:rsidRPr="009D7554">
        <w:rPr>
          <w:rFonts w:ascii="Book Antiqua" w:hAnsi="Book Antiqua"/>
          <w:bCs/>
          <w:lang w:val="en-US"/>
        </w:rPr>
        <w:fldChar w:fldCharType="begin" w:fldLock="1"/>
      </w:r>
      <w:r w:rsidR="006821F4" w:rsidRPr="009D7554">
        <w:rPr>
          <w:rFonts w:ascii="Book Antiqua" w:hAnsi="Book Antiqua"/>
          <w:bCs/>
          <w:lang w:val="en-US"/>
        </w:rPr>
        <w:instrText>ADDIN CSL_CITATION {"citationItems":[{"id":"ITEM-1","itemData":{"DOI":"10.1007/DCR.0b013e3181afbd79","ISSN":"1530-0358","PMID":"19690492","abstract":"PURPOSE The ability to evaluate clinicopathologic features and prognosis before surgery by contrast-enhanced CT would be valuable for managing rectal cancer. This study was designed to evaluate the clinical usefulness of perfusion CT in patients with rectal cancer before surgery. METHODS Forty-four consecutive patients (27 men, 17 women; median age, 63.6 years) with rectal cancer underwent perfusion CT before surgery. We retrospectively investigated the correlations between tumor blood flow generated by perfusion CT and clinicopathologic features. RESULTS There was a significant correlation between blood flow and wall invasion (P = 0.04). Well-differentiated tumors showed significantly higher blood flow than moderately differentiated tumors (P = 0.03). There was a significant tendency for tumors with low blood flow to show lymph node metastasis (P = 0.0005), vascular invasion (P = 0.004), lymphatic invasion (P = 0.04), and distant metastasis (P = 0.0005). For blood flow, accuracy was 75% for detection of tumors with lymph node metastasis if the cutoff point was set at 55 ml/100 g per minute. Patients with high blood flow tumors survived significantly longer than those with low blood flow tumors (P = 0.002). CONCLUSIONS Blood flow of rectal cancers may be useful to evaluate pathologic features and prognosis before surgery.","author":[{"dropping-particle":"","family":"Hayano","given":"Koichi","non-dropping-particle":"","parse-names":false,"suffix":""},{"dropping-particle":"","family":"Shuto","given":"Kiyohiko","non-dropping-particle":"","parse-names":false,"suffix":""},{"dropping-particle":"","family":"Koda","given":"Keiji","non-dropping-particle":"","parse-names":false,"suffix":""},{"dropping-particle":"","family":"Yanagawa","given":"Noriyuki","non-dropping-particle":"","parse-names":false,"suffix":""},{"dropping-particle":"","family":"Okazumi","given":"Shinichi","non-dropping-particle":"","parse-names":false,"suffix":""},{"dropping-particle":"","family":"Matsubara","given":"Hisahiro","non-dropping-particle":"","parse-names":false,"suffix":""}],"container-title":"Diseases of the colon and rectum","id":"ITEM-1","issue":"9","issued":{"date-parts":[["2009","9"]]},"page":"1624-9","title":"Quantitative measurement of blood flow using perfusion CT for assessing clinicopathologic features and prognosis in patients with rectal cancer.","type":"article-journal","volume":"52"},"uris":["http://www.mendeley.com/documents/?uuid=555d46a6-9773-422c-8ae1-09d54e1c07d2"]}],"mendeley":{"formattedCitation":"&lt;sup&gt;[76]&lt;/sup&gt;","plainTextFormattedCitation":"[76]","previouslyFormattedCitation":"&lt;sup&gt;[76]&lt;/sup&gt;"},"properties":{"noteIndex":0},"schema":"https://github.com/citation-style-language/schema/raw/master/csl-citation.json"}</w:instrText>
      </w:r>
      <w:r w:rsidR="00A75298" w:rsidRPr="009D7554">
        <w:rPr>
          <w:rFonts w:ascii="Book Antiqua" w:hAnsi="Book Antiqua"/>
          <w:bCs/>
          <w:lang w:val="en-US"/>
        </w:rPr>
        <w:fldChar w:fldCharType="separate"/>
      </w:r>
      <w:r w:rsidR="000D56F8" w:rsidRPr="009D7554">
        <w:rPr>
          <w:rFonts w:ascii="Book Antiqua" w:hAnsi="Book Antiqua"/>
          <w:bCs/>
          <w:vertAlign w:val="superscript"/>
          <w:lang w:val="en-US"/>
        </w:rPr>
        <w:t>[76]</w:t>
      </w:r>
      <w:r w:rsidR="00A75298" w:rsidRPr="009D7554">
        <w:rPr>
          <w:rFonts w:ascii="Book Antiqua" w:hAnsi="Book Antiqua"/>
          <w:bCs/>
          <w:lang w:val="en-US"/>
        </w:rPr>
        <w:fldChar w:fldCharType="end"/>
      </w:r>
      <w:r w:rsidR="000565FF" w:rsidRPr="009D7554">
        <w:rPr>
          <w:rFonts w:ascii="Book Antiqua" w:hAnsi="Book Antiqua"/>
          <w:bCs/>
          <w:lang w:val="en-US"/>
        </w:rPr>
        <w:t xml:space="preserve">. A reduction of 40% or more in BF, BV and permeability was observed in patients with RC who </w:t>
      </w:r>
      <w:r w:rsidR="001F0F25" w:rsidRPr="009D7554">
        <w:rPr>
          <w:rFonts w:ascii="Book Antiqua" w:hAnsi="Book Antiqua"/>
          <w:bCs/>
          <w:lang w:val="en-US"/>
        </w:rPr>
        <w:t>responded</w:t>
      </w:r>
      <w:r w:rsidR="000565FF" w:rsidRPr="009D7554">
        <w:rPr>
          <w:rFonts w:ascii="Book Antiqua" w:hAnsi="Book Antiqua"/>
          <w:bCs/>
          <w:lang w:val="en-US"/>
        </w:rPr>
        <w:t xml:space="preserve"> to neoadjuvant therapy</w:t>
      </w:r>
      <w:r w:rsidR="00A75298" w:rsidRPr="009D7554">
        <w:rPr>
          <w:rFonts w:ascii="Book Antiqua" w:hAnsi="Book Antiqua"/>
          <w:bCs/>
          <w:lang w:val="en-US"/>
        </w:rPr>
        <w:fldChar w:fldCharType="begin" w:fldLock="1"/>
      </w:r>
      <w:r w:rsidR="006821F4" w:rsidRPr="009D7554">
        <w:rPr>
          <w:rFonts w:ascii="Book Antiqua" w:hAnsi="Book Antiqua"/>
          <w:bCs/>
          <w:lang w:val="en-US"/>
        </w:rPr>
        <w:instrText>ADDIN CSL_CITATION {"citationItems":[{"id":"ITEM-1","itemData":{"DOI":"10.1259/bjr.20130811","ISSN":"1748-880X","PMID":"24434157","abstract":"Imaging plays an important role in the assessment of colorectal cancer, including diagnosis, staging, selection of treatment, assessment of treatment response, surveillance and investigation of suspected disease relapse. Anatomical imaging remains the mainstay for size measurement and structural evaluation; however, functional imaging techniques may provide additional insights into the tumour microenvironment. With dynamic contrast-enhanced CT techniques, iodinated contrast agent kinetics may inform on regional tumour perfusion, shunting and microvascular function and provide a surrogate measure of tumour hypoxia and angiogenesis. In colorectal cancer, this may be relevant for clinical practice in terms of tumour phenotyping, prognostication, selection of individualized treatment and therapy response assessment.","author":[{"dropping-particle":"","family":"Goh","given":"V","non-dropping-particle":"","parse-names":false,"suffix":""},{"dropping-particle":"","family":"Glynne-Jones","given":"R","non-dropping-particle":"","parse-names":false,"suffix":""}],"container-title":"The British journal of radiology","id":"ITEM-1","issue":"1034","issued":{"date-parts":[["2014","2"]]},"page":"20130811","title":"Perfusion CT imaging of colorectal cancer.","type":"article-journal","volume":"87"},"uris":["http://www.mendeley.com/documents/?uuid=80fe028b-f749-4a3e-aa8f-1fe6c380d86e"]},{"id":"ITEM-2","itemData":{"DOI":"10.3748/wjg.v20.i46.17345","ISSN":"2219-2840","PMID":"25516645","abstract":"Neovascularization was reported to arise early in the adenoma-carcinoma sequence in colorectal cancer (CRC), and the importance of angiogenesis in cancer progression has been established. Computed tomography (CT) perfusion (CTP) based on high temporal resolution CT images enables evaluation of hemodynamics of tissue in vivo by modeling tracer kinetics. CTP has been reported to characterize tumor angiogenesis, and to be a sensitive marker for predicting recurrence or survival in CRC. In this review, we will discuss the biomarker value of CTP in the management of CRC patients.","author":[{"dropping-particle":"","family":"Hayano","given":"Koichi","non-dropping-particle":"","parse-names":false,"suffix":""},{"dropping-particle":"","family":"Fujishiro","given":"Takeshi","non-dropping-particle":"","parse-names":false,"suffix":""},{"dropping-particle":"V","family":"Sahani","given":"Dushyant","non-dropping-particle":"","parse-names":false,"suffix":""},{"dropping-particle":"","family":"Satoh","given":"Asami","non-dropping-particle":"","parse-names":false,"suffix":""},{"dropping-particle":"","family":"Aoyagi","given":"Tomoyoshi","non-dropping-particle":"","parse-names":false,"suffix":""},{"dropping-particle":"","family":"Ohira","given":"Gaku","non-dropping-particle":"","parse-names":false,"suffix":""},{"dropping-particle":"","family":"Tochigi","given":"Toru","non-dropping-particle":"","parse-names":false,"suffix":""},{"dropping-particle":"","family":"Matsubara","given":"Hisahiro","non-dropping-particle":"","parse-names":false,"suffix":""},{"dropping-particle":"","family":"Shuto","given":"Kiyohiko","non-dropping-particle":"","parse-names":false,"suffix":""}],"container-title":"World journal of gastroenterology","id":"ITEM-2","issue":"46","issued":{"date-parts":[["2014","12","14"]]},"page":"17345-51","title":"Computed tomography perfusion imaging as a potential imaging biomarker of colorectal cancer.","type":"article-journal","volume":"20"},"uris":["http://www.mendeley.com/documents/?uuid=ddbd9b90-6151-4c1a-a8ec-615ea7f37be6"]}],"mendeley":{"formattedCitation":"&lt;sup&gt;[22,77]&lt;/sup&gt;","plainTextFormattedCitation":"[22,77]","previouslyFormattedCitation":"&lt;sup&gt;[22,77]&lt;/sup&gt;"},"properties":{"noteIndex":0},"schema":"https://github.com/citation-style-language/schema/raw/master/csl-citation.json"}</w:instrText>
      </w:r>
      <w:r w:rsidR="00A75298" w:rsidRPr="009D7554">
        <w:rPr>
          <w:rFonts w:ascii="Book Antiqua" w:hAnsi="Book Antiqua"/>
          <w:bCs/>
          <w:lang w:val="en-US"/>
        </w:rPr>
        <w:fldChar w:fldCharType="separate"/>
      </w:r>
      <w:r w:rsidR="000D56F8" w:rsidRPr="009D7554">
        <w:rPr>
          <w:rFonts w:ascii="Book Antiqua" w:hAnsi="Book Antiqua"/>
          <w:bCs/>
          <w:vertAlign w:val="superscript"/>
          <w:lang w:val="en-US"/>
        </w:rPr>
        <w:t>[22,77]</w:t>
      </w:r>
      <w:r w:rsidR="00A75298" w:rsidRPr="009D7554">
        <w:rPr>
          <w:rFonts w:ascii="Book Antiqua" w:hAnsi="Book Antiqua"/>
          <w:bCs/>
          <w:lang w:val="en-US"/>
        </w:rPr>
        <w:fldChar w:fldCharType="end"/>
      </w:r>
      <w:r w:rsidR="008722F5" w:rsidRPr="009D7554">
        <w:rPr>
          <w:rFonts w:ascii="Book Antiqua" w:hAnsi="Book Antiqua"/>
          <w:bCs/>
          <w:lang w:val="en-US"/>
        </w:rPr>
        <w:t>.</w:t>
      </w:r>
    </w:p>
    <w:p w:rsidR="00E1726F" w:rsidRPr="009D7554" w:rsidRDefault="001C3C53" w:rsidP="00F53D7A">
      <w:pPr>
        <w:widowControl w:val="0"/>
        <w:autoSpaceDE w:val="0"/>
        <w:autoSpaceDN w:val="0"/>
        <w:adjustRightInd w:val="0"/>
        <w:snapToGrid w:val="0"/>
        <w:spacing w:line="360" w:lineRule="auto"/>
        <w:ind w:firstLineChars="100" w:firstLine="240"/>
        <w:jc w:val="both"/>
        <w:rPr>
          <w:rFonts w:ascii="Book Antiqua" w:hAnsi="Book Antiqua"/>
          <w:bCs/>
          <w:lang w:val="en-US"/>
        </w:rPr>
      </w:pPr>
      <w:r w:rsidRPr="009D7554">
        <w:rPr>
          <w:rFonts w:ascii="Book Antiqua" w:hAnsi="Book Antiqua"/>
          <w:lang w:val="en-US"/>
        </w:rPr>
        <w:t xml:space="preserve">A few studies have evaluated the usefulness of perfusion MRI quantitative parameters for predicting and assessing </w:t>
      </w:r>
      <w:r w:rsidR="001F0F25" w:rsidRPr="009D7554">
        <w:rPr>
          <w:rFonts w:ascii="Book Antiqua" w:hAnsi="Book Antiqua"/>
          <w:lang w:val="en-US"/>
        </w:rPr>
        <w:t>responses</w:t>
      </w:r>
      <w:r w:rsidRPr="009D7554">
        <w:rPr>
          <w:rFonts w:ascii="Book Antiqua" w:hAnsi="Book Antiqua"/>
          <w:lang w:val="en-US"/>
        </w:rPr>
        <w:t xml:space="preserve"> to preoperative treatment in LARC. Lim </w:t>
      </w:r>
      <w:r w:rsidR="00144817" w:rsidRPr="009D7554">
        <w:rPr>
          <w:rFonts w:ascii="Book Antiqua" w:hAnsi="Book Antiqua"/>
          <w:bCs/>
          <w:i/>
          <w:lang w:val="en-US"/>
        </w:rPr>
        <w:t>et al</w:t>
      </w:r>
      <w:r w:rsidR="00A75298" w:rsidRPr="009D7554">
        <w:rPr>
          <w:rFonts w:ascii="Book Antiqua" w:hAnsi="Book Antiqua"/>
          <w:bCs/>
          <w:i/>
          <w:lang w:val="en-US"/>
        </w:rPr>
        <w:fldChar w:fldCharType="begin" w:fldLock="1"/>
      </w:r>
      <w:r w:rsidR="006821F4" w:rsidRPr="009D7554">
        <w:rPr>
          <w:rFonts w:ascii="Book Antiqua" w:hAnsi="Book Antiqua"/>
          <w:bCs/>
          <w:i/>
          <w:lang w:val="en-US"/>
        </w:rPr>
        <w:instrText>ADDIN CSL_CITATION {"citationItems":[{"id":"ITEM-1","itemData":{"DOI":"10.1007/s00330-012-2416-3","ISSN":"1432-1084","PMID":"22427184","abstract":"OBJECTIVES To evaluate the utility of perfusion MRI as a potential biomarker for predicting response to chemoradiotherapy (CRT) in locally advanced rectal cancer. METHODS Thirty-nine patients with primary rectal carcinoma who were scheduled for preoperative CRT were prospectively recruited. Perfusion MRI was performed with a 3.0-T MRI system in all patients before therapy, at the end of the 2nd week of therapy, and before surgery. The K (trans) (volume transfer constant) and V (e) (extracellular extravascular space fraction) were calculated. RESULTS Before CRT, the mean tumour K (trans) in the downstaged group was significantly higher than that in the non-downstaged group (P = 0.0178), but there was no significant difference between tumour regression grade (TRG) responders and TRG non-responders (P = 0.1392). Repeated-measures analysis of variance (ANOVA) showed significant differences for evolution of K (trans) values both between downstaged and non-downstaged groups (P = 0.0215) and between TRG responders and TRG non-responders (P = 0.0001). Regarding V (e), no significant differences were observed both between downstaged and non-downstaged groups (P = 0.689) or between TRG responders and TRG non-responders (P = 0.887). CONCLUSION Perfusion MRI of rectal cancer can be useful for assessing tumoural K (trans) changes by CRT. Tumours with high pre-CRT K (trans) values tended to respond favourably to CRT, particularly in terms of downstaging criteria. KEY POINTS • Perfusion MRI can now assess therapeutic response of tumours to therapy. • Tumours with high initial K ( trans ) values responded favourably to chemoradiotherapy. • Perfusion MRI of rectal cancer may help with decisions about management.","author":[{"dropping-particle":"","family":"Lim","given":"Joon Seok","non-dropping-particle":"","parse-names":false,"suffix":""},{"dropping-particle":"","family":"Kim","given":"Daehong","non-dropping-particle":"","parse-names":false,"suffix":""},{"dropping-particle":"","family":"Baek","given":"Song-Ee","non-dropping-particle":"","parse-names":false,"suffix":""},{"dropping-particle":"","family":"Myoung","given":"Sungmin","non-dropping-particle":"","parse-names":false,"suffix":""},{"dropping-particle":"","family":"Choi","given":"Junjeong","non-dropping-particle":"","parse-names":false,"suffix":""},{"dropping-particle":"","family":"Shin","given":"Sang Joon","non-dropping-particle":"","parse-names":false,"suffix":""},{"dropping-particle":"","family":"Kim","given":"Myeong-Jin","non-dropping-particle":"","parse-names":false,"suffix":""},{"dropping-particle":"","family":"Kim","given":"Nam Kyu","non-dropping-particle":"","parse-names":false,"suffix":""},{"dropping-particle":"","family":"Suh","given":"Jinsuk","non-dropping-particle":"","parse-names":false,"suffix":""},{"dropping-particle":"","family":"Kim","given":"Ki Whang","non-dropping-particle":"","parse-names":false,"suffix":""},{"dropping-particle":"","family":"Keum","given":"Ki Chang","non-dropping-particle":"","parse-names":false,"suffix":""}],"container-title":"European radiology","id":"ITEM-1","issue":"8","issued":{"date-parts":[["2012","8"]]},"page":"1693-700","title":"Perfusion MRI for the prediction of treatment response after preoperative chemoradiotherapy in locally advanced rectal cancer.","type":"article-journal","volume":"22"},"uris":["http://www.mendeley.com/documents/?uuid=b26fecf7-944b-41af-a868-713d64aabd9d"]}],"mendeley":{"formattedCitation":"&lt;sup&gt;[78]&lt;/sup&gt;","plainTextFormattedCitation":"[78]","previouslyFormattedCitation":"&lt;sup&gt;[78]&lt;/sup&gt;"},"properties":{"noteIndex":0},"schema":"https://github.com/citation-style-language/schema/raw/master/csl-citation.json"}</w:instrText>
      </w:r>
      <w:r w:rsidR="00A75298" w:rsidRPr="009D7554">
        <w:rPr>
          <w:rFonts w:ascii="Book Antiqua" w:hAnsi="Book Antiqua"/>
          <w:bCs/>
          <w:i/>
          <w:lang w:val="en-US"/>
        </w:rPr>
        <w:fldChar w:fldCharType="separate"/>
      </w:r>
      <w:r w:rsidR="000D56F8" w:rsidRPr="009D7554">
        <w:rPr>
          <w:rFonts w:ascii="Book Antiqua" w:hAnsi="Book Antiqua"/>
          <w:bCs/>
          <w:vertAlign w:val="superscript"/>
          <w:lang w:val="en-US"/>
        </w:rPr>
        <w:t>[78]</w:t>
      </w:r>
      <w:r w:rsidR="00A75298" w:rsidRPr="009D7554">
        <w:rPr>
          <w:rFonts w:ascii="Book Antiqua" w:hAnsi="Book Antiqua"/>
          <w:bCs/>
          <w:i/>
          <w:lang w:val="en-US"/>
        </w:rPr>
        <w:fldChar w:fldCharType="end"/>
      </w:r>
      <w:r w:rsidR="00022B8D" w:rsidRPr="009D7554">
        <w:rPr>
          <w:rFonts w:ascii="Book Antiqua" w:hAnsi="Book Antiqua"/>
          <w:lang w:val="en-US"/>
        </w:rPr>
        <w:t xml:space="preserve"> reported that pre-CRT Ktrans values were significantly higher in the downstaged group after CRT </w:t>
      </w:r>
      <w:r w:rsidR="00577D64" w:rsidRPr="009D7554">
        <w:rPr>
          <w:rFonts w:ascii="Book Antiqua" w:hAnsi="Book Antiqua"/>
          <w:lang w:val="en-US"/>
        </w:rPr>
        <w:t>than in the</w:t>
      </w:r>
      <w:r w:rsidR="00022B8D" w:rsidRPr="009D7554">
        <w:rPr>
          <w:rFonts w:ascii="Book Antiqua" w:hAnsi="Book Antiqua"/>
          <w:lang w:val="en-US"/>
        </w:rPr>
        <w:t xml:space="preserve"> non-downstaged group. Tong </w:t>
      </w:r>
      <w:r w:rsidR="00144817" w:rsidRPr="009D7554">
        <w:rPr>
          <w:rFonts w:ascii="Book Antiqua" w:hAnsi="Book Antiqua"/>
          <w:bCs/>
          <w:i/>
          <w:lang w:val="en-US"/>
        </w:rPr>
        <w:t>et al</w:t>
      </w:r>
      <w:r w:rsidR="00A75298" w:rsidRPr="009D7554">
        <w:rPr>
          <w:rFonts w:ascii="Book Antiqua" w:hAnsi="Book Antiqua"/>
          <w:bCs/>
          <w:i/>
          <w:lang w:val="en-US"/>
        </w:rPr>
        <w:fldChar w:fldCharType="begin" w:fldLock="1"/>
      </w:r>
      <w:r w:rsidR="006821F4" w:rsidRPr="009D7554">
        <w:rPr>
          <w:rFonts w:ascii="Book Antiqua" w:hAnsi="Book Antiqua"/>
          <w:bCs/>
          <w:i/>
          <w:lang w:val="en-US"/>
        </w:rPr>
        <w:instrText>ADDIN CSL_CITATION {"citationItems":[{"id":"ITEM-1","itemData":{"DOI":"10.1002/jmri.24835","ISSN":"1522-2586","PMID":"25652254","abstract":"PURPOSE To determine the ability of dynamic contrast-enhanced magnetic resonance imaging (DCE-MRI) to predict pathological complete response (pCR) before preoperative chemoradiotherapy (CRT) in locally advanced rectal cancer. MATERIALS AND METHODS In a prospective clinical trial, 38 enrolled patients underwent pre- and post-CRT DCE-MRI at 3.0T. The tumor length and the following perfusion parameters (K(trans) , kep , ve ) were measured for the tumor and compared between the pCR group and the non-pCR group, as well as before and after CRT. For categorical variable comparison, the Kruskal-Wallis test was used. P &lt; 0.05 was considered significant. RESULTS No difference in tumor length was found between the pCR and non-pCR group pre- and post-CRT (P = 0.26 (0.15,0.45), 0.35 (0.21,0.52), respectively). Before CRT, the mean tumor K(trans) in the pCR group was significantly higher than in the non-pCR group (P = 0.01). A K(trans) of 0.66 emerged as the best cutoff for distinguishing pCR from non-pCR. Regarding kep and ve , significant differences were also observed between the pCR and non-pCR groups (P = 0.02, 0.01, respectively). The mean K(trans) , kep , and ve values post-CRT were lower in the pCR group than in the non-pCR group, although there was no significant difference (P = 0.10 (0.04,0.16), 0.11 (0.07,0.26), 0.10 (0.06,0.23), respectively). CONCLUSION Before neoadjuvant chemoradiotherapy in rectal cancer, DCE-MRI can distinguish between complete and incomplete response using a K(trans) threshold of 0.66 with a sensitivity of 100%.","author":[{"dropping-particle":"","family":"Tong","given":"Tong","non-dropping-particle":"","parse-names":false,"suffix":""},{"dropping-particle":"","family":"Sun","given":"Yiqun","non-dropping-particle":"","parse-names":false,"suffix":""},{"dropping-particle":"","family":"Gollub","given":"Marc J","non-dropping-particle":"","parse-names":false,"suffix":""},{"dropping-particle":"","family":"Peng","given":"Weijun","non-dropping-particle":"","parse-names":false,"suffix":""},{"dropping-particle":"","family":"Cai","given":"Sanjun","non-dropping-particle":"","parse-names":false,"suffix":""},{"dropping-particle":"","family":"Zhang","given":"Zhen","non-dropping-particle":"","parse-names":false,"suffix":""},{"dropping-particle":"","family":"Gu","given":"Yajia","non-dropping-particle":"","parse-names":false,"suffix":""}],"container-title":"Journal of magnetic resonance imaging : JMRI","id":"ITEM-1","issue":"3","issued":{"date-parts":[["2015","9"]]},"page":"673-80","title":"Dynamic contrast-enhanced MRI: Use in predicting pathological complete response to neoadjuvant chemoradiation in locally advanced rectal cancer.","type":"article-journal","volume":"42"},"uris":["http://www.mendeley.com/documents/?uuid=5f63dcb2-4ab8-4df7-968f-45d454e73967"]}],"mendeley":{"formattedCitation":"&lt;sup&gt;[79]&lt;/sup&gt;","plainTextFormattedCitation":"[79]","previouslyFormattedCitation":"&lt;sup&gt;[79]&lt;/sup&gt;"},"properties":{"noteIndex":0},"schema":"https://github.com/citation-style-language/schema/raw/master/csl-citation.json"}</w:instrText>
      </w:r>
      <w:r w:rsidR="00A75298" w:rsidRPr="009D7554">
        <w:rPr>
          <w:rFonts w:ascii="Book Antiqua" w:hAnsi="Book Antiqua"/>
          <w:bCs/>
          <w:i/>
          <w:lang w:val="en-US"/>
        </w:rPr>
        <w:fldChar w:fldCharType="separate"/>
      </w:r>
      <w:r w:rsidR="000D56F8" w:rsidRPr="009D7554">
        <w:rPr>
          <w:rFonts w:ascii="Book Antiqua" w:hAnsi="Book Antiqua"/>
          <w:bCs/>
          <w:vertAlign w:val="superscript"/>
          <w:lang w:val="en-US"/>
        </w:rPr>
        <w:t>[79]</w:t>
      </w:r>
      <w:r w:rsidR="00A75298" w:rsidRPr="009D7554">
        <w:rPr>
          <w:rFonts w:ascii="Book Antiqua" w:hAnsi="Book Antiqua"/>
          <w:bCs/>
          <w:i/>
          <w:lang w:val="en-US"/>
        </w:rPr>
        <w:fldChar w:fldCharType="end"/>
      </w:r>
      <w:r w:rsidR="00735B0A" w:rsidRPr="009D7554">
        <w:rPr>
          <w:rFonts w:ascii="Book Antiqua" w:hAnsi="Book Antiqua"/>
          <w:lang w:val="en-US"/>
        </w:rPr>
        <w:t xml:space="preserve"> reported that patients with pCR had significantly higher Ktrans, Ve and </w:t>
      </w:r>
      <w:r w:rsidR="00577D64" w:rsidRPr="009D7554">
        <w:rPr>
          <w:rFonts w:ascii="Book Antiqua" w:hAnsi="Book Antiqua"/>
          <w:lang w:val="en-US"/>
        </w:rPr>
        <w:t xml:space="preserve">rate constant </w:t>
      </w:r>
      <w:r w:rsidR="00735B0A" w:rsidRPr="009D7554">
        <w:rPr>
          <w:rFonts w:ascii="Book Antiqua" w:hAnsi="Book Antiqua"/>
          <w:lang w:val="en-US"/>
        </w:rPr>
        <w:t xml:space="preserve">(Kep) values before CRT </w:t>
      </w:r>
      <w:r w:rsidR="00577D64" w:rsidRPr="009D7554">
        <w:rPr>
          <w:rFonts w:ascii="Book Antiqua" w:hAnsi="Book Antiqua"/>
          <w:lang w:val="en-US"/>
        </w:rPr>
        <w:t>than</w:t>
      </w:r>
      <w:r w:rsidR="00735B0A" w:rsidRPr="009D7554">
        <w:rPr>
          <w:rFonts w:ascii="Book Antiqua" w:hAnsi="Book Antiqua"/>
          <w:lang w:val="en-US"/>
        </w:rPr>
        <w:t xml:space="preserve"> non-pCR patients. </w:t>
      </w:r>
      <w:r w:rsidR="001F0F25" w:rsidRPr="009D7554">
        <w:rPr>
          <w:rFonts w:ascii="Book Antiqua" w:hAnsi="Book Antiqua"/>
          <w:lang w:val="en-US"/>
        </w:rPr>
        <w:t>In particular</w:t>
      </w:r>
      <w:r w:rsidR="00735B0A" w:rsidRPr="009D7554">
        <w:rPr>
          <w:rFonts w:ascii="Book Antiqua" w:hAnsi="Book Antiqua"/>
          <w:lang w:val="en-US"/>
        </w:rPr>
        <w:t xml:space="preserve">, a Ktrans threshold of 0.66 had a sensitivity of 100% </w:t>
      </w:r>
      <w:r w:rsidR="00577D64" w:rsidRPr="009D7554">
        <w:rPr>
          <w:rFonts w:ascii="Book Antiqua" w:hAnsi="Book Antiqua"/>
          <w:lang w:val="en-US"/>
        </w:rPr>
        <w:t xml:space="preserve">for </w:t>
      </w:r>
      <w:r w:rsidR="00735B0A" w:rsidRPr="009D7554">
        <w:rPr>
          <w:rFonts w:ascii="Book Antiqua" w:hAnsi="Book Antiqua"/>
          <w:lang w:val="en-US"/>
        </w:rPr>
        <w:t xml:space="preserve">predicting pCR. Gollub </w:t>
      </w:r>
      <w:r w:rsidRPr="009D7554">
        <w:rPr>
          <w:rFonts w:ascii="Book Antiqua" w:hAnsi="Book Antiqua"/>
          <w:bCs/>
          <w:i/>
          <w:lang w:val="en-US"/>
        </w:rPr>
        <w:t>et al</w:t>
      </w:r>
      <w:r w:rsidR="00A75298" w:rsidRPr="009D7554">
        <w:rPr>
          <w:rFonts w:ascii="Book Antiqua" w:hAnsi="Book Antiqua"/>
          <w:bCs/>
          <w:i/>
          <w:lang w:val="en-US"/>
        </w:rPr>
        <w:fldChar w:fldCharType="begin" w:fldLock="1"/>
      </w:r>
      <w:r w:rsidR="006821F4" w:rsidRPr="009D7554">
        <w:rPr>
          <w:rFonts w:ascii="Book Antiqua" w:hAnsi="Book Antiqua"/>
          <w:bCs/>
          <w:i/>
          <w:lang w:val="en-US"/>
        </w:rPr>
        <w:instrText>ADDIN CSL_CITATION {"citationItems":[{"id":"ITEM-1","itemData":{"DOI":"10.1007/s00330-011-2321-1","ISSN":"0938-7994","PMID":"22101743","author":[{"dropping-particle":"","family":"Gollub","given":"M. J.","non-dropping-particle":"","parse-names":false,"suffix":""},{"dropping-particle":"","family":"Gultekin","given":"D. H.","non-dropping-particle":"","parse-names":false,"suffix":""},{"dropping-particle":"","family":"Akin","given":"O.","non-dropping-particle":"","parse-names":false,"suffix":""},{"dropping-particle":"","family":"Do","given":"R. K.","non-dropping-particle":"","parse-names":false,"suffix":""},{"dropping-particle":"","family":"Fuqua","given":"J. L.","non-dropping-particle":"","parse-names":false,"suffix":""},{"dropping-particle":"","family":"Gonen","given":"M.","non-dropping-particle":"","parse-names":false,"suffix":""},{"dropping-particle":"","family":"Kuk","given":"D.","non-dropping-particle":"","parse-names":false,"suffix":""},{"dropping-particle":"","family":"Weiser","given":"M.","non-dropping-particle":"","parse-names":false,"suffix":""},{"dropping-particle":"","family":"Saltz","given":"L.","non-dropping-particle":"","parse-names":false,"suffix":""},{"dropping-particle":"","family":"Schrag","given":"D.","non-dropping-particle":"","parse-names":false,"suffix":""},{"dropping-particle":"","family":"Goodman","given":"K.","non-dropping-particle":"","parse-names":false,"suffix":""},{"dropping-particle":"","family":"Paty","given":"P.","non-dropping-particle":"","parse-names":false,"suffix":""},{"dropping-particle":"","family":"Guillem","given":"J.","non-dropping-particle":"","parse-names":false,"suffix":""},{"dropping-particle":"","family":"Nash","given":"G. M.","non-dropping-particle":"","parse-names":false,"suffix":""},{"dropping-particle":"","family":"Temple","given":"L.","non-dropping-particle":"","parse-names":false,"suffix":""},{"dropping-particle":"","family":"Shia","given":"J.","non-dropping-particle":"","parse-names":false,"suffix":""},{"dropping-particle":"","family":"Schwartz","given":"L. H.","non-dropping-particle":"","parse-names":false,"suffix":""}],"container-title":"European Radiology","id":"ITEM-1","issue":"4","issued":{"date-parts":[["2012","4","20"]]},"page":"821-831","title":"Dynamic contrast enhanced-MRI for the detection of pathological complete response to neoadjuvant chemotherapy for locally advanced rectal cancer","type":"article-journal","volume":"22"},"uris":["http://www.mendeley.com/documents/?uuid=261c960a-1de3-490a-a83c-7cb885bbbfec"]}],"mendeley":{"formattedCitation":"&lt;sup&gt;[80]&lt;/sup&gt;","plainTextFormattedCitation":"[80]","previouslyFormattedCitation":"&lt;sup&gt;[80]&lt;/sup&gt;"},"properties":{"noteIndex":0},"schema":"https://github.com/citation-style-language/schema/raw/master/csl-citation.json"}</w:instrText>
      </w:r>
      <w:r w:rsidR="00A75298" w:rsidRPr="009D7554">
        <w:rPr>
          <w:rFonts w:ascii="Book Antiqua" w:hAnsi="Book Antiqua"/>
          <w:bCs/>
          <w:i/>
          <w:lang w:val="en-US"/>
        </w:rPr>
        <w:fldChar w:fldCharType="separate"/>
      </w:r>
      <w:r w:rsidR="000D56F8" w:rsidRPr="009D7554">
        <w:rPr>
          <w:rFonts w:ascii="Book Antiqua" w:hAnsi="Book Antiqua"/>
          <w:bCs/>
          <w:vertAlign w:val="superscript"/>
          <w:lang w:val="en-US"/>
        </w:rPr>
        <w:t>[80]</w:t>
      </w:r>
      <w:r w:rsidR="00A75298" w:rsidRPr="009D7554">
        <w:rPr>
          <w:rFonts w:ascii="Book Antiqua" w:hAnsi="Book Antiqua"/>
          <w:bCs/>
          <w:i/>
          <w:lang w:val="en-US"/>
        </w:rPr>
        <w:fldChar w:fldCharType="end"/>
      </w:r>
      <w:r w:rsidR="00735B0A" w:rsidRPr="009D7554">
        <w:rPr>
          <w:rFonts w:ascii="Book Antiqua" w:hAnsi="Book Antiqua"/>
          <w:bCs/>
          <w:i/>
          <w:lang w:val="en-US"/>
        </w:rPr>
        <w:t xml:space="preserve"> </w:t>
      </w:r>
      <w:r w:rsidR="00022B8D" w:rsidRPr="009D7554">
        <w:rPr>
          <w:rFonts w:ascii="Book Antiqua" w:hAnsi="Book Antiqua"/>
          <w:lang w:val="en-US"/>
        </w:rPr>
        <w:t xml:space="preserve">observed that Ktrans was significantly lower </w:t>
      </w:r>
      <w:r w:rsidR="00577D64" w:rsidRPr="009D7554">
        <w:rPr>
          <w:rFonts w:ascii="Book Antiqua" w:hAnsi="Book Antiqua"/>
          <w:lang w:val="en-US"/>
        </w:rPr>
        <w:t xml:space="preserve">for </w:t>
      </w:r>
      <w:r w:rsidR="00022B8D" w:rsidRPr="009D7554">
        <w:rPr>
          <w:rFonts w:ascii="Book Antiqua" w:hAnsi="Book Antiqua"/>
          <w:lang w:val="en-US"/>
        </w:rPr>
        <w:t xml:space="preserve">tumors </w:t>
      </w:r>
      <w:r w:rsidR="00577D64" w:rsidRPr="009D7554">
        <w:rPr>
          <w:rFonts w:ascii="Book Antiqua" w:hAnsi="Book Antiqua"/>
          <w:lang w:val="en-US"/>
        </w:rPr>
        <w:t xml:space="preserve">from patients with </w:t>
      </w:r>
      <w:r w:rsidR="00022B8D" w:rsidRPr="009D7554">
        <w:rPr>
          <w:rFonts w:ascii="Book Antiqua" w:hAnsi="Book Antiqua"/>
          <w:lang w:val="en-US"/>
        </w:rPr>
        <w:t xml:space="preserve">pCR compared </w:t>
      </w:r>
      <w:r w:rsidR="00577D64" w:rsidRPr="009D7554">
        <w:rPr>
          <w:rFonts w:ascii="Book Antiqua" w:hAnsi="Book Antiqua"/>
          <w:lang w:val="en-US"/>
        </w:rPr>
        <w:t xml:space="preserve">with patients with </w:t>
      </w:r>
      <w:r w:rsidR="00022B8D" w:rsidRPr="009D7554">
        <w:rPr>
          <w:rFonts w:ascii="Book Antiqua" w:hAnsi="Book Antiqua"/>
          <w:lang w:val="en-US"/>
        </w:rPr>
        <w:t xml:space="preserve">non-pCR after neoadjuvant chemotherapy; moreover, </w:t>
      </w:r>
      <w:r w:rsidR="00577D64" w:rsidRPr="009D7554">
        <w:rPr>
          <w:rFonts w:ascii="Book Antiqua" w:hAnsi="Book Antiqua"/>
          <w:lang w:val="en-US"/>
        </w:rPr>
        <w:t xml:space="preserve">the </w:t>
      </w:r>
      <w:r w:rsidR="009A70D4" w:rsidRPr="009D7554">
        <w:rPr>
          <w:rFonts w:ascii="Book Antiqua" w:hAnsi="Book Antiqua"/>
          <w:lang w:val="en-US"/>
        </w:rPr>
        <w:t>postt</w:t>
      </w:r>
      <w:r w:rsidR="00022B8D" w:rsidRPr="009D7554">
        <w:rPr>
          <w:rFonts w:ascii="Book Antiqua" w:hAnsi="Book Antiqua"/>
          <w:lang w:val="en-US"/>
        </w:rPr>
        <w:t xml:space="preserve">reatment Ktrans </w:t>
      </w:r>
      <w:r w:rsidR="00577D64" w:rsidRPr="009D7554">
        <w:rPr>
          <w:rFonts w:ascii="Book Antiqua" w:hAnsi="Book Antiqua"/>
          <w:lang w:val="en-US"/>
        </w:rPr>
        <w:t xml:space="preserve">value was </w:t>
      </w:r>
      <w:r w:rsidR="00022B8D" w:rsidRPr="009D7554">
        <w:rPr>
          <w:rFonts w:ascii="Book Antiqua" w:hAnsi="Book Antiqua"/>
          <w:lang w:val="en-US"/>
        </w:rPr>
        <w:t xml:space="preserve">correlated with </w:t>
      </w:r>
      <w:r w:rsidR="00577D64" w:rsidRPr="009D7554">
        <w:rPr>
          <w:rFonts w:ascii="Book Antiqua" w:hAnsi="Book Antiqua"/>
          <w:lang w:val="en-US"/>
        </w:rPr>
        <w:t xml:space="preserve">the </w:t>
      </w:r>
      <w:r w:rsidR="00022B8D" w:rsidRPr="009D7554">
        <w:rPr>
          <w:rFonts w:ascii="Book Antiqua" w:hAnsi="Book Antiqua"/>
          <w:lang w:val="en-US"/>
        </w:rPr>
        <w:t xml:space="preserve">percentage tumor response and final tumor size </w:t>
      </w:r>
      <w:r w:rsidR="00577D64" w:rsidRPr="009D7554">
        <w:rPr>
          <w:rFonts w:ascii="Book Antiqua" w:hAnsi="Book Antiqua"/>
          <w:lang w:val="en-US"/>
        </w:rPr>
        <w:t xml:space="preserve">according to </w:t>
      </w:r>
      <w:r w:rsidR="00022B8D" w:rsidRPr="009D7554">
        <w:rPr>
          <w:rFonts w:ascii="Book Antiqua" w:hAnsi="Book Antiqua"/>
          <w:lang w:val="en-US"/>
        </w:rPr>
        <w:t xml:space="preserve">histopathology. Kim </w:t>
      </w:r>
      <w:r w:rsidR="00EC57CA" w:rsidRPr="009D7554">
        <w:rPr>
          <w:rFonts w:ascii="Book Antiqua" w:hAnsi="Book Antiqua"/>
          <w:bCs/>
          <w:i/>
          <w:lang w:val="en-US"/>
        </w:rPr>
        <w:t>et al</w:t>
      </w:r>
      <w:r w:rsidR="00A75298" w:rsidRPr="009D7554">
        <w:rPr>
          <w:rFonts w:ascii="Book Antiqua" w:hAnsi="Book Antiqua"/>
          <w:bCs/>
          <w:i/>
          <w:lang w:val="en-US"/>
        </w:rPr>
        <w:fldChar w:fldCharType="begin" w:fldLock="1"/>
      </w:r>
      <w:r w:rsidR="006821F4" w:rsidRPr="009D7554">
        <w:rPr>
          <w:rFonts w:ascii="Book Antiqua" w:hAnsi="Book Antiqua"/>
          <w:bCs/>
          <w:i/>
          <w:lang w:val="en-US"/>
        </w:rPr>
        <w:instrText>ADDIN CSL_CITATION {"citationItems":[{"id":"ITEM-1","itemData":{"DOI":"10.1002/jmri.24387","ISSN":"1522-2586","PMID":"24307571","abstract":"PURPOSE To evaluate the usefulness of perfusion parameters derived from dynamic contrast-enhanced MR imaging (DCE-MRI) for assessing the therapeutic response to neoadjuvant chemoradiation therapy (CRT) for locally advanced rectal cancer (LARC). MATERIALS AND METHODS Fifty patients with LARC (≥T3 or lymph-node metastasis) who underwent CRT and subsequent surgery, were included in this study. All patients underwent pre- and post-CRT DCE-MRI on a 1.5 Tesla unit. By using a postprocessing software, the following perfusion parameters (K(trans) , kep , ve ) were measured for tumor. Those perfusion parameters were compared not only between the T-downstaged group and the nondownstaged group, but also before and after CRT in each group. RESULTS After CRT, the mean K(trans) (min(-1) ) significantly decreased from 1.24 ± 0.53 to 0.76 ± 0.45 in the T-downstaged group (n = 24) (P = 0.0007), whereas it did not significantly decrease in the nondownstaged group (n = 26) (from 1.02 ± 0.53 to 0.87 ± 0.48, P = 0.24). The percentage difference between pre- and post-CRT K(trans) in the T-downstaged group was significantly higher than that in the nondownstaged group (43%, 16%, respectively, P = 0.0092). However, none of the other parameters showed significant differences. CONCLUSION A large decrease in the mean K(trans) after CRT was associated with a good therapeutic response to CRT for LARC.","author":[{"dropping-particle":"","family":"Kim","given":"Seung Ho","non-dropping-particle":"","parse-names":false,"suffix":""},{"dropping-particle":"","family":"Lee","given":"Jeong Min","non-dropping-particle":"","parse-names":false,"suffix":""},{"dropping-particle":"","family":"Gupta","given":"Sandeep N","non-dropping-particle":"","parse-names":false,"suffix":""},{"dropping-particle":"","family":"Han","given":"Joon Koo","non-dropping-particle":"","parse-names":false,"suffix":""},{"dropping-particle":"","family":"Choi","given":"Byung Ihn","non-dropping-particle":"","parse-names":false,"suffix":""}],"container-title":"Journal of magnetic resonance imaging : JMRI","id":"ITEM-1","issue":"3","issued":{"date-parts":[["2014","9"]]},"page":"730-7","title":"Dynamic contrast-enhanced MRI to evaluate the therapeutic response to neoadjuvant chemoradiation therapy in locally advanced rectal cancer.","type":"article-journal","volume":"40"},"uris":["http://www.mendeley.com/documents/?uuid=48d2c7fa-e4a8-43f2-a9c1-42207eed63b5"]}],"mendeley":{"formattedCitation":"&lt;sup&gt;[64]&lt;/sup&gt;","plainTextFormattedCitation":"[64]","previouslyFormattedCitation":"&lt;sup&gt;[64]&lt;/sup&gt;"},"properties":{"noteIndex":0},"schema":"https://github.com/citation-style-language/schema/raw/master/csl-citation.json"}</w:instrText>
      </w:r>
      <w:r w:rsidR="00A75298" w:rsidRPr="009D7554">
        <w:rPr>
          <w:rFonts w:ascii="Book Antiqua" w:hAnsi="Book Antiqua"/>
          <w:bCs/>
          <w:i/>
          <w:lang w:val="en-US"/>
        </w:rPr>
        <w:fldChar w:fldCharType="separate"/>
      </w:r>
      <w:r w:rsidR="000D56F8" w:rsidRPr="009D7554">
        <w:rPr>
          <w:rFonts w:ascii="Book Antiqua" w:hAnsi="Book Antiqua"/>
          <w:bCs/>
          <w:vertAlign w:val="superscript"/>
          <w:lang w:val="en-US"/>
        </w:rPr>
        <w:t>[64]</w:t>
      </w:r>
      <w:r w:rsidR="00A75298" w:rsidRPr="009D7554">
        <w:rPr>
          <w:rFonts w:ascii="Book Antiqua" w:hAnsi="Book Antiqua"/>
          <w:bCs/>
          <w:i/>
          <w:lang w:val="en-US"/>
        </w:rPr>
        <w:fldChar w:fldCharType="end"/>
      </w:r>
      <w:r w:rsidR="00735B0A" w:rsidRPr="009D7554">
        <w:rPr>
          <w:rFonts w:ascii="Book Antiqua" w:hAnsi="Book Antiqua"/>
          <w:lang w:val="en-US"/>
        </w:rPr>
        <w:t xml:space="preserve"> showed a significant reduction in </w:t>
      </w:r>
      <w:r w:rsidR="00577D64" w:rsidRPr="009D7554">
        <w:rPr>
          <w:rFonts w:ascii="Book Antiqua" w:hAnsi="Book Antiqua"/>
          <w:lang w:val="en-US"/>
        </w:rPr>
        <w:t xml:space="preserve">the </w:t>
      </w:r>
      <w:r w:rsidR="00735B0A" w:rsidRPr="009D7554">
        <w:rPr>
          <w:rFonts w:ascii="Book Antiqua" w:hAnsi="Book Antiqua"/>
          <w:lang w:val="en-US"/>
        </w:rPr>
        <w:t>Ktrans values in the downstaged group after CRT compared to</w:t>
      </w:r>
      <w:r w:rsidR="00577D64" w:rsidRPr="009D7554">
        <w:rPr>
          <w:rFonts w:ascii="Book Antiqua" w:hAnsi="Book Antiqua"/>
          <w:lang w:val="en-US"/>
        </w:rPr>
        <w:t xml:space="preserve"> that in</w:t>
      </w:r>
      <w:r w:rsidR="001F0F25" w:rsidRPr="009D7554">
        <w:rPr>
          <w:rFonts w:ascii="Book Antiqua" w:hAnsi="Book Antiqua"/>
          <w:lang w:val="en-US"/>
        </w:rPr>
        <w:t xml:space="preserve"> the</w:t>
      </w:r>
      <w:r w:rsidR="00735B0A" w:rsidRPr="009D7554">
        <w:rPr>
          <w:rFonts w:ascii="Book Antiqua" w:hAnsi="Book Antiqua"/>
          <w:lang w:val="en-US"/>
        </w:rPr>
        <w:t xml:space="preserve"> </w:t>
      </w:r>
      <w:r w:rsidR="009A70D4" w:rsidRPr="009D7554">
        <w:rPr>
          <w:rFonts w:ascii="Book Antiqua" w:hAnsi="Book Antiqua"/>
          <w:lang w:val="en-US"/>
        </w:rPr>
        <w:t>nond</w:t>
      </w:r>
      <w:r w:rsidR="00735B0A" w:rsidRPr="009D7554">
        <w:rPr>
          <w:rFonts w:ascii="Book Antiqua" w:hAnsi="Book Antiqua"/>
          <w:lang w:val="en-US"/>
        </w:rPr>
        <w:t xml:space="preserve">ownstaged group. Furthermore, the percentage difference between </w:t>
      </w:r>
      <w:r w:rsidR="00577D64" w:rsidRPr="009D7554">
        <w:rPr>
          <w:rFonts w:ascii="Book Antiqua" w:hAnsi="Book Antiqua"/>
          <w:lang w:val="en-US"/>
        </w:rPr>
        <w:t xml:space="preserve">the </w:t>
      </w:r>
      <w:r w:rsidR="00735B0A" w:rsidRPr="009D7554">
        <w:rPr>
          <w:rFonts w:ascii="Book Antiqua" w:hAnsi="Book Antiqua"/>
          <w:lang w:val="en-US"/>
        </w:rPr>
        <w:t>pre- and post-CRT Ktrans</w:t>
      </w:r>
      <w:r w:rsidR="00577D64" w:rsidRPr="009D7554">
        <w:rPr>
          <w:rFonts w:ascii="Book Antiqua" w:hAnsi="Book Antiqua"/>
          <w:lang w:val="en-US"/>
        </w:rPr>
        <w:t xml:space="preserve"> values</w:t>
      </w:r>
      <w:r w:rsidR="00735B0A" w:rsidRPr="009D7554">
        <w:rPr>
          <w:rFonts w:ascii="Book Antiqua" w:hAnsi="Book Antiqua"/>
          <w:lang w:val="en-US"/>
        </w:rPr>
        <w:t xml:space="preserve"> in </w:t>
      </w:r>
      <w:r w:rsidR="001F0F25" w:rsidRPr="009D7554">
        <w:rPr>
          <w:rFonts w:ascii="Book Antiqua" w:hAnsi="Book Antiqua"/>
          <w:lang w:val="en-US"/>
        </w:rPr>
        <w:t xml:space="preserve">the </w:t>
      </w:r>
      <w:r w:rsidR="00735B0A" w:rsidRPr="009D7554">
        <w:rPr>
          <w:rFonts w:ascii="Book Antiqua" w:hAnsi="Book Antiqua"/>
          <w:lang w:val="en-US"/>
        </w:rPr>
        <w:t xml:space="preserve">downstaged group was significantly higher compared to </w:t>
      </w:r>
      <w:r w:rsidR="00577D64" w:rsidRPr="009D7554">
        <w:rPr>
          <w:rFonts w:ascii="Book Antiqua" w:hAnsi="Book Antiqua"/>
          <w:lang w:val="en-US"/>
        </w:rPr>
        <w:t xml:space="preserve">that in </w:t>
      </w:r>
      <w:r w:rsidR="001F0F25" w:rsidRPr="009D7554">
        <w:rPr>
          <w:rFonts w:ascii="Book Antiqua" w:hAnsi="Book Antiqua"/>
          <w:lang w:val="en-US"/>
        </w:rPr>
        <w:t xml:space="preserve">the </w:t>
      </w:r>
      <w:r w:rsidR="009A70D4" w:rsidRPr="009D7554">
        <w:rPr>
          <w:rFonts w:ascii="Book Antiqua" w:hAnsi="Book Antiqua"/>
          <w:lang w:val="en-US"/>
        </w:rPr>
        <w:t>nond</w:t>
      </w:r>
      <w:r w:rsidR="00735B0A" w:rsidRPr="009D7554">
        <w:rPr>
          <w:rFonts w:ascii="Book Antiqua" w:hAnsi="Book Antiqua"/>
          <w:lang w:val="en-US"/>
        </w:rPr>
        <w:t xml:space="preserve">ownstaged group, suggesting that a large decrease in </w:t>
      </w:r>
      <w:r w:rsidR="00577D64" w:rsidRPr="009D7554">
        <w:rPr>
          <w:rFonts w:ascii="Book Antiqua" w:hAnsi="Book Antiqua"/>
          <w:lang w:val="en-US"/>
        </w:rPr>
        <w:t xml:space="preserve">the </w:t>
      </w:r>
      <w:r w:rsidR="00735B0A" w:rsidRPr="009D7554">
        <w:rPr>
          <w:rFonts w:ascii="Book Antiqua" w:hAnsi="Book Antiqua"/>
          <w:lang w:val="en-US"/>
        </w:rPr>
        <w:t>Ktrans value after CRT was associated with a good response to CRT.</w:t>
      </w:r>
      <w:r w:rsidR="001F0F25" w:rsidRPr="009D7554">
        <w:rPr>
          <w:rFonts w:ascii="Book Antiqua" w:hAnsi="Book Antiqua"/>
          <w:lang w:val="en-US"/>
        </w:rPr>
        <w:t xml:space="preserve"> </w:t>
      </w:r>
      <w:r w:rsidR="00735B0A" w:rsidRPr="009D7554">
        <w:rPr>
          <w:rFonts w:ascii="Book Antiqua" w:hAnsi="Book Antiqua"/>
          <w:lang w:val="en-US"/>
        </w:rPr>
        <w:t xml:space="preserve">DeVries </w:t>
      </w:r>
      <w:r w:rsidRPr="009D7554">
        <w:rPr>
          <w:rFonts w:ascii="Book Antiqua" w:hAnsi="Book Antiqua"/>
          <w:bCs/>
          <w:i/>
          <w:lang w:val="en-US"/>
        </w:rPr>
        <w:t>et al</w:t>
      </w:r>
      <w:r w:rsidR="00A75298" w:rsidRPr="009D7554">
        <w:rPr>
          <w:rFonts w:ascii="Book Antiqua" w:hAnsi="Book Antiqua"/>
          <w:bCs/>
          <w:i/>
          <w:lang w:val="en-US"/>
        </w:rPr>
        <w:fldChar w:fldCharType="begin" w:fldLock="1"/>
      </w:r>
      <w:r w:rsidR="006821F4" w:rsidRPr="009D7554">
        <w:rPr>
          <w:rFonts w:ascii="Book Antiqua" w:hAnsi="Book Antiqua"/>
          <w:bCs/>
          <w:i/>
          <w:lang w:val="en-US"/>
        </w:rPr>
        <w:instrText>ADDIN CSL_CITATION {"citationItems":[{"id":"ITEM-1","itemData":{"ISSN":"0360-3016","PMID":"12829130","abstract":"PURPOSE The aim of our study was to correlate perfusion indices and apparent diffusion coefficients with therapy outcome after chemoradiation. METHODS AND MATERIALS In 34 patients with primary rectal carcinoma (cT3) undergoing preoperative chemoradiation, pretherapeutic perfusion indices and apparent diffusion coefficients were obtained by dynamic or diffusion-weighted magnetic resonance imaging. Therapy response was defined if the pathologic observation revealed no invasion into the perirectal fat after chemoradiation. RESULTS In 18 patients, a response and in 16, no response was observed. Statistically significant differences were found for the mean perfusion index (p &lt; 0.001; 7.5 +/- 1.5 mL/min/100 g vs. 10.7 +/- 2.7 mL/min/100 g) and for the intratumoral cumulative fraction of pixels with perfusion-indices &gt; 12 mL/min/100 g (p &lt; 0.001, 3.7 +/- 4.0% vs. 24.7 +/- 17.9%). A three-way ANOVA resulted in significant effects for therapy responder/nonresponder (p &lt; 0.001) and for apparent diffusion coefficient and the individual patients. CONCLUSION Perfusion indices and apparent diffusion coefficients inside the tumor region seem to be of predictive value for therapy outcome of preoperative therapy in patients with primary rectal carcinoma. Higher parameter levels in the nonresponding group could be explained by increased shunt flow or increased angiogenic activity in aggressive tumor cell clusters resulting in reduced nutrients supply and higher fraction of intratumoral necrosis respectively.","author":[{"dropping-particle":"","family":"DeVries","given":"Alexander F","non-dropping-particle":"","parse-names":false,"suffix":""},{"dropping-particle":"","family":"Kremser","given":"Christian","non-dropping-particle":"","parse-names":false,"suffix":""},{"dropping-particle":"","family":"Hein","given":"Patrick A","non-dropping-particle":"","parse-names":false,"suffix":""},{"dropping-particle":"","family":"Griebel","given":"Jürgen","non-dropping-particle":"","parse-names":false,"suffix":""},{"dropping-particle":"","family":"Krezcy","given":"Alfons","non-dropping-particle":"","parse-names":false,"suffix":""},{"dropping-particle":"","family":"Ofner","given":"Dietmar","non-dropping-particle":"","parse-names":false,"suffix":""},{"dropping-particle":"","family":"Pfeiffer","given":"Karl Peter","non-dropping-particle":"","parse-names":false,"suffix":""},{"dropping-particle":"","family":"Lukas","given":"Peter","non-dropping-particle":"","parse-names":false,"suffix":""},{"dropping-particle":"","family":"Judmaier","given":"Werner","non-dropping-particle":"","parse-names":false,"suffix":""}],"container-title":"International journal of radiation oncology, biology, physics","id":"ITEM-1","issue":"4","issued":{"date-parts":[["2003","7","15"]]},"page":"958-65","title":"Tumor microcirculation and diffusion predict therapy outcome for primary rectal carcinoma.","type":"article-journal","volume":"56"},"uris":["http://www.mendeley.com/documents/?uuid=249d1424-0c79-4c25-bbca-92b010ce7d68"]}],"mendeley":{"formattedCitation":"&lt;sup&gt;[72]&lt;/sup&gt;","plainTextFormattedCitation":"[72]","previouslyFormattedCitation":"&lt;sup&gt;[72]&lt;/sup&gt;"},"properties":{"noteIndex":0},"schema":"https://github.com/citation-style-language/schema/raw/master/csl-citation.json"}</w:instrText>
      </w:r>
      <w:r w:rsidR="00A75298" w:rsidRPr="009D7554">
        <w:rPr>
          <w:rFonts w:ascii="Book Antiqua" w:hAnsi="Book Antiqua"/>
          <w:bCs/>
          <w:i/>
          <w:lang w:val="en-US"/>
        </w:rPr>
        <w:fldChar w:fldCharType="separate"/>
      </w:r>
      <w:r w:rsidR="006821F4" w:rsidRPr="009D7554">
        <w:rPr>
          <w:rFonts w:ascii="Book Antiqua" w:hAnsi="Book Antiqua"/>
          <w:bCs/>
          <w:vertAlign w:val="superscript"/>
          <w:lang w:val="en-US"/>
        </w:rPr>
        <w:t>[72]</w:t>
      </w:r>
      <w:r w:rsidR="00A75298" w:rsidRPr="009D7554">
        <w:rPr>
          <w:rFonts w:ascii="Book Antiqua" w:hAnsi="Book Antiqua"/>
          <w:bCs/>
          <w:i/>
          <w:lang w:val="en-US"/>
        </w:rPr>
        <w:fldChar w:fldCharType="end"/>
      </w:r>
      <w:r w:rsidR="001C0A62" w:rsidRPr="009D7554">
        <w:rPr>
          <w:rFonts w:ascii="Book Antiqua" w:hAnsi="Book Antiqua"/>
          <w:bCs/>
          <w:lang w:val="en-US"/>
        </w:rPr>
        <w:t xml:space="preserve"> investigated the prognostic value of the perfusion index, </w:t>
      </w:r>
      <w:r w:rsidR="00577D64" w:rsidRPr="009D7554">
        <w:rPr>
          <w:rFonts w:ascii="Book Antiqua" w:hAnsi="Book Antiqua"/>
          <w:bCs/>
          <w:lang w:val="en-US"/>
        </w:rPr>
        <w:t xml:space="preserve">which is </w:t>
      </w:r>
      <w:r w:rsidR="001C0A62" w:rsidRPr="009D7554">
        <w:rPr>
          <w:rFonts w:ascii="Book Antiqua" w:hAnsi="Book Antiqua"/>
          <w:bCs/>
          <w:lang w:val="en-US"/>
        </w:rPr>
        <w:t xml:space="preserve">a microcirculatory perfusion MRI parameter representative of both flow and permeability. The perfusion index </w:t>
      </w:r>
      <w:r w:rsidR="001F0F25" w:rsidRPr="009D7554">
        <w:rPr>
          <w:rFonts w:ascii="Book Antiqua" w:hAnsi="Book Antiqua"/>
          <w:bCs/>
          <w:lang w:val="en-US"/>
        </w:rPr>
        <w:t>was</w:t>
      </w:r>
      <w:r w:rsidR="001C0A62" w:rsidRPr="009D7554">
        <w:rPr>
          <w:rFonts w:ascii="Book Antiqua" w:hAnsi="Book Antiqua"/>
          <w:bCs/>
          <w:lang w:val="en-US"/>
        </w:rPr>
        <w:t xml:space="preserve"> significantly </w:t>
      </w:r>
      <w:r w:rsidR="00577D64" w:rsidRPr="009D7554">
        <w:rPr>
          <w:rFonts w:ascii="Book Antiqua" w:hAnsi="Book Antiqua"/>
          <w:bCs/>
          <w:lang w:val="en-US"/>
        </w:rPr>
        <w:t xml:space="preserve">increased </w:t>
      </w:r>
      <w:r w:rsidR="001C0A62" w:rsidRPr="009D7554">
        <w:rPr>
          <w:rFonts w:ascii="Book Antiqua" w:hAnsi="Book Antiqua"/>
          <w:bCs/>
          <w:lang w:val="en-US"/>
        </w:rPr>
        <w:t>in patients who failed to respond to CRT.</w:t>
      </w:r>
    </w:p>
    <w:p w:rsidR="001A4056" w:rsidRPr="009D7554" w:rsidRDefault="00465249" w:rsidP="00F53D7A">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bCs/>
          <w:lang w:val="en-US"/>
        </w:rPr>
        <w:t xml:space="preserve">A final remark should be made </w:t>
      </w:r>
      <w:r w:rsidR="00577D64" w:rsidRPr="009D7554">
        <w:rPr>
          <w:rFonts w:ascii="Book Antiqua" w:hAnsi="Book Antiqua"/>
          <w:bCs/>
          <w:lang w:val="en-US"/>
        </w:rPr>
        <w:t xml:space="preserve">regarding </w:t>
      </w:r>
      <w:r w:rsidRPr="009D7554">
        <w:rPr>
          <w:rFonts w:ascii="Book Antiqua" w:hAnsi="Book Antiqua"/>
          <w:bCs/>
          <w:lang w:val="en-US"/>
        </w:rPr>
        <w:t xml:space="preserve">the role of PI in the evaluation of </w:t>
      </w:r>
      <w:r w:rsidR="00577D64" w:rsidRPr="009D7554">
        <w:rPr>
          <w:rFonts w:ascii="Book Antiqua" w:hAnsi="Book Antiqua"/>
          <w:bCs/>
          <w:lang w:val="en-US"/>
        </w:rPr>
        <w:t xml:space="preserve">the </w:t>
      </w:r>
      <w:r w:rsidRPr="009D7554">
        <w:rPr>
          <w:rFonts w:ascii="Book Antiqua" w:hAnsi="Book Antiqua"/>
          <w:bCs/>
          <w:lang w:val="en-US"/>
        </w:rPr>
        <w:t xml:space="preserve">response to </w:t>
      </w:r>
      <w:r w:rsidR="00502E2D" w:rsidRPr="009D7554">
        <w:rPr>
          <w:rFonts w:ascii="Book Antiqua" w:hAnsi="Book Antiqua"/>
          <w:bCs/>
          <w:lang w:val="en-US"/>
        </w:rPr>
        <w:t>antiangiogenic</w:t>
      </w:r>
      <w:r w:rsidRPr="009D7554">
        <w:rPr>
          <w:rFonts w:ascii="Book Antiqua" w:hAnsi="Book Antiqua"/>
          <w:bCs/>
          <w:lang w:val="en-US"/>
        </w:rPr>
        <w:t xml:space="preserve"> agents. Bevacizumab is an antiangiogenic monoclonal antibody </w:t>
      </w:r>
      <w:r w:rsidR="00577D64" w:rsidRPr="009D7554">
        <w:rPr>
          <w:rFonts w:ascii="Book Antiqua" w:hAnsi="Book Antiqua"/>
          <w:bCs/>
          <w:lang w:val="en-US"/>
        </w:rPr>
        <w:t xml:space="preserve">that targets </w:t>
      </w:r>
      <w:r w:rsidRPr="009D7554">
        <w:rPr>
          <w:rFonts w:ascii="Book Antiqua" w:hAnsi="Book Antiqua"/>
          <w:bCs/>
          <w:lang w:val="en-US"/>
        </w:rPr>
        <w:t xml:space="preserve">vascular endothelial growth factor (VEGF). This kind of </w:t>
      </w:r>
      <w:r w:rsidR="00577D64" w:rsidRPr="009D7554">
        <w:rPr>
          <w:rFonts w:ascii="Book Antiqua" w:hAnsi="Book Antiqua"/>
          <w:bCs/>
          <w:lang w:val="en-US"/>
        </w:rPr>
        <w:t xml:space="preserve">therapeutic agent </w:t>
      </w:r>
      <w:r w:rsidRPr="009D7554">
        <w:rPr>
          <w:rFonts w:ascii="Book Antiqua" w:hAnsi="Book Antiqua"/>
          <w:bCs/>
          <w:lang w:val="en-US"/>
        </w:rPr>
        <w:t xml:space="preserve">often suppresses tumor growth in </w:t>
      </w:r>
      <w:r w:rsidR="001F0F25" w:rsidRPr="009D7554">
        <w:rPr>
          <w:rFonts w:ascii="Book Antiqua" w:hAnsi="Book Antiqua"/>
          <w:bCs/>
          <w:lang w:val="en-US"/>
        </w:rPr>
        <w:t xml:space="preserve">the </w:t>
      </w:r>
      <w:r w:rsidRPr="009D7554">
        <w:rPr>
          <w:rFonts w:ascii="Book Antiqua" w:hAnsi="Book Antiqua"/>
          <w:bCs/>
          <w:lang w:val="en-US"/>
        </w:rPr>
        <w:t>absence of notable morphological changes</w:t>
      </w:r>
      <w:r w:rsidR="00577D64" w:rsidRPr="009D7554">
        <w:rPr>
          <w:rFonts w:ascii="Book Antiqua" w:hAnsi="Book Antiqua"/>
          <w:bCs/>
          <w:lang w:val="en-US"/>
        </w:rPr>
        <w:t xml:space="preserve"> and requires</w:t>
      </w:r>
      <w:r w:rsidRPr="009D7554">
        <w:rPr>
          <w:rFonts w:ascii="Book Antiqua" w:hAnsi="Book Antiqua"/>
          <w:bCs/>
          <w:lang w:val="en-US"/>
        </w:rPr>
        <w:t xml:space="preserve"> a direct "in vivo" evaluation of vascularity to </w:t>
      </w:r>
      <w:r w:rsidR="00577D64" w:rsidRPr="009D7554">
        <w:rPr>
          <w:rFonts w:ascii="Book Antiqua" w:hAnsi="Book Antiqua"/>
          <w:bCs/>
          <w:lang w:val="en-US"/>
        </w:rPr>
        <w:t xml:space="preserve">reveal therapeutic </w:t>
      </w:r>
      <w:r w:rsidRPr="009D7554">
        <w:rPr>
          <w:rFonts w:ascii="Book Antiqua" w:hAnsi="Book Antiqua"/>
          <w:bCs/>
          <w:lang w:val="en-US"/>
        </w:rPr>
        <w:t xml:space="preserve">results. Willett </w:t>
      </w:r>
      <w:r w:rsidR="001A4056" w:rsidRPr="009D7554">
        <w:rPr>
          <w:rFonts w:ascii="Book Antiqua" w:hAnsi="Book Antiqua"/>
          <w:i/>
          <w:iCs/>
          <w:lang w:val="en-US"/>
        </w:rPr>
        <w:t>et al</w:t>
      </w:r>
      <w:r w:rsidR="00A75298" w:rsidRPr="009D7554">
        <w:rPr>
          <w:rFonts w:ascii="Book Antiqua" w:hAnsi="Book Antiqua"/>
          <w:i/>
          <w:iCs/>
          <w:lang w:val="en-US"/>
        </w:rPr>
        <w:fldChar w:fldCharType="begin" w:fldLock="1"/>
      </w:r>
      <w:r w:rsidR="006821F4" w:rsidRPr="009D7554">
        <w:rPr>
          <w:rFonts w:ascii="Book Antiqua" w:hAnsi="Book Antiqua"/>
          <w:i/>
          <w:iCs/>
          <w:lang w:val="en-US"/>
        </w:rPr>
        <w:instrText>ADDIN CSL_CITATION {"citationItems":[{"id":"ITEM-1","itemData":{"DOI":"10.1200/JCO.2008.21.1771","ISSN":"1527-7755","PMID":"19470921","abstract":"PURPOSE To assess the safety and efficacy of neoadjuvant bevacizumab with standard chemoradiotherapy in locally advanced rectal cancer and explore biomarkers for response. PATIENTS AND METHODS In a phase I/II study, 32 patients received four cycles of therapy consisting of: bevacizumab infusion (5 or 10 mg/kg) on day 1 of each cycle; fluorouracil infusion (225 mg/m(2)/24 hours) during cycles 2 to 4; external-beam irradiation (50.4 Gy in 28 fractions over 5.5 weeks); and surgery 7 to 10 weeks after completion of all therapies. We measured molecular, cellular, and physiologic biomarkers before treatment, during bevacizumab monotherapy, and during and after combination therapy. RESULTS Tumors regressed from a mass with mean size of 5 cm (range, 3 to 12 cm) to an ulcer/scar with mean size of 2.4 cm (range, 0.7 to 6.0 cm) in all 32 patients. Histologic examination revealed either no cancer or varying numbers of scattered cancer cells in a bed of fibrosis at the primary site. This treatment resulted in an actuarial 5-year local control and overall survival of 100%. Actuarial 5-year disease-free survival was 75% and five patients developed metastases postsurgery. Bevacizumab with chemoradiotherapy showed acceptable toxicity. Bevacizumab decreased tumor interstitial fluid pressure and blood flow. Baseline plasma soluble vascular endothelial growth factor receptor 1 (sVEGFR1), plasma vascular endothelial growth factor (VEGF), placental-derived growth factor (PlGF), and interleukin 6 (IL-6) during treatment, and circulating endothelial cells (CECs) after treatment showed significant correlations with outcome. CONCLUSION Bevacizumab with chemoradiotherapy appears safe and active and yields promising survival results in locally advanced rectal cancer. Plasma VEGF, PlGF, sVEGFR1, and IL-6 and CECs should be further evaluated as candidate biomarkers of response for this regimen.","author":[{"dropping-particle":"","family":"Willett","given":"Christopher G","non-dropping-particle":"","parse-names":false,"suffix":""},{"dropping-particle":"","family":"Duda","given":"Dan G","non-dropping-particle":"","parse-names":false,"suffix":""},{"dropping-particle":"","family":"Tomaso","given":"Emmanuelle","non-dropping-particle":"di","parse-names":false,"suffix":""},{"dropping-particle":"","family":"Boucher","given":"Yves","non-dropping-particle":"","parse-names":false,"suffix":""},{"dropping-particle":"","family":"Ancukiewicz","given":"Marek","non-dropping-particle":"","parse-names":false,"suffix":""},{"dropping-particle":"V","family":"Sahani","given":"Dushyant","non-dropping-particle":"","parse-names":false,"suffix":""},{"dropping-particle":"","family":"Lahdenranta","given":"Johanna","non-dropping-particle":"","parse-names":false,"suffix":""},{"dropping-particle":"","family":"Chung","given":"Daniel C","non-dropping-particle":"","parse-names":false,"suffix":""},{"dropping-particle":"","family":"Fischman","given":"Alan J","non-dropping-particle":"","parse-names":false,"suffix":""},{"dropping-particle":"","family":"Lauwers","given":"Gregory Y","non-dropping-particle":"","parse-names":false,"suffix":""},{"dropping-particle":"","family":"Shellito","given":"Paul","non-dropping-particle":"","parse-names":false,"suffix":""},{"dropping-particle":"","family":"Czito","given":"Brian G","non-dropping-particle":"","parse-names":false,"suffix":""},{"dropping-particle":"","family":"Wong","given":"Terence Z","non-dropping-particle":"","parse-names":false,"suffix":""},{"dropping-particle":"","family":"Paulson","given":"Erik","non-dropping-particle":"","parse-names":false,"suffix":""},{"dropping-particle":"","family":"Poleski","given":"Martin","non-dropping-particle":"","parse-names":false,"suffix":""},{"dropping-particle":"","family":"Vujaskovic","given":"Zeljko","non-dropping-particle":"","parse-names":false,"suffix":""},{"dropping-particle":"","family":"Bentley","given":"Rex","non-dropping-particle":"","parse-names":false,"suffix":""},{"dropping-particle":"","family":"Chen","given":"Helen X","non-dropping-particle":"","parse-names":false,"suffix":""},{"dropping-particle":"","family":"Clark","given":"Jeffrey W","non-dropping-particle":"","parse-names":false,"suffix":""},{"dropping-particle":"","family":"Jain","given":"Rakesh K","non-dropping-particle":"","parse-names":false,"suffix":""}],"container-title":"Journal of clinical oncology : official journal of the American Society of Clinical Oncology","id":"ITEM-1","issue":"18","issued":{"date-parts":[["2009","6","20"]]},"page":"3020-6","title":"Efficacy, safety, and biomarkers of neoadjuvant bevacizumab, radiation therapy, and fluorouracil in rectal cancer: a multidisciplinary phase II study.","type":"article-journal","volume":"27"},"uris":["http://www.mendeley.com/documents/?uuid=c58f885e-3dd5-4843-bdb8-ba09b0dd9686"]}],"mendeley":{"formattedCitation":"&lt;sup&gt;[81]&lt;/sup&gt;","plainTextFormattedCitation":"[81]","previouslyFormattedCitation":"&lt;sup&gt;[81]&lt;/sup&gt;"},"properties":{"noteIndex":0},"schema":"https://github.com/citation-style-language/schema/raw/master/csl-citation.json"}</w:instrText>
      </w:r>
      <w:r w:rsidR="00A75298" w:rsidRPr="009D7554">
        <w:rPr>
          <w:rFonts w:ascii="Book Antiqua" w:hAnsi="Book Antiqua"/>
          <w:i/>
          <w:iCs/>
          <w:lang w:val="en-US"/>
        </w:rPr>
        <w:fldChar w:fldCharType="separate"/>
      </w:r>
      <w:r w:rsidR="000D56F8" w:rsidRPr="009D7554">
        <w:rPr>
          <w:rFonts w:ascii="Book Antiqua" w:hAnsi="Book Antiqua"/>
          <w:iCs/>
          <w:vertAlign w:val="superscript"/>
          <w:lang w:val="en-US"/>
        </w:rPr>
        <w:t>[81]</w:t>
      </w:r>
      <w:r w:rsidR="00A75298" w:rsidRPr="009D7554">
        <w:rPr>
          <w:rFonts w:ascii="Book Antiqua" w:hAnsi="Book Antiqua"/>
          <w:i/>
          <w:iCs/>
          <w:lang w:val="en-US"/>
        </w:rPr>
        <w:fldChar w:fldCharType="end"/>
      </w:r>
      <w:r w:rsidR="001A4056" w:rsidRPr="009D7554">
        <w:rPr>
          <w:rFonts w:ascii="Book Antiqua" w:hAnsi="Book Antiqua"/>
          <w:lang w:val="en-US"/>
        </w:rPr>
        <w:t xml:space="preserve"> </w:t>
      </w:r>
      <w:r w:rsidR="00577D64" w:rsidRPr="009D7554">
        <w:rPr>
          <w:rFonts w:ascii="Book Antiqua" w:hAnsi="Book Antiqua"/>
          <w:lang w:val="en-US"/>
        </w:rPr>
        <w:t xml:space="preserve">showed </w:t>
      </w:r>
      <w:r w:rsidR="001A4056" w:rsidRPr="009D7554">
        <w:rPr>
          <w:rFonts w:ascii="Book Antiqua" w:hAnsi="Book Antiqua"/>
          <w:lang w:val="en-US"/>
        </w:rPr>
        <w:t xml:space="preserve">a reduction </w:t>
      </w:r>
      <w:r w:rsidR="00577D64" w:rsidRPr="009D7554">
        <w:rPr>
          <w:rFonts w:ascii="Book Antiqua" w:hAnsi="Book Antiqua"/>
          <w:lang w:val="en-US"/>
        </w:rPr>
        <w:t xml:space="preserve">in </w:t>
      </w:r>
      <w:r w:rsidR="001A4056" w:rsidRPr="009D7554">
        <w:rPr>
          <w:rFonts w:ascii="Book Antiqua" w:hAnsi="Book Antiqua"/>
          <w:lang w:val="en-US"/>
        </w:rPr>
        <w:t xml:space="preserve">BF, BV and PS </w:t>
      </w:r>
      <w:r w:rsidR="00577D64" w:rsidRPr="009D7554">
        <w:rPr>
          <w:rFonts w:ascii="Book Antiqua" w:hAnsi="Book Antiqua"/>
          <w:lang w:val="en-US"/>
        </w:rPr>
        <w:t xml:space="preserve">via </w:t>
      </w:r>
      <w:r w:rsidR="001A4056" w:rsidRPr="009D7554">
        <w:rPr>
          <w:rFonts w:ascii="Book Antiqua" w:hAnsi="Book Antiqua"/>
          <w:lang w:val="en-US"/>
        </w:rPr>
        <w:t xml:space="preserve">perfusion CT 12 days after beginning </w:t>
      </w:r>
      <w:r w:rsidR="00502E2D" w:rsidRPr="009D7554">
        <w:rPr>
          <w:rFonts w:ascii="Book Antiqua" w:hAnsi="Book Antiqua"/>
          <w:lang w:val="en-US"/>
        </w:rPr>
        <w:t>treatment</w:t>
      </w:r>
      <w:r w:rsidR="002C2D55" w:rsidRPr="009D7554">
        <w:rPr>
          <w:rFonts w:ascii="Book Antiqua" w:hAnsi="Book Antiqua"/>
          <w:lang w:val="en-US"/>
        </w:rPr>
        <w:t xml:space="preserve"> with </w:t>
      </w:r>
      <w:r w:rsidR="001A4056" w:rsidRPr="009D7554">
        <w:rPr>
          <w:rFonts w:ascii="Book Antiqua" w:hAnsi="Book Antiqua"/>
          <w:lang w:val="en-US"/>
        </w:rPr>
        <w:t>bevacizumab alone in LARC patients.</w:t>
      </w:r>
    </w:p>
    <w:p w:rsidR="001C3C53" w:rsidRPr="009D7554" w:rsidRDefault="00D132FA" w:rsidP="00F53D7A">
      <w:pPr>
        <w:widowControl w:val="0"/>
        <w:autoSpaceDE w:val="0"/>
        <w:autoSpaceDN w:val="0"/>
        <w:adjustRightInd w:val="0"/>
        <w:snapToGrid w:val="0"/>
        <w:spacing w:line="360" w:lineRule="auto"/>
        <w:ind w:firstLineChars="100" w:firstLine="240"/>
        <w:jc w:val="both"/>
        <w:rPr>
          <w:rFonts w:ascii="Book Antiqua" w:hAnsi="Book Antiqua"/>
          <w:strike/>
          <w:lang w:val="en-US"/>
        </w:rPr>
      </w:pPr>
      <w:r w:rsidRPr="009D7554">
        <w:rPr>
          <w:rFonts w:ascii="Book Antiqua" w:hAnsi="Book Antiqua"/>
          <w:bCs/>
          <w:lang w:val="en-US"/>
        </w:rPr>
        <w:t xml:space="preserve">In summary, high baseline </w:t>
      </w:r>
      <w:r w:rsidR="002C2D55" w:rsidRPr="009D7554">
        <w:rPr>
          <w:rFonts w:ascii="Book Antiqua" w:hAnsi="Book Antiqua"/>
          <w:bCs/>
          <w:lang w:val="en-US"/>
        </w:rPr>
        <w:t xml:space="preserve">values </w:t>
      </w:r>
      <w:r w:rsidRPr="009D7554">
        <w:rPr>
          <w:rFonts w:ascii="Book Antiqua" w:hAnsi="Book Antiqua"/>
          <w:bCs/>
          <w:lang w:val="en-US"/>
        </w:rPr>
        <w:t xml:space="preserve">and marked post-CRT </w:t>
      </w:r>
      <w:r w:rsidR="001F0F25" w:rsidRPr="009D7554">
        <w:rPr>
          <w:rFonts w:ascii="Book Antiqua" w:hAnsi="Book Antiqua"/>
          <w:bCs/>
          <w:lang w:val="en-US"/>
        </w:rPr>
        <w:t xml:space="preserve">decreases </w:t>
      </w:r>
      <w:r w:rsidR="002C2D55" w:rsidRPr="009D7554">
        <w:rPr>
          <w:rFonts w:ascii="Book Antiqua" w:hAnsi="Book Antiqua"/>
          <w:bCs/>
          <w:lang w:val="en-US"/>
        </w:rPr>
        <w:t>in</w:t>
      </w:r>
      <w:r w:rsidRPr="009D7554">
        <w:rPr>
          <w:rFonts w:ascii="Book Antiqua" w:hAnsi="Book Antiqua"/>
          <w:bCs/>
          <w:lang w:val="en-US"/>
        </w:rPr>
        <w:t xml:space="preserve"> perfusion parameters (BF, BV and Ktrans) are predominantly reported in </w:t>
      </w:r>
      <w:r w:rsidR="002C2D55" w:rsidRPr="009D7554">
        <w:rPr>
          <w:rFonts w:ascii="Book Antiqua" w:hAnsi="Book Antiqua"/>
          <w:bCs/>
          <w:lang w:val="en-US"/>
        </w:rPr>
        <w:t>patients with</w:t>
      </w:r>
      <w:r w:rsidRPr="009D7554">
        <w:rPr>
          <w:rFonts w:ascii="Book Antiqua" w:hAnsi="Book Antiqua"/>
          <w:bCs/>
          <w:lang w:val="en-US"/>
        </w:rPr>
        <w:t xml:space="preserve"> good response. This observation suggests that highly perfused tumors may </w:t>
      </w:r>
      <w:r w:rsidR="002C2D55" w:rsidRPr="009D7554">
        <w:rPr>
          <w:rFonts w:ascii="Book Antiqua" w:hAnsi="Book Antiqua"/>
          <w:bCs/>
          <w:lang w:val="en-US"/>
        </w:rPr>
        <w:t>provide better</w:t>
      </w:r>
      <w:r w:rsidRPr="009D7554">
        <w:rPr>
          <w:rFonts w:ascii="Book Antiqua" w:hAnsi="Book Antiqua"/>
          <w:bCs/>
          <w:lang w:val="en-US"/>
        </w:rPr>
        <w:t xml:space="preserve"> access for chemotherapy, better oxygenation and higher radiosensitivity compared with poorly perfused tumors. Conversely, the following two neoplastic features may explain a high baseline perfusion parameter in patients who fail to respond to neoadjuvant CRT: </w:t>
      </w:r>
      <w:r w:rsidR="00282A5B" w:rsidRPr="009D7554">
        <w:rPr>
          <w:rFonts w:ascii="Book Antiqua" w:hAnsi="Book Antiqua"/>
          <w:bCs/>
          <w:lang w:val="en-US"/>
        </w:rPr>
        <w:t>(</w:t>
      </w:r>
      <w:r w:rsidRPr="009D7554">
        <w:rPr>
          <w:rFonts w:ascii="Book Antiqua" w:hAnsi="Book Antiqua"/>
          <w:bCs/>
          <w:lang w:val="en-US"/>
        </w:rPr>
        <w:t xml:space="preserve">1) the presence of </w:t>
      </w:r>
      <w:r w:rsidR="00502E2D" w:rsidRPr="009D7554">
        <w:rPr>
          <w:rFonts w:ascii="Book Antiqua" w:hAnsi="Book Antiqua"/>
          <w:bCs/>
          <w:lang w:val="en-US"/>
        </w:rPr>
        <w:t>arteriovenous</w:t>
      </w:r>
      <w:r w:rsidRPr="009D7554">
        <w:rPr>
          <w:rFonts w:ascii="Book Antiqua" w:hAnsi="Book Antiqua"/>
          <w:bCs/>
          <w:lang w:val="en-US"/>
        </w:rPr>
        <w:t xml:space="preserve"> shunts</w:t>
      </w:r>
      <w:r w:rsidR="002C2D55" w:rsidRPr="009D7554">
        <w:rPr>
          <w:rFonts w:ascii="Book Antiqua" w:hAnsi="Book Antiqua"/>
          <w:bCs/>
          <w:lang w:val="en-US"/>
        </w:rPr>
        <w:t>, which</w:t>
      </w:r>
      <w:r w:rsidRPr="009D7554">
        <w:rPr>
          <w:rFonts w:ascii="Book Antiqua" w:hAnsi="Book Antiqua"/>
          <w:bCs/>
          <w:lang w:val="en-US"/>
        </w:rPr>
        <w:t xml:space="preserve"> is accompanied by a high perfusion rate but </w:t>
      </w:r>
      <w:r w:rsidR="002C2D55" w:rsidRPr="009D7554">
        <w:rPr>
          <w:rFonts w:ascii="Book Antiqua" w:hAnsi="Book Antiqua"/>
          <w:bCs/>
          <w:lang w:val="en-US"/>
        </w:rPr>
        <w:t xml:space="preserve">a </w:t>
      </w:r>
      <w:r w:rsidRPr="009D7554">
        <w:rPr>
          <w:rFonts w:ascii="Book Antiqua" w:hAnsi="Book Antiqua"/>
          <w:bCs/>
          <w:lang w:val="en-US"/>
        </w:rPr>
        <w:t xml:space="preserve">low exchange of nutrients/chemotherapy; </w:t>
      </w:r>
      <w:r w:rsidR="00282A5B" w:rsidRPr="009D7554">
        <w:rPr>
          <w:rFonts w:ascii="Book Antiqua" w:hAnsi="Book Antiqua"/>
          <w:bCs/>
          <w:lang w:val="en-US"/>
        </w:rPr>
        <w:t>and (</w:t>
      </w:r>
      <w:r w:rsidRPr="009D7554">
        <w:rPr>
          <w:rFonts w:ascii="Book Antiqua" w:hAnsi="Book Antiqua"/>
          <w:bCs/>
          <w:lang w:val="en-US"/>
        </w:rPr>
        <w:t>2) tissue hypoxia</w:t>
      </w:r>
      <w:r w:rsidR="002C2D55" w:rsidRPr="009D7554">
        <w:rPr>
          <w:rFonts w:ascii="Book Antiqua" w:hAnsi="Book Antiqua"/>
          <w:bCs/>
          <w:lang w:val="en-US"/>
        </w:rPr>
        <w:t>, which</w:t>
      </w:r>
      <w:r w:rsidRPr="009D7554">
        <w:rPr>
          <w:rFonts w:ascii="Book Antiqua" w:hAnsi="Book Antiqua"/>
          <w:bCs/>
          <w:lang w:val="en-US"/>
        </w:rPr>
        <w:t xml:space="preserve"> induces</w:t>
      </w:r>
      <w:r w:rsidR="001F0F25" w:rsidRPr="009D7554">
        <w:rPr>
          <w:rFonts w:ascii="Book Antiqua" w:hAnsi="Book Antiqua"/>
          <w:bCs/>
          <w:lang w:val="en-US"/>
        </w:rPr>
        <w:t xml:space="preserve"> a</w:t>
      </w:r>
      <w:r w:rsidRPr="009D7554">
        <w:rPr>
          <w:rFonts w:ascii="Book Antiqua" w:hAnsi="Book Antiqua"/>
          <w:bCs/>
          <w:lang w:val="en-US"/>
        </w:rPr>
        <w:t xml:space="preserve"> high perfusion rate.</w:t>
      </w:r>
    </w:p>
    <w:p w:rsidR="00AF3BFA" w:rsidRPr="009D7554" w:rsidRDefault="00AF3BFA" w:rsidP="006A253E">
      <w:pPr>
        <w:widowControl w:val="0"/>
        <w:autoSpaceDE w:val="0"/>
        <w:autoSpaceDN w:val="0"/>
        <w:adjustRightInd w:val="0"/>
        <w:snapToGrid w:val="0"/>
        <w:spacing w:line="360" w:lineRule="auto"/>
        <w:jc w:val="both"/>
        <w:rPr>
          <w:rFonts w:ascii="Book Antiqua" w:hAnsi="Book Antiqua"/>
          <w:bCs/>
          <w:lang w:val="en-US"/>
        </w:rPr>
      </w:pPr>
    </w:p>
    <w:p w:rsidR="001C3C53" w:rsidRPr="009D7554" w:rsidRDefault="001C3C53"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 xml:space="preserve">Hybrid </w:t>
      </w:r>
      <w:r w:rsidR="00F53D7A" w:rsidRPr="009D7554">
        <w:rPr>
          <w:rFonts w:ascii="Book Antiqua" w:hAnsi="Book Antiqua"/>
          <w:b/>
          <w:lang w:val="en-US"/>
        </w:rPr>
        <w:t>i</w:t>
      </w:r>
      <w:r w:rsidRPr="009D7554">
        <w:rPr>
          <w:rFonts w:ascii="Book Antiqua" w:hAnsi="Book Antiqua"/>
          <w:b/>
          <w:lang w:val="en-US"/>
        </w:rPr>
        <w:t>maging</w:t>
      </w:r>
      <w:r w:rsidR="00F53D7A" w:rsidRPr="009D7554">
        <w:rPr>
          <w:rFonts w:ascii="Book Antiqua" w:eastAsia="等线" w:hAnsi="Book Antiqua" w:hint="eastAsia"/>
          <w:b/>
          <w:lang w:val="en-US" w:eastAsia="zh-CN"/>
        </w:rPr>
        <w:t>:</w:t>
      </w:r>
      <w:r w:rsidR="00F53D7A" w:rsidRPr="009D7554">
        <w:rPr>
          <w:rFonts w:ascii="Book Antiqua" w:eastAsia="等线" w:hAnsi="Book Antiqua"/>
          <w:b/>
          <w:lang w:val="en-US" w:eastAsia="zh-CN"/>
        </w:rPr>
        <w:t xml:space="preserve"> </w:t>
      </w:r>
      <w:r w:rsidRPr="009D7554">
        <w:rPr>
          <w:rFonts w:ascii="Book Antiqua" w:hAnsi="Book Antiqua"/>
          <w:lang w:val="en-US"/>
        </w:rPr>
        <w:t xml:space="preserve">Several studies </w:t>
      </w:r>
      <w:r w:rsidR="002C2D55" w:rsidRPr="009D7554">
        <w:rPr>
          <w:rFonts w:ascii="Book Antiqua" w:hAnsi="Book Antiqua"/>
          <w:lang w:val="en-US"/>
        </w:rPr>
        <w:t xml:space="preserve">have </w:t>
      </w:r>
      <w:r w:rsidRPr="009D7554">
        <w:rPr>
          <w:rFonts w:ascii="Book Antiqua" w:hAnsi="Book Antiqua"/>
          <w:lang w:val="en-US"/>
        </w:rPr>
        <w:t>investigated the role of</w:t>
      </w:r>
      <w:r w:rsidRPr="009D7554">
        <w:rPr>
          <w:rFonts w:ascii="Book Antiqua" w:hAnsi="Book Antiqua"/>
          <w:position w:val="10"/>
          <w:lang w:val="en-US"/>
        </w:rPr>
        <w:t xml:space="preserve"> </w:t>
      </w:r>
      <w:r w:rsidRPr="009D7554">
        <w:rPr>
          <w:rFonts w:ascii="Book Antiqua" w:hAnsi="Book Antiqua"/>
          <w:position w:val="10"/>
          <w:sz w:val="16"/>
          <w:szCs w:val="16"/>
          <w:lang w:val="en-US"/>
        </w:rPr>
        <w:t>18</w:t>
      </w:r>
      <w:r w:rsidRPr="009D7554">
        <w:rPr>
          <w:rFonts w:ascii="Book Antiqua" w:hAnsi="Book Antiqua"/>
          <w:lang w:val="en-US"/>
        </w:rPr>
        <w:t>FDG-PET/CT in the evaluation of response</w:t>
      </w:r>
      <w:r w:rsidR="002C2D55" w:rsidRPr="009D7554">
        <w:rPr>
          <w:rFonts w:ascii="Book Antiqua" w:hAnsi="Book Antiqua"/>
          <w:lang w:val="en-US"/>
        </w:rPr>
        <w:t>s</w:t>
      </w:r>
      <w:r w:rsidRPr="009D7554">
        <w:rPr>
          <w:rFonts w:ascii="Book Antiqua" w:hAnsi="Book Antiqua"/>
          <w:lang w:val="en-US"/>
        </w:rPr>
        <w:t xml:space="preserve"> to CRT </w:t>
      </w:r>
      <w:r w:rsidR="002C2D55" w:rsidRPr="009D7554">
        <w:rPr>
          <w:rFonts w:ascii="Book Antiqua" w:hAnsi="Book Antiqua"/>
          <w:lang w:val="en-US"/>
        </w:rPr>
        <w:t xml:space="preserve">in </w:t>
      </w:r>
      <w:r w:rsidRPr="009D7554">
        <w:rPr>
          <w:rFonts w:ascii="Book Antiqua" w:hAnsi="Book Antiqua"/>
          <w:lang w:val="en-US"/>
        </w:rPr>
        <w:t xml:space="preserve">LARC patients. </w:t>
      </w:r>
      <w:r w:rsidR="00666D1F" w:rsidRPr="009D7554">
        <w:rPr>
          <w:rFonts w:ascii="Book Antiqua" w:hAnsi="Book Antiqua"/>
          <w:bCs/>
        </w:rPr>
        <w:t xml:space="preserve">Lambrecht </w:t>
      </w:r>
      <w:r w:rsidRPr="009D7554">
        <w:rPr>
          <w:rFonts w:ascii="Book Antiqua" w:hAnsi="Book Antiqua"/>
          <w:i/>
        </w:rPr>
        <w:t>et al</w:t>
      </w:r>
      <w:r w:rsidR="00A75298" w:rsidRPr="009D7554">
        <w:rPr>
          <w:rFonts w:ascii="Book Antiqua" w:hAnsi="Book Antiqua"/>
          <w:i/>
          <w:lang w:val="en-US"/>
        </w:rPr>
        <w:fldChar w:fldCharType="begin" w:fldLock="1"/>
      </w:r>
      <w:r w:rsidR="00DF4FB7" w:rsidRPr="009D7554">
        <w:rPr>
          <w:rFonts w:ascii="Book Antiqua" w:hAnsi="Book Antiqua"/>
          <w:i/>
        </w:rPr>
        <w:instrText xml:space="preserve">ADDIN CSL_CITATION {"citationItems":[{"id":"ITEM-1","itemData":{"DOI":"10.3109/0284186X.2010.498439","ISSN":"1651-226X","PMID":"20586658","abstract":"PURPOSE To investigate the use of FDG-PET/CT before, during and after chemoradiotherapy (CRT) and diffusion-weighted magnetic resonance imaging (DW-MRI) before CRT for the prediction of pathological response (pCR) in rectal cancer patients. MATERIAL AND METHODS Twenty-two rectal cancer patients treated with long course CRT were included. An FDG-PET/CT was performed prior to the start of CRT, after 10 to 12 fractions of CRT and five weeks after the end of CRT. The tumor was delineated using a gradient based delineation method and the maximal standardized uptake values (SUV(max)) were calculated. A DW-MRI was performed before start of CRT. Mean apparent diffusion coefficients (ADC) were determined. The </w:instrText>
      </w:r>
      <w:r w:rsidR="00DF4FB7" w:rsidRPr="009D7554">
        <w:rPr>
          <w:rFonts w:ascii="Book Antiqua" w:hAnsi="Book Antiqua"/>
          <w:i/>
          <w:lang w:val="en-US"/>
        </w:rPr>
        <w:instrText>Δ</w:instrText>
      </w:r>
      <w:r w:rsidR="00DF4FB7" w:rsidRPr="009D7554">
        <w:rPr>
          <w:rFonts w:ascii="Book Antiqua" w:hAnsi="Book Antiqua"/>
          <w:i/>
        </w:rPr>
        <w:instrText xml:space="preserve">SUV(max) during and after CRT and the initial ADC values were correlated to the histopathological findings after total mesorectal excision (TME). RESULTS </w:instrText>
      </w:r>
      <w:r w:rsidR="00DF4FB7" w:rsidRPr="009D7554">
        <w:rPr>
          <w:rFonts w:ascii="Book Antiqua" w:hAnsi="Book Antiqua"/>
          <w:i/>
          <w:lang w:val="en-US"/>
        </w:rPr>
        <w:instrText>Δ</w:instrText>
      </w:r>
      <w:r w:rsidR="00DF4FB7" w:rsidRPr="009D7554">
        <w:rPr>
          <w:rFonts w:ascii="Book Antiqua" w:hAnsi="Book Antiqua"/>
          <w:i/>
        </w:rPr>
        <w:instrText xml:space="preserve">SUV(max) during and after CRT significantly correlated with the pathological response to treatment (during CRT: </w:instrText>
      </w:r>
      <w:r w:rsidR="00DF4FB7" w:rsidRPr="009D7554">
        <w:rPr>
          <w:rFonts w:ascii="Book Antiqua" w:hAnsi="Book Antiqua"/>
          <w:i/>
          <w:lang w:val="en-US"/>
        </w:rPr>
        <w:instrText>Δ</w:instrText>
      </w:r>
      <w:r w:rsidR="00DF4FB7" w:rsidRPr="009D7554">
        <w:rPr>
          <w:rFonts w:ascii="Book Antiqua" w:hAnsi="Book Antiqua"/>
          <w:i/>
        </w:rPr>
        <w:instrText xml:space="preserve">SUV(max) = 59% ± 12% for pCR vs. 25% ± 27% if no pCR, p=0.0036; post-CRT: 90% ± 11 for pCR vs. 63% ± 22 if no pCR p=0.013). ROC curve analysis revealed an optimal threshold for </w:instrText>
      </w:r>
      <w:r w:rsidR="00DF4FB7" w:rsidRPr="009D7554">
        <w:rPr>
          <w:rFonts w:ascii="Book Antiqua" w:hAnsi="Book Antiqua"/>
          <w:i/>
          <w:lang w:val="en-US"/>
        </w:rPr>
        <w:instrText>Δ</w:instrText>
      </w:r>
      <w:r w:rsidR="00DF4FB7" w:rsidRPr="009D7554">
        <w:rPr>
          <w:rFonts w:ascii="Book Antiqua" w:hAnsi="Book Antiqua"/>
          <w:i/>
        </w:rPr>
        <w:instrText xml:space="preserve">SUV(max) of 40% during CRT and 76% after CRT. The initial ADC value was also significantly correlated with pCR (0.94 ± 0.12 × 10(-3) mm(2)/s for pCR vs. 1.2 ± 0.24 × 10(-3) mm(2)/s, p=0.002) and ROC curve analysis revealed an optimal threshold of 1.06 × 10(-3) mm(2)/s. Combining the provided </w:instrText>
      </w:r>
      <w:r w:rsidR="00DF4FB7" w:rsidRPr="009D7554">
        <w:rPr>
          <w:rFonts w:ascii="Book Antiqua" w:hAnsi="Book Antiqua"/>
          <w:i/>
          <w:lang w:val="en-US"/>
        </w:rPr>
        <w:instrText>Δ</w:instrText>
      </w:r>
      <w:r w:rsidR="00DF4FB7" w:rsidRPr="009D7554">
        <w:rPr>
          <w:rFonts w:ascii="Book Antiqua" w:hAnsi="Book Antiqua"/>
          <w:i/>
        </w:rPr>
        <w:instrText xml:space="preserve">SUV(max) thresholds during and after CRT increased specificity of the prediction (sensitivity 100% and specificity 94%). The combination of the thresholds for the initial ADC value and the </w:instrText>
      </w:r>
      <w:r w:rsidR="00DF4FB7" w:rsidRPr="009D7554">
        <w:rPr>
          <w:rFonts w:ascii="Book Antiqua" w:hAnsi="Book Antiqua"/>
          <w:i/>
          <w:lang w:val="en-US"/>
        </w:rPr>
        <w:instrText>Δ</w:instrText>
      </w:r>
      <w:r w:rsidR="00DF4FB7" w:rsidRPr="009D7554">
        <w:rPr>
          <w:rFonts w:ascii="Book Antiqua" w:hAnsi="Book Antiqua"/>
          <w:i/>
        </w:rPr>
        <w:instrText>SUV(max) during CRT increased specificity of the prediction to a similar level (sensitivity of 100% and specificity of 94%). CONCLUSIONS The combination of the different time points and the different imaging modalities increased the specificity of the response assessment both during and after CRT.","author":[{"dropping-particle":"","family":"Lambrecht","given":"Maarten","non-dropping-particle":"","parse-names":false,"suffix":""},{"dropping-particle":"","family":"Deroose","given":"Christophe","non-dropping-particle":"","parse-names":false,"suffix":""},{"dropping-particle":"","family":"Roels","given":"Sarah","non-dropping-particle":"","parse-names":false,"suffix":""},{"dropping-particle":"","family":"Vandecaveye","given":"Vincent","non-dropping-particle":"","parse-names":false,"suffix":""},{"dropping-particle":"","family":"Penninckx","given":"Freddy","non-dropping-particle":"","parse-names":false,"suffix":""},{"dropping-particle":"","family":"Sagaert","given":"Xavier","non-dropping-particle":"","parse-names":false,"suffix":""},{"dropping-particle":"","family":"Cutsem","given":"Eric","non-dropping-particle":"van","parse-names":false,"suffix":""},{"dropping-particle":"","family":"Keyzer","given":"Frederik","non-dropping-particle":"de","parse-names":false,"suffix":""},{"dropping-particle":"","family":"Haustermans","given":"Karin","non-dropping-particle":"","parse-names":false,"suffix":""}],"container-title":"Acta oncologica (Stockholm, Sweden)","id":"ITEM-1","issue":"7","issued":{"date-parts":[["2010","10"]]},"page":"956-63","title":"The use of FDG-PET/CT and diffusion-weighted magnetic resonance imaging for response prediction before, during and after preoperative chemoradiotherapy for rectal cancer.","type":"article-journal","volume":"49"},"uris":["http://www.mendeley.com/documents/?uuid=d49cd08a-ff01-4a52-bc1d-c742fb318fe1"]}],"mendeley":{"formattedCitation":"&lt;sup&gt;[70]&lt;/sup&gt;","plainTextFormattedCitation":"[70]","previouslyFormattedCitation":"&lt;sup&gt;[70]&lt;/sup&gt;"},"properties":{"noteIndex":0},"schema":"https://github.com/citation-style-language/schema/raw/master/csl-citation.json"}</w:instrText>
      </w:r>
      <w:r w:rsidR="00A75298" w:rsidRPr="009D7554">
        <w:rPr>
          <w:rFonts w:ascii="Book Antiqua" w:hAnsi="Book Antiqua"/>
          <w:i/>
          <w:lang w:val="en-US"/>
        </w:rPr>
        <w:fldChar w:fldCharType="separate"/>
      </w:r>
      <w:r w:rsidR="006821F4" w:rsidRPr="009D7554">
        <w:rPr>
          <w:rFonts w:ascii="Book Antiqua" w:hAnsi="Book Antiqua"/>
          <w:vertAlign w:val="superscript"/>
        </w:rPr>
        <w:t>[70]</w:t>
      </w:r>
      <w:r w:rsidR="00A75298" w:rsidRPr="009D7554">
        <w:rPr>
          <w:rFonts w:ascii="Book Antiqua" w:hAnsi="Book Antiqua"/>
          <w:i/>
          <w:lang w:val="en-US"/>
        </w:rPr>
        <w:fldChar w:fldCharType="end"/>
      </w:r>
      <w:r w:rsidR="00666D1F" w:rsidRPr="009D7554">
        <w:rPr>
          <w:rFonts w:ascii="Book Antiqua" w:hAnsi="Book Antiqua"/>
          <w:i/>
        </w:rPr>
        <w:t xml:space="preserve"> </w:t>
      </w:r>
      <w:r w:rsidR="00081147" w:rsidRPr="009D7554">
        <w:rPr>
          <w:rFonts w:ascii="Book Antiqua" w:hAnsi="Book Antiqua"/>
          <w:bCs/>
        </w:rPr>
        <w:t xml:space="preserve">observed that changes </w:t>
      </w:r>
      <w:r w:rsidR="001F0F25" w:rsidRPr="009D7554">
        <w:rPr>
          <w:rFonts w:ascii="Book Antiqua" w:hAnsi="Book Antiqua"/>
          <w:bCs/>
        </w:rPr>
        <w:t>in</w:t>
      </w:r>
      <w:r w:rsidR="00081147" w:rsidRPr="009D7554">
        <w:rPr>
          <w:rFonts w:ascii="Book Antiqua" w:hAnsi="Book Antiqua"/>
          <w:bCs/>
        </w:rPr>
        <w:t xml:space="preserve"> SUVmax during (after 10-12 fractions) and 5 wk after CRT </w:t>
      </w:r>
      <w:r w:rsidR="001F0F25" w:rsidRPr="009D7554">
        <w:rPr>
          <w:rFonts w:ascii="Book Antiqua" w:hAnsi="Book Antiqua"/>
          <w:bCs/>
        </w:rPr>
        <w:t xml:space="preserve">with </w:t>
      </w:r>
      <w:r w:rsidR="00081147" w:rsidRPr="009D7554">
        <w:rPr>
          <w:rFonts w:ascii="Book Antiqua" w:hAnsi="Book Antiqua"/>
          <w:bCs/>
        </w:rPr>
        <w:t xml:space="preserve">respect to </w:t>
      </w:r>
      <w:r w:rsidR="002C2D55" w:rsidRPr="009D7554">
        <w:rPr>
          <w:rFonts w:ascii="Book Antiqua" w:hAnsi="Book Antiqua"/>
          <w:bCs/>
        </w:rPr>
        <w:t xml:space="preserve">the </w:t>
      </w:r>
      <w:r w:rsidR="00081147" w:rsidRPr="009D7554">
        <w:rPr>
          <w:rFonts w:ascii="Book Antiqua" w:hAnsi="Book Antiqua"/>
          <w:bCs/>
        </w:rPr>
        <w:t xml:space="preserve">SUVmax </w:t>
      </w:r>
      <w:r w:rsidR="002C2D55" w:rsidRPr="009D7554">
        <w:rPr>
          <w:rFonts w:ascii="Book Antiqua" w:hAnsi="Book Antiqua"/>
          <w:bCs/>
        </w:rPr>
        <w:t xml:space="preserve">value </w:t>
      </w:r>
      <w:r w:rsidR="00081147" w:rsidRPr="009D7554">
        <w:rPr>
          <w:rFonts w:ascii="Book Antiqua" w:hAnsi="Book Antiqua"/>
          <w:bCs/>
        </w:rPr>
        <w:t xml:space="preserve">prior to the beginning </w:t>
      </w:r>
      <w:r w:rsidR="002C2D55" w:rsidRPr="009D7554">
        <w:rPr>
          <w:rFonts w:ascii="Book Antiqua" w:hAnsi="Book Antiqua"/>
          <w:bCs/>
        </w:rPr>
        <w:t xml:space="preserve">of CRT </w:t>
      </w:r>
      <w:r w:rsidR="00081147" w:rsidRPr="009D7554">
        <w:rPr>
          <w:rFonts w:ascii="Book Antiqua" w:hAnsi="Book Antiqua"/>
          <w:bCs/>
        </w:rPr>
        <w:t>(</w:t>
      </w:r>
      <w:r w:rsidR="00081147" w:rsidRPr="009D7554">
        <w:rPr>
          <w:rFonts w:ascii="Book Antiqua" w:hAnsi="Book Antiqua"/>
          <w:bCs/>
          <w:lang w:val="en-US"/>
        </w:rPr>
        <w:t>Δ</w:t>
      </w:r>
      <w:r w:rsidR="00081147" w:rsidRPr="009D7554">
        <w:rPr>
          <w:rFonts w:ascii="Book Antiqua" w:hAnsi="Book Antiqua"/>
          <w:bCs/>
        </w:rPr>
        <w:t>SUVmax) were significantly correlated with</w:t>
      </w:r>
      <w:r w:rsidR="001F0F25" w:rsidRPr="009D7554">
        <w:rPr>
          <w:rFonts w:ascii="Book Antiqua" w:hAnsi="Book Antiqua"/>
          <w:bCs/>
        </w:rPr>
        <w:t xml:space="preserve"> the</w:t>
      </w:r>
      <w:r w:rsidR="00081147" w:rsidRPr="009D7554">
        <w:rPr>
          <w:rFonts w:ascii="Book Antiqua" w:hAnsi="Book Antiqua"/>
          <w:bCs/>
        </w:rPr>
        <w:t xml:space="preserve"> pathological response to treatment. </w:t>
      </w:r>
      <w:r w:rsidR="00666D1F" w:rsidRPr="009D7554">
        <w:rPr>
          <w:rFonts w:ascii="Book Antiqua" w:hAnsi="Book Antiqua"/>
          <w:bCs/>
          <w:lang w:val="en-US"/>
        </w:rPr>
        <w:t xml:space="preserve">Janssen </w:t>
      </w:r>
      <w:r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{"citationItems":[{"id":"ITEM-1","itemData":{"DOI":"10.1016/j.ijrobp.2010.11.038","ISSN":"1879-355X","PMID":"21377810","abstract":"PURPOSE To develop a positron emission tomography (PET)-based response prediction model to differentiate pathological responders from nonresponders. The predictive strength of the model was validated in a second patient group, treated and imaged identical to the patients on which the predictive model was based. METHODS AND MATERIALS Fifty-one rectal cancer patients were prospectively included in this study. All patients underwent fluorodeoxyglucose (FDG) PET-computed tomography (CT) imaging both before the start of chemoradiotherapy (CRT) and after 2 weeks of treatment. Preoperative treatment with CRT was followed by a total mesorectal excision. From the resected specimen, the tumor regression grade (TRG) was scored according to the Mandard criteria. From one patient group (n = 30), the metabolic treatment response was correlated with the pathological treatment response, resulting in a receiver operating characteristic (ROC) curve based cutoff value for the reduction of maximum standardized uptake value (SUV(max)) within the tumor to differentiate pathological responders (TRG 1-2) from nonresponders (TRG 3-5). The applicability of the selected cutoff value for new patients was validated in a second patient group (n = 21). RESULTS When correlating the metabolic and pathological treatment response for the first patient group using ROC curve analysis (area under the curve = 0.98), a cutoff value of 48% SUV(max) reduction was selected to differentiate pathological responders from nonresponders (specificity of 100%, sensitivity of 64%). Applying this cutoff value to the second patient group resulted in a specificity and sensitivity of, respectively, 93% and 83%, with only one of the pathological nonresponders being false positively predicted as pathological responding. CONCLUSIONS For rectal cancer, an accurate PET-based prediction of the pathological treatment response is feasible already after 2 weeks of CRT. The presented predictive model could be used to select patients to be considered for less invasive surgical interventions or even a \"wait and see\" policy. Also, based on the predicted response, early modifications of the treatment protocol are possible, which might result in an improved clinical outcome.","author":[{"dropping-particle":"","family":"Janssen","given":"Marco H M","non-dropping-particle":"","parse-names":false,"suffix":""},{"dropping-particle":"","family":"Öllers","given":"Michel C","non-dropping-particle":"","parse-names":false,"suffix":""},{"dropping-particle":"","family":"Stiphout","given":"Ruud G P M","non-dropping-particle":"van","parse-names":false,"suffix":""},{"dropping-particle":"","family":"Riedl","given":"Robert G","non-dropping-particle":"","parse-names":false,"suffix":""},{"dropping-particle":"","family":"Bogaard","given":"Jørgen","non-dropping-particle":"van den","parse-names":false,"suffix":""},{"dropping-particle":"","family":"Buijsen","given":"Jeroen","non-dropping-particle":"","parse-names":false,"suffix":""},{"dropping-particle":"","family":"Lambin","given":"Philippe","non-dropping-particle":"","parse-names":false,"suffix":""},{"dropping-particle":"","family":"Lammering","given":"Guido","non-dropping-particle":"","parse-names":false,"suffix":""}],"container-title":"International journal of radiation oncology, biology, physics","id":"ITEM-1","issue":"2","issued":{"date-parts":[["2012","2","1"]]},"page":"871-6","title":"PET-based treatment response evaluation in rectal cancer: prediction and validation.","type":"article-journal","volume":"82"},"uris":["http://www.mendeley.com/documents/?uuid=39dc6115-0f39-416a-baf0-a8eaa59afd50"]}],"mendeley":{"formattedCitation":"&lt;sup&gt;[82]&lt;/sup&gt;","plainTextFormattedCitation":"[82]","previouslyFormattedCitation":"&lt;sup&gt;[82]&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[82]</w:t>
      </w:r>
      <w:r w:rsidR="00A75298" w:rsidRPr="009D7554">
        <w:rPr>
          <w:rFonts w:ascii="Book Antiqua" w:hAnsi="Book Antiqua"/>
          <w:i/>
          <w:lang w:val="en-US"/>
        </w:rPr>
        <w:fldChar w:fldCharType="end"/>
      </w:r>
      <w:r w:rsidRPr="009D7554">
        <w:rPr>
          <w:rFonts w:ascii="Book Antiqua" w:hAnsi="Book Antiqua"/>
          <w:lang w:val="en-US"/>
        </w:rPr>
        <w:t xml:space="preserve"> reported that a cut-off value </w:t>
      </w:r>
      <w:r w:rsidR="00FA7E23" w:rsidRPr="009D7554">
        <w:rPr>
          <w:rFonts w:ascii="Book Antiqua" w:hAnsi="Book Antiqua"/>
          <w:lang w:val="en-US"/>
        </w:rPr>
        <w:t xml:space="preserve">representing a </w:t>
      </w:r>
      <w:r w:rsidRPr="009D7554">
        <w:rPr>
          <w:rFonts w:ascii="Book Antiqua" w:hAnsi="Book Antiqua"/>
          <w:lang w:val="en-US"/>
        </w:rPr>
        <w:t xml:space="preserve">48% reduction </w:t>
      </w:r>
      <w:r w:rsidR="00FA7E23" w:rsidRPr="009D7554">
        <w:rPr>
          <w:rFonts w:ascii="Book Antiqua" w:hAnsi="Book Antiqua"/>
          <w:lang w:val="en-US"/>
        </w:rPr>
        <w:t xml:space="preserve">in SUVmax </w:t>
      </w:r>
      <w:r w:rsidRPr="009D7554">
        <w:rPr>
          <w:rFonts w:ascii="Book Antiqua" w:hAnsi="Book Antiqua"/>
          <w:lang w:val="en-US"/>
        </w:rPr>
        <w:t xml:space="preserve">after 2 wk of CRT in patients with LARC </w:t>
      </w:r>
      <w:r w:rsidR="002C2D55" w:rsidRPr="009D7554">
        <w:rPr>
          <w:rFonts w:ascii="Book Antiqua" w:hAnsi="Book Antiqua"/>
          <w:lang w:val="en-US"/>
        </w:rPr>
        <w:t xml:space="preserve">resulted in </w:t>
      </w:r>
      <w:r w:rsidRPr="009D7554">
        <w:rPr>
          <w:rFonts w:ascii="Book Antiqua" w:hAnsi="Book Antiqua"/>
          <w:lang w:val="en-US"/>
        </w:rPr>
        <w:t xml:space="preserve">a specificity of 100% and a sensitivity of 64% </w:t>
      </w:r>
      <w:r w:rsidR="002C2D55" w:rsidRPr="009D7554">
        <w:rPr>
          <w:rFonts w:ascii="Book Antiqua" w:hAnsi="Book Antiqua"/>
          <w:lang w:val="en-US"/>
        </w:rPr>
        <w:t xml:space="preserve">when </w:t>
      </w:r>
      <w:r w:rsidRPr="009D7554">
        <w:rPr>
          <w:rFonts w:ascii="Book Antiqua" w:hAnsi="Book Antiqua"/>
          <w:lang w:val="en-US"/>
        </w:rPr>
        <w:t>differentiat</w:t>
      </w:r>
      <w:r w:rsidR="002C2D55" w:rsidRPr="009D7554">
        <w:rPr>
          <w:rFonts w:ascii="Book Antiqua" w:hAnsi="Book Antiqua"/>
          <w:lang w:val="en-US"/>
        </w:rPr>
        <w:t>ing</w:t>
      </w:r>
      <w:r w:rsidRPr="009D7554">
        <w:rPr>
          <w:rFonts w:ascii="Book Antiqua" w:hAnsi="Book Antiqua"/>
          <w:lang w:val="en-US"/>
        </w:rPr>
        <w:t xml:space="preserve"> pathological responders from </w:t>
      </w:r>
      <w:r w:rsidR="009A70D4" w:rsidRPr="009D7554">
        <w:rPr>
          <w:rFonts w:ascii="Book Antiqua" w:hAnsi="Book Antiqua"/>
          <w:lang w:val="en-US"/>
        </w:rPr>
        <w:t>nonr</w:t>
      </w:r>
      <w:r w:rsidRPr="009D7554">
        <w:rPr>
          <w:rFonts w:ascii="Book Antiqua" w:hAnsi="Book Antiqua"/>
          <w:lang w:val="en-US"/>
        </w:rPr>
        <w:t xml:space="preserve">esponders. </w:t>
      </w:r>
      <w:r w:rsidR="00666D1F" w:rsidRPr="009D7554">
        <w:rPr>
          <w:rFonts w:ascii="Book Antiqua" w:hAnsi="Book Antiqua"/>
          <w:bCs/>
          <w:lang w:val="en-US"/>
        </w:rPr>
        <w:t xml:space="preserve">Maffione </w:t>
      </w:r>
      <w:r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{"citationItems":[{"id":"ITEM-1","itemData":{"DOI":"10.1016/j.ejso.2014.06.005","ISSN":"1532-2157","PMID":"25060221","abstract":"AIM To assess the predictive value of fluorine-18-fluorodeoxyglucose ((18)F-FDG) positron emission tomography/computed tomography (PET/CT) in early assessing response during neo-adjuvant chemoradiotherapy (CRT) in patients with locally advanced rectal cancer. MATERIALS AND METHODS A systematic review was performed by search of MEDLINE Library for the following terms: \"rectal carcinoma OR rectal cancer\", \"predictive OR prediction OR response assessment OR response OR assessment\", \"early OR ad interim\", \"therapy\", \"FDG OR (18)F-FDG\", \"PET OR PET/CT\". Articles performed by the use of stand-alone PET scanners were excluded. RESULTS 10 studies met the inclusion criteria, including 302 patients. PET/CT demonstrated a good early predictive value in the global cohort (mean sensitivity = 79%; mean specificity = 78%). SUV and its percentage decrease (response index = RI) were calculated in all studies. A higher accuracy was demonstrated for RI (mean sensitivity = 82%; pooled specificity = 85%) with a mean cut-off of 42%. The mean time point to perform PET scan during CRT resulted to be at 1.85 weeks. Some PET parameters resulted to be both predictive and not statistical predictive of response, maybe due to the small population and few studies bias. CONCLUSION PET showed high accuracy in early prediction response during preoperative CRT, increased with the use of RI as parameter. In the era of tailored treatment, the precocious assessment of non-responder patients allows modification of the subsequent strategy especially the timing and the type of surgical approach.","author":[{"dropping-particle":"","family":"Maffione","given":"A M","non-dropping-particle":"","parse-names":false,"suffix":""},{"dropping-particle":"","family":"Chondrogiannis","given":"S","non-dropping-particle":"","parse-names":false,"suffix":""},{"dropping-particle":"","family":"Capirci","given":"C","non-dropping-particle":"","parse-names":false,"suffix":""},{"dropping-particle":"","family":"Galeotti","given":"F","non-dropping-particle":"","parse-names":false,"suffix":""},{"dropping-particle":"","family":"Fornasiero","given":"A","non-dropping-particle":"","parse-names":false,"suffix":""},{"dropping-particle":"","family":"Crepaldi","given":"G","non-dropping-particle":"","parse-names":false,"suffix":""},{"dropping-particle":"","family":"Grassetto","given":"G","non-dropping-particle":"","parse-names":false,"suffix":""},{"dropping-particle":"","family":"Rampin","given":"L","non-dropping-particle":"","parse-names":false,"suffix":""},{"dropping-particle":"","family":"Marzola","given":"M C","non-dropping-particle":"","parse-names":false,"suffix":""},{"dropping-particle":"","family":"Rubello","given":"D","non-dropping-particle":"","parse-names":false,"suffix":""}],"container-title":"European journal of surgical oncology : the journal of the European Society of Surgical Oncology and the British Association of Surgical Oncology","id":"ITEM-1","issue":"10","issued":{"date-parts":[["2014","10"]]},"page":"1186-94","title":"Early prediction of response by ¹</w:instrText>
      </w:r>
      <w:r w:rsidR="006821F4" w:rsidRPr="009D7554">
        <w:rPr>
          <w:rFonts w:ascii="Book Antiqua" w:hAnsi="Cambria Math" w:cs="Cambria Math"/>
          <w:i/>
          <w:lang w:val="en-US"/>
        </w:rPr>
        <w:instrText>⁸</w:instrText>
      </w:r>
      <w:r w:rsidR="006821F4" w:rsidRPr="009D7554">
        <w:rPr>
          <w:rFonts w:ascii="Book Antiqua" w:hAnsi="Book Antiqua"/>
          <w:i/>
          <w:lang w:val="en-US"/>
        </w:rPr>
        <w:instrText>F-FDG PET/CT during preoperative therapy in locally advanced rectal cancer: a systematic review.","type":"article-journal","volume":"40"},"uris":["http://www.mendeley.com/documents/?uuid=db5b2206-5001-475b-82cd-ad29a8beaf57"]}],"mendeley":{"formattedCitation":"&lt;sup&gt;[83]&lt;/sup&gt;","plainTextFormattedCitation":"[83]","previouslyFormattedCitation":"&lt;sup&gt;[83]&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[83]</w:t>
      </w:r>
      <w:r w:rsidR="00A75298" w:rsidRPr="009D7554">
        <w:rPr>
          <w:rFonts w:ascii="Book Antiqua" w:hAnsi="Book Antiqua"/>
          <w:i/>
          <w:lang w:val="en-US"/>
        </w:rPr>
        <w:fldChar w:fldCharType="end"/>
      </w:r>
      <w:r w:rsidRPr="009D7554">
        <w:rPr>
          <w:rFonts w:ascii="Book Antiqua" w:hAnsi="Book Antiqua"/>
          <w:lang w:val="en-US"/>
        </w:rPr>
        <w:t xml:space="preserve"> performed a systemic review </w:t>
      </w:r>
      <w:r w:rsidR="002C2D55" w:rsidRPr="009D7554">
        <w:rPr>
          <w:rFonts w:ascii="Book Antiqua" w:hAnsi="Book Antiqua"/>
          <w:lang w:val="en-US"/>
        </w:rPr>
        <w:t xml:space="preserve">of </w:t>
      </w:r>
      <w:r w:rsidRPr="009D7554">
        <w:rPr>
          <w:rFonts w:ascii="Book Antiqua" w:hAnsi="Book Antiqua"/>
          <w:lang w:val="en-US"/>
        </w:rPr>
        <w:t>the early prediction of response</w:t>
      </w:r>
      <w:r w:rsidR="002C2D55" w:rsidRPr="009D7554">
        <w:rPr>
          <w:rFonts w:ascii="Book Antiqua" w:hAnsi="Book Antiqua"/>
          <w:lang w:val="en-US"/>
        </w:rPr>
        <w:t>s</w:t>
      </w:r>
      <w:r w:rsidRPr="009D7554">
        <w:rPr>
          <w:rFonts w:ascii="Book Antiqua" w:hAnsi="Book Antiqua"/>
          <w:lang w:val="en-US"/>
        </w:rPr>
        <w:t xml:space="preserve"> by </w:t>
      </w:r>
      <w:r w:rsidRPr="009D7554">
        <w:rPr>
          <w:rFonts w:ascii="Book Antiqua" w:hAnsi="Book Antiqua"/>
          <w:position w:val="10"/>
          <w:sz w:val="16"/>
          <w:szCs w:val="16"/>
          <w:lang w:val="en-US"/>
        </w:rPr>
        <w:t>18</w:t>
      </w:r>
      <w:r w:rsidR="009619E5" w:rsidRPr="009D7554">
        <w:rPr>
          <w:rFonts w:ascii="Book Antiqua" w:hAnsi="Book Antiqua"/>
          <w:lang w:val="en-US"/>
        </w:rPr>
        <w:t xml:space="preserve">FDG-PET/CT during neoadjuvant CRT in LARC. The percentage decrease </w:t>
      </w:r>
      <w:r w:rsidR="002C2D55" w:rsidRPr="009D7554">
        <w:rPr>
          <w:rFonts w:ascii="Book Antiqua" w:hAnsi="Book Antiqua"/>
          <w:lang w:val="en-US"/>
        </w:rPr>
        <w:t xml:space="preserve">in </w:t>
      </w:r>
      <w:r w:rsidR="009619E5" w:rsidRPr="009D7554">
        <w:rPr>
          <w:rFonts w:ascii="Book Antiqua" w:hAnsi="Book Antiqua"/>
          <w:lang w:val="en-US"/>
        </w:rPr>
        <w:t>SUVmax showed a high accuracy (mean sensitivity 82%; pooled sensitivity</w:t>
      </w:r>
      <w:r w:rsidR="002C2D55" w:rsidRPr="009D7554">
        <w:rPr>
          <w:rFonts w:ascii="Book Antiqua" w:hAnsi="Book Antiqua"/>
          <w:lang w:val="en-US"/>
        </w:rPr>
        <w:t xml:space="preserve"> </w:t>
      </w:r>
      <w:r w:rsidR="009619E5" w:rsidRPr="009D7554">
        <w:rPr>
          <w:rFonts w:ascii="Book Antiqua" w:hAnsi="Book Antiqua"/>
          <w:lang w:val="en-US"/>
        </w:rPr>
        <w:t xml:space="preserve">85%) </w:t>
      </w:r>
      <w:r w:rsidR="002C2D55" w:rsidRPr="009D7554">
        <w:rPr>
          <w:rFonts w:ascii="Book Antiqua" w:hAnsi="Book Antiqua"/>
          <w:lang w:val="en-US"/>
        </w:rPr>
        <w:t xml:space="preserve">in terms of the </w:t>
      </w:r>
      <w:r w:rsidR="009619E5" w:rsidRPr="009D7554">
        <w:rPr>
          <w:rFonts w:ascii="Book Antiqua" w:hAnsi="Book Antiqua"/>
          <w:lang w:val="en-US"/>
        </w:rPr>
        <w:t xml:space="preserve">early prediction response </w:t>
      </w:r>
      <w:r w:rsidR="002C2D55" w:rsidRPr="009D7554">
        <w:rPr>
          <w:rFonts w:ascii="Book Antiqua" w:hAnsi="Book Antiqua"/>
          <w:lang w:val="en-US"/>
        </w:rPr>
        <w:t xml:space="preserve">when </w:t>
      </w:r>
      <w:r w:rsidR="009619E5" w:rsidRPr="009D7554">
        <w:rPr>
          <w:rFonts w:ascii="Book Antiqua" w:hAnsi="Book Antiqua"/>
          <w:lang w:val="en-US"/>
        </w:rPr>
        <w:t xml:space="preserve">using a mean cut-off of 42%. As a result, the early assessment of </w:t>
      </w:r>
      <w:r w:rsidR="009A70D4" w:rsidRPr="009D7554">
        <w:rPr>
          <w:rFonts w:ascii="Book Antiqua" w:hAnsi="Book Antiqua"/>
          <w:lang w:val="en-US"/>
        </w:rPr>
        <w:t>nonr</w:t>
      </w:r>
      <w:r w:rsidR="009619E5" w:rsidRPr="009D7554">
        <w:rPr>
          <w:rFonts w:ascii="Book Antiqua" w:hAnsi="Book Antiqua"/>
          <w:lang w:val="en-US"/>
        </w:rPr>
        <w:t xml:space="preserve">esponding patients allows </w:t>
      </w:r>
      <w:r w:rsidR="002C2D55" w:rsidRPr="009D7554">
        <w:rPr>
          <w:rFonts w:ascii="Book Antiqua" w:hAnsi="Book Antiqua"/>
          <w:lang w:val="en-US"/>
        </w:rPr>
        <w:t xml:space="preserve">the </w:t>
      </w:r>
      <w:r w:rsidR="009619E5" w:rsidRPr="009D7554">
        <w:rPr>
          <w:rFonts w:ascii="Book Antiqua" w:hAnsi="Book Antiqua"/>
          <w:lang w:val="en-US"/>
        </w:rPr>
        <w:t xml:space="preserve">modification of </w:t>
      </w:r>
      <w:r w:rsidR="002C2D55" w:rsidRPr="009D7554">
        <w:rPr>
          <w:rFonts w:ascii="Book Antiqua" w:hAnsi="Book Antiqua"/>
          <w:lang w:val="en-US"/>
        </w:rPr>
        <w:t xml:space="preserve">the treatment </w:t>
      </w:r>
      <w:r w:rsidR="009619E5" w:rsidRPr="009D7554">
        <w:rPr>
          <w:rFonts w:ascii="Book Antiqua" w:hAnsi="Book Antiqua"/>
          <w:lang w:val="en-US"/>
        </w:rPr>
        <w:t>strategy</w:t>
      </w:r>
      <w:r w:rsidR="001F0F25" w:rsidRPr="009D7554">
        <w:rPr>
          <w:rFonts w:ascii="Book Antiqua" w:hAnsi="Book Antiqua"/>
          <w:lang w:val="en-US"/>
        </w:rPr>
        <w:t>,</w:t>
      </w:r>
      <w:r w:rsidR="009619E5" w:rsidRPr="009D7554">
        <w:rPr>
          <w:rFonts w:ascii="Book Antiqua" w:hAnsi="Book Antiqua"/>
          <w:lang w:val="en-US"/>
        </w:rPr>
        <w:t xml:space="preserve"> especially </w:t>
      </w:r>
      <w:r w:rsidR="002C2D55" w:rsidRPr="009D7554">
        <w:rPr>
          <w:rFonts w:ascii="Book Antiqua" w:hAnsi="Book Antiqua"/>
          <w:lang w:val="en-US"/>
        </w:rPr>
        <w:t xml:space="preserve">in terms of </w:t>
      </w:r>
      <w:r w:rsidR="009619E5" w:rsidRPr="009D7554">
        <w:rPr>
          <w:rFonts w:ascii="Book Antiqua" w:hAnsi="Book Antiqua"/>
          <w:lang w:val="en-US"/>
        </w:rPr>
        <w:t>timing and the type of surgical approach</w:t>
      </w:r>
      <w:r w:rsidR="002C2D55" w:rsidRPr="009D7554">
        <w:rPr>
          <w:rFonts w:ascii="Book Antiqua" w:hAnsi="Book Antiqua"/>
          <w:lang w:val="en-US"/>
        </w:rPr>
        <w:t xml:space="preserve"> used</w:t>
      </w:r>
      <w:r w:rsidR="009619E5" w:rsidRPr="009D7554">
        <w:rPr>
          <w:rFonts w:ascii="Book Antiqua" w:hAnsi="Book Antiqua"/>
          <w:lang w:val="en-US"/>
        </w:rPr>
        <w:t xml:space="preserve">. It should be noted that radiation-induced inflammation could cause increased </w:t>
      </w:r>
      <w:r w:rsidRPr="009D7554">
        <w:rPr>
          <w:rFonts w:ascii="Book Antiqua" w:hAnsi="Book Antiqua"/>
          <w:position w:val="10"/>
          <w:sz w:val="16"/>
          <w:szCs w:val="16"/>
          <w:lang w:val="en-US"/>
        </w:rPr>
        <w:t>18</w:t>
      </w:r>
      <w:r w:rsidRPr="009D7554">
        <w:rPr>
          <w:rFonts w:ascii="Book Antiqua" w:hAnsi="Book Antiqua"/>
          <w:lang w:val="en-US"/>
        </w:rPr>
        <w:t>FDG uptake, possibly reducing PET specificity</w:t>
      </w:r>
      <w:r w:rsidR="00A75298" w:rsidRPr="009D7554">
        <w:rPr>
          <w:rFonts w:ascii="Book Antiqua" w:hAnsi="Book Antiqua"/>
          <w:lang w:val="en-US"/>
        </w:rPr>
        <w:fldChar w:fldCharType="begin" w:fldLock="1"/>
      </w:r>
      <w:r w:rsidR="006821F4" w:rsidRPr="009D7554">
        <w:rPr>
          <w:rFonts w:ascii="Book Antiqua" w:hAnsi="Book Antiqua"/>
          <w:lang w:val="en-US"/>
        </w:rPr>
        <w:instrText>ADDIN CSL_CITATION {"citationItems":[{"id":"ITEM-1","itemData":{"DOI":"10.1016/j.ijrobp.2010.11.038","ISSN":"1879-355X","PMID":"21377810","abstract":"PURPOSE To develop a positron emission tomography (PET)-based response prediction model to differentiate pathological responders from nonresponders. The predictive strength of the model was validated in a second patient group, treated and imaged identical to the patients on which the predictive model was based. METHODS AND MATERIALS Fifty-one rectal cancer patients were prospectively included in this study. All patients underwent fluorodeoxyglucose (FDG) PET-computed tomography (CT) imaging both before the start of chemoradiotherapy (CRT) and after 2 weeks of treatment. Preoperative treatment with CRT was followed by a total mesorectal excision. From the resected specimen, the tumor regression grade (TRG) was scored according to the Mandard criteria. From one patient group (n = 30), the metabolic treatment response was correlated with the pathological treatment response, resulting in a receiver operating characteristic (ROC) curve based cutoff value for the reduction of maximum standardized uptake value (SUV(max)) within the tumor to differentiate pathological responders (TRG 1-2) from nonresponders (TRG 3-5). The applicability of the selected cutoff value for new patients was validated in a second patient group (n = 21). RESULTS When correlating the metabolic and pathological treatment response for the first patient group using ROC curve analysis (area under the curve = 0.98), a cutoff value of 48% SUV(max) reduction was selected to differentiate pathological responders from nonresponders (specificity of 100%, sensitivity of 64%). Applying this cutoff value to the second patient group resulted in a specificity and sensitivity of, respectively, 93% and 83%, with only one of the pathological nonresponders being false positively predicted as pathological responding. CONCLUSIONS For rectal cancer, an accurate PET-based prediction of the pathological treatment response is feasible already after 2 weeks of CRT. The presented predictive model could be used to select patients to be considered for less invasive surgical interventions or even a \"wait and see\" policy. Also, based on the predicted response, early modifications of the treatment protocol are possible, which might result in an improved clinical outcome.","author":[{"dropping-particle":"","family":"Janssen","given":"Marco H M","non-dropping-particle":"","parse-names":false,"suffix":""},{"dropping-particle":"","family":"Öllers","given":"Michel C","non-dropping-particle":"","parse-names":false,"suffix":""},{"dropping-particle":"","family":"Stiphout","given":"Ruud G P M","non-dropping-particle":"van","parse-names":false,"suffix":""},{"dropping-particle":"","family":"Riedl","given":"Robert G","non-dropping-particle":"","parse-names":false,"suffix":""},{"dropping-particle":"","family":"Bogaard","given":"Jørgen","non-dropping-particle":"van den","parse-names":false,"suffix":""},{"dropping-particle":"","family":"Buijsen","given":"Jeroen","non-dropping-particle":"","parse-names":false,"suffix":""},{"dropping-particle":"","family":"Lambin","given":"Philippe","non-dropping-particle":"","parse-names":false,"suffix":""},{"dropping-particle":"","family":"Lammering","given":"Guido","non-dropping-particle":"","parse-names":false,"suffix":""}],"container-title":"International journal of radiation oncology, biology, physics","id":"ITEM-1","issue":"2","issued":{"date-parts":[["2012","2","1"]]},"page":"871-6","title":"PET-based treatment response evaluation in rectal cancer: prediction and validation.","type":"article-journal","volume":"82"},"uris":["http://www.mendeley.com/documents/?uuid=39dc6115-0f39-416a-baf0-a8eaa59afd50"]},{"id":"ITEM-2","itemData":{"DOI":"10.1007/s00384-008-0616-8","ISSN":"1432-1262","PMID":"19050900","abstract":"BACKGROUND To evaluate the value of positron emission tomography using fluorodeoxyglucose and computer tomography scan (FDG-PET/CT) for prediction of histopathological response of preoperative radiochemotherapy (RCTX) in patients with rectal carcinoma. METHODS Thirty patients with uT3 rectal carcinoma were examined by FDG-PET/CT at baseline, 14 days after initiation, and after completion of preoperative RCTX. The FDG decreases seen with PET scanning from baseline to day 14 (early metabolic response) and after completion of therapy (late metabolic response) were compared with histopathological tumor response. One patient denied surgery after RCTX. RESULTS The mean (+/-SD) reduction of tumor FDG uptake in histopathologically responding compared to non-responding tumors was -44.3% (+/-20.1%) versus -29.6% (+/-13.1%) (p = 0.085) at day 14 and -66.0% (+/-20.3%) versus -48.3% (+/-23.4%) (p = 0.040) after completion of RCTX. Best differentiation of histopathological tumor response was achieved by a cut-off value of 35% reduction of initial FDG uptake at day 14 and 57.5% after completion of therapy. Applying the cut-off values as a criterion for metabolic response, histopathological response was predicted with a sensitivity of 74% (14/19) at day 14 and 79% (15/19) after completion of therapy. The positive predictive value for early metabolic response was 82% (14/17) and for late metabolic response was 83% (15/18). Histopathological evidence of accumulated peritumoral inflammation cells was associated with a minor FDG decrease in five histopathologically responding patients, and influenced the results with negative predictive values of 58% (7/12) and 64% (7/11) at the early and late time points, respectively. CONCLUSIONS Metabolic response to a preoperative RCTX using FDG-PET/CT in rectal cancer patients can be correlated with histopathological response, but FDG uptake of peritumoral inflammation cells limited the results and led to false negative results.","author":[{"dropping-particle":"","family":"Rosenberg","given":"Robert","non-dropping-particle":"","parse-names":false,"suffix":""},{"dropping-particle":"","family":"Herrmann","given":"Ken","non-dropping-particle":"","parse-names":false,"suffix":""},{"dropping-particle":"","family":"Gertler","given":"Ralf","non-dropping-particle":"","parse-names":false,"suffix":""},{"dropping-particle":"","family":"Künzli","given":"Beat","non-dropping-particle":"","parse-names":false,"suffix":""},{"dropping-particle":"","family":"Essler","given":"Markus","non-dropping-particle":"","parse-names":false,"suffix":""},{"dropping-particle":"","family":"Lordick","given":"Florian","non-dropping-particle":"","parse-names":false,"suffix":""},{"dropping-particle":"","family":"Becker","given":"Karen","non-dropping-particle":"","parse-names":false,"suffix":""},{"dropping-particle":"","family":"Schuster","given":"Tibor","non-dropping-particle":"","parse-names":false,"suffix":""},{"dropping-particle":"","family":"Geinitz","given":"Hans","non-dropping-particle":"","parse-names":false,"suffix":""},{"dropping-particle":"","family":"Maak","given":"Matthias","non-dropping-particle":"","parse-names":false,"suffix":""},{"dropping-particle":"","family":"Schwaiger","given":"Markus","non-dropping-particle":"","parse-names":false,"suffix":""},{"dropping-particle":"","family":"Siewert","given":"Jörg-Rüdiger","non-dropping-particle":"","parse-names":false,"suffix":""},{"dropping-particle":"","family":"Krause","given":"Bernd","non-dropping-particle":"","parse-names":false,"suffix":""}],"container-title":"International journal of colorectal disease","id":"ITEM-2","issue":"2","issued":{"date-parts":[["2009","2"]]},"page":"191-200","title":"The predictive value of metabolic response to preoperative radiochemotherapy in locally advanced rectal cancer measured by PET/CT.","type":"article-journal","volume":"24"},"uris":["http://www.mendeley.com/documents/?uuid=10ecafd4-f7f5-40db-b23d-2a0c09dfaa21"]},{"id":"ITEM-3","itemData":{"DOI":"10.1016/j.ijrobp.2004.11.017","ISSN":"0360-3016","PMID":"15936556","abstract":"PURPOSE To examine the relationship between tumor regression grade (TRG) and outcomes in patients with rectal cancer treated with preoperative therapy. METHODS AND MATERIALS Specimens from 144 patients with cT3,4 rectal cancer who had received preoperative radiation +/- chemotherapy and had a minimum follow-up of 3 years were retrospectively reviewed. TRG, which involves examining the residual neoplastic cells and scoring the degree of both cytological changes, including nuclear pyknosis or necrosis and/or eosinophilia, as well as stromal changes, including fibrosis (either dense or edematous) with or without inflammatory infiltrate and giant-cell granulomatosis around ghost cells and keratin, was quantified in five grades according to the Mandard score (Cancer 1994;73:2680-2686). The greater the response, the lower the TRG score. The median follow-up was 72 months (range, 40-143 months). RESULTS Of the 144 patients, 19% were TRG1, 12% were TRG2, 21% were TRG3, 46% were TRG4, and 1% were TRG5. To simplify the analysis, TRG was combined into two groups: TRG1-2 and TRG3-5. By univariate analysis, none of the pretreatment factors examined, including age, circumference, length, distance from the anorectal ring, pretreatment T and N stage, and INDpre (defined as the pretreatment reference index size based on digital rectal examination), had an impact on 5-year outcomes, including local control, metastases-free survival, disease-free survival, and overall survival. Postoperative parameters, including pathologic T stage (pT), pathologic N stage (pN), and TRG, did significantly influence 5-year outcomes. These included local failure: pT0-2: 5% vs. pT3-4: 19%, p = 0.007; pN0: 7% vs. pN1-3: 26%, p = 0.002; TRG1-2: 2% vs. TRG3-5: 17%, p = 0.013; metastasis-free survival: pT0-2: 86% vs. pT3-4: 62%, p = 0.005; pN-: 86% vs. pN*: 42%, p &lt; 0.001; TRG1-2: 91% vs. TRG3-5: 66%, p = 0.004; disease-free survival: pT0-2: 83% vs. pT3-4: 54%, p = 0.001; pN0: 80% vs. pN1-3: 39%, p &lt; 0.001; TRG1-2: 91% vs. TRG3-5: 58%, p &lt; 0.001; and overall survival: pT0-2: 85% vs. pT3-4: 65%, p = 0.007; pN0: 86% vs. pN1-3: 45%, p &lt; 0.001; TRG1-2: 89% vs. TRG3-5: 68%, p = 0.004. By multivariate analysis combining all pre- and posttreatment parameters, only pN (p &lt; 0.001) and TRG (p = 0.005) significantly predicted disease-free survival. Furthermore, TRG predicted the incidence of pathologic nodal involvement (p &lt; 0.0001). CONCLUSIONS By univariate analysis, TRG is a predictor for local failure,…","author":[{"dropping-particle":"","family":"Vecchio","given":"Fabio Maria","non-dropping-particle":"","parse-names":false,"suffix":""},{"dropping-particle":"","family":"Valentini","given":"Vincenzo","non-dropping-particle":"","parse-names":false,"suffix":""},{"dropping-particle":"","family":"Minsky","given":"Bruce D","non-dropping-particle":"","parse-names":false,"suffix":""},{"dropping-particle":"","family":"Padula","given":"Gilbert D A","non-dropping-particle":"","parse-names":false,"suffix":""},{"dropping-particle":"","family":"Venkatraman","given":"Ennapadam S","non-dropping-particle":"","parse-names":false,"suffix":""},{"dropping-particle":"","family":"Balducci","given":"Mario","non-dropping-particle":"","parse-names":false,"suffix":""},{"dropping-particle":"","family":"Miccichè","given":"Francesco","non-dropping-particle":"","parse-names":false,"suffix":""},{"dropping-particle":"","family":"Ricci","given":"Riccardo","non-dropping-particle":"","parse-names":false,"suffix":""},{"dropping-particle":"","family":"Morganti","given":"Alessio Giuseppe","non-dropping-particle":"","parse-names":false,"suffix":""},{"dropping-particle":"","family":"Gambacorta","given":"Maria Antonietta","non-dropping-particle":"","parse-names":false,"suffix":""},{"dropping-particle":"","family":"Maurizi","given":"Francesca","non-dropping-particle":"","parse-names":false,"suffix":""},{"dropping-particle":"","family":"Coco","given":"Claudio","non-dropping-particle":"","parse-names":false,"suffix":""}],"container-title":"International journal of radiation oncology, biology, physics","id":"ITEM-3","issue":"3","issued":{"date-parts":[["2005","7","1"]]},"page":"752-60","title":"The relationship of pathologic tumor regression grade (TRG) and outcomes after preoperative therapy in rectal cancer.","type":"article-journal","volume":"62"},"uris":["http://www.mendeley.com/documents/?uuid=3684efd5-d281-4545-b36a-7338f4e2bede"]},{"id":"ITEM-4","itemData":{"ISSN":"0179-1958","PMID":"9112145","abstract":"The standard therapy for rectal carcinoma is surgical, however, preoperative radiochemotherapy will play an increasing role especially in locally advanced disease. To estimate the prognosis and the effect of radiochemotherapy the postradiochemotherapeutical pathological features are important to assess. We examined the surgical specimens of 17 patients after preoperative radiochemotherapy to estimate and grade the histological reactions. A proposal for a grading system for tumor regression (not yet available in the literature) has also been described. All but one of the carcinomas showed different degrees of tumor regression. A total regression was not observed after standardised pathological work up. In only one case a locally curative resection was not possible. We think that preoperative radiochemotherapy is able to reduce tumor mass thus achieving operability in non-curatively operable cases. We recommend standards of pathological work up and regression grading for further studies comparing surgery and radiochemotherapy of rectal carcinoma.","author":[{"dropping-particle":"","family":"Dworak","given":"O","non-dropping-particle":"","parse-names":false,"suffix":""},{"dropping-particle":"","family":"Keilholz","given":"L","non-dropping-particle":"","parse-names":false,"suffix":""},{"dropping-particle":"","family":"Hoffmann","given":"A","non-dropping-particle":"","parse-names":false,"suffix":""}],"container-title":"International journal of colorectal disease","id":"ITEM-4","issue":"1","issued":{"date-parts":[["1997"]]},"page":"19-23","title":"Pathological features of rectal cancer after preoperative radiochemotherapy.","type":"article-journal","volume":"12"},"uris":["http://www.mendeley.com/documents/?uuid=dc57f9c1-42ce-4aa9-be5f-0e8cac024968"]},{"id":"ITEM-5","itemData":{"ISSN":"0161-5505","PMID":"1714497","abstract":"Forty-four patients with recurrent colorectal carcinoma were examined prior to a combination of conventional photon radiotherapy (40 Gy) and neutron therapy (10 Gy). Twenty-one of these underwent a PET examination after photon therapy and 12 also were studied after the end of combined therapy. CEA plasma levels were measured from blood samples taken immediately before the PET study. A significant decrease in FDG uptake despite good palliative results were observed in only 50% of the patients. This may be explained by inflammatory reactions caused by radiation injury. Inflammation and metabolically active residual tumor tissue cannot be distinguished. It is concluded that an observation interval longer than 6 mo may more effectively detect residual tumor activity. In 14 of 41 examinations, an increased FDG uptake was associated with a normal CEA value, and in only two cases were normal FDG uptake values and increased CEA levels found, suggesting that PET is more sensitive than the measurements of CEA plasma levels for tumor recurrence.","author":[{"dropping-particle":"","family":"Haberkorn","given":"U","non-dropping-particle":"","parse-names":false,"suffix":""},{"dropping-particle":"","family":"Strauss","given":"L G","non-dropping-particle":"","parse-names":false,"suffix":""},{"dropping-particle":"","family":"Dimitrakopoulou","given":"A","non-dropping-particle":"","parse-names":false,"suffix":""},{"dropping-particle":"","family":"Engenhart","given":"R","non-dropping-particle":"","parse-names":false,"suffix":""},{"dropping-particle":"","family":"Oberdorfer","given":"F","non-dropping-particle":"","parse-names":false,"suffix":""},{"dropping-particle":"","family":"Ostertag","given":"H","non-dropping-particle":"","parse-names":false,"suffix":""},{"dropping-particle":"","family":"Romahn","given":"J","non-dropping-particle":"","parse-names":false,"suffix":""},{"dropping-particle":"","family":"Kaick","given":"G","non-dropping-particle":"van","parse-names":false,"suffix":""}],"container-title":"Journal of nuclear medicine : official publication, Society of Nuclear Medicine","id":"ITEM-5","issue":"8","issued":{"date-parts":[["1991","8"]]},"page":"1485-90","title":"PET studies of fluorodeoxyglucose metabolism in patients with recurrent colorectal tumors receiving radiotherapy.","type":"article-journal","volume":"32"},"uris":["http://www.mendeley.com/documents/?uuid=05cc8273-40ea-4453-a4f1-c4e21bb6a88e"]}],"mendeley":{"formattedCitation":"&lt;sup&gt;[82,84–87]&lt;/sup&gt;","plainTextFormattedCitation":"[82,84–87]","previouslyFormattedCitation":"&lt;sup&gt;[82,84–87]&lt;/sup&gt;"},"properties":{"noteIndex":0},"schema":"https://github.com/citation-style-language/schema/raw/master/csl-citation.json"}</w:instrText>
      </w:r>
      <w:r w:rsidR="00A75298" w:rsidRPr="009D7554">
        <w:rPr>
          <w:rFonts w:ascii="Book Antiqua" w:hAnsi="Book Antiqua"/>
          <w:lang w:val="en-US"/>
        </w:rPr>
        <w:fldChar w:fldCharType="separate"/>
      </w:r>
      <w:r w:rsidR="000D56F8" w:rsidRPr="009D7554">
        <w:rPr>
          <w:rFonts w:ascii="Book Antiqua" w:hAnsi="Book Antiqua"/>
          <w:vertAlign w:val="superscript"/>
          <w:lang w:val="en-US"/>
        </w:rPr>
        <w:t>[82,84–87]</w:t>
      </w:r>
      <w:r w:rsidR="00A75298" w:rsidRPr="009D7554">
        <w:rPr>
          <w:rFonts w:ascii="Book Antiqua" w:hAnsi="Book Antiqua"/>
          <w:lang w:val="en-US"/>
        </w:rPr>
        <w:fldChar w:fldCharType="end"/>
      </w:r>
      <w:r w:rsidRPr="009D7554">
        <w:rPr>
          <w:rFonts w:ascii="Book Antiqua" w:hAnsi="Book Antiqua"/>
          <w:lang w:val="en-US"/>
        </w:rPr>
        <w:t xml:space="preserve">. To overcome this limitation, </w:t>
      </w:r>
      <w:r w:rsidR="002C2D55" w:rsidRPr="009D7554">
        <w:rPr>
          <w:rFonts w:ascii="Book Antiqua" w:hAnsi="Book Antiqua"/>
          <w:lang w:val="en-US"/>
        </w:rPr>
        <w:t xml:space="preserve">the use of </w:t>
      </w:r>
      <w:r w:rsidRPr="009D7554">
        <w:rPr>
          <w:rFonts w:ascii="Book Antiqua" w:hAnsi="Book Antiqua"/>
          <w:lang w:val="en-US"/>
        </w:rPr>
        <w:t xml:space="preserve">dual-time </w:t>
      </w:r>
      <w:r w:rsidRPr="009D7554">
        <w:rPr>
          <w:rFonts w:ascii="Book Antiqua" w:hAnsi="Book Antiqua"/>
          <w:position w:val="10"/>
          <w:sz w:val="16"/>
          <w:szCs w:val="16"/>
          <w:lang w:val="en-US"/>
        </w:rPr>
        <w:t>18</w:t>
      </w:r>
      <w:r w:rsidRPr="009D7554">
        <w:rPr>
          <w:rFonts w:ascii="Book Antiqua" w:hAnsi="Book Antiqua"/>
          <w:lang w:val="en-US"/>
        </w:rPr>
        <w:t xml:space="preserve">F-FDG PET has been proposed. </w:t>
      </w:r>
      <w:r w:rsidR="002C2D55" w:rsidRPr="009D7554">
        <w:rPr>
          <w:rFonts w:ascii="Book Antiqua" w:hAnsi="Book Antiqua"/>
          <w:lang w:val="en-US"/>
        </w:rPr>
        <w:t xml:space="preserve">This </w:t>
      </w:r>
      <w:r w:rsidRPr="009D7554">
        <w:rPr>
          <w:rFonts w:ascii="Book Antiqua" w:hAnsi="Book Antiqua"/>
          <w:lang w:val="en-US"/>
        </w:rPr>
        <w:t>requires two PET scans</w:t>
      </w:r>
      <w:r w:rsidR="002C2D55" w:rsidRPr="009D7554">
        <w:rPr>
          <w:rFonts w:ascii="Book Antiqua" w:hAnsi="Book Antiqua"/>
          <w:lang w:val="en-US"/>
        </w:rPr>
        <w:t>;</w:t>
      </w:r>
      <w:r w:rsidRPr="009D7554">
        <w:rPr>
          <w:rFonts w:ascii="Book Antiqua" w:hAnsi="Book Antiqua"/>
          <w:lang w:val="en-US"/>
        </w:rPr>
        <w:t xml:space="preserve"> the first </w:t>
      </w:r>
      <w:r w:rsidR="002C2D55" w:rsidRPr="009D7554">
        <w:rPr>
          <w:rFonts w:ascii="Book Antiqua" w:hAnsi="Book Antiqua"/>
          <w:lang w:val="en-US"/>
        </w:rPr>
        <w:t xml:space="preserve">is conducted </w:t>
      </w:r>
      <w:r w:rsidRPr="009D7554">
        <w:rPr>
          <w:rFonts w:ascii="Book Antiqua" w:hAnsi="Book Antiqua"/>
          <w:lang w:val="en-US"/>
        </w:rPr>
        <w:t>40-60 min</w:t>
      </w:r>
      <w:r w:rsidR="00707E33" w:rsidRPr="009D7554">
        <w:rPr>
          <w:rFonts w:ascii="Book Antiqua" w:hAnsi="Book Antiqua"/>
          <w:lang w:val="en-US"/>
        </w:rPr>
        <w:t xml:space="preserve"> </w:t>
      </w:r>
      <w:r w:rsidR="002C2D55" w:rsidRPr="009D7554">
        <w:rPr>
          <w:rFonts w:ascii="Book Antiqua" w:hAnsi="Book Antiqua"/>
          <w:lang w:val="en-US"/>
        </w:rPr>
        <w:t xml:space="preserve">after the injection of </w:t>
      </w:r>
      <w:r w:rsidR="002C2D55" w:rsidRPr="009D7554">
        <w:rPr>
          <w:rFonts w:ascii="Book Antiqua" w:hAnsi="Book Antiqua"/>
          <w:position w:val="10"/>
          <w:sz w:val="16"/>
          <w:szCs w:val="16"/>
          <w:lang w:val="en-US"/>
        </w:rPr>
        <w:t>18</w:t>
      </w:r>
      <w:r w:rsidR="002C2D55" w:rsidRPr="009D7554">
        <w:rPr>
          <w:rFonts w:ascii="Book Antiqua" w:hAnsi="Book Antiqua"/>
          <w:lang w:val="en-US"/>
        </w:rPr>
        <w:t xml:space="preserve">F-FDG (standard time), </w:t>
      </w:r>
      <w:r w:rsidRPr="009D7554">
        <w:rPr>
          <w:rFonts w:ascii="Book Antiqua" w:hAnsi="Book Antiqua"/>
          <w:lang w:val="en-US"/>
        </w:rPr>
        <w:t xml:space="preserve">and </w:t>
      </w:r>
      <w:r w:rsidR="002C2D55" w:rsidRPr="009D7554">
        <w:rPr>
          <w:rFonts w:ascii="Book Antiqua" w:hAnsi="Book Antiqua"/>
          <w:lang w:val="en-US"/>
        </w:rPr>
        <w:t xml:space="preserve">the </w:t>
      </w:r>
      <w:r w:rsidRPr="009D7554">
        <w:rPr>
          <w:rFonts w:ascii="Book Antiqua" w:hAnsi="Book Antiqua"/>
          <w:lang w:val="en-US"/>
        </w:rPr>
        <w:t xml:space="preserve">second </w:t>
      </w:r>
      <w:r w:rsidR="002C2D55" w:rsidRPr="009D7554">
        <w:rPr>
          <w:rFonts w:ascii="Book Antiqua" w:hAnsi="Book Antiqua"/>
          <w:lang w:val="en-US"/>
        </w:rPr>
        <w:t xml:space="preserve">is conducted </w:t>
      </w:r>
      <w:r w:rsidRPr="009D7554">
        <w:rPr>
          <w:rFonts w:ascii="Book Antiqua" w:hAnsi="Book Antiqua"/>
          <w:lang w:val="en-US"/>
        </w:rPr>
        <w:t>90-270 min</w:t>
      </w:r>
      <w:r w:rsidR="00707E33" w:rsidRPr="009D7554">
        <w:rPr>
          <w:rFonts w:ascii="Book Antiqua" w:hAnsi="Book Antiqua"/>
          <w:lang w:val="en-US"/>
        </w:rPr>
        <w:t xml:space="preserve"> </w:t>
      </w:r>
      <w:r w:rsidR="002C2D55" w:rsidRPr="009D7554">
        <w:rPr>
          <w:rFonts w:ascii="Book Antiqua" w:hAnsi="Book Antiqua"/>
          <w:lang w:val="en-US"/>
        </w:rPr>
        <w:t xml:space="preserve">after injection </w:t>
      </w:r>
      <w:r w:rsidRPr="009D7554">
        <w:rPr>
          <w:rFonts w:ascii="Book Antiqua" w:hAnsi="Book Antiqua"/>
          <w:lang w:val="en-US"/>
        </w:rPr>
        <w:t xml:space="preserve">(delayed time), thus allowing </w:t>
      </w:r>
      <w:r w:rsidR="002C2D55" w:rsidRPr="009D7554">
        <w:rPr>
          <w:rFonts w:ascii="Book Antiqua" w:hAnsi="Book Antiqua"/>
          <w:lang w:val="en-US"/>
        </w:rPr>
        <w:t xml:space="preserve">the </w:t>
      </w:r>
      <w:r w:rsidRPr="009D7554">
        <w:rPr>
          <w:rFonts w:ascii="Book Antiqua" w:hAnsi="Book Antiqua"/>
          <w:lang w:val="en-US"/>
        </w:rPr>
        <w:t xml:space="preserve">evaluation of </w:t>
      </w:r>
      <w:r w:rsidRPr="009D7554">
        <w:rPr>
          <w:rFonts w:ascii="Book Antiqua" w:hAnsi="Book Antiqua"/>
          <w:position w:val="10"/>
          <w:sz w:val="16"/>
          <w:szCs w:val="16"/>
          <w:lang w:val="en-US"/>
        </w:rPr>
        <w:t>18</w:t>
      </w:r>
      <w:r w:rsidRPr="009D7554">
        <w:rPr>
          <w:rFonts w:ascii="Book Antiqua" w:hAnsi="Book Antiqua"/>
          <w:lang w:val="en-US"/>
        </w:rPr>
        <w:t xml:space="preserve">FDG uptake over time. While </w:t>
      </w:r>
      <w:r w:rsidR="009974A2" w:rsidRPr="009D7554">
        <w:rPr>
          <w:rFonts w:ascii="Book Antiqua" w:hAnsi="Book Antiqua"/>
          <w:position w:val="10"/>
          <w:sz w:val="16"/>
          <w:szCs w:val="16"/>
          <w:lang w:val="en-US"/>
        </w:rPr>
        <w:t>18</w:t>
      </w:r>
      <w:r w:rsidRPr="009D7554">
        <w:rPr>
          <w:rFonts w:ascii="Book Antiqua" w:hAnsi="Book Antiqua"/>
          <w:lang w:val="en-US"/>
        </w:rPr>
        <w:t xml:space="preserve">FDG uptake due to inflammation appears </w:t>
      </w:r>
      <w:r w:rsidR="00423CC4" w:rsidRPr="009D7554">
        <w:rPr>
          <w:rFonts w:ascii="Book Antiqua" w:hAnsi="Book Antiqua"/>
          <w:lang w:val="en-US"/>
        </w:rPr>
        <w:t xml:space="preserve">to be </w:t>
      </w:r>
      <w:r w:rsidRPr="009D7554">
        <w:rPr>
          <w:rFonts w:ascii="Book Antiqua" w:hAnsi="Book Antiqua"/>
          <w:lang w:val="en-US"/>
        </w:rPr>
        <w:t xml:space="preserve">stable or </w:t>
      </w:r>
      <w:r w:rsidR="00423CC4" w:rsidRPr="009D7554">
        <w:rPr>
          <w:rFonts w:ascii="Book Antiqua" w:hAnsi="Book Antiqua"/>
          <w:lang w:val="en-US"/>
        </w:rPr>
        <w:t>to decrease</w:t>
      </w:r>
      <w:r w:rsidRPr="009D7554">
        <w:rPr>
          <w:rFonts w:ascii="Book Antiqua" w:hAnsi="Book Antiqua"/>
          <w:lang w:val="en-US"/>
        </w:rPr>
        <w:t xml:space="preserve"> over time, neoplastic </w:t>
      </w:r>
      <w:r w:rsidR="009974A2" w:rsidRPr="009D7554">
        <w:rPr>
          <w:rFonts w:ascii="Book Antiqua" w:hAnsi="Book Antiqua"/>
          <w:position w:val="10"/>
          <w:sz w:val="16"/>
          <w:szCs w:val="16"/>
          <w:lang w:val="en-US"/>
        </w:rPr>
        <w:t>18</w:t>
      </w:r>
      <w:r w:rsidRPr="009D7554">
        <w:rPr>
          <w:rFonts w:ascii="Book Antiqua" w:hAnsi="Book Antiqua"/>
          <w:lang w:val="en-US"/>
        </w:rPr>
        <w:t>FDG uptake tends to increase</w:t>
      </w:r>
      <w:r w:rsidR="00A75298" w:rsidRPr="009D7554">
        <w:rPr>
          <w:rFonts w:ascii="Book Antiqua" w:hAnsi="Book Antiqua"/>
          <w:lang w:val="en-US"/>
        </w:rPr>
        <w:fldChar w:fldCharType="begin" w:fldLock="1"/>
      </w:r>
      <w:r w:rsidR="006821F4" w:rsidRPr="009D7554">
        <w:rPr>
          <w:rFonts w:ascii="Book Antiqua" w:hAnsi="Book Antiqua"/>
          <w:lang w:val="en-US"/>
        </w:rPr>
        <w:instrText>ADDIN CSL_CITATION {"citationItems":[{"id":"ITEM-1","itemData":{"DOI":"10.1053/j.semnuclmed.2012.02.003","ISSN":"00012998","PMID":"22681676","author":[{"dropping-particle":"","family":"Schillaci","given":"Orazio","non-dropping-particle":"","parse-names":false,"suffix":""}],"container-title":"Seminars in Nuclear Medicine","id":"ITEM-1","issue":"4","issued":{"date-parts":[["2012","7"]]},"page":"267-280","title":"Use of Dual-Point Fluorodeoxyglucose Imaging to Enhance Sensitivity and Specificity","type":"article-journal","volume":"42"},"uris":["http://www.mendeley.com/documents/?uuid=813041a1-1a6d-4781-9104-9a89a622542b"]}],"mendeley":{"formattedCitation":"&lt;sup&gt;[88]&lt;/sup&gt;","plainTextFormattedCitation":"[88]","previouslyFormattedCitation":"&lt;sup&gt;[88]&lt;/sup&gt;"},"properties":{"noteIndex":0},"schema":"https://github.com/citation-style-language/schema/raw/master/csl-citation.json"}</w:instrText>
      </w:r>
      <w:r w:rsidR="00A75298" w:rsidRPr="009D7554">
        <w:rPr>
          <w:rFonts w:ascii="Book Antiqua" w:hAnsi="Book Antiqua"/>
          <w:lang w:val="en-US"/>
        </w:rPr>
        <w:fldChar w:fldCharType="separate"/>
      </w:r>
      <w:r w:rsidR="000D56F8" w:rsidRPr="009D7554">
        <w:rPr>
          <w:rFonts w:ascii="Book Antiqua" w:hAnsi="Book Antiqua"/>
          <w:vertAlign w:val="superscript"/>
          <w:lang w:val="en-US"/>
        </w:rPr>
        <w:t>[88]</w:t>
      </w:r>
      <w:r w:rsidR="00A75298" w:rsidRPr="009D7554">
        <w:rPr>
          <w:rFonts w:ascii="Book Antiqua" w:hAnsi="Book Antiqua"/>
          <w:lang w:val="en-US"/>
        </w:rPr>
        <w:fldChar w:fldCharType="end"/>
      </w:r>
      <w:r w:rsidR="00022B8D" w:rsidRPr="009D7554">
        <w:rPr>
          <w:rFonts w:ascii="Book Antiqua" w:hAnsi="Book Antiqua"/>
          <w:bCs/>
          <w:lang w:val="en-US"/>
        </w:rPr>
        <w:t xml:space="preserve">. Yoon </w:t>
      </w:r>
      <w:r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{"citationItems":[{"id":"ITEM-1","itemData":{"DOI":"10.1097/RLU.0b013e3182639a58","ISSN":"1536-0229","PMID":"23242038","abstract":"PURPOSE FDG PET/CT has been suggested as the most reliable modality to predict pathological tumor responses after neoadjuvant chemoradiotherapy (CRT) in locally advanced rectal cancer (LARC). However, several confounding factors including radiation-induced inflammation could not be easily avoided with the commonly used single-point FDG PET/CT. Our aim was to evaluate the accuracy of a dual-point PET/CT protocol in LARC response prediction to CRT. PATIENTS AND METHODS Sixty-one LARC patients were enrolled and treated with neoadjuvant CRT. PET/CT was performed before and after CRT. Dual-point acquisition was applied to post-CRT PET/CT. Post-CRT SUVmax (postSUV), pre/post-CRT SUVmax change (RI), and dual-point index (DI) of post-CRT PET/CT were compared with the Dworak tumor regression grade (TRG) as a gold standard. Univariate and multivariate analyses, as well as receiver operating characteristic curve analysis, were used to evaluate the predictive ability of demographic, clinical, and metabolic PET parameters. RESULTS Fifteen patients of TRG3-4 were defined as pathological responders, and 46 patients of TRG1-2 were nonresponders. The resulting response index (RI) ranged from -13 to 94.8% (59.1±22.0%), and delay index (DI) ranged from -45.2 to 25.0% (-9.1±12.1%). Univariate analysis resulted in PET parameters (postSUV, RI, and DI) as significant predictors (P=0.004, P&lt;0.001, P&lt;0.0001). According to multivariate analysis, RI and DI remained as significant predictors (P=0.04 and P=0.0004). Receiver operating characteristic analysis showed that DI had significantly higher area under the curve compared with RI (0.906 vs 0.696, P=0.018). Delay index had 86.7% sensitivity, 87.0% specificity, 68.4% positive predictive value, 95.2% negative predictive value, and 86.9% accuracy. CONCLUSIONS Dual-point post-CRT PET/CT can predict pathological tumor response better than conventional single time point pre- and post-CRT PET/CT.","author":[{"dropping-particle":"","family":"Yoon","given":"Hai-jeon","non-dropping-particle":"","parse-names":false,"suffix":""},{"dropping-particle":"","family":"Kim","given":"Seok-ki","non-dropping-particle":"","parse-names":false,"suffix":""},{"dropping-particle":"","family":"Kim","given":"Tae-Sung","non-dropping-particle":"","parse-names":false,"suffix":""},{"dropping-particle":"","family":"Im","given":"Hyung-Jun","non-dropping-particle":"","parse-names":false,"suffix":""},{"dropping-particle":"","family":"Lee","given":"Eun Seong","non-dropping-particle":"","parse-names":false,"suffix":""},{"dropping-particle":"","family":"Kim","given":"Hyun Chul","non-dropping-particle":"","parse-names":false,"suffix":""},{"dropping-particle":"","family":"Park","given":"Ji Won","non-dropping-particle":"","parse-names":false,"suffix":""},{"dropping-particle":"","family":"Chang","given":"Hee Jin","non-dropping-particle":"","parse-names":false,"suffix":""},{"dropping-particle":"","family":"Choi","given":"Hyo Seong","non-dropping-particle":"","parse-names":false,"suffix":""},{"dropping-particle":"","family":"Kim","given":"Dae Yong","non-dropping-particle":"","parse-names":false,"suffix":""},{"dropping-particle":"","family":"Oh","given":"Jae Hwan","non-dropping-particle":"","parse-names":false,"suffix":""}],"container-title":"Clinical nuclear medicine","id":"ITEM-1","issue":"1","issued":{"date-parts":[["2013","1"]]},"page":"7-12","title":"New application of dual point 18F-FDG PET/CT in the evaluation of neoadjuvant chemoradiation response of locally advanced rectal cancer.","type":"article-journal","volume":"38"},"uris":["http://www.mendeley.com/documents/?uuid=e1b7ed49-2e60-4d43-b18b-364e7da24d62"]}],"mendeley":{"formattedCitation":"&lt;sup&gt;[89]&lt;/sup&gt;","plainTextFormattedCitation":"[89]","previouslyFormattedCitation":"&lt;sup&gt;[89]&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[89]</w:t>
      </w:r>
      <w:r w:rsidR="00A75298" w:rsidRPr="009D7554">
        <w:rPr>
          <w:rFonts w:ascii="Book Antiqua" w:hAnsi="Book Antiqua"/>
          <w:i/>
          <w:lang w:val="en-US"/>
        </w:rPr>
        <w:fldChar w:fldCharType="end"/>
      </w:r>
      <w:r w:rsidR="000152A9" w:rsidRPr="009D7554">
        <w:rPr>
          <w:rFonts w:ascii="Book Antiqua" w:hAnsi="Book Antiqua"/>
          <w:i/>
          <w:lang w:val="en-US"/>
        </w:rPr>
        <w:t xml:space="preserve"> </w:t>
      </w:r>
      <w:r w:rsidRPr="009D7554">
        <w:rPr>
          <w:rFonts w:ascii="Book Antiqua" w:hAnsi="Book Antiqua"/>
          <w:bCs/>
          <w:lang w:val="en-US"/>
        </w:rPr>
        <w:t xml:space="preserve">compared the accuracy of pre-CRT standard and post-CRT dual-time </w:t>
      </w:r>
      <w:r w:rsidR="009974A2" w:rsidRPr="009D7554">
        <w:rPr>
          <w:rFonts w:ascii="Book Antiqua" w:hAnsi="Book Antiqua"/>
          <w:position w:val="10"/>
          <w:sz w:val="16"/>
          <w:szCs w:val="16"/>
          <w:lang w:val="en-US"/>
        </w:rPr>
        <w:t>18</w:t>
      </w:r>
      <w:r w:rsidR="000F4F3B" w:rsidRPr="009D7554">
        <w:rPr>
          <w:rFonts w:ascii="Book Antiqua" w:hAnsi="Book Antiqua"/>
          <w:bCs/>
          <w:lang w:val="en-US"/>
        </w:rPr>
        <w:t>FDG-PET/CT in the prediction of CRT response</w:t>
      </w:r>
      <w:r w:rsidR="00423CC4" w:rsidRPr="009D7554">
        <w:rPr>
          <w:rFonts w:ascii="Book Antiqua" w:hAnsi="Book Antiqua"/>
          <w:bCs/>
          <w:lang w:val="en-US"/>
        </w:rPr>
        <w:t>s</w:t>
      </w:r>
      <w:r w:rsidR="000F4F3B" w:rsidRPr="009D7554">
        <w:rPr>
          <w:rFonts w:ascii="Book Antiqua" w:hAnsi="Book Antiqua"/>
          <w:bCs/>
          <w:lang w:val="en-US"/>
        </w:rPr>
        <w:t xml:space="preserve"> in LARC patients. The quantitative dual-time score (defined as</w:t>
      </w:r>
      <w:r w:rsidR="001F0F25" w:rsidRPr="009D7554">
        <w:rPr>
          <w:rFonts w:ascii="Book Antiqua" w:hAnsi="Book Antiqua"/>
          <w:bCs/>
          <w:lang w:val="en-US"/>
        </w:rPr>
        <w:t xml:space="preserve"> the</w:t>
      </w:r>
      <w:r w:rsidR="000F4F3B" w:rsidRPr="009D7554">
        <w:rPr>
          <w:rFonts w:ascii="Book Antiqua" w:hAnsi="Book Antiqua"/>
          <w:bCs/>
          <w:lang w:val="en-US"/>
        </w:rPr>
        <w:t xml:space="preserve"> delay index [DI]</w:t>
      </w:r>
      <w:r w:rsidR="00423CC4" w:rsidRPr="009D7554">
        <w:rPr>
          <w:rFonts w:ascii="Book Antiqua" w:hAnsi="Book Antiqua"/>
          <w:bCs/>
          <w:lang w:val="en-US"/>
        </w:rPr>
        <w:t xml:space="preserve">, which is equal to </w:t>
      </w:r>
      <w:r w:rsidR="000F4F3B" w:rsidRPr="009D7554">
        <w:rPr>
          <w:rFonts w:ascii="Book Antiqua" w:hAnsi="Book Antiqua"/>
          <w:bCs/>
          <w:lang w:val="en-US"/>
        </w:rPr>
        <w:t xml:space="preserve">post-SUVmax-early – post-SUVmax-delayed/post-SUVmax-delayed of post-CRT </w:t>
      </w:r>
      <w:r w:rsidR="009974A2" w:rsidRPr="009D7554">
        <w:rPr>
          <w:rFonts w:ascii="Book Antiqua" w:hAnsi="Book Antiqua"/>
          <w:position w:val="10"/>
          <w:sz w:val="16"/>
          <w:szCs w:val="16"/>
          <w:lang w:val="en-US"/>
        </w:rPr>
        <w:t>18</w:t>
      </w:r>
      <w:r w:rsidR="00D1489A" w:rsidRPr="009D7554">
        <w:rPr>
          <w:rFonts w:ascii="Book Antiqua" w:hAnsi="Book Antiqua"/>
          <w:lang w:val="en-US"/>
        </w:rPr>
        <w:t>FDG-PET/CT) showed significantly better performance with</w:t>
      </w:r>
      <w:r w:rsidR="001F0F25" w:rsidRPr="009D7554">
        <w:rPr>
          <w:rFonts w:ascii="Book Antiqua" w:hAnsi="Book Antiqua"/>
          <w:lang w:val="en-US"/>
        </w:rPr>
        <w:t xml:space="preserve"> a</w:t>
      </w:r>
      <w:r w:rsidR="00D1489A" w:rsidRPr="009D7554">
        <w:rPr>
          <w:rFonts w:ascii="Book Antiqua" w:hAnsi="Book Antiqua"/>
          <w:lang w:val="en-US"/>
        </w:rPr>
        <w:t xml:space="preserve"> higher area under the curve </w:t>
      </w:r>
      <w:r w:rsidR="00423CC4" w:rsidRPr="009D7554">
        <w:rPr>
          <w:rFonts w:ascii="Book Antiqua" w:hAnsi="Book Antiqua"/>
          <w:lang w:val="en-US"/>
        </w:rPr>
        <w:t xml:space="preserve">value </w:t>
      </w:r>
      <w:r w:rsidR="00D1489A" w:rsidRPr="009D7554">
        <w:rPr>
          <w:rFonts w:ascii="Book Antiqua" w:hAnsi="Book Antiqua"/>
          <w:lang w:val="en-US"/>
        </w:rPr>
        <w:t xml:space="preserve">(0.906 </w:t>
      </w:r>
      <w:r w:rsidR="00D1489A" w:rsidRPr="009D7554">
        <w:rPr>
          <w:rFonts w:ascii="Book Antiqua" w:hAnsi="Book Antiqua"/>
          <w:i/>
          <w:iCs/>
          <w:lang w:val="en-US"/>
        </w:rPr>
        <w:t>vs</w:t>
      </w:r>
      <w:r w:rsidR="00D1489A" w:rsidRPr="009D7554">
        <w:rPr>
          <w:rFonts w:ascii="Book Antiqua" w:hAnsi="Book Antiqua"/>
          <w:lang w:val="en-US"/>
        </w:rPr>
        <w:t xml:space="preserve"> 0.696, </w:t>
      </w:r>
      <w:r w:rsidR="00D1489A" w:rsidRPr="009D7554">
        <w:rPr>
          <w:rFonts w:ascii="Book Antiqua" w:hAnsi="Book Antiqua"/>
          <w:i/>
          <w:caps/>
          <w:lang w:val="en-US"/>
        </w:rPr>
        <w:t>p</w:t>
      </w:r>
      <w:r w:rsidR="00D1489A" w:rsidRPr="009D7554">
        <w:rPr>
          <w:rFonts w:ascii="Book Antiqua" w:hAnsi="Book Antiqua"/>
          <w:i/>
          <w:lang w:val="en-US"/>
        </w:rPr>
        <w:t xml:space="preserve"> </w:t>
      </w:r>
      <w:r w:rsidRPr="009D7554">
        <w:rPr>
          <w:rFonts w:ascii="Book Antiqua" w:hAnsi="Book Antiqua"/>
          <w:lang w:val="en-US"/>
        </w:rPr>
        <w:t xml:space="preserve">= 0.018) </w:t>
      </w:r>
      <w:r w:rsidR="00423CC4" w:rsidRPr="009D7554">
        <w:rPr>
          <w:rFonts w:ascii="Book Antiqua" w:hAnsi="Book Antiqua"/>
          <w:lang w:val="en-US"/>
        </w:rPr>
        <w:t>than the</w:t>
      </w:r>
      <w:r w:rsidRPr="009D7554">
        <w:rPr>
          <w:rFonts w:ascii="Book Antiqua" w:hAnsi="Book Antiqua"/>
          <w:lang w:val="en-US"/>
        </w:rPr>
        <w:t xml:space="preserve"> standard quantitative score (defined as </w:t>
      </w:r>
      <w:r w:rsidR="00423CC4" w:rsidRPr="009D7554">
        <w:rPr>
          <w:rFonts w:ascii="Book Antiqua" w:hAnsi="Book Antiqua"/>
          <w:lang w:val="en-US"/>
        </w:rPr>
        <w:t xml:space="preserve">the </w:t>
      </w:r>
      <w:r w:rsidRPr="009D7554">
        <w:rPr>
          <w:rFonts w:ascii="Book Antiqua" w:hAnsi="Book Antiqua"/>
          <w:lang w:val="en-US"/>
        </w:rPr>
        <w:t>response index [RI],</w:t>
      </w:r>
      <w:r w:rsidR="00423CC4" w:rsidRPr="009D7554">
        <w:rPr>
          <w:rFonts w:ascii="Book Antiqua" w:hAnsi="Book Antiqua"/>
          <w:lang w:val="en-US"/>
        </w:rPr>
        <w:t xml:space="preserve"> which is equal to</w:t>
      </w:r>
      <w:r w:rsidR="009A70D4" w:rsidRPr="009D7554">
        <w:rPr>
          <w:rFonts w:ascii="Book Antiqua" w:hAnsi="Book Antiqua"/>
          <w:lang w:val="en-US"/>
        </w:rPr>
        <w:t xml:space="preserve"> </w:t>
      </w:r>
      <w:r w:rsidRPr="009D7554">
        <w:rPr>
          <w:rFonts w:ascii="Book Antiqua" w:hAnsi="Book Antiqua"/>
          <w:lang w:val="en-US"/>
        </w:rPr>
        <w:t>pre-SUVmax – post-SUVmax/ pre-SUVmax). The DI showed a sensitivity of 86</w:t>
      </w:r>
      <w:r w:rsidR="00423CC4" w:rsidRPr="009D7554">
        <w:rPr>
          <w:rFonts w:ascii="Book Antiqua" w:hAnsi="Book Antiqua"/>
          <w:lang w:val="en-US"/>
        </w:rPr>
        <w:t>.</w:t>
      </w:r>
      <w:r w:rsidRPr="009D7554">
        <w:rPr>
          <w:rFonts w:ascii="Book Antiqua" w:hAnsi="Book Antiqua"/>
          <w:lang w:val="en-US"/>
        </w:rPr>
        <w:t xml:space="preserve">7%, </w:t>
      </w:r>
      <w:r w:rsidR="00423CC4" w:rsidRPr="009D7554">
        <w:rPr>
          <w:rFonts w:ascii="Book Antiqua" w:hAnsi="Book Antiqua"/>
          <w:lang w:val="en-US"/>
        </w:rPr>
        <w:t xml:space="preserve">a </w:t>
      </w:r>
      <w:r w:rsidRPr="009D7554">
        <w:rPr>
          <w:rFonts w:ascii="Book Antiqua" w:hAnsi="Book Antiqua"/>
          <w:lang w:val="en-US"/>
        </w:rPr>
        <w:t xml:space="preserve">specificity of 87%, </w:t>
      </w:r>
      <w:r w:rsidR="00423CC4" w:rsidRPr="009D7554">
        <w:rPr>
          <w:rFonts w:ascii="Book Antiqua" w:hAnsi="Book Antiqua"/>
          <w:lang w:val="en-US"/>
        </w:rPr>
        <w:t xml:space="preserve">a </w:t>
      </w:r>
      <w:r w:rsidRPr="009D7554">
        <w:rPr>
          <w:rFonts w:ascii="Book Antiqua" w:hAnsi="Book Antiqua"/>
          <w:lang w:val="en-US"/>
        </w:rPr>
        <w:t>PPV of 68</w:t>
      </w:r>
      <w:r w:rsidR="00423CC4" w:rsidRPr="009D7554">
        <w:rPr>
          <w:rFonts w:ascii="Book Antiqua" w:hAnsi="Book Antiqua"/>
          <w:lang w:val="en-US"/>
        </w:rPr>
        <w:t>.</w:t>
      </w:r>
      <w:r w:rsidRPr="009D7554">
        <w:rPr>
          <w:rFonts w:ascii="Book Antiqua" w:hAnsi="Book Antiqua"/>
          <w:lang w:val="en-US"/>
        </w:rPr>
        <w:t xml:space="preserve">4% and </w:t>
      </w:r>
      <w:r w:rsidR="00423CC4" w:rsidRPr="009D7554">
        <w:rPr>
          <w:rFonts w:ascii="Book Antiqua" w:hAnsi="Book Antiqua"/>
          <w:lang w:val="en-US"/>
        </w:rPr>
        <w:t xml:space="preserve">a </w:t>
      </w:r>
      <w:r w:rsidRPr="009D7554">
        <w:rPr>
          <w:rFonts w:ascii="Book Antiqua" w:hAnsi="Book Antiqua"/>
          <w:lang w:val="en-US"/>
        </w:rPr>
        <w:t>PNV of 95</w:t>
      </w:r>
      <w:r w:rsidR="00423CC4" w:rsidRPr="009D7554">
        <w:rPr>
          <w:rFonts w:ascii="Book Antiqua" w:hAnsi="Book Antiqua"/>
          <w:lang w:val="en-US"/>
        </w:rPr>
        <w:t>.</w:t>
      </w:r>
      <w:r w:rsidRPr="009D7554">
        <w:rPr>
          <w:rFonts w:ascii="Book Antiqua" w:hAnsi="Book Antiqua"/>
          <w:lang w:val="en-US"/>
        </w:rPr>
        <w:t xml:space="preserve">2%, suggesting that dual-time post-CRT PET/CT might be the most appropriate diagnostic tool </w:t>
      </w:r>
      <w:r w:rsidR="00423CC4" w:rsidRPr="009D7554">
        <w:rPr>
          <w:rFonts w:ascii="Book Antiqua" w:hAnsi="Book Antiqua"/>
          <w:lang w:val="en-US"/>
        </w:rPr>
        <w:t xml:space="preserve">for </w:t>
      </w:r>
      <w:r w:rsidRPr="009D7554">
        <w:rPr>
          <w:rFonts w:ascii="Book Antiqua" w:hAnsi="Book Antiqua"/>
          <w:lang w:val="en-US"/>
        </w:rPr>
        <w:t>this specific setting.</w:t>
      </w:r>
    </w:p>
    <w:p w:rsidR="00AC32B5" w:rsidRPr="009D7554" w:rsidRDefault="00AC32B5" w:rsidP="006A253E">
      <w:pPr>
        <w:widowControl w:val="0"/>
        <w:autoSpaceDE w:val="0"/>
        <w:autoSpaceDN w:val="0"/>
        <w:adjustRightInd w:val="0"/>
        <w:snapToGrid w:val="0"/>
        <w:spacing w:line="360" w:lineRule="auto"/>
        <w:jc w:val="both"/>
        <w:rPr>
          <w:rFonts w:ascii="Book Antiqua" w:hAnsi="Book Antiqua"/>
          <w:b/>
          <w:bCs/>
          <w:i/>
          <w:lang w:val="en-US"/>
        </w:rPr>
      </w:pPr>
    </w:p>
    <w:p w:rsidR="001C3C53" w:rsidRPr="009D7554" w:rsidRDefault="00240AF7" w:rsidP="006A253E">
      <w:pPr>
        <w:widowControl w:val="0"/>
        <w:autoSpaceDE w:val="0"/>
        <w:autoSpaceDN w:val="0"/>
        <w:adjustRightInd w:val="0"/>
        <w:snapToGrid w:val="0"/>
        <w:spacing w:line="360" w:lineRule="auto"/>
        <w:jc w:val="both"/>
        <w:rPr>
          <w:rFonts w:ascii="Book Antiqua" w:hAnsi="Book Antiqua"/>
          <w:i/>
          <w:lang w:val="en-US"/>
        </w:rPr>
      </w:pPr>
      <w:r w:rsidRPr="009D7554">
        <w:rPr>
          <w:rFonts w:ascii="Book Antiqua" w:hAnsi="Book Antiqua"/>
          <w:b/>
          <w:bCs/>
          <w:i/>
          <w:lang w:val="en-US"/>
        </w:rPr>
        <w:t>Response</w:t>
      </w:r>
      <w:r w:rsidR="00423CC4" w:rsidRPr="009D7554">
        <w:rPr>
          <w:rFonts w:ascii="Book Antiqua" w:hAnsi="Book Antiqua"/>
          <w:b/>
          <w:bCs/>
          <w:i/>
          <w:lang w:val="en-US"/>
        </w:rPr>
        <w:t>s</w:t>
      </w:r>
      <w:r w:rsidRPr="009D7554">
        <w:rPr>
          <w:rFonts w:ascii="Book Antiqua" w:hAnsi="Book Antiqua"/>
          <w:b/>
          <w:bCs/>
          <w:i/>
          <w:lang w:val="en-US"/>
        </w:rPr>
        <w:t xml:space="preserve"> to treatment: colorectal liver metastases</w:t>
      </w:r>
    </w:p>
    <w:p w:rsidR="001C3C53" w:rsidRPr="009D7554" w:rsidRDefault="00FC431D" w:rsidP="006A253E">
      <w:pPr>
        <w:autoSpaceDE w:val="0"/>
        <w:autoSpaceDN w:val="0"/>
        <w:adjustRightInd w:val="0"/>
        <w:snapToGrid w:val="0"/>
        <w:spacing w:line="360" w:lineRule="auto"/>
        <w:jc w:val="both"/>
        <w:rPr>
          <w:rFonts w:ascii="Book Antiqua" w:hAnsi="Book Antiqua"/>
          <w:bCs/>
          <w:lang w:val="en-US"/>
        </w:rPr>
      </w:pPr>
      <w:r w:rsidRPr="009D7554">
        <w:rPr>
          <w:rFonts w:ascii="Book Antiqua" w:hAnsi="Book Antiqua"/>
          <w:bCs/>
          <w:lang w:val="en-US"/>
        </w:rPr>
        <w:t xml:space="preserve">Surgical resection remains the only treatment with curative </w:t>
      </w:r>
      <w:r w:rsidR="00502E2D" w:rsidRPr="009D7554">
        <w:rPr>
          <w:rFonts w:ascii="Book Antiqua" w:hAnsi="Book Antiqua"/>
          <w:bCs/>
          <w:lang w:val="en-US"/>
        </w:rPr>
        <w:t>potential</w:t>
      </w:r>
      <w:r w:rsidR="00423CC4" w:rsidRPr="009D7554">
        <w:rPr>
          <w:rFonts w:ascii="Book Antiqua" w:hAnsi="Book Antiqua"/>
          <w:bCs/>
          <w:lang w:val="en-US"/>
        </w:rPr>
        <w:t xml:space="preserve"> </w:t>
      </w:r>
      <w:r w:rsidRPr="009D7554">
        <w:rPr>
          <w:rFonts w:ascii="Book Antiqua" w:hAnsi="Book Antiqua"/>
          <w:bCs/>
          <w:lang w:val="en-US"/>
        </w:rPr>
        <w:t xml:space="preserve">for </w:t>
      </w:r>
      <w:r w:rsidR="008C4AC8" w:rsidRPr="009D7554">
        <w:rPr>
          <w:rFonts w:ascii="Book Antiqua" w:hAnsi="Book Antiqua"/>
          <w:bCs/>
          <w:lang w:val="en-US"/>
        </w:rPr>
        <w:t>colorectal liver metastases (CRLMs)</w:t>
      </w:r>
      <w:r w:rsidR="002C09AC" w:rsidRPr="009D7554">
        <w:rPr>
          <w:rFonts w:ascii="Book Antiqua" w:hAnsi="Book Antiqua"/>
          <w:bCs/>
          <w:vertAlign w:val="superscript"/>
          <w:lang w:val="en-US"/>
        </w:rPr>
        <w:t>[89]</w:t>
      </w:r>
      <w:r w:rsidR="00AE1BF8" w:rsidRPr="009D7554">
        <w:rPr>
          <w:rFonts w:ascii="Book Antiqua" w:hAnsi="Book Antiqua"/>
          <w:lang w:val="en-US"/>
        </w:rPr>
        <w:t xml:space="preserve">. In patients who are not suitable candidates for surgery, chemotherapy alone or in </w:t>
      </w:r>
      <w:r w:rsidR="00423CC4" w:rsidRPr="009D7554">
        <w:rPr>
          <w:rFonts w:ascii="Book Antiqua" w:hAnsi="Book Antiqua"/>
          <w:lang w:val="en-US"/>
        </w:rPr>
        <w:t>combination with</w:t>
      </w:r>
      <w:r w:rsidR="00AE1BF8" w:rsidRPr="009D7554">
        <w:rPr>
          <w:rFonts w:ascii="Book Antiqua" w:hAnsi="Book Antiqua"/>
          <w:lang w:val="en-US"/>
        </w:rPr>
        <w:t xml:space="preserve"> local hepatic treatments, such as intrahepatic arterial infusion chemotherapy</w:t>
      </w:r>
      <w:r w:rsidR="00423CC4" w:rsidRPr="009D7554">
        <w:rPr>
          <w:rFonts w:ascii="Book Antiqua" w:hAnsi="Book Antiqua"/>
          <w:lang w:val="en-US"/>
        </w:rPr>
        <w:t>,</w:t>
      </w:r>
      <w:r w:rsidR="00AE1BF8" w:rsidRPr="009D7554">
        <w:rPr>
          <w:rFonts w:ascii="Book Antiqua" w:hAnsi="Book Antiqua"/>
          <w:lang w:val="en-US"/>
        </w:rPr>
        <w:t xml:space="preserve"> transcatheter arterial chemo-embolization (TACE)</w:t>
      </w:r>
      <w:r w:rsidR="00423CC4" w:rsidRPr="009D7554">
        <w:rPr>
          <w:rFonts w:ascii="Book Antiqua" w:hAnsi="Book Antiqua"/>
          <w:lang w:val="en-US"/>
        </w:rPr>
        <w:t>,</w:t>
      </w:r>
      <w:r w:rsidR="00AE1BF8" w:rsidRPr="009D7554">
        <w:rPr>
          <w:rFonts w:ascii="Book Antiqua" w:hAnsi="Book Antiqua"/>
          <w:lang w:val="en-US"/>
        </w:rPr>
        <w:t xml:space="preserve"> selective internal radiation therapy (SIRTI)</w:t>
      </w:r>
      <w:r w:rsidR="00423CC4" w:rsidRPr="009D7554">
        <w:rPr>
          <w:rFonts w:ascii="Book Antiqua" w:hAnsi="Book Antiqua"/>
          <w:lang w:val="en-US"/>
        </w:rPr>
        <w:t>,</w:t>
      </w:r>
      <w:r w:rsidR="00AE1BF8" w:rsidRPr="009D7554">
        <w:rPr>
          <w:rFonts w:ascii="Book Antiqua" w:hAnsi="Book Antiqua"/>
          <w:lang w:val="en-US"/>
        </w:rPr>
        <w:t xml:space="preserve"> radiofrequency ablation (RFA)</w:t>
      </w:r>
      <w:r w:rsidR="00423CC4" w:rsidRPr="009D7554">
        <w:rPr>
          <w:rFonts w:ascii="Book Antiqua" w:hAnsi="Book Antiqua"/>
          <w:lang w:val="en-US"/>
        </w:rPr>
        <w:t>,</w:t>
      </w:r>
      <w:r w:rsidR="00AE1BF8" w:rsidRPr="009D7554">
        <w:rPr>
          <w:rFonts w:ascii="Book Antiqua" w:hAnsi="Book Antiqua"/>
          <w:lang w:val="en-US"/>
        </w:rPr>
        <w:t xml:space="preserve"> laser therapy or cryotherapy, may be performed</w:t>
      </w:r>
      <w:r w:rsidR="002C09AC" w:rsidRPr="009D7554">
        <w:rPr>
          <w:rFonts w:ascii="Book Antiqua" w:hAnsi="Book Antiqua"/>
          <w:bCs/>
          <w:lang w:val="en-US"/>
        </w:rPr>
        <w:fldChar w:fldCharType="begin" w:fldLock="1"/>
      </w:r>
      <w:r w:rsidR="00DF4FB7" w:rsidRPr="009D7554">
        <w:rPr>
          <w:rFonts w:ascii="Book Antiqua" w:hAnsi="Book Antiqua"/>
          <w:bCs/>
          <w:lang w:val="en-US"/>
        </w:rPr>
        <w:instrText>ADDIN CSL_CITATION {"citationItems":[{"id":"ITEM-1","itemData":{"DOI":"10.4254/wjh.v11.i2.150","ISSN":"1948-5182","PMID":"30820266","abstract":"Liver metastasis is the commonest form of distant metastasis in colorectal cancer. Selection criteria for surgery and liver-directed therapies have recently been extended. However, resectability remains poorly defined. Tumour biology is increasingly recognized as an important prognostic factor; hence molecular profiling has a growing role in risk stratification and management planning. Surgical resection is the only treatment modality for curative intent. The most appropriate surgical approach is yet to be established. The primary cancer and the hepatic metastasis can be removed simultaneously or in a two-step approach; these two strategies have comparable long-term outcomes. For patients with a limited future liver remnant, portal vein embolization, combined ablation and resection, and associating liver partition and portal vein ligation for staged hepatectomy have been advocated, and each has their pros and cons. The role of neoadjuvant and adjuvant chemotherapy is still debated. Targeted biological agents and loco-regional therapies (thermal ablation, intra-arterial chemo- or radio-embolization, and stereotactic radiotherapy) further improve the already favourable results. The recent debate about offering liver transplantation to highly selected patients needs validation from large clinical trials. Evidence-based protocols are missing, and therefore optimal management of hepatic metastasis should be personalized and determined by a multi-disciplinary team.","author":[{"dropping-particle":"","family":"Chow","given":"Felix Che-Lok","non-dropping-particle":"","parse-names":false,"suffix":""},{"dropping-particle":"","family":"Chok","given":"Kenneth Siu-Ho","non-dropping-particle":"","parse-names":false,"suffix":""}],"container-title":"World journal of hepatology","id":"ITEM-1","issue":"2","issued":{"date-parts":[["2019","2","27"]]},"page":"150-172","title":"Colorectal liver metastases: An update on multidisciplinary approach.","type":"article-journal","volume":"11"},"uris":["http://www.mendeley.com/documents/?uuid=7c3dd292-af33-4155-a09f-bd7dd16349ca"]}],"mendeley":{"formattedCitation":"&lt;sup&gt;[90]&lt;/sup&gt;","plainTextFormattedCitation":"[90]","previouslyFormattedCitation":"&lt;sup&gt;[90]&lt;/sup&gt;"},"properties":{"noteIndex":0},"schema":"https://github.com/citation-style-language/schema/raw/master/csl-citation.json"}</w:instrText>
      </w:r>
      <w:r w:rsidR="002C09AC" w:rsidRPr="009D7554">
        <w:rPr>
          <w:rFonts w:ascii="Book Antiqua" w:hAnsi="Book Antiqua"/>
          <w:bCs/>
          <w:lang w:val="en-US"/>
        </w:rPr>
        <w:fldChar w:fldCharType="separate"/>
      </w:r>
      <w:r w:rsidR="00DF4FB7" w:rsidRPr="009D7554">
        <w:rPr>
          <w:rFonts w:ascii="Book Antiqua" w:hAnsi="Book Antiqua"/>
          <w:bCs/>
          <w:vertAlign w:val="superscript"/>
          <w:lang w:val="en-US"/>
        </w:rPr>
        <w:t>[90]</w:t>
      </w:r>
      <w:r w:rsidR="002C09AC" w:rsidRPr="009D7554">
        <w:rPr>
          <w:rFonts w:ascii="Book Antiqua" w:hAnsi="Book Antiqua"/>
          <w:bCs/>
          <w:lang w:val="en-US"/>
        </w:rPr>
        <w:fldChar w:fldCharType="end"/>
      </w:r>
      <w:r w:rsidR="006D1FE4" w:rsidRPr="009D7554">
        <w:rPr>
          <w:rFonts w:ascii="Book Antiqua" w:hAnsi="Book Antiqua"/>
          <w:bCs/>
          <w:lang w:val="en-US"/>
        </w:rPr>
        <w:t xml:space="preserve">. Tomographic imaging based on conventional qualitative evaluation </w:t>
      </w:r>
      <w:r w:rsidR="001F0F25" w:rsidRPr="009D7554">
        <w:rPr>
          <w:rFonts w:ascii="Book Antiqua" w:hAnsi="Book Antiqua"/>
          <w:bCs/>
          <w:lang w:val="en-US"/>
        </w:rPr>
        <w:t>contributes</w:t>
      </w:r>
      <w:r w:rsidR="006D1FE4" w:rsidRPr="009D7554">
        <w:rPr>
          <w:rFonts w:ascii="Book Antiqua" w:hAnsi="Book Antiqua"/>
          <w:bCs/>
          <w:lang w:val="en-US"/>
        </w:rPr>
        <w:t xml:space="preserve"> mostly to </w:t>
      </w:r>
      <w:r w:rsidR="001F0F25" w:rsidRPr="009D7554">
        <w:rPr>
          <w:rFonts w:ascii="Book Antiqua" w:hAnsi="Book Antiqua"/>
          <w:bCs/>
          <w:lang w:val="en-US"/>
        </w:rPr>
        <w:t>defining</w:t>
      </w:r>
      <w:r w:rsidR="006D1FE4" w:rsidRPr="009D7554">
        <w:rPr>
          <w:rFonts w:ascii="Book Antiqua" w:hAnsi="Book Antiqua"/>
          <w:bCs/>
          <w:lang w:val="en-US"/>
        </w:rPr>
        <w:t xml:space="preserve"> the appropriate therapeutic management of CRLMs</w:t>
      </w:r>
      <w:r w:rsidR="00DF4FB7" w:rsidRPr="009D7554">
        <w:rPr>
          <w:rFonts w:ascii="Book Antiqua" w:hAnsi="Book Antiqua"/>
          <w:bCs/>
          <w:lang w:val="en-US"/>
        </w:rPr>
        <w:fldChar w:fldCharType="begin" w:fldLock="1"/>
      </w:r>
      <w:r w:rsidR="004308B4" w:rsidRPr="009D7554">
        <w:rPr>
          <w:rFonts w:ascii="Book Antiqua" w:hAnsi="Book Antiqua"/>
          <w:bCs/>
          <w:lang w:val="en-US"/>
        </w:rPr>
        <w:instrText>ADDIN CSL_CITATION {"citationItems":[{"id":"ITEM-1","itemData":{"DOI":"10.1007/s00261-009-9555-2","ISSN":"1432-0509","PMID":"19562412","abstract":"BACKGROUND To compare contrast-enhanced US (CE-US), multidetector-CT (MDCT), 1.5 Tesla MR with extra-cellular (Gd-enhanced) and intracellular (SPIO-enhanced) contrast agents and PET/CT, in the detection of hepatic metastases from colorectal cancer. MATERIALS AND METHODS A total of 34 patients with colo-rectal adenocarcinoma underwent preoperatively CE-US, MDCT, Gd- and SPIO-enhanced MR imaging (MRI), and PET/CT. Each set of images was reviewed independently by two blinded observers. The ROC method was used to analyze the results, which were correlated with surgical findings, intraoperative US, histopathology, and MDCT follow-up. RESULTS A total of 57 hepatic lesions were identified: 11 hemangiomas, 29 cysts, 1 focal fatty liver, 16 metastases (dimensional distribution: 5/16 &lt; 5 mm; 3/16 between 5 mm and &lt;10 mm; 8/16 ≥ 10 mm). Six of 34 patients were classified as positive for the presence of at least one metastasis. Considering all the metastases and those ≥ 10 mm, ROC areas showed no significant differences between Gd- and SPIO-enhanced MRI, which performed significantly better than the other modalities (P &lt; 0.05). Considering the lesions &lt;10 mm, ROC areas showed no significant differences between all modalities; however MRI presented a trend to perform better than the other techniques. Considering the patients, ROC areas showed no significant differences between all the modalities; however PET/CT seemed to perform better than the others. CONCLUSIONS Gd- and SPIO-enhanced MRI seem to be the most accurate modality in the identification of liver metastases from colo-rectal carcinoma. PET/CT shows a trend to perform better than the other modalities in the identification of patients with liver metastases.","author":[{"dropping-particle":"","family":"Mainenti","given":"Pier Paolo","non-dropping-particle":"","parse-names":false,"suffix":""},{"dropping-particle":"","family":"Mancini","given":"Marcello","non-dropping-particle":"","parse-names":false,"suffix":""},{"dropping-particle":"","family":"Mainolfi","given":"Ciro","non-dropping-particle":"","parse-names":false,"suffix":""},{"dropping-particle":"","family":"Camera","given":"Luigi","non-dropping-particle":"","parse-names":false,"suffix":""},{"dropping-particle":"","family":"Maurea","given":"Simone","non-dropping-particle":"","parse-names":false,"suffix":""},{"dropping-particle":"","family":"Manchia","given":"Antonietta","non-dropping-particle":"","parse-names":false,"suffix":""},{"dropping-particle":"","family":"Tanga","given":"Michela","non-dropping-particle":"","parse-names":false,"suffix":""},{"dropping-particle":"","family":"Persico","given":"Francesco","non-dropping-particle":"","parse-names":false,"suffix":""},{"dropping-particle":"","family":"Addeo","given":"Pietro","non-dropping-particle":"","parse-names":false,"suffix":""},{"dropping-particle":"","family":"D'Antonio","given":"Dario","non-dropping-particle":"","parse-names":false,"suffix":""},{"dropping-particle":"","family":"Speranza","given":"Antonio","non-dropping-particle":"","parse-names":false,"suffix":""},{"dropping-particle":"","family":"Bucci","given":"Luigi","non-dropping-particle":"","parse-names":false,"suffix":""},{"dropping-particle":"","family":"Persico","given":"Giovanni","non-dropping-particle":"","parse-names":false,"suffix":""},{"dropping-particle":"","family":"Pace","given":"Leonardo","non-dropping-particle":"","parse-names":false,"suffix":""},{"dropping-particle":"","family":"Salvatore","given":"Marco","non-dropping-particle":"","parse-names":false,"suffix":""}],"container-title":"Abdominal imaging","id":"ITEM-1","issue":"5","issued":{"date-parts":[["2010","10"]]},"page":"511-21","title":"Detection of colo-rectal liver metastases: prospective comparison of contrast enhanced US, multidetector CT, PET/CT, and 1.5 Tesla MR with extracellular and reticulo-endothelial cell specific contrast agents.","type":"article-journal","volume":"35"},"uris":["http://www.mendeley.com/documents/?uuid=85499fa1-b3e3-4e0a-bf93-1ab14c5b984e"]},{"id":"ITEM-2","itemData":{"DOI":"10.4329/wjr.v7.i7.157","ISSN":"1949-8470","PMID":"26217455","abstract":"Colorectal cancer is one of the few malignant tumors in which synchronous or metachronous liver metastases [colorectal liver metastases (CRLMs)] may be treated with surgery. It has been demonstrated that resection of CRLMs improves the long-term prognosis. On the other hand, patients with un-resectable CRLMs may benefit from chemotherapy alone or in addition to liver-directed therapies. The choice of the most appropriate therapeutic management of CRLMs depends mostly on the diagnostic imaging. Nowadays, multiple non-invasive imaging modalities are available and those have a pivotal role in the workup of patients with CRLMs. Although extensive research has been performed with regards to the diagnostic performance of ultrasonography, computed tomography, positron emission tomography and magnetic resonance for the detection of CRLMs, the optimal imaging strategies for staging and follow up are still to be established. This largely due to the progressive technological and pharmacological advances which are constantly improving the accuracy of each imaging modality. This review describes the non-invasive imaging approaches of CRLMs reporting the technical features, the clinical indications, the advantages and the potential limitations of each modality, as well as including some information on the development of new imaging modalities, the role of new contrast media and the feasibility of using parametric image analysis as diagnostic marker of presence of CRLMs.","author":[{"dropping-particle":"","family":"Mainenti","given":"Pier Paolo","non-dropping-particle":"","parse-names":false,"suffix":""},{"dropping-particle":"","family":"Romano","given":"Federica","non-dropping-particle":"","parse-names":false,"suffix":""},{"dropping-particle":"","family":"Pizzuti","given":"Laura","non-dropping-particle":"","parse-names":false,"suffix":""},{"dropping-particle":"","family":"Segreto","given":"Sabrina","non-dropping-particle":"","parse-names":false,"suffix":""},{"dropping-particle":"","family":"Storto","given":"Giovanni","non-dropping-particle":"","parse-names":false,"suffix":""},{"dropping-particle":"","family":"Mannelli","given":"Lorenzo","non-dropping-particle":"","parse-names":false,"suffix":""},{"dropping-particle":"","family":"Imbriaco","given":"Massimo","non-dropping-particle":"","parse-names":false,"suffix":""},{"dropping-particle":"","family":"Camera","given":"Luigi","non-dropping-particle":"","parse-names":false,"suffix":""},{"dropping-particle":"","family":"Maurea","given":"Simone","non-dropping-particle":"","parse-names":false,"suffix":""}],"container-title":"World journal of radiology","id":"ITEM-2","issue":"7","issued":{"date-parts":[["2015","7","28"]]},"page":"157-69","title":"Non-invasive diagnostic imaging of colorectal liver metastases.","type":"article-journal","volume":"7"},"uris":["http://www.mendeley.com/documents/?uuid=fff80964-7831-48ce-9335-1f9fec140e89"]}],"mendeley":{"formattedCitation":"&lt;sup&gt;[91,92]&lt;/sup&gt;","plainTextFormattedCitation":"[91,92]","previouslyFormattedCitation":"&lt;sup&gt;[91,92]&lt;/sup&gt;"},"properties":{"noteIndex":0},"schema":"https://github.com/citation-style-language/schema/raw/master/csl-citation.json"}</w:instrText>
      </w:r>
      <w:r w:rsidR="00DF4FB7" w:rsidRPr="009D7554">
        <w:rPr>
          <w:rFonts w:ascii="Book Antiqua" w:hAnsi="Book Antiqua"/>
          <w:bCs/>
          <w:lang w:val="en-US"/>
        </w:rPr>
        <w:fldChar w:fldCharType="separate"/>
      </w:r>
      <w:r w:rsidR="00DF4FB7" w:rsidRPr="009D7554">
        <w:rPr>
          <w:rFonts w:ascii="Book Antiqua" w:hAnsi="Book Antiqua"/>
          <w:bCs/>
          <w:vertAlign w:val="superscript"/>
          <w:lang w:val="en-US"/>
        </w:rPr>
        <w:t>[91,92]</w:t>
      </w:r>
      <w:r w:rsidR="00DF4FB7" w:rsidRPr="009D7554">
        <w:rPr>
          <w:rFonts w:ascii="Book Antiqua" w:hAnsi="Book Antiqua"/>
          <w:bCs/>
          <w:lang w:val="en-US"/>
        </w:rPr>
        <w:fldChar w:fldCharType="end"/>
      </w:r>
      <w:r w:rsidR="001F0F25" w:rsidRPr="009D7554">
        <w:rPr>
          <w:rFonts w:ascii="Book Antiqua" w:hAnsi="Book Antiqua"/>
          <w:bCs/>
          <w:lang w:val="en-US"/>
        </w:rPr>
        <w:t>;</w:t>
      </w:r>
      <w:r w:rsidR="006D3E9E" w:rsidRPr="009D7554">
        <w:rPr>
          <w:rFonts w:ascii="Book Antiqua" w:hAnsi="Book Antiqua"/>
          <w:bCs/>
          <w:lang w:val="en-US"/>
        </w:rPr>
        <w:t xml:space="preserve"> however</w:t>
      </w:r>
      <w:r w:rsidR="001F0F25" w:rsidRPr="009D7554">
        <w:rPr>
          <w:rFonts w:ascii="Book Antiqua" w:hAnsi="Book Antiqua"/>
          <w:bCs/>
          <w:lang w:val="en-US"/>
        </w:rPr>
        <w:t>,</w:t>
      </w:r>
      <w:r w:rsidR="006D3E9E" w:rsidRPr="009D7554">
        <w:rPr>
          <w:rFonts w:ascii="Book Antiqua" w:hAnsi="Book Antiqua"/>
          <w:bCs/>
          <w:lang w:val="en-US"/>
        </w:rPr>
        <w:t xml:space="preserve"> defining tumor biology could allow </w:t>
      </w:r>
      <w:r w:rsidR="00423CC4" w:rsidRPr="009D7554">
        <w:rPr>
          <w:rFonts w:ascii="Book Antiqua" w:hAnsi="Book Antiqua"/>
          <w:bCs/>
          <w:lang w:val="en-US"/>
        </w:rPr>
        <w:t>the improved</w:t>
      </w:r>
      <w:r w:rsidR="006D3E9E" w:rsidRPr="009D7554">
        <w:rPr>
          <w:rFonts w:ascii="Book Antiqua" w:hAnsi="Book Antiqua"/>
          <w:bCs/>
          <w:lang w:val="en-US"/>
        </w:rPr>
        <w:t xml:space="preserve"> selection of treatment strategies and</w:t>
      </w:r>
      <w:r w:rsidR="001F0F25" w:rsidRPr="009D7554">
        <w:rPr>
          <w:rFonts w:ascii="Book Antiqua" w:hAnsi="Book Antiqua"/>
          <w:bCs/>
          <w:lang w:val="en-US"/>
        </w:rPr>
        <w:t>,</w:t>
      </w:r>
      <w:r w:rsidR="006D3E9E" w:rsidRPr="009D7554">
        <w:rPr>
          <w:rFonts w:ascii="Book Antiqua" w:hAnsi="Book Antiqua"/>
          <w:bCs/>
          <w:lang w:val="en-US"/>
        </w:rPr>
        <w:t xml:space="preserve"> as </w:t>
      </w:r>
      <w:r w:rsidR="001F0F25" w:rsidRPr="009D7554">
        <w:rPr>
          <w:rFonts w:ascii="Book Antiqua" w:hAnsi="Book Antiqua"/>
          <w:bCs/>
          <w:lang w:val="en-US"/>
        </w:rPr>
        <w:t xml:space="preserve">a </w:t>
      </w:r>
      <w:r w:rsidR="006D3E9E" w:rsidRPr="009D7554">
        <w:rPr>
          <w:rFonts w:ascii="Book Antiqua" w:hAnsi="Book Antiqua"/>
          <w:bCs/>
          <w:lang w:val="en-US"/>
        </w:rPr>
        <w:t>result</w:t>
      </w:r>
      <w:r w:rsidR="001F0F25" w:rsidRPr="009D7554">
        <w:rPr>
          <w:rFonts w:ascii="Book Antiqua" w:hAnsi="Book Antiqua"/>
          <w:bCs/>
          <w:lang w:val="en-US"/>
        </w:rPr>
        <w:t>,</w:t>
      </w:r>
      <w:r w:rsidR="006D3E9E" w:rsidRPr="009D7554">
        <w:rPr>
          <w:rFonts w:ascii="Book Antiqua" w:hAnsi="Book Antiqua"/>
          <w:bCs/>
          <w:lang w:val="en-US"/>
        </w:rPr>
        <w:t xml:space="preserve"> </w:t>
      </w:r>
      <w:r w:rsidR="00423CC4" w:rsidRPr="009D7554">
        <w:rPr>
          <w:rFonts w:ascii="Book Antiqua" w:hAnsi="Book Antiqua"/>
          <w:bCs/>
          <w:lang w:val="en-US"/>
        </w:rPr>
        <w:t xml:space="preserve">the </w:t>
      </w:r>
      <w:r w:rsidR="006D3E9E" w:rsidRPr="009D7554">
        <w:rPr>
          <w:rFonts w:ascii="Book Antiqua" w:hAnsi="Book Antiqua"/>
          <w:bCs/>
          <w:lang w:val="en-US"/>
        </w:rPr>
        <w:t>more accurate prognostic evaluation of patients</w:t>
      </w:r>
      <w:r w:rsidR="00A75298" w:rsidRPr="009D7554">
        <w:rPr>
          <w:rFonts w:ascii="Book Antiqua" w:hAnsi="Book Antiqua"/>
          <w:bCs/>
          <w:lang w:val="en-US"/>
        </w:rPr>
        <w:fldChar w:fldCharType="begin" w:fldLock="1"/>
      </w:r>
      <w:r w:rsidR="00DF4FB7" w:rsidRPr="009D7554">
        <w:rPr>
          <w:rFonts w:ascii="Book Antiqua" w:hAnsi="Book Antiqua"/>
          <w:bCs/>
          <w:lang w:val="en-US"/>
        </w:rPr>
        <w:instrText>ADDIN CSL_CITATION {"citationItems":[{"id":"ITEM-1","itemData":{"DOI":"10.4254/wjh.v11.i2.150","ISSN":"1948-5182","PMID":"30820266","abstract":"Liver metastasis is the commonest form of distant metastasis in colorectal cancer. Selection criteria for surgery and liver-directed therapies have recently been extended. However, resectability remains poorly defined. Tumour biology is increasingly recognized as an important prognostic factor; hence molecular profiling has a growing role in risk stratification and management planning. Surgical resection is the only treatment modality for curative intent. The most appropriate surgical approach is yet to be established. The primary cancer and the hepatic metastasis can be removed simultaneously or in a two-step approach; these two strategies have comparable long-term outcomes. For patients with a limited future liver remnant, portal vein embolization, combined ablation and resection, and associating liver partition and portal vein ligation for staged hepatectomy have been advocated, and each has their pros and cons. The role of neoadjuvant and adjuvant chemotherapy is still debated. Targeted biological agents and loco-regional therapies (thermal ablation, intra-arterial chemo- or radio-embolization, and stereotactic radiotherapy) further improve the already favourable results. The recent debate about offering liver transplantation to highly selected patients needs validation from large clinical trials. Evidence-based protocols are missing, and therefore optimal management of hepatic metastasis should be personalized and determined by a multi-disciplinary team.","author":[{"dropping-particle":"","family":"Chow","given":"Felix Che-Lok","non-dropping-particle":"","parse-names":false,"suffix":""},{"dropping-particle":"","family":"Chok","given":"Kenneth Siu-Ho","non-dropping-particle":"","parse-names":false,"suffix":""}],"container-title":"World journal of hepatology","id":"ITEM-1","issue":"2","issued":{"date-parts":[["2019","2","27"]]},"page":"150-172","title":"Colorectal liver metastases: An update on multidisciplinary approach.","type":"article-journal","volume":"11"},"uris":["http://www.mendeley.com/documents/?uuid=7c3dd292-af33-4155-a09f-bd7dd16349ca"]}],"mendeley":{"formattedCitation":"&lt;sup&gt;[90]&lt;/sup&gt;","plainTextFormattedCitation":"[90]","previouslyFormattedCitation":"&lt;sup&gt;[90]&lt;/sup&gt;"},"properties":{"noteIndex":0},"schema":"https://github.com/citation-style-language/schema/raw/master/csl-citation.json"}</w:instrText>
      </w:r>
      <w:r w:rsidR="00A75298" w:rsidRPr="009D7554">
        <w:rPr>
          <w:rFonts w:ascii="Book Antiqua" w:hAnsi="Book Antiqua"/>
          <w:bCs/>
          <w:lang w:val="en-US"/>
        </w:rPr>
        <w:fldChar w:fldCharType="separate"/>
      </w:r>
      <w:r w:rsidR="00DF4FB7" w:rsidRPr="009D7554">
        <w:rPr>
          <w:rFonts w:ascii="Book Antiqua" w:hAnsi="Book Antiqua"/>
          <w:bCs/>
          <w:vertAlign w:val="superscript"/>
          <w:lang w:val="en-US"/>
        </w:rPr>
        <w:t>[90]</w:t>
      </w:r>
      <w:r w:rsidR="00A75298" w:rsidRPr="009D7554">
        <w:rPr>
          <w:rFonts w:ascii="Book Antiqua" w:hAnsi="Book Antiqua"/>
          <w:bCs/>
          <w:lang w:val="en-US"/>
        </w:rPr>
        <w:fldChar w:fldCharType="end"/>
      </w:r>
      <w:r w:rsidR="001C3C53" w:rsidRPr="009D7554">
        <w:rPr>
          <w:rFonts w:ascii="Book Antiqua" w:hAnsi="Book Antiqua"/>
          <w:bCs/>
          <w:lang w:val="en-US"/>
        </w:rPr>
        <w:t>. In this setting, PA could provide potentially useful imaging markers for the prediction of treatment response.</w:t>
      </w:r>
    </w:p>
    <w:p w:rsidR="007F2B63" w:rsidRPr="009D7554" w:rsidRDefault="007F2B63" w:rsidP="006A253E">
      <w:pPr>
        <w:widowControl w:val="0"/>
        <w:autoSpaceDE w:val="0"/>
        <w:autoSpaceDN w:val="0"/>
        <w:adjustRightInd w:val="0"/>
        <w:snapToGrid w:val="0"/>
        <w:spacing w:line="360" w:lineRule="auto"/>
        <w:jc w:val="both"/>
        <w:rPr>
          <w:rFonts w:ascii="Book Antiqua" w:hAnsi="Book Antiqua"/>
          <w:bCs/>
          <w:i/>
          <w:iCs/>
          <w:lang w:val="en-US"/>
        </w:rPr>
      </w:pPr>
    </w:p>
    <w:p w:rsidR="001C3C53" w:rsidRPr="009D7554" w:rsidRDefault="00EE43BB"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DWI with ADC maps</w:t>
      </w:r>
      <w:r w:rsidR="00A24A9E" w:rsidRPr="009D7554">
        <w:rPr>
          <w:rFonts w:ascii="Book Antiqua" w:eastAsia="等线" w:hAnsi="Book Antiqua" w:hint="eastAsia"/>
          <w:b/>
          <w:lang w:val="en-US" w:eastAsia="zh-CN"/>
        </w:rPr>
        <w:t>:</w:t>
      </w:r>
      <w:r w:rsidR="00A24A9E" w:rsidRPr="009D7554">
        <w:rPr>
          <w:rFonts w:ascii="Book Antiqua" w:eastAsia="等线" w:hAnsi="Book Antiqua"/>
          <w:b/>
          <w:lang w:val="en-US" w:eastAsia="zh-CN"/>
        </w:rPr>
        <w:t xml:space="preserve"> </w:t>
      </w:r>
      <w:r w:rsidR="001C3C53" w:rsidRPr="009D7554">
        <w:rPr>
          <w:rFonts w:ascii="Book Antiqua" w:hAnsi="Book Antiqua"/>
          <w:lang w:val="en-US"/>
        </w:rPr>
        <w:t xml:space="preserve">ADC values have been proposed </w:t>
      </w:r>
      <w:r w:rsidR="00423CC4" w:rsidRPr="009D7554">
        <w:rPr>
          <w:rFonts w:ascii="Book Antiqua" w:hAnsi="Book Antiqua"/>
          <w:lang w:val="en-US"/>
        </w:rPr>
        <w:t>for use in assessing</w:t>
      </w:r>
      <w:r w:rsidR="001C3C53" w:rsidRPr="009D7554">
        <w:rPr>
          <w:rFonts w:ascii="Book Antiqua" w:hAnsi="Book Antiqua"/>
          <w:lang w:val="en-US"/>
        </w:rPr>
        <w:t xml:space="preserve"> the response</w:t>
      </w:r>
      <w:r w:rsidR="00423CC4" w:rsidRPr="009D7554">
        <w:rPr>
          <w:rFonts w:ascii="Book Antiqua" w:hAnsi="Book Antiqua"/>
          <w:lang w:val="en-US"/>
        </w:rPr>
        <w:t>s</w:t>
      </w:r>
      <w:r w:rsidR="001C3C53" w:rsidRPr="009D7554">
        <w:rPr>
          <w:rFonts w:ascii="Book Antiqua" w:hAnsi="Book Antiqua"/>
          <w:lang w:val="en-US"/>
        </w:rPr>
        <w:t xml:space="preserve"> of CRLMs to chemotherapy</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{"citationItems":[{"id":"ITEM-1","itemData":{"DOI":"10.2214/AJR.06.0601","ISSN":"1546-3141","PMID":"17377036","abstract":"OBJECTIVE The purposes of this study were to determine whether the pretreatment apparent diffusion coefficients (ADCs) of hepatic metastatic lesions from colorectal cancer are predictive of response to chemotherapy and to compare the ADCs of metastatic lesions before and after chemotherapy. SUBJECTS AND METHODS Twenty patients with potentially operable hepatic lesions larger than 1 cm in diameter metastatic from colorectal carcinoma were prospectively evaluated with diffusion-weighted imaging at three b values before and after chemotherapy. Quantitative ADC maps were calculated with images with b values of 0, 150, and 500 s/mm2 (ADC0-500) and with images with b values of 150 and 500 s/mm2 (ADC150-500). Regions of interest were drawn around metastatic lesions and randomly over liver. The mean ADC0-500 and mean ADC150-500 of metastatic lesions before and after chemotherapy were compared according to response defined by Response Evaluation Criteria in Solid Tumors criteria. RESULTS Twenty-five responding and 15 nonresponding metastatic lesions were evaluated. Nonresponding lesions had a significantly higher pretreatment mean ADC0-500 and mean ADC150-500 than did responding lesions (Mann-Whitney U test, p &lt; 0.002). There was a linear regression relation (r2 = 0.34, p = 0.02) between percentage size reduction of metastatic lesions and pretreatment mean ADC150-500. After chemotherapy, responding lesions had a significant increase in mean ADC0-500 and ADC150-500 (Wilcoxon's signed rank, p = 0.025). No significant change was observed in nonresponding metastatic lesions (Wilcoxon's signed rank, p &gt; 0.5) or in normal liver parenchyma (Wilcoxon's signed rank, p &gt; 0.4). CONCLUSION High pretreatment mean ADC0-500 and mean ADC150-500 of colorectal hepatic metastatic lesions were predictive of poor response to chemotherapy. A significant increase in mean ADC0-500 and ADC150-500 was observed in metastatic lesions that responded to chemotherapy. These findings may have implications for development of individualized therapy.","author":[{"dropping-particle":"","family":"Koh","given":"Dow-Mu","non-dropping-particle":"","parse-names":false,"suffix":""},{"dropping-particle":"","family":"Scurr","given":"Erica","non-dropping-particle":"","parse-names":false,"suffix":""},{"dropping-particle":"","family":"Collins","given":"David","non-dropping-particle":"","parse-names":false,"suffix":""},{"dropping-particle":"","family":"Kanber","given":"Baris","non-dropping-particle":"","parse-names":false,"suffix":""},{"dropping-particle":"","family":"Norman","given":"Andrew","non-dropping-particle":"","parse-names":false,"suffix":""},{"dropping-particle":"","family":"Leach","given":"Martin O","non-dropping-particle":"","parse-names":false,"suffix":""},{"dropping-particle":"","family":"Husband","given":"Janet E","non-dropping-particle":"","parse-names":false,"suffix":""}],"container-title":"AJR. American journal of roentgenology","id":"ITEM-1","issue":"4","issued":{"date-parts":[["2007","4"]]},"page":"1001-8","title":"Predicting response of colorectal hepatic metastasis: value of pretreatment apparent diffusion coefficients.","type":"article-journal","volume":"188"},"uris":["http://www.mendeley.com/documents/?uuid=4f17721f-8ecf-4766-830c-be2c7f22924f"]},{"id":"ITEM-2","itemData":{"DOI":"10.1148/radiol.2483071407","ISSN":"1527-1315","PMID":"18710982","abstract":"PURPOSE To evaluate the ability of the apparent diffusion coefficient (ADC) to help predict response to chemotherapy in patients with colorectal and gastric hepatic metastases. MATERIALS AND METHODS Institutional review board approval was obtained; all patients provided informed consent. Standard magnetic resonance (MR) imaging and diffusion-weighted (DW) MR imaging were performed before and 3, 7, and 42 days after initiating chemotherapy for 87 hepatic metastases in 23 colorectal and gastric cancer patients (16 men, seven women; mean age, 55.7 years; range, 33-71 years). Lesions were classified as either responding or nonresponding, according to changes in size at the end of therapy. Linear mixed-effects modeling was applied to analyze change in ADCs and size following treatment. The Pearson correlation test was calculated between those ADC parameters and tumor response. RESULTS Thirty-eight responding and 49 nonresponding metastatic lesions were evaluated. Pretherapy mean ADCs in responding lesions were significantly lower than those of nonresponding lesions (P = .003). An early increase in ADCs (on day 3 or 7) was observed in responding lesions but not in nonresponding lesions (P = .002). Weak but significant correlations were found between final tumor size reduction and both pretreatment ADCs (P = .006) and early ADC changes (day 3, P = .004; day 7, P &lt; .001). CONCLUSION ADC seems to be a promising tool for helping predict and monitor the early response to chemotherapy of hepatic metastases from colorectal and gastric carcinomas.","author":[{"dropping-particle":"","family":"Cui","given":"Yong","non-dropping-particle":"","parse-names":false,"suffix":""},{"dropping-particle":"","family":"Zhang","given":"Xiao-Peng","non-dropping-particle":"","parse-names":false,"suffix":""},{"dropping-particle":"","family":"Sun","given":"Ying-Shi","non-dropping-particle":"","parse-names":false,"suffix":""},{"dropping-particle":"","family":"Tang","given":"Lei","non-dropping-particle":"","parse-names":false,"suffix":""},{"dropping-particle":"","family":"Shen","given":"Lin","non-dropping-particle":"","parse-names":false,"suffix":""}],"container-title":"Radiology","id":"ITEM-2","issue":"3","issued":{"date-parts":[["2008","9"]]},"page":"894-900","title":"Apparent diffusion coefficient: potential imaging biomarker for prediction and early detection of response to chemotherapy in hepatic metastases.","type":"article-journal","volume":"248"},"uris":["http://www.mendeley.com/documents/?uuid=ae535515-589b-4ede-84e1-776149105d90"]}],"mendeley":{"formattedCitation":"&lt;sup&gt;[93,94]&lt;/sup&gt;","plainTextFormattedCitation":"[93,94]","previouslyFormattedCitation":"&lt;sup&gt;[93,94]&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[93,94]</w:t>
      </w:r>
      <w:r w:rsidR="00A75298" w:rsidRPr="009D7554">
        <w:rPr>
          <w:rFonts w:ascii="Book Antiqua" w:hAnsi="Book Antiqua"/>
          <w:lang w:val="en-US"/>
        </w:rPr>
        <w:fldChar w:fldCharType="end"/>
      </w:r>
      <w:r w:rsidR="005A3099" w:rsidRPr="009D7554">
        <w:rPr>
          <w:rFonts w:ascii="Book Antiqua" w:hAnsi="Book Antiqua"/>
          <w:bCs/>
          <w:lang w:val="en-US"/>
        </w:rPr>
        <w:t xml:space="preserve">. Koh </w:t>
      </w:r>
      <w:r w:rsidR="001C3C53"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{"citationItems":[{"id":"ITEM-1","itemData":{"DOI":"10.2214/AJR.06.0601","ISSN":"1546-3141","PMID":"17377036","abstract":"OBJECTIVE The purposes of this study were to determine whether the pretreatment apparent diffusion coefficients (ADCs) of hepatic metastatic lesions from colorectal cancer are predictive of response to chemotherapy and to compare the ADCs of metastatic lesions before and after chemotherapy. SUBJECTS AND METHODS Twenty patients with potentially operable hepatic lesions larger than 1 cm in diameter metastatic from colorectal carcinoma were prospectively evaluated with diffusion-weighted imaging at three b values before and after chemotherapy. Quantitative ADC maps were calculated with images with b values of 0, 150, and 500 s/mm2 (ADC0-500) and with images with b values of 150 and 500 s/mm2 (ADC150-500). Regions of interest were drawn around metastatic lesions and randomly over liver. The mean ADC0-500 and mean ADC150-500 of metastatic lesions before and after chemotherapy were compared according to response defined by Response Evaluation Criteria in Solid Tumors criteria. RESULTS Twenty-five responding and 15 nonresponding metastatic lesions were evaluated. Nonresponding lesions had a significantly higher pretreatment mean ADC0-500 and mean ADC150-500 than did responding lesions (Mann-Whitney U test, p &lt; 0.002). There was a linear regression relation (r2 = 0.34, p = 0.02) between percentage size reduction of metastatic lesions and pretreatment mean ADC150-500. After chemotherapy, responding lesions had a significant increase in mean ADC0-500 and ADC150-500 (Wilcoxon's signed rank, p = 0.025). No significant change was observed in nonresponding metastatic lesions (Wilcoxon's signed rank, p &gt; 0.5) or in normal liver parenchyma (Wilcoxon's signed rank, p &gt; 0.4). CONCLUSION High pretreatment mean ADC0-500 and mean ADC150-500 of colorectal hepatic metastatic lesions were predictive of poor response to chemotherapy. A significant increase in mean ADC0-500 and ADC150-500 was observed in metastatic lesions that responded to chemotherapy. These findings may have implications for development of individualized therapy.","author":[{"dropping-particle":"","family":"Koh","given":"Dow-Mu","non-dropping-particle":"","parse-names":false,"suffix":""},{"dropping-particle":"","family":"Scurr","given":"Erica","non-dropping-particle":"","parse-names":false,"suffix":""},{"dropping-particle":"","family":"Collins","given":"David","non-dropping-particle":"","parse-names":false,"suffix":""},{"dropping-particle":"","family":"Kanber","given":"Baris","non-dropping-particle":"","parse-names":false,"suffix":""},{"dropping-particle":"","family":"Norman","given":"Andrew","non-dropping-particle":"","parse-names":false,"suffix":""},{"dropping-particle":"","family":"Leach","given":"Martin O","non-dropping-particle":"","parse-names":false,"suffix":""},{"dropping-particle":"","family":"Husband","given":"Janet E","non-dropping-particle":"","parse-names":false,"suffix":""}],"container-title":"AJR. American journal of roentgenology","id":"ITEM-1","issue":"4","issued":{"date-parts":[["2007","4"]]},"page":"1001-8","title":"Predicting response of colorectal hepatic metastasis: value of pretreatment apparent diffusion coefficients.","type":"article-journal","volume":"188"},"uris":["http://www.mendeley.com/documents/?uuid=4f17721f-8ecf-4766-830c-be2c7f22924f"]}],"mendeley":{"formattedCitation":"&lt;sup&gt;[93]&lt;/sup&gt;","plainTextFormattedCitation":"[93]","previouslyFormattedCitation":"&lt;sup&gt;[93]&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[93]</w:t>
      </w:r>
      <w:r w:rsidR="00A75298" w:rsidRPr="009D7554">
        <w:rPr>
          <w:rFonts w:ascii="Book Antiqua" w:hAnsi="Book Antiqua"/>
          <w:i/>
          <w:lang w:val="en-US"/>
        </w:rPr>
        <w:fldChar w:fldCharType="end"/>
      </w:r>
      <w:r w:rsidR="005A3099" w:rsidRPr="009D7554">
        <w:rPr>
          <w:rFonts w:ascii="Book Antiqua" w:hAnsi="Book Antiqua"/>
          <w:i/>
          <w:lang w:val="en-US"/>
        </w:rPr>
        <w:t xml:space="preserve"> </w:t>
      </w:r>
      <w:r w:rsidR="00907117" w:rsidRPr="009D7554">
        <w:rPr>
          <w:rFonts w:ascii="Book Antiqua" w:hAnsi="Book Antiqua"/>
          <w:lang w:val="en-US"/>
        </w:rPr>
        <w:t xml:space="preserve">reported that high </w:t>
      </w:r>
      <w:r w:rsidR="00423CC4" w:rsidRPr="009D7554">
        <w:rPr>
          <w:rFonts w:ascii="Book Antiqua" w:hAnsi="Book Antiqua"/>
          <w:lang w:val="en-US"/>
        </w:rPr>
        <w:t xml:space="preserve">mean </w:t>
      </w:r>
      <w:r w:rsidR="00907117" w:rsidRPr="009D7554">
        <w:rPr>
          <w:rFonts w:ascii="Book Antiqua" w:hAnsi="Book Antiqua"/>
          <w:lang w:val="en-US"/>
        </w:rPr>
        <w:t xml:space="preserve">pretreatment ADC values </w:t>
      </w:r>
      <w:r w:rsidR="00423CC4" w:rsidRPr="009D7554">
        <w:rPr>
          <w:rFonts w:ascii="Book Antiqua" w:hAnsi="Book Antiqua"/>
          <w:lang w:val="en-US"/>
        </w:rPr>
        <w:t xml:space="preserve">for </w:t>
      </w:r>
      <w:r w:rsidR="00907117" w:rsidRPr="009D7554">
        <w:rPr>
          <w:rFonts w:ascii="Book Antiqua" w:hAnsi="Book Antiqua"/>
          <w:lang w:val="en-US"/>
        </w:rPr>
        <w:t>CRLMs were associated with poorer response</w:t>
      </w:r>
      <w:r w:rsidR="00423CC4" w:rsidRPr="009D7554">
        <w:rPr>
          <w:rFonts w:ascii="Book Antiqua" w:hAnsi="Book Antiqua"/>
          <w:lang w:val="en-US"/>
        </w:rPr>
        <w:t>s</w:t>
      </w:r>
      <w:r w:rsidR="00907117" w:rsidRPr="009D7554">
        <w:rPr>
          <w:rFonts w:ascii="Book Antiqua" w:hAnsi="Book Antiqua"/>
          <w:lang w:val="en-US"/>
        </w:rPr>
        <w:t xml:space="preserve"> to chemotherapy (</w:t>
      </w:r>
      <w:r w:rsidR="009A70D4" w:rsidRPr="009D7554">
        <w:rPr>
          <w:rFonts w:ascii="Book Antiqua" w:hAnsi="Book Antiqua"/>
          <w:lang w:val="en-US"/>
        </w:rPr>
        <w:t>nonr</w:t>
      </w:r>
      <w:r w:rsidR="00907117" w:rsidRPr="009D7554">
        <w:rPr>
          <w:rFonts w:ascii="Book Antiqua" w:hAnsi="Book Antiqua"/>
          <w:lang w:val="en-US"/>
        </w:rPr>
        <w:t xml:space="preserve">esponder: 1.55 </w:t>
      </w:r>
      <w:r w:rsidR="00A1433E" w:rsidRPr="009D7554">
        <w:rPr>
          <w:rFonts w:ascii="Book Antiqua" w:hAnsi="Book Antiqua"/>
          <w:lang w:val="en-US"/>
        </w:rPr>
        <w:t xml:space="preserve">× </w:t>
      </w:r>
      <w:r w:rsidR="00907117" w:rsidRPr="009D7554">
        <w:rPr>
          <w:rFonts w:ascii="Book Antiqua" w:hAnsi="Book Antiqua"/>
          <w:lang w:val="en-US"/>
        </w:rPr>
        <w:t>10</w:t>
      </w:r>
      <w:r w:rsidR="00907117" w:rsidRPr="009D7554">
        <w:rPr>
          <w:rFonts w:ascii="Book Antiqua" w:hAnsi="Book Antiqua"/>
          <w:vertAlign w:val="superscript"/>
          <w:lang w:val="en-US"/>
        </w:rPr>
        <w:t>-3</w:t>
      </w:r>
      <w:r w:rsidR="00907117" w:rsidRPr="009D7554">
        <w:rPr>
          <w:rFonts w:ascii="Book Antiqua" w:hAnsi="Book Antiqua"/>
          <w:lang w:val="en-US"/>
        </w:rPr>
        <w:t xml:space="preserve"> mm</w:t>
      </w:r>
      <w:r w:rsidR="00907117" w:rsidRPr="009D7554">
        <w:rPr>
          <w:rFonts w:ascii="Book Antiqua" w:hAnsi="Book Antiqua"/>
          <w:vertAlign w:val="superscript"/>
          <w:lang w:val="en-US"/>
        </w:rPr>
        <w:t>2</w:t>
      </w:r>
      <w:r w:rsidR="00907117" w:rsidRPr="009D7554">
        <w:rPr>
          <w:rFonts w:ascii="Book Antiqua" w:hAnsi="Book Antiqua"/>
          <w:lang w:val="en-US"/>
        </w:rPr>
        <w:t xml:space="preserve">/s; responder 1.36 </w:t>
      </w:r>
      <w:r w:rsidR="00A1433E" w:rsidRPr="009D7554">
        <w:rPr>
          <w:rFonts w:ascii="Book Antiqua" w:hAnsi="Book Antiqua"/>
          <w:lang w:val="en-US"/>
        </w:rPr>
        <w:t xml:space="preserve">× </w:t>
      </w:r>
      <w:r w:rsidR="00907117" w:rsidRPr="009D7554">
        <w:rPr>
          <w:rFonts w:ascii="Book Antiqua" w:hAnsi="Book Antiqua"/>
          <w:lang w:val="en-US"/>
        </w:rPr>
        <w:t>10</w:t>
      </w:r>
      <w:r w:rsidR="00907117" w:rsidRPr="009D7554">
        <w:rPr>
          <w:rFonts w:ascii="Book Antiqua" w:hAnsi="Book Antiqua"/>
          <w:vertAlign w:val="superscript"/>
          <w:lang w:val="en-US"/>
        </w:rPr>
        <w:t>-3</w:t>
      </w:r>
      <w:r w:rsidR="00907117" w:rsidRPr="009D7554">
        <w:rPr>
          <w:rFonts w:ascii="Book Antiqua" w:hAnsi="Book Antiqua"/>
          <w:lang w:val="en-US"/>
        </w:rPr>
        <w:t xml:space="preserve"> mm</w:t>
      </w:r>
      <w:r w:rsidR="00907117" w:rsidRPr="009D7554">
        <w:rPr>
          <w:rFonts w:ascii="Book Antiqua" w:hAnsi="Book Antiqua"/>
          <w:vertAlign w:val="superscript"/>
          <w:lang w:val="en-US"/>
        </w:rPr>
        <w:t>2</w:t>
      </w:r>
      <w:r w:rsidRPr="009D7554">
        <w:rPr>
          <w:rFonts w:ascii="Book Antiqua" w:hAnsi="Book Antiqua"/>
          <w:bCs/>
          <w:lang w:val="en-US"/>
        </w:rPr>
        <w:t xml:space="preserve">/s). Indeed, high ADC values are observed in necrotic areas, which </w:t>
      </w:r>
      <w:r w:rsidR="001F0F25" w:rsidRPr="009D7554">
        <w:rPr>
          <w:rFonts w:ascii="Book Antiqua" w:hAnsi="Book Antiqua"/>
          <w:bCs/>
          <w:lang w:val="en-US"/>
        </w:rPr>
        <w:t xml:space="preserve">typically </w:t>
      </w:r>
      <w:r w:rsidRPr="009D7554">
        <w:rPr>
          <w:rFonts w:ascii="Book Antiqua" w:hAnsi="Book Antiqua"/>
          <w:bCs/>
          <w:lang w:val="en-US"/>
        </w:rPr>
        <w:t xml:space="preserve">show poor perfusion </w:t>
      </w:r>
      <w:r w:rsidR="00423CC4" w:rsidRPr="009D7554">
        <w:rPr>
          <w:rFonts w:ascii="Book Antiqua" w:hAnsi="Book Antiqua"/>
          <w:bCs/>
          <w:lang w:val="en-US"/>
        </w:rPr>
        <w:t xml:space="preserve">and allow only limited </w:t>
      </w:r>
      <w:r w:rsidRPr="009D7554">
        <w:rPr>
          <w:rFonts w:ascii="Book Antiqua" w:hAnsi="Book Antiqua"/>
          <w:bCs/>
          <w:lang w:val="en-US"/>
        </w:rPr>
        <w:t xml:space="preserve">local delivery of chemotherapeutic drugs. Cui </w:t>
      </w:r>
      <w:r w:rsidR="001C3C53"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{"citationItems":[{"id":"ITEM-1","itemData":{"DOI":"10.1148/radiol.2483071407","ISSN":"1527-1315","PMID":"18710982","abstract":"PURPOSE To evaluate the ability of the apparent diffusion coefficient (ADC) to help predict response to chemotherapy in patients with colorectal and gastric hepatic metastases. MATERIALS AND METHODS Institutional review board approval was obtained; all patients provided informed consent. Standard magnetic resonance (MR) imaging and diffusion-weighted (DW) MR imaging were performed before and 3, 7, and 42 days after initiating chemotherapy for 87 hepatic metastases in 23 colorectal and gastric cancer patients (16 men, seven women; mean age, 55.7 years; range, 33-71 years). Lesions were classified as either responding or nonresponding, according to changes in size at the end of therapy. Linear mixed-effects modeling was applied to analyze change in ADCs and size following treatment. The Pearson correlation test was calculated between those ADC parameters and tumor response. RESULTS Thirty-eight responding and 49 nonresponding metastatic lesions were evaluated. Pretherapy mean ADCs in responding lesions were significantly lower than those of nonresponding lesions (P = .003). An early increase in ADCs (on day 3 or 7) was observed in responding lesions but not in nonresponding lesions (P = .002). Weak but significant correlations were found between final tumor size reduction and both pretreatment ADCs (P = .006) and early ADC changes (day 3, P = .004; day 7, P &lt; .001). CONCLUSION ADC seems to be a promising tool for helping predict and monitor the early response to chemotherapy of hepatic metastases from colorectal and gastric carcinomas.","author":[{"dropping-particle":"","family":"Cui","given":"Yong","non-dropping-particle":"","parse-names":false,"suffix":""},{"dropping-particle":"","family":"Zhang","given":"Xiao-Peng","non-dropping-particle":"","parse-names":false,"suffix":""},{"dropping-particle":"","family":"Sun","given":"Ying-Shi","non-dropping-particle":"","parse-names":false,"suffix":""},{"dropping-particle":"","family":"Tang","given":"Lei","non-dropping-particle":"","parse-names":false,"suffix":""},{"dropping-particle":"","family":"Shen","given":"Lin","non-dropping-particle":"","parse-names":false,"suffix":""}],"container-title":"Radiology","id":"ITEM-1","issue":"3","issued":{"date-parts":[["2008","9"]]},"page":"894-900","title":"Apparent diffusion coefficient: potential imaging biomarker for prediction and early detection of response to chemotherapy in hepatic metastases.","type":"article-journal","volume":"248"},"uris":["http://www.mendeley.com/documents/?uuid=ae535515-589b-4ede-84e1-776149105d90"]}],"mendeley":{"formattedCitation":"&lt;sup&gt;[94]&lt;/sup&gt;","plainTextFormattedCitation":"[94]","previouslyFormattedCitation":"&lt;sup&gt;[94]&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[94]</w:t>
      </w:r>
      <w:r w:rsidR="00A75298" w:rsidRPr="009D7554">
        <w:rPr>
          <w:rFonts w:ascii="Book Antiqua" w:hAnsi="Book Antiqua"/>
          <w:i/>
          <w:lang w:val="en-US"/>
        </w:rPr>
        <w:fldChar w:fldCharType="end"/>
      </w:r>
      <w:r w:rsidR="00907117" w:rsidRPr="009D7554">
        <w:rPr>
          <w:rFonts w:ascii="Book Antiqua" w:hAnsi="Book Antiqua"/>
          <w:lang w:val="en-US"/>
        </w:rPr>
        <w:t xml:space="preserve"> found that CRLMs showed </w:t>
      </w:r>
      <w:r w:rsidR="00423CC4" w:rsidRPr="009D7554">
        <w:rPr>
          <w:rFonts w:ascii="Book Antiqua" w:hAnsi="Book Antiqua"/>
          <w:lang w:val="en-US"/>
        </w:rPr>
        <w:t xml:space="preserve">significantly </w:t>
      </w:r>
      <w:r w:rsidR="00502E2D" w:rsidRPr="009D7554">
        <w:rPr>
          <w:rFonts w:ascii="Book Antiqua" w:hAnsi="Book Antiqua"/>
          <w:lang w:val="en-US"/>
        </w:rPr>
        <w:t>decreased</w:t>
      </w:r>
      <w:r w:rsidR="00423CC4" w:rsidRPr="009D7554">
        <w:rPr>
          <w:rFonts w:ascii="Book Antiqua" w:hAnsi="Book Antiqua"/>
          <w:lang w:val="en-US"/>
        </w:rPr>
        <w:t xml:space="preserve"> </w:t>
      </w:r>
      <w:r w:rsidR="00907117" w:rsidRPr="009D7554">
        <w:rPr>
          <w:rFonts w:ascii="Book Antiqua" w:hAnsi="Book Antiqua"/>
          <w:lang w:val="en-US"/>
        </w:rPr>
        <w:t xml:space="preserve">mean </w:t>
      </w:r>
      <w:r w:rsidR="00423CC4" w:rsidRPr="009D7554">
        <w:rPr>
          <w:rFonts w:ascii="Book Antiqua" w:hAnsi="Book Antiqua"/>
          <w:lang w:val="en-US"/>
        </w:rPr>
        <w:t xml:space="preserve">pretreatment </w:t>
      </w:r>
      <w:r w:rsidR="00907117" w:rsidRPr="009D7554">
        <w:rPr>
          <w:rFonts w:ascii="Book Antiqua" w:hAnsi="Book Antiqua"/>
          <w:lang w:val="en-US"/>
        </w:rPr>
        <w:t xml:space="preserve">ADC values in responding lesions (0.95 </w:t>
      </w:r>
      <w:r w:rsidR="00B54A11" w:rsidRPr="009D7554">
        <w:rPr>
          <w:rFonts w:ascii="Book Antiqua" w:hAnsi="Book Antiqua"/>
          <w:lang w:val="en-US"/>
        </w:rPr>
        <w:t>×</w:t>
      </w:r>
      <w:r w:rsidR="00907117" w:rsidRPr="009D7554">
        <w:rPr>
          <w:rFonts w:ascii="Book Antiqua" w:hAnsi="Book Antiqua"/>
          <w:lang w:val="en-US"/>
        </w:rPr>
        <w:t xml:space="preserve"> 10</w:t>
      </w:r>
      <w:r w:rsidR="00907117" w:rsidRPr="009D7554">
        <w:rPr>
          <w:rFonts w:ascii="Book Antiqua" w:hAnsi="Book Antiqua"/>
          <w:vertAlign w:val="superscript"/>
          <w:lang w:val="en-US"/>
        </w:rPr>
        <w:t>-3</w:t>
      </w:r>
      <w:r w:rsidR="00907117" w:rsidRPr="009D7554">
        <w:rPr>
          <w:rFonts w:ascii="Book Antiqua" w:hAnsi="Book Antiqua"/>
          <w:lang w:val="en-US"/>
        </w:rPr>
        <w:t xml:space="preserve"> mm</w:t>
      </w:r>
      <w:r w:rsidR="00907117" w:rsidRPr="009D7554">
        <w:rPr>
          <w:rFonts w:ascii="Book Antiqua" w:hAnsi="Book Antiqua"/>
          <w:vertAlign w:val="superscript"/>
          <w:lang w:val="en-US"/>
        </w:rPr>
        <w:t>2</w:t>
      </w:r>
      <w:r w:rsidR="00907117" w:rsidRPr="009D7554">
        <w:rPr>
          <w:rFonts w:ascii="Book Antiqua" w:hAnsi="Book Antiqua"/>
          <w:lang w:val="en-US"/>
        </w:rPr>
        <w:t xml:space="preserve">/s </w:t>
      </w:r>
      <w:r w:rsidR="009A70D4" w:rsidRPr="009D7554">
        <w:rPr>
          <w:rFonts w:ascii="Book Antiqua" w:hAnsi="Book Antiqua"/>
          <w:lang w:val="en-US"/>
        </w:rPr>
        <w:t>±</w:t>
      </w:r>
      <w:r w:rsidR="00907117" w:rsidRPr="009D7554">
        <w:rPr>
          <w:rFonts w:ascii="Book Antiqua" w:hAnsi="Book Antiqua"/>
          <w:lang w:val="en-US"/>
        </w:rPr>
        <w:t xml:space="preserve"> 0.15) </w:t>
      </w:r>
      <w:r w:rsidR="00423CC4" w:rsidRPr="009D7554">
        <w:rPr>
          <w:rFonts w:ascii="Book Antiqua" w:hAnsi="Book Antiqua"/>
          <w:lang w:val="en-US"/>
        </w:rPr>
        <w:t>than in</w:t>
      </w:r>
      <w:r w:rsidR="00907117" w:rsidRPr="009D7554">
        <w:rPr>
          <w:rFonts w:ascii="Book Antiqua" w:hAnsi="Book Antiqua"/>
          <w:lang w:val="en-US"/>
        </w:rPr>
        <w:t xml:space="preserve"> </w:t>
      </w:r>
      <w:r w:rsidR="009A70D4" w:rsidRPr="009D7554">
        <w:rPr>
          <w:rFonts w:ascii="Book Antiqua" w:hAnsi="Book Antiqua"/>
          <w:lang w:val="en-US"/>
        </w:rPr>
        <w:t>nonr</w:t>
      </w:r>
      <w:r w:rsidR="00907117" w:rsidRPr="009D7554">
        <w:rPr>
          <w:rFonts w:ascii="Book Antiqua" w:hAnsi="Book Antiqua"/>
          <w:lang w:val="en-US"/>
        </w:rPr>
        <w:t xml:space="preserve">esponding lesions (1.18 </w:t>
      </w:r>
      <w:r w:rsidR="00B54A11" w:rsidRPr="009D7554">
        <w:rPr>
          <w:rFonts w:ascii="Book Antiqua" w:hAnsi="Book Antiqua"/>
          <w:lang w:val="en-US"/>
        </w:rPr>
        <w:t xml:space="preserve">× </w:t>
      </w:r>
      <w:r w:rsidR="00907117" w:rsidRPr="009D7554">
        <w:rPr>
          <w:rFonts w:ascii="Book Antiqua" w:hAnsi="Book Antiqua"/>
          <w:lang w:val="en-US"/>
        </w:rPr>
        <w:t>10</w:t>
      </w:r>
      <w:r w:rsidR="00907117" w:rsidRPr="009D7554">
        <w:rPr>
          <w:rFonts w:ascii="Book Antiqua" w:hAnsi="Book Antiqua"/>
          <w:vertAlign w:val="superscript"/>
          <w:lang w:val="en-US"/>
        </w:rPr>
        <w:t>-3</w:t>
      </w:r>
      <w:r w:rsidR="00907117" w:rsidRPr="009D7554">
        <w:rPr>
          <w:rFonts w:ascii="Book Antiqua" w:hAnsi="Book Antiqua"/>
          <w:lang w:val="en-US"/>
        </w:rPr>
        <w:t xml:space="preserve"> mm</w:t>
      </w:r>
      <w:r w:rsidR="00907117" w:rsidRPr="009D7554">
        <w:rPr>
          <w:rFonts w:ascii="Book Antiqua" w:hAnsi="Book Antiqua"/>
          <w:vertAlign w:val="superscript"/>
          <w:lang w:val="en-US"/>
        </w:rPr>
        <w:t>2</w:t>
      </w:r>
      <w:r w:rsidR="00907117" w:rsidRPr="009D7554">
        <w:rPr>
          <w:rFonts w:ascii="Book Antiqua" w:hAnsi="Book Antiqua"/>
          <w:lang w:val="en-US"/>
        </w:rPr>
        <w:t xml:space="preserve">/s </w:t>
      </w:r>
      <w:r w:rsidR="009A70D4" w:rsidRPr="009D7554">
        <w:rPr>
          <w:rFonts w:ascii="Book Antiqua" w:hAnsi="Book Antiqua"/>
          <w:lang w:val="en-US"/>
        </w:rPr>
        <w:t>±</w:t>
      </w:r>
      <w:r w:rsidR="00081147" w:rsidRPr="009D7554">
        <w:rPr>
          <w:rFonts w:ascii="Book Antiqua" w:hAnsi="Book Antiqua"/>
          <w:lang w:val="en-US"/>
        </w:rPr>
        <w:t xml:space="preserve"> 0.27). Furthermore, an early increase in ADC values was observed in responding lesions after 3 or 7 d</w:t>
      </w:r>
      <w:r w:rsidR="003C6055" w:rsidRPr="009D7554">
        <w:rPr>
          <w:rFonts w:ascii="Book Antiqua" w:hAnsi="Book Antiqua"/>
          <w:lang w:val="en-US"/>
        </w:rPr>
        <w:t xml:space="preserve"> </w:t>
      </w:r>
      <w:r w:rsidR="00081147" w:rsidRPr="009D7554">
        <w:rPr>
          <w:rFonts w:ascii="Book Antiqua" w:hAnsi="Book Antiqua"/>
          <w:lang w:val="en-US"/>
        </w:rPr>
        <w:t>of treatment.</w:t>
      </w:r>
    </w:p>
    <w:p w:rsidR="001C3C53" w:rsidRPr="009D7554" w:rsidRDefault="001C3C53" w:rsidP="006A253E">
      <w:pPr>
        <w:widowControl w:val="0"/>
        <w:autoSpaceDE w:val="0"/>
        <w:autoSpaceDN w:val="0"/>
        <w:adjustRightInd w:val="0"/>
        <w:snapToGrid w:val="0"/>
        <w:spacing w:line="360" w:lineRule="auto"/>
        <w:jc w:val="both"/>
        <w:rPr>
          <w:rFonts w:ascii="Book Antiqua" w:hAnsi="Book Antiqua"/>
          <w:bCs/>
          <w:i/>
          <w:iCs/>
          <w:lang w:val="en-US"/>
        </w:rPr>
      </w:pPr>
    </w:p>
    <w:p w:rsidR="001C3C53" w:rsidRPr="009D7554" w:rsidRDefault="00823255"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PI</w:t>
      </w:r>
      <w:r w:rsidR="00225A35" w:rsidRPr="009D7554">
        <w:rPr>
          <w:rFonts w:ascii="Book Antiqua" w:hAnsi="Book Antiqua"/>
          <w:b/>
          <w:lang w:val="en-US"/>
        </w:rPr>
        <w:t xml:space="preserve">: </w:t>
      </w:r>
      <w:r w:rsidR="009D243F" w:rsidRPr="009D7554">
        <w:rPr>
          <w:rFonts w:ascii="Book Antiqua" w:hAnsi="Book Antiqua"/>
          <w:bCs/>
          <w:lang w:val="en-US"/>
        </w:rPr>
        <w:t xml:space="preserve">Few </w:t>
      </w:r>
      <w:r w:rsidR="001F0F25" w:rsidRPr="009D7554">
        <w:rPr>
          <w:rFonts w:ascii="Book Antiqua" w:hAnsi="Book Antiqua"/>
          <w:bCs/>
          <w:lang w:val="en-US"/>
        </w:rPr>
        <w:t>studies</w:t>
      </w:r>
      <w:r w:rsidR="009D243F" w:rsidRPr="009D7554">
        <w:rPr>
          <w:rFonts w:ascii="Book Antiqua" w:hAnsi="Book Antiqua"/>
          <w:bCs/>
          <w:lang w:val="en-US"/>
        </w:rPr>
        <w:t xml:space="preserve"> </w:t>
      </w:r>
      <w:r w:rsidR="00423CC4" w:rsidRPr="009D7554">
        <w:rPr>
          <w:rFonts w:ascii="Book Antiqua" w:hAnsi="Book Antiqua"/>
          <w:bCs/>
          <w:lang w:val="en-US"/>
        </w:rPr>
        <w:t>have been performed</w:t>
      </w:r>
      <w:r w:rsidR="009D243F" w:rsidRPr="009D7554">
        <w:rPr>
          <w:rFonts w:ascii="Book Antiqua" w:hAnsi="Book Antiqua"/>
          <w:bCs/>
          <w:lang w:val="en-US"/>
        </w:rPr>
        <w:t xml:space="preserve"> to assess the utility of quantitative PI parameters as biomarkers for </w:t>
      </w:r>
      <w:r w:rsidR="00423CC4" w:rsidRPr="009D7554">
        <w:rPr>
          <w:rFonts w:ascii="Book Antiqua" w:hAnsi="Book Antiqua"/>
          <w:bCs/>
          <w:lang w:val="en-US"/>
        </w:rPr>
        <w:t xml:space="preserve">the assessment of </w:t>
      </w:r>
      <w:r w:rsidR="001F0F25" w:rsidRPr="009D7554">
        <w:rPr>
          <w:rFonts w:ascii="Book Antiqua" w:hAnsi="Book Antiqua"/>
          <w:bCs/>
          <w:lang w:val="en-US"/>
        </w:rPr>
        <w:t>CRLM</w:t>
      </w:r>
      <w:r w:rsidR="009D243F" w:rsidRPr="009D7554">
        <w:rPr>
          <w:rFonts w:ascii="Book Antiqua" w:hAnsi="Book Antiqua"/>
          <w:bCs/>
          <w:lang w:val="en-US"/>
        </w:rPr>
        <w:t xml:space="preserve"> response</w:t>
      </w:r>
      <w:r w:rsidR="00423CC4" w:rsidRPr="009D7554">
        <w:rPr>
          <w:rFonts w:ascii="Book Antiqua" w:hAnsi="Book Antiqua"/>
          <w:bCs/>
          <w:lang w:val="en-US"/>
        </w:rPr>
        <w:t>s</w:t>
      </w:r>
      <w:r w:rsidR="009D243F" w:rsidRPr="009D7554">
        <w:rPr>
          <w:rFonts w:ascii="Book Antiqua" w:hAnsi="Book Antiqua"/>
          <w:bCs/>
          <w:lang w:val="en-US"/>
        </w:rPr>
        <w:t xml:space="preserve"> to treatment. Using baseline perfusion MRI and follow-up MRI evaluated on the </w:t>
      </w:r>
      <w:r w:rsidR="001F0F25" w:rsidRPr="009D7554">
        <w:rPr>
          <w:rFonts w:ascii="Book Antiqua" w:hAnsi="Book Antiqua"/>
          <w:bCs/>
          <w:lang w:val="en-US"/>
        </w:rPr>
        <w:t>basis</w:t>
      </w:r>
      <w:r w:rsidR="009D243F" w:rsidRPr="009D7554">
        <w:rPr>
          <w:rFonts w:ascii="Book Antiqua" w:hAnsi="Book Antiqua"/>
          <w:bCs/>
          <w:lang w:val="en-US"/>
        </w:rPr>
        <w:t xml:space="preserve"> of RECIST 1.1 criteria in patients with CRLMs treated with </w:t>
      </w:r>
      <w:r w:rsidR="00423CC4" w:rsidRPr="009D7554">
        <w:rPr>
          <w:rFonts w:ascii="Book Antiqua" w:hAnsi="Book Antiqua"/>
          <w:bCs/>
          <w:lang w:val="en-US"/>
        </w:rPr>
        <w:t xml:space="preserve">a combination of </w:t>
      </w:r>
      <w:r w:rsidR="009D243F" w:rsidRPr="009D7554">
        <w:rPr>
          <w:rFonts w:ascii="Book Antiqua" w:hAnsi="Book Antiqua"/>
          <w:bCs/>
          <w:lang w:val="en-US"/>
        </w:rPr>
        <w:t xml:space="preserve">chemotherapy and bevacizumab, Coenegrachts </w:t>
      </w:r>
      <w:r w:rsidR="001C3C53"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{"citationItems":[{"id":"ITEM-1","itemData":{"DOI":"10.1016/j.ejrad.2012.07.022","ISSN":"1872-7727","PMID":"22944331","abstract":"PURPOSE To evaluate dynamic contrast-enhanced magnetic resonance imaging (DCE-MRI) for prediction and early monitoring of treatment in colorectal liver metastases. MATERIALS AND METHODS Ten patients were included. Baseline and follow-up DCE-MRI examinations were evaluated by whole tumour and selected ROI placements calculating Kep-values. Selective ROIs, concentric-like and hot spot, were drawn on early arterial phase images. Monitoring of treatment was performed comparing RECIST1.1 criteria with whole tumour and selected ROI placement. To evaluate treatment effect between responders and non-responders, independent samples t-test was used on Kep-values. RESULTS In each patient largest lesion was evaluated totalling 10 target lesions. At baseline, for whole tumour ROI placements mean Kep-values in responders were significantly higher than mean Kep-values in non-responders (t=7.481, p&lt;0.001). Selective ROI placement comparison of mean Kep-values at baseline and after 6 weeks of treatment (first follow-up measurement) showed significant decrease in responding patients (t=4.706, p=0.003) whereas increase in Kep-values in non-responding patients was not statistically significant. CONCLUSION This preliminary study shows that baseline Kep for whole tumour ROI is a predictor for treatment outcome. Decrease of Kep using selective ROIs allows early identification of response after 6 weeks of treatment.","author":[{"dropping-particle":"","family":"Coenegrachts","given":"Kenneth","non-dropping-particle":"","parse-names":false,"suffix":""},{"dropping-particle":"","family":"Bols","given":"Alain","non-dropping-particle":"","parse-names":false,"suffix":""},{"dropping-particle":"","family":"Haspeslagh","given":"Marc","non-dropping-particle":"","parse-names":false,"suffix":""},{"dropping-particle":"","family":"Rigauts","given":"Hans","non-dropping-particle":"","parse-names":false,"suffix":""}],"container-title":"European journal of radiology","id":"ITEM-1","issue":"12","issued":{"date-parts":[["2012","12"]]},"page":"3870-6","title":"Prediction and monitoring of treatment effect using T1-weighted dynamic contrast-enhanced magnetic resonance imaging in colorectal liver metastases: potential of whole tumour ROI and selective ROI analysis.","type":"article-journal","volume":"81"},"uris":["http://www.mendeley.com/documents/?uuid=23513ef7-ac31-445b-b50f-a78569ea556e"]}],"mendeley":{"formattedCitation":"&lt;sup&gt;[95]&lt;/sup&gt;","plainTextFormattedCitation":"[95]","previouslyFormattedCitation":"&lt;sup&gt;[95]&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[95]</w:t>
      </w:r>
      <w:r w:rsidR="00A75298" w:rsidRPr="009D7554">
        <w:rPr>
          <w:rFonts w:ascii="Book Antiqua" w:hAnsi="Book Antiqua"/>
          <w:i/>
          <w:lang w:val="en-US"/>
        </w:rPr>
        <w:fldChar w:fldCharType="end"/>
      </w:r>
      <w:r w:rsidR="009D243F" w:rsidRPr="009D7554">
        <w:rPr>
          <w:rFonts w:ascii="Book Antiqua" w:hAnsi="Book Antiqua"/>
          <w:i/>
          <w:lang w:val="en-US"/>
        </w:rPr>
        <w:t xml:space="preserve"> </w:t>
      </w:r>
      <w:r w:rsidR="00824560" w:rsidRPr="009D7554">
        <w:rPr>
          <w:rFonts w:ascii="Book Antiqua" w:hAnsi="Book Antiqua"/>
          <w:lang w:val="en-US"/>
        </w:rPr>
        <w:t xml:space="preserve">found significantly higher Kep values in responders </w:t>
      </w:r>
      <w:r w:rsidR="00423CC4" w:rsidRPr="009D7554">
        <w:rPr>
          <w:rFonts w:ascii="Book Antiqua" w:hAnsi="Book Antiqua"/>
          <w:lang w:val="en-US"/>
        </w:rPr>
        <w:t>than in</w:t>
      </w:r>
      <w:r w:rsidR="00824560" w:rsidRPr="009D7554">
        <w:rPr>
          <w:rFonts w:ascii="Book Antiqua" w:hAnsi="Book Antiqua"/>
          <w:lang w:val="en-US"/>
        </w:rPr>
        <w:t xml:space="preserve"> </w:t>
      </w:r>
      <w:r w:rsidR="009A70D4" w:rsidRPr="009D7554">
        <w:rPr>
          <w:rFonts w:ascii="Book Antiqua" w:hAnsi="Book Antiqua"/>
          <w:lang w:val="en-US"/>
        </w:rPr>
        <w:t>nonr</w:t>
      </w:r>
      <w:r w:rsidR="00824560" w:rsidRPr="009D7554">
        <w:rPr>
          <w:rFonts w:ascii="Book Antiqua" w:hAnsi="Book Antiqua"/>
          <w:lang w:val="en-US"/>
        </w:rPr>
        <w:t xml:space="preserve">esponders (responders: 0.09852; </w:t>
      </w:r>
      <w:r w:rsidR="009A70D4" w:rsidRPr="009D7554">
        <w:rPr>
          <w:rFonts w:ascii="Book Antiqua" w:hAnsi="Book Antiqua"/>
          <w:lang w:val="en-US"/>
        </w:rPr>
        <w:t>nonr</w:t>
      </w:r>
      <w:r w:rsidR="00824560" w:rsidRPr="009D7554">
        <w:rPr>
          <w:rFonts w:ascii="Book Antiqua" w:hAnsi="Book Antiqua"/>
          <w:lang w:val="en-US"/>
        </w:rPr>
        <w:t xml:space="preserve">esponders: 0.07829). Moreover, </w:t>
      </w:r>
      <w:r w:rsidR="00423CC4" w:rsidRPr="009D7554">
        <w:rPr>
          <w:rFonts w:ascii="Book Antiqua" w:hAnsi="Book Antiqua"/>
          <w:lang w:val="en-US"/>
        </w:rPr>
        <w:t xml:space="preserve">the </w:t>
      </w:r>
      <w:r w:rsidR="00824560" w:rsidRPr="009D7554">
        <w:rPr>
          <w:rFonts w:ascii="Book Antiqua" w:hAnsi="Book Antiqua"/>
          <w:lang w:val="en-US"/>
        </w:rPr>
        <w:t xml:space="preserve">Kep values </w:t>
      </w:r>
      <w:r w:rsidR="00423CC4" w:rsidRPr="009D7554">
        <w:rPr>
          <w:rFonts w:ascii="Book Antiqua" w:hAnsi="Book Antiqua"/>
          <w:lang w:val="en-US"/>
        </w:rPr>
        <w:t xml:space="preserve">were </w:t>
      </w:r>
      <w:r w:rsidR="00824560" w:rsidRPr="009D7554">
        <w:rPr>
          <w:rFonts w:ascii="Book Antiqua" w:hAnsi="Book Antiqua"/>
          <w:lang w:val="en-US"/>
        </w:rPr>
        <w:t xml:space="preserve">significantly decreased in responding patients compared to </w:t>
      </w:r>
      <w:r w:rsidR="009A70D4" w:rsidRPr="009D7554">
        <w:rPr>
          <w:rFonts w:ascii="Book Antiqua" w:hAnsi="Book Antiqua"/>
          <w:lang w:val="en-US"/>
        </w:rPr>
        <w:t>nonr</w:t>
      </w:r>
      <w:r w:rsidR="00824560" w:rsidRPr="009D7554">
        <w:rPr>
          <w:rFonts w:ascii="Book Antiqua" w:hAnsi="Book Antiqua"/>
          <w:lang w:val="en-US"/>
        </w:rPr>
        <w:t xml:space="preserve">esponding </w:t>
      </w:r>
      <w:r w:rsidR="001F0F25" w:rsidRPr="009D7554">
        <w:rPr>
          <w:rFonts w:ascii="Book Antiqua" w:hAnsi="Book Antiqua"/>
          <w:lang w:val="en-US"/>
        </w:rPr>
        <w:t>patients</w:t>
      </w:r>
      <w:r w:rsidR="00824560" w:rsidRPr="009D7554">
        <w:rPr>
          <w:rFonts w:ascii="Book Antiqua" w:hAnsi="Book Antiqua"/>
          <w:lang w:val="en-US"/>
        </w:rPr>
        <w:t xml:space="preserve"> after 6, 12 and 18 weeks of treatment, suggesting that Kep </w:t>
      </w:r>
      <w:r w:rsidR="00423CC4" w:rsidRPr="009D7554">
        <w:rPr>
          <w:rFonts w:ascii="Book Antiqua" w:hAnsi="Book Antiqua"/>
          <w:lang w:val="en-US"/>
        </w:rPr>
        <w:t xml:space="preserve">values may </w:t>
      </w:r>
      <w:r w:rsidR="00824560" w:rsidRPr="009D7554">
        <w:rPr>
          <w:rFonts w:ascii="Book Antiqua" w:hAnsi="Book Antiqua"/>
          <w:lang w:val="en-US"/>
        </w:rPr>
        <w:t xml:space="preserve">be able to predict early treatment response </w:t>
      </w:r>
      <w:r w:rsidR="00423CC4" w:rsidRPr="009D7554">
        <w:rPr>
          <w:rFonts w:ascii="Book Antiqua" w:hAnsi="Book Antiqua"/>
          <w:lang w:val="en-US"/>
        </w:rPr>
        <w:t xml:space="preserve">in </w:t>
      </w:r>
      <w:r w:rsidR="00824560" w:rsidRPr="009D7554">
        <w:rPr>
          <w:rFonts w:ascii="Book Antiqua" w:hAnsi="Book Antiqua"/>
          <w:lang w:val="en-US"/>
        </w:rPr>
        <w:t>CLRMs.</w:t>
      </w:r>
    </w:p>
    <w:p w:rsidR="001C3C53" w:rsidRPr="009D7554" w:rsidRDefault="001C3C53" w:rsidP="006A253E">
      <w:pPr>
        <w:widowControl w:val="0"/>
        <w:autoSpaceDE w:val="0"/>
        <w:autoSpaceDN w:val="0"/>
        <w:adjustRightInd w:val="0"/>
        <w:snapToGrid w:val="0"/>
        <w:spacing w:line="360" w:lineRule="auto"/>
        <w:jc w:val="both"/>
        <w:rPr>
          <w:rFonts w:ascii="Book Antiqua" w:hAnsi="Book Antiqua"/>
          <w:lang w:val="en-US"/>
        </w:rPr>
      </w:pPr>
    </w:p>
    <w:p w:rsidR="00D3702E" w:rsidRPr="009D7554" w:rsidRDefault="001C3C53"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 xml:space="preserve">Hybrid </w:t>
      </w:r>
      <w:r w:rsidR="0091087B" w:rsidRPr="009D7554">
        <w:rPr>
          <w:rFonts w:ascii="Book Antiqua" w:hAnsi="Book Antiqua"/>
          <w:b/>
          <w:lang w:val="en-US"/>
        </w:rPr>
        <w:t>i</w:t>
      </w:r>
      <w:r w:rsidRPr="009D7554">
        <w:rPr>
          <w:rFonts w:ascii="Book Antiqua" w:hAnsi="Book Antiqua"/>
          <w:b/>
          <w:lang w:val="en-US"/>
        </w:rPr>
        <w:t>maging</w:t>
      </w:r>
      <w:r w:rsidR="0091087B" w:rsidRPr="009D7554">
        <w:rPr>
          <w:rFonts w:ascii="Book Antiqua" w:hAnsi="Book Antiqua"/>
          <w:b/>
          <w:lang w:val="en-US"/>
        </w:rPr>
        <w:t xml:space="preserve">: </w:t>
      </w:r>
      <w:r w:rsidR="00B43358" w:rsidRPr="009D7554">
        <w:rPr>
          <w:rFonts w:ascii="Book Antiqua" w:hAnsi="Book Antiqua"/>
          <w:bCs/>
          <w:iCs/>
          <w:lang w:val="en-US"/>
        </w:rPr>
        <w:t>Few studies have investigated the possible role of quantitative parameters derived from</w:t>
      </w:r>
      <w:r w:rsidR="00B43358" w:rsidRPr="009D7554">
        <w:rPr>
          <w:rFonts w:ascii="Book Antiqua" w:hAnsi="Book Antiqua"/>
          <w:position w:val="10"/>
          <w:sz w:val="16"/>
          <w:szCs w:val="16"/>
          <w:lang w:val="en-US"/>
        </w:rPr>
        <w:t>18</w:t>
      </w:r>
      <w:r w:rsidR="00EE43BB" w:rsidRPr="009D7554">
        <w:rPr>
          <w:rFonts w:ascii="Book Antiqua" w:hAnsi="Book Antiqua"/>
          <w:lang w:val="en-US"/>
        </w:rPr>
        <w:t xml:space="preserve">FDG-PET/CT in the assessment of </w:t>
      </w:r>
      <w:r w:rsidR="001F0F25" w:rsidRPr="009D7554">
        <w:rPr>
          <w:rFonts w:ascii="Book Antiqua" w:hAnsi="Book Antiqua"/>
          <w:lang w:val="en-US"/>
        </w:rPr>
        <w:t>CLRM</w:t>
      </w:r>
      <w:r w:rsidR="00EE43BB" w:rsidRPr="009D7554">
        <w:rPr>
          <w:rFonts w:ascii="Book Antiqua" w:hAnsi="Book Antiqua"/>
          <w:lang w:val="en-US"/>
        </w:rPr>
        <w:t xml:space="preserve"> treatment response</w:t>
      </w:r>
      <w:r w:rsidR="006359D3" w:rsidRPr="009D7554">
        <w:rPr>
          <w:rFonts w:ascii="Book Antiqua" w:hAnsi="Book Antiqua"/>
          <w:lang w:val="en-US"/>
        </w:rPr>
        <w:t>s</w:t>
      </w:r>
      <w:r w:rsidR="00EE43BB" w:rsidRPr="009D7554">
        <w:rPr>
          <w:rFonts w:ascii="Book Antiqua" w:hAnsi="Book Antiqua"/>
          <w:lang w:val="en-US"/>
        </w:rPr>
        <w:t xml:space="preserve">. Recently, Nishioka </w:t>
      </w:r>
      <w:r w:rsidR="00B43358" w:rsidRPr="009D7554">
        <w:rPr>
          <w:rFonts w:ascii="Book Antiqua" w:hAnsi="Book Antiqua"/>
          <w:bCs/>
          <w:i/>
          <w:lang w:val="en-US"/>
        </w:rPr>
        <w:t>et al</w:t>
      </w:r>
      <w:r w:rsidR="00A75298" w:rsidRPr="009D7554">
        <w:rPr>
          <w:rFonts w:ascii="Book Antiqua" w:hAnsi="Book Antiqua"/>
          <w:bCs/>
          <w:i/>
          <w:lang w:val="en-US"/>
        </w:rPr>
        <w:fldChar w:fldCharType="begin" w:fldLock="1"/>
      </w:r>
      <w:r w:rsidR="004308B4" w:rsidRPr="009D7554">
        <w:rPr>
          <w:rFonts w:ascii="Book Antiqua" w:hAnsi="Book Antiqua"/>
          <w:bCs/>
          <w:i/>
          <w:lang w:val="en-US"/>
        </w:rPr>
        <w:instrText>ADDIN CSL_CITATION {"citationItems":[{"id":"ITEM-1","itemData":{"DOI":"10.1007/s00261-017-1287-0","ISSN":"2366-0058","PMID":"28815337","abstract":"PURPOSE The computed tomography (CT) morphologic response of colorectal liver metastases (CLM) after chemotherapy is reportedly correlated with pathologic response and survival outcomes of patients undergoing surgery. However, they are rather subjective criteria and not evaluable without adequate quality of contrast-enhanced CT images. This study sought the potential use of fluorine-18-fluorodeoxyglucose (FDG) positron emission tomography (PET) as an objective substitute for predicting pathological viability of CLM after chemotherapy. METHODS Predictive ability of tumor viability of ≤10% was compared between FDG-PET/CT and contrast-enhanced CT in 34 patients who underwent curative surgical resection for CLM after chemotherapy. The CT morphology and response were defined according to the reported criteria (Chun YS, JAMA 2009). RESULTS The mean standard uptake value (SUV-mean) in CLM was significantly lower in patients with group 1 and group 2 CT morphology (median, 2.53 and 3.00, respectively) than in group 3 (median, 3.32). The tumor SUV-mean showed moderate correlation with the tumor pathologic viability (r = 0.660, P &lt; 0.0001). A receiver operating characteristic curve analysis revealed that both the tumor SUV-mean (area under the curve [AUC], 0.916; the cut-off value, 3.00) and the CT morphology (AUC, 0.882) have excellent predictive power for ≤10% of tumor viability, while degree of tumor shrinkage showed lower predictive power (AUC, 0.692). CONCLUSIONS FDG-PET shows significant correlation with pathologic viability of CLM after chemotherapy and may offer additional objective information for estimating tumor viability when the CT morphologic response is not evaluable.","author":[{"dropping-particle":"","family":"Nishioka","given":"Yujiro","non-dropping-particle":"","parse-names":false,"suffix":""},{"dropping-particle":"","family":"Yoshioka","given":"Ryuji","non-dropping-particle":"","parse-names":false,"suffix":""},{"dropping-particle":"","family":"Gonoi","given":"Wataru","non-dropping-particle":"","parse-names":false,"suffix":""},{"dropping-particle":"","family":"Sugawara","given":"Toshitaka","non-dropping-particle":"","parse-names":false,"suffix":""},{"dropping-particle":"","family":"Yoshida","given":"Shuntaro","non-dropping-particle":"","parse-names":false,"suffix":""},{"dropping-particle":"","family":"Hashimoto","given":"Masaji","non-dropping-particle":"","parse-names":false,"suffix":""},{"dropping-particle":"","family":"Shindoh","given":"Junichi","non-dropping-particle":"","parse-names":false,"suffix":""}],"container-title":"Abdominal radiology (New York)","id":"ITEM-1","issue":"5","issued":{"date-parts":[["2018"]]},"page":"1152-1158","title":"Fluorine-18-fluorodeoxyglucose positron emission tomography as an objective substitute for CT morphologic response criteria in patients undergoing chemotherapy for colorectal liver metastases.","type":"article-journal","volume":"43"},"uris":["http://www.mendeley.com/documents/?uuid=a815bc99-f311-48df-8e7f-3be2bc669e5d"]}],"mendeley":{"formattedCitation":"&lt;sup&gt;[96]&lt;/sup&gt;","plainTextFormattedCitation":"[96]","previouslyFormattedCitation":"&lt;sup&gt;[96]&lt;/sup&gt;"},"properties":{"noteIndex":0},"schema":"https://github.com/citation-style-language/schema/raw/master/csl-citation.json"}</w:instrText>
      </w:r>
      <w:r w:rsidR="00A75298" w:rsidRPr="009D7554">
        <w:rPr>
          <w:rFonts w:ascii="Book Antiqua" w:hAnsi="Book Antiqua"/>
          <w:bCs/>
          <w:i/>
          <w:lang w:val="en-US"/>
        </w:rPr>
        <w:fldChar w:fldCharType="separate"/>
      </w:r>
      <w:r w:rsidR="00DF4FB7" w:rsidRPr="009D7554">
        <w:rPr>
          <w:rFonts w:ascii="Book Antiqua" w:hAnsi="Book Antiqua"/>
          <w:bCs/>
          <w:vertAlign w:val="superscript"/>
          <w:lang w:val="en-US"/>
        </w:rPr>
        <w:t>[96]</w:t>
      </w:r>
      <w:r w:rsidR="00A75298" w:rsidRPr="009D7554">
        <w:rPr>
          <w:rFonts w:ascii="Book Antiqua" w:hAnsi="Book Antiqua"/>
          <w:bCs/>
          <w:i/>
          <w:lang w:val="en-US"/>
        </w:rPr>
        <w:fldChar w:fldCharType="end"/>
      </w:r>
      <w:r w:rsidR="009D243F" w:rsidRPr="009D7554">
        <w:rPr>
          <w:rFonts w:ascii="Book Antiqua" w:hAnsi="Book Antiqua"/>
          <w:bCs/>
          <w:i/>
          <w:lang w:val="en-US"/>
        </w:rPr>
        <w:t xml:space="preserve"> </w:t>
      </w:r>
      <w:r w:rsidR="003B6658" w:rsidRPr="009D7554">
        <w:rPr>
          <w:rFonts w:ascii="Book Antiqua" w:hAnsi="Book Antiqua"/>
          <w:bCs/>
          <w:lang w:val="en-US"/>
        </w:rPr>
        <w:t xml:space="preserve">observed that </w:t>
      </w:r>
      <w:r w:rsidR="006359D3" w:rsidRPr="009D7554">
        <w:rPr>
          <w:rFonts w:ascii="Book Antiqua" w:hAnsi="Book Antiqua"/>
          <w:bCs/>
          <w:lang w:val="en-US"/>
        </w:rPr>
        <w:t xml:space="preserve">an </w:t>
      </w:r>
      <w:r w:rsidR="003B6658" w:rsidRPr="009D7554">
        <w:rPr>
          <w:rFonts w:ascii="Book Antiqua" w:hAnsi="Book Antiqua"/>
          <w:bCs/>
          <w:lang w:val="en-US"/>
        </w:rPr>
        <w:t>SUVmean value cut-off of 3 and morphologic</w:t>
      </w:r>
      <w:r w:rsidR="006359D3" w:rsidRPr="009D7554">
        <w:rPr>
          <w:rFonts w:ascii="Book Antiqua" w:hAnsi="Book Antiqua"/>
          <w:bCs/>
          <w:lang w:val="en-US"/>
        </w:rPr>
        <w:t>al</w:t>
      </w:r>
      <w:r w:rsidR="003B6658" w:rsidRPr="009D7554">
        <w:rPr>
          <w:rFonts w:ascii="Book Antiqua" w:hAnsi="Book Antiqua"/>
          <w:bCs/>
          <w:lang w:val="en-US"/>
        </w:rPr>
        <w:t xml:space="preserve"> CT criteria</w:t>
      </w:r>
      <w:r w:rsidR="00A75298" w:rsidRPr="009D7554">
        <w:rPr>
          <w:rFonts w:ascii="Book Antiqua" w:hAnsi="Book Antiqua"/>
          <w:bCs/>
          <w:lang w:val="en-US"/>
        </w:rPr>
        <w:fldChar w:fldCharType="begin" w:fldLock="1"/>
      </w:r>
      <w:r w:rsidR="00230EB7" w:rsidRPr="009D7554">
        <w:rPr>
          <w:rFonts w:ascii="Book Antiqua" w:hAnsi="Book Antiqua"/>
          <w:bCs/>
          <w:lang w:val="en-US"/>
        </w:rPr>
        <w:instrText>ADDIN CSL_CITATION {"citationItems":[{"id":"ITEM-1","itemData":{"DOI":"10.1001/jama.2009.1755","ISSN":"0098-7484","PMID":"19952320","abstract":"CONTEXT: The standard criteria used to evaluate tumor response, the Response Evaluation Criteria in Solid Tumors (RECIST), were developed to assess tumor shrinkage after cytotoxic chemotherapy and may be limited in assessing response to biologic agents, which have a cytostatic mechanism of action.\\n\\nOBJECTIVE: To validate novel tumor response criteria based on morphologic changes observed on computed tomography (CT) in patients with colorectal liver metastases treated with bevacizumab-containing chemotherapy regimens.\\n\\nDESIGN, SETTING, AND PATIENTS: A total of 234 colorectal liver metastases were analyzed from 50 patients who underwent hepatic resection after preoperative chemotherapy that included bevacizumab at a comprehensive US cancer center from 2004 to 2007; date of last follow-up was March 2008. All patients underwent routine contrast-enhanced CT at the start and end of preoperative therapy. Three blinded, independent radiologists evaluated images for morphologic response, based on metastases changing from heterogeneous masses with ill-defined margins into homogeneous hypoattenuating lesions with sharp borders. These criteria were validated with a separate cohort of 82 patients with unresectable colorectal liver metastases treated with bevacizumab-containing chemotherapy.\\n\\nMAIN OUTCOME MEASURES: Response determined using morphologic criteria and RECIST was correlated with pathologic response in resected liver specimens and with patient survival.\\n\\nRESULTS: Interobserver agreement for scoring morphologic changes was good among 3 radiologists (kappa, 0.68-0.78; 95% confidence interval [CI], 0.51-0.93). In resected tumor specimens, the median (interquartile range [IQR]) percentages of residual tumor cells for optimal morphologic response was 20% (10%-30%); for incomplete response, 50% (30%-60%); and no response, 70% (60%-70%; P &lt; .001). With RECIST, the median (IQR) percentages of residual tumor cells were for partial response 30% (10%-60%); for stable disease, 50% (20%-70%); and for progressive disease, 70% (65%-70%; P = .04). Among patients who underwent hepatic resection, median overall survival was not yet reached with optimal morphologic response and 25 months (95% CI, 20.2-29.8 months) with incomplete or no morphologic response (P = .03). In the validation cohort, patients with optimal morphologic response had median overall survival of 31 months (95% CI, 26.8-35.2 months) compared with 19 months (95% CI, 14.6-23.4 months) with incomplet…","author":[{"dropping-particle":"","family":"Chun","given":"Yun Shin","non-dropping-particle":"","parse-names":false,"suffix":""}],"container-title":"JAMA","id":"ITEM-1","issue":"21","issued":{"date-parts":[["2009","12","2"]]},"page":"2338","title":"Association of Computed Tomography Morphologic Criteria With Pathologic Response and Survival in Patients Treated With Bevacizumab for Colorectal Liver Metastases","type":"article-journal","volume":"302"},"uris":["http://www.mendeley.com/documents/?uuid=fcc955e1-a5c0-435f-b8b8-f603087ee561"]}],"mendeley":{"formattedCitation":"&lt;sup&gt;[10]&lt;/sup&gt;","plainTextFormattedCitation":"[10]","previouslyFormattedCitation":"&lt;sup&gt;[10]&lt;/sup&gt;"},"properties":{"noteIndex":0},"schema":"https://github.com/citation-style-language/schema/raw/master/csl-citation.json"}</w:instrText>
      </w:r>
      <w:r w:rsidR="00A75298" w:rsidRPr="009D7554">
        <w:rPr>
          <w:rFonts w:ascii="Book Antiqua" w:hAnsi="Book Antiqua"/>
          <w:bCs/>
          <w:lang w:val="en-US"/>
        </w:rPr>
        <w:fldChar w:fldCharType="separate"/>
      </w:r>
      <w:r w:rsidR="00C034F0" w:rsidRPr="009D7554">
        <w:rPr>
          <w:rFonts w:ascii="Book Antiqua" w:hAnsi="Book Antiqua"/>
          <w:bCs/>
          <w:vertAlign w:val="superscript"/>
          <w:lang w:val="en-US"/>
        </w:rPr>
        <w:t>[10]</w:t>
      </w:r>
      <w:r w:rsidR="00A75298" w:rsidRPr="009D7554">
        <w:rPr>
          <w:rFonts w:ascii="Book Antiqua" w:hAnsi="Book Antiqua"/>
          <w:bCs/>
          <w:lang w:val="en-US"/>
        </w:rPr>
        <w:fldChar w:fldCharType="end"/>
      </w:r>
      <w:r w:rsidR="00D3702E" w:rsidRPr="009D7554">
        <w:rPr>
          <w:rFonts w:ascii="Book Antiqua" w:hAnsi="Book Antiqua"/>
          <w:bCs/>
          <w:lang w:val="en-US"/>
        </w:rPr>
        <w:t xml:space="preserve"> had similar excellent predictive power for ≤ 10% tumor viability (area</w:t>
      </w:r>
      <w:r w:rsidR="006359D3" w:rsidRPr="009D7554">
        <w:rPr>
          <w:rFonts w:ascii="Book Antiqua" w:hAnsi="Book Antiqua"/>
          <w:bCs/>
          <w:lang w:val="en-US"/>
        </w:rPr>
        <w:t>s</w:t>
      </w:r>
      <w:r w:rsidR="00D3702E" w:rsidRPr="009D7554">
        <w:rPr>
          <w:rFonts w:ascii="Book Antiqua" w:hAnsi="Book Antiqua"/>
          <w:bCs/>
          <w:lang w:val="en-US"/>
        </w:rPr>
        <w:t xml:space="preserve"> under </w:t>
      </w:r>
      <w:r w:rsidR="006359D3" w:rsidRPr="009D7554">
        <w:rPr>
          <w:rFonts w:ascii="Book Antiqua" w:hAnsi="Book Antiqua"/>
          <w:bCs/>
          <w:lang w:val="en-US"/>
        </w:rPr>
        <w:t xml:space="preserve">the </w:t>
      </w:r>
      <w:r w:rsidR="00D3702E" w:rsidRPr="009D7554">
        <w:rPr>
          <w:rFonts w:ascii="Book Antiqua" w:hAnsi="Book Antiqua"/>
          <w:bCs/>
          <w:lang w:val="en-US"/>
        </w:rPr>
        <w:t xml:space="preserve">curve </w:t>
      </w:r>
      <w:r w:rsidR="006359D3" w:rsidRPr="009D7554">
        <w:rPr>
          <w:rFonts w:ascii="Book Antiqua" w:hAnsi="Book Antiqua"/>
          <w:bCs/>
          <w:lang w:val="en-US"/>
        </w:rPr>
        <w:t xml:space="preserve">of </w:t>
      </w:r>
      <w:r w:rsidR="00D3702E" w:rsidRPr="009D7554">
        <w:rPr>
          <w:rFonts w:ascii="Book Antiqua" w:hAnsi="Book Antiqua"/>
          <w:bCs/>
          <w:lang w:val="en-US"/>
        </w:rPr>
        <w:t xml:space="preserve">0.916 and 0.882, respectively) compared to </w:t>
      </w:r>
      <w:r w:rsidR="006359D3" w:rsidRPr="009D7554">
        <w:rPr>
          <w:rFonts w:ascii="Book Antiqua" w:hAnsi="Book Antiqua"/>
          <w:bCs/>
          <w:lang w:val="en-US"/>
        </w:rPr>
        <w:t xml:space="preserve">that for the </w:t>
      </w:r>
      <w:r w:rsidR="00D3702E" w:rsidRPr="009D7554">
        <w:rPr>
          <w:rFonts w:ascii="Book Antiqua" w:hAnsi="Book Antiqua"/>
          <w:bCs/>
          <w:lang w:val="en-US"/>
        </w:rPr>
        <w:t xml:space="preserve">degree of tumor shrinkage (area under </w:t>
      </w:r>
      <w:r w:rsidR="006359D3" w:rsidRPr="009D7554">
        <w:rPr>
          <w:rFonts w:ascii="Book Antiqua" w:hAnsi="Book Antiqua"/>
          <w:bCs/>
          <w:lang w:val="en-US"/>
        </w:rPr>
        <w:t xml:space="preserve">the </w:t>
      </w:r>
      <w:r w:rsidR="00D3702E" w:rsidRPr="009D7554">
        <w:rPr>
          <w:rFonts w:ascii="Book Antiqua" w:hAnsi="Book Antiqua"/>
          <w:bCs/>
          <w:lang w:val="en-US"/>
        </w:rPr>
        <w:t>curve</w:t>
      </w:r>
      <w:r w:rsidR="006359D3" w:rsidRPr="009D7554">
        <w:rPr>
          <w:rFonts w:ascii="Book Antiqua" w:hAnsi="Book Antiqua"/>
          <w:bCs/>
          <w:lang w:val="en-US"/>
        </w:rPr>
        <w:t xml:space="preserve"> of</w:t>
      </w:r>
      <w:r w:rsidR="00D3702E" w:rsidRPr="009D7554">
        <w:rPr>
          <w:rFonts w:ascii="Book Antiqua" w:hAnsi="Book Antiqua"/>
          <w:bCs/>
          <w:lang w:val="en-US"/>
        </w:rPr>
        <w:t xml:space="preserve"> 0.69) in patients who underwent PET/CT after chemotherapy and before </w:t>
      </w:r>
      <w:r w:rsidR="006359D3" w:rsidRPr="009D7554">
        <w:rPr>
          <w:rFonts w:ascii="Book Antiqua" w:hAnsi="Book Antiqua"/>
          <w:bCs/>
          <w:lang w:val="en-US"/>
        </w:rPr>
        <w:t xml:space="preserve">the </w:t>
      </w:r>
      <w:r w:rsidR="00D3702E" w:rsidRPr="009D7554">
        <w:rPr>
          <w:rFonts w:ascii="Book Antiqua" w:hAnsi="Book Antiqua"/>
          <w:bCs/>
          <w:lang w:val="en-US"/>
        </w:rPr>
        <w:t>surgical resection of CRLMs.</w:t>
      </w:r>
    </w:p>
    <w:p w:rsidR="0092573B" w:rsidRPr="009D7554" w:rsidRDefault="00D3702E" w:rsidP="006A253E">
      <w:pPr>
        <w:widowControl w:val="0"/>
        <w:autoSpaceDE w:val="0"/>
        <w:autoSpaceDN w:val="0"/>
        <w:adjustRightInd w:val="0"/>
        <w:snapToGrid w:val="0"/>
        <w:spacing w:line="360" w:lineRule="auto"/>
        <w:jc w:val="both"/>
        <w:rPr>
          <w:rFonts w:ascii="Book Antiqua" w:hAnsi="Book Antiqua"/>
          <w:bCs/>
          <w:lang w:val="en-US"/>
        </w:rPr>
      </w:pPr>
      <w:r w:rsidRPr="009D7554">
        <w:rPr>
          <w:rFonts w:ascii="Book Antiqua" w:hAnsi="Book Antiqua"/>
          <w:bCs/>
          <w:lang w:val="en-US"/>
        </w:rPr>
        <w:br w:type="page"/>
      </w:r>
    </w:p>
    <w:p w:rsidR="00704AA0" w:rsidRPr="009D7554" w:rsidRDefault="00704AA0" w:rsidP="006A253E">
      <w:pPr>
        <w:widowControl w:val="0"/>
        <w:autoSpaceDE w:val="0"/>
        <w:autoSpaceDN w:val="0"/>
        <w:adjustRightInd w:val="0"/>
        <w:snapToGrid w:val="0"/>
        <w:spacing w:line="360" w:lineRule="auto"/>
        <w:jc w:val="both"/>
        <w:rPr>
          <w:rFonts w:ascii="Book Antiqua" w:hAnsi="Book Antiqua"/>
          <w:bCs/>
          <w:i/>
          <w:iCs/>
          <w:lang w:val="en-US"/>
        </w:rPr>
      </w:pPr>
      <w:r w:rsidRPr="009D7554">
        <w:rPr>
          <w:rFonts w:ascii="Book Antiqua" w:hAnsi="Book Antiqua"/>
          <w:b/>
          <w:bCs/>
          <w:i/>
          <w:iCs/>
          <w:lang w:val="en-US"/>
        </w:rPr>
        <w:t>CRC</w:t>
      </w:r>
      <w:r w:rsidR="00D376F4" w:rsidRPr="009D7554">
        <w:rPr>
          <w:rFonts w:ascii="Book Antiqua" w:hAnsi="Book Antiqua"/>
          <w:b/>
          <w:bCs/>
          <w:i/>
          <w:iCs/>
          <w:lang w:val="en-US"/>
        </w:rPr>
        <w:t xml:space="preserve"> p</w:t>
      </w:r>
      <w:r w:rsidRPr="009D7554">
        <w:rPr>
          <w:rFonts w:ascii="Book Antiqua" w:hAnsi="Book Antiqua"/>
          <w:b/>
          <w:bCs/>
          <w:i/>
          <w:iCs/>
          <w:lang w:val="en-US"/>
        </w:rPr>
        <w:t>rognosis</w:t>
      </w:r>
    </w:p>
    <w:p w:rsidR="005B1241" w:rsidRPr="009D7554" w:rsidRDefault="00081C89" w:rsidP="006A253E">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lang w:val="en-US"/>
        </w:rPr>
        <w:t>Tumor stage at diagnosis is considered the most important prognostic factor for CRC patients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{"citationItems":[{"id":"ITEM-1","itemData":{"DOI":"10.1016/S0140-6736(13)61649-9","ISSN":"1474-547X","PMID":"24225001","abstract":"More than 1·2 million patients are diagnosed with colorectal cancer every year, and more than 600,000 die from the disease. Incidence strongly varies globally and is closely linked to elements of a so-called western lifestyle. Incidence is higher in men than women and strongly increases with age; median age at diagnosis is about 70 years in developed countries. Despite strong hereditary components, most cases of colorectal cancer are sporadic and develop slowly over several years through the adenoma-carcinoma sequence. The cornerstones of therapy are surgery, neoadjuvant radiotherapy (for patients with rectal cancer), and adjuvant chemotherapy (for patients with stage III/IV and high-risk stage II colon cancer). 5-year relative survival ranges from greater than 90% in patients with stage I disease to slightly greater than 10% in patients with stage IV disease. Screening has been shown to reduce colorectal cancer incidence and mortality, but organised screening programmes are still to be implemented in most countries.","author":[{"dropping-particle":"","family":"Brenner","given":"Hermann","non-dropping-particle":"","parse-names":false,"suffix":""},{"dropping-particle":"","family":"Kloor","given":"Matthias","non-dropping-particle":"","parse-names":false,"suffix":""},{"dropping-particle":"","family":"Pox","given":"Christian Peter","non-dropping-particle":"","parse-names":false,"suffix":""}],"container-title":"Lancet (London, England)","id":"ITEM-1","issue":"9927","issued":{"date-parts":[["2014","4","26"]]},"page":"1490-1502","title":"Colorectal cancer.","type":"article-journal","volume":"383"},"uris":["http://www.mendeley.com/documents/?uuid=922a752c-6301-48f2-9e01-ccb8ead8e2b9"]}],"mendeley":{"formattedCitation":"&lt;sup&gt;[97]&lt;/sup&gt;","plainTextFormattedCitation":"[97]","previouslyFormattedCitation":"&lt;sup&gt;[97]&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[97]</w:t>
      </w:r>
      <w:r w:rsidR="00A75298" w:rsidRPr="009D7554">
        <w:rPr>
          <w:rFonts w:ascii="Book Antiqua" w:hAnsi="Book Antiqua"/>
          <w:lang w:val="en-US"/>
        </w:rPr>
        <w:fldChar w:fldCharType="end"/>
      </w:r>
      <w:r w:rsidRPr="009D7554">
        <w:rPr>
          <w:rFonts w:ascii="Book Antiqua" w:hAnsi="Book Antiqua"/>
          <w:lang w:val="en-US"/>
        </w:rPr>
        <w:t xml:space="preserve">. However, </w:t>
      </w:r>
      <w:r w:rsidR="003E0221" w:rsidRPr="009D7554">
        <w:rPr>
          <w:rFonts w:ascii="Book Antiqua" w:hAnsi="Book Antiqua"/>
          <w:lang w:val="en-US"/>
        </w:rPr>
        <w:t xml:space="preserve">other </w:t>
      </w:r>
      <w:r w:rsidRPr="009D7554">
        <w:rPr>
          <w:rFonts w:ascii="Book Antiqua" w:hAnsi="Book Antiqua"/>
          <w:lang w:val="en-US"/>
        </w:rPr>
        <w:t>prognostic factors</w:t>
      </w:r>
      <w:r w:rsidR="003E0221" w:rsidRPr="009D7554">
        <w:rPr>
          <w:rFonts w:ascii="Book Antiqua" w:hAnsi="Book Antiqua"/>
          <w:lang w:val="en-US"/>
        </w:rPr>
        <w:t xml:space="preserve"> that include</w:t>
      </w:r>
      <w:r w:rsidRPr="009D7554">
        <w:rPr>
          <w:rFonts w:ascii="Book Antiqua" w:hAnsi="Book Antiqua"/>
          <w:lang w:val="en-US"/>
        </w:rPr>
        <w:t xml:space="preserve"> biologic</w:t>
      </w:r>
      <w:r w:rsidR="003E0221" w:rsidRPr="009D7554">
        <w:rPr>
          <w:rFonts w:ascii="Book Antiqua" w:hAnsi="Book Antiqua"/>
          <w:lang w:val="en-US"/>
        </w:rPr>
        <w:t>al</w:t>
      </w:r>
      <w:r w:rsidRPr="009D7554">
        <w:rPr>
          <w:rFonts w:ascii="Book Antiqua" w:hAnsi="Book Antiqua"/>
          <w:lang w:val="en-US"/>
        </w:rPr>
        <w:t xml:space="preserve"> </w:t>
      </w:r>
      <w:r w:rsidR="003E0221" w:rsidRPr="009D7554">
        <w:rPr>
          <w:rFonts w:ascii="Book Antiqua" w:hAnsi="Book Antiqua"/>
          <w:lang w:val="en-US"/>
        </w:rPr>
        <w:t xml:space="preserve">and </w:t>
      </w:r>
      <w:r w:rsidRPr="009D7554">
        <w:rPr>
          <w:rFonts w:ascii="Book Antiqua" w:hAnsi="Book Antiqua"/>
          <w:lang w:val="en-US"/>
        </w:rPr>
        <w:t>molecular information should be taken into account to personalize prognosis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{"citationItems":[{"id":"ITEM-1","itemData":{"DOI":"10.1002/jso.24774","ISSN":"1096-9098","PMID":"28767139","abstract":"Integrating diverse types of prognostic information into accurate, individualized estimates of outcome in colorectal cancer is challenging. Significant heterogeneity in colorectal cancer prognostication tool quality exists. Methodology is incompletely or inadequately reported. Evaluations of the internal or external validity of the prognostic model are rarely performed. Prognostication tools are important devices for patient management, but tool reliability is compromised by poor quality. Guidance for future development of prognostication tools in colorectal cancer is needed.","author":[{"dropping-particle":"","family":"Mahar","given":"Alyson L","non-dropping-particle":"","parse-names":false,"suffix":""},{"dropping-particle":"","family":"Compton","given":"Carolyn","non-dropping-particle":"","parse-names":false,"suffix":""},{"dropping-particle":"","family":"Halabi","given":"Susan","non-dropping-particle":"","parse-names":false,"suffix":""},{"dropping-particle":"","family":"Hess","given":"Kenneth R","non-dropping-particle":"","parse-names":false,"suffix":""},{"dropping-particle":"","family":"Weiser","given":"Martin R","non-dropping-particle":"","parse-names":false,"suffix":""},{"dropping-particle":"","family":"Groome","given":"Patti A","non-dropping-particle":"","parse-names":false,"suffix":""}],"container-title":"Journal of surgical oncology","id":"ITEM-1","issue":"8","issued":{"date-parts":[["2017","12"]]},"page":"969-982","title":"Personalizing prognosis in colorectal cancer: A systematic review of the quality and nature of clinical prognostic tools for survival outcomes.","type":"article-journal","volume":"116"},"uris":["http://www.mendeley.com/documents/?uuid=324e312a-709b-4d14-96e9-1f23a7acebb1"]}],"mendeley":{"formattedCitation":"&lt;sup&gt;[98]&lt;/sup&gt;","plainTextFormattedCitation":"[98]","previouslyFormattedCitation":"&lt;sup&gt;[98]&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[98]</w:t>
      </w:r>
      <w:r w:rsidR="00A75298" w:rsidRPr="009D7554">
        <w:rPr>
          <w:rFonts w:ascii="Book Antiqua" w:hAnsi="Book Antiqua"/>
          <w:lang w:val="en-US"/>
        </w:rPr>
        <w:fldChar w:fldCharType="end"/>
      </w:r>
      <w:r w:rsidRPr="009D7554">
        <w:rPr>
          <w:rFonts w:ascii="Book Antiqua" w:hAnsi="Book Antiqua"/>
          <w:lang w:val="en-US"/>
        </w:rPr>
        <w:t>. Parameters such as tumor differentiation grade and the presence of lymphangiovascular invasion (LVI)</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{"citationItems":[{"id":"ITEM-1","itemData":{"DOI":"10.3748/wjg.15.3793","ISSN":"2219-2840","PMID":"19673022","abstract":"AIM To investigate the meaning of lymphovascular invasion (LVI) in rectal cancer after neoadjuvant radiotherapy. METHODS A total of 325 patients who underwent radical resection using total mesorectal excision (TME) from January 2000 to January 2005 in Beijing cancer hospital were included retrospectively, divided into a preoperative radiotherapy (PRT) group and a control group, according to whether or not they underwent preoperative radiation. Histological assessments of tumor specimens were made and the correlation of LVI and prognosis were evaluated by univariate and multivariate analysis. RESULTS The occurrence of LVI in the PRT and control groups was 21.4% and 26.1% respectively. In the control group, LVI was significantly associated with histological differentiation and pathologic TNM stage, whereas these associations were not observed in the PRT group. LVI was closely correlated to disease progression and 5-year overall survival (OS) in both groups. Among the patients with disease progression, LVI positive patients in the PRT group had a significantly longer median disease-free period (22.5 mo vs 11.5 mo, P = 0.023) and overall survival time (42.5 mo vs 26.5 mo, P = 0.035) compared to those in the control group, despite the fact that no significant difference in 5-year OS rate was observed (54.4% vs 48.3%, P = 0.137). Multivariate analysis showed the distance of tumor from the anal verge, pretreatment serum carcinoembryonic antigen level, pathologic TNM stage and LVI were the major factors affecting OS. CONCLUSION Neoadjuvant radiotherapy does not reduce LVI significantly; however, the prognostic meaning of LVI has changed. Patients with LVI may benefit from neoadjuvant radiotherapy.","author":[{"dropping-particle":"","family":"Du","given":"Chang-Zheng","non-dropping-particle":"","parse-names":false,"suffix":""},{"dropping-particle":"","family":"Xue","given":"Wei-Cheng","non-dropping-particle":"","parse-names":false,"suffix":""},{"dropping-particle":"","family":"Cai","given":"Yong","non-dropping-particle":"","parse-names":false,"suffix":""},{"dropping-particle":"","family":"Li","given":"Ming","non-dropping-particle":"","parse-names":false,"suffix":""},{"dropping-particle":"","family":"Gu","given":"Jin","non-dropping-particle":"","parse-names":false,"suffix":""}],"container-title":"World journal of gastroenterology","id":"ITEM-1","issue":"30","issued":{"date-parts":[["2009","8","14"]]},"page":"3793-8","title":"Lymphovascular invasion in rectal cancer following neoadjuvant radiotherapy: a retrospective cohort study.","type":"article-journal","volume":"15"},"uris":["http://www.mendeley.com/documents/?uuid=85dbf176-0c2c-4e6a-8abb-bed5e4920473"]}],"mendeley":{"formattedCitation":"&lt;sup&gt;[99]&lt;/sup&gt;","plainTextFormattedCitation":"[99]","previouslyFormattedCitation":"&lt;sup&gt;[99]&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[99]</w:t>
      </w:r>
      <w:r w:rsidR="00A75298" w:rsidRPr="009D7554">
        <w:rPr>
          <w:rFonts w:ascii="Book Antiqua" w:hAnsi="Book Antiqua"/>
          <w:lang w:val="en-US"/>
        </w:rPr>
        <w:fldChar w:fldCharType="end"/>
      </w:r>
      <w:r w:rsidR="000D0095" w:rsidRPr="009D7554">
        <w:rPr>
          <w:rFonts w:ascii="Book Antiqua" w:hAnsi="Book Antiqua"/>
          <w:lang w:val="en-US"/>
        </w:rPr>
        <w:t xml:space="preserve"> are valuable in the prognostic evaluation of RC patients</w:t>
      </w:r>
      <w:r w:rsidR="001F0F25" w:rsidRPr="009D7554">
        <w:rPr>
          <w:rFonts w:ascii="Book Antiqua" w:hAnsi="Book Antiqua"/>
          <w:lang w:val="en-US"/>
        </w:rPr>
        <w:t>. Similarly,</w:t>
      </w:r>
      <w:r w:rsidR="000D0095" w:rsidRPr="009D7554">
        <w:rPr>
          <w:rFonts w:ascii="Book Antiqua" w:hAnsi="Book Antiqua"/>
          <w:lang w:val="en-US"/>
        </w:rPr>
        <w:t xml:space="preserve"> </w:t>
      </w:r>
      <w:r w:rsidR="003E0221" w:rsidRPr="009D7554">
        <w:rPr>
          <w:rFonts w:ascii="Book Antiqua" w:hAnsi="Book Antiqua"/>
          <w:lang w:val="en-US"/>
        </w:rPr>
        <w:t xml:space="preserve">the </w:t>
      </w:r>
      <w:r w:rsidR="000D0095" w:rsidRPr="009D7554">
        <w:rPr>
          <w:rFonts w:ascii="Book Antiqua" w:hAnsi="Book Antiqua"/>
          <w:lang w:val="en-US"/>
        </w:rPr>
        <w:t>plasmatic levels of carcinoembryonic antigen (CEA)</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{"citationItems":[{"id":"ITEM-1","itemData":{"DOI":"10.1002/jso.21495","ISSN":"1096-9098","PMID":"20119979","abstract":"OBJECTIVE We evaluated the prognostic value of the preoperative serum carcinoembryonic antigen (CEA) level in patients with colon cancer. METHODS We reviewed 474 patients who underwent potentially curative resection for nonmetastatic colon cancer. Patients were categorized into two groups according to the preoperative serum CEA level: low CEA (&lt;5 ng/ml) and high CEA (&gt;or=5 ng/ml) groups. RESULTS During the median 45-month follow-up period, the 5-year overall and disease-free survival rates for patients with a low CEA level were 81.7% and 82.4%, respectively, which were significantly higher than the rates for those with a high CEA level (69.9%; P = 0.011 and 70.6%; P = 0.002, respectively). A multivariate analysis revealed that a preoperative serum CEA level was a significant independent prognostic factor for both overall survival (P = 0.021) and disease-free survival (P = 0.026). Both the overall and disease-free survival rates in patients with stage II tumors differed significantly between the low and high CEA groups, whereas the rates did not different between those with stage I and III tumors. CONCLUSIONS Preoperative serum CEA is a reliable predictor of recurrence and survival after curative surgery in patients with colon cancer, particularly in those classified as having stage II disease.","author":[{"dropping-particle":"","family":"Huh","given":"Jung Wook","non-dropping-particle":"","parse-names":false,"suffix":""},{"dropping-particle":"","family":"Oh","given":"Byung Ryul","non-dropping-particle":"","parse-names":false,"suffix":""},{"dropping-particle":"","family":"Kim","given":"Hyeong Rok","non-dropping-particle":"","parse-names":false,"suffix":""},{"dropping-particle":"","family":"Kim","given":"Young Jin","non-dropping-particle":"","parse-names":false,"suffix":""}],"container-title":"Journal of surgical oncology","id":"ITEM-1","issue":"5","issued":{"date-parts":[["2010","4","1"]]},"page":"396-400","title":"Preoperative carcinoembryonic antigen level as an independent prognostic factor in potentially curative colon cancer.","type":"article-journal","volume":"101"},"uris":["http://www.mendeley.com/documents/?uuid=c304712c-d7e9-4ef8-9272-83f32920dd33"]}],"mendeley":{"formattedCitation":"&lt;sup&gt;[100]&lt;/sup&gt;","plainTextFormattedCitation":"[100]","previouslyFormattedCitation":"&lt;sup&gt;[100]&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[100]</w:t>
      </w:r>
      <w:r w:rsidR="00A75298" w:rsidRPr="009D7554">
        <w:rPr>
          <w:rFonts w:ascii="Book Antiqua" w:hAnsi="Book Antiqua"/>
          <w:lang w:val="en-US"/>
        </w:rPr>
        <w:fldChar w:fldCharType="end"/>
      </w:r>
      <w:r w:rsidR="005B1241" w:rsidRPr="009D7554">
        <w:rPr>
          <w:rFonts w:ascii="Book Antiqua" w:hAnsi="Book Antiqua"/>
          <w:lang w:val="en-US"/>
        </w:rPr>
        <w:t xml:space="preserve"> are useful for the prognostic assessment of CRLMs.</w:t>
      </w:r>
    </w:p>
    <w:p w:rsidR="00081C89" w:rsidRPr="009D7554" w:rsidRDefault="000D0095" w:rsidP="005C1EA1">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 xml:space="preserve">As a result, detailed information </w:t>
      </w:r>
      <w:r w:rsidR="003E0221" w:rsidRPr="009D7554">
        <w:rPr>
          <w:rFonts w:ascii="Book Antiqua" w:hAnsi="Book Antiqua"/>
          <w:lang w:val="en-US"/>
        </w:rPr>
        <w:t>regarding the</w:t>
      </w:r>
      <w:r w:rsidRPr="009D7554">
        <w:rPr>
          <w:rFonts w:ascii="Book Antiqua" w:hAnsi="Book Antiqua"/>
          <w:lang w:val="en-US"/>
        </w:rPr>
        <w:t xml:space="preserve"> individual tumor profile </w:t>
      </w:r>
      <w:r w:rsidR="003E0221" w:rsidRPr="009D7554">
        <w:rPr>
          <w:rFonts w:ascii="Book Antiqua" w:hAnsi="Book Antiqua"/>
          <w:lang w:val="en-US"/>
        </w:rPr>
        <w:t xml:space="preserve">of each patient </w:t>
      </w:r>
      <w:r w:rsidRPr="009D7554">
        <w:rPr>
          <w:rFonts w:ascii="Book Antiqua" w:hAnsi="Book Antiqua"/>
          <w:lang w:val="en-US"/>
        </w:rPr>
        <w:t xml:space="preserve">is </w:t>
      </w:r>
      <w:r w:rsidR="003E0221" w:rsidRPr="009D7554">
        <w:rPr>
          <w:rFonts w:ascii="Book Antiqua" w:hAnsi="Book Antiqua"/>
          <w:lang w:val="en-US"/>
        </w:rPr>
        <w:t xml:space="preserve">critical </w:t>
      </w:r>
      <w:r w:rsidRPr="009D7554">
        <w:rPr>
          <w:rFonts w:ascii="Book Antiqua" w:hAnsi="Book Antiqua"/>
          <w:lang w:val="en-US"/>
        </w:rPr>
        <w:t>to determine the risk for local and distant recurrence</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{"citationItems":[{"id":"ITEM-1","itemData":{"DOI":"10.1007/s00066-003-1045-9","ISSN":"0179-7158","PMID":"14628131","abstract":"PURPOSE To study changes of the apparent diffusion coefficient (ADC) measured by magnetic resonance imaging (MRI) in patients with primary rectal carcinoma during a course of combined chemoradiation. PATIENTS AND METHODS Diffusion-weighted echo-planar imaging at 1.5 T was performed in patients (n = 8) with primary rectal carcinoma (cT3) undergoing preoperative chemoradiation. Mean tumor ADC values and ADC histograms were determined and compared weekly during the course of therapy. Surgical resection of the tumors enabled a correlation of ADC values with the pathologic classification. RESULTS In four patients tumor T-downstaging (ypT0-2) was observed, and in four patients no downstaging (ypT3) was seen. In all patients, ADC values were higher before onset of chemoradiation therapy compared to the end of chemoradiation. Separating the patients into two groups, a significant increase in ADC value during week 1 of therapy, followed by a steady decrease, was found for the therapy-responder group. In the nonresponder group, no initial increase of ADC values was observed. After the 1st week of therapy, ADC values were significantly lower in the nonresponder group during the remaining duration of therapy. CONCLUSION With these preliminary results it could be shown that MR diffusion imaging is able to detect individual changes of tumor ADC values during the course of combined chemoradiation reflecting biological changes within the tumor tissue. Further studies will be necessary to prove the possible value of totally noninvasive ADC imaging on predicting therapy outcome.","author":[{"dropping-particle":"","family":"Kremser","given":"Christian","non-dropping-particle":"","parse-names":false,"suffix":""},{"dropping-particle":"","family":"Judmaier","given":"Werner","non-dropping-particle":"","parse-names":false,"suffix":""},{"dropping-particle":"","family":"Hein","given":"Patrick","non-dropping-particle":"","parse-names":false,"suffix":""},{"dropping-particle":"","family":"Griebel","given":"Jürgen","non-dropping-particle":"","parse-names":false,"suffix":""},{"dropping-particle":"","family":"Lukas","given":"Peter","non-dropping-particle":"","parse-names":false,"suffix":""},{"dropping-particle":"","family":"Vries","given":"Alexander","non-dropping-particle":"de","parse-names":false,"suffix":""}],"container-title":"Strahlentherapie und Onkologie : Organ der Deutschen Rontgengesellschaft ... [et al]","id":"ITEM-1","issue":"9","issued":{"date-parts":[["2003","9"]]},"page":"641-9","title":"Preliminary results on the influence of chemoradiation on apparent diffusion coefficients of primary rectal carcinoma measured by magnetic resonance imaging.","type":"article-journal","volume":"179"},"uris":["http://www.mendeley.com/documents/?uuid=63c0dbba-7ed6-4cd2-b9cd-f39edbb8f0e5"]}],"mendeley":{"formattedCitation":"&lt;sup&gt;[101]&lt;/sup&gt;","plainTextFormattedCitation":"[101]","previouslyFormattedCitation":"&lt;sup&gt;[101]&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[101]</w:t>
      </w:r>
      <w:r w:rsidR="00A75298" w:rsidRPr="009D7554">
        <w:rPr>
          <w:rFonts w:ascii="Book Antiqua" w:hAnsi="Book Antiqua"/>
          <w:lang w:val="en-US"/>
        </w:rPr>
        <w:fldChar w:fldCharType="end"/>
      </w:r>
      <w:r w:rsidR="008B7B12" w:rsidRPr="009D7554">
        <w:rPr>
          <w:rFonts w:ascii="Book Antiqua" w:hAnsi="Book Antiqua"/>
          <w:lang w:val="en-US"/>
        </w:rPr>
        <w:t>. Measures</w:t>
      </w:r>
      <w:r w:rsidR="001F0F25" w:rsidRPr="009D7554">
        <w:rPr>
          <w:rFonts w:ascii="Book Antiqua" w:hAnsi="Book Antiqua"/>
          <w:lang w:val="en-US"/>
        </w:rPr>
        <w:t xml:space="preserve"> such</w:t>
      </w:r>
      <w:r w:rsidR="008B7B12" w:rsidRPr="009D7554">
        <w:rPr>
          <w:rFonts w:ascii="Book Antiqua" w:hAnsi="Book Antiqua"/>
          <w:lang w:val="en-US"/>
        </w:rPr>
        <w:t xml:space="preserve"> as overall survival (OS), progression</w:t>
      </w:r>
      <w:r w:rsidR="001F0F25" w:rsidRPr="009D7554">
        <w:rPr>
          <w:rFonts w:ascii="Book Antiqua" w:hAnsi="Book Antiqua"/>
          <w:lang w:val="en-US"/>
        </w:rPr>
        <w:t>-</w:t>
      </w:r>
      <w:r w:rsidR="008B7B12" w:rsidRPr="009D7554">
        <w:rPr>
          <w:rFonts w:ascii="Book Antiqua" w:hAnsi="Book Antiqua"/>
          <w:lang w:val="en-US"/>
        </w:rPr>
        <w:t xml:space="preserve">free survival (PFS) or recurrence-free survival (RFS) are commonly used for prognostic evaluation. PA has the potential to introduce novel useful biomarkers that could </w:t>
      </w:r>
      <w:r w:rsidR="003E0221" w:rsidRPr="009D7554">
        <w:rPr>
          <w:rFonts w:ascii="Book Antiqua" w:hAnsi="Book Antiqua"/>
          <w:lang w:val="en-US"/>
        </w:rPr>
        <w:t>correlate</w:t>
      </w:r>
      <w:r w:rsidR="008B7B12" w:rsidRPr="009D7554">
        <w:rPr>
          <w:rFonts w:ascii="Book Antiqua" w:hAnsi="Book Antiqua"/>
          <w:lang w:val="en-US"/>
        </w:rPr>
        <w:t xml:space="preserve"> to </w:t>
      </w:r>
      <w:r w:rsidR="001F0F25" w:rsidRPr="009D7554">
        <w:rPr>
          <w:rFonts w:ascii="Book Antiqua" w:hAnsi="Book Antiqua"/>
          <w:lang w:val="en-US"/>
        </w:rPr>
        <w:t xml:space="preserve">the </w:t>
      </w:r>
      <w:r w:rsidR="008B7B12" w:rsidRPr="009D7554">
        <w:rPr>
          <w:rFonts w:ascii="Book Antiqua" w:hAnsi="Book Antiqua"/>
          <w:lang w:val="en-US"/>
        </w:rPr>
        <w:t>biologic</w:t>
      </w:r>
      <w:r w:rsidR="003E0221" w:rsidRPr="009D7554">
        <w:rPr>
          <w:rFonts w:ascii="Book Antiqua" w:hAnsi="Book Antiqua"/>
          <w:lang w:val="en-US"/>
        </w:rPr>
        <w:t>al</w:t>
      </w:r>
      <w:r w:rsidR="008B7B12" w:rsidRPr="009D7554">
        <w:rPr>
          <w:rFonts w:ascii="Book Antiqua" w:hAnsi="Book Antiqua"/>
          <w:lang w:val="en-US"/>
        </w:rPr>
        <w:t xml:space="preserve"> and genetic prognostic features of CRC and CRLMs or predict OS, PFS and/or RFS. Consequently, such parameters could be useful in CRC risk stratification and in treatment planning.</w:t>
      </w:r>
    </w:p>
    <w:p w:rsidR="00DC7A77" w:rsidRPr="009D7554" w:rsidRDefault="00DC7A77" w:rsidP="006A253E">
      <w:pPr>
        <w:widowControl w:val="0"/>
        <w:autoSpaceDE w:val="0"/>
        <w:autoSpaceDN w:val="0"/>
        <w:adjustRightInd w:val="0"/>
        <w:snapToGrid w:val="0"/>
        <w:spacing w:line="360" w:lineRule="auto"/>
        <w:jc w:val="both"/>
        <w:rPr>
          <w:rFonts w:ascii="Book Antiqua" w:hAnsi="Book Antiqua"/>
          <w:b/>
          <w:bCs/>
          <w:iCs/>
          <w:lang w:val="en-US"/>
        </w:rPr>
      </w:pPr>
    </w:p>
    <w:p w:rsidR="000D0095" w:rsidRPr="009D7554" w:rsidRDefault="00B97DB5" w:rsidP="00FC40CD">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DWI with ADC maps</w:t>
      </w:r>
      <w:r w:rsidR="00FC40CD" w:rsidRPr="009D7554">
        <w:rPr>
          <w:rFonts w:ascii="Book Antiqua" w:eastAsia="等线" w:hAnsi="Book Antiqua" w:hint="eastAsia"/>
          <w:b/>
          <w:lang w:val="en-US" w:eastAsia="zh-CN"/>
        </w:rPr>
        <w:t>:</w:t>
      </w:r>
      <w:r w:rsidR="00FC40CD" w:rsidRPr="009D7554">
        <w:rPr>
          <w:rFonts w:ascii="Book Antiqua" w:eastAsia="等线" w:hAnsi="Book Antiqua"/>
          <w:b/>
          <w:lang w:val="en-US" w:eastAsia="zh-CN"/>
        </w:rPr>
        <w:t xml:space="preserve"> </w:t>
      </w:r>
      <w:r w:rsidR="003E0221" w:rsidRPr="009D7554">
        <w:rPr>
          <w:rFonts w:ascii="Book Antiqua" w:hAnsi="Book Antiqua"/>
          <w:lang w:val="en-US"/>
        </w:rPr>
        <w:t>The q</w:t>
      </w:r>
      <w:r w:rsidR="008B59FA" w:rsidRPr="009D7554">
        <w:rPr>
          <w:rFonts w:ascii="Book Antiqua" w:hAnsi="Book Antiqua"/>
          <w:lang w:val="en-US"/>
        </w:rPr>
        <w:t>uantitative evaluation of ADC maps derived from DWI could aid in the prediction of patient prognosis</w:t>
      </w:r>
      <w:r w:rsidR="00A75298" w:rsidRPr="009D7554">
        <w:rPr>
          <w:rFonts w:ascii="Book Antiqua" w:hAnsi="Book Antiqua"/>
          <w:lang w:val="en-US"/>
        </w:rPr>
        <w:fldChar w:fldCharType="begin" w:fldLock="1"/>
      </w:r>
      <w:r w:rsidR="00DF4FB7" w:rsidRPr="009D7554">
        <w:rPr>
          <w:rFonts w:ascii="Book Antiqua" w:hAnsi="Book Antiqua"/>
          <w:lang w:val="en-US"/>
        </w:rPr>
        <w:instrText>ADDIN CSL_CITATION {"citationItems":[{"id":"ITEM-1","itemData":{"DOI":"10.2214/AJR.06.1403","ISSN":"0361-803X","PMID":"17515386","abstract":"OBJECTIVE In this article, we present the basic principles of diffusion-weighted imaging (DWI) that can aid radiologists in the qualitative and quantitative interpretation of DW images. However, a detailed discussion of the physics of DWI is beyond the scope of this article. A short discussion ensues on the technical aspects of performing DWI in the body. The emerging applications of DWI for tumor detection, tumor characterization, distinguishing tumor tissue from nontumor tissue, and monitoring and predicting treatment response are highlighted. The challenges to widespread adoption of the technique for cancer imaging in the body are discussed. CONCLUSION DWI derives its image contrast from differences in the motion of water molecules between tissues. Such imaging can be performed quickly without the need for the administration of exogenous contrast medium. The technique yields qualitative and quantitative information that reflects changes at a cellular level and provides unique insights about tumor cellularity and the integrity of cell membranes. Recent advances enable the technique to be widely applied for tumor evaluation in the abdomen and pelvis and have led to the development of whole-body DWI.","author":[{"dropping-particle":"","family":"Koh","given":"Dow-Mu","non-dropping-particle":"","parse-names":false,"suffix":""},{"dropping-particle":"","family":"Collins","given":"David J.","non-dropping-particle":"","parse-names":false,"suffix":""}],"container-title":"American Journal of Roentgenology","id":"ITEM-1","issue":"6","issued":{"date-parts":[["2007","6"]]},"page":"1622-1635","title":"Diffusion-Weighted MRI in the Body: Applications and Challenges in Oncology","type":"article-journal","volume":"188"},"uris":["http://www.mendeley.com/documents/?uuid=602ddb9b-e683-4139-9a14-ca48367ae821"]},{"id":"ITEM-2","itemData":{"DOI":"10.1038/ncponc1073","ISSN":"1743-4254","PMID":"18301415","abstract":"Diffusion-weighted MRI (DW-MRI) is a functional imaging technique that displays information about the extent and direction of random water motion in tissues. Water movement in tissues is modified by interactions with hydrophobic cellular membranes, intracellular organelles and macromolecules. DW-MRI provides information on extracellular-space tortuosity, tissue cellularity and the integrity of cellular membranes. Images can be sensitive to large or small displacements of water, therefore, macroscopic water flows and microscopic water displacements in the extracellular space can be depicted. Preclinical and clinical data indicate a number of potential roles of DW-MRI in the characterization of malignancy, including determination of lesion aggressiveness and monitoring response to therapy. This Review outlines the biological basis of observations made on DW-MRI and describes how measurements are acquired and quantified, and discusses the interpretation of images and limitations of the technique. The strength of evidence for adoption of DW-MRI as a biomarker for the assessment of tumor response is presented.","author":[{"dropping-particle":"","family":"Patterson","given":"Daniel M.","non-dropping-particle":"","parse-names":false,"suffix":""},{"dropping-particle":"","family":"Padhani","given":"Anwar R.","non-dropping-particle":"","parse-names":false,"suffix":""},{"dropping-particle":"","family":"Collins","given":"David J.","non-dropping-particle":"","parse-names":false,"suffix":""}],"container-title":"Nature Clinical Practice Oncology","id":"ITEM-2","issue":"4","issued":{"date-parts":[["2008","4","26"]]},"page":"220-233","title":"Technology Insight: water diffusion MRI—a potential new biomarker of response to cancer therapy","type":"article-journal","volume":"5"},"uris":["http://www.mendeley.com/documents/?uuid=fd7d8afc-3ac6-4ab9-a8ec-76e47e6fb009"]},{"id":"ITEM-3","itemData":{"DOI":"10.3109/0284186X.2010.498439","ISSN":"1651-226X","PMID":"20586658","abstract":"PURPOSE To investigate the use of FDG-PET/CT before, during and after chemoradiotherapy (CRT) and diffusion-weighted magnetic resonance imaging (DW-MRI) before CRT for the prediction of pathological response (pCR) in rectal cancer patients. MATERIAL AND METHODS Twenty-two rectal cancer patients treated with long course CRT were included. An FDG-PET/CT was performed prior to the start of CRT, after 10 to 12 fractions of CRT and five weeks after the end of CRT. The tumor was delineated using a gradient based delineation method and the maximal standardized uptake values (SUV(max)) were calculated. A DW-MRI was performed before start of CRT. Mean apparent diffusion coefficients (ADC) were determined. The ΔSUV(max) during and after CRT and the initial ADC values were correlated to the histopathological findings after total mesorectal excision (TME). RESULTS ΔSUV(max) during and after CRT significantly correlated with the pathological response to treatment (during CRT: ΔSUV(max) = 59% ± 12% for pCR vs. 25% ± 27% if no pCR, p=0.0036; post-CRT: 90% ± 11 for pCR vs. 63% ± 22 if no pCR p=0.013). ROC curve analysis revealed an optimal threshold for ΔSUV(max) of 40% during CRT and 76% after CRT. The initial ADC value was also significantly correlated with pCR (0.94 ± 0.12 × 10(-3) mm(2)/s for pCR vs. 1.2 ± 0.24 × 10(-3) mm(2)/s, p=0.002) and ROC curve analysis revealed an optimal threshold of 1.06 × 10(-3) mm(2)/s. Combining the provided ΔSUV(max) thresholds during and after CRT increased specificity of the prediction (sensitivity 100% and specificity 94%). The combination of the thresholds for the initial ADC value and the ΔSUV(max) during CRT increased specificity of the prediction to a similar level (sensitivity of 100% and specificity of 94%). CONCLUSIONS The combination of the different time points and the different imaging modalities increased the specificity of the response assessment both during and after CRT.","author":[{"dropping-particle":"","family":"Lambrecht","given":"Maarten","non-dropping-particle":"","parse-names":false,"suffix":""},{"dropping-particle":"","family":"Deroose","given":"Christophe","non-dropping-particle":"","parse-names":false,"suffix":""},{"dropping-particle":"","family":"Roels","given":"Sarah","non-dropping-particle":"","parse-names":false,"suffix":""},{"dropping-particle":"","family":"Vandecaveye","given":"Vincent","non-dropping-particle":"","parse-names":false,"suffix":""},{"dropping-particle":"","family":"Penninckx","given":"Freddy","non-dropping-particle":"","parse-names":false,"suffix":""},{"dropping-particle":"","family":"Sagaert","given":"Xavier","non-dropping-particle":"","parse-names":false,"suffix":""},{"dropping-particle":"","family":"Cutsem","given":"Eric","non-dropping-particle":"van","parse-names":false,"suffix":""},{"dropping-particle":"","family":"Keyzer","given":"Frederik","non-dropping-particle":"de","parse-names":false,"suffix":""},{"dropping-particle":"","family":"Haustermans","given":"Karin","non-dropping-particle":"","parse-names":false,"suffix":""}],"container-title":"Acta oncologica (Stockholm, Sweden)","id":"ITEM-3","issue":"7","issued":{"date-parts":[["2010","10"]]},"page":"956-63","title":"The use of FDG-PET/CT and diffusion-weighted magnetic resonance imaging for response prediction before, during and after preoperative chemoradiotherapy for rectal cancer.","type":"article-journal","volume":"49"},"uris":["http://www.mendeley.com/documents/?uuid=d49cd08a-ff01-4a52-bc1d-c742fb318fe1"]}],"mendeley":{"formattedCitation":"&lt;sup&gt;[16,18,70]&lt;/sup&gt;","plainTextFormattedCitation":"[16,18,70]","previouslyFormattedCitation":"&lt;sup&gt;[16,18,70]&lt;/sup&gt;"},"properties":{"noteIndex":0},"schema":"https://github.com/citation-style-language/schema/raw/master/csl-citation.json"}</w:instrText>
      </w:r>
      <w:r w:rsidR="00A75298" w:rsidRPr="009D7554">
        <w:rPr>
          <w:rFonts w:ascii="Book Antiqua" w:hAnsi="Book Antiqua"/>
          <w:lang w:val="en-US"/>
        </w:rPr>
        <w:fldChar w:fldCharType="separate"/>
      </w:r>
      <w:r w:rsidR="006821F4" w:rsidRPr="009D7554">
        <w:rPr>
          <w:rFonts w:ascii="Book Antiqua" w:hAnsi="Book Antiqua"/>
          <w:vertAlign w:val="superscript"/>
          <w:lang w:val="en-US"/>
        </w:rPr>
        <w:t>[16,18,70]</w:t>
      </w:r>
      <w:r w:rsidR="00A75298" w:rsidRPr="009D7554">
        <w:rPr>
          <w:rFonts w:ascii="Book Antiqua" w:hAnsi="Book Antiqua"/>
          <w:lang w:val="en-US"/>
        </w:rPr>
        <w:fldChar w:fldCharType="end"/>
      </w:r>
      <w:r w:rsidR="00523AE1" w:rsidRPr="009D7554">
        <w:rPr>
          <w:rFonts w:ascii="Book Antiqua" w:hAnsi="Book Antiqua"/>
          <w:bCs/>
          <w:lang w:val="en-US"/>
        </w:rPr>
        <w:t xml:space="preserve">. Curvo-Semedo </w:t>
      </w:r>
      <w:r w:rsidR="000D0095" w:rsidRPr="009D7554">
        <w:rPr>
          <w:rFonts w:ascii="Book Antiqua" w:hAnsi="Book Antiqua"/>
          <w:i/>
          <w:lang w:val="en-US"/>
        </w:rPr>
        <w:t>et al</w:t>
      </w:r>
      <w:r w:rsidR="00A75298" w:rsidRPr="009D7554">
        <w:rPr>
          <w:rFonts w:ascii="Book Antiqua" w:hAnsi="Book Antiqua"/>
          <w:i/>
          <w:lang w:val="en-US"/>
        </w:rPr>
        <w:fldChar w:fldCharType="begin" w:fldLock="1"/>
      </w:r>
      <w:r w:rsidR="00836AD8" w:rsidRPr="009D7554">
        <w:rPr>
          <w:rFonts w:ascii="Book Antiqua" w:hAnsi="Book Antiqua"/>
          <w:i/>
          <w:lang w:val="en-US"/>
        </w:rPr>
        <w:instrText>ADDIN CSL_CITATION {"citationItems":[{"id":"ITEM-1","itemData":{"DOI":"10.1002/jmri.23589","ISSN":"1522-2586","PMID":"22271382","abstract":"PURPOSE To assess the value of diffusion-weighted MR imaging (DWI) as a potential noninvasive marker of tumor aggressiveness in rectal cancer, by analyzing the relationship between tumoral apparent diffusion coefficient (ADC) values and MRI and histological prognostic parameters. MATERIALS AND METHODS Fifty rectal cancer patients underwent primary staging MRI including DWI before surgery and neo-adjuvant therapy. In 47, surgery was preceded by short-course radiation therapy (n = 28) or long-course chemoradiation therapy (n = 19). Mean tumor ADC was measured and compared between subgroups based on pretreatment CEA levels, MRI parameters (mesorectal fascia - MRF - status; T-stage; N-stage) and histological parameters (differentiation grade: poorly differentiated, poorly moderately differentiated, moderately differentiated, moderately well differentiated, well-differentiated; lymphangiovascular invasion). RESULTS Mean tumor ADCs differ between MRF-free versus MRF-invaded tumors (P = 0.013), the groups of cN0 versus cN+ cancers (P = 0.011), and between the several groups of histological differentiation grades (P = 0.025). There was no significant difference in mean ADCs between the various groups of CEA levels, the T stage, and the presence of lymphangiovascular invasion. CONCLUSION Lower ADC values were associated with a more aggressive tumor profile. Significant correlations were found between mean ADC values and radiological MRF status, N stage and differentiation grade. ADC has the potential to become an imaging biomarker of tumor aggressiveness profile.","author":[{"dropping-particle":"","family":"Curvo-Semedo","given":"Luís","non-dropping-particle":"","parse-names":false,"suffix":""},{"dropping-particle":"","family":"Lambregts","given":"Doenja M J","non-dropping-particle":"","parse-names":false,"suffix":""},{"dropping-particle":"","family":"Maas","given":"Monique","non-dropping-particle":"","parse-names":false,"suffix":""},{"dropping-particle":"","family":"Beets","given":"Geerard L","non-dropping-particle":"","parse-names":false,"suffix":""},{"dropping-particle":"","family":"Caseiro-Alves","given":"Filipe","non-dropping-particle":"","parse-names":false,"suffix":""},{"dropping-particle":"","family":"Beets-Tan","given":"Regina G H","non-dropping-particle":"","parse-names":false,"suffix":""}],"container-title":"Journal of magnetic resonance imaging : JMRI","id":"ITEM-1","issue":"6","issued":{"date-parts":[["2012","6"]]},"page":"1365-71","title":"Diffusion-weighted MRI in rectal cancer: apparent diffusion coefficient as a potential noninvasive marker of tumor aggressiveness.","type":"article-journal","volume":"35"},"uris":["http://www.mendeley.com/documents/?uuid=ed2e6e1d-f193-4dd9-82d3-99cf5ee96813"]}],"mendeley":{"formattedCitation":"&lt;sup&gt;[33]&lt;/sup&gt;","plainTextFormattedCitation":"[33]","previouslyFormattedCitation":"&lt;sup&gt;[33]&lt;/sup&gt;"},"properties":{"noteIndex":0},"schema":"https://github.com/citation-style-language/schema/raw/master/csl-citation.json"}</w:instrText>
      </w:r>
      <w:r w:rsidR="00A75298" w:rsidRPr="009D7554">
        <w:rPr>
          <w:rFonts w:ascii="Book Antiqua" w:hAnsi="Book Antiqua"/>
          <w:i/>
          <w:lang w:val="en-US"/>
        </w:rPr>
        <w:fldChar w:fldCharType="separate"/>
      </w:r>
      <w:r w:rsidR="00836AD8" w:rsidRPr="009D7554">
        <w:rPr>
          <w:rFonts w:ascii="Book Antiqua" w:hAnsi="Book Antiqua"/>
          <w:vertAlign w:val="superscript"/>
          <w:lang w:val="en-US"/>
        </w:rPr>
        <w:t>[33]</w:t>
      </w:r>
      <w:r w:rsidR="00A75298" w:rsidRPr="009D7554">
        <w:rPr>
          <w:rFonts w:ascii="Book Antiqua" w:hAnsi="Book Antiqua"/>
          <w:i/>
          <w:lang w:val="en-US"/>
        </w:rPr>
        <w:fldChar w:fldCharType="end"/>
      </w:r>
      <w:r w:rsidR="00523AE1" w:rsidRPr="009D7554">
        <w:rPr>
          <w:rFonts w:ascii="Book Antiqua" w:hAnsi="Book Antiqua"/>
          <w:bCs/>
          <w:lang w:val="en-US"/>
        </w:rPr>
        <w:t xml:space="preserve"> reported that ADC values differed significantly between </w:t>
      </w:r>
      <w:r w:rsidR="003E0221" w:rsidRPr="009D7554">
        <w:rPr>
          <w:rFonts w:ascii="Book Antiqua" w:hAnsi="Book Antiqua"/>
          <w:bCs/>
          <w:lang w:val="en-US"/>
        </w:rPr>
        <w:t xml:space="preserve">RC </w:t>
      </w:r>
      <w:r w:rsidR="00523AE1" w:rsidRPr="009D7554">
        <w:rPr>
          <w:rFonts w:ascii="Book Antiqua" w:hAnsi="Book Antiqua"/>
          <w:bCs/>
          <w:lang w:val="en-US"/>
        </w:rPr>
        <w:t xml:space="preserve">tumors with and without mesorectal fascia (MRF) invasion, between N0 and N+ cancers and even among different histological grades. In particular, </w:t>
      </w:r>
      <w:r w:rsidR="003E0221" w:rsidRPr="009D7554">
        <w:rPr>
          <w:rFonts w:ascii="Book Antiqua" w:hAnsi="Book Antiqua"/>
          <w:bCs/>
          <w:lang w:val="en-US"/>
        </w:rPr>
        <w:t xml:space="preserve">decreased mean </w:t>
      </w:r>
      <w:r w:rsidR="00523AE1" w:rsidRPr="009D7554">
        <w:rPr>
          <w:rFonts w:ascii="Book Antiqua" w:hAnsi="Book Antiqua"/>
          <w:bCs/>
          <w:lang w:val="en-US"/>
        </w:rPr>
        <w:t xml:space="preserve">pretreatment ADC values were observed in tumors with </w:t>
      </w:r>
      <w:r w:rsidR="003E0221" w:rsidRPr="009D7554">
        <w:rPr>
          <w:rFonts w:ascii="Book Antiqua" w:hAnsi="Book Antiqua"/>
          <w:bCs/>
          <w:lang w:val="en-US"/>
        </w:rPr>
        <w:t xml:space="preserve">MRF </w:t>
      </w:r>
      <w:r w:rsidR="00523AE1" w:rsidRPr="009D7554">
        <w:rPr>
          <w:rFonts w:ascii="Book Antiqua" w:hAnsi="Book Antiqua"/>
          <w:bCs/>
          <w:lang w:val="en-US"/>
        </w:rPr>
        <w:t xml:space="preserve">involvement, metastatic lymph nodes or poorly differentiated grading. Sun </w:t>
      </w:r>
      <w:r w:rsidR="000D0095"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{"citationItems":[{"id":"ITEM-1","itemData":{"DOI":"10.1371/journal.pone.0109371","ISSN":"1932-6203","PMID":"25303288","abstract":"OBJECTIVE We elected to analyze the correlation between the pre-treatment apparent diffusion coefficient (ADC) and the clinical, histological, and immunohistochemical status of rectal cancers. MATERIALS AND METHODS Forty-nine rectal cancer patients who received surgical resection without neoadjuvant therapy were selected that underwent primary MRI and diffusion-weighted imaging (DWI). Tumor ADC values were determined and analyzed to identify any correlations between these values and pre-treatment CEA or CA19-9 levels, and/or the histological and immunohistochemical properties of the tumor. RESULTS Inter-observer agreement of confidence levels from two separate observers was suitable for ADC measurement (k = 0.775). The pre-treatment ADC values of different T stage tumors were not equal (p = 0.003). The overall trend was that higher T stage values correlated with lower ADC values. ADC values were also significantly lower for the following conditions: tumors with the presence of extranodal tumor deposits (p = 0.006) and tumors with CA19-9 levels ≥ 35 g/ml (p = 0.006). There was a negative correlation between Ki-67 LI and the ADC value (r = -0.318, p = 0.026) and between the AgNOR count and the ADC value (r = -0.310, p = 0.030). CONCLUSION Significant correlations were found between the pre-treatment ADC values and T stage, extranodal tumor deposits, CA19-9 levels, Ki-67 LI, and AgNOR counts in our study. Lower ADC values were associated with more aggressive tumor behavior. Therefore, the ADC value may represent a useful biomarker for assessing the biological features and possible relationship to the status of identified rectal cancers.","author":[{"dropping-particle":"","family":"Sun","given":"Yiqun","non-dropping-particle":"","parse-names":false,"suffix":""},{"dropping-particle":"","family":"Tong","given":"Tong","non-dropping-particle":"","parse-names":false,"suffix":""},{"dropping-particle":"","family":"Cai","given":"Sanjun","non-dropping-particle":"","parse-names":false,"suffix":""},{"dropping-particle":"","family":"Bi","given":"Rui","non-dropping-particle":"","parse-names":false,"suffix":""},{"dropping-particle":"","family":"Xin","given":"Chao","non-dropping-particle":"","parse-names":false,"suffix":""},{"dropping-particle":"","family":"Gu","given":"Yajia","non-dropping-particle":"","parse-names":false,"suffix":""}],"container-title":"PloS one","id":"ITEM-1","issue":"10","issued":{"date-parts":[["2014"]]},"page":"e109371","title":"Apparent Diffusion Coefficient (ADC) value: a potential imaging biomarker that reflects the biological features of rectal cancer.","type":"article-journal","volume":"9"},"uris":["http://www.mendeley.com/documents/?uuid=59202873-424f-48c2-a2f5-29a763dee3a2"]}],"mendeley":{"formattedCitation":"&lt;sup&gt;[102]&lt;/sup&gt;","plainTextFormattedCitation":"[102]","previouslyFormattedCitation":"&lt;sup&gt;[102]&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[102]</w:t>
      </w:r>
      <w:r w:rsidR="00A75298" w:rsidRPr="009D7554">
        <w:rPr>
          <w:rFonts w:ascii="Book Antiqua" w:hAnsi="Book Antiqua"/>
          <w:i/>
          <w:lang w:val="en-US"/>
        </w:rPr>
        <w:fldChar w:fldCharType="end"/>
      </w:r>
      <w:r w:rsidR="00523AE1" w:rsidRPr="009D7554">
        <w:rPr>
          <w:rFonts w:ascii="Book Antiqua" w:hAnsi="Book Antiqua"/>
          <w:bCs/>
          <w:lang w:val="en-US"/>
        </w:rPr>
        <w:t xml:space="preserve"> reported that </w:t>
      </w:r>
      <w:r w:rsidR="003E0221" w:rsidRPr="009D7554">
        <w:rPr>
          <w:rFonts w:ascii="Book Antiqua" w:hAnsi="Book Antiqua"/>
          <w:bCs/>
          <w:lang w:val="en-US"/>
        </w:rPr>
        <w:t xml:space="preserve">decreased </w:t>
      </w:r>
      <w:r w:rsidR="00523AE1" w:rsidRPr="009D7554">
        <w:rPr>
          <w:rFonts w:ascii="Book Antiqua" w:hAnsi="Book Antiqua"/>
          <w:bCs/>
          <w:lang w:val="en-US"/>
        </w:rPr>
        <w:t xml:space="preserve">ADC values </w:t>
      </w:r>
      <w:r w:rsidR="003E0221" w:rsidRPr="009D7554">
        <w:rPr>
          <w:rFonts w:ascii="Book Antiqua" w:hAnsi="Book Antiqua"/>
          <w:bCs/>
          <w:lang w:val="en-US"/>
        </w:rPr>
        <w:t xml:space="preserve">were </w:t>
      </w:r>
      <w:r w:rsidR="00523AE1" w:rsidRPr="009D7554">
        <w:rPr>
          <w:rFonts w:ascii="Book Antiqua" w:hAnsi="Book Antiqua"/>
          <w:bCs/>
          <w:lang w:val="en-US"/>
        </w:rPr>
        <w:t xml:space="preserve">strongly associated with </w:t>
      </w:r>
      <w:r w:rsidR="003E0221" w:rsidRPr="009D7554">
        <w:rPr>
          <w:rFonts w:ascii="Book Antiqua" w:hAnsi="Book Antiqua"/>
          <w:bCs/>
          <w:lang w:val="en-US"/>
        </w:rPr>
        <w:t xml:space="preserve">increased </w:t>
      </w:r>
      <w:r w:rsidR="00523AE1" w:rsidRPr="009D7554">
        <w:rPr>
          <w:rFonts w:ascii="Book Antiqua" w:hAnsi="Book Antiqua"/>
          <w:bCs/>
          <w:lang w:val="en-US"/>
        </w:rPr>
        <w:t xml:space="preserve">T stage and </w:t>
      </w:r>
      <w:r w:rsidR="003E0221" w:rsidRPr="009D7554">
        <w:rPr>
          <w:rFonts w:ascii="Book Antiqua" w:hAnsi="Book Antiqua"/>
          <w:bCs/>
          <w:lang w:val="en-US"/>
        </w:rPr>
        <w:t xml:space="preserve">a </w:t>
      </w:r>
      <w:r w:rsidR="00523AE1" w:rsidRPr="009D7554">
        <w:rPr>
          <w:rFonts w:ascii="Book Antiqua" w:hAnsi="Book Antiqua"/>
          <w:bCs/>
          <w:lang w:val="en-US"/>
        </w:rPr>
        <w:t xml:space="preserve">more aggressive tumor </w:t>
      </w:r>
      <w:r w:rsidR="001F0F25" w:rsidRPr="009D7554">
        <w:rPr>
          <w:rFonts w:ascii="Book Antiqua" w:hAnsi="Book Antiqua"/>
          <w:bCs/>
          <w:lang w:val="en-US"/>
        </w:rPr>
        <w:t>profile</w:t>
      </w:r>
      <w:r w:rsidR="00523AE1" w:rsidRPr="009D7554">
        <w:rPr>
          <w:rFonts w:ascii="Book Antiqua" w:hAnsi="Book Antiqua"/>
          <w:bCs/>
          <w:lang w:val="en-US"/>
        </w:rPr>
        <w:t xml:space="preserve">. Tong </w:t>
      </w:r>
      <w:r w:rsidR="000D0095" w:rsidRPr="009D7554">
        <w:rPr>
          <w:rFonts w:ascii="Book Antiqua" w:hAnsi="Book Antiqua"/>
          <w:i/>
          <w:lang w:val="en-US"/>
        </w:rPr>
        <w:t>et al</w:t>
      </w:r>
      <w:r w:rsidR="00A75298" w:rsidRPr="009D7554">
        <w:rPr>
          <w:rFonts w:ascii="Book Antiqua" w:hAnsi="Book Antiqua"/>
          <w:i/>
          <w:lang w:val="en-US"/>
        </w:rPr>
        <w:fldChar w:fldCharType="begin" w:fldLock="1"/>
      </w:r>
      <w:r w:rsidR="008E4D3E" w:rsidRPr="009D7554">
        <w:rPr>
          <w:rFonts w:ascii="Book Antiqua" w:hAnsi="Book Antiqua"/>
          <w:i/>
          <w:lang w:val="en-US"/>
        </w:rPr>
        <w:instrText>ADDIN CSL_CITATION {"citationItems":[{"id":"ITEM-1","itemData":{"DOI":"10.1002/jmri.24398","ISSN":"1522-2586","PMID":"24307597","abstract":"PURPOSE To assess the value of maximal extramural depth (EMD) of T3 tumor spread on MRI as a potential noninvasive imaging biomarker of tumor aggressiveness in rectal cancer, by analyzing the relationship between tumoral EMD values and clinical or histological prognostic parameters. In addition, we try to investigate the relationship between EMD and apparent diffusion coefficient (ADC) values. MATERIALS AND METHODS Ninety rectal cancer patients who underwent primary MRI staging and diffusion weighted imaging (DWI) as T3 tumor were included. Tumor EMD was measured, and the EMD values of the subgroups based on pretreatment CEA, CA19-9 levels, N stage, and histological parameters were compared. The correlation between EMD and ADC values was compared. RESULTS Interobserver agreement of confidence levels for observers 1 and 2 was good for cN stage (k = 0.678) and EMD measurement(k = 0.612) and was excellent for ADC measurement (k = 0.880). Tumor EMDs differ between CEA &lt;5 ng/mL versus ≥ 5 ng/mL (P = 0.013), CA19-9 &lt; 27 U/mL versus ≥ 27 U/mL (P = 0.012), the groups of cN0 versus cN+ cancers (P = 0.049), and between the several groups of histological differentiation grades (P = 0.033). There was no significant difference in EMDs between the various groups of vessel carcinoma embolus and neural invasion. A significant negative correlation (r = -0.581; P = 0.001) between ADC and EMD values was found. CONCLUSION Significant correlations were found between EMD values and CEA, CA19-9 level, differentiation grade and ADC value. As been found, higher EMD values were associated with a more aggressive tumor profile and, therefore, EMD has the potential to become an imaging biomarker of tumor aggressiveness indicator.","author":[{"dropping-particle":"","family":"Tong","given":"Tong","non-dropping-particle":"","parse-names":false,"suffix":""},{"dropping-particle":"","family":"Yao","given":"Zhenwei","non-dropping-particle":"","parse-names":false,"suffix":""},{"dropping-particle":"","family":"Xu","given":"Linhui","non-dropping-particle":"","parse-names":false,"suffix":""},{"dropping-particle":"","family":"Cai","given":"Sanjun","non-dropping-particle":"","parse-names":false,"suffix":""},{"dropping-particle":"","family":"Bi","given":"Rui","non-dropping-particle":"","parse-names":false,"suffix":""},{"dropping-particle":"","family":"Xin","given":"Chao","non-dropping-particle":"","parse-names":false,"suffix":""},{"dropping-particle":"","family":"Gu","given":"Yajia","non-dropping-particle":"","parse-names":false,"suffix":""},{"dropping-particle":"","family":"Peng","given":"Weijun","non-dropping-particle":"","parse-names":false,"suffix":""}],"container-title":"Journal of magnetic resonance imaging : JMRI","id":"ITEM-1","issue":"3","issued":{"date-parts":[["2014","9"]]},"page":"738-44","title":"Extramural depth of tumor invasion at thin-section MR in rectal cancer: associating with prognostic factors and ADC value.","type":"article-journal","volume":"40"},"uris":["http://www.mendeley.com/documents/?uuid=ebb77650-f780-4a1e-8f9c-ea5e053d39ae"]}],"mendeley":{"formattedCitation":"&lt;sup&gt;[34]&lt;/sup&gt;","plainTextFormattedCitation":"[34]","previouslyFormattedCitation":"&lt;sup&gt;[34]&lt;/sup&gt;"},"properties":{"noteIndex":0},"schema":"https://github.com/citation-style-language/schema/raw/master/csl-citation.json"}</w:instrText>
      </w:r>
      <w:r w:rsidR="00A75298" w:rsidRPr="009D7554">
        <w:rPr>
          <w:rFonts w:ascii="Book Antiqua" w:hAnsi="Book Antiqua"/>
          <w:i/>
          <w:lang w:val="en-US"/>
        </w:rPr>
        <w:fldChar w:fldCharType="separate"/>
      </w:r>
      <w:r w:rsidR="00836AD8" w:rsidRPr="009D7554">
        <w:rPr>
          <w:rFonts w:ascii="Book Antiqua" w:hAnsi="Book Antiqua"/>
          <w:vertAlign w:val="superscript"/>
          <w:lang w:val="en-US"/>
        </w:rPr>
        <w:t>[34]</w:t>
      </w:r>
      <w:r w:rsidR="00A75298" w:rsidRPr="009D7554">
        <w:rPr>
          <w:rFonts w:ascii="Book Antiqua" w:hAnsi="Book Antiqua"/>
          <w:i/>
          <w:lang w:val="en-US"/>
        </w:rPr>
        <w:fldChar w:fldCharType="end"/>
      </w:r>
      <w:r w:rsidR="005B1241" w:rsidRPr="009D7554">
        <w:rPr>
          <w:rFonts w:ascii="Book Antiqua" w:hAnsi="Book Antiqua"/>
          <w:i/>
          <w:lang w:val="en-US"/>
        </w:rPr>
        <w:t xml:space="preserve"> </w:t>
      </w:r>
      <w:r w:rsidR="00751044" w:rsidRPr="009D7554">
        <w:rPr>
          <w:rFonts w:ascii="Book Antiqua" w:hAnsi="Book Antiqua"/>
          <w:bCs/>
          <w:lang w:val="en-US"/>
        </w:rPr>
        <w:t xml:space="preserve">observed that </w:t>
      </w:r>
      <w:r w:rsidR="003E0221" w:rsidRPr="009D7554">
        <w:rPr>
          <w:rFonts w:ascii="Book Antiqua" w:hAnsi="Book Antiqua"/>
          <w:bCs/>
          <w:lang w:val="en-US"/>
        </w:rPr>
        <w:t xml:space="preserve">the </w:t>
      </w:r>
      <w:r w:rsidR="00751044" w:rsidRPr="009D7554">
        <w:rPr>
          <w:rFonts w:ascii="Book Antiqua" w:hAnsi="Book Antiqua"/>
          <w:bCs/>
          <w:lang w:val="en-US"/>
        </w:rPr>
        <w:t xml:space="preserve">extramural maximal depth and </w:t>
      </w:r>
      <w:r w:rsidR="003E0221" w:rsidRPr="009D7554">
        <w:rPr>
          <w:rFonts w:ascii="Book Antiqua" w:hAnsi="Book Antiqua"/>
          <w:bCs/>
          <w:lang w:val="en-US"/>
        </w:rPr>
        <w:t xml:space="preserve">the </w:t>
      </w:r>
      <w:r w:rsidR="00751044" w:rsidRPr="009D7554">
        <w:rPr>
          <w:rFonts w:ascii="Book Antiqua" w:hAnsi="Book Antiqua"/>
          <w:bCs/>
          <w:lang w:val="en-US"/>
        </w:rPr>
        <w:t xml:space="preserve">ADC value have a significant negative correlation in </w:t>
      </w:r>
      <w:r w:rsidR="003E0221" w:rsidRPr="009D7554">
        <w:rPr>
          <w:rFonts w:ascii="Book Antiqua" w:hAnsi="Book Antiqua"/>
          <w:bCs/>
          <w:lang w:val="en-US"/>
        </w:rPr>
        <w:t xml:space="preserve">the </w:t>
      </w:r>
      <w:r w:rsidR="00751044" w:rsidRPr="009D7554">
        <w:rPr>
          <w:rFonts w:ascii="Book Antiqua" w:hAnsi="Book Antiqua"/>
          <w:bCs/>
          <w:lang w:val="en-US"/>
        </w:rPr>
        <w:t xml:space="preserve">T3 RC spread. Heijmen </w:t>
      </w:r>
      <w:r w:rsidR="003E31A8"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{"citationItems":[{"id":"ITEM-1","itemData":{"DOI":"10.1371/journal.pone.0120823","ISSN":"1932-6203","PMID":"25831053","abstract":"AIM Aim of this study was to investigate the potential of 18F-FDG PET, diffusion weighted imaging (DWI) and susceptibility-weighted (T2*) MRI to predict response to systemic treatment in patients with colorectal liver metastases. The predictive values of pretreatment measurements and of early changes one week after start of therapy, were evaluated. METHODS Imaging was performed prior to and one week after start of first line chemotherapy in 39 patients with colorectal liver metastases. 18F-FDG PET scans were performed on a PET/CT scanner and DWI and T2* were performed on a 1.5T MR scanner. The maximum standardized uptake values (SUV), total lesion glycolysis (TLG), apparent diffusion coefficient (ADC) and T2* value were assessed in the same lesions. Up to 5 liver metastases per patient were analyzed. Outcome measures were progression free survival (PFS), overall survival (OS) and size response. RESULTS Pretreatment, high SUVmax, high TLG, low ADC and high T2* were associated with a shorter OS. Low pretreatment ADC value was associated with shorter PFS. After 1 week a significant drop in SUVmax and rise in ADC were observed. The drop in SUV was correlated with the rise in ADC (r=-0.58, p=0.002). Neither change in ADC nor in SUV was predictive of PFS or OS. T2* did not significantly change after start of treatment. CONCLUSION Pretreatment SUVmax, TLG, ADC, and T2* values in colorectal liver metastases are predictive of patient outcome. Despite sensitivity of DWI and 18F-FDG PET for early treatment effects, change in these parameters was not predictive of long term outcome.","author":[{"dropping-particle":"","family":"Heijmen","given":"Linda","non-dropping-particle":"","parse-names":false,"suffix":""},{"dropping-particle":"","family":"Voert","given":"Edwin E G W","non-dropping-particle":"ter","parse-names":false,"suffix":""},{"dropping-particle":"","family":"Oyen","given":"Wim J G","non-dropping-particle":"","parse-names":false,"suffix":""},{"dropping-particle":"","family":"Punt","given":"Cornelis J A","non-dropping-particle":"","parse-names":false,"suffix":""},{"dropping-particle":"","family":"Spronsen","given":"Dick Johan","non-dropping-particle":"van","parse-names":false,"suffix":""},{"dropping-particle":"","family":"Heerschap","given":"Arend","non-dropping-particle":"","parse-names":false,"suffix":""},{"dropping-particle":"","family":"Geus-Oei","given":"Lioe-Fee","non-dropping-particle":"de","parse-names":false,"suffix":""},{"dropping-particle":"","family":"Laarhoven","given":"Hanneke W M","non-dropping-particle":"van","parse-names":false,"suffix":""}],"container-title":"PloS one","id":"ITEM-1","issue":"4","issued":{"date-parts":[["2015"]]},"page":"e0120823","title":"Multimodality imaging to predict response to systemic treatment in patients with advanced colorectal cancer.","type":"article-journal","volume":"10"},"uris":["http://www.mendeley.com/documents/?uuid=12b9b415-8ad9-4c38-ae96-7a223b5c4713"]}],"mendeley":{"formattedCitation":"&lt;sup&gt;[103]&lt;/sup&gt;","plainTextFormattedCitation":"[103]","previouslyFormattedCitation":"&lt;sup&gt;[103]&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[103]</w:t>
      </w:r>
      <w:r w:rsidR="00A75298" w:rsidRPr="009D7554">
        <w:rPr>
          <w:rFonts w:ascii="Book Antiqua" w:hAnsi="Book Antiqua"/>
          <w:i/>
          <w:lang w:val="en-US"/>
        </w:rPr>
        <w:fldChar w:fldCharType="end"/>
      </w:r>
      <w:r w:rsidR="003E31A8" w:rsidRPr="009D7554">
        <w:rPr>
          <w:rFonts w:ascii="Book Antiqua" w:hAnsi="Book Antiqua"/>
          <w:lang w:val="en-US"/>
        </w:rPr>
        <w:t xml:space="preserve"> reported that low </w:t>
      </w:r>
      <w:r w:rsidR="009A70D4" w:rsidRPr="009D7554">
        <w:rPr>
          <w:rFonts w:ascii="Book Antiqua" w:hAnsi="Book Antiqua"/>
          <w:lang w:val="en-US"/>
        </w:rPr>
        <w:t>prec</w:t>
      </w:r>
      <w:r w:rsidR="003E31A8" w:rsidRPr="009D7554">
        <w:rPr>
          <w:rFonts w:ascii="Book Antiqua" w:hAnsi="Book Antiqua"/>
          <w:lang w:val="en-US"/>
        </w:rPr>
        <w:t xml:space="preserve">hemotherapy ADC values </w:t>
      </w:r>
      <w:r w:rsidR="003E0221" w:rsidRPr="009D7554">
        <w:rPr>
          <w:rFonts w:ascii="Book Antiqua" w:hAnsi="Book Antiqua"/>
          <w:lang w:val="en-US"/>
        </w:rPr>
        <w:t xml:space="preserve">in </w:t>
      </w:r>
      <w:r w:rsidR="003E31A8" w:rsidRPr="009D7554">
        <w:rPr>
          <w:rFonts w:ascii="Book Antiqua" w:hAnsi="Book Antiqua"/>
          <w:lang w:val="en-US"/>
        </w:rPr>
        <w:t>CRLMs predict</w:t>
      </w:r>
      <w:r w:rsidR="003E0221" w:rsidRPr="009D7554">
        <w:rPr>
          <w:rFonts w:ascii="Book Antiqua" w:hAnsi="Book Antiqua"/>
          <w:lang w:val="en-US"/>
        </w:rPr>
        <w:t>ed</w:t>
      </w:r>
      <w:r w:rsidR="003E31A8" w:rsidRPr="009D7554">
        <w:rPr>
          <w:rFonts w:ascii="Book Antiqua" w:hAnsi="Book Antiqua"/>
          <w:lang w:val="en-US"/>
        </w:rPr>
        <w:t xml:space="preserve"> poorer </w:t>
      </w:r>
      <w:r w:rsidR="001F0F25" w:rsidRPr="009D7554">
        <w:rPr>
          <w:rFonts w:ascii="Book Antiqua" w:hAnsi="Book Antiqua"/>
          <w:lang w:val="en-US"/>
        </w:rPr>
        <w:t>outcomes</w:t>
      </w:r>
      <w:r w:rsidR="003E31A8" w:rsidRPr="009D7554">
        <w:rPr>
          <w:rFonts w:ascii="Book Antiqua" w:hAnsi="Book Antiqua"/>
          <w:lang w:val="en-US"/>
        </w:rPr>
        <w:t xml:space="preserve"> in terms of both PFS and OS.</w:t>
      </w:r>
    </w:p>
    <w:p w:rsidR="000A3F2C" w:rsidRPr="009D7554" w:rsidRDefault="000A3F2C" w:rsidP="006A253E">
      <w:pPr>
        <w:widowControl w:val="0"/>
        <w:autoSpaceDE w:val="0"/>
        <w:autoSpaceDN w:val="0"/>
        <w:adjustRightInd w:val="0"/>
        <w:snapToGrid w:val="0"/>
        <w:spacing w:line="360" w:lineRule="auto"/>
        <w:jc w:val="both"/>
        <w:rPr>
          <w:rFonts w:ascii="Book Antiqua" w:hAnsi="Book Antiqua"/>
          <w:bCs/>
          <w:i/>
          <w:iCs/>
          <w:lang w:val="en-US"/>
        </w:rPr>
      </w:pPr>
    </w:p>
    <w:p w:rsidR="00DB65B2" w:rsidRPr="009D7554" w:rsidRDefault="00823255"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PI</w:t>
      </w:r>
      <w:r w:rsidR="00891836" w:rsidRPr="009D7554">
        <w:rPr>
          <w:rFonts w:ascii="Book Antiqua" w:hAnsi="Book Antiqua"/>
          <w:b/>
          <w:lang w:val="en-US"/>
        </w:rPr>
        <w:t>:</w:t>
      </w:r>
      <w:r w:rsidR="00512F20" w:rsidRPr="009D7554">
        <w:rPr>
          <w:rFonts w:ascii="Book Antiqua" w:hAnsi="Book Antiqua"/>
          <w:b/>
          <w:lang w:val="en-US"/>
        </w:rPr>
        <w:t xml:space="preserve"> </w:t>
      </w:r>
      <w:r w:rsidR="001023A3" w:rsidRPr="009D7554">
        <w:rPr>
          <w:rFonts w:ascii="Book Antiqua" w:hAnsi="Book Antiqua"/>
          <w:bCs/>
          <w:lang w:val="en-US"/>
        </w:rPr>
        <w:t xml:space="preserve">Goh </w:t>
      </w:r>
      <w:r w:rsidR="00DB65B2"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{"citationItems":[{"id":"ITEM-1","itemData":{"DOI":"10.1007/s00330-008-1128-1","ISSN":"1432-1084","PMID":"18704434","abstract":"We aimed to determine whether perfusion CT measurements at colorectal cancer staging may predict for subsequent metastatic relapse. Fifty two prospective patients underwent perfusion CT at staging to estimate tumour blood flow, blood volume, mean transit time, and permeability surface area product. Patients considered metastasis free and suitable for surgery underwent curative resection subsequently. At final analysis, a median of 48.6 months post-surgery, patients were divided into those who remained disease free, and those with subsequent metastases. Vascular parameters for these two groups were compared using t-testing, and receiver operator curve analysis was performed to determine the sensitivity and specificity of these vascular parameters for predicting metastases. Thirty seven (71%) patients underwent curative surgery; data were available for 35: 26 (74%) remained disease free; 9 (26%) recurred (8 metastatic, 1 local). Tumour blood flow differed significantly between disease-free and metastatic patients (76.0 versus 45.7 ml/min/100 g tissue; p = 0.008). With blood flow &lt;64 ml/min/100 g tissue, sensitivity and specificity (95% CI) for development of metastases were 100% (60-100%) and 73% (53-87%), respectively. Our preliminary findings suggest that primary tumour blood flow might potentially be a useful predictor warranting further study.","author":[{"dropping-particle":"","family":"Goh","given":"Vicky","non-dropping-particle":"","parse-names":false,"suffix":""},{"dropping-particle":"","family":"Halligan","given":"Steve","non-dropping-particle":"","parse-names":false,"suffix":""},{"dropping-particle":"","family":"Wellsted","given":"David M","non-dropping-particle":"","parse-names":false,"suffix":""},{"dropping-particle":"","family":"Bartram","given":"Clive I","non-dropping-particle":"","parse-names":false,"suffix":""}],"container-title":"European radiology","id":"ITEM-1","issue":"1","issued":{"date-parts":[["2009","1"]]},"page":"79-89","title":"Can perfusion CT assessment of primary colorectal adenocarcinoma blood flow at staging predict for subsequent metastatic disease? A pilot study.","type":"article-journal","volume":"19"},"uris":["http://www.mendeley.com/documents/?uuid=2c40b599-9536-4c5d-80b9-e7d3ba975c15"]}],"mendeley":{"formattedCitation":"&lt;sup&gt;[104]&lt;/sup&gt;","plainTextFormattedCitation":"[104]","previouslyFormattedCitation":"&lt;sup&gt;[104]&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[104]</w:t>
      </w:r>
      <w:r w:rsidR="00A75298" w:rsidRPr="009D7554">
        <w:rPr>
          <w:rFonts w:ascii="Book Antiqua" w:hAnsi="Book Antiqua"/>
          <w:i/>
          <w:lang w:val="en-US"/>
        </w:rPr>
        <w:fldChar w:fldCharType="end"/>
      </w:r>
      <w:r w:rsidR="001023A3" w:rsidRPr="009D7554">
        <w:rPr>
          <w:rFonts w:ascii="Book Antiqua" w:hAnsi="Book Antiqua"/>
          <w:bCs/>
          <w:lang w:val="en-US"/>
        </w:rPr>
        <w:t xml:space="preserve"> reported that CRC with </w:t>
      </w:r>
      <w:r w:rsidR="003E0221" w:rsidRPr="009D7554">
        <w:rPr>
          <w:rFonts w:ascii="Book Antiqua" w:hAnsi="Book Antiqua"/>
          <w:bCs/>
          <w:lang w:val="en-US"/>
        </w:rPr>
        <w:t xml:space="preserve">low </w:t>
      </w:r>
      <w:r w:rsidR="001023A3" w:rsidRPr="009D7554">
        <w:rPr>
          <w:rFonts w:ascii="Book Antiqua" w:hAnsi="Book Antiqua"/>
          <w:bCs/>
          <w:lang w:val="en-US"/>
        </w:rPr>
        <w:t xml:space="preserve">BF at staging </w:t>
      </w:r>
      <w:r w:rsidR="003E0221" w:rsidRPr="009D7554">
        <w:rPr>
          <w:rFonts w:ascii="Book Antiqua" w:hAnsi="Book Antiqua"/>
          <w:bCs/>
          <w:lang w:val="en-US"/>
        </w:rPr>
        <w:t xml:space="preserve">according to </w:t>
      </w:r>
      <w:r w:rsidR="001023A3" w:rsidRPr="009D7554">
        <w:rPr>
          <w:rFonts w:ascii="Book Antiqua" w:hAnsi="Book Antiqua"/>
          <w:bCs/>
          <w:lang w:val="en-US"/>
        </w:rPr>
        <w:t>perfusion CT showed a</w:t>
      </w:r>
      <w:r w:rsidR="003E0221" w:rsidRPr="009D7554">
        <w:rPr>
          <w:rFonts w:ascii="Book Antiqua" w:hAnsi="Book Antiqua"/>
          <w:bCs/>
          <w:lang w:val="en-US"/>
        </w:rPr>
        <w:t>n increased</w:t>
      </w:r>
      <w:r w:rsidR="001023A3" w:rsidRPr="009D7554">
        <w:rPr>
          <w:rFonts w:ascii="Book Antiqua" w:hAnsi="Book Antiqua"/>
          <w:bCs/>
          <w:lang w:val="en-US"/>
        </w:rPr>
        <w:t xml:space="preserve"> tendency to metastasize and </w:t>
      </w:r>
      <w:r w:rsidR="003E0221" w:rsidRPr="009D7554">
        <w:rPr>
          <w:rFonts w:ascii="Book Antiqua" w:hAnsi="Book Antiqua"/>
          <w:bCs/>
          <w:lang w:val="en-US"/>
        </w:rPr>
        <w:t xml:space="preserve">resulted in </w:t>
      </w:r>
      <w:r w:rsidR="001F0F25" w:rsidRPr="009D7554">
        <w:rPr>
          <w:rFonts w:ascii="Book Antiqua" w:hAnsi="Book Antiqua"/>
          <w:bCs/>
          <w:lang w:val="en-US"/>
        </w:rPr>
        <w:t>significantly</w:t>
      </w:r>
      <w:r w:rsidR="001023A3" w:rsidRPr="009D7554">
        <w:rPr>
          <w:rFonts w:ascii="Book Antiqua" w:hAnsi="Book Antiqua"/>
          <w:bCs/>
          <w:lang w:val="en-US"/>
        </w:rPr>
        <w:t xml:space="preserve"> </w:t>
      </w:r>
      <w:r w:rsidR="003E0221" w:rsidRPr="009D7554">
        <w:rPr>
          <w:rFonts w:ascii="Book Antiqua" w:hAnsi="Book Antiqua"/>
          <w:bCs/>
          <w:lang w:val="en-US"/>
        </w:rPr>
        <w:t xml:space="preserve">decreased </w:t>
      </w:r>
      <w:r w:rsidR="001023A3" w:rsidRPr="009D7554">
        <w:rPr>
          <w:rFonts w:ascii="Book Antiqua" w:hAnsi="Book Antiqua"/>
          <w:bCs/>
          <w:lang w:val="en-US"/>
        </w:rPr>
        <w:t xml:space="preserve">OS. Particularly, </w:t>
      </w:r>
      <w:r w:rsidR="003E0221" w:rsidRPr="009D7554">
        <w:rPr>
          <w:rFonts w:ascii="Book Antiqua" w:hAnsi="Book Antiqua"/>
          <w:bCs/>
          <w:lang w:val="en-US"/>
        </w:rPr>
        <w:t xml:space="preserve">a </w:t>
      </w:r>
      <w:r w:rsidR="001023A3" w:rsidRPr="009D7554">
        <w:rPr>
          <w:rFonts w:ascii="Book Antiqua" w:hAnsi="Book Antiqua"/>
          <w:bCs/>
          <w:lang w:val="en-US"/>
        </w:rPr>
        <w:t xml:space="preserve">group of patients </w:t>
      </w:r>
      <w:r w:rsidR="003E0221" w:rsidRPr="009D7554">
        <w:rPr>
          <w:rFonts w:ascii="Book Antiqua" w:hAnsi="Book Antiqua"/>
          <w:bCs/>
          <w:lang w:val="en-US"/>
        </w:rPr>
        <w:t>who had developed</w:t>
      </w:r>
      <w:r w:rsidR="001023A3" w:rsidRPr="009D7554">
        <w:rPr>
          <w:rFonts w:ascii="Book Antiqua" w:hAnsi="Book Antiqua"/>
          <w:bCs/>
          <w:lang w:val="en-US"/>
        </w:rPr>
        <w:t xml:space="preserve"> metastatic disease </w:t>
      </w:r>
      <w:r w:rsidR="003E0221" w:rsidRPr="009D7554">
        <w:rPr>
          <w:rFonts w:ascii="Book Antiqua" w:hAnsi="Book Antiqua"/>
          <w:bCs/>
          <w:lang w:val="en-US"/>
        </w:rPr>
        <w:t xml:space="preserve">prior to </w:t>
      </w:r>
      <w:r w:rsidR="001023A3" w:rsidRPr="009D7554">
        <w:rPr>
          <w:rFonts w:ascii="Book Antiqua" w:hAnsi="Book Antiqua"/>
          <w:bCs/>
          <w:lang w:val="en-US"/>
        </w:rPr>
        <w:t xml:space="preserve">follow up presented a </w:t>
      </w:r>
      <w:r w:rsidR="008A1E5D" w:rsidRPr="009D7554">
        <w:rPr>
          <w:rFonts w:ascii="Book Antiqua" w:hAnsi="Book Antiqua"/>
          <w:bCs/>
          <w:lang w:val="en-US"/>
        </w:rPr>
        <w:t xml:space="preserve">mean </w:t>
      </w:r>
      <w:r w:rsidR="001023A3" w:rsidRPr="009D7554">
        <w:rPr>
          <w:rFonts w:ascii="Book Antiqua" w:hAnsi="Book Antiqua"/>
          <w:bCs/>
          <w:lang w:val="en-US"/>
        </w:rPr>
        <w:t xml:space="preserve">baseline BF value of 45.7, while the </w:t>
      </w:r>
      <w:r w:rsidR="008A1E5D" w:rsidRPr="009D7554">
        <w:rPr>
          <w:rFonts w:ascii="Book Antiqua" w:hAnsi="Book Antiqua"/>
          <w:bCs/>
          <w:lang w:val="en-US"/>
        </w:rPr>
        <w:t xml:space="preserve">mean </w:t>
      </w:r>
      <w:r w:rsidR="001023A3" w:rsidRPr="009D7554">
        <w:rPr>
          <w:rFonts w:ascii="Book Antiqua" w:hAnsi="Book Antiqua"/>
          <w:bCs/>
          <w:lang w:val="en-US"/>
        </w:rPr>
        <w:t xml:space="preserve">BF value of </w:t>
      </w:r>
      <w:r w:rsidR="008A1E5D" w:rsidRPr="009D7554">
        <w:rPr>
          <w:rFonts w:ascii="Book Antiqua" w:hAnsi="Book Antiqua"/>
          <w:bCs/>
          <w:lang w:val="en-US"/>
        </w:rPr>
        <w:t xml:space="preserve">the </w:t>
      </w:r>
      <w:r w:rsidR="001023A3" w:rsidRPr="009D7554">
        <w:rPr>
          <w:rFonts w:ascii="Book Antiqua" w:hAnsi="Book Antiqua"/>
          <w:bCs/>
          <w:lang w:val="en-US"/>
        </w:rPr>
        <w:t xml:space="preserve">disease-free </w:t>
      </w:r>
      <w:r w:rsidR="008A1E5D" w:rsidRPr="009D7554">
        <w:rPr>
          <w:rFonts w:ascii="Book Antiqua" w:hAnsi="Book Antiqua"/>
          <w:bCs/>
          <w:lang w:val="en-US"/>
        </w:rPr>
        <w:t xml:space="preserve">group </w:t>
      </w:r>
      <w:r w:rsidR="001023A3" w:rsidRPr="009D7554">
        <w:rPr>
          <w:rFonts w:ascii="Book Antiqua" w:hAnsi="Book Antiqua"/>
          <w:bCs/>
          <w:lang w:val="en-US"/>
        </w:rPr>
        <w:t>was 76</w:t>
      </w:r>
      <w:r w:rsidR="001F0F25" w:rsidRPr="009D7554">
        <w:rPr>
          <w:rFonts w:ascii="Book Antiqua" w:hAnsi="Book Antiqua"/>
          <w:bCs/>
          <w:lang w:val="en-US"/>
        </w:rPr>
        <w:t xml:space="preserve"> m</w:t>
      </w:r>
      <w:r w:rsidR="001F0F25" w:rsidRPr="009D7554">
        <w:rPr>
          <w:rFonts w:ascii="Book Antiqua" w:hAnsi="Book Antiqua"/>
          <w:bCs/>
          <w:caps/>
          <w:lang w:val="en-US"/>
        </w:rPr>
        <w:t>l</w:t>
      </w:r>
      <w:r w:rsidR="001F0F25" w:rsidRPr="009D7554">
        <w:rPr>
          <w:rFonts w:ascii="Book Antiqua" w:hAnsi="Book Antiqua"/>
          <w:bCs/>
          <w:lang w:val="en-US"/>
        </w:rPr>
        <w:t>/min/100 g</w:t>
      </w:r>
      <w:r w:rsidR="001023A3" w:rsidRPr="009D7554">
        <w:rPr>
          <w:rFonts w:ascii="Book Antiqua" w:hAnsi="Book Antiqua"/>
          <w:bCs/>
          <w:lang w:val="en-US"/>
        </w:rPr>
        <w:t xml:space="preserve">. Similarly, Hayano </w:t>
      </w:r>
      <w:r w:rsidR="00EE2F3A" w:rsidRPr="009D7554">
        <w:rPr>
          <w:rFonts w:ascii="Book Antiqua" w:hAnsi="Book Antiqua"/>
          <w:i/>
          <w:lang w:val="en-US"/>
        </w:rPr>
        <w:t>et al</w:t>
      </w:r>
      <w:r w:rsidR="00A75298" w:rsidRPr="009D7554">
        <w:rPr>
          <w:rFonts w:ascii="Book Antiqua" w:hAnsi="Book Antiqua"/>
          <w:i/>
          <w:lang w:val="en-US"/>
        </w:rPr>
        <w:fldChar w:fldCharType="begin" w:fldLock="1"/>
      </w:r>
      <w:r w:rsidR="006821F4" w:rsidRPr="009D7554">
        <w:rPr>
          <w:rFonts w:ascii="Book Antiqua" w:hAnsi="Book Antiqua"/>
          <w:i/>
          <w:lang w:val="en-US"/>
        </w:rPr>
        <w:instrText>ADDIN CSL_CITATION {"citationItems":[{"id":"ITEM-1","itemData":{"DOI":"10.1007/DCR.0b013e3181afbd79","ISSN":"1530-0358","PMID":"19690492","abstract":"PURPOSE The ability to evaluate clinicopathologic features and prognosis before surgery by contrast-enhanced CT would be valuable for managing rectal cancer. This study was designed to evaluate the clinical usefulness of perfusion CT in patients with rectal cancer before surgery. METHODS Forty-four consecutive patients (27 men, 17 women; median age, 63.6 years) with rectal cancer underwent perfusion CT before surgery. We retrospectively investigated the correlations between tumor blood flow generated by perfusion CT and clinicopathologic features. RESULTS There was a significant correlation between blood flow and wall invasion (P = 0.04). Well-differentiated tumors showed significantly higher blood flow than moderately differentiated tumors (P = 0.03). There was a significant tendency for tumors with low blood flow to show lymph node metastasis (P = 0.0005), vascular invasion (P = 0.004), lymphatic invasion (P = 0.04), and distant metastasis (P = 0.0005). For blood flow, accuracy was 75% for detection of tumors with lymph node metastasis if the cutoff point was set at 55 ml/100 g per minute. Patients with high blood flow tumors survived significantly longer than those with low blood flow tumors (P = 0.002). CONCLUSIONS Blood flow of rectal cancers may be useful to evaluate pathologic features and prognosis before surgery.","author":[{"dropping-particle":"","family":"Hayano","given":"Koichi","non-dropping-particle":"","parse-names":false,"suffix":""},{"dropping-particle":"","family":"Shuto","given":"Kiyohiko","non-dropping-particle":"","parse-names":false,"suffix":""},{"dropping-particle":"","family":"Koda","given":"Keiji","non-dropping-particle":"","parse-names":false,"suffix":""},{"dropping-particle":"","family":"Yanagawa","given":"Noriyuki","non-dropping-particle":"","parse-names":false,"suffix":""},{"dropping-particle":"","family":"Okazumi","given":"Shinichi","non-dropping-particle":"","parse-names":false,"suffix":""},{"dropping-particle":"","family":"Matsubara","given":"Hisahiro","non-dropping-particle":"","parse-names":false,"suffix":""}],"container-title":"Diseases of the colon and rectum","id":"ITEM-1","issue":"9","issued":{"date-parts":[["2009","9"]]},"page":"1624-9","title":"Quantitative measurement of blood flow using perfusion CT for assessing clinicopathologic features and prognosis in patients with rectal cancer.","type":"article-journal","volume":"52"},"uris":["http://www.mendeley.com/documents/?uuid=555d46a6-9773-422c-8ae1-09d54e1c07d2"]}],"mendeley":{"formattedCitation":"&lt;sup&gt;[76]&lt;/sup&gt;","plainTextFormattedCitation":"[76]","previouslyFormattedCitation":"&lt;sup&gt;[76]&lt;/sup&gt;"},"properties":{"noteIndex":0},"schema":"https://github.com/citation-style-language/schema/raw/master/csl-citation.json"}</w:instrText>
      </w:r>
      <w:r w:rsidR="00A75298" w:rsidRPr="009D7554">
        <w:rPr>
          <w:rFonts w:ascii="Book Antiqua" w:hAnsi="Book Antiqua"/>
          <w:i/>
          <w:lang w:val="en-US"/>
        </w:rPr>
        <w:fldChar w:fldCharType="separate"/>
      </w:r>
      <w:r w:rsidR="000D56F8" w:rsidRPr="009D7554">
        <w:rPr>
          <w:rFonts w:ascii="Book Antiqua" w:hAnsi="Book Antiqua"/>
          <w:vertAlign w:val="superscript"/>
          <w:lang w:val="en-US"/>
        </w:rPr>
        <w:t>[76]</w:t>
      </w:r>
      <w:r w:rsidR="00A75298" w:rsidRPr="009D7554">
        <w:rPr>
          <w:rFonts w:ascii="Book Antiqua" w:hAnsi="Book Antiqua"/>
          <w:i/>
          <w:lang w:val="en-US"/>
        </w:rPr>
        <w:fldChar w:fldCharType="end"/>
      </w:r>
      <w:r w:rsidR="001023A3" w:rsidRPr="009D7554">
        <w:rPr>
          <w:rFonts w:ascii="Book Antiqua" w:hAnsi="Book Antiqua"/>
          <w:i/>
          <w:lang w:val="en-US"/>
        </w:rPr>
        <w:t xml:space="preserve"> </w:t>
      </w:r>
      <w:r w:rsidR="007261BB" w:rsidRPr="009D7554">
        <w:rPr>
          <w:rFonts w:ascii="Book Antiqua" w:hAnsi="Book Antiqua"/>
          <w:lang w:val="en-US"/>
        </w:rPr>
        <w:t xml:space="preserve">reported that patients with RC </w:t>
      </w:r>
      <w:r w:rsidR="008A1E5D" w:rsidRPr="009D7554">
        <w:rPr>
          <w:rFonts w:ascii="Book Antiqua" w:hAnsi="Book Antiqua"/>
          <w:lang w:val="en-US"/>
        </w:rPr>
        <w:t>with increased BF according to</w:t>
      </w:r>
      <w:r w:rsidR="007261BB" w:rsidRPr="009D7554">
        <w:rPr>
          <w:rFonts w:ascii="Book Antiqua" w:hAnsi="Book Antiqua"/>
          <w:lang w:val="en-US"/>
        </w:rPr>
        <w:t xml:space="preserve"> perfusion CT survived significantly longer than those with </w:t>
      </w:r>
      <w:r w:rsidR="008A1E5D" w:rsidRPr="009D7554">
        <w:rPr>
          <w:rFonts w:ascii="Book Antiqua" w:hAnsi="Book Antiqua"/>
          <w:lang w:val="en-US"/>
        </w:rPr>
        <w:t xml:space="preserve">decreased </w:t>
      </w:r>
      <w:r w:rsidR="007261BB" w:rsidRPr="009D7554">
        <w:rPr>
          <w:rFonts w:ascii="Book Antiqua" w:hAnsi="Book Antiqua"/>
          <w:lang w:val="en-US"/>
        </w:rPr>
        <w:t xml:space="preserve">BF. More recently, two studies reported that Ktrans measured </w:t>
      </w:r>
      <w:r w:rsidR="008A1E5D" w:rsidRPr="009D7554">
        <w:rPr>
          <w:rFonts w:ascii="Book Antiqua" w:hAnsi="Book Antiqua"/>
          <w:lang w:val="en-US"/>
        </w:rPr>
        <w:t xml:space="preserve">via </w:t>
      </w:r>
      <w:r w:rsidR="007261BB" w:rsidRPr="009D7554">
        <w:rPr>
          <w:rFonts w:ascii="Book Antiqua" w:hAnsi="Book Antiqua"/>
          <w:lang w:val="en-US"/>
        </w:rPr>
        <w:t xml:space="preserve">DCE-MRI is correlated with the pathological differentiation of RC; poorly differentiated tumors showed </w:t>
      </w:r>
      <w:r w:rsidR="008A1E5D" w:rsidRPr="009D7554">
        <w:rPr>
          <w:rFonts w:ascii="Book Antiqua" w:hAnsi="Book Antiqua"/>
          <w:lang w:val="en-US"/>
        </w:rPr>
        <w:t xml:space="preserve">increased </w:t>
      </w:r>
      <w:r w:rsidR="007261BB" w:rsidRPr="009D7554">
        <w:rPr>
          <w:rFonts w:ascii="Book Antiqua" w:hAnsi="Book Antiqua"/>
          <w:lang w:val="en-US"/>
        </w:rPr>
        <w:t>Ktrans values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10.3892/mco.2016.762","ISSN":"2049-9450","PMID":"27073650","author":[{"dropping-particle":"","family":"Shen","given":"FU","non-dropping-particle":"","parse-names":false,"suffix":""},{"dropping-particle":"","family":"Lu","given":"Jianping","non-dropping-particle":"","parse-names":false,"suffix":""},{"dropping-particle":"","family":"Chen","given":"Luguang","non-dropping-particle":"","parse-names":false,"suffix":""},{"dropping-particle":"","family":"Wang","given":"Zhen","non-dropping-particle":"","parse-names":false,"suffix":""},{"dropping-particle":"","family":"Chen","given":"Yukun","non-dropping-particle":"","parse-names":false,"suffix":""}],"container-title":"Molecular and Clinical Oncology","id":"ITEM-1","issue":"4","issued":{"date-parts":[["2016","4"]]},"page":"500-506","title":"Diagnostic value of dynamic contrast-enhanced magnetic resonance imaging in rectal cancer and its correlation with tumor differentiation","type":"article-journal","volume":"4"},"uris":["http://www.mendeley.com/documents/?uuid=111f6864-6290-4d12-b8c7-c84125f88cf9"]},{"id":"ITEM-2","itemData":{"DOI":"10.1007/s00330-016-4532-y","ISSN":"0938-7994","PMID":"27595835","author":[{"dropping-particle":"","family":"Yu","given":"Jing","non-dropping-particle":"","parse-names":false,"suffix":""},{"dropping-particle":"","family":"Xu","given":"Qing","non-dropping-particle":"","parse-names":false,"suffix":""},{"dropping-particle":"","family":"Huang","given":"Dong-Ya","non-dropping-particle":"","parse-names":false,"suffix":""},{"dropping-particle":"","family":"Song","given":"Jia-Cheng","non-dropping-particle":"","parse-names":false,"suffix":""},{"dropping-particle":"","family":"Li","given":"Yan","non-dropping-particle":"","parse-names":false,"suffix":""},{"dropping-particle":"","family":"Xu","given":"Lu-Lu","non-dropping-particle":"","parse-names":false,"suffix":""},{"dropping-particle":"","family":"Shi","given":"Hai-Bin","non-dropping-particle":"","parse-names":false,"suffix":""}],"container-title":"European Radiology","id":"ITEM-2","issue":"5","issued":{"date-parts":[["2017","5","5"]]},"page":"1840-1847","title":"Prognostic aspects of dynamic contrast-enhanced magnetic resonance imaging in synchronous distant metastatic rectal cancer","type":"article-journal","volume":"27"},"uris":["http://www.mendeley.com/documents/?uuid=700fe803-cea1-4973-be2e-be2932883477"]}],"mendeley":{"formattedCitation":"&lt;sup&gt;[36,105]&lt;/sup&gt;","plainTextFormattedCitation":"[36,105]","previouslyFormattedCitation":"&lt;sup&gt;[36,105]&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[36,105]</w:t>
      </w:r>
      <w:r w:rsidR="00A75298" w:rsidRPr="009D7554">
        <w:rPr>
          <w:rFonts w:ascii="Book Antiqua" w:hAnsi="Book Antiqua"/>
          <w:lang w:val="en-US"/>
        </w:rPr>
        <w:fldChar w:fldCharType="end"/>
      </w:r>
      <w:r w:rsidR="00E91476" w:rsidRPr="009D7554">
        <w:rPr>
          <w:rFonts w:ascii="Book Antiqua" w:hAnsi="Book Antiqua"/>
          <w:lang w:val="en-US"/>
        </w:rPr>
        <w:t>. Moreover, Ktrans values were significantly higher in lesions with distant metastasis than in lesions without distant metastasis and in the pLVI positive group than in the pLVI negative</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10.1007/s00330-016-4532-y","ISSN":"0938-7994","PMID":"27595835","author":[{"dropping-particle":"","family":"Yu","given":"Jing","non-dropping-particle":"","parse-names":false,"suffix":""},{"dropping-particle":"","family":"Xu","given":"Qing","non-dropping-particle":"","parse-names":false,"suffix":""},{"dropping-particle":"","family":"Huang","given":"Dong-Ya","non-dropping-particle":"","parse-names":false,"suffix":""},{"dropping-particle":"","family":"Song","given":"Jia-Cheng","non-dropping-particle":"","parse-names":false,"suffix":""},{"dropping-particle":"","family":"Li","given":"Yan","non-dropping-particle":"","parse-names":false,"suffix":""},{"dropping-particle":"","family":"Xu","given":"Lu-Lu","non-dropping-particle":"","parse-names":false,"suffix":""},{"dropping-particle":"","family":"Shi","given":"Hai-Bin","non-dropping-particle":"","parse-names":false,"suffix":""}],"container-title":"European Radiology","id":"ITEM-1","issue":"5","issued":{"date-parts":[["2017","5","5"]]},"page":"1840-1847","title":"Prognostic aspects of dynamic contrast-enhanced magnetic resonance imaging in synchronous distant metastatic rectal cancer","type":"article-journal","volume":"27"},"uris":["http://www.mendeley.com/documents/?uuid=700fe803-cea1-4973-be2e-be2932883477"]}],"mendeley":{"formattedCitation":"&lt;sup&gt;[105]&lt;/sup&gt;","plainTextFormattedCitation":"[105]","previouslyFormattedCitation":"&lt;sup&gt;[105]&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[105]</w:t>
      </w:r>
      <w:r w:rsidR="00A75298" w:rsidRPr="009D7554">
        <w:rPr>
          <w:rFonts w:ascii="Book Antiqua" w:hAnsi="Book Antiqua"/>
          <w:lang w:val="en-US"/>
        </w:rPr>
        <w:fldChar w:fldCharType="end"/>
      </w:r>
      <w:r w:rsidR="001F0F25" w:rsidRPr="009D7554">
        <w:rPr>
          <w:rFonts w:ascii="Book Antiqua" w:hAnsi="Book Antiqua"/>
          <w:vertAlign w:val="superscript"/>
          <w:lang w:val="en-US"/>
        </w:rPr>
        <w:t>group</w:t>
      </w:r>
      <w:r w:rsidR="00E91476" w:rsidRPr="009D7554">
        <w:rPr>
          <w:rFonts w:ascii="Book Antiqua" w:hAnsi="Book Antiqua"/>
          <w:lang w:val="en-US"/>
        </w:rPr>
        <w:t>.</w:t>
      </w:r>
    </w:p>
    <w:p w:rsidR="003F5705" w:rsidRPr="009D7554" w:rsidRDefault="009032DD" w:rsidP="00512F20">
      <w:pPr>
        <w:widowControl w:val="0"/>
        <w:autoSpaceDE w:val="0"/>
        <w:autoSpaceDN w:val="0"/>
        <w:adjustRightInd w:val="0"/>
        <w:snapToGrid w:val="0"/>
        <w:spacing w:line="360" w:lineRule="auto"/>
        <w:ind w:firstLineChars="100" w:firstLine="240"/>
        <w:jc w:val="both"/>
        <w:rPr>
          <w:rFonts w:ascii="Book Antiqua" w:hAnsi="Book Antiqua"/>
          <w:i/>
          <w:lang w:val="en-US"/>
        </w:rPr>
      </w:pPr>
      <w:r w:rsidRPr="009D7554">
        <w:rPr>
          <w:rFonts w:ascii="Book Antiqua" w:hAnsi="Book Antiqua"/>
          <w:lang w:val="en-US"/>
        </w:rPr>
        <w:t xml:space="preserve">Finally, perfusion MRI studies conducted on </w:t>
      </w:r>
      <w:r w:rsidR="001F0F25" w:rsidRPr="009D7554">
        <w:rPr>
          <w:rFonts w:ascii="Book Antiqua" w:hAnsi="Book Antiqua"/>
          <w:lang w:val="en-US"/>
        </w:rPr>
        <w:t>patients</w:t>
      </w:r>
      <w:r w:rsidRPr="009D7554">
        <w:rPr>
          <w:rFonts w:ascii="Book Antiqua" w:hAnsi="Book Antiqua"/>
          <w:lang w:val="en-US"/>
        </w:rPr>
        <w:t xml:space="preserve"> with CRLMs treated with </w:t>
      </w:r>
      <w:r w:rsidR="001F0F25" w:rsidRPr="009D7554">
        <w:rPr>
          <w:rFonts w:ascii="Book Antiqua" w:hAnsi="Book Antiqua"/>
          <w:lang w:val="en-US"/>
        </w:rPr>
        <w:t>bevacizumab</w:t>
      </w:r>
      <w:r w:rsidRPr="009D7554">
        <w:rPr>
          <w:rFonts w:ascii="Book Antiqua" w:hAnsi="Book Antiqua"/>
          <w:lang w:val="en-US"/>
        </w:rPr>
        <w:t xml:space="preserve"> are worth mentioning</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{"citationItems":[{"id":"ITEM-1","itemData":{"DOI":"10.1002/ijc.26282","ISSN":"1097-0215","PMID":"21780098","abstract":"Bevacizumab (BV) is an antivascular endothelial growth factor antibody. When administered with other chemotherapeutic drugs, BV-combined regimens prolong survival of colorectal cancer patients. We conducted a phase II trial to confirm the pharmacokinetic parameters from 3-Tesla dynamic contrast-enhanced magnetic resonance imaging (DCE-MRI) as surrogate biomarkers of BV + FOLFIRI regimen efficacy in colorectal cancer with liver metastases. DCE-MRI was performed before treatment, on the seventh day after first treatment and every 8 weeks thereafter using a 3-Tesla MRI system. DCE-MRI parameters-area under the contrast concentration versus time curve at 90 and 180 s (AUC90 and AUC180, respectively) after contrast injection, and volume transfer constant of contrast agents (K(trans) and K(ep) ) were calculated from liver metastases. Fifty-eight liver metastases were analyzed. Univariate analysis revealed that a decrease in K(trans) ratios (ΔK(trans) ), K(ep) ratios (ΔK(ep) ), AUC90 ratios (ΔAUC90) and AUC180 ratios (ΔAUC180) correlated with higher response (all p &lt; 0.0001) and longer time to progression (TTP) (ΔK(trans) : p = 0.001; ΔK(ep) : p = 0.004; ΔAUC90: p = 0.006; ΔAUC180: p &lt; 0.0001). Multivariate analysis showed that ΔAUC180 was correlated with higher response (p = 0.009), and ΔK(trans) and ΔAUC180 were correlated with longer TTP (ΔK(trans) : p = 0.001; ΔAUC180: p = 0.024). ΔK(trans) and ΔAUC180 are pharmacodynamic biomarkers of the blood perfusion of BV + FOLFIRI. Our data suggest that ΔK(trans) and ΔK(ep) can predict response to chemotherapy at 1 week. Changes in 3-Tesla DCE-MRI parameters confirmed the potential of these biomarkers of blood perfusion as surrogate predictors of response and TTP.","author":[{"dropping-particle":"","family":"Hirashima","given":"Yoshinori","non-dropping-particle":"","parse-names":false,"suffix":""},{"dropping-particle":"","family":"Yamada","given":"Yasuhide","non-dropping-particle":"","parse-names":false,"suffix":""},{"dropping-particle":"","family":"Tateishi","given":"Ukihide","non-dropping-particle":"","parse-names":false,"suffix":""},{"dropping-particle":"","family":"Kato","given":"Ken","non-dropping-particle":"","parse-names":false,"suffix":""},{"dropping-particle":"","family":"Miyake","given":"Mototaka","non-dropping-particle":"","parse-names":false,"suffix":""},{"dropping-particle":"","family":"Horita","given":"Yosuke","non-dropping-particle":"","parse-names":false,"suffix":""},{"dropping-particle":"","family":"Akiyoshi","given":"Kohei","non-dropping-particle":"","parse-names":false,"suffix":""},{"dropping-particle":"","family":"Takashima","given":"Atsuo","non-dropping-particle":"","parse-names":false,"suffix":""},{"dropping-particle":"","family":"Okita","given":"Natsuko","non-dropping-particle":"","parse-names":false,"suffix":""},{"dropping-particle":"","family":"Takahari","given":"Daisuke","non-dropping-particle":"","parse-names":false,"suffix":""},{"dropping-particle":"","family":"Nakajima","given":"Takako","non-dropping-particle":"","parse-names":false,"suffix":""},{"dropping-particle":"","family":"Hamaguchi","given":"Tetsuya","non-dropping-particle":"","parse-names":false,"suffix":""},{"dropping-particle":"","family":"Shimada","given":"Yasuhiro","non-dropping-particle":"","parse-names":false,"suffix":""},{"dropping-particle":"","family":"Shirao","given":"Kuniaki","non-dropping-particle":"","parse-names":false,"suffix":""}],"container-title":"International journal of cancer","id":"ITEM-1","issue":"10","issued":{"date-parts":[["2012","5","15"]]},"page":"2359-65","title":"Pharmacokinetic parameters from 3-Tesla DCE-MRI as surrogate biomarkers of antitumor effects of bevacizumab plus FOLFIRI in colorectal cancer with liver metastasis.","type":"article-journal","volume":"130"},"uris":["http://www.mendeley.com/documents/?uuid=b9546e0a-afac-4ea2-a431-24bf4762e089"]},{"id":"ITEM-2","itemData":{"DOI":"10.4143/crt.2015.374","ISSN":"2005-9256","PMID":"26987390","abstract":"PURPOSE The purpose of this study is to investigate dynamic contrast-enhanced magnetic resonance imaging (DCE-MRI) and plasma cytokines and angiogenic factors (CAFs) as pharmacodynamic and prognostic biomarkers of bevacizumab monotherapy in colorectal cancer with liver metastasis (CRCLM). MATERIALS AND METHODS From July 2011 to March 2012, 28 patients with histologically confirmed CRCLM received bevacizumab monotherapy followed by combined FOLFOX therapy. The mean age of the patients was 57 years (range, 30 to 77 years). DCE-MRI (Ktransand IAUC60) was performed at baseline, first follow-up (3 days after bevacizumab monotherapy), and second follow-up (3 days after combined therapy). CAF levels (vascular endothelial growth factor [VEGF], placental growth factor [PlGF], and interleukin-8) were assessed on the same days. Progression-free survival (PFS) time distributions were summarized using the Kaplan-Meier method and compared using log-rank tests. RESULTS The median PFS period was 11.2 months. Ktrans, IAUC60, VEGF, and PlGF values on the first follow-up day were significantly different compared with baseline values. No differences were observed on the second follow-up day. A &gt; 40% decrease in Ktrans from baseline to first follow-up was associated with a longer PFS (hazard ratio, 0.349; 95% confidence interval, 0.133 to 0.912; p=0.032). Changes in CAFs did not show correlation with PFS time. CONCLUSION DCE-MRI parameters and CAFs are pharmacodynamic biomarkers of bevacizumab for CRCLM. In our study, change in Ktrans at 3 days after bevacizumab monotherapy was a favorable prognostic factor; however, the value of CAFs as a prognostic biomarker was not found.","author":[{"dropping-particle":"","family":"Kim","given":"Yeo-Eun","non-dropping-particle":"","parse-names":false,"suffix":""},{"dropping-particle":"","family":"Joo","given":"Bio","non-dropping-particle":"","parse-names":false,"suffix":""},{"dropping-particle":"","family":"Park","given":"Mi-Suk","non-dropping-particle":"","parse-names":false,"suffix":""},{"dropping-particle":"","family":"Shin","given":"Sang Joon","non-dropping-particle":"","parse-names":false,"suffix":""},{"dropping-particle":"","family":"Ahn","given":"Joong Bae","non-dropping-particle":"","parse-names":false,"suffix":""},{"dropping-particle":"","family":"Kim","given":"Myeong-Jin","non-dropping-particle":"","parse-names":false,"suffix":""}],"container-title":"Cancer research and treatment : official journal of Korean Cancer Association","id":"ITEM-2","issue":"4","issued":{"date-parts":[["2016","10"]]},"page":"1210-1221","title":"Dynamic Contrast-Enhanced Magnetic Resonance Imaging as a Surrogate Biomarker for Bevacizumab in Colorectal Cancer Liver Metastasis: A Single-Arm, Exploratory Trial.","type":"article-journal","volume":"48"},"uris":["http://www.mendeley.com/documents/?uuid=cc330893-8cce-473f-96d7-55c70382f0b8"]},{"id":"ITEM-3","itemData":{"DOI":"10.1038/bjc.2012.184","ISSN":"1532-1827","PMID":"22596235","abstract":"BACKGROUND The purpose of this study was to assess the role of dynamic contrast-enhanced magnetic resonance imaging (DCE-MRI) and (18)F-fluorodeoxyglucose positron emission tomography computed tomography (FDG-PET/CT) for evaluation of response to chemotherapy and bevacizumab and for prediction of progression-free survival (PFS) in patients with metastatic colorectal cancer (mCRC) with potentially resectable liver lesions. METHODS A total of 19 mCRC patients were treated with FOLFOX/FOLFIRI and bevacizumab followed by surgery. Dynamic contrast-enhanced magnetic resonance imaging and FDG-PET/CT were performed before treatment and after cycle 5. PET results were quantified by calculating maximum standardised uptake value (SUV(max)) whereas area under the enhancement curve (AUC), initial AUC (iAUC) and the endothelial transfer constant (K(trans)) were used to quantify DCE-MRI. Pathological analysis of the resection specimen was performed, including measurement of microvessel density (MVD) and proliferation index. RESULTS Both AUC and iAUC were significantly decreased following bevacizumab therapy (median change of 22% (P=0.002) and 40% (P=0.001) for AUC and iAUC, respectively). Progression-free survival benefit was shown for patients with &gt;40% reduction in K(trans) (P=0.019). In the group of radiological responders, the median baseline SUV(max) was 3.77 (IQR: 2.88-5.60) compared with 7.20 (IQR: 4.67-8.73) in nonresponders (P=0.021). A higher follow-up SUV(max) was correlated with worse PFS (P=0.012). Median MVD was 10.9. Progression-free survival was significantly shorter in patients with an MVD greater than 10, compared with patients with lower MVD (10 months compared with 16 months, P=0.016). CONCLUSION High relative decrease in K(trans), low follow-up SUV(max) and low MVD are favourable prognostic factors for mCRC patients treated with bevacizumab before surgery.","author":[{"dropping-particle":"","family":"Bruyne","given":"S","non-dropping-particle":"De","parse-names":false,"suffix":""},{"dropping-particle":"","family":"Damme","given":"N","non-dropping-particle":"Van","parse-names":false,"suffix":""},{"dropping-particle":"","family":"Smeets","given":"P","non-dropping-particle":"","parse-names":false,"suffix":""},{"dropping-particle":"","family":"Ferdinande","given":"L","non-dropping-particle":"","parse-names":false,"suffix":""},{"dropping-particle":"","family":"Ceelen","given":"W","non-dropping-particle":"","parse-names":false,"suffix":""},{"dropping-particle":"","family":"Mertens","given":"J","non-dropping-particle":"","parse-names":false,"suffix":""},{"dropping-particle":"","family":"Wiele","given":"C","non-dropping-particle":"Van de","parse-names":false,"suffix":""},{"dropping-particle":"","family":"Troisi","given":"R","non-dropping-particle":"","parse-names":false,"suffix":""},{"dropping-particle":"","family":"Libbrecht","given":"L","non-dropping-particle":"","parse-names":false,"suffix":""},{"dropping-particle":"","family":"Laurent","given":"S","non-dropping-particle":"","parse-names":false,"suffix":""},{"dropping-particle":"","family":"Geboes","given":"K","non-dropping-particle":"","parse-names":false,"suffix":""},{"dropping-particle":"","family":"Peeters","given":"M","non-dropping-particle":"","parse-names":false,"suffix":""}],"container-title":"British journal of cancer","id":"ITEM-3","issue":"12","issued":{"date-parts":[["2012","6","5"]]},"page":"1926-33","title":"Value of DCE-MRI and FDG-PET/CT in the prediction of response to preoperative chemotherapy with bevacizumab for colorectal liver metastases.","type":"article-journal","volume":"106"},"uris":["http://www.mendeley.com/documents/?uuid=a994a7ae-a2e4-44db-9b82-3f537a034970"]}],"mendeley":{"formattedCitation":"&lt;sup&gt;[106–108]&lt;/sup&gt;","plainTextFormattedCitation":"[106–108]","previouslyFormattedCitation":"&lt;sup&gt;[106–108]&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[106–108]</w:t>
      </w:r>
      <w:r w:rsidR="00A75298" w:rsidRPr="009D7554">
        <w:rPr>
          <w:rFonts w:ascii="Book Antiqua" w:hAnsi="Book Antiqua"/>
          <w:lang w:val="en-US"/>
        </w:rPr>
        <w:fldChar w:fldCharType="end"/>
      </w:r>
      <w:r w:rsidR="00751044" w:rsidRPr="009D7554">
        <w:rPr>
          <w:rFonts w:ascii="Book Antiqua" w:hAnsi="Book Antiqua"/>
          <w:bCs/>
          <w:lang w:val="en-US"/>
        </w:rPr>
        <w:t xml:space="preserve">. Indeed, Hirashima </w:t>
      </w:r>
      <w:r w:rsidR="006336B6"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{"citationItems":[{"id":"ITEM-1","itemData":{"DOI":"10.1002/ijc.26282","ISSN":"1097-0215","PMID":"21780098","abstract":"Bevacizumab (BV) is an antivascular endothelial growth factor antibody. When administered with other chemotherapeutic drugs, BV-combined regimens prolong survival of colorectal cancer patients. We conducted a phase II trial to confirm the pharmacokinetic parameters from 3-Tesla dynamic contrast-enhanced magnetic resonance imaging (DCE-MRI) as surrogate biomarkers of BV + FOLFIRI regimen efficacy in colorectal cancer with liver metastases. DCE-MRI was performed before treatment, on the seventh day after first treatment and every 8 weeks thereafter using a 3-Tesla MRI system. DCE-MRI parameters-area under the contrast concentration versus time curve at 90 and 180 s (AUC90 and AUC180, respectively) after contrast injection, and volume transfer constant of contrast agents (K(trans) and K(ep) ) were calculated from liver metastases. Fifty-eight liver metastases were analyzed. Univariate analysis revealed that a decrease in K(trans) ratios (ΔK(trans) ), K(ep) ratios (ΔK(ep) ), AUC90 ratios (ΔAUC90) and AUC180 ratios (ΔAUC180) correlated with higher response (all p &lt; 0.0001) and longer time to progression (TTP) (ΔK(trans) : p = 0.001; ΔK(ep) : p = 0.004; ΔAUC90: p = 0.006; ΔAUC180: p &lt; 0.0001). Multivariate analysis showed that ΔAUC180 was correlated with higher response (p = 0.009), and ΔK(trans) and ΔAUC180 were correlated with longer TTP (ΔK(trans) : p = 0.001; ΔAUC180: p = 0.024). ΔK(trans) and ΔAUC180 are pharmacodynamic biomarkers of the blood perfusion of BV + FOLFIRI. Our data suggest that ΔK(trans) and ΔK(ep) can predict response to chemotherapy at 1 week. Changes in 3-Tesla DCE-MRI parameters confirmed the potential of these biomarkers of blood perfusion as surrogate predictors of response and TTP.","author":[{"dropping-particle":"","family":"Hirashima","given":"Yoshinori","non-dropping-particle":"","parse-names":false,"suffix":""},{"dropping-particle":"","family":"Yamada","given":"Yasuhide","non-dropping-particle":"","parse-names":false,"suffix":""},{"dropping-particle":"","family":"Tateishi","given":"Ukihide","non-dropping-particle":"","parse-names":false,"suffix":""},{"dropping-particle":"","family":"Kato","given":"Ken","non-dropping-particle":"","parse-names":false,"suffix":""},{"dropping-particle":"","family":"Miyake","given":"Mototaka","non-dropping-particle":"","parse-names":false,"suffix":""},{"dropping-particle":"","family":"Horita","given":"Yosuke","non-dropping-particle":"","parse-names":false,"suffix":""},{"dropping-particle":"","family":"Akiyoshi","given":"Kohei","non-dropping-particle":"","parse-names":false,"suffix":""},{"dropping-particle":"","family":"Takashima","given":"Atsuo","non-dropping-particle":"","parse-names":false,"suffix":""},{"dropping-particle":"","family":"Okita","given":"Natsuko","non-dropping-particle":"","parse-names":false,"suffix":""},{"dropping-particle":"","family":"Takahari","given":"Daisuke","non-dropping-particle":"","parse-names":false,"suffix":""},{"dropping-particle":"","family":"Nakajima","given":"Takako","non-dropping-particle":"","parse-names":false,"suffix":""},{"dropping-particle":"","family":"Hamaguchi","given":"Tetsuya","non-dropping-particle":"","parse-names":false,"suffix":""},{"dropping-particle":"","family":"Shimada","given":"Yasuhiro","non-dropping-particle":"","parse-names":false,"suffix":""},{"dropping-particle":"","family":"Shirao","given":"Kuniaki","non-dropping-particle":"","parse-names":false,"suffix":""}],"container-title":"International journal of cancer","id":"ITEM-1","issue":"10","issued":{"date-parts":[["2012","5","15"]]},"page":"2359-65","title":"Pharmacokinetic parameters from 3-Tesla DCE-MRI as surrogate biomarkers of antitumor effects of bevacizumab plus FOLFIRI in colorectal cancer with liver metastasis.","type":"article-journal","volume":"130"},"uris":["http://www.mendeley.com/documents/?uuid=b9546e0a-afac-4ea2-a431-24bf4762e089"]}],"mendeley":{"formattedCitation":"&lt;sup&gt;[106]&lt;/sup&gt;","plainTextFormattedCitation":"[106]","previouslyFormattedCitation":"&lt;sup&gt;[106]&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[106]</w:t>
      </w:r>
      <w:r w:rsidR="00A75298" w:rsidRPr="009D7554">
        <w:rPr>
          <w:rFonts w:ascii="Book Antiqua" w:hAnsi="Book Antiqua"/>
          <w:i/>
          <w:lang w:val="en-US"/>
        </w:rPr>
        <w:fldChar w:fldCharType="end"/>
      </w:r>
      <w:r w:rsidR="005017F7" w:rsidRPr="009D7554">
        <w:rPr>
          <w:rFonts w:ascii="Book Antiqua" w:hAnsi="Book Antiqua"/>
          <w:i/>
          <w:lang w:val="en-US"/>
        </w:rPr>
        <w:t xml:space="preserve"> </w:t>
      </w:r>
      <w:r w:rsidR="00022B8D" w:rsidRPr="009D7554">
        <w:rPr>
          <w:rFonts w:ascii="Book Antiqua" w:hAnsi="Book Antiqua"/>
          <w:bCs/>
          <w:lang w:val="en-US"/>
        </w:rPr>
        <w:t xml:space="preserve">observed a significant correlation between </w:t>
      </w:r>
      <w:r w:rsidR="008A1E5D" w:rsidRPr="009D7554">
        <w:rPr>
          <w:rFonts w:ascii="Book Antiqua" w:hAnsi="Book Antiqua"/>
          <w:bCs/>
          <w:lang w:val="en-US"/>
        </w:rPr>
        <w:t xml:space="preserve">a </w:t>
      </w:r>
      <w:r w:rsidR="00502E2D" w:rsidRPr="009D7554">
        <w:rPr>
          <w:rFonts w:ascii="Book Antiqua" w:hAnsi="Book Antiqua"/>
          <w:bCs/>
          <w:lang w:val="en-US"/>
        </w:rPr>
        <w:t>reduction</w:t>
      </w:r>
      <w:r w:rsidR="008A1E5D" w:rsidRPr="009D7554">
        <w:rPr>
          <w:rFonts w:ascii="Book Antiqua" w:hAnsi="Book Antiqua"/>
          <w:bCs/>
          <w:lang w:val="en-US"/>
        </w:rPr>
        <w:t xml:space="preserve"> in the </w:t>
      </w:r>
      <w:r w:rsidR="00022B8D" w:rsidRPr="009D7554">
        <w:rPr>
          <w:rFonts w:ascii="Book Antiqua" w:hAnsi="Book Antiqua"/>
          <w:bCs/>
          <w:lang w:val="en-US"/>
        </w:rPr>
        <w:t xml:space="preserve">Ktrans </w:t>
      </w:r>
      <w:r w:rsidR="001F0F25" w:rsidRPr="009D7554">
        <w:rPr>
          <w:rFonts w:ascii="Book Antiqua" w:hAnsi="Book Antiqua"/>
          <w:bCs/>
          <w:lang w:val="en-US"/>
        </w:rPr>
        <w:t>value</w:t>
      </w:r>
      <w:r w:rsidR="00022B8D" w:rsidRPr="009D7554">
        <w:rPr>
          <w:rFonts w:ascii="Book Antiqua" w:hAnsi="Book Antiqua"/>
          <w:bCs/>
          <w:lang w:val="en-US"/>
        </w:rPr>
        <w:t xml:space="preserve"> 7 days after the start of treatment and a longer time to progression. </w:t>
      </w:r>
      <w:r w:rsidR="008A1E5D" w:rsidRPr="009D7554">
        <w:rPr>
          <w:rFonts w:ascii="Book Antiqua" w:hAnsi="Book Antiqua"/>
          <w:bCs/>
          <w:lang w:val="en-US"/>
        </w:rPr>
        <w:t>Subsequently</w:t>
      </w:r>
      <w:r w:rsidR="00022B8D" w:rsidRPr="009D7554">
        <w:rPr>
          <w:rFonts w:ascii="Book Antiqua" w:hAnsi="Book Antiqua"/>
          <w:bCs/>
          <w:lang w:val="en-US"/>
        </w:rPr>
        <w:t xml:space="preserve">, Kim </w:t>
      </w:r>
      <w:r w:rsidR="006336B6"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{"citationItems":[{"id":"ITEM-1","itemData":{"DOI":"10.4143/crt.2015.374","ISSN":"2005-9256","PMID":"26987390","abstract":"PURPOSE The purpose of this study is to investigate dynamic contrast-enhanced magnetic resonance imaging (DCE-MRI) and plasma cytokines and angiogenic factors (CAFs) as pharmacodynamic and prognostic biomarkers of bevacizumab monotherapy in colorectal cancer with liver metastasis (CRCLM). MATERIALS AND METHODS From July 2011 to March 2012, 28 patients with histologically confirmed CRCLM received bevacizumab monotherapy followed by combined FOLFOX therapy. The mean age of the patients was 57 years (range, 30 to 77 years). DCE-MRI (Ktransand IAUC60) was performed at baseline, first follow-up (3 days after bevacizumab monotherapy), and second follow-up (3 days after combined therapy). CAF levels (vascular endothelial growth factor [VEGF], placental growth factor [PlGF], and interleukin-8) were assessed on the same days. Progression-free survival (PFS) time distributions were summarized using the Kaplan-Meier method and compared using log-rank tests. RESULTS The median PFS period was 11.2 months. Ktrans, IAUC60, VEGF, and PlGF values on the first follow-up day were significantly different compared with baseline values. No differences were observed on the second follow-up day. A &gt; 40% decrease in Ktrans from baseline to first follow-up was associated with a longer PFS (hazard ratio, 0.349; 95% confidence interval, 0.133 to 0.912; p=0.032). Changes in CAFs did not show correlation with PFS time. CONCLUSION DCE-MRI parameters and CAFs are pharmacodynamic biomarkers of bevacizumab for CRCLM. In our study, change in Ktrans at 3 days after bevacizumab monotherapy was a favorable prognostic factor; however, the value of CAFs as a prognostic biomarker was not found.","author":[{"dropping-particle":"","family":"Kim","given":"Yeo-Eun","non-dropping-particle":"","parse-names":false,"suffix":""},{"dropping-particle":"","family":"Joo","given":"Bio","non-dropping-particle":"","parse-names":false,"suffix":""},{"dropping-particle":"","family":"Park","given":"Mi-Suk","non-dropping-particle":"","parse-names":false,"suffix":""},{"dropping-particle":"","family":"Shin","given":"Sang Joon","non-dropping-particle":"","parse-names":false,"suffix":""},{"dropping-particle":"","family":"Ahn","given":"Joong Bae","non-dropping-particle":"","parse-names":false,"suffix":""},{"dropping-particle":"","family":"Kim","given":"Myeong-Jin","non-dropping-particle":"","parse-names":false,"suffix":""}],"container-title":"Cancer research and treatment : official journal of Korean Cancer Association","id":"ITEM-1","issue":"4","issued":{"date-parts":[["2016","10"]]},"page":"1210-1221","title":"Dynamic Contrast-Enhanced Magnetic Resonance Imaging as a Surrogate Biomarker for Bevacizumab in Colorectal Cancer Liver Metastasis: A Single-Arm, Exploratory Trial.","type":"article-journal","volume":"48"},"uris":["http://www.mendeley.com/documents/?uuid=cc330893-8cce-473f-96d7-55c70382f0b8"]}],"mendeley":{"formattedCitation":"&lt;sup&gt;[107]&lt;/sup&gt;","plainTextFormattedCitation":"[107]","previouslyFormattedCitation":"&lt;sup&gt;[107]&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[107]</w:t>
      </w:r>
      <w:r w:rsidR="00A75298" w:rsidRPr="009D7554">
        <w:rPr>
          <w:rFonts w:ascii="Book Antiqua" w:hAnsi="Book Antiqua"/>
          <w:i/>
          <w:lang w:val="en-US"/>
        </w:rPr>
        <w:fldChar w:fldCharType="end"/>
      </w:r>
      <w:r w:rsidR="00751044" w:rsidRPr="009D7554">
        <w:rPr>
          <w:rFonts w:ascii="Book Antiqua" w:hAnsi="Book Antiqua"/>
          <w:i/>
          <w:lang w:val="en-US"/>
        </w:rPr>
        <w:t xml:space="preserve"> </w:t>
      </w:r>
      <w:r w:rsidR="00751044" w:rsidRPr="009D7554">
        <w:rPr>
          <w:rFonts w:ascii="Book Antiqua" w:hAnsi="Book Antiqua"/>
          <w:bCs/>
          <w:lang w:val="en-US"/>
        </w:rPr>
        <w:t xml:space="preserve">confirmed this finding and </w:t>
      </w:r>
      <w:r w:rsidR="008A1E5D" w:rsidRPr="009D7554">
        <w:rPr>
          <w:rFonts w:ascii="Book Antiqua" w:hAnsi="Book Antiqua"/>
          <w:bCs/>
          <w:lang w:val="en-US"/>
        </w:rPr>
        <w:t xml:space="preserve">found that </w:t>
      </w:r>
      <w:r w:rsidR="00751044" w:rsidRPr="009D7554">
        <w:rPr>
          <w:rFonts w:ascii="Book Antiqua" w:hAnsi="Book Antiqua"/>
          <w:bCs/>
          <w:lang w:val="en-US"/>
        </w:rPr>
        <w:t xml:space="preserve">a reduction </w:t>
      </w:r>
      <w:r w:rsidR="001F0F25" w:rsidRPr="009D7554">
        <w:rPr>
          <w:rFonts w:ascii="Book Antiqua" w:hAnsi="Book Antiqua"/>
          <w:bCs/>
          <w:lang w:val="en-US"/>
        </w:rPr>
        <w:t>of</w:t>
      </w:r>
      <w:r w:rsidR="00751044" w:rsidRPr="009D7554">
        <w:rPr>
          <w:rFonts w:ascii="Book Antiqua" w:hAnsi="Book Antiqua"/>
          <w:bCs/>
          <w:lang w:val="en-US"/>
        </w:rPr>
        <w:t xml:space="preserve"> 40% </w:t>
      </w:r>
      <w:r w:rsidR="008A1E5D" w:rsidRPr="009D7554">
        <w:rPr>
          <w:rFonts w:ascii="Book Antiqua" w:hAnsi="Book Antiqua"/>
          <w:bCs/>
          <w:lang w:val="en-US"/>
        </w:rPr>
        <w:t>in the Ktrans cut-off value could be used to discriminate</w:t>
      </w:r>
      <w:r w:rsidR="00751044" w:rsidRPr="009D7554">
        <w:rPr>
          <w:rFonts w:ascii="Book Antiqua" w:hAnsi="Book Antiqua"/>
          <w:bCs/>
          <w:lang w:val="en-US"/>
        </w:rPr>
        <w:t xml:space="preserve"> responders from </w:t>
      </w:r>
      <w:r w:rsidR="009A70D4" w:rsidRPr="009D7554">
        <w:rPr>
          <w:rFonts w:ascii="Book Antiqua" w:hAnsi="Book Antiqua"/>
          <w:bCs/>
          <w:lang w:val="en-US"/>
        </w:rPr>
        <w:t>nonr</w:t>
      </w:r>
      <w:r w:rsidR="00751044" w:rsidRPr="009D7554">
        <w:rPr>
          <w:rFonts w:ascii="Book Antiqua" w:hAnsi="Book Antiqua"/>
          <w:bCs/>
          <w:lang w:val="en-US"/>
        </w:rPr>
        <w:t xml:space="preserve">esponders. De Bruyne </w:t>
      </w:r>
      <w:r w:rsidR="003F5705" w:rsidRPr="009D7554">
        <w:rPr>
          <w:rFonts w:ascii="Book Antiqua" w:hAnsi="Book Antiqua"/>
          <w:i/>
          <w:iCs/>
          <w:lang w:val="en-US"/>
        </w:rPr>
        <w:t>et al</w:t>
      </w:r>
      <w:r w:rsidR="00A75298" w:rsidRPr="009D7554">
        <w:rPr>
          <w:rFonts w:ascii="Book Antiqua" w:hAnsi="Book Antiqua"/>
          <w:i/>
          <w:iCs/>
          <w:lang w:val="en-US"/>
        </w:rPr>
        <w:fldChar w:fldCharType="begin" w:fldLock="1"/>
      </w:r>
      <w:r w:rsidR="004308B4" w:rsidRPr="009D7554">
        <w:rPr>
          <w:rFonts w:ascii="Book Antiqua" w:hAnsi="Book Antiqua"/>
          <w:i/>
          <w:iCs/>
          <w:lang w:val="en-US"/>
        </w:rPr>
        <w:instrText>ADDIN CSL_CITATION {"citationItems":[{"id":"ITEM-1","itemData":{"DOI":"10.1038/bjc.2012.184","ISSN":"1532-1827","PMID":"22596235","abstract":"BACKGROUND The purpose of this study was to assess the role of dynamic contrast-enhanced magnetic resonance imaging (DCE-MRI) and (18)F-fluorodeoxyglucose positron emission tomography computed tomography (FDG-PET/CT) for evaluation of response to chemotherapy and bevacizumab and for prediction of progression-free survival (PFS) in patients with metastatic colorectal cancer (mCRC) with potentially resectable liver lesions. METHODS A total of 19 mCRC patients were treated with FOLFOX/FOLFIRI and bevacizumab followed by surgery. Dynamic contrast-enhanced magnetic resonance imaging and FDG-PET/CT were performed before treatment and after cycle 5. PET results were quantified by calculating maximum standardised uptake value (SUV(max)) whereas area under the enhancement curve (AUC), initial AUC (iAUC) and the endothelial transfer constant (K(trans)) were used to quantify DCE-MRI. Pathological analysis of the resection specimen was performed, including measurement of microvessel density (MVD) and proliferation index. RESULTS Both AUC and iAUC were significantly decreased following bevacizumab therapy (median change of 22% (P=0.002) and 40% (P=0.001) for AUC and iAUC, respectively). Progression-free survival benefit was shown for patients with &gt;40% reduction in K(trans) (P=0.019). In the group of radiological responders, the median baseline SUV(max) was 3.77 (IQR: 2.88-5.60) compared with 7.20 (IQR: 4.67-8.73) in nonresponders (P=0.021). A higher follow-up SUV(max) was correlated with worse PFS (P=0.012). Median MVD was 10.9. Progression-free survival was significantly shorter in patients with an MVD greater than 10, compared with patients with lower MVD (10 months compared with 16 months, P=0.016). CONCLUSION High relative decrease in K(trans), low follow-up SUV(max) and low MVD are favourable prognostic factors for mCRC patients treated with bevacizumab before surgery.","author":[{"dropping-particle":"","family":"Bruyne","given":"S","non-dropping-particle":"De","parse-names":false,"suffix":""},{"dropping-particle":"","family":"Damme","given":"N","non-dropping-particle":"Van","parse-names":false,"suffix":""},{"dropping-particle":"","family":"Smeets","given":"P","non-dropping-particle":"","parse-names":false,"suffix":""},{"dropping-particle":"","family":"Ferdinande","given":"L","non-dropping-particle":"","parse-names":false,"suffix":""},{"dropping-particle":"","family":"Ceelen","given":"W","non-dropping-particle":"","parse-names":false,"suffix":""},{"dropping-particle":"","family":"Mertens","given":"J","non-dropping-particle":"","parse-names":false,"suffix":""},{"dropping-particle":"","family":"Wiele","given":"C","non-dropping-particle":"Van de","parse-names":false,"suffix":""},{"dropping-particle":"","family":"Troisi","given":"R","non-dropping-particle":"","parse-names":false,"suffix":""},{"dropping-particle":"","family":"Libbrecht","given":"L","non-dropping-particle":"","parse-names":false,"suffix":""},{"dropping-particle":"","family":"Laurent","given":"S","non-dropping-particle":"","parse-names":false,"suffix":""},{"dropping-particle":"","family":"Geboes","given":"K","non-dropping-particle":"","parse-names":false,"suffix":""},{"dropping-particle":"","family":"Peeters","given":"M","non-dropping-particle":"","parse-names":false,"suffix":""}],"container-title":"British journal of cancer","id":"ITEM-1","issue":"12","issued":{"date-parts":[["2012","6","5"]]},"page":"1926-33","title":"Value of DCE-MRI and FDG-PET/CT in the prediction of response to preoperative chemotherapy with bevacizumab for colorectal liver metastases.","type":"article-journal","volume":"106"},"uris":["http://www.mendeley.com/documents/?uuid=a994a7ae-a2e4-44db-9b82-3f537a034970"]}],"mendeley":{"formattedCitation":"&lt;sup&gt;[108]&lt;/sup&gt;","plainTextFormattedCitation":"[108]","previouslyFormattedCitation":"&lt;sup&gt;[108]&lt;/sup&gt;"},"properties":{"noteIndex":0},"schema":"https://github.com/citation-style-language/schema/raw/master/csl-citation.json"}</w:instrText>
      </w:r>
      <w:r w:rsidR="00A75298" w:rsidRPr="009D7554">
        <w:rPr>
          <w:rFonts w:ascii="Book Antiqua" w:hAnsi="Book Antiqua"/>
          <w:i/>
          <w:iCs/>
          <w:lang w:val="en-US"/>
        </w:rPr>
        <w:fldChar w:fldCharType="separate"/>
      </w:r>
      <w:r w:rsidR="00DF4FB7" w:rsidRPr="009D7554">
        <w:rPr>
          <w:rFonts w:ascii="Book Antiqua" w:hAnsi="Book Antiqua"/>
          <w:iCs/>
          <w:vertAlign w:val="superscript"/>
          <w:lang w:val="en-US"/>
        </w:rPr>
        <w:t>[108]</w:t>
      </w:r>
      <w:r w:rsidR="00A75298" w:rsidRPr="009D7554">
        <w:rPr>
          <w:rFonts w:ascii="Book Antiqua" w:hAnsi="Book Antiqua"/>
          <w:i/>
          <w:iCs/>
          <w:lang w:val="en-US"/>
        </w:rPr>
        <w:fldChar w:fldCharType="end"/>
      </w:r>
      <w:r w:rsidR="001023A3" w:rsidRPr="009D7554">
        <w:rPr>
          <w:rFonts w:ascii="Book Antiqua" w:hAnsi="Book Antiqua"/>
          <w:i/>
          <w:iCs/>
          <w:lang w:val="en-US"/>
        </w:rPr>
        <w:t xml:space="preserve"> </w:t>
      </w:r>
      <w:r w:rsidR="006903AC" w:rsidRPr="009D7554">
        <w:rPr>
          <w:rFonts w:ascii="Book Antiqua" w:hAnsi="Book Antiqua"/>
          <w:lang w:val="en-US"/>
        </w:rPr>
        <w:t>found that a decrease in Ktrans of more than 40% after bevacizumab chemotherapy in patients with CRLM</w:t>
      </w:r>
      <w:r w:rsidR="00502E2D" w:rsidRPr="009D7554">
        <w:rPr>
          <w:rFonts w:ascii="Book Antiqua" w:hAnsi="Book Antiqua"/>
          <w:lang w:val="en-US"/>
        </w:rPr>
        <w:t>s</w:t>
      </w:r>
      <w:r w:rsidR="006903AC" w:rsidRPr="009D7554">
        <w:rPr>
          <w:rFonts w:ascii="Book Antiqua" w:hAnsi="Book Antiqua"/>
          <w:lang w:val="en-US"/>
        </w:rPr>
        <w:t xml:space="preserve"> was associated with </w:t>
      </w:r>
      <w:r w:rsidR="00502E2D" w:rsidRPr="009D7554">
        <w:rPr>
          <w:rFonts w:ascii="Book Antiqua" w:hAnsi="Book Antiqua"/>
          <w:lang w:val="en-US"/>
        </w:rPr>
        <w:t>improved</w:t>
      </w:r>
      <w:r w:rsidR="008A1E5D" w:rsidRPr="009D7554">
        <w:rPr>
          <w:rFonts w:ascii="Book Antiqua" w:hAnsi="Book Antiqua"/>
          <w:lang w:val="en-US"/>
        </w:rPr>
        <w:t xml:space="preserve"> </w:t>
      </w:r>
      <w:r w:rsidR="006903AC" w:rsidRPr="009D7554">
        <w:rPr>
          <w:rFonts w:ascii="Book Antiqua" w:hAnsi="Book Antiqua"/>
          <w:lang w:val="en-US"/>
        </w:rPr>
        <w:t>PFS.</w:t>
      </w:r>
    </w:p>
    <w:p w:rsidR="004A5294" w:rsidRPr="009D7554" w:rsidRDefault="004A5294" w:rsidP="006A253E">
      <w:pPr>
        <w:widowControl w:val="0"/>
        <w:autoSpaceDE w:val="0"/>
        <w:autoSpaceDN w:val="0"/>
        <w:adjustRightInd w:val="0"/>
        <w:snapToGrid w:val="0"/>
        <w:spacing w:line="360" w:lineRule="auto"/>
        <w:jc w:val="both"/>
        <w:rPr>
          <w:rFonts w:ascii="Book Antiqua" w:hAnsi="Book Antiqua"/>
          <w:lang w:val="en-US"/>
        </w:rPr>
      </w:pPr>
    </w:p>
    <w:p w:rsidR="003E31A8" w:rsidRPr="009D7554" w:rsidRDefault="000A3F2C"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Hybrid</w:t>
      </w:r>
      <w:r w:rsidR="00512F20" w:rsidRPr="009D7554">
        <w:rPr>
          <w:rFonts w:ascii="Book Antiqua" w:hAnsi="Book Antiqua"/>
          <w:b/>
          <w:lang w:val="en-US"/>
        </w:rPr>
        <w:t xml:space="preserve"> i</w:t>
      </w:r>
      <w:r w:rsidRPr="009D7554">
        <w:rPr>
          <w:rFonts w:ascii="Book Antiqua" w:hAnsi="Book Antiqua"/>
          <w:b/>
          <w:lang w:val="en-US"/>
        </w:rPr>
        <w:t>maging</w:t>
      </w:r>
      <w:r w:rsidR="00512F20" w:rsidRPr="009D7554">
        <w:rPr>
          <w:rFonts w:ascii="Book Antiqua" w:hAnsi="Book Antiqua"/>
          <w:b/>
          <w:lang w:val="en-US"/>
        </w:rPr>
        <w:t>:</w:t>
      </w:r>
      <w:r w:rsidR="00585794" w:rsidRPr="009D7554">
        <w:rPr>
          <w:rFonts w:ascii="Book Antiqua" w:hAnsi="Book Antiqua"/>
          <w:b/>
          <w:lang w:val="en-US"/>
        </w:rPr>
        <w:t xml:space="preserve"> </w:t>
      </w:r>
      <w:r w:rsidR="005017F7" w:rsidRPr="009D7554">
        <w:rPr>
          <w:rFonts w:ascii="Book Antiqua" w:hAnsi="Book Antiqua"/>
          <w:bCs/>
          <w:lang w:val="en-US"/>
        </w:rPr>
        <w:t xml:space="preserve">Avallone </w:t>
      </w:r>
      <w:r w:rsidR="003E31A8"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{"citationItems":[{"id":"ITEM-1","itemData":{"DOI":"10.1007/s00259-012-2229-2","ISSN":"1619-7089","PMID":"23053320","abstract":"PURPOSE The aim of the present study is to prospectively evaluate the prognostic value of previously defined [(18)F]2-fluoro-2-deoxy-D-glucose positron emission tomography (FDG PET) criteria of early metabolic response in patients with locally advanced rectal cancer (LARC) after long-term follow-up. METHODS Forty-two patients with poor prognosis LARC underwent three biweekly courses of chemotherapy with oxaliplatin, raltitrexed and 5-fluorouracil modulated by levofolinic acid during pelvic radiotherapy. FDG PET studies were performed before and 12 days after the beginning of the chemoradiotherapy (CRT) treatment. Total mesorectal excision (TME) was carried out 8 weeks after completion of CRT. A previously identified cutoff value of ≥52 % reduction of the baseline mean FDG standardized uptake value (SUV(mean)) was applied to differentiate metabolic responders from non-responders and correlated to tumour regression grade (TRG) and survival. RESULTS Twenty-two metabolic responders showed complete (TRG1) or subtotal tumour regression (TRG2) and demonstrated a statistically significantly higher 5-year relapse-free survival (RFS) compared with the 20 non-responders (86 vs 55 %, p = .014) who showed TRG3 and TRG4 pathologic responses. A multivariate analysis demonstrated that early ∆SUV(mean) was the only pre-surgical parameter correlated to the likelihood of recurrence (p = .05). CONCLUSION This study is the first prospective long-term evaluation demonstrating that FDG PET is not only an early predictor of pathologic response but is also a valuable prognostic tool. Our results indicate the potential of FDG PET for optimizing multidisciplinary management of patients with LARC.","author":[{"dropping-particle":"","family":"Avallone","given":"Antonio","non-dropping-particle":"","parse-names":false,"suffix":""},{"dropping-particle":"","family":"Aloj","given":"Luigi","non-dropping-particle":"","parse-names":false,"suffix":""},{"dropping-particle":"","family":"Caracò","given":"Corradina","non-dropping-particle":"","parse-names":false,"suffix":""},{"dropping-particle":"","family":"Delrio","given":"Paolo","non-dropping-particle":"","parse-names":false,"suffix":""},{"dropping-particle":"","family":"Pecori","given":"Biagio","non-dropping-particle":"","parse-names":false,"suffix":""},{"dropping-particle":"","family":"Tatangelo","given":"Fabiana","non-dropping-particle":"","parse-names":false,"suffix":""},{"dropping-particle":"","family":"Scott","given":"Nigel","non-dropping-particle":"","parse-names":false,"suffix":""},{"dropping-particle":"","family":"Casaretti","given":"Rossana","non-dropping-particle":"","parse-names":false,"suffix":""},{"dropping-particle":"","family":"Gennaro","given":"Francesca","non-dropping-particle":"Di","parse-names":false,"suffix":""},{"dropping-particle":"","family":"Montano","given":"Massimo","non-dropping-particle":"","parse-names":false,"suffix":""},{"dropping-particle":"","family":"Silvestro","given":"Lucrezia","non-dropping-particle":"","parse-names":false,"suffix":""},{"dropping-particle":"","family":"Budillon","given":"Alfredo","non-dropping-particle":"","parse-names":false,"suffix":""},{"dropping-particle":"","family":"Lastoria","given":"Secondo","non-dropping-particle":"","parse-names":false,"suffix":""}],"container-title":"European journal of nuclear medicine and molecular imaging","id":"ITEM-1","issue":"12","issued":{"date-parts":[["2012","12"]]},"page":"1848-57","title":"Early FDG PET response assessment of preoperative radiochemotherapy in locally advanced rectal cancer: correlation with long-term outcome.","type":"article-journal","volume":"39"},"uris":["http://www.mendeley.com/documents/?uuid=07e67929-68b6-442e-8d3e-1b6813bdab6f"]}],"mendeley":{"formattedCitation":"&lt;sup&gt;[109]&lt;/sup&gt;","plainTextFormattedCitation":"[109]","previouslyFormattedCitation":"&lt;sup&gt;[109]&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[109]</w:t>
      </w:r>
      <w:r w:rsidR="00A75298" w:rsidRPr="009D7554">
        <w:rPr>
          <w:rFonts w:ascii="Book Antiqua" w:hAnsi="Book Antiqua"/>
          <w:i/>
          <w:lang w:val="en-US"/>
        </w:rPr>
        <w:fldChar w:fldCharType="end"/>
      </w:r>
      <w:r w:rsidR="005017F7" w:rsidRPr="009D7554">
        <w:rPr>
          <w:rFonts w:ascii="Book Antiqua" w:hAnsi="Book Antiqua"/>
          <w:i/>
          <w:lang w:val="en-US"/>
        </w:rPr>
        <w:t xml:space="preserve"> </w:t>
      </w:r>
      <w:r w:rsidR="003E31A8" w:rsidRPr="009D7554">
        <w:rPr>
          <w:rFonts w:ascii="Book Antiqua" w:hAnsi="Book Antiqua"/>
          <w:lang w:val="en-US"/>
        </w:rPr>
        <w:t>evaluated the prognostic role of early metabolic response</w:t>
      </w:r>
      <w:r w:rsidR="008A1E5D" w:rsidRPr="009D7554">
        <w:rPr>
          <w:rFonts w:ascii="Book Antiqua" w:hAnsi="Book Antiqua"/>
          <w:lang w:val="en-US"/>
        </w:rPr>
        <w:t>s</w:t>
      </w:r>
      <w:r w:rsidR="003E31A8" w:rsidRPr="009D7554">
        <w:rPr>
          <w:rFonts w:ascii="Book Antiqua" w:hAnsi="Book Antiqua"/>
          <w:lang w:val="en-US"/>
        </w:rPr>
        <w:t xml:space="preserve"> to CRT in patients with LARC. In their study</w:t>
      </w:r>
      <w:r w:rsidR="001F0F25" w:rsidRPr="009D7554">
        <w:rPr>
          <w:rFonts w:ascii="Book Antiqua" w:hAnsi="Book Antiqua"/>
          <w:lang w:val="en-US"/>
        </w:rPr>
        <w:t>,</w:t>
      </w:r>
      <w:r w:rsidR="003E31A8" w:rsidRPr="009D7554">
        <w:rPr>
          <w:rFonts w:ascii="Book Antiqua" w:hAnsi="Book Antiqua"/>
          <w:lang w:val="en-US"/>
        </w:rPr>
        <w:t xml:space="preserve"> </w:t>
      </w:r>
      <w:r w:rsidR="003E31A8" w:rsidRPr="009D7554">
        <w:rPr>
          <w:rFonts w:ascii="Book Antiqua" w:hAnsi="Book Antiqua"/>
          <w:position w:val="10"/>
          <w:sz w:val="16"/>
          <w:szCs w:val="16"/>
          <w:lang w:val="en-US"/>
        </w:rPr>
        <w:t>18</w:t>
      </w:r>
      <w:r w:rsidR="003E31A8" w:rsidRPr="009D7554">
        <w:rPr>
          <w:rFonts w:ascii="Book Antiqua" w:hAnsi="Book Antiqua"/>
          <w:lang w:val="en-US"/>
        </w:rPr>
        <w:t xml:space="preserve">FDG-PET scans were performed before and 12 days after the beginning of CRT. Responders, defined on the </w:t>
      </w:r>
      <w:r w:rsidR="001F0F25" w:rsidRPr="009D7554">
        <w:rPr>
          <w:rFonts w:ascii="Book Antiqua" w:hAnsi="Book Antiqua"/>
          <w:lang w:val="en-US"/>
        </w:rPr>
        <w:t>basis</w:t>
      </w:r>
      <w:r w:rsidR="003E31A8" w:rsidRPr="009D7554">
        <w:rPr>
          <w:rFonts w:ascii="Book Antiqua" w:hAnsi="Book Antiqua"/>
          <w:lang w:val="en-US"/>
        </w:rPr>
        <w:t xml:space="preserve"> of a reduction </w:t>
      </w:r>
      <w:r w:rsidR="008A1E5D" w:rsidRPr="009D7554">
        <w:rPr>
          <w:rFonts w:ascii="Book Antiqua" w:hAnsi="Book Antiqua"/>
          <w:lang w:val="en-US"/>
        </w:rPr>
        <w:t xml:space="preserve">in the </w:t>
      </w:r>
      <w:r w:rsidR="003E31A8" w:rsidRPr="009D7554">
        <w:rPr>
          <w:rFonts w:ascii="Book Antiqua" w:hAnsi="Book Antiqua"/>
          <w:lang w:val="en-US"/>
        </w:rPr>
        <w:t>SUV</w:t>
      </w:r>
      <w:r w:rsidR="00D31CC2" w:rsidRPr="009D7554">
        <w:rPr>
          <w:rFonts w:ascii="Book Antiqua" w:hAnsi="Book Antiqua"/>
          <w:lang w:val="en-US"/>
        </w:rPr>
        <w:t xml:space="preserve"> </w:t>
      </w:r>
      <w:r w:rsidR="003E31A8" w:rsidRPr="009D7554">
        <w:rPr>
          <w:rFonts w:ascii="Book Antiqua" w:hAnsi="Book Antiqua"/>
          <w:lang w:val="en-US"/>
        </w:rPr>
        <w:t>mean</w:t>
      </w:r>
      <w:r w:rsidR="008A1E5D" w:rsidRPr="009D7554">
        <w:rPr>
          <w:rFonts w:ascii="Book Antiqua" w:hAnsi="Book Antiqua"/>
          <w:lang w:val="en-US"/>
        </w:rPr>
        <w:t xml:space="preserve"> value</w:t>
      </w:r>
      <w:r w:rsidR="003E31A8" w:rsidRPr="009D7554">
        <w:rPr>
          <w:rFonts w:ascii="Book Antiqua" w:hAnsi="Book Antiqua"/>
          <w:lang w:val="en-US"/>
        </w:rPr>
        <w:t xml:space="preserve"> ≥ 52% </w:t>
      </w:r>
      <w:r w:rsidR="008A1E5D" w:rsidRPr="009D7554">
        <w:rPr>
          <w:rFonts w:ascii="Book Antiqua" w:hAnsi="Book Antiqua"/>
          <w:lang w:val="en-US"/>
        </w:rPr>
        <w:t xml:space="preserve">compared to the </w:t>
      </w:r>
      <w:r w:rsidR="003E31A8" w:rsidRPr="009D7554">
        <w:rPr>
          <w:rFonts w:ascii="Book Antiqua" w:hAnsi="Book Antiqua"/>
          <w:lang w:val="en-US"/>
        </w:rPr>
        <w:t>baseline, showed a 5-year RFS</w:t>
      </w:r>
      <w:r w:rsidR="008A1E5D" w:rsidRPr="009D7554">
        <w:rPr>
          <w:rFonts w:ascii="Book Antiqua" w:hAnsi="Book Antiqua"/>
          <w:lang w:val="en-US"/>
        </w:rPr>
        <w:t xml:space="preserve"> that was</w:t>
      </w:r>
      <w:r w:rsidR="003E31A8" w:rsidRPr="009D7554">
        <w:rPr>
          <w:rFonts w:ascii="Book Antiqua" w:hAnsi="Book Antiqua"/>
          <w:lang w:val="en-US"/>
        </w:rPr>
        <w:t xml:space="preserve"> significantly higher </w:t>
      </w:r>
      <w:r w:rsidR="008A1E5D" w:rsidRPr="009D7554">
        <w:rPr>
          <w:rFonts w:ascii="Book Antiqua" w:hAnsi="Book Antiqua"/>
          <w:lang w:val="en-US"/>
        </w:rPr>
        <w:t xml:space="preserve">than that of </w:t>
      </w:r>
      <w:r w:rsidR="009A70D4" w:rsidRPr="009D7554">
        <w:rPr>
          <w:rFonts w:ascii="Book Antiqua" w:hAnsi="Book Antiqua"/>
          <w:lang w:val="en-US"/>
        </w:rPr>
        <w:t>nonr</w:t>
      </w:r>
      <w:r w:rsidR="003E31A8" w:rsidRPr="009D7554">
        <w:rPr>
          <w:rFonts w:ascii="Book Antiqua" w:hAnsi="Book Antiqua"/>
          <w:lang w:val="en-US"/>
        </w:rPr>
        <w:t>esponders.</w:t>
      </w:r>
    </w:p>
    <w:p w:rsidR="00650E5D" w:rsidRPr="009D7554" w:rsidRDefault="00497DE0" w:rsidP="00585794">
      <w:pPr>
        <w:widowControl w:val="0"/>
        <w:autoSpaceDE w:val="0"/>
        <w:autoSpaceDN w:val="0"/>
        <w:adjustRightInd w:val="0"/>
        <w:snapToGrid w:val="0"/>
        <w:spacing w:line="360" w:lineRule="auto"/>
        <w:ind w:firstLineChars="100" w:firstLine="240"/>
        <w:jc w:val="both"/>
        <w:rPr>
          <w:rFonts w:ascii="Book Antiqua" w:hAnsi="Book Antiqua"/>
          <w:bCs/>
          <w:lang w:val="en-US"/>
        </w:rPr>
      </w:pPr>
      <w:r w:rsidRPr="009D7554">
        <w:rPr>
          <w:rFonts w:ascii="Book Antiqua" w:hAnsi="Book Antiqua"/>
          <w:lang w:val="en-US"/>
        </w:rPr>
        <w:t xml:space="preserve">Muralidharan </w:t>
      </w:r>
      <w:r w:rsidR="00BD1536" w:rsidRPr="009D7554">
        <w:rPr>
          <w:rFonts w:ascii="Book Antiqua" w:hAnsi="Book Antiqua"/>
          <w:bCs/>
          <w:i/>
          <w:lang w:val="en-US"/>
        </w:rPr>
        <w:t>et al</w:t>
      </w:r>
      <w:r w:rsidR="00A75298" w:rsidRPr="009D7554">
        <w:rPr>
          <w:rFonts w:ascii="Book Antiqua" w:hAnsi="Book Antiqua"/>
          <w:bCs/>
          <w:i/>
          <w:lang w:val="en-US"/>
        </w:rPr>
        <w:fldChar w:fldCharType="begin" w:fldLock="1"/>
      </w:r>
      <w:r w:rsidR="004308B4" w:rsidRPr="009D7554">
        <w:rPr>
          <w:rFonts w:ascii="Book Antiqua" w:hAnsi="Book Antiqua"/>
          <w:bCs/>
          <w:i/>
          <w:lang w:val="en-US"/>
        </w:rPr>
        <w:instrText>ADDIN CSL_CITATION {"citationItems":[{"id":"ITEM-1","itemData":{"DOI":"10.2967/jnumed.112.102749","ISSN":"1535-5667","PMID":"22797376","abstract":"UNLABELLED Modern multidisciplinary therapy for colorectal liver metastases (CRLM) is associated with significant morbidity and must be adapted to the patient's relative risk. The tools currently available to risk-stratify patients are limited. This study assessed the prognostic utility of metabolic measurements derived from(18)F-FDG PET compared with previously proposed prognostic scoring systems. METHODS Preoperative (18)F-FDG PET/CT studies from a series of 30 patients who underwent liver resection for CRLM after neoadjuvant chemotherapy were evaluated. Quantitative (18)F-FDG PET analysis calculated the maximum and mean standardized uptake value, metabolic tumor volume (MTV), and tumor glycolytic volume (TGV) as measures of the metabolic activity of tumors. The predictive value of these parameters was compared with that of 4 prognostic scores developed by Fong, Iwatsuki, Nordlinger, and Rees. RESULTS High MTV and TGV in patients before metastasectomy were significantly associated with poorer overall survival (MTV: P = 0.001; TGV: P = 0.004) and recurrence-free survival (MTV: P = 0.001, TGV; P = 0.002). Maximum and mean standardized uptake value did not show any significant predictive ability. Of the prognostic scores, prediction of outcome was most accurate using the Basingstoke index (area under the curve, 0.898). CONCLUSION Assessment of metabolic tumor burden with volumetric (18)F-FDG PET parameters appears to be a valuable adjunct in determining the biology of CRLM before surgical resection and may enable better risk stratification of patients.","author":[{"dropping-particle":"","family":"Muralidharan","given":"Vijayaragavan","non-dropping-particle":"","parse-names":false,"suffix":""},{"dropping-particle":"","family":"Kwok","given":"Marco","non-dropping-particle":"","parse-names":false,"suffix":""},{"dropping-particle":"","family":"Lee","given":"Sze Ting","non-dropping-particle":"","parse-names":false,"suffix":""},{"dropping-particle":"","family":"Lau","given":"Lawrence","non-dropping-particle":"","parse-names":false,"suffix":""},{"dropping-particle":"","family":"Scott","given":"Andrew M","non-dropping-particle":"","parse-names":false,"suffix":""},{"dropping-particle":"","family":"Christophi","given":"Christopher","non-dropping-particle":"","parse-names":false,"suffix":""}],"container-title":"Journal of nuclear medicine : official publication, Society of Nuclear Medicine","id":"ITEM-1","issue":"9","issued":{"date-parts":[["2012","9"]]},"page":"1345-51","title":"Prognostic ability of 18F-FDG PET/CT in the assessment of colorectal liver metastases.","type":"article-journal","volume":"53"},"uris":["http://www.mendeley.com/documents/?uuid=e5e903aa-2ae7-4402-b40c-e602fb010572"]}],"mendeley":{"formattedCitation":"&lt;sup&gt;[110]&lt;/sup&gt;","plainTextFormattedCitation":"[110]","previouslyFormattedCitation":"&lt;sup&gt;[110]&lt;/sup&gt;"},"properties":{"noteIndex":0},"schema":"https://github.com/citation-style-language/schema/raw/master/csl-citation.json"}</w:instrText>
      </w:r>
      <w:r w:rsidR="00A75298" w:rsidRPr="009D7554">
        <w:rPr>
          <w:rFonts w:ascii="Book Antiqua" w:hAnsi="Book Antiqua"/>
          <w:bCs/>
          <w:i/>
          <w:lang w:val="en-US"/>
        </w:rPr>
        <w:fldChar w:fldCharType="separate"/>
      </w:r>
      <w:r w:rsidR="00DF4FB7" w:rsidRPr="009D7554">
        <w:rPr>
          <w:rFonts w:ascii="Book Antiqua" w:hAnsi="Book Antiqua"/>
          <w:bCs/>
          <w:vertAlign w:val="superscript"/>
          <w:lang w:val="en-US"/>
        </w:rPr>
        <w:t>[110]</w:t>
      </w:r>
      <w:r w:rsidR="00A75298" w:rsidRPr="009D7554">
        <w:rPr>
          <w:rFonts w:ascii="Book Antiqua" w:hAnsi="Book Antiqua"/>
          <w:bCs/>
          <w:i/>
          <w:lang w:val="en-US"/>
        </w:rPr>
        <w:fldChar w:fldCharType="end"/>
      </w:r>
      <w:r w:rsidR="006176C6" w:rsidRPr="009D7554">
        <w:rPr>
          <w:rFonts w:ascii="Book Antiqua" w:hAnsi="Book Antiqua"/>
          <w:bCs/>
          <w:i/>
          <w:lang w:val="en-US"/>
        </w:rPr>
        <w:t xml:space="preserve"> </w:t>
      </w:r>
      <w:r w:rsidR="00F3247C" w:rsidRPr="009D7554">
        <w:rPr>
          <w:rFonts w:ascii="Book Antiqua" w:hAnsi="Book Antiqua"/>
          <w:bCs/>
          <w:lang w:val="en-US"/>
        </w:rPr>
        <w:t xml:space="preserve">reported that high MTV and TLG </w:t>
      </w:r>
      <w:r w:rsidR="008A1E5D" w:rsidRPr="009D7554">
        <w:rPr>
          <w:rFonts w:ascii="Book Antiqua" w:hAnsi="Book Antiqua"/>
          <w:bCs/>
          <w:lang w:val="en-US"/>
        </w:rPr>
        <w:t xml:space="preserve">values for </w:t>
      </w:r>
      <w:r w:rsidR="00F3247C" w:rsidRPr="009D7554">
        <w:rPr>
          <w:rFonts w:ascii="Book Antiqua" w:hAnsi="Book Antiqua"/>
          <w:bCs/>
          <w:lang w:val="en-US"/>
        </w:rPr>
        <w:t xml:space="preserve">CRLMs before surgical resection </w:t>
      </w:r>
      <w:r w:rsidR="008A1E5D" w:rsidRPr="009D7554">
        <w:rPr>
          <w:rFonts w:ascii="Book Antiqua" w:hAnsi="Book Antiqua"/>
          <w:bCs/>
          <w:lang w:val="en-US"/>
        </w:rPr>
        <w:t xml:space="preserve">were </w:t>
      </w:r>
      <w:r w:rsidR="00F3247C" w:rsidRPr="009D7554">
        <w:rPr>
          <w:rFonts w:ascii="Book Antiqua" w:hAnsi="Book Antiqua"/>
          <w:bCs/>
          <w:lang w:val="en-US"/>
        </w:rPr>
        <w:t xml:space="preserve">significantly associated with poorer recurrence-free survival (RFS) and OS, while </w:t>
      </w:r>
      <w:r w:rsidR="008A1E5D" w:rsidRPr="009D7554">
        <w:rPr>
          <w:rFonts w:ascii="Book Antiqua" w:hAnsi="Book Antiqua"/>
          <w:bCs/>
          <w:lang w:val="en-US"/>
        </w:rPr>
        <w:t xml:space="preserve">the </w:t>
      </w:r>
      <w:r w:rsidR="00F3247C" w:rsidRPr="009D7554">
        <w:rPr>
          <w:rFonts w:ascii="Book Antiqua" w:hAnsi="Book Antiqua"/>
          <w:bCs/>
          <w:lang w:val="en-US"/>
        </w:rPr>
        <w:t xml:space="preserve">SUVmax and SUVmean </w:t>
      </w:r>
      <w:r w:rsidR="008A1E5D" w:rsidRPr="009D7554">
        <w:rPr>
          <w:rFonts w:ascii="Book Antiqua" w:hAnsi="Book Antiqua"/>
          <w:bCs/>
          <w:lang w:val="en-US"/>
        </w:rPr>
        <w:t xml:space="preserve">did </w:t>
      </w:r>
      <w:r w:rsidR="00F3247C" w:rsidRPr="009D7554">
        <w:rPr>
          <w:rFonts w:ascii="Book Antiqua" w:hAnsi="Book Antiqua"/>
          <w:bCs/>
          <w:lang w:val="en-US"/>
        </w:rPr>
        <w:t xml:space="preserve">not show any significant predictive ability. Lastoria </w:t>
      </w:r>
      <w:r w:rsidR="00BD1536" w:rsidRPr="009D7554">
        <w:rPr>
          <w:rFonts w:ascii="Book Antiqua" w:hAnsi="Book Antiqua"/>
          <w:bCs/>
          <w:i/>
          <w:lang w:val="en-US"/>
        </w:rPr>
        <w:t>et al</w:t>
      </w:r>
      <w:r w:rsidR="00A75298" w:rsidRPr="009D7554">
        <w:rPr>
          <w:rFonts w:ascii="Book Antiqua" w:hAnsi="Book Antiqua"/>
          <w:bCs/>
          <w:i/>
          <w:lang w:val="en-US"/>
        </w:rPr>
        <w:fldChar w:fldCharType="begin" w:fldLock="1"/>
      </w:r>
      <w:r w:rsidR="004308B4" w:rsidRPr="009D7554">
        <w:rPr>
          <w:rFonts w:ascii="Book Antiqua" w:hAnsi="Book Antiqua"/>
          <w:bCs/>
          <w:i/>
          <w:lang w:val="en-US"/>
        </w:rPr>
        <w:instrText>ADDIN CSL_CITATION {"citationItems":[{"id":"ITEM-1","itemData":{"DOI":"10.2967/jnumed.113.119909","ISSN":"1535-5667","PMID":"24136935","abstract":"UNLABELLED Markers predictive of treatment effect might be useful to improve the treatment of patients with metastatic solid tumors. Particularly, early changes in tumor metabolism measured by PET/CT with (18)F-FDG could predict the efficacy of treatment better than standard dimensional Response Evaluation Criteria In Solid Tumors (RECIST) response. METHODS We performed PET/CT evaluation before and after 1 cycle of treatment in patients with resectable liver metastases from colorectal cancer, within a phase 2 trial of preoperative FOLFIRI plus bevacizumab. For each lesion, the maximum standardized uptake value (SUV) and the total lesion glycolysis (TLG) were determined. On the basis of previous studies, a ≤ -50% change from baseline was used as a threshold for significant metabolic response for maximum SUV and, exploratively, for TLG. Standard RECIST response was assessed with CT after 3 mo of treatment. Pathologic response was assessed in patients undergoing resection. The association between metabolic and CT/RECIST and pathologic response was tested with the McNemar test; the ability to predict progression-free survival (PFS) and overall survival (OS) was tested with the Log-rank test and a multivariable Cox model. RESULTS Thirty-three patients were analyzed. After treatment, there was a notable decrease of all the parameters measured by PET/CT. Early metabolic PET/CT response (either SUV- or TLG-based) had a stronger, independent and statistically significant predictive value for PFS and OS than both CT/RECIST and pathologic response at multivariate analysis, although with different degrees of statistical significance. The predictive value of CT/RECIST response was not significant at multivariate analysis. CONCLUSION PET/CT response was significantly predictive of long-term outcomes during preoperative treatment of patients with liver metastases from colorectal cancer, and its predictive ability was higher than that of CT/RECIST response after 3 mo of treatment. Such findings need to be confirmed by larger prospective trials.","author":[{"dropping-particle":"","family":"Lastoria","given":"Secondo","non-dropping-particle":"","parse-names":false,"suffix":""},{"dropping-particle":"","family":"Piccirillo","given":"Maria Carmela","non-dropping-particle":"","parse-names":false,"suffix":""},{"dropping-particle":"","family":"Caracò","given":"Corradina","non-dropping-particle":"","parse-names":false,"suffix":""},{"dropping-particle":"","family":"Nasti","given":"Guglielmo","non-dropping-particle":"","parse-names":false,"suffix":""},{"dropping-particle":"","family":"Aloj","given":"Luigi","non-dropping-particle":"","parse-names":false,"suffix":""},{"dropping-particle":"","family":"Arrichiello","given":"Cecilia","non-dropping-particle":"","parse-names":false,"suffix":""},{"dropping-particle":"","family":"Lutio di Castelguidone","given":"Elisabetta","non-dropping-particle":"de","parse-names":false,"suffix":""},{"dropping-particle":"","family":"Tatangelo","given":"Fabiana","non-dropping-particle":"","parse-names":false,"suffix":""},{"dropping-particle":"","family":"Ottaiano","given":"Alessandro","non-dropping-particle":"","parse-names":false,"suffix":""},{"dropping-particle":"","family":"Iaffaioli","given":"Rosario Vincenzo","non-dropping-particle":"","parse-names":false,"suffix":""},{"dropping-particle":"","family":"Izzo","given":"Francesco","non-dropping-particle":"","parse-names":false,"suffix":""},{"dropping-particle":"","family":"Romano","given":"Giovanni","non-dropping-particle":"","parse-names":false,"suffix":""},{"dropping-particle":"","family":"Giordano","given":"Pasqualina","non-dropping-particle":"","parse-names":false,"suffix":""},{"dropping-particle":"","family":"Signoriello","given":"Simona","non-dropping-particle":"","parse-names":false,"suffix":""},{"dropping-particle":"","family":"Gallo","given":"Ciro","non-dropping-particle":"","parse-names":false,"suffix":""},{"dropping-particle":"","family":"Perrone","given":"Francesco","non-dropping-particle":"","parse-names":false,"suffix":""}],"container-title":"Journal of nuclear medicine : official publication, Society of Nuclear Medicine","id":"ITEM-1","issue":"12","issued":{"date-parts":[["2013","12"]]},"page":"2062-9","title":"Early PET/CT scan is more effective than RECIST in predicting outcome of patients with liver metastases from colorectal cancer treated with preoperative chemotherapy plus bevacizumab.","type":"article-journal","volume":"54"},"uris":["http://www.mendeley.com/documents/?uuid=164e3e27-bc26-4b25-a888-134eeffe3a15"]}],"mendeley":{"formattedCitation":"&lt;sup&gt;[111]&lt;/sup&gt;","plainTextFormattedCitation":"[111]","previouslyFormattedCitation":"&lt;sup&gt;[111]&lt;/sup&gt;"},"properties":{"noteIndex":0},"schema":"https://github.com/citation-style-language/schema/raw/master/csl-citation.json"}</w:instrText>
      </w:r>
      <w:r w:rsidR="00A75298" w:rsidRPr="009D7554">
        <w:rPr>
          <w:rFonts w:ascii="Book Antiqua" w:hAnsi="Book Antiqua"/>
          <w:bCs/>
          <w:i/>
          <w:lang w:val="en-US"/>
        </w:rPr>
        <w:fldChar w:fldCharType="separate"/>
      </w:r>
      <w:r w:rsidR="00DF4FB7" w:rsidRPr="009D7554">
        <w:rPr>
          <w:rFonts w:ascii="Book Antiqua" w:hAnsi="Book Antiqua"/>
          <w:bCs/>
          <w:vertAlign w:val="superscript"/>
          <w:lang w:val="en-US"/>
        </w:rPr>
        <w:t>[111]</w:t>
      </w:r>
      <w:r w:rsidR="00A75298" w:rsidRPr="009D7554">
        <w:rPr>
          <w:rFonts w:ascii="Book Antiqua" w:hAnsi="Book Antiqua"/>
          <w:bCs/>
          <w:i/>
          <w:lang w:val="en-US"/>
        </w:rPr>
        <w:fldChar w:fldCharType="end"/>
      </w:r>
      <w:r w:rsidR="00F3708F" w:rsidRPr="009D7554">
        <w:rPr>
          <w:rFonts w:ascii="Book Antiqua" w:hAnsi="Book Antiqua"/>
          <w:bCs/>
          <w:lang w:val="en-US"/>
        </w:rPr>
        <w:t xml:space="preserve"> performed a</w:t>
      </w:r>
      <w:r w:rsidR="00D31CC2" w:rsidRPr="009D7554">
        <w:rPr>
          <w:rFonts w:ascii="Book Antiqua" w:hAnsi="Book Antiqua"/>
          <w:bCs/>
          <w:lang w:val="en-US"/>
        </w:rPr>
        <w:t xml:space="preserve"> </w:t>
      </w:r>
      <w:r w:rsidR="00BD1536" w:rsidRPr="009D7554">
        <w:rPr>
          <w:rFonts w:ascii="Book Antiqua" w:hAnsi="Book Antiqua"/>
          <w:position w:val="10"/>
          <w:sz w:val="16"/>
          <w:szCs w:val="16"/>
          <w:lang w:val="en-US"/>
        </w:rPr>
        <w:t>18</w:t>
      </w:r>
      <w:r w:rsidR="00F3247C" w:rsidRPr="009D7554">
        <w:rPr>
          <w:rFonts w:ascii="Book Antiqua" w:hAnsi="Book Antiqua"/>
          <w:lang w:val="en-US"/>
        </w:rPr>
        <w:t>FDG-PET/CT evaluation before and after 1 cycle of</w:t>
      </w:r>
      <w:r w:rsidR="001F0F25" w:rsidRPr="009D7554">
        <w:rPr>
          <w:rFonts w:ascii="Book Antiqua" w:hAnsi="Book Antiqua"/>
          <w:lang w:val="en-US"/>
        </w:rPr>
        <w:t xml:space="preserve"> </w:t>
      </w:r>
      <w:r w:rsidR="00F3247C" w:rsidRPr="009D7554">
        <w:rPr>
          <w:rFonts w:ascii="Book Antiqua" w:hAnsi="Book Antiqua"/>
          <w:lang w:val="en-US"/>
        </w:rPr>
        <w:t>FOLFIRI plus bevacizumab treatment in patients with resectable CRLMs. Pathological response</w:t>
      </w:r>
      <w:r w:rsidR="008A1E5D" w:rsidRPr="009D7554">
        <w:rPr>
          <w:rFonts w:ascii="Book Antiqua" w:hAnsi="Book Antiqua"/>
          <w:lang w:val="en-US"/>
        </w:rPr>
        <w:t>s were</w:t>
      </w:r>
      <w:r w:rsidR="00F3247C" w:rsidRPr="009D7554">
        <w:rPr>
          <w:rFonts w:ascii="Book Antiqua" w:hAnsi="Book Antiqua"/>
          <w:lang w:val="en-US"/>
        </w:rPr>
        <w:t xml:space="preserve"> assessed in patients undergoing resection. For each lesion, a </w:t>
      </w:r>
      <w:r w:rsidR="008E467B" w:rsidRPr="009D7554">
        <w:rPr>
          <w:rFonts w:ascii="Book Antiqua" w:hAnsi="Book Antiqua"/>
          <w:lang w:val="en-US"/>
        </w:rPr>
        <w:t xml:space="preserve">≤ </w:t>
      </w:r>
      <w:r w:rsidR="003633D8" w:rsidRPr="009D7554">
        <w:rPr>
          <w:rFonts w:ascii="Book Antiqua" w:hAnsi="Book Antiqua"/>
          <w:lang w:val="en-US"/>
        </w:rPr>
        <w:t xml:space="preserve">-50% change </w:t>
      </w:r>
      <w:r w:rsidR="00225E7B" w:rsidRPr="009D7554">
        <w:rPr>
          <w:rFonts w:ascii="Book Antiqua" w:hAnsi="Book Antiqua"/>
          <w:lang w:val="en-US"/>
        </w:rPr>
        <w:t xml:space="preserve">in </w:t>
      </w:r>
      <w:r w:rsidR="003633D8" w:rsidRPr="009D7554">
        <w:rPr>
          <w:rFonts w:ascii="Book Antiqua" w:hAnsi="Book Antiqua"/>
          <w:lang w:val="en-US"/>
        </w:rPr>
        <w:t xml:space="preserve">the SUVmax and the TLG </w:t>
      </w:r>
      <w:r w:rsidR="00225E7B" w:rsidRPr="009D7554">
        <w:rPr>
          <w:rFonts w:ascii="Book Antiqua" w:hAnsi="Book Antiqua"/>
          <w:lang w:val="en-US"/>
        </w:rPr>
        <w:t xml:space="preserve">compared to </w:t>
      </w:r>
      <w:r w:rsidR="003633D8" w:rsidRPr="009D7554">
        <w:rPr>
          <w:rFonts w:ascii="Book Antiqua" w:hAnsi="Book Antiqua"/>
          <w:lang w:val="en-US"/>
        </w:rPr>
        <w:t xml:space="preserve">baseline was used as a threshold </w:t>
      </w:r>
      <w:r w:rsidR="00225E7B" w:rsidRPr="009D7554">
        <w:rPr>
          <w:rFonts w:ascii="Book Antiqua" w:hAnsi="Book Antiqua"/>
          <w:lang w:val="en-US"/>
        </w:rPr>
        <w:t xml:space="preserve">to indicate a </w:t>
      </w:r>
      <w:r w:rsidR="003633D8" w:rsidRPr="009D7554">
        <w:rPr>
          <w:rFonts w:ascii="Book Antiqua" w:hAnsi="Book Antiqua"/>
          <w:lang w:val="en-US"/>
        </w:rPr>
        <w:t xml:space="preserve">significant metabolic response. </w:t>
      </w:r>
      <w:r w:rsidR="00225E7B" w:rsidRPr="009D7554">
        <w:rPr>
          <w:rFonts w:ascii="Book Antiqua" w:hAnsi="Book Antiqua"/>
          <w:lang w:val="en-US"/>
        </w:rPr>
        <w:t>An e</w:t>
      </w:r>
      <w:r w:rsidR="003633D8" w:rsidRPr="009D7554">
        <w:rPr>
          <w:rFonts w:ascii="Book Antiqua" w:hAnsi="Book Antiqua"/>
          <w:lang w:val="en-US"/>
        </w:rPr>
        <w:t>arly metabolic PET/CT response had a strong</w:t>
      </w:r>
      <w:r w:rsidR="00225E7B" w:rsidRPr="009D7554">
        <w:rPr>
          <w:rFonts w:ascii="Book Antiqua" w:hAnsi="Book Antiqua"/>
          <w:lang w:val="en-US"/>
        </w:rPr>
        <w:t>er and more</w:t>
      </w:r>
      <w:r w:rsidR="003633D8" w:rsidRPr="009D7554">
        <w:rPr>
          <w:rFonts w:ascii="Book Antiqua" w:hAnsi="Book Antiqua"/>
          <w:lang w:val="en-US"/>
        </w:rPr>
        <w:t xml:space="preserve"> independent and statistically significant predictive value for PFS and OS </w:t>
      </w:r>
      <w:r w:rsidR="00225E7B" w:rsidRPr="009D7554">
        <w:rPr>
          <w:rFonts w:ascii="Book Antiqua" w:hAnsi="Book Antiqua"/>
          <w:lang w:val="en-US"/>
        </w:rPr>
        <w:t xml:space="preserve">compared to </w:t>
      </w:r>
      <w:r w:rsidR="003633D8" w:rsidRPr="009D7554">
        <w:rPr>
          <w:rFonts w:ascii="Book Antiqua" w:hAnsi="Book Antiqua"/>
          <w:lang w:val="en-US"/>
        </w:rPr>
        <w:t>both CT/RECIST and pathologic</w:t>
      </w:r>
      <w:r w:rsidR="00225E7B" w:rsidRPr="009D7554">
        <w:rPr>
          <w:rFonts w:ascii="Book Antiqua" w:hAnsi="Book Antiqua"/>
          <w:lang w:val="en-US"/>
        </w:rPr>
        <w:t>al</w:t>
      </w:r>
      <w:r w:rsidR="003633D8" w:rsidRPr="009D7554">
        <w:rPr>
          <w:rFonts w:ascii="Book Antiqua" w:hAnsi="Book Antiqua"/>
          <w:lang w:val="en-US"/>
        </w:rPr>
        <w:t xml:space="preserve"> response </w:t>
      </w:r>
      <w:r w:rsidR="00225E7B" w:rsidRPr="009D7554">
        <w:rPr>
          <w:rFonts w:ascii="Book Antiqua" w:hAnsi="Book Antiqua"/>
          <w:lang w:val="en-US"/>
        </w:rPr>
        <w:t xml:space="preserve">according to </w:t>
      </w:r>
      <w:r w:rsidR="003633D8" w:rsidRPr="009D7554">
        <w:rPr>
          <w:rFonts w:ascii="Book Antiqua" w:hAnsi="Book Antiqua"/>
          <w:lang w:val="en-US"/>
        </w:rPr>
        <w:t xml:space="preserve">multivariate analysis. Similarly, Lau </w:t>
      </w:r>
      <w:r w:rsidR="00BD1536" w:rsidRPr="009D7554">
        <w:rPr>
          <w:rFonts w:ascii="Book Antiqua" w:hAnsi="Book Antiqua"/>
          <w:bCs/>
          <w:i/>
          <w:lang w:val="en-US"/>
        </w:rPr>
        <w:t>et al</w:t>
      </w:r>
      <w:r w:rsidR="00A75298" w:rsidRPr="009D7554">
        <w:rPr>
          <w:rFonts w:ascii="Book Antiqua" w:hAnsi="Book Antiqua"/>
          <w:bCs/>
          <w:i/>
          <w:lang w:val="en-US"/>
        </w:rPr>
        <w:fldChar w:fldCharType="begin" w:fldLock="1"/>
      </w:r>
      <w:r w:rsidR="004308B4" w:rsidRPr="009D7554">
        <w:rPr>
          <w:rFonts w:ascii="Book Antiqua" w:hAnsi="Book Antiqua"/>
          <w:bCs/>
          <w:i/>
          <w:lang w:val="en-US"/>
        </w:rPr>
        <w:instrText>ADDIN CSL_CITATION {"citationItems":[{"id":"ITEM-1","itemData":{"DOI":"10.1245/s10434-014-3590-0","ISSN":"1534-4681","PMID":"24595797","abstract":"BACKGROUND Biological characteristics of colorectal cancer liver metastases (CRCLM) are increasingly recognized as major determinants of patient outcome. The purpose of this study was to evaluate the prognostic value of metabolic response to preoperative chemotherapy as quantified by (18)F-FDG positron emission tomography (PET) for patients undergoing liver resection of CRCLM. METHODS All patients (n = 80) who had staging PET before liver resection for CRCLM at Austin Health in Melbourne between 2004 and 2011 were included. Thirty-seven patients had PET and CT imaging before and after preoperative chemotherapy. Semiquantitative PET parameters-maximum standardized uptake variable (SUVmax), metabolic tumour volume (MTV), and total glycolytic volume (TGV)-were derived. Metabolic response was determined by the proportional change in PET parameters (∆SUVmax, ∆MTV, ∆TGV). Prognostic scores, CT RECIST response, and tumour regression grading (TRG) were also assessed. Correlation to recurrence-free (RFS) and overall survival (OS) was assessed using Kaplan-Meier survival and multivariate analysis. RESULTS Semiquantitative parameters on staging PET before chemotherapy were not predictive of prognosis, whereas all parameters after chemotherapy were prognostic for RFS and OS. Only ∆SUVmax was predictive of RFS and OS on multivariate analysis. Patients with metabolically responsive tumours had an OS of 86 % at 3 years vs. 38 % with nonresponsive or progressive tumours (p = 0.003). RECIST and TRG did not predict outcome. CONCLUSIONS Tumour metabolic response to preoperative chemotherapy as quantified by PET is predictive of prognosis in patients undergoing resection of CRCLM. Assessing metabolic response uniquely characterizes tumour biology, which may allow future optimization of patient and treatment selection.","author":[{"dropping-particle":"","family":"Lau","given":"Lawrence F","non-dropping-particle":"","parse-names":false,"suffix":""},{"dropping-particle":"","family":"Williams","given":"David S","non-dropping-particle":"","parse-names":false,"suffix":""},{"dropping-particle":"","family":"Lee","given":"Sze Ting","non-dropping-particle":"","parse-names":false,"suffix":""},{"dropping-particle":"","family":"Scott","given":"Andrew M","non-dropping-particle":"","parse-names":false,"suffix":""},{"dropping-particle":"","family":"Christophi","given":"Christopher","non-dropping-particle":"","parse-names":false,"suffix":""},{"dropping-particle":"","family":"Muralidharan","given":"Vijayaragavan","non-dropping-particle":"","parse-names":false,"suffix":""}],"container-title":"Annals of surgical oncology","id":"ITEM-1","issue":"7","issued":{"date-parts":[["2014","7"]]},"page":"2420-8","title":"Metabolic response to preoperative chemotherapy predicts prognosis for patients undergoing surgical resection of colorectal cancer metastatic to the liver.","type":"article-journal","volume":"21"},"uris":["http://www.mendeley.com/documents/?uuid=d399a1d3-1b65-498f-aa56-edf1ff9bf04f"]}],"mendeley":{"formattedCitation":"&lt;sup&gt;[112]&lt;/sup&gt;","plainTextFormattedCitation":"[112]","previouslyFormattedCitation":"&lt;sup&gt;[112]&lt;/sup&gt;"},"properties":{"noteIndex":0},"schema":"https://github.com/citation-style-language/schema/raw/master/csl-citation.json"}</w:instrText>
      </w:r>
      <w:r w:rsidR="00A75298" w:rsidRPr="009D7554">
        <w:rPr>
          <w:rFonts w:ascii="Book Antiqua" w:hAnsi="Book Antiqua"/>
          <w:bCs/>
          <w:i/>
          <w:lang w:val="en-US"/>
        </w:rPr>
        <w:fldChar w:fldCharType="separate"/>
      </w:r>
      <w:r w:rsidR="00DF4FB7" w:rsidRPr="009D7554">
        <w:rPr>
          <w:rFonts w:ascii="Book Antiqua" w:hAnsi="Book Antiqua"/>
          <w:bCs/>
          <w:vertAlign w:val="superscript"/>
          <w:lang w:val="en-US"/>
        </w:rPr>
        <w:t>[112]</w:t>
      </w:r>
      <w:r w:rsidR="00A75298" w:rsidRPr="009D7554">
        <w:rPr>
          <w:rFonts w:ascii="Book Antiqua" w:hAnsi="Book Antiqua"/>
          <w:bCs/>
          <w:i/>
          <w:lang w:val="en-US"/>
        </w:rPr>
        <w:fldChar w:fldCharType="end"/>
      </w:r>
      <w:r w:rsidR="003633D8" w:rsidRPr="009D7554">
        <w:rPr>
          <w:rFonts w:ascii="Book Antiqua" w:hAnsi="Book Antiqua"/>
          <w:bCs/>
          <w:i/>
          <w:lang w:val="en-US"/>
        </w:rPr>
        <w:t xml:space="preserve"> </w:t>
      </w:r>
      <w:r w:rsidR="00BD1536" w:rsidRPr="009D7554">
        <w:rPr>
          <w:rFonts w:ascii="Book Antiqua" w:hAnsi="Book Antiqua"/>
          <w:bCs/>
          <w:lang w:val="en-US"/>
        </w:rPr>
        <w:t xml:space="preserve">investigated the prognostic value of </w:t>
      </w:r>
      <w:r w:rsidR="00BD1536" w:rsidRPr="009D7554">
        <w:rPr>
          <w:rFonts w:ascii="Book Antiqua" w:hAnsi="Book Antiqua"/>
          <w:position w:val="10"/>
          <w:sz w:val="16"/>
          <w:szCs w:val="16"/>
          <w:lang w:val="en-US"/>
        </w:rPr>
        <w:t>18</w:t>
      </w:r>
      <w:r w:rsidR="00F3247C" w:rsidRPr="009D7554">
        <w:rPr>
          <w:rFonts w:ascii="Book Antiqua" w:hAnsi="Book Antiqua"/>
          <w:bCs/>
          <w:lang w:val="en-US"/>
        </w:rPr>
        <w:t xml:space="preserve">FDG-PET/CT before and after preoperative chemotherapy in patients undergoing </w:t>
      </w:r>
      <w:r w:rsidR="00225E7B" w:rsidRPr="009D7554">
        <w:rPr>
          <w:rFonts w:ascii="Book Antiqua" w:hAnsi="Book Antiqua"/>
          <w:bCs/>
          <w:lang w:val="en-US"/>
        </w:rPr>
        <w:t xml:space="preserve">the </w:t>
      </w:r>
      <w:r w:rsidR="00F3247C" w:rsidRPr="009D7554">
        <w:rPr>
          <w:rFonts w:ascii="Book Antiqua" w:hAnsi="Book Antiqua"/>
          <w:bCs/>
          <w:lang w:val="en-US"/>
        </w:rPr>
        <w:t xml:space="preserve">liver resection of CRLMs. SUVmax, MTV, </w:t>
      </w:r>
      <w:r w:rsidR="00225E7B" w:rsidRPr="009D7554">
        <w:rPr>
          <w:rFonts w:ascii="Book Antiqua" w:hAnsi="Book Antiqua"/>
          <w:bCs/>
          <w:lang w:val="en-US"/>
        </w:rPr>
        <w:t xml:space="preserve">and </w:t>
      </w:r>
      <w:r w:rsidR="00F3247C" w:rsidRPr="009D7554">
        <w:rPr>
          <w:rFonts w:ascii="Book Antiqua" w:hAnsi="Book Antiqua"/>
          <w:bCs/>
          <w:lang w:val="en-US"/>
        </w:rPr>
        <w:t xml:space="preserve">TGV, their changes (DSUVmax, DMTV, DTGV) and their correlation </w:t>
      </w:r>
      <w:r w:rsidR="00225E7B" w:rsidRPr="009D7554">
        <w:rPr>
          <w:rFonts w:ascii="Book Antiqua" w:hAnsi="Book Antiqua"/>
          <w:bCs/>
          <w:lang w:val="en-US"/>
        </w:rPr>
        <w:t xml:space="preserve">with </w:t>
      </w:r>
      <w:r w:rsidR="00F3247C" w:rsidRPr="009D7554">
        <w:rPr>
          <w:rFonts w:ascii="Book Antiqua" w:hAnsi="Book Antiqua"/>
          <w:bCs/>
          <w:lang w:val="en-US"/>
        </w:rPr>
        <w:t xml:space="preserve">RFS and OS were evaluated. DSUVmax was the only parameter predictive of RFS and OS </w:t>
      </w:r>
      <w:r w:rsidR="00225E7B" w:rsidRPr="009D7554">
        <w:rPr>
          <w:rFonts w:ascii="Book Antiqua" w:hAnsi="Book Antiqua"/>
          <w:bCs/>
          <w:lang w:val="en-US"/>
        </w:rPr>
        <w:t xml:space="preserve">according to </w:t>
      </w:r>
      <w:r w:rsidR="00F3247C" w:rsidRPr="009D7554">
        <w:rPr>
          <w:rFonts w:ascii="Book Antiqua" w:hAnsi="Book Antiqua"/>
          <w:bCs/>
          <w:lang w:val="en-US"/>
        </w:rPr>
        <w:t xml:space="preserve">multivariate analysis. Patients with metabolically responsive tumors had an OS of 86% at 3 years vs 38% </w:t>
      </w:r>
      <w:r w:rsidR="00225E7B" w:rsidRPr="009D7554">
        <w:rPr>
          <w:rFonts w:ascii="Book Antiqua" w:hAnsi="Book Antiqua"/>
          <w:bCs/>
          <w:lang w:val="en-US"/>
        </w:rPr>
        <w:t xml:space="preserve">for </w:t>
      </w:r>
      <w:r w:rsidR="00F3247C" w:rsidRPr="009D7554">
        <w:rPr>
          <w:rFonts w:ascii="Book Antiqua" w:hAnsi="Book Antiqua"/>
          <w:bCs/>
          <w:lang w:val="en-US"/>
        </w:rPr>
        <w:t xml:space="preserve">patients with </w:t>
      </w:r>
      <w:r w:rsidR="009A70D4" w:rsidRPr="009D7554">
        <w:rPr>
          <w:rFonts w:ascii="Book Antiqua" w:hAnsi="Book Antiqua"/>
          <w:bCs/>
          <w:lang w:val="en-US"/>
        </w:rPr>
        <w:t>nonr</w:t>
      </w:r>
      <w:r w:rsidR="00F3247C" w:rsidRPr="009D7554">
        <w:rPr>
          <w:rFonts w:ascii="Book Antiqua" w:hAnsi="Book Antiqua"/>
          <w:bCs/>
          <w:lang w:val="en-US"/>
        </w:rPr>
        <w:t xml:space="preserve">esponding lesions. Gulec </w:t>
      </w:r>
      <w:r w:rsidR="00650E5D"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{"citationItems":[{"id":"ITEM-1","itemData":{"DOI":"10.1007/s00259-011-1758-4","ISSN":"1619-7089","PMID":"21461737","abstract":"PURPOSE Functional tumor volume (FTV) and total lesion glycolysis (TLG) are measures of metabolic activity of tumors determined by fluorodeoxyglucose (FDG) positron emission tomography (PET)/CT images. These parameters could potentially have clinical value in response to treatment evaluation and disease prognostication. The objectives of this study were to investigate the relationship between functional tumor parameters (FTV and TLG) and clinical outcomes in patients with colorectal cancer liver metastases (CRCLM) undergoing (90)Y-resin microsphere selective internal radiation therapy (SIRT) (SIR-Spheres®, Sirtex Medical Limited, Lane Cove, NSW, Australia). METHODS FDG PET/CT studies of 20 patients with unresectable CRCLM who underwent (90)Y SIRT under a phase II clinical trial were analyzed. FTV and TLG were calculated using PET VCAR (GE Healthcare, Milwaukee, WI, USA) on pretreatment and 4-week posttreatment scans. The effects of pretreatment and posttreatment functional tumor activity on patient survival were evaluated using Kaplan-Meier survival curves. RESULTS The median survival in the study group was 14.8 months (range 2.0-27.7 months). The median survival for patients with pretreatment FTV values of above and below 200 cc were 11.2 and 26.9 months, respectively (p &lt; 0.05). The median survival for patients with 4-week posttreatment FTV values of above and below 30 cc were 10.9 and 26.9 months, respectively (p &lt; 0.05). The median survival for patients with pretreatment TLG values of above and below 600 g were 11.2 and 26.9 months, respectively (p &lt; 0.05). The median survival for patients with 4-week posttreatment TLG values of above and below 100 g were 10.9 and 26.9 months, respectively (p &lt; 0.05). CONCLUSION Pretreatment and posttreatment FTV and TLG showed very strong association with survival. These values can be useful quantitative criteria for patient selection and disease prognostication when (90)Y SIRT is contemplated in patients with CRCLM.","author":[{"dropping-particle":"","family":"Gulec","given":"Seza A","non-dropping-particle":"","parse-names":false,"suffix":""},{"dropping-particle":"","family":"Suthar","given":"Rekha R","non-dropping-particle":"","parse-names":false,"suffix":""},{"dropping-particle":"","family":"Barot","given":"Tushar C","non-dropping-particle":"","parse-names":false,"suffix":""},{"dropping-particle":"","family":"Pennington","given":"Kenneth","non-dropping-particle":"","parse-names":false,"suffix":""}],"container-title":"European journal of nuclear medicine and molecular imaging","id":"ITEM-1","issue":"7","issued":{"date-parts":[["2011","7"]]},"page":"1289-95","title":"The prognostic value of functional tumor volume and total lesion glycolysis in patients with colorectal cancer liver metastases undergoing 90Y selective internal radiation therapy plus chemotherapy.","type":"article-journal","volume":"38"},"uris":["http://www.mendeley.com/documents/?uuid=24f8d47b-b9c7-4922-9b64-421950975e41"]}],"mendeley":{"formattedCitation":"&lt;sup&gt;[113]&lt;/sup&gt;","plainTextFormattedCitation":"[113]","previouslyFormattedCitation":"&lt;sup&gt;[113]&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[113]</w:t>
      </w:r>
      <w:r w:rsidR="00A75298" w:rsidRPr="009D7554">
        <w:rPr>
          <w:rFonts w:ascii="Book Antiqua" w:hAnsi="Book Antiqua"/>
          <w:i/>
          <w:lang w:val="en-US"/>
        </w:rPr>
        <w:fldChar w:fldCharType="end"/>
      </w:r>
      <w:r w:rsidR="00F3247C" w:rsidRPr="009D7554">
        <w:rPr>
          <w:rFonts w:ascii="Book Antiqua" w:hAnsi="Book Antiqua"/>
          <w:i/>
          <w:lang w:val="en-US"/>
        </w:rPr>
        <w:t xml:space="preserve"> </w:t>
      </w:r>
      <w:r w:rsidR="00650E5D" w:rsidRPr="009D7554">
        <w:rPr>
          <w:rFonts w:ascii="Book Antiqua" w:hAnsi="Book Antiqua"/>
          <w:bCs/>
          <w:lang w:val="en-US"/>
        </w:rPr>
        <w:t xml:space="preserve">investigated the relationship between MTV and TLG </w:t>
      </w:r>
      <w:r w:rsidR="00225E7B" w:rsidRPr="009D7554">
        <w:rPr>
          <w:rFonts w:ascii="Book Antiqua" w:hAnsi="Book Antiqua"/>
          <w:bCs/>
          <w:lang w:val="en-US"/>
        </w:rPr>
        <w:t xml:space="preserve">and </w:t>
      </w:r>
      <w:r w:rsidR="00650E5D" w:rsidRPr="009D7554">
        <w:rPr>
          <w:rFonts w:ascii="Book Antiqua" w:hAnsi="Book Antiqua"/>
          <w:bCs/>
          <w:lang w:val="en-US"/>
        </w:rPr>
        <w:t>clinical outcomes in patients with unresectable CRLMs undergoing</w:t>
      </w:r>
      <w:r w:rsidR="00225E7B" w:rsidRPr="009D7554">
        <w:rPr>
          <w:rFonts w:ascii="Book Antiqua" w:hAnsi="Book Antiqua"/>
          <w:bCs/>
          <w:lang w:val="en-US"/>
        </w:rPr>
        <w:t xml:space="preserve"> treatment with</w:t>
      </w:r>
      <w:r w:rsidR="00650E5D" w:rsidRPr="009D7554">
        <w:rPr>
          <w:rFonts w:ascii="Book Antiqua" w:hAnsi="Book Antiqua"/>
          <w:bCs/>
          <w:lang w:val="en-US"/>
        </w:rPr>
        <w:t xml:space="preserve"> </w:t>
      </w:r>
      <w:r w:rsidR="00650E5D" w:rsidRPr="009D7554">
        <w:rPr>
          <w:rFonts w:ascii="Book Antiqua" w:hAnsi="Book Antiqua"/>
          <w:position w:val="10"/>
          <w:sz w:val="16"/>
          <w:szCs w:val="16"/>
          <w:lang w:val="en-US"/>
        </w:rPr>
        <w:t>90</w:t>
      </w:r>
      <w:r w:rsidR="00650E5D" w:rsidRPr="009D7554">
        <w:rPr>
          <w:rFonts w:ascii="Book Antiqua" w:hAnsi="Book Antiqua"/>
          <w:lang w:val="en-US"/>
        </w:rPr>
        <w:t xml:space="preserve">Y resin </w:t>
      </w:r>
      <w:r w:rsidR="001F0F25" w:rsidRPr="009D7554">
        <w:rPr>
          <w:rFonts w:ascii="Book Antiqua" w:hAnsi="Book Antiqua"/>
          <w:lang w:val="en-US"/>
        </w:rPr>
        <w:t>microspheres</w:t>
      </w:r>
      <w:r w:rsidR="00650E5D" w:rsidRPr="009D7554">
        <w:rPr>
          <w:rFonts w:ascii="Book Antiqua" w:hAnsi="Book Antiqua"/>
          <w:lang w:val="en-US"/>
        </w:rPr>
        <w:t xml:space="preserve">. The </w:t>
      </w:r>
      <w:r w:rsidR="001F0F25" w:rsidRPr="009D7554">
        <w:rPr>
          <w:rFonts w:ascii="Book Antiqua" w:hAnsi="Book Antiqua"/>
          <w:lang w:val="en-US"/>
        </w:rPr>
        <w:t>authors</w:t>
      </w:r>
      <w:r w:rsidR="00650E5D" w:rsidRPr="009D7554">
        <w:rPr>
          <w:rFonts w:ascii="Book Antiqua" w:hAnsi="Book Antiqua"/>
          <w:lang w:val="en-US"/>
        </w:rPr>
        <w:t xml:space="preserve"> observed that MTV values below </w:t>
      </w:r>
      <w:r w:rsidR="001F0F25" w:rsidRPr="009D7554">
        <w:rPr>
          <w:rFonts w:ascii="Book Antiqua" w:hAnsi="Book Antiqua"/>
          <w:lang w:val="en-US"/>
        </w:rPr>
        <w:t>200 cc</w:t>
      </w:r>
      <w:r w:rsidR="00650E5D" w:rsidRPr="009D7554">
        <w:rPr>
          <w:rFonts w:ascii="Book Antiqua" w:hAnsi="Book Antiqua"/>
          <w:lang w:val="en-US"/>
        </w:rPr>
        <w:t xml:space="preserve"> </w:t>
      </w:r>
      <w:r w:rsidR="00225E7B" w:rsidRPr="009D7554">
        <w:rPr>
          <w:rFonts w:ascii="Book Antiqua" w:hAnsi="Book Antiqua"/>
          <w:lang w:val="en-US"/>
        </w:rPr>
        <w:t xml:space="preserve">during </w:t>
      </w:r>
      <w:r w:rsidR="009A70D4" w:rsidRPr="009D7554">
        <w:rPr>
          <w:rFonts w:ascii="Book Antiqua" w:hAnsi="Book Antiqua"/>
          <w:lang w:val="en-US"/>
        </w:rPr>
        <w:t>pretreatment</w:t>
      </w:r>
      <w:r w:rsidR="00650E5D" w:rsidRPr="009D7554">
        <w:rPr>
          <w:rFonts w:ascii="Book Antiqua" w:hAnsi="Book Antiqua"/>
          <w:lang w:val="en-US"/>
        </w:rPr>
        <w:t xml:space="preserve"> PET/TC and below 30 cc </w:t>
      </w:r>
      <w:r w:rsidR="00225E7B" w:rsidRPr="009D7554">
        <w:rPr>
          <w:rFonts w:ascii="Book Antiqua" w:hAnsi="Book Antiqua"/>
          <w:lang w:val="en-US"/>
        </w:rPr>
        <w:t xml:space="preserve">during </w:t>
      </w:r>
      <w:r w:rsidR="009A70D4" w:rsidRPr="009D7554">
        <w:rPr>
          <w:rFonts w:ascii="Book Antiqua" w:hAnsi="Book Antiqua"/>
          <w:lang w:val="en-US"/>
        </w:rPr>
        <w:t>postt</w:t>
      </w:r>
      <w:r w:rsidR="00650E5D" w:rsidRPr="009D7554">
        <w:rPr>
          <w:rFonts w:ascii="Book Antiqua" w:hAnsi="Book Antiqua"/>
          <w:lang w:val="en-US"/>
        </w:rPr>
        <w:t xml:space="preserve">reatment PET/CT </w:t>
      </w:r>
      <w:r w:rsidR="00225E7B" w:rsidRPr="009D7554">
        <w:rPr>
          <w:rFonts w:ascii="Book Antiqua" w:hAnsi="Book Antiqua"/>
          <w:lang w:val="en-US"/>
        </w:rPr>
        <w:t xml:space="preserve">at 4 wk </w:t>
      </w:r>
      <w:r w:rsidR="00650E5D" w:rsidRPr="009D7554">
        <w:rPr>
          <w:rFonts w:ascii="Book Antiqua" w:hAnsi="Book Antiqua"/>
          <w:lang w:val="en-US"/>
        </w:rPr>
        <w:t xml:space="preserve">were </w:t>
      </w:r>
      <w:r w:rsidR="00225E7B" w:rsidRPr="009D7554">
        <w:rPr>
          <w:rFonts w:ascii="Book Antiqua" w:hAnsi="Book Antiqua"/>
          <w:lang w:val="en-US"/>
        </w:rPr>
        <w:t xml:space="preserve">significantly </w:t>
      </w:r>
      <w:r w:rsidR="00650E5D" w:rsidRPr="009D7554">
        <w:rPr>
          <w:rFonts w:ascii="Book Antiqua" w:hAnsi="Book Antiqua"/>
          <w:lang w:val="en-US"/>
        </w:rPr>
        <w:t xml:space="preserve">associated with a longer median survival compared to MTV values above 200 </w:t>
      </w:r>
      <w:r w:rsidR="00225E7B" w:rsidRPr="009D7554">
        <w:rPr>
          <w:rFonts w:ascii="Book Antiqua" w:hAnsi="Book Antiqua"/>
          <w:lang w:val="en-US"/>
        </w:rPr>
        <w:t xml:space="preserve">during the </w:t>
      </w:r>
      <w:r w:rsidR="009A70D4" w:rsidRPr="009D7554">
        <w:rPr>
          <w:rFonts w:ascii="Book Antiqua" w:hAnsi="Book Antiqua"/>
          <w:lang w:val="en-US"/>
        </w:rPr>
        <w:t>pretreatment</w:t>
      </w:r>
      <w:r w:rsidR="00650E5D" w:rsidRPr="009D7554">
        <w:rPr>
          <w:rFonts w:ascii="Book Antiqua" w:hAnsi="Book Antiqua"/>
          <w:lang w:val="en-US"/>
        </w:rPr>
        <w:t xml:space="preserve"> exam and 30 cc </w:t>
      </w:r>
      <w:r w:rsidR="00225E7B" w:rsidRPr="009D7554">
        <w:rPr>
          <w:rFonts w:ascii="Book Antiqua" w:hAnsi="Book Antiqua"/>
          <w:lang w:val="en-US"/>
        </w:rPr>
        <w:t xml:space="preserve">during the </w:t>
      </w:r>
      <w:r w:rsidR="009A70D4" w:rsidRPr="009D7554">
        <w:rPr>
          <w:rFonts w:ascii="Book Antiqua" w:hAnsi="Book Antiqua"/>
          <w:lang w:val="en-US"/>
        </w:rPr>
        <w:t>postt</w:t>
      </w:r>
      <w:r w:rsidR="00650E5D" w:rsidRPr="009D7554">
        <w:rPr>
          <w:rFonts w:ascii="Book Antiqua" w:hAnsi="Book Antiqua"/>
          <w:lang w:val="en-US"/>
        </w:rPr>
        <w:t>reatment exam</w:t>
      </w:r>
      <w:r w:rsidR="00225E7B" w:rsidRPr="009D7554">
        <w:rPr>
          <w:rFonts w:ascii="Book Antiqua" w:hAnsi="Book Antiqua"/>
          <w:lang w:val="en-US"/>
        </w:rPr>
        <w:t xml:space="preserve"> at 4 wk</w:t>
      </w:r>
      <w:r w:rsidR="00650E5D" w:rsidRPr="009D7554">
        <w:rPr>
          <w:rFonts w:ascii="Book Antiqua" w:hAnsi="Book Antiqua"/>
          <w:lang w:val="en-US"/>
        </w:rPr>
        <w:t xml:space="preserve">. Similar results were found </w:t>
      </w:r>
      <w:r w:rsidR="0073561B" w:rsidRPr="009D7554">
        <w:rPr>
          <w:rFonts w:ascii="Book Antiqua" w:hAnsi="Book Antiqua"/>
          <w:lang w:val="en-US"/>
        </w:rPr>
        <w:t xml:space="preserve">for </w:t>
      </w:r>
      <w:r w:rsidR="00650E5D" w:rsidRPr="009D7554">
        <w:rPr>
          <w:rFonts w:ascii="Book Antiqua" w:hAnsi="Book Antiqua"/>
          <w:lang w:val="en-US"/>
        </w:rPr>
        <w:t xml:space="preserve">TLG values below and above </w:t>
      </w:r>
      <w:smartTag w:uri="urn:schemas-microsoft-com:office:smarttags" w:element="metricconverter">
        <w:smartTagPr>
          <w:attr w:name="ProductID" w:val="600 g"/>
        </w:smartTagPr>
        <w:r w:rsidR="00650E5D" w:rsidRPr="009D7554">
          <w:rPr>
            <w:rFonts w:ascii="Book Antiqua" w:hAnsi="Book Antiqua"/>
            <w:lang w:val="en-US"/>
          </w:rPr>
          <w:t>600 g</w:t>
        </w:r>
      </w:smartTag>
      <w:r w:rsidR="00650E5D" w:rsidRPr="009D7554">
        <w:rPr>
          <w:rFonts w:ascii="Book Antiqua" w:hAnsi="Book Antiqua"/>
          <w:lang w:val="en-US"/>
        </w:rPr>
        <w:t xml:space="preserve"> </w:t>
      </w:r>
      <w:r w:rsidR="0073561B" w:rsidRPr="009D7554">
        <w:rPr>
          <w:rFonts w:ascii="Book Antiqua" w:hAnsi="Book Antiqua"/>
          <w:lang w:val="en-US"/>
        </w:rPr>
        <w:t xml:space="preserve">during </w:t>
      </w:r>
      <w:r w:rsidR="001F0F25" w:rsidRPr="009D7554">
        <w:rPr>
          <w:rFonts w:ascii="Book Antiqua" w:hAnsi="Book Antiqua"/>
          <w:lang w:val="en-US"/>
        </w:rPr>
        <w:t xml:space="preserve">the </w:t>
      </w:r>
      <w:r w:rsidR="009A70D4" w:rsidRPr="009D7554">
        <w:rPr>
          <w:rFonts w:ascii="Book Antiqua" w:hAnsi="Book Antiqua"/>
          <w:lang w:val="en-US"/>
        </w:rPr>
        <w:t>pretreatment</w:t>
      </w:r>
      <w:r w:rsidR="00650E5D" w:rsidRPr="009D7554">
        <w:rPr>
          <w:rFonts w:ascii="Book Antiqua" w:hAnsi="Book Antiqua"/>
          <w:lang w:val="en-US"/>
        </w:rPr>
        <w:t xml:space="preserve"> exam and below and above </w:t>
      </w:r>
      <w:smartTag w:uri="urn:schemas-microsoft-com:office:smarttags" w:element="metricconverter">
        <w:smartTagPr>
          <w:attr w:name="ProductID" w:val="100 g"/>
        </w:smartTagPr>
        <w:r w:rsidR="00650E5D" w:rsidRPr="009D7554">
          <w:rPr>
            <w:rFonts w:ascii="Book Antiqua" w:hAnsi="Book Antiqua"/>
            <w:lang w:val="en-US"/>
          </w:rPr>
          <w:t>100 g</w:t>
        </w:r>
      </w:smartTag>
      <w:r w:rsidR="00650E5D" w:rsidRPr="009D7554">
        <w:rPr>
          <w:rFonts w:ascii="Book Antiqua" w:hAnsi="Book Antiqua"/>
          <w:lang w:val="en-US"/>
        </w:rPr>
        <w:t xml:space="preserve"> </w:t>
      </w:r>
      <w:r w:rsidR="0073561B" w:rsidRPr="009D7554">
        <w:rPr>
          <w:rFonts w:ascii="Book Antiqua" w:hAnsi="Book Antiqua"/>
          <w:lang w:val="en-US"/>
        </w:rPr>
        <w:t xml:space="preserve">during </w:t>
      </w:r>
      <w:r w:rsidR="001F0F25" w:rsidRPr="009D7554">
        <w:rPr>
          <w:rFonts w:ascii="Book Antiqua" w:hAnsi="Book Antiqua"/>
          <w:lang w:val="en-US"/>
        </w:rPr>
        <w:t xml:space="preserve">the </w:t>
      </w:r>
      <w:r w:rsidR="009A70D4" w:rsidRPr="009D7554">
        <w:rPr>
          <w:rFonts w:ascii="Book Antiqua" w:hAnsi="Book Antiqua"/>
          <w:lang w:val="en-US"/>
        </w:rPr>
        <w:t>postt</w:t>
      </w:r>
      <w:r w:rsidR="00650E5D" w:rsidRPr="009D7554">
        <w:rPr>
          <w:rFonts w:ascii="Book Antiqua" w:hAnsi="Book Antiqua"/>
          <w:lang w:val="en-US"/>
        </w:rPr>
        <w:t>reatment exam, respectively.</w:t>
      </w:r>
    </w:p>
    <w:p w:rsidR="00F3247C" w:rsidRPr="009D7554" w:rsidRDefault="003633D8" w:rsidP="008E467B">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bCs/>
        </w:rPr>
        <w:t xml:space="preserve">Giacomobono </w:t>
      </w:r>
      <w:r w:rsidR="003E31A8" w:rsidRPr="009D7554">
        <w:rPr>
          <w:rFonts w:ascii="Book Antiqua" w:hAnsi="Book Antiqua"/>
          <w:i/>
        </w:rPr>
        <w:t>et al</w:t>
      </w:r>
      <w:r w:rsidR="00A75298" w:rsidRPr="009D7554">
        <w:rPr>
          <w:rFonts w:ascii="Book Antiqua" w:hAnsi="Book Antiqua"/>
          <w:i/>
          <w:lang w:val="en-US"/>
        </w:rPr>
        <w:fldChar w:fldCharType="begin" w:fldLock="1"/>
      </w:r>
      <w:r w:rsidR="004308B4" w:rsidRPr="009D7554">
        <w:rPr>
          <w:rFonts w:ascii="Book Antiqua" w:hAnsi="Book Antiqua"/>
          <w:i/>
        </w:rPr>
        <w:instrText>ADDIN CSL_CITATION {"citationItems":[{"id":"ITEM-1","itemData":{"DOI":"10.1007/s00384-013-1747-0","ISSN":"1432-1262","PMID":"23846517","abstract":"PURPOSE We evaluated the role of quantitative assessment by maximum standardized uptake value (SUVmax) on F-18 fluorodeoxyglucose [F-18]FDG positron emission tomography/computed tomography (PET/CT) in stratifying colorectal cancer (CRC) patients with unexplained carcinoembryonic antigen (CEA) rise after surgical curative resection. MATERIAL AND METHODS Forty asymptomatic patients (mean age, 64 ± 12 years) with previous CRC and current serum CEA levels &gt;5 ng/ml underwent [F-18] FDG PET/CT 13 ± 3 months after complete surgical resection. The SUVmax was registered on anastomosis and peri-anastomotic tissue lesions, if present. The patients were followed for 24 ± 9 months thereafter. Re-intervention, evidence of newly discovered distant metastases, and death were recognized as main events and constituted surrogate end points. The receiver-operator-curve (ROC) analysis was performed to estimate the optimal SUVmax cut-off to predict patients at high risk of main events. PET/CT results were then related to disease outcome (overall survival; OS). RESULTS The mean SUVmax at the anastomotic site was 6.2 ± 3 (range 2.6-15). At multivariate logistic regression analysis, the anastomotic SUVmax remained as the only significant contributor to the prediction of the events (p = 0.004; OR 1.97). The ROC analysis recognized that the optimal threshold of SUVmax to differentiate patients was 5.7. A worse OS was observed in patients presenting with a SUVmax greater than 5.7 as compared to those having lesser (median survival: 16 vs. 31 months; p = 0.002). CONCLUSIONS The quantitative assessment by SUVmax on [F-18]FDG PET/CT may be helpful in patients presenting with unexplained CEA rise after curative resection of CRC, by identifying those at risk of main events.","author":[{"dropping-particle":"","family":"Giacomobono","given":"S","non-dropping-particle":"","parse-names":false,"suffix":""},{"dropping-particle":"","family":"Gallicchio","given":"R","non-dropping-particle":"","parse-names":false,"suffix":""},{"dropping-particle":"","family":"Capacchione","given":"D","non-dropping-particle":"","parse-names":false,"suffix":""},{"dropping-particle":"","family":"Nardelli","given":"A","non-dropping-particle":"","parse-names":false,"suffix":""},{"dropping-particle":"","family":"Gattozzi","given":"D","non-dropping-particle":"","parse-names":false,"suffix":""},{"dropping-particle":"","family":"Lettini","given":"G","non-dropping-particle":"","parse-names":false,"suffix":""},{"dropping-particle":"","family":"Molinari","given":"L","non-dropping-particle":"","parse-names":false,"suffix":""},{"dropping-particle":"","family":"Mainenti","given":"P","non-dropping-particle":"","parse-names":false,"suffix":""},{"dropping-particle":"","family":"Cammarota","given":"A","non-dropping-particle":"","parse-names":false,"suffix":""},{"dropping-particle":"","family":"Storto","given":"G","non-dropping-particle":"","parse-names":false,"suffix":""}],"container-title":"International journal of colorectal disease","id":"ITEM-1","issue":"12","issued":{"date-parts":[["2013","12"]]},"page":"1699-705","title":"F-18 FDG PET/CT in the assessment of patients with unexplained CEA rise after surgical curative resection for colorectal cancer.","type":"article-journal","volume":"28"},"uris":["http://www.mendeley.com/documents/?uuid=1922e63e-108f-4037-b2d5-fd4fe84cc8cc"]}],"mendeley":{"formattedCitation":"&lt;sup&gt;[114]&lt;/sup&gt;","plainTextFormattedCitation":"[114]","previouslyFormattedCitation":"&lt;sup&gt;[114]&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rPr>
        <w:t>[114]</w:t>
      </w:r>
      <w:r w:rsidR="00A75298" w:rsidRPr="009D7554">
        <w:rPr>
          <w:rFonts w:ascii="Book Antiqua" w:hAnsi="Book Antiqua"/>
          <w:i/>
          <w:lang w:val="en-US"/>
        </w:rPr>
        <w:fldChar w:fldCharType="end"/>
      </w:r>
      <w:r w:rsidRPr="009D7554">
        <w:rPr>
          <w:rFonts w:ascii="Book Antiqua" w:hAnsi="Book Antiqua"/>
          <w:i/>
        </w:rPr>
        <w:t xml:space="preserve"> </w:t>
      </w:r>
      <w:r w:rsidR="003E31A8" w:rsidRPr="009D7554">
        <w:rPr>
          <w:rFonts w:ascii="Book Antiqua" w:hAnsi="Book Antiqua"/>
        </w:rPr>
        <w:t xml:space="preserve">evaluated the </w:t>
      </w:r>
      <w:r w:rsidR="0073561B" w:rsidRPr="009D7554">
        <w:rPr>
          <w:rFonts w:ascii="Book Antiqua" w:hAnsi="Book Antiqua"/>
        </w:rPr>
        <w:t xml:space="preserve">value </w:t>
      </w:r>
      <w:r w:rsidR="003E31A8" w:rsidRPr="009D7554">
        <w:rPr>
          <w:rFonts w:ascii="Book Antiqua" w:hAnsi="Book Antiqua"/>
        </w:rPr>
        <w:t xml:space="preserve">of SUVmax </w:t>
      </w:r>
      <w:r w:rsidR="0073561B" w:rsidRPr="009D7554">
        <w:rPr>
          <w:rFonts w:ascii="Book Antiqua" w:hAnsi="Book Antiqua"/>
        </w:rPr>
        <w:t xml:space="preserve">for </w:t>
      </w:r>
      <w:r w:rsidR="003E31A8" w:rsidRPr="009D7554">
        <w:rPr>
          <w:rFonts w:ascii="Book Antiqua" w:hAnsi="Book Antiqua"/>
        </w:rPr>
        <w:t xml:space="preserve">stratifying CRC patients with unexplained CEA </w:t>
      </w:r>
      <w:r w:rsidR="001F0F25" w:rsidRPr="009D7554">
        <w:rPr>
          <w:rFonts w:ascii="Book Antiqua" w:hAnsi="Book Antiqua"/>
        </w:rPr>
        <w:t>increases</w:t>
      </w:r>
      <w:r w:rsidR="003E31A8" w:rsidRPr="009D7554">
        <w:rPr>
          <w:rFonts w:ascii="Book Antiqua" w:hAnsi="Book Antiqua"/>
        </w:rPr>
        <w:t xml:space="preserve"> and FDG uptake at the site of anastomosis after surgical curative resection.</w:t>
      </w:r>
      <w:r w:rsidR="0073561B" w:rsidRPr="009D7554">
        <w:rPr>
          <w:rFonts w:ascii="Book Antiqua" w:hAnsi="Book Antiqua"/>
        </w:rPr>
        <w:t xml:space="preserve"> </w:t>
      </w:r>
      <w:r w:rsidR="0073561B" w:rsidRPr="009D7554">
        <w:rPr>
          <w:rFonts w:ascii="Book Antiqua" w:hAnsi="Book Antiqua"/>
          <w:lang w:val="en-US"/>
        </w:rPr>
        <w:t>N</w:t>
      </w:r>
      <w:r w:rsidR="009A70D4" w:rsidRPr="009D7554">
        <w:rPr>
          <w:rFonts w:ascii="Book Antiqua" w:hAnsi="Book Antiqua"/>
          <w:lang w:val="en-US"/>
        </w:rPr>
        <w:t>ons</w:t>
      </w:r>
      <w:r w:rsidR="003E31A8" w:rsidRPr="009D7554">
        <w:rPr>
          <w:rFonts w:ascii="Book Antiqua" w:hAnsi="Book Antiqua"/>
          <w:lang w:val="en-US"/>
        </w:rPr>
        <w:t xml:space="preserve">pecific FDG uptake at the anastomotic site </w:t>
      </w:r>
      <w:r w:rsidR="0073561B" w:rsidRPr="009D7554">
        <w:rPr>
          <w:rFonts w:ascii="Book Antiqua" w:hAnsi="Book Antiqua"/>
          <w:lang w:val="en-US"/>
        </w:rPr>
        <w:t xml:space="preserve">was </w:t>
      </w:r>
      <w:r w:rsidR="003E31A8" w:rsidRPr="009D7554">
        <w:rPr>
          <w:rFonts w:ascii="Book Antiqua" w:hAnsi="Book Antiqua"/>
          <w:lang w:val="en-US"/>
        </w:rPr>
        <w:t>the most frequent cause of error because it could be due to both post-CRT/</w:t>
      </w:r>
      <w:r w:rsidR="009A70D4" w:rsidRPr="009D7554">
        <w:rPr>
          <w:rFonts w:ascii="Book Antiqua" w:hAnsi="Book Antiqua"/>
          <w:lang w:val="en-US"/>
        </w:rPr>
        <w:t>posts</w:t>
      </w:r>
      <w:r w:rsidR="003E31A8" w:rsidRPr="009D7554">
        <w:rPr>
          <w:rFonts w:ascii="Book Antiqua" w:hAnsi="Book Antiqua"/>
          <w:lang w:val="en-US"/>
        </w:rPr>
        <w:t xml:space="preserve">urgical fibrosis/scar tissue and disease recurrence. The anastomotic SUVmax was the only significant predictor of tumor recurrence at the </w:t>
      </w:r>
      <w:r w:rsidR="0073561B" w:rsidRPr="009D7554">
        <w:rPr>
          <w:rFonts w:ascii="Book Antiqua" w:hAnsi="Book Antiqua"/>
          <w:lang w:val="en-US"/>
        </w:rPr>
        <w:t xml:space="preserve">site of </w:t>
      </w:r>
      <w:r w:rsidR="003E31A8" w:rsidRPr="009D7554">
        <w:rPr>
          <w:rFonts w:ascii="Book Antiqua" w:hAnsi="Book Antiqua"/>
          <w:lang w:val="en-US"/>
        </w:rPr>
        <w:t xml:space="preserve">anastomosis. A </w:t>
      </w:r>
      <w:r w:rsidR="0073561B" w:rsidRPr="009D7554">
        <w:rPr>
          <w:rFonts w:ascii="Book Antiqua" w:hAnsi="Book Antiqua"/>
          <w:lang w:val="en-US"/>
        </w:rPr>
        <w:t xml:space="preserve">decreased </w:t>
      </w:r>
      <w:r w:rsidR="003E31A8" w:rsidRPr="009D7554">
        <w:rPr>
          <w:rFonts w:ascii="Book Antiqua" w:hAnsi="Book Antiqua"/>
          <w:lang w:val="en-US"/>
        </w:rPr>
        <w:t xml:space="preserve">OS was reported in patients with a SUVmax greater than 5.7 compared </w:t>
      </w:r>
      <w:r w:rsidR="0073561B" w:rsidRPr="009D7554">
        <w:rPr>
          <w:rFonts w:ascii="Book Antiqua" w:hAnsi="Book Antiqua"/>
          <w:lang w:val="en-US"/>
        </w:rPr>
        <w:t xml:space="preserve">with that in patients </w:t>
      </w:r>
      <w:r w:rsidR="003E31A8" w:rsidRPr="009D7554">
        <w:rPr>
          <w:rFonts w:ascii="Book Antiqua" w:hAnsi="Book Antiqua"/>
          <w:lang w:val="en-US"/>
        </w:rPr>
        <w:t xml:space="preserve">with lower values (median survival: 16 </w:t>
      </w:r>
      <w:r w:rsidR="008E467B" w:rsidRPr="009D7554">
        <w:rPr>
          <w:rFonts w:ascii="Book Antiqua" w:hAnsi="Book Antiqua"/>
          <w:lang w:val="en-US"/>
        </w:rPr>
        <w:t xml:space="preserve">mo </w:t>
      </w:r>
      <w:r w:rsidR="003E31A8" w:rsidRPr="009D7554">
        <w:rPr>
          <w:rFonts w:ascii="Book Antiqua" w:hAnsi="Book Antiqua"/>
          <w:i/>
          <w:iCs/>
          <w:lang w:val="en-US"/>
        </w:rPr>
        <w:t>vs</w:t>
      </w:r>
      <w:r w:rsidR="008E467B" w:rsidRPr="009D7554">
        <w:rPr>
          <w:rFonts w:ascii="Book Antiqua" w:hAnsi="Book Antiqua"/>
          <w:i/>
          <w:iCs/>
          <w:lang w:val="en-US"/>
        </w:rPr>
        <w:t xml:space="preserve"> </w:t>
      </w:r>
      <w:r w:rsidR="003E31A8" w:rsidRPr="009D7554">
        <w:rPr>
          <w:rFonts w:ascii="Book Antiqua" w:hAnsi="Book Antiqua"/>
          <w:lang w:val="en-US"/>
        </w:rPr>
        <w:t xml:space="preserve">31 mo; </w:t>
      </w:r>
      <w:r w:rsidR="003E31A8" w:rsidRPr="009D7554">
        <w:rPr>
          <w:rFonts w:ascii="Book Antiqua" w:hAnsi="Book Antiqua"/>
          <w:i/>
          <w:caps/>
          <w:lang w:val="en-US"/>
        </w:rPr>
        <w:t>p</w:t>
      </w:r>
      <w:r w:rsidR="00F3247C" w:rsidRPr="009D7554">
        <w:rPr>
          <w:rFonts w:ascii="Book Antiqua" w:hAnsi="Book Antiqua"/>
          <w:bCs/>
          <w:caps/>
          <w:lang w:val="en-US"/>
        </w:rPr>
        <w:t xml:space="preserve"> </w:t>
      </w:r>
      <w:r w:rsidR="00F3247C" w:rsidRPr="009D7554">
        <w:rPr>
          <w:rFonts w:ascii="Book Antiqua" w:hAnsi="Book Antiqua"/>
          <w:bCs/>
          <w:lang w:val="en-US"/>
        </w:rPr>
        <w:t xml:space="preserve">= 0.002). Marcus </w:t>
      </w:r>
      <w:r w:rsidR="00F005F0"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{"citationItems":[{"id":"ITEM-1","itemData":{"DOI":"10.2214/AJR.15.15806","ISSN":"1546-3141","PMID":"27447341","abstract":"OBJECTIVE The purpose of this study was to evaluate the impact of quantitative PET parameters in the overall survival of patients with recurrent colorectal cancer. MATERIALS AND METHODS A total of 105 patients with a biopsy-proven recurrence of colorectal cancer who underwent PET/CT were included in the study. A gradient segmentation method was used to calculate maximum and peak standardized uptake values (SUVmax, SUVpeak), total lesion glycolysis (TLGtotal), and metabolic tumor volume (MTVtotal). These parameters were measured for each recurrent lesion at the primary, locoregional, and distant sites. The median follow-up time was 31.3 months. Overall survival (OS) was the primary outcome and was calculated using Kaplan-Meier survival plots and Cox regression analyses. RESULTS The mean ± SD for SUVmax, SUVpeak, TLGtotal, and MTVtotal of the included patients was 7.3 ± 5.3, 5.3 ± 3.3, 280.8 ± 1181 g, and 79.8 ± 294 mL, respectively. The median OS for patients who were alive was 50 months in comparison with 23.4 months among patients who died. Age (p = 0.041), tumor grade (p = 0.010), median TLG (p = 0.031), and median MTV (p = 0.009) remained significantly associated with OS in the multivariate Cox regression analysis. Kaplan-Meier survival analysis performed on the basis of the median PET/CT parametric values showed that SUVmax (threshold, 5.63; hazard ratio [HR] = 1.7; 95% CI, 1-2.8; p = 0.02), MTVtotal (threshold, 13.85 mL; HR = 2.2; 95% CI, 1.3-3.9; p = 0.003), and TLGtotal (threshold, 36.14 g; HR = 1.9; 95% CI, 1.1-3.3; p = 0.01) were significant predictors of OS during follow-up. An integrated risk stratification model with SUVmax and MTVtotal into three subgroups predicted patient survival outcomes (HR = 1.8; 95% CI, 1.25-2.65; log-rank p = 0.003). CONCLUSION SUVmax, MTVtotal, TLGtotal, and integrated score with FDG avidity and total tumor burden provide survival information for patients with biopsy-proven recurrent colorectal cancer.","author":[{"dropping-particle":"","family":"Marcus","given":"Charles","non-dropping-particle":"","parse-names":false,"suffix":""},{"dropping-particle":"","family":"Wray","given":"Rick","non-dropping-particle":"","parse-names":false,"suffix":""},{"dropping-particle":"","family":"Taghipour","given":"Mehdi","non-dropping-particle":"","parse-names":false,"suffix":""},{"dropping-particle":"","family":"Marashdeh","given":"Wael","non-dropping-particle":"","parse-names":false,"suffix":""},{"dropping-particle":"","family":"Ahn","given":"Se Jin","non-dropping-particle":"","parse-names":false,"suffix":""},{"dropping-particle":"","family":"Mena","given":"Esther","non-dropping-particle":"","parse-names":false,"suffix":""},{"dropping-particle":"","family":"Subramaniam","given":"Rathan M","non-dropping-particle":"","parse-names":false,"suffix":""}],"container-title":"AJR. American journal of roentgenology","id":"ITEM-1","issue":"2","issued":{"date-parts":[["2016","8"]]},"page":"257-65","title":"JOURNAL CLUB: Value of Quantitative FDG PET/CT Volumetric Biomarkers in Recurrent Colorectal Cancer Patient Survival.","type":"article-journal","volume":"207"},"uris":["http://www.mendeley.com/documents/?uuid=45117327-dd41-4e96-b432-d9641a4d07e4"]}],"mendeley":{"formattedCitation":"&lt;sup&gt;[115]&lt;/sup&gt;","plainTextFormattedCitation":"[115]","previouslyFormattedCitation":"&lt;sup&gt;[115]&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[115]</w:t>
      </w:r>
      <w:r w:rsidR="00A75298" w:rsidRPr="009D7554">
        <w:rPr>
          <w:rFonts w:ascii="Book Antiqua" w:hAnsi="Book Antiqua"/>
          <w:i/>
          <w:lang w:val="en-US"/>
        </w:rPr>
        <w:fldChar w:fldCharType="end"/>
      </w:r>
      <w:r w:rsidR="00F3247C" w:rsidRPr="009D7554">
        <w:rPr>
          <w:rFonts w:ascii="Book Antiqua" w:hAnsi="Book Antiqua"/>
          <w:i/>
          <w:lang w:val="en-US"/>
        </w:rPr>
        <w:t xml:space="preserve"> </w:t>
      </w:r>
      <w:r w:rsidR="00F3247C" w:rsidRPr="009D7554">
        <w:rPr>
          <w:rFonts w:ascii="Book Antiqua" w:hAnsi="Book Antiqua"/>
          <w:lang w:val="en-US"/>
        </w:rPr>
        <w:t xml:space="preserve">showed that </w:t>
      </w:r>
      <w:r w:rsidR="0073561B" w:rsidRPr="009D7554">
        <w:rPr>
          <w:rFonts w:ascii="Book Antiqua" w:hAnsi="Book Antiqua"/>
          <w:lang w:val="en-US"/>
        </w:rPr>
        <w:t xml:space="preserve">a decreased </w:t>
      </w:r>
      <w:r w:rsidR="00F3247C" w:rsidRPr="009D7554">
        <w:rPr>
          <w:rFonts w:ascii="Book Antiqua" w:hAnsi="Book Antiqua"/>
          <w:lang w:val="en-US"/>
        </w:rPr>
        <w:t xml:space="preserve">MTVtotal and TLGtotal were associated </w:t>
      </w:r>
      <w:r w:rsidR="001F0F25" w:rsidRPr="009D7554">
        <w:rPr>
          <w:rFonts w:ascii="Book Antiqua" w:hAnsi="Book Antiqua"/>
          <w:lang w:val="en-US"/>
        </w:rPr>
        <w:t>with</w:t>
      </w:r>
      <w:r w:rsidR="00F3247C" w:rsidRPr="009D7554">
        <w:rPr>
          <w:rFonts w:ascii="Book Antiqua" w:hAnsi="Book Antiqua"/>
          <w:lang w:val="en-US"/>
        </w:rPr>
        <w:t xml:space="preserve"> </w:t>
      </w:r>
      <w:r w:rsidR="0073561B" w:rsidRPr="009D7554">
        <w:rPr>
          <w:rFonts w:ascii="Book Antiqua" w:hAnsi="Book Antiqua"/>
          <w:lang w:val="en-US"/>
        </w:rPr>
        <w:t>increased</w:t>
      </w:r>
      <w:r w:rsidR="00F3247C" w:rsidRPr="009D7554">
        <w:rPr>
          <w:rFonts w:ascii="Book Antiqua" w:hAnsi="Book Antiqua"/>
          <w:lang w:val="en-US"/>
        </w:rPr>
        <w:t xml:space="preserve"> OS in patients with local, loco-regional and/or distant</w:t>
      </w:r>
      <w:r w:rsidR="0073561B" w:rsidRPr="009D7554">
        <w:rPr>
          <w:rFonts w:ascii="Book Antiqua" w:hAnsi="Book Antiqua"/>
          <w:lang w:val="en-US"/>
        </w:rPr>
        <w:t>-</w:t>
      </w:r>
      <w:r w:rsidR="00F3247C" w:rsidRPr="009D7554">
        <w:rPr>
          <w:rFonts w:ascii="Book Antiqua" w:hAnsi="Book Antiqua"/>
          <w:lang w:val="en-US"/>
        </w:rPr>
        <w:t>recurrent biopsy</w:t>
      </w:r>
      <w:r w:rsidR="0073561B" w:rsidRPr="009D7554">
        <w:rPr>
          <w:rFonts w:ascii="Book Antiqua" w:hAnsi="Book Antiqua"/>
          <w:lang w:val="en-US"/>
        </w:rPr>
        <w:t>-verified</w:t>
      </w:r>
      <w:r w:rsidR="00F3247C" w:rsidRPr="009D7554">
        <w:rPr>
          <w:rFonts w:ascii="Book Antiqua" w:hAnsi="Book Antiqua"/>
          <w:lang w:val="en-US"/>
        </w:rPr>
        <w:t xml:space="preserve"> CRC.</w:t>
      </w:r>
    </w:p>
    <w:p w:rsidR="00320005" w:rsidRPr="009D7554" w:rsidRDefault="00320005" w:rsidP="006A253E">
      <w:pPr>
        <w:widowControl w:val="0"/>
        <w:autoSpaceDE w:val="0"/>
        <w:autoSpaceDN w:val="0"/>
        <w:adjustRightInd w:val="0"/>
        <w:snapToGrid w:val="0"/>
        <w:spacing w:line="360" w:lineRule="auto"/>
        <w:jc w:val="both"/>
        <w:rPr>
          <w:rFonts w:ascii="Book Antiqua" w:hAnsi="Book Antiqua"/>
          <w:lang w:val="en-US"/>
        </w:rPr>
      </w:pPr>
    </w:p>
    <w:p w:rsidR="00320005" w:rsidRPr="009D7554" w:rsidRDefault="00320005"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 xml:space="preserve">OTHER ADVANCED </w:t>
      </w:r>
      <w:r w:rsidR="00502E2D" w:rsidRPr="009D7554">
        <w:rPr>
          <w:rFonts w:ascii="Book Antiqua" w:hAnsi="Book Antiqua"/>
          <w:b/>
          <w:lang w:val="en-US"/>
        </w:rPr>
        <w:t>QUANTITATIVE</w:t>
      </w:r>
      <w:r w:rsidRPr="009D7554">
        <w:rPr>
          <w:rFonts w:ascii="Book Antiqua" w:hAnsi="Book Antiqua"/>
          <w:b/>
          <w:lang w:val="en-US"/>
        </w:rPr>
        <w:t xml:space="preserve"> FUNCTIONAL AND MOLECULAR IMAGING MODALITIES</w:t>
      </w:r>
    </w:p>
    <w:p w:rsidR="00320005" w:rsidRPr="009D7554" w:rsidRDefault="0073561B" w:rsidP="006A253E">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lang w:val="en-US"/>
        </w:rPr>
        <w:t xml:space="preserve">Blood oxygenation level-dependent </w:t>
      </w:r>
      <w:r w:rsidR="00CE4AB4" w:rsidRPr="009D7554">
        <w:rPr>
          <w:rFonts w:ascii="Book Antiqua" w:hAnsi="Book Antiqua"/>
          <w:lang w:val="en-US"/>
        </w:rPr>
        <w:t xml:space="preserve">(BOLD) MRI and MR </w:t>
      </w:r>
      <w:r w:rsidRPr="009D7554">
        <w:rPr>
          <w:rFonts w:ascii="Book Antiqua" w:hAnsi="Book Antiqua"/>
          <w:lang w:val="en-US"/>
        </w:rPr>
        <w:t xml:space="preserve">spectroscopy </w:t>
      </w:r>
      <w:r w:rsidR="00CE4AB4" w:rsidRPr="009D7554">
        <w:rPr>
          <w:rFonts w:ascii="Book Antiqua" w:hAnsi="Book Antiqua"/>
          <w:lang w:val="en-US"/>
        </w:rPr>
        <w:t xml:space="preserve">(MRSI) represent further advanced imaging modalities available for </w:t>
      </w:r>
      <w:r w:rsidRPr="009D7554">
        <w:rPr>
          <w:rFonts w:ascii="Book Antiqua" w:hAnsi="Book Antiqua"/>
          <w:lang w:val="en-US"/>
        </w:rPr>
        <w:t xml:space="preserve">use with </w:t>
      </w:r>
      <w:r w:rsidR="00CE4AB4" w:rsidRPr="009D7554">
        <w:rPr>
          <w:rFonts w:ascii="Book Antiqua" w:hAnsi="Book Antiqua"/>
          <w:lang w:val="en-US"/>
        </w:rPr>
        <w:t>quantitative PA in CRC.</w:t>
      </w:r>
    </w:p>
    <w:p w:rsidR="00320005" w:rsidRPr="009D7554" w:rsidRDefault="00320005" w:rsidP="008E467B">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 xml:space="preserve">BOLD-MRI is able to assess in vivo tissue hypoxia </w:t>
      </w:r>
      <w:r w:rsidR="0073561B" w:rsidRPr="009D7554">
        <w:rPr>
          <w:rFonts w:ascii="Book Antiqua" w:hAnsi="Book Antiqua"/>
          <w:lang w:val="en-US"/>
        </w:rPr>
        <w:t>according to</w:t>
      </w:r>
      <w:r w:rsidRPr="009D7554">
        <w:rPr>
          <w:rFonts w:ascii="Book Antiqua" w:hAnsi="Book Antiqua"/>
          <w:lang w:val="en-US"/>
        </w:rPr>
        <w:t xml:space="preserve"> blood flow and </w:t>
      </w:r>
      <w:r w:rsidR="0073561B" w:rsidRPr="009D7554">
        <w:rPr>
          <w:rFonts w:ascii="Book Antiqua" w:hAnsi="Book Antiqua"/>
          <w:lang w:val="en-US"/>
        </w:rPr>
        <w:t xml:space="preserve">the </w:t>
      </w:r>
      <w:r w:rsidRPr="009D7554">
        <w:rPr>
          <w:rFonts w:ascii="Book Antiqua" w:hAnsi="Book Antiqua"/>
          <w:lang w:val="en-US"/>
        </w:rPr>
        <w:t>paramagnetic properties of deoxyhemoglobin within red blood cells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{"citationItems":[{"id":"ITEM-1","itemData":{"ISSN":"0740-3194","PMID":"2161986","abstract":"At high magnetic fields (7 and 8.4 T), water proton magnetic resonance images of brains of live mice and rats under pentobarbital anesthetization have been measured by a gradient echo pulse sequence with a spatial resolution of 65 x 65-microns pixel size and 700-microns slice thickness. The contrast in these images depicts anatomical details of the brain by numerous dark lines of various sizes. These lines are absent in the image taken by the usual spin echo sequence. They represent the blood vessels in the image slice and appear when the deoxyhemoglobin content in the red cells increases. This contrast is most pronounced in an anoxy brain but not present in a brain with diamagnetic oxy or carbon monoxide hemoglobin. The local field induced by the magnetic susceptibility change in the blood due to the paramagnetic deoxyhemoglobin causes the intra voxel dephasing of the water signals of the blood and the surrounding tissue. This oxygenation-dependent contrast is appreciable in high field images with high spatial resolution.","author":[{"dropping-particle":"","family":"Ogawa","given":"S","non-dropping-particle":"","parse-names":false,"suffix":""},{"dropping-particle":"","family":"Lee","given":"T M","non-dropping-particle":"","parse-names":false,"suffix":""},{"dropping-particle":"","family":"Nayak","given":"A S","non-dropping-particle":"","parse-names":false,"suffix":""},{"dropping-particle":"","family":"Glynn","given":"P","non-dropping-particle":"","parse-names":false,"suffix":""}],"container-title":"Magnetic resonance in medicine","id":"ITEM-1","issue":"1","issued":{"date-parts":[["1990","4"]]},"page":"68-78","title":"Oxygenation-sensitive contrast in magnetic resonance image of rodent brain at high magnetic fields.","type":"article-journal","volume":"14"},"uris":["http://www.mendeley.com/documents/?uuid=8bba286e-3a9c-44a1-8b56-ffb3b7b903b1"]}],"mendeley":{"formattedCitation":"&lt;sup&gt;[116]&lt;/sup&gt;","plainTextFormattedCitation":"[116]","previouslyFormattedCitation":"&lt;sup&gt;[116]&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[116]</w:t>
      </w:r>
      <w:r w:rsidR="00A75298" w:rsidRPr="009D7554">
        <w:rPr>
          <w:rFonts w:ascii="Book Antiqua" w:hAnsi="Book Antiqua"/>
          <w:lang w:val="en-US"/>
        </w:rPr>
        <w:fldChar w:fldCharType="end"/>
      </w:r>
      <w:r w:rsidRPr="009D7554">
        <w:rPr>
          <w:rFonts w:ascii="Book Antiqua" w:hAnsi="Book Antiqua"/>
          <w:lang w:val="en-US"/>
        </w:rPr>
        <w:t xml:space="preserve">. </w:t>
      </w:r>
      <w:r w:rsidR="001F0F25" w:rsidRPr="009D7554">
        <w:rPr>
          <w:rFonts w:ascii="Book Antiqua" w:hAnsi="Book Antiqua"/>
          <w:lang w:val="en-US"/>
        </w:rPr>
        <w:t xml:space="preserve">Endogenous </w:t>
      </w:r>
      <w:r w:rsidRPr="009D7554">
        <w:rPr>
          <w:rFonts w:ascii="Book Antiqua" w:hAnsi="Book Antiqua"/>
          <w:lang w:val="en-US"/>
        </w:rPr>
        <w:t xml:space="preserve">deoxyhemoglobin decreases the transverse relaxation rate (T2*) </w:t>
      </w:r>
      <w:r w:rsidR="0073561B" w:rsidRPr="009D7554">
        <w:rPr>
          <w:rFonts w:ascii="Book Antiqua" w:hAnsi="Book Antiqua"/>
          <w:lang w:val="en-US"/>
        </w:rPr>
        <w:t xml:space="preserve">in </w:t>
      </w:r>
      <w:r w:rsidRPr="009D7554">
        <w:rPr>
          <w:rFonts w:ascii="Book Antiqua" w:hAnsi="Book Antiqua"/>
          <w:lang w:val="en-US"/>
        </w:rPr>
        <w:t>blood, which can be quantified by R2* (= 1/T2*)</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{"citationItems":[{"id":"ITEM-1","itemData":{"DOI":"10.1038/bjc.2015.270","ISSN":"1532-1827","PMID":"26484634","abstract":"BACKGROUND Solid tumours can undergo cycles of hypoxia, followed by reoxygenation, which can have significant implications for the success of anticancer therapies. A need therefore exists to develop methods to aid its detection and to further characterise its biological basis. We present here a novel method for decomposing systemic and tumour-specific contributions to fluctuations in tumour deoxyhaemoglobin concentration, based on magnetic resonance imaging measurements. METHODS Fluctuations in deoxyhaemoglobin concentration in two tumour xenograft models of colorectal carcinoma were decomposed into distinct contributions using independent component analysis. These components were then correlated with systemic pulse oximetry measurements to assess the influence of systemic variations in blood oxygenation in tumours, compared with those that arise within the tumour itself (tumour-specific). Immunohistochemical staining was used to assess the physiological basis of each source of fluctuation. RESULTS Systemic fluctuations in blood oxygenation were found to contribute to cycling hypoxia in tumours, but tumour-specific fluctuations were also evident. Moreover, the size of the tumours was found to influence the degree of systemic, but not tumour-specific, oscillations. The degree of vessel maturation was related to the amplitude of tumour-specific, but not systemic, oscillations. CONCLUSIONS Our results provide further insights into the complexity of spontaneous fluctuations in tumour oxygenation and its relationship with tumour pathophysiology. These observations could be used to develop improved drug delivery strategies.","author":[{"dropping-particle":"","family":"Gonçalves","given":"Miguel R","non-dropping-particle":"","parse-names":false,"suffix":""},{"dropping-particle":"","family":"Johnson","given":"S Peter","non-dropping-particle":"","parse-names":false,"suffix":""},{"dropping-particle":"","family":"Ramasawmy","given":"Rajiv","non-dropping-particle":"","parse-names":false,"suffix":""},{"dropping-particle":"","family":"Pedley","given":"R Barbara","non-dropping-particle":"","parse-names":false,"suffix":""},{"dropping-particle":"","family":"Lythgoe","given":"Mark F","non-dropping-particle":"","parse-names":false,"suffix":""},{"dropping-particle":"","family":"Walker-Samuel","given":"Simon","non-dropping-particle":"","parse-names":false,"suffix":""}],"container-title":"British journal of cancer","id":"ITEM-1","issue":"8","issued":{"date-parts":[["2015","10","20"]]},"page":"1168-77","title":"Decomposition of spontaneous fluctuations in tumour oxygenation using BOLD MRI and independent component analysis.","type":"article-journal","volume":"113"},"uris":["http://www.mendeley.com/documents/?uuid=ec727d00-1a9d-4896-b6e3-7eddae24656f"]},{"id":"ITEM-2","itemData":{"DOI":"10.1148/rg.295095034","ISSN":"0271-5333","PMID":"19755604","abstract":"T2* relaxation refers to decay of transverse magnetization caused by a combination of spin-spin relaxation and magnetic field inhomogeneity. T2* relaxation is seen only with gradient-echo (GRE) imaging because transverse relaxation caused by magnetic field inhomogeneities is eliminated by the 180 degrees pulse at spin-echo imaging. T2* relaxation is one of the main determinants of image contrast with GRE sequences and forms the basis for many magnetic resonance (MR) applications, such as susceptibility-weighted (SW) imaging, perfusion MR imaging, and functional MR imaging. GRE sequences can be made predominantly T2* weighted by using a low flip angle, long echo time, and long repetition time. GRE sequences with T2*-based contrast are used to depict hemorrhage, calcification, and iron deposition in various tissues and lesions. SW imaging uses phase information in addition to T2*-based contrast to exploit the magnetic susceptibility differences of the blood and of iron and calcification in various tissues. Perfusion MR imaging exploits the signal intensity decrease that occurs with the passage of a high concentration of gadopentetate dimeglumine through the microvasculature. Change in oxygen saturation during specific tasks changes the local T2*, which leads to the blood oxygen level-dependent effect seen at functional MR imaging. The basics of T2* relaxation, T2*-weighted sequences, and their clinical applications are presented, followed by the principles, techniques, and clinical uses of four T2*-based applications, including SW imaging, perfusion MR imaging, functional MR imaging, and iron overload imaging.","author":[{"dropping-particle":"","family":"Chavhan","given":"Govind B","non-dropping-particle":"","parse-names":false,"suffix":""},{"dropping-particle":"","family":"Babyn","given":"Paul S","non-dropping-particle":"","parse-names":false,"suffix":""},{"dropping-particle":"","family":"Thomas","given":"Bejoy","non-dropping-particle":"","parse-names":false,"suffix":""},{"dropping-particle":"","family":"Shroff","given":"Manohar M","non-dropping-particle":"","parse-names":false,"suffix":""},{"dropping-particle":"","family":"Haacke","given":"E Mark","non-dropping-particle":"","parse-names":false,"suffix":""}],"container-title":"RadioGraphics","id":"ITEM-2","issue":"5","issued":{"date-parts":[["2009","9"]]},"page":"1433-1449","title":"Principles, Techniques, and Applications of T2*-based MR Imaging and Its Special Applications","type":"article-journal","volume":"29"},"uris":["http://www.mendeley.com/documents/?uuid=f9ecddcb-9912-44f7-b971-159373ce0910"]}],"mendeley":{"formattedCitation":"&lt;sup&gt;[117,118]&lt;/sup&gt;","plainTextFormattedCitation":"[117,118]","previouslyFormattedCitation":"&lt;sup&gt;[117,118]&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[117,118]</w:t>
      </w:r>
      <w:r w:rsidR="00A75298" w:rsidRPr="009D7554">
        <w:rPr>
          <w:rFonts w:ascii="Book Antiqua" w:hAnsi="Book Antiqua"/>
          <w:lang w:val="en-US"/>
        </w:rPr>
        <w:fldChar w:fldCharType="end"/>
      </w:r>
      <w:r w:rsidRPr="009D7554">
        <w:rPr>
          <w:rFonts w:ascii="Book Antiqua" w:hAnsi="Book Antiqua"/>
          <w:lang w:val="en-US"/>
        </w:rPr>
        <w:t xml:space="preserve">. Tumor hypoxia is caused by the inability of the neoplastic vascular system to provide an adequate supply of oxygen to the growing tumor mass. Tumor hypoxia induces </w:t>
      </w:r>
      <w:r w:rsidR="0073561B" w:rsidRPr="009D7554">
        <w:rPr>
          <w:rFonts w:ascii="Book Antiqua" w:hAnsi="Book Antiqua"/>
          <w:lang w:val="en-US"/>
        </w:rPr>
        <w:t xml:space="preserve">the expression of the </w:t>
      </w:r>
      <w:r w:rsidRPr="009D7554">
        <w:rPr>
          <w:rFonts w:ascii="Book Antiqua" w:hAnsi="Book Antiqua"/>
          <w:lang w:val="en-US"/>
        </w:rPr>
        <w:t>transcription factor</w:t>
      </w:r>
      <w:r w:rsidR="0073561B" w:rsidRPr="009D7554">
        <w:rPr>
          <w:rFonts w:ascii="Book Antiqua" w:hAnsi="Book Antiqua"/>
          <w:lang w:val="en-US"/>
        </w:rPr>
        <w:t xml:space="preserve"> </w:t>
      </w:r>
      <w:r w:rsidRPr="009D7554">
        <w:rPr>
          <w:rFonts w:ascii="Book Antiqua" w:hAnsi="Book Antiqua"/>
          <w:lang w:val="en-US"/>
        </w:rPr>
        <w:t>hypoxia</w:t>
      </w:r>
      <w:r w:rsidR="0073561B" w:rsidRPr="009D7554">
        <w:rPr>
          <w:rFonts w:ascii="Book Antiqua" w:hAnsi="Book Antiqua"/>
          <w:lang w:val="en-US"/>
        </w:rPr>
        <w:t xml:space="preserve"> </w:t>
      </w:r>
      <w:r w:rsidRPr="009D7554">
        <w:rPr>
          <w:rFonts w:ascii="Book Antiqua" w:hAnsi="Book Antiqua"/>
          <w:lang w:val="en-US"/>
        </w:rPr>
        <w:t>inducible factor-1 alpha (HIF-1α), which promotes</w:t>
      </w:r>
      <w:r w:rsidR="001F0F25" w:rsidRPr="009D7554">
        <w:rPr>
          <w:rFonts w:ascii="Book Antiqua" w:hAnsi="Book Antiqua"/>
          <w:lang w:val="en-US"/>
        </w:rPr>
        <w:t xml:space="preserve"> </w:t>
      </w:r>
      <w:r w:rsidRPr="009D7554">
        <w:rPr>
          <w:rFonts w:ascii="Book Antiqua" w:hAnsi="Book Antiqua"/>
          <w:lang w:val="en-US"/>
        </w:rPr>
        <w:t>the adaptation of cancer cells to hypoxia</w:t>
      </w:r>
      <w:r w:rsidR="0073561B" w:rsidRPr="009D7554">
        <w:rPr>
          <w:rFonts w:ascii="Book Antiqua" w:hAnsi="Book Antiqua"/>
          <w:lang w:val="en-US"/>
        </w:rPr>
        <w:t xml:space="preserve"> and the development of</w:t>
      </w:r>
      <w:r w:rsidRPr="009D7554">
        <w:rPr>
          <w:rFonts w:ascii="Book Antiqua" w:hAnsi="Book Antiqua"/>
          <w:lang w:val="en-US"/>
        </w:rPr>
        <w:t xml:space="preserve"> more aggressive clones less sensitive to radiotherapy and chemotherapy</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{"citationItems":[{"id":"ITEM-1","itemData":{"DOI":"10.1007/s00330-006-0431-y","ISSN":"0938-7994","PMID":"17043737","abstract":"Tumour hypoxia represents a significant challenge to the curability of human tumours leading to treatment resistance and enhanced tumour progression. Tumour hypoxia can be detected by non-invasive and invasive techniques but the inter-relationships between these remains largely undefined. (18)F-MISO and Cu-ATSM-PET, and BOLD-MRI are the lead contenders for human application based on their non-invasive nature, ease of use and robustness, measurement of hypoxia status, validity, ability to demonstrate heterogeneity and general availability, these techniques are the primary focus of this review. We discuss where developments are required for hypoxia imaging to become clinically useful and explore potential new uses for hypoxia imaging techniques including biological conformal radiotherapy.","author":[{"dropping-particle":"","family":"Padhani","given":"Anwar R","non-dropping-particle":"","parse-names":false,"suffix":""},{"dropping-particle":"","family":"Krohn","given":"Kenneth A","non-dropping-particle":"","parse-names":false,"suffix":""},{"dropping-particle":"","family":"Lewis","given":"Jason S","non-dropping-particle":"","parse-names":false,"suffix":""},{"dropping-particle":"","family":"Alber","given":"Markus","non-dropping-particle":"","parse-names":false,"suffix":""}],"container-title":"European radiology","id":"ITEM-1","issue":"4","issued":{"date-parts":[["2007","4"]]},"page":"861-72","title":"Imaging oxygenation of human tumours.","type":"article-journal","volume":"17"},"uris":["http://www.mendeley.com/documents/?uuid=1402e72b-7742-45bb-8a14-b06a6f2f612f"]}],"mendeley":{"formattedCitation":"&lt;sup&gt;[119]&lt;/sup&gt;","plainTextFormattedCitation":"[119]","previouslyFormattedCitation":"&lt;sup&gt;[119]&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[119]</w:t>
      </w:r>
      <w:r w:rsidR="00A75298" w:rsidRPr="009D7554">
        <w:rPr>
          <w:rFonts w:ascii="Book Antiqua" w:hAnsi="Book Antiqua"/>
          <w:lang w:val="en-US"/>
        </w:rPr>
        <w:fldChar w:fldCharType="end"/>
      </w:r>
      <w:r w:rsidR="009D04E0" w:rsidRPr="009D7554">
        <w:rPr>
          <w:rFonts w:ascii="Book Antiqua" w:hAnsi="Book Antiqua"/>
          <w:bCs/>
          <w:lang w:val="en-US"/>
        </w:rPr>
        <w:t xml:space="preserve"> and</w:t>
      </w:r>
      <w:r w:rsidRPr="009D7554">
        <w:rPr>
          <w:rFonts w:ascii="Book Antiqua" w:hAnsi="Book Antiqua"/>
          <w:bCs/>
          <w:lang w:val="en-US"/>
        </w:rPr>
        <w:t xml:space="preserve"> </w:t>
      </w:r>
      <w:r w:rsidR="009D04E0" w:rsidRPr="009D7554">
        <w:rPr>
          <w:rFonts w:ascii="Book Antiqua" w:hAnsi="Book Antiqua"/>
          <w:bCs/>
          <w:lang w:val="en-US"/>
        </w:rPr>
        <w:t>impacts</w:t>
      </w:r>
      <w:r w:rsidRPr="009D7554">
        <w:rPr>
          <w:rFonts w:ascii="Book Antiqua" w:hAnsi="Book Antiqua"/>
          <w:bCs/>
          <w:lang w:val="en-US"/>
        </w:rPr>
        <w:t xml:space="preserve"> metastatic spread</w:t>
      </w:r>
      <w:r w:rsidR="009D04E0" w:rsidRPr="009D7554">
        <w:rPr>
          <w:rFonts w:ascii="Book Antiqua" w:hAnsi="Book Antiqua"/>
          <w:bCs/>
          <w:lang w:val="en-US"/>
        </w:rPr>
        <w:t xml:space="preserve"> to</w:t>
      </w:r>
      <w:r w:rsidRPr="009D7554">
        <w:rPr>
          <w:rFonts w:ascii="Book Antiqua" w:hAnsi="Book Antiqua"/>
          <w:bCs/>
          <w:lang w:val="en-US"/>
        </w:rPr>
        <w:t xml:space="preserve"> favor tumor recurrence and a poor prognosis. Heijmen</w:t>
      </w:r>
      <w:r w:rsidR="009D04E0" w:rsidRPr="009D7554">
        <w:rPr>
          <w:rFonts w:ascii="Book Antiqua" w:hAnsi="Book Antiqua"/>
          <w:bCs/>
          <w:lang w:val="en-US"/>
        </w:rPr>
        <w:t xml:space="preserve"> </w:t>
      </w:r>
      <w:r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{"citationItems":[{"id":"ITEM-1","itemData":{"DOI":"10.1371/journal.pone.0120823","ISSN":"1932-6203","PMID":"25831053","abstract":"AIM Aim of this study was to investigate the potential of 18F-FDG PET, diffusion weighted imaging (DWI) and susceptibility-weighted (T2*) MRI to predict response to systemic treatment in patients with colorectal liver metastases. The predictive values of pretreatment measurements and of early changes one week after start of therapy, were evaluated. METHODS Imaging was performed prior to and one week after start of first line chemotherapy in 39 patients with colorectal liver metastases. 18F-FDG PET scans were performed on a PET/CT scanner and DWI and T2* were performed on a 1.5T MR scanner. The maximum standardized uptake values (SUV), total lesion glycolysis (TLG), apparent diffusion coefficient (ADC) and T2* value were assessed in the same lesions. Up to 5 liver metastases per patient were analyzed. Outcome measures were progression free survival (PFS), overall survival (OS) and size response. RESULTS Pretreatment, high SUVmax, high TLG, low ADC and high T2* were associated with a shorter OS. Low pretreatment ADC value was associated with shorter PFS. After 1 week a significant drop in SUVmax and rise in ADC were observed. The drop in SUV was correlated with the rise in ADC (r=-0.58, p=0.002). Neither change in ADC nor in SUV was predictive of PFS or OS. T2* did not significantly change after start of treatment. CONCLUSION Pretreatment SUVmax, TLG, ADC, and T2* values in colorectal liver metastases are predictive of patient outcome. Despite sensitivity of DWI and 18F-FDG PET for early treatment effects, change in these parameters was not predictive of long term outcome.","author":[{"dropping-particle":"","family":"Heijmen","given":"Linda","non-dropping-particle":"","parse-names":false,"suffix":""},{"dropping-particle":"","family":"Voert","given":"Edwin E G W","non-dropping-particle":"ter","parse-names":false,"suffix":""},{"dropping-particle":"","family":"Oyen","given":"Wim J G","non-dropping-particle":"","parse-names":false,"suffix":""},{"dropping-particle":"","family":"Punt","given":"Cornelis J A","non-dropping-particle":"","parse-names":false,"suffix":""},{"dropping-particle":"","family":"Spronsen","given":"Dick Johan","non-dropping-particle":"van","parse-names":false,"suffix":""},{"dropping-particle":"","family":"Heerschap","given":"Arend","non-dropping-particle":"","parse-names":false,"suffix":""},{"dropping-particle":"","family":"Geus-Oei","given":"Lioe-Fee","non-dropping-particle":"de","parse-names":false,"suffix":""},{"dropping-particle":"","family":"Laarhoven","given":"Hanneke W M","non-dropping-particle":"van","parse-names":false,"suffix":""}],"container-title":"PloS one","id":"ITEM-1","issue":"4","issued":{"date-parts":[["2015"]]},"page":"e0120823","title":"Multimodality imaging to predict response to systemic treatment in patients with advanced colorectal cancer.","type":"article-journal","volume":"10"},"uris":["http://www.mendeley.com/documents/?uuid=12b9b415-8ad9-4c38-ae96-7a223b5c4713"]}],"mendeley":{"formattedCitation":"&lt;sup&gt;[103]&lt;/sup&gt;","plainTextFormattedCitation":"[103]","previouslyFormattedCitation":"&lt;sup&gt;[103]&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[103]</w:t>
      </w:r>
      <w:r w:rsidR="00A75298" w:rsidRPr="009D7554">
        <w:rPr>
          <w:rFonts w:ascii="Book Antiqua" w:hAnsi="Book Antiqua"/>
          <w:i/>
          <w:lang w:val="en-US"/>
        </w:rPr>
        <w:fldChar w:fldCharType="end"/>
      </w:r>
      <w:r w:rsidRPr="009D7554">
        <w:rPr>
          <w:rFonts w:ascii="Book Antiqua" w:hAnsi="Book Antiqua"/>
          <w:lang w:val="en-US"/>
        </w:rPr>
        <w:t xml:space="preserve"> investigated the ability of BOLD-MRI to predict outcome</w:t>
      </w:r>
      <w:r w:rsidR="009D04E0" w:rsidRPr="009D7554">
        <w:rPr>
          <w:rFonts w:ascii="Book Antiqua" w:hAnsi="Book Antiqua"/>
          <w:lang w:val="en-US"/>
        </w:rPr>
        <w:t>s</w:t>
      </w:r>
      <w:r w:rsidRPr="009D7554">
        <w:rPr>
          <w:rFonts w:ascii="Book Antiqua" w:hAnsi="Book Antiqua"/>
          <w:lang w:val="en-US"/>
        </w:rPr>
        <w:t xml:space="preserve"> and response</w:t>
      </w:r>
      <w:r w:rsidR="009D04E0" w:rsidRPr="009D7554">
        <w:rPr>
          <w:rFonts w:ascii="Book Antiqua" w:hAnsi="Book Antiqua"/>
          <w:lang w:val="en-US"/>
        </w:rPr>
        <w:t>s</w:t>
      </w:r>
      <w:r w:rsidRPr="009D7554">
        <w:rPr>
          <w:rFonts w:ascii="Book Antiqua" w:hAnsi="Book Antiqua"/>
          <w:lang w:val="en-US"/>
        </w:rPr>
        <w:t xml:space="preserve"> to systemic treatment in patients with CRLMs undergoing MRI before and one week after </w:t>
      </w:r>
      <w:r w:rsidR="001F0F25" w:rsidRPr="009D7554">
        <w:rPr>
          <w:rFonts w:ascii="Book Antiqua" w:hAnsi="Book Antiqua"/>
          <w:lang w:val="en-US"/>
        </w:rPr>
        <w:t xml:space="preserve">the </w:t>
      </w:r>
      <w:r w:rsidRPr="009D7554">
        <w:rPr>
          <w:rFonts w:ascii="Book Antiqua" w:hAnsi="Book Antiqua"/>
          <w:lang w:val="en-US"/>
        </w:rPr>
        <w:t>beginning of first</w:t>
      </w:r>
      <w:r w:rsidR="001F0F25" w:rsidRPr="009D7554">
        <w:rPr>
          <w:rFonts w:ascii="Book Antiqua" w:hAnsi="Book Antiqua"/>
          <w:lang w:val="en-US"/>
        </w:rPr>
        <w:t>-</w:t>
      </w:r>
      <w:r w:rsidRPr="009D7554">
        <w:rPr>
          <w:rFonts w:ascii="Book Antiqua" w:hAnsi="Book Antiqua"/>
          <w:lang w:val="en-US"/>
        </w:rPr>
        <w:t xml:space="preserve">line chemotherapy. The </w:t>
      </w:r>
      <w:r w:rsidR="001F0F25" w:rsidRPr="009D7554">
        <w:rPr>
          <w:rFonts w:ascii="Book Antiqua" w:hAnsi="Book Antiqua"/>
          <w:lang w:val="en-US"/>
        </w:rPr>
        <w:t>authors</w:t>
      </w:r>
      <w:r w:rsidRPr="009D7554">
        <w:rPr>
          <w:rFonts w:ascii="Book Antiqua" w:hAnsi="Book Antiqua"/>
          <w:lang w:val="en-US"/>
        </w:rPr>
        <w:t xml:space="preserve"> reported that a low </w:t>
      </w:r>
      <w:r w:rsidR="009D04E0" w:rsidRPr="009D7554">
        <w:rPr>
          <w:rFonts w:ascii="Book Antiqua" w:hAnsi="Book Antiqua"/>
          <w:lang w:val="en-US"/>
        </w:rPr>
        <w:t xml:space="preserve">pretreatment </w:t>
      </w:r>
      <w:r w:rsidRPr="009D7554">
        <w:rPr>
          <w:rFonts w:ascii="Book Antiqua" w:hAnsi="Book Antiqua"/>
          <w:lang w:val="en-US"/>
        </w:rPr>
        <w:t xml:space="preserve">T2* value </w:t>
      </w:r>
      <w:r w:rsidR="009D04E0" w:rsidRPr="009D7554">
        <w:rPr>
          <w:rFonts w:ascii="Book Antiqua" w:hAnsi="Book Antiqua"/>
          <w:lang w:val="en-US"/>
        </w:rPr>
        <w:t xml:space="preserve">in </w:t>
      </w:r>
      <w:r w:rsidRPr="009D7554">
        <w:rPr>
          <w:rFonts w:ascii="Book Antiqua" w:hAnsi="Book Antiqua"/>
          <w:lang w:val="en-US"/>
        </w:rPr>
        <w:t xml:space="preserve">CRLMs (indicating </w:t>
      </w:r>
      <w:r w:rsidR="001F0F25" w:rsidRPr="009D7554">
        <w:rPr>
          <w:rFonts w:ascii="Book Antiqua" w:hAnsi="Book Antiqua"/>
          <w:lang w:val="en-US"/>
        </w:rPr>
        <w:t xml:space="preserve">a </w:t>
      </w:r>
      <w:r w:rsidRPr="009D7554">
        <w:rPr>
          <w:rFonts w:ascii="Book Antiqua" w:hAnsi="Book Antiqua"/>
          <w:lang w:val="en-US"/>
        </w:rPr>
        <w:t xml:space="preserve">higher concentration of deoxyhemoglobin) was a significant predictor for </w:t>
      </w:r>
      <w:r w:rsidR="009D04E0" w:rsidRPr="009D7554">
        <w:rPr>
          <w:rFonts w:ascii="Book Antiqua" w:hAnsi="Book Antiqua"/>
          <w:lang w:val="en-US"/>
        </w:rPr>
        <w:t xml:space="preserve">increased </w:t>
      </w:r>
      <w:r w:rsidRPr="009D7554">
        <w:rPr>
          <w:rFonts w:ascii="Book Antiqua" w:hAnsi="Book Antiqua"/>
          <w:lang w:val="en-US"/>
        </w:rPr>
        <w:t>OS; however, the T2* value did not significantly change one week after</w:t>
      </w:r>
      <w:r w:rsidR="001F0F25" w:rsidRPr="009D7554">
        <w:rPr>
          <w:rFonts w:ascii="Book Antiqua" w:hAnsi="Book Antiqua"/>
          <w:lang w:val="en-US"/>
        </w:rPr>
        <w:t xml:space="preserve"> the</w:t>
      </w:r>
      <w:r w:rsidRPr="009D7554">
        <w:rPr>
          <w:rFonts w:ascii="Book Antiqua" w:hAnsi="Book Antiqua"/>
          <w:lang w:val="en-US"/>
        </w:rPr>
        <w:t xml:space="preserve"> beginning of treatment, </w:t>
      </w:r>
      <w:r w:rsidR="00664D8B" w:rsidRPr="009D7554">
        <w:rPr>
          <w:rFonts w:ascii="Book Antiqua" w:hAnsi="Book Antiqua"/>
          <w:lang w:val="en-US"/>
        </w:rPr>
        <w:t>which did not make it a useful</w:t>
      </w:r>
      <w:r w:rsidRPr="009D7554">
        <w:rPr>
          <w:rFonts w:ascii="Book Antiqua" w:hAnsi="Book Antiqua"/>
          <w:lang w:val="en-US"/>
        </w:rPr>
        <w:t xml:space="preserve"> predictor of the response to therapy.</w:t>
      </w:r>
    </w:p>
    <w:p w:rsidR="00320005" w:rsidRPr="009D7554" w:rsidRDefault="00320005" w:rsidP="008E467B">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 xml:space="preserve">MRSI is a noninvasive technique that allows </w:t>
      </w:r>
      <w:r w:rsidR="001F0F25" w:rsidRPr="009D7554">
        <w:rPr>
          <w:rFonts w:ascii="Book Antiqua" w:hAnsi="Book Antiqua"/>
          <w:lang w:val="en-US"/>
        </w:rPr>
        <w:t>the measurement of</w:t>
      </w:r>
      <w:r w:rsidRPr="009D7554">
        <w:rPr>
          <w:rFonts w:ascii="Book Antiqua" w:hAnsi="Book Antiqua"/>
          <w:lang w:val="en-US"/>
        </w:rPr>
        <w:t xml:space="preserve"> metabolites and metabolic processes </w:t>
      </w:r>
      <w:r w:rsidR="009D04E0" w:rsidRPr="009D7554">
        <w:rPr>
          <w:rFonts w:ascii="Book Antiqua" w:hAnsi="Book Antiqua"/>
          <w:lang w:val="en-US"/>
        </w:rPr>
        <w:t xml:space="preserve">in </w:t>
      </w:r>
      <w:r w:rsidRPr="009D7554">
        <w:rPr>
          <w:rFonts w:ascii="Book Antiqua" w:hAnsi="Book Antiqua"/>
          <w:lang w:val="en-US"/>
        </w:rPr>
        <w:t>normal and pathological tissues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{"citationItems":[{"id":"ITEM-1","itemData":{"DOI":"10.1016/j.mri.2012.02.013","ISSN":"1873-5894","PMID":"22503087","abstract":"INTRODUCTION To diagnose rectal cancer and monitor treatment response after preoperative concurrent chemoradiotherapy (CCRT) in rectal cancer patients using proton-1 magnetic resonance spectroscopy ((1)H-MRS). MATERIALS AND METHODS We enrolled 134 rectal cancer patients before treatment, of whom 34 underwent preoperative CCRT and follow-up MR spectroscopy before surgery. (1)H-MRS was performed using a six-channel phased-array coil at 3.0 T. We evaluated the presence of a choline peak at 3.2 ppm, and lipid peaks at 0.9 and 1.3 ppm, and glutamine and glutamate peaks at 2.1-2.3 and 2.7 ppm seen at two TEs (40 and 135 ms). We divided MR spectra patterns into two groups (A and B). RESULTS A choline peak at 3.2 ppm seen in both TEs was characteristic for rectal cancer before treatment. Of 103 patients, 55 (53%) showed an elevated choline peak before treatment (type A). Type A spectra were seen in 68% of patients (23/34) before preoperative CCRT. After CCRT, the choline peak disappeared, resulting in only the lipid peak at 1.3 ppm (type B) in 97% of patients (33/34). DISCUSSION We optimized a localized in vivo(1)H-MRS method for detection of rectal adenocarcinoma and monitoring treatment response after preoperative CCRT. The method appears to be a promising and feasible noninvasive modality.","author":[{"dropping-particle":"","family":"Kim","given":"Min Ju","non-dropping-particle":"","parse-names":false,"suffix":""},{"dropping-particle":"","family":"Lee","given":"Soon Jin","non-dropping-particle":"","parse-names":false,"suffix":""},{"dropping-particle":"","family":"Lee","given":"Jung Hee","non-dropping-particle":"","parse-names":false,"suffix":""},{"dropping-particle":"","family":"Kim","given":"Seung Hoon","non-dropping-particle":"","parse-names":false,"suffix":""},{"dropping-particle":"","family":"Chun","given":"Ho Kyung","non-dropping-particle":"","parse-names":false,"suffix":""},{"dropping-particle":"","family":"Kim","given":"Seong Hyun","non-dropping-particle":"","parse-names":false,"suffix":""},{"dropping-particle":"","family":"Lim","given":"Hyo Keun","non-dropping-particle":"","parse-names":false,"suffix":""},{"dropping-particle":"","family":"Yun","given":"Seong Hyeon","non-dropping-particle":"","parse-names":false,"suffix":""}],"container-title":"Magnetic resonance imaging","id":"ITEM-1","issue":"6","issued":{"date-parts":[["2012","7"]]},"page":"848-53","title":"Detection of rectal cancer and response to concurrent chemoradiotherapy by proton magnetic resonance spectroscopy.","type":"article-journal","volume":"30"},"uris":["http://www.mendeley.com/documents/?uuid=a2917d00-26ed-46bc-8aba-9d53c16e146b"]}],"mendeley":{"formattedCitation":"&lt;sup&gt;[120]&lt;/sup&gt;","plainTextFormattedCitation":"[120]","previouslyFormattedCitation":"&lt;sup&gt;[120]&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[120]</w:t>
      </w:r>
      <w:r w:rsidR="00A75298" w:rsidRPr="009D7554">
        <w:rPr>
          <w:rFonts w:ascii="Book Antiqua" w:hAnsi="Book Antiqua"/>
          <w:lang w:val="en-US"/>
        </w:rPr>
        <w:fldChar w:fldCharType="end"/>
      </w:r>
      <w:r w:rsidRPr="009D7554">
        <w:rPr>
          <w:rFonts w:ascii="Book Antiqua" w:hAnsi="Book Antiqua"/>
          <w:lang w:val="en-US"/>
        </w:rPr>
        <w:t>. The resonance frequencies of the metabolites are expressed in parts per million (ppm)</w:t>
      </w:r>
      <w:r w:rsidR="009D04E0" w:rsidRPr="009D7554">
        <w:rPr>
          <w:rFonts w:ascii="Book Antiqua" w:hAnsi="Book Antiqua"/>
          <w:lang w:val="en-US"/>
        </w:rPr>
        <w:t>.</w:t>
      </w:r>
      <w:r w:rsidRPr="009D7554">
        <w:rPr>
          <w:rFonts w:ascii="Book Antiqua" w:hAnsi="Book Antiqua"/>
          <w:lang w:val="en-US"/>
        </w:rPr>
        <w:t xml:space="preserve"> Tumor tissues are characterized by </w:t>
      </w:r>
      <w:r w:rsidR="009D04E0" w:rsidRPr="009D7554">
        <w:rPr>
          <w:rFonts w:ascii="Book Antiqua" w:hAnsi="Book Antiqua"/>
          <w:lang w:val="en-US"/>
        </w:rPr>
        <w:t xml:space="preserve">disordered </w:t>
      </w:r>
      <w:r w:rsidRPr="009D7554">
        <w:rPr>
          <w:rFonts w:ascii="Book Antiqua" w:hAnsi="Book Antiqua"/>
          <w:lang w:val="en-US"/>
        </w:rPr>
        <w:t xml:space="preserve">energy </w:t>
      </w:r>
      <w:r w:rsidR="009D04E0" w:rsidRPr="009D7554">
        <w:rPr>
          <w:rFonts w:ascii="Book Antiqua" w:hAnsi="Book Antiqua"/>
          <w:lang w:val="en-US"/>
        </w:rPr>
        <w:t xml:space="preserve">metabolism </w:t>
      </w:r>
      <w:r w:rsidRPr="009D7554">
        <w:rPr>
          <w:rFonts w:ascii="Book Antiqua" w:hAnsi="Book Antiqua"/>
          <w:lang w:val="en-US"/>
        </w:rPr>
        <w:t>(</w:t>
      </w:r>
      <w:r w:rsidR="009D04E0" w:rsidRPr="009D7554">
        <w:rPr>
          <w:rFonts w:ascii="Book Antiqua" w:hAnsi="Book Antiqua"/>
          <w:lang w:val="en-US"/>
        </w:rPr>
        <w:t xml:space="preserve">an </w:t>
      </w:r>
      <w:r w:rsidRPr="009D7554">
        <w:rPr>
          <w:rFonts w:ascii="Book Antiqua" w:hAnsi="Book Antiqua"/>
          <w:lang w:val="en-US"/>
        </w:rPr>
        <w:t xml:space="preserve">increased lactate concentration </w:t>
      </w:r>
      <w:r w:rsidR="009D04E0" w:rsidRPr="009D7554">
        <w:rPr>
          <w:rFonts w:ascii="Book Antiqua" w:hAnsi="Book Antiqua"/>
          <w:lang w:val="en-US"/>
        </w:rPr>
        <w:t>due to</w:t>
      </w:r>
      <w:r w:rsidRPr="009D7554">
        <w:rPr>
          <w:rFonts w:ascii="Book Antiqua" w:hAnsi="Book Antiqua"/>
          <w:lang w:val="en-US"/>
        </w:rPr>
        <w:t xml:space="preserve"> anaerobic glycolysis</w:t>
      </w:r>
      <w:r w:rsidR="009D04E0" w:rsidRPr="009D7554">
        <w:rPr>
          <w:rFonts w:ascii="Book Antiqua" w:hAnsi="Book Antiqua"/>
          <w:lang w:val="en-US"/>
        </w:rPr>
        <w:t xml:space="preserve"> and the </w:t>
      </w:r>
      <w:r w:rsidRPr="009D7554">
        <w:rPr>
          <w:rFonts w:ascii="Book Antiqua" w:hAnsi="Book Antiqua"/>
          <w:lang w:val="en-US"/>
        </w:rPr>
        <w:t xml:space="preserve">activation of </w:t>
      </w:r>
      <w:r w:rsidR="009D04E0" w:rsidRPr="009D7554">
        <w:rPr>
          <w:rFonts w:ascii="Book Antiqua" w:hAnsi="Book Antiqua"/>
          <w:lang w:val="en-US"/>
        </w:rPr>
        <w:t xml:space="preserve">the </w:t>
      </w:r>
      <w:r w:rsidRPr="009D7554">
        <w:rPr>
          <w:rFonts w:ascii="Book Antiqua" w:hAnsi="Book Antiqua"/>
          <w:lang w:val="en-US"/>
        </w:rPr>
        <w:t>creatine/phosphocreatine system), amino acid</w:t>
      </w:r>
      <w:r w:rsidR="009D04E0" w:rsidRPr="009D7554">
        <w:rPr>
          <w:rFonts w:ascii="Book Antiqua" w:hAnsi="Book Antiqua"/>
          <w:lang w:val="en-US"/>
        </w:rPr>
        <w:t xml:space="preserve"> metabolism </w:t>
      </w:r>
      <w:r w:rsidRPr="009D7554">
        <w:rPr>
          <w:rFonts w:ascii="Book Antiqua" w:hAnsi="Book Antiqua"/>
          <w:lang w:val="en-US"/>
        </w:rPr>
        <w:t>(</w:t>
      </w:r>
      <w:r w:rsidR="009D04E0" w:rsidRPr="009D7554">
        <w:rPr>
          <w:rFonts w:ascii="Book Antiqua" w:hAnsi="Book Antiqua"/>
          <w:lang w:val="en-US"/>
        </w:rPr>
        <w:t xml:space="preserve">the </w:t>
      </w:r>
      <w:r w:rsidRPr="009D7554">
        <w:rPr>
          <w:rFonts w:ascii="Book Antiqua" w:hAnsi="Book Antiqua"/>
          <w:lang w:val="en-US"/>
        </w:rPr>
        <w:t xml:space="preserve">accumulation of amino acids due to </w:t>
      </w:r>
      <w:r w:rsidR="009D04E0" w:rsidRPr="009D7554">
        <w:rPr>
          <w:rFonts w:ascii="Book Antiqua" w:hAnsi="Book Antiqua"/>
          <w:lang w:val="en-US"/>
        </w:rPr>
        <w:t xml:space="preserve">the increased </w:t>
      </w:r>
      <w:r w:rsidRPr="009D7554">
        <w:rPr>
          <w:rFonts w:ascii="Book Antiqua" w:hAnsi="Book Antiqua"/>
          <w:lang w:val="en-US"/>
        </w:rPr>
        <w:t xml:space="preserve">turnover of structural proteins) and choline metabolism (increased levels of choline, </w:t>
      </w:r>
      <w:r w:rsidR="009D04E0" w:rsidRPr="009D7554">
        <w:rPr>
          <w:rFonts w:ascii="Book Antiqua" w:hAnsi="Book Antiqua"/>
          <w:lang w:val="en-US"/>
        </w:rPr>
        <w:t xml:space="preserve">which is </w:t>
      </w:r>
      <w:r w:rsidRPr="009D7554">
        <w:rPr>
          <w:rFonts w:ascii="Book Antiqua" w:hAnsi="Book Antiqua"/>
          <w:lang w:val="en-US"/>
        </w:rPr>
        <w:t>a marker of cellular membrane turnover related to cell proliferation)</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{"citationItems":[{"id":"ITEM-1","itemData":{"DOI":"10.1186/1476-4598-12-121","ISSN":"1476-4598","PMID":"24138801","abstract":"BACKGROUND Rectal cancer is one of the most prevalent tumor types. Understanding the metabolic profile of rectal cancer is important for developing therapeutic approaches and molecular diagnosis. METHODS Here, we report a metabonomics profiling of tissue samples on a large cohort of human rectal cancer subjects (n = 127) and normal controls (n = 43) using 1H nuclear magnetic resonance (1H NMR) based metabonomics assay, which is a highly sensitive and non-destructive method for the biomarker identification in biological systems. Principal component analysis (PCA), partial least squares discriminant analysis (PLS-DA) and orthogonal projection to latent structure with discriminant analysis (OPLS-DA) were applied to analyze the 1H-NMR profiling data to identify the distinguishing metabolites of rectal cancer. RESULTS Excellent separation was obtained and distinguishing metabolites were observed among the different stages of rectal cancer tissues (stage I = 35; stage II = 37; stage III = 37 and stage IV = 18) and normal controls. A total of 38 differential metabolites were identified, 16 of which were closely correlated with the stage of rectal cancer. The up-regulation of 10 metabolites, including lactate, threonine, acetate, glutathione, uracil, succinate, serine, formate, lysine and tyrosine, were detected in the cancer tissues. On the other hand, 6 metabolites, including myo-inositol, taurine, phosphocreatine, creatine, betaine and dimethylglycine were decreased in cancer tissues. These modified metabolites revealed disturbance of energy, amino acids, ketone body and choline metabolism, which may be correlated with the progression of human rectal cancer. CONCLUSION Our findings firstly identify the distinguishing metabolites in different stages of rectal cancer tissues, indicating possibility of the attribution of metabolites disturbance to the progression of rectal cancer. The altered metabolites may be as potential biomarkers, which would provide a promising molecular diagnostic approach for clinical diagnosis of human rectal cancer. The role and underlying mechanism of metabolites in rectal cancer progression are worth being further investigated.","author":[{"dropping-particle":"","family":"Wang","given":"Huijuan","non-dropping-particle":"","parse-names":false,"suffix":""},{"dropping-particle":"","family":"Wang","given":"Liang","non-dropping-particle":"","parse-names":false,"suffix":""},{"dropping-particle":"","family":"Zhang","given":"Hailong","non-dropping-particle":"","parse-names":false,"suffix":""},{"dropping-particle":"","family":"Deng","given":"Pengchi","non-dropping-particle":"","parse-names":false,"suffix":""},{"dropping-particle":"","family":"Chen","given":"Jie","non-dropping-particle":"","parse-names":false,"suffix":""},{"dropping-particle":"","family":"Zhou","given":"Bin","non-dropping-particle":"","parse-names":false,"suffix":""},{"dropping-particle":"","family":"Hu","given":"Jing","non-dropping-particle":"","parse-names":false,"suffix":""},{"dropping-particle":"","family":"Zou","given":"Jun","non-dropping-particle":"","parse-names":false,"suffix":""},{"dropping-particle":"","family":"Lu","given":"Wenjie","non-dropping-particle":"","parse-names":false,"suffix":""},{"dropping-particle":"","family":"Xiang","given":"Pu","non-dropping-particle":"","parse-names":false,"suffix":""},{"dropping-particle":"","family":"Wu","given":"Tianming","non-dropping-particle":"","parse-names":false,"suffix":""},{"dropping-particle":"","family":"Shao","given":"Xiaoni","non-dropping-particle":"","parse-names":false,"suffix":""},{"dropping-particle":"","family":"Li","given":"Yuan","non-dropping-particle":"","parse-names":false,"suffix":""},{"dropping-particle":"","family":"Zhou","given":"Zongguang","non-dropping-particle":"","parse-names":false,"suffix":""},{"dropping-particle":"","family":"Zhao","given":"Ying-Lan","non-dropping-particle":"","parse-names":false,"suffix":""}],"container-title":"Molecular cancer","id":"ITEM-1","issue":"1","issued":{"date-parts":[["2013","10","18"]]},"page":"121","title":"¹H NMR-based metabolic profiling of human rectal cancer tissue.","type":"article-journal","volume":"12"},"uris":["http://www.mendeley.com/documents/?uuid=5e84a4b0-938b-471b-b484-c42b4748318c"]}],"mendeley":{"formattedCitation":"&lt;sup&gt;[121]&lt;/sup&gt;","plainTextFormattedCitation":"[121]","previouslyFormattedCitation":"&lt;sup&gt;[121]&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[121]</w:t>
      </w:r>
      <w:r w:rsidR="00A75298" w:rsidRPr="009D7554">
        <w:rPr>
          <w:rFonts w:ascii="Book Antiqua" w:hAnsi="Book Antiqua"/>
          <w:lang w:val="en-US"/>
        </w:rPr>
        <w:fldChar w:fldCharType="end"/>
      </w:r>
      <w:r w:rsidR="00022B8D" w:rsidRPr="009D7554">
        <w:rPr>
          <w:rFonts w:ascii="Book Antiqua" w:hAnsi="Book Antiqua"/>
          <w:bCs/>
          <w:lang w:val="en-US"/>
        </w:rPr>
        <w:t xml:space="preserve">. Dzik-Jurasz </w:t>
      </w:r>
      <w:r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{"citationItems":[{"id":"ITEM-1","itemData":{"DOI":"10.1002/mrm.10108","ISSN":"0740-3194","PMID":"11948744","abstract":"This study was designed to determine whether 1H-MR spectra of locally advanced human rectal adenocarcinoma could be acquired in vivo at 1.5 T. Despite the relatively large size of these neoplasms, only six out of 21 tumors accommodated a voxel size of 8 cm3. This was due to air pockets within the tumor mass, which limited voxel positioning. Localized proton spectra were acquired at short (20 ms) and long (135 ms) echo times (TEs) using a single-voxel technique. The most commonly detected metabolites were choline and lipid.","author":[{"dropping-particle":"","family":"Dzik-Jurasz","given":"A.S.K.","non-dropping-particle":"","parse-names":false,"suffix":""},{"dropping-particle":"","family":"Murphy","given":"P.S.","non-dropping-particle":"","parse-names":false,"suffix":""},{"dropping-particle":"","family":"George","given":"M","non-dropping-particle":"","parse-names":false,"suffix":""},{"dropping-particle":"","family":"Prock","given":"T","non-dropping-particle":"","parse-names":false,"suffix":""},{"dropping-particle":"","family":"Collins","given":"D.J.","non-dropping-particle":"","parse-names":false,"suffix":""},{"dropping-particle":"","family":"Swift","given":"I","non-dropping-particle":"","parse-names":false,"suffix":""},{"dropping-particle":"","family":"Leach","given":"M.O.","non-dropping-particle":"","parse-names":false,"suffix":""},{"dropping-particle":"","family":"Rowland","given":"I.J.","non-dropping-particle":"","parse-names":false,"suffix":""}],"container-title":"Magnetic Resonance in Medicine","id":"ITEM-1","issue":"4","issued":{"date-parts":[["2002","4"]]},"page":"809-811","title":"Human rectal adenocarcinoma: Demonstration of1H-MR spectra in vivo at 1.5 T","type":"article-journal","volume":"47"},"uris":["http://www.mendeley.com/documents/?uuid=8545f098-ccfc-4f9b-b258-7fc1adbfd52e"]}],"mendeley":{"formattedCitation":"&lt;sup&gt;[122]&lt;/sup&gt;","plainTextFormattedCitation":"[122]","previouslyFormattedCitation":"&lt;sup&gt;[122]&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[122]</w:t>
      </w:r>
      <w:r w:rsidR="00A75298" w:rsidRPr="009D7554">
        <w:rPr>
          <w:rFonts w:ascii="Book Antiqua" w:hAnsi="Book Antiqua"/>
          <w:i/>
          <w:lang w:val="en-US"/>
        </w:rPr>
        <w:fldChar w:fldCharType="end"/>
      </w:r>
      <w:r w:rsidRPr="009D7554">
        <w:rPr>
          <w:rFonts w:ascii="Book Antiqua" w:hAnsi="Book Antiqua"/>
          <w:bCs/>
          <w:lang w:val="en-US"/>
        </w:rPr>
        <w:t xml:space="preserve"> demonstrated the presence of choline and lipid peaks in patients with RC. Kim </w:t>
      </w:r>
      <w:r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{"citationItems":[{"id":"ITEM-1","itemData":{"DOI":"10.1016/j.mri.2012.02.013","ISSN":"1873-5894","PMID":"22503087","abstract":"INTRODUCTION To diagnose rectal cancer and monitor treatment response after preoperative concurrent chemoradiotherapy (CCRT) in rectal cancer patients using proton-1 magnetic resonance spectroscopy ((1)H-MRS). MATERIALS AND METHODS We enrolled 134 rectal cancer patients before treatment, of whom 34 underwent preoperative CCRT and follow-up MR spectroscopy before surgery. (1)H-MRS was performed using a six-channel phased-array coil at 3.0 T. We evaluated the presence of a choline peak at 3.2 ppm, and lipid peaks at 0.9 and 1.3 ppm, and glutamine and glutamate peaks at 2.1-2.3 and 2.7 ppm seen at two TEs (40 and 135 ms). We divided MR spectra patterns into two groups (A and B). RESULTS A choline peak at 3.2 ppm seen in both TEs was characteristic for rectal cancer before treatment. Of 103 patients, 55 (53%) showed an elevated choline peak before treatment (type A). Type A spectra were seen in 68% of patients (23/34) before preoperative CCRT. After CCRT, the choline peak disappeared, resulting in only the lipid peak at 1.3 ppm (type B) in 97% of patients (33/34). DISCUSSION We optimized a localized in vivo(1)H-MRS method for detection of rectal adenocarcinoma and monitoring treatment response after preoperative CCRT. The method appears to be a promising and feasible noninvasive modality.","author":[{"dropping-particle":"","family":"Kim","given":"Min Ju","non-dropping-particle":"","parse-names":false,"suffix":""},{"dropping-particle":"","family":"Lee","given":"Soon Jin","non-dropping-particle":"","parse-names":false,"suffix":""},{"dropping-particle":"","family":"Lee","given":"Jung Hee","non-dropping-particle":"","parse-names":false,"suffix":""},{"dropping-particle":"","family":"Kim","given":"Seung Hoon","non-dropping-particle":"","parse-names":false,"suffix":""},{"dropping-particle":"","family":"Chun","given":"Ho Kyung","non-dropping-particle":"","parse-names":false,"suffix":""},{"dropping-particle":"","family":"Kim","given":"Seong Hyun","non-dropping-particle":"","parse-names":false,"suffix":""},{"dropping-particle":"","family":"Lim","given":"Hyo Keun","non-dropping-particle":"","parse-names":false,"suffix":""},{"dropping-particle":"","family":"Yun","given":"Seong Hyeon","non-dropping-particle":"","parse-names":false,"suffix":""}],"container-title":"Magnetic resonance imaging","id":"ITEM-1","issue":"6","issued":{"date-parts":[["2012","7"]]},"page":"848-53","title":"Detection of rectal cancer and response to concurrent chemoradiotherapy by proton magnetic resonance spectroscopy.","type":"article-journal","volume":"30"},"uris":["http://www.mendeley.com/documents/?uuid=a2917d00-26ed-46bc-8aba-9d53c16e146b"]}],"mendeley":{"formattedCitation":"&lt;sup&gt;[120]&lt;/sup&gt;","plainTextFormattedCitation":"[120]","previouslyFormattedCitation":"&lt;sup&gt;[120]&lt;/sup&gt;"},"properties":{"noteIndex":0},"schema":"https://github.com/citation-style-language/schema/raw/master/csl-citation.json"}</w:instrText>
      </w:r>
      <w:r w:rsidR="00A75298" w:rsidRPr="009D7554">
        <w:rPr>
          <w:rFonts w:ascii="Book Antiqua" w:hAnsi="Book Antiqua"/>
          <w:i/>
          <w:lang w:val="en-US"/>
        </w:rPr>
        <w:fldChar w:fldCharType="separate"/>
      </w:r>
      <w:r w:rsidR="00DF4FB7" w:rsidRPr="009D7554">
        <w:rPr>
          <w:rFonts w:ascii="Book Antiqua" w:hAnsi="Book Antiqua"/>
          <w:vertAlign w:val="superscript"/>
          <w:lang w:val="en-US"/>
        </w:rPr>
        <w:t>[120]</w:t>
      </w:r>
      <w:r w:rsidR="00A75298" w:rsidRPr="009D7554">
        <w:rPr>
          <w:rFonts w:ascii="Book Antiqua" w:hAnsi="Book Antiqua"/>
          <w:i/>
          <w:lang w:val="en-US"/>
        </w:rPr>
        <w:fldChar w:fldCharType="end"/>
      </w:r>
      <w:r w:rsidRPr="009D7554">
        <w:rPr>
          <w:rFonts w:ascii="Book Antiqua" w:hAnsi="Book Antiqua"/>
          <w:lang w:val="en-US"/>
        </w:rPr>
        <w:t xml:space="preserve"> reported that </w:t>
      </w:r>
      <w:r w:rsidR="009D04E0" w:rsidRPr="009D7554">
        <w:rPr>
          <w:rFonts w:ascii="Book Antiqua" w:hAnsi="Book Antiqua"/>
          <w:lang w:val="en-US"/>
        </w:rPr>
        <w:t xml:space="preserve">a </w:t>
      </w:r>
      <w:r w:rsidRPr="009D7554">
        <w:rPr>
          <w:rFonts w:ascii="Book Antiqua" w:hAnsi="Book Antiqua"/>
          <w:lang w:val="en-US"/>
        </w:rPr>
        <w:t>choline peak at 3.2 ppm in patients with RC disappeared after radiation therapy and chemotherapy.</w:t>
      </w:r>
    </w:p>
    <w:p w:rsidR="00CE4AB4" w:rsidRPr="009D7554" w:rsidRDefault="00CE4AB4" w:rsidP="008E467B">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 xml:space="preserve">Both </w:t>
      </w:r>
      <w:r w:rsidR="001F0F25" w:rsidRPr="009D7554">
        <w:rPr>
          <w:rFonts w:ascii="Book Antiqua" w:hAnsi="Book Antiqua"/>
          <w:lang w:val="en-US"/>
        </w:rPr>
        <w:t xml:space="preserve">of </w:t>
      </w:r>
      <w:r w:rsidRPr="009D7554">
        <w:rPr>
          <w:rFonts w:ascii="Book Antiqua" w:hAnsi="Book Antiqua"/>
          <w:lang w:val="en-US"/>
        </w:rPr>
        <w:t xml:space="preserve">these modalities suffer from limited clinical applicability due to </w:t>
      </w:r>
      <w:r w:rsidR="001F0F25" w:rsidRPr="009D7554">
        <w:rPr>
          <w:rFonts w:ascii="Book Antiqua" w:hAnsi="Book Antiqua"/>
          <w:lang w:val="en-US"/>
        </w:rPr>
        <w:t>their</w:t>
      </w:r>
      <w:r w:rsidRPr="009D7554">
        <w:rPr>
          <w:rFonts w:ascii="Book Antiqua" w:hAnsi="Book Antiqua"/>
          <w:lang w:val="en-US"/>
        </w:rPr>
        <w:t xml:space="preserve"> high intrinsic technical complexity; furthermore, there are still insufficient </w:t>
      </w:r>
      <w:r w:rsidR="009D04E0" w:rsidRPr="009D7554">
        <w:rPr>
          <w:rFonts w:ascii="Book Antiqua" w:hAnsi="Book Antiqua"/>
          <w:lang w:val="en-US"/>
        </w:rPr>
        <w:t xml:space="preserve">evidence </w:t>
      </w:r>
      <w:r w:rsidRPr="009D7554">
        <w:rPr>
          <w:rFonts w:ascii="Book Antiqua" w:hAnsi="Book Antiqua"/>
          <w:lang w:val="en-US"/>
        </w:rPr>
        <w:t xml:space="preserve">in </w:t>
      </w:r>
      <w:r w:rsidR="001F0F25" w:rsidRPr="009D7554">
        <w:rPr>
          <w:rFonts w:ascii="Book Antiqua" w:hAnsi="Book Antiqua"/>
          <w:lang w:val="en-US"/>
        </w:rPr>
        <w:t xml:space="preserve">the </w:t>
      </w:r>
      <w:r w:rsidRPr="009D7554">
        <w:rPr>
          <w:rFonts w:ascii="Book Antiqua" w:hAnsi="Book Antiqua"/>
          <w:lang w:val="en-US"/>
        </w:rPr>
        <w:t>literature to define their possible role in CRC clinical management.</w:t>
      </w:r>
    </w:p>
    <w:p w:rsidR="00106235" w:rsidRPr="009D7554" w:rsidRDefault="00106235" w:rsidP="006A253E">
      <w:pPr>
        <w:widowControl w:val="0"/>
        <w:autoSpaceDE w:val="0"/>
        <w:autoSpaceDN w:val="0"/>
        <w:adjustRightInd w:val="0"/>
        <w:snapToGrid w:val="0"/>
        <w:spacing w:line="360" w:lineRule="auto"/>
        <w:jc w:val="both"/>
        <w:rPr>
          <w:rFonts w:ascii="Book Antiqua" w:hAnsi="Book Antiqua"/>
          <w:lang w:val="en-US"/>
        </w:rPr>
      </w:pPr>
    </w:p>
    <w:p w:rsidR="00601E73" w:rsidRPr="009D7554" w:rsidRDefault="00601E73" w:rsidP="006A253E">
      <w:pPr>
        <w:snapToGrid w:val="0"/>
        <w:spacing w:line="360" w:lineRule="auto"/>
        <w:jc w:val="both"/>
        <w:rPr>
          <w:rFonts w:ascii="Book Antiqua" w:hAnsi="Book Antiqua"/>
          <w:b/>
          <w:lang w:val="en-US"/>
        </w:rPr>
      </w:pPr>
      <w:r w:rsidRPr="009D7554">
        <w:rPr>
          <w:rFonts w:ascii="Book Antiqua" w:hAnsi="Book Antiqua"/>
          <w:b/>
          <w:lang w:val="en-US"/>
        </w:rPr>
        <w:t>QUANTITATIVE IMAGE ANALYSIS METHODS</w:t>
      </w:r>
    </w:p>
    <w:p w:rsidR="009515E9" w:rsidRPr="009D7554" w:rsidRDefault="009515E9" w:rsidP="006A253E">
      <w:pPr>
        <w:widowControl w:val="0"/>
        <w:autoSpaceDE w:val="0"/>
        <w:autoSpaceDN w:val="0"/>
        <w:adjustRightInd w:val="0"/>
        <w:snapToGrid w:val="0"/>
        <w:spacing w:line="360" w:lineRule="auto"/>
        <w:jc w:val="both"/>
        <w:rPr>
          <w:rFonts w:ascii="Book Antiqua" w:hAnsi="Book Antiqua"/>
          <w:b/>
          <w:i/>
          <w:iCs/>
          <w:lang w:val="en-US"/>
        </w:rPr>
      </w:pPr>
      <w:r w:rsidRPr="009D7554">
        <w:rPr>
          <w:rFonts w:ascii="Book Antiqua" w:hAnsi="Book Antiqua"/>
          <w:b/>
          <w:i/>
          <w:iCs/>
          <w:lang w:val="en-US"/>
        </w:rPr>
        <w:t xml:space="preserve">Texture </w:t>
      </w:r>
      <w:r w:rsidR="0031379A" w:rsidRPr="009D7554">
        <w:rPr>
          <w:rFonts w:ascii="Book Antiqua" w:hAnsi="Book Antiqua"/>
          <w:b/>
          <w:i/>
          <w:iCs/>
          <w:lang w:val="en-US"/>
        </w:rPr>
        <w:t>a</w:t>
      </w:r>
      <w:r w:rsidRPr="009D7554">
        <w:rPr>
          <w:rFonts w:ascii="Book Antiqua" w:hAnsi="Book Antiqua"/>
          <w:b/>
          <w:i/>
          <w:iCs/>
          <w:lang w:val="en-US"/>
        </w:rPr>
        <w:t>nalysis</w:t>
      </w:r>
    </w:p>
    <w:p w:rsidR="009515E9" w:rsidRPr="009D7554" w:rsidRDefault="009515E9" w:rsidP="006A253E">
      <w:pPr>
        <w:widowControl w:val="0"/>
        <w:autoSpaceDE w:val="0"/>
        <w:autoSpaceDN w:val="0"/>
        <w:adjustRightInd w:val="0"/>
        <w:snapToGrid w:val="0"/>
        <w:spacing w:line="360" w:lineRule="auto"/>
        <w:jc w:val="both"/>
        <w:rPr>
          <w:rFonts w:ascii="Book Antiqua" w:hAnsi="Book Antiqua"/>
          <w:b/>
          <w:bCs/>
          <w:iCs/>
          <w:lang w:val="en-US"/>
        </w:rPr>
      </w:pPr>
      <w:r w:rsidRPr="009D7554">
        <w:rPr>
          <w:rFonts w:ascii="Book Antiqua" w:hAnsi="Book Antiqua"/>
          <w:b/>
          <w:bCs/>
          <w:iCs/>
          <w:lang w:val="en-US"/>
        </w:rPr>
        <w:t>Physiological aspects and technical features</w:t>
      </w:r>
      <w:r w:rsidR="008E467B" w:rsidRPr="009D7554">
        <w:rPr>
          <w:rFonts w:ascii="Book Antiqua" w:eastAsia="等线" w:hAnsi="Book Antiqua" w:hint="eastAsia"/>
          <w:b/>
          <w:bCs/>
          <w:iCs/>
          <w:lang w:val="en-US" w:eastAsia="zh-CN"/>
        </w:rPr>
        <w:t>:</w:t>
      </w:r>
      <w:r w:rsidR="008E467B" w:rsidRPr="009D7554">
        <w:rPr>
          <w:rFonts w:ascii="Book Antiqua" w:eastAsia="等线" w:hAnsi="Book Antiqua"/>
          <w:b/>
          <w:bCs/>
          <w:iCs/>
          <w:lang w:val="en-US" w:eastAsia="zh-CN"/>
        </w:rPr>
        <w:t xml:space="preserve"> </w:t>
      </w:r>
      <w:r w:rsidRPr="009D7554">
        <w:rPr>
          <w:rFonts w:ascii="Book Antiqua" w:hAnsi="Book Antiqua"/>
          <w:lang w:val="en-US"/>
        </w:rPr>
        <w:t>As previously stated, tumor heterogeneity is a hallmark of malignancy</w:t>
      </w:r>
      <w:r w:rsidR="004A3A62" w:rsidRPr="009D7554">
        <w:rPr>
          <w:rFonts w:ascii="Book Antiqua" w:hAnsi="Book Antiqua"/>
          <w:lang w:val="en-US"/>
        </w:rPr>
        <w:t xml:space="preserve"> that is</w:t>
      </w:r>
      <w:r w:rsidRPr="009D7554">
        <w:rPr>
          <w:rFonts w:ascii="Book Antiqua" w:hAnsi="Book Antiqua"/>
          <w:lang w:val="en-US"/>
        </w:rPr>
        <w:t xml:space="preserve"> highly related </w:t>
      </w:r>
      <w:r w:rsidR="004A3A62" w:rsidRPr="009D7554">
        <w:rPr>
          <w:rFonts w:ascii="Book Antiqua" w:hAnsi="Book Antiqua"/>
          <w:lang w:val="en-US"/>
        </w:rPr>
        <w:t xml:space="preserve">to </w:t>
      </w:r>
      <w:r w:rsidRPr="009D7554">
        <w:rPr>
          <w:rFonts w:ascii="Book Antiqua" w:hAnsi="Book Antiqua"/>
          <w:lang w:val="en-US"/>
        </w:rPr>
        <w:t>tumor biology</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{"citationItems":[{"id":"ITEM-1","itemData":{"DOI":"10.1102/1470-7330.2013.0015","ISSN":"14707330","PMID":"23545171","abstract":"Heterogeneity is a key feature of malignancy associated with adverse tumour biology. Quantifying heterogeneity could provide a useful non-invasive imaging biomarker. Heterogeneity on computed tomography (CT) can be quantified using texture analysis which extracts spatial information from CT images (unenhanced, contrast-enhanced and derived images such as CT perfusion) that may not be perceptible to the naked eye. The main components of texture analysis can be categorized into image transformation and quantification. Image transformation filters the conventional image into its basic components (spatial, frequency, etc.) to produce derived subimages. Texture quantification techniques include structural-, model- (fractal dimensions), statistical- and frequency-based methods. The underlying tumour biology that CT texture analysis may reflect includes (but is not limited to) tumour hypoxia and angiogenesis. Emerging studies show that CT texture analysis has the potential to be a useful adjunct in clinical oncologic imaging, providing important information about tumour characterization, prognosis and treatment prediction and response.","author":[{"dropping-particle":"","family":"Ganeshan","given":"Balaji","non-dropping-particle":"","parse-names":false,"suffix":""},{"dropping-particle":"","family":"Miles","given":"Kenneth A","non-dropping-particle":"","parse-names":false,"suffix":""}],"container-title":"Cancer Imaging","id":"ITEM-1","issue":"1","issued":{"date-parts":[["2013","3","26"]]},"page":"140-149","title":"Quantifying tumour heterogeneity with CT","type":"article-journal","volume":"13"},"uris":["http://www.mendeley.com/documents/?uuid=bd76f2ca-0962-487c-b55a-c8d0c6cc9161"]},{"id":"ITEM-2","itemData":{"DOI":"10.1101/gad.1204904","ISSN":"0890-9369","PMID":"15314031","abstract":"Genomic instability is a hallmark of cancer development and progression, and characterizing the stresses that create and the mechanisms by which cells respond to genomic perturbations is essential. Here we demonstrate that antiapoptotic BCL-2 family proteins promoted tumor formation of transformed baby mouse kidney (BMK) epithelial cells by antagonizing BAX- and BAK-dependent apoptosis. Cell death in vivo correlated with hypoxia and induction of PUMA (p53 up-regulated modulator of apoptosis). Strikingly, carcinomas formed by transformed BMK cells in which apoptosis was blocked by aberrant BCL-2 family protein function displayed prevalent, highly polyploid, tumor giant cells. Examination of the transformed BMK cells in vivo revealed aberrant metaphases and ploidy changes in tumors as early as 9 d after implantation, which progressed in magnitude during the tumorigenic process. An in vitro ischemia system mimicked the tumor microenvironment, and gain of BCL-2 or loss of BAX and BAK was sufficient to confer resistance to apoptosis and to allow for accumulation of polyploid cells in vitro. These data suggest that in vivo, even in cells in which p53 function is compromised, apoptosis is an essential response to hypoxia and ischemia in the tumor microenvironment and that abrogation of this response allows the survival of cells with abnormal genomes and promotes tumorigenesis.","author":[{"dropping-particle":"","family":"Nelson","given":"Deirdre A.","non-dropping-particle":"","parse-names":false,"suffix":""}],"container-title":"Genes &amp; Development","id":"ITEM-2","issue":"17","issued":{"date-parts":[["2004","9","1"]]},"page":"2095-2107","title":"Hypoxia and defective apoptosis drive genomic instability and tumorigenesis","type":"article-journal","volume":"18"},"uris":["http://www.mendeley.com/documents/?uuid=d5591b45-ee47-4c54-959e-d3ff77deddf2"]}],"mendeley":{"formattedCitation":"&lt;sup&gt;[24,123]&lt;/sup&gt;","plainTextFormattedCitation":"[24,123]","previouslyFormattedCitation":"&lt;sup&gt;[24,123]&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[24,123]</w:t>
      </w:r>
      <w:r w:rsidR="00A75298" w:rsidRPr="009D7554">
        <w:rPr>
          <w:rFonts w:ascii="Book Antiqua" w:hAnsi="Book Antiqua"/>
          <w:lang w:val="en-US"/>
        </w:rPr>
        <w:fldChar w:fldCharType="end"/>
      </w:r>
      <w:r w:rsidRPr="009D7554">
        <w:rPr>
          <w:rFonts w:ascii="Book Antiqua" w:hAnsi="Book Antiqua"/>
          <w:lang w:val="en-US"/>
        </w:rPr>
        <w:t xml:space="preserve">, and it can be qualitatively and/or quantitatively evaluated by several imaging modalities. TA is a </w:t>
      </w:r>
      <w:r w:rsidR="009A70D4" w:rsidRPr="009D7554">
        <w:rPr>
          <w:rFonts w:ascii="Book Antiqua" w:hAnsi="Book Antiqua"/>
          <w:lang w:val="en-US"/>
        </w:rPr>
        <w:t>postp</w:t>
      </w:r>
      <w:r w:rsidRPr="009D7554">
        <w:rPr>
          <w:rFonts w:ascii="Book Antiqua" w:hAnsi="Book Antiqua"/>
          <w:lang w:val="en-US"/>
        </w:rPr>
        <w:t>rocessing imaging technique</w:t>
      </w:r>
      <w:r w:rsidR="004A3A62" w:rsidRPr="009D7554">
        <w:rPr>
          <w:rFonts w:ascii="Book Antiqua" w:hAnsi="Book Antiqua"/>
          <w:lang w:val="en-US"/>
        </w:rPr>
        <w:t xml:space="preserve"> that </w:t>
      </w:r>
      <w:r w:rsidRPr="009D7554">
        <w:rPr>
          <w:rFonts w:ascii="Book Antiqua" w:hAnsi="Book Antiqua"/>
          <w:lang w:val="en-US"/>
        </w:rPr>
        <w:t xml:space="preserve">allows heterogeneity quantification </w:t>
      </w:r>
      <w:r w:rsidR="004A3A62" w:rsidRPr="009D7554">
        <w:rPr>
          <w:rFonts w:ascii="Book Antiqua" w:hAnsi="Book Antiqua"/>
          <w:lang w:val="en-US"/>
        </w:rPr>
        <w:t>to evaluate</w:t>
      </w:r>
      <w:r w:rsidRPr="009D7554">
        <w:rPr>
          <w:rFonts w:ascii="Book Antiqua" w:hAnsi="Book Antiqua"/>
          <w:lang w:val="en-US"/>
        </w:rPr>
        <w:t xml:space="preserve"> both </w:t>
      </w:r>
      <w:r w:rsidR="001F0F25" w:rsidRPr="009D7554">
        <w:rPr>
          <w:rFonts w:ascii="Book Antiqua" w:hAnsi="Book Antiqua"/>
          <w:lang w:val="en-US"/>
        </w:rPr>
        <w:t xml:space="preserve">the </w:t>
      </w:r>
      <w:r w:rsidRPr="009D7554">
        <w:rPr>
          <w:rFonts w:ascii="Book Antiqua" w:hAnsi="Book Antiqua"/>
          <w:lang w:val="en-US"/>
        </w:rPr>
        <w:t>distribution and relationship</w:t>
      </w:r>
      <w:r w:rsidR="004A3A62" w:rsidRPr="009D7554">
        <w:rPr>
          <w:rFonts w:ascii="Book Antiqua" w:hAnsi="Book Antiqua"/>
          <w:lang w:val="en-US"/>
        </w:rPr>
        <w:t>s</w:t>
      </w:r>
      <w:r w:rsidRPr="009D7554">
        <w:rPr>
          <w:rFonts w:ascii="Book Antiqua" w:hAnsi="Book Antiqua"/>
          <w:lang w:val="en-US"/>
        </w:rPr>
        <w:t xml:space="preserve"> </w:t>
      </w:r>
      <w:r w:rsidR="004A3A62" w:rsidRPr="009D7554">
        <w:rPr>
          <w:rFonts w:ascii="Book Antiqua" w:hAnsi="Book Antiqua"/>
          <w:lang w:val="en-US"/>
        </w:rPr>
        <w:t xml:space="preserve">within the </w:t>
      </w:r>
      <w:r w:rsidRPr="009D7554">
        <w:rPr>
          <w:rFonts w:ascii="Book Antiqua" w:hAnsi="Book Antiqua"/>
          <w:lang w:val="en-US"/>
        </w:rPr>
        <w:t>information contained in each voxel</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{"citationItems":[{"id":"ITEM-1","itemData":{"DOI":"10.1102/1470-7330.2013.0015","ISSN":"14707330","PMID":"23545171","abstract":"Heterogeneity is a key feature of malignancy associated with adverse tumour biology. Quantifying heterogeneity could provide a useful non-invasive imaging biomarker. Heterogeneity on computed tomography (CT) can be quantified using texture analysis which extracts spatial information from CT images (unenhanced, contrast-enhanced and derived images such as CT perfusion) that may not be perceptible to the naked eye. The main components of texture analysis can be categorized into image transformation and quantification. Image transformation filters the conventional image into its basic components (spatial, frequency, etc.) to produce derived subimages. Texture quantification techniques include structural-, model- (fractal dimensions), statistical- and frequency-based methods. The underlying tumour biology that CT texture analysis may reflect includes (but is not limited to) tumour hypoxia and angiogenesis. Emerging studies show that CT texture analysis has the potential to be a useful adjunct in clinical oncologic imaging, providing important information about tumour characterization, prognosis and treatment prediction and response.","author":[{"dropping-particle":"","family":"Ganeshan","given":"Balaji","non-dropping-particle":"","parse-names":false,"suffix":""},{"dropping-particle":"","family":"Miles","given":"Kenneth A","non-dropping-particle":"","parse-names":false,"suffix":""}],"container-title":"Cancer Imaging","id":"ITEM-1","issue":"1","issued":{"date-parts":[["2013","3","26"]]},"page":"140-149","title":"Quantifying tumour heterogeneity with CT","type":"article-journal","volume":"13"},"uris":["http://www.mendeley.com/documents/?uuid=bd76f2ca-0962-487c-b55a-c8d0c6cc9161"]}],"mendeley":{"formattedCitation":"&lt;sup&gt;[123]&lt;/sup&gt;","plainTextFormattedCitation":"[123]","previouslyFormattedCitation":"&lt;sup&gt;[123]&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[123]</w:t>
      </w:r>
      <w:r w:rsidR="00A75298" w:rsidRPr="009D7554">
        <w:rPr>
          <w:rFonts w:ascii="Book Antiqua" w:hAnsi="Book Antiqua"/>
          <w:lang w:val="en-US"/>
        </w:rPr>
        <w:fldChar w:fldCharType="end"/>
      </w:r>
      <w:r w:rsidRPr="009D7554">
        <w:rPr>
          <w:rFonts w:ascii="Book Antiqua" w:hAnsi="Book Antiqua"/>
          <w:lang w:val="en-US"/>
        </w:rPr>
        <w:t>. Th</w:t>
      </w:r>
      <w:r w:rsidR="004A3A62" w:rsidRPr="009D7554">
        <w:rPr>
          <w:rFonts w:ascii="Book Antiqua" w:hAnsi="Book Antiqua"/>
          <w:lang w:val="en-US"/>
        </w:rPr>
        <w:t xml:space="preserve">e content of this </w:t>
      </w:r>
      <w:r w:rsidRPr="009D7554">
        <w:rPr>
          <w:rFonts w:ascii="Book Antiqua" w:hAnsi="Book Antiqua"/>
          <w:lang w:val="en-US"/>
        </w:rPr>
        <w:t>information depends on the imaging modalit</w:t>
      </w:r>
      <w:r w:rsidR="004A3A62" w:rsidRPr="009D7554">
        <w:rPr>
          <w:rFonts w:ascii="Book Antiqua" w:hAnsi="Book Antiqua"/>
          <w:lang w:val="en-US"/>
        </w:rPr>
        <w:t>y used</w:t>
      </w:r>
      <w:r w:rsidRPr="009D7554">
        <w:rPr>
          <w:rFonts w:ascii="Book Antiqua" w:hAnsi="Book Antiqua"/>
          <w:lang w:val="en-US"/>
        </w:rPr>
        <w:t xml:space="preserve"> (Hounsfield units </w:t>
      </w:r>
      <w:r w:rsidR="004A3A62" w:rsidRPr="009D7554">
        <w:rPr>
          <w:rFonts w:ascii="Book Antiqua" w:hAnsi="Book Antiqua"/>
          <w:lang w:val="en-US"/>
        </w:rPr>
        <w:t xml:space="preserve">measure </w:t>
      </w:r>
      <w:r w:rsidRPr="009D7554">
        <w:rPr>
          <w:rFonts w:ascii="Book Antiqua" w:hAnsi="Book Antiqua"/>
          <w:lang w:val="en-US"/>
        </w:rPr>
        <w:t xml:space="preserve">density </w:t>
      </w:r>
      <w:r w:rsidR="004A3A62" w:rsidRPr="009D7554">
        <w:rPr>
          <w:rFonts w:ascii="Book Antiqua" w:hAnsi="Book Antiqua"/>
          <w:lang w:val="en-US"/>
        </w:rPr>
        <w:t xml:space="preserve">for </w:t>
      </w:r>
      <w:r w:rsidRPr="009D7554">
        <w:rPr>
          <w:rFonts w:ascii="Book Antiqua" w:hAnsi="Book Antiqua"/>
          <w:lang w:val="en-US"/>
        </w:rPr>
        <w:t xml:space="preserve">CT, signal intensity </w:t>
      </w:r>
      <w:r w:rsidR="004A3A62" w:rsidRPr="009D7554">
        <w:rPr>
          <w:rFonts w:ascii="Book Antiqua" w:hAnsi="Book Antiqua"/>
          <w:lang w:val="en-US"/>
        </w:rPr>
        <w:t xml:space="preserve">measures </w:t>
      </w:r>
      <w:r w:rsidRPr="009D7554">
        <w:rPr>
          <w:rFonts w:ascii="Book Antiqua" w:hAnsi="Book Antiqua"/>
          <w:lang w:val="en-US"/>
        </w:rPr>
        <w:t xml:space="preserve">tissue relaxation times </w:t>
      </w:r>
      <w:r w:rsidR="004A3A62" w:rsidRPr="009D7554">
        <w:rPr>
          <w:rFonts w:ascii="Book Antiqua" w:hAnsi="Book Antiqua"/>
          <w:lang w:val="en-US"/>
        </w:rPr>
        <w:t xml:space="preserve">for </w:t>
      </w:r>
      <w:r w:rsidRPr="009D7554">
        <w:rPr>
          <w:rFonts w:ascii="Book Antiqua" w:hAnsi="Book Antiqua"/>
          <w:lang w:val="en-US"/>
        </w:rPr>
        <w:t xml:space="preserve">MRI, </w:t>
      </w:r>
      <w:r w:rsidR="004A3A62" w:rsidRPr="009D7554">
        <w:rPr>
          <w:rFonts w:ascii="Book Antiqua" w:hAnsi="Book Antiqua"/>
          <w:lang w:val="en-US"/>
        </w:rPr>
        <w:t xml:space="preserve">and </w:t>
      </w:r>
      <w:r w:rsidRPr="009D7554">
        <w:rPr>
          <w:rFonts w:ascii="Book Antiqua" w:hAnsi="Book Antiqua"/>
          <w:lang w:val="en-US"/>
        </w:rPr>
        <w:t>standard uptake value</w:t>
      </w:r>
      <w:r w:rsidR="004A3A62" w:rsidRPr="009D7554">
        <w:rPr>
          <w:rFonts w:ascii="Book Antiqua" w:hAnsi="Book Antiqua"/>
          <w:lang w:val="en-US"/>
        </w:rPr>
        <w:t>s</w:t>
      </w:r>
      <w:r w:rsidRPr="009D7554">
        <w:rPr>
          <w:rFonts w:ascii="Book Antiqua" w:hAnsi="Book Antiqua"/>
          <w:lang w:val="en-US"/>
        </w:rPr>
        <w:t xml:space="preserve"> </w:t>
      </w:r>
      <w:r w:rsidR="004A3A62" w:rsidRPr="009D7554">
        <w:rPr>
          <w:rFonts w:ascii="Book Antiqua" w:hAnsi="Book Antiqua"/>
          <w:lang w:val="en-US"/>
        </w:rPr>
        <w:t xml:space="preserve">measure </w:t>
      </w:r>
      <w:r w:rsidRPr="009D7554">
        <w:rPr>
          <w:rFonts w:ascii="Book Antiqua" w:hAnsi="Book Antiqua"/>
          <w:lang w:val="en-US"/>
        </w:rPr>
        <w:t xml:space="preserve">activity </w:t>
      </w:r>
      <w:r w:rsidR="004A3A62" w:rsidRPr="009D7554">
        <w:rPr>
          <w:rFonts w:ascii="Book Antiqua" w:hAnsi="Book Antiqua"/>
          <w:lang w:val="en-US"/>
        </w:rPr>
        <w:t xml:space="preserve">for </w:t>
      </w:r>
      <w:r w:rsidRPr="009D7554">
        <w:rPr>
          <w:rFonts w:ascii="Book Antiqua" w:hAnsi="Book Antiqua"/>
          <w:lang w:val="en-US"/>
        </w:rPr>
        <w:t>PET). A broad spectrum of quantitative parameters can be extracted from any diagnostic imaging modality, ranging from first-order parameters (defined on the bas</w:t>
      </w:r>
      <w:r w:rsidR="004A3A62" w:rsidRPr="009D7554">
        <w:rPr>
          <w:rFonts w:ascii="Book Antiqua" w:hAnsi="Book Antiqua"/>
          <w:lang w:val="en-US"/>
        </w:rPr>
        <w:t>is</w:t>
      </w:r>
      <w:r w:rsidRPr="009D7554">
        <w:rPr>
          <w:rFonts w:ascii="Book Antiqua" w:hAnsi="Book Antiqua"/>
          <w:lang w:val="en-US"/>
        </w:rPr>
        <w:t xml:space="preserve"> of histogram analysis, which do</w:t>
      </w:r>
      <w:r w:rsidR="004A3A62" w:rsidRPr="009D7554">
        <w:rPr>
          <w:rFonts w:ascii="Book Antiqua" w:hAnsi="Book Antiqua"/>
          <w:lang w:val="en-US"/>
        </w:rPr>
        <w:t>es</w:t>
      </w:r>
      <w:r w:rsidRPr="009D7554">
        <w:rPr>
          <w:rFonts w:ascii="Book Antiqua" w:hAnsi="Book Antiqua"/>
          <w:lang w:val="en-US"/>
        </w:rPr>
        <w:t xml:space="preserve"> not account for spatial distribution) to more complex higher-order parameters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{"citationItems":[{"id":"ITEM-1","itemData":{"DOI":"10.1148/rg.2017170056","ISSN":"0271-5333","PMID":"28898189","abstract":"This review discusses potential oncologic and nononcologic applications of CT texture analysis ( CTTA CT texture analysis ), an emerging area of \"radiomics\" that extracts, analyzes, and interprets quantitative imaging features. CTTA CT texture analysis allows objective assessment of lesion and organ heterogeneity beyond what is possible with subjective visual interpretation and may reflect information about the tissue microenvironment. CTTA CT texture analysis has shown promise in lesion characterization, such as differentiating benign from malignant or more biologically aggressive lesions. Pretreatment CT texture features are associated with histopathologic correlates such as tumor grade, tumor cellular processes such as hypoxia or angiogenesis, and genetic features such as KRAS or epidermal growth factor receptor (EGFR) mutation status. In addition, and likely as a result, these CT texture features have been linked to prognosis and clinical outcomes in some tumor types. CTTA CT texture analysis has also been used to assess response to therapy, with decreases in tumor heterogeneity generally associated with pathologic response and improved outcomes. A variety of nononcologic applications of CTTA CT texture analysis are emerging, particularly quantifying fibrosis in the liver and lung. Although CTTA CT texture analysis seems to be a promising imaging biomarker, there is marked variability in methods, parameters reported, and strength of associations with biologic correlates. Before CTTA CT texture analysis can be considered for widespread clinical implementation, standardization of tumor segmentation and measurement techniques, image filtration and postprocessing techniques, and methods for mathematically handling multiple tumors and time points is needed, in addition to identification of key texture parameters among hundreds of potential candidates, continued investigation and external validation of histopathologic correlates, and structured reporting of findings. ©RSNA, 2017.","author":[{"dropping-particle":"","family":"Lubner","given":"Meghan G","non-dropping-particle":"","parse-names":false,"suffix":""},{"dropping-particle":"","family":"Smith","given":"Andrew D","non-dropping-particle":"","parse-names":false,"suffix":""},{"dropping-particle":"","family":"Sandrasegaran","given":"Kumar","non-dropping-particle":"","parse-names":false,"suffix":""},{"dropping-particle":"V","family":"Sahani","given":"Dushyant","non-dropping-particle":"","parse-names":false,"suffix":""},{"dropping-particle":"","family":"Pickhardt","given":"Perry J","non-dropping-particle":"","parse-names":false,"suffix":""}],"container-title":"RadioGraphics","id":"ITEM-1","issue":"5","issued":{"date-parts":[["2017","9"]]},"page":"1483-1503","title":"CT Texture Analysis: Definitions, Applications, Biologic Correlates, and Challenges","type":"article-journal","volume":"37"},"uris":["http://www.mendeley.com/documents/?uuid=d489b630-0cdb-4454-8813-bbbd8ef2cc80"]}],"mendeley":{"formattedCitation":"&lt;sup&gt;[124]&lt;/sup&gt;","plainTextFormattedCitation":"[124]","previouslyFormattedCitation":"&lt;sup&gt;[124]&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[124]</w:t>
      </w:r>
      <w:r w:rsidR="00A75298" w:rsidRPr="009D7554">
        <w:rPr>
          <w:rFonts w:ascii="Book Antiqua" w:hAnsi="Book Antiqua"/>
          <w:lang w:val="en-US"/>
        </w:rPr>
        <w:fldChar w:fldCharType="end"/>
      </w:r>
      <w:r w:rsidRPr="009D7554">
        <w:rPr>
          <w:rFonts w:ascii="Book Antiqua" w:hAnsi="Book Antiqua"/>
          <w:lang w:val="en-US"/>
        </w:rPr>
        <w:t>. Multiple first-order parameters are available</w:t>
      </w:r>
      <w:r w:rsidR="001F0F25" w:rsidRPr="009D7554">
        <w:rPr>
          <w:rFonts w:ascii="Book Antiqua" w:hAnsi="Book Antiqua"/>
          <w:lang w:val="en-US"/>
        </w:rPr>
        <w:t>,</w:t>
      </w:r>
      <w:r w:rsidRPr="009D7554">
        <w:rPr>
          <w:rFonts w:ascii="Book Antiqua" w:hAnsi="Book Antiqua"/>
          <w:lang w:val="en-US"/>
        </w:rPr>
        <w:t xml:space="preserve"> including </w:t>
      </w:r>
      <w:r w:rsidR="004A3A62" w:rsidRPr="009D7554">
        <w:rPr>
          <w:rFonts w:ascii="Book Antiqua" w:hAnsi="Book Antiqua"/>
          <w:lang w:val="en-US"/>
        </w:rPr>
        <w:t xml:space="preserve">the </w:t>
      </w:r>
      <w:r w:rsidRPr="009D7554">
        <w:rPr>
          <w:rFonts w:ascii="Book Antiqua" w:hAnsi="Book Antiqua"/>
          <w:lang w:val="en-US"/>
        </w:rPr>
        <w:t xml:space="preserve">mean </w:t>
      </w:r>
      <w:r w:rsidR="009A70D4" w:rsidRPr="009D7554">
        <w:rPr>
          <w:rFonts w:ascii="Book Antiqua" w:hAnsi="Book Antiqua"/>
          <w:lang w:val="en-US"/>
        </w:rPr>
        <w:t>gray</w:t>
      </w:r>
      <w:r w:rsidRPr="009D7554">
        <w:rPr>
          <w:rFonts w:ascii="Book Antiqua" w:hAnsi="Book Antiqua"/>
          <w:lang w:val="en-US"/>
        </w:rPr>
        <w:t xml:space="preserve">-level intensity (brightness), uniformity (distribution of </w:t>
      </w:r>
      <w:r w:rsidR="004A3A62" w:rsidRPr="009D7554">
        <w:rPr>
          <w:rFonts w:ascii="Book Antiqua" w:hAnsi="Book Antiqua"/>
          <w:lang w:val="en-US"/>
        </w:rPr>
        <w:t xml:space="preserve">the </w:t>
      </w:r>
      <w:r w:rsidR="009A70D4" w:rsidRPr="009D7554">
        <w:rPr>
          <w:rFonts w:ascii="Book Antiqua" w:hAnsi="Book Antiqua"/>
          <w:lang w:val="en-US"/>
        </w:rPr>
        <w:t>gray</w:t>
      </w:r>
      <w:r w:rsidRPr="009D7554">
        <w:rPr>
          <w:rFonts w:ascii="Book Antiqua" w:hAnsi="Book Antiqua"/>
          <w:lang w:val="en-US"/>
        </w:rPr>
        <w:t xml:space="preserve"> level), entropy (a measure of irregularity), skewness (a measure of </w:t>
      </w:r>
      <w:r w:rsidR="004A3A62" w:rsidRPr="009D7554">
        <w:rPr>
          <w:rFonts w:ascii="Book Antiqua" w:hAnsi="Book Antiqua"/>
          <w:lang w:val="en-US"/>
        </w:rPr>
        <w:t xml:space="preserve">the </w:t>
      </w:r>
      <w:r w:rsidRPr="009D7554">
        <w:rPr>
          <w:rFonts w:ascii="Book Antiqua" w:hAnsi="Book Antiqua"/>
          <w:lang w:val="en-US"/>
        </w:rPr>
        <w:t xml:space="preserve">asymmetry of </w:t>
      </w:r>
      <w:r w:rsidR="004A3A62" w:rsidRPr="009D7554">
        <w:rPr>
          <w:rFonts w:ascii="Book Antiqua" w:hAnsi="Book Antiqua"/>
          <w:lang w:val="en-US"/>
        </w:rPr>
        <w:t xml:space="preserve">the </w:t>
      </w:r>
      <w:r w:rsidRPr="009D7554">
        <w:rPr>
          <w:rFonts w:ascii="Book Antiqua" w:hAnsi="Book Antiqua"/>
          <w:lang w:val="en-US"/>
        </w:rPr>
        <w:t>pixel histogram distribution) and kurtosis (</w:t>
      </w:r>
      <w:r w:rsidR="004A3A62" w:rsidRPr="009D7554">
        <w:rPr>
          <w:rFonts w:ascii="Book Antiqua" w:hAnsi="Book Antiqua"/>
          <w:lang w:val="en-US"/>
        </w:rPr>
        <w:t xml:space="preserve">the </w:t>
      </w:r>
      <w:r w:rsidRPr="009D7554">
        <w:rPr>
          <w:rFonts w:ascii="Book Antiqua" w:hAnsi="Book Antiqua"/>
          <w:lang w:val="en-US"/>
        </w:rPr>
        <w:t xml:space="preserve">magnitude of </w:t>
      </w:r>
      <w:r w:rsidR="004A3A62" w:rsidRPr="009D7554">
        <w:rPr>
          <w:rFonts w:ascii="Book Antiqua" w:hAnsi="Book Antiqua"/>
          <w:lang w:val="en-US"/>
        </w:rPr>
        <w:t xml:space="preserve">the </w:t>
      </w:r>
      <w:r w:rsidRPr="009D7554">
        <w:rPr>
          <w:rFonts w:ascii="Book Antiqua" w:hAnsi="Book Antiqua"/>
          <w:lang w:val="en-US"/>
        </w:rPr>
        <w:t>pixel histogram distribution)</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{"citationItems":[{"id":"ITEM-1","itemData":{"DOI":"10.1097/DCR.0000000000001224","ISSN":"1530-0358","PMID":"30451764","abstract":"BACKGROUND A certain proportion of patients with locally advanced rectal cancer experience complete response after undergoing neoadjuvant chemoradiotherapy. These patients might be suitable for a conservative \"watch and wait\" approach, avoiding high-morbidity surgery. Texture analysis is a new modality that can assess heterogeneity in medical images by statistically analyzing gray-level intensities on a pixel-by-pixel basis. This study hypothesizes that texture analysis of magnetic resonance images can identify patients with a complete response. OBJECTIVE This study aims to determine whether texture analysis of magnetic resonance images as a quantitative imaging biomarker can accurately identify patients with complete response. DESIGN This is a retrospective diagnostic accuracy study. SETTINGS This study was conducted at Colchester General Hospital, January 2003 to 2014. PATIENTS All patients diagnosed with locally advanced rectal cancer who underwent long-course chemoradiotherapy had a posttreatment magnetic resonance scan and underwent surgery are included. INTERVENTION Texture analysis was extracted from T2-weighted magnetic resonance images of the rectal cancer. MAIN OUTCOME MEASURES Textural features that are able to identify complete responders were identified by a Mann-Whitney U test. Their diagnostic accuracy in identifying complete responders was determined by the area under the receiver operator characteristics curve. Cutoff values were determined by the Youden index. Pathology was the standard of reference. RESULTS One hundred fourteen patients with first posttreatment MRI scans (6.2 weeks after completion of neoadjuvant treatment) were included. Sixty-eight patients had a second posttreatment scan (10.4 weeks). With no filtration, mean (p = 0.033), SD (p = 0.048), entropy (p = 0.007), and skewness (p = 0.000) from first posttreatment scans, and SD (p = 0.042), entropy (p = 0.014), mean of positive pixels (p = 0.032), and skewness (p = 0.000) from second posttreatment scans were all able to identify complete response. Area under the curve ranged from 0.750 to 0.88. LIMITATIONS Texture analysis of MRI is a new modality; therefore, further studies are necessary to standardize the methodology of extraction of texture features, timing of scans, and acquisition parameters. CONCLUSIONS Texture analysis of MRI is a potentially significant imaging biomarker that can accurately identify patients who have experienced complete response and might be suit…","author":[{"dropping-particle":"","family":"Aker","given":"Medhat","non-dropping-particle":"","parse-names":false,"suffix":""},{"dropping-particle":"","family":"Ganeshan","given":"Balaji","non-dropping-particle":"","parse-names":false,"suffix":""},{"dropping-particle":"","family":"Afaq","given":"Asim","non-dropping-particle":"","parse-names":false,"suffix":""},{"dropping-particle":"","family":"Wan","given":"Simon","non-dropping-particle":"","parse-names":false,"suffix":""},{"dropping-particle":"","family":"Groves","given":"Ashley M","non-dropping-particle":"","parse-names":false,"suffix":""},{"dropping-particle":"","family":"Arulampalam","given":"Tan","non-dropping-particle":"","parse-names":false,"suffix":""}],"container-title":"Diseases of the colon and rectum","id":"ITEM-1","issue":"2","issued":{"date-parts":[["2019"]]},"page":"163-170","title":"Magnetic Resonance Texture Analysis in Identifying Complete Pathological Response to Neoadjuvant Treatment in Locally Advanced Rectal Cancer.","type":"article-journal","volume":"62"},"uris":["http://www.mendeley.com/documents/?uuid=eb23a96a-3cb2-4504-b645-aa1280613ffb"]}],"mendeley":{"formattedCitation":"&lt;sup&gt;[125]&lt;/sup&gt;","plainTextFormattedCitation":"[125]","previouslyFormattedCitation":"&lt;sup&gt;[125]&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[125]</w:t>
      </w:r>
      <w:r w:rsidR="00A75298" w:rsidRPr="009D7554">
        <w:rPr>
          <w:rFonts w:ascii="Book Antiqua" w:hAnsi="Book Antiqua"/>
          <w:lang w:val="en-US"/>
        </w:rPr>
        <w:fldChar w:fldCharType="end"/>
      </w:r>
      <w:r w:rsidRPr="009D7554">
        <w:rPr>
          <w:rFonts w:ascii="Book Antiqua" w:hAnsi="Book Antiqua"/>
          <w:lang w:val="en-US"/>
        </w:rPr>
        <w:t>. The analysis is performed by drawing</w:t>
      </w:r>
      <w:r w:rsidR="009A70D4" w:rsidRPr="009D7554">
        <w:rPr>
          <w:rFonts w:ascii="Book Antiqua" w:hAnsi="Book Antiqua"/>
          <w:lang w:val="en-US"/>
        </w:rPr>
        <w:t xml:space="preserve"> an ROI </w:t>
      </w:r>
      <w:r w:rsidR="004A3A62" w:rsidRPr="009D7554">
        <w:rPr>
          <w:rFonts w:ascii="Book Antiqua" w:hAnsi="Book Antiqua"/>
          <w:lang w:val="en-US"/>
        </w:rPr>
        <w:t xml:space="preserve">in </w:t>
      </w:r>
      <w:r w:rsidR="001F0F25" w:rsidRPr="009D7554">
        <w:rPr>
          <w:rFonts w:ascii="Book Antiqua" w:hAnsi="Book Antiqua"/>
          <w:lang w:val="en-US"/>
        </w:rPr>
        <w:t xml:space="preserve">the </w:t>
      </w:r>
      <w:r w:rsidRPr="009D7554">
        <w:rPr>
          <w:rFonts w:ascii="Book Antiqua" w:hAnsi="Book Antiqua"/>
          <w:lang w:val="en-US"/>
        </w:rPr>
        <w:t xml:space="preserve">largest cross-section </w:t>
      </w:r>
      <w:r w:rsidR="004A3A62" w:rsidRPr="009D7554">
        <w:rPr>
          <w:rFonts w:ascii="Book Antiqua" w:hAnsi="Book Antiqua"/>
          <w:lang w:val="en-US"/>
        </w:rPr>
        <w:t xml:space="preserve">of the tumor </w:t>
      </w:r>
      <w:r w:rsidRPr="009D7554">
        <w:rPr>
          <w:rFonts w:ascii="Book Antiqua" w:hAnsi="Book Antiqua"/>
          <w:lang w:val="en-US"/>
        </w:rPr>
        <w:t xml:space="preserve">or </w:t>
      </w:r>
      <w:r w:rsidR="004A3A62" w:rsidRPr="009D7554">
        <w:rPr>
          <w:rFonts w:ascii="Book Antiqua" w:hAnsi="Book Antiqua"/>
          <w:lang w:val="en-US"/>
        </w:rPr>
        <w:t xml:space="preserve">in </w:t>
      </w:r>
      <w:r w:rsidRPr="009D7554">
        <w:rPr>
          <w:rFonts w:ascii="Book Antiqua" w:hAnsi="Book Antiqua"/>
          <w:lang w:val="en-US"/>
        </w:rPr>
        <w:t xml:space="preserve">tumor subregions </w:t>
      </w:r>
      <w:r w:rsidR="004A3A62" w:rsidRPr="009D7554">
        <w:rPr>
          <w:rFonts w:ascii="Book Antiqua" w:hAnsi="Book Antiqua"/>
          <w:lang w:val="en-US"/>
        </w:rPr>
        <w:t>and by</w:t>
      </w:r>
      <w:r w:rsidRPr="009D7554">
        <w:rPr>
          <w:rFonts w:ascii="Book Antiqua" w:hAnsi="Book Antiqua"/>
          <w:lang w:val="en-US"/>
        </w:rPr>
        <w:t xml:space="preserve"> taking into account the whole tumor volume or delineating the margins </w:t>
      </w:r>
      <w:r w:rsidR="00356A43" w:rsidRPr="009D7554">
        <w:rPr>
          <w:rFonts w:ascii="Book Antiqua" w:hAnsi="Book Antiqua"/>
          <w:lang w:val="en-US"/>
        </w:rPr>
        <w:t xml:space="preserve">in </w:t>
      </w:r>
      <w:r w:rsidRPr="009D7554">
        <w:rPr>
          <w:rFonts w:ascii="Book Antiqua" w:hAnsi="Book Antiqua"/>
          <w:lang w:val="en-US"/>
        </w:rPr>
        <w:t xml:space="preserve">an organ in </w:t>
      </w:r>
      <w:r w:rsidR="001F0F25" w:rsidRPr="009D7554">
        <w:rPr>
          <w:rFonts w:ascii="Book Antiqua" w:hAnsi="Book Antiqua"/>
          <w:lang w:val="en-US"/>
        </w:rPr>
        <w:t xml:space="preserve">the </w:t>
      </w:r>
      <w:r w:rsidRPr="009D7554">
        <w:rPr>
          <w:rFonts w:ascii="Book Antiqua" w:hAnsi="Book Antiqua"/>
          <w:lang w:val="en-US"/>
        </w:rPr>
        <w:t xml:space="preserve">absence of a target lesion. Interestingly, TA approaches can </w:t>
      </w:r>
      <w:r w:rsidR="001F0F25" w:rsidRPr="009D7554">
        <w:rPr>
          <w:rFonts w:ascii="Book Antiqua" w:hAnsi="Book Antiqua"/>
          <w:lang w:val="en-US"/>
        </w:rPr>
        <w:t xml:space="preserve">also </w:t>
      </w:r>
      <w:r w:rsidRPr="009D7554">
        <w:rPr>
          <w:rFonts w:ascii="Book Antiqua" w:hAnsi="Book Antiqua"/>
          <w:lang w:val="en-US"/>
        </w:rPr>
        <w:t xml:space="preserve">be employed </w:t>
      </w:r>
      <w:r w:rsidR="00356A43" w:rsidRPr="009D7554">
        <w:rPr>
          <w:rFonts w:ascii="Book Antiqua" w:hAnsi="Book Antiqua"/>
          <w:lang w:val="en-US"/>
        </w:rPr>
        <w:t xml:space="preserve">for </w:t>
      </w:r>
      <w:r w:rsidRPr="009D7554">
        <w:rPr>
          <w:rFonts w:ascii="Book Antiqua" w:hAnsi="Book Antiqua"/>
          <w:lang w:val="en-US"/>
        </w:rPr>
        <w:t>morphological images (such as unenhanced CT images or T2</w:t>
      </w:r>
      <w:r w:rsidR="00356A43" w:rsidRPr="009D7554">
        <w:rPr>
          <w:rFonts w:ascii="Book Antiqua" w:hAnsi="Book Antiqua"/>
          <w:lang w:val="en-US"/>
        </w:rPr>
        <w:t>-</w:t>
      </w:r>
      <w:r w:rsidRPr="009D7554">
        <w:rPr>
          <w:rFonts w:ascii="Book Antiqua" w:hAnsi="Book Antiqua"/>
          <w:lang w:val="en-US"/>
        </w:rPr>
        <w:t>weighted MR images), possibly reducing the need for more complex, expensive and time-consuming techniques. Additionally, filtering techniques can be applied to the original images before performing TA</w:t>
      </w:r>
      <w:r w:rsidR="00356A43" w:rsidRPr="009D7554">
        <w:rPr>
          <w:rFonts w:ascii="Book Antiqua" w:hAnsi="Book Antiqua"/>
          <w:lang w:val="en-US"/>
        </w:rPr>
        <w:t xml:space="preserve"> to widen</w:t>
      </w:r>
      <w:r w:rsidRPr="009D7554">
        <w:rPr>
          <w:rFonts w:ascii="Book Antiqua" w:hAnsi="Book Antiqua"/>
          <w:lang w:val="en-US"/>
        </w:rPr>
        <w:t xml:space="preserve"> the range of available quantitative parameters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{"citationItems":[{"id":"ITEM-1","itemData":{"DOI":"10.1148/radiol.2015151169","ISSN":"1527-1315","PMID":"26579733","abstract":"In the past decade, the field of medical image analysis has grown exponentially, with an increased number of pattern recognition tools and an increase in data set sizes. These advances have facilitated the development of processes for high-throughput extraction of quantitative features that result in the conversion of images into mineable data and the subsequent analysis of these data for decision support; this practice is termed radiomics. This is in contrast to the traditional practice of treating medical images as pictures intended solely for visual interpretation. Radiomic data contain first-, second-, and higher-order statistics. These data are combined with other patient data and are mined with sophisticated bioinformatics tools to develop models that may potentially improve diagnostic, prognostic, and predictive accuracy. Because radiomics analyses are intended to be conducted with standard of care images, it is conceivable that conversion of digital images to mineable data will eventually become routine practice. This report describes the process of radiomics, its challenges, and its potential power to facilitate better clinical decision making, particularly in the care of patients with cancer.","author":[{"dropping-particle":"","family":"Gillies","given":"Robert J","non-dropping-particle":"","parse-names":false,"suffix":""},{"dropping-particle":"","family":"Kinahan","given":"Paul E","non-dropping-particle":"","parse-names":false,"suffix":""},{"dropping-particle":"","family":"Hricak","given":"Hedvig","non-dropping-particle":"","parse-names":false,"suffix":""}],"container-title":"Radiology","id":"ITEM-1","issue":"2","issued":{"date-parts":[["2016","2"]]},"page":"563-77","title":"Radiomics: Images Are More than Pictures, They Are Data.","type":"article-journal","volume":"278"},"uris":["http://www.mendeley.com/documents/?uuid=db3fccb8-084a-4438-b03d-c57b73e00129"]}],"mendeley":{"formattedCitation":"&lt;sup&gt;[126]&lt;/sup&gt;","plainTextFormattedCitation":"[126]","previouslyFormattedCitation":"&lt;sup&gt;[126]&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[126]</w:t>
      </w:r>
      <w:r w:rsidR="00A75298" w:rsidRPr="009D7554">
        <w:rPr>
          <w:rFonts w:ascii="Book Antiqua" w:hAnsi="Book Antiqua"/>
          <w:lang w:val="en-US"/>
        </w:rPr>
        <w:fldChar w:fldCharType="end"/>
      </w:r>
      <w:r w:rsidRPr="009D7554">
        <w:rPr>
          <w:rFonts w:ascii="Book Antiqua" w:hAnsi="Book Antiqua"/>
          <w:lang w:val="en-US"/>
        </w:rPr>
        <w:t>. Encouraging results have been recently published for TA in the field of oncologic imaging</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{"citationItems":[{"id":"ITEM-1","itemData":{"DOI":"10.1016/j.acra.2018.12.025","ISSN":"10766332","PMID":"30655050","abstract":"RATIONALE AND OBJECTIVES Extraprostatic extension of disease (EPE) has a major role in risk stratification of prostate cancer patients. Currently, pretreatment local staging is performed with MRI, while the gold standard is represented by histopathological analysis after radical prostatectomy. Texture analysis (TA) is a quantitative postprocessing method for data extraction, while machine learning (ML) employs artificial intelligence algorithms for data classification. Purpose of this study was to assess whether ML algorithms could predict histopathological EPE using TA features extracted from unenhanced MR images. MATERIALS AND METHODS Index lesions from biparametric MRI examinations of 39 patients with prostate cancer who underwent radical prostatectomy were manually segmented on both T2-weighted images and ADC maps for TA data extraction. Combinations of different feature selection methods and ML classifiers were tested, and their performance was compared to a baseline accuracy reference. RESULTS The classifier showing the best performance was the Bayesian Network, using the dataset obtained by the Subset Evaluator feature selection method. It showed a percentage of correctly classified instances of 82%, an area under the curve of 0.88, a weighted true positive rate of 0.82 and a weighted true negative rate of 0.80. CONCLUSION A combined ML and TA approach appears as a feasible tool to predict histopathological EPE on biparametric MR images.","author":[{"dropping-particle":"","family":"Stanzione","given":"Arnaldo","non-dropping-particle":"","parse-names":false,"suffix":""},{"dropping-particle":"","family":"Cuocolo","given":"Renato","non-dropping-particle":"","parse-names":false,"suffix":""},{"dropping-particle":"","family":"Cocozza","given":"Sirio","non-dropping-particle":"","parse-names":false,"suffix":""},{"dropping-particle":"","family":"Romeo","given":"Valeria","non-dropping-particle":"","parse-names":false,"suffix":""},{"dropping-particle":"","family":"Persico","given":"Francesco","non-dropping-particle":"","parse-names":false,"suffix":""},{"dropping-particle":"","family":"Fusco","given":"Ferdinando","non-dropping-particle":"","parse-names":false,"suffix":""},{"dropping-particle":"","family":"Longo","given":"Nicola","non-dropping-particle":"","parse-names":false,"suffix":""},{"dropping-particle":"","family":"Brunetti","given":"Arturo","non-dropping-particle":"","parse-names":false,"suffix":""},{"dropping-particle":"","family":"Imbriaco","given":"Massimo","non-dropping-particle":"","parse-names":false,"suffix":""}],"container-title":"Academic Radiology","id":"ITEM-1","issued":{"date-parts":[["2019","1","14"]]},"title":"Detection of Extraprostatic Extension of Cancer on Biparametric MRI Combining Texture Analysis and Machine Learning: Preliminary Results","type":"article-journal"},"uris":["http://www.mendeley.com/documents/?uuid=1f802473-d86c-4b2e-bc3f-585c580026d9"]},{"id":"ITEM-2","itemData":{"DOI":"10.1002/jmri.25954","ISSN":"1522-2586","PMID":"29341325","abstract":"BACKGROUND Adrenal adenomas (AA) are the most common benign adrenal lesions, often characterized based on intralesional fat content as either lipid-rich (LRA) or lipid-poor (LPA). The differentiation of AA, particularly LPA, from nonadenoma adrenal lesions (NAL) may be challenging. Texture analysis (TA) can extract quantitative parameters from MR images. Machine learning is a technique for recognizing patterns that can be applied to medical images by identifying the best combination of TA features to create a predictive model for the diagnosis of interest. PURPOSE/HYPOTHESIS To assess the diagnostic efficacy of TA-derived parameters extracted from MR images in characterizing LRA, LPA, and NAL using a machine-learning approach. STUDY TYPE Retrospective, observational study. POPULATION/SUBJECTS/PHANTOM/SPECIMEN/ANIMAL MODEL Sixty MR examinations, including 20 LRA, 20 LPA, and 20 NAL. FIELD STRENGTH/SEQUENCE Unenhanced T1 -weighted in-phase (IP) and out-of-phase (OP) as well as T2 -weighted (T2 -w) MR images acquired at 3T. ASSESSMENT Adrenal lesions were manually segmented, placing a spherical volume of interest on IP, OP, and T2 -w images. Different selection methods were trained and tested using the J48 machine-learning classifiers. STATISTICAL TESTS The feature selection method that obtained the highest diagnostic performance using the J48 classifier was identified; the diagnostic performance was also compared with that of a senior radiologist by means of McNemar's test. RESULTS A total of 138 TA-derived features were extracted; among these, four features were selected, extracted from the IP (Short_Run_High_Gray_Level_Emphasis), OP (Mean_Intensity and Maximum_3D_Diameter), and T2 -w (Standard_Deviation) images; the J48 classifier obtained a diagnostic accuracy of 80%. The expert radiologist obtained a diagnostic accuracy of 73%. McNemar's test did not show significant differences in terms of diagnostic performance between the J48 classifier and the expert radiologist. DATA CONCLUSION Machine learning conducted on MR TA-derived features is a potential tool to characterize adrenal lesions. LEVEL OF EVIDENCE 4 Technical Efficacy: Stage 2 J. Magn. Reson. Imaging 2018.","author":[{"dropping-particle":"","family":"Romeo","given":"Valeria","non-dropping-particle":"","parse-names":false,"suffix":""},{"dropping-particle":"","family":"Maurea","given":"Simone","non-dropping-particle":"","parse-names":false,"suffix":""},{"dropping-particle":"","family":"Cuocolo","given":"Renato","non-dropping-particle":"","parse-names":false,"suffix":""},{"dropping-particle":"","family":"Petretta","given":"Mario","non-dropping-particle":"","parse-names":false,"suffix":""},{"dropping-particle":"","family":"Mainenti","given":"Pier Paolo","non-dropping-particle":"","parse-names":false,"suffix":""},{"dropping-particle":"","family":"Verde","given":"Francesco","non-dropping-particle":"","parse-names":false,"suffix":""},{"dropping-particle":"","family":"Coppola","given":"Milena","non-dropping-particle":"","parse-names":false,"suffix":""},{"dropping-particle":"","family":"Dell'Aversana","given":"Serena","non-dropping-particle":"","parse-names":false,"suffix":""},{"dropping-particle":"","family":"Brunetti","given":"Arturo","non-dropping-particle":"","parse-names":false,"suffix":""}],"container-title":"Journal of magnetic resonance imaging : JMRI","id":"ITEM-2","issue":"1","issued":{"date-parts":[["2018"]]},"page":"198-204","title":"Characterization of Adrenal Lesions on Unenhanced MRI Using Texture Analysis: A Machine-Learning Approach.","type":"article-journal","volume":"48"},"uris":["http://www.mendeley.com/documents/?uuid=121b06c0-4e24-4b02-880e-7f9892588733"]}],"mendeley":{"formattedCitation":"&lt;sup&gt;[127,128]&lt;/sup&gt;","plainTextFormattedCitation":"[127,128]","previouslyFormattedCitation":"&lt;sup&gt;[127,128]&lt;/sup&gt;"},"properties":{"noteIndex":0},"schema":"https://github.com/citation-style-language/schema/raw/master/csl-citation.json"}</w:instrText>
      </w:r>
      <w:r w:rsidR="00A75298" w:rsidRPr="009D7554">
        <w:rPr>
          <w:rFonts w:ascii="Book Antiqua" w:hAnsi="Book Antiqua"/>
          <w:lang w:val="en-US"/>
        </w:rPr>
        <w:fldChar w:fldCharType="separate"/>
      </w:r>
      <w:r w:rsidR="00DF4FB7" w:rsidRPr="009D7554">
        <w:rPr>
          <w:rFonts w:ascii="Book Antiqua" w:hAnsi="Book Antiqua"/>
          <w:vertAlign w:val="superscript"/>
          <w:lang w:val="en-US"/>
        </w:rPr>
        <w:t>[127,128]</w:t>
      </w:r>
      <w:r w:rsidR="00A75298" w:rsidRPr="009D7554">
        <w:rPr>
          <w:rFonts w:ascii="Book Antiqua" w:hAnsi="Book Antiqua"/>
          <w:lang w:val="en-US"/>
        </w:rPr>
        <w:fldChar w:fldCharType="end"/>
      </w:r>
      <w:r w:rsidRPr="009D7554">
        <w:rPr>
          <w:rFonts w:ascii="Book Antiqua" w:hAnsi="Book Antiqua"/>
          <w:lang w:val="en-US"/>
        </w:rPr>
        <w:t xml:space="preserve">. Regarding CRC, </w:t>
      </w:r>
      <w:r w:rsidR="001F0F25" w:rsidRPr="009D7554">
        <w:rPr>
          <w:rFonts w:ascii="Book Antiqua" w:hAnsi="Book Antiqua"/>
          <w:lang w:val="en-US"/>
        </w:rPr>
        <w:t xml:space="preserve">the </w:t>
      </w:r>
      <w:r w:rsidRPr="009D7554">
        <w:rPr>
          <w:rFonts w:ascii="Book Antiqua" w:hAnsi="Book Antiqua"/>
          <w:lang w:val="en-US"/>
        </w:rPr>
        <w:t xml:space="preserve">application of TA to CT, MRI and PET/CT images </w:t>
      </w:r>
      <w:r w:rsidR="001F0F25" w:rsidRPr="009D7554">
        <w:rPr>
          <w:rFonts w:ascii="Book Antiqua" w:hAnsi="Book Antiqua"/>
          <w:lang w:val="en-US"/>
        </w:rPr>
        <w:t>has</w:t>
      </w:r>
      <w:r w:rsidRPr="009D7554">
        <w:rPr>
          <w:rFonts w:ascii="Book Antiqua" w:hAnsi="Book Antiqua"/>
          <w:lang w:val="en-US"/>
        </w:rPr>
        <w:t xml:space="preserve"> been investigated and might be useful in different clinical settings</w:t>
      </w:r>
      <w:r w:rsidR="00356A43" w:rsidRPr="009D7554">
        <w:rPr>
          <w:rFonts w:ascii="Book Antiqua" w:hAnsi="Book Antiqua"/>
          <w:lang w:val="en-US"/>
        </w:rPr>
        <w:t xml:space="preserve"> for</w:t>
      </w:r>
      <w:r w:rsidRPr="009D7554">
        <w:rPr>
          <w:rFonts w:ascii="Book Antiqua" w:hAnsi="Book Antiqua"/>
          <w:lang w:val="en-US"/>
        </w:rPr>
        <w:t xml:space="preserve"> characterization, staging, prognosis and treatment planning.</w:t>
      </w:r>
    </w:p>
    <w:p w:rsidR="009515E9" w:rsidRPr="009D7554" w:rsidRDefault="009515E9" w:rsidP="006A253E">
      <w:pPr>
        <w:widowControl w:val="0"/>
        <w:autoSpaceDE w:val="0"/>
        <w:autoSpaceDN w:val="0"/>
        <w:adjustRightInd w:val="0"/>
        <w:snapToGrid w:val="0"/>
        <w:spacing w:line="360" w:lineRule="auto"/>
        <w:jc w:val="both"/>
        <w:rPr>
          <w:rFonts w:ascii="Book Antiqua" w:hAnsi="Book Antiqua"/>
          <w:lang w:val="en-US"/>
        </w:rPr>
      </w:pPr>
    </w:p>
    <w:p w:rsidR="009515E9" w:rsidRPr="009D7554" w:rsidRDefault="009515E9"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Primary tumor identification</w:t>
      </w:r>
      <w:r w:rsidR="00A24BB6" w:rsidRPr="009D7554">
        <w:rPr>
          <w:rFonts w:ascii="Book Antiqua" w:eastAsia="等线" w:hAnsi="Book Antiqua" w:hint="eastAsia"/>
          <w:b/>
          <w:lang w:val="en-US" w:eastAsia="zh-CN"/>
        </w:rPr>
        <w:t>:</w:t>
      </w:r>
      <w:r w:rsidR="00A24BB6" w:rsidRPr="009D7554">
        <w:rPr>
          <w:rFonts w:ascii="Book Antiqua" w:eastAsia="等线" w:hAnsi="Book Antiqua"/>
          <w:b/>
          <w:lang w:val="en-US" w:eastAsia="zh-CN"/>
        </w:rPr>
        <w:t xml:space="preserve"> </w:t>
      </w:r>
      <w:r w:rsidR="00356A43" w:rsidRPr="009D7554">
        <w:rPr>
          <w:rFonts w:ascii="Book Antiqua" w:hAnsi="Book Antiqua"/>
          <w:lang w:val="en-US"/>
        </w:rPr>
        <w:t xml:space="preserve">The </w:t>
      </w:r>
      <w:r w:rsidR="00502E2D" w:rsidRPr="009D7554">
        <w:rPr>
          <w:rFonts w:ascii="Book Antiqua" w:hAnsi="Book Antiqua"/>
          <w:lang w:val="en-US"/>
        </w:rPr>
        <w:t>accurate</w:t>
      </w:r>
      <w:r w:rsidRPr="009D7554">
        <w:rPr>
          <w:rFonts w:ascii="Book Antiqua" w:hAnsi="Book Antiqua"/>
          <w:lang w:val="en-US"/>
        </w:rPr>
        <w:t xml:space="preserve"> differentiation </w:t>
      </w:r>
      <w:r w:rsidR="00356A43" w:rsidRPr="009D7554">
        <w:rPr>
          <w:rFonts w:ascii="Book Antiqua" w:hAnsi="Book Antiqua"/>
          <w:lang w:val="en-US"/>
        </w:rPr>
        <w:t xml:space="preserve">of </w:t>
      </w:r>
      <w:r w:rsidRPr="009D7554">
        <w:rPr>
          <w:rFonts w:ascii="Book Antiqua" w:hAnsi="Book Antiqua"/>
          <w:lang w:val="en-US"/>
        </w:rPr>
        <w:t xml:space="preserve">colorectal </w:t>
      </w:r>
      <w:r w:rsidR="009A70D4" w:rsidRPr="009D7554">
        <w:rPr>
          <w:rFonts w:ascii="Book Antiqua" w:hAnsi="Book Antiqua"/>
          <w:lang w:val="en-US"/>
        </w:rPr>
        <w:t>nonn</w:t>
      </w:r>
      <w:r w:rsidRPr="009D7554">
        <w:rPr>
          <w:rFonts w:ascii="Book Antiqua" w:hAnsi="Book Antiqua"/>
          <w:lang w:val="en-US"/>
        </w:rPr>
        <w:t xml:space="preserve">eoplastic (i.e., hyperplasic polyps) and neoplastic lesions (i.e., adenomas and adenocarcinomas) </w:t>
      </w:r>
      <w:r w:rsidR="00356A43" w:rsidRPr="009D7554">
        <w:rPr>
          <w:rFonts w:ascii="Book Antiqua" w:hAnsi="Book Antiqua"/>
          <w:lang w:val="en-US"/>
        </w:rPr>
        <w:t xml:space="preserve">based on </w:t>
      </w:r>
      <w:r w:rsidRPr="009D7554">
        <w:rPr>
          <w:rFonts w:ascii="Book Antiqua" w:hAnsi="Book Antiqua"/>
          <w:lang w:val="en-US"/>
        </w:rPr>
        <w:t xml:space="preserve">computed tomography colonography (CTC) for mucosal colorectal </w:t>
      </w:r>
      <w:r w:rsidR="001F0F25" w:rsidRPr="009D7554">
        <w:rPr>
          <w:rFonts w:ascii="Book Antiqua" w:hAnsi="Book Antiqua"/>
          <w:lang w:val="en-US"/>
        </w:rPr>
        <w:t>lesions</w:t>
      </w:r>
      <w:r w:rsidRPr="009D7554">
        <w:rPr>
          <w:rFonts w:ascii="Book Antiqua" w:hAnsi="Book Antiqua"/>
          <w:lang w:val="en-US"/>
        </w:rPr>
        <w:t xml:space="preserve"> is mandatory for </w:t>
      </w:r>
      <w:r w:rsidR="00502E2D" w:rsidRPr="009D7554">
        <w:rPr>
          <w:rFonts w:ascii="Book Antiqua" w:hAnsi="Book Antiqua"/>
          <w:lang w:val="en-US"/>
        </w:rPr>
        <w:t>appropriate</w:t>
      </w:r>
      <w:r w:rsidR="00356A43" w:rsidRPr="009D7554">
        <w:rPr>
          <w:rFonts w:ascii="Book Antiqua" w:hAnsi="Book Antiqua"/>
          <w:lang w:val="en-US"/>
        </w:rPr>
        <w:t xml:space="preserve"> </w:t>
      </w:r>
      <w:r w:rsidRPr="009D7554">
        <w:rPr>
          <w:rFonts w:ascii="Book Antiqua" w:hAnsi="Book Antiqua"/>
          <w:lang w:val="en-US"/>
        </w:rPr>
        <w:t>patient management</w:t>
      </w:r>
      <w:r w:rsidR="004308B4"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{"citationItems":[{"id":"ITEM-1","itemData":{"DOI":"10.1007/s00261-004-0246-8","ISSN":"0942-8925","PMID":"15647869","abstract":"BACKGROUND Conventional colonoscopy (CC) requires an experienced operator to avoid technical or interpretative errors, and an endoscopic error rate of 14% for tumor localization has been reported. We evaluated the impact of computed tomographic colonography (CTC) on surgical treatment strategy in patients with CC reported as having colorectal neoplasm. METHODS Fifty-three patients testing positive for colorectal neoplasm on CC underwent CTC: 32 patients had CC in our hospital (group A) and 21 had CC in area hospitals (group B). All CTC procedures were performed with a multidetector CT system. The results of CTC and CC were compared with that of surgery. The preoperative surgical planning evaluated on the basis of CC and CTC was compared with the actual surgical approach, and the percentage of patients in whom CTC modified the treatment strategy suggested by CC was calculated. RESULTS CTC changed the treatment strategy in four of 53 patients (7.5%) in whom CC showed technical or interpretative errors. Group analysis showed that CTC did not influence the surgical management in any patient in group A but did affect treatment strategy in four of 21 patients (19%) in group B. The effect of CTC on treatment strategy between groups was statistically significant (p &lt; 0.05). CTC identified five adenomas and three adenocarcinomas localized proximally to an impassable stenosis. CONCLUSION CTC can be used to reevaluate the findings of a positive CC and can indicate a more correct therapeutic approach in patients with colorectal neoplasms who are candidates for surgery.","author":[{"dropping-particle":"","family":"Mainenti","given":"P P","non-dropping-particle":"","parse-names":false,"suffix":""},{"dropping-particle":"","family":"Romano","given":"M","non-dropping-particle":"","parse-names":false,"suffix":""},{"dropping-particle":"","family":"Imbriaco","given":"M","non-dropping-particle":"","parse-names":false,"suffix":""},{"dropping-particle":"","family":"Camera","given":"L","non-dropping-particle":"","parse-names":false,"suffix":""},{"dropping-particle":"","family":"Pace","given":"L","non-dropping-particle":"","parse-names":false,"suffix":""},{"dropping-particle":"","family":"D’Antonio","given":"D.","non-dropping-particle":"","parse-names":false,"suffix":""},{"dropping-particle":"","family":"Bucci","given":"L","non-dropping-particle":"","parse-names":false,"suffix":""},{"dropping-particle":"","family":"Galloro","given":"G","non-dropping-particle":"","parse-names":false,"suffix":""},{"dropping-particle":"","family":"Salvatore","given":"M","non-dropping-particle":"","parse-names":false,"suffix":""}],"container-title":"Abdominal Imaging","id":"ITEM-1","issue":"1","issued":{"date-parts":[["2004","1","17"]]},"page":"42-47","title":"Added value of CT colonography after a positive conventional colonoscopy: impact on treatment strategy","type":"article-journal","volume":"30"},"uris":["http://www.mendeley.com/documents/?uuid=cd0259f8-73de-4fab-948e-984bd855bcf4"]}],"mendeley":{"formattedCitation":"&lt;sup&gt;[129]&lt;/sup&gt;","plainTextFormattedCitation":"[129]","previouslyFormattedCitation":"&lt;sup&gt;[129]&lt;/sup&gt;"},"properties":{"noteIndex":0},"schema":"https://github.com/citation-style-language/schema/raw/master/csl-citation.json"}</w:instrText>
      </w:r>
      <w:r w:rsidR="004308B4" w:rsidRPr="009D7554">
        <w:rPr>
          <w:rFonts w:ascii="Book Antiqua" w:hAnsi="Book Antiqua"/>
          <w:lang w:val="en-US"/>
        </w:rPr>
        <w:fldChar w:fldCharType="separate"/>
      </w:r>
      <w:r w:rsidR="004308B4" w:rsidRPr="009D7554">
        <w:rPr>
          <w:rFonts w:ascii="Book Antiqua" w:hAnsi="Book Antiqua"/>
          <w:vertAlign w:val="superscript"/>
          <w:lang w:val="en-US"/>
        </w:rPr>
        <w:t>[129]</w:t>
      </w:r>
      <w:r w:rsidR="004308B4" w:rsidRPr="009D7554">
        <w:rPr>
          <w:rFonts w:ascii="Book Antiqua" w:hAnsi="Book Antiqua"/>
          <w:lang w:val="en-US"/>
        </w:rPr>
        <w:fldChar w:fldCharType="end"/>
      </w:r>
      <w:r w:rsidRPr="009D7554">
        <w:rPr>
          <w:rFonts w:ascii="Book Antiqua" w:hAnsi="Book Antiqua"/>
          <w:lang w:val="en-US"/>
        </w:rPr>
        <w:t xml:space="preserve">. The lesion size </w:t>
      </w:r>
      <w:r w:rsidR="00356A43" w:rsidRPr="009D7554">
        <w:rPr>
          <w:rFonts w:ascii="Book Antiqua" w:hAnsi="Book Antiqua"/>
          <w:lang w:val="en-US"/>
        </w:rPr>
        <w:t>is correlated</w:t>
      </w:r>
      <w:r w:rsidRPr="009D7554">
        <w:rPr>
          <w:rFonts w:ascii="Book Antiqua" w:hAnsi="Book Antiqua"/>
          <w:lang w:val="en-US"/>
        </w:rPr>
        <w:t xml:space="preserve"> with the risk of malignancy, but size alone is not sufficient </w:t>
      </w:r>
      <w:r w:rsidR="00356A43" w:rsidRPr="009D7554">
        <w:rPr>
          <w:rFonts w:ascii="Book Antiqua" w:hAnsi="Book Antiqua"/>
          <w:lang w:val="en-US"/>
        </w:rPr>
        <w:t>to</w:t>
      </w:r>
      <w:r w:rsidRPr="009D7554">
        <w:rPr>
          <w:rFonts w:ascii="Book Antiqua" w:hAnsi="Book Antiqua"/>
          <w:lang w:val="en-US"/>
        </w:rPr>
        <w:t xml:space="preserve"> </w:t>
      </w:r>
      <w:r w:rsidR="00356A43" w:rsidRPr="009D7554">
        <w:rPr>
          <w:rFonts w:ascii="Book Antiqua" w:hAnsi="Book Antiqua"/>
          <w:lang w:val="en-US"/>
        </w:rPr>
        <w:t>discriminate</w:t>
      </w:r>
      <w:r w:rsidRPr="009D7554">
        <w:rPr>
          <w:rFonts w:ascii="Book Antiqua" w:hAnsi="Book Antiqua"/>
          <w:lang w:val="en-US"/>
        </w:rPr>
        <w:t xml:space="preserve"> between </w:t>
      </w:r>
      <w:r w:rsidR="009A70D4" w:rsidRPr="009D7554">
        <w:rPr>
          <w:rFonts w:ascii="Book Antiqua" w:hAnsi="Book Antiqua"/>
          <w:lang w:val="en-US"/>
        </w:rPr>
        <w:t>nonn</w:t>
      </w:r>
      <w:r w:rsidRPr="009D7554">
        <w:rPr>
          <w:rFonts w:ascii="Book Antiqua" w:hAnsi="Book Antiqua"/>
          <w:lang w:val="en-US"/>
        </w:rPr>
        <w:t xml:space="preserve">eoplastic and neoplastic lesions </w:t>
      </w:r>
      <w:r w:rsidR="001F0F25" w:rsidRPr="009D7554">
        <w:rPr>
          <w:rFonts w:ascii="Book Antiqua" w:hAnsi="Book Antiqua"/>
          <w:lang w:val="en-US"/>
        </w:rPr>
        <w:t xml:space="preserve">for </w:t>
      </w:r>
      <w:r w:rsidRPr="009D7554">
        <w:rPr>
          <w:rFonts w:ascii="Book Antiqua" w:hAnsi="Book Antiqua"/>
          <w:lang w:val="en-US"/>
        </w:rPr>
        <w:t xml:space="preserve">the following reasons: </w:t>
      </w:r>
      <w:r w:rsidR="00F04BB8" w:rsidRPr="009D7554">
        <w:rPr>
          <w:rFonts w:ascii="Book Antiqua" w:hAnsi="Book Antiqua"/>
          <w:lang w:val="en-US"/>
        </w:rPr>
        <w:t>(</w:t>
      </w:r>
      <w:r w:rsidRPr="009D7554">
        <w:rPr>
          <w:rFonts w:ascii="Book Antiqua" w:hAnsi="Book Antiqua"/>
          <w:lang w:val="en-US"/>
        </w:rPr>
        <w:t>1) CTC tends to underestimate polyp size</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{"citationItems":[{"id":"ITEM-1","itemData":{"DOI":"10.1148/radiol.10090877","ISSN":"1527-1315","PMID":"20501711","abstract":"Polyp size is a critical biomarker for clinical management. Larger polyps have a greater likelihood of being or of becoming an adenocarcinoma. To balance the referral rate for polypectomy against the risk of leaving potential cancers in situ, sizes of 6 and 10 mm are increasingly being discussed as critical thresholds for clinical decision making (immediate polypectomy versus polyp surveillance) and have been incorporated into the consensus CT Colonography Reporting and Data System (C-RADS). Polyp size measurement at optical colonoscopy, pathologic examination, and computed tomographic (CT) colonography has been studied extensively but the reported precision, accuracy, and relative sizes have been highly variable. Sizes measured at CT colonography tend to lie between those measured at optical colonoscopy and pathologic evaluation. The size measurements are subject to a variety of sources of error associated with image acquisition, display, and interpretation, such as partial volume averaging, two- versus three-dimensional displays, and observer variability. This review summarizes current best practices for polyp size measurement, describes the role of automated size measurement software, discusses how to manage the measurement uncertainties, and identifies areas requiring further research.","author":[{"dropping-particle":"","family":"Summers","given":"Ronald M","non-dropping-particle":"","parse-names":false,"suffix":""}],"container-title":"Radiology","id":"ITEM-1","issue":"3","issued":{"date-parts":[["2010","6"]]},"page":"707-20","title":"Polyp size measurement at CT colonography: what do we know and what do we need to know?","type":"article-journal","volume":"255"},"uris":["http://www.mendeley.com/documents/?uuid=827ccb5c-f11f-4d33-8c72-7f47e5662053"]}],"mendeley":{"formattedCitation":"&lt;sup&gt;[130]&lt;/sup&gt;","plainTextFormattedCitation":"[130]","previouslyFormattedCitation":"&lt;sup&gt;[130]&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[130]</w:t>
      </w:r>
      <w:r w:rsidR="00A75298" w:rsidRPr="009D7554">
        <w:rPr>
          <w:rFonts w:ascii="Book Antiqua" w:hAnsi="Book Antiqua"/>
          <w:lang w:val="en-US"/>
        </w:rPr>
        <w:fldChar w:fldCharType="end"/>
      </w:r>
      <w:r w:rsidRPr="009D7554">
        <w:rPr>
          <w:rFonts w:ascii="Book Antiqua" w:hAnsi="Book Antiqua"/>
          <w:lang w:val="en-US"/>
        </w:rPr>
        <w:t xml:space="preserve">; </w:t>
      </w:r>
      <w:r w:rsidR="00F04BB8" w:rsidRPr="009D7554">
        <w:rPr>
          <w:rFonts w:ascii="Book Antiqua" w:hAnsi="Book Antiqua"/>
          <w:lang w:val="en-US"/>
        </w:rPr>
        <w:t>and (</w:t>
      </w:r>
      <w:r w:rsidRPr="009D7554">
        <w:rPr>
          <w:rFonts w:ascii="Book Antiqua" w:hAnsi="Book Antiqua"/>
          <w:lang w:val="en-US"/>
        </w:rPr>
        <w:t xml:space="preserve">2) </w:t>
      </w:r>
      <w:r w:rsidR="00356A43" w:rsidRPr="009D7554">
        <w:rPr>
          <w:rFonts w:ascii="Book Antiqua" w:hAnsi="Book Antiqua"/>
          <w:lang w:val="en-US"/>
        </w:rPr>
        <w:t xml:space="preserve">the </w:t>
      </w:r>
      <w:r w:rsidRPr="009D7554">
        <w:rPr>
          <w:rFonts w:ascii="Book Antiqua" w:hAnsi="Book Antiqua"/>
          <w:lang w:val="en-US"/>
        </w:rPr>
        <w:t>overlap</w:t>
      </w:r>
      <w:r w:rsidR="00356A43" w:rsidRPr="009D7554">
        <w:rPr>
          <w:rFonts w:ascii="Book Antiqua" w:hAnsi="Book Antiqua"/>
          <w:lang w:val="en-US"/>
        </w:rPr>
        <w:t xml:space="preserve"> in the</w:t>
      </w:r>
      <w:r w:rsidRPr="009D7554">
        <w:rPr>
          <w:rFonts w:ascii="Book Antiqua" w:hAnsi="Book Antiqua"/>
          <w:lang w:val="en-US"/>
        </w:rPr>
        <w:t xml:space="preserve"> sizes </w:t>
      </w:r>
      <w:r w:rsidR="00356A43" w:rsidRPr="009D7554">
        <w:rPr>
          <w:rFonts w:ascii="Book Antiqua" w:hAnsi="Book Antiqua"/>
          <w:lang w:val="en-US"/>
        </w:rPr>
        <w:t xml:space="preserve">of </w:t>
      </w:r>
      <w:r w:rsidRPr="009D7554">
        <w:rPr>
          <w:rFonts w:ascii="Book Antiqua" w:hAnsi="Book Antiqua"/>
          <w:lang w:val="en-US"/>
        </w:rPr>
        <w:t xml:space="preserve">benign, premalignant and malignant lesions. Moreover, </w:t>
      </w:r>
      <w:r w:rsidR="00356A43" w:rsidRPr="009D7554">
        <w:rPr>
          <w:rFonts w:ascii="Book Antiqua" w:hAnsi="Book Antiqua"/>
          <w:lang w:val="en-US"/>
        </w:rPr>
        <w:t xml:space="preserve">combination of </w:t>
      </w:r>
      <w:r w:rsidRPr="009D7554">
        <w:rPr>
          <w:rFonts w:ascii="Book Antiqua" w:hAnsi="Book Antiqua"/>
          <w:lang w:val="en-US"/>
        </w:rPr>
        <w:t xml:space="preserve">metabolic </w:t>
      </w:r>
      <w:r w:rsidR="00356A43" w:rsidRPr="009D7554">
        <w:rPr>
          <w:rFonts w:ascii="Book Antiqua" w:hAnsi="Book Antiqua"/>
          <w:lang w:val="en-US"/>
        </w:rPr>
        <w:t xml:space="preserve">and </w:t>
      </w:r>
      <w:r w:rsidRPr="009D7554">
        <w:rPr>
          <w:rFonts w:ascii="Book Antiqua" w:hAnsi="Book Antiqua"/>
          <w:lang w:val="en-US"/>
        </w:rPr>
        <w:t>morphological information does not seem to increase the accuracy of CTC</w:t>
      </w:r>
      <w:r w:rsidR="00A75298" w:rsidRPr="009D7554">
        <w:rPr>
          <w:rFonts w:ascii="Book Antiqua" w:hAnsi="Book Antiqua"/>
          <w:lang w:val="en-US"/>
        </w:rPr>
        <w:fldChar w:fldCharType="begin" w:fldLock="1"/>
      </w:r>
      <w:r w:rsidR="006275CB" w:rsidRPr="009D7554">
        <w:rPr>
          <w:rFonts w:ascii="Book Antiqua" w:hAnsi="Book Antiqua"/>
          <w:lang w:val="en-US"/>
        </w:rPr>
        <w:instrText>ADDIN CSL_CITATION {"citationItems":[{"id":"ITEM-1","itemData":{"DOI":"10.1007/s00259-007-0422-5","ISSN":"1619-7070","PMID":"17492447","abstract":"PURPOSE To examine: (1) the feasibility of PET/CT colonography (PET/CTc) in patients with colorectal polyps; (2) the impact of metabolic information on CTc interpretation and, conversely, the impact of morphological information on PET characterisation of focal colorectal uptake. METHODS Ten patients with colorectal polyps underwent PET/CTc, followed within 3 h by therapeutic conventional colonoscopy (CC). A radiologist and a nuclear medicine physician analysed the PET/CTc images. The agreement of morphological and metabolic information in the colon and rectum was evaluated. The sensitivity and specificity of PET, CT and PET/CT were calculated for colorectal polyps. RESULTS Seventeen polypoid lesions were identified at CC: six&lt; or =5 mm, six between 6 and 9 mm, and five &gt; or =10 mm (four hyperplastic polyps, 11 tubular adenomas, one adenocarcinoma and one submucosal lipoma). A total of 20 scans (supine and prone) were performed in the ten patients: the agreement of morphological and metabolic information was excellent in 17 scans, good in two and moderate in one. PET/CTc showed a sensitivity of 91% for lesions &gt; or =6 mm and a specificity of 100%. The metabolic information did not disclose any further polyps missed on CTc. The morphological information permitted correct classification of all eight instances of focal radiotracer uptake. CONCLUSION PET/CTc is a feasible study. Adding a colonographic protocol to PET/CT images seems to allow correct characterisation of all cases of colorectal focal radiotracer uptake. The metabolic information does not seem to increase the accuracy of CTc.","author":[{"dropping-particle":"","family":"Mainenti","given":"Pier Paolo","non-dropping-particle":"","parse-names":false,"suffix":""},{"dropping-particle":"","family":"Salvatore","given":"Barbara","non-dropping-particle":"","parse-names":false,"suffix":""},{"dropping-particle":"","family":"D'Antonio","given":"Dario","non-dropping-particle":"","parse-names":false,"suffix":""},{"dropping-particle":"","family":"Falco","given":"Teresa","non-dropping-particle":"De","parse-names":false,"suffix":""},{"dropping-particle":"","family":"Palma","given":"Giovanni Domenico","non-dropping-particle":"De","parse-names":false,"suffix":""},{"dropping-particle":"","family":"D'Armiento","given":"Francesco Paolo","non-dropping-particle":"","parse-names":false,"suffix":""},{"dropping-particle":"","family":"Bucci","given":"Luigi","non-dropping-particle":"","parse-names":false,"suffix":""},{"dropping-particle":"","family":"Pace","given":"Leonardo","non-dropping-particle":"","parse-names":false,"suffix":""},{"dropping-particle":"","family":"Salvatore","given":"Marco","non-dropping-particle":"","parse-names":false,"suffix":""}],"container-title":"European journal of nuclear medicine and molecular imaging","id":"ITEM-1","issue":"10","issued":{"date-parts":[["2007","10"]]},"page":"1594-603","title":"PET/CT colonography in patients with colorectal polyps: a feasibility study.","type":"article-journal","volume":"34"},"uris":["http://www.mendeley.com/documents/?uuid=ffc6d32b-feee-46a0-99d3-e5b74b13e76c"]}],"mendeley":{"formattedCitation":"&lt;sup&gt;[41]&lt;/sup&gt;","plainTextFormattedCitation":"[41]","previouslyFormattedCitation":"&lt;sup&gt;[41]&lt;/sup&gt;"},"properties":{"noteIndex":0},"schema":"https://github.com/citation-style-language/schema/raw/master/csl-citation.json"}</w:instrText>
      </w:r>
      <w:r w:rsidR="00A75298" w:rsidRPr="009D7554">
        <w:rPr>
          <w:rFonts w:ascii="Book Antiqua" w:hAnsi="Book Antiqua"/>
          <w:lang w:val="en-US"/>
        </w:rPr>
        <w:fldChar w:fldCharType="separate"/>
      </w:r>
      <w:r w:rsidR="006275CB" w:rsidRPr="009D7554">
        <w:rPr>
          <w:rFonts w:ascii="Book Antiqua" w:hAnsi="Book Antiqua"/>
          <w:vertAlign w:val="superscript"/>
          <w:lang w:val="en-US"/>
        </w:rPr>
        <w:t>[41]</w:t>
      </w:r>
      <w:r w:rsidR="00A75298" w:rsidRPr="009D7554">
        <w:rPr>
          <w:rFonts w:ascii="Book Antiqua" w:hAnsi="Book Antiqua"/>
          <w:lang w:val="en-US"/>
        </w:rPr>
        <w:fldChar w:fldCharType="end"/>
      </w:r>
      <w:r w:rsidR="003D6706" w:rsidRPr="009D7554">
        <w:rPr>
          <w:rFonts w:ascii="Book Antiqua" w:hAnsi="Book Antiqua"/>
          <w:bCs/>
          <w:lang w:val="en-US"/>
        </w:rPr>
        <w:t xml:space="preserve">. Therefore, TA might improve the diagnostic performance of CTC </w:t>
      </w:r>
      <w:r w:rsidR="001F0F25" w:rsidRPr="009D7554">
        <w:rPr>
          <w:rFonts w:ascii="Book Antiqua" w:hAnsi="Book Antiqua"/>
          <w:bCs/>
          <w:lang w:val="en-US"/>
        </w:rPr>
        <w:t xml:space="preserve">by </w:t>
      </w:r>
      <w:r w:rsidR="00356A43" w:rsidRPr="009D7554">
        <w:rPr>
          <w:rFonts w:ascii="Book Antiqua" w:hAnsi="Book Antiqua"/>
          <w:bCs/>
          <w:lang w:val="en-US"/>
        </w:rPr>
        <w:t xml:space="preserve">introducing additional </w:t>
      </w:r>
      <w:r w:rsidR="003D6706" w:rsidRPr="009D7554">
        <w:rPr>
          <w:rFonts w:ascii="Book Antiqua" w:hAnsi="Book Antiqua"/>
          <w:bCs/>
          <w:lang w:val="en-US"/>
        </w:rPr>
        <w:t xml:space="preserve">criteria </w:t>
      </w:r>
      <w:r w:rsidR="00356A43" w:rsidRPr="009D7554">
        <w:rPr>
          <w:rFonts w:ascii="Book Antiqua" w:hAnsi="Book Antiqua"/>
          <w:bCs/>
          <w:lang w:val="en-US"/>
        </w:rPr>
        <w:t xml:space="preserve">for </w:t>
      </w:r>
      <w:r w:rsidR="003D6706" w:rsidRPr="009D7554">
        <w:rPr>
          <w:rFonts w:ascii="Book Antiqua" w:hAnsi="Book Antiqua"/>
          <w:bCs/>
          <w:lang w:val="en-US"/>
        </w:rPr>
        <w:t xml:space="preserve">evaluation. Song </w:t>
      </w:r>
      <w:r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{"citationItems":[{"id":"ITEM-1","itemData":{"DOI":"10.1007/s11548-014-0991-2","ISSN":"1861-6429","PMID":"24696313","abstract":"PURPOSE Differentiation of colon lesions according to underlying pathology, e.g., neoplastic and non-neoplastic lesions, is of fundamental importance for patient management. Image intensity-based textural features have been recognized as useful biomarker for the differentiation task. In this paper, we introduce texture features from higher-order images, i.e., gradient and curvature images, beyond the intensity image, for that task. METHODS Based on the Haralick texture analysis method, we introduce a virtual pathological model to explore the utility of texture features from high-order differentiations, i.e., gradient and curvature, of the image intensity distribution. The texture features were validated on a database consisting of 148 colon lesions, of which 35 are non-neoplastic lesions, using the support vector machine classifier and the merit of area under the curve (AUC) of the receiver operating characteristics. RESULTS The AUC of classification was improved from 0.74 (using the image intensity alone) to 0.85 (by also considering the gradient and curvature images) in differentiating the neoplastic lesions from non-neoplastic ones, e.g., hyperplastic polyps from tubular adenomas, tubulovillous adenomas and adenocarcinomas. CONCLUSIONS The experimental results demonstrated that texture features from higher-order images can significantly improve the classification accuracy in pathological differentiation of colorectal lesions. The gain in differentiation capability shall increase the potential of computed tomography colonography for colorectal cancer screening by not only detecting polyps but also classifying them for optimal polyp management for the best outcome in personalized medicine.","author":[{"dropping-particle":"","family":"Song","given":"Bowen","non-dropping-particle":"","parse-names":false,"suffix":""},{"dropping-particle":"","family":"Zhang","given":"Guopeng","non-dropping-particle":"","parse-names":false,"suffix":""},{"dropping-particle":"","family":"Lu","given":"Hongbing","non-dropping-particle":"","parse-names":false,"suffix":""},{"dropping-particle":"","family":"Wang","given":"Huafeng","non-dropping-particle":"","parse-names":false,"suffix":""},{"dropping-particle":"","family":"Zhu","given":"Wei","non-dropping-particle":"","parse-names":false,"suffix":""},{"dropping-particle":"","family":"J Pickhardt","given":"Perry","non-dropping-particle":"","parse-names":false,"suffix":""},{"dropping-particle":"","family":"Liang","given":"Zhengrong","non-dropping-particle":"","parse-names":false,"suffix":""}],"container-title":"International journal of computer assisted radiology and surgery","id":"ITEM-1","issue":"6","issued":{"date-parts":[["2014","11"]]},"page":"1021-31","title":"Volumetric texture features from higher-order images for diagnosis of colon lesions via CT colonography.","type":"article-journal","volume":"9"},"uris":["http://www.mendeley.com/documents/?uuid=a8689ecf-e2d0-494c-acb8-d7ac26f4e20e"]}],"mendeley":{"formattedCitation":"&lt;sup&gt;[131]&lt;/sup&gt;","plainTextFormattedCitation":"[131]","previouslyFormattedCitation":"&lt;sup&gt;[131]&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[131]</w:t>
      </w:r>
      <w:r w:rsidR="00A75298" w:rsidRPr="009D7554">
        <w:rPr>
          <w:rFonts w:ascii="Book Antiqua" w:hAnsi="Book Antiqua"/>
          <w:i/>
          <w:lang w:val="en-US"/>
        </w:rPr>
        <w:fldChar w:fldCharType="end"/>
      </w:r>
      <w:r w:rsidR="002C09AC" w:rsidRPr="009D7554">
        <w:rPr>
          <w:rFonts w:ascii="Book Antiqua" w:hAnsi="Book Antiqua"/>
          <w:i/>
          <w:lang w:val="en-US"/>
        </w:rPr>
        <w:t xml:space="preserve"> </w:t>
      </w:r>
      <w:r w:rsidRPr="009D7554">
        <w:rPr>
          <w:rFonts w:ascii="Book Antiqua" w:hAnsi="Book Antiqua"/>
          <w:lang w:val="en-US"/>
        </w:rPr>
        <w:t xml:space="preserve">evaluated the accuracy of </w:t>
      </w:r>
      <w:r w:rsidR="00356A43" w:rsidRPr="009D7554">
        <w:rPr>
          <w:rFonts w:ascii="Book Antiqua" w:hAnsi="Book Antiqua"/>
          <w:lang w:val="en-US"/>
        </w:rPr>
        <w:t xml:space="preserve">the use of </w:t>
      </w:r>
      <w:r w:rsidRPr="009D7554">
        <w:rPr>
          <w:rFonts w:ascii="Book Antiqua" w:hAnsi="Book Antiqua"/>
          <w:lang w:val="en-US"/>
        </w:rPr>
        <w:t xml:space="preserve">CTC </w:t>
      </w:r>
      <w:r w:rsidR="00356A43" w:rsidRPr="009D7554">
        <w:rPr>
          <w:rFonts w:ascii="Book Antiqua" w:hAnsi="Book Antiqua"/>
          <w:lang w:val="en-US"/>
        </w:rPr>
        <w:t xml:space="preserve">texture </w:t>
      </w:r>
      <w:r w:rsidRPr="009D7554">
        <w:rPr>
          <w:rFonts w:ascii="Book Antiqua" w:hAnsi="Book Antiqua"/>
          <w:lang w:val="en-US"/>
        </w:rPr>
        <w:t xml:space="preserve">features in differentiating colorectal lesions. Intensity, gradient (i.e., the </w:t>
      </w:r>
      <w:r w:rsidR="00356A43" w:rsidRPr="009D7554">
        <w:rPr>
          <w:rFonts w:ascii="Book Antiqua" w:hAnsi="Book Antiqua"/>
          <w:lang w:val="en-US"/>
        </w:rPr>
        <w:t xml:space="preserve">degree of the </w:t>
      </w:r>
      <w:r w:rsidRPr="009D7554">
        <w:rPr>
          <w:rFonts w:ascii="Book Antiqua" w:hAnsi="Book Antiqua"/>
          <w:lang w:val="en-US"/>
        </w:rPr>
        <w:t xml:space="preserve">intensity </w:t>
      </w:r>
      <w:r w:rsidR="00356A43" w:rsidRPr="009D7554">
        <w:rPr>
          <w:rFonts w:ascii="Book Antiqua" w:hAnsi="Book Antiqua"/>
          <w:lang w:val="en-US"/>
        </w:rPr>
        <w:t>change</w:t>
      </w:r>
      <w:r w:rsidRPr="009D7554">
        <w:rPr>
          <w:rFonts w:ascii="Book Antiqua" w:hAnsi="Book Antiqua"/>
          <w:lang w:val="en-US"/>
        </w:rPr>
        <w:t>) and curvature (</w:t>
      </w:r>
      <w:r w:rsidRPr="009D7554">
        <w:rPr>
          <w:rFonts w:ascii="Book Antiqua" w:hAnsi="Book Antiqua"/>
          <w:i/>
          <w:iCs/>
          <w:lang w:val="en-US"/>
        </w:rPr>
        <w:t>i.e.</w:t>
      </w:r>
      <w:r w:rsidRPr="009D7554">
        <w:rPr>
          <w:rFonts w:ascii="Book Antiqua" w:hAnsi="Book Antiqua"/>
          <w:lang w:val="en-US"/>
        </w:rPr>
        <w:t xml:space="preserve">, the </w:t>
      </w:r>
      <w:r w:rsidR="00356A43" w:rsidRPr="009D7554">
        <w:rPr>
          <w:rFonts w:ascii="Book Antiqua" w:hAnsi="Book Antiqua"/>
          <w:lang w:val="en-US"/>
        </w:rPr>
        <w:t>degree that a</w:t>
      </w:r>
      <w:r w:rsidRPr="009D7554">
        <w:rPr>
          <w:rFonts w:ascii="Book Antiqua" w:hAnsi="Book Antiqua"/>
          <w:lang w:val="en-US"/>
        </w:rPr>
        <w:t xml:space="preserve"> geometric object deviate</w:t>
      </w:r>
      <w:r w:rsidR="00356A43" w:rsidRPr="009D7554">
        <w:rPr>
          <w:rFonts w:ascii="Book Antiqua" w:hAnsi="Book Antiqua"/>
          <w:lang w:val="en-US"/>
        </w:rPr>
        <w:t>s</w:t>
      </w:r>
      <w:r w:rsidRPr="009D7554">
        <w:rPr>
          <w:rFonts w:ascii="Book Antiqua" w:hAnsi="Book Antiqua"/>
          <w:lang w:val="en-US"/>
        </w:rPr>
        <w:t xml:space="preserve"> from being flat) were calculated for each colorectal polyp lesion. The results showed that the combination of gradient and curvature features</w:t>
      </w:r>
      <w:r w:rsidR="001F0F25" w:rsidRPr="009D7554">
        <w:rPr>
          <w:rFonts w:ascii="Book Antiqua" w:hAnsi="Book Antiqua"/>
          <w:lang w:val="en-US"/>
        </w:rPr>
        <w:t xml:space="preserve"> significantly</w:t>
      </w:r>
      <w:r w:rsidRPr="009D7554">
        <w:rPr>
          <w:rFonts w:ascii="Book Antiqua" w:hAnsi="Book Antiqua"/>
          <w:lang w:val="en-US"/>
        </w:rPr>
        <w:t xml:space="preserve"> improved the performance of CTC in differentiating hyperplasic polyps from neoplastic lesions. </w:t>
      </w:r>
      <w:r w:rsidR="00356A43" w:rsidRPr="009D7554">
        <w:rPr>
          <w:rFonts w:ascii="Book Antiqua" w:hAnsi="Book Antiqua"/>
          <w:lang w:val="en-US"/>
        </w:rPr>
        <w:t>The s</w:t>
      </w:r>
      <w:r w:rsidRPr="009D7554">
        <w:rPr>
          <w:rFonts w:ascii="Book Antiqua" w:hAnsi="Book Antiqua"/>
          <w:lang w:val="en-US"/>
        </w:rPr>
        <w:t xml:space="preserve">kewness and entropy values calculated </w:t>
      </w:r>
      <w:r w:rsidR="00356A43" w:rsidRPr="009D7554">
        <w:rPr>
          <w:rFonts w:ascii="Book Antiqua" w:hAnsi="Book Antiqua"/>
          <w:lang w:val="en-US"/>
        </w:rPr>
        <w:t xml:space="preserve">on the basis of </w:t>
      </w:r>
      <w:r w:rsidRPr="009D7554">
        <w:rPr>
          <w:rFonts w:ascii="Book Antiqua" w:hAnsi="Book Antiqua"/>
          <w:lang w:val="en-US"/>
        </w:rPr>
        <w:t xml:space="preserve">ADC maps were significantly lower in patients with stage pT1-2 </w:t>
      </w:r>
      <w:r w:rsidR="00356A43" w:rsidRPr="009D7554">
        <w:rPr>
          <w:rFonts w:ascii="Book Antiqua" w:hAnsi="Book Antiqua"/>
          <w:lang w:val="en-US"/>
        </w:rPr>
        <w:t xml:space="preserve">tumors </w:t>
      </w:r>
      <w:r w:rsidRPr="009D7554">
        <w:rPr>
          <w:rFonts w:ascii="Book Antiqua" w:hAnsi="Book Antiqua"/>
          <w:lang w:val="en-US"/>
        </w:rPr>
        <w:t>versus those with stage pT3-4</w:t>
      </w:r>
      <w:r w:rsidR="00356A43" w:rsidRPr="009D7554">
        <w:rPr>
          <w:rFonts w:ascii="Book Antiqua" w:hAnsi="Book Antiqua"/>
          <w:lang w:val="en-US"/>
        </w:rPr>
        <w:t xml:space="preserve"> tumors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{"citationItems":[{"id":"ITEM-1","itemData":{"DOI":"10.1002/jmri.25460","ISSN":"1522-2586","PMID":"27654307","abstract":"PURPOSE To explore the potential of texture analysis based on apparent diffusion coefficient (ADC) maps, as a predictor of local invasion depth (stage pT1-2 versus pT3-4) and nodal status (pN0 versus pN1-2) of rectal cancer. MATERIALS AND METHODS Sixty-eight patients with rectal cancer underwent preoperative magnetic resonance (MR) imaging including diffusion weighted imaging (DWI) at a 3.0 Tesla system. Routine ADC variables (ADCmean , ADCmin , ADCmax ), histogram features (skewness, kurtosis) and gray level co-occurrence matrix features (entropy, contrast, correlation) were compared between pT1-2 and pT3-4 stages, between pN0 and pN1-2 stages. RESULTS Skewness, entropy, and contrast were significantly lower in patients with pT1-2 as compared to those with pT3-4 tumors (0.166 versus 0.476, P = 0.015; 3.212 versus 3.441 P = 0.004; 10.773 versus 13.596, P = 0.017). Furthermore, skewness and entropy were identified as independent predictors for extramural invasion of tumors (stage pT3-4). Significant differences were observed between pN0 and pN1-2 tumors with respect to ADCmean (1.152 versus 1.044, P = 0.029), ADCmax (1.692 versus 1.460, P = 0.006) and entropy (3.299 versus 3.486, P = 0.015). ADCmax. and entropy were independent predictors of positive nodal status. CONCLUSION Texture analysis on ADC maps could provide valuable information in identifying locally advanced rectal cancer. LEVEL OF EVIDENCE 3 J. MAGN. RESON. IMAGING 2017;45:1798-1808.","author":[{"dropping-particle":"","family":"Liu","given":"Liheng","non-dropping-particle":"","parse-names":false,"suffix":""},{"dropping-particle":"","family":"Liu","given":"Yuhui","non-dropping-particle":"","parse-names":false,"suffix":""},{"dropping-particle":"","family":"Xu","given":"Liang","non-dropping-particle":"","parse-names":false,"suffix":""},{"dropping-particle":"","family":"Li","given":"Zhenjiang","non-dropping-particle":"","parse-names":false,"suffix":""},{"dropping-particle":"","family":"Lv","given":"Han","non-dropping-particle":"","parse-names":false,"suffix":""},{"dropping-particle":"","family":"Dong","given":"Ningning","non-dropping-particle":"","parse-names":false,"suffix":""},{"dropping-particle":"","family":"Li","given":"Wenwu","non-dropping-particle":"","parse-names":false,"suffix":""},{"dropping-particle":"","family":"Yang","given":"Zhenghan","non-dropping-particle":"","parse-names":false,"suffix":""},{"dropping-particle":"","family":"Wang","given":"Zhenchang","non-dropping-particle":"","parse-names":false,"suffix":""},{"dropping-particle":"","family":"Jin","given":"Erhu","non-dropping-particle":"","parse-names":false,"suffix":""}],"container-title":"Journal of magnetic resonance imaging : JMRI","id":"ITEM-1","issue":"6","issued":{"date-parts":[["2017"]]},"page":"1798-1808","title":"Application of texture analysis based on apparent diffusion coefficient maps in discriminating different stages of rectal cancer.","type":"article-journal","volume":"45"},"uris":["http://www.mendeley.com/documents/?uuid=578bcc94-1302-44a7-8f85-700c6689aac9"]}],"mendeley":{"formattedCitation":"&lt;sup&gt;[132]&lt;/sup&gt;","plainTextFormattedCitation":"[132]","previouslyFormattedCitation":"&lt;sup&gt;[132]&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[132]</w:t>
      </w:r>
      <w:r w:rsidR="00A75298" w:rsidRPr="009D7554">
        <w:rPr>
          <w:rFonts w:ascii="Book Antiqua" w:hAnsi="Book Antiqua"/>
          <w:lang w:val="en-US"/>
        </w:rPr>
        <w:fldChar w:fldCharType="end"/>
      </w:r>
      <w:r w:rsidRPr="009D7554">
        <w:rPr>
          <w:rFonts w:ascii="Book Antiqua" w:hAnsi="Book Antiqua"/>
          <w:lang w:val="en-US"/>
        </w:rPr>
        <w:t xml:space="preserve">. Kurtosis values obtained </w:t>
      </w:r>
      <w:r w:rsidR="00356A43" w:rsidRPr="009D7554">
        <w:rPr>
          <w:rFonts w:ascii="Book Antiqua" w:hAnsi="Book Antiqua"/>
          <w:lang w:val="en-US"/>
        </w:rPr>
        <w:t xml:space="preserve">on the basis of </w:t>
      </w:r>
      <w:r w:rsidRPr="009D7554">
        <w:rPr>
          <w:rFonts w:ascii="Book Antiqua" w:hAnsi="Book Antiqua"/>
          <w:lang w:val="en-US"/>
        </w:rPr>
        <w:t>DWI were significantly higher in high-grade than in low-grade RC</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10.1148/radiol.2016160094","ISSN":"0033-8419","PMID":"27929929","author":[{"dropping-particle":"","family":"Zhu","given":"Lan","non-dropping-particle":"","parse-names":false,"suffix":""},{"dropping-particle":"","family":"Pan","given":"Zilai","non-dropping-particle":"","parse-names":false,"suffix":""},{"dropping-particle":"","family":"Ma","given":"Qian","non-dropping-particle":"","parse-names":false,"suffix":""},{"dropping-particle":"","family":"Yang","given":"Wenjie","non-dropping-particle":"","parse-names":false,"suffix":""},{"dropping-particle":"","family":"Shi","given":"Hongyuan","non-dropping-particle":"","parse-names":false,"suffix":""},{"dropping-particle":"","family":"Fu","given":"Caixia","non-dropping-particle":"","parse-names":false,"suffix":""},{"dropping-particle":"","family":"Yan","given":"Xu","non-dropping-particle":"","parse-names":false,"suffix":""},{"dropping-particle":"","family":"Du","given":"Lianjun","non-dropping-particle":"","parse-names":false,"suffix":""},{"dropping-particle":"","family":"Yan","given":"Fuhua","non-dropping-particle":"","parse-names":false,"suffix":""},{"dropping-particle":"","family":"Zhang","given":"Huan","non-dropping-particle":"","parse-names":false,"suffix":""}],"container-title":"Radiology","id":"ITEM-1","issue":"1","issued":{"date-parts":[["2017","7"]]},"page":"66-76","title":"Diffusion Kurtosis Imaging Study of Rectal Adenocarcinoma Associated with Histopathologic Prognostic Factors: Preliminary Findings","type":"article-journal","volume":"284"},"uris":["http://www.mendeley.com/documents/?uuid=8c7bd3cc-e29c-44a9-bdea-02137ca0f7e8"]}],"mendeley":{"formattedCitation":"&lt;sup&gt;[133]&lt;/sup&gt;","plainTextFormattedCitation":"[133]","previouslyFormattedCitation":"&lt;sup&gt;[133]&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[133]</w:t>
      </w:r>
      <w:r w:rsidR="00A75298" w:rsidRPr="009D7554">
        <w:rPr>
          <w:rFonts w:ascii="Book Antiqua" w:hAnsi="Book Antiqua"/>
          <w:lang w:val="en-US"/>
        </w:rPr>
        <w:fldChar w:fldCharType="end"/>
      </w:r>
      <w:r w:rsidR="006275CB" w:rsidRPr="009D7554">
        <w:rPr>
          <w:rFonts w:ascii="Book Antiqua" w:hAnsi="Book Antiqua"/>
          <w:lang w:val="en-US"/>
        </w:rPr>
        <w:t>.</w:t>
      </w:r>
    </w:p>
    <w:p w:rsidR="009515E9" w:rsidRPr="009D7554" w:rsidRDefault="009515E9" w:rsidP="006A253E">
      <w:pPr>
        <w:widowControl w:val="0"/>
        <w:autoSpaceDE w:val="0"/>
        <w:autoSpaceDN w:val="0"/>
        <w:adjustRightInd w:val="0"/>
        <w:snapToGrid w:val="0"/>
        <w:spacing w:line="360" w:lineRule="auto"/>
        <w:jc w:val="both"/>
        <w:rPr>
          <w:rFonts w:ascii="Book Antiqua" w:hAnsi="Book Antiqua"/>
          <w:lang w:val="en-US"/>
        </w:rPr>
      </w:pPr>
    </w:p>
    <w:p w:rsidR="009515E9" w:rsidRPr="009D7554" w:rsidRDefault="009515E9"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Lymph node involvement</w:t>
      </w:r>
      <w:r w:rsidR="00A24BB6" w:rsidRPr="009D7554">
        <w:rPr>
          <w:rFonts w:ascii="Book Antiqua" w:eastAsia="等线" w:hAnsi="Book Antiqua" w:hint="eastAsia"/>
          <w:b/>
          <w:lang w:val="en-US" w:eastAsia="zh-CN"/>
        </w:rPr>
        <w:t>:</w:t>
      </w:r>
      <w:r w:rsidR="00A24BB6" w:rsidRPr="009D7554">
        <w:rPr>
          <w:rFonts w:ascii="Book Antiqua" w:eastAsia="等线" w:hAnsi="Book Antiqua"/>
          <w:b/>
          <w:lang w:val="en-US" w:eastAsia="zh-CN"/>
        </w:rPr>
        <w:t xml:space="preserve"> </w:t>
      </w:r>
      <w:r w:rsidR="003D6706" w:rsidRPr="009D7554">
        <w:rPr>
          <w:rFonts w:ascii="Book Antiqua" w:hAnsi="Book Antiqua"/>
          <w:bCs/>
          <w:lang w:val="en-US"/>
        </w:rPr>
        <w:t xml:space="preserve">The evaluation of </w:t>
      </w:r>
      <w:r w:rsidR="00356A43" w:rsidRPr="009D7554">
        <w:rPr>
          <w:rFonts w:ascii="Book Antiqua" w:hAnsi="Book Antiqua"/>
          <w:bCs/>
          <w:lang w:val="en-US"/>
        </w:rPr>
        <w:t xml:space="preserve">the </w:t>
      </w:r>
      <w:r w:rsidR="003D6706" w:rsidRPr="009D7554">
        <w:rPr>
          <w:rFonts w:ascii="Book Antiqua" w:hAnsi="Book Antiqua"/>
          <w:bCs/>
          <w:lang w:val="en-US"/>
        </w:rPr>
        <w:t xml:space="preserve">structural heterogeneity of loco-regional lymph nodes </w:t>
      </w:r>
      <w:r w:rsidR="00356A43" w:rsidRPr="009D7554">
        <w:rPr>
          <w:rFonts w:ascii="Book Antiqua" w:hAnsi="Book Antiqua"/>
          <w:bCs/>
          <w:lang w:val="en-US"/>
        </w:rPr>
        <w:t xml:space="preserve">by using </w:t>
      </w:r>
      <w:r w:rsidR="003D6706" w:rsidRPr="009D7554">
        <w:rPr>
          <w:rFonts w:ascii="Book Antiqua" w:hAnsi="Book Antiqua"/>
          <w:bCs/>
          <w:lang w:val="en-US"/>
        </w:rPr>
        <w:t>TA could help predict nodal status in RC</w:t>
      </w:r>
      <w:r w:rsidR="00356A43" w:rsidRPr="009D7554">
        <w:rPr>
          <w:rFonts w:ascii="Book Antiqua" w:hAnsi="Book Antiqua"/>
          <w:bCs/>
          <w:lang w:val="en-US"/>
        </w:rPr>
        <w:t xml:space="preserve"> to reliably differentiate</w:t>
      </w:r>
      <w:r w:rsidR="003D6706" w:rsidRPr="009D7554">
        <w:rPr>
          <w:rFonts w:ascii="Book Antiqua" w:hAnsi="Book Antiqua"/>
          <w:bCs/>
          <w:lang w:val="en-US"/>
        </w:rPr>
        <w:t xml:space="preserve"> malignant </w:t>
      </w:r>
      <w:r w:rsidR="00356A43" w:rsidRPr="009D7554">
        <w:rPr>
          <w:rFonts w:ascii="Book Antiqua" w:hAnsi="Book Antiqua"/>
          <w:bCs/>
          <w:lang w:val="en-US"/>
        </w:rPr>
        <w:t xml:space="preserve">lymph nodes </w:t>
      </w:r>
      <w:r w:rsidR="003D6706" w:rsidRPr="009D7554">
        <w:rPr>
          <w:rFonts w:ascii="Book Antiqua" w:hAnsi="Book Antiqua"/>
          <w:bCs/>
          <w:lang w:val="en-US"/>
        </w:rPr>
        <w:t xml:space="preserve">from benign lymph nodes. In this regard, Cui </w:t>
      </w:r>
      <w:r w:rsidRPr="009D7554">
        <w:rPr>
          <w:rFonts w:ascii="Book Antiqua" w:hAnsi="Book Antiqua"/>
          <w:i/>
          <w:iCs/>
          <w:lang w:val="en-US"/>
        </w:rPr>
        <w:t>et al</w:t>
      </w:r>
      <w:r w:rsidR="00A75298" w:rsidRPr="009D7554">
        <w:rPr>
          <w:rFonts w:ascii="Book Antiqua" w:hAnsi="Book Antiqua"/>
          <w:i/>
          <w:iCs/>
          <w:lang w:val="en-US"/>
        </w:rPr>
        <w:fldChar w:fldCharType="begin" w:fldLock="1"/>
      </w:r>
      <w:r w:rsidR="004308B4" w:rsidRPr="009D7554">
        <w:rPr>
          <w:rFonts w:ascii="Book Antiqua" w:hAnsi="Book Antiqua"/>
          <w:i/>
          <w:iCs/>
          <w:lang w:val="en-US"/>
        </w:rPr>
        <w:instrText>ADDIN CSL_CITATION {"citationItems":[{"id":"ITEM-1","itemData":{"DOI":"10.1007/s00330-011-2182-7","ISSN":"1432-1084","PMID":"21713526","abstract":"OBJECTIVES To quantitatively evaluate regional lymph nodes in rectal cancer patients by using an automated, computer-aided approach, and to assess the accuracy of this approach in differentiating benign and malignant lymph nodes. METHODS Patients (228) with newly diagnosed rectal cancer, confirmed by biopsy, underwent enhanced computed tomography (CT). Patients were assigned to the benign node or malignant node group according to histopathological analysis of node samples. All CT-detected lymph nodes were segmented using the edge detection method, and seven quantitative parameters of each node were measured. To increase the prediction accuracy, a hierarchical model combining the merits of the support and relevance vector machines was proposed to achieve higher performance. RESULTS Of the 220 lymph nodes evaluated, 125 were positive and 95 were negative for metastases. Fractal dimension obtained by the Minkowski box-counting approach was higher in malignant nodes than in benign nodes, and there was a significant difference in heterogeneity between metastatic and non-metastatic lymph nodes. The overall performance of the proposed model is shown to have accuracy as high as 88% using morphological characterisation of lymph nodes. CONCLUSIONS Computer-aided quantitative analysis can improve the prediction of node status in rectal cancer.","author":[{"dropping-particle":"","family":"Cui","given":"Chunyan","non-dropping-particle":"","parse-names":false,"suffix":""},{"dropping-particle":"","family":"Cai","given":"Hongmin","non-dropping-particle":"","parse-names":false,"suffix":""},{"dropping-particle":"","family":"Liu","given":"Lizhi","non-dropping-particle":"","parse-names":false,"suffix":""},{"dropping-particle":"","family":"Li","given":"Liren","non-dropping-particle":"","parse-names":false,"suffix":""},{"dropping-particle":"","family":"Tian","given":"Haiying","non-dropping-particle":"","parse-names":false,"suffix":""},{"dropping-particle":"","family":"Li","given":"Li","non-dropping-particle":"","parse-names":false,"suffix":""}],"container-title":"European radiology","id":"ITEM-1","issue":"11","issued":{"date-parts":[["2011","11"]]},"page":"2318-25","title":"Quantitative analysis and prediction of regional lymph node status in rectal cancer based on computed tomography imaging.","type":"article-journal","volume":"21"},"uris":["http://www.mendeley.com/documents/?uuid=0a5e504d-8801-4ff5-9996-db936b065f98"]}],"mendeley":{"formattedCitation":"&lt;sup&gt;[134]&lt;/sup&gt;","plainTextFormattedCitation":"[134]","previouslyFormattedCitation":"&lt;sup&gt;[134]&lt;/sup&gt;"},"properties":{"noteIndex":0},"schema":"https://github.com/citation-style-language/schema/raw/master/csl-citation.json"}</w:instrText>
      </w:r>
      <w:r w:rsidR="00A75298" w:rsidRPr="009D7554">
        <w:rPr>
          <w:rFonts w:ascii="Book Antiqua" w:hAnsi="Book Antiqua"/>
          <w:i/>
          <w:iCs/>
          <w:lang w:val="en-US"/>
        </w:rPr>
        <w:fldChar w:fldCharType="separate"/>
      </w:r>
      <w:r w:rsidR="004308B4" w:rsidRPr="009D7554">
        <w:rPr>
          <w:rFonts w:ascii="Book Antiqua" w:hAnsi="Book Antiqua"/>
          <w:iCs/>
          <w:vertAlign w:val="superscript"/>
          <w:lang w:val="en-US"/>
        </w:rPr>
        <w:t>[134]</w:t>
      </w:r>
      <w:r w:rsidR="00A75298" w:rsidRPr="009D7554">
        <w:rPr>
          <w:rFonts w:ascii="Book Antiqua" w:hAnsi="Book Antiqua"/>
          <w:i/>
          <w:iCs/>
          <w:lang w:val="en-US"/>
        </w:rPr>
        <w:fldChar w:fldCharType="end"/>
      </w:r>
      <w:r w:rsidR="003D6706" w:rsidRPr="009D7554">
        <w:rPr>
          <w:rFonts w:ascii="Book Antiqua" w:hAnsi="Book Antiqua"/>
          <w:bCs/>
          <w:lang w:val="en-US"/>
        </w:rPr>
        <w:t xml:space="preserve"> reported that </w:t>
      </w:r>
      <w:r w:rsidR="001F0F25" w:rsidRPr="009D7554">
        <w:rPr>
          <w:rFonts w:ascii="Book Antiqua" w:hAnsi="Book Antiqua"/>
          <w:bCs/>
          <w:lang w:val="en-US"/>
        </w:rPr>
        <w:t xml:space="preserve">the </w:t>
      </w:r>
      <w:r w:rsidR="003D6706" w:rsidRPr="009D7554">
        <w:rPr>
          <w:rFonts w:ascii="Book Antiqua" w:hAnsi="Book Antiqua"/>
          <w:bCs/>
          <w:lang w:val="en-US"/>
        </w:rPr>
        <w:t xml:space="preserve">heterogeneity of benign mesorectal nodes calculated </w:t>
      </w:r>
      <w:r w:rsidR="00356A43" w:rsidRPr="009D7554">
        <w:rPr>
          <w:rFonts w:ascii="Book Antiqua" w:hAnsi="Book Antiqua"/>
          <w:bCs/>
          <w:lang w:val="en-US"/>
        </w:rPr>
        <w:t xml:space="preserve">by using </w:t>
      </w:r>
      <w:r w:rsidR="003D6706" w:rsidRPr="009D7554">
        <w:rPr>
          <w:rFonts w:ascii="Book Antiqua" w:hAnsi="Book Antiqua"/>
          <w:bCs/>
          <w:lang w:val="en-US"/>
        </w:rPr>
        <w:t xml:space="preserve">enhanced CT images was significantly lower than </w:t>
      </w:r>
      <w:r w:rsidR="00356A43" w:rsidRPr="009D7554">
        <w:rPr>
          <w:rFonts w:ascii="Book Antiqua" w:hAnsi="Book Antiqua"/>
          <w:bCs/>
          <w:lang w:val="en-US"/>
        </w:rPr>
        <w:t>that of</w:t>
      </w:r>
      <w:r w:rsidR="003D6706" w:rsidRPr="009D7554">
        <w:rPr>
          <w:rFonts w:ascii="Book Antiqua" w:hAnsi="Book Antiqua"/>
          <w:bCs/>
          <w:lang w:val="en-US"/>
        </w:rPr>
        <w:t xml:space="preserve"> malignant nodes when the short-axis diameter was 3–10 mm. </w:t>
      </w:r>
      <w:r w:rsidR="001F0F25" w:rsidRPr="009D7554">
        <w:rPr>
          <w:rFonts w:ascii="Book Antiqua" w:hAnsi="Book Antiqua"/>
          <w:bCs/>
          <w:lang w:val="en-US"/>
        </w:rPr>
        <w:t>However, no</w:t>
      </w:r>
      <w:r w:rsidR="003D6706" w:rsidRPr="009D7554">
        <w:rPr>
          <w:rFonts w:ascii="Book Antiqua" w:hAnsi="Book Antiqua"/>
          <w:bCs/>
          <w:lang w:val="en-US"/>
        </w:rPr>
        <w:t xml:space="preserve"> difference was observed between benign and malignant lymph nodes less than </w:t>
      </w:r>
      <w:smartTag w:uri="urn:schemas-microsoft-com:office:smarttags" w:element="metricconverter">
        <w:smartTagPr>
          <w:attr w:name="ProductID" w:val="3 mm"/>
        </w:smartTagPr>
        <w:r w:rsidR="003D6706" w:rsidRPr="009D7554">
          <w:rPr>
            <w:rFonts w:ascii="Book Antiqua" w:hAnsi="Book Antiqua"/>
            <w:bCs/>
            <w:lang w:val="en-US"/>
          </w:rPr>
          <w:t>3 mm</w:t>
        </w:r>
      </w:smartTag>
      <w:r w:rsidR="003D6706" w:rsidRPr="009D7554">
        <w:rPr>
          <w:rFonts w:ascii="Book Antiqua" w:hAnsi="Book Antiqua"/>
          <w:bCs/>
          <w:lang w:val="en-US"/>
        </w:rPr>
        <w:t xml:space="preserve"> and larger than </w:t>
      </w:r>
      <w:smartTag w:uri="urn:schemas-microsoft-com:office:smarttags" w:element="metricconverter">
        <w:smartTagPr>
          <w:attr w:name="ProductID" w:val="10 mm"/>
        </w:smartTagPr>
        <w:r w:rsidR="003D6706" w:rsidRPr="009D7554">
          <w:rPr>
            <w:rFonts w:ascii="Book Antiqua" w:hAnsi="Book Antiqua"/>
            <w:bCs/>
            <w:lang w:val="en-US"/>
          </w:rPr>
          <w:t>10 mm</w:t>
        </w:r>
      </w:smartTag>
      <w:r w:rsidR="003D6706" w:rsidRPr="009D7554">
        <w:rPr>
          <w:rFonts w:ascii="Book Antiqua" w:hAnsi="Book Antiqua"/>
          <w:bCs/>
          <w:lang w:val="en-US"/>
        </w:rPr>
        <w:t xml:space="preserve">. Liu </w:t>
      </w:r>
      <w:r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{"citationItems":[{"id":"ITEM-1","itemData":{"DOI":"10.1002/jmri.25460","ISSN":"1522-2586","PMID":"27654307","abstract":"PURPOSE To explore the potential of texture analysis based on apparent diffusion coefficient (ADC) maps, as a predictor of local invasion depth (stage pT1-2 versus pT3-4) and nodal status (pN0 versus pN1-2) of rectal cancer. MATERIALS AND METHODS Sixty-eight patients with rectal cancer underwent preoperative magnetic resonance (MR) imaging including diffusion weighted imaging (DWI) at a 3.0 Tesla system. Routine ADC variables (ADCmean , ADCmin , ADCmax ), histogram features (skewness, kurtosis) and gray level co-occurrence matrix features (entropy, contrast, correlation) were compared between pT1-2 and pT3-4 stages, between pN0 and pN1-2 stages. RESULTS Skewness, entropy, and contrast were significantly lower in patients with pT1-2 as compared to those with pT3-4 tumors (0.166 versus 0.476, P = 0.015; 3.212 versus 3.441 P = 0.004; 10.773 versus 13.596, P = 0.017). Furthermore, skewness and entropy were identified as independent predictors for extramural invasion of tumors (stage pT3-4). Significant differences were observed between pN0 and pN1-2 tumors with respect to ADCmean (1.152 versus 1.044, P = 0.029), ADCmax (1.692 versus 1.460, P = 0.006) and entropy (3.299 versus 3.486, P = 0.015). ADCmax. and entropy were independent predictors of positive nodal status. CONCLUSION Texture analysis on ADC maps could provide valuable information in identifying locally advanced rectal cancer. LEVEL OF EVIDENCE 3 J. MAGN. RESON. IMAGING 2017;45:1798-1808.","author":[{"dropping-particle":"","family":"Liu","given":"Liheng","non-dropping-particle":"","parse-names":false,"suffix":""},{"dropping-particle":"","family":"Liu","given":"Yuhui","non-dropping-particle":"","parse-names":false,"suffix":""},{"dropping-particle":"","family":"Xu","given":"Liang","non-dropping-particle":"","parse-names":false,"suffix":""},{"dropping-particle":"","family":"Li","given":"Zhenjiang","non-dropping-particle":"","parse-names":false,"suffix":""},{"dropping-particle":"","family":"Lv","given":"Han","non-dropping-particle":"","parse-names":false,"suffix":""},{"dropping-particle":"","family":"Dong","given":"Ningning","non-dropping-particle":"","parse-names":false,"suffix":""},{"dropping-particle":"","family":"Li","given":"Wenwu","non-dropping-particle":"","parse-names":false,"suffix":""},{"dropping-particle":"","family":"Yang","given":"Zhenghan","non-dropping-particle":"","parse-names":false,"suffix":""},{"dropping-particle":"","family":"Wang","given":"Zhenchang","non-dropping-particle":"","parse-names":false,"suffix":""},{"dropping-particle":"","family":"Jin","given":"Erhu","non-dropping-particle":"","parse-names":false,"suffix":""}],"container-title":"Journal of magnetic resonance imaging : JMRI","id":"ITEM-1","issue":"6","issued":{"date-parts":[["2017"]]},"page":"1798-1808","title":"Application of texture analysis based on apparent diffusion coefficient maps in discriminating different stages of rectal cancer.","type":"article-journal","volume":"45"},"uris":["http://www.mendeley.com/documents/?uuid=578bcc94-1302-44a7-8f85-700c6689aac9"]}],"mendeley":{"formattedCitation":"&lt;sup&gt;[132]&lt;/sup&gt;","plainTextFormattedCitation":"[132]","previouslyFormattedCitation":"&lt;sup&gt;[132]&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[132]</w:t>
      </w:r>
      <w:r w:rsidR="00A75298" w:rsidRPr="009D7554">
        <w:rPr>
          <w:rFonts w:ascii="Book Antiqua" w:hAnsi="Book Antiqua"/>
          <w:i/>
          <w:lang w:val="en-US"/>
        </w:rPr>
        <w:fldChar w:fldCharType="end"/>
      </w:r>
      <w:r w:rsidR="003D6706" w:rsidRPr="009D7554">
        <w:rPr>
          <w:rFonts w:ascii="Book Antiqua" w:hAnsi="Book Antiqua"/>
          <w:i/>
          <w:lang w:val="en-US"/>
        </w:rPr>
        <w:t xml:space="preserve"> </w:t>
      </w:r>
      <w:r w:rsidR="00305E8B" w:rsidRPr="009D7554">
        <w:rPr>
          <w:rFonts w:ascii="Book Antiqua" w:hAnsi="Book Antiqua"/>
          <w:bCs/>
          <w:lang w:val="en-US"/>
        </w:rPr>
        <w:t xml:space="preserve">reported that entropy values calculated </w:t>
      </w:r>
      <w:r w:rsidR="00CB2C5B" w:rsidRPr="009D7554">
        <w:rPr>
          <w:rFonts w:ascii="Book Antiqua" w:hAnsi="Book Antiqua"/>
          <w:bCs/>
          <w:lang w:val="en-US"/>
        </w:rPr>
        <w:t xml:space="preserve">by using </w:t>
      </w:r>
      <w:r w:rsidR="00305E8B" w:rsidRPr="009D7554">
        <w:rPr>
          <w:rFonts w:ascii="Book Antiqua" w:hAnsi="Book Antiqua"/>
          <w:bCs/>
          <w:lang w:val="en-US"/>
        </w:rPr>
        <w:t xml:space="preserve">ADC maps were </w:t>
      </w:r>
      <w:r w:rsidR="001F0F25" w:rsidRPr="009D7554">
        <w:rPr>
          <w:rFonts w:ascii="Book Antiqua" w:hAnsi="Book Antiqua"/>
          <w:bCs/>
          <w:lang w:val="en-US"/>
        </w:rPr>
        <w:t>significantly</w:t>
      </w:r>
      <w:r w:rsidR="00305E8B" w:rsidRPr="009D7554">
        <w:rPr>
          <w:rFonts w:ascii="Book Antiqua" w:hAnsi="Book Antiqua"/>
          <w:bCs/>
          <w:lang w:val="en-US"/>
        </w:rPr>
        <w:t xml:space="preserve"> higher in pN1-2 </w:t>
      </w:r>
      <w:r w:rsidR="001F0F25" w:rsidRPr="009D7554">
        <w:rPr>
          <w:rFonts w:ascii="Book Antiqua" w:hAnsi="Book Antiqua"/>
          <w:bCs/>
          <w:lang w:val="en-US"/>
        </w:rPr>
        <w:t>than in</w:t>
      </w:r>
      <w:r w:rsidR="00305E8B" w:rsidRPr="009D7554">
        <w:rPr>
          <w:rFonts w:ascii="Book Antiqua" w:hAnsi="Book Antiqua"/>
          <w:bCs/>
          <w:lang w:val="en-US"/>
        </w:rPr>
        <w:t xml:space="preserve"> pN0</w:t>
      </w:r>
      <w:r w:rsidR="00CB2C5B" w:rsidRPr="009D7554">
        <w:rPr>
          <w:rFonts w:ascii="Book Antiqua" w:hAnsi="Book Antiqua"/>
          <w:bCs/>
          <w:lang w:val="en-US"/>
        </w:rPr>
        <w:t xml:space="preserve"> RC</w:t>
      </w:r>
      <w:r w:rsidR="00305E8B" w:rsidRPr="009D7554">
        <w:rPr>
          <w:rFonts w:ascii="Book Antiqua" w:hAnsi="Book Antiqua"/>
          <w:bCs/>
          <w:lang w:val="en-US"/>
        </w:rPr>
        <w:t xml:space="preserve">. Similarly, Zhu </w:t>
      </w:r>
      <w:r w:rsidR="003C664A"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10.1148/radiol.2016160094","ISSN":"0033-8419","PMID":"27929929","author":[{"dropping-particle":"","family":"Zhu","given":"Lan","non-dropping-particle":"","parse-names":false,"suffix":""},{"dropping-particle":"","family":"Pan","given":"Zilai","non-dropping-particle":"","parse-names":false,"suffix":""},{"dropping-particle":"","family":"Ma","given":"Qian","non-dropping-particle":"","parse-names":false,"suffix":""},{"dropping-particle":"","family":"Yang","given":"Wenjie","non-dropping-particle":"","parse-names":false,"suffix":""},{"dropping-particle":"","family":"Shi","given":"Hongyuan","non-dropping-particle":"","parse-names":false,"suffix":""},{"dropping-particle":"","family":"Fu","given":"Caixia","non-dropping-particle":"","parse-names":false,"suffix":""},{"dropping-particle":"","family":"Yan","given":"Xu","non-dropping-particle":"","parse-names":false,"suffix":""},{"dropping-particle":"","family":"Du","given":"Lianjun","non-dropping-particle":"","parse-names":false,"suffix":""},{"dropping-particle":"","family":"Yan","given":"Fuhua","non-dropping-particle":"","parse-names":false,"suffix":""},{"dropping-particle":"","family":"Zhang","given":"Huan","non-dropping-particle":"","parse-names":false,"suffix":""}],"container-title":"Radiology","id":"ITEM-1","issue":"1","issued":{"date-parts":[["2017","7"]]},"page":"66-76","title":"Diffusion Kurtosis Imaging Study of Rectal Adenocarcinoma Associated with Histopathologic Prognostic Factors: Preliminary Findings","type":"article-journal","volume":"284"},"uris":["http://www.mendeley.com/documents/?uuid=8c7bd3cc-e29c-44a9-bdea-02137ca0f7e8"]}],"mendeley":{"formattedCitation":"&lt;sup&gt;[133]&lt;/sup&gt;","plainTextFormattedCitation":"[133]","previouslyFormattedCitation":"&lt;sup&gt;[133]&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[133]</w:t>
      </w:r>
      <w:r w:rsidR="00A75298" w:rsidRPr="009D7554">
        <w:rPr>
          <w:rFonts w:ascii="Book Antiqua" w:hAnsi="Book Antiqua"/>
          <w:i/>
          <w:lang w:val="en-US"/>
        </w:rPr>
        <w:fldChar w:fldCharType="end"/>
      </w:r>
      <w:r w:rsidR="003D6706" w:rsidRPr="009D7554">
        <w:rPr>
          <w:rFonts w:ascii="Book Antiqua" w:hAnsi="Book Antiqua"/>
          <w:i/>
          <w:lang w:val="en-US"/>
        </w:rPr>
        <w:t xml:space="preserve"> </w:t>
      </w:r>
      <w:r w:rsidRPr="009D7554">
        <w:rPr>
          <w:rFonts w:ascii="Book Antiqua" w:hAnsi="Book Antiqua"/>
          <w:lang w:val="en-US"/>
        </w:rPr>
        <w:t xml:space="preserve">reported significantly higher </w:t>
      </w:r>
      <w:r w:rsidR="00CB2C5B" w:rsidRPr="009D7554">
        <w:rPr>
          <w:rFonts w:ascii="Book Antiqua" w:hAnsi="Book Antiqua"/>
          <w:lang w:val="en-US"/>
        </w:rPr>
        <w:t xml:space="preserve">kurtosis </w:t>
      </w:r>
      <w:r w:rsidRPr="009D7554">
        <w:rPr>
          <w:rFonts w:ascii="Book Antiqua" w:hAnsi="Book Antiqua"/>
          <w:lang w:val="en-US"/>
        </w:rPr>
        <w:t xml:space="preserve">values calculated </w:t>
      </w:r>
      <w:r w:rsidR="00CB2C5B" w:rsidRPr="009D7554">
        <w:rPr>
          <w:rFonts w:ascii="Book Antiqua" w:hAnsi="Book Antiqua"/>
          <w:lang w:val="en-US"/>
        </w:rPr>
        <w:t xml:space="preserve">by using </w:t>
      </w:r>
      <w:r w:rsidRPr="009D7554">
        <w:rPr>
          <w:rFonts w:ascii="Book Antiqua" w:hAnsi="Book Antiqua"/>
          <w:lang w:val="en-US"/>
        </w:rPr>
        <w:t>DWI in pN1-2 compared to pN0</w:t>
      </w:r>
      <w:r w:rsidR="00CB2C5B" w:rsidRPr="009D7554">
        <w:rPr>
          <w:rFonts w:ascii="Book Antiqua" w:hAnsi="Book Antiqua"/>
          <w:lang w:val="en-US"/>
        </w:rPr>
        <w:t xml:space="preserve"> RC</w:t>
      </w:r>
      <w:r w:rsidRPr="009D7554">
        <w:rPr>
          <w:rFonts w:ascii="Book Antiqua" w:hAnsi="Book Antiqua"/>
          <w:lang w:val="en-US"/>
        </w:rPr>
        <w:t>.</w:t>
      </w:r>
    </w:p>
    <w:p w:rsidR="009515E9" w:rsidRPr="009D7554" w:rsidRDefault="009515E9" w:rsidP="006A253E">
      <w:pPr>
        <w:widowControl w:val="0"/>
        <w:autoSpaceDE w:val="0"/>
        <w:autoSpaceDN w:val="0"/>
        <w:adjustRightInd w:val="0"/>
        <w:snapToGrid w:val="0"/>
        <w:spacing w:line="360" w:lineRule="auto"/>
        <w:jc w:val="both"/>
        <w:rPr>
          <w:rFonts w:ascii="Book Antiqua" w:hAnsi="Book Antiqua"/>
          <w:lang w:val="en-US"/>
        </w:rPr>
      </w:pPr>
    </w:p>
    <w:p w:rsidR="009515E9" w:rsidRPr="009D7554" w:rsidRDefault="000F5E98"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Response to treatment: Neoadjuvant CRT in RC</w:t>
      </w:r>
      <w:r w:rsidR="00111E7E" w:rsidRPr="009D7554">
        <w:rPr>
          <w:rFonts w:ascii="Book Antiqua" w:eastAsia="等线" w:hAnsi="Book Antiqua" w:hint="eastAsia"/>
          <w:b/>
          <w:lang w:val="en-US" w:eastAsia="zh-CN"/>
        </w:rPr>
        <w:t>:</w:t>
      </w:r>
      <w:r w:rsidR="00111E7E" w:rsidRPr="009D7554">
        <w:rPr>
          <w:rFonts w:ascii="Book Antiqua" w:eastAsia="等线" w:hAnsi="Book Antiqua"/>
          <w:b/>
          <w:lang w:val="en-US" w:eastAsia="zh-CN"/>
        </w:rPr>
        <w:t xml:space="preserve"> </w:t>
      </w:r>
      <w:r w:rsidR="009515E9" w:rsidRPr="009D7554">
        <w:rPr>
          <w:rFonts w:ascii="Book Antiqua" w:hAnsi="Book Antiqua"/>
          <w:lang w:val="en-US"/>
        </w:rPr>
        <w:t xml:space="preserve">TA of MR images might </w:t>
      </w:r>
      <w:r w:rsidR="00CB2C5B" w:rsidRPr="009D7554">
        <w:rPr>
          <w:rFonts w:ascii="Book Antiqua" w:hAnsi="Book Antiqua"/>
          <w:lang w:val="en-US"/>
        </w:rPr>
        <w:t xml:space="preserve">identify </w:t>
      </w:r>
      <w:r w:rsidR="009515E9" w:rsidRPr="009D7554">
        <w:rPr>
          <w:rFonts w:ascii="Book Antiqua" w:hAnsi="Book Antiqua"/>
          <w:lang w:val="en-US"/>
        </w:rPr>
        <w:t>biomarkers able to assess response</w:t>
      </w:r>
      <w:r w:rsidR="00CB2C5B" w:rsidRPr="009D7554">
        <w:rPr>
          <w:rFonts w:ascii="Book Antiqua" w:hAnsi="Book Antiqua"/>
          <w:lang w:val="en-US"/>
        </w:rPr>
        <w:t>s</w:t>
      </w:r>
      <w:r w:rsidR="009515E9" w:rsidRPr="009D7554">
        <w:rPr>
          <w:rFonts w:ascii="Book Antiqua" w:hAnsi="Book Antiqua"/>
          <w:lang w:val="en-US"/>
        </w:rPr>
        <w:t xml:space="preserve"> to CRT in patients with LARC</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{"citationItems":[{"id":"ITEM-1","itemData":{"DOI":"10.1097/DCR.0000000000001224","ISSN":"1530-0358","PMID":"30451764","abstract":"BACKGROUND A certain proportion of patients with locally advanced rectal cancer experience complete response after undergoing neoadjuvant chemoradiotherapy. These patients might be suitable for a conservative \"watch and wait\" approach, avoiding high-morbidity surgery. Texture analysis is a new modality that can assess heterogeneity in medical images by statistically analyzing gray-level intensities on a pixel-by-pixel basis. This study hypothesizes that texture analysis of magnetic resonance images can identify patients with a complete response. OBJECTIVE This study aims to determine whether texture analysis of magnetic resonance images as a quantitative imaging biomarker can accurately identify patients with complete response. DESIGN This is a retrospective diagnostic accuracy study. SETTINGS This study was conducted at Colchester General Hospital, January 2003 to 2014. PATIENTS All patients diagnosed with locally advanced rectal cancer who underwent long-course chemoradiotherapy had a posttreatment magnetic resonance scan and underwent surgery are included. INTERVENTION Texture analysis was extracted from T2-weighted magnetic resonance images of the rectal cancer. MAIN OUTCOME MEASURES Textural features that are able to identify complete responders were identified by a Mann-Whitney U test. Their diagnostic accuracy in identifying complete responders was determined by the area under the receiver operator characteristics curve. Cutoff values were determined by the Youden index. Pathology was the standard of reference. RESULTS One hundred fourteen patients with first posttreatment MRI scans (6.2 weeks after completion of neoadjuvant treatment) were included. Sixty-eight patients had a second posttreatment scan (10.4 weeks). With no filtration, mean (p = 0.033), SD (p = 0.048), entropy (p = 0.007), and skewness (p = 0.000) from first posttreatment scans, and SD (p = 0.042), entropy (p = 0.014), mean of positive pixels (p = 0.032), and skewness (p = 0.000) from second posttreatment scans were all able to identify complete response. Area under the curve ranged from 0.750 to 0.88. LIMITATIONS Texture analysis of MRI is a new modality; therefore, further studies are necessary to standardize the methodology of extraction of texture features, timing of scans, and acquisition parameters. CONCLUSIONS Texture analysis of MRI is a potentially significant imaging biomarker that can accurately identify patients who have experienced complete response and might be suit…","author":[{"dropping-particle":"","family":"Aker","given":"Medhat","non-dropping-particle":"","parse-names":false,"suffix":""},{"dropping-particle":"","family":"Ganeshan","given":"Balaji","non-dropping-particle":"","parse-names":false,"suffix":""},{"dropping-particle":"","family":"Afaq","given":"Asim","non-dropping-particle":"","parse-names":false,"suffix":""},{"dropping-particle":"","family":"Wan","given":"Simon","non-dropping-particle":"","parse-names":false,"suffix":""},{"dropping-particle":"","family":"Groves","given":"Ashley M","non-dropping-particle":"","parse-names":false,"suffix":""},{"dropping-particle":"","family":"Arulampalam","given":"Tan","non-dropping-particle":"","parse-names":false,"suffix":""}],"container-title":"Diseases of the colon and rectum","id":"ITEM-1","issue":"2","issued":{"date-parts":[["2019"]]},"page":"163-170","title":"Magnetic Resonance Texture Analysis in Identifying Complete Pathological Response to Neoadjuvant Treatment in Locally Advanced Rectal Cancer.","type":"article-journal","volume":"62"},"uris":["http://www.mendeley.com/documents/?uuid=eb23a96a-3cb2-4504-b645-aa1280613ffb"]},{"id":"ITEM-2","itemData":{"DOI":"10.1007/s00261-016-0733-8","ISSN":"2366-0058","PMID":"27056748","abstract":"PURPOSE To determine the performance of texture analysis (TA), diffusion-weighted imaging, and perfusion MR (pMRI) in predicting tumoral response in patients treated with neoadjuvant chemoradiotherapy (CRT). METHODS 12 consecutive patients (8 females, 4 males, 63.2 ± 13.4 years) with rectal cancer were prospectively enrolled, and underwent pre-treatment 3T MRI. Treatment protocol consisted of neoadjuvant CRT with oxaliplatin and 5-fluorouracile. Unenhanced T2-weighted images TA (kurtosis), apparent diffusion coefficient (ADC), and pMRI parameters (Ktrans, Kep, Ve, IAUGC) were quantified by manually delineating a region of interest around the tumor outline. After CRT, all patients underwent complete surgical resection and the surgical specimen served as the gold standard. Receiver operating characteristic (ROC) curve analysis was performed to assess the discriminatory power of each quantitative parameter to predict complete response. RESULTS Pathological complete response (pCR) was reported in six patients and partial response (PR) in three patients. Three patients were classified as non-responders (NR). Pre-treatment kurtosis was significantly lower in the pCR sub-group in comparison with PR + NR (p = .01). Among ADC and pMRI parameters, only Ve was significantly lower in the pCR sub-group compared with PR + NR (p = .01). A significant negative correlation between kurtosis and ADC (r = -0.650, p = .022) was observed. Pre-treatment area under the ROC curves (AUC), to discriminate between pCR and PR + NR, was significantly higher for kurtosis (0.861, p = .001) and Ve (0.861, p = .003) compared to all other parameters. The optimal cutoff value for pre-treatment kurtosis and Ve was ≤0.19 (100% sensitivity, 67% specificity) and ≤0.311 (83% sensitivity, 83% specificity), respectively. CONCLUSION Pre-treatment kurtosis derived from T2w images and Ve from pMRI have the potential to act as imaging biomarkers of rectal cancer response to neoadjuvant CRT.","author":[{"dropping-particle":"","family":"Cecco","given":"Carlo N","non-dropping-particle":"De","parse-names":false,"suffix":""},{"dropping-particle":"","family":"Ciolina","given":"Maria","non-dropping-particle":"","parse-names":false,"suffix":""},{"dropping-particle":"","family":"Caruso","given":"Damiano","non-dropping-particle":"","parse-names":false,"suffix":""},{"dropping-particle":"","family":"Rengo","given":"Marco","non-dropping-particle":"","parse-names":false,"suffix":""},{"dropping-particle":"","family":"Ganeshan","given":"Balaji","non-dropping-particle":"","parse-names":false,"suffix":""},{"dropping-particle":"","family":"Meinel","given":"Felix G","non-dropping-particle":"","parse-names":false,"suffix":""},{"dropping-particle":"","family":"Musio","given":"Daniela","non-dropping-particle":"","parse-names":false,"suffix":""},{"dropping-particle":"","family":"Felice","given":"Francesca","non-dropping-particle":"De","parse-names":false,"suffix":""},{"dropping-particle":"","family":"Tombolini","given":"Vincenzo","non-dropping-particle":"","parse-names":false,"suffix":""},{"dropping-particle":"","family":"Laghi","given":"Andrea","non-dropping-particle":"","parse-names":false,"suffix":""}],"container-title":"Abdominal radiology (New York)","id":"ITEM-2","issue":"9","issued":{"date-parts":[["2016"]]},"page":"1728-35","title":"Performance of diffusion-weighted imaging, perfusion imaging, and texture analysis in predicting tumoral response to neoadjuvant chemoradiotherapy in rectal cancer patients studied with 3T MR: initial experience.","type":"article-journal","volume":"41"},"uris":["http://www.mendeley.com/documents/?uuid=451951f3-16ea-4523-a1c5-6be3daaf66a9"]},{"id":"ITEM-3","itemData":{"DOI":"10.1007/s00261-019-01971-y","ISSN":"2366-004X","PMID":"30852633","abstract":"PURPOSE To explore the clinical feasibility of predicting the efficacy of neoadjuvant chemoradiotherapy (nCRT) for rectal cancer on the basis of texture analysis (TA) of T2-weighted imaging (T2WI). METHODS The cohort for this prospective study comprised 136 patients with rectal cancer to be treated with nCRT, all of whom underwent three MR scans (pre-, early, and post-nCRT). Treatment efficacy was assessed on the basis of the outcomes of pathologic complete response (pCR) and non-pCR as determined by postoperative pathological examination. Extraction and analysis of texture features in T2WI of defined tumor regions were performed by AK software. Pre- and early-nCRT texture features were selected as potential predictors of outcomes by logistic regression analysis, and a prediction model for pCR was developed. A receiver operating characteristic (ROC) curve was used to assess the predictive power of texture features in pre- and early-nCRT images. RESULTS Univariate logistic regression analysis demonstrated that the pre-nCRT features of energy, entropy, and skewness, and early-nCRT features of variance, kurtosis, energy, and entropy were independent predictors of pCR. A prediction model incorporating these predictors was constructed by multivariate logistic regression, The AUCs of pre-nCRT, early, and combined models were 0.751, 0.831, and 0.873, respectively; the sensitivities 66, 71, and 75%, respectively; and the specificities 87.22, 86.11, and 91.67%, respectively. CONCLUSIONS TA of T2WI images can predict the efficacy of nCRT for rectal cancer, possibly providing a new marker of tumor biological response in clinical practice.","author":[{"dropping-particle":"","family":"Shu","given":"Zhenyu","non-dropping-particle":"","parse-names":false,"suffix":""},{"dropping-particle":"","family":"Fang","given":"Songhua","non-dropping-particle":"","parse-names":false,"suffix":""},{"dropping-particle":"","family":"Ye","given":"Qin","non-dropping-particle":"","parse-names":false,"suffix":""},{"dropping-particle":"","family":"Mao","given":"Dewang","non-dropping-particle":"","parse-names":false,"suffix":""},{"dropping-particle":"","family":"Cao","given":"Hongfeng","non-dropping-particle":"","parse-names":false,"suffix":""},{"dropping-particle":"","family":"Pang","given":"Peipei","non-dropping-particle":"","parse-names":false,"suffix":""},{"dropping-particle":"","family":"Gong","given":"Xiangyang","non-dropping-particle":"","parse-names":false,"suffix":""}],"container-title":"Abdominal Radiology","id":"ITEM-3","issued":{"date-parts":[["2019","3","9"]]},"title":"Prediction of efficacy of neoadjuvant chemoradiotherapy for rectal cancer: the value of texture analysis of magnetic resonance images","type":"article-journal"},"uris":["http://www.mendeley.com/documents/?uuid=a757d2fb-dc3b-40e3-b3f1-37346d34a265"]},{"id":"ITEM-4","itemData":{"DOI":"10.1016/j.crad.2018.06.007","ISSN":"1365-229X","PMID":"30029837","abstract":"AIM To evaluate whether perfusion heterogeneity of rectal cancer prior to chemoradiotherapy (CRT) using histogram analysis of dynamic contrast-enhanced (DCE) magnetic resonance imaging (MRI) quantitative parameters can predict response to treatment. MATERIALS AND METHODS Twenty-one patients with histologically proven rectal adenocarcinoma were enrolled prospectively. All patients underwent 1.5 T DCE-MRI before CRT. Tumour volumes were drawn on Ktrans and Ve maps, using T2-weighted (W) images as reference, and the following first-order texture parameters of Ve and Ktrans values were extracted: 25th, 50th, 75th percentile, mean, standard deviation, skewness, and kurtosis. After CRT, patients underwent surgery and according with Rödel's tumour regression grade (TRG), they were classified as poor responders \"non-GR\" (TRG 0-2) and good responders \"GR\" (TRG 3-4). Differences between GR and non-GR in DCE-MRI first-order texture parameters were evaluated using the Mann-Whitney test, and their role in the prediction of response was investigated using receiver operating characteristic (ROC) curve analysis. RESULTS Sixteen (76%) patients were classified as GR and five (24%) were non-GR. Skewness and kurtosis of Ve was significantly higher in non-GR (4.886±1.320 and 36.402±24.486, respectively) than in GR patients (1.809±1.280, p=0.003 and 6.268±8.130, p= 0.011). Ve skewness &lt;3.635 was able to predict GR with an area under the ROC curve (AUC) of 0.988, sensitivity 93.8%, specificity 80%, and accuracy 90.5%. Ve kurtosis &lt;21.095 was able to predict response with an AUC of 0.963, sensitivity 93.8%, specificity 80%, and accuracy 90.5%. Other parameters were not different between groups or predictors of response. CONCLUSION Ve skewness and kurtosis seem to be promising in the prediction of response to CRT in rectal cancer patients.","author":[{"dropping-particle":"","family":"Palmisano","given":"A","non-dropping-particle":"","parse-names":false,"suffix":""},{"dropping-particle":"","family":"Esposito","given":"A","non-dropping-particle":"","parse-names":false,"suffix":""},{"dropping-particle":"V","family":"Rancoita","given":"P M","non-dropping-particle":"","parse-names":false,"suffix":""},{"dropping-particle":"","family":"Chiara","given":"A","non-dropping-particle":"Di","parse-names":false,"suffix":""},{"dropping-particle":"","family":"Passoni","given":"P","non-dropping-particle":"","parse-names":false,"suffix":""},{"dropping-particle":"","family":"Slim","given":"N","non-dropping-particle":"","parse-names":false,"suffix":""},{"dropping-particle":"","family":"Campolongo","given":"M","non-dropping-particle":"","parse-names":false,"suffix":""},{"dropping-particle":"","family":"Albarello","given":"L","non-dropping-particle":"","parse-names":false,"suffix":""},{"dropping-particle":"","family":"Fiorino","given":"C","non-dropping-particle":"","parse-names":false,"suffix":""},{"dropping-particle":"","family":"Rosati","given":"R","non-dropping-particle":"","parse-names":false,"suffix":""},{"dropping-particle":"","family":"Maschio","given":"A","non-dropping-particle":"Del","parse-names":false,"suffix":""},{"dropping-particle":"","family":"Cobelli","given":"F","non-dropping-particle":"De","parse-names":false,"suffix":""}],"container-title":"Clinical radiology","id":"ITEM-4","issue":"10","issued":{"date-parts":[["2018","10"]]},"page":"911.e1-911.e7","title":"Could perfusion heterogeneity at dynamic contrast-enhanced MRI be used to predict rectal cancer sensitivity to chemoradiotherapy?","type":"article-journal","volume":"73"},"uris":["http://www.mendeley.com/documents/?uuid=5590fdc4-c0af-4590-af98-8b79a5cec864"]},{"id":"ITEM-5","itemData":{"DOI":"10.1002/jmri.25460","ISSN":"1522-2586","PMID":"27654307","abstract":"PURPOSE To explore the potential of texture analysis based on apparent diffusion coefficient (ADC) maps, as a predictor of local invasion depth (stage pT1-2 versus pT3-4) and nodal status (pN0 versus pN1-2) of rectal cancer. MATERIALS AND METHODS Sixty-eight patients with rectal cancer underwent preoperative magnetic resonance (MR) imaging including diffusion weighted imaging (DWI) at a 3.0 Tesla system. Routine ADC variables (ADCmean , ADCmin , ADCmax ), histogram features (skewness, kurtosis) and gray level co-occurrence matrix features (entropy, contrast, correlation) were compared between pT1-2 and pT3-4 stages, between pN0 and pN1-2 stages. RESULTS Skewness, entropy, and contrast were significantly lower in patients with pT1-2 as compared to those with pT3-4 tumors (0.166 versus 0.476, P = 0.015; 3.212 versus 3.441 P = 0.004; 10.773 versus 13.596, P = 0.017). Furthermore, skewness and entropy were identified as independent predictors for extramural invasion of tumors (stage pT3-4). Significant differences were observed between pN0 and pN1-2 tumors with respect to ADCmean (1.152 versus 1.044, P = 0.029), ADCmax (1.692 versus 1.460, P = 0.006) and entropy (3.299 versus 3.486, P = 0.015). ADCmax. and entropy were independent predictors of positive nodal status. CONCLUSION Texture analysis on ADC maps could provide valuable information in identifying locally advanced rectal cancer. LEVEL OF EVIDENCE 3 J. MAGN. RESON. IMAGING 2017;45:1798-1808.","author":[{"dropping-particle":"","family":"Liu","given":"Liheng","non-dropping-particle":"","parse-names":false,"suffix":""},{"dropping-particle":"","family":"Liu","given":"Yuhui","non-dropping-particle":"","parse-names":false,"suffix":""},{"dropping-particle":"","family":"Xu","given":"Liang","non-dropping-particle":"","parse-names":false,"suffix":""},{"dropping-particle":"","family":"Li","given":"Zhenjiang","non-dropping-particle":"","parse-names":false,"suffix":""},{"dropping-particle":"","family":"Lv","given":"Han","non-dropping-particle":"","parse-names":false,"suffix":""},{"dropping-particle":"","family":"Dong","given":"Ningning","non-dropping-particle":"","parse-names":false,"suffix":""},{"dropping-particle":"","family":"Li","given":"Wenwu","non-dropping-particle":"","parse-names":false,"suffix":""},{"dropping-particle":"","family":"Yang","given":"Zhenghan","non-dropping-particle":"","parse-names":false,"suffix":""},{"dropping-particle":"","family":"Wang","given":"Zhenchang","non-dropping-particle":"","parse-names":false,"suffix":""},{"dropping-particle":"","family":"Jin","given":"Erhu","non-dropping-particle":"","parse-names":false,"suffix":""}],"container-title":"Journal of magnetic resonance imaging : JMRI","id":"ITEM-5","issue":"6","issued":{"date-parts":[["2017"]]},"page":"1798-1808","title":"Application of texture analysis based on apparent diffusion coefficient maps in discriminating different stages of rectal cancer.","type":"article-journal","volume":"45"},"uris":["http://www.mendeley.com/documents/?uuid=578bcc94-1302-44a7-8f85-700c6689aac9"]}],"mendeley":{"formattedCitation":"&lt;sup&gt;[125,132,135–137]&lt;/sup&gt;","plainTextFormattedCitation":"[125,132,135–137]","previouslyFormattedCitation":"&lt;sup&gt;[125,132,135–137]&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[125,132,135–137]</w:t>
      </w:r>
      <w:r w:rsidR="00A75298" w:rsidRPr="009D7554">
        <w:rPr>
          <w:rFonts w:ascii="Book Antiqua" w:hAnsi="Book Antiqua"/>
          <w:lang w:val="en-US"/>
        </w:rPr>
        <w:fldChar w:fldCharType="end"/>
      </w:r>
      <w:r w:rsidR="003D6706" w:rsidRPr="009D7554">
        <w:rPr>
          <w:rFonts w:ascii="Book Antiqua" w:hAnsi="Book Antiqua"/>
          <w:bCs/>
          <w:lang w:val="en-US"/>
        </w:rPr>
        <w:t xml:space="preserve">. Using T2 weighted images, De Cecco </w:t>
      </w:r>
      <w:r w:rsidR="009515E9"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{"citationItems":[{"id":"ITEM-1","itemData":{"DOI":"10.1007/s00261-016-0733-8","ISSN":"2366-0058","PMID":"27056748","abstract":"PURPOSE To determine the performance of texture analysis (TA), diffusion-weighted imaging, and perfusion MR (pMRI) in predicting tumoral response in patients treated with neoadjuvant chemoradiotherapy (CRT). METHODS 12 consecutive patients (8 females, 4 males, 63.2 ± 13.4 years) with rectal cancer were prospectively enrolled, and underwent pre-treatment 3T MRI. Treatment protocol consisted of neoadjuvant CRT with oxaliplatin and 5-fluorouracile. Unenhanced T2-weighted images TA (kurtosis), apparent diffusion coefficient (ADC), and pMRI parameters (Ktrans, Kep, Ve, IAUGC) were quantified by manually delineating a region of interest around the tumor outline. After CRT, all patients underwent complete surgical resection and the surgical specimen served as the gold standard. Receiver operating characteristic (ROC) curve analysis was performed to assess the discriminatory power of each quantitative parameter to predict complete response. RESULTS Pathological complete response (pCR) was reported in six patients and partial response (PR) in three patients. Three patients were classified as non-responders (NR). Pre-treatment kurtosis was significantly lower in the pCR sub-group in comparison with PR + NR (p = .01). Among ADC and pMRI parameters, only Ve was significantly lower in the pCR sub-group compared with PR + NR (p = .01). A significant negative correlation between kurtosis and ADC (r = -0.650, p = .022) was observed. Pre-treatment area under the ROC curves (AUC), to discriminate between pCR and PR + NR, was significantly higher for kurtosis (0.861, p = .001) and Ve (0.861, p = .003) compared to all other parameters. The optimal cutoff value for pre-treatment kurtosis and Ve was ≤0.19 (100% sensitivity, 67% specificity) and ≤0.311 (83% sensitivity, 83% specificity), respectively. CONCLUSION Pre-treatment kurtosis derived from T2w images and Ve from pMRI have the potential to act as imaging biomarkers of rectal cancer response to neoadjuvant CRT.","author":[{"dropping-particle":"","family":"Cecco","given":"Carlo N","non-dropping-particle":"De","parse-names":false,"suffix":""},{"dropping-particle":"","family":"Ciolina","given":"Maria","non-dropping-particle":"","parse-names":false,"suffix":""},{"dropping-particle":"","family":"Caruso","given":"Damiano","non-dropping-particle":"","parse-names":false,"suffix":""},{"dropping-particle":"","family":"Rengo","given":"Marco","non-dropping-particle":"","parse-names":false,"suffix":""},{"dropping-particle":"","family":"Ganeshan","given":"Balaji","non-dropping-particle":"","parse-names":false,"suffix":""},{"dropping-particle":"","family":"Meinel","given":"Felix G","non-dropping-particle":"","parse-names":false,"suffix":""},{"dropping-particle":"","family":"Musio","given":"Daniela","non-dropping-particle":"","parse-names":false,"suffix":""},{"dropping-particle":"","family":"Felice","given":"Francesca","non-dropping-particle":"De","parse-names":false,"suffix":""},{"dropping-particle":"","family":"Tombolini","given":"Vincenzo","non-dropping-particle":"","parse-names":false,"suffix":""},{"dropping-particle":"","family":"Laghi","given":"Andrea","non-dropping-particle":"","parse-names":false,"suffix":""}],"container-title":"Abdominal radiology (New York)","id":"ITEM-1","issue":"9","issued":{"date-parts":[["2016"]]},"page":"1728-35","title":"Performance of diffusion-weighted imaging, perfusion imaging, and texture analysis in predicting tumoral response to neoadjuvant chemoradiotherapy in rectal cancer patients studied with 3T MR: initial experience.","type":"article-journal","volume":"41"},"uris":["http://www.mendeley.com/documents/?uuid=451951f3-16ea-4523-a1c5-6be3daaf66a9"]}],"mendeley":{"formattedCitation":"&lt;sup&gt;[135]&lt;/sup&gt;","plainTextFormattedCitation":"[135]","previouslyFormattedCitation":"&lt;sup&gt;[135]&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[135]</w:t>
      </w:r>
      <w:r w:rsidR="00A75298" w:rsidRPr="009D7554">
        <w:rPr>
          <w:rFonts w:ascii="Book Antiqua" w:hAnsi="Book Antiqua"/>
          <w:i/>
          <w:lang w:val="en-US"/>
        </w:rPr>
        <w:fldChar w:fldCharType="end"/>
      </w:r>
      <w:r w:rsidR="003D6706" w:rsidRPr="009D7554">
        <w:rPr>
          <w:rFonts w:ascii="Book Antiqua" w:hAnsi="Book Antiqua"/>
          <w:bCs/>
          <w:lang w:val="en-US"/>
        </w:rPr>
        <w:t xml:space="preserve"> </w:t>
      </w:r>
      <w:r w:rsidR="00CB2C5B" w:rsidRPr="009D7554">
        <w:rPr>
          <w:rFonts w:ascii="Book Antiqua" w:hAnsi="Book Antiqua"/>
          <w:bCs/>
          <w:lang w:val="en-US"/>
        </w:rPr>
        <w:t xml:space="preserve">found </w:t>
      </w:r>
      <w:r w:rsidR="003D6706" w:rsidRPr="009D7554">
        <w:rPr>
          <w:rFonts w:ascii="Book Antiqua" w:hAnsi="Book Antiqua"/>
          <w:bCs/>
          <w:lang w:val="en-US"/>
        </w:rPr>
        <w:t xml:space="preserve">that </w:t>
      </w:r>
      <w:r w:rsidR="009A70D4" w:rsidRPr="009D7554">
        <w:rPr>
          <w:rFonts w:ascii="Book Antiqua" w:hAnsi="Book Antiqua"/>
          <w:bCs/>
          <w:lang w:val="en-US"/>
        </w:rPr>
        <w:t>pre</w:t>
      </w:r>
      <w:r w:rsidR="00502E2D" w:rsidRPr="009D7554">
        <w:rPr>
          <w:rFonts w:ascii="Book Antiqua" w:hAnsi="Book Antiqua"/>
          <w:bCs/>
          <w:lang w:val="en-US"/>
        </w:rPr>
        <w:t>-</w:t>
      </w:r>
      <w:r w:rsidR="009A70D4" w:rsidRPr="009D7554">
        <w:rPr>
          <w:rFonts w:ascii="Book Antiqua" w:hAnsi="Book Antiqua"/>
          <w:bCs/>
          <w:lang w:val="en-US"/>
        </w:rPr>
        <w:t>n</w:t>
      </w:r>
      <w:r w:rsidR="003D6706" w:rsidRPr="009D7554">
        <w:rPr>
          <w:rFonts w:ascii="Book Antiqua" w:hAnsi="Book Antiqua"/>
          <w:bCs/>
          <w:lang w:val="en-US"/>
        </w:rPr>
        <w:t xml:space="preserve">eoadjuvant CRT kurtosis was significantly </w:t>
      </w:r>
      <w:r w:rsidR="00CB2C5B" w:rsidRPr="009D7554">
        <w:rPr>
          <w:rFonts w:ascii="Book Antiqua" w:hAnsi="Book Antiqua"/>
          <w:bCs/>
          <w:lang w:val="en-US"/>
        </w:rPr>
        <w:t xml:space="preserve">decreased </w:t>
      </w:r>
      <w:r w:rsidR="003D6706" w:rsidRPr="009D7554">
        <w:rPr>
          <w:rFonts w:ascii="Book Antiqua" w:hAnsi="Book Antiqua"/>
          <w:bCs/>
          <w:lang w:val="en-US"/>
        </w:rPr>
        <w:t xml:space="preserve">in pCR versus partial-responders or </w:t>
      </w:r>
      <w:r w:rsidR="009A70D4" w:rsidRPr="009D7554">
        <w:rPr>
          <w:rFonts w:ascii="Book Antiqua" w:hAnsi="Book Antiqua"/>
          <w:bCs/>
          <w:lang w:val="en-US"/>
        </w:rPr>
        <w:t>nonr</w:t>
      </w:r>
      <w:r w:rsidR="003D6706" w:rsidRPr="009D7554">
        <w:rPr>
          <w:rFonts w:ascii="Book Antiqua" w:hAnsi="Book Antiqua"/>
          <w:bCs/>
          <w:lang w:val="en-US"/>
        </w:rPr>
        <w:t xml:space="preserve">esponders. Similarly, using T2 weighted images, Shu </w:t>
      </w:r>
      <w:r w:rsidR="0009446D"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{"citationItems":[{"id":"ITEM-1","itemData":{"DOI":"10.1007/s00261-019-01971-y","ISSN":"2366-004X","PMID":"30852633","abstract":"PURPOSE To explore the clinical feasibility of predicting the efficacy of neoadjuvant chemoradiotherapy (nCRT) for rectal cancer on the basis of texture analysis (TA) of T2-weighted imaging (T2WI). METHODS The cohort for this prospective study comprised 136 patients with rectal cancer to be treated with nCRT, all of whom underwent three MR scans (pre-, early, and post-nCRT). Treatment efficacy was assessed on the basis of the outcomes of pathologic complete response (pCR) and non-pCR as determined by postoperative pathological examination. Extraction and analysis of texture features in T2WI of defined tumor regions were performed by AK software. Pre- and early-nCRT texture features were selected as potential predictors of outcomes by logistic regression analysis, and a prediction model for pCR was developed. A receiver operating characteristic (ROC) curve was used to assess the predictive power of texture features in pre- and early-nCRT images. RESULTS Univariate logistic regression analysis demonstrated that the pre-nCRT features of energy, entropy, and skewness, and early-nCRT features of variance, kurtosis, energy, and entropy were independent predictors of pCR. A prediction model incorporating these predictors was constructed by multivariate logistic regression, The AUCs of pre-nCRT, early, and combined models were 0.751, 0.831, and 0.873, respectively; the sensitivities 66, 71, and 75%, respectively; and the specificities 87.22, 86.11, and 91.67%, respectively. CONCLUSIONS TA of T2WI images can predict the efficacy of nCRT for rectal cancer, possibly providing a new marker of tumor biological response in clinical practice.","author":[{"dropping-particle":"","family":"Shu","given":"Zhenyu","non-dropping-particle":"","parse-names":false,"suffix":""},{"dropping-particle":"","family":"Fang","given":"Songhua","non-dropping-particle":"","parse-names":false,"suffix":""},{"dropping-particle":"","family":"Ye","given":"Qin","non-dropping-particle":"","parse-names":false,"suffix":""},{"dropping-particle":"","family":"Mao","given":"Dewang","non-dropping-particle":"","parse-names":false,"suffix":""},{"dropping-particle":"","family":"Cao","given":"Hongfeng","non-dropping-particle":"","parse-names":false,"suffix":""},{"dropping-particle":"","family":"Pang","given":"Peipei","non-dropping-particle":"","parse-names":false,"suffix":""},{"dropping-particle":"","family":"Gong","given":"Xiangyang","non-dropping-particle":"","parse-names":false,"suffix":""}],"container-title":"Abdominal Radiology","id":"ITEM-1","issued":{"date-parts":[["2019","3","9"]]},"title":"Prediction of efficacy of neoadjuvant chemoradiotherapy for rectal cancer: the value of texture analysis of magnetic resonance images","type":"article-journal"},"uris":["http://www.mendeley.com/documents/?uuid=a757d2fb-dc3b-40e3-b3f1-37346d34a265"]}],"mendeley":{"formattedCitation":"&lt;sup&gt;[136]&lt;/sup&gt;","plainTextFormattedCitation":"[136]","previouslyFormattedCitation":"&lt;sup&gt;[136]&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[136]</w:t>
      </w:r>
      <w:r w:rsidR="00A75298" w:rsidRPr="009D7554">
        <w:rPr>
          <w:rFonts w:ascii="Book Antiqua" w:hAnsi="Book Antiqua"/>
          <w:i/>
          <w:lang w:val="en-US"/>
        </w:rPr>
        <w:fldChar w:fldCharType="end"/>
      </w:r>
      <w:r w:rsidR="009515E9" w:rsidRPr="009D7554">
        <w:rPr>
          <w:rFonts w:ascii="Book Antiqua" w:hAnsi="Book Antiqua"/>
          <w:lang w:val="en-US"/>
        </w:rPr>
        <w:t xml:space="preserve"> found that </w:t>
      </w:r>
      <w:r w:rsidR="00CB2C5B" w:rsidRPr="009D7554">
        <w:rPr>
          <w:rFonts w:ascii="Book Antiqua" w:hAnsi="Book Antiqua"/>
          <w:lang w:val="en-US"/>
        </w:rPr>
        <w:t xml:space="preserve">TA of a </w:t>
      </w:r>
      <w:r w:rsidR="009515E9" w:rsidRPr="009D7554">
        <w:rPr>
          <w:rFonts w:ascii="Book Antiqua" w:hAnsi="Book Antiqua"/>
          <w:lang w:val="en-US"/>
        </w:rPr>
        <w:t xml:space="preserve">combination of pre- and </w:t>
      </w:r>
      <w:r w:rsidR="009A70D4" w:rsidRPr="009D7554">
        <w:rPr>
          <w:rFonts w:ascii="Book Antiqua" w:hAnsi="Book Antiqua"/>
          <w:lang w:val="en-US"/>
        </w:rPr>
        <w:t>early-</w:t>
      </w:r>
      <w:r w:rsidR="009515E9" w:rsidRPr="009D7554">
        <w:rPr>
          <w:rFonts w:ascii="Book Antiqua" w:hAnsi="Book Antiqua"/>
          <w:lang w:val="en-US"/>
        </w:rPr>
        <w:t xml:space="preserve">treatment </w:t>
      </w:r>
      <w:r w:rsidR="00CB2C5B" w:rsidRPr="009D7554">
        <w:rPr>
          <w:rFonts w:ascii="Book Antiqua" w:hAnsi="Book Antiqua"/>
          <w:lang w:val="en-US"/>
        </w:rPr>
        <w:t xml:space="preserve">features </w:t>
      </w:r>
      <w:r w:rsidR="009515E9" w:rsidRPr="009D7554">
        <w:rPr>
          <w:rFonts w:ascii="Book Antiqua" w:hAnsi="Book Antiqua"/>
          <w:lang w:val="en-US"/>
        </w:rPr>
        <w:t xml:space="preserve">could </w:t>
      </w:r>
      <w:r w:rsidR="001F0F25" w:rsidRPr="009D7554">
        <w:rPr>
          <w:rFonts w:ascii="Book Antiqua" w:hAnsi="Book Antiqua"/>
          <w:lang w:val="en-US"/>
        </w:rPr>
        <w:t>distinguish</w:t>
      </w:r>
      <w:r w:rsidR="009515E9" w:rsidRPr="009D7554">
        <w:rPr>
          <w:rFonts w:ascii="Book Antiqua" w:hAnsi="Book Antiqua"/>
          <w:lang w:val="en-US"/>
        </w:rPr>
        <w:t xml:space="preserve"> between responders and </w:t>
      </w:r>
      <w:r w:rsidR="009A70D4" w:rsidRPr="009D7554">
        <w:rPr>
          <w:rFonts w:ascii="Book Antiqua" w:hAnsi="Book Antiqua"/>
          <w:lang w:val="en-US"/>
        </w:rPr>
        <w:t>nonr</w:t>
      </w:r>
      <w:r w:rsidR="009515E9" w:rsidRPr="009D7554">
        <w:rPr>
          <w:rFonts w:ascii="Book Antiqua" w:hAnsi="Book Antiqua"/>
          <w:lang w:val="en-US"/>
        </w:rPr>
        <w:t>esponders. TA approaches based on advanced sequences such as DCE</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{"citationItems":[{"id":"ITEM-1","itemData":{"DOI":"10.1016/j.crad.2018.06.007","ISSN":"1365-229X","PMID":"30029837","abstract":"AIM To evaluate whether perfusion heterogeneity of rectal cancer prior to chemoradiotherapy (CRT) using histogram analysis of dynamic contrast-enhanced (DCE) magnetic resonance imaging (MRI) quantitative parameters can predict response to treatment. MATERIALS AND METHODS Twenty-one patients with histologically proven rectal adenocarcinoma were enrolled prospectively. All patients underwent 1.5 T DCE-MRI before CRT. Tumour volumes were drawn on Ktrans and Ve maps, using T2-weighted (W) images as reference, and the following first-order texture parameters of Ve and Ktrans values were extracted: 25th, 50th, 75th percentile, mean, standard deviation, skewness, and kurtosis. After CRT, patients underwent surgery and according with Rödel's tumour regression grade (TRG), they were classified as poor responders \"non-GR\" (TRG 0-2) and good responders \"GR\" (TRG 3-4). Differences between GR and non-GR in DCE-MRI first-order texture parameters were evaluated using the Mann-Whitney test, and their role in the prediction of response was investigated using receiver operating characteristic (ROC) curve analysis. RESULTS Sixteen (76%) patients were classified as GR and five (24%) were non-GR. Skewness and kurtosis of Ve was significantly higher in non-GR (4.886±1.320 and 36.402±24.486, respectively) than in GR patients (1.809±1.280, p=0.003 and 6.268±8.130, p= 0.011). Ve skewness &lt;3.635 was able to predict GR with an area under the ROC curve (AUC) of 0.988, sensitivity 93.8%, specificity 80%, and accuracy 90.5%. Ve kurtosis &lt;21.095 was able to predict response with an AUC of 0.963, sensitivity 93.8%, specificity 80%, and accuracy 90.5%. Other parameters were not different between groups or predictors of response. CONCLUSION Ve skewness and kurtosis seem to be promising in the prediction of response to CRT in rectal cancer patients.","author":[{"dropping-particle":"","family":"Palmisano","given":"A","non-dropping-particle":"","parse-names":false,"suffix":""},{"dropping-particle":"","family":"Esposito","given":"A","non-dropping-particle":"","parse-names":false,"suffix":""},{"dropping-particle":"V","family":"Rancoita","given":"P M","non-dropping-particle":"","parse-names":false,"suffix":""},{"dropping-particle":"","family":"Chiara","given":"A","non-dropping-particle":"Di","parse-names":false,"suffix":""},{"dropping-particle":"","family":"Passoni","given":"P","non-dropping-particle":"","parse-names":false,"suffix":""},{"dropping-particle":"","family":"Slim","given":"N","non-dropping-particle":"","parse-names":false,"suffix":""},{"dropping-particle":"","family":"Campolongo","given":"M","non-dropping-particle":"","parse-names":false,"suffix":""},{"dropping-particle":"","family":"Albarello","given":"L","non-dropping-particle":"","parse-names":false,"suffix":""},{"dropping-particle":"","family":"Fiorino","given":"C","non-dropping-particle":"","parse-names":false,"suffix":""},{"dropping-particle":"","family":"Rosati","given":"R","non-dropping-particle":"","parse-names":false,"suffix":""},{"dropping-particle":"","family":"Maschio","given":"A","non-dropping-particle":"Del","parse-names":false,"suffix":""},{"dropping-particle":"","family":"Cobelli","given":"F","non-dropping-particle":"De","parse-names":false,"suffix":""}],"container-title":"Clinical radiology","id":"ITEM-1","issue":"10","issued":{"date-parts":[["2018","10"]]},"page":"911.e1-911.e7","title":"Could perfusion heterogeneity at dynamic contrast-enhanced MRI be used to predict rectal cancer sensitivity to chemoradiotherapy?","type":"article-journal","volume":"73"},"uris":["http://www.mendeley.com/documents/?uuid=5590fdc4-c0af-4590-af98-8b79a5cec864"]}],"mendeley":{"formattedCitation":"&lt;sup&gt;[137]&lt;/sup&gt;","plainTextFormattedCitation":"[137]","previouslyFormattedCitation":"&lt;sup&gt;[137]&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[137]</w:t>
      </w:r>
      <w:r w:rsidR="00A75298" w:rsidRPr="009D7554">
        <w:rPr>
          <w:rFonts w:ascii="Book Antiqua" w:hAnsi="Book Antiqua"/>
          <w:lang w:val="en-US"/>
        </w:rPr>
        <w:fldChar w:fldCharType="end"/>
      </w:r>
      <w:r w:rsidR="009515E9" w:rsidRPr="009D7554">
        <w:rPr>
          <w:rFonts w:ascii="Book Antiqua" w:hAnsi="Book Antiqua"/>
          <w:lang w:val="en-US"/>
        </w:rPr>
        <w:t xml:space="preserve"> and ADC maps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{"citationItems":[{"id":"ITEM-1","itemData":{"DOI":"10.1002/jmri.25460","ISSN":"1522-2586","PMID":"27654307","abstract":"PURPOSE To explore the potential of texture analysis based on apparent diffusion coefficient (ADC) maps, as a predictor of local invasion depth (stage pT1-2 versus pT3-4) and nodal status (pN0 versus pN1-2) of rectal cancer. MATERIALS AND METHODS Sixty-eight patients with rectal cancer underwent preoperative magnetic resonance (MR) imaging including diffusion weighted imaging (DWI) at a 3.0 Tesla system. Routine ADC variables (ADCmean , ADCmin , ADCmax ), histogram features (skewness, kurtosis) and gray level co-occurrence matrix features (entropy, contrast, correlation) were compared between pT1-2 and pT3-4 stages, between pN0 and pN1-2 stages. RESULTS Skewness, entropy, and contrast were significantly lower in patients with pT1-2 as compared to those with pT3-4 tumors (0.166 versus 0.476, P = 0.015; 3.212 versus 3.441 P = 0.004; 10.773 versus 13.596, P = 0.017). Furthermore, skewness and entropy were identified as independent predictors for extramural invasion of tumors (stage pT3-4). Significant differences were observed between pN0 and pN1-2 tumors with respect to ADCmean (1.152 versus 1.044, P = 0.029), ADCmax (1.692 versus 1.460, P = 0.006) and entropy (3.299 versus 3.486, P = 0.015). ADCmax. and entropy were independent predictors of positive nodal status. CONCLUSION Texture analysis on ADC maps could provide valuable information in identifying locally advanced rectal cancer. LEVEL OF EVIDENCE 3 J. MAGN. RESON. IMAGING 2017;45:1798-1808.","author":[{"dropping-particle":"","family":"Liu","given":"Liheng","non-dropping-particle":"","parse-names":false,"suffix":""},{"dropping-particle":"","family":"Liu","given":"Yuhui","non-dropping-particle":"","parse-names":false,"suffix":""},{"dropping-particle":"","family":"Xu","given":"Liang","non-dropping-particle":"","parse-names":false,"suffix":""},{"dropping-particle":"","family":"Li","given":"Zhenjiang","non-dropping-particle":"","parse-names":false,"suffix":""},{"dropping-particle":"","family":"Lv","given":"Han","non-dropping-particle":"","parse-names":false,"suffix":""},{"dropping-particle":"","family":"Dong","given":"Ningning","non-dropping-particle":"","parse-names":false,"suffix":""},{"dropping-particle":"","family":"Li","given":"Wenwu","non-dropping-particle":"","parse-names":false,"suffix":""},{"dropping-particle":"","family":"Yang","given":"Zhenghan","non-dropping-particle":"","parse-names":false,"suffix":""},{"dropping-particle":"","family":"Wang","given":"Zhenchang","non-dropping-particle":"","parse-names":false,"suffix":""},{"dropping-particle":"","family":"Jin","given":"Erhu","non-dropping-particle":"","parse-names":false,"suffix":""}],"container-title":"Journal of magnetic resonance imaging : JMRI","id":"ITEM-1","issue":"6","issued":{"date-parts":[["2017"]]},"page":"1798-1808","title":"Application of texture analysis based on apparent diffusion coefficient maps in discriminating different stages of rectal cancer.","type":"article-journal","volume":"45"},"uris":["http://www.mendeley.com/documents/?uuid=578bcc94-1302-44a7-8f85-700c6689aac9"]}],"mendeley":{"formattedCitation":"&lt;sup&gt;[132]&lt;/sup&gt;","plainTextFormattedCitation":"[132]","previouslyFormattedCitation":"&lt;sup&gt;[132]&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[132]</w:t>
      </w:r>
      <w:r w:rsidR="00A75298" w:rsidRPr="009D7554">
        <w:rPr>
          <w:rFonts w:ascii="Book Antiqua" w:hAnsi="Book Antiqua"/>
          <w:lang w:val="en-US"/>
        </w:rPr>
        <w:fldChar w:fldCharType="end"/>
      </w:r>
      <w:r w:rsidR="009515E9" w:rsidRPr="009D7554">
        <w:rPr>
          <w:rFonts w:ascii="Book Antiqua" w:hAnsi="Book Antiqua"/>
          <w:lang w:val="en-US"/>
        </w:rPr>
        <w:t xml:space="preserve"> have </w:t>
      </w:r>
      <w:r w:rsidR="001F0F25" w:rsidRPr="009D7554">
        <w:rPr>
          <w:rFonts w:ascii="Book Antiqua" w:hAnsi="Book Antiqua"/>
          <w:lang w:val="en-US"/>
        </w:rPr>
        <w:t xml:space="preserve">also </w:t>
      </w:r>
      <w:r w:rsidR="009515E9" w:rsidRPr="009D7554">
        <w:rPr>
          <w:rFonts w:ascii="Book Antiqua" w:hAnsi="Book Antiqua"/>
          <w:lang w:val="en-US"/>
        </w:rPr>
        <w:t xml:space="preserve">been proposed </w:t>
      </w:r>
      <w:r w:rsidR="00CB2C5B" w:rsidRPr="009D7554">
        <w:rPr>
          <w:rFonts w:ascii="Book Antiqua" w:hAnsi="Book Antiqua"/>
          <w:lang w:val="en-US"/>
        </w:rPr>
        <w:t xml:space="preserve">and have shown </w:t>
      </w:r>
      <w:r w:rsidR="009515E9" w:rsidRPr="009D7554">
        <w:rPr>
          <w:rFonts w:ascii="Book Antiqua" w:hAnsi="Book Antiqua"/>
          <w:lang w:val="en-US"/>
        </w:rPr>
        <w:t>promising results.</w:t>
      </w:r>
    </w:p>
    <w:p w:rsidR="009515E9" w:rsidRPr="009D7554" w:rsidRDefault="009515E9" w:rsidP="006A253E">
      <w:pPr>
        <w:widowControl w:val="0"/>
        <w:autoSpaceDE w:val="0"/>
        <w:autoSpaceDN w:val="0"/>
        <w:adjustRightInd w:val="0"/>
        <w:snapToGrid w:val="0"/>
        <w:spacing w:line="360" w:lineRule="auto"/>
        <w:jc w:val="both"/>
        <w:rPr>
          <w:rFonts w:ascii="Book Antiqua" w:hAnsi="Book Antiqua"/>
          <w:lang w:val="en-US"/>
        </w:rPr>
      </w:pPr>
    </w:p>
    <w:p w:rsidR="00A260F3" w:rsidRPr="009D7554" w:rsidRDefault="00DE6B5E" w:rsidP="006A253E">
      <w:pPr>
        <w:widowControl w:val="0"/>
        <w:autoSpaceDE w:val="0"/>
        <w:autoSpaceDN w:val="0"/>
        <w:adjustRightInd w:val="0"/>
        <w:snapToGrid w:val="0"/>
        <w:spacing w:line="360" w:lineRule="auto"/>
        <w:jc w:val="both"/>
        <w:rPr>
          <w:rFonts w:ascii="Book Antiqua" w:hAnsi="Book Antiqua"/>
          <w:b/>
          <w:bCs/>
          <w:lang w:val="en-US"/>
        </w:rPr>
      </w:pPr>
      <w:r w:rsidRPr="009D7554">
        <w:rPr>
          <w:rFonts w:ascii="Book Antiqua" w:hAnsi="Book Antiqua"/>
          <w:b/>
          <w:bCs/>
          <w:lang w:val="en-US"/>
        </w:rPr>
        <w:t>CRLMs: early identification and response</w:t>
      </w:r>
      <w:r w:rsidR="00CB2C5B" w:rsidRPr="009D7554">
        <w:rPr>
          <w:rFonts w:ascii="Book Antiqua" w:hAnsi="Book Antiqua"/>
          <w:b/>
          <w:bCs/>
          <w:lang w:val="en-US"/>
        </w:rPr>
        <w:t>s</w:t>
      </w:r>
      <w:r w:rsidRPr="009D7554">
        <w:rPr>
          <w:rFonts w:ascii="Book Antiqua" w:hAnsi="Book Antiqua"/>
          <w:b/>
          <w:bCs/>
          <w:lang w:val="en-US"/>
        </w:rPr>
        <w:t xml:space="preserve"> to treatment</w:t>
      </w:r>
      <w:r w:rsidR="009462DC" w:rsidRPr="009D7554">
        <w:rPr>
          <w:rFonts w:ascii="Book Antiqua" w:eastAsia="等线" w:hAnsi="Book Antiqua" w:hint="eastAsia"/>
          <w:b/>
          <w:bCs/>
          <w:lang w:val="en-US" w:eastAsia="zh-CN"/>
        </w:rPr>
        <w:t>:</w:t>
      </w:r>
      <w:r w:rsidR="009462DC" w:rsidRPr="009D7554">
        <w:rPr>
          <w:rFonts w:ascii="Book Antiqua" w:eastAsia="等线" w:hAnsi="Book Antiqua"/>
          <w:b/>
          <w:bCs/>
          <w:lang w:val="en-US" w:eastAsia="zh-CN"/>
        </w:rPr>
        <w:t xml:space="preserve"> </w:t>
      </w:r>
      <w:r w:rsidR="00CB2C5B" w:rsidRPr="009D7554">
        <w:rPr>
          <w:rFonts w:ascii="Book Antiqua" w:hAnsi="Book Antiqua"/>
          <w:lang w:val="en-US"/>
        </w:rPr>
        <w:t>L</w:t>
      </w:r>
      <w:r w:rsidR="009515E9" w:rsidRPr="009D7554">
        <w:rPr>
          <w:rFonts w:ascii="Book Antiqua" w:hAnsi="Book Antiqua"/>
          <w:lang w:val="en-US"/>
        </w:rPr>
        <w:t>iver colonization by CRC cells is considered to be a multiple step process</w:t>
      </w:r>
      <w:r w:rsidR="00CB2C5B" w:rsidRPr="009D7554">
        <w:rPr>
          <w:rFonts w:ascii="Book Antiqua" w:hAnsi="Book Antiqua"/>
          <w:lang w:val="en-US"/>
        </w:rPr>
        <w:t xml:space="preserve"> that progresses </w:t>
      </w:r>
      <w:r w:rsidR="009515E9" w:rsidRPr="009D7554">
        <w:rPr>
          <w:rFonts w:ascii="Book Antiqua" w:hAnsi="Book Antiqua"/>
          <w:lang w:val="en-US"/>
        </w:rPr>
        <w:t>from prometastatic hepatic reaction</w:t>
      </w:r>
      <w:r w:rsidR="00CB2C5B" w:rsidRPr="009D7554">
        <w:rPr>
          <w:rFonts w:ascii="Book Antiqua" w:hAnsi="Book Antiqua"/>
          <w:lang w:val="en-US"/>
        </w:rPr>
        <w:t>s</w:t>
      </w:r>
      <w:r w:rsidR="009515E9" w:rsidRPr="009D7554">
        <w:rPr>
          <w:rFonts w:ascii="Book Antiqua" w:hAnsi="Book Antiqua"/>
          <w:lang w:val="en-US"/>
        </w:rPr>
        <w:t xml:space="preserve"> to micrometastases and finally generat</w:t>
      </w:r>
      <w:r w:rsidR="00CB2C5B" w:rsidRPr="009D7554">
        <w:rPr>
          <w:rFonts w:ascii="Book Antiqua" w:hAnsi="Book Antiqua"/>
          <w:lang w:val="en-US"/>
        </w:rPr>
        <w:t>es</w:t>
      </w:r>
      <w:r w:rsidR="009515E9" w:rsidRPr="009D7554">
        <w:rPr>
          <w:rFonts w:ascii="Book Antiqua" w:hAnsi="Book Antiqua"/>
          <w:lang w:val="en-US"/>
        </w:rPr>
        <w:t xml:space="preserve"> macrometastases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{"citationItems":[{"id":"ITEM-1","itemData":{"DOI":"10.1007/s12307-011-0084-5","ISSN":"1875-2284","PMID":"21870094","abstract":"Colon cancer frequently metastasizes to the liver but the genetic and phenotypic properties of specific cancer cells able to implant and grow in this organ have not yet been established. The contribution of the patient's genetic, physiologic and pathologic backgrounds to the incidence and development of hepatic colon cancer metastases is also presently misunderstood. At a transcriptional level, hepatic metastasis development is in part associated with marked changes in gene expression of colon cancer cells that may originate in the primary tumor. Other changes occur in the liver and are regulated by hepatic cells, which represent the new microenvironment for metastatic colon cancer cells. However, hepatic parenchymal and non-parenchymal cell functions are also affected by both tumor-derived factors and systemic host factors, which suggests that the hepatic metastasis microenvironment is a functional linkage between the hepatic pathophysiology of the colon cancer patient and the biology of its cancer cells. Therefore, together with metastasis-related gene profiles suggesting the existence of liver metastasis potential in primary tumors, new biomarkers of the prometastatic microenvironment supported by the liver reaction to colon cancer factors may be helpful for the individual assessment of hepatic metastasis risk in colon cancer patients. In addition, knowledge on hepatic metastasis gene regulation by the hepatic microenvironment may open multiple opportunities for therapeutic intervention during colon cancer metastasis at both subclinical and advanced stages.","author":[{"dropping-particle":"","family":"Vidal-Vanaclocha","given":"Fernando","non-dropping-particle":"","parse-names":false,"suffix":""}],"container-title":"Cancer microenvironment : official journal of the International Cancer Microenvironment Society","id":"ITEM-1","issue":"2","issued":{"date-parts":[["2011","8"]]},"page":"163-80","title":"The liver prometastatic reaction of cancer patients: implications for microenvironment-dependent colon cancer gene regulation.","type":"article-journal","volume":"4"},"uris":["http://www.mendeley.com/documents/?uuid=808c52b2-0558-4cd7-af7b-b6efdf0feaed"]}],"mendeley":{"formattedCitation":"&lt;sup&gt;[138]&lt;/sup&gt;","plainTextFormattedCitation":"[138]","previouslyFormattedCitation":"&lt;sup&gt;[138]&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[138]</w:t>
      </w:r>
      <w:r w:rsidR="00A75298" w:rsidRPr="009D7554">
        <w:rPr>
          <w:rFonts w:ascii="Book Antiqua" w:hAnsi="Book Antiqua"/>
          <w:lang w:val="en-US"/>
        </w:rPr>
        <w:fldChar w:fldCharType="end"/>
      </w:r>
      <w:r w:rsidR="009515E9" w:rsidRPr="009D7554">
        <w:rPr>
          <w:rFonts w:ascii="Book Antiqua" w:hAnsi="Book Antiqua"/>
          <w:lang w:val="en-US"/>
        </w:rPr>
        <w:t xml:space="preserve">. The liver prometastatic reaction </w:t>
      </w:r>
      <w:r w:rsidR="00CB2C5B" w:rsidRPr="009D7554">
        <w:rPr>
          <w:rFonts w:ascii="Book Antiqua" w:hAnsi="Book Antiqua"/>
          <w:lang w:val="en-US"/>
        </w:rPr>
        <w:t xml:space="preserve">produces </w:t>
      </w:r>
      <w:r w:rsidR="009515E9" w:rsidRPr="009D7554">
        <w:rPr>
          <w:rFonts w:ascii="Book Antiqua" w:hAnsi="Book Antiqua"/>
          <w:lang w:val="en-US"/>
        </w:rPr>
        <w:t xml:space="preserve">a special microenvironment favoring liver colonization by tumor cells. This reaction begins in </w:t>
      </w:r>
      <w:r w:rsidR="001F0F25" w:rsidRPr="009D7554">
        <w:rPr>
          <w:rFonts w:ascii="Book Antiqua" w:hAnsi="Book Antiqua"/>
          <w:lang w:val="en-US"/>
        </w:rPr>
        <w:t xml:space="preserve">the </w:t>
      </w:r>
      <w:r w:rsidR="009515E9" w:rsidRPr="009D7554">
        <w:rPr>
          <w:rFonts w:ascii="Book Antiqua" w:hAnsi="Book Antiqua"/>
          <w:lang w:val="en-US"/>
        </w:rPr>
        <w:t>early tumor stage with</w:t>
      </w:r>
      <w:r w:rsidR="001F0F25" w:rsidRPr="009D7554">
        <w:rPr>
          <w:rFonts w:ascii="Book Antiqua" w:hAnsi="Book Antiqua"/>
          <w:lang w:val="en-US"/>
        </w:rPr>
        <w:t xml:space="preserve"> the</w:t>
      </w:r>
      <w:r w:rsidR="009515E9" w:rsidRPr="009D7554">
        <w:rPr>
          <w:rFonts w:ascii="Book Antiqua" w:hAnsi="Book Antiqua"/>
          <w:lang w:val="en-US"/>
        </w:rPr>
        <w:t xml:space="preserve"> release of cytokines and chemokines by hepatic sinusoidal endothelium and Kupffer cells in response to colon cancer soluble factors and circulating cells. Cytokines and chemokines lead to the activation of perisinusoidal stellate cells and portal tract fibroblasts</w:t>
      </w:r>
      <w:r w:rsidR="00CB2C5B" w:rsidRPr="009D7554">
        <w:rPr>
          <w:rFonts w:ascii="Book Antiqua" w:hAnsi="Book Antiqua"/>
          <w:lang w:val="en-US"/>
        </w:rPr>
        <w:t>, which</w:t>
      </w:r>
      <w:r w:rsidR="009515E9" w:rsidRPr="009D7554">
        <w:rPr>
          <w:rFonts w:ascii="Book Antiqua" w:hAnsi="Book Antiqua"/>
          <w:lang w:val="en-US"/>
        </w:rPr>
        <w:t xml:space="preserve"> </w:t>
      </w:r>
      <w:r w:rsidR="00CB2C5B" w:rsidRPr="009D7554">
        <w:rPr>
          <w:rFonts w:ascii="Book Antiqua" w:hAnsi="Book Antiqua"/>
          <w:lang w:val="en-US"/>
        </w:rPr>
        <w:t>deposit</w:t>
      </w:r>
      <w:r w:rsidR="009515E9" w:rsidRPr="009D7554">
        <w:rPr>
          <w:rFonts w:ascii="Book Antiqua" w:hAnsi="Book Antiqua"/>
          <w:lang w:val="en-US"/>
        </w:rPr>
        <w:t xml:space="preserve"> extracellular matrix and </w:t>
      </w:r>
      <w:r w:rsidR="001F0F25" w:rsidRPr="009D7554">
        <w:rPr>
          <w:rFonts w:ascii="Book Antiqua" w:hAnsi="Book Antiqua"/>
          <w:lang w:val="en-US"/>
        </w:rPr>
        <w:t>creat</w:t>
      </w:r>
      <w:r w:rsidR="00CB2C5B" w:rsidRPr="009D7554">
        <w:rPr>
          <w:rFonts w:ascii="Book Antiqua" w:hAnsi="Book Antiqua"/>
          <w:lang w:val="en-US"/>
        </w:rPr>
        <w:t>e</w:t>
      </w:r>
      <w:r w:rsidR="001F0F25" w:rsidRPr="009D7554">
        <w:rPr>
          <w:rFonts w:ascii="Book Antiqua" w:hAnsi="Book Antiqua"/>
          <w:lang w:val="en-US"/>
        </w:rPr>
        <w:t xml:space="preserve"> </w:t>
      </w:r>
      <w:r w:rsidR="009515E9" w:rsidRPr="009D7554">
        <w:rPr>
          <w:rFonts w:ascii="Book Antiqua" w:hAnsi="Book Antiqua"/>
          <w:lang w:val="en-US"/>
        </w:rPr>
        <w:t xml:space="preserve">stromal support for cancer cells. The early preoperative identification of prometastatic hepatic </w:t>
      </w:r>
      <w:r w:rsidR="001F0F25" w:rsidRPr="009D7554">
        <w:rPr>
          <w:rFonts w:ascii="Book Antiqua" w:hAnsi="Book Antiqua"/>
          <w:lang w:val="en-US"/>
        </w:rPr>
        <w:t>reactions</w:t>
      </w:r>
      <w:r w:rsidR="009515E9" w:rsidRPr="009D7554">
        <w:rPr>
          <w:rFonts w:ascii="Book Antiqua" w:hAnsi="Book Antiqua"/>
          <w:lang w:val="en-US"/>
        </w:rPr>
        <w:t xml:space="preserve"> might </w:t>
      </w:r>
      <w:r w:rsidR="00502E2D" w:rsidRPr="009D7554">
        <w:rPr>
          <w:rFonts w:ascii="Book Antiqua" w:hAnsi="Book Antiqua"/>
          <w:lang w:val="en-US"/>
        </w:rPr>
        <w:t>facilitate</w:t>
      </w:r>
      <w:r w:rsidR="00CB2C5B" w:rsidRPr="009D7554">
        <w:rPr>
          <w:rFonts w:ascii="Book Antiqua" w:hAnsi="Book Antiqua"/>
          <w:lang w:val="en-US"/>
        </w:rPr>
        <w:t xml:space="preserve"> the use of </w:t>
      </w:r>
      <w:r w:rsidR="009515E9" w:rsidRPr="009D7554">
        <w:rPr>
          <w:rFonts w:ascii="Book Antiqua" w:hAnsi="Book Antiqua"/>
          <w:lang w:val="en-US"/>
        </w:rPr>
        <w:t xml:space="preserve">personalized treatment strategies </w:t>
      </w:r>
      <w:r w:rsidR="00CB2C5B" w:rsidRPr="009D7554">
        <w:rPr>
          <w:rFonts w:ascii="Book Antiqua" w:hAnsi="Book Antiqua"/>
          <w:lang w:val="en-US"/>
        </w:rPr>
        <w:t xml:space="preserve">that involve the selection of </w:t>
      </w:r>
      <w:r w:rsidR="009515E9" w:rsidRPr="009D7554">
        <w:rPr>
          <w:rFonts w:ascii="Book Antiqua" w:hAnsi="Book Antiqua"/>
          <w:lang w:val="en-US"/>
        </w:rPr>
        <w:t xml:space="preserve">chemotherapy independently </w:t>
      </w:r>
      <w:r w:rsidR="00CB2C5B" w:rsidRPr="009D7554">
        <w:rPr>
          <w:rFonts w:ascii="Book Antiqua" w:hAnsi="Book Antiqua"/>
          <w:lang w:val="en-US"/>
        </w:rPr>
        <w:t>according to</w:t>
      </w:r>
      <w:r w:rsidR="009515E9" w:rsidRPr="009D7554">
        <w:rPr>
          <w:rFonts w:ascii="Book Antiqua" w:hAnsi="Book Antiqua"/>
          <w:lang w:val="en-US"/>
        </w:rPr>
        <w:t xml:space="preserve"> local staging</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{"citationItems":[{"id":"ITEM-1","itemData":{"ISSN":"1936-2625","PMID":"22670174","abstract":"In the present retrospective study, we tested the hypothesis that neoadjuvant chemotherapy (NAC) as a treatment for patients with colorectal carcinoma liver metastases (CRLM) may reduce intrahepatic micrometastases. The incidence and distribution of intrahepatic micrometastases were determined in specimens resected from 63 patients who underwent hepatectomy for CRLM (21 treated with NAC and 42 without). In addition, the therapeutic efficacy of NAC was evaluated histologically. Intrahepatic micrometastases were defined as microscopic lesions spatially separated from the gross tumor. The distance from these lesions to the border of the hepatic tumor was measured on histological specimens and the density of intrahepatic micrometastases (number of lesions/mm(2)) was determined in regions close to (&lt;1 cm) the gross hepatic tumor. Of the 21 patients treated with NAC, 13 were identified as having a partial response according to the Response Evaluation Criteria in Solid Tumors (RECIST) guidelines; thus, the overall response rate was 62%. Histologic evaluation of the therapeutic efficacy of NAC was significantly associated with tumor response to NAC according to the RECIST guidelines (p=0.048). In all, 260 intrahepatic micrometastases were detected in 39 patients (62%). Intrahepatic micrometastases were less frequently detected in NAC-treated patients than in untreated patients (5/21 [24%] vs. 34/42 [81%], respectively; p&lt;0.001). There were no significant differences in the distance and density of intrahepatic micrometastases between the two groups (p=0.313 and p=0.526, respectively). In conclusion, NAC reduces the incidence of intrahepatic micrometastases in patients with CRLM, but NAC has no significant effect on their distribution when intrahepatic micrometastases are present.","author":[{"dropping-particle":"","family":"Wakai","given":"Toshifumi","non-dropping-particle":"","parse-names":false,"suffix":""},{"dropping-particle":"","family":"Shirai","given":"Yoshio","non-dropping-particle":"","parse-names":false,"suffix":""},{"dropping-particle":"","family":"Sakata","given":"Jun","non-dropping-particle":"","parse-names":false,"suffix":""},{"dropping-particle":"","family":"Kameyama","given":"Hitoshi","non-dropping-particle":"","parse-names":false,"suffix":""},{"dropping-particle":"","family":"Nogami","given":"Hitoshi","non-dropping-particle":"","parse-names":false,"suffix":""},{"dropping-particle":"","family":"Iiai","given":"Tsuneo","non-dropping-particle":"","parse-names":false,"suffix":""},{"dropping-particle":"","family":"Ajioka","given":"Yoichi","non-dropping-particle":"","parse-names":false,"suffix":""},{"dropping-particle":"","family":"Hatakeyama","given":"Katsuyoshi","non-dropping-particle":"","parse-names":false,"suffix":""}],"container-title":"International journal of clinical and experimental pathology","id":"ITEM-1","issue":"4","issued":{"date-parts":[["2012"]]},"page":"308-14","title":"Histologic evaluation of intrahepatic micrometastases in patients treated with or without neoadjuvant chemotherapy for colorectal carcinoma liver metastasis.","type":"article-journal","volume":"5"},"uris":["http://www.mendeley.com/documents/?uuid=3fcf7a88-675c-4d0e-86f4-7c78b9b4a917"]}],"mendeley":{"formattedCitation":"&lt;sup&gt;[139]&lt;/sup&gt;","plainTextFormattedCitation":"[139]","previouslyFormattedCitation":"&lt;sup&gt;[139]&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[139]</w:t>
      </w:r>
      <w:r w:rsidR="00A75298" w:rsidRPr="009D7554">
        <w:rPr>
          <w:rFonts w:ascii="Book Antiqua" w:hAnsi="Book Antiqua"/>
          <w:lang w:val="en-US"/>
        </w:rPr>
        <w:fldChar w:fldCharType="end"/>
      </w:r>
      <w:r w:rsidR="009515E9" w:rsidRPr="009D7554">
        <w:rPr>
          <w:rFonts w:ascii="Book Antiqua" w:hAnsi="Book Antiqua"/>
          <w:lang w:val="en-US"/>
        </w:rPr>
        <w:t xml:space="preserve">. Similarly, </w:t>
      </w:r>
      <w:r w:rsidR="00CB2C5B" w:rsidRPr="009D7554">
        <w:rPr>
          <w:rFonts w:ascii="Book Antiqua" w:hAnsi="Book Antiqua"/>
          <w:lang w:val="en-US"/>
        </w:rPr>
        <w:t xml:space="preserve">the </w:t>
      </w:r>
      <w:r w:rsidR="009515E9" w:rsidRPr="009D7554">
        <w:rPr>
          <w:rFonts w:ascii="Book Antiqua" w:hAnsi="Book Antiqua"/>
          <w:lang w:val="en-US"/>
        </w:rPr>
        <w:t xml:space="preserve">preoperative identification of micrometastases in addition to visible liver metastases might </w:t>
      </w:r>
      <w:r w:rsidR="00CB2C5B" w:rsidRPr="009D7554">
        <w:rPr>
          <w:rFonts w:ascii="Book Antiqua" w:hAnsi="Book Antiqua"/>
          <w:lang w:val="en-US"/>
        </w:rPr>
        <w:t xml:space="preserve">indicate the use of </w:t>
      </w:r>
      <w:r w:rsidR="009515E9" w:rsidRPr="009D7554">
        <w:rPr>
          <w:rFonts w:ascii="Book Antiqua" w:hAnsi="Book Antiqua"/>
          <w:lang w:val="en-US"/>
        </w:rPr>
        <w:t xml:space="preserve">neoadjuvant chemotherapy in CRC patients </w:t>
      </w:r>
      <w:r w:rsidR="00CB2C5B" w:rsidRPr="009D7554">
        <w:rPr>
          <w:rFonts w:ascii="Book Antiqua" w:hAnsi="Book Antiqua"/>
          <w:lang w:val="en-US"/>
        </w:rPr>
        <w:t xml:space="preserve">who are </w:t>
      </w:r>
      <w:r w:rsidR="009515E9" w:rsidRPr="009D7554">
        <w:rPr>
          <w:rFonts w:ascii="Book Antiqua" w:hAnsi="Book Antiqua"/>
          <w:lang w:val="en-US"/>
        </w:rPr>
        <w:t>candidate</w:t>
      </w:r>
      <w:r w:rsidR="00CB2C5B" w:rsidRPr="009D7554">
        <w:rPr>
          <w:rFonts w:ascii="Book Antiqua" w:hAnsi="Book Antiqua"/>
          <w:lang w:val="en-US"/>
        </w:rPr>
        <w:t>s for</w:t>
      </w:r>
      <w:r w:rsidR="009515E9" w:rsidRPr="009D7554">
        <w:rPr>
          <w:rFonts w:ascii="Book Antiqua" w:hAnsi="Book Antiqua"/>
          <w:lang w:val="en-US"/>
        </w:rPr>
        <w:t xml:space="preserve"> liver resection</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{"citationItems":[{"id":"ITEM-1","itemData":{"DOI":"10.1177/2050640614552463","ISSN":"2050-6406","PMID":"25452849","abstract":"BACKGROUND Liver metastases limit survival in colorectal cancer. Earlier detection of (occult) metastatic disease may benefit treatment and survival. OBJECTIVE The objective of this article is to evaluate the potential of whole-liver CT texture analysis of apparently disease-free liver parenchyma for discriminating between colorectal cancer (CRC) patients with and without hepatic metastases. METHODS The primary staging CT examinations of 29 CRC patients were retrospectively analysed. Patients were divided into three groups: patients without liver metastases (n = 15), with synchronous liver metastases (n = 10) and metachronous liver metastases within 18 months following primary staging (n = 4). Whole-liver texture analysis was performed by delineation of the apparently non-diseased liver parenchyma (excluding metastases or other focal liver lesions) on portal phase images. Mean grey-level intensity (M), entropy (E) and uniformity (U) were derived with no filtration and different filter widths (0.5 = fine, 1.5 = medium, 2.5 = coarse). RESULTS Mean E1.5 and E2.5 for the whole liver in patients with synchronous metastases were significantly higher compared with the non-metastatic patients (p = 0.02 and p = 0.01). Mean U1.5 and U2.5 were significantly lower in the synchronous metastases group compared with the non-metastatic group (p = 0.04 and p = 0.02). Texture parameters for the metachronous metastases group were not significantly different from the non-metastatic group or synchronous metastases group (p &gt; 0.05), although - similar to the synchronous metastases group - there was a subtle trend towards increased E1.5, E2.5 and decreased U1.5, U2.5 values. Areas under the ROC curve for the diagnosis of synchronous metastatic disease based on the texture parameters E1.5,2.5 and U1.5,2.5 ranged between 0.73 and 0.78. CONCLUSION Texture analysis of the apparently non-diseased liver holds promise to differentiate between CRC patients with and without metastatic liver disease. Further research is required to determine whether these findings may be used to benefit the prediction of metachronous liver disease.","author":[{"dropping-particle":"","family":"Rao","given":"Sheng-Xiang","non-dropping-particle":"","parse-names":false,"suffix":""},{"dropping-particle":"","family":"Lambregts","given":"Doenja Mj","non-dropping-particle":"","parse-names":false,"suffix":""},{"dropping-particle":"","family":"Schnerr","given":"Roald S","non-dropping-particle":"","parse-names":false,"suffix":""},{"dropping-particle":"","family":"Ommen","given":"Wenzel","non-dropping-particle":"van","parse-names":false,"suffix":""},{"dropping-particle":"","family":"Nijnatten","given":"Thiemo Ja","non-dropping-particle":"van","parse-names":false,"suffix":""},{"dropping-particle":"","family":"Martens","given":"Milou H","non-dropping-particle":"","parse-names":false,"suffix":""},{"dropping-particle":"","family":"Heijnen","given":"Luc A","non-dropping-particle":"","parse-names":false,"suffix":""},{"dropping-particle":"","family":"Backes","given":"Walter H","non-dropping-particle":"","parse-names":false,"suffix":""},{"dropping-particle":"","family":"Verhoef","given":"Cornelis","non-dropping-particle":"","parse-names":false,"suffix":""},{"dropping-particle":"","family":"Zeng","given":"Meng-Su","non-dropping-particle":"","parse-names":false,"suffix":""},{"dropping-particle":"","family":"Beets","given":"Geerard L","non-dropping-particle":"","parse-names":false,"suffix":""},{"dropping-particle":"","family":"Beets-Tan","given":"Regina Gh","non-dropping-particle":"","parse-names":false,"suffix":""}],"container-title":"United European gastroenterology journal","id":"ITEM-1","issue":"6","issued":{"date-parts":[["2014","12"]]},"page":"530-8","title":"Whole-liver CT texture analysis in colorectal cancer: Does the presence of liver metastases affect the texture of the remaining liver?","type":"article-journal","volume":"2"},"uris":["http://www.mendeley.com/documents/?uuid=c888adf9-949c-47e7-becc-adf3ac7bfadc"]}],"mendeley":{"formattedCitation":"&lt;sup&gt;[140]&lt;/sup&gt;","plainTextFormattedCitation":"[140]","previouslyFormattedCitation":"&lt;sup&gt;[140]&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[140]</w:t>
      </w:r>
      <w:r w:rsidR="00A75298" w:rsidRPr="009D7554">
        <w:rPr>
          <w:rFonts w:ascii="Book Antiqua" w:hAnsi="Book Antiqua"/>
          <w:lang w:val="en-US"/>
        </w:rPr>
        <w:fldChar w:fldCharType="end"/>
      </w:r>
      <w:r w:rsidR="00A260F3" w:rsidRPr="009D7554">
        <w:rPr>
          <w:rFonts w:ascii="Book Antiqua" w:hAnsi="Book Antiqua"/>
          <w:lang w:val="en-US"/>
        </w:rPr>
        <w:t xml:space="preserve">. Conventional tomographic imaging is unable to detect liver prometastatic </w:t>
      </w:r>
      <w:r w:rsidR="001F0F25" w:rsidRPr="009D7554">
        <w:rPr>
          <w:rFonts w:ascii="Book Antiqua" w:hAnsi="Book Antiqua"/>
          <w:lang w:val="en-US"/>
        </w:rPr>
        <w:t>reactions</w:t>
      </w:r>
      <w:r w:rsidR="00A260F3" w:rsidRPr="009D7554">
        <w:rPr>
          <w:rFonts w:ascii="Book Antiqua" w:hAnsi="Book Antiqua"/>
          <w:lang w:val="en-US"/>
        </w:rPr>
        <w:t xml:space="preserve"> </w:t>
      </w:r>
      <w:r w:rsidR="00CB2C5B" w:rsidRPr="009D7554">
        <w:rPr>
          <w:rFonts w:ascii="Book Antiqua" w:hAnsi="Book Antiqua"/>
          <w:lang w:val="en-US"/>
        </w:rPr>
        <w:t>or</w:t>
      </w:r>
      <w:r w:rsidR="00A260F3" w:rsidRPr="009D7554">
        <w:rPr>
          <w:rFonts w:ascii="Book Antiqua" w:hAnsi="Book Antiqua"/>
          <w:lang w:val="en-US"/>
        </w:rPr>
        <w:t xml:space="preserve"> occult liver micrometastases. A few studies have tested the ability of TA to detect precocious hepatic alterations on the </w:t>
      </w:r>
      <w:r w:rsidR="001F0F25" w:rsidRPr="009D7554">
        <w:rPr>
          <w:rFonts w:ascii="Book Antiqua" w:hAnsi="Book Antiqua"/>
          <w:lang w:val="en-US"/>
        </w:rPr>
        <w:t>basis</w:t>
      </w:r>
      <w:r w:rsidR="00A260F3" w:rsidRPr="009D7554">
        <w:rPr>
          <w:rFonts w:ascii="Book Antiqua" w:hAnsi="Book Antiqua"/>
          <w:lang w:val="en-US"/>
        </w:rPr>
        <w:t xml:space="preserve"> </w:t>
      </w:r>
      <w:r w:rsidR="00CB2C5B" w:rsidRPr="009D7554">
        <w:rPr>
          <w:rFonts w:ascii="Book Antiqua" w:hAnsi="Book Antiqua"/>
          <w:lang w:val="en-US"/>
        </w:rPr>
        <w:t xml:space="preserve">of the fact </w:t>
      </w:r>
      <w:r w:rsidR="00A260F3" w:rsidRPr="009D7554">
        <w:rPr>
          <w:rFonts w:ascii="Book Antiqua" w:hAnsi="Book Antiqua"/>
          <w:lang w:val="en-US"/>
        </w:rPr>
        <w:t xml:space="preserve">that </w:t>
      </w:r>
      <w:r w:rsidR="00CB2C5B" w:rsidRPr="009D7554">
        <w:rPr>
          <w:rFonts w:ascii="Book Antiqua" w:hAnsi="Book Antiqua"/>
          <w:lang w:val="en-US"/>
        </w:rPr>
        <w:t xml:space="preserve">the </w:t>
      </w:r>
      <w:r w:rsidR="00A260F3" w:rsidRPr="009D7554">
        <w:rPr>
          <w:rFonts w:ascii="Book Antiqua" w:hAnsi="Book Antiqua"/>
          <w:lang w:val="en-US"/>
        </w:rPr>
        <w:t xml:space="preserve">spatial heterogeneity of </w:t>
      </w:r>
      <w:r w:rsidR="00CB2C5B" w:rsidRPr="009D7554">
        <w:rPr>
          <w:rFonts w:ascii="Book Antiqua" w:hAnsi="Book Antiqua"/>
          <w:lang w:val="en-US"/>
        </w:rPr>
        <w:t xml:space="preserve">an </w:t>
      </w:r>
      <w:r w:rsidR="00A260F3" w:rsidRPr="009D7554">
        <w:rPr>
          <w:rFonts w:ascii="Book Antiqua" w:hAnsi="Book Antiqua"/>
          <w:lang w:val="en-US"/>
        </w:rPr>
        <w:t xml:space="preserve">apparently disease-free liver may be </w:t>
      </w:r>
      <w:r w:rsidR="00CB2C5B" w:rsidRPr="009D7554">
        <w:rPr>
          <w:rFonts w:ascii="Book Antiqua" w:hAnsi="Book Antiqua"/>
          <w:lang w:val="en-US"/>
        </w:rPr>
        <w:t xml:space="preserve">altered </w:t>
      </w:r>
      <w:r w:rsidR="00A260F3" w:rsidRPr="009D7554">
        <w:rPr>
          <w:rFonts w:ascii="Book Antiqua" w:hAnsi="Book Antiqua"/>
          <w:lang w:val="en-US"/>
        </w:rPr>
        <w:t>by liver prometastatic reaction</w:t>
      </w:r>
      <w:r w:rsidR="00CB2C5B" w:rsidRPr="009D7554">
        <w:rPr>
          <w:rFonts w:ascii="Book Antiqua" w:hAnsi="Book Antiqua"/>
          <w:lang w:val="en-US"/>
        </w:rPr>
        <w:t>s</w:t>
      </w:r>
      <w:r w:rsidR="00A260F3" w:rsidRPr="009D7554">
        <w:rPr>
          <w:rFonts w:ascii="Book Antiqua" w:hAnsi="Book Antiqua"/>
          <w:lang w:val="en-US"/>
        </w:rPr>
        <w:t xml:space="preserve"> and occult liver micrometastases.</w:t>
      </w:r>
    </w:p>
    <w:p w:rsidR="009515E9" w:rsidRPr="009D7554" w:rsidRDefault="001756A9" w:rsidP="000C356B">
      <w:pPr>
        <w:widowControl w:val="0"/>
        <w:autoSpaceDE w:val="0"/>
        <w:autoSpaceDN w:val="0"/>
        <w:adjustRightInd w:val="0"/>
        <w:snapToGrid w:val="0"/>
        <w:spacing w:line="360" w:lineRule="auto"/>
        <w:ind w:firstLineChars="100" w:firstLine="240"/>
        <w:jc w:val="both"/>
        <w:rPr>
          <w:rFonts w:ascii="Book Antiqua" w:hAnsi="Book Antiqua"/>
          <w:strike/>
          <w:lang w:val="en-US"/>
        </w:rPr>
      </w:pPr>
      <w:r w:rsidRPr="009D7554">
        <w:rPr>
          <w:rFonts w:ascii="Book Antiqua" w:hAnsi="Book Antiqua"/>
        </w:rPr>
        <w:t xml:space="preserve">Rao </w:t>
      </w:r>
      <w:r w:rsidR="009515E9" w:rsidRPr="009D7554">
        <w:rPr>
          <w:rFonts w:ascii="Book Antiqua" w:hAnsi="Book Antiqua"/>
          <w:i/>
          <w:iCs/>
        </w:rPr>
        <w:t>et al</w:t>
      </w:r>
      <w:r w:rsidR="00A75298" w:rsidRPr="009D7554">
        <w:rPr>
          <w:rFonts w:ascii="Book Antiqua" w:hAnsi="Book Antiqua"/>
          <w:i/>
          <w:iCs/>
          <w:lang w:val="en-US"/>
        </w:rPr>
        <w:fldChar w:fldCharType="begin" w:fldLock="1"/>
      </w:r>
      <w:r w:rsidR="004308B4" w:rsidRPr="009D7554">
        <w:rPr>
          <w:rFonts w:ascii="Book Antiqua" w:hAnsi="Book Antiqua"/>
          <w:i/>
          <w:iCs/>
        </w:rPr>
        <w:instrText>ADDIN CSL_CITATION {"citationItems":[{"id":"ITEM-1","itemData":{"DOI":"10.1177/2050640614552463","ISSN":"2050-6406","PMID":"25452849","abstract":"BACKGROUND Liver metastases limit survival in colorectal cancer. Earlier detection of (occult) metastatic disease may benefit treatment and survival. OBJECTIVE The objective of this article is to evaluate the potential of whole-liver CT texture analysis of apparently disease-free liver parenchyma for discriminating between colorectal cancer (CRC) patients with and without hepatic metastases. METHODS The primary staging CT examinations of 29 CRC patients were retrospectively analysed. Patients were divided into three groups: patients without liver metastases (n = 15), with synchronous liver metastases (n = 10) and metachronous liver metastases within 18 months following primary staging (n = 4). Whole-liver texture analysis was performed by delineation of the apparently non-diseased liver parenchyma (excluding metastases or other focal liver lesions) on portal phase images. Mean grey-level intensity (M), entropy (E) and uniformity (U) were derived with no filtration and different filter widths (0.5 = fine, 1.5 = medium, 2.5 = coarse). RESULTS Mean E1.5 and E2.5 for the whole liver in patients with synchronous metastases were significantly higher compared with the non-metastatic patients (p = 0.02 and p = 0.01). Mean U1.5 and U2.5 were significantly lower in the synchronous metastases group compared with the non-metastatic group (p = 0.04 and p = 0.02). Texture parameters for the metachronous metastases group were not significantly different from the non-metastatic group or synchronous metastases group (p &gt; 0.05), although - similar to the synchronous metastases group - there was a subtle trend towards increased E1.5, E2.5 and decreased U1.5, U2.5 values. Areas under the ROC curve for the diagnosis of synchronous metastatic disease based on the texture parameters E1.5,2.5 and U1.5,2.5 ranged between 0.73 and 0.78. CONCLUSION Texture analysis of the apparently non-diseased liver holds promise to differentiate between CRC patients with and without metastatic liver disease. Further research is required to determine whether these findings may be used to benefit the prediction of metachronous liver disease.","author":[{"dropping-particle":"","family":"Rao","given":"Sheng-Xiang","non-dropping-particle":"","parse-names":false,"suffix":""},{"dropping-particle":"","family":"Lambregts","given":"Doenja Mj","non-dropping-particle":"","parse-names":false,"suffix":""},{"dropping-particle":"","family":"Schnerr","given":"Roald S","non-dropping-particle":"","parse-names":false,"suffix":""},{"dropping-particle":"","family":"Ommen","given":"Wenzel","non-dropping-particle":"van","parse-names":false,"suffix":""},{"dropping-particle":"","family":"Nijnatten","given":"Thiemo Ja","non-dropping-particle":"van","parse-names":false,"suffix":""},{"dropping-particle":"","family":"Martens","given":"Milou H","non-dropping-particle":"","parse-names":false,"suffix":""},{"dropping-particle":"","family":"Heijnen","given":"Luc A","non-dropping-particle":"","parse-names":false,"suffix":""},{"dropping-particle":"","family":"Backes","given":"Walter H","non-dropping-particle":"","parse-names":false,"suffix":""},{"dropping-particle":"","family":"Verhoef","given":"Cornelis","non-dropping-particle":"","parse-names":false,"suffix":""},{"dropping-particle":"","family":"Zeng","given":"Meng-Su","non-dropping-particle":"","parse-names":false,"suffix":""},{"dropping-particle":"","family":"Beets","given":"Geerard L","non-dropping-particle":"","parse-names":false,"suffix":""},{"dropping-particle":"","family":"Beets-Tan","given":"Regina Gh","non-dropping-particle":"","parse-names":false,"suffix":""}],"container-title":"United European gastroenterology journal","id":"ITEM-1","issue":"6","issued":{"date-parts":[["2014","12"]]},"page":"530-8","title":"Whole-liver CT texture analysis in colorectal cancer: Does the presence of liver metastases affect the texture of the remaining liver?","type":"article-journal","volume":"2"},"uris":["http://www.mendeley.com/documents/?uuid=c888adf9-949c-47e7-becc-adf3ac7bfadc"]}],"mendeley":{"formattedCitation":"&lt;sup&gt;[140]&lt;/sup&gt;","plainTextFormattedCitation":"[140]","previouslyFormattedCitation":"&lt;sup&gt;[140]&lt;/sup&gt;"},"properties":{"noteIndex":0},"schema":"https://github.com/citation-style-language/schema/raw/master/csl-citation.json"}</w:instrText>
      </w:r>
      <w:r w:rsidR="00A75298" w:rsidRPr="009D7554">
        <w:rPr>
          <w:rFonts w:ascii="Book Antiqua" w:hAnsi="Book Antiqua"/>
          <w:i/>
          <w:iCs/>
          <w:lang w:val="en-US"/>
        </w:rPr>
        <w:fldChar w:fldCharType="separate"/>
      </w:r>
      <w:r w:rsidR="004308B4" w:rsidRPr="009D7554">
        <w:rPr>
          <w:rFonts w:ascii="Book Antiqua" w:hAnsi="Book Antiqua"/>
          <w:iCs/>
          <w:vertAlign w:val="superscript"/>
        </w:rPr>
        <w:t>[140]</w:t>
      </w:r>
      <w:r w:rsidR="00A75298" w:rsidRPr="009D7554">
        <w:rPr>
          <w:rFonts w:ascii="Book Antiqua" w:hAnsi="Book Antiqua"/>
          <w:i/>
          <w:iCs/>
          <w:lang w:val="en-US"/>
        </w:rPr>
        <w:fldChar w:fldCharType="end"/>
      </w:r>
      <w:r w:rsidR="00472F64" w:rsidRPr="009D7554">
        <w:rPr>
          <w:rFonts w:ascii="Book Antiqua" w:hAnsi="Book Antiqua"/>
          <w:i/>
          <w:iCs/>
        </w:rPr>
        <w:t xml:space="preserve"> </w:t>
      </w:r>
      <w:r w:rsidR="0003505F" w:rsidRPr="009D7554">
        <w:rPr>
          <w:rFonts w:ascii="Book Antiqua" w:hAnsi="Book Antiqua"/>
        </w:rPr>
        <w:t xml:space="preserve">assessed the capability of whole-liver portal phase CT TA to detect structural differences between apparently disease-free liver parenchyma </w:t>
      </w:r>
      <w:r w:rsidR="00CB2C5B" w:rsidRPr="009D7554">
        <w:rPr>
          <w:rFonts w:ascii="Book Antiqua" w:hAnsi="Book Antiqua"/>
        </w:rPr>
        <w:t xml:space="preserve">in </w:t>
      </w:r>
      <w:r w:rsidR="0003505F" w:rsidRPr="009D7554">
        <w:rPr>
          <w:rFonts w:ascii="Book Antiqua" w:hAnsi="Book Antiqua"/>
        </w:rPr>
        <w:t xml:space="preserve">CRC patients without and with liver metastases. </w:t>
      </w:r>
      <w:r w:rsidR="00CB2C5B" w:rsidRPr="009D7554">
        <w:rPr>
          <w:rFonts w:ascii="Book Antiqua" w:hAnsi="Book Antiqua"/>
          <w:lang w:val="en-US"/>
        </w:rPr>
        <w:t>D</w:t>
      </w:r>
      <w:r w:rsidR="0003505F" w:rsidRPr="009D7554">
        <w:rPr>
          <w:rFonts w:ascii="Book Antiqua" w:hAnsi="Book Antiqua"/>
          <w:lang w:val="en-US"/>
        </w:rPr>
        <w:t xml:space="preserve">isease-free liver parenchyma </w:t>
      </w:r>
      <w:r w:rsidR="00CB2C5B" w:rsidRPr="009D7554">
        <w:rPr>
          <w:rFonts w:ascii="Book Antiqua" w:hAnsi="Book Antiqua"/>
          <w:lang w:val="en-US"/>
        </w:rPr>
        <w:t xml:space="preserve">in </w:t>
      </w:r>
      <w:r w:rsidR="0003505F" w:rsidRPr="009D7554">
        <w:rPr>
          <w:rFonts w:ascii="Book Antiqua" w:hAnsi="Book Antiqua"/>
          <w:lang w:val="en-US"/>
        </w:rPr>
        <w:t>patients with synchronous liver metastases (Group B) showed entropy values significantly higher and uniformity values significantly lower</w:t>
      </w:r>
      <w:r w:rsidR="001F0F25" w:rsidRPr="009D7554">
        <w:rPr>
          <w:rFonts w:ascii="Book Antiqua" w:hAnsi="Book Antiqua"/>
          <w:lang w:val="en-US"/>
        </w:rPr>
        <w:t xml:space="preserve"> than those </w:t>
      </w:r>
      <w:r w:rsidR="00CB2C5B" w:rsidRPr="009D7554">
        <w:rPr>
          <w:rFonts w:ascii="Book Antiqua" w:hAnsi="Book Antiqua"/>
          <w:lang w:val="en-US"/>
        </w:rPr>
        <w:t>in</w:t>
      </w:r>
      <w:r w:rsidR="0003505F" w:rsidRPr="009D7554">
        <w:rPr>
          <w:rFonts w:ascii="Book Antiqua" w:hAnsi="Book Antiqua"/>
          <w:lang w:val="en-US"/>
        </w:rPr>
        <w:t xml:space="preserve"> patients without liver metastases (Group A). Furthermore, the disease-free liver parenchyma </w:t>
      </w:r>
      <w:r w:rsidR="00CB2C5B" w:rsidRPr="009D7554">
        <w:rPr>
          <w:rFonts w:ascii="Book Antiqua" w:hAnsi="Book Antiqua"/>
          <w:lang w:val="en-US"/>
        </w:rPr>
        <w:t xml:space="preserve">in </w:t>
      </w:r>
      <w:r w:rsidR="0003505F" w:rsidRPr="009D7554">
        <w:rPr>
          <w:rFonts w:ascii="Book Antiqua" w:hAnsi="Book Antiqua"/>
          <w:lang w:val="en-US"/>
        </w:rPr>
        <w:t xml:space="preserve">patients </w:t>
      </w:r>
      <w:r w:rsidR="00CB2C5B" w:rsidRPr="009D7554">
        <w:rPr>
          <w:rFonts w:ascii="Book Antiqua" w:hAnsi="Book Antiqua"/>
          <w:lang w:val="en-US"/>
        </w:rPr>
        <w:t xml:space="preserve">who developed </w:t>
      </w:r>
      <w:r w:rsidR="0003505F" w:rsidRPr="009D7554">
        <w:rPr>
          <w:rFonts w:ascii="Book Antiqua" w:hAnsi="Book Antiqua"/>
          <w:lang w:val="en-US"/>
        </w:rPr>
        <w:t>metachronous liver metastases within 18 months after primary staging CT (Group C) showed a subtle trend towards increased entropy and decreased uniformity values</w:t>
      </w:r>
      <w:r w:rsidR="001F0F25" w:rsidRPr="009D7554">
        <w:rPr>
          <w:rFonts w:ascii="Book Antiqua" w:hAnsi="Book Antiqua"/>
          <w:lang w:val="en-US"/>
        </w:rPr>
        <w:t xml:space="preserve"> </w:t>
      </w:r>
      <w:r w:rsidR="00CB2C5B" w:rsidRPr="009D7554">
        <w:rPr>
          <w:rFonts w:ascii="Book Antiqua" w:hAnsi="Book Antiqua"/>
          <w:lang w:val="en-US"/>
        </w:rPr>
        <w:t xml:space="preserve">compared to that in patients in </w:t>
      </w:r>
      <w:r w:rsidR="0003505F" w:rsidRPr="009D7554">
        <w:rPr>
          <w:rFonts w:ascii="Book Antiqua" w:hAnsi="Book Antiqua"/>
          <w:lang w:val="en-US"/>
        </w:rPr>
        <w:t xml:space="preserve">group A, although the difference was not significant. These results </w:t>
      </w:r>
      <w:r w:rsidR="00502E2D" w:rsidRPr="009D7554">
        <w:rPr>
          <w:rFonts w:ascii="Book Antiqua" w:hAnsi="Book Antiqua"/>
          <w:lang w:val="en-US"/>
        </w:rPr>
        <w:t>produced</w:t>
      </w:r>
      <w:r w:rsidR="00C25A2F" w:rsidRPr="009D7554">
        <w:rPr>
          <w:rFonts w:ascii="Book Antiqua" w:hAnsi="Book Antiqua"/>
          <w:lang w:val="en-US"/>
        </w:rPr>
        <w:t xml:space="preserve"> </w:t>
      </w:r>
      <w:r w:rsidR="0003505F" w:rsidRPr="009D7554">
        <w:rPr>
          <w:rFonts w:ascii="Book Antiqua" w:hAnsi="Book Antiqua"/>
          <w:lang w:val="en-US"/>
        </w:rPr>
        <w:t xml:space="preserve">the following observations: </w:t>
      </w:r>
      <w:r w:rsidR="000C356B" w:rsidRPr="009D7554">
        <w:rPr>
          <w:rFonts w:ascii="Book Antiqua" w:hAnsi="Book Antiqua"/>
          <w:lang w:val="en-US"/>
        </w:rPr>
        <w:t>(</w:t>
      </w:r>
      <w:r w:rsidR="0003505F" w:rsidRPr="009D7554">
        <w:rPr>
          <w:rFonts w:ascii="Book Antiqua" w:hAnsi="Book Antiqua"/>
          <w:lang w:val="en-US"/>
        </w:rPr>
        <w:t xml:space="preserve">1) group B </w:t>
      </w:r>
      <w:r w:rsidR="001F0F25" w:rsidRPr="009D7554">
        <w:rPr>
          <w:rFonts w:ascii="Book Antiqua" w:hAnsi="Book Antiqua"/>
          <w:lang w:val="en-US"/>
        </w:rPr>
        <w:t>presented</w:t>
      </w:r>
      <w:r w:rsidR="0003505F" w:rsidRPr="009D7554">
        <w:rPr>
          <w:rFonts w:ascii="Book Antiqua" w:hAnsi="Book Antiqua"/>
          <w:lang w:val="en-US"/>
        </w:rPr>
        <w:t xml:space="preserve"> greater heterogeneity </w:t>
      </w:r>
      <w:r w:rsidR="00CB2C5B" w:rsidRPr="009D7554">
        <w:rPr>
          <w:rFonts w:ascii="Book Antiqua" w:hAnsi="Book Antiqua"/>
          <w:lang w:val="en-US"/>
        </w:rPr>
        <w:t xml:space="preserve">in the </w:t>
      </w:r>
      <w:r w:rsidR="0003505F" w:rsidRPr="009D7554">
        <w:rPr>
          <w:rFonts w:ascii="Book Antiqua" w:hAnsi="Book Antiqua"/>
          <w:lang w:val="en-US"/>
        </w:rPr>
        <w:t xml:space="preserve">liver parenchymal structure compared to group A due to the possible presence of micrometastases in the apparently disease-free remaining liver </w:t>
      </w:r>
      <w:r w:rsidR="00C25A2F" w:rsidRPr="009D7554">
        <w:rPr>
          <w:rFonts w:ascii="Book Antiqua" w:hAnsi="Book Antiqua"/>
          <w:lang w:val="en-US"/>
        </w:rPr>
        <w:t xml:space="preserve">tissues </w:t>
      </w:r>
      <w:r w:rsidR="0003505F" w:rsidRPr="009D7554">
        <w:rPr>
          <w:rFonts w:ascii="Book Antiqua" w:hAnsi="Book Antiqua"/>
          <w:lang w:val="en-US"/>
        </w:rPr>
        <w:t xml:space="preserve">or tumor-induced changes in liver perfusion; </w:t>
      </w:r>
      <w:r w:rsidR="000C356B" w:rsidRPr="009D7554">
        <w:rPr>
          <w:rFonts w:ascii="Book Antiqua" w:hAnsi="Book Antiqua"/>
          <w:lang w:val="en-US"/>
        </w:rPr>
        <w:t>and (</w:t>
      </w:r>
      <w:r w:rsidR="0003505F" w:rsidRPr="009D7554">
        <w:rPr>
          <w:rFonts w:ascii="Book Antiqua" w:hAnsi="Book Antiqua"/>
          <w:lang w:val="en-US"/>
        </w:rPr>
        <w:t xml:space="preserve">2) group C may show </w:t>
      </w:r>
      <w:r w:rsidR="00C25A2F" w:rsidRPr="009D7554">
        <w:rPr>
          <w:rFonts w:ascii="Book Antiqua" w:hAnsi="Book Antiqua"/>
          <w:lang w:val="en-US"/>
        </w:rPr>
        <w:t xml:space="preserve">ongoing </w:t>
      </w:r>
      <w:r w:rsidR="0003505F" w:rsidRPr="009D7554">
        <w:rPr>
          <w:rFonts w:ascii="Book Antiqua" w:hAnsi="Book Antiqua"/>
          <w:lang w:val="en-US"/>
        </w:rPr>
        <w:t xml:space="preserve">tumor-induced, structural and/or hemodynamic changes </w:t>
      </w:r>
      <w:r w:rsidR="00C25A2F" w:rsidRPr="009D7554">
        <w:rPr>
          <w:rFonts w:ascii="Book Antiqua" w:hAnsi="Book Antiqua"/>
          <w:lang w:val="en-US"/>
        </w:rPr>
        <w:t xml:space="preserve">in </w:t>
      </w:r>
      <w:r w:rsidR="0003505F" w:rsidRPr="009D7554">
        <w:rPr>
          <w:rFonts w:ascii="Book Antiqua" w:hAnsi="Book Antiqua"/>
          <w:lang w:val="en-US"/>
        </w:rPr>
        <w:t xml:space="preserve">the liver parenchyma </w:t>
      </w:r>
      <w:r w:rsidR="00C25A2F" w:rsidRPr="009D7554">
        <w:rPr>
          <w:rFonts w:ascii="Book Antiqua" w:hAnsi="Book Antiqua"/>
          <w:lang w:val="en-US"/>
        </w:rPr>
        <w:t>that precede</w:t>
      </w:r>
      <w:r w:rsidR="0003505F" w:rsidRPr="009D7554">
        <w:rPr>
          <w:rFonts w:ascii="Book Antiqua" w:hAnsi="Book Antiqua"/>
          <w:lang w:val="en-US"/>
        </w:rPr>
        <w:t xml:space="preserve"> morphological changes, allowing the identification of patients at risk </w:t>
      </w:r>
      <w:r w:rsidR="001F0F25" w:rsidRPr="009D7554">
        <w:rPr>
          <w:rFonts w:ascii="Book Antiqua" w:hAnsi="Book Antiqua"/>
          <w:lang w:val="en-US"/>
        </w:rPr>
        <w:t>of developing</w:t>
      </w:r>
      <w:r w:rsidR="0003505F" w:rsidRPr="009D7554">
        <w:rPr>
          <w:rFonts w:ascii="Book Antiqua" w:hAnsi="Book Antiqua"/>
          <w:lang w:val="en-US"/>
        </w:rPr>
        <w:t xml:space="preserve"> metachronous hepatic metastases.</w:t>
      </w:r>
    </w:p>
    <w:p w:rsidR="009515E9" w:rsidRPr="009D7554" w:rsidRDefault="009515E9" w:rsidP="000C356B">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Finally, both CT- and MRI-based TA parameters have been explored as feasible tools to predict treatment response</w:t>
      </w:r>
      <w:r w:rsidR="00C25A2F" w:rsidRPr="009D7554">
        <w:rPr>
          <w:rFonts w:ascii="Book Antiqua" w:hAnsi="Book Antiqua"/>
          <w:lang w:val="en-US"/>
        </w:rPr>
        <w:t>s</w:t>
      </w:r>
      <w:r w:rsidRPr="009D7554">
        <w:rPr>
          <w:rFonts w:ascii="Book Antiqua" w:hAnsi="Book Antiqua"/>
          <w:lang w:val="en-US"/>
        </w:rPr>
        <w:t xml:space="preserve"> in patients with CRLMs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{"citationItems":[{"id":"ITEM-1","itemData":{"DOI":"10.1007/s00261-018-1682-1","ISSN":"2366-0058","PMID":"29967982","abstract":"PURPOSE The purpose of the study was to determine whether the pre-treated MR texture features of colorectal liver metastases (CRLMs) are predictive of therapeutic response after chemotherapy. METHODS The study included twenty-six consecutive patients (a total of 193 liver metastasis) with unrespectable CRLMs at our institution from August 2014 to February 2016. Lesions were categorized into either responding group or non-responding group according to changes in size. Texture analysis was quantified on T2-weighted images by two radiologists with consensus on regions of interest which were manually drawn on the largest cross-sectional area of the lesions. Five histogram features (mean, variance, skewness, kurtosis, and entropy1) and five gray level co-occurrence matrix features (GLCM; angular second moment (ASM), entropy2, contrast, correlation, and inverse difference moment (IDM)) were extracted. The texture parameters were statistically analyzed to identify the differences between the two groups, and the potential predictive parameters to differentiate the responding group from the non-responding group were subsequently tested using multivariable logistic regression analysis. RESULTS A total of 107 responding and 86 non-responding lesions were evaluated. A higher variance, entropy1, contrast, entropy2 and a lower ASM, correlation, IDM were independently (P &lt; 0.05) associated with a good response to chemotherapy with the areas under the ROC curves (AUCs) of 0.602-0.784. Variance (P &lt; 0.001) and ASM (P = 0.001) remained potential predictive values to discriminate responding lesions from non-responding lesions when tested using multivariable logistic regression analysis. The highest AUC of the predictors from the association of variance and ASM was 0.814. CONCLUSION MR texture features on pre-treated T2 images have the potential to predict the therapeutic response of colorectal liver metastases.","author":[{"dropping-particle":"","family":"Zhang","given":"Huan","non-dropping-particle":"","parse-names":false,"suffix":""},{"dropping-particle":"","family":"Li","given":"Wenhua","non-dropping-particle":"","parse-names":false,"suffix":""},{"dropping-particle":"","family":"Hu","given":"Feixiang","non-dropping-particle":"","parse-names":false,"suffix":""},{"dropping-particle":"","family":"Sun","given":"Yiqun","non-dropping-particle":"","parse-names":false,"suffix":""},{"dropping-particle":"","family":"Hu","given":"Tingdan","non-dropping-particle":"","parse-names":false,"suffix":""},{"dropping-particle":"","family":"Tong","given":"Tong","non-dropping-particle":"","parse-names":false,"suffix":""}],"container-title":"Abdominal radiology (New York)","id":"ITEM-1","issue":"1","issued":{"date-parts":[["2019","1"]]},"page":"65-71","title":"MR texture analysis: potential imaging biomarker for predicting the chemotherapeutic response of patients with colorectal liver metastases.","type":"article-journal","volume":"44"},"uris":["http://www.mendeley.com/documents/?uuid=876fe48d-10b6-4fa7-b09d-9fc4647a9edf"]},{"id":"ITEM-2","itemData":{"DOI":"10.1016/j.ejrad.2016.08.014","ISSN":"1872-7727","PMID":"27666629","abstract":"PURPOSE To determine whether baseline CT texture analysis of hepatic metastasis from colorectal cancer (CRC) is predictive of therapeutic response after cytotoxic chemotherapy. MATERIALS AND METHODS 235 patients with liver metastasis from CRC who underwent CT and cytotoxic chemotherapy using FOLFOX and FOLFIRI were divided into derivation cohort (n=145) and validation cohort (n=90). The CT texture of the hepatic metastasis was quantified using baseline CT. We analyzed the independent predictor for the response from derivation cohort and validated it using validation cohort. We also compared texture features between included four CT scanners. RESULTS 89 responding and 146 non-responding patients were evaluated. In the derivation cohort, lower skewness (OR, 6.739) in 2D, higher mean attenuation (OR, 2.587), and narrower standard deviation (SD) (OR, 3.163) in 3D were independently associated with response to chemotherapy. However, only lower skewness (P=0.213) on 2D and narrower SD on 3D analysis (P=0.097) did not show a significant difference on either CT scanner. When applied to the validation set, the lower skewness on 2D (AUC=0.797) and narrower SD on 3D (AUC=0.785) showed good performance. CONCLUSION CT texture analysis is useful for prediction of therapeutic response after cytotoxic chemotherapy in patients with liver metastasis from colorectal cancer.","author":[{"dropping-particle":"","family":"Ahn","given":"Su Joa","non-dropping-particle":"","parse-names":false,"suffix":""},{"dropping-particle":"","family":"Kim","given":"Jung Hoon","non-dropping-particle":"","parse-names":false,"suffix":""},{"dropping-particle":"","family":"Park","given":"Sang Joon","non-dropping-particle":"","parse-names":false,"suffix":""},{"dropping-particle":"","family":"Han","given":"Joon Koo","non-dropping-particle":"","parse-names":false,"suffix":""}],"container-title":"European journal of radiology","id":"ITEM-2","issue":"10","issued":{"date-parts":[["2016","10"]]},"page":"1867-1874","title":"Prediction of the therapeutic response after FOLFOX and FOLFIRI treatment for patients with liver metastasis from colorectal cancer using computerized CT texture analysis.","type":"article-journal","volume":"85"},"uris":["http://www.mendeley.com/documents/?uuid=d62c8fb3-a5df-469e-b068-bcad2e6a442f"]}],"mendeley":{"formattedCitation":"&lt;sup&gt;[141,142]&lt;/sup&gt;","plainTextFormattedCitation":"[141,142]","previouslyFormattedCitation":"&lt;sup&gt;[141,142]&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[141,142]</w:t>
      </w:r>
      <w:r w:rsidR="00A75298" w:rsidRPr="009D7554">
        <w:rPr>
          <w:rFonts w:ascii="Book Antiqua" w:hAnsi="Book Antiqua"/>
          <w:lang w:val="en-US"/>
        </w:rPr>
        <w:fldChar w:fldCharType="end"/>
      </w:r>
      <w:r w:rsidR="00472F64" w:rsidRPr="009D7554">
        <w:rPr>
          <w:rFonts w:ascii="Book Antiqua" w:hAnsi="Book Antiqua"/>
          <w:bCs/>
          <w:lang w:val="en-US"/>
        </w:rPr>
        <w:t xml:space="preserve">. Zhang </w:t>
      </w:r>
      <w:r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{"citationItems":[{"id":"ITEM-1","itemData":{"DOI":"10.1007/s00261-018-1682-1","ISSN":"2366-0058","PMID":"29967982","abstract":"PURPOSE The purpose of the study was to determine whether the pre-treated MR texture features of colorectal liver metastases (CRLMs) are predictive of therapeutic response after chemotherapy. METHODS The study included twenty-six consecutive patients (a total of 193 liver metastasis) with unrespectable CRLMs at our institution from August 2014 to February 2016. Lesions were categorized into either responding group or non-responding group according to changes in size. Texture analysis was quantified on T2-weighted images by two radiologists with consensus on regions of interest which were manually drawn on the largest cross-sectional area of the lesions. Five histogram features (mean, variance, skewness, kurtosis, and entropy1) and five gray level co-occurrence matrix features (GLCM; angular second moment (ASM), entropy2, contrast, correlation, and inverse difference moment (IDM)) were extracted. The texture parameters were statistically analyzed to identify the differences between the two groups, and the potential predictive parameters to differentiate the responding group from the non-responding group were subsequently tested using multivariable logistic regression analysis. RESULTS A total of 107 responding and 86 non-responding lesions were evaluated. A higher variance, entropy1, contrast, entropy2 and a lower ASM, correlation, IDM were independently (P &lt; 0.05) associated with a good response to chemotherapy with the areas under the ROC curves (AUCs) of 0.602-0.784. Variance (P &lt; 0.001) and ASM (P = 0.001) remained potential predictive values to discriminate responding lesions from non-responding lesions when tested using multivariable logistic regression analysis. The highest AUC of the predictors from the association of variance and ASM was 0.814. CONCLUSION MR texture features on pre-treated T2 images have the potential to predict the therapeutic response of colorectal liver metastases.","author":[{"dropping-particle":"","family":"Zhang","given":"Huan","non-dropping-particle":"","parse-names":false,"suffix":""},{"dropping-particle":"","family":"Li","given":"Wenhua","non-dropping-particle":"","parse-names":false,"suffix":""},{"dropping-particle":"","family":"Hu","given":"Feixiang","non-dropping-particle":"","parse-names":false,"suffix":""},{"dropping-particle":"","family":"Sun","given":"Yiqun","non-dropping-particle":"","parse-names":false,"suffix":""},{"dropping-particle":"","family":"Hu","given":"Tingdan","non-dropping-particle":"","parse-names":false,"suffix":""},{"dropping-particle":"","family":"Tong","given":"Tong","non-dropping-particle":"","parse-names":false,"suffix":""}],"container-title":"Abdominal radiology (New York)","id":"ITEM-1","issue":"1","issued":{"date-parts":[["2019","1"]]},"page":"65-71","title":"MR texture analysis: potential imaging biomarker for predicting the chemotherapeutic response of patients with colorectal liver metastases.","type":"article-journal","volume":"44"},"uris":["http://www.mendeley.com/documents/?uuid=876fe48d-10b6-4fa7-b09d-9fc4647a9edf"]}],"mendeley":{"formattedCitation":"&lt;sup&gt;[141]&lt;/sup&gt;","plainTextFormattedCitation":"[141]","previouslyFormattedCitation":"&lt;sup&gt;[141]&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[141]</w:t>
      </w:r>
      <w:r w:rsidR="00A75298" w:rsidRPr="009D7554">
        <w:rPr>
          <w:rFonts w:ascii="Book Antiqua" w:hAnsi="Book Antiqua"/>
          <w:i/>
          <w:lang w:val="en-US"/>
        </w:rPr>
        <w:fldChar w:fldCharType="end"/>
      </w:r>
      <w:r w:rsidR="00472F64" w:rsidRPr="009D7554">
        <w:rPr>
          <w:rFonts w:ascii="Book Antiqua" w:hAnsi="Book Antiqua"/>
          <w:i/>
          <w:lang w:val="en-US"/>
        </w:rPr>
        <w:t xml:space="preserve"> </w:t>
      </w:r>
      <w:r w:rsidR="00DF5047" w:rsidRPr="009D7554">
        <w:rPr>
          <w:rFonts w:ascii="Book Antiqua" w:hAnsi="Book Antiqua"/>
          <w:bCs/>
          <w:lang w:val="en-US"/>
        </w:rPr>
        <w:t xml:space="preserve">evaluated the response to chemotherapy of 193 unresectable liver metastases using dimensional reduction </w:t>
      </w:r>
      <w:r w:rsidR="00C25A2F" w:rsidRPr="009D7554">
        <w:rPr>
          <w:rFonts w:ascii="Book Antiqua" w:hAnsi="Book Antiqua"/>
          <w:bCs/>
          <w:lang w:val="en-US"/>
        </w:rPr>
        <w:t xml:space="preserve">that was </w:t>
      </w:r>
      <w:r w:rsidR="00DF5047" w:rsidRPr="009D7554">
        <w:rPr>
          <w:rFonts w:ascii="Book Antiqua" w:hAnsi="Book Antiqua"/>
          <w:bCs/>
          <w:lang w:val="en-US"/>
        </w:rPr>
        <w:t xml:space="preserve">observed by </w:t>
      </w:r>
      <w:r w:rsidR="00C25A2F" w:rsidRPr="009D7554">
        <w:rPr>
          <w:rFonts w:ascii="Book Antiqua" w:hAnsi="Book Antiqua"/>
          <w:bCs/>
          <w:lang w:val="en-US"/>
        </w:rPr>
        <w:t xml:space="preserve">the </w:t>
      </w:r>
      <w:r w:rsidR="00DF5047" w:rsidRPr="009D7554">
        <w:rPr>
          <w:rFonts w:ascii="Book Antiqua" w:hAnsi="Book Antiqua"/>
          <w:bCs/>
          <w:lang w:val="en-US"/>
        </w:rPr>
        <w:t xml:space="preserve">comparison of T2-weighted </w:t>
      </w:r>
      <w:r w:rsidR="009A70D4" w:rsidRPr="009D7554">
        <w:rPr>
          <w:rFonts w:ascii="Book Antiqua" w:hAnsi="Book Antiqua"/>
          <w:bCs/>
          <w:lang w:val="en-US"/>
        </w:rPr>
        <w:t>pretreatment</w:t>
      </w:r>
      <w:r w:rsidR="00DF5047" w:rsidRPr="009D7554">
        <w:rPr>
          <w:rFonts w:ascii="Book Antiqua" w:hAnsi="Book Antiqua"/>
          <w:bCs/>
          <w:lang w:val="en-US"/>
        </w:rPr>
        <w:t xml:space="preserve"> and </w:t>
      </w:r>
      <w:r w:rsidR="009A70D4" w:rsidRPr="009D7554">
        <w:rPr>
          <w:rFonts w:ascii="Book Antiqua" w:hAnsi="Book Antiqua"/>
          <w:bCs/>
          <w:lang w:val="en-US"/>
        </w:rPr>
        <w:t>postt</w:t>
      </w:r>
      <w:r w:rsidR="00DF5047" w:rsidRPr="009D7554">
        <w:rPr>
          <w:rFonts w:ascii="Book Antiqua" w:hAnsi="Book Antiqua"/>
          <w:bCs/>
          <w:lang w:val="en-US"/>
        </w:rPr>
        <w:t xml:space="preserve">reatment MR images as </w:t>
      </w:r>
      <w:r w:rsidR="00C25A2F" w:rsidRPr="009D7554">
        <w:rPr>
          <w:rFonts w:ascii="Book Antiqua" w:hAnsi="Book Antiqua"/>
          <w:bCs/>
          <w:lang w:val="en-US"/>
        </w:rPr>
        <w:t xml:space="preserve">a </w:t>
      </w:r>
      <w:r w:rsidR="00DF5047" w:rsidRPr="009D7554">
        <w:rPr>
          <w:rFonts w:ascii="Book Antiqua" w:hAnsi="Book Antiqua"/>
          <w:bCs/>
          <w:lang w:val="en-US"/>
        </w:rPr>
        <w:t xml:space="preserve">reference standard (a cutoff of </w:t>
      </w:r>
      <w:r w:rsidR="00C25A2F" w:rsidRPr="009D7554">
        <w:rPr>
          <w:rFonts w:ascii="Book Antiqua" w:hAnsi="Book Antiqua"/>
          <w:bCs/>
          <w:lang w:val="en-US"/>
        </w:rPr>
        <w:t xml:space="preserve">a </w:t>
      </w:r>
      <w:r w:rsidR="00DF5047" w:rsidRPr="009D7554">
        <w:rPr>
          <w:rFonts w:ascii="Book Antiqua" w:hAnsi="Book Antiqua"/>
          <w:bCs/>
          <w:lang w:val="en-US"/>
        </w:rPr>
        <w:t xml:space="preserve">30% decrease in </w:t>
      </w:r>
      <w:r w:rsidR="00C25A2F" w:rsidRPr="009D7554">
        <w:rPr>
          <w:rFonts w:ascii="Book Antiqua" w:hAnsi="Book Antiqua"/>
          <w:bCs/>
          <w:lang w:val="en-US"/>
        </w:rPr>
        <w:t xml:space="preserve">the </w:t>
      </w:r>
      <w:r w:rsidR="00DF5047" w:rsidRPr="009D7554">
        <w:rPr>
          <w:rFonts w:ascii="Book Antiqua" w:hAnsi="Book Antiqua"/>
          <w:bCs/>
          <w:lang w:val="en-US"/>
        </w:rPr>
        <w:t xml:space="preserve">maximum diameter defined </w:t>
      </w:r>
      <w:r w:rsidR="00C25A2F" w:rsidRPr="009D7554">
        <w:rPr>
          <w:rFonts w:ascii="Book Antiqua" w:hAnsi="Book Antiqua"/>
          <w:bCs/>
          <w:lang w:val="en-US"/>
        </w:rPr>
        <w:t xml:space="preserve">the </w:t>
      </w:r>
      <w:r w:rsidR="00DF5047" w:rsidRPr="009D7554">
        <w:rPr>
          <w:rFonts w:ascii="Book Antiqua" w:hAnsi="Book Antiqua"/>
          <w:bCs/>
          <w:lang w:val="en-US"/>
        </w:rPr>
        <w:t xml:space="preserve">responders). The </w:t>
      </w:r>
      <w:r w:rsidR="001F0F25" w:rsidRPr="009D7554">
        <w:rPr>
          <w:rFonts w:ascii="Book Antiqua" w:hAnsi="Book Antiqua"/>
          <w:bCs/>
          <w:lang w:val="en-US"/>
        </w:rPr>
        <w:t>authors</w:t>
      </w:r>
      <w:r w:rsidR="00DF5047" w:rsidRPr="009D7554">
        <w:rPr>
          <w:rFonts w:ascii="Book Antiqua" w:hAnsi="Book Antiqua"/>
          <w:bCs/>
          <w:lang w:val="en-US"/>
        </w:rPr>
        <w:t xml:space="preserve"> found that the association of a first-order parameter (variance) and a higher-order parameter (angular second moment) had the ability to predict response</w:t>
      </w:r>
      <w:r w:rsidR="00C25A2F" w:rsidRPr="009D7554">
        <w:rPr>
          <w:rFonts w:ascii="Book Antiqua" w:hAnsi="Book Antiqua"/>
          <w:bCs/>
          <w:lang w:val="en-US"/>
        </w:rPr>
        <w:t>,</w:t>
      </w:r>
      <w:r w:rsidR="00DF5047" w:rsidRPr="009D7554">
        <w:rPr>
          <w:rFonts w:ascii="Book Antiqua" w:hAnsi="Book Antiqua"/>
          <w:bCs/>
          <w:lang w:val="en-US"/>
        </w:rPr>
        <w:t xml:space="preserve"> with an AUC of 0.814. Likewise, Ahn </w:t>
      </w:r>
      <w:r w:rsidR="00C5471C"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{"citationItems":[{"id":"ITEM-1","itemData":{"DOI":"10.1016/j.ejrad.2016.08.014","ISSN":"1872-7727","PMID":"27666629","abstract":"PURPOSE To determine whether baseline CT texture analysis of hepatic metastasis from colorectal cancer (CRC) is predictive of therapeutic response after cytotoxic chemotherapy. MATERIALS AND METHODS 235 patients with liver metastasis from CRC who underwent CT and cytotoxic chemotherapy using FOLFOX and FOLFIRI were divided into derivation cohort (n=145) and validation cohort (n=90). The CT texture of the hepatic metastasis was quantified using baseline CT. We analyzed the independent predictor for the response from derivation cohort and validated it using validation cohort. We also compared texture features between included four CT scanners. RESULTS 89 responding and 146 non-responding patients were evaluated. In the derivation cohort, lower skewness (OR, 6.739) in 2D, higher mean attenuation (OR, 2.587), and narrower standard deviation (SD) (OR, 3.163) in 3D were independently associated with response to chemotherapy. However, only lower skewness (P=0.213) on 2D and narrower SD on 3D analysis (P=0.097) did not show a significant difference on either CT scanner. When applied to the validation set, the lower skewness on 2D (AUC=0.797) and narrower SD on 3D (AUC=0.785) showed good performance. CONCLUSION CT texture analysis is useful for prediction of therapeutic response after cytotoxic chemotherapy in patients with liver metastasis from colorectal cancer.","author":[{"dropping-particle":"","family":"Ahn","given":"Su Joa","non-dropping-particle":"","parse-names":false,"suffix":""},{"dropping-particle":"","family":"Kim","given":"Jung Hoon","non-dropping-particle":"","parse-names":false,"suffix":""},{"dropping-particle":"","family":"Park","given":"Sang Joon","non-dropping-particle":"","parse-names":false,"suffix":""},{"dropping-particle":"","family":"Han","given":"Joon Koo","non-dropping-particle":"","parse-names":false,"suffix":""}],"container-title":"European journal of radiology","id":"ITEM-1","issue":"10","issued":{"date-parts":[["2016","10"]]},"page":"1867-1874","title":"Prediction of the therapeutic response after FOLFOX and FOLFIRI treatment for patients with liver metastasis from colorectal cancer using computerized CT texture analysis.","type":"article-journal","volume":"85"},"uris":["http://www.mendeley.com/documents/?uuid=d62c8fb3-a5df-469e-b068-bcad2e6a442f"]}],"mendeley":{"formattedCitation":"&lt;sup&gt;[142]&lt;/sup&gt;","plainTextFormattedCitation":"[142]","previouslyFormattedCitation":"&lt;sup&gt;[142]&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[142]</w:t>
      </w:r>
      <w:r w:rsidR="00A75298" w:rsidRPr="009D7554">
        <w:rPr>
          <w:rFonts w:ascii="Book Antiqua" w:hAnsi="Book Antiqua"/>
          <w:i/>
          <w:lang w:val="en-US"/>
        </w:rPr>
        <w:fldChar w:fldCharType="end"/>
      </w:r>
      <w:r w:rsidR="00131F53" w:rsidRPr="009D7554">
        <w:rPr>
          <w:rFonts w:ascii="Book Antiqua" w:hAnsi="Book Antiqua"/>
          <w:lang w:val="en-US"/>
        </w:rPr>
        <w:t xml:space="preserve"> demonstrated that </w:t>
      </w:r>
      <w:r w:rsidR="00C25A2F" w:rsidRPr="009D7554">
        <w:rPr>
          <w:rFonts w:ascii="Book Antiqua" w:hAnsi="Book Antiqua"/>
          <w:lang w:val="en-US"/>
        </w:rPr>
        <w:t xml:space="preserve">decreased </w:t>
      </w:r>
      <w:r w:rsidR="00131F53" w:rsidRPr="009D7554">
        <w:rPr>
          <w:rFonts w:ascii="Book Antiqua" w:hAnsi="Book Antiqua"/>
          <w:lang w:val="en-US"/>
        </w:rPr>
        <w:t xml:space="preserve">skewness values, obtained from two-dimensional ROIs </w:t>
      </w:r>
      <w:r w:rsidR="00C25A2F" w:rsidRPr="009D7554">
        <w:rPr>
          <w:rFonts w:ascii="Book Antiqua" w:hAnsi="Book Antiqua"/>
          <w:lang w:val="en-US"/>
        </w:rPr>
        <w:t>used to annotate</w:t>
      </w:r>
      <w:r w:rsidR="00131F53" w:rsidRPr="009D7554">
        <w:rPr>
          <w:rFonts w:ascii="Book Antiqua" w:hAnsi="Book Antiqua"/>
          <w:lang w:val="en-US"/>
        </w:rPr>
        <w:t xml:space="preserve"> liver metastases on CT portal-</w:t>
      </w:r>
      <w:r w:rsidR="001F0F25" w:rsidRPr="009D7554">
        <w:rPr>
          <w:rFonts w:ascii="Book Antiqua" w:hAnsi="Book Antiqua"/>
          <w:lang w:val="en-US"/>
        </w:rPr>
        <w:t>phase</w:t>
      </w:r>
      <w:r w:rsidR="00131F53" w:rsidRPr="009D7554">
        <w:rPr>
          <w:rFonts w:ascii="Book Antiqua" w:hAnsi="Book Antiqua"/>
          <w:lang w:val="en-US"/>
        </w:rPr>
        <w:t xml:space="preserve"> images, were predictive of response</w:t>
      </w:r>
      <w:r w:rsidR="00C25A2F" w:rsidRPr="009D7554">
        <w:rPr>
          <w:rFonts w:ascii="Book Antiqua" w:hAnsi="Book Antiqua"/>
          <w:lang w:val="en-US"/>
        </w:rPr>
        <w:t>s</w:t>
      </w:r>
      <w:r w:rsidR="00131F53" w:rsidRPr="009D7554">
        <w:rPr>
          <w:rFonts w:ascii="Book Antiqua" w:hAnsi="Book Antiqua"/>
          <w:lang w:val="en-US"/>
        </w:rPr>
        <w:t xml:space="preserve"> to chemotherapy (AUC = 0.797).</w:t>
      </w:r>
    </w:p>
    <w:p w:rsidR="009515E9" w:rsidRPr="009D7554" w:rsidRDefault="009515E9" w:rsidP="006A253E">
      <w:pPr>
        <w:widowControl w:val="0"/>
        <w:autoSpaceDE w:val="0"/>
        <w:autoSpaceDN w:val="0"/>
        <w:adjustRightInd w:val="0"/>
        <w:snapToGrid w:val="0"/>
        <w:spacing w:line="360" w:lineRule="auto"/>
        <w:jc w:val="both"/>
        <w:rPr>
          <w:rFonts w:ascii="Book Antiqua" w:hAnsi="Book Antiqua"/>
          <w:bCs/>
          <w:i/>
          <w:iCs/>
          <w:lang w:val="en-US"/>
        </w:rPr>
      </w:pPr>
    </w:p>
    <w:p w:rsidR="009515E9" w:rsidRPr="009D7554" w:rsidRDefault="009515E9" w:rsidP="006A253E">
      <w:pPr>
        <w:widowControl w:val="0"/>
        <w:autoSpaceDE w:val="0"/>
        <w:autoSpaceDN w:val="0"/>
        <w:adjustRightInd w:val="0"/>
        <w:snapToGrid w:val="0"/>
        <w:spacing w:line="360" w:lineRule="auto"/>
        <w:jc w:val="both"/>
        <w:rPr>
          <w:rFonts w:ascii="Book Antiqua" w:hAnsi="Book Antiqua"/>
          <w:b/>
        </w:rPr>
      </w:pPr>
      <w:r w:rsidRPr="009D7554">
        <w:rPr>
          <w:rFonts w:ascii="Book Antiqua" w:hAnsi="Book Antiqua"/>
          <w:b/>
        </w:rPr>
        <w:t>Prognosis</w:t>
      </w:r>
      <w:r w:rsidR="0048348C" w:rsidRPr="009D7554">
        <w:rPr>
          <w:rFonts w:ascii="Book Antiqua" w:eastAsia="等线" w:hAnsi="Book Antiqua" w:hint="eastAsia"/>
          <w:b/>
          <w:lang w:eastAsia="zh-CN"/>
        </w:rPr>
        <w:t>:</w:t>
      </w:r>
      <w:r w:rsidR="0048348C" w:rsidRPr="009D7554">
        <w:rPr>
          <w:rFonts w:ascii="Book Antiqua" w:eastAsia="等线" w:hAnsi="Book Antiqua"/>
          <w:b/>
          <w:lang w:eastAsia="zh-CN"/>
        </w:rPr>
        <w:t xml:space="preserve"> </w:t>
      </w:r>
      <w:r w:rsidR="00DF5047" w:rsidRPr="009D7554">
        <w:rPr>
          <w:rFonts w:ascii="Book Antiqua" w:hAnsi="Book Antiqua"/>
          <w:bCs/>
        </w:rPr>
        <w:t xml:space="preserve">Ng </w:t>
      </w:r>
      <w:r w:rsidRPr="009D7554">
        <w:rPr>
          <w:rFonts w:ascii="Book Antiqua" w:hAnsi="Book Antiqua"/>
          <w:i/>
        </w:rPr>
        <w:t>et al</w:t>
      </w:r>
      <w:r w:rsidR="00A75298" w:rsidRPr="009D7554">
        <w:rPr>
          <w:rFonts w:ascii="Book Antiqua" w:hAnsi="Book Antiqua"/>
          <w:i/>
          <w:lang w:val="en-US"/>
        </w:rPr>
        <w:fldChar w:fldCharType="begin" w:fldLock="1"/>
      </w:r>
      <w:r w:rsidR="004308B4" w:rsidRPr="009D7554">
        <w:rPr>
          <w:rFonts w:ascii="Book Antiqua" w:hAnsi="Book Antiqua"/>
          <w:i/>
        </w:rPr>
        <w:instrText>ADDIN CSL_CITATION {"citationItems":[{"id":"ITEM-1","itemData":{"DOI":"10.1148/radiol.12120254","ISSN":"1527-1315","PMID":"23151829","abstract":"PURPOSE To determine if computed tomographic (CT) texture features of primary colorectal cancer are related to 5-year overall survival rate. MATERIALS AND METHODS Institutional review board waiver was obtained for this retrospective analysis. Texture features of the entire primary tumor were assessed with contrast material-enhanced staging CT studies obtained in 57 patients as part of an ethically approved study and by using proprietary software. Entropy, uniformity, kurtosis, skewness, and standard deviation of the pixel distribution histogram were derived from CT images without filtration and with filter values corresponding to fine (1.0), medium (1.5, 2.0), and coarse (2.5) textures. Patients were followed up until death and were censored at 5 years if they were still alive. Kaplan-Meier analysis was performed to determine the relationship, if any, between CT texture and 5-year overall survival rate. The Cox proportional hazards model was used to assess independence of texture parameters from stage. RESULTS Follow-up data were available for 55 of 57 patients. There were eight stage I, 19 stage II, 17 stage III, and 11 stage IV cancers. Fine-texture feature Kaplan-Meier survival plots for entropy, uniformity, kurtosis, skewness, and standard deviation of the pixel distribution histogram were significantly different for tumors above and below each respective threshold receiver operating characteristic (ROC) curve optimal cutoff value (P = .001, P = .018, P = .032, P = .008, and P = .001, respectively), with poorer prognosis for ROC optimal values (a) less than 7.89 for entropy, (b) at least 0.01 for uniformity, (c) less than 2.48 for kurtosis, (d) at least -0.38 for skewness, and (e) less than 61.83 for standard deviation. Multivariate Cox proportional hazards regression analysis showed that each parameter was independent from the stage predictor of overall survival rate (P = .001, P = .009, P = .006, P = .02, and P = .001, respectively). CONCLUSION Fine-texture features are associated with poorer 5-year overall survival rate in patients with primary colorectal cancer. SUPPLEMENTAL MATERIAL http://radiology.rsna.org/lookup/suppl/doi:10.1148/radiol.12120254/-/DC1.","author":[{"dropping-particle":"","family":"Ng","given":"Francesca","non-dropping-particle":"","parse-names":false,"suffix":""},{"dropping-particle":"","family":"Ganeshan","given":"Balaji","non-dropping-particle":"","parse-names":false,"suffix":""},{"dropping-particle":"","family":"Kozarski","given":"Robert","non-dropping-particle":"","parse-names":false,"suffix":""},{"dropping-particle":"","family":"Miles","given":"Kenneth A","non-dropping-particle":"","parse-names":false,"suffix":""},{"dropping-particle":"","family":"Goh","given":"Vicky","non-dropping-particle":"","parse-names":false,"suffix":""}],"container-title":"Radiology","id":"ITEM-1","issue":"1","issued":{"date-parts":[["2013","1"]]},"page":"177-84","title":"Assessment of primary colorectal cancer heterogeneity by using whole-tumor texture analysis: contrast-enhanced CT texture as a biomarker of 5-year survival.","type":"article-journal","volume":"266"},"uris":["http://www.mendeley.com/documents/?uuid=df556e1b-ad40-4b87-8766-2b27a85a843b"]}],"mendeley":{"formattedCitation":"&lt;sup&gt;[143]&lt;/sup&gt;","plainTextFormattedCitation":"[143]","previouslyFormattedCitation":"&lt;sup&gt;[143]&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rPr>
        <w:t>[143]</w:t>
      </w:r>
      <w:r w:rsidR="00A75298" w:rsidRPr="009D7554">
        <w:rPr>
          <w:rFonts w:ascii="Book Antiqua" w:hAnsi="Book Antiqua"/>
          <w:i/>
          <w:lang w:val="en-US"/>
        </w:rPr>
        <w:fldChar w:fldCharType="end"/>
      </w:r>
      <w:r w:rsidR="00472F64" w:rsidRPr="009D7554">
        <w:rPr>
          <w:rFonts w:ascii="Book Antiqua" w:hAnsi="Book Antiqua"/>
          <w:i/>
        </w:rPr>
        <w:t xml:space="preserve"> </w:t>
      </w:r>
      <w:r w:rsidR="00C25A2F" w:rsidRPr="009D7554">
        <w:rPr>
          <w:rFonts w:ascii="Book Antiqua" w:hAnsi="Book Antiqua"/>
          <w:iCs/>
        </w:rPr>
        <w:t xml:space="preserve">showed a </w:t>
      </w:r>
      <w:r w:rsidR="00C25A2F" w:rsidRPr="009D7554">
        <w:rPr>
          <w:rFonts w:ascii="Book Antiqua" w:hAnsi="Book Antiqua"/>
        </w:rPr>
        <w:t xml:space="preserve">correlation between </w:t>
      </w:r>
      <w:r w:rsidRPr="009D7554">
        <w:rPr>
          <w:rFonts w:ascii="Book Antiqua" w:hAnsi="Book Antiqua"/>
        </w:rPr>
        <w:t xml:space="preserve">the entire primary CRC heterogeneity </w:t>
      </w:r>
      <w:r w:rsidR="00C25A2F" w:rsidRPr="009D7554">
        <w:rPr>
          <w:rFonts w:ascii="Book Antiqua" w:hAnsi="Book Antiqua"/>
        </w:rPr>
        <w:t xml:space="preserve">according to </w:t>
      </w:r>
      <w:r w:rsidRPr="009D7554">
        <w:rPr>
          <w:rFonts w:ascii="Book Antiqua" w:hAnsi="Book Antiqua"/>
        </w:rPr>
        <w:t xml:space="preserve">portal venous CT images with </w:t>
      </w:r>
      <w:r w:rsidR="00C25A2F" w:rsidRPr="009D7554">
        <w:rPr>
          <w:rFonts w:ascii="Book Antiqua" w:hAnsi="Book Antiqua"/>
        </w:rPr>
        <w:t>the</w:t>
      </w:r>
      <w:r w:rsidR="001F0F25" w:rsidRPr="009D7554">
        <w:rPr>
          <w:rFonts w:ascii="Book Antiqua" w:hAnsi="Book Antiqua"/>
        </w:rPr>
        <w:t xml:space="preserve"> </w:t>
      </w:r>
      <w:r w:rsidRPr="009D7554">
        <w:rPr>
          <w:rFonts w:ascii="Book Antiqua" w:hAnsi="Book Antiqua"/>
        </w:rPr>
        <w:t xml:space="preserve">5-year OS rate. </w:t>
      </w:r>
      <w:r w:rsidRPr="009D7554">
        <w:rPr>
          <w:rFonts w:ascii="Book Antiqua" w:hAnsi="Book Antiqua"/>
          <w:lang w:val="en-US"/>
        </w:rPr>
        <w:t xml:space="preserve">CRC with </w:t>
      </w:r>
      <w:r w:rsidR="00C25A2F" w:rsidRPr="009D7554">
        <w:rPr>
          <w:rFonts w:ascii="Book Antiqua" w:hAnsi="Book Antiqua"/>
          <w:lang w:val="en-US"/>
        </w:rPr>
        <w:t xml:space="preserve">decreased </w:t>
      </w:r>
      <w:r w:rsidRPr="009D7554">
        <w:rPr>
          <w:rFonts w:ascii="Book Antiqua" w:hAnsi="Book Antiqua"/>
          <w:lang w:val="en-US"/>
        </w:rPr>
        <w:t>heterogeneity (</w:t>
      </w:r>
      <w:r w:rsidR="00C25A2F" w:rsidRPr="009D7554">
        <w:rPr>
          <w:rFonts w:ascii="Book Antiqua" w:hAnsi="Book Antiqua"/>
          <w:lang w:val="en-US"/>
        </w:rPr>
        <w:t xml:space="preserve">decreased </w:t>
      </w:r>
      <w:r w:rsidRPr="009D7554">
        <w:rPr>
          <w:rFonts w:ascii="Book Antiqua" w:hAnsi="Book Antiqua"/>
          <w:lang w:val="en-US"/>
        </w:rPr>
        <w:t xml:space="preserve">entropy, kurtosis and standard deviation of pixel distribution; </w:t>
      </w:r>
      <w:r w:rsidR="00C25A2F" w:rsidRPr="009D7554">
        <w:rPr>
          <w:rFonts w:ascii="Book Antiqua" w:hAnsi="Book Antiqua"/>
          <w:lang w:val="en-US"/>
        </w:rPr>
        <w:t xml:space="preserve">increased </w:t>
      </w:r>
      <w:r w:rsidRPr="009D7554">
        <w:rPr>
          <w:rFonts w:ascii="Book Antiqua" w:hAnsi="Book Antiqua"/>
          <w:lang w:val="en-US"/>
        </w:rPr>
        <w:t xml:space="preserve">uniformity and skewness) </w:t>
      </w:r>
      <w:r w:rsidR="00C25A2F" w:rsidRPr="009D7554">
        <w:rPr>
          <w:rFonts w:ascii="Book Antiqua" w:hAnsi="Book Antiqua"/>
          <w:lang w:val="en-US"/>
        </w:rPr>
        <w:t xml:space="preserve">was </w:t>
      </w:r>
      <w:r w:rsidRPr="009D7554">
        <w:rPr>
          <w:rFonts w:ascii="Book Antiqua" w:hAnsi="Book Antiqua"/>
          <w:lang w:val="en-US"/>
        </w:rPr>
        <w:t xml:space="preserve">associated with a </w:t>
      </w:r>
      <w:r w:rsidR="00C25A2F" w:rsidRPr="009D7554">
        <w:rPr>
          <w:rFonts w:ascii="Book Antiqua" w:hAnsi="Book Antiqua"/>
          <w:lang w:val="en-US"/>
        </w:rPr>
        <w:t xml:space="preserve">decreased </w:t>
      </w:r>
      <w:r w:rsidRPr="009D7554">
        <w:rPr>
          <w:rFonts w:ascii="Book Antiqua" w:hAnsi="Book Antiqua"/>
          <w:lang w:val="en-US"/>
        </w:rPr>
        <w:t>5-year OS.</w:t>
      </w:r>
    </w:p>
    <w:p w:rsidR="009515E9" w:rsidRPr="009D7554" w:rsidRDefault="00472F64" w:rsidP="00EF1418">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bCs/>
          <w:lang w:val="en-US"/>
        </w:rPr>
        <w:t xml:space="preserve">Miles </w:t>
      </w:r>
      <w:r w:rsidR="009515E9"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{"citationItems":[{"id":"ITEM-1","itemData":{"DOI":"10.1148/radiol.2502071879","ISSN":"1527-1315","PMID":"19164695","abstract":"PURPOSE To assess the utility of texture analysis of liver computed tomographic (CT) images by determining the effect of acquisition parameters on texture and by comparing the abilities of texture analysis and hepatic perfusion CT to help predict survival for patients with colorectal cancer. MATERIALS AND METHODS The study comprised a phantom test and a clinical evaluation of 48 patients with colorectal cancer who had consented to retrospective analysis of hepatic perfusion CT data acquired during a research study approved by the institutional review board. Both components involved texture analysis to quantify the relative contribution of CT features between 2 and 12 pixels wide to overall image brightness and uniformity. The effect of acquisition factors on texture was assessed on CT images of a cylindric phantom filled with water obtained by using tube currents between 100 and 250 mAs and voltages between 80 and 140 kVp. Texture on apparently normal portal phase CT images of the liver and hepatic perfusion parameters were related to patient survival by using Kaplan-Meier survival analysis. RESULTS A texture parameter that compared the uniformity of distribution of CT image features 10 and 12 pixels wide exhibited the least variability with CT acquisition parameters (maximum coefficient of variation, 2.6%) and was the best predictor of patient survival (P &lt; .005). There was no significant association between survival and hepatic perfusion parameters. CONCLUSION The study provides preliminary evidence that analysis of liver texture on portal phase CT images is potentially a superior predictor of survival for patients with colorectal cancer than CT perfusion imaging. SUPPLEMENTAL MATERIAL http://radiology.rsnajnls.org/cgi/content/full/2502071879/DC1.","author":[{"dropping-particle":"","family":"Miles","given":"Kenneth A","non-dropping-particle":"","parse-names":false,"suffix":""},{"dropping-particle":"","family":"Ganeshan","given":"Balaji","non-dropping-particle":"","parse-names":false,"suffix":""},{"dropping-particle":"","family":"Griffiths","given":"Matthew R","non-dropping-particle":"","parse-names":false,"suffix":""},{"dropping-particle":"","family":"Young","given":"Rupert C D","non-dropping-particle":"","parse-names":false,"suffix":""},{"dropping-particle":"","family":"Chatwin","given":"Christopher R","non-dropping-particle":"","parse-names":false,"suffix":""}],"container-title":"Radiology","id":"ITEM-1","issue":"2","issued":{"date-parts":[["2009","2"]]},"page":"444-52","title":"Colorectal cancer: texture analysis of portal phase hepatic CT images as a potential marker of survival.","type":"article-journal","volume":"250"},"uris":["http://www.mendeley.com/documents/?uuid=362430ea-7e41-4316-bc1a-f9db78cf3e25"]}],"mendeley":{"formattedCitation":"&lt;sup&gt;[144]&lt;/sup&gt;","plainTextFormattedCitation":"[144]","previouslyFormattedCitation":"&lt;sup&gt;[144]&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[144]</w:t>
      </w:r>
      <w:r w:rsidR="00A75298" w:rsidRPr="009D7554">
        <w:rPr>
          <w:rFonts w:ascii="Book Antiqua" w:hAnsi="Book Antiqua"/>
          <w:i/>
          <w:lang w:val="en-US"/>
        </w:rPr>
        <w:fldChar w:fldCharType="end"/>
      </w:r>
      <w:r w:rsidRPr="009D7554">
        <w:rPr>
          <w:rFonts w:ascii="Book Antiqua" w:hAnsi="Book Antiqua"/>
          <w:i/>
          <w:lang w:val="en-US"/>
        </w:rPr>
        <w:t xml:space="preserve"> </w:t>
      </w:r>
      <w:r w:rsidRPr="009D7554">
        <w:rPr>
          <w:rFonts w:ascii="Book Antiqua" w:hAnsi="Book Antiqua"/>
          <w:bCs/>
          <w:lang w:val="en-US"/>
        </w:rPr>
        <w:t xml:space="preserve">assessed the ability of </w:t>
      </w:r>
      <w:r w:rsidR="00C25A2F" w:rsidRPr="009D7554">
        <w:rPr>
          <w:rFonts w:ascii="Book Antiqua" w:hAnsi="Book Antiqua"/>
          <w:bCs/>
          <w:lang w:val="en-US"/>
        </w:rPr>
        <w:t xml:space="preserve">the </w:t>
      </w:r>
      <w:r w:rsidRPr="009D7554">
        <w:rPr>
          <w:rFonts w:ascii="Book Antiqua" w:hAnsi="Book Antiqua"/>
          <w:bCs/>
          <w:lang w:val="en-US"/>
        </w:rPr>
        <w:t xml:space="preserve">TA of hepatic portal phase CT images to predict survival </w:t>
      </w:r>
      <w:r w:rsidR="00C25A2F" w:rsidRPr="009D7554">
        <w:rPr>
          <w:rFonts w:ascii="Book Antiqua" w:hAnsi="Book Antiqua"/>
          <w:bCs/>
          <w:lang w:val="en-US"/>
        </w:rPr>
        <w:t xml:space="preserve">in </w:t>
      </w:r>
      <w:r w:rsidRPr="009D7554">
        <w:rPr>
          <w:rFonts w:ascii="Book Antiqua" w:hAnsi="Book Antiqua"/>
          <w:bCs/>
          <w:lang w:val="en-US"/>
        </w:rPr>
        <w:t xml:space="preserve">patients with CRC subject to surveillance for at least 24 months after tumor resection. Kaplan-Meier curves showed that </w:t>
      </w:r>
      <w:r w:rsidR="00C25A2F" w:rsidRPr="009D7554">
        <w:rPr>
          <w:rFonts w:ascii="Book Antiqua" w:hAnsi="Book Antiqua"/>
          <w:bCs/>
          <w:lang w:val="en-US"/>
        </w:rPr>
        <w:t xml:space="preserve">increased </w:t>
      </w:r>
      <w:r w:rsidRPr="009D7554">
        <w:rPr>
          <w:rFonts w:ascii="Book Antiqua" w:hAnsi="Book Antiqua"/>
          <w:bCs/>
          <w:lang w:val="en-US"/>
        </w:rPr>
        <w:t xml:space="preserve">uniformity was a significant predictor of survival. Finally, Lovinfosse </w:t>
      </w:r>
      <w:r w:rsidR="009515E9"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{"citationItems":[{"id":"ITEM-1","itemData":{"DOI":"10.1007/s00259-017-3855-5","ISSN":"1619-7089","PMID":"29046927","abstract":"PURPOSE The aim of this study was to investigate the prognostic value of baseline 18F-FDG PET/CT textural analysis in locally-advanced rectal cancer (LARC). METHODS Eighty-six patients with LARC underwent 18F-FDG PET/CT before treatment. Maximum and mean standard uptake values (SUVmax and SUVmean), metabolic tumoral volume (MTV), total lesion glycolysis (TLG), histogram-intensity features, as well as 11 local and regional textural features, were evaluated. The relationships of clinical, pathological and PET-derived metabolic parameters with disease-specific survival (DSS), disease-free survival (DFS) and overall survival (OS) were assessed by Cox regression analysis. Logistic regression was used to predict the pathological response by the Dworak tumor regression grade (TRG) in the 66 patients treated with neoadjuvant chemoradiotherapy (nCRT). RESULTS The median follow-up of patients was 41 months. Seventeen patients (19.7%) had recurrent disease and 18 (20.9 %) died, either due to cancer progression (n = 10) or from another cause while in complete remission (n = 8). DSS was 95% at 1 year, 93% at 2 years and 87% at 4 years. Weight loss, surgery and the texture parameter coarseness were significantly associated with DSS in multivariate analyses. DFS was 94 % at 1 year, 86 % at 2 years and 79 % at 4 years. From a multivariate standpoint, tumoral differentiation and the texture parameters homogeneity and coarseness were significantly associated with DFS. OS was 93% at 1 year, 87% at 2 years and 79% after 4 years. cT, surgery, SUVmean, dissimilarity and contrast from the neighborhood intensity-difference matrix (contrastNGTDM) were significantly and independently associated with OS. Finally, RAS-mutational status (KRAS and NRAS mutations) and TLG were significant predictors of pathological response to nCRT (TRG 3-4). CONCLUSION Textural analysis of baseline 18F-FDG PET/CT provides strong independent predictors of survival in patients with LARC, with better predictive power than intensity- and volume-based parameters. The utility of such features, especially coarseness, should be confirmed by larger clinical studies before considering their potential integration into decisional algorithms aimed at personalized medicine.","author":[{"dropping-particle":"","family":"Lovinfosse","given":"Pierre","non-dropping-particle":"","parse-names":false,"suffix":""},{"dropping-particle":"","family":"Polus","given":"Marc","non-dropping-particle":"","parse-names":false,"suffix":""},{"dropping-particle":"","family":"Daele","given":"Daniel","non-dropping-particle":"Van","parse-names":false,"suffix":""},{"dropping-particle":"","family":"Martinive","given":"Philippe","non-dropping-particle":"","parse-names":false,"suffix":""},{"dropping-particle":"","family":"Daenen","given":"Frédéric","non-dropping-particle":"","parse-names":false,"suffix":""},{"dropping-particle":"","family":"Hatt","given":"Mathieu","non-dropping-particle":"","parse-names":false,"suffix":""},{"dropping-particle":"","family":"Visvikis","given":"Dimitris","non-dropping-particle":"","parse-names":false,"suffix":""},{"dropping-particle":"","family":"Koopmansch","given":"Benjamin","non-dropping-particle":"","parse-names":false,"suffix":""},{"dropping-particle":"","family":"Lambert","given":"Frédéric","non-dropping-particle":"","parse-names":false,"suffix":""},{"dropping-particle":"","family":"Coimbra","given":"Carla","non-dropping-particle":"","parse-names":false,"suffix":""},{"dropping-particle":"","family":"Seidel","given":"Laurence","non-dropping-particle":"","parse-names":false,"suffix":""},{"dropping-particle":"","family":"Albert","given":"Adelin","non-dropping-particle":"","parse-names":false,"suffix":""},{"dropping-particle":"","family":"Delvenne","given":"Philippe","non-dropping-particle":"","parse-names":false,"suffix":""},{"dropping-particle":"","family":"Hustinx","given":"Roland","non-dropping-particle":"","parse-names":false,"suffix":""}],"container-title":"European journal of nuclear medicine and molecular imaging","id":"ITEM-1","issue":"3","issued":{"date-parts":[["2018"]]},"page":"365-375","title":"FDG PET/CT radiomics for predicting the outcome of locally advanced rectal cancer.","type":"article-journal","volume":"45"},"uris":["http://www.mendeley.com/documents/?uuid=de4f35c7-5fb3-4e8d-a092-d15cea72fb89"]}],"mendeley":{"formattedCitation":"&lt;sup&gt;[145]&lt;/sup&gt;","plainTextFormattedCitation":"[145]","previouslyFormattedCitation":"&lt;sup&gt;[145]&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[145]</w:t>
      </w:r>
      <w:r w:rsidR="00A75298" w:rsidRPr="009D7554">
        <w:rPr>
          <w:rFonts w:ascii="Book Antiqua" w:hAnsi="Book Antiqua"/>
          <w:i/>
          <w:lang w:val="en-US"/>
        </w:rPr>
        <w:fldChar w:fldCharType="end"/>
      </w:r>
      <w:r w:rsidR="009515E9" w:rsidRPr="009D7554">
        <w:rPr>
          <w:rFonts w:ascii="Book Antiqua" w:hAnsi="Book Antiqua"/>
          <w:lang w:val="en-US"/>
        </w:rPr>
        <w:t xml:space="preserve"> evaluated the TA of baseline </w:t>
      </w:r>
      <w:r w:rsidR="009515E9" w:rsidRPr="009D7554">
        <w:rPr>
          <w:rFonts w:ascii="Book Antiqua" w:hAnsi="Book Antiqua"/>
          <w:position w:val="10"/>
          <w:sz w:val="16"/>
          <w:szCs w:val="16"/>
          <w:lang w:val="en-US"/>
        </w:rPr>
        <w:t>18</w:t>
      </w:r>
      <w:r w:rsidR="009515E9" w:rsidRPr="009D7554">
        <w:rPr>
          <w:rFonts w:ascii="Book Antiqua" w:hAnsi="Book Antiqua"/>
          <w:lang w:val="en-US"/>
        </w:rPr>
        <w:t xml:space="preserve">FDG-PET/CT in LARC patients and concluded that </w:t>
      </w:r>
      <w:r w:rsidR="00C25A2F" w:rsidRPr="009D7554">
        <w:rPr>
          <w:rFonts w:ascii="Book Antiqua" w:hAnsi="Book Antiqua"/>
          <w:lang w:val="en-US"/>
        </w:rPr>
        <w:t>increased</w:t>
      </w:r>
      <w:r w:rsidR="009515E9" w:rsidRPr="009D7554">
        <w:rPr>
          <w:rFonts w:ascii="Book Antiqua" w:hAnsi="Book Antiqua"/>
          <w:lang w:val="en-US"/>
        </w:rPr>
        <w:t xml:space="preserve"> coarseness values may be indicative of worse outcomes.</w:t>
      </w:r>
    </w:p>
    <w:p w:rsidR="006763B2" w:rsidRPr="009D7554" w:rsidRDefault="006763B2" w:rsidP="006A253E">
      <w:pPr>
        <w:autoSpaceDE w:val="0"/>
        <w:autoSpaceDN w:val="0"/>
        <w:adjustRightInd w:val="0"/>
        <w:snapToGrid w:val="0"/>
        <w:spacing w:line="360" w:lineRule="auto"/>
        <w:jc w:val="both"/>
        <w:rPr>
          <w:rFonts w:ascii="Book Antiqua" w:hAnsi="Book Antiqua"/>
          <w:b/>
          <w:bCs/>
          <w:iCs/>
          <w:lang w:val="en-US"/>
        </w:rPr>
      </w:pPr>
    </w:p>
    <w:p w:rsidR="006763B2" w:rsidRPr="009D7554" w:rsidRDefault="006763B2" w:rsidP="006A253E">
      <w:pPr>
        <w:widowControl w:val="0"/>
        <w:autoSpaceDE w:val="0"/>
        <w:autoSpaceDN w:val="0"/>
        <w:adjustRightInd w:val="0"/>
        <w:snapToGrid w:val="0"/>
        <w:spacing w:line="360" w:lineRule="auto"/>
        <w:jc w:val="both"/>
        <w:rPr>
          <w:rFonts w:ascii="Book Antiqua" w:hAnsi="Book Antiqua"/>
          <w:b/>
          <w:i/>
          <w:iCs/>
          <w:lang w:val="en-US"/>
        </w:rPr>
      </w:pPr>
      <w:r w:rsidRPr="009D7554">
        <w:rPr>
          <w:rFonts w:ascii="Book Antiqua" w:hAnsi="Book Antiqua"/>
          <w:b/>
          <w:i/>
          <w:iCs/>
          <w:lang w:val="en-US"/>
        </w:rPr>
        <w:t>Volumetry</w:t>
      </w:r>
    </w:p>
    <w:p w:rsidR="00DF5047" w:rsidRPr="009D7554" w:rsidRDefault="008D42FC" w:rsidP="006A253E">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lang w:val="en-US"/>
        </w:rPr>
        <w:t>CT, MRI and PET hybrid imaging allow</w:t>
      </w:r>
      <w:r w:rsidR="00C25A2F" w:rsidRPr="009D7554">
        <w:rPr>
          <w:rFonts w:ascii="Book Antiqua" w:hAnsi="Book Antiqua"/>
          <w:lang w:val="en-US"/>
        </w:rPr>
        <w:t xml:space="preserve"> the</w:t>
      </w:r>
      <w:r w:rsidRPr="009D7554">
        <w:rPr>
          <w:rFonts w:ascii="Book Antiqua" w:hAnsi="Book Antiqua"/>
          <w:lang w:val="en-US"/>
        </w:rPr>
        <w:t xml:space="preserve"> “in vivo” calculation of neoplastic volume. RC tumor burden is correlated with disease stage and represents an important prognostic feature in terms of </w:t>
      </w:r>
      <w:r w:rsidR="00C25A2F" w:rsidRPr="009D7554">
        <w:rPr>
          <w:rFonts w:ascii="Book Antiqua" w:hAnsi="Book Antiqua"/>
          <w:lang w:val="en-US"/>
        </w:rPr>
        <w:t xml:space="preserve">the prediction of </w:t>
      </w:r>
      <w:r w:rsidRPr="009D7554">
        <w:rPr>
          <w:rFonts w:ascii="Book Antiqua" w:hAnsi="Book Antiqua"/>
          <w:lang w:val="en-US"/>
        </w:rPr>
        <w:t>treatment</w:t>
      </w:r>
      <w:r w:rsidR="001F0F25" w:rsidRPr="009D7554">
        <w:rPr>
          <w:rFonts w:ascii="Book Antiqua" w:hAnsi="Book Antiqua"/>
          <w:lang w:val="en-US"/>
        </w:rPr>
        <w:t xml:space="preserve"> </w:t>
      </w:r>
      <w:r w:rsidRPr="009D7554">
        <w:rPr>
          <w:rFonts w:ascii="Book Antiqua" w:hAnsi="Book Antiqua"/>
          <w:lang w:val="en-US"/>
        </w:rPr>
        <w:t>response, OS and PFS after CRT</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{"citationItems":[{"id":"ITEM-1","itemData":{"DOI":"10.1016/j.ijrobp.2015.09.008","ISSN":"1879-355X","PMID":"26581139","abstract":"PURPOSE To review the available literature on tumor size/volume measurements on magnetic resonance imaging for response assessment after chemoradiotherapy, and validate these cut-offs in an independent multicenter patient cohort. METHODS AND MATERIALS The study included 2 parts. (1) Review of the literature: articles were included that assessed the accuracy of tumor size/volume measurements on magnetic resonance imaging for tumor response assessment. Size/volume cut-offs were extracted; (2) Multicenter validation: extracted cut-offs from the literature were tested in a multicenter cohort (n=146). Accuracies were calculated and compared with reported results from the literature. RESULTS The review included 14 articles, in which 3 different measurement methods were assessed: (1) tumor length; (2) 3-dimensonial tumor size; and (3) whole volume. Study outcomes consisted of (1) complete response (ypT0) versus residual tumor; (2) tumor regression grade 1 to 2 versus 3 to 5; and (3) T-downstaging (ypT&lt;cT). In the multicenter cohort, best results were obtained for the validation of the whole-volume measurements, in particular for the outcome ypT0 (accuracy 44%-80%), with the optimal cut-offs being 1.6 cm(3) (after chemoradiation therapy) and a volume reduction of Δ80% to 86.6%. Accuracies for whole-volume measurements to assess tumor regression grade 1 to 2 were 52% to 61%, and for T-downstaging 51% to 57%. Overall accuracies for tumor length ranged between 48% and 53% and for 3D size measurement between 52% and 56%. CONCLUSIONS Magnetic resonance volumetry using whole-tumor volume measurements can be helpful in rectal cancer response assessment with selected cut-off values. Measurements of tumor length or 3-dimensional tumor size are not helpful. Magnetic resonance volumetry is mainly accurate to assess a complete tumor response (ypT0) after chemoradiation therapy (accuracies up to 80%).","author":[{"dropping-particle":"","family":"Martens","given":"Milou H","non-dropping-particle":"","parse-names":false,"suffix":""},{"dropping-particle":"","family":"Heeswijk","given":"Miriam M","non-dropping-particle":"van","parse-names":false,"suffix":""},{"dropping-particle":"","family":"Broek","given":"Joris J","non-dropping-particle":"van den","parse-names":false,"suffix":""},{"dropping-particle":"","family":"Rao","given":"Sheng-Xiang","non-dropping-particle":"","parse-names":false,"suffix":""},{"dropping-particle":"","family":"Vandecaveye","given":"Vincent","non-dropping-particle":"","parse-names":false,"suffix":""},{"dropping-particle":"","family":"Vliegen","given":"Roy A","non-dropping-particle":"","parse-names":false,"suffix":""},{"dropping-particle":"","family":"Schreurs","given":"Wilhelmina H","non-dropping-particle":"","parse-names":false,"suffix":""},{"dropping-particle":"","family":"Beets","given":"Geerard L","non-dropping-particle":"","parse-names":false,"suffix":""},{"dropping-particle":"","family":"Lambregts","given":"Doenja M J","non-dropping-particle":"","parse-names":false,"suffix":""},{"dropping-particle":"","family":"Beets-Tan","given":"Regina G H","non-dropping-particle":"","parse-names":false,"suffix":""}],"container-title":"International journal of radiation oncology, biology, physics","id":"ITEM-1","issue":"5","issued":{"date-parts":[["2015","12","1"]]},"page":"1005-14","title":"Prospective, Multicenter Validation Study of Magnetic Resonance Volumetry for Response Assessment After Preoperative Chemoradiation in Rectal Cancer: Can the Results in the Literature be Reproduced?","type":"article-journal","volume":"93"},"uris":["http://www.mendeley.com/documents/?uuid=72b04b89-e407-44d5-8470-4839caa8a2a9"]},{"id":"ITEM-2","itemData":{"DOI":"10.1016/j.ejrad.2015.08.008","ISSN":"1872-7727","PMID":"26462793","abstract":"OBJECTIVE To compare tumor volume reduction rate (TVRR) measured by MR volumetry after preoperative chemoradiotherapy (CRT) and pathological tumor regression grade (TRG) in locally advanced rectal cancer (LARC). MATERIAL AND METHODS In total, 20 patients with LARC (cT3-T4) treated with CRT followed by Total Mesorectal Excision (TME) between April 2011 and April 2013 were analyzed retrospectively. Pre- and post- CRT tumor volumes (MR volumetry) were measured on 3D MR sequences. TVRR was determined using the equation TVRR (%)=(pre-CRT tumor volume-post-CRT tumor volume)×100/pre-CRT tumor volume. The downstaging (defined as ypT0-T2) of tumor mass was evaluated and the correlation between TVRR and TRG was calculated with the method proposed by Dworak using the Spearman rank test. RESULTS The median TVRR was 77.3% (range, 26.4-99.3%); TVRR was &gt;60% in 18 cases (90%) and in 8 of these patients (44.4 %) it was &gt;80%. Downstaging of tumor lesions was obtained in 15 patients (75%). In 4 cases there was a complete tumor regression (TRG4) at histological examination and in the same patients there was also a TVRR&gt;80% measured by MR volumetry. A statistically significant correlation between TVRR and TRG (r(s)=0.5466, p=0.0126) was observed. CONCLUSION TVRR after preoperative CRT correlates with TRG in LARC. The MR volumetry is a prognostic factor to estimate the tumor response after preoperative CRT. TVRR data may be an useful biomarker for tailoring surgery and postoperative adjuvant chemotherapy.","author":[{"dropping-particle":"","family":"Neri","given":"Emanuele","non-dropping-particle":"","parse-names":false,"suffix":""},{"dropping-particle":"","family":"Guidi","given":"Elisa","non-dropping-particle":"","parse-names":false,"suffix":""},{"dropping-particle":"","family":"Pancrazi","given":"Francesca","non-dropping-particle":"","parse-names":false,"suffix":""},{"dropping-particle":"","family":"Castagna","given":"Maura","non-dropping-particle":"","parse-names":false,"suffix":""},{"dropping-particle":"","family":"Castelluccio","given":"Elisa","non-dropping-particle":"","parse-names":false,"suffix":""},{"dropping-particle":"","family":"Balestri","given":"Riccardo","non-dropping-particle":"","parse-names":false,"suffix":""},{"dropping-particle":"","family":"Buccianti","given":"Piero","non-dropping-particle":"","parse-names":false,"suffix":""},{"dropping-particle":"","family":"Masi","given":"Luca","non-dropping-particle":"","parse-names":false,"suffix":""},{"dropping-particle":"","family":"Falcone","given":"Alfredo","non-dropping-particle":"","parse-names":false,"suffix":""},{"dropping-particle":"","family":"Manfredi","given":"Bruno","non-dropping-particle":"","parse-names":false,"suffix":""},{"dropping-particle":"","family":"Faggioni","given":"Lorenzo","non-dropping-particle":"","parse-names":false,"suffix":""},{"dropping-particle":"","family":"Bartolozzi","given":"Carlo","non-dropping-particle":"","parse-names":false,"suffix":""}],"container-title":"European journal of radiology","id":"ITEM-2","issue":"12","issued":{"date-parts":[["2015","12"]]},"page":"2438-43","title":"MRI tumor volume reduction rate vs tumor regression grade in the pre-operative re-staging of locally advanced rectal cancer after chemo-radiotherapy.","type":"article-journal","volume":"84"},"uris":["http://www.mendeley.com/documents/?uuid=33885580-218f-4cd9-b7f6-2875d324128e"]},{"id":"ITEM-3","itemData":{"DOI":"10.1007/s00595-018-1690-3","ISSN":"0941-1291","PMID":"29961173","author":[{"dropping-particle":"","family":"Atasoy","given":"Gulsen","non-dropping-particle":"","parse-names":false,"suffix":""},{"dropping-particle":"","family":"Arslan","given":"Naciye Cigdem","non-dropping-particle":"","parse-names":false,"suffix":""},{"dropping-particle":"","family":"Elibol","given":"Funda Dinc","non-dropping-particle":"","parse-names":false,"suffix":""},{"dropping-particle":"","family":"Sagol","given":"Ozgul","non-dropping-particle":"","parse-names":false,"suffix":""},{"dropping-particle":"","family":"Obuz","given":"Funda","non-dropping-particle":"","parse-names":false,"suffix":""},{"dropping-particle":"","family":"Sokmen","given":"Selman","non-dropping-particle":"","parse-names":false,"suffix":""}],"container-title":"Surgery Today","id":"ITEM-3","issue":"12","issued":{"date-parts":[["2018","12","30"]]},"page":"1040-1051","title":"Magnetic resonance-based pelvimetry and tumor volumetry can predict surgical difficulty and oncologic outcome in locally advanced mid–low rectal cancer","type":"article-journal","volume":"48"},"uris":["http://www.mendeley.com/documents/?uuid=429cce8d-cbbd-463c-9773-e1b8f87b5f41"]},{"id":"ITEM-4","itemData":{"DOI":"10.1097/DCR.0000000000000959","ISSN":"1530-0358","PMID":"29360680","abstract":"BACKGROUND Neoadjuvant chemoradiotherapy followed by an optimal surgery is the standard treatment for patients with locally advanced rectal cancer. FDG-PET/CT is commonly used as the modality for assessing the effect of chemoradiotherapy. OBJECTIVE The purpose of this study was to investigate whether PET/CT-based volumetry could contribute to the prediction of pathological complete response or prognosis after neoadjuvant chemoradiotherapy. DESIGN This was a retrospective cohort study. SETTINGS This study was conducted at a single research center. PATIENTS Ninety-one consecutive patients with locally advanced rectal cancer were enrolled between January 2005 and December 2015. INTERVENTION Patients underwent PET/CT before and after neoadjuvant chemoradiotherapy. MAIN OUTCOME MEASURES Maximum standardized uptake value and total lesion glycolysis on PET/CT before and after neoadjuvant chemoradiotherapy were calculated using isocontour methods. Correlations between these variables and clinicopathological factors and prognosis were assessed. RESULTS PET/CT-associated variables before chemoradiotherapy were not correlated with either clinicopathological factors or prognosis. Maximum standardized uptake value was associated with pathological complete response, but total lesion glycolysis was not. Maximum standardized uptake value correlated with ypT, whereas total lesion glycolysis correlated with both ypT and ypN. High total lesion glycolysis was associated with a considerably poorer prognosis; the 5-year recurrence rate was 65% and the 5-year mortality rate 42%, whereas in lesions with low total lesion glycolysis, these were 6% and 2%. On multivariate analysis, high total lesion glycolysis was an independent risk factor for recurrence (HR = 4.718; p = 0.04). LIMITATIONS The gain in fluoro-2-deoxy-D-glucose uptake may differ between scanners, thus the general applicability of this threshold should be validated. CONCLUSIONS In patients with locally advanced rectal cancer, high total lesion glycolysis after neoadjuvant chemoradiotherapy is strongly associated with a worse prognosis. Total lesion glycolysis after chemoradiotherapy may be a promising preoperative predictor of recurrence and death. See Video Abstract at http://links.lww.com/DCR/A464.","author":[{"dropping-particle":"","family":"Okuno","given":"Takayuki","non-dropping-particle":"","parse-names":false,"suffix":""},{"dropping-particle":"","family":"Kawai","given":"Kazushige","non-dropping-particle":"","parse-names":false,"suffix":""},{"dropping-particle":"","family":"Koyama","given":"Keitaro","non-dropping-particle":"","parse-names":false,"suffix":""},{"dropping-particle":"","family":"Takahashi","given":"Miwako","non-dropping-particle":"","parse-names":false,"suffix":""},{"dropping-particle":"","family":"Ishihara","given":"Soichiro","non-dropping-particle":"","parse-names":false,"suffix":""},{"dropping-particle":"","family":"Momose","given":"Toshimitsu","non-dropping-particle":"","parse-names":false,"suffix":""},{"dropping-particle":"","family":"Morikawa","given":"Teppei","non-dropping-particle":"","parse-names":false,"suffix":""},{"dropping-particle":"","family":"Fukayama","given":"Masashi","non-dropping-particle":"","parse-names":false,"suffix":""},{"dropping-particle":"","family":"Watanabe","given":"Toshiaki","non-dropping-particle":"","parse-names":false,"suffix":""}],"container-title":"Diseases of the colon and rectum","id":"ITEM-4","issue":"3","issued":{"date-parts":[["2018","3"]]},"page":"320-327","title":"Value of FDG-PET/CT Volumetry After Chemoradiotherapy in Rectal Cancer.","type":"article-journal","volume":"61"},"uris":["http://www.mendeley.com/documents/?uuid=e99308cd-9308-43c8-aa00-510e5a36f4ee"]}],"mendeley":{"formattedCitation":"&lt;sup&gt;[146–149]&lt;/sup&gt;","plainTextFormattedCitation":"[146–149]","previouslyFormattedCitation":"&lt;sup&gt;[146–149]&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[146–149]</w:t>
      </w:r>
      <w:r w:rsidR="00A75298" w:rsidRPr="009D7554">
        <w:rPr>
          <w:rFonts w:ascii="Book Antiqua" w:hAnsi="Book Antiqua"/>
          <w:lang w:val="en-US"/>
        </w:rPr>
        <w:fldChar w:fldCharType="end"/>
      </w:r>
      <w:r w:rsidRPr="009D7554">
        <w:rPr>
          <w:rFonts w:ascii="Book Antiqua" w:hAnsi="Book Antiqua"/>
          <w:lang w:val="en-US"/>
        </w:rPr>
        <w:t>. The tumor volume reduction rate has been reported to be superior to RECIST criteria for the prediction of the pathologic</w:t>
      </w:r>
      <w:r w:rsidR="00C25A2F" w:rsidRPr="009D7554">
        <w:rPr>
          <w:rFonts w:ascii="Book Antiqua" w:hAnsi="Book Antiqua"/>
          <w:lang w:val="en-US"/>
        </w:rPr>
        <w:t>al</w:t>
      </w:r>
      <w:r w:rsidRPr="009D7554">
        <w:rPr>
          <w:rFonts w:ascii="Book Antiqua" w:hAnsi="Book Antiqua"/>
          <w:lang w:val="en-US"/>
        </w:rPr>
        <w:t xml:space="preserve"> response</w:t>
      </w:r>
      <w:r w:rsidR="00C25A2F" w:rsidRPr="009D7554">
        <w:rPr>
          <w:rFonts w:ascii="Book Antiqua" w:hAnsi="Book Antiqua"/>
          <w:lang w:val="en-US"/>
        </w:rPr>
        <w:t>s</w:t>
      </w:r>
      <w:r w:rsidRPr="009D7554">
        <w:rPr>
          <w:rFonts w:ascii="Book Antiqua" w:hAnsi="Book Antiqua"/>
          <w:lang w:val="en-US"/>
        </w:rPr>
        <w:t xml:space="preserve"> of RC to neoadjuvant CRT</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{"citationItems":[{"id":"ITEM-1","itemData":{"DOI":"10.1016/j.ejrad.2012.04.038","ISSN":"1872-7727","PMID":"22902408","abstract":"OBJECTIVES The aim of this study was to compare volume measurements on computed tomography (CT) images with histopathological assessments of chemoradiotherapy (CRT)-induced tumor regression in locally advanced rectal cancer (RC). METHODS In 25 patients (13 males, 12 females; median age, 63 years; age range, 44-79 years) with locally advanced RC treated with preoperative CRT and surgery, two radiologists measured tumor volume on CT images before and after CRT. CT-based tumor volumetry and the modified response evaluation criteria in solid tumors (mRECISTs) were compared with T and N downstaging after CRT, and with the tumor regression grade (TRG). RESULTS Tumor volumes were significantly smaller on CT images after CRT. The tumors regressed in 52% (13/25), 36% (9/25) and 40% (10/25) of patients, based on T downstaging, TRG and mRECIST findings, respectively. In terms of T downstaging, the pre- and post-CRT tumor volumes of responders and non-responders to the treatment differed statistically, while their tumor volume reduction rates and volume reductions according to the 65% mRECIST threshold did not. In terms of N downstaging and TRG, the differences between the responders' and the non-responders' pre- and post-CRT tumor volumes, tumor volume reduction rates, and mRECIST thresholds were never statistically significant. CONCLUSION Measuring tumor size on CT images is of limited value in predicting the histopathological response to preoperative CRT in RC patients, so it may be unwise to select surgical treatment strategies based on CT volumetry.","author":[{"dropping-particle":"","family":"Pomerri","given":"Fabio","non-dropping-particle":"","parse-names":false,"suffix":""},{"dropping-particle":"","family":"Pucciarelli","given":"Salvatore","non-dropping-particle":"","parse-names":false,"suffix":""},{"dropping-particle":"","family":"Gennaro","given":"Gisella","non-dropping-particle":"","parse-names":false,"suffix":""},{"dropping-particle":"","family":"Maretto","given":"Isacco","non-dropping-particle":"","parse-names":false,"suffix":""},{"dropping-particle":"","family":"Nitti","given":"Donato","non-dropping-particle":"","parse-names":false,"suffix":""},{"dropping-particle":"","family":"Muzzio","given":"Pier Carlo","non-dropping-particle":"","parse-names":false,"suffix":""}],"container-title":"European journal of radiology","id":"ITEM-1","issue":"12","issued":{"date-parts":[["2012","12"]]},"page":"3918-24","title":"Comparison between CT volume measurement and histopathological assessment of response to neoadjuvant therapy in rectal cancer.","type":"article-journal","volume":"81"},"uris":["http://www.mendeley.com/documents/?uuid=a0e049d2-f479-4108-b90d-bdd3789103dc"]}],"mendeley":{"formattedCitation":"&lt;sup&gt;[150]&lt;/sup&gt;","plainTextFormattedCitation":"[150]","previouslyFormattedCitation":"&lt;sup&gt;[150]&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[150]</w:t>
      </w:r>
      <w:r w:rsidR="00A75298" w:rsidRPr="009D7554">
        <w:rPr>
          <w:rFonts w:ascii="Book Antiqua" w:hAnsi="Book Antiqua"/>
          <w:lang w:val="en-US"/>
        </w:rPr>
        <w:fldChar w:fldCharType="end"/>
      </w:r>
      <w:r w:rsidR="00DF5047" w:rsidRPr="009D7554">
        <w:rPr>
          <w:rFonts w:ascii="Book Antiqua" w:hAnsi="Book Antiqua"/>
          <w:lang w:val="en-US"/>
        </w:rPr>
        <w:t>.</w:t>
      </w:r>
    </w:p>
    <w:p w:rsidR="008508F8" w:rsidRPr="009D7554" w:rsidRDefault="00C25A2F" w:rsidP="00A11C05">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T</w:t>
      </w:r>
      <w:r w:rsidR="00B051A7" w:rsidRPr="009D7554">
        <w:rPr>
          <w:rFonts w:ascii="Book Antiqua" w:hAnsi="Book Antiqua"/>
          <w:lang w:val="en-US"/>
        </w:rPr>
        <w:t xml:space="preserve">he </w:t>
      </w:r>
      <w:r w:rsidRPr="009D7554">
        <w:rPr>
          <w:rFonts w:ascii="Book Antiqua" w:hAnsi="Book Antiqua"/>
          <w:lang w:val="en-US"/>
        </w:rPr>
        <w:t xml:space="preserve">determination of </w:t>
      </w:r>
      <w:r w:rsidR="00B051A7" w:rsidRPr="009D7554">
        <w:rPr>
          <w:rFonts w:ascii="Book Antiqua" w:hAnsi="Book Antiqua"/>
          <w:lang w:val="en-US"/>
        </w:rPr>
        <w:t xml:space="preserve">tumor volumetry </w:t>
      </w:r>
      <w:r w:rsidRPr="009D7554">
        <w:rPr>
          <w:rFonts w:ascii="Book Antiqua" w:hAnsi="Book Antiqua"/>
          <w:lang w:val="en-US"/>
        </w:rPr>
        <w:t>by using morphological CT and MR images</w:t>
      </w:r>
      <w:r w:rsidRPr="009D7554" w:rsidDel="00C25A2F">
        <w:rPr>
          <w:rFonts w:ascii="Book Antiqua" w:hAnsi="Book Antiqua"/>
          <w:lang w:val="en-US"/>
        </w:rPr>
        <w:t xml:space="preserve"> </w:t>
      </w:r>
      <w:r w:rsidR="00502E2D" w:rsidRPr="009D7554">
        <w:rPr>
          <w:rFonts w:ascii="Book Antiqua" w:hAnsi="Book Antiqua"/>
          <w:lang w:val="en-US"/>
        </w:rPr>
        <w:t>requires</w:t>
      </w:r>
      <w:r w:rsidRPr="009D7554">
        <w:rPr>
          <w:rFonts w:ascii="Book Antiqua" w:hAnsi="Book Antiqua"/>
          <w:lang w:val="en-US"/>
        </w:rPr>
        <w:t xml:space="preserve"> </w:t>
      </w:r>
      <w:r w:rsidR="00B051A7" w:rsidRPr="009D7554">
        <w:rPr>
          <w:rFonts w:ascii="Book Antiqua" w:hAnsi="Book Antiqua"/>
          <w:lang w:val="en-US"/>
        </w:rPr>
        <w:t xml:space="preserve">the delineation of the neoplastic contours, which can be defined visually by manually tracing the presumed lesion boundary in each image containing the neoplasm. </w:t>
      </w:r>
      <w:r w:rsidRPr="009D7554">
        <w:rPr>
          <w:rFonts w:ascii="Book Antiqua" w:hAnsi="Book Antiqua"/>
          <w:lang w:val="en-US"/>
        </w:rPr>
        <w:t>T</w:t>
      </w:r>
      <w:r w:rsidR="00B051A7" w:rsidRPr="009D7554">
        <w:rPr>
          <w:rFonts w:ascii="Book Antiqua" w:hAnsi="Book Antiqua"/>
          <w:lang w:val="en-US"/>
        </w:rPr>
        <w:t>he volume</w:t>
      </w:r>
      <w:r w:rsidRPr="009D7554">
        <w:rPr>
          <w:rFonts w:ascii="Book Antiqua" w:hAnsi="Book Antiqua"/>
          <w:lang w:val="en-US"/>
        </w:rPr>
        <w:t>s</w:t>
      </w:r>
      <w:r w:rsidR="00B051A7" w:rsidRPr="009D7554">
        <w:rPr>
          <w:rFonts w:ascii="Book Antiqua" w:hAnsi="Book Antiqua"/>
          <w:lang w:val="en-US"/>
        </w:rPr>
        <w:t xml:space="preserve"> of the lesions </w:t>
      </w:r>
      <w:r w:rsidRPr="009D7554">
        <w:rPr>
          <w:rFonts w:ascii="Book Antiqua" w:hAnsi="Book Antiqua"/>
          <w:lang w:val="en-US"/>
        </w:rPr>
        <w:t xml:space="preserve">are </w:t>
      </w:r>
      <w:r w:rsidR="00B051A7" w:rsidRPr="009D7554">
        <w:rPr>
          <w:rFonts w:ascii="Book Antiqua" w:hAnsi="Book Antiqua"/>
          <w:lang w:val="en-US"/>
        </w:rPr>
        <w:t xml:space="preserve">calculated by adding each of the 2D volumes (multiplying </w:t>
      </w:r>
      <w:r w:rsidRPr="009D7554">
        <w:rPr>
          <w:rFonts w:ascii="Book Antiqua" w:hAnsi="Book Antiqua"/>
          <w:lang w:val="en-US"/>
        </w:rPr>
        <w:t xml:space="preserve">the </w:t>
      </w:r>
      <w:r w:rsidR="00B051A7" w:rsidRPr="009D7554">
        <w:rPr>
          <w:rFonts w:ascii="Book Antiqua" w:hAnsi="Book Antiqua"/>
          <w:lang w:val="en-US"/>
        </w:rPr>
        <w:t xml:space="preserve">2D area by image thickness) of the entire lesion. The following considerations can explain the limits of this qualitative visual approach </w:t>
      </w:r>
      <w:r w:rsidRPr="009D7554">
        <w:rPr>
          <w:rFonts w:ascii="Book Antiqua" w:hAnsi="Book Antiqua"/>
          <w:lang w:val="en-US"/>
        </w:rPr>
        <w:t xml:space="preserve">for </w:t>
      </w:r>
      <w:r w:rsidR="00B051A7" w:rsidRPr="009D7554">
        <w:rPr>
          <w:rFonts w:ascii="Book Antiqua" w:hAnsi="Book Antiqua"/>
          <w:lang w:val="en-US"/>
        </w:rPr>
        <w:t xml:space="preserve">tumor volumetry measurement: </w:t>
      </w:r>
      <w:r w:rsidR="00BD7086" w:rsidRPr="009D7554">
        <w:rPr>
          <w:rFonts w:ascii="Book Antiqua" w:hAnsi="Book Antiqua"/>
          <w:lang w:val="en-US"/>
        </w:rPr>
        <w:t>(</w:t>
      </w:r>
      <w:r w:rsidR="00B051A7" w:rsidRPr="009D7554">
        <w:rPr>
          <w:rFonts w:ascii="Book Antiqua" w:hAnsi="Book Antiqua"/>
          <w:lang w:val="en-US"/>
        </w:rPr>
        <w:t>1) inflammatory peritumoral reaction</w:t>
      </w:r>
      <w:r w:rsidRPr="009D7554">
        <w:rPr>
          <w:rFonts w:ascii="Book Antiqua" w:hAnsi="Book Antiqua"/>
          <w:lang w:val="en-US"/>
        </w:rPr>
        <w:t>s</w:t>
      </w:r>
      <w:r w:rsidR="00B051A7" w:rsidRPr="009D7554">
        <w:rPr>
          <w:rFonts w:ascii="Book Antiqua" w:hAnsi="Book Antiqua"/>
          <w:lang w:val="en-US"/>
        </w:rPr>
        <w:t xml:space="preserve"> can hamper the exact delineation of the interface between the tumor and the surrounding tissues; </w:t>
      </w:r>
      <w:r w:rsidR="00BD7086" w:rsidRPr="009D7554">
        <w:rPr>
          <w:rFonts w:ascii="Book Antiqua" w:hAnsi="Book Antiqua"/>
          <w:lang w:val="en-US"/>
        </w:rPr>
        <w:t>and (</w:t>
      </w:r>
      <w:r w:rsidR="00B051A7" w:rsidRPr="009D7554">
        <w:rPr>
          <w:rFonts w:ascii="Book Antiqua" w:hAnsi="Book Antiqua"/>
          <w:lang w:val="en-US"/>
        </w:rPr>
        <w:t xml:space="preserve">2) the difficulty </w:t>
      </w:r>
      <w:r w:rsidR="001F0F25" w:rsidRPr="009D7554">
        <w:rPr>
          <w:rFonts w:ascii="Book Antiqua" w:hAnsi="Book Antiqua"/>
          <w:lang w:val="en-US"/>
        </w:rPr>
        <w:t>in distinguishing</w:t>
      </w:r>
      <w:r w:rsidR="00B051A7" w:rsidRPr="009D7554">
        <w:rPr>
          <w:rFonts w:ascii="Book Antiqua" w:hAnsi="Book Antiqua"/>
          <w:lang w:val="en-US"/>
        </w:rPr>
        <w:t xml:space="preserve"> between therapy-induced fibrosis and </w:t>
      </w:r>
      <w:r w:rsidRPr="009D7554">
        <w:rPr>
          <w:rFonts w:ascii="Book Antiqua" w:hAnsi="Book Antiqua"/>
          <w:lang w:val="en-US"/>
        </w:rPr>
        <w:t xml:space="preserve">the </w:t>
      </w:r>
      <w:r w:rsidR="00B051A7" w:rsidRPr="009D7554">
        <w:rPr>
          <w:rFonts w:ascii="Book Antiqua" w:hAnsi="Book Antiqua"/>
          <w:lang w:val="en-US"/>
        </w:rPr>
        <w:t>residual viable tumor</w:t>
      </w:r>
      <w:r w:rsidRPr="009D7554">
        <w:rPr>
          <w:rFonts w:ascii="Book Antiqua" w:hAnsi="Book Antiqua"/>
          <w:lang w:val="en-US"/>
        </w:rPr>
        <w:t xml:space="preserve"> can also be problematic</w:t>
      </w:r>
      <w:r w:rsidR="00B051A7" w:rsidRPr="009D7554">
        <w:rPr>
          <w:rFonts w:ascii="Book Antiqua" w:hAnsi="Book Antiqua"/>
          <w:lang w:val="en-US"/>
        </w:rPr>
        <w:t xml:space="preserve">. A quantitative parametric analysis of images has </w:t>
      </w:r>
      <w:r w:rsidR="001F0F25" w:rsidRPr="009D7554">
        <w:rPr>
          <w:rFonts w:ascii="Book Antiqua" w:hAnsi="Book Antiqua"/>
          <w:lang w:val="en-US"/>
        </w:rPr>
        <w:t xml:space="preserve">also </w:t>
      </w:r>
      <w:r w:rsidR="00B051A7" w:rsidRPr="009D7554">
        <w:rPr>
          <w:rFonts w:ascii="Book Antiqua" w:hAnsi="Book Antiqua"/>
          <w:lang w:val="en-US"/>
        </w:rPr>
        <w:t xml:space="preserve">been proposed </w:t>
      </w:r>
      <w:r w:rsidRPr="009D7554">
        <w:rPr>
          <w:rFonts w:ascii="Book Antiqua" w:hAnsi="Book Antiqua"/>
          <w:lang w:val="en-US"/>
        </w:rPr>
        <w:t xml:space="preserve">to </w:t>
      </w:r>
      <w:r w:rsidR="00B051A7" w:rsidRPr="009D7554">
        <w:rPr>
          <w:rFonts w:ascii="Book Antiqua" w:hAnsi="Book Antiqua"/>
          <w:lang w:val="en-US"/>
        </w:rPr>
        <w:t>solv</w:t>
      </w:r>
      <w:r w:rsidRPr="009D7554">
        <w:rPr>
          <w:rFonts w:ascii="Book Antiqua" w:hAnsi="Book Antiqua"/>
          <w:lang w:val="en-US"/>
        </w:rPr>
        <w:t>e this</w:t>
      </w:r>
      <w:r w:rsidR="00B051A7" w:rsidRPr="009D7554">
        <w:rPr>
          <w:rFonts w:ascii="Book Antiqua" w:hAnsi="Book Antiqua"/>
          <w:lang w:val="en-US"/>
        </w:rPr>
        <w:t xml:space="preserve"> problem </w:t>
      </w:r>
      <w:r w:rsidRPr="009D7554">
        <w:rPr>
          <w:rFonts w:ascii="Book Antiqua" w:hAnsi="Book Antiqua"/>
          <w:lang w:val="en-US"/>
        </w:rPr>
        <w:t xml:space="preserve">of </w:t>
      </w:r>
      <w:r w:rsidR="00B051A7" w:rsidRPr="009D7554">
        <w:rPr>
          <w:rFonts w:ascii="Book Antiqua" w:hAnsi="Book Antiqua"/>
          <w:lang w:val="en-US"/>
        </w:rPr>
        <w:t>tumor volumetry measurement.</w:t>
      </w:r>
    </w:p>
    <w:p w:rsidR="00B051A7" w:rsidRPr="009D7554" w:rsidRDefault="00CD0D77" w:rsidP="00B1418E">
      <w:pPr>
        <w:widowControl w:val="0"/>
        <w:autoSpaceDE w:val="0"/>
        <w:autoSpaceDN w:val="0"/>
        <w:adjustRightInd w:val="0"/>
        <w:snapToGrid w:val="0"/>
        <w:spacing w:line="360" w:lineRule="auto"/>
        <w:ind w:firstLineChars="100" w:firstLine="240"/>
        <w:jc w:val="both"/>
        <w:rPr>
          <w:rFonts w:ascii="Book Antiqua" w:hAnsi="Book Antiqua"/>
          <w:lang w:val="en-US"/>
        </w:rPr>
      </w:pPr>
      <w:r w:rsidRPr="009D7554">
        <w:rPr>
          <w:rFonts w:ascii="Book Antiqua" w:hAnsi="Book Antiqua"/>
          <w:lang w:val="en-US"/>
        </w:rPr>
        <w:t xml:space="preserve">T2-weighted signal intensity-selected volumetry of post-CRT MRI </w:t>
      </w:r>
      <w:r w:rsidR="00502E2D" w:rsidRPr="009D7554">
        <w:rPr>
          <w:rFonts w:ascii="Book Antiqua" w:hAnsi="Book Antiqua"/>
          <w:lang w:val="en-US"/>
        </w:rPr>
        <w:t>performed</w:t>
      </w:r>
      <w:r w:rsidR="00C25A2F" w:rsidRPr="009D7554">
        <w:rPr>
          <w:rFonts w:ascii="Book Antiqua" w:hAnsi="Book Antiqua"/>
          <w:lang w:val="en-US"/>
        </w:rPr>
        <w:t xml:space="preserve"> better</w:t>
      </w:r>
      <w:r w:rsidRPr="009D7554">
        <w:rPr>
          <w:rFonts w:ascii="Book Antiqua" w:hAnsi="Book Antiqua"/>
          <w:lang w:val="en-US"/>
        </w:rPr>
        <w:t xml:space="preserve"> than visual qualitative T2 volumetry in predicting pCR in patients with LARC</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{"citationItems":[{"id":"ITEM-1","itemData":{"DOI":"10.1007/s00330-018-5520-1","ISSN":"1432-1084","PMID":"29858637","abstract":"OBJECTIVES To evaluate the diagnostic value of signal intensity (SI)-selected volumetry findings in T2-weighted magnetic resonance imaging (MRI) as a potential biomarker for predicting pathological complete response (pCR) to preoperative chemoradiotherapy (CRT) in patients with rectal cancer. METHODS Forty consecutive patients with pCR after preoperative CRT were compared with 80 age- and sex-matched non-pCR patients in a case-control study. SI-selected tumor volume was measured on post-CRT T2-weighted MRI, which included voxels of the treated tumor exceeding the SI (obturator internus muscle SI + [ischiorectal fossa fat SI - obturator internus muscle SI] × 0.2). Three blinded readers independently rated five-point pCR confidence scores and compared the diagnostic outcome with SI-selected volumetry findings. The SI-selected volumetry protocol was validated in 30 additional rectal cancer patients. RESULTS The area under the receiver-operating characteristic curve (AUC) of SI-selected volumetry for pCR prediction was 0.831, with an optimal cutoff value of 649.6 mm3 (sensitivity 0.850, specificity 0.725). The AUC of the SI-selected tumor volume was significantly greater than the pooled AUC of readers (0.707, p &lt; 0.001). At this cutoff, the validation trial yielded an accuracy of 0.87. CONCLUSION SI-selected volumetry in post-CRT T2-weighted MRI can help predict pCR after preoperative CRT in patients with rectal cancer. KEY POINTS • Fibrosis and viable tumor MRI signal intensities (SIs) are difficult to distinguish. • T2 SI-selected volumetry yields high diagnostic performance for assessing pathological complete response. • T2 SI-selected volumetry is significantly more accurate than readers and non-SI-selected volumetry. • Post-chemoradiation therapy T2-weighted MRI SI-selected volumetry facilitates prediction of pathological complete response.","author":[{"dropping-particle":"","family":"Kim","given":"Sungwon","non-dropping-particle":"","parse-names":false,"suffix":""},{"dropping-particle":"","family":"Han","given":"Kyunghwa","non-dropping-particle":"","parse-names":false,"suffix":""},{"dropping-particle":"","family":"Seo","given":"Nieun","non-dropping-particle":"","parse-names":false,"suffix":""},{"dropping-particle":"","family":"Kim","given":"Hye Jin","non-dropping-particle":"","parse-names":false,"suffix":""},{"dropping-particle":"","family":"Kim","given":"Myeong-Jin","non-dropping-particle":"","parse-names":false,"suffix":""},{"dropping-particle":"","family":"Koom","given":"Woong Sub","non-dropping-particle":"","parse-names":false,"suffix":""},{"dropping-particle":"","family":"Ahn","given":"Joong Bae","non-dropping-particle":"","parse-names":false,"suffix":""},{"dropping-particle":"","family":"Lim","given":"Joon Seok","non-dropping-particle":"","parse-names":false,"suffix":""}],"container-title":"European radiology","id":"ITEM-1","issue":"12","issued":{"date-parts":[["2018","12"]]},"page":"5231-5240","title":"T2-weighted signal intensity-selected volumetry for prediction of pathological complete response after preoperative chemoradiotherapy in locally advanced rectal cancer.","type":"article-journal","volume":"28"},"uris":["http://www.mendeley.com/documents/?uuid=371e57ff-51c6-4345-997e-ea139958ec22"]}],"mendeley":{"formattedCitation":"&lt;sup&gt;[151]&lt;/sup&gt;","plainTextFormattedCitation":"[151]","previouslyFormattedCitation":"&lt;sup&gt;[151]&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[151]</w:t>
      </w:r>
      <w:r w:rsidR="00A75298" w:rsidRPr="009D7554">
        <w:rPr>
          <w:rFonts w:ascii="Book Antiqua" w:hAnsi="Book Antiqua"/>
          <w:lang w:val="en-US"/>
        </w:rPr>
        <w:fldChar w:fldCharType="end"/>
      </w:r>
      <w:r w:rsidR="00A233A4" w:rsidRPr="009D7554">
        <w:rPr>
          <w:rFonts w:ascii="Book Antiqua" w:hAnsi="Book Antiqua"/>
          <w:lang w:val="en-US"/>
        </w:rPr>
        <w:t xml:space="preserve">. </w:t>
      </w:r>
      <w:r w:rsidR="009A70D4" w:rsidRPr="009D7554">
        <w:rPr>
          <w:rFonts w:ascii="Book Antiqua" w:hAnsi="Book Antiqua"/>
          <w:lang w:val="en-US"/>
        </w:rPr>
        <w:t>Postt</w:t>
      </w:r>
      <w:r w:rsidR="00A233A4" w:rsidRPr="009D7554">
        <w:rPr>
          <w:rFonts w:ascii="Book Antiqua" w:hAnsi="Book Antiqua"/>
          <w:lang w:val="en-US"/>
        </w:rPr>
        <w:t xml:space="preserve">reatment </w:t>
      </w:r>
      <w:r w:rsidR="00C25A2F" w:rsidRPr="009D7554">
        <w:rPr>
          <w:rFonts w:ascii="Book Antiqua" w:hAnsi="Book Antiqua"/>
          <w:lang w:val="en-US"/>
        </w:rPr>
        <w:t xml:space="preserve">total lesion diffusion </w:t>
      </w:r>
      <w:r w:rsidR="00A233A4" w:rsidRPr="009D7554">
        <w:rPr>
          <w:rFonts w:ascii="Book Antiqua" w:hAnsi="Book Antiqua"/>
          <w:lang w:val="en-US"/>
        </w:rPr>
        <w:t xml:space="preserve">(TLD = total DWI tumor volume x mean volumetric ADC) </w:t>
      </w:r>
      <w:r w:rsidR="00C25A2F" w:rsidRPr="009D7554">
        <w:rPr>
          <w:rFonts w:ascii="Book Antiqua" w:hAnsi="Book Antiqua"/>
          <w:lang w:val="en-US"/>
        </w:rPr>
        <w:t xml:space="preserve">was better </w:t>
      </w:r>
      <w:r w:rsidR="00A233A4" w:rsidRPr="009D7554">
        <w:rPr>
          <w:rFonts w:ascii="Book Antiqua" w:hAnsi="Book Antiqua"/>
          <w:lang w:val="en-US"/>
        </w:rPr>
        <w:t xml:space="preserve">correlated than </w:t>
      </w:r>
      <w:r w:rsidR="00C25A2F" w:rsidRPr="009D7554">
        <w:rPr>
          <w:rFonts w:ascii="Book Antiqua" w:hAnsi="Book Antiqua"/>
          <w:lang w:val="en-US"/>
        </w:rPr>
        <w:t xml:space="preserve">the </w:t>
      </w:r>
      <w:r w:rsidR="00A233A4" w:rsidRPr="009D7554">
        <w:rPr>
          <w:rFonts w:ascii="Book Antiqua" w:hAnsi="Book Antiqua"/>
          <w:lang w:val="en-US"/>
        </w:rPr>
        <w:t xml:space="preserve">total DWI tumor volume with </w:t>
      </w:r>
      <w:r w:rsidR="001F0F25" w:rsidRPr="009D7554">
        <w:rPr>
          <w:rFonts w:ascii="Book Antiqua" w:hAnsi="Book Antiqua"/>
          <w:lang w:val="en-US"/>
        </w:rPr>
        <w:t>histopathological</w:t>
      </w:r>
      <w:r w:rsidR="00A233A4" w:rsidRPr="009D7554">
        <w:rPr>
          <w:rFonts w:ascii="Book Antiqua" w:hAnsi="Book Antiqua"/>
          <w:lang w:val="en-US"/>
        </w:rPr>
        <w:t xml:space="preserve"> tumor response</w:t>
      </w:r>
      <w:r w:rsidR="00C25A2F" w:rsidRPr="009D7554">
        <w:rPr>
          <w:rFonts w:ascii="Book Antiqua" w:hAnsi="Book Antiqua"/>
          <w:lang w:val="en-US"/>
        </w:rPr>
        <w:t>s</w:t>
      </w:r>
      <w:r w:rsidR="00A233A4" w:rsidRPr="009D7554">
        <w:rPr>
          <w:rFonts w:ascii="Book Antiqua" w:hAnsi="Book Antiqua"/>
          <w:lang w:val="en-US"/>
        </w:rPr>
        <w:t xml:space="preserve"> after CRT in patients with LARC</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{"citationItems":[{"id":"ITEM-1","itemData":{"DOI":"10.1007/s00261-017-1389-8","ISSN":"2366-0058","PMID":"29159523","abstract":"PURPOSE To determine the value of novel whole tumor metrics in DWI-MRI and DCE-MRI of rectal cancer treatment assessment. MATERIALS AND METHODS This retrospective study included 24 uniformly treated patients with rectal adenocarcinoma who underwent MRI including diffusion-weighted (DW) and dynamic contrast-enhanced (DCE) sequences, before and after chemoradiotherapy. Two experienced readers independently measured tumor volume and apparent diffusion coefficient (ADC) on DWI-MRI and tumor volume and transfer constant K trans on DCE-MRI. In addition, we explored and defined Total Lesion Diffusion (TLD) as Total DWI tumor volume multiplied by mean volumetric ADC and Total Lesion Perfusion (TLP) as the total DCE tumor volume multiplied by the mean volumetric K trans. These metrics were correlated with histopathologic percent tumor regression in the resected specimen (%TR). Inter-reader agreement was assessed using the concordance correlation coefficient (CCC). RESULTS For both readers, post-treatment TLP revealed comparable correlations with %TR compared with K trans (reader 1; Spearman's rho = - 0.36 vs. - 0.32, reader 2; Spearman's rho = - 0.32 vs. - 0.28). In addition, TLP afforded the highest inter-reader agreement at post-treatment among TLP, DCE vol, and K trans (CCC: 0.64 vs. 0.36 vs. 0.35). Post-treatment TLD showed similar correlation with %TR as DWI volume in reader 1 and superior correlation with %TR for reader 2 (reader 1; Spearman's rho - 0.56 vs. - 0.57, reader 2; Spearman's rho - 0.59 vs. - 0.45). CONCLUSION The novel tumor metrics TLD and TLP revealed similar results to established metrics for correlation with tumor response with equivalent or superior inter-reader agreements and we recommend that these be studied in larger trials.","author":[{"dropping-particle":"","family":"Gollub","given":"Marc J","non-dropping-particle":"","parse-names":false,"suffix":""},{"dropping-particle":"","family":"Hotker","given":"Andreas M","non-dropping-particle":"","parse-names":false,"suffix":""},{"dropping-particle":"","family":"Woo","given":"Kaitlin M","non-dropping-particle":"","parse-names":false,"suffix":""},{"dropping-particle":"","family":"Mazaheri","given":"Yousef","non-dropping-particle":"","parse-names":false,"suffix":""},{"dropping-particle":"","family":"Gonen","given":"Mithat","non-dropping-particle":"","parse-names":false,"suffix":""}],"container-title":"Abdominal radiology (New York)","id":"ITEM-1","issue":"7","issued":{"date-parts":[["2018","7"]]},"page":"1575-1582","title":"Quantitating whole lesion tumor biology in rectal cancer MRI: taking a lesson from FDG-PET tumor metrics.","type":"article-journal","volume":"43"},"uris":["http://www.mendeley.com/documents/?uuid=53dc48ab-f15c-4e54-8f3d-ecb4eb8fb588"]}],"mendeley":{"formattedCitation":"&lt;sup&gt;[152]&lt;/sup&gt;","plainTextFormattedCitation":"[152]","previouslyFormattedCitation":"&lt;sup&gt;[152]&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[152]</w:t>
      </w:r>
      <w:r w:rsidR="00A75298" w:rsidRPr="009D7554">
        <w:rPr>
          <w:rFonts w:ascii="Book Antiqua" w:hAnsi="Book Antiqua"/>
          <w:lang w:val="en-US"/>
        </w:rPr>
        <w:fldChar w:fldCharType="end"/>
      </w:r>
      <w:r w:rsidR="00A233A4" w:rsidRPr="009D7554">
        <w:rPr>
          <w:rFonts w:ascii="Book Antiqua" w:hAnsi="Book Antiqua"/>
          <w:lang w:val="en-US"/>
        </w:rPr>
        <w:t>.</w:t>
      </w:r>
    </w:p>
    <w:p w:rsidR="00B1418E" w:rsidRPr="009D7554" w:rsidRDefault="00B1418E" w:rsidP="00B1418E">
      <w:pPr>
        <w:widowControl w:val="0"/>
        <w:autoSpaceDE w:val="0"/>
        <w:autoSpaceDN w:val="0"/>
        <w:adjustRightInd w:val="0"/>
        <w:snapToGrid w:val="0"/>
        <w:spacing w:line="360" w:lineRule="auto"/>
        <w:jc w:val="both"/>
        <w:rPr>
          <w:rFonts w:ascii="Book Antiqua" w:hAnsi="Book Antiqua"/>
          <w:lang w:val="en-US"/>
        </w:rPr>
      </w:pPr>
    </w:p>
    <w:p w:rsidR="004D19A7" w:rsidRPr="009D7554" w:rsidRDefault="006851A0" w:rsidP="006A253E">
      <w:pPr>
        <w:autoSpaceDE w:val="0"/>
        <w:autoSpaceDN w:val="0"/>
        <w:adjustRightInd w:val="0"/>
        <w:snapToGrid w:val="0"/>
        <w:spacing w:line="360" w:lineRule="auto"/>
        <w:jc w:val="both"/>
        <w:rPr>
          <w:rFonts w:ascii="Book Antiqua" w:hAnsi="Book Antiqua"/>
          <w:b/>
          <w:bCs/>
          <w:iCs/>
          <w:lang w:val="en-US"/>
        </w:rPr>
      </w:pPr>
      <w:r w:rsidRPr="009D7554">
        <w:rPr>
          <w:rFonts w:ascii="Book Antiqua" w:eastAsia="Calibri" w:hAnsi="Book Antiqua"/>
          <w:b/>
          <w:bCs/>
          <w:iCs/>
          <w:lang w:val="en-US"/>
        </w:rPr>
        <w:t>LIMITATIONS</w:t>
      </w:r>
      <w:r w:rsidR="00C25A2F" w:rsidRPr="009D7554">
        <w:rPr>
          <w:rFonts w:ascii="Book Antiqua" w:eastAsia="Calibri" w:hAnsi="Book Antiqua"/>
          <w:b/>
          <w:bCs/>
          <w:iCs/>
          <w:lang w:val="en-US"/>
        </w:rPr>
        <w:t xml:space="preserve"> AND</w:t>
      </w:r>
      <w:r w:rsidRPr="009D7554">
        <w:rPr>
          <w:rFonts w:ascii="Book Antiqua" w:eastAsia="Calibri" w:hAnsi="Book Antiqua"/>
          <w:b/>
          <w:bCs/>
          <w:iCs/>
          <w:lang w:val="en-US"/>
        </w:rPr>
        <w:t xml:space="preserve"> POTENTIAL EFFECTIVE CLINICAL APPLICATIONS OF PARAMETRIC IMAGING ANALYSIS</w:t>
      </w:r>
    </w:p>
    <w:p w:rsidR="00204217" w:rsidRPr="009D7554" w:rsidRDefault="00204217" w:rsidP="006A253E">
      <w:pPr>
        <w:widowControl w:val="0"/>
        <w:autoSpaceDE w:val="0"/>
        <w:autoSpaceDN w:val="0"/>
        <w:adjustRightInd w:val="0"/>
        <w:snapToGrid w:val="0"/>
        <w:spacing w:line="360" w:lineRule="auto"/>
        <w:jc w:val="both"/>
        <w:rPr>
          <w:rFonts w:ascii="Book Antiqua" w:hAnsi="Book Antiqua"/>
          <w:b/>
          <w:i/>
          <w:iCs/>
          <w:lang w:val="en-US"/>
        </w:rPr>
      </w:pPr>
      <w:r w:rsidRPr="009D7554">
        <w:rPr>
          <w:rFonts w:ascii="Book Antiqua" w:hAnsi="Book Antiqua"/>
          <w:b/>
          <w:i/>
          <w:iCs/>
          <w:lang w:val="en-US"/>
        </w:rPr>
        <w:t>DWI with ADC maps</w:t>
      </w:r>
    </w:p>
    <w:p w:rsidR="005920C7" w:rsidRPr="009D7554" w:rsidRDefault="007C06D5" w:rsidP="006A253E">
      <w:pPr>
        <w:widowControl w:val="0"/>
        <w:autoSpaceDE w:val="0"/>
        <w:autoSpaceDN w:val="0"/>
        <w:adjustRightInd w:val="0"/>
        <w:snapToGrid w:val="0"/>
        <w:spacing w:line="360" w:lineRule="auto"/>
        <w:jc w:val="both"/>
        <w:rPr>
          <w:rFonts w:ascii="Book Antiqua" w:hAnsi="Book Antiqua"/>
          <w:strike/>
          <w:lang w:val="en-US"/>
        </w:rPr>
      </w:pPr>
      <w:r w:rsidRPr="009D7554">
        <w:rPr>
          <w:rFonts w:ascii="Book Antiqua" w:hAnsi="Book Antiqua"/>
          <w:bCs/>
          <w:lang w:val="en-US"/>
        </w:rPr>
        <w:t xml:space="preserve">Well-defined cut-off values are needed to use ADC maps in routine clinical practice. The ADC value </w:t>
      </w:r>
      <w:r w:rsidR="00C0518D" w:rsidRPr="009D7554">
        <w:rPr>
          <w:rFonts w:ascii="Book Antiqua" w:hAnsi="Book Antiqua"/>
          <w:bCs/>
          <w:lang w:val="en-US"/>
        </w:rPr>
        <w:t xml:space="preserve">thresholds used </w:t>
      </w:r>
      <w:r w:rsidRPr="009D7554">
        <w:rPr>
          <w:rFonts w:ascii="Book Antiqua" w:hAnsi="Book Antiqua"/>
          <w:bCs/>
          <w:lang w:val="en-US"/>
        </w:rPr>
        <w:t>for differentiating normal and pathological tissue, assessing response</w:t>
      </w:r>
      <w:r w:rsidR="00C0518D" w:rsidRPr="009D7554">
        <w:rPr>
          <w:rFonts w:ascii="Book Antiqua" w:hAnsi="Book Antiqua"/>
          <w:bCs/>
          <w:lang w:val="en-US"/>
        </w:rPr>
        <w:t>s</w:t>
      </w:r>
      <w:r w:rsidRPr="009D7554">
        <w:rPr>
          <w:rFonts w:ascii="Book Antiqua" w:hAnsi="Book Antiqua"/>
          <w:bCs/>
          <w:lang w:val="en-US"/>
        </w:rPr>
        <w:t xml:space="preserve"> to therapy and defining prognosis have not</w:t>
      </w:r>
      <w:r w:rsidR="001F0F25" w:rsidRPr="009D7554">
        <w:rPr>
          <w:rFonts w:ascii="Book Antiqua" w:hAnsi="Book Antiqua"/>
          <w:bCs/>
          <w:lang w:val="en-US"/>
        </w:rPr>
        <w:t xml:space="preserve"> yet</w:t>
      </w:r>
      <w:r w:rsidRPr="009D7554">
        <w:rPr>
          <w:rFonts w:ascii="Book Antiqua" w:hAnsi="Book Antiqua"/>
          <w:bCs/>
          <w:lang w:val="en-US"/>
        </w:rPr>
        <w:t xml:space="preserve"> been established </w:t>
      </w:r>
      <w:r w:rsidR="00C0518D" w:rsidRPr="009D7554">
        <w:rPr>
          <w:rFonts w:ascii="Book Antiqua" w:hAnsi="Book Antiqua"/>
          <w:bCs/>
          <w:lang w:val="en-US"/>
        </w:rPr>
        <w:t xml:space="preserve">for </w:t>
      </w:r>
      <w:r w:rsidRPr="009D7554">
        <w:rPr>
          <w:rFonts w:ascii="Book Antiqua" w:hAnsi="Book Antiqua"/>
          <w:bCs/>
          <w:lang w:val="en-US"/>
        </w:rPr>
        <w:t xml:space="preserve">CRC. The lack of definite thresholds may be attributed to the following: </w:t>
      </w:r>
      <w:r w:rsidR="00F04BB8" w:rsidRPr="009D7554">
        <w:rPr>
          <w:rFonts w:ascii="Book Antiqua" w:hAnsi="Book Antiqua"/>
          <w:bCs/>
          <w:lang w:val="en-US"/>
        </w:rPr>
        <w:t>(</w:t>
      </w:r>
      <w:r w:rsidRPr="009D7554">
        <w:rPr>
          <w:rFonts w:ascii="Book Antiqua" w:hAnsi="Book Antiqua"/>
          <w:bCs/>
          <w:lang w:val="en-US"/>
        </w:rPr>
        <w:t>1) ADC values depend on the scanner</w:t>
      </w:r>
      <w:r w:rsidR="00C0518D" w:rsidRPr="009D7554">
        <w:rPr>
          <w:rFonts w:ascii="Book Antiqua" w:hAnsi="Book Antiqua"/>
          <w:bCs/>
          <w:lang w:val="en-US"/>
        </w:rPr>
        <w:t xml:space="preserve"> and</w:t>
      </w:r>
      <w:r w:rsidRPr="009D7554">
        <w:rPr>
          <w:rFonts w:ascii="Book Antiqua" w:hAnsi="Book Antiqua"/>
          <w:bCs/>
          <w:lang w:val="en-US"/>
        </w:rPr>
        <w:t xml:space="preserve"> the acquisition protocol </w:t>
      </w:r>
      <w:r w:rsidR="00C0518D" w:rsidRPr="009D7554">
        <w:rPr>
          <w:rFonts w:ascii="Book Antiqua" w:hAnsi="Book Antiqua"/>
          <w:bCs/>
          <w:lang w:val="en-US"/>
        </w:rPr>
        <w:t xml:space="preserve">used </w:t>
      </w:r>
      <w:r w:rsidRPr="009D7554">
        <w:rPr>
          <w:rFonts w:ascii="Book Antiqua" w:hAnsi="Book Antiqua"/>
          <w:bCs/>
          <w:lang w:val="en-US"/>
        </w:rPr>
        <w:t xml:space="preserve">and the clinical setting; </w:t>
      </w:r>
      <w:r w:rsidR="00F04BB8" w:rsidRPr="009D7554">
        <w:rPr>
          <w:rFonts w:ascii="Book Antiqua" w:hAnsi="Book Antiqua"/>
          <w:bCs/>
          <w:lang w:val="en-US"/>
        </w:rPr>
        <w:t>(</w:t>
      </w:r>
      <w:r w:rsidRPr="009D7554">
        <w:rPr>
          <w:rFonts w:ascii="Book Antiqua" w:hAnsi="Book Antiqua"/>
          <w:bCs/>
          <w:lang w:val="en-US"/>
        </w:rPr>
        <w:t xml:space="preserve">2) </w:t>
      </w:r>
      <w:r w:rsidRPr="009D7554">
        <w:rPr>
          <w:rFonts w:ascii="Book Antiqua" w:eastAsia="Calibri" w:hAnsi="Book Antiqua"/>
          <w:lang w:val="en-US"/>
        </w:rPr>
        <w:t xml:space="preserve">ADC values are subject to measuring errors due to </w:t>
      </w:r>
      <w:r w:rsidR="00C0518D" w:rsidRPr="009D7554">
        <w:rPr>
          <w:rFonts w:ascii="Book Antiqua" w:eastAsia="Calibri" w:hAnsi="Book Antiqua"/>
          <w:lang w:val="en-US"/>
        </w:rPr>
        <w:t xml:space="preserve">the </w:t>
      </w:r>
      <w:r w:rsidR="005920C7" w:rsidRPr="009D7554">
        <w:rPr>
          <w:rFonts w:ascii="Book Antiqua" w:hAnsi="Book Antiqua"/>
          <w:lang w:val="en-US"/>
        </w:rPr>
        <w:t xml:space="preserve">low spatial resolution of DWI images; </w:t>
      </w:r>
      <w:r w:rsidR="00F04BB8" w:rsidRPr="009D7554">
        <w:rPr>
          <w:rFonts w:ascii="Book Antiqua" w:hAnsi="Book Antiqua"/>
          <w:lang w:val="en-US"/>
        </w:rPr>
        <w:t>and (</w:t>
      </w:r>
      <w:r w:rsidR="005920C7" w:rsidRPr="009D7554">
        <w:rPr>
          <w:rFonts w:ascii="Book Antiqua" w:hAnsi="Book Antiqua"/>
          <w:lang w:val="en-US"/>
        </w:rPr>
        <w:t xml:space="preserve">3) </w:t>
      </w:r>
      <w:r w:rsidR="00C0518D" w:rsidRPr="009D7554">
        <w:rPr>
          <w:rFonts w:ascii="Book Antiqua" w:hAnsi="Book Antiqua"/>
          <w:lang w:val="en-US"/>
        </w:rPr>
        <w:t xml:space="preserve">the lack of </w:t>
      </w:r>
      <w:r w:rsidR="005920C7" w:rsidRPr="009D7554">
        <w:rPr>
          <w:rFonts w:ascii="Book Antiqua" w:hAnsi="Book Antiqua"/>
          <w:lang w:val="en-US"/>
        </w:rPr>
        <w:t xml:space="preserve">reproducibility </w:t>
      </w:r>
      <w:r w:rsidR="00C0518D" w:rsidRPr="009D7554">
        <w:rPr>
          <w:rFonts w:ascii="Book Antiqua" w:hAnsi="Book Antiqua"/>
          <w:lang w:val="en-US"/>
        </w:rPr>
        <w:t xml:space="preserve">for </w:t>
      </w:r>
      <w:r w:rsidR="005920C7" w:rsidRPr="009D7554">
        <w:rPr>
          <w:rFonts w:ascii="Book Antiqua" w:hAnsi="Book Antiqua"/>
          <w:lang w:val="en-US"/>
        </w:rPr>
        <w:t>ADC measurement</w:t>
      </w:r>
      <w:r w:rsidR="00C0518D" w:rsidRPr="009D7554">
        <w:rPr>
          <w:rFonts w:ascii="Book Antiqua" w:hAnsi="Book Antiqua"/>
          <w:lang w:val="en-US"/>
        </w:rPr>
        <w:t>s</w:t>
      </w:r>
      <w:r w:rsidR="005920C7" w:rsidRPr="009D7554">
        <w:rPr>
          <w:rFonts w:ascii="Book Antiqua" w:hAnsi="Book Antiqua"/>
          <w:lang w:val="en-US"/>
        </w:rPr>
        <w:t xml:space="preserve">. ADC values appear </w:t>
      </w:r>
      <w:r w:rsidR="00C0518D" w:rsidRPr="009D7554">
        <w:rPr>
          <w:rFonts w:ascii="Book Antiqua" w:hAnsi="Book Antiqua"/>
          <w:lang w:val="en-US"/>
        </w:rPr>
        <w:t xml:space="preserve">to be </w:t>
      </w:r>
      <w:r w:rsidR="005920C7" w:rsidRPr="009D7554">
        <w:rPr>
          <w:rFonts w:ascii="Book Antiqua" w:hAnsi="Book Antiqua"/>
          <w:lang w:val="en-US"/>
        </w:rPr>
        <w:t xml:space="preserve">particularly promising for </w:t>
      </w:r>
      <w:r w:rsidR="001F0F25" w:rsidRPr="009D7554">
        <w:rPr>
          <w:rFonts w:ascii="Book Antiqua" w:hAnsi="Book Antiqua"/>
          <w:lang w:val="en-US"/>
        </w:rPr>
        <w:t xml:space="preserve">the </w:t>
      </w:r>
      <w:r w:rsidR="005920C7" w:rsidRPr="009D7554">
        <w:rPr>
          <w:rFonts w:ascii="Book Antiqua" w:hAnsi="Book Antiqua"/>
          <w:lang w:val="en-US"/>
        </w:rPr>
        <w:t>prediction and assessment of RC response</w:t>
      </w:r>
      <w:r w:rsidR="00C0518D" w:rsidRPr="009D7554">
        <w:rPr>
          <w:rFonts w:ascii="Book Antiqua" w:hAnsi="Book Antiqua"/>
          <w:lang w:val="en-US"/>
        </w:rPr>
        <w:t>s</w:t>
      </w:r>
      <w:r w:rsidR="005920C7" w:rsidRPr="009D7554">
        <w:rPr>
          <w:rFonts w:ascii="Book Antiqua" w:hAnsi="Book Antiqua"/>
          <w:lang w:val="en-US"/>
        </w:rPr>
        <w:t xml:space="preserve"> to neoadjuvant CRT.</w:t>
      </w:r>
    </w:p>
    <w:p w:rsidR="005920C7" w:rsidRPr="009D7554" w:rsidRDefault="005920C7" w:rsidP="006A253E">
      <w:pPr>
        <w:widowControl w:val="0"/>
        <w:autoSpaceDE w:val="0"/>
        <w:autoSpaceDN w:val="0"/>
        <w:adjustRightInd w:val="0"/>
        <w:snapToGrid w:val="0"/>
        <w:spacing w:line="360" w:lineRule="auto"/>
        <w:jc w:val="both"/>
        <w:rPr>
          <w:rFonts w:ascii="Book Antiqua" w:hAnsi="Book Antiqua"/>
          <w:strike/>
          <w:lang w:val="en-US"/>
        </w:rPr>
      </w:pPr>
    </w:p>
    <w:p w:rsidR="00A0381A" w:rsidRPr="009D7554" w:rsidRDefault="00A0381A" w:rsidP="006A253E">
      <w:pPr>
        <w:widowControl w:val="0"/>
        <w:autoSpaceDE w:val="0"/>
        <w:autoSpaceDN w:val="0"/>
        <w:adjustRightInd w:val="0"/>
        <w:snapToGrid w:val="0"/>
        <w:spacing w:line="360" w:lineRule="auto"/>
        <w:jc w:val="both"/>
        <w:rPr>
          <w:rFonts w:ascii="Book Antiqua" w:hAnsi="Book Antiqua"/>
          <w:b/>
          <w:i/>
          <w:iCs/>
          <w:lang w:val="en-US"/>
        </w:rPr>
      </w:pPr>
      <w:r w:rsidRPr="009D7554">
        <w:rPr>
          <w:rFonts w:ascii="Book Antiqua" w:hAnsi="Book Antiqua"/>
          <w:b/>
          <w:i/>
          <w:iCs/>
          <w:lang w:val="en-US"/>
        </w:rPr>
        <w:t xml:space="preserve">Perfusion </w:t>
      </w:r>
      <w:r w:rsidR="00B1418E" w:rsidRPr="009D7554">
        <w:rPr>
          <w:rFonts w:ascii="Book Antiqua" w:hAnsi="Book Antiqua"/>
          <w:b/>
          <w:i/>
          <w:iCs/>
          <w:lang w:val="en-US"/>
        </w:rPr>
        <w:t>i</w:t>
      </w:r>
      <w:r w:rsidRPr="009D7554">
        <w:rPr>
          <w:rFonts w:ascii="Book Antiqua" w:hAnsi="Book Antiqua"/>
          <w:b/>
          <w:i/>
          <w:iCs/>
          <w:lang w:val="en-US"/>
        </w:rPr>
        <w:t>maging</w:t>
      </w:r>
    </w:p>
    <w:p w:rsidR="007C06D5" w:rsidRPr="009D7554" w:rsidRDefault="00393EB3" w:rsidP="006A253E">
      <w:pPr>
        <w:widowControl w:val="0"/>
        <w:autoSpaceDE w:val="0"/>
        <w:autoSpaceDN w:val="0"/>
        <w:adjustRightInd w:val="0"/>
        <w:snapToGrid w:val="0"/>
        <w:spacing w:line="360" w:lineRule="auto"/>
        <w:jc w:val="both"/>
        <w:rPr>
          <w:rFonts w:ascii="Book Antiqua" w:hAnsi="Book Antiqua"/>
          <w:strike/>
          <w:lang w:val="en-US"/>
        </w:rPr>
      </w:pPr>
      <w:r w:rsidRPr="009D7554">
        <w:rPr>
          <w:rFonts w:ascii="Book Antiqua" w:hAnsi="Book Antiqua"/>
          <w:lang w:val="en-US"/>
        </w:rPr>
        <w:t xml:space="preserve">The following general principles concerning angiogenesis and CRC have been established: more poorly perfused tumors usually </w:t>
      </w:r>
      <w:r w:rsidR="00C0518D" w:rsidRPr="009D7554">
        <w:rPr>
          <w:rFonts w:ascii="Book Antiqua" w:hAnsi="Book Antiqua"/>
          <w:lang w:val="en-US"/>
        </w:rPr>
        <w:t xml:space="preserve">lead to </w:t>
      </w:r>
      <w:r w:rsidRPr="009D7554">
        <w:rPr>
          <w:rFonts w:ascii="Book Antiqua" w:hAnsi="Book Antiqua"/>
          <w:lang w:val="en-US"/>
        </w:rPr>
        <w:t xml:space="preserve">a poorer outcome; baseline perfusion is significantly higher in responders than in </w:t>
      </w:r>
      <w:r w:rsidR="009A70D4" w:rsidRPr="009D7554">
        <w:rPr>
          <w:rFonts w:ascii="Book Antiqua" w:hAnsi="Book Antiqua"/>
          <w:lang w:val="en-US"/>
        </w:rPr>
        <w:t>nonr</w:t>
      </w:r>
      <w:r w:rsidRPr="009D7554">
        <w:rPr>
          <w:rFonts w:ascii="Book Antiqua" w:hAnsi="Book Antiqua"/>
          <w:lang w:val="en-US"/>
        </w:rPr>
        <w:t xml:space="preserve">esponders to </w:t>
      </w:r>
      <w:r w:rsidR="00C0518D" w:rsidRPr="009D7554">
        <w:rPr>
          <w:rFonts w:ascii="Book Antiqua" w:hAnsi="Book Antiqua"/>
          <w:lang w:val="en-US"/>
        </w:rPr>
        <w:t xml:space="preserve">several </w:t>
      </w:r>
      <w:r w:rsidR="001F0F25" w:rsidRPr="009D7554">
        <w:rPr>
          <w:rFonts w:ascii="Book Antiqua" w:hAnsi="Book Antiqua"/>
          <w:lang w:val="en-US"/>
        </w:rPr>
        <w:t>types</w:t>
      </w:r>
      <w:r w:rsidRPr="009D7554">
        <w:rPr>
          <w:rFonts w:ascii="Book Antiqua" w:hAnsi="Book Antiqua"/>
          <w:lang w:val="en-US"/>
        </w:rPr>
        <w:t xml:space="preserve"> of therapies; </w:t>
      </w:r>
      <w:r w:rsidR="001F0F25" w:rsidRPr="009D7554">
        <w:rPr>
          <w:rFonts w:ascii="Book Antiqua" w:hAnsi="Book Antiqua"/>
          <w:lang w:val="en-US"/>
        </w:rPr>
        <w:t xml:space="preserve">and </w:t>
      </w:r>
      <w:r w:rsidRPr="009D7554">
        <w:rPr>
          <w:rFonts w:ascii="Book Antiqua" w:hAnsi="Book Antiqua"/>
          <w:lang w:val="en-US"/>
        </w:rPr>
        <w:t xml:space="preserve">an early reduction in vascular parameters after therapy </w:t>
      </w:r>
      <w:r w:rsidR="001F0F25" w:rsidRPr="009D7554">
        <w:rPr>
          <w:rFonts w:ascii="Book Antiqua" w:hAnsi="Book Antiqua"/>
          <w:lang w:val="en-US"/>
        </w:rPr>
        <w:t xml:space="preserve">is </w:t>
      </w:r>
      <w:r w:rsidRPr="009D7554">
        <w:rPr>
          <w:rFonts w:ascii="Book Antiqua" w:hAnsi="Book Antiqua"/>
          <w:lang w:val="en-US"/>
        </w:rPr>
        <w:t>usually associated with improved patient outcome</w:t>
      </w:r>
      <w:r w:rsidR="00A75298" w:rsidRPr="009D7554">
        <w:rPr>
          <w:rFonts w:ascii="Book Antiqua" w:hAnsi="Book Antiqua"/>
          <w:lang w:val="en-US"/>
        </w:rPr>
        <w:fldChar w:fldCharType="begin" w:fldLock="1"/>
      </w:r>
      <w:r w:rsidR="007C0995" w:rsidRPr="009D7554">
        <w:rPr>
          <w:rFonts w:ascii="Book Antiqua" w:hAnsi="Book Antiqua"/>
          <w:lang w:val="en-US"/>
        </w:rPr>
        <w:instrText>ADDIN CSL_CITATION {"citationItems":[{"id":"ITEM-1","itemData":{"DOI":"10.1259/bjr.20130811","ISSN":"1748-880X","PMID":"24434157","abstract":"Imaging plays an important role in the assessment of colorectal cancer, including diagnosis, staging, selection of treatment, assessment of treatment response, surveillance and investigation of suspected disease relapse. Anatomical imaging remains the mainstay for size measurement and structural evaluation; however, functional imaging techniques may provide additional insights into the tumour microenvironment. With dynamic contrast-enhanced CT techniques, iodinated contrast agent kinetics may inform on regional tumour perfusion, shunting and microvascular function and provide a surrogate measure of tumour hypoxia and angiogenesis. In colorectal cancer, this may be relevant for clinical practice in terms of tumour phenotyping, prognostication, selection of individualized treatment and therapy response assessment.","author":[{"dropping-particle":"","family":"Goh","given":"V","non-dropping-particle":"","parse-names":false,"suffix":""},{"dropping-particle":"","family":"Glynne-Jones","given":"R","non-dropping-particle":"","parse-names":false,"suffix":""}],"container-title":"The British journal of radiology","id":"ITEM-1","issue":"1034","issued":{"date-parts":[["2014","2"]]},"page":"20130811","title":"Perfusion CT imaging of colorectal cancer.","type":"article-journal","volume":"87"},"uris":["http://www.mendeley.com/documents/?uuid=80fe028b-f749-4a3e-aa8f-1fe6c380d86e"]}],"mendeley":{"formattedCitation":"&lt;sup&gt;[22]&lt;/sup&gt;","plainTextFormattedCitation":"[22]","previouslyFormattedCitation":"&lt;sup&gt;[22]&lt;/sup&gt;"},"properties":{"noteIndex":0},"schema":"https://github.com/citation-style-language/schema/raw/master/csl-citation.json"}</w:instrText>
      </w:r>
      <w:r w:rsidR="00A75298" w:rsidRPr="009D7554">
        <w:rPr>
          <w:rFonts w:ascii="Book Antiqua" w:hAnsi="Book Antiqua"/>
          <w:lang w:val="en-US"/>
        </w:rPr>
        <w:fldChar w:fldCharType="separate"/>
      </w:r>
      <w:r w:rsidR="007C0995" w:rsidRPr="009D7554">
        <w:rPr>
          <w:rFonts w:ascii="Book Antiqua" w:hAnsi="Book Antiqua"/>
          <w:vertAlign w:val="superscript"/>
          <w:lang w:val="en-US"/>
        </w:rPr>
        <w:t>[22]</w:t>
      </w:r>
      <w:r w:rsidR="00A75298" w:rsidRPr="009D7554">
        <w:rPr>
          <w:rFonts w:ascii="Book Antiqua" w:hAnsi="Book Antiqua"/>
          <w:lang w:val="en-US"/>
        </w:rPr>
        <w:fldChar w:fldCharType="end"/>
      </w:r>
      <w:r w:rsidR="005604CC" w:rsidRPr="009D7554">
        <w:rPr>
          <w:rFonts w:ascii="Book Antiqua" w:hAnsi="Book Antiqua"/>
          <w:lang w:val="en-US"/>
        </w:rPr>
        <w:t xml:space="preserve">. The </w:t>
      </w:r>
      <w:r w:rsidR="00C0518D" w:rsidRPr="009D7554">
        <w:rPr>
          <w:rFonts w:ascii="Book Antiqua" w:hAnsi="Book Antiqua"/>
          <w:lang w:val="en-US"/>
        </w:rPr>
        <w:t xml:space="preserve">use of </w:t>
      </w:r>
      <w:r w:rsidR="005604CC" w:rsidRPr="009D7554">
        <w:rPr>
          <w:rFonts w:ascii="Book Antiqua" w:hAnsi="Book Antiqua"/>
          <w:lang w:val="en-US"/>
        </w:rPr>
        <w:t xml:space="preserve">PI techniques </w:t>
      </w:r>
      <w:r w:rsidR="00C0518D" w:rsidRPr="009D7554">
        <w:rPr>
          <w:rFonts w:ascii="Book Antiqua" w:hAnsi="Book Antiqua"/>
          <w:lang w:val="en-US"/>
        </w:rPr>
        <w:t xml:space="preserve">has </w:t>
      </w:r>
      <w:r w:rsidR="005604CC" w:rsidRPr="009D7554">
        <w:rPr>
          <w:rFonts w:ascii="Book Antiqua" w:hAnsi="Book Antiqua"/>
          <w:lang w:val="en-US"/>
        </w:rPr>
        <w:t>not</w:t>
      </w:r>
      <w:r w:rsidR="001F0F25" w:rsidRPr="009D7554">
        <w:rPr>
          <w:rFonts w:ascii="Book Antiqua" w:hAnsi="Book Antiqua"/>
          <w:lang w:val="en-US"/>
        </w:rPr>
        <w:t xml:space="preserve"> yet</w:t>
      </w:r>
      <w:r w:rsidR="005604CC" w:rsidRPr="009D7554">
        <w:rPr>
          <w:rFonts w:ascii="Book Antiqua" w:hAnsi="Book Antiqua"/>
          <w:lang w:val="en-US"/>
        </w:rPr>
        <w:t xml:space="preserve"> been introduced in routine clinical practice, probably due to the numerous different technical approaches </w:t>
      </w:r>
      <w:r w:rsidR="00C0518D" w:rsidRPr="009D7554">
        <w:rPr>
          <w:rFonts w:ascii="Book Antiqua" w:hAnsi="Book Antiqua"/>
          <w:lang w:val="en-US"/>
        </w:rPr>
        <w:t xml:space="preserve">required </w:t>
      </w:r>
      <w:r w:rsidR="005604CC" w:rsidRPr="009D7554">
        <w:rPr>
          <w:rFonts w:ascii="Book Antiqua" w:hAnsi="Book Antiqua"/>
          <w:lang w:val="en-US"/>
        </w:rPr>
        <w:t xml:space="preserve">and the complexity of </w:t>
      </w:r>
      <w:r w:rsidR="001F0F25" w:rsidRPr="009D7554">
        <w:rPr>
          <w:rFonts w:ascii="Book Antiqua" w:hAnsi="Book Antiqua"/>
          <w:lang w:val="en-US"/>
        </w:rPr>
        <w:t>parameter</w:t>
      </w:r>
      <w:r w:rsidR="005604CC" w:rsidRPr="009D7554">
        <w:rPr>
          <w:rFonts w:ascii="Book Antiqua" w:hAnsi="Book Antiqua"/>
          <w:lang w:val="en-US"/>
        </w:rPr>
        <w:t xml:space="preserve"> measurement. The following limitations of PI have to be considered:</w:t>
      </w:r>
      <w:r w:rsidR="001F0F25" w:rsidRPr="009D7554">
        <w:rPr>
          <w:rFonts w:ascii="Book Antiqua" w:hAnsi="Book Antiqua"/>
          <w:lang w:val="en-US"/>
        </w:rPr>
        <w:t xml:space="preserve"> </w:t>
      </w:r>
      <w:r w:rsidR="00B1418E" w:rsidRPr="009D7554">
        <w:rPr>
          <w:rFonts w:ascii="Book Antiqua" w:hAnsi="Book Antiqua"/>
          <w:lang w:val="en-US"/>
        </w:rPr>
        <w:t>(</w:t>
      </w:r>
      <w:r w:rsidR="005604CC" w:rsidRPr="009D7554">
        <w:rPr>
          <w:rFonts w:ascii="Book Antiqua" w:hAnsi="Book Antiqua"/>
          <w:lang w:val="en-US"/>
        </w:rPr>
        <w:t xml:space="preserve">1) </w:t>
      </w:r>
      <w:r w:rsidR="00C0518D" w:rsidRPr="009D7554">
        <w:rPr>
          <w:rFonts w:ascii="Book Antiqua" w:hAnsi="Book Antiqua"/>
          <w:lang w:val="en-US"/>
        </w:rPr>
        <w:t xml:space="preserve">the </w:t>
      </w:r>
      <w:r w:rsidR="005604CC" w:rsidRPr="009D7554">
        <w:rPr>
          <w:rFonts w:ascii="Book Antiqua" w:hAnsi="Book Antiqua"/>
          <w:lang w:val="en-US"/>
        </w:rPr>
        <w:t xml:space="preserve">quantification of contrast agent concentrations is challenging because of the complex relationship between density </w:t>
      </w:r>
      <w:r w:rsidR="00C0518D" w:rsidRPr="009D7554">
        <w:rPr>
          <w:rFonts w:ascii="Book Antiqua" w:hAnsi="Book Antiqua"/>
          <w:lang w:val="en-US"/>
        </w:rPr>
        <w:t>(</w:t>
      </w:r>
      <w:r w:rsidR="005604CC" w:rsidRPr="009D7554">
        <w:rPr>
          <w:rFonts w:ascii="Book Antiqua" w:hAnsi="Book Antiqua"/>
          <w:lang w:val="en-US"/>
        </w:rPr>
        <w:t>CT</w:t>
      </w:r>
      <w:r w:rsidR="00C0518D" w:rsidRPr="009D7554">
        <w:rPr>
          <w:rFonts w:ascii="Book Antiqua" w:hAnsi="Book Antiqua"/>
          <w:lang w:val="en-US"/>
        </w:rPr>
        <w:t>)</w:t>
      </w:r>
      <w:r w:rsidR="005604CC" w:rsidRPr="009D7554">
        <w:rPr>
          <w:rFonts w:ascii="Book Antiqua" w:hAnsi="Book Antiqua"/>
          <w:lang w:val="en-US"/>
        </w:rPr>
        <w:t xml:space="preserve"> or signal </w:t>
      </w:r>
      <w:r w:rsidR="00C0518D" w:rsidRPr="009D7554">
        <w:rPr>
          <w:rFonts w:ascii="Book Antiqua" w:hAnsi="Book Antiqua"/>
          <w:lang w:val="en-US"/>
        </w:rPr>
        <w:t>(</w:t>
      </w:r>
      <w:r w:rsidR="005604CC" w:rsidRPr="009D7554">
        <w:rPr>
          <w:rFonts w:ascii="Book Antiqua" w:hAnsi="Book Antiqua"/>
          <w:lang w:val="en-US"/>
        </w:rPr>
        <w:t>MRI</w:t>
      </w:r>
      <w:r w:rsidR="00C0518D" w:rsidRPr="009D7554">
        <w:rPr>
          <w:rFonts w:ascii="Book Antiqua" w:hAnsi="Book Antiqua"/>
          <w:lang w:val="en-US"/>
        </w:rPr>
        <w:t>)</w:t>
      </w:r>
      <w:r w:rsidR="005604CC" w:rsidRPr="009D7554">
        <w:rPr>
          <w:rFonts w:ascii="Book Antiqua" w:hAnsi="Book Antiqua"/>
          <w:lang w:val="en-US"/>
        </w:rPr>
        <w:t xml:space="preserve"> and </w:t>
      </w:r>
      <w:r w:rsidR="00C0518D" w:rsidRPr="009D7554">
        <w:rPr>
          <w:rFonts w:ascii="Book Antiqua" w:hAnsi="Book Antiqua"/>
          <w:lang w:val="en-US"/>
        </w:rPr>
        <w:t xml:space="preserve">the </w:t>
      </w:r>
      <w:r w:rsidR="005604CC" w:rsidRPr="009D7554">
        <w:rPr>
          <w:rFonts w:ascii="Book Antiqua" w:hAnsi="Book Antiqua"/>
          <w:lang w:val="en-US"/>
        </w:rPr>
        <w:t>contrast medium concentration</w:t>
      </w:r>
      <w:r w:rsidR="00C0518D" w:rsidRPr="009D7554">
        <w:rPr>
          <w:rFonts w:ascii="Book Antiqua" w:hAnsi="Book Antiqua"/>
          <w:lang w:val="en-US"/>
        </w:rPr>
        <w:t>, which</w:t>
      </w:r>
      <w:r w:rsidR="005604CC" w:rsidRPr="009D7554">
        <w:rPr>
          <w:rFonts w:ascii="Book Antiqua" w:hAnsi="Book Antiqua"/>
          <w:lang w:val="en-US"/>
        </w:rPr>
        <w:t xml:space="preserve"> is dependent on many factors, including </w:t>
      </w:r>
      <w:r w:rsidR="00C0518D" w:rsidRPr="009D7554">
        <w:rPr>
          <w:rFonts w:ascii="Book Antiqua" w:hAnsi="Book Antiqua"/>
          <w:lang w:val="en-US"/>
        </w:rPr>
        <w:t xml:space="preserve">the </w:t>
      </w:r>
      <w:r w:rsidR="005604CC" w:rsidRPr="009D7554">
        <w:rPr>
          <w:rFonts w:ascii="Book Antiqua" w:hAnsi="Book Antiqua"/>
          <w:lang w:val="en-US"/>
        </w:rPr>
        <w:t xml:space="preserve">contrast agent dose, rate of injection, time of circulation, machine parameters, and, </w:t>
      </w:r>
      <w:r w:rsidR="00C0518D" w:rsidRPr="009D7554">
        <w:rPr>
          <w:rFonts w:ascii="Book Antiqua" w:hAnsi="Book Antiqua"/>
          <w:lang w:val="en-US"/>
        </w:rPr>
        <w:t>for</w:t>
      </w:r>
      <w:r w:rsidR="005604CC" w:rsidRPr="009D7554">
        <w:rPr>
          <w:rFonts w:ascii="Book Antiqua" w:hAnsi="Book Antiqua"/>
          <w:lang w:val="en-US"/>
        </w:rPr>
        <w:t xml:space="preserve"> MRI, native tissue</w:t>
      </w:r>
      <w:r w:rsidR="00C0518D" w:rsidRPr="009D7554">
        <w:rPr>
          <w:rFonts w:ascii="Book Antiqua" w:hAnsi="Book Antiqua"/>
          <w:lang w:val="en-US"/>
        </w:rPr>
        <w:t xml:space="preserve"> </w:t>
      </w:r>
      <w:r w:rsidR="005604CC" w:rsidRPr="009D7554">
        <w:rPr>
          <w:rFonts w:ascii="Book Antiqua" w:hAnsi="Book Antiqua"/>
          <w:lang w:val="en-US"/>
        </w:rPr>
        <w:t>relaxation rates and imaging sequence;</w:t>
      </w:r>
      <w:r w:rsidR="00B1418E" w:rsidRPr="009D7554">
        <w:rPr>
          <w:rFonts w:ascii="Book Antiqua" w:hAnsi="Book Antiqua"/>
          <w:lang w:val="en-US"/>
        </w:rPr>
        <w:t xml:space="preserve"> (</w:t>
      </w:r>
      <w:r w:rsidR="005604CC" w:rsidRPr="009D7554">
        <w:rPr>
          <w:rFonts w:ascii="Book Antiqua" w:hAnsi="Book Antiqua"/>
          <w:lang w:val="en-US"/>
        </w:rPr>
        <w:t>2) the different models</w:t>
      </w:r>
      <w:r w:rsidR="00C0518D" w:rsidRPr="009D7554">
        <w:rPr>
          <w:rFonts w:ascii="Book Antiqua" w:hAnsi="Book Antiqua"/>
          <w:lang w:val="en-US"/>
        </w:rPr>
        <w:t xml:space="preserve"> used </w:t>
      </w:r>
      <w:r w:rsidR="005604CC" w:rsidRPr="009D7554">
        <w:rPr>
          <w:rFonts w:ascii="Book Antiqua" w:hAnsi="Book Antiqua"/>
          <w:lang w:val="en-US"/>
        </w:rPr>
        <w:t>for the analysis of DCE</w:t>
      </w:r>
      <w:r w:rsidR="00502E2D" w:rsidRPr="009D7554">
        <w:rPr>
          <w:rFonts w:ascii="Book Antiqua" w:hAnsi="Book Antiqua"/>
          <w:lang w:val="en-US"/>
        </w:rPr>
        <w:t xml:space="preserve"> </w:t>
      </w:r>
      <w:r w:rsidR="005604CC" w:rsidRPr="009D7554">
        <w:rPr>
          <w:rFonts w:ascii="Book Antiqua" w:hAnsi="Book Antiqua"/>
          <w:lang w:val="en-US"/>
        </w:rPr>
        <w:t>imaging data and the calculation of quantitative perfusion parameters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{"citationItems":[{"id":"ITEM-1","itemData":{"DOI":"10.1148/radiol.12120186","ISSN":"1527-1315","PMID":"23297334","abstract":"PURPOSE To compare four different tracer kinetic models for the analysis of dynamic contrast material-enhanced computed tomographic (CT) data with respect to the prediction of 5-year overall survival in primary colorectal cancer. MATERIALS AND METHODS This study was approved by the ethical review board. Archival dynamic contrast-enhanced CT data from 46 patients with colorectal cancer, obtained as part of a research study, were analyzed retrospectively by using the distributed parameter, conventional compartmental, adiabatic tissue homogeneity, and generalized kinetic models. Blood flow, blood volume, mean transit time (MTT), permeability-surface area product, extraction fraction, extravascular extracellular volume (v(e)), and volume transfer constant (K(trans)) were compared by using the Friedman test, with statistical significance at 5%. Following receiver operating characteristic analysis, parameters of the different kinetic models and tumor stage were compared with respect to overall survival discrimination, with use of Kaplan Meier analysis and a univariate Cox proportional hazard model, with additional cross-validation and permutation testing. RESULTS Blood flow was lower with the distributed parameter model than with the conventional compartmental and adiabatic tissue homogeneity models (P &lt; .0001), and blood flow values determined with the conventional compartmental and adiabatic tissue homogeneity models were similar. Conversely, MTT was longer with the distributed parameter model than with the conventional compartmental and adiabatic tissue homogeneity models (P &lt; .0001). Blood volume, permeability-surface area product, and v(e) were higher with the conventional compartmental model than with the adiabatic tissue homogeneity, distributed parameter, or generalized kinetic models (P &lt; .0001). The extraction fraction was higher with the distributed parameter model than with the adiabatic tissue homogeneity model. With respect to 5-year overall survival, only the distributed parameter model-derived v(e) was predictive of 5-year overall survival with a threshold value of 15.48 mL/100 mL after cross-validation and permutation testing. CONCLUSION Parameter values differ significantly between models. Of the models investigated, the distributed parameter model was the best predictor of 5-year overall survival. SUPPLEMENTAL MATERIAL http://radiology.rsna.org/lookup/suppl/doi:10.1148/radiol.12120186/-/DC1.","author":[{"dropping-particle":"","family":"Koh","given":"Tong San","non-dropping-particle":"","parse-names":false,"suffix":""},{"dropping-particle":"","family":"Ng","given":"Quan Sing","non-dropping-particle":"","parse-names":false,"suffix":""},{"dropping-particle":"","family":"Thng","given":"Choon Hua","non-dropping-particle":"","parse-names":false,"suffix":""},{"dropping-particle":"","family":"Kwek","given":"Jin Wei","non-dropping-particle":"","parse-names":false,"suffix":""},{"dropping-particle":"","family":"Kozarski","given":"Robert","non-dropping-particle":"","parse-names":false,"suffix":""},{"dropping-particle":"","family":"Goh","given":"Vicky","non-dropping-particle":"","parse-names":false,"suffix":""}],"container-title":"Radiology","id":"ITEM-1","issue":"1","issued":{"date-parts":[["2013","4"]]},"page":"145-54","title":"Primary colorectal cancer: use of kinetic modeling of dynamic contrast-enhanced CT data to predict clinical outcome.","type":"article-journal","volume":"267"},"uris":["http://www.mendeley.com/documents/?uuid=00065fbc-883f-400a-87cf-601b045b3957"]}],"mendeley":{"formattedCitation":"&lt;sup&gt;[153]&lt;/sup&gt;","plainTextFormattedCitation":"[153]","previouslyFormattedCitation":"&lt;sup&gt;[153]&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[153]</w:t>
      </w:r>
      <w:r w:rsidR="00A75298" w:rsidRPr="009D7554">
        <w:rPr>
          <w:rFonts w:ascii="Book Antiqua" w:hAnsi="Book Antiqua"/>
          <w:lang w:val="en-US"/>
        </w:rPr>
        <w:fldChar w:fldCharType="end"/>
      </w:r>
      <w:r w:rsidR="007C06D5" w:rsidRPr="009D7554">
        <w:rPr>
          <w:rFonts w:ascii="Book Antiqua" w:hAnsi="Book Antiqua"/>
          <w:lang w:val="en-US"/>
        </w:rPr>
        <w:t xml:space="preserve"> may influence the measurement of quantitative perfusion parameters</w:t>
      </w:r>
      <w:r w:rsidR="00A75298" w:rsidRPr="009D7554">
        <w:rPr>
          <w:rFonts w:ascii="Book Antiqua" w:hAnsi="Book Antiqua"/>
          <w:lang w:val="en-US"/>
        </w:rPr>
        <w:fldChar w:fldCharType="begin" w:fldLock="1"/>
      </w:r>
      <w:r w:rsidR="007C0995" w:rsidRPr="009D7554">
        <w:rPr>
          <w:rFonts w:ascii="Book Antiqua" w:hAnsi="Book Antiqua"/>
          <w:lang w:val="en-US"/>
        </w:rPr>
        <w:instrText>ADDIN CSL_CITATION {"citationItems":[{"id":"ITEM-1","itemData":{"DOI":"10.1148/radiol.2422051670","ISSN":"0033-8419","PMID":"17255417","abstract":"PURPOSE To determine whether computed tomographic (CT) perfusion measurements in prospectively recruited patients can be used to differentiate between diverticulitis and colorectal cancer and to compare this discrimination with that of standard morphologic criteria. MATERIALS AND METHODS After institutional review board approval and written informed consent were obtained, 60 patients (24 men, 36 women; mean age, 69 years; range, 33.5-90.4 years; 20 patients with cancer, 20 with diverticulitis, and 20 with inactive diverticular disease) underwent CT perfusion imaging at the level of the colonic abnormality, and perfusion parameters were calculated. Analysis of variance was used to investigate any differences in perfusion between the patient groups. Two independent observers also analyzed an abdominopelvic CT study obtained immediately after the CT perfusion study and noted standard morphologic criteria for differential diagnosis. The sensitivity and specificity of CT perfusion measurements for determining the diagnostic category were compared with morphologic criteria by means of multivariate analysis to identify the most discriminatory criteria. RESULTS Mean blood volume, blood flow, transit time, and permeability were significantly different between patients with cancer and those with diverticulitis (P &lt; .0001); patients with cancer had the highest blood volume, blood flow, and permeability and the shortest transit time. The most discriminatory criteria for determining diagnostic category were blood volume, transit time, permeability, and presence of pericolonic nodes (P = .05, .02, .04, and .02, respectively). Blood volume and blood flow each had a sensitivity of 80% and had specificity of 70% and 75%, respectively, for cancer in comparison with standard morphologic criteria: less than 5 cm of bowel involvement (45% sensitivity, 95% specificity), presence of a mass (85% sensitivity, 90% specificity), pericolonic inflammation (75% sensitivity, 5% specificity), and pericolonic nodes (90% sensitivity, 45% specificity). CONCLUSION CT perfusion measurements enable differentiation and better discrimination, in comparison with morphologic criteria, between cancer and diverticulitis.","author":[{"dropping-particle":"","family":"Goh","given":"Vicky","non-dropping-particle":"","parse-names":false,"suffix":""},{"dropping-particle":"","family":"Halligan","given":"Steve","non-dropping-particle":"","parse-names":false,"suffix":""},{"dropping-particle":"","family":"Taylor","given":"Stuart A","non-dropping-particle":"","parse-names":false,"suffix":""},{"dropping-particle":"","family":"Burling","given":"David","non-dropping-particle":"","parse-names":false,"suffix":""},{"dropping-particle":"","family":"Bassett","given":"Paul","non-dropping-particle":"","parse-names":false,"suffix":""},{"dropping-particle":"","family":"Bartram","given":"Clive I","non-dropping-particle":"","parse-names":false,"suffix":""}],"container-title":"Radiology","id":"ITEM-1","issue":"2","issued":{"date-parts":[["2007","2"]]},"page":"456-62","title":"Differentiation between diverticulitis and colorectal cancer: quantitative CT perfusion measurements versus morphologic criteria--initial experience.","type":"article-journal","volume":"242"},"uris":["http://www.mendeley.com/documents/?uuid=05e72c37-0570-408c-9b05-a0dbc80e69a4"]}],"mendeley":{"formattedCitation":"&lt;sup&gt;[35]&lt;/sup&gt;","plainTextFormattedCitation":"[35]","previouslyFormattedCitation":"&lt;sup&gt;[35]&lt;/sup&gt;"},"properties":{"noteIndex":0},"schema":"https://github.com/citation-style-language/schema/raw/master/csl-citation.json"}</w:instrText>
      </w:r>
      <w:r w:rsidR="00A75298" w:rsidRPr="009D7554">
        <w:rPr>
          <w:rFonts w:ascii="Book Antiqua" w:hAnsi="Book Antiqua"/>
          <w:lang w:val="en-US"/>
        </w:rPr>
        <w:fldChar w:fldCharType="separate"/>
      </w:r>
      <w:r w:rsidR="007C0995" w:rsidRPr="009D7554">
        <w:rPr>
          <w:rFonts w:ascii="Book Antiqua" w:hAnsi="Book Antiqua"/>
          <w:vertAlign w:val="superscript"/>
          <w:lang w:val="en-US"/>
        </w:rPr>
        <w:t>[35]</w:t>
      </w:r>
      <w:r w:rsidR="00A75298" w:rsidRPr="009D7554">
        <w:rPr>
          <w:rFonts w:ascii="Book Antiqua" w:hAnsi="Book Antiqua"/>
          <w:lang w:val="en-US"/>
        </w:rPr>
        <w:fldChar w:fldCharType="end"/>
      </w:r>
      <w:r w:rsidR="00C65475" w:rsidRPr="009D7554">
        <w:rPr>
          <w:rFonts w:ascii="Book Antiqua" w:hAnsi="Book Antiqua"/>
          <w:lang w:val="en-US"/>
        </w:rPr>
        <w:t xml:space="preserve">; </w:t>
      </w:r>
      <w:r w:rsidR="008C02C6" w:rsidRPr="009D7554">
        <w:rPr>
          <w:rFonts w:ascii="Book Antiqua" w:hAnsi="Book Antiqua"/>
          <w:lang w:val="en-US"/>
        </w:rPr>
        <w:t>and (</w:t>
      </w:r>
      <w:r w:rsidR="00C65475" w:rsidRPr="009D7554">
        <w:rPr>
          <w:rFonts w:ascii="Book Antiqua" w:hAnsi="Book Antiqua"/>
          <w:lang w:val="en-US"/>
        </w:rPr>
        <w:t>3) tumor ROI analysis with current DCE</w:t>
      </w:r>
      <w:r w:rsidR="00C0518D" w:rsidRPr="009D7554">
        <w:rPr>
          <w:rFonts w:ascii="Book Antiqua" w:hAnsi="Book Antiqua"/>
          <w:lang w:val="en-US"/>
        </w:rPr>
        <w:t xml:space="preserve"> </w:t>
      </w:r>
      <w:r w:rsidR="00C65475" w:rsidRPr="009D7554">
        <w:rPr>
          <w:rFonts w:ascii="Book Antiqua" w:hAnsi="Book Antiqua"/>
          <w:lang w:val="en-US"/>
        </w:rPr>
        <w:t xml:space="preserve">imaging software platforms </w:t>
      </w:r>
      <w:r w:rsidR="00C0518D" w:rsidRPr="009D7554">
        <w:rPr>
          <w:rFonts w:ascii="Book Antiqua" w:hAnsi="Book Antiqua"/>
          <w:lang w:val="en-US"/>
        </w:rPr>
        <w:t xml:space="preserve">utilizes the </w:t>
      </w:r>
      <w:r w:rsidR="00C65475" w:rsidRPr="009D7554">
        <w:rPr>
          <w:rFonts w:ascii="Book Antiqua" w:hAnsi="Book Antiqua"/>
          <w:lang w:val="en-US"/>
        </w:rPr>
        <w:t>mean quantitative vascular parameters, which do not reflect the spatial heterogeneity of perfusion</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{"citationItems":[{"id":"ITEM-1","itemData":{"DOI":"10.1148/radiol.2433052048","ISSN":"0033-8419","PMID":"17517930","abstract":"PURPOSE To prospectively compare single- and multisection computed tomographic (CT) perfusion for tumor blood flow determination in an animal model. MATERIALS AND METHODS All animal protocols and experiments were approved by the institutional animal care and use committee before the study was initiated. R3230 mammary adenocarcinoma was implanted in 11 rats. Tumors (18-20 mm) were scanned with dynamic 16-section CT at baseline and after administration of arsenic trioxide, which is known to cause acute reduction in blood flow. The concentration of arsenic was titrated (0-6 mg of arsenic per kilogram of body weight) to achieve a defined blood flow reduction (0%-75%) from baseline levels at 60 minutes, as determined with correlative laser Doppler flowmetry. The mean blood flow was calculated for each of four 5-mm sections that covered the entire tumor, as well as for the entire tumor after multiple sections were processed. Measurements obtained with both methods were correlated with laser Doppler flowmetry measurements. Interobserver agreement was determined for two blinded radiologists, who calculated the percentage of blood flow reduction for the \"most representative\" single sections at baseline and after arsenic administration. These results were compared with the interobserver variability of the same radiologists obtained by summing blood flow changes for the entire tumor volume. RESULTS Overall correlations for acute blood flow reduction were demonstrated between laser Doppler flowmetry and the two CT perfusion approaches (single-section CT, r=0.85 and r(2)=0.73; multisection CT, r=0.93 and r(2)=0.87; pooled data, P=.01). CT perfusion disclosed marked heterogeneity of blood flow, with variations of 36% +/- 13 between adjacent 5-mm sections. Given these marked differences, interobserver agreement was much lower for single-section CT (standard deviation, 0.22) than for multisection CT (standard deviation, 0.10; P=.01). CONCLUSION Multisection CT perfusion techniques may provide an accurate and more reproducible method of tumor perfusion surveillance than comparison of single representative tumor sections.","author":[{"dropping-particle":"","family":"Hakimé","given":"Antoine","non-dropping-particle":"","parse-names":false,"suffix":""},{"dropping-particle":"","family":"Peddi","given":"Himaja","non-dropping-particle":"","parse-names":false,"suffix":""},{"dropping-particle":"","family":"Hines-Peralta","given":"Andrew U","non-dropping-particle":"","parse-names":false,"suffix":""},{"dropping-particle":"","family":"Wilcox","given":"Carol J","non-dropping-particle":"","parse-names":false,"suffix":""},{"dropping-particle":"","family":"Kruskal","given":"Jonathan","non-dropping-particle":"","parse-names":false,"suffix":""},{"dropping-particle":"","family":"Lin","given":"Shezhang","non-dropping-particle":"","parse-names":false,"suffix":""},{"dropping-particle":"","family":"Baere","given":"Thierry","non-dropping-particle":"de","parse-names":false,"suffix":""},{"dropping-particle":"","family":"Raptopoulos","given":"Vassilios D","non-dropping-particle":"","parse-names":false,"suffix":""},{"dropping-particle":"","family":"Goldberg","given":"S Nahum","non-dropping-particle":"","parse-names":false,"suffix":""}],"container-title":"Radiology","id":"ITEM-1","issue":"3","issued":{"date-parts":[["2007","6"]]},"page":"712-9","title":"CT perfusion for determination of pharmacologically mediated blood flow changes in an animal tumor model.","type":"article-journal","volume":"243"},"uris":["http://www.mendeley.com/documents/?uuid=dd13b897-d7fa-4f01-9dc1-47939661fa87"]}],"mendeley":{"formattedCitation":"&lt;sup&gt;[154]&lt;/sup&gt;","plainTextFormattedCitation":"[154]","previouslyFormattedCitation":"&lt;sup&gt;[154]&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[154]</w:t>
      </w:r>
      <w:r w:rsidR="00A75298" w:rsidRPr="009D7554">
        <w:rPr>
          <w:rFonts w:ascii="Book Antiqua" w:hAnsi="Book Antiqua"/>
          <w:lang w:val="en-US"/>
        </w:rPr>
        <w:fldChar w:fldCharType="end"/>
      </w:r>
      <w:r w:rsidR="007C06D5" w:rsidRPr="009D7554">
        <w:rPr>
          <w:rFonts w:ascii="Book Antiqua" w:hAnsi="Book Antiqua"/>
          <w:lang w:val="en-US"/>
        </w:rPr>
        <w:t xml:space="preserve">. </w:t>
      </w:r>
      <w:r w:rsidR="00475C5D" w:rsidRPr="009D7554">
        <w:rPr>
          <w:rFonts w:ascii="Book Antiqua" w:hAnsi="Book Antiqua"/>
          <w:lang w:val="en-US"/>
        </w:rPr>
        <w:t xml:space="preserve">Because of </w:t>
      </w:r>
      <w:r w:rsidR="007C06D5" w:rsidRPr="009D7554">
        <w:rPr>
          <w:rFonts w:ascii="Book Antiqua" w:hAnsi="Book Antiqua"/>
          <w:lang w:val="en-US"/>
        </w:rPr>
        <w:t xml:space="preserve">the large </w:t>
      </w:r>
      <w:r w:rsidR="00502E2D" w:rsidRPr="009D7554">
        <w:rPr>
          <w:rFonts w:ascii="Book Antiqua" w:hAnsi="Book Antiqua"/>
          <w:lang w:val="en-US"/>
        </w:rPr>
        <w:t>variety</w:t>
      </w:r>
      <w:r w:rsidR="00475C5D" w:rsidRPr="009D7554">
        <w:rPr>
          <w:rFonts w:ascii="Book Antiqua" w:hAnsi="Book Antiqua"/>
          <w:lang w:val="en-US"/>
        </w:rPr>
        <w:t xml:space="preserve"> </w:t>
      </w:r>
      <w:r w:rsidR="007C06D5" w:rsidRPr="009D7554">
        <w:rPr>
          <w:rFonts w:ascii="Book Antiqua" w:hAnsi="Book Antiqua"/>
          <w:lang w:val="en-US"/>
        </w:rPr>
        <w:t xml:space="preserve">of potential </w:t>
      </w:r>
      <w:r w:rsidR="00475C5D" w:rsidRPr="009D7554">
        <w:rPr>
          <w:rFonts w:ascii="Book Antiqua" w:hAnsi="Book Antiqua"/>
          <w:lang w:val="en-US"/>
        </w:rPr>
        <w:t xml:space="preserve">indicators that could be used </w:t>
      </w:r>
      <w:r w:rsidR="007C06D5" w:rsidRPr="009D7554">
        <w:rPr>
          <w:rFonts w:ascii="Book Antiqua" w:hAnsi="Book Antiqua"/>
          <w:lang w:val="en-US"/>
        </w:rPr>
        <w:t xml:space="preserve">as imaging </w:t>
      </w:r>
      <w:r w:rsidR="001F0F25" w:rsidRPr="009D7554">
        <w:rPr>
          <w:rFonts w:ascii="Book Antiqua" w:hAnsi="Book Antiqua"/>
          <w:lang w:val="en-US"/>
        </w:rPr>
        <w:t>biomarkers</w:t>
      </w:r>
      <w:r w:rsidR="007C06D5" w:rsidRPr="009D7554">
        <w:rPr>
          <w:rFonts w:ascii="Book Antiqua" w:hAnsi="Book Antiqua"/>
          <w:lang w:val="en-US"/>
        </w:rPr>
        <w:t xml:space="preserve">, PI still needs further </w:t>
      </w:r>
      <w:r w:rsidR="00475C5D" w:rsidRPr="009D7554">
        <w:rPr>
          <w:rFonts w:ascii="Book Antiqua" w:hAnsi="Book Antiqua"/>
          <w:lang w:val="en-US"/>
        </w:rPr>
        <w:t xml:space="preserve">study </w:t>
      </w:r>
      <w:r w:rsidR="007C06D5" w:rsidRPr="009D7554">
        <w:rPr>
          <w:rFonts w:ascii="Book Antiqua" w:hAnsi="Book Antiqua"/>
          <w:lang w:val="en-US"/>
        </w:rPr>
        <w:t>to be recognized as an effective diagnostic tool</w:t>
      </w:r>
      <w:r w:rsidR="00475C5D" w:rsidRPr="009D7554">
        <w:rPr>
          <w:rFonts w:ascii="Book Antiqua" w:hAnsi="Book Antiqua"/>
          <w:lang w:val="en-US"/>
        </w:rPr>
        <w:t xml:space="preserve"> in routine clinical practice</w:t>
      </w:r>
      <w:r w:rsidR="007C06D5" w:rsidRPr="009D7554">
        <w:rPr>
          <w:rFonts w:ascii="Book Antiqua" w:hAnsi="Book Antiqua"/>
          <w:lang w:val="en-US"/>
        </w:rPr>
        <w:t xml:space="preserve">. Among all the potential clinical </w:t>
      </w:r>
      <w:r w:rsidR="001F0F25" w:rsidRPr="009D7554">
        <w:rPr>
          <w:rFonts w:ascii="Book Antiqua" w:hAnsi="Book Antiqua"/>
          <w:lang w:val="en-US"/>
        </w:rPr>
        <w:t>applications</w:t>
      </w:r>
      <w:r w:rsidR="007C06D5" w:rsidRPr="009D7554">
        <w:rPr>
          <w:rFonts w:ascii="Book Antiqua" w:hAnsi="Book Antiqua"/>
          <w:lang w:val="en-US"/>
        </w:rPr>
        <w:t xml:space="preserve"> of DCE</w:t>
      </w:r>
      <w:r w:rsidR="001F0F25" w:rsidRPr="009D7554">
        <w:rPr>
          <w:rFonts w:ascii="Book Antiqua" w:hAnsi="Book Antiqua"/>
          <w:lang w:val="en-US"/>
        </w:rPr>
        <w:t xml:space="preserve"> </w:t>
      </w:r>
      <w:r w:rsidR="007C06D5" w:rsidRPr="009D7554">
        <w:rPr>
          <w:rFonts w:ascii="Book Antiqua" w:hAnsi="Book Antiqua"/>
          <w:lang w:val="en-US"/>
        </w:rPr>
        <w:t xml:space="preserve">imaging </w:t>
      </w:r>
      <w:r w:rsidR="00475C5D" w:rsidRPr="009D7554">
        <w:rPr>
          <w:rFonts w:ascii="Book Antiqua" w:hAnsi="Book Antiqua"/>
          <w:lang w:val="en-US"/>
        </w:rPr>
        <w:t xml:space="preserve">for </w:t>
      </w:r>
      <w:r w:rsidR="007C06D5" w:rsidRPr="009D7554">
        <w:rPr>
          <w:rFonts w:ascii="Book Antiqua" w:hAnsi="Book Antiqua"/>
          <w:lang w:val="en-US"/>
        </w:rPr>
        <w:t>CRC, the assessment and prediction of response</w:t>
      </w:r>
      <w:r w:rsidR="00475C5D" w:rsidRPr="009D7554">
        <w:rPr>
          <w:rFonts w:ascii="Book Antiqua" w:hAnsi="Book Antiqua"/>
          <w:lang w:val="en-US"/>
        </w:rPr>
        <w:t>s</w:t>
      </w:r>
      <w:r w:rsidR="007C06D5" w:rsidRPr="009D7554">
        <w:rPr>
          <w:rFonts w:ascii="Book Antiqua" w:hAnsi="Book Antiqua"/>
          <w:lang w:val="en-US"/>
        </w:rPr>
        <w:t xml:space="preserve"> to antiangiogenic agents appear</w:t>
      </w:r>
      <w:r w:rsidR="00475C5D" w:rsidRPr="009D7554">
        <w:rPr>
          <w:rFonts w:ascii="Book Antiqua" w:hAnsi="Book Antiqua"/>
          <w:lang w:val="en-US"/>
        </w:rPr>
        <w:t>s</w:t>
      </w:r>
      <w:r w:rsidR="007C06D5" w:rsidRPr="009D7554">
        <w:rPr>
          <w:rFonts w:ascii="Book Antiqua" w:hAnsi="Book Antiqua"/>
          <w:lang w:val="en-US"/>
        </w:rPr>
        <w:t xml:space="preserve"> to be </w:t>
      </w:r>
      <w:r w:rsidR="00475C5D" w:rsidRPr="009D7554">
        <w:rPr>
          <w:rFonts w:ascii="Book Antiqua" w:hAnsi="Book Antiqua"/>
          <w:lang w:val="en-US"/>
        </w:rPr>
        <w:t xml:space="preserve">the most </w:t>
      </w:r>
      <w:r w:rsidR="007C06D5" w:rsidRPr="009D7554">
        <w:rPr>
          <w:rFonts w:ascii="Book Antiqua" w:hAnsi="Book Antiqua"/>
          <w:lang w:val="en-US"/>
        </w:rPr>
        <w:t>promising.</w:t>
      </w:r>
    </w:p>
    <w:p w:rsidR="007C06D5" w:rsidRPr="009D7554" w:rsidRDefault="007C06D5" w:rsidP="006A253E">
      <w:pPr>
        <w:widowControl w:val="0"/>
        <w:autoSpaceDE w:val="0"/>
        <w:autoSpaceDN w:val="0"/>
        <w:adjustRightInd w:val="0"/>
        <w:snapToGrid w:val="0"/>
        <w:spacing w:line="360" w:lineRule="auto"/>
        <w:jc w:val="both"/>
        <w:rPr>
          <w:rFonts w:ascii="Book Antiqua" w:hAnsi="Book Antiqua"/>
          <w:lang w:val="en-US"/>
        </w:rPr>
      </w:pPr>
    </w:p>
    <w:p w:rsidR="007C06D5" w:rsidRPr="009D7554" w:rsidRDefault="007C06D5" w:rsidP="006A253E">
      <w:pPr>
        <w:widowControl w:val="0"/>
        <w:autoSpaceDE w:val="0"/>
        <w:autoSpaceDN w:val="0"/>
        <w:adjustRightInd w:val="0"/>
        <w:snapToGrid w:val="0"/>
        <w:spacing w:line="360" w:lineRule="auto"/>
        <w:jc w:val="both"/>
        <w:rPr>
          <w:rFonts w:ascii="Book Antiqua" w:hAnsi="Book Antiqua"/>
          <w:b/>
          <w:i/>
          <w:iCs/>
          <w:lang w:val="en-US"/>
        </w:rPr>
      </w:pPr>
      <w:r w:rsidRPr="009D7554">
        <w:rPr>
          <w:rFonts w:ascii="Book Antiqua" w:hAnsi="Book Antiqua"/>
          <w:b/>
          <w:i/>
          <w:iCs/>
          <w:lang w:val="en-US"/>
        </w:rPr>
        <w:t xml:space="preserve">Hybrid </w:t>
      </w:r>
      <w:r w:rsidR="008F269B" w:rsidRPr="009D7554">
        <w:rPr>
          <w:rFonts w:ascii="Book Antiqua" w:hAnsi="Book Antiqua"/>
          <w:b/>
          <w:i/>
          <w:iCs/>
          <w:lang w:val="en-US"/>
        </w:rPr>
        <w:t>i</w:t>
      </w:r>
      <w:r w:rsidRPr="009D7554">
        <w:rPr>
          <w:rFonts w:ascii="Book Antiqua" w:hAnsi="Book Antiqua"/>
          <w:b/>
          <w:i/>
          <w:iCs/>
          <w:lang w:val="en-US"/>
        </w:rPr>
        <w:t>maging</w:t>
      </w:r>
    </w:p>
    <w:p w:rsidR="00F372FE" w:rsidRPr="009D7554" w:rsidRDefault="00AC5203" w:rsidP="006A253E">
      <w:pPr>
        <w:widowControl w:val="0"/>
        <w:autoSpaceDE w:val="0"/>
        <w:autoSpaceDN w:val="0"/>
        <w:adjustRightInd w:val="0"/>
        <w:snapToGrid w:val="0"/>
        <w:spacing w:line="360" w:lineRule="auto"/>
        <w:jc w:val="both"/>
        <w:rPr>
          <w:rFonts w:ascii="Book Antiqua" w:hAnsi="Book Antiqua"/>
          <w:bCs/>
          <w:lang w:val="en-US"/>
        </w:rPr>
      </w:pPr>
      <w:r w:rsidRPr="009D7554">
        <w:rPr>
          <w:rFonts w:ascii="Book Antiqua" w:hAnsi="Book Antiqua"/>
          <w:position w:val="10"/>
          <w:sz w:val="16"/>
          <w:szCs w:val="16"/>
          <w:lang w:val="en-US"/>
        </w:rPr>
        <w:t>18</w:t>
      </w:r>
      <w:r w:rsidR="00F372FE" w:rsidRPr="009D7554">
        <w:rPr>
          <w:rFonts w:ascii="Book Antiqua" w:hAnsi="Book Antiqua"/>
          <w:iCs/>
          <w:lang w:val="en-US"/>
        </w:rPr>
        <w:t xml:space="preserve">FDG-PET/CT quantitative parameters have added value </w:t>
      </w:r>
      <w:r w:rsidR="00475C5D" w:rsidRPr="009D7554">
        <w:rPr>
          <w:rFonts w:ascii="Book Antiqua" w:hAnsi="Book Antiqua"/>
          <w:iCs/>
          <w:lang w:val="en-US"/>
        </w:rPr>
        <w:t>for</w:t>
      </w:r>
      <w:r w:rsidR="00F372FE" w:rsidRPr="009D7554">
        <w:rPr>
          <w:rFonts w:ascii="Book Antiqua" w:hAnsi="Book Antiqua"/>
          <w:iCs/>
          <w:lang w:val="en-US"/>
        </w:rPr>
        <w:t xml:space="preserve"> routine clinical practice. The following topics may benefit from </w:t>
      </w:r>
      <w:r w:rsidR="00475C5D" w:rsidRPr="009D7554">
        <w:rPr>
          <w:rFonts w:ascii="Book Antiqua" w:hAnsi="Book Antiqua"/>
          <w:iCs/>
          <w:lang w:val="en-US"/>
        </w:rPr>
        <w:t xml:space="preserve">a </w:t>
      </w:r>
      <w:r w:rsidR="00F372FE" w:rsidRPr="009D7554">
        <w:rPr>
          <w:rFonts w:ascii="Book Antiqua" w:hAnsi="Book Antiqua"/>
          <w:iCs/>
          <w:lang w:val="en-US"/>
        </w:rPr>
        <w:t xml:space="preserve">quantitative approach: </w:t>
      </w:r>
      <w:r w:rsidR="00475C5D" w:rsidRPr="009D7554">
        <w:rPr>
          <w:rFonts w:ascii="Book Antiqua" w:hAnsi="Book Antiqua"/>
          <w:iCs/>
          <w:lang w:val="en-US"/>
        </w:rPr>
        <w:t xml:space="preserve">the </w:t>
      </w:r>
      <w:r w:rsidR="00F372FE" w:rsidRPr="009D7554">
        <w:rPr>
          <w:rFonts w:ascii="Book Antiqua" w:hAnsi="Book Antiqua"/>
          <w:iCs/>
          <w:lang w:val="en-US"/>
        </w:rPr>
        <w:t>improvement of the detection of regional lymph</w:t>
      </w:r>
      <w:r w:rsidR="00475C5D" w:rsidRPr="009D7554">
        <w:rPr>
          <w:rFonts w:ascii="Book Antiqua" w:hAnsi="Book Antiqua"/>
          <w:iCs/>
          <w:lang w:val="en-US"/>
        </w:rPr>
        <w:t xml:space="preserve"> </w:t>
      </w:r>
      <w:r w:rsidR="00F372FE" w:rsidRPr="009D7554">
        <w:rPr>
          <w:rFonts w:ascii="Book Antiqua" w:hAnsi="Book Antiqua"/>
          <w:iCs/>
          <w:lang w:val="en-US"/>
        </w:rPr>
        <w:t xml:space="preserve">node metastases; </w:t>
      </w:r>
      <w:r w:rsidR="00475C5D" w:rsidRPr="009D7554">
        <w:rPr>
          <w:rFonts w:ascii="Book Antiqua" w:hAnsi="Book Antiqua"/>
          <w:iCs/>
          <w:lang w:val="en-US"/>
        </w:rPr>
        <w:t xml:space="preserve">the </w:t>
      </w:r>
      <w:r w:rsidR="00F372FE" w:rsidRPr="009D7554">
        <w:rPr>
          <w:rFonts w:ascii="Book Antiqua" w:hAnsi="Book Antiqua"/>
          <w:iCs/>
          <w:lang w:val="en-US"/>
        </w:rPr>
        <w:t>prediction and assessment of RC response</w:t>
      </w:r>
      <w:r w:rsidR="00475C5D" w:rsidRPr="009D7554">
        <w:rPr>
          <w:rFonts w:ascii="Book Antiqua" w:hAnsi="Book Antiqua"/>
          <w:iCs/>
          <w:lang w:val="en-US"/>
        </w:rPr>
        <w:t>s</w:t>
      </w:r>
      <w:r w:rsidR="00F372FE" w:rsidRPr="009D7554">
        <w:rPr>
          <w:rFonts w:ascii="Book Antiqua" w:hAnsi="Book Antiqua"/>
          <w:iCs/>
          <w:lang w:val="en-US"/>
        </w:rPr>
        <w:t xml:space="preserve"> to neoadjuvant CRT; </w:t>
      </w:r>
      <w:r w:rsidR="00475C5D" w:rsidRPr="009D7554">
        <w:rPr>
          <w:rFonts w:ascii="Book Antiqua" w:hAnsi="Book Antiqua"/>
          <w:iCs/>
          <w:lang w:val="en-US"/>
        </w:rPr>
        <w:t xml:space="preserve">the detection of </w:t>
      </w:r>
      <w:r w:rsidR="00F372FE" w:rsidRPr="009D7554">
        <w:rPr>
          <w:rFonts w:ascii="Book Antiqua" w:hAnsi="Book Antiqua"/>
          <w:iCs/>
          <w:lang w:val="en-US"/>
        </w:rPr>
        <w:t xml:space="preserve">tumor recurrence after surgery in combination with serum CEA levels. There is not enough scientific evidence to recommend the routine use of quantitative </w:t>
      </w:r>
      <w:r w:rsidR="00F372FE" w:rsidRPr="009D7554">
        <w:rPr>
          <w:rFonts w:ascii="Book Antiqua" w:hAnsi="Book Antiqua"/>
          <w:position w:val="10"/>
          <w:sz w:val="16"/>
          <w:szCs w:val="16"/>
          <w:lang w:val="en-US"/>
        </w:rPr>
        <w:t>18</w:t>
      </w:r>
      <w:r w:rsidR="00F372FE" w:rsidRPr="009D7554">
        <w:rPr>
          <w:rFonts w:ascii="Book Antiqua" w:hAnsi="Book Antiqua"/>
          <w:lang w:val="en-US"/>
        </w:rPr>
        <w:t xml:space="preserve">FDG-PET/CT </w:t>
      </w:r>
      <w:r w:rsidR="00475C5D" w:rsidRPr="009D7554">
        <w:rPr>
          <w:rFonts w:ascii="Book Antiqua" w:hAnsi="Book Antiqua"/>
          <w:lang w:val="en-US"/>
        </w:rPr>
        <w:t xml:space="preserve">for </w:t>
      </w:r>
      <w:r w:rsidR="00F372FE" w:rsidRPr="009D7554">
        <w:rPr>
          <w:rFonts w:ascii="Book Antiqua" w:hAnsi="Book Antiqua"/>
          <w:lang w:val="en-US"/>
        </w:rPr>
        <w:t xml:space="preserve">the identification and/or local staging of primary CRC because PET has the following limitations: </w:t>
      </w:r>
      <w:r w:rsidR="006E7E49" w:rsidRPr="009D7554">
        <w:rPr>
          <w:rFonts w:ascii="Book Antiqua" w:hAnsi="Book Antiqua"/>
          <w:lang w:val="en-US"/>
        </w:rPr>
        <w:t>(</w:t>
      </w:r>
      <w:r w:rsidR="00F372FE" w:rsidRPr="009D7554">
        <w:rPr>
          <w:rFonts w:ascii="Book Antiqua" w:hAnsi="Book Antiqua"/>
          <w:lang w:val="en-US"/>
        </w:rPr>
        <w:t xml:space="preserve">1) FDG uptake depends on several features, including tumor grade, </w:t>
      </w:r>
      <w:r w:rsidR="00475C5D" w:rsidRPr="009D7554">
        <w:rPr>
          <w:rFonts w:ascii="Book Antiqua" w:hAnsi="Book Antiqua"/>
          <w:lang w:val="en-US"/>
        </w:rPr>
        <w:t xml:space="preserve">the </w:t>
      </w:r>
      <w:r w:rsidR="00F372FE" w:rsidRPr="009D7554">
        <w:rPr>
          <w:rFonts w:ascii="Book Antiqua" w:hAnsi="Book Antiqua"/>
          <w:lang w:val="en-US"/>
        </w:rPr>
        <w:t>type of tumor involvement, histological type (</w:t>
      </w:r>
      <w:r w:rsidR="00F372FE" w:rsidRPr="009D7554">
        <w:rPr>
          <w:rFonts w:ascii="Book Antiqua" w:hAnsi="Book Antiqua"/>
          <w:i/>
          <w:iCs/>
          <w:lang w:val="en-US"/>
        </w:rPr>
        <w:t>e.g.</w:t>
      </w:r>
      <w:r w:rsidR="00F372FE" w:rsidRPr="009D7554">
        <w:rPr>
          <w:rFonts w:ascii="Book Antiqua" w:hAnsi="Book Antiqua"/>
          <w:lang w:val="en-US"/>
        </w:rPr>
        <w:t xml:space="preserve">, FDG is limited in the evaluation of mucinous tumors); </w:t>
      </w:r>
      <w:r w:rsidR="006E7E49" w:rsidRPr="009D7554">
        <w:rPr>
          <w:rFonts w:ascii="Book Antiqua" w:hAnsi="Book Antiqua"/>
          <w:lang w:val="en-US"/>
        </w:rPr>
        <w:t>and (</w:t>
      </w:r>
      <w:r w:rsidR="00F372FE" w:rsidRPr="009D7554">
        <w:rPr>
          <w:rFonts w:ascii="Book Antiqua" w:hAnsi="Book Antiqua"/>
          <w:lang w:val="en-US"/>
        </w:rPr>
        <w:t>2) limited spatial resolution, which may cause small lesions to be missed.</w:t>
      </w:r>
    </w:p>
    <w:p w:rsidR="00C05331" w:rsidRPr="009D7554" w:rsidRDefault="00C05331" w:rsidP="006A253E">
      <w:pPr>
        <w:widowControl w:val="0"/>
        <w:autoSpaceDE w:val="0"/>
        <w:autoSpaceDN w:val="0"/>
        <w:adjustRightInd w:val="0"/>
        <w:snapToGrid w:val="0"/>
        <w:spacing w:line="360" w:lineRule="auto"/>
        <w:jc w:val="both"/>
        <w:rPr>
          <w:rFonts w:ascii="Book Antiqua" w:hAnsi="Book Antiqua"/>
          <w:bCs/>
          <w:lang w:val="en-US"/>
        </w:rPr>
      </w:pPr>
    </w:p>
    <w:p w:rsidR="00BA55D6" w:rsidRPr="009D7554" w:rsidRDefault="00BA55D6" w:rsidP="006A253E">
      <w:pPr>
        <w:widowControl w:val="0"/>
        <w:autoSpaceDE w:val="0"/>
        <w:autoSpaceDN w:val="0"/>
        <w:adjustRightInd w:val="0"/>
        <w:snapToGrid w:val="0"/>
        <w:spacing w:line="360" w:lineRule="auto"/>
        <w:jc w:val="both"/>
        <w:rPr>
          <w:rFonts w:ascii="Book Antiqua" w:hAnsi="Book Antiqua"/>
          <w:b/>
          <w:i/>
          <w:lang w:val="en-US"/>
        </w:rPr>
      </w:pPr>
      <w:r w:rsidRPr="009D7554">
        <w:rPr>
          <w:rFonts w:ascii="Book Antiqua" w:hAnsi="Book Antiqua"/>
          <w:b/>
          <w:i/>
          <w:lang w:val="en-US"/>
        </w:rPr>
        <w:t xml:space="preserve">Texture </w:t>
      </w:r>
      <w:r w:rsidR="00246607" w:rsidRPr="009D7554">
        <w:rPr>
          <w:rFonts w:ascii="Book Antiqua" w:hAnsi="Book Antiqua"/>
          <w:b/>
          <w:i/>
          <w:lang w:val="en-US"/>
        </w:rPr>
        <w:t>a</w:t>
      </w:r>
      <w:r w:rsidRPr="009D7554">
        <w:rPr>
          <w:rFonts w:ascii="Book Antiqua" w:hAnsi="Book Antiqua"/>
          <w:b/>
          <w:i/>
          <w:lang w:val="en-US"/>
        </w:rPr>
        <w:t>nalysis</w:t>
      </w:r>
    </w:p>
    <w:p w:rsidR="005920C7" w:rsidRPr="009D7554" w:rsidRDefault="005920C7" w:rsidP="006A253E">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lang w:val="en-US"/>
        </w:rPr>
        <w:t xml:space="preserve">Texture analysis mainly suffers from the following limitations: </w:t>
      </w:r>
      <w:r w:rsidR="000D153E" w:rsidRPr="009D7554">
        <w:rPr>
          <w:rFonts w:ascii="Book Antiqua" w:hAnsi="Book Antiqua"/>
          <w:lang w:val="en-US"/>
        </w:rPr>
        <w:t>(</w:t>
      </w:r>
      <w:r w:rsidRPr="009D7554">
        <w:rPr>
          <w:rFonts w:ascii="Book Antiqua" w:hAnsi="Book Antiqua"/>
          <w:lang w:val="en-US"/>
        </w:rPr>
        <w:t xml:space="preserve">1) </w:t>
      </w:r>
      <w:r w:rsidR="00475C5D" w:rsidRPr="009D7554">
        <w:rPr>
          <w:rFonts w:ascii="Book Antiqua" w:hAnsi="Book Antiqua"/>
          <w:lang w:val="en-US"/>
        </w:rPr>
        <w:t xml:space="preserve">the </w:t>
      </w:r>
      <w:r w:rsidRPr="009D7554">
        <w:rPr>
          <w:rFonts w:ascii="Book Antiqua" w:hAnsi="Book Antiqua"/>
          <w:lang w:val="en-US"/>
        </w:rPr>
        <w:t>biologic</w:t>
      </w:r>
      <w:r w:rsidR="00475C5D" w:rsidRPr="009D7554">
        <w:rPr>
          <w:rFonts w:ascii="Book Antiqua" w:hAnsi="Book Antiqua"/>
          <w:lang w:val="en-US"/>
        </w:rPr>
        <w:t>al</w:t>
      </w:r>
      <w:r w:rsidRPr="009D7554">
        <w:rPr>
          <w:rFonts w:ascii="Book Antiqua" w:hAnsi="Book Antiqua"/>
          <w:lang w:val="en-US"/>
        </w:rPr>
        <w:t xml:space="preserve"> correlation</w:t>
      </w:r>
      <w:r w:rsidR="00475C5D" w:rsidRPr="009D7554">
        <w:rPr>
          <w:rFonts w:ascii="Book Antiqua" w:hAnsi="Book Antiqua"/>
          <w:lang w:val="en-US"/>
        </w:rPr>
        <w:t>s</w:t>
      </w:r>
      <w:r w:rsidRPr="009D7554">
        <w:rPr>
          <w:rFonts w:ascii="Book Antiqua" w:hAnsi="Book Antiqua"/>
          <w:lang w:val="en-US"/>
        </w:rPr>
        <w:t xml:space="preserve"> of TA measurements </w:t>
      </w:r>
      <w:r w:rsidR="00475C5D" w:rsidRPr="009D7554">
        <w:rPr>
          <w:rFonts w:ascii="Book Antiqua" w:hAnsi="Book Antiqua"/>
          <w:lang w:val="en-US"/>
        </w:rPr>
        <w:t>have</w:t>
      </w:r>
      <w:r w:rsidRPr="009D7554">
        <w:rPr>
          <w:rFonts w:ascii="Book Antiqua" w:hAnsi="Book Antiqua"/>
          <w:lang w:val="en-US"/>
        </w:rPr>
        <w:t xml:space="preserve"> not been established definitively; </w:t>
      </w:r>
      <w:r w:rsidR="000D153E" w:rsidRPr="009D7554">
        <w:rPr>
          <w:rFonts w:ascii="Book Antiqua" w:hAnsi="Book Antiqua"/>
          <w:lang w:val="en-US"/>
        </w:rPr>
        <w:t>and (</w:t>
      </w:r>
      <w:r w:rsidRPr="009D7554">
        <w:rPr>
          <w:rFonts w:ascii="Book Antiqua" w:hAnsi="Book Antiqua"/>
          <w:lang w:val="en-US"/>
        </w:rPr>
        <w:t xml:space="preserve">2) </w:t>
      </w:r>
      <w:r w:rsidR="00475C5D" w:rsidRPr="009D7554">
        <w:rPr>
          <w:rFonts w:ascii="Book Antiqua" w:hAnsi="Book Antiqua"/>
          <w:lang w:val="en-US"/>
        </w:rPr>
        <w:t xml:space="preserve">the </w:t>
      </w:r>
      <w:r w:rsidRPr="009D7554">
        <w:rPr>
          <w:rFonts w:ascii="Book Antiqua" w:hAnsi="Book Antiqua"/>
          <w:lang w:val="en-US"/>
        </w:rPr>
        <w:t>image acquisition parameters (</w:t>
      </w:r>
      <w:r w:rsidR="00475C5D" w:rsidRPr="009D7554">
        <w:rPr>
          <w:rFonts w:ascii="Book Antiqua" w:hAnsi="Book Antiqua"/>
          <w:lang w:val="en-US"/>
        </w:rPr>
        <w:t xml:space="preserve">for </w:t>
      </w:r>
      <w:r w:rsidRPr="009D7554">
        <w:rPr>
          <w:rFonts w:ascii="Book Antiqua" w:hAnsi="Book Antiqua"/>
          <w:lang w:val="en-US"/>
        </w:rPr>
        <w:t xml:space="preserve">CT: tube voltage, tube current, collimation; </w:t>
      </w:r>
      <w:r w:rsidR="00475C5D" w:rsidRPr="009D7554">
        <w:rPr>
          <w:rFonts w:ascii="Book Antiqua" w:hAnsi="Book Antiqua"/>
          <w:lang w:val="en-US"/>
        </w:rPr>
        <w:t xml:space="preserve">for </w:t>
      </w:r>
      <w:r w:rsidRPr="009D7554">
        <w:rPr>
          <w:rFonts w:ascii="Book Antiqua" w:hAnsi="Book Antiqua"/>
          <w:lang w:val="en-US"/>
        </w:rPr>
        <w:t>MRI: features of the sequences) and TA processing (unfiltered</w:t>
      </w:r>
      <w:r w:rsidR="00475C5D" w:rsidRPr="009D7554">
        <w:rPr>
          <w:rFonts w:ascii="Book Antiqua" w:hAnsi="Book Antiqua"/>
          <w:lang w:val="en-US"/>
        </w:rPr>
        <w:t xml:space="preserve"> or </w:t>
      </w:r>
      <w:r w:rsidRPr="009D7554">
        <w:rPr>
          <w:rFonts w:ascii="Book Antiqua" w:hAnsi="Book Antiqua"/>
          <w:lang w:val="en-US"/>
        </w:rPr>
        <w:t xml:space="preserve">filtered </w:t>
      </w:r>
      <w:r w:rsidR="00475C5D" w:rsidRPr="009D7554">
        <w:rPr>
          <w:rFonts w:ascii="Book Antiqua" w:hAnsi="Book Antiqua"/>
          <w:lang w:val="en-US"/>
        </w:rPr>
        <w:t xml:space="preserve">at a </w:t>
      </w:r>
      <w:r w:rsidRPr="009D7554">
        <w:rPr>
          <w:rFonts w:ascii="Book Antiqua" w:hAnsi="Book Antiqua"/>
          <w:lang w:val="en-US"/>
        </w:rPr>
        <w:t>fine</w:t>
      </w:r>
      <w:r w:rsidR="00475C5D" w:rsidRPr="009D7554">
        <w:rPr>
          <w:rFonts w:ascii="Book Antiqua" w:hAnsi="Book Antiqua"/>
          <w:lang w:val="en-US"/>
        </w:rPr>
        <w:t>,</w:t>
      </w:r>
      <w:r w:rsidRPr="009D7554">
        <w:rPr>
          <w:rFonts w:ascii="Book Antiqua" w:hAnsi="Book Antiqua"/>
          <w:lang w:val="en-US"/>
        </w:rPr>
        <w:t xml:space="preserve"> medium or coarse scale; TA calculation </w:t>
      </w:r>
      <w:r w:rsidR="00475C5D" w:rsidRPr="009D7554">
        <w:rPr>
          <w:rFonts w:ascii="Book Antiqua" w:hAnsi="Book Antiqua"/>
          <w:lang w:val="en-US"/>
        </w:rPr>
        <w:t xml:space="preserve">of </w:t>
      </w:r>
      <w:r w:rsidRPr="009D7554">
        <w:rPr>
          <w:rFonts w:ascii="Book Antiqua" w:hAnsi="Book Antiqua"/>
          <w:lang w:val="en-US"/>
        </w:rPr>
        <w:t>single axial section</w:t>
      </w:r>
      <w:r w:rsidR="00475C5D" w:rsidRPr="009D7554">
        <w:rPr>
          <w:rFonts w:ascii="Book Antiqua" w:hAnsi="Book Antiqua"/>
          <w:lang w:val="en-US"/>
        </w:rPr>
        <w:t>s</w:t>
      </w:r>
      <w:r w:rsidRPr="009D7554">
        <w:rPr>
          <w:rFonts w:ascii="Book Antiqua" w:hAnsi="Book Antiqua"/>
          <w:lang w:val="en-US"/>
        </w:rPr>
        <w:t xml:space="preserve"> or whole target volume</w:t>
      </w:r>
      <w:r w:rsidR="00475C5D" w:rsidRPr="009D7554">
        <w:rPr>
          <w:rFonts w:ascii="Book Antiqua" w:hAnsi="Book Antiqua"/>
          <w:lang w:val="en-US"/>
        </w:rPr>
        <w:t>s</w:t>
      </w:r>
      <w:r w:rsidRPr="009D7554">
        <w:rPr>
          <w:rFonts w:ascii="Book Antiqua" w:hAnsi="Book Antiqua"/>
          <w:lang w:val="en-US"/>
        </w:rPr>
        <w:t xml:space="preserve">; </w:t>
      </w:r>
      <w:r w:rsidR="00475C5D" w:rsidRPr="009D7554">
        <w:rPr>
          <w:rFonts w:ascii="Book Antiqua" w:hAnsi="Book Antiqua"/>
          <w:lang w:val="en-US"/>
        </w:rPr>
        <w:t xml:space="preserve">the use of </w:t>
      </w:r>
      <w:r w:rsidR="009A70D4" w:rsidRPr="009D7554">
        <w:rPr>
          <w:rFonts w:ascii="Book Antiqua" w:hAnsi="Book Antiqua"/>
          <w:lang w:val="en-US"/>
        </w:rPr>
        <w:t>semia</w:t>
      </w:r>
      <w:r w:rsidRPr="009D7554">
        <w:rPr>
          <w:rFonts w:ascii="Book Antiqua" w:hAnsi="Book Antiqua"/>
          <w:lang w:val="en-US"/>
        </w:rPr>
        <w:t>utomated and automated system</w:t>
      </w:r>
      <w:r w:rsidR="00475C5D" w:rsidRPr="009D7554">
        <w:rPr>
          <w:rFonts w:ascii="Book Antiqua" w:hAnsi="Book Antiqua"/>
          <w:lang w:val="en-US"/>
        </w:rPr>
        <w:t>s</w:t>
      </w:r>
      <w:r w:rsidRPr="009D7554">
        <w:rPr>
          <w:rFonts w:ascii="Book Antiqua" w:hAnsi="Book Antiqua"/>
          <w:lang w:val="en-US"/>
        </w:rPr>
        <w:t xml:space="preserve"> to delineate tumor regions or volumes) may affect the measurement of TA parameters and may change their biologic</w:t>
      </w:r>
      <w:r w:rsidR="00EE0189" w:rsidRPr="009D7554">
        <w:rPr>
          <w:rFonts w:ascii="Book Antiqua" w:hAnsi="Book Antiqua"/>
          <w:lang w:val="en-US"/>
        </w:rPr>
        <w:t>al</w:t>
      </w:r>
      <w:r w:rsidRPr="009D7554">
        <w:rPr>
          <w:rFonts w:ascii="Book Antiqua" w:hAnsi="Book Antiqua"/>
          <w:lang w:val="en-US"/>
        </w:rPr>
        <w:t xml:space="preserve"> correlation. TA represents an ongoing topic </w:t>
      </w:r>
      <w:r w:rsidR="00EE0189" w:rsidRPr="009D7554">
        <w:rPr>
          <w:rFonts w:ascii="Book Antiqua" w:hAnsi="Book Antiqua"/>
          <w:lang w:val="en-US"/>
        </w:rPr>
        <w:t>of investigation</w:t>
      </w:r>
      <w:r w:rsidRPr="009D7554">
        <w:rPr>
          <w:rFonts w:ascii="Book Antiqua" w:hAnsi="Book Antiqua"/>
          <w:lang w:val="en-US"/>
        </w:rPr>
        <w:t xml:space="preserve">, but the clinical effectiveness of the technique still </w:t>
      </w:r>
      <w:r w:rsidR="00EE0189" w:rsidRPr="009D7554">
        <w:rPr>
          <w:rFonts w:ascii="Book Antiqua" w:hAnsi="Book Antiqua"/>
          <w:lang w:val="en-US"/>
        </w:rPr>
        <w:t xml:space="preserve">has </w:t>
      </w:r>
      <w:r w:rsidRPr="009D7554">
        <w:rPr>
          <w:rFonts w:ascii="Book Antiqua" w:hAnsi="Book Antiqua"/>
          <w:lang w:val="en-US"/>
        </w:rPr>
        <w:t xml:space="preserve">to be defined in different clinical settings </w:t>
      </w:r>
      <w:r w:rsidR="00EE0189" w:rsidRPr="009D7554">
        <w:rPr>
          <w:rFonts w:ascii="Book Antiqua" w:hAnsi="Book Antiqua"/>
          <w:lang w:val="en-US"/>
        </w:rPr>
        <w:t xml:space="preserve">relevant to </w:t>
      </w:r>
      <w:r w:rsidRPr="009D7554">
        <w:rPr>
          <w:rFonts w:ascii="Book Antiqua" w:hAnsi="Book Antiqua"/>
          <w:lang w:val="en-US"/>
        </w:rPr>
        <w:t>CRC.</w:t>
      </w:r>
    </w:p>
    <w:p w:rsidR="00F453A0" w:rsidRPr="009D7554" w:rsidRDefault="00F453A0" w:rsidP="006A253E">
      <w:pPr>
        <w:widowControl w:val="0"/>
        <w:autoSpaceDE w:val="0"/>
        <w:autoSpaceDN w:val="0"/>
        <w:adjustRightInd w:val="0"/>
        <w:snapToGrid w:val="0"/>
        <w:spacing w:line="360" w:lineRule="auto"/>
        <w:jc w:val="both"/>
        <w:rPr>
          <w:rFonts w:ascii="Book Antiqua" w:hAnsi="Book Antiqua"/>
          <w:lang w:val="en-US"/>
        </w:rPr>
      </w:pPr>
    </w:p>
    <w:p w:rsidR="00AB3D85" w:rsidRPr="009D7554" w:rsidRDefault="008447D2"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 xml:space="preserve">THE NEXT STEPS: MULTI-PARAMETRIC IMAGING ASSESSMENT, RADIOMICS AND RADIOGENOMICS, </w:t>
      </w:r>
      <w:r w:rsidR="00EE0189" w:rsidRPr="009D7554">
        <w:rPr>
          <w:rFonts w:ascii="Book Antiqua" w:hAnsi="Book Antiqua"/>
          <w:b/>
          <w:lang w:val="en-US"/>
        </w:rPr>
        <w:t xml:space="preserve">AND </w:t>
      </w:r>
      <w:r w:rsidRPr="009D7554">
        <w:rPr>
          <w:rFonts w:ascii="Book Antiqua" w:hAnsi="Book Antiqua"/>
          <w:b/>
          <w:lang w:val="en-US"/>
        </w:rPr>
        <w:t>MACHINE LEARNING</w:t>
      </w:r>
    </w:p>
    <w:p w:rsidR="0005754A" w:rsidRPr="009D7554" w:rsidRDefault="00910C89" w:rsidP="006A253E">
      <w:pPr>
        <w:snapToGrid w:val="0"/>
        <w:spacing w:line="360" w:lineRule="auto"/>
        <w:jc w:val="both"/>
        <w:rPr>
          <w:rFonts w:ascii="Book Antiqua" w:hAnsi="Book Antiqua"/>
          <w:lang w:val="en-US"/>
        </w:rPr>
      </w:pPr>
      <w:r w:rsidRPr="009D7554">
        <w:rPr>
          <w:rFonts w:ascii="Book Antiqua" w:hAnsi="Book Antiqua"/>
          <w:lang w:val="en-US"/>
        </w:rPr>
        <w:t xml:space="preserve">The complexity of tumor biology cannot be described by a single morphological, functional and/or molecular parameter. An integrated approach </w:t>
      </w:r>
      <w:r w:rsidR="00EE0189" w:rsidRPr="009D7554">
        <w:rPr>
          <w:rFonts w:ascii="Book Antiqua" w:hAnsi="Book Antiqua"/>
          <w:lang w:val="en-US"/>
        </w:rPr>
        <w:t xml:space="preserve">utilizing </w:t>
      </w:r>
      <w:r w:rsidR="009A70D4" w:rsidRPr="009D7554">
        <w:rPr>
          <w:rFonts w:ascii="Book Antiqua" w:hAnsi="Book Antiqua"/>
          <w:lang w:val="en-US"/>
        </w:rPr>
        <w:t>noni</w:t>
      </w:r>
      <w:r w:rsidRPr="009D7554">
        <w:rPr>
          <w:rFonts w:ascii="Book Antiqua" w:hAnsi="Book Antiqua"/>
          <w:lang w:val="en-US"/>
        </w:rPr>
        <w:t xml:space="preserve">nvasive in vivo imaging techniques can be used to </w:t>
      </w:r>
      <w:r w:rsidR="00EE0189" w:rsidRPr="009D7554">
        <w:rPr>
          <w:rFonts w:ascii="Book Antiqua" w:hAnsi="Book Antiqua"/>
          <w:lang w:val="en-US"/>
        </w:rPr>
        <w:t xml:space="preserve">accurately </w:t>
      </w:r>
      <w:r w:rsidRPr="009D7554">
        <w:rPr>
          <w:rFonts w:ascii="Book Antiqua" w:hAnsi="Book Antiqua"/>
          <w:lang w:val="en-US"/>
        </w:rPr>
        <w:t xml:space="preserve">represent neoplastic heterogeneity. A more comprehensive multiparametric assessment of tumor biology can be obtained </w:t>
      </w:r>
      <w:r w:rsidR="00EE0189" w:rsidRPr="009D7554">
        <w:rPr>
          <w:rFonts w:ascii="Book Antiqua" w:hAnsi="Book Antiqua"/>
          <w:lang w:val="en-US"/>
        </w:rPr>
        <w:t xml:space="preserve">from </w:t>
      </w:r>
      <w:r w:rsidRPr="009D7554">
        <w:rPr>
          <w:rFonts w:ascii="Book Antiqua" w:hAnsi="Book Antiqua"/>
          <w:lang w:val="en-US"/>
        </w:rPr>
        <w:t>a single examination combining morphological</w:t>
      </w:r>
      <w:r w:rsidR="00EE0189" w:rsidRPr="009D7554">
        <w:rPr>
          <w:rFonts w:ascii="Book Antiqua" w:hAnsi="Book Antiqua"/>
          <w:lang w:val="en-US"/>
        </w:rPr>
        <w:t>,</w:t>
      </w:r>
      <w:r w:rsidRPr="009D7554">
        <w:rPr>
          <w:rFonts w:ascii="Book Antiqua" w:hAnsi="Book Antiqua"/>
          <w:lang w:val="en-US"/>
        </w:rPr>
        <w:t xml:space="preserve"> functional </w:t>
      </w:r>
      <w:r w:rsidR="001F0F25" w:rsidRPr="009D7554">
        <w:rPr>
          <w:rFonts w:ascii="Book Antiqua" w:hAnsi="Book Antiqua"/>
          <w:lang w:val="en-US"/>
        </w:rPr>
        <w:t>and/or</w:t>
      </w:r>
      <w:r w:rsidRPr="009D7554">
        <w:rPr>
          <w:rFonts w:ascii="Book Antiqua" w:hAnsi="Book Antiqua"/>
          <w:lang w:val="en-US"/>
        </w:rPr>
        <w:t xml:space="preserve"> molecular information </w:t>
      </w:r>
      <w:r w:rsidR="00EE0189" w:rsidRPr="009D7554">
        <w:rPr>
          <w:rFonts w:ascii="Book Antiqua" w:hAnsi="Book Antiqua"/>
          <w:lang w:val="en-US"/>
        </w:rPr>
        <w:t>by using</w:t>
      </w:r>
      <w:r w:rsidRPr="009D7554">
        <w:rPr>
          <w:rFonts w:ascii="Book Antiqua" w:hAnsi="Book Antiqua"/>
          <w:lang w:val="en-US"/>
        </w:rPr>
        <w:t xml:space="preserve"> hybrid devices</w:t>
      </w:r>
      <w:r w:rsidR="001F0F25" w:rsidRPr="009D7554">
        <w:rPr>
          <w:rFonts w:ascii="Book Antiqua" w:hAnsi="Book Antiqua"/>
          <w:lang w:val="en-US"/>
        </w:rPr>
        <w:t xml:space="preserve"> such as</w:t>
      </w:r>
      <w:r w:rsidRPr="009D7554">
        <w:rPr>
          <w:rFonts w:ascii="Book Antiqua" w:hAnsi="Book Antiqua"/>
          <w:lang w:val="en-US"/>
        </w:rPr>
        <w:t xml:space="preserve"> PET/CT or PET/MRI. A few studies have investigated the relationships between functional and molecular parameters in CRC. An inverse relationship between tumor vascularization (expressed as </w:t>
      </w:r>
      <w:r w:rsidR="00EE0189" w:rsidRPr="009D7554">
        <w:rPr>
          <w:rFonts w:ascii="Book Antiqua" w:hAnsi="Book Antiqua"/>
          <w:lang w:val="en-US"/>
        </w:rPr>
        <w:t xml:space="preserve">the </w:t>
      </w:r>
      <w:r w:rsidRPr="009D7554">
        <w:rPr>
          <w:rFonts w:ascii="Book Antiqua" w:hAnsi="Book Antiqua"/>
          <w:lang w:val="en-US"/>
        </w:rPr>
        <w:t>Kep value) and metabolism (expressed as SUVmax) was observed in CRLMs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{"citationItems":[{"id":"ITEM-1","itemData":{"DOI":"10.1148/radiol.2371041397","ISSN":"0033-8419","PMID":"16183932","author":[{"dropping-particle":"","family":"Laarhoven","given":"Hanneke W. M.","non-dropping-particle":"van","parse-names":false,"suffix":""},{"dropping-particle":"","family":"Geus-Oei","given":"Lioe-Fee","non-dropping-particle":"de","parse-names":false,"suffix":""},{"dropping-particle":"","family":"Wiering","given":"Bastiaan","non-dropping-particle":"","parse-names":false,"suffix":""},{"dropping-particle":"","family":"Lok","given":"Jasper","non-dropping-particle":"","parse-names":false,"suffix":""},{"dropping-particle":"","family":"Rijpkema","given":"Mark","non-dropping-particle":"","parse-names":false,"suffix":""},{"dropping-particle":"","family":"Kaanders","given":"Johannes H. A. M.","non-dropping-particle":"","parse-names":false,"suffix":""},{"dropping-particle":"","family":"Krabbe","given":"Paul F. M.","non-dropping-particle":"","parse-names":false,"suffix":""},{"dropping-particle":"","family":"Ruers","given":"Theo","non-dropping-particle":"","parse-names":false,"suffix":""},{"dropping-particle":"","family":"Punt","given":"Cornelis J. A.","non-dropping-particle":"","parse-names":false,"suffix":""},{"dropping-particle":"","family":"Kogel","given":"Albert J.","non-dropping-particle":"van der","parse-names":false,"suffix":""},{"dropping-particle":"","family":"Oyen","given":"Wim J. G.","non-dropping-particle":"","parse-names":false,"suffix":""},{"dropping-particle":"","family":"Heerschap","given":"Arend","non-dropping-particle":"","parse-names":false,"suffix":""}],"container-title":"Radiology","id":"ITEM-1","issue":"1","issued":{"date-parts":[["2005","10"]]},"page":"181-188","title":"Gadopentetate Dimeglumine and FDG Uptake in Liver Metastases of Colorectal Carcinoma as Determined with MR Imaging and PET","type":"article-journal","volume":"237"},"uris":["http://www.mendeley.com/documents/?uuid=963eabd4-eb0d-4d3e-b4ef-2d71aa58a645"]}],"mendeley":{"formattedCitation":"&lt;sup&gt;[155]&lt;/sup&gt;","plainTextFormattedCitation":"[155]","previouslyFormattedCitation":"&lt;sup&gt;[155]&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[155]</w:t>
      </w:r>
      <w:r w:rsidR="00A75298" w:rsidRPr="009D7554">
        <w:rPr>
          <w:rFonts w:ascii="Book Antiqua" w:hAnsi="Book Antiqua"/>
          <w:lang w:val="en-US"/>
        </w:rPr>
        <w:fldChar w:fldCharType="end"/>
      </w:r>
      <w:r w:rsidR="003662F7" w:rsidRPr="009D7554">
        <w:rPr>
          <w:rFonts w:ascii="Book Antiqua" w:hAnsi="Book Antiqua"/>
          <w:lang w:val="en-US"/>
        </w:rPr>
        <w:t xml:space="preserve">. </w:t>
      </w:r>
      <w:r w:rsidR="00685C41" w:rsidRPr="009D7554">
        <w:rPr>
          <w:rFonts w:ascii="Book Antiqua" w:hAnsi="Book Antiqua"/>
          <w:lang w:val="en-US"/>
        </w:rPr>
        <w:t xml:space="preserve">CRCs with a low-flow and high-metabolism phenotype were associated with </w:t>
      </w:r>
      <w:r w:rsidR="00EE0189" w:rsidRPr="009D7554">
        <w:rPr>
          <w:rFonts w:ascii="Book Antiqua" w:hAnsi="Book Antiqua"/>
          <w:lang w:val="en-US"/>
        </w:rPr>
        <w:t xml:space="preserve">increased </w:t>
      </w:r>
      <w:r w:rsidR="00685C41" w:rsidRPr="009D7554">
        <w:rPr>
          <w:rFonts w:ascii="Book Antiqua" w:hAnsi="Book Antiqua"/>
          <w:lang w:val="en-US"/>
        </w:rPr>
        <w:t>levels of hypoxia-inducible factor 1 (HIF-1a), suggesting that flow and metabolism mismatch may represent an adaptative angiogenic response to hypoxia</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{"citationItems":[{"id":"ITEM-1","itemData":{"DOI":"10.2967/jnumed.111.098525","ISSN":"1535-5667","PMID":"22454485","abstract":"UNLABELLED The aim of this study was to assess the in vivo flow-metabolic phenotype in primary colorectal cancer with integrated (18)F-FDG PET/perfusion CT and its relationship to gold standard histopathologic assessment of angiogenesis and hypoxia. METHODS 45 patients (26 male and 19 female; mean age, 67.6 y) with primary colorectal cancer underwent integrated (18)F-FDG PET/perfusion CT, deriving tumor glucose metabolism (maximum standardized uptake value) and regional blood flow. From this cohort, 35 underwent surgery subsequently, without intervening neoadjuvant treatment, allowing histopathologic correlation with tumor stage, CD105 microvessel density, vascular endothelial growth factor (VEGF), glucose transporter protein 1 (Glut-1), and hypoxia-inducible factor 1 expression. RESULTS The flow-metabolic ratio was significantly lower for tumors with higher VEGF (3.65 vs. 5.98; P = 0.01) or hypoxia-inducible factor 1 expression (3.63 vs. 5.48; P = 0.04) versus tumors with lower expression. There were significant negative correlations between the tumor flow-metabolic ratio and VEGF expression (r = -0.55, P = 0.0008), indicating that tumors with low blood flow but higher metabolism were associated with higher VEGF expression. Flow and metabolism were coupled in higher-stage (stage III/IV) tumors but not lower-stage tumors (stage I/II) (r = 0.47, P = 0.03, vs. r = 0.09, P = 0.65, respectively. CONCLUSION Tumors with a low-flow-high-metabolism phenotype demonstrated higher VEGF expression and may reflect a more angiogenic phenotype.","author":[{"dropping-particle":"","family":"Goh","given":"Vicky","non-dropping-particle":"","parse-names":false,"suffix":""},{"dropping-particle":"","family":"Engledow","given":"Alec","non-dropping-particle":"","parse-names":false,"suffix":""},{"dropping-particle":"","family":"Rodriguez-Justo","given":"Manuel","non-dropping-particle":"","parse-names":false,"suffix":""},{"dropping-particle":"","family":"Shastry","given":"Manu","non-dropping-particle":"","parse-names":false,"suffix":""},{"dropping-particle":"","family":"Peck","given":"Jacquie","non-dropping-particle":"","parse-names":false,"suffix":""},{"dropping-particle":"","family":"Blackman","given":"Glen","non-dropping-particle":"","parse-names":false,"suffix":""},{"dropping-particle":"","family":"Endozo","given":"Raymondo","non-dropping-particle":"","parse-names":false,"suffix":""},{"dropping-particle":"","family":"Taylor","given":"Stuart","non-dropping-particle":"","parse-names":false,"suffix":""},{"dropping-particle":"","family":"Halligan","given":"Steve","non-dropping-particle":"","parse-names":false,"suffix":""},{"dropping-particle":"","family":"Ell","given":"Peter","non-dropping-particle":"","parse-names":false,"suffix":""},{"dropping-particle":"","family":"Groves","given":"Ashley M","non-dropping-particle":"","parse-names":false,"suffix":""}],"container-title":"Journal of nuclear medicine : official publication, Society of Nuclear Medicine","id":"ITEM-1","issue":"5","issued":{"date-parts":[["2012","5"]]},"page":"687-92","title":"The flow-metabolic phenotype of primary colorectal cancer: assessment by integrated 18F-FDG PET/perfusion CT with histopathologic correlation.","type":"article-journal","volume":"53"},"uris":["http://www.mendeley.com/documents/?uuid=88358c6a-28e0-4cea-962a-d8a9113e09e1"]}],"mendeley":{"formattedCitation":"&lt;sup&gt;[156]&lt;/sup&gt;","plainTextFormattedCitation":"[156]","previouslyFormattedCitation":"&lt;sup&gt;[156]&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[156]</w:t>
      </w:r>
      <w:r w:rsidR="00A75298" w:rsidRPr="009D7554">
        <w:rPr>
          <w:rFonts w:ascii="Book Antiqua" w:hAnsi="Book Antiqua"/>
          <w:lang w:val="en-US"/>
        </w:rPr>
        <w:fldChar w:fldCharType="end"/>
      </w:r>
      <w:r w:rsidR="00685C41" w:rsidRPr="009D7554">
        <w:rPr>
          <w:rFonts w:ascii="Book Antiqua" w:hAnsi="Book Antiqua"/>
          <w:lang w:val="en-US"/>
        </w:rPr>
        <w:t xml:space="preserve">. </w:t>
      </w:r>
      <w:r w:rsidRPr="009D7554">
        <w:rPr>
          <w:rFonts w:ascii="Book Antiqua" w:hAnsi="Book Antiqua"/>
          <w:lang w:val="en-US"/>
        </w:rPr>
        <w:t>Highly perfused RC manifested with higher FDG</w:t>
      </w:r>
      <w:r w:rsidR="001F0F25" w:rsidRPr="009D7554">
        <w:rPr>
          <w:rFonts w:ascii="Book Antiqua" w:hAnsi="Book Antiqua"/>
          <w:lang w:val="en-US"/>
        </w:rPr>
        <w:t xml:space="preserve"> </w:t>
      </w:r>
      <w:r w:rsidRPr="009D7554">
        <w:rPr>
          <w:rFonts w:ascii="Book Antiqua" w:hAnsi="Book Antiqua"/>
          <w:lang w:val="en-US"/>
        </w:rPr>
        <w:t xml:space="preserve">uptake levels </w:t>
      </w:r>
      <w:r w:rsidR="00EE0189" w:rsidRPr="009D7554">
        <w:rPr>
          <w:rFonts w:ascii="Book Antiqua" w:hAnsi="Book Antiqua"/>
          <w:lang w:val="en-US"/>
        </w:rPr>
        <w:t>than</w:t>
      </w:r>
      <w:r w:rsidRPr="009D7554">
        <w:rPr>
          <w:rFonts w:ascii="Book Antiqua" w:hAnsi="Book Antiqua"/>
          <w:lang w:val="en-US"/>
        </w:rPr>
        <w:t xml:space="preserve"> low-perfusion tumors, suggesting that tumor growth is accompanied by an intense inflammatory reaction rather than </w:t>
      </w:r>
      <w:r w:rsidR="00EE0189" w:rsidRPr="009D7554">
        <w:rPr>
          <w:rFonts w:ascii="Book Antiqua" w:hAnsi="Book Antiqua"/>
          <w:lang w:val="en-US"/>
        </w:rPr>
        <w:t>the development of necrosis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{"citationItems":[{"id":"ITEM-1","itemData":{"DOI":"10.1016/j.ijrobp.2010.10.029","ISSN":"1879-355X","PMID":"21392896","abstract":"PURPOSE The purpose of this study was to analyze both the intratumoral fluorodeoxyglucose (FDG) uptake and perfusion within rectal tumors before and after hypofractionated radiotherapy. METHODS AND MATERIALS Rectal cancer patients, referred for preoperative hypofractionated radiotherapy (RT), underwent FDG-positron emission tomography (PET)-computed tomography (CT) and perfusion-CT (pCT) imaging before the start of hypofractionated RT and at the day of the last RT fraction. The pCT-images were analyzed using the extended Kety model, quantifying tumor perfusion with the pharmacokinetic parameters K(trans), v(e), and v(p). The mean and maximum FDG uptake based on the standardized uptake value (SUV) and transfer constant (K(trans)) within the tumor were correlated. Also, the tumor was subdivided into eight subregions and for each subregion the mean and maximum SUVs and K(trans) values were assessed and correlated. Furthermore, the mean FDG uptake in voxels presenting with the lowest 25% of perfusion was compared with the FDG uptake in the voxels with the 25% highest perfusion. RESULTS The mean and maximum K(trans) values were positively correlated with the corresponding SUVs (ρ = 0.596, p = 0.001 and ρ = 0.779, p &lt; 0.001). Also, positive correlations were found for K(trans) values and SUVs within the subregions (mean, ρ = 0.413, p &lt; 0.001; and max, ρ = 0.540, p &lt; 0.001). The mean FDG uptake in the 25% highest-perfused tumor regions was significantly higher compared with the 25% lowest-perfused regions (10.6% ± 5.1%, p = 0.017). During hypofractionated radiotherapy, stable mean (p = 0.379) and maximum (p = 0.280) FDG uptake levels were found, whereas the mean (p = 0.040) and maximum (p = 0.003) K(trans) values were found to significantly increase. CONCLUSION Highly perfused rectal tumors presented with higher FDG-uptake levels compared with relatively low perfused tumors. Also, intratumor regions with a high FDG uptake demonstrated with higher levels of perfusion than regions with a relatively low FDG-uptake. Early after hypofractionated RT, stable FDG uptake levels were found, whereas tumor perfusion was found to significantly increase.","author":[{"dropping-particle":"","family":"Janssen","given":"Marco H M","non-dropping-particle":"","parse-names":false,"suffix":""},{"dropping-particle":"","family":"Aerts","given":"Hugo J W L","non-dropping-particle":"","parse-names":false,"suffix":""},{"dropping-particle":"","family":"Buijsen","given":"Jeroen","non-dropping-particle":"","parse-names":false,"suffix":""},{"dropping-particle":"","family":"Lambin","given":"Philippe","non-dropping-particle":"","parse-names":false,"suffix":""},{"dropping-particle":"","family":"Lammering","given":"Guido","non-dropping-particle":"","parse-names":false,"suffix":""},{"dropping-particle":"","family":"Öllers","given":"Michel C","non-dropping-particle":"","parse-names":false,"suffix":""}],"container-title":"International journal of radiation oncology, biology, physics","id":"ITEM-1","issue":"2","issued":{"date-parts":[["2012","2","1"]]},"page":"849-55","title":"Repeated positron emission tomography-computed tomography and perfusion-computed tomography imaging in rectal cancer: fluorodeoxyglucose uptake corresponds with tumor perfusion.","type":"article-journal","volume":"82"},"uris":["http://www.mendeley.com/documents/?uuid=1f8ad33b-29df-44f6-8878-b42e88ec6fa1"]}],"mendeley":{"formattedCitation":"&lt;sup&gt;[157]&lt;/sup&gt;","plainTextFormattedCitation":"[157]","previouslyFormattedCitation":"&lt;sup&gt;[157]&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[157]</w:t>
      </w:r>
      <w:r w:rsidR="00A75298" w:rsidRPr="009D7554">
        <w:rPr>
          <w:rFonts w:ascii="Book Antiqua" w:hAnsi="Book Antiqua"/>
          <w:lang w:val="en-US"/>
        </w:rPr>
        <w:fldChar w:fldCharType="end"/>
      </w:r>
      <w:r w:rsidRPr="009D7554">
        <w:rPr>
          <w:rFonts w:ascii="Book Antiqua" w:hAnsi="Book Antiqua"/>
          <w:lang w:val="en-US"/>
        </w:rPr>
        <w:t xml:space="preserve">. A significant negative correlation between the ADC and SUV values </w:t>
      </w:r>
      <w:r w:rsidR="001F0F25" w:rsidRPr="009D7554">
        <w:rPr>
          <w:rFonts w:ascii="Book Antiqua" w:hAnsi="Book Antiqua"/>
          <w:lang w:val="en-US"/>
        </w:rPr>
        <w:t>was</w:t>
      </w:r>
      <w:r w:rsidRPr="009D7554">
        <w:rPr>
          <w:rFonts w:ascii="Book Antiqua" w:hAnsi="Book Antiqua"/>
          <w:lang w:val="en-US"/>
        </w:rPr>
        <w:t xml:space="preserve"> reported </w:t>
      </w:r>
      <w:r w:rsidR="00EE0189" w:rsidRPr="009D7554">
        <w:rPr>
          <w:rFonts w:ascii="Book Antiqua" w:hAnsi="Book Antiqua"/>
          <w:lang w:val="en-US"/>
        </w:rPr>
        <w:t xml:space="preserve">for </w:t>
      </w:r>
      <w:r w:rsidRPr="009D7554">
        <w:rPr>
          <w:rFonts w:ascii="Book Antiqua" w:hAnsi="Book Antiqua"/>
          <w:lang w:val="en-US"/>
        </w:rPr>
        <w:t xml:space="preserve">adenocarcinomas of the rectum, suggesting that </w:t>
      </w:r>
      <w:r w:rsidR="00EE0189" w:rsidRPr="009D7554">
        <w:rPr>
          <w:rFonts w:ascii="Book Antiqua" w:hAnsi="Book Antiqua"/>
          <w:lang w:val="en-US"/>
        </w:rPr>
        <w:t xml:space="preserve">the </w:t>
      </w:r>
      <w:r w:rsidRPr="009D7554">
        <w:rPr>
          <w:rFonts w:ascii="Book Antiqua" w:hAnsi="Book Antiqua"/>
          <w:lang w:val="en-US"/>
        </w:rPr>
        <w:t xml:space="preserve">vital cellular burden is </w:t>
      </w:r>
      <w:r w:rsidR="00502E2D" w:rsidRPr="009D7554">
        <w:rPr>
          <w:rFonts w:ascii="Book Antiqua" w:hAnsi="Book Antiqua"/>
          <w:lang w:val="en-US"/>
        </w:rPr>
        <w:t>associated</w:t>
      </w:r>
      <w:r w:rsidR="00EE0189" w:rsidRPr="009D7554">
        <w:rPr>
          <w:rFonts w:ascii="Book Antiqua" w:hAnsi="Book Antiqua"/>
          <w:lang w:val="en-US"/>
        </w:rPr>
        <w:t xml:space="preserve"> </w:t>
      </w:r>
      <w:r w:rsidRPr="009D7554">
        <w:rPr>
          <w:rFonts w:ascii="Book Antiqua" w:hAnsi="Book Antiqua"/>
          <w:lang w:val="en-US"/>
        </w:rPr>
        <w:t>with increased metabolism</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{"citationItems":[{"id":"ITEM-1","itemData":{"DOI":"10.1002/jmri.22405","ISSN":"1522-2586","PMID":"21274975","abstract":"PURPOSE To assess the correlations between parameters measured on dynamic contrast-enhanced magnetic resonance imaging and 18F-fluorodeoxyglucose positron emission tomography (FDG-PET) in rectal cancer. MATERIALS AND METHODS To assess the correlations between parameters measured on dynamic contrast-enhanced MRI and FDG-PET in rectal cancer. RESULTS Significant correlations were only demonstrated between k(ep) and SUVmax (r = 0.587, P = 0.001), and k(ep) and SUVmean (r = 0.562, P = 0.002). No significant differences were found in imaging parameters between well, moderately and poorly differentiated adenocarcinoma groups. However, there was a trend that higher imaging values were found in poorly differentiated adenocarcinomas. CONCLUSION Positive correlations were found between k(ep) and SUV values in primary rectal adenocarcinomas suggesting an association between angiogenesis and metabolic activity and further reflecting that angiogenic activity in washout phase is better associated with tumor metabolism than the uptake phase.","author":[{"dropping-particle":"","family":"Gu","given":"Jing","non-dropping-particle":"","parse-names":false,"suffix":""},{"dropping-particle":"","family":"Khong","given":"Pek-Lan","non-dropping-particle":"","parse-names":false,"suffix":""},{"dropping-particle":"","family":"Wang","given":"Silun","non-dropping-particle":"","parse-names":false,"suffix":""},{"dropping-particle":"","family":"Chan","given":"Queenie","non-dropping-particle":"","parse-names":false,"suffix":""},{"dropping-particle":"","family":"Wu","given":"Ed X","non-dropping-particle":"","parse-names":false,"suffix":""},{"dropping-particle":"","family":"Law","given":"Wailun","non-dropping-particle":"","parse-names":false,"suffix":""},{"dropping-particle":"","family":"Liu","given":"Rico Kingyin","non-dropping-particle":"","parse-names":false,"suffix":""},{"dropping-particle":"","family":"Zhang","given":"Jingbo","non-dropping-particle":"","parse-names":false,"suffix":""}],"container-title":"Journal of magnetic resonance imaging : JMRI","id":"ITEM-1","issue":"2","issued":{"date-parts":[["2011","2"]]},"page":"340-7","title":"Dynamic contrast-enhanced MRI of primary rectal cancer: quantitative correlation with positron emission tomography/computed tomography.","type":"article-journal","volume":"33"},"uris":["http://www.mendeley.com/documents/?uuid=3e426033-6eac-44de-a38a-504b68029066"]},{"id":"ITEM-2","itemData":{"DOI":"10.1007/s00259-014-2752-4","ISSN":"1619-7089","PMID":"24760269","abstract":"PURPOSE The aim of this study was to prospectively monitor changes in the flow-metabolic phenotype (ΔFMP) of rectal carcinoma (RC) after neoadjuvant chemoradiotherapy (CRT) and to evaluate whether ΔFMP of RC correlate with histopathological prognostic factors including response to CRT. METHODS Sixteen patients with RC (12 men, mean age 60.7 ± 12.8 years) underwent integrated (18)F-fluorodeoxyglucose (FDG) positron emission tomography (PET)/perfusion CT (PET/PCT), followed by neoadjuvant CRT and surgery. In 13 patients, PET/PCT was repeated after CRT. Perfusion [blood flow (BF), blood volume (BV), mean transit time (MTT)] and metabolic [maximum and mean standardized uptake values (SUVmax, SUVmean)] parameters as well as the FMP (BF × SUVmax) were determined before and after CRT by two independent readers and correlated to histopathological prognostic factors of RC (microvessel density, necrosis index, regression index, vascular invasion) derived from resected specimens. The diagnostic performance of ΔFMP for prediction of treatment response was determined. RESULTS FMP significantly decreased after CRT (p &lt; 0.001), exploiting higher changes after CRT as compared to changes of perfusion and metabolic parameters alone. Before CRT, no significant correlations were found between integrated PET/PCT and any of the histopathological parameters (all p &gt; 0.05). After CRT, BV and SUVmax correlated positively with the necrosis index (r = 0.67/0.70), SUVmax with the invasion of blood vessels (r = 0.62) and ΔFMP with the regression index (r = 0.88; all p &lt; 0.05). ΔFMP showed high accuracy for prediction of histopathological response to CRT (AUC 0.955, 95 % confidence interval 0.833-1.000, p &lt; 0.01) using a cut-off value of -75%. CONCLUSION In RC, ΔFMP derived from integrated (18)F-FDG PET/PCT is useful for monitoring the effects of neoadjuvant CRT and allows prediction of histopathological response to CRT.","author":[{"dropping-particle":"","family":"Fischer","given":"Michael A","non-dropping-particle":"","parse-names":false,"suffix":""},{"dropping-particle":"","family":"Vrugt","given":"Bart","non-dropping-particle":"","parse-names":false,"suffix":""},{"dropping-particle":"","family":"Alkadhi","given":"Hatem","non-dropping-particle":"","parse-names":false,"suffix":""},{"dropping-particle":"","family":"Hahnloser","given":"Dieter","non-dropping-particle":"","parse-names":false,"suffix":""},{"dropping-particle":"","family":"Hany","given":"Thomas F","non-dropping-particle":"","parse-names":false,"suffix":""},{"dropping-particle":"","family":"Veit-Haibach","given":"Patrick","non-dropping-particle":"","parse-names":false,"suffix":""}],"container-title":"European journal of nuclear medicine and molecular imaging","id":"ITEM-2","issue":"8","issued":{"date-parts":[["2014","8"]]},"page":"1563-73","title":"Integrated ¹</w:instrText>
      </w:r>
      <w:r w:rsidR="004308B4" w:rsidRPr="009D7554">
        <w:rPr>
          <w:rFonts w:ascii="Book Antiqua" w:hAnsi="Cambria Math" w:cs="Cambria Math"/>
          <w:lang w:val="en-US"/>
        </w:rPr>
        <w:instrText>⁸</w:instrText>
      </w:r>
      <w:r w:rsidR="004308B4" w:rsidRPr="009D7554">
        <w:rPr>
          <w:rFonts w:ascii="Book Antiqua" w:hAnsi="Book Antiqua"/>
          <w:lang w:val="en-US"/>
        </w:rPr>
        <w:instrText>F-FDG PET/perfusion CT for the monitoring of neoadjuvant chemoradiotherapy in rectal carcinoma: correlation with histopathology.","type":"article-journal","volume":"41"},"uris":["http://www.mendeley.com/documents/?uuid=a0f9c633-aed1-4a3e-8b26-8f948885e798"]}],"mendeley":{"formattedCitation":"&lt;sup&gt;[158,159]&lt;/sup&gt;","plainTextFormattedCitation":"[158,159]","previouslyFormattedCitation":"&lt;sup&gt;[158,159]&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[158,159]</w:t>
      </w:r>
      <w:r w:rsidR="00A75298" w:rsidRPr="009D7554">
        <w:rPr>
          <w:rFonts w:ascii="Book Antiqua" w:hAnsi="Book Antiqua"/>
          <w:lang w:val="en-US"/>
        </w:rPr>
        <w:fldChar w:fldCharType="end"/>
      </w:r>
      <w:r w:rsidR="006F064D" w:rsidRPr="009D7554">
        <w:rPr>
          <w:rFonts w:ascii="Book Antiqua" w:hAnsi="Book Antiqua"/>
          <w:lang w:val="en-US"/>
        </w:rPr>
        <w:t xml:space="preserve">. The decrease </w:t>
      </w:r>
      <w:r w:rsidR="00EE0189" w:rsidRPr="009D7554">
        <w:rPr>
          <w:rFonts w:ascii="Book Antiqua" w:hAnsi="Book Antiqua"/>
          <w:lang w:val="en-US"/>
        </w:rPr>
        <w:t xml:space="preserve">in </w:t>
      </w:r>
      <w:r w:rsidR="006F064D" w:rsidRPr="009D7554">
        <w:rPr>
          <w:rFonts w:ascii="Book Antiqua" w:hAnsi="Book Antiqua"/>
          <w:lang w:val="en-US"/>
        </w:rPr>
        <w:t xml:space="preserve">flow and metabolism (expressed as BF x SUVmax) showed high accuracy </w:t>
      </w:r>
      <w:r w:rsidR="00EE0189" w:rsidRPr="009D7554">
        <w:rPr>
          <w:rFonts w:ascii="Book Antiqua" w:hAnsi="Book Antiqua"/>
          <w:lang w:val="en-US"/>
        </w:rPr>
        <w:t xml:space="preserve">in </w:t>
      </w:r>
      <w:r w:rsidR="001F0F25" w:rsidRPr="009D7554">
        <w:rPr>
          <w:rFonts w:ascii="Book Antiqua" w:hAnsi="Book Antiqua"/>
          <w:lang w:val="en-US"/>
        </w:rPr>
        <w:t xml:space="preserve">the </w:t>
      </w:r>
      <w:r w:rsidR="006F064D" w:rsidRPr="009D7554">
        <w:rPr>
          <w:rFonts w:ascii="Book Antiqua" w:hAnsi="Book Antiqua"/>
          <w:lang w:val="en-US"/>
        </w:rPr>
        <w:t>prediction of histopathologic</w:t>
      </w:r>
      <w:r w:rsidR="00EE0189" w:rsidRPr="009D7554">
        <w:rPr>
          <w:rFonts w:ascii="Book Antiqua" w:hAnsi="Book Antiqua"/>
          <w:lang w:val="en-US"/>
        </w:rPr>
        <w:t>al</w:t>
      </w:r>
      <w:r w:rsidR="006F064D" w:rsidRPr="009D7554">
        <w:rPr>
          <w:rFonts w:ascii="Book Antiqua" w:hAnsi="Book Antiqua"/>
          <w:lang w:val="en-US"/>
        </w:rPr>
        <w:t xml:space="preserve"> response</w:t>
      </w:r>
      <w:r w:rsidR="00EE0189" w:rsidRPr="009D7554">
        <w:rPr>
          <w:rFonts w:ascii="Book Antiqua" w:hAnsi="Book Antiqua"/>
          <w:lang w:val="en-US"/>
        </w:rPr>
        <w:t>s</w:t>
      </w:r>
      <w:r w:rsidR="006F064D" w:rsidRPr="009D7554">
        <w:rPr>
          <w:rFonts w:ascii="Book Antiqua" w:hAnsi="Book Antiqua"/>
          <w:lang w:val="en-US"/>
        </w:rPr>
        <w:t xml:space="preserve"> to radiation therapy and chemotherapy </w:t>
      </w:r>
      <w:r w:rsidR="00EE0189" w:rsidRPr="009D7554">
        <w:rPr>
          <w:rFonts w:ascii="Book Antiqua" w:hAnsi="Book Antiqua"/>
          <w:lang w:val="en-US"/>
        </w:rPr>
        <w:t xml:space="preserve">when </w:t>
      </w:r>
      <w:r w:rsidR="006F064D" w:rsidRPr="009D7554">
        <w:rPr>
          <w:rFonts w:ascii="Book Antiqua" w:hAnsi="Book Antiqua"/>
          <w:lang w:val="en-US"/>
        </w:rPr>
        <w:t>using a cutoff value of -75% in patients with RC</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{"citationItems":[{"id":"ITEM-1","itemData":{"DOI":"10.1007/s00259-014-2752-4","ISSN":"1619-7089","PMID":"24760269","abstract":"PURPOSE The aim of this study was to prospectively monitor changes in the flow-metabolic phenotype (ΔFMP) of rectal carcinoma (RC) after neoadjuvant chemoradiotherapy (CRT) and to evaluate whether ΔFMP of RC correlate with histopathological prognostic factors including response to CRT. METHODS Sixteen patients with RC (12 men, mean age 60.7 ± 12.8 years) underwent integrated (18)F-fluorodeoxyglucose (FDG) positron emission tomography (PET)/perfusion CT (PET/PCT), followed by neoadjuvant CRT and surgery. In 13 patients, PET/PCT was repeated after CRT. Perfusion [blood flow (BF), blood volume (BV), mean transit time (MTT)] and metabolic [maximum and mean standardized uptake values (SUVmax, SUVmean)] parameters as well as the FMP (BF × SUVmax) were determined before and after CRT by two independent readers and correlated to histopathological prognostic factors of RC (microvessel density, necrosis index, regression index, vascular invasion) derived from resected specimens. The diagnostic performance of ΔFMP for prediction of treatment response was determined. RESULTS FMP significantly decreased after CRT (p &lt; 0.001), exploiting higher changes after CRT as compared to changes of perfusion and metabolic parameters alone. Before CRT, no significant correlations were found between integrated PET/PCT and any of the histopathological parameters (all p &gt; 0.05). After CRT, BV and SUVmax correlated positively with the necrosis index (r = 0.67/0.70), SUVmax with the invasion of blood vessels (r = 0.62) and ΔFMP with the regression index (r = 0.88; all p &lt; 0.05). ΔFMP showed high accuracy for prediction of histopathological response to CRT (AUC 0.955, 95 % confidence interval 0.833-1.000, p &lt; 0.01) using a cut-off value of -75%. CONCLUSION In RC, ΔFMP derived from integrated (18)F-FDG PET/PCT is useful for monitoring the effects of neoadjuvant CRT and allows prediction of histopathological response to CRT.","author":[{"dropping-particle":"","family":"Fischer","given":"Michael A","non-dropping-particle":"","parse-names":false,"suffix":""},{"dropping-particle":"","family":"Vrugt","given":"Bart","non-dropping-particle":"","parse-names":false,"suffix":""},{"dropping-particle":"","family":"Alkadhi","given":"Hatem","non-dropping-particle":"","parse-names":false,"suffix":""},{"dropping-particle":"","family":"Hahnloser","given":"Dieter","non-dropping-particle":"","parse-names":false,"suffix":""},{"dropping-particle":"","family":"Hany","given":"Thomas F","non-dropping-particle":"","parse-names":false,"suffix":""},{"dropping-particle":"","family":"Veit-Haibach","given":"Patrick","non-dropping-particle":"","parse-names":false,"suffix":""}],"container-title":"European journal of nuclear medicine and molecular imaging","id":"ITEM-1","issue":"8","issued":{"date-parts":[["2014","8"]]},"page":"1563-73","title":"Integrated ¹</w:instrText>
      </w:r>
      <w:r w:rsidR="004308B4" w:rsidRPr="009D7554">
        <w:rPr>
          <w:rFonts w:ascii="Book Antiqua" w:hAnsi="Cambria Math" w:cs="Cambria Math"/>
          <w:lang w:val="en-US"/>
        </w:rPr>
        <w:instrText>⁸</w:instrText>
      </w:r>
      <w:r w:rsidR="004308B4" w:rsidRPr="009D7554">
        <w:rPr>
          <w:rFonts w:ascii="Book Antiqua" w:hAnsi="Book Antiqua"/>
          <w:lang w:val="en-US"/>
        </w:rPr>
        <w:instrText>F-FDG PET/perfusion CT for the monitoring of neoadjuvant chemoradiotherapy in rectal carcinoma: correlation with histopathology.","type":"article-journal","volume":"41"},"uris":["http://www.mendeley.com/documents/?uuid=a0f9c633-aed1-4a3e-8b26-8f948885e798"]}],"mendeley":{"formattedCitation":"&lt;sup&gt;[159]&lt;/sup&gt;","plainTextFormattedCitation":"[159]","previouslyFormattedCitation":"&lt;sup&gt;[159]&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[159]</w:t>
      </w:r>
      <w:r w:rsidR="00A75298" w:rsidRPr="009D7554">
        <w:rPr>
          <w:rFonts w:ascii="Book Antiqua" w:hAnsi="Book Antiqua"/>
          <w:lang w:val="en-US"/>
        </w:rPr>
        <w:fldChar w:fldCharType="end"/>
      </w:r>
      <w:r w:rsidR="002E6B4B" w:rsidRPr="009D7554">
        <w:rPr>
          <w:rFonts w:ascii="Book Antiqua" w:hAnsi="Book Antiqua"/>
          <w:lang w:val="en-US"/>
        </w:rPr>
        <w:t xml:space="preserve">. </w:t>
      </w:r>
      <w:r w:rsidR="009A70D4" w:rsidRPr="009D7554">
        <w:rPr>
          <w:rFonts w:ascii="Book Antiqua" w:hAnsi="Book Antiqua"/>
          <w:lang w:val="en-US"/>
        </w:rPr>
        <w:t>Multip</w:t>
      </w:r>
      <w:r w:rsidR="002E6B4B" w:rsidRPr="009D7554">
        <w:rPr>
          <w:rFonts w:ascii="Book Antiqua" w:hAnsi="Book Antiqua"/>
          <w:lang w:val="en-US"/>
        </w:rPr>
        <w:t xml:space="preserve">arametric quantitative assessment appears </w:t>
      </w:r>
      <w:r w:rsidR="001F0F25" w:rsidRPr="009D7554">
        <w:rPr>
          <w:rFonts w:ascii="Book Antiqua" w:hAnsi="Book Antiqua"/>
          <w:lang w:val="en-US"/>
        </w:rPr>
        <w:t>to be</w:t>
      </w:r>
      <w:r w:rsidR="002E6B4B" w:rsidRPr="009D7554">
        <w:rPr>
          <w:rFonts w:ascii="Book Antiqua" w:hAnsi="Book Antiqua"/>
          <w:lang w:val="en-US"/>
        </w:rPr>
        <w:t xml:space="preserve"> a promising strategy </w:t>
      </w:r>
      <w:r w:rsidR="00EE0189" w:rsidRPr="009D7554">
        <w:rPr>
          <w:rFonts w:ascii="Book Antiqua" w:hAnsi="Book Antiqua"/>
          <w:lang w:val="en-US"/>
        </w:rPr>
        <w:t xml:space="preserve">for </w:t>
      </w:r>
      <w:r w:rsidR="002E6B4B" w:rsidRPr="009D7554">
        <w:rPr>
          <w:rFonts w:ascii="Book Antiqua" w:hAnsi="Book Antiqua"/>
          <w:lang w:val="en-US"/>
        </w:rPr>
        <w:t>CRC management</w:t>
      </w:r>
      <w:r w:rsidR="001F0F25" w:rsidRPr="009D7554">
        <w:rPr>
          <w:rFonts w:ascii="Book Antiqua" w:hAnsi="Book Antiqua"/>
          <w:lang w:val="en-US"/>
        </w:rPr>
        <w:t>;</w:t>
      </w:r>
      <w:r w:rsidR="002E6B4B" w:rsidRPr="009D7554">
        <w:rPr>
          <w:rFonts w:ascii="Book Antiqua" w:hAnsi="Book Antiqua"/>
          <w:lang w:val="en-US"/>
        </w:rPr>
        <w:t xml:space="preserve"> however</w:t>
      </w:r>
      <w:r w:rsidR="001F0F25" w:rsidRPr="009D7554">
        <w:rPr>
          <w:rFonts w:ascii="Book Antiqua" w:hAnsi="Book Antiqua"/>
          <w:lang w:val="en-US"/>
        </w:rPr>
        <w:t>,</w:t>
      </w:r>
      <w:r w:rsidR="002E6B4B" w:rsidRPr="009D7554">
        <w:rPr>
          <w:rFonts w:ascii="Book Antiqua" w:hAnsi="Book Antiqua"/>
          <w:lang w:val="en-US"/>
        </w:rPr>
        <w:t xml:space="preserve"> its role in the different clinical settings </w:t>
      </w:r>
      <w:r w:rsidR="00EE0189" w:rsidRPr="009D7554">
        <w:rPr>
          <w:rFonts w:ascii="Book Antiqua" w:hAnsi="Book Antiqua"/>
          <w:lang w:val="en-US"/>
        </w:rPr>
        <w:t xml:space="preserve">associated with </w:t>
      </w:r>
      <w:r w:rsidR="002E6B4B" w:rsidRPr="009D7554">
        <w:rPr>
          <w:rFonts w:ascii="Book Antiqua" w:hAnsi="Book Antiqua"/>
          <w:lang w:val="en-US"/>
        </w:rPr>
        <w:t xml:space="preserve">CRC </w:t>
      </w:r>
      <w:r w:rsidR="001F0F25" w:rsidRPr="009D7554">
        <w:rPr>
          <w:rFonts w:ascii="Book Antiqua" w:hAnsi="Book Antiqua"/>
          <w:lang w:val="en-US"/>
        </w:rPr>
        <w:t>must still</w:t>
      </w:r>
      <w:r w:rsidR="002E6B4B" w:rsidRPr="009D7554">
        <w:rPr>
          <w:rFonts w:ascii="Book Antiqua" w:hAnsi="Book Antiqua"/>
          <w:lang w:val="en-US"/>
        </w:rPr>
        <w:t xml:space="preserve"> be defined.</w:t>
      </w:r>
    </w:p>
    <w:p w:rsidR="001670A4" w:rsidRPr="009D7554" w:rsidRDefault="001670A4" w:rsidP="00F453A0">
      <w:pPr>
        <w:snapToGrid w:val="0"/>
        <w:spacing w:line="360" w:lineRule="auto"/>
        <w:ind w:firstLineChars="100" w:firstLine="240"/>
        <w:jc w:val="both"/>
        <w:rPr>
          <w:rFonts w:ascii="Book Antiqua" w:hAnsi="Book Antiqua"/>
          <w:lang w:val="en-US"/>
        </w:rPr>
      </w:pPr>
      <w:r w:rsidRPr="009D7554">
        <w:rPr>
          <w:rFonts w:ascii="Book Antiqua" w:hAnsi="Book Antiqua"/>
          <w:lang w:val="en-US"/>
        </w:rPr>
        <w:t>Further prospective investigations are needed to evaluate the clinical effectiveness of multiparametric imaging and to propose its routine clinical use in CRC setting</w:t>
      </w:r>
      <w:r w:rsidR="00EE0189" w:rsidRPr="009D7554">
        <w:rPr>
          <w:rFonts w:ascii="Book Antiqua" w:hAnsi="Book Antiqua"/>
          <w:lang w:val="en-US"/>
        </w:rPr>
        <w:t>s</w:t>
      </w:r>
      <w:r w:rsidRPr="009D7554">
        <w:rPr>
          <w:rFonts w:ascii="Book Antiqua" w:hAnsi="Book Antiqua"/>
          <w:lang w:val="en-US"/>
        </w:rPr>
        <w:t>.</w:t>
      </w:r>
    </w:p>
    <w:p w:rsidR="0008000B" w:rsidRPr="009D7554" w:rsidRDefault="006C4AC8" w:rsidP="006A253E">
      <w:pPr>
        <w:snapToGrid w:val="0"/>
        <w:spacing w:line="360" w:lineRule="auto"/>
        <w:jc w:val="both"/>
        <w:rPr>
          <w:rFonts w:ascii="Book Antiqua" w:hAnsi="Book Antiqua"/>
          <w:lang w:val="en-US"/>
        </w:rPr>
      </w:pPr>
      <w:r w:rsidRPr="009D7554">
        <w:rPr>
          <w:rFonts w:ascii="Book Antiqua" w:hAnsi="Book Antiqua"/>
          <w:lang w:val="en-US"/>
        </w:rPr>
        <w:t xml:space="preserve">Radiomics has recently emerged as a promising tool for discovering new imaging biomarkers by extracting and analyzing </w:t>
      </w:r>
      <w:r w:rsidR="00EE0189" w:rsidRPr="009D7554">
        <w:rPr>
          <w:rFonts w:ascii="Book Antiqua" w:hAnsi="Book Antiqua"/>
          <w:lang w:val="en-US"/>
        </w:rPr>
        <w:t>numerous</w:t>
      </w:r>
      <w:r w:rsidRPr="009D7554">
        <w:rPr>
          <w:rFonts w:ascii="Book Antiqua" w:hAnsi="Book Antiqua"/>
          <w:lang w:val="en-US"/>
        </w:rPr>
        <w:t xml:space="preserve"> quantitative image features representative of tumor heterogeneity and phenotype. Radiomics combines </w:t>
      </w:r>
      <w:r w:rsidR="00EE0189" w:rsidRPr="009D7554">
        <w:rPr>
          <w:rFonts w:ascii="Book Antiqua" w:hAnsi="Book Antiqua"/>
          <w:lang w:val="en-US"/>
        </w:rPr>
        <w:t xml:space="preserve">the </w:t>
      </w:r>
      <w:r w:rsidRPr="009D7554">
        <w:rPr>
          <w:rFonts w:ascii="Book Antiqua" w:hAnsi="Book Antiqua"/>
          <w:lang w:val="en-US"/>
        </w:rPr>
        <w:t xml:space="preserve">imaging </w:t>
      </w:r>
      <w:r w:rsidR="00EE0189" w:rsidRPr="009D7554">
        <w:rPr>
          <w:rFonts w:ascii="Book Antiqua" w:hAnsi="Book Antiqua"/>
          <w:lang w:val="en-US"/>
        </w:rPr>
        <w:t xml:space="preserve">of </w:t>
      </w:r>
      <w:r w:rsidRPr="009D7554">
        <w:rPr>
          <w:rFonts w:ascii="Book Antiqua" w:hAnsi="Book Antiqua"/>
          <w:lang w:val="en-US"/>
        </w:rPr>
        <w:t>quantitative biomarkers with clinical reports and laboratory test values in a statistical model (Figure 5). Similarly, radiogenomics evaluates the relations</w:t>
      </w:r>
      <w:r w:rsidR="00EE0189" w:rsidRPr="009D7554">
        <w:rPr>
          <w:rFonts w:ascii="Book Antiqua" w:hAnsi="Book Antiqua"/>
          <w:lang w:val="en-US"/>
        </w:rPr>
        <w:t>hip</w:t>
      </w:r>
      <w:r w:rsidRPr="009D7554">
        <w:rPr>
          <w:rFonts w:ascii="Book Antiqua" w:hAnsi="Book Antiqua"/>
          <w:lang w:val="en-US"/>
        </w:rPr>
        <w:t xml:space="preserve"> between radiomics and gene-expression patterns or transcriptomic </w:t>
      </w:r>
      <w:r w:rsidR="00EE0189" w:rsidRPr="009D7554">
        <w:rPr>
          <w:rFonts w:ascii="Book Antiqua" w:hAnsi="Book Antiqua"/>
          <w:lang w:val="en-US"/>
        </w:rPr>
        <w:t>and/</w:t>
      </w:r>
      <w:r w:rsidRPr="009D7554">
        <w:rPr>
          <w:rFonts w:ascii="Book Antiqua" w:hAnsi="Book Antiqua"/>
          <w:lang w:val="en-US"/>
        </w:rPr>
        <w:t xml:space="preserve">or proteomic data </w:t>
      </w:r>
      <w:r w:rsidR="00EE0189" w:rsidRPr="009D7554">
        <w:rPr>
          <w:rFonts w:ascii="Book Antiqua" w:hAnsi="Book Antiqua"/>
          <w:lang w:val="en-US"/>
        </w:rPr>
        <w:t xml:space="preserve">to </w:t>
      </w:r>
      <w:r w:rsidR="00502E2D" w:rsidRPr="009D7554">
        <w:rPr>
          <w:rFonts w:ascii="Book Antiqua" w:hAnsi="Book Antiqua"/>
          <w:lang w:val="en-US"/>
        </w:rPr>
        <w:t>generate</w:t>
      </w:r>
      <w:r w:rsidR="00EE0189" w:rsidRPr="009D7554">
        <w:rPr>
          <w:rFonts w:ascii="Book Antiqua" w:hAnsi="Book Antiqua"/>
          <w:lang w:val="en-US"/>
        </w:rPr>
        <w:t xml:space="preserve"> </w:t>
      </w:r>
      <w:r w:rsidRPr="009D7554">
        <w:rPr>
          <w:rFonts w:ascii="Book Antiqua" w:hAnsi="Book Antiqua"/>
          <w:lang w:val="en-US"/>
        </w:rPr>
        <w:t xml:space="preserve">a statistical model. These advanced computational techniques can be applied to any type of clinical </w:t>
      </w:r>
      <w:r w:rsidR="001F0F25" w:rsidRPr="009D7554">
        <w:rPr>
          <w:rFonts w:ascii="Book Antiqua" w:hAnsi="Book Antiqua"/>
          <w:lang w:val="en-US"/>
        </w:rPr>
        <w:t>image,</w:t>
      </w:r>
      <w:r w:rsidRPr="009D7554">
        <w:rPr>
          <w:rFonts w:ascii="Book Antiqua" w:hAnsi="Book Antiqua"/>
          <w:lang w:val="en-US"/>
        </w:rPr>
        <w:t xml:space="preserve"> such as CT, MRI or hybrid PET imag</w:t>
      </w:r>
      <w:r w:rsidR="00EE0189" w:rsidRPr="009D7554">
        <w:rPr>
          <w:rFonts w:ascii="Book Antiqua" w:hAnsi="Book Antiqua"/>
          <w:lang w:val="en-US"/>
        </w:rPr>
        <w:t>es</w:t>
      </w:r>
      <w:r w:rsidRPr="009D7554">
        <w:rPr>
          <w:rFonts w:ascii="Book Antiqua" w:hAnsi="Book Antiqua"/>
          <w:lang w:val="en-US"/>
        </w:rPr>
        <w:t>, and they can be used in a variety of clinical settings</w:t>
      </w:r>
      <w:r w:rsidR="00EE0189" w:rsidRPr="009D7554">
        <w:rPr>
          <w:rFonts w:ascii="Book Antiqua" w:hAnsi="Book Antiqua"/>
          <w:lang w:val="en-US"/>
        </w:rPr>
        <w:t xml:space="preserve"> for</w:t>
      </w:r>
      <w:r w:rsidRPr="009D7554">
        <w:rPr>
          <w:rFonts w:ascii="Book Antiqua" w:hAnsi="Book Antiqua"/>
          <w:lang w:val="en-US"/>
        </w:rPr>
        <w:t xml:space="preserve"> diagnosis, </w:t>
      </w:r>
      <w:r w:rsidR="00EE0189" w:rsidRPr="009D7554">
        <w:rPr>
          <w:rFonts w:ascii="Book Antiqua" w:hAnsi="Book Antiqua"/>
          <w:lang w:val="en-US"/>
        </w:rPr>
        <w:t xml:space="preserve">the </w:t>
      </w:r>
      <w:r w:rsidRPr="009D7554">
        <w:rPr>
          <w:rFonts w:ascii="Book Antiqua" w:hAnsi="Book Antiqua"/>
          <w:lang w:val="en-US"/>
        </w:rPr>
        <w:t xml:space="preserve">prediction of prognosis, and </w:t>
      </w:r>
      <w:r w:rsidR="00EE0189" w:rsidRPr="009D7554">
        <w:rPr>
          <w:rFonts w:ascii="Book Antiqua" w:hAnsi="Book Antiqua"/>
          <w:lang w:val="en-US"/>
        </w:rPr>
        <w:t xml:space="preserve">the </w:t>
      </w:r>
      <w:r w:rsidRPr="009D7554">
        <w:rPr>
          <w:rFonts w:ascii="Book Antiqua" w:hAnsi="Book Antiqua"/>
          <w:lang w:val="en-US"/>
        </w:rPr>
        <w:t>evaluation of treatment response</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{"citationItems":[{"id":"ITEM-1","itemData":{"DOI":"10.1093/jrr/rrx102","ISSN":"1349-9157","PMID":"29385618","abstract":"Imaging plays an important role in the diagnosis and staging of cancer, as well as in radiation treatment planning and evaluation of therapeutic response. Recently, there has been significant interest in extracting quantitative information from clinical standard-of-care images, i.e. radiomics, in order to provide a more comprehensive characterization of image phenotypes of the tumor. A number of studies have demonstrated that a deeper radiomic analysis can reveal novel image features that could provide useful diagnostic, prognostic or predictive information, improving upon currently used imaging metrics such as tumor size and volume. Furthermore, these imaging-derived phenotypes can be linked with genomic data, i.e. radiogenomics, in order to understand their biological underpinnings or further improve the prediction accuracy of clinical outcomes. In this article, we will provide an overview of radiomics and radiogenomics, including their rationale, technical and clinical aspects. We will also present some examples of the current results and some emerging paradigms in radiomics and radiogenomics for clinical oncology, with a focus on potential applications in radiotherapy. Finally, we will highlight the challenges in the field and suggest possible future directions in radiomics to maximize its potential impact on precision radiotherapy.","author":[{"dropping-particle":"","family":"Wu","given":"Jia","non-dropping-particle":"","parse-names":false,"suffix":""},{"dropping-particle":"","family":"Tha","given":"Khin Khin","non-dropping-particle":"","parse-names":false,"suffix":""},{"dropping-particle":"","family":"Xing","given":"Lei","non-dropping-particle":"","parse-names":false,"suffix":""},{"dropping-particle":"","family":"Li","given":"Ruijiang","non-dropping-particle":"","parse-names":false,"suffix":""}],"container-title":"Journal of radiation research","id":"ITEM-1","issue":"suppl_1","issued":{"date-parts":[["2018","3","1"]]},"page":"i25-i31","title":"Radiomics and radiogenomics for precision radiotherapy.","type":"article-journal","volume":"59"},"uris":["http://www.mendeley.com/documents/?uuid=16d89eed-634f-4026-9347-fbec169c9fda"]},{"id":"ITEM-2","itemData":{"DOI":"10.1148/rg.2018170044","ISSN":"0271-5333","PMID":"29676964","abstract":"Imaging techniques are clinical decision-making tools in the evaluation of patients with colorectal cancer (CRC). The aim of this article is to discuss the potential of recent advances in imaging for diagnosis, prognosis, therapy planning, and assessment of response to treatment of CRC. Recent developments and new clinical applications of conventional imaging techniques such as virtual colonoscopy, dual-energy spectral computed tomography, elastography, advanced computing techniques (including volumetric rendering techniques and machine learning), magnetic resonance (MR) imaging-based magnetization transfer, and new liver imaging techniques, which may offer additional clinical information in patients with CRC, are summarized. In addition, the clinical value of functional and molecular imaging techniques such as diffusion-weighted MR imaging, dynamic contrast material-enhanced imaging, blood oxygen level-dependent imaging, lymphography with contrast agents, positron emission tomography with different radiotracers, and MR spectroscopy is reviewed, and the advantages and disadvantages of these modalities are evaluated. Finally, the future role of imaging-based analysis of tumor heterogeneity and multiparametric imaging, the development of radiomics and radiogenomics, and future challenges for imaging of patients with CRC are discussed. Online supplemental material is available for this article. ©RSNA, 2018.","author":[{"dropping-particle":"","family":"García-Figueiras","given":"Roberto","non-dropping-particle":"","parse-names":false,"suffix":""},{"dropping-particle":"","family":"Baleato-González","given":"Sandra","non-dropping-particle":"","parse-names":false,"suffix":""},{"dropping-particle":"","family":"Padhani","given":"Anwar R","non-dropping-particle":"","parse-names":false,"suffix":""},{"dropping-particle":"","family":"Luna-Alcalá","given":"Antonio","non-dropping-particle":"","parse-names":false,"suffix":""},{"dropping-particle":"","family":"Marhuenda","given":"Ana","non-dropping-particle":"","parse-names":false,"suffix":""},{"dropping-particle":"","family":"Vilanova","given":"Joan C","non-dropping-particle":"","parse-names":false,"suffix":""},{"dropping-particle":"","family":"Osorio-Vázquez","given":"Iria","non-dropping-particle":"","parse-names":false,"suffix":""},{"dropping-particle":"","family":"Martínez-de-Alegría","given":"Anxo","non-dropping-particle":"","parse-names":false,"suffix":""},{"dropping-particle":"","family":"Gómez-Caamaño","given":"Antonio","non-dropping-particle":"","parse-names":false,"suffix":""}],"container-title":"RadioGraphics","id":"ITEM-2","issue":"3","issued":{"date-parts":[["2018","5"]]},"page":"740-765","title":"Advanced Imaging Techniques in Evaluation of Colorectal Cancer","type":"article-journal","volume":"38"},"uris":["http://www.mendeley.com/documents/?uuid=7c84ad02-f3c3-4a22-8504-dcd2749fdb9b"]}],"mendeley":{"formattedCitation":"&lt;sup&gt;[160,161]&lt;/sup&gt;","plainTextFormattedCitation":"[160,161]","previouslyFormattedCitation":"&lt;sup&gt;[160,161]&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[160,161]</w:t>
      </w:r>
      <w:r w:rsidR="00A75298" w:rsidRPr="009D7554">
        <w:rPr>
          <w:rFonts w:ascii="Book Antiqua" w:hAnsi="Book Antiqua"/>
          <w:lang w:val="en-US"/>
        </w:rPr>
        <w:fldChar w:fldCharType="end"/>
      </w:r>
      <w:r w:rsidR="00FA753A" w:rsidRPr="009D7554">
        <w:rPr>
          <w:rFonts w:ascii="Book Antiqua" w:hAnsi="Book Antiqua"/>
          <w:lang w:val="en-US"/>
        </w:rPr>
        <w:t xml:space="preserve">. Although there </w:t>
      </w:r>
      <w:r w:rsidR="001F0F25" w:rsidRPr="009D7554">
        <w:rPr>
          <w:rFonts w:ascii="Book Antiqua" w:hAnsi="Book Antiqua"/>
          <w:lang w:val="en-US"/>
        </w:rPr>
        <w:t xml:space="preserve">is </w:t>
      </w:r>
      <w:r w:rsidR="00FA753A" w:rsidRPr="009D7554">
        <w:rPr>
          <w:rFonts w:ascii="Book Antiqua" w:hAnsi="Book Antiqua"/>
          <w:lang w:val="en-US"/>
        </w:rPr>
        <w:t xml:space="preserve">still a limited amount of </w:t>
      </w:r>
      <w:r w:rsidR="001F0F25" w:rsidRPr="009D7554">
        <w:rPr>
          <w:rFonts w:ascii="Book Antiqua" w:hAnsi="Book Antiqua"/>
          <w:lang w:val="en-US"/>
        </w:rPr>
        <w:t>evidence</w:t>
      </w:r>
      <w:r w:rsidR="00FA753A" w:rsidRPr="009D7554">
        <w:rPr>
          <w:rFonts w:ascii="Book Antiqua" w:hAnsi="Book Antiqua"/>
          <w:lang w:val="en-US"/>
        </w:rPr>
        <w:t xml:space="preserve"> regarding the applications of radiogenomics to CRC, it retains tremendous potential</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{"citationItems":[{"id":"ITEM-1","itemData":{"DOI":"10.1016/j.ejrad.2019.02.022","ISSN":"0720048X","PMID":"30927944","abstract":"OBJECTIVE To investigate associations between genetic mutations and qualitative as well as quantitative features on MRI in rectal adenocarcinoma at primary staging. METHODS In this retrospective study, patients with rectal adenocarcinoma, genome sequencing, and pretreatment rectal MRI were included. Statistical analysis was performed to evaluate associations between qualitative features obtained from subjective evaluation of rectal MRI and gene mutations as well as between quantitative textural features and gene mutations. For the qualitative evaluation, Fisher's Exact test was used to analyze categorical associations and Wilcoxon Rank Sum test was used for continuous clinical variables. For the quantitative evaluation, we performed manual segmentation of T2-weighted images for radiomics-based quantitative image analysis. Thirty-four texture features consisting of first order intensity histogram-based features (n = 4), second order Haralick textures (n = 5), and Gabor-edge based Haralick textures were computed at two different orientations. Consensus clustering was performed with 34 computed texture features using the K-means algorithm with Euclidean distance between the texture features. The clusters resulting from the algorithm were then used to enumerate the prevalence of gene mutations in those clusters. RESULTS In 65 patients, 45 genes were mutated in more than 3/65 patients (5%) and were included in the statistical analysis. Regarding qualitative imaging features, on univariate analysis, tumor location was significantly associated with APC (p = 0.032) and RASA1 mutation (p = 0.032); CRM status was significantly associated with ATM mutation (p = 0.021); and lymph node metastasis was significantly associated with BRCA2 (p = 0.046) mutation. However, these associations were not significant after adjusting for multiple comparisons. Regarding quantitative imaging features, Cluster C1 had tumors with higher mean Gabor edge intensity compared with cluster C2 (θ = 0°, p = 0.018; θ = 45°, p = 0.047; θ = 90°, p = 0.037; cluster C3 (θ = 0°, p = 0.18; θ = 45°, p = 0.1; θ = 90°, p = 0.052), and cluster C4 (θ = 0°, p = 0.016; θ = 45°, p = 0.033; θ = 90°, p = 0.014) suggesting that the cluster C1 had tumors with more distinct edges or heterogeneous appearance compared with other clusters. CONCLUSIONS Although this preliminary study showed promising associations between quantitative features and genetic mutations, it did not show any correlation between qualitati…","author":[{"dropping-particle":"","family":"Horvat","given":"Natally","non-dropping-particle":"","parse-names":false,"suffix":""},{"dropping-particle":"","family":"Veeraraghavan","given":"Harini","non-dropping-particle":"","parse-names":false,"suffix":""},{"dropping-particle":"","family":"Pelossof","given":"Raphael A","non-dropping-particle":"","parse-names":false,"suffix":""},{"dropping-particle":"","family":"Fernandes","given":"Maria Clara","non-dropping-particle":"","parse-names":false,"suffix":""},{"dropping-particle":"","family":"Arora","given":"Arshi","non-dropping-particle":"","parse-names":false,"suffix":""},{"dropping-particle":"","family":"Khan","given":"Monika","non-dropping-particle":"","parse-names":false,"suffix":""},{"dropping-particle":"","family":"Marco","given":"Michael","non-dropping-particle":"","parse-names":false,"suffix":""},{"dropping-particle":"","family":"Cheng","given":"Chin-Tung","non-dropping-particle":"","parse-names":false,"suffix":""},{"dropping-particle":"","family":"Gonen","given":"Mithat","non-dropping-particle":"","parse-names":false,"suffix":""},{"dropping-particle":"","family":"Golia Pernicka","given":"Jennifer S","non-dropping-particle":"","parse-names":false,"suffix":""},{"dropping-particle":"","family":"Gollub","given":"Marc J","non-dropping-particle":"","parse-names":false,"suffix":""},{"dropping-particle":"","family":"Garcia-Aguillar","given":"Julio","non-dropping-particle":"","parse-names":false,"suffix":""},{"dropping-particle":"","family":"Petkovska","given":"Iva","non-dropping-particle":"","parse-names":false,"suffix":""}],"container-title":"European Journal of Radiology","id":"ITEM-1","issued":{"date-parts":[["2019","4"]]},"page":"174-181","title":"Radiogenomics of rectal adenocarcinoma in the era of precision medicine: A pilot study of associations between qualitative and quantitative MRI imaging features and genetic mutations","type":"article-journal","volume":"113"},"uris":["http://www.mendeley.com/documents/?uuid=5702ef5b-7486-4f1c-9687-ba3b2cd3a319"]}],"mendeley":{"formattedCitation":"&lt;sup&gt;[162]&lt;/sup&gt;","plainTextFormattedCitation":"[162]","previouslyFormattedCitation":"&lt;sup&gt;[162]&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[162]</w:t>
      </w:r>
      <w:r w:rsidR="00A75298" w:rsidRPr="009D7554">
        <w:rPr>
          <w:rFonts w:ascii="Book Antiqua" w:hAnsi="Book Antiqua"/>
          <w:lang w:val="en-US"/>
        </w:rPr>
        <w:fldChar w:fldCharType="end"/>
      </w:r>
      <w:r w:rsidR="004264A9" w:rsidRPr="009D7554">
        <w:rPr>
          <w:rFonts w:ascii="Book Antiqua" w:hAnsi="Book Antiqua"/>
          <w:lang w:val="en-US"/>
        </w:rPr>
        <w:t>. Indeed, studies conducted using images from different modalities (mainly PET/CT) have investigated the relationship between radiomic data and K-ras gene mutation</w:t>
      </w:r>
      <w:r w:rsidR="00EE0189" w:rsidRPr="009D7554">
        <w:rPr>
          <w:rFonts w:ascii="Book Antiqua" w:hAnsi="Book Antiqua"/>
          <w:lang w:val="en-US"/>
        </w:rPr>
        <w:t>s</w:t>
      </w:r>
      <w:r w:rsidR="004264A9" w:rsidRPr="009D7554">
        <w:rPr>
          <w:rFonts w:ascii="Book Antiqua" w:hAnsi="Book Antiqua"/>
          <w:lang w:val="en-US"/>
        </w:rPr>
        <w:t xml:space="preserve"> in CRC patients with encouraging results</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{"citationItems":[{"id":"ITEM-1","itemData":{"DOI":"10.21873/anticanres.11039","ISSN":"1791-7530","PMID":"27630331","abstract":"AIM The purpose of the study was to investigate imaging predictors of Kirsten-ras (KRAS) mutations using magnetic resonance imaging (MRI) in patients with rectal cancer. PATIENTS AND METHODS A total of 275 patients with rectal cancer were enrolled. They underwent pretreatment rectal MRI, and then KRAS mutation evaluation following surgery. Two reviewers assessed diverse MRI findings associated with rectal cancer. RESULTS KRAS mutations were detected in 107 (38.9%). KRAS mutations were associated with N stage, gross tumor pattern, axial length of the tumor, and the ratio of the axial to the longitudinal dimensions of the tumor (p=0.0064, p&lt;0.0001, p=0.0003 and p=0.0090). The frequency of KRAS mutations was higher in N2 stage (53.70%), and polypoid tumors (59.09%). Tumors with KRAS mutations exhibited a longer axial length, as well as a larger ratio of the axial to the longitudinal dimensions. CONCLUSION KRAS mutations were associated with N stage, a polypoid pattern, axial tumor length, and the ratio of the axial to the longitudinal dimensions of the tumor.","author":[{"dropping-particle":"","family":"Shin","given":"Yu Ri","non-dropping-particle":"","parse-names":false,"suffix":""},{"dropping-particle":"","family":"Kim","given":"Kyung Ah","non-dropping-particle":"","parse-names":false,"suffix":""},{"dropping-particle":"","family":"Im","given":"Soyoung","non-dropping-particle":"","parse-names":false,"suffix":""},{"dropping-particle":"","family":"Hwang","given":"Seong Su","non-dropping-particle":"","parse-names":false,"suffix":""},{"dropping-particle":"","family":"Kim","given":"Kijun","non-dropping-particle":"","parse-names":false,"suffix":""}],"container-title":"Anticancer research","id":"ITEM-1","issue":"9","issued":{"date-parts":[["2016"]]},"page":"4799-804","title":"Prediction of KRAS Mutation in Rectal Cancer Using MRI.","type":"article-journal","volume":"36"},"uris":["http://www.mendeley.com/documents/?uuid=f877f399-21bc-4a4e-827c-f3523b980ad9"]},{"id":"ITEM-2","itemData":{"DOI":"10.1007/s00261-018-1740-8","ISSN":"2366-0058","PMID":"30143816","abstract":"PURPOSE To investigate the association between metabolic parameters of dual time point 18F-FDG PET/CT imaging and Kirsten rat sarcoma (KRAS) mutation status in colorectal liver metastases (CRLM). METHODS Forty-nine colorectal cancer patients with 87 liver metastatic lesions were included in this retrospective study. KRAS gene mutation tests were also performed for all the patients. The maximum standardized uptake value (SUVmax) was measured for each hepatic metastatic lesion on both early and delayed scans, and the change of SUVmax (ΔSUVmax) and retention index (RI) were calculated. Uni-variate and multi-variate analyses were employed to determine the relationship between any PET/CT parameters and KRAS mutation status. RESULTS Thirty-seven (42.5%) liver metastatic lesions harboring KRAS mutations were identified. The SUVmax of CRLM with KRAS mutation both on early and delayed scans was significantly higher than those with wild-type KRAS (10.7 ± 6.0 vs. 7.8 ± 3.3, P = 0.002; 15.5 ± 10.1 vs. 10.0 ± 4.2, P &lt; 0.001, respectively). Compared with wild-type KRAS CRLM, ΔSUVmax and RI (%) of CRLM with KRAS mutation were also significantly higher than those with wild-type KRAS (4.8 ± 4.7 vs. 2.2 ± 2.0, P &lt; 0.001; 45.3 ± 28.2 vs. 29.6 ± 24.7, P = 0.003, respectively). Multi-variate analyses showed that the SUVmax on both early and delayed scans, ΔSUVmax, and RI (%) were the 4 independent factors to predict CRLM patients harboring KRAS mutations. CONCLUSION The SUVmax on both early and delayed scans, ΔSUVmax, and RI (%) may be the 4 independent factors to predict CRLM patients harboring KRAS mutations.","author":[{"dropping-particle":"","family":"Mao","given":"Wujian","non-dropping-particle":"","parse-names":false,"suffix":""},{"dropping-particle":"","family":"Zhou","given":"Jun","non-dropping-particle":"","parse-names":false,"suffix":""},{"dropping-particle":"","family":"Zhang","given":"He","non-dropping-particle":"","parse-names":false,"suffix":""},{"dropping-particle":"","family":"Qiu","given":"Lin","non-dropping-particle":"","parse-names":false,"suffix":""},{"dropping-particle":"","family":"Tan","given":"Hui","non-dropping-particle":"","parse-names":false,"suffix":""},{"dropping-particle":"","family":"Hu","given":"Yan","non-dropping-particle":"","parse-names":false,"suffix":""},{"dropping-particle":"","family":"Shi","given":"Hongcheng","non-dropping-particle":"","parse-names":false,"suffix":""}],"container-title":"Abdominal radiology (New York)","id":"ITEM-2","issue":"6","issued":{"date-parts":[["2019","6"]]},"page":"2059-2066","title":"Relationship between KRAS mutations and dual time point 18F-FDG PET/CT imaging in colorectal liver metastases.","type":"article-journal","volume":"44"},"uris":["http://www.mendeley.com/documents/?uuid=ba7d4d0f-7b7d-4c76-aa0b-8d9e80e8530b"]},{"id":"ITEM-3","itemData":{"DOI":"10.1097/RLU.0000000000000481","ISSN":"0363-9762","PMID":"24978328","author":[{"dropping-particle":"","family":"Chen","given":"Shang-Wen","non-dropping-particle":"","parse-names":false,"suffix":""},{"dropping-particle":"","family":"Chiang","given":"Hua-Che","non-dropping-particle":"","parse-names":false,"suffix":""},{"dropping-particle":"","family":"Chen","given":"William Tzu-Liang","non-dropping-particle":"","parse-names":false,"suffix":""},{"dropping-particle":"","family":"Hsieh","given":"Te-Chun","non-dropping-particle":"","parse-names":false,"suffix":""},{"dropping-particle":"","family":"Yen","given":"Kuo-Yang","non-dropping-particle":"","parse-names":false,"suffix":""},{"dropping-particle":"","family":"Chiang","given":"Shu-Fen","non-dropping-particle":"","parse-names":false,"suffix":""},{"dropping-particle":"","family":"Kao","given":"Chia-Hung","non-dropping-particle":"","parse-names":false,"suffix":""}],"container-title":"Clinical Nuclear Medicine","id":"ITEM-3","issue":"8","issued":{"date-parts":[["2014","8"]]},"page":"685-689","title":"Correlation Between PET/CT Parameters and KRAS Expression in Colorectal Cancer","type":"article-journal","volume":"39"},"uris":["http://www.mendeley.com/documents/?uuid=c8edbc5b-5c3c-455a-ae81-feb4a88dd1ef"]}],"mendeley":{"formattedCitation":"&lt;sup&gt;[163–165]&lt;/sup&gt;","plainTextFormattedCitation":"[163–165]","previouslyFormattedCitation":"&lt;sup&gt;[163–165]&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[163–165]</w:t>
      </w:r>
      <w:r w:rsidR="00A75298" w:rsidRPr="009D7554">
        <w:rPr>
          <w:rFonts w:ascii="Book Antiqua" w:hAnsi="Book Antiqua"/>
          <w:lang w:val="en-US"/>
        </w:rPr>
        <w:fldChar w:fldCharType="end"/>
      </w:r>
      <w:r w:rsidR="00CB43E1" w:rsidRPr="009D7554">
        <w:rPr>
          <w:rFonts w:ascii="Book Antiqua" w:hAnsi="Book Antiqua"/>
          <w:bCs/>
          <w:lang w:val="en-US"/>
        </w:rPr>
        <w:t xml:space="preserve">. </w:t>
      </w:r>
      <w:r w:rsidR="00EE0189" w:rsidRPr="009D7554">
        <w:rPr>
          <w:rFonts w:ascii="Book Antiqua" w:hAnsi="Book Antiqua"/>
          <w:bCs/>
          <w:lang w:val="en-US"/>
        </w:rPr>
        <w:t xml:space="preserve">The </w:t>
      </w:r>
      <w:r w:rsidR="00CB43E1" w:rsidRPr="009D7554">
        <w:rPr>
          <w:rFonts w:ascii="Book Antiqua" w:hAnsi="Book Antiqua"/>
          <w:bCs/>
          <w:lang w:val="en-US"/>
        </w:rPr>
        <w:t>K-ras gene mutation is an independent prognostic factor for survival and a negative predictive marker of tumor response</w:t>
      </w:r>
      <w:r w:rsidR="00EE0189" w:rsidRPr="009D7554">
        <w:rPr>
          <w:rFonts w:ascii="Book Antiqua" w:hAnsi="Book Antiqua"/>
          <w:bCs/>
          <w:lang w:val="en-US"/>
        </w:rPr>
        <w:t>s</w:t>
      </w:r>
      <w:r w:rsidR="00CB43E1" w:rsidRPr="009D7554">
        <w:rPr>
          <w:rFonts w:ascii="Book Antiqua" w:hAnsi="Book Antiqua"/>
          <w:bCs/>
          <w:lang w:val="en-US"/>
        </w:rPr>
        <w:t xml:space="preserve"> to drugs that target anti-epidermal growth factor receptors (EGFR</w:t>
      </w:r>
      <w:r w:rsidR="00EE0189" w:rsidRPr="009D7554">
        <w:rPr>
          <w:rFonts w:ascii="Book Antiqua" w:hAnsi="Book Antiqua"/>
          <w:bCs/>
          <w:lang w:val="en-US"/>
        </w:rPr>
        <w:t>s</w:t>
      </w:r>
      <w:r w:rsidR="00CB43E1" w:rsidRPr="009D7554">
        <w:rPr>
          <w:rFonts w:ascii="Book Antiqua" w:hAnsi="Book Antiqua"/>
          <w:bCs/>
          <w:lang w:val="en-US"/>
        </w:rPr>
        <w:t xml:space="preserve">). Shin </w:t>
      </w:r>
      <w:r w:rsidR="00686525" w:rsidRPr="009D7554">
        <w:rPr>
          <w:rFonts w:ascii="Book Antiqua" w:hAnsi="Book Antiqua"/>
          <w:i/>
          <w:lang w:val="en-US"/>
        </w:rPr>
        <w:t>et al</w:t>
      </w:r>
      <w:r w:rsidR="00A75298" w:rsidRPr="009D7554">
        <w:rPr>
          <w:rFonts w:ascii="Book Antiqua" w:hAnsi="Book Antiqua"/>
          <w:lang w:val="en-US"/>
        </w:rPr>
        <w:fldChar w:fldCharType="begin" w:fldLock="1"/>
      </w:r>
      <w:r w:rsidR="004308B4" w:rsidRPr="009D7554">
        <w:rPr>
          <w:rFonts w:ascii="Book Antiqua" w:hAnsi="Book Antiqua"/>
          <w:lang w:val="en-US"/>
        </w:rPr>
        <w:instrText>ADDIN CSL_CITATION {"citationItems":[{"id":"ITEM-1","itemData":{"DOI":"10.21873/anticanres.11039","ISSN":"1791-7530","PMID":"27630331","abstract":"AIM The purpose of the study was to investigate imaging predictors of Kirsten-ras (KRAS) mutations using magnetic resonance imaging (MRI) in patients with rectal cancer. PATIENTS AND METHODS A total of 275 patients with rectal cancer were enrolled. They underwent pretreatment rectal MRI, and then KRAS mutation evaluation following surgery. Two reviewers assessed diverse MRI findings associated with rectal cancer. RESULTS KRAS mutations were detected in 107 (38.9%). KRAS mutations were associated with N stage, gross tumor pattern, axial length of the tumor, and the ratio of the axial to the longitudinal dimensions of the tumor (p=0.0064, p&lt;0.0001, p=0.0003 and p=0.0090). The frequency of KRAS mutations was higher in N2 stage (53.70%), and polypoid tumors (59.09%). Tumors with KRAS mutations exhibited a longer axial length, as well as a larger ratio of the axial to the longitudinal dimensions. CONCLUSION KRAS mutations were associated with N stage, a polypoid pattern, axial tumor length, and the ratio of the axial to the longitudinal dimensions of the tumor.","author":[{"dropping-particle":"","family":"Shin","given":"Yu Ri","non-dropping-particle":"","parse-names":false,"suffix":""},{"dropping-particle":"","family":"Kim","given":"Kyung Ah","non-dropping-particle":"","parse-names":false,"suffix":""},{"dropping-particle":"","family":"Im","given":"Soyoung","non-dropping-particle":"","parse-names":false,"suffix":""},{"dropping-particle":"","family":"Hwang","given":"Seong Su","non-dropping-particle":"","parse-names":false,"suffix":""},{"dropping-particle":"","family":"Kim","given":"Kijun","non-dropping-particle":"","parse-names":false,"suffix":""}],"container-title":"Anticancer research","id":"ITEM-1","issue":"9","issued":{"date-parts":[["2016"]]},"page":"4799-804","title":"Prediction of KRAS Mutation in Rectal Cancer Using MRI.","type":"article-journal","volume":"36"},"uris":["http://www.mendeley.com/documents/?uuid=f877f399-21bc-4a4e-827c-f3523b980ad9"]}],"mendeley":{"formattedCitation":"&lt;sup&gt;[163]&lt;/sup&gt;","plainTextFormattedCitation":"[163]","previouslyFormattedCitation":"&lt;sup&gt;[163]&lt;/sup&gt;"},"properties":{"noteIndex":0},"schema":"https://github.com/citation-style-language/schema/raw/master/csl-citation.json"}</w:instrText>
      </w:r>
      <w:r w:rsidR="00A75298" w:rsidRPr="009D7554">
        <w:rPr>
          <w:rFonts w:ascii="Book Antiqua" w:hAnsi="Book Antiqua"/>
          <w:lang w:val="en-US"/>
        </w:rPr>
        <w:fldChar w:fldCharType="separate"/>
      </w:r>
      <w:r w:rsidR="004308B4" w:rsidRPr="009D7554">
        <w:rPr>
          <w:rFonts w:ascii="Book Antiqua" w:hAnsi="Book Antiqua"/>
          <w:vertAlign w:val="superscript"/>
          <w:lang w:val="en-US"/>
        </w:rPr>
        <w:t>[163]</w:t>
      </w:r>
      <w:r w:rsidR="00A75298" w:rsidRPr="009D7554">
        <w:rPr>
          <w:rFonts w:ascii="Book Antiqua" w:hAnsi="Book Antiqua"/>
          <w:lang w:val="en-US"/>
        </w:rPr>
        <w:fldChar w:fldCharType="end"/>
      </w:r>
      <w:r w:rsidR="00CB43E1" w:rsidRPr="009D7554">
        <w:rPr>
          <w:rFonts w:ascii="Book Antiqua" w:hAnsi="Book Antiqua"/>
          <w:bCs/>
          <w:lang w:val="en-US"/>
        </w:rPr>
        <w:t xml:space="preserve"> reported that the frequency of K-ras mutations was higher in polypoid tumors with a larger axial to longitudinal dimension</w:t>
      </w:r>
      <w:r w:rsidR="00EE0189" w:rsidRPr="009D7554">
        <w:rPr>
          <w:rFonts w:ascii="Book Antiqua" w:hAnsi="Book Antiqua"/>
          <w:bCs/>
          <w:lang w:val="en-US"/>
        </w:rPr>
        <w:t xml:space="preserve"> ratio</w:t>
      </w:r>
      <w:r w:rsidR="00CB43E1" w:rsidRPr="009D7554">
        <w:rPr>
          <w:rFonts w:ascii="Book Antiqua" w:hAnsi="Book Antiqua"/>
          <w:bCs/>
          <w:lang w:val="en-US"/>
        </w:rPr>
        <w:t xml:space="preserve">. Using an animal model, Miles </w:t>
      </w:r>
      <w:r w:rsidR="003A59E8" w:rsidRPr="009D7554">
        <w:rPr>
          <w:rFonts w:ascii="Book Antiqua" w:hAnsi="Book Antiqua"/>
          <w:i/>
          <w:lang w:val="en-US"/>
        </w:rPr>
        <w:t>et al</w:t>
      </w:r>
      <w:r w:rsidR="00A75298" w:rsidRPr="009D7554">
        <w:rPr>
          <w:rFonts w:ascii="Book Antiqua" w:hAnsi="Book Antiqua"/>
          <w:i/>
          <w:lang w:val="en-US"/>
        </w:rPr>
        <w:fldChar w:fldCharType="begin" w:fldLock="1"/>
      </w:r>
      <w:r w:rsidR="004308B4" w:rsidRPr="009D7554">
        <w:rPr>
          <w:rFonts w:ascii="Book Antiqua" w:hAnsi="Book Antiqua"/>
          <w:i/>
          <w:lang w:val="en-US"/>
        </w:rPr>
        <w:instrText>ADDIN CSL_CITATION {"citationItems":[{"id":"ITEM-1","itemData":{"DOI":"10.2967/jnumed.113.120485","ISSN":"1535-5667","PMID":"24516257","abstract":"UNLABELLED This study explores the potential for multifunctional imaging to provide a signature for V-KI-RAS2 Kirsten rat sarcoma viral oncogene homolog (KRAS) gene mutations in colorectal cancer. METHODS This prospective study approved by the institutional review board comprised 33 patients undergoing PET/CT before surgery for proven primary colorectal cancer. Tumor tissue was examined histologically for presence of the KRAS mutations and for expression of hypoxia-inducible factor-1 (HIF-1) and minichromosome maintenance protein 2 (mcm2). The following imaging parameters were derived for each tumor: (18)F-FDG uptake ((18)F-FDG maximum standardized uptake value [SUVmax]), CT texture (expressed as mean of positive pixels [MPP]), and blood flow measured by dynamic contrast-enhanced CT. A recursive decision tree was developed in which the imaging investigations were applied sequentially to identify tumors with KRAS mutations. Monte Carlo analysis provided mean values and 95% confidence intervals for sensitivity, specificity, and accuracy. RESULTS The final decision tree comprised 4 decision nodes and 5 terminal nodes, 2 of which identified KRAS mutants. The true-positive rate, false-positive rate, and accuracy (95% confidence intervals) of the decision tree were 82.4% (63.9%-93.9%), 0% (0%-10.4%), and 90.1% (79.2%-96.0%), respectively. KRAS mutants with high (18)F-FDG SUVmax and low MPP showed greater frequency of HIF-1 expression (P = 0.032). KRAS mutants with low (18)F-FDG SUV(max), high MPP, and high blood flow expressed mcm2 (P = 0.036). CONCLUSION Multifunctional imaging with PET/CT and recursive decision-tree analysis to combine measurements of tumor (18)F-FDG uptake, CT texture, and perfusion has the potential to identify imaging signatures for colorectal cancers with KRAS mutations exhibiting hypoxic or proliferative phenotypes.","author":[{"dropping-particle":"","family":"Miles","given":"Kenneth A","non-dropping-particle":"","parse-names":false,"suffix":""},{"dropping-particle":"","family":"Ganeshan","given":"Balaji","non-dropping-particle":"","parse-names":false,"suffix":""},{"dropping-particle":"","family":"Rodriguez-Justo","given":"Manuel","non-dropping-particle":"","parse-names":false,"suffix":""},{"dropping-particle":"","family":"Goh","given":"Vicky J","non-dropping-particle":"","parse-names":false,"suffix":""},{"dropping-particle":"","family":"Ziauddin","given":"Zia","non-dropping-particle":"","parse-names":false,"suffix":""},{"dropping-particle":"","family":"Engledow","given":"Alec","non-dropping-particle":"","parse-names":false,"suffix":""},{"dropping-particle":"","family":"Meagher","given":"Marie","non-dropping-particle":"","parse-names":false,"suffix":""},{"dropping-particle":"","family":"Endozo","given":"Raymondo","non-dropping-particle":"","parse-names":false,"suffix":""},{"dropping-particle":"","family":"Taylor","given":"Stuart A","non-dropping-particle":"","parse-names":false,"suffix":""},{"dropping-particle":"","family":"Halligan","given":"Stephen","non-dropping-particle":"","parse-names":false,"suffix":""},{"dropping-particle":"","family":"Ell","given":"Peter J","non-dropping-particle":"","parse-names":false,"suffix":""},{"dropping-particle":"","family":"Groves","given":"Ashley M","non-dropping-particle":"","parse-names":false,"suffix":""}],"container-title":"Journal of nuclear medicine : official publication, Society of Nuclear Medicine","id":"ITEM-1","issue":"3","issued":{"date-parts":[["2014","3"]]},"page":"386-91","title":"Multifunctional imaging signature for V-KI-RAS2 Kirsten rat sarcoma viral oncogene homolog (KRAS) mutations in colorectal cancer.","type":"article-journal","volume":"55"},"uris":["http://www.mendeley.com/documents/?uuid=826ae10b-7ea6-4b44-8c47-c69870c46fd9"]}],"mendeley":{"formattedCitation":"&lt;sup&gt;[166]&lt;/sup&gt;","plainTextFormattedCitation":"[166]","previouslyFormattedCitation":"&lt;sup&gt;[166]&lt;/sup&gt;"},"properties":{"noteIndex":0},"schema":"https://github.com/citation-style-language/schema/raw/master/csl-citation.json"}</w:instrText>
      </w:r>
      <w:r w:rsidR="00A75298" w:rsidRPr="009D7554">
        <w:rPr>
          <w:rFonts w:ascii="Book Antiqua" w:hAnsi="Book Antiqua"/>
          <w:i/>
          <w:lang w:val="en-US"/>
        </w:rPr>
        <w:fldChar w:fldCharType="separate"/>
      </w:r>
      <w:r w:rsidR="004308B4" w:rsidRPr="009D7554">
        <w:rPr>
          <w:rFonts w:ascii="Book Antiqua" w:hAnsi="Book Antiqua"/>
          <w:vertAlign w:val="superscript"/>
          <w:lang w:val="en-US"/>
        </w:rPr>
        <w:t>[166]</w:t>
      </w:r>
      <w:r w:rsidR="00A75298" w:rsidRPr="009D7554">
        <w:rPr>
          <w:rFonts w:ascii="Book Antiqua" w:hAnsi="Book Antiqua"/>
          <w:i/>
          <w:lang w:val="en-US"/>
        </w:rPr>
        <w:fldChar w:fldCharType="end"/>
      </w:r>
      <w:r w:rsidR="00CB43E1" w:rsidRPr="009D7554">
        <w:rPr>
          <w:rFonts w:ascii="Book Antiqua" w:hAnsi="Book Antiqua"/>
          <w:lang w:val="en-US"/>
        </w:rPr>
        <w:t xml:space="preserve"> reported that </w:t>
      </w:r>
      <w:r w:rsidR="00EE0189" w:rsidRPr="009D7554">
        <w:rPr>
          <w:rFonts w:ascii="Book Antiqua" w:hAnsi="Book Antiqua"/>
          <w:lang w:val="en-US"/>
        </w:rPr>
        <w:t xml:space="preserve">the </w:t>
      </w:r>
      <w:r w:rsidR="00CB43E1" w:rsidRPr="009D7554">
        <w:rPr>
          <w:rFonts w:ascii="Book Antiqua" w:hAnsi="Book Antiqua"/>
          <w:lang w:val="en-US"/>
        </w:rPr>
        <w:t xml:space="preserve">combined </w:t>
      </w:r>
      <w:r w:rsidR="00EE0189" w:rsidRPr="009D7554">
        <w:rPr>
          <w:rFonts w:ascii="Book Antiqua" w:hAnsi="Book Antiqua"/>
          <w:lang w:val="en-US"/>
        </w:rPr>
        <w:t xml:space="preserve">multiparametric </w:t>
      </w:r>
      <w:r w:rsidR="00CB43E1" w:rsidRPr="009D7554">
        <w:rPr>
          <w:rFonts w:ascii="Book Antiqua" w:hAnsi="Book Antiqua"/>
          <w:lang w:val="en-US"/>
        </w:rPr>
        <w:t xml:space="preserve">assessment of </w:t>
      </w:r>
      <w:r w:rsidR="00CB43E1" w:rsidRPr="009D7554">
        <w:rPr>
          <w:rFonts w:ascii="Book Antiqua" w:hAnsi="Book Antiqua"/>
          <w:position w:val="10"/>
          <w:sz w:val="16"/>
          <w:szCs w:val="16"/>
          <w:lang w:val="en-US"/>
        </w:rPr>
        <w:t>18</w:t>
      </w:r>
      <w:r w:rsidR="00686525" w:rsidRPr="009D7554">
        <w:rPr>
          <w:rFonts w:ascii="Book Antiqua" w:hAnsi="Book Antiqua"/>
          <w:lang w:val="en-US"/>
        </w:rPr>
        <w:t>F-FDG uptake (expressed as SUVmax), CT texture (expressed</w:t>
      </w:r>
      <w:r w:rsidR="009A70D4" w:rsidRPr="009D7554">
        <w:rPr>
          <w:rFonts w:ascii="Book Antiqua" w:hAnsi="Book Antiqua"/>
          <w:lang w:val="en-US"/>
        </w:rPr>
        <w:t xml:space="preserve"> as the mean</w:t>
      </w:r>
      <w:r w:rsidR="00686525" w:rsidRPr="009D7554">
        <w:rPr>
          <w:rFonts w:ascii="Book Antiqua" w:hAnsi="Book Antiqua"/>
          <w:lang w:val="en-US"/>
        </w:rPr>
        <w:t xml:space="preserve"> value of tumor pixels with positive values) and perfusion (expressed as BF) </w:t>
      </w:r>
      <w:r w:rsidR="00EE0189" w:rsidRPr="009D7554">
        <w:rPr>
          <w:rFonts w:ascii="Book Antiqua" w:hAnsi="Book Antiqua"/>
          <w:lang w:val="en-US"/>
        </w:rPr>
        <w:t xml:space="preserve">has </w:t>
      </w:r>
      <w:r w:rsidR="00686525" w:rsidRPr="009D7554">
        <w:rPr>
          <w:rFonts w:ascii="Book Antiqua" w:hAnsi="Book Antiqua"/>
          <w:lang w:val="en-US"/>
        </w:rPr>
        <w:t>excellent</w:t>
      </w:r>
      <w:r w:rsidR="001F0F25" w:rsidRPr="009D7554">
        <w:rPr>
          <w:rFonts w:ascii="Book Antiqua" w:hAnsi="Book Antiqua"/>
          <w:lang w:val="en-US"/>
        </w:rPr>
        <w:t xml:space="preserve"> </w:t>
      </w:r>
      <w:r w:rsidR="00686525" w:rsidRPr="009D7554">
        <w:rPr>
          <w:rFonts w:ascii="Book Antiqua" w:hAnsi="Book Antiqua"/>
          <w:lang w:val="en-US"/>
        </w:rPr>
        <w:t>accuracy (90</w:t>
      </w:r>
      <w:r w:rsidR="00F453A0" w:rsidRPr="009D7554">
        <w:rPr>
          <w:rFonts w:ascii="Book Antiqua" w:hAnsi="Book Antiqua"/>
          <w:lang w:val="en-US"/>
        </w:rPr>
        <w:t>.</w:t>
      </w:r>
      <w:r w:rsidR="00686525" w:rsidRPr="009D7554">
        <w:rPr>
          <w:rFonts w:ascii="Book Antiqua" w:hAnsi="Book Antiqua"/>
          <w:lang w:val="en-US"/>
        </w:rPr>
        <w:t xml:space="preserve">1%) </w:t>
      </w:r>
      <w:r w:rsidR="00EE0189" w:rsidRPr="009D7554">
        <w:rPr>
          <w:rFonts w:ascii="Book Antiqua" w:hAnsi="Book Antiqua"/>
          <w:lang w:val="en-US"/>
        </w:rPr>
        <w:t xml:space="preserve">in </w:t>
      </w:r>
      <w:r w:rsidR="001F0F25" w:rsidRPr="009D7554">
        <w:rPr>
          <w:rFonts w:ascii="Book Antiqua" w:hAnsi="Book Antiqua"/>
          <w:lang w:val="en-US"/>
        </w:rPr>
        <w:t>the</w:t>
      </w:r>
      <w:r w:rsidR="00686525" w:rsidRPr="009D7554">
        <w:rPr>
          <w:rFonts w:ascii="Book Antiqua" w:hAnsi="Book Antiqua"/>
          <w:lang w:val="en-US"/>
        </w:rPr>
        <w:t xml:space="preserve"> identification of CRCs with K-ras mutations.</w:t>
      </w:r>
    </w:p>
    <w:p w:rsidR="00847DCF" w:rsidRPr="009D7554" w:rsidRDefault="00802573" w:rsidP="00F453A0">
      <w:pPr>
        <w:snapToGrid w:val="0"/>
        <w:spacing w:line="360" w:lineRule="auto"/>
        <w:ind w:firstLineChars="100" w:firstLine="240"/>
        <w:jc w:val="both"/>
        <w:rPr>
          <w:rFonts w:ascii="Book Antiqua" w:hAnsi="Book Antiqua"/>
          <w:lang w:val="en-US"/>
        </w:rPr>
      </w:pPr>
      <w:r w:rsidRPr="009D7554">
        <w:rPr>
          <w:rFonts w:ascii="Book Antiqua" w:hAnsi="Book Antiqua"/>
          <w:lang w:val="en-US"/>
        </w:rPr>
        <w:t xml:space="preserve">The increasing </w:t>
      </w:r>
      <w:r w:rsidR="00EE0189" w:rsidRPr="009D7554">
        <w:rPr>
          <w:rFonts w:ascii="Book Antiqua" w:hAnsi="Book Antiqua"/>
          <w:lang w:val="en-US"/>
        </w:rPr>
        <w:t xml:space="preserve">use </w:t>
      </w:r>
      <w:r w:rsidRPr="009D7554">
        <w:rPr>
          <w:rFonts w:ascii="Book Antiqua" w:hAnsi="Book Antiqua"/>
          <w:lang w:val="en-US"/>
        </w:rPr>
        <w:t xml:space="preserve">of quantitative </w:t>
      </w:r>
      <w:r w:rsidR="00EE0189" w:rsidRPr="009D7554">
        <w:rPr>
          <w:rFonts w:ascii="Book Antiqua" w:hAnsi="Book Antiqua"/>
          <w:lang w:val="en-US"/>
        </w:rPr>
        <w:t xml:space="preserve">imaging </w:t>
      </w:r>
      <w:r w:rsidRPr="009D7554">
        <w:rPr>
          <w:rFonts w:ascii="Book Antiqua" w:hAnsi="Book Antiqua"/>
          <w:lang w:val="en-US"/>
        </w:rPr>
        <w:t xml:space="preserve">data in clinical practice will require the use of automated and intelligent systems for analyzing </w:t>
      </w:r>
      <w:r w:rsidR="00EE0189" w:rsidRPr="009D7554">
        <w:rPr>
          <w:rFonts w:ascii="Book Antiqua" w:hAnsi="Book Antiqua"/>
          <w:lang w:val="en-US"/>
        </w:rPr>
        <w:t xml:space="preserve">a large amount of </w:t>
      </w:r>
      <w:r w:rsidRPr="009D7554">
        <w:rPr>
          <w:rFonts w:ascii="Book Antiqua" w:hAnsi="Book Antiqua"/>
          <w:lang w:val="en-US"/>
        </w:rPr>
        <w:t xml:space="preserve">numerical information. Artificial intelligence and machine learning approaches can be helpful </w:t>
      </w:r>
      <w:r w:rsidR="00472B06" w:rsidRPr="009D7554">
        <w:rPr>
          <w:rFonts w:ascii="Book Antiqua" w:hAnsi="Book Antiqua"/>
          <w:lang w:val="en-US"/>
        </w:rPr>
        <w:t xml:space="preserve">for </w:t>
      </w:r>
      <w:r w:rsidRPr="009D7554">
        <w:rPr>
          <w:rFonts w:ascii="Book Antiqua" w:hAnsi="Book Antiqua"/>
          <w:lang w:val="en-US"/>
        </w:rPr>
        <w:t xml:space="preserve">the evaluation of radiomic and radiogenomic features. Deep learning convolutional neural networks can perform texture analysis and training </w:t>
      </w:r>
      <w:r w:rsidR="00472B06" w:rsidRPr="009D7554">
        <w:rPr>
          <w:rFonts w:ascii="Book Antiqua" w:hAnsi="Book Antiqua"/>
          <w:lang w:val="en-US"/>
        </w:rPr>
        <w:t xml:space="preserve">with large amounts of </w:t>
      </w:r>
      <w:r w:rsidRPr="009D7554">
        <w:rPr>
          <w:rFonts w:ascii="Book Antiqua" w:hAnsi="Book Antiqua"/>
          <w:lang w:val="en-US"/>
        </w:rPr>
        <w:t>data to create predictive algorithms.</w:t>
      </w:r>
    </w:p>
    <w:p w:rsidR="0016183D" w:rsidRPr="009D7554" w:rsidRDefault="0016183D" w:rsidP="006A253E">
      <w:pPr>
        <w:snapToGrid w:val="0"/>
        <w:spacing w:line="360" w:lineRule="auto"/>
        <w:jc w:val="both"/>
        <w:rPr>
          <w:rFonts w:ascii="Book Antiqua" w:hAnsi="Book Antiqua"/>
          <w:lang w:val="en-US"/>
        </w:rPr>
      </w:pPr>
    </w:p>
    <w:p w:rsidR="00F43752" w:rsidRPr="009D7554" w:rsidRDefault="00F43752" w:rsidP="006A253E">
      <w:pPr>
        <w:widowControl w:val="0"/>
        <w:autoSpaceDE w:val="0"/>
        <w:autoSpaceDN w:val="0"/>
        <w:adjustRightInd w:val="0"/>
        <w:snapToGrid w:val="0"/>
        <w:spacing w:line="360" w:lineRule="auto"/>
        <w:jc w:val="both"/>
        <w:rPr>
          <w:rFonts w:ascii="Book Antiqua" w:hAnsi="Book Antiqua"/>
          <w:b/>
          <w:lang w:val="en-US"/>
        </w:rPr>
      </w:pPr>
      <w:r w:rsidRPr="009D7554">
        <w:rPr>
          <w:rFonts w:ascii="Book Antiqua" w:hAnsi="Book Antiqua"/>
          <w:b/>
          <w:lang w:val="en-US"/>
        </w:rPr>
        <w:t>CONCLUSION</w:t>
      </w:r>
    </w:p>
    <w:p w:rsidR="000A2F95" w:rsidRPr="009D7554" w:rsidRDefault="00067DA8" w:rsidP="006A253E">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lang w:val="en-US"/>
        </w:rPr>
        <w:t>The interpretation of medical tomographic images can</w:t>
      </w:r>
      <w:r w:rsidR="00472B06" w:rsidRPr="009D7554">
        <w:rPr>
          <w:rFonts w:ascii="Book Antiqua" w:hAnsi="Book Antiqua"/>
          <w:lang w:val="en-US"/>
        </w:rPr>
        <w:t xml:space="preserve"> no longer treat </w:t>
      </w:r>
      <w:r w:rsidRPr="009D7554">
        <w:rPr>
          <w:rFonts w:ascii="Book Antiqua" w:hAnsi="Book Antiqua"/>
          <w:lang w:val="en-US"/>
        </w:rPr>
        <w:t xml:space="preserve">images </w:t>
      </w:r>
      <w:r w:rsidR="00472B06" w:rsidRPr="009D7554">
        <w:rPr>
          <w:rFonts w:ascii="Book Antiqua" w:hAnsi="Book Antiqua"/>
          <w:lang w:val="en-US"/>
        </w:rPr>
        <w:t xml:space="preserve">strictly </w:t>
      </w:r>
      <w:r w:rsidRPr="009D7554">
        <w:rPr>
          <w:rFonts w:ascii="Book Antiqua" w:hAnsi="Book Antiqua"/>
          <w:lang w:val="en-US"/>
        </w:rPr>
        <w:t xml:space="preserve">as pictures </w:t>
      </w:r>
      <w:r w:rsidR="00472B06" w:rsidRPr="009D7554">
        <w:rPr>
          <w:rFonts w:ascii="Book Antiqua" w:hAnsi="Book Antiqua"/>
          <w:lang w:val="en-US"/>
        </w:rPr>
        <w:t xml:space="preserve">but </w:t>
      </w:r>
      <w:r w:rsidR="00502E2D" w:rsidRPr="009D7554">
        <w:rPr>
          <w:rFonts w:ascii="Book Antiqua" w:hAnsi="Book Antiqua"/>
          <w:lang w:val="en-US"/>
        </w:rPr>
        <w:t>instead</w:t>
      </w:r>
      <w:r w:rsidR="00472B06" w:rsidRPr="009D7554">
        <w:rPr>
          <w:rFonts w:ascii="Book Antiqua" w:hAnsi="Book Antiqua"/>
          <w:lang w:val="en-US"/>
        </w:rPr>
        <w:t xml:space="preserve"> must use </w:t>
      </w:r>
      <w:r w:rsidRPr="009D7554">
        <w:rPr>
          <w:rFonts w:ascii="Book Antiqua" w:hAnsi="Book Antiqua"/>
          <w:lang w:val="en-US"/>
        </w:rPr>
        <w:t>innovative approach</w:t>
      </w:r>
      <w:r w:rsidR="00472B06" w:rsidRPr="009D7554">
        <w:rPr>
          <w:rFonts w:ascii="Book Antiqua" w:hAnsi="Book Antiqua"/>
          <w:lang w:val="en-US"/>
        </w:rPr>
        <w:t>es</w:t>
      </w:r>
      <w:r w:rsidRPr="009D7554">
        <w:rPr>
          <w:rFonts w:ascii="Book Antiqua" w:hAnsi="Book Antiqua"/>
          <w:lang w:val="en-US"/>
        </w:rPr>
        <w:t xml:space="preserve"> based on numerical analysis. PA allows </w:t>
      </w:r>
      <w:r w:rsidR="00472B06" w:rsidRPr="009D7554">
        <w:rPr>
          <w:rFonts w:ascii="Book Antiqua" w:hAnsi="Book Antiqua"/>
          <w:lang w:val="en-US"/>
        </w:rPr>
        <w:t xml:space="preserve">the extraction </w:t>
      </w:r>
      <w:r w:rsidRPr="009D7554">
        <w:rPr>
          <w:rFonts w:ascii="Book Antiqua" w:hAnsi="Book Antiqua"/>
          <w:lang w:val="en-US"/>
        </w:rPr>
        <w:t>and analy</w:t>
      </w:r>
      <w:r w:rsidR="00472B06" w:rsidRPr="009D7554">
        <w:rPr>
          <w:rFonts w:ascii="Book Antiqua" w:hAnsi="Book Antiqua"/>
          <w:lang w:val="en-US"/>
        </w:rPr>
        <w:t>sis</w:t>
      </w:r>
      <w:r w:rsidRPr="009D7554">
        <w:rPr>
          <w:rFonts w:ascii="Book Antiqua" w:hAnsi="Book Antiqua"/>
          <w:lang w:val="en-US"/>
        </w:rPr>
        <w:t xml:space="preserve"> </w:t>
      </w:r>
      <w:r w:rsidR="00472B06" w:rsidRPr="009D7554">
        <w:rPr>
          <w:rFonts w:ascii="Book Antiqua" w:hAnsi="Book Antiqua"/>
          <w:lang w:val="en-US"/>
        </w:rPr>
        <w:t xml:space="preserve">of the large amount </w:t>
      </w:r>
      <w:r w:rsidRPr="009D7554">
        <w:rPr>
          <w:rFonts w:ascii="Book Antiqua" w:hAnsi="Book Antiqua"/>
          <w:lang w:val="en-US"/>
        </w:rPr>
        <w:t>of numerical data hidden in tomographic images. This information must be correlated with genetic, histological, clinical, prognostic and/or predictive data. The transition from pure</w:t>
      </w:r>
      <w:r w:rsidR="00472B06" w:rsidRPr="009D7554">
        <w:rPr>
          <w:rFonts w:ascii="Book Antiqua" w:hAnsi="Book Antiqua"/>
          <w:lang w:val="en-US"/>
        </w:rPr>
        <w:t>ly</w:t>
      </w:r>
      <w:r w:rsidRPr="009D7554">
        <w:rPr>
          <w:rFonts w:ascii="Book Antiqua" w:hAnsi="Book Antiqua"/>
          <w:lang w:val="en-US"/>
        </w:rPr>
        <w:t xml:space="preserve"> anatomic</w:t>
      </w:r>
      <w:r w:rsidR="00472B06" w:rsidRPr="009D7554">
        <w:rPr>
          <w:rFonts w:ascii="Book Antiqua" w:hAnsi="Book Antiqua"/>
          <w:lang w:val="en-US"/>
        </w:rPr>
        <w:t>al</w:t>
      </w:r>
      <w:r w:rsidRPr="009D7554">
        <w:rPr>
          <w:rFonts w:ascii="Book Antiqua" w:hAnsi="Book Antiqua"/>
          <w:lang w:val="en-US"/>
        </w:rPr>
        <w:t xml:space="preserve"> tomographic imaging to quantitative tomographic imaging can </w:t>
      </w:r>
      <w:r w:rsidR="001F0F25" w:rsidRPr="009D7554">
        <w:rPr>
          <w:rFonts w:ascii="Book Antiqua" w:hAnsi="Book Antiqua"/>
          <w:lang w:val="en-US"/>
        </w:rPr>
        <w:t xml:space="preserve">also </w:t>
      </w:r>
      <w:r w:rsidRPr="009D7554">
        <w:rPr>
          <w:rFonts w:ascii="Book Antiqua" w:hAnsi="Book Antiqua"/>
          <w:lang w:val="en-US"/>
        </w:rPr>
        <w:t xml:space="preserve">benefit the diagnostic management of CRC. However, to be of practical value and to have a real effect on </w:t>
      </w:r>
      <w:r w:rsidR="00472B06" w:rsidRPr="009D7554">
        <w:rPr>
          <w:rFonts w:ascii="Book Antiqua" w:hAnsi="Book Antiqua"/>
          <w:lang w:val="en-US"/>
        </w:rPr>
        <w:t xml:space="preserve">clinical </w:t>
      </w:r>
      <w:r w:rsidRPr="009D7554">
        <w:rPr>
          <w:rFonts w:ascii="Book Antiqua" w:hAnsi="Book Antiqua"/>
          <w:lang w:val="en-US"/>
        </w:rPr>
        <w:t>CRC diagnostic management, quantitative imaging approach</w:t>
      </w:r>
      <w:r w:rsidR="00472B06" w:rsidRPr="009D7554">
        <w:rPr>
          <w:rFonts w:ascii="Book Antiqua" w:hAnsi="Book Antiqua"/>
          <w:lang w:val="en-US"/>
        </w:rPr>
        <w:t xml:space="preserve">es </w:t>
      </w:r>
      <w:r w:rsidR="00664D8B" w:rsidRPr="009D7554">
        <w:rPr>
          <w:rFonts w:ascii="Book Antiqua" w:hAnsi="Book Antiqua"/>
          <w:lang w:val="en-US"/>
        </w:rPr>
        <w:t>require the</w:t>
      </w:r>
      <w:r w:rsidRPr="009D7554">
        <w:rPr>
          <w:rFonts w:ascii="Book Antiqua" w:hAnsi="Book Antiqua"/>
          <w:lang w:val="en-US"/>
        </w:rPr>
        <w:t xml:space="preserve"> following</w:t>
      </w:r>
      <w:r w:rsidR="00664D8B" w:rsidRPr="009D7554">
        <w:rPr>
          <w:rFonts w:ascii="Book Antiqua" w:hAnsi="Book Antiqua"/>
          <w:lang w:val="en-US"/>
        </w:rPr>
        <w:t>:</w:t>
      </w:r>
      <w:r w:rsidRPr="009D7554">
        <w:rPr>
          <w:rFonts w:ascii="Book Antiqua" w:hAnsi="Book Antiqua"/>
          <w:lang w:val="en-US"/>
        </w:rPr>
        <w:t xml:space="preserve"> </w:t>
      </w:r>
      <w:r w:rsidR="00F453A0" w:rsidRPr="009D7554">
        <w:rPr>
          <w:rFonts w:ascii="Book Antiqua" w:hAnsi="Book Antiqua"/>
          <w:lang w:val="en-US"/>
        </w:rPr>
        <w:t>(</w:t>
      </w:r>
      <w:r w:rsidRPr="009D7554">
        <w:rPr>
          <w:rFonts w:ascii="Book Antiqua" w:hAnsi="Book Antiqua"/>
          <w:lang w:val="en-US"/>
        </w:rPr>
        <w:t xml:space="preserve">1) </w:t>
      </w:r>
      <w:r w:rsidR="00472B06" w:rsidRPr="009D7554">
        <w:rPr>
          <w:rFonts w:ascii="Book Antiqua" w:hAnsi="Book Antiqua"/>
          <w:lang w:val="en-US"/>
        </w:rPr>
        <w:t xml:space="preserve">the </w:t>
      </w:r>
      <w:r w:rsidRPr="009D7554">
        <w:rPr>
          <w:rFonts w:ascii="Book Antiqua" w:hAnsi="Book Antiqua"/>
          <w:lang w:val="en-US"/>
        </w:rPr>
        <w:t xml:space="preserve">standardization of technical features </w:t>
      </w:r>
      <w:r w:rsidR="00664D8B" w:rsidRPr="009D7554">
        <w:rPr>
          <w:rFonts w:ascii="Book Antiqua" w:hAnsi="Book Antiqua"/>
          <w:lang w:val="en-US"/>
        </w:rPr>
        <w:t xml:space="preserve">to ensure </w:t>
      </w:r>
      <w:r w:rsidR="00472B06" w:rsidRPr="009D7554">
        <w:rPr>
          <w:rFonts w:ascii="Book Antiqua" w:hAnsi="Book Antiqua"/>
          <w:lang w:val="en-US"/>
        </w:rPr>
        <w:t xml:space="preserve">the </w:t>
      </w:r>
      <w:r w:rsidRPr="009D7554">
        <w:rPr>
          <w:rFonts w:ascii="Book Antiqua" w:hAnsi="Book Antiqua"/>
          <w:lang w:val="en-US"/>
        </w:rPr>
        <w:t xml:space="preserve">acquisition of good quality data and the development of robust techniques for analysis to assure reproducibility among different operators, scanners and centers; </w:t>
      </w:r>
      <w:r w:rsidR="00F453A0" w:rsidRPr="009D7554">
        <w:rPr>
          <w:rFonts w:ascii="Book Antiqua" w:hAnsi="Book Antiqua"/>
          <w:lang w:val="en-US"/>
        </w:rPr>
        <w:t>(</w:t>
      </w:r>
      <w:r w:rsidRPr="009D7554">
        <w:rPr>
          <w:rFonts w:ascii="Book Antiqua" w:hAnsi="Book Antiqua"/>
          <w:lang w:val="en-US"/>
        </w:rPr>
        <w:t>2) well</w:t>
      </w:r>
      <w:r w:rsidR="001F0F25" w:rsidRPr="009D7554">
        <w:rPr>
          <w:rFonts w:ascii="Book Antiqua" w:hAnsi="Book Antiqua"/>
          <w:lang w:val="en-US"/>
        </w:rPr>
        <w:t>-</w:t>
      </w:r>
      <w:r w:rsidRPr="009D7554">
        <w:rPr>
          <w:rFonts w:ascii="Book Antiqua" w:hAnsi="Book Antiqua"/>
          <w:lang w:val="en-US"/>
        </w:rPr>
        <w:t xml:space="preserve">defined cut-off values for each proposed </w:t>
      </w:r>
      <w:r w:rsidR="00472B06" w:rsidRPr="009D7554">
        <w:rPr>
          <w:rFonts w:ascii="Book Antiqua" w:hAnsi="Book Antiqua"/>
          <w:lang w:val="en-US"/>
        </w:rPr>
        <w:t xml:space="preserve">parameter </w:t>
      </w:r>
      <w:r w:rsidRPr="009D7554">
        <w:rPr>
          <w:rFonts w:ascii="Book Antiqua" w:hAnsi="Book Antiqua"/>
          <w:lang w:val="en-US"/>
        </w:rPr>
        <w:t xml:space="preserve">measure in different clinical settings </w:t>
      </w:r>
      <w:r w:rsidR="00472B06" w:rsidRPr="009D7554">
        <w:rPr>
          <w:rFonts w:ascii="Book Antiqua" w:hAnsi="Book Antiqua"/>
          <w:lang w:val="en-US"/>
        </w:rPr>
        <w:t xml:space="preserve">relevant to </w:t>
      </w:r>
      <w:r w:rsidRPr="009D7554">
        <w:rPr>
          <w:rFonts w:ascii="Book Antiqua" w:hAnsi="Book Antiqua"/>
          <w:lang w:val="en-US"/>
        </w:rPr>
        <w:t xml:space="preserve">CRC; </w:t>
      </w:r>
      <w:r w:rsidR="00F453A0" w:rsidRPr="009D7554">
        <w:rPr>
          <w:rFonts w:ascii="Book Antiqua" w:hAnsi="Book Antiqua"/>
          <w:lang w:val="en-US"/>
        </w:rPr>
        <w:t>(</w:t>
      </w:r>
      <w:r w:rsidRPr="009D7554">
        <w:rPr>
          <w:rFonts w:ascii="Book Antiqua" w:hAnsi="Book Antiqua"/>
          <w:lang w:val="en-US"/>
        </w:rPr>
        <w:t xml:space="preserve">3) </w:t>
      </w:r>
      <w:r w:rsidR="00472B06" w:rsidRPr="009D7554">
        <w:rPr>
          <w:rFonts w:ascii="Book Antiqua" w:hAnsi="Book Antiqua"/>
          <w:lang w:val="en-US"/>
        </w:rPr>
        <w:t xml:space="preserve">a </w:t>
      </w:r>
      <w:r w:rsidRPr="009D7554">
        <w:rPr>
          <w:rFonts w:ascii="Book Antiqua" w:hAnsi="Book Antiqua"/>
          <w:lang w:val="en-US"/>
        </w:rPr>
        <w:t xml:space="preserve">clear definition of the clinical significance of each numerical parameter as </w:t>
      </w:r>
      <w:r w:rsidR="00472B06" w:rsidRPr="009D7554">
        <w:rPr>
          <w:rFonts w:ascii="Book Antiqua" w:hAnsi="Book Antiqua"/>
          <w:lang w:val="en-US"/>
        </w:rPr>
        <w:t xml:space="preserve">a </w:t>
      </w:r>
      <w:r w:rsidRPr="009D7554">
        <w:rPr>
          <w:rFonts w:ascii="Book Antiqua" w:hAnsi="Book Antiqua"/>
          <w:lang w:val="en-US"/>
        </w:rPr>
        <w:t xml:space="preserve">single measure or </w:t>
      </w:r>
      <w:r w:rsidR="00472B06" w:rsidRPr="009D7554">
        <w:rPr>
          <w:rFonts w:ascii="Book Antiqua" w:hAnsi="Book Antiqua"/>
          <w:lang w:val="en-US"/>
        </w:rPr>
        <w:t xml:space="preserve">a </w:t>
      </w:r>
      <w:r w:rsidRPr="009D7554">
        <w:rPr>
          <w:rFonts w:ascii="Book Antiqua" w:hAnsi="Book Antiqua"/>
          <w:lang w:val="en-US"/>
        </w:rPr>
        <w:t xml:space="preserve">multiparametric combination; </w:t>
      </w:r>
      <w:r w:rsidR="00F453A0" w:rsidRPr="009D7554">
        <w:rPr>
          <w:rFonts w:ascii="Book Antiqua" w:hAnsi="Book Antiqua"/>
          <w:lang w:val="en-US"/>
        </w:rPr>
        <w:t>and (</w:t>
      </w:r>
      <w:r w:rsidRPr="009D7554">
        <w:rPr>
          <w:rFonts w:ascii="Book Antiqua" w:hAnsi="Book Antiqua"/>
          <w:lang w:val="en-US"/>
        </w:rPr>
        <w:t>4) a real added</w:t>
      </w:r>
      <w:r w:rsidR="00472B06" w:rsidRPr="009D7554">
        <w:rPr>
          <w:rFonts w:ascii="Book Antiqua" w:hAnsi="Book Antiqua"/>
          <w:lang w:val="en-US"/>
        </w:rPr>
        <w:t>-</w:t>
      </w:r>
      <w:r w:rsidRPr="009D7554">
        <w:rPr>
          <w:rFonts w:ascii="Book Antiqua" w:hAnsi="Book Antiqua"/>
          <w:lang w:val="en-US"/>
        </w:rPr>
        <w:t xml:space="preserve">value </w:t>
      </w:r>
      <w:r w:rsidR="00472B06" w:rsidRPr="009D7554">
        <w:rPr>
          <w:rFonts w:ascii="Book Antiqua" w:hAnsi="Book Antiqua"/>
          <w:lang w:val="en-US"/>
        </w:rPr>
        <w:t xml:space="preserve">when used to determine the </w:t>
      </w:r>
      <w:r w:rsidRPr="009D7554">
        <w:rPr>
          <w:rFonts w:ascii="Book Antiqua" w:hAnsi="Book Antiqua"/>
          <w:lang w:val="en-US"/>
        </w:rPr>
        <w:t>known clinical and pathologic</w:t>
      </w:r>
      <w:r w:rsidR="00472B06" w:rsidRPr="009D7554">
        <w:rPr>
          <w:rFonts w:ascii="Book Antiqua" w:hAnsi="Book Antiqua"/>
          <w:lang w:val="en-US"/>
        </w:rPr>
        <w:t>al</w:t>
      </w:r>
      <w:r w:rsidRPr="009D7554">
        <w:rPr>
          <w:rFonts w:ascii="Book Antiqua" w:hAnsi="Book Antiqua"/>
          <w:lang w:val="en-US"/>
        </w:rPr>
        <w:t xml:space="preserve"> factors of each new numerical </w:t>
      </w:r>
      <w:r w:rsidR="00472B06" w:rsidRPr="009D7554">
        <w:rPr>
          <w:rFonts w:ascii="Book Antiqua" w:hAnsi="Book Antiqua"/>
          <w:lang w:val="en-US"/>
        </w:rPr>
        <w:t xml:space="preserve">imaging </w:t>
      </w:r>
      <w:r w:rsidRPr="009D7554">
        <w:rPr>
          <w:rFonts w:ascii="Book Antiqua" w:hAnsi="Book Antiqua"/>
          <w:lang w:val="en-US"/>
        </w:rPr>
        <w:t>biomarker.</w:t>
      </w:r>
    </w:p>
    <w:p w:rsidR="000E5D22" w:rsidRPr="009D7554" w:rsidRDefault="000E5D22" w:rsidP="000E5D22">
      <w:pPr>
        <w:widowControl w:val="0"/>
        <w:autoSpaceDE w:val="0"/>
        <w:autoSpaceDN w:val="0"/>
        <w:adjustRightInd w:val="0"/>
        <w:snapToGrid w:val="0"/>
        <w:spacing w:line="360" w:lineRule="auto"/>
        <w:jc w:val="both"/>
        <w:rPr>
          <w:rFonts w:ascii="Book Antiqua" w:hAnsi="Book Antiqua"/>
          <w:i/>
          <w:iCs/>
          <w:lang w:val="en-US"/>
        </w:rPr>
      </w:pPr>
    </w:p>
    <w:p w:rsidR="007608AE" w:rsidRPr="009D7554" w:rsidRDefault="004E02C2" w:rsidP="007608AE">
      <w:pPr>
        <w:widowControl w:val="0"/>
        <w:autoSpaceDE w:val="0"/>
        <w:autoSpaceDN w:val="0"/>
        <w:adjustRightInd w:val="0"/>
        <w:snapToGrid w:val="0"/>
        <w:spacing w:line="360" w:lineRule="auto"/>
        <w:jc w:val="both"/>
        <w:rPr>
          <w:rFonts w:ascii="Book Antiqua" w:hAnsi="Book Antiqua"/>
          <w:b/>
          <w:bCs/>
          <w:caps/>
          <w:lang w:val="en-US"/>
        </w:rPr>
      </w:pPr>
      <w:r w:rsidRPr="009D7554">
        <w:rPr>
          <w:rFonts w:ascii="Book Antiqua" w:hAnsi="Book Antiqua"/>
          <w:i/>
          <w:iCs/>
          <w:lang w:val="en-US"/>
        </w:rPr>
        <w:br w:type="page"/>
      </w:r>
      <w:r w:rsidR="007608AE" w:rsidRPr="009D7554">
        <w:rPr>
          <w:rFonts w:ascii="Book Antiqua" w:hAnsi="Book Antiqua"/>
          <w:b/>
          <w:bCs/>
          <w:caps/>
          <w:lang w:val="en-US"/>
        </w:rPr>
        <w:t>References</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 </w:t>
      </w:r>
      <w:r w:rsidRPr="009D7554">
        <w:rPr>
          <w:rFonts w:ascii="Book Antiqua" w:eastAsia="等线" w:hAnsi="Book Antiqua"/>
          <w:b/>
          <w:kern w:val="2"/>
          <w:lang w:val="en-US" w:eastAsia="zh-CN"/>
        </w:rPr>
        <w:t>Siegel RL</w:t>
      </w:r>
      <w:r w:rsidRPr="009D7554">
        <w:rPr>
          <w:rFonts w:ascii="Book Antiqua" w:eastAsia="等线" w:hAnsi="Book Antiqua"/>
          <w:kern w:val="2"/>
          <w:lang w:val="en-US" w:eastAsia="zh-CN"/>
        </w:rPr>
        <w:t xml:space="preserve">, Miller KD, Jemal A. Cancer statistics, 2019. </w:t>
      </w:r>
      <w:r w:rsidRPr="009D7554">
        <w:rPr>
          <w:rFonts w:ascii="Book Antiqua" w:eastAsia="等线" w:hAnsi="Book Antiqua"/>
          <w:i/>
          <w:kern w:val="2"/>
          <w:lang w:val="en-US" w:eastAsia="zh-CN"/>
        </w:rPr>
        <w:t>CA Cancer J Clin</w:t>
      </w:r>
      <w:r w:rsidRPr="009D7554">
        <w:rPr>
          <w:rFonts w:ascii="Book Antiqua" w:eastAsia="等线" w:hAnsi="Book Antiqua"/>
          <w:kern w:val="2"/>
          <w:lang w:val="en-US" w:eastAsia="zh-CN"/>
        </w:rPr>
        <w:t xml:space="preserve"> 2019; </w:t>
      </w:r>
      <w:r w:rsidRPr="009D7554">
        <w:rPr>
          <w:rFonts w:ascii="Book Antiqua" w:eastAsia="等线" w:hAnsi="Book Antiqua"/>
          <w:b/>
          <w:kern w:val="2"/>
          <w:lang w:val="en-US" w:eastAsia="zh-CN"/>
        </w:rPr>
        <w:t>69</w:t>
      </w:r>
      <w:r w:rsidRPr="009D7554">
        <w:rPr>
          <w:rFonts w:ascii="Book Antiqua" w:eastAsia="等线" w:hAnsi="Book Antiqua"/>
          <w:kern w:val="2"/>
          <w:lang w:val="en-US" w:eastAsia="zh-CN"/>
        </w:rPr>
        <w:t>: 7-34 [PMID: 30620402 DOI: 10.3322/caac.21551]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 </w:t>
      </w:r>
      <w:r w:rsidRPr="009D7554">
        <w:rPr>
          <w:rFonts w:ascii="Book Antiqua" w:eastAsia="等线" w:hAnsi="Book Antiqua"/>
          <w:b/>
          <w:kern w:val="2"/>
          <w:lang w:val="en-US" w:eastAsia="zh-CN"/>
        </w:rPr>
        <w:t>Yuan Y</w:t>
      </w:r>
      <w:r w:rsidRPr="009D7554">
        <w:rPr>
          <w:rFonts w:ascii="Book Antiqua" w:eastAsia="等线" w:hAnsi="Book Antiqua"/>
          <w:kern w:val="2"/>
          <w:lang w:val="en-US" w:eastAsia="zh-CN"/>
        </w:rPr>
        <w:t xml:space="preserve">, Li MD, Hu HG, Dong CX, Chen JQ, Li XF, Li JJ, Shen H. Prognostic and survival analysis of 837 Chinese colorectal cancer patients. </w:t>
      </w:r>
      <w:r w:rsidRPr="009D7554">
        <w:rPr>
          <w:rFonts w:ascii="Book Antiqua" w:eastAsia="等线" w:hAnsi="Book Antiqua"/>
          <w:i/>
          <w:kern w:val="2"/>
          <w:lang w:val="en-US" w:eastAsia="zh-CN"/>
        </w:rPr>
        <w:t>World J Gastroenterol</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19</w:t>
      </w:r>
      <w:r w:rsidRPr="009D7554">
        <w:rPr>
          <w:rFonts w:ascii="Book Antiqua" w:eastAsia="等线" w:hAnsi="Book Antiqua"/>
          <w:kern w:val="2"/>
          <w:lang w:val="en-US" w:eastAsia="zh-CN"/>
        </w:rPr>
        <w:t>: 2650-2659 [PMID: 23674872 DOI: 10.3748/wjg.v19.i17.2650]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 </w:t>
      </w:r>
      <w:r w:rsidRPr="009D7554">
        <w:rPr>
          <w:rFonts w:ascii="Book Antiqua" w:eastAsia="等线" w:hAnsi="Book Antiqua"/>
          <w:b/>
          <w:kern w:val="2"/>
          <w:lang w:val="en-US" w:eastAsia="zh-CN"/>
        </w:rPr>
        <w:t>Labianca R</w:t>
      </w:r>
      <w:r w:rsidRPr="009D7554">
        <w:rPr>
          <w:rFonts w:ascii="Book Antiqua" w:eastAsia="等线" w:hAnsi="Book Antiqua"/>
          <w:kern w:val="2"/>
          <w:lang w:val="en-US" w:eastAsia="zh-CN"/>
        </w:rPr>
        <w:t xml:space="preserve">, Nordlinger B, Beretta GD, Mosconi S, Mandalà M, Cervantes A, Arnold D; ESMO Guidelines Working Group. Early colon cancer: ESMO Clinical Practice Guidelines for diagnosis, treatment and follow-up. </w:t>
      </w:r>
      <w:r w:rsidRPr="009D7554">
        <w:rPr>
          <w:rFonts w:ascii="Book Antiqua" w:eastAsia="等线" w:hAnsi="Book Antiqua"/>
          <w:i/>
          <w:kern w:val="2"/>
          <w:lang w:val="en-US" w:eastAsia="zh-CN"/>
        </w:rPr>
        <w:t>Ann Oncol</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24 Suppl 6</w:t>
      </w:r>
      <w:r w:rsidRPr="009D7554">
        <w:rPr>
          <w:rFonts w:ascii="Book Antiqua" w:eastAsia="等线" w:hAnsi="Book Antiqua"/>
          <w:kern w:val="2"/>
          <w:lang w:val="en-US" w:eastAsia="zh-CN"/>
        </w:rPr>
        <w:t>: vi64-vi72 [PMID: 24078664 DOI: 10.1093/annonc/mdt354]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 </w:t>
      </w:r>
      <w:r w:rsidRPr="009D7554">
        <w:rPr>
          <w:rFonts w:ascii="Book Antiqua" w:eastAsia="等线" w:hAnsi="Book Antiqua"/>
          <w:b/>
          <w:kern w:val="2"/>
          <w:lang w:val="en-US" w:eastAsia="zh-CN"/>
        </w:rPr>
        <w:t>Glynne-Jones R</w:t>
      </w:r>
      <w:r w:rsidRPr="009D7554">
        <w:rPr>
          <w:rFonts w:ascii="Book Antiqua" w:eastAsia="等线" w:hAnsi="Book Antiqua"/>
          <w:kern w:val="2"/>
          <w:lang w:val="en-US" w:eastAsia="zh-CN"/>
        </w:rPr>
        <w:t xml:space="preserve">, Wyrwicz L, Tiret E, Brown G, Rödel C, Cervantes A, Arnold D; ESMO Guidelines Committee. Rectal cancer: ESMO Clinical Practice Guidelines for diagnosis, treatment and follow-up. </w:t>
      </w:r>
      <w:r w:rsidRPr="009D7554">
        <w:rPr>
          <w:rFonts w:ascii="Book Antiqua" w:eastAsia="等线" w:hAnsi="Book Antiqua"/>
          <w:i/>
          <w:kern w:val="2"/>
          <w:lang w:val="en-US" w:eastAsia="zh-CN"/>
        </w:rPr>
        <w:t>Ann Oncol</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29</w:t>
      </w:r>
      <w:r w:rsidRPr="009D7554">
        <w:rPr>
          <w:rFonts w:ascii="Book Antiqua" w:eastAsia="等线" w:hAnsi="Book Antiqua"/>
          <w:kern w:val="2"/>
          <w:lang w:val="en-US" w:eastAsia="zh-CN"/>
        </w:rPr>
        <w:t>: iv263 [PMID: 29741565 DOI: 10.1093/annonc/mdy161]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 </w:t>
      </w:r>
      <w:r w:rsidRPr="009D7554">
        <w:rPr>
          <w:rFonts w:ascii="Book Antiqua" w:eastAsia="等线" w:hAnsi="Book Antiqua"/>
          <w:b/>
          <w:kern w:val="2"/>
          <w:lang w:val="en-US" w:eastAsia="zh-CN"/>
        </w:rPr>
        <w:t>Van Cutsem E</w:t>
      </w:r>
      <w:r w:rsidRPr="009D7554">
        <w:rPr>
          <w:rFonts w:ascii="Book Antiqua" w:eastAsia="等线" w:hAnsi="Book Antiqua"/>
          <w:kern w:val="2"/>
          <w:lang w:val="en-US" w:eastAsia="zh-CN"/>
        </w:rPr>
        <w:t xml:space="preserve">, Cervantes A, Nordlinger B, Arnold D; ESMO Guidelines Working Group. Metastatic colorectal cancer: ESMO Clinical Practice Guidelines for diagnosis, treatment and follow-up. </w:t>
      </w:r>
      <w:r w:rsidRPr="009D7554">
        <w:rPr>
          <w:rFonts w:ascii="Book Antiqua" w:eastAsia="等线" w:hAnsi="Book Antiqua"/>
          <w:i/>
          <w:kern w:val="2"/>
          <w:lang w:val="en-US" w:eastAsia="zh-CN"/>
        </w:rPr>
        <w:t>Ann Oncol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25 Suppl 3</w:t>
      </w:r>
      <w:r w:rsidRPr="009D7554">
        <w:rPr>
          <w:rFonts w:ascii="Book Antiqua" w:eastAsia="等线" w:hAnsi="Book Antiqua"/>
          <w:kern w:val="2"/>
          <w:lang w:val="en-US" w:eastAsia="zh-CN"/>
        </w:rPr>
        <w:t>: iii1-iii9 [PMID: 25190710 DOI: 10.1093/annonc/mdu260]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 </w:t>
      </w:r>
      <w:r w:rsidRPr="009D7554">
        <w:rPr>
          <w:rFonts w:ascii="Book Antiqua" w:eastAsia="等线" w:hAnsi="Book Antiqua"/>
          <w:b/>
          <w:kern w:val="2"/>
          <w:lang w:val="en-US" w:eastAsia="zh-CN"/>
        </w:rPr>
        <w:t>Gerlinger M</w:t>
      </w:r>
      <w:r w:rsidRPr="009D7554">
        <w:rPr>
          <w:rFonts w:ascii="Book Antiqua" w:eastAsia="等线" w:hAnsi="Book Antiqua"/>
          <w:kern w:val="2"/>
          <w:lang w:val="en-US" w:eastAsia="zh-CN"/>
        </w:rPr>
        <w:t xml:space="preserve">, Rowan AJ, Horswell S, Math M, Larkin J, Endesfelder D, Gronroos E, Martinez P, Matthews N, Stewart A, Tarpey P, Varela I, Phillimore B, Begum S, McDonald NQ, Butler A, Jones D, Raine K, Latimer C, Santos CR, Nohadani M, Eklund AC, Spencer-Dene B, Clark G, Pickering L, Stamp G, Gore M, Szallasi Z, Downward J, Futreal PA, Swanton C. Intratumor heterogeneity and branched evolution revealed by multiregion sequencing. </w:t>
      </w:r>
      <w:r w:rsidRPr="009D7554">
        <w:rPr>
          <w:rFonts w:ascii="Book Antiqua" w:eastAsia="等线" w:hAnsi="Book Antiqua"/>
          <w:i/>
          <w:kern w:val="2"/>
          <w:lang w:val="en-US" w:eastAsia="zh-CN"/>
        </w:rPr>
        <w:t>N Engl J Med</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366</w:t>
      </w:r>
      <w:r w:rsidRPr="009D7554">
        <w:rPr>
          <w:rFonts w:ascii="Book Antiqua" w:eastAsia="等线" w:hAnsi="Book Antiqua"/>
          <w:kern w:val="2"/>
          <w:lang w:val="en-US" w:eastAsia="zh-CN"/>
        </w:rPr>
        <w:t>: 883-892 [PMID: 22397650 DOI: 10.1056/NEJMoa1113205]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 </w:t>
      </w:r>
      <w:r w:rsidRPr="009D7554">
        <w:rPr>
          <w:rFonts w:ascii="Book Antiqua" w:eastAsia="等线" w:hAnsi="Book Antiqua"/>
          <w:b/>
          <w:kern w:val="2"/>
          <w:lang w:val="en-US" w:eastAsia="zh-CN"/>
        </w:rPr>
        <w:t>Glüer CC</w:t>
      </w:r>
      <w:r w:rsidRPr="009D7554">
        <w:rPr>
          <w:rFonts w:ascii="Book Antiqua" w:eastAsia="等线" w:hAnsi="Book Antiqua"/>
          <w:kern w:val="2"/>
          <w:lang w:val="en-US" w:eastAsia="zh-CN"/>
        </w:rPr>
        <w:t xml:space="preserve">, Barkmann R, Hahn HK, Majumdar S, Eckstein F, Nickelsen TN, Bolte H, Dicken V, Heller M. [Parametric biomedical imaging--what defines the quality of quantitative radiological approaches?]. </w:t>
      </w:r>
      <w:r w:rsidRPr="009D7554">
        <w:rPr>
          <w:rFonts w:ascii="Book Antiqua" w:eastAsia="等线" w:hAnsi="Book Antiqua"/>
          <w:i/>
          <w:kern w:val="2"/>
          <w:lang w:val="en-US" w:eastAsia="zh-CN"/>
        </w:rPr>
        <w:t>Rofo</w:t>
      </w:r>
      <w:r w:rsidRPr="009D7554">
        <w:rPr>
          <w:rFonts w:ascii="Book Antiqua" w:eastAsia="等线" w:hAnsi="Book Antiqua"/>
          <w:kern w:val="2"/>
          <w:lang w:val="en-US" w:eastAsia="zh-CN"/>
        </w:rPr>
        <w:t xml:space="preserve"> 2006; </w:t>
      </w:r>
      <w:r w:rsidRPr="009D7554">
        <w:rPr>
          <w:rFonts w:ascii="Book Antiqua" w:eastAsia="等线" w:hAnsi="Book Antiqua"/>
          <w:b/>
          <w:kern w:val="2"/>
          <w:lang w:val="en-US" w:eastAsia="zh-CN"/>
        </w:rPr>
        <w:t>178</w:t>
      </w:r>
      <w:r w:rsidRPr="009D7554">
        <w:rPr>
          <w:rFonts w:ascii="Book Antiqua" w:eastAsia="等线" w:hAnsi="Book Antiqua"/>
          <w:kern w:val="2"/>
          <w:lang w:val="en-US" w:eastAsia="zh-CN"/>
        </w:rPr>
        <w:t>: 1187-1201 [PMID: 17136644 DOI: 10.1055/s-2006-926973]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 </w:t>
      </w:r>
      <w:r w:rsidRPr="009D7554">
        <w:rPr>
          <w:rFonts w:ascii="Book Antiqua" w:eastAsia="等线" w:hAnsi="Book Antiqua"/>
          <w:b/>
          <w:kern w:val="2"/>
          <w:lang w:val="en-US" w:eastAsia="zh-CN"/>
        </w:rPr>
        <w:t>García-Figueiras R</w:t>
      </w:r>
      <w:r w:rsidRPr="009D7554">
        <w:rPr>
          <w:rFonts w:ascii="Book Antiqua" w:eastAsia="等线" w:hAnsi="Book Antiqua"/>
          <w:kern w:val="2"/>
          <w:lang w:val="en-US" w:eastAsia="zh-CN"/>
        </w:rPr>
        <w:t xml:space="preserve">, Baleato-González S, Padhani AR, Marhuenda A, Luna A, Alcalá L, Carballo-Castro A, Álvarez-Castro A. Advanced imaging of colorectal cancer: From anatomy to molecular imaging. </w:t>
      </w:r>
      <w:r w:rsidRPr="009D7554">
        <w:rPr>
          <w:rFonts w:ascii="Book Antiqua" w:eastAsia="等线" w:hAnsi="Book Antiqua"/>
          <w:i/>
          <w:kern w:val="2"/>
          <w:lang w:val="en-US" w:eastAsia="zh-CN"/>
        </w:rPr>
        <w:t>Insights Imaging</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7</w:t>
      </w:r>
      <w:r w:rsidRPr="009D7554">
        <w:rPr>
          <w:rFonts w:ascii="Book Antiqua" w:eastAsia="等线" w:hAnsi="Book Antiqua"/>
          <w:kern w:val="2"/>
          <w:lang w:val="en-US" w:eastAsia="zh-CN"/>
        </w:rPr>
        <w:t>: 285-309 [PMID: 27136925 DOI: 10.1007/s13244-016-0465-x]</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 </w:t>
      </w:r>
      <w:r w:rsidRPr="009D7554">
        <w:rPr>
          <w:rFonts w:ascii="Book Antiqua" w:eastAsia="等线" w:hAnsi="Book Antiqua"/>
          <w:b/>
          <w:kern w:val="2"/>
          <w:lang w:val="en-US" w:eastAsia="zh-CN"/>
        </w:rPr>
        <w:t>Prezzi D</w:t>
      </w:r>
      <w:r w:rsidRPr="009D7554">
        <w:rPr>
          <w:rFonts w:ascii="Book Antiqua" w:eastAsia="等线" w:hAnsi="Book Antiqua"/>
          <w:kern w:val="2"/>
          <w:lang w:val="en-US" w:eastAsia="zh-CN"/>
        </w:rPr>
        <w:t xml:space="preserve">, Goh V. Rectal Cancer Magnetic Resonance Imaging: Imaging Beyond Morphology. </w:t>
      </w:r>
      <w:r w:rsidRPr="009D7554">
        <w:rPr>
          <w:rFonts w:ascii="Book Antiqua" w:eastAsia="等线" w:hAnsi="Book Antiqua"/>
          <w:i/>
          <w:kern w:val="2"/>
          <w:lang w:val="en-US" w:eastAsia="zh-CN"/>
        </w:rPr>
        <w:t>Clin Oncol (R Coll Radiol)</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28</w:t>
      </w:r>
      <w:r w:rsidRPr="009D7554">
        <w:rPr>
          <w:rFonts w:ascii="Book Antiqua" w:eastAsia="等线" w:hAnsi="Book Antiqua"/>
          <w:kern w:val="2"/>
          <w:lang w:val="en-US" w:eastAsia="zh-CN"/>
        </w:rPr>
        <w:t>: 83-92 [PMID: 26586163 DOI: 10.1016/j.clon.2015.10.010]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 </w:t>
      </w:r>
      <w:r w:rsidRPr="009D7554">
        <w:rPr>
          <w:rFonts w:ascii="Book Antiqua" w:eastAsia="等线" w:hAnsi="Book Antiqua"/>
          <w:b/>
          <w:kern w:val="2"/>
          <w:lang w:val="en-US" w:eastAsia="zh-CN"/>
        </w:rPr>
        <w:t>Chun YS</w:t>
      </w:r>
      <w:r w:rsidRPr="009D7554">
        <w:rPr>
          <w:rFonts w:ascii="Book Antiqua" w:eastAsia="等线" w:hAnsi="Book Antiqua"/>
          <w:kern w:val="2"/>
          <w:lang w:val="en-US" w:eastAsia="zh-CN"/>
        </w:rPr>
        <w:t xml:space="preserve">, Vauthey JN, Boonsirikamchai P, Maru DM, Kopetz S, Palavecino M, Curley SA, Abdalla EK, Kaur H, Charnsangavej C, Loyer EM. Association of computed tomography morphologic criteria with pathologic response and survival in patients treated with bevacizumab for colorectal liver metastases. </w:t>
      </w:r>
      <w:r w:rsidRPr="009D7554">
        <w:rPr>
          <w:rFonts w:ascii="Book Antiqua" w:eastAsia="等线" w:hAnsi="Book Antiqua"/>
          <w:i/>
          <w:kern w:val="2"/>
          <w:lang w:val="en-US" w:eastAsia="zh-CN"/>
        </w:rPr>
        <w:t>JAMA</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302</w:t>
      </w:r>
      <w:r w:rsidRPr="009D7554">
        <w:rPr>
          <w:rFonts w:ascii="Book Antiqua" w:eastAsia="等线" w:hAnsi="Book Antiqua"/>
          <w:kern w:val="2"/>
          <w:lang w:val="en-US" w:eastAsia="zh-CN"/>
        </w:rPr>
        <w:t>: 2338-2344 [PMID: 19952320 DOI: 10.1001/jama.2009.1755]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 </w:t>
      </w:r>
      <w:r w:rsidRPr="009D7554">
        <w:rPr>
          <w:rFonts w:ascii="Book Antiqua" w:eastAsia="等线" w:hAnsi="Book Antiqua"/>
          <w:b/>
          <w:kern w:val="2"/>
          <w:lang w:val="en-US" w:eastAsia="zh-CN"/>
        </w:rPr>
        <w:t>Choi H</w:t>
      </w:r>
      <w:r w:rsidRPr="009D7554">
        <w:rPr>
          <w:rFonts w:ascii="Book Antiqua" w:eastAsia="等线" w:hAnsi="Book Antiqua"/>
          <w:kern w:val="2"/>
          <w:lang w:val="en-US" w:eastAsia="zh-CN"/>
        </w:rPr>
        <w:t xml:space="preserve">, Charnsangavej C, Faria SC, Macapinlac HA, Burgess MA, Patel SR, Chen LL, Podoloff DA, Benjamin RS. Correlation of computed tomography and positron emission tomography in patients with metastatic gastrointestinal stromal tumor treated at a single institution with imatinib mesylate: proposal of new computed tomography response criteria. </w:t>
      </w:r>
      <w:r w:rsidRPr="009D7554">
        <w:rPr>
          <w:rFonts w:ascii="Book Antiqua" w:eastAsia="等线" w:hAnsi="Book Antiqua"/>
          <w:i/>
          <w:kern w:val="2"/>
          <w:lang w:val="en-US" w:eastAsia="zh-CN"/>
        </w:rPr>
        <w:t>J Clin Oncol</w:t>
      </w:r>
      <w:r w:rsidRPr="009D7554">
        <w:rPr>
          <w:rFonts w:ascii="Book Antiqua" w:eastAsia="等线" w:hAnsi="Book Antiqua"/>
          <w:kern w:val="2"/>
          <w:lang w:val="en-US" w:eastAsia="zh-CN"/>
        </w:rPr>
        <w:t xml:space="preserve"> 2007; </w:t>
      </w:r>
      <w:r w:rsidRPr="009D7554">
        <w:rPr>
          <w:rFonts w:ascii="Book Antiqua" w:eastAsia="等线" w:hAnsi="Book Antiqua"/>
          <w:b/>
          <w:kern w:val="2"/>
          <w:lang w:val="en-US" w:eastAsia="zh-CN"/>
        </w:rPr>
        <w:t>25</w:t>
      </w:r>
      <w:r w:rsidRPr="009D7554">
        <w:rPr>
          <w:rFonts w:ascii="Book Antiqua" w:eastAsia="等线" w:hAnsi="Book Antiqua"/>
          <w:kern w:val="2"/>
          <w:lang w:val="en-US" w:eastAsia="zh-CN"/>
        </w:rPr>
        <w:t>: 1753-1759 [PMID: 17470865 DOI: 10.1200/JCO.2006.07.3049]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 </w:t>
      </w:r>
      <w:r w:rsidRPr="009D7554">
        <w:rPr>
          <w:rFonts w:ascii="Book Antiqua" w:eastAsia="等线" w:hAnsi="Book Antiqua"/>
          <w:b/>
          <w:kern w:val="2"/>
          <w:lang w:val="en-US" w:eastAsia="zh-CN"/>
        </w:rPr>
        <w:t>Lencioni R</w:t>
      </w:r>
      <w:r w:rsidRPr="009D7554">
        <w:rPr>
          <w:rFonts w:ascii="Book Antiqua" w:eastAsia="等线" w:hAnsi="Book Antiqua"/>
          <w:kern w:val="2"/>
          <w:lang w:val="en-US" w:eastAsia="zh-CN"/>
        </w:rPr>
        <w:t xml:space="preserve">, Llovet JM. Modified RECIST (mRECIST) assessment for hepatocellular carcinoma. </w:t>
      </w:r>
      <w:r w:rsidRPr="009D7554">
        <w:rPr>
          <w:rFonts w:ascii="Book Antiqua" w:eastAsia="等线" w:hAnsi="Book Antiqua"/>
          <w:i/>
          <w:kern w:val="2"/>
          <w:lang w:val="en-US" w:eastAsia="zh-CN"/>
        </w:rPr>
        <w:t>Semin Liver Dis</w:t>
      </w:r>
      <w:r w:rsidRPr="009D7554">
        <w:rPr>
          <w:rFonts w:ascii="Book Antiqua" w:eastAsia="等线" w:hAnsi="Book Antiqua"/>
          <w:kern w:val="2"/>
          <w:lang w:val="en-US" w:eastAsia="zh-CN"/>
        </w:rPr>
        <w:t xml:space="preserve"> 2010; </w:t>
      </w:r>
      <w:r w:rsidRPr="009D7554">
        <w:rPr>
          <w:rFonts w:ascii="Book Antiqua" w:eastAsia="等线" w:hAnsi="Book Antiqua"/>
          <w:b/>
          <w:kern w:val="2"/>
          <w:lang w:val="en-US" w:eastAsia="zh-CN"/>
        </w:rPr>
        <w:t>30</w:t>
      </w:r>
      <w:r w:rsidRPr="009D7554">
        <w:rPr>
          <w:rFonts w:ascii="Book Antiqua" w:eastAsia="等线" w:hAnsi="Book Antiqua"/>
          <w:kern w:val="2"/>
          <w:lang w:val="en-US" w:eastAsia="zh-CN"/>
        </w:rPr>
        <w:t>: 52-60 [PMID: 20175033 DOI: 10.1055/s-0030-1247132]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 </w:t>
      </w:r>
      <w:r w:rsidRPr="009D7554">
        <w:rPr>
          <w:rFonts w:ascii="Book Antiqua" w:eastAsia="等线" w:hAnsi="Book Antiqua"/>
          <w:b/>
          <w:kern w:val="2"/>
          <w:lang w:val="en-US" w:eastAsia="zh-CN"/>
        </w:rPr>
        <w:t>Rao SX</w:t>
      </w:r>
      <w:r w:rsidRPr="009D7554">
        <w:rPr>
          <w:rFonts w:ascii="Book Antiqua" w:eastAsia="等线" w:hAnsi="Book Antiqua"/>
          <w:kern w:val="2"/>
          <w:lang w:val="en-US" w:eastAsia="zh-CN"/>
        </w:rPr>
        <w:t xml:space="preserve">, Lambregts DM, Schnerr RS, Beckers RC, Maas M, Albarello F, Riedl RG, Dejong CH, Martens MH, Heijnen LA, Backes WH, Beets GL, Zeng MS, Beets-Tan RG. CT texture analysis in colorectal liver metastases: A better way than size and volume measurements to assess response to chemotherapy? </w:t>
      </w:r>
      <w:r w:rsidRPr="009D7554">
        <w:rPr>
          <w:rFonts w:ascii="Book Antiqua" w:eastAsia="等线" w:hAnsi="Book Antiqua"/>
          <w:i/>
          <w:kern w:val="2"/>
          <w:lang w:val="en-US" w:eastAsia="zh-CN"/>
        </w:rPr>
        <w:t>United European Gastroenterol J</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4</w:t>
      </w:r>
      <w:r w:rsidRPr="009D7554">
        <w:rPr>
          <w:rFonts w:ascii="Book Antiqua" w:eastAsia="等线" w:hAnsi="Book Antiqua"/>
          <w:kern w:val="2"/>
          <w:lang w:val="en-US" w:eastAsia="zh-CN"/>
        </w:rPr>
        <w:t>: 257-263 [PMID: 27087955 DOI: 10.1177/2050640615601603]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 </w:t>
      </w:r>
      <w:r w:rsidRPr="009D7554">
        <w:rPr>
          <w:rFonts w:ascii="Book Antiqua" w:eastAsia="等线" w:hAnsi="Book Antiqua"/>
          <w:b/>
          <w:kern w:val="2"/>
          <w:lang w:val="en-US" w:eastAsia="zh-CN"/>
        </w:rPr>
        <w:t>Shankar S</w:t>
      </w:r>
      <w:r w:rsidRPr="009D7554">
        <w:rPr>
          <w:rFonts w:ascii="Book Antiqua" w:eastAsia="等线" w:hAnsi="Book Antiqua"/>
          <w:kern w:val="2"/>
          <w:lang w:val="en-US" w:eastAsia="zh-CN"/>
        </w:rPr>
        <w:t xml:space="preserve">, Dundamadappa SK, Karam AR, Stay RM, van Sonnenberg E. Imaging of gastrointestinal stromal tumors before and after imatinib mesylate therapy. </w:t>
      </w:r>
      <w:r w:rsidRPr="009D7554">
        <w:rPr>
          <w:rFonts w:ascii="Book Antiqua" w:eastAsia="等线" w:hAnsi="Book Antiqua"/>
          <w:i/>
          <w:kern w:val="2"/>
          <w:lang w:val="en-US" w:eastAsia="zh-CN"/>
        </w:rPr>
        <w:t>Acta Radiol</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50</w:t>
      </w:r>
      <w:r w:rsidRPr="009D7554">
        <w:rPr>
          <w:rFonts w:ascii="Book Antiqua" w:eastAsia="等线" w:hAnsi="Book Antiqua"/>
          <w:kern w:val="2"/>
          <w:lang w:val="en-US" w:eastAsia="zh-CN"/>
        </w:rPr>
        <w:t>: 837-844 [PMID: 19735005 DOI: 10.1080/02841850903059423]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 </w:t>
      </w:r>
      <w:r w:rsidRPr="009D7554">
        <w:rPr>
          <w:rFonts w:ascii="Book Antiqua" w:eastAsia="等线" w:hAnsi="Book Antiqua"/>
          <w:b/>
          <w:kern w:val="2"/>
          <w:lang w:val="en-US" w:eastAsia="zh-CN"/>
        </w:rPr>
        <w:t>Chung WS</w:t>
      </w:r>
      <w:r w:rsidRPr="009D7554">
        <w:rPr>
          <w:rFonts w:ascii="Book Antiqua" w:eastAsia="等线" w:hAnsi="Book Antiqua"/>
          <w:kern w:val="2"/>
          <w:lang w:val="en-US" w:eastAsia="zh-CN"/>
        </w:rPr>
        <w:t xml:space="preserve">, Park MS, Shin SJ, Baek SE, Kim YE, Choi JY, Kim MJ. Response evaluation in patients with colorectal liver metastases: RECIST version 1.1 versus modified CT criteria. </w:t>
      </w:r>
      <w:r w:rsidRPr="009D7554">
        <w:rPr>
          <w:rFonts w:ascii="Book Antiqua" w:eastAsia="等线" w:hAnsi="Book Antiqua"/>
          <w:i/>
          <w:kern w:val="2"/>
          <w:lang w:val="en-US" w:eastAsia="zh-CN"/>
        </w:rPr>
        <w:t>AJR Am J Roentgenol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199</w:t>
      </w:r>
      <w:r w:rsidRPr="009D7554">
        <w:rPr>
          <w:rFonts w:ascii="Book Antiqua" w:eastAsia="等线" w:hAnsi="Book Antiqua"/>
          <w:kern w:val="2"/>
          <w:lang w:val="en-US" w:eastAsia="zh-CN"/>
        </w:rPr>
        <w:t>: 809-815 [PMID: 22997372 DOI: 10.2214/AJR.11.7910]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16 </w:t>
      </w:r>
      <w:r w:rsidRPr="009D7554">
        <w:rPr>
          <w:rFonts w:ascii="Book Antiqua" w:eastAsia="等线" w:hAnsi="Book Antiqua"/>
          <w:b/>
          <w:kern w:val="2"/>
          <w:lang w:val="en-US" w:eastAsia="zh-CN"/>
        </w:rPr>
        <w:t>Patterson DM</w:t>
      </w:r>
      <w:r w:rsidRPr="009D7554">
        <w:rPr>
          <w:rFonts w:ascii="Book Antiqua" w:eastAsia="等线" w:hAnsi="Book Antiqua"/>
          <w:kern w:val="2"/>
          <w:lang w:val="en-US" w:eastAsia="zh-CN"/>
        </w:rPr>
        <w:t xml:space="preserve">, Padhani AR, Collins DJ. Technology insight: water diffusion MRI--a potential new biomarker of response to cancer therapy. </w:t>
      </w:r>
      <w:r w:rsidRPr="009D7554">
        <w:rPr>
          <w:rFonts w:ascii="Book Antiqua" w:eastAsia="等线" w:hAnsi="Book Antiqua"/>
          <w:i/>
          <w:kern w:val="2"/>
          <w:lang w:val="en-US" w:eastAsia="zh-CN"/>
        </w:rPr>
        <w:t>Nat Clin Pract Oncol</w:t>
      </w:r>
      <w:r w:rsidRPr="009D7554">
        <w:rPr>
          <w:rFonts w:ascii="Book Antiqua" w:eastAsia="等线" w:hAnsi="Book Antiqua"/>
          <w:kern w:val="2"/>
          <w:lang w:val="en-US" w:eastAsia="zh-CN"/>
        </w:rPr>
        <w:t xml:space="preserve"> 2008; </w:t>
      </w:r>
      <w:r w:rsidRPr="009D7554">
        <w:rPr>
          <w:rFonts w:ascii="Book Antiqua" w:eastAsia="等线" w:hAnsi="Book Antiqua"/>
          <w:b/>
          <w:kern w:val="2"/>
          <w:lang w:val="en-US" w:eastAsia="zh-CN"/>
        </w:rPr>
        <w:t>5</w:t>
      </w:r>
      <w:r w:rsidRPr="009D7554">
        <w:rPr>
          <w:rFonts w:ascii="Book Antiqua" w:eastAsia="等线" w:hAnsi="Book Antiqua"/>
          <w:kern w:val="2"/>
          <w:lang w:val="en-US" w:eastAsia="zh-CN"/>
        </w:rPr>
        <w:t>: 220-233 [PMID: 18301415 DOI: 10.1038/ncponc1073]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17 </w:t>
      </w:r>
      <w:r w:rsidRPr="009D7554">
        <w:rPr>
          <w:rFonts w:ascii="Book Antiqua" w:eastAsia="等线" w:hAnsi="Book Antiqua"/>
          <w:b/>
          <w:kern w:val="2"/>
          <w:lang w:val="en-US" w:eastAsia="zh-CN"/>
        </w:rPr>
        <w:t>deSouza NM</w:t>
      </w:r>
      <w:r w:rsidRPr="009D7554">
        <w:rPr>
          <w:rFonts w:ascii="Book Antiqua" w:eastAsia="等线" w:hAnsi="Book Antiqua"/>
          <w:kern w:val="2"/>
          <w:lang w:val="en-US" w:eastAsia="zh-CN"/>
        </w:rPr>
        <w:t xml:space="preserve">, Riches SF, Vanas NJ, Morgan VA, Ashley SA, Fisher C, Payne GS, Parker C. Diffusion-weighted magnetic resonance imaging: a potential non-invasive marker of tumour aggressiveness in localized prostate cancer. </w:t>
      </w:r>
      <w:r w:rsidRPr="009D7554">
        <w:rPr>
          <w:rFonts w:ascii="Book Antiqua" w:eastAsia="等线" w:hAnsi="Book Antiqua"/>
          <w:i/>
          <w:kern w:val="2"/>
          <w:lang w:val="en-US" w:eastAsia="zh-CN"/>
        </w:rPr>
        <w:t>Clin Radiol</w:t>
      </w:r>
      <w:r w:rsidRPr="009D7554">
        <w:rPr>
          <w:rFonts w:ascii="Book Antiqua" w:eastAsia="等线" w:hAnsi="Book Antiqua"/>
          <w:kern w:val="2"/>
          <w:lang w:val="en-US" w:eastAsia="zh-CN"/>
        </w:rPr>
        <w:t xml:space="preserve"> 2008; </w:t>
      </w:r>
      <w:r w:rsidRPr="009D7554">
        <w:rPr>
          <w:rFonts w:ascii="Book Antiqua" w:eastAsia="等线" w:hAnsi="Book Antiqua"/>
          <w:b/>
          <w:kern w:val="2"/>
          <w:lang w:val="en-US" w:eastAsia="zh-CN"/>
        </w:rPr>
        <w:t>63</w:t>
      </w:r>
      <w:r w:rsidRPr="009D7554">
        <w:rPr>
          <w:rFonts w:ascii="Book Antiqua" w:eastAsia="等线" w:hAnsi="Book Antiqua"/>
          <w:kern w:val="2"/>
          <w:lang w:val="en-US" w:eastAsia="zh-CN"/>
        </w:rPr>
        <w:t>: 774-782 [PMID: 18555035 DOI: 10.1016/j.crad.2008.02.001]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18 </w:t>
      </w:r>
      <w:r w:rsidRPr="009D7554">
        <w:rPr>
          <w:rFonts w:ascii="Book Antiqua" w:eastAsia="等线" w:hAnsi="Book Antiqua"/>
          <w:b/>
          <w:kern w:val="2"/>
          <w:lang w:val="en-US" w:eastAsia="zh-CN"/>
        </w:rPr>
        <w:t>Koh DM</w:t>
      </w:r>
      <w:r w:rsidRPr="009D7554">
        <w:rPr>
          <w:rFonts w:ascii="Book Antiqua" w:eastAsia="等线" w:hAnsi="Book Antiqua"/>
          <w:kern w:val="2"/>
          <w:lang w:val="en-US" w:eastAsia="zh-CN"/>
        </w:rPr>
        <w:t xml:space="preserve">, Collins DJ. Diffusion-weighted MRI in the body: applications and challenges in oncology. </w:t>
      </w:r>
      <w:r w:rsidRPr="009D7554">
        <w:rPr>
          <w:rFonts w:ascii="Book Antiqua" w:eastAsia="等线" w:hAnsi="Book Antiqua"/>
          <w:i/>
          <w:kern w:val="2"/>
          <w:lang w:val="en-US" w:eastAsia="zh-CN"/>
        </w:rPr>
        <w:t>AJR Am J Roentgenol</w:t>
      </w:r>
      <w:r w:rsidRPr="009D7554">
        <w:rPr>
          <w:rFonts w:ascii="Book Antiqua" w:eastAsia="等线" w:hAnsi="Book Antiqua"/>
          <w:kern w:val="2"/>
          <w:lang w:val="en-US" w:eastAsia="zh-CN"/>
        </w:rPr>
        <w:t xml:space="preserve"> 2007; </w:t>
      </w:r>
      <w:r w:rsidRPr="009D7554">
        <w:rPr>
          <w:rFonts w:ascii="Book Antiqua" w:eastAsia="等线" w:hAnsi="Book Antiqua"/>
          <w:b/>
          <w:kern w:val="2"/>
          <w:lang w:val="en-US" w:eastAsia="zh-CN"/>
        </w:rPr>
        <w:t>188</w:t>
      </w:r>
      <w:r w:rsidRPr="009D7554">
        <w:rPr>
          <w:rFonts w:ascii="Book Antiqua" w:eastAsia="等线" w:hAnsi="Book Antiqua"/>
          <w:kern w:val="2"/>
          <w:lang w:val="en-US" w:eastAsia="zh-CN"/>
        </w:rPr>
        <w:t>: 1622-1635 [PMID: 17515386 DOI: 10.2214/AJR.06.1403]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19 </w:t>
      </w:r>
      <w:r w:rsidRPr="009D7554">
        <w:rPr>
          <w:rFonts w:ascii="Book Antiqua" w:eastAsia="等线" w:hAnsi="Book Antiqua"/>
          <w:b/>
          <w:kern w:val="2"/>
          <w:lang w:val="en-US" w:eastAsia="zh-CN"/>
        </w:rPr>
        <w:t>Heijmen L</w:t>
      </w:r>
      <w:r w:rsidRPr="009D7554">
        <w:rPr>
          <w:rFonts w:ascii="Book Antiqua" w:eastAsia="等线" w:hAnsi="Book Antiqua"/>
          <w:kern w:val="2"/>
          <w:lang w:val="en-US" w:eastAsia="zh-CN"/>
        </w:rPr>
        <w:t xml:space="preserve">, Verstappen MC, Ter Voert EE, Punt CJ, Oyen WJ, de Geus-Oei LF, Hermans JJ, Heerschap A, van Laarhoven HW. Tumour response prediction by diffusion-weighted MR imaging: ready for clinical use? </w:t>
      </w:r>
      <w:r w:rsidRPr="009D7554">
        <w:rPr>
          <w:rFonts w:ascii="Book Antiqua" w:eastAsia="等线" w:hAnsi="Book Antiqua"/>
          <w:i/>
          <w:kern w:val="2"/>
          <w:lang w:val="en-US" w:eastAsia="zh-CN"/>
        </w:rPr>
        <w:t>Crit Rev Oncol Hematol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83</w:t>
      </w:r>
      <w:r w:rsidRPr="009D7554">
        <w:rPr>
          <w:rFonts w:ascii="Book Antiqua" w:eastAsia="等线" w:hAnsi="Book Antiqua"/>
          <w:kern w:val="2"/>
          <w:lang w:val="en-US" w:eastAsia="zh-CN"/>
        </w:rPr>
        <w:t>: 194-207 [PMID: 22269446 DOI: 10.1016/j.critrevonc.2011.12.008]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20 </w:t>
      </w:r>
      <w:r w:rsidRPr="009D7554">
        <w:rPr>
          <w:rFonts w:ascii="Book Antiqua" w:eastAsia="等线" w:hAnsi="Book Antiqua"/>
          <w:b/>
          <w:kern w:val="2"/>
          <w:lang w:val="en-US" w:eastAsia="zh-CN"/>
        </w:rPr>
        <w:t>Rak J</w:t>
      </w:r>
      <w:r w:rsidRPr="009D7554">
        <w:rPr>
          <w:rFonts w:ascii="Book Antiqua" w:eastAsia="等线" w:hAnsi="Book Antiqua"/>
          <w:kern w:val="2"/>
          <w:lang w:val="en-US" w:eastAsia="zh-CN"/>
        </w:rPr>
        <w:t xml:space="preserve">, Mitsuhashi Y, Bayko L, Filmus J, Shirasawa S, Sasazuki T, Kerbel RS. Mutant ras oncogenes upregulate VEGF/VPF expression: implications for induction and inhibition of tumor angiogenesis. </w:t>
      </w:r>
      <w:r w:rsidRPr="009D7554">
        <w:rPr>
          <w:rFonts w:ascii="Book Antiqua" w:eastAsia="等线" w:hAnsi="Book Antiqua"/>
          <w:i/>
          <w:kern w:val="2"/>
          <w:lang w:val="en-US" w:eastAsia="zh-CN"/>
        </w:rPr>
        <w:t>Cancer Res</w:t>
      </w:r>
      <w:r w:rsidRPr="009D7554">
        <w:rPr>
          <w:rFonts w:ascii="Book Antiqua" w:eastAsia="等线" w:hAnsi="Book Antiqua"/>
          <w:kern w:val="2"/>
          <w:lang w:val="en-US" w:eastAsia="zh-CN"/>
        </w:rPr>
        <w:t xml:space="preserve"> 1995; </w:t>
      </w:r>
      <w:r w:rsidRPr="009D7554">
        <w:rPr>
          <w:rFonts w:ascii="Book Antiqua" w:eastAsia="等线" w:hAnsi="Book Antiqua"/>
          <w:b/>
          <w:kern w:val="2"/>
          <w:lang w:val="en-US" w:eastAsia="zh-CN"/>
        </w:rPr>
        <w:t>55</w:t>
      </w:r>
      <w:r w:rsidRPr="009D7554">
        <w:rPr>
          <w:rFonts w:ascii="Book Antiqua" w:eastAsia="等线" w:hAnsi="Book Antiqua"/>
          <w:kern w:val="2"/>
          <w:lang w:val="en-US" w:eastAsia="zh-CN"/>
        </w:rPr>
        <w:t>: 4575-4580 [PMID: 7553632]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21 </w:t>
      </w:r>
      <w:r w:rsidRPr="009D7554">
        <w:rPr>
          <w:rFonts w:ascii="Book Antiqua" w:eastAsia="等线" w:hAnsi="Book Antiqua"/>
          <w:b/>
          <w:kern w:val="2"/>
          <w:lang w:val="en-US" w:eastAsia="zh-CN"/>
        </w:rPr>
        <w:t>Goh V</w:t>
      </w:r>
      <w:r w:rsidRPr="009D7554">
        <w:rPr>
          <w:rFonts w:ascii="Book Antiqua" w:eastAsia="等线" w:hAnsi="Book Antiqua"/>
          <w:kern w:val="2"/>
          <w:lang w:val="en-US" w:eastAsia="zh-CN"/>
        </w:rPr>
        <w:t xml:space="preserve">, Halligan S, Daley F, Wellsted DM, Guenther T, Bartram CI. Colorectal tumor vascularity: quantitative assessment with multidetector CT--do tumor perfusion measurements reflect angiogenesis?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2008; </w:t>
      </w:r>
      <w:r w:rsidRPr="009D7554">
        <w:rPr>
          <w:rFonts w:ascii="Book Antiqua" w:eastAsia="等线" w:hAnsi="Book Antiqua"/>
          <w:b/>
          <w:kern w:val="2"/>
          <w:lang w:val="en-US" w:eastAsia="zh-CN"/>
        </w:rPr>
        <w:t>249</w:t>
      </w:r>
      <w:r w:rsidRPr="009D7554">
        <w:rPr>
          <w:rFonts w:ascii="Book Antiqua" w:eastAsia="等线" w:hAnsi="Book Antiqua"/>
          <w:kern w:val="2"/>
          <w:lang w:val="en-US" w:eastAsia="zh-CN"/>
        </w:rPr>
        <w:t>: 510-517 [PMID: 18812560 DOI: 10.1148/radiol.2492071365]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22 </w:t>
      </w:r>
      <w:r w:rsidRPr="009D7554">
        <w:rPr>
          <w:rFonts w:ascii="Book Antiqua" w:eastAsia="等线" w:hAnsi="Book Antiqua"/>
          <w:b/>
          <w:kern w:val="2"/>
          <w:lang w:val="en-US" w:eastAsia="zh-CN"/>
        </w:rPr>
        <w:t>Goh V</w:t>
      </w:r>
      <w:r w:rsidRPr="009D7554">
        <w:rPr>
          <w:rFonts w:ascii="Book Antiqua" w:eastAsia="等线" w:hAnsi="Book Antiqua"/>
          <w:kern w:val="2"/>
          <w:lang w:val="en-US" w:eastAsia="zh-CN"/>
        </w:rPr>
        <w:t xml:space="preserve">, Glynne-Jones R. Perfusion CT imaging of colorectal cancer. </w:t>
      </w:r>
      <w:r w:rsidRPr="009D7554">
        <w:rPr>
          <w:rFonts w:ascii="Book Antiqua" w:eastAsia="等线" w:hAnsi="Book Antiqua"/>
          <w:i/>
          <w:kern w:val="2"/>
          <w:lang w:val="en-US" w:eastAsia="zh-CN"/>
        </w:rPr>
        <w:t>Br J Radiol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87</w:t>
      </w:r>
      <w:r w:rsidRPr="009D7554">
        <w:rPr>
          <w:rFonts w:ascii="Book Antiqua" w:eastAsia="等线" w:hAnsi="Book Antiqua"/>
          <w:kern w:val="2"/>
          <w:lang w:val="en-US" w:eastAsia="zh-CN"/>
        </w:rPr>
        <w:t>: 20130811 [PMID: 24434157 DOI: 10.1259/bjr.20130811]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23 </w:t>
      </w:r>
      <w:r w:rsidRPr="009D7554">
        <w:rPr>
          <w:rFonts w:ascii="Book Antiqua" w:eastAsia="等线" w:hAnsi="Book Antiqua"/>
          <w:b/>
          <w:kern w:val="2"/>
          <w:lang w:val="en-US" w:eastAsia="zh-CN"/>
        </w:rPr>
        <w:t>Konerding MA</w:t>
      </w:r>
      <w:r w:rsidRPr="009D7554">
        <w:rPr>
          <w:rFonts w:ascii="Book Antiqua" w:eastAsia="等线" w:hAnsi="Book Antiqua"/>
          <w:kern w:val="2"/>
          <w:lang w:val="en-US" w:eastAsia="zh-CN"/>
        </w:rPr>
        <w:t xml:space="preserve">, Fait E, Gaumann A. 3D microvascular architecture of pre-cancerous lesions and invasive carcinomas of the colon. </w:t>
      </w:r>
      <w:r w:rsidRPr="009D7554">
        <w:rPr>
          <w:rFonts w:ascii="Book Antiqua" w:eastAsia="等线" w:hAnsi="Book Antiqua"/>
          <w:i/>
          <w:kern w:val="2"/>
          <w:lang w:val="en-US" w:eastAsia="zh-CN"/>
        </w:rPr>
        <w:t>Br J Cancer</w:t>
      </w:r>
      <w:r w:rsidRPr="009D7554">
        <w:rPr>
          <w:rFonts w:ascii="Book Antiqua" w:eastAsia="等线" w:hAnsi="Book Antiqua"/>
          <w:kern w:val="2"/>
          <w:lang w:val="en-US" w:eastAsia="zh-CN"/>
        </w:rPr>
        <w:t xml:space="preserve"> 2001; </w:t>
      </w:r>
      <w:r w:rsidRPr="009D7554">
        <w:rPr>
          <w:rFonts w:ascii="Book Antiqua" w:eastAsia="等线" w:hAnsi="Book Antiqua"/>
          <w:b/>
          <w:kern w:val="2"/>
          <w:lang w:val="en-US" w:eastAsia="zh-CN"/>
        </w:rPr>
        <w:t>84</w:t>
      </w:r>
      <w:r w:rsidRPr="009D7554">
        <w:rPr>
          <w:rFonts w:ascii="Book Antiqua" w:eastAsia="等线" w:hAnsi="Book Antiqua"/>
          <w:kern w:val="2"/>
          <w:lang w:val="en-US" w:eastAsia="zh-CN"/>
        </w:rPr>
        <w:t>: 1354-1362 [PMID: 11355947 DOI: 10.1054/bjoc.2001.1809]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24 </w:t>
      </w:r>
      <w:r w:rsidRPr="009D7554">
        <w:rPr>
          <w:rFonts w:ascii="Book Antiqua" w:eastAsia="等线" w:hAnsi="Book Antiqua"/>
          <w:b/>
          <w:kern w:val="2"/>
          <w:lang w:val="en-US" w:eastAsia="zh-CN"/>
        </w:rPr>
        <w:t>Nelson DA</w:t>
      </w:r>
      <w:r w:rsidRPr="009D7554">
        <w:rPr>
          <w:rFonts w:ascii="Book Antiqua" w:eastAsia="等线" w:hAnsi="Book Antiqua"/>
          <w:kern w:val="2"/>
          <w:lang w:val="en-US" w:eastAsia="zh-CN"/>
        </w:rPr>
        <w:t xml:space="preserve">, Tan TT, Rabson AB, Anderson D, Degenhardt K, White E. Hypoxia and defective apoptosis drive genomic instability and tumorigenesis. </w:t>
      </w:r>
      <w:r w:rsidRPr="009D7554">
        <w:rPr>
          <w:rFonts w:ascii="Book Antiqua" w:eastAsia="等线" w:hAnsi="Book Antiqua"/>
          <w:i/>
          <w:kern w:val="2"/>
          <w:lang w:val="en-US" w:eastAsia="zh-CN"/>
        </w:rPr>
        <w:t>Genes Dev</w:t>
      </w:r>
      <w:r w:rsidRPr="009D7554">
        <w:rPr>
          <w:rFonts w:ascii="Book Antiqua" w:eastAsia="等线" w:hAnsi="Book Antiqua"/>
          <w:kern w:val="2"/>
          <w:lang w:val="en-US" w:eastAsia="zh-CN"/>
        </w:rPr>
        <w:t xml:space="preserve"> 2004; </w:t>
      </w:r>
      <w:r w:rsidRPr="009D7554">
        <w:rPr>
          <w:rFonts w:ascii="Book Antiqua" w:eastAsia="等线" w:hAnsi="Book Antiqua"/>
          <w:b/>
          <w:kern w:val="2"/>
          <w:lang w:val="en-US" w:eastAsia="zh-CN"/>
        </w:rPr>
        <w:t>18</w:t>
      </w:r>
      <w:r w:rsidRPr="009D7554">
        <w:rPr>
          <w:rFonts w:ascii="Book Antiqua" w:eastAsia="等线" w:hAnsi="Book Antiqua"/>
          <w:kern w:val="2"/>
          <w:lang w:val="en-US" w:eastAsia="zh-CN"/>
        </w:rPr>
        <w:t>: 2095-2107 [PMID: 15314031 DOI: 10.1101/gad.1204904]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25 </w:t>
      </w:r>
      <w:r w:rsidRPr="009D7554">
        <w:rPr>
          <w:rFonts w:ascii="Book Antiqua" w:eastAsia="等线" w:hAnsi="Book Antiqua"/>
          <w:b/>
          <w:kern w:val="2"/>
          <w:lang w:val="en-US" w:eastAsia="zh-CN"/>
        </w:rPr>
        <w:t>O'Connor JP</w:t>
      </w:r>
      <w:r w:rsidRPr="009D7554">
        <w:rPr>
          <w:rFonts w:ascii="Book Antiqua" w:eastAsia="等线" w:hAnsi="Book Antiqua"/>
          <w:kern w:val="2"/>
          <w:lang w:val="en-US" w:eastAsia="zh-CN"/>
        </w:rPr>
        <w:t xml:space="preserve">, Tofts PS, Miles KA, Parkes LM, Thompson G, Jackson A. Dynamic contrast-enhanced imaging techniques: CT and MRI. </w:t>
      </w:r>
      <w:r w:rsidRPr="009D7554">
        <w:rPr>
          <w:rFonts w:ascii="Book Antiqua" w:eastAsia="等线" w:hAnsi="Book Antiqua"/>
          <w:i/>
          <w:kern w:val="2"/>
          <w:lang w:val="en-US" w:eastAsia="zh-CN"/>
        </w:rPr>
        <w:t>Br J Radiol</w:t>
      </w:r>
      <w:r w:rsidRPr="009D7554">
        <w:rPr>
          <w:rFonts w:ascii="Book Antiqua" w:eastAsia="等线" w:hAnsi="Book Antiqua"/>
          <w:kern w:val="2"/>
          <w:lang w:val="en-US" w:eastAsia="zh-CN"/>
        </w:rPr>
        <w:t xml:space="preserve"> 2011; </w:t>
      </w:r>
      <w:r w:rsidRPr="009D7554">
        <w:rPr>
          <w:rFonts w:ascii="Book Antiqua" w:eastAsia="等线" w:hAnsi="Book Antiqua"/>
          <w:b/>
          <w:kern w:val="2"/>
          <w:lang w:val="en-US" w:eastAsia="zh-CN"/>
        </w:rPr>
        <w:t>84 Spec No 2</w:t>
      </w:r>
      <w:r w:rsidRPr="009D7554">
        <w:rPr>
          <w:rFonts w:ascii="Book Antiqua" w:eastAsia="等线" w:hAnsi="Book Antiqua"/>
          <w:kern w:val="2"/>
          <w:lang w:val="en-US" w:eastAsia="zh-CN"/>
        </w:rPr>
        <w:t>: S112-S120 [PMID: 22433822 DOI: 10.1259/bjr/55166688]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26 </w:t>
      </w:r>
      <w:r w:rsidRPr="009D7554">
        <w:rPr>
          <w:rFonts w:ascii="Book Antiqua" w:eastAsia="等线" w:hAnsi="Book Antiqua"/>
          <w:b/>
          <w:kern w:val="2"/>
          <w:lang w:val="en-US" w:eastAsia="zh-CN"/>
        </w:rPr>
        <w:t>Cuenod CA</w:t>
      </w:r>
      <w:r w:rsidRPr="009D7554">
        <w:rPr>
          <w:rFonts w:ascii="Book Antiqua" w:eastAsia="等线" w:hAnsi="Book Antiqua"/>
          <w:kern w:val="2"/>
          <w:lang w:val="en-US" w:eastAsia="zh-CN"/>
        </w:rPr>
        <w:t xml:space="preserve">, Balvay D. Perfusion and vascular permeability: basic concepts and measurement in DCE-CT and DCE-MRI. </w:t>
      </w:r>
      <w:r w:rsidRPr="009D7554">
        <w:rPr>
          <w:rFonts w:ascii="Book Antiqua" w:eastAsia="等线" w:hAnsi="Book Antiqua"/>
          <w:i/>
          <w:kern w:val="2"/>
          <w:lang w:val="en-US" w:eastAsia="zh-CN"/>
        </w:rPr>
        <w:t>Diagn Interv Imaging</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94</w:t>
      </w:r>
      <w:r w:rsidRPr="009D7554">
        <w:rPr>
          <w:rFonts w:ascii="Book Antiqua" w:eastAsia="等线" w:hAnsi="Book Antiqua"/>
          <w:kern w:val="2"/>
          <w:lang w:val="en-US" w:eastAsia="zh-CN"/>
        </w:rPr>
        <w:t>: 1187-1204 [PMID: 24211260 DOI: 10.1016/j.diii.2013.10.010]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27 </w:t>
      </w:r>
      <w:r w:rsidRPr="009D7554">
        <w:rPr>
          <w:rFonts w:ascii="Book Antiqua" w:eastAsia="等线" w:hAnsi="Book Antiqua"/>
          <w:b/>
          <w:kern w:val="2"/>
          <w:lang w:val="en-US" w:eastAsia="zh-CN"/>
        </w:rPr>
        <w:t>Jahng GH</w:t>
      </w:r>
      <w:r w:rsidRPr="009D7554">
        <w:rPr>
          <w:rFonts w:ascii="Book Antiqua" w:eastAsia="等线" w:hAnsi="Book Antiqua"/>
          <w:kern w:val="2"/>
          <w:lang w:val="en-US" w:eastAsia="zh-CN"/>
        </w:rPr>
        <w:t xml:space="preserve">, Li KL, Ostergaard L, Calamante F. Perfusion magnetic resonance imaging: a comprehensive update on principles and techniques. </w:t>
      </w:r>
      <w:r w:rsidRPr="009D7554">
        <w:rPr>
          <w:rFonts w:ascii="Book Antiqua" w:eastAsia="等线" w:hAnsi="Book Antiqua"/>
          <w:i/>
          <w:kern w:val="2"/>
          <w:lang w:val="en-US" w:eastAsia="zh-CN"/>
        </w:rPr>
        <w:t>Korean J Radiol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15</w:t>
      </w:r>
      <w:r w:rsidRPr="009D7554">
        <w:rPr>
          <w:rFonts w:ascii="Book Antiqua" w:eastAsia="等线" w:hAnsi="Book Antiqua"/>
          <w:kern w:val="2"/>
          <w:lang w:val="en-US" w:eastAsia="zh-CN"/>
        </w:rPr>
        <w:t>: 554-577 [PMID: 25246817 DOI: 10.3348/kjr.2014.15.5.554]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28 </w:t>
      </w:r>
      <w:r w:rsidRPr="009D7554">
        <w:rPr>
          <w:rFonts w:ascii="Book Antiqua" w:eastAsia="等线" w:hAnsi="Book Antiqua"/>
          <w:b/>
          <w:kern w:val="2"/>
          <w:lang w:val="en-US" w:eastAsia="zh-CN"/>
        </w:rPr>
        <w:t>Peller P</w:t>
      </w:r>
      <w:r w:rsidRPr="009D7554">
        <w:rPr>
          <w:rFonts w:ascii="Book Antiqua" w:eastAsia="等线" w:hAnsi="Book Antiqua"/>
          <w:bCs/>
          <w:kern w:val="2"/>
          <w:lang w:val="en-US" w:eastAsia="zh-CN"/>
        </w:rPr>
        <w:t>,</w:t>
      </w:r>
      <w:r w:rsidRPr="009D7554">
        <w:rPr>
          <w:rFonts w:ascii="Book Antiqua" w:eastAsia="等线" w:hAnsi="Book Antiqua"/>
          <w:kern w:val="2"/>
          <w:lang w:val="en-US" w:eastAsia="zh-CN"/>
        </w:rPr>
        <w:t xml:space="preserve"> Subramaniam R, Guermazi A, editors. PET-CT and PET-MRI in Oncology [Internet]. Berlin, Heidelberg: Springer Berlin Heidelberg; 2012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29 </w:t>
      </w:r>
      <w:r w:rsidRPr="009D7554">
        <w:rPr>
          <w:rFonts w:ascii="Book Antiqua" w:eastAsia="等线" w:hAnsi="Book Antiqua"/>
          <w:b/>
          <w:kern w:val="2"/>
          <w:lang w:val="en-US" w:eastAsia="zh-CN"/>
        </w:rPr>
        <w:t>Kocael A</w:t>
      </w:r>
      <w:r w:rsidRPr="009D7554">
        <w:rPr>
          <w:rFonts w:ascii="Book Antiqua" w:eastAsia="等线" w:hAnsi="Book Antiqua"/>
          <w:kern w:val="2"/>
          <w:lang w:val="en-US" w:eastAsia="zh-CN"/>
        </w:rPr>
        <w:t xml:space="preserve">, Vatankulu B, Şimşek O, Cengiz M, Kemik A, Kocael P, Halaç M, Sönmezoğlu K, Ulualp K. Comparison of (18)F-fluorodeoxyglucose PET/CT findings with vascular endothelial growth factors and receptors in colorectal cancer. </w:t>
      </w:r>
      <w:r w:rsidRPr="009D7554">
        <w:rPr>
          <w:rFonts w:ascii="Book Antiqua" w:eastAsia="等线" w:hAnsi="Book Antiqua"/>
          <w:i/>
          <w:kern w:val="2"/>
          <w:lang w:val="en-US" w:eastAsia="zh-CN"/>
        </w:rPr>
        <w:t>Tumour Biol</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37</w:t>
      </w:r>
      <w:r w:rsidRPr="009D7554">
        <w:rPr>
          <w:rFonts w:ascii="Book Antiqua" w:eastAsia="等线" w:hAnsi="Book Antiqua"/>
          <w:kern w:val="2"/>
          <w:lang w:val="en-US" w:eastAsia="zh-CN"/>
        </w:rPr>
        <w:t>: 3871-3877 [PMID: 26476536 DOI: 10.1007/s13277-015-4218-0]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30 </w:t>
      </w:r>
      <w:r w:rsidRPr="009D7554">
        <w:rPr>
          <w:rFonts w:ascii="Book Antiqua" w:eastAsia="等线" w:hAnsi="Book Antiqua"/>
          <w:b/>
          <w:kern w:val="2"/>
          <w:lang w:val="en-US" w:eastAsia="zh-CN"/>
        </w:rPr>
        <w:t>Pauwels EK</w:t>
      </w:r>
      <w:r w:rsidRPr="009D7554">
        <w:rPr>
          <w:rFonts w:ascii="Book Antiqua" w:eastAsia="等线" w:hAnsi="Book Antiqua"/>
          <w:kern w:val="2"/>
          <w:lang w:val="en-US" w:eastAsia="zh-CN"/>
        </w:rPr>
        <w:t>, Coumou AW, Kostkiewicz M, Kairemo K. [¹</w:t>
      </w:r>
      <w:r w:rsidRPr="009D7554">
        <w:rPr>
          <w:rFonts w:ascii="Times New Roman" w:eastAsia="等线" w:hAnsi="Times New Roman"/>
          <w:kern w:val="2"/>
          <w:lang w:val="en-US" w:eastAsia="zh-CN"/>
        </w:rPr>
        <w:t>⁸</w:t>
      </w:r>
      <w:r w:rsidRPr="009D7554">
        <w:rPr>
          <w:rFonts w:ascii="Book Antiqua" w:eastAsia="等线" w:hAnsi="Book Antiqua"/>
          <w:kern w:val="2"/>
          <w:lang w:val="en-US" w:eastAsia="zh-CN"/>
        </w:rPr>
        <w:t xml:space="preserve">F]fluoro-2-deoxy-d-glucose positron emission tomography/computed tomography imaging in oncology: initial staging and evaluation of cancer therapy. </w:t>
      </w:r>
      <w:r w:rsidRPr="009D7554">
        <w:rPr>
          <w:rFonts w:ascii="Book Antiqua" w:eastAsia="等线" w:hAnsi="Book Antiqua"/>
          <w:i/>
          <w:kern w:val="2"/>
          <w:lang w:val="en-US" w:eastAsia="zh-CN"/>
        </w:rPr>
        <w:t>Med Princ Pract</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22</w:t>
      </w:r>
      <w:r w:rsidRPr="009D7554">
        <w:rPr>
          <w:rFonts w:ascii="Book Antiqua" w:eastAsia="等线" w:hAnsi="Book Antiqua"/>
          <w:kern w:val="2"/>
          <w:lang w:val="en-US" w:eastAsia="zh-CN"/>
        </w:rPr>
        <w:t>: 427-437 [PMID: 23363934 DOI: 10.1159/000346303]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31 </w:t>
      </w:r>
      <w:r w:rsidRPr="009D7554">
        <w:rPr>
          <w:rFonts w:ascii="Book Antiqua" w:eastAsia="等线" w:hAnsi="Book Antiqua"/>
          <w:b/>
          <w:kern w:val="2"/>
          <w:lang w:val="en-US" w:eastAsia="zh-CN"/>
        </w:rPr>
        <w:t>Kilickesmez O</w:t>
      </w:r>
      <w:r w:rsidRPr="009D7554">
        <w:rPr>
          <w:rFonts w:ascii="Book Antiqua" w:eastAsia="等线" w:hAnsi="Book Antiqua"/>
          <w:kern w:val="2"/>
          <w:lang w:val="en-US" w:eastAsia="zh-CN"/>
        </w:rPr>
        <w:t xml:space="preserve">, Atilla S, Soylu A, Tasdelen N, Bayramoglu S, Cimilli T, Gurmen N. Diffusion-weighted imaging of the rectosigmoid colon: preliminary findings. </w:t>
      </w:r>
      <w:r w:rsidRPr="009D7554">
        <w:rPr>
          <w:rFonts w:ascii="Book Antiqua" w:eastAsia="等线" w:hAnsi="Book Antiqua"/>
          <w:i/>
          <w:kern w:val="2"/>
          <w:lang w:val="en-US" w:eastAsia="zh-CN"/>
        </w:rPr>
        <w:t>J Comput Assist Tomogr</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33</w:t>
      </w:r>
      <w:r w:rsidRPr="009D7554">
        <w:rPr>
          <w:rFonts w:ascii="Book Antiqua" w:eastAsia="等线" w:hAnsi="Book Antiqua"/>
          <w:kern w:val="2"/>
          <w:lang w:val="en-US" w:eastAsia="zh-CN"/>
        </w:rPr>
        <w:t>: 863-866 [PMID: 19940651 DOI: 10.1097/RCT.0b013e31819a60f3]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32 </w:t>
      </w:r>
      <w:r w:rsidRPr="009D7554">
        <w:rPr>
          <w:rFonts w:ascii="Book Antiqua" w:eastAsia="等线" w:hAnsi="Book Antiqua"/>
          <w:b/>
          <w:kern w:val="2"/>
          <w:lang w:val="en-US" w:eastAsia="zh-CN"/>
        </w:rPr>
        <w:t>Jia H</w:t>
      </w:r>
      <w:r w:rsidRPr="009D7554">
        <w:rPr>
          <w:rFonts w:ascii="Book Antiqua" w:eastAsia="等线" w:hAnsi="Book Antiqua"/>
          <w:kern w:val="2"/>
          <w:lang w:val="en-US" w:eastAsia="zh-CN"/>
        </w:rPr>
        <w:t xml:space="preserve">, Ma X, Zhao Y, Zhao J, Liu R, Chen Z, Chen J, Huang J, Li Y, Zhang J, Wang F. Meta-analysis of diffusion-weighted magnetic resonance imaging in identification of colorectal cancer. </w:t>
      </w:r>
      <w:r w:rsidRPr="009D7554">
        <w:rPr>
          <w:rFonts w:ascii="Book Antiqua" w:eastAsia="等线" w:hAnsi="Book Antiqua"/>
          <w:i/>
          <w:kern w:val="2"/>
          <w:lang w:val="en-US" w:eastAsia="zh-CN"/>
        </w:rPr>
        <w:t>Int J Clin Exp Med</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8</w:t>
      </w:r>
      <w:r w:rsidRPr="009D7554">
        <w:rPr>
          <w:rFonts w:ascii="Book Antiqua" w:eastAsia="等线" w:hAnsi="Book Antiqua"/>
          <w:kern w:val="2"/>
          <w:lang w:val="en-US" w:eastAsia="zh-CN"/>
        </w:rPr>
        <w:t>: 17333-17342 [PMID: 26770325]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33 </w:t>
      </w:r>
      <w:r w:rsidRPr="009D7554">
        <w:rPr>
          <w:rFonts w:ascii="Book Antiqua" w:eastAsia="等线" w:hAnsi="Book Antiqua"/>
          <w:b/>
          <w:kern w:val="2"/>
          <w:lang w:val="en-US" w:eastAsia="zh-CN"/>
        </w:rPr>
        <w:t>Curvo-Semedo L</w:t>
      </w:r>
      <w:r w:rsidRPr="009D7554">
        <w:rPr>
          <w:rFonts w:ascii="Book Antiqua" w:eastAsia="等线" w:hAnsi="Book Antiqua"/>
          <w:kern w:val="2"/>
          <w:lang w:val="en-US" w:eastAsia="zh-CN"/>
        </w:rPr>
        <w:t xml:space="preserve">, Lambregts DM, Maas M, Beets GL, Caseiro-Alves F, Beets-Tan RG. Diffusion-weighted MRI in rectal cancer: apparent diffusion coefficient as a potential noninvasive marker of tumor aggressiveness.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35</w:t>
      </w:r>
      <w:r w:rsidRPr="009D7554">
        <w:rPr>
          <w:rFonts w:ascii="Book Antiqua" w:eastAsia="等线" w:hAnsi="Book Antiqua"/>
          <w:kern w:val="2"/>
          <w:lang w:val="en-US" w:eastAsia="zh-CN"/>
        </w:rPr>
        <w:t>: 1365-1371 [PMID: 22271382 DOI: 10.1002/jmri.23589]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34 </w:t>
      </w:r>
      <w:r w:rsidRPr="009D7554">
        <w:rPr>
          <w:rFonts w:ascii="Book Antiqua" w:eastAsia="等线" w:hAnsi="Book Antiqua"/>
          <w:b/>
          <w:kern w:val="2"/>
          <w:lang w:val="en-US" w:eastAsia="zh-CN"/>
        </w:rPr>
        <w:t>Tong T</w:t>
      </w:r>
      <w:r w:rsidRPr="009D7554">
        <w:rPr>
          <w:rFonts w:ascii="Book Antiqua" w:eastAsia="等线" w:hAnsi="Book Antiqua"/>
          <w:kern w:val="2"/>
          <w:lang w:val="en-US" w:eastAsia="zh-CN"/>
        </w:rPr>
        <w:t xml:space="preserve">, Yao Z, Xu L, Cai S, Bi R, Xin C, Gu Y, Peng W. Extramural depth of tumor invasion at thin-section MR in rectal cancer: associating with prognostic factors and ADC value.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40</w:t>
      </w:r>
      <w:r w:rsidRPr="009D7554">
        <w:rPr>
          <w:rFonts w:ascii="Book Antiqua" w:eastAsia="等线" w:hAnsi="Book Antiqua"/>
          <w:kern w:val="2"/>
          <w:lang w:val="en-US" w:eastAsia="zh-CN"/>
        </w:rPr>
        <w:t>: 738-744 [PMID: 24307597 DOI: 10.1002/jmri.24398]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35 </w:t>
      </w:r>
      <w:r w:rsidRPr="009D7554">
        <w:rPr>
          <w:rFonts w:ascii="Book Antiqua" w:eastAsia="等线" w:hAnsi="Book Antiqua"/>
          <w:b/>
          <w:kern w:val="2"/>
          <w:lang w:val="en-US" w:eastAsia="zh-CN"/>
        </w:rPr>
        <w:t>Goh V</w:t>
      </w:r>
      <w:r w:rsidRPr="009D7554">
        <w:rPr>
          <w:rFonts w:ascii="Book Antiqua" w:eastAsia="等线" w:hAnsi="Book Antiqua"/>
          <w:kern w:val="2"/>
          <w:lang w:val="en-US" w:eastAsia="zh-CN"/>
        </w:rPr>
        <w:t xml:space="preserve">, Halligan S, Taylor SA, Burling D, Bassett P, Bartram CI. Differentiation between diverticulitis and colorectal cancer: quantitative CT perfusion measurements versus morphologic criteria--initial experience.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2007; </w:t>
      </w:r>
      <w:r w:rsidRPr="009D7554">
        <w:rPr>
          <w:rFonts w:ascii="Book Antiqua" w:eastAsia="等线" w:hAnsi="Book Antiqua"/>
          <w:b/>
          <w:kern w:val="2"/>
          <w:lang w:val="en-US" w:eastAsia="zh-CN"/>
        </w:rPr>
        <w:t>242</w:t>
      </w:r>
      <w:r w:rsidRPr="009D7554">
        <w:rPr>
          <w:rFonts w:ascii="Book Antiqua" w:eastAsia="等线" w:hAnsi="Book Antiqua"/>
          <w:kern w:val="2"/>
          <w:lang w:val="en-US" w:eastAsia="zh-CN"/>
        </w:rPr>
        <w:t>: 456-462 [PMID: 17255417 DOI: 10.1148/radiol.2422051670]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36 </w:t>
      </w:r>
      <w:r w:rsidRPr="009D7554">
        <w:rPr>
          <w:rFonts w:ascii="Book Antiqua" w:eastAsia="等线" w:hAnsi="Book Antiqua"/>
          <w:b/>
          <w:kern w:val="2"/>
          <w:lang w:val="en-US" w:eastAsia="zh-CN"/>
        </w:rPr>
        <w:t>Shen FU</w:t>
      </w:r>
      <w:r w:rsidRPr="009D7554">
        <w:rPr>
          <w:rFonts w:ascii="Book Antiqua" w:eastAsia="等线" w:hAnsi="Book Antiqua"/>
          <w:kern w:val="2"/>
          <w:lang w:val="en-US" w:eastAsia="zh-CN"/>
        </w:rPr>
        <w:t xml:space="preserve">, Lu J, Chen L, Wang Z, Chen Y. Diagnostic value of dynamic contrast-enhanced magnetic resonance imaging in rectal cancer and its correlation with tumor differentiation. </w:t>
      </w:r>
      <w:r w:rsidRPr="009D7554">
        <w:rPr>
          <w:rFonts w:ascii="Book Antiqua" w:eastAsia="等线" w:hAnsi="Book Antiqua"/>
          <w:i/>
          <w:kern w:val="2"/>
          <w:lang w:val="en-US" w:eastAsia="zh-CN"/>
        </w:rPr>
        <w:t>Mol Clin Oncol</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4</w:t>
      </w:r>
      <w:r w:rsidRPr="009D7554">
        <w:rPr>
          <w:rFonts w:ascii="Book Antiqua" w:eastAsia="等线" w:hAnsi="Book Antiqua"/>
          <w:kern w:val="2"/>
          <w:lang w:val="en-US" w:eastAsia="zh-CN"/>
        </w:rPr>
        <w:t>: 500-506 [PMID: 27073650 DOI: 10.3892/mco.2016.762]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37 </w:t>
      </w:r>
      <w:r w:rsidRPr="009D7554">
        <w:rPr>
          <w:rFonts w:ascii="Book Antiqua" w:eastAsia="等线" w:hAnsi="Book Antiqua"/>
          <w:b/>
          <w:kern w:val="2"/>
          <w:lang w:val="en-US" w:eastAsia="zh-CN"/>
        </w:rPr>
        <w:t>Sun H</w:t>
      </w:r>
      <w:r w:rsidRPr="009D7554">
        <w:rPr>
          <w:rFonts w:ascii="Book Antiqua" w:eastAsia="等线" w:hAnsi="Book Antiqua"/>
          <w:kern w:val="2"/>
          <w:lang w:val="en-US" w:eastAsia="zh-CN"/>
        </w:rPr>
        <w:t xml:space="preserve">, Xu Y, Yang Q, Wang W. Assessment of tumor grade and angiogenesis in colorectal cancer: whole-volume perfusion CT. </w:t>
      </w:r>
      <w:r w:rsidRPr="009D7554">
        <w:rPr>
          <w:rFonts w:ascii="Book Antiqua" w:eastAsia="等线" w:hAnsi="Book Antiqua"/>
          <w:i/>
          <w:kern w:val="2"/>
          <w:lang w:val="en-US" w:eastAsia="zh-CN"/>
        </w:rPr>
        <w:t>Acad Radiol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21</w:t>
      </w:r>
      <w:r w:rsidRPr="009D7554">
        <w:rPr>
          <w:rFonts w:ascii="Book Antiqua" w:eastAsia="等线" w:hAnsi="Book Antiqua"/>
          <w:kern w:val="2"/>
          <w:lang w:val="en-US" w:eastAsia="zh-CN"/>
        </w:rPr>
        <w:t>: 750-757 [PMID: 24809317 DOI: 10.1016/j.acra.2014.02.011]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38 </w:t>
      </w:r>
      <w:r w:rsidRPr="009D7554">
        <w:rPr>
          <w:rFonts w:ascii="Book Antiqua" w:eastAsia="等线" w:hAnsi="Book Antiqua"/>
          <w:b/>
          <w:kern w:val="2"/>
          <w:lang w:val="en-US" w:eastAsia="zh-CN"/>
        </w:rPr>
        <w:t>Xu Y</w:t>
      </w:r>
      <w:r w:rsidRPr="009D7554">
        <w:rPr>
          <w:rFonts w:ascii="Book Antiqua" w:eastAsia="等线" w:hAnsi="Book Antiqua"/>
          <w:kern w:val="2"/>
          <w:lang w:val="en-US" w:eastAsia="zh-CN"/>
        </w:rPr>
        <w:t xml:space="preserve">, Sun H, Song A, Yang Q, Lu X, Wang W. Predictive Significance of Tumor Grade Using 256-Slice CT Whole-Tumor Perfusion Imaging in Colorectal Adenocarcinoma. </w:t>
      </w:r>
      <w:r w:rsidRPr="009D7554">
        <w:rPr>
          <w:rFonts w:ascii="Book Antiqua" w:eastAsia="等线" w:hAnsi="Book Antiqua"/>
          <w:i/>
          <w:kern w:val="2"/>
          <w:lang w:val="en-US" w:eastAsia="zh-CN"/>
        </w:rPr>
        <w:t>Acad Radiol</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22</w:t>
      </w:r>
      <w:r w:rsidRPr="009D7554">
        <w:rPr>
          <w:rFonts w:ascii="Book Antiqua" w:eastAsia="等线" w:hAnsi="Book Antiqua"/>
          <w:kern w:val="2"/>
          <w:lang w:val="en-US" w:eastAsia="zh-CN"/>
        </w:rPr>
        <w:t>: 1529-1535 [PMID: 26421473 DOI: 10.1016/j.acra.2015.08.023]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39 </w:t>
      </w:r>
      <w:r w:rsidRPr="009D7554">
        <w:rPr>
          <w:rFonts w:ascii="Book Antiqua" w:eastAsia="等线" w:hAnsi="Book Antiqua"/>
          <w:b/>
          <w:kern w:val="2"/>
          <w:lang w:val="en-US" w:eastAsia="zh-CN"/>
        </w:rPr>
        <w:t>Oh JR</w:t>
      </w:r>
      <w:r w:rsidRPr="009D7554">
        <w:rPr>
          <w:rFonts w:ascii="Book Antiqua" w:eastAsia="等线" w:hAnsi="Book Antiqua"/>
          <w:kern w:val="2"/>
          <w:lang w:val="en-US" w:eastAsia="zh-CN"/>
        </w:rPr>
        <w:t xml:space="preserve">, Min JJ, Song HC, Chong A, Kim GE, Choi C, Seo JH, Bom HS. A stepwise approach using metabolic volume and SUVmax to differentiate malignancy and dysplasia from benign colonic uptakes on 18F-FDG PET/CT. </w:t>
      </w:r>
      <w:r w:rsidRPr="009D7554">
        <w:rPr>
          <w:rFonts w:ascii="Book Antiqua" w:eastAsia="等线" w:hAnsi="Book Antiqua"/>
          <w:i/>
          <w:kern w:val="2"/>
          <w:lang w:val="en-US" w:eastAsia="zh-CN"/>
        </w:rPr>
        <w:t>Clin Nucl Med</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37</w:t>
      </w:r>
      <w:r w:rsidRPr="009D7554">
        <w:rPr>
          <w:rFonts w:ascii="Book Antiqua" w:eastAsia="等线" w:hAnsi="Book Antiqua"/>
          <w:kern w:val="2"/>
          <w:lang w:val="en-US" w:eastAsia="zh-CN"/>
        </w:rPr>
        <w:t>: e134-e140 [PMID: 22614211 DOI: 10.1097/RLU.0b013e318239245d]</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40 </w:t>
      </w:r>
      <w:r w:rsidRPr="009D7554">
        <w:rPr>
          <w:rFonts w:ascii="Book Antiqua" w:eastAsia="等线" w:hAnsi="Book Antiqua"/>
          <w:b/>
          <w:kern w:val="2"/>
          <w:lang w:val="en-US" w:eastAsia="zh-CN"/>
        </w:rPr>
        <w:t>van Hoeij FB</w:t>
      </w:r>
      <w:r w:rsidRPr="009D7554">
        <w:rPr>
          <w:rFonts w:ascii="Book Antiqua" w:eastAsia="等线" w:hAnsi="Book Antiqua"/>
          <w:kern w:val="2"/>
          <w:lang w:val="en-US" w:eastAsia="zh-CN"/>
        </w:rPr>
        <w:t xml:space="preserve">, Keijsers RG, Loffeld BC, Dun G, Stadhouders PH, Weusten BL. Incidental colonic focal FDG uptake on PET/CT: can the maximum standardized uptake value (SUVmax) guide us in the timing of colonoscopy? </w:t>
      </w:r>
      <w:r w:rsidRPr="009D7554">
        <w:rPr>
          <w:rFonts w:ascii="Book Antiqua" w:eastAsia="等线" w:hAnsi="Book Antiqua"/>
          <w:i/>
          <w:kern w:val="2"/>
          <w:lang w:val="en-US" w:eastAsia="zh-CN"/>
        </w:rPr>
        <w:t>Eur J Nucl Med Mol Imaging</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42</w:t>
      </w:r>
      <w:r w:rsidRPr="009D7554">
        <w:rPr>
          <w:rFonts w:ascii="Book Antiqua" w:eastAsia="等线" w:hAnsi="Book Antiqua"/>
          <w:kern w:val="2"/>
          <w:lang w:val="en-US" w:eastAsia="zh-CN"/>
        </w:rPr>
        <w:t>: 66-71 [PMID: 25139518 DOI: 10.1007/s00259-014-2887-3]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41 </w:t>
      </w:r>
      <w:r w:rsidRPr="009D7554">
        <w:rPr>
          <w:rFonts w:ascii="Book Antiqua" w:eastAsia="等线" w:hAnsi="Book Antiqua"/>
          <w:b/>
          <w:kern w:val="2"/>
          <w:lang w:val="en-US" w:eastAsia="zh-CN"/>
        </w:rPr>
        <w:t>Mainenti PP</w:t>
      </w:r>
      <w:r w:rsidRPr="009D7554">
        <w:rPr>
          <w:rFonts w:ascii="Book Antiqua" w:eastAsia="等线" w:hAnsi="Book Antiqua"/>
          <w:kern w:val="2"/>
          <w:lang w:val="en-US" w:eastAsia="zh-CN"/>
        </w:rPr>
        <w:t xml:space="preserve">, Salvatore B, D'Antonio D, De Falco T, De Palma GD, D'Armiento FP, Bucci L, Pace L, Salvatore M. PET/CT colonography in patients with colorectal polyps: a feasibility study. </w:t>
      </w:r>
      <w:r w:rsidRPr="009D7554">
        <w:rPr>
          <w:rFonts w:ascii="Book Antiqua" w:eastAsia="等线" w:hAnsi="Book Antiqua"/>
          <w:i/>
          <w:kern w:val="2"/>
          <w:lang w:val="en-US" w:eastAsia="zh-CN"/>
        </w:rPr>
        <w:t>Eur J Nucl Med Mol Imaging</w:t>
      </w:r>
      <w:r w:rsidRPr="009D7554">
        <w:rPr>
          <w:rFonts w:ascii="Book Antiqua" w:eastAsia="等线" w:hAnsi="Book Antiqua"/>
          <w:kern w:val="2"/>
          <w:lang w:val="en-US" w:eastAsia="zh-CN"/>
        </w:rPr>
        <w:t xml:space="preserve"> 2007; </w:t>
      </w:r>
      <w:r w:rsidRPr="009D7554">
        <w:rPr>
          <w:rFonts w:ascii="Book Antiqua" w:eastAsia="等线" w:hAnsi="Book Antiqua"/>
          <w:b/>
          <w:kern w:val="2"/>
          <w:lang w:val="en-US" w:eastAsia="zh-CN"/>
        </w:rPr>
        <w:t>34</w:t>
      </w:r>
      <w:r w:rsidRPr="009D7554">
        <w:rPr>
          <w:rFonts w:ascii="Book Antiqua" w:eastAsia="等线" w:hAnsi="Book Antiqua"/>
          <w:kern w:val="2"/>
          <w:lang w:val="en-US" w:eastAsia="zh-CN"/>
        </w:rPr>
        <w:t>: 1594-1603 [PMID: 17492447 DOI: 10.1007/s00259-007-0422-5]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42 </w:t>
      </w:r>
      <w:r w:rsidRPr="009D7554">
        <w:rPr>
          <w:rFonts w:ascii="Book Antiqua" w:eastAsia="等线" w:hAnsi="Book Antiqua"/>
          <w:b/>
          <w:kern w:val="2"/>
          <w:lang w:val="en-US" w:eastAsia="zh-CN"/>
        </w:rPr>
        <w:t>Liao CY</w:t>
      </w:r>
      <w:r w:rsidRPr="009D7554">
        <w:rPr>
          <w:rFonts w:ascii="Book Antiqua" w:eastAsia="等线" w:hAnsi="Book Antiqua"/>
          <w:kern w:val="2"/>
          <w:lang w:val="en-US" w:eastAsia="zh-CN"/>
        </w:rPr>
        <w:t xml:space="preserve">, Chen SW, Wu YC, Chen WT, Yen KY, Hsieh TC, Chen PJ, Kao CH. Correlations between 18F-FDG PET/CT parameters and pathological findings in patients with rectal cancer. </w:t>
      </w:r>
      <w:r w:rsidRPr="009D7554">
        <w:rPr>
          <w:rFonts w:ascii="Book Antiqua" w:eastAsia="等线" w:hAnsi="Book Antiqua"/>
          <w:i/>
          <w:kern w:val="2"/>
          <w:lang w:val="en-US" w:eastAsia="zh-CN"/>
        </w:rPr>
        <w:t>Clin Nucl Med</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39</w:t>
      </w:r>
      <w:r w:rsidRPr="009D7554">
        <w:rPr>
          <w:rFonts w:ascii="Book Antiqua" w:eastAsia="等线" w:hAnsi="Book Antiqua"/>
          <w:kern w:val="2"/>
          <w:lang w:val="en-US" w:eastAsia="zh-CN"/>
        </w:rPr>
        <w:t>: e40-e45 [PMID: 24335567 DOI: 10.1097/RLU.0b013e318292f0f6]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43 </w:t>
      </w:r>
      <w:r w:rsidRPr="009D7554">
        <w:rPr>
          <w:rFonts w:ascii="Book Antiqua" w:eastAsia="等线" w:hAnsi="Book Antiqua"/>
          <w:b/>
          <w:kern w:val="2"/>
          <w:lang w:val="en-US" w:eastAsia="zh-CN"/>
        </w:rPr>
        <w:t>Mainenti PP</w:t>
      </w:r>
      <w:r w:rsidRPr="009D7554">
        <w:rPr>
          <w:rFonts w:ascii="Book Antiqua" w:eastAsia="等线" w:hAnsi="Book Antiqua"/>
          <w:kern w:val="2"/>
          <w:lang w:val="en-US" w:eastAsia="zh-CN"/>
        </w:rPr>
        <w:t xml:space="preserve">, Cirillo LC, Camera L, Persico F, Cantalupo T, Pace L, De Palma GD, Persico G, Salvatore M. Accuracy of single phase contrast enhanced multidetector CT colonography in the preoperative staging of colo-rectal cancer. </w:t>
      </w:r>
      <w:r w:rsidRPr="009D7554">
        <w:rPr>
          <w:rFonts w:ascii="Book Antiqua" w:eastAsia="等线" w:hAnsi="Book Antiqua"/>
          <w:i/>
          <w:kern w:val="2"/>
          <w:lang w:val="en-US" w:eastAsia="zh-CN"/>
        </w:rPr>
        <w:t>Eur J Radiol</w:t>
      </w:r>
      <w:r w:rsidRPr="009D7554">
        <w:rPr>
          <w:rFonts w:ascii="Book Antiqua" w:eastAsia="等线" w:hAnsi="Book Antiqua"/>
          <w:kern w:val="2"/>
          <w:lang w:val="en-US" w:eastAsia="zh-CN"/>
        </w:rPr>
        <w:t xml:space="preserve"> 2006; </w:t>
      </w:r>
      <w:r w:rsidRPr="009D7554">
        <w:rPr>
          <w:rFonts w:ascii="Book Antiqua" w:eastAsia="等线" w:hAnsi="Book Antiqua"/>
          <w:b/>
          <w:kern w:val="2"/>
          <w:lang w:val="en-US" w:eastAsia="zh-CN"/>
        </w:rPr>
        <w:t>60</w:t>
      </w:r>
      <w:r w:rsidRPr="009D7554">
        <w:rPr>
          <w:rFonts w:ascii="Book Antiqua" w:eastAsia="等线" w:hAnsi="Book Antiqua"/>
          <w:kern w:val="2"/>
          <w:lang w:val="en-US" w:eastAsia="zh-CN"/>
        </w:rPr>
        <w:t>: 453-459 [PMID: 16965883 DOI: 10.1016/j.ejrad.2006.08.001]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44 </w:t>
      </w:r>
      <w:r w:rsidRPr="009D7554">
        <w:rPr>
          <w:rFonts w:ascii="Book Antiqua" w:eastAsia="等线" w:hAnsi="Book Antiqua"/>
          <w:b/>
          <w:kern w:val="2"/>
          <w:lang w:val="en-US" w:eastAsia="zh-CN"/>
        </w:rPr>
        <w:t>Filippone A</w:t>
      </w:r>
      <w:r w:rsidRPr="009D7554">
        <w:rPr>
          <w:rFonts w:ascii="Book Antiqua" w:eastAsia="等线" w:hAnsi="Book Antiqua"/>
          <w:kern w:val="2"/>
          <w:lang w:val="en-US" w:eastAsia="zh-CN"/>
        </w:rPr>
        <w:t xml:space="preserve">, Ambrosini R, Fuschi M, Marinelli T, Genovesi D, Bonomo L. Preoperative T and N staging of colorectal cancer: accuracy of contrast-enhanced multi-detector row CT colonography--initial experience.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2004; </w:t>
      </w:r>
      <w:r w:rsidRPr="009D7554">
        <w:rPr>
          <w:rFonts w:ascii="Book Antiqua" w:eastAsia="等线" w:hAnsi="Book Antiqua"/>
          <w:b/>
          <w:kern w:val="2"/>
          <w:lang w:val="en-US" w:eastAsia="zh-CN"/>
        </w:rPr>
        <w:t>231</w:t>
      </w:r>
      <w:r w:rsidRPr="009D7554">
        <w:rPr>
          <w:rFonts w:ascii="Book Antiqua" w:eastAsia="等线" w:hAnsi="Book Antiqua"/>
          <w:kern w:val="2"/>
          <w:lang w:val="en-US" w:eastAsia="zh-CN"/>
        </w:rPr>
        <w:t>: 83-90 [PMID: 14990815 DOI: 10.1148/radiol.2311021152]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45 </w:t>
      </w:r>
      <w:r w:rsidRPr="009D7554">
        <w:rPr>
          <w:rFonts w:ascii="Book Antiqua" w:eastAsia="等线" w:hAnsi="Book Antiqua"/>
          <w:b/>
          <w:kern w:val="2"/>
          <w:lang w:val="en-US" w:eastAsia="zh-CN"/>
        </w:rPr>
        <w:t>Kulinna C</w:t>
      </w:r>
      <w:r w:rsidRPr="009D7554">
        <w:rPr>
          <w:rFonts w:ascii="Book Antiqua" w:eastAsia="等线" w:hAnsi="Book Antiqua"/>
          <w:kern w:val="2"/>
          <w:lang w:val="en-US" w:eastAsia="zh-CN"/>
        </w:rPr>
        <w:t xml:space="preserve">, Eibel R, Matzek W, Bonel H, Aust D, Strauss T, Reiser M, Scheidler J. Staging of rectal cancer: diagnostic potential of multiplanar reconstructions with MDCT. </w:t>
      </w:r>
      <w:r w:rsidRPr="009D7554">
        <w:rPr>
          <w:rFonts w:ascii="Book Antiqua" w:eastAsia="等线" w:hAnsi="Book Antiqua"/>
          <w:i/>
          <w:kern w:val="2"/>
          <w:lang w:val="en-US" w:eastAsia="zh-CN"/>
        </w:rPr>
        <w:t>AJR Am J Roentgenol</w:t>
      </w:r>
      <w:r w:rsidRPr="009D7554">
        <w:rPr>
          <w:rFonts w:ascii="Book Antiqua" w:eastAsia="等线" w:hAnsi="Book Antiqua"/>
          <w:kern w:val="2"/>
          <w:lang w:val="en-US" w:eastAsia="zh-CN"/>
        </w:rPr>
        <w:t xml:space="preserve"> 2004; </w:t>
      </w:r>
      <w:r w:rsidRPr="009D7554">
        <w:rPr>
          <w:rFonts w:ascii="Book Antiqua" w:eastAsia="等线" w:hAnsi="Book Antiqua"/>
          <w:b/>
          <w:kern w:val="2"/>
          <w:lang w:val="en-US" w:eastAsia="zh-CN"/>
        </w:rPr>
        <w:t>183</w:t>
      </w:r>
      <w:r w:rsidRPr="009D7554">
        <w:rPr>
          <w:rFonts w:ascii="Book Antiqua" w:eastAsia="等线" w:hAnsi="Book Antiqua"/>
          <w:kern w:val="2"/>
          <w:lang w:val="en-US" w:eastAsia="zh-CN"/>
        </w:rPr>
        <w:t>: 421-427 [PMID: 15269036 DOI: 10.2214/ajr.183.2.1830421]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46 </w:t>
      </w:r>
      <w:r w:rsidRPr="009D7554">
        <w:rPr>
          <w:rFonts w:ascii="Book Antiqua" w:eastAsia="等线" w:hAnsi="Book Antiqua"/>
          <w:b/>
          <w:kern w:val="2"/>
          <w:lang w:val="en-US" w:eastAsia="zh-CN"/>
        </w:rPr>
        <w:t>Brown G</w:t>
      </w:r>
      <w:r w:rsidRPr="009D7554">
        <w:rPr>
          <w:rFonts w:ascii="Book Antiqua" w:eastAsia="等线" w:hAnsi="Book Antiqua"/>
          <w:kern w:val="2"/>
          <w:lang w:val="en-US" w:eastAsia="zh-CN"/>
        </w:rPr>
        <w:t xml:space="preserve">, Richards CJ, Bourne MW, Newcombe RG, Radcliffe AG, Dallimore NS, Williams GT. Morphologic predictors of lymph node status in rectal cancer with use of high-spatial-resolution MR imaging with histopathologic comparison.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2003; </w:t>
      </w:r>
      <w:r w:rsidRPr="009D7554">
        <w:rPr>
          <w:rFonts w:ascii="Book Antiqua" w:eastAsia="等线" w:hAnsi="Book Antiqua"/>
          <w:b/>
          <w:kern w:val="2"/>
          <w:lang w:val="en-US" w:eastAsia="zh-CN"/>
        </w:rPr>
        <w:t>227</w:t>
      </w:r>
      <w:r w:rsidRPr="009D7554">
        <w:rPr>
          <w:rFonts w:ascii="Book Antiqua" w:eastAsia="等线" w:hAnsi="Book Antiqua"/>
          <w:kern w:val="2"/>
          <w:lang w:val="en-US" w:eastAsia="zh-CN"/>
        </w:rPr>
        <w:t>: 371-377 [PMID: 12732695 DOI: 10.1148/radiol.2272011747]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47 </w:t>
      </w:r>
      <w:r w:rsidRPr="009D7554">
        <w:rPr>
          <w:rFonts w:ascii="Book Antiqua" w:eastAsia="等线" w:hAnsi="Book Antiqua"/>
          <w:b/>
          <w:kern w:val="2"/>
          <w:lang w:val="en-US" w:eastAsia="zh-CN"/>
        </w:rPr>
        <w:t>Mainenti PP</w:t>
      </w:r>
      <w:r w:rsidRPr="009D7554">
        <w:rPr>
          <w:rFonts w:ascii="Book Antiqua" w:eastAsia="等线" w:hAnsi="Book Antiqua"/>
          <w:kern w:val="2"/>
          <w:lang w:val="en-US" w:eastAsia="zh-CN"/>
        </w:rPr>
        <w:t xml:space="preserve">, Iodice D, Segreto S, Storto G, Magliulo M, De Palma GD, Salvatore M, Pace L. Colorectal cancer and 18FDG-PET/CT: what about adding the T to the N parameter in loco-regional staging? </w:t>
      </w:r>
      <w:r w:rsidRPr="009D7554">
        <w:rPr>
          <w:rFonts w:ascii="Book Antiqua" w:eastAsia="等线" w:hAnsi="Book Antiqua"/>
          <w:i/>
          <w:kern w:val="2"/>
          <w:lang w:val="en-US" w:eastAsia="zh-CN"/>
        </w:rPr>
        <w:t>World J Gastroenterol</w:t>
      </w:r>
      <w:r w:rsidRPr="009D7554">
        <w:rPr>
          <w:rFonts w:ascii="Book Antiqua" w:eastAsia="等线" w:hAnsi="Book Antiqua"/>
          <w:kern w:val="2"/>
          <w:lang w:val="en-US" w:eastAsia="zh-CN"/>
        </w:rPr>
        <w:t xml:space="preserve"> 2011; </w:t>
      </w:r>
      <w:r w:rsidRPr="009D7554">
        <w:rPr>
          <w:rFonts w:ascii="Book Antiqua" w:eastAsia="等线" w:hAnsi="Book Antiqua"/>
          <w:b/>
          <w:kern w:val="2"/>
          <w:lang w:val="en-US" w:eastAsia="zh-CN"/>
        </w:rPr>
        <w:t>17</w:t>
      </w:r>
      <w:r w:rsidRPr="009D7554">
        <w:rPr>
          <w:rFonts w:ascii="Book Antiqua" w:eastAsia="等线" w:hAnsi="Book Antiqua"/>
          <w:kern w:val="2"/>
          <w:lang w:val="en-US" w:eastAsia="zh-CN"/>
        </w:rPr>
        <w:t>: 1427-1433 [PMID: 21472100 DOI: 10.3748/wjg.v17.i11.1427]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48 </w:t>
      </w:r>
      <w:r w:rsidRPr="009D7554">
        <w:rPr>
          <w:rFonts w:ascii="Book Antiqua" w:eastAsia="等线" w:hAnsi="Book Antiqua"/>
          <w:b/>
          <w:kern w:val="2"/>
          <w:lang w:val="en-US" w:eastAsia="zh-CN"/>
        </w:rPr>
        <w:t>Heijnen LA</w:t>
      </w:r>
      <w:r w:rsidRPr="009D7554">
        <w:rPr>
          <w:rFonts w:ascii="Book Antiqua" w:eastAsia="等线" w:hAnsi="Book Antiqua"/>
          <w:kern w:val="2"/>
          <w:lang w:val="en-US" w:eastAsia="zh-CN"/>
        </w:rPr>
        <w:t xml:space="preserve">, Lambregts DM, Mondal D, Martens MH, Riedl RG, Beets GL, Beets-Tan RG. Diffusion-weighted MR imaging in primary rectal cancer staging demonstrates but does not characterise lymph nodes. </w:t>
      </w:r>
      <w:r w:rsidRPr="009D7554">
        <w:rPr>
          <w:rFonts w:ascii="Book Antiqua" w:eastAsia="等线" w:hAnsi="Book Antiqua"/>
          <w:i/>
          <w:kern w:val="2"/>
          <w:lang w:val="en-US" w:eastAsia="zh-CN"/>
        </w:rPr>
        <w:t>Eur Radiol</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23</w:t>
      </w:r>
      <w:r w:rsidRPr="009D7554">
        <w:rPr>
          <w:rFonts w:ascii="Book Antiqua" w:eastAsia="等线" w:hAnsi="Book Antiqua"/>
          <w:kern w:val="2"/>
          <w:lang w:val="en-US" w:eastAsia="zh-CN"/>
        </w:rPr>
        <w:t>: 3354-3360 [PMID: 23821022 DOI: 10.1007/s00330-013-2952-5]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49 </w:t>
      </w:r>
      <w:r w:rsidRPr="009D7554">
        <w:rPr>
          <w:rFonts w:ascii="Book Antiqua" w:eastAsia="等线" w:hAnsi="Book Antiqua"/>
          <w:b/>
          <w:kern w:val="2"/>
          <w:lang w:val="en-US" w:eastAsia="zh-CN"/>
        </w:rPr>
        <w:t>Lambregts DM</w:t>
      </w:r>
      <w:r w:rsidRPr="009D7554">
        <w:rPr>
          <w:rFonts w:ascii="Book Antiqua" w:eastAsia="等线" w:hAnsi="Book Antiqua"/>
          <w:kern w:val="2"/>
          <w:lang w:val="en-US" w:eastAsia="zh-CN"/>
        </w:rPr>
        <w:t xml:space="preserve">, Maas M, Riedl RG, Bakers FC, Verwoerd JL, Kessels AG, Lammering G, Boetes C, Beets GL, Beets-Tan RG. Value of ADC measurements for nodal staging after chemoradiation in locally advanced rectal cancer-a per lesion validation study. </w:t>
      </w:r>
      <w:r w:rsidRPr="009D7554">
        <w:rPr>
          <w:rFonts w:ascii="Book Antiqua" w:eastAsia="等线" w:hAnsi="Book Antiqua"/>
          <w:i/>
          <w:kern w:val="2"/>
          <w:lang w:val="en-US" w:eastAsia="zh-CN"/>
        </w:rPr>
        <w:t>Eur Radiol</w:t>
      </w:r>
      <w:r w:rsidRPr="009D7554">
        <w:rPr>
          <w:rFonts w:ascii="Book Antiqua" w:eastAsia="等线" w:hAnsi="Book Antiqua"/>
          <w:kern w:val="2"/>
          <w:lang w:val="en-US" w:eastAsia="zh-CN"/>
        </w:rPr>
        <w:t xml:space="preserve"> 2011; </w:t>
      </w:r>
      <w:r w:rsidRPr="009D7554">
        <w:rPr>
          <w:rFonts w:ascii="Book Antiqua" w:eastAsia="等线" w:hAnsi="Book Antiqua"/>
          <w:b/>
          <w:kern w:val="2"/>
          <w:lang w:val="en-US" w:eastAsia="zh-CN"/>
        </w:rPr>
        <w:t>21</w:t>
      </w:r>
      <w:r w:rsidRPr="009D7554">
        <w:rPr>
          <w:rFonts w:ascii="Book Antiqua" w:eastAsia="等线" w:hAnsi="Book Antiqua"/>
          <w:kern w:val="2"/>
          <w:lang w:val="en-US" w:eastAsia="zh-CN"/>
        </w:rPr>
        <w:t>: 265-273 [PMID: 20730540 DOI: 10.1007/s00330-010-1937-x]</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50 </w:t>
      </w:r>
      <w:r w:rsidRPr="009D7554">
        <w:rPr>
          <w:rFonts w:ascii="Book Antiqua" w:eastAsia="等线" w:hAnsi="Book Antiqua"/>
          <w:b/>
          <w:kern w:val="2"/>
          <w:lang w:val="en-US" w:eastAsia="zh-CN"/>
        </w:rPr>
        <w:t>Armbruster M</w:t>
      </w:r>
      <w:r w:rsidRPr="009D7554">
        <w:rPr>
          <w:rFonts w:ascii="Book Antiqua" w:eastAsia="等线" w:hAnsi="Book Antiqua"/>
          <w:kern w:val="2"/>
          <w:lang w:val="en-US" w:eastAsia="zh-CN"/>
        </w:rPr>
        <w:t xml:space="preserve">, D'Anastasi M, Holzner V, Kreis ME, Dietrich O, Brandlhuber B, Graser A, Brandlhuber M. Improved detection of a tumorous involvement of the mesorectal fascia and locoregional lymph nodes in locally advanced rectal cancer using DCE-MRI. </w:t>
      </w:r>
      <w:r w:rsidRPr="009D7554">
        <w:rPr>
          <w:rFonts w:ascii="Book Antiqua" w:eastAsia="等线" w:hAnsi="Book Antiqua"/>
          <w:i/>
          <w:kern w:val="2"/>
          <w:lang w:val="en-US" w:eastAsia="zh-CN"/>
        </w:rPr>
        <w:t>Int J Colorectal Dis</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33</w:t>
      </w:r>
      <w:r w:rsidRPr="009D7554">
        <w:rPr>
          <w:rFonts w:ascii="Book Antiqua" w:eastAsia="等线" w:hAnsi="Book Antiqua"/>
          <w:kern w:val="2"/>
          <w:lang w:val="en-US" w:eastAsia="zh-CN"/>
        </w:rPr>
        <w:t>: 901-909 [PMID: 29774398 DOI: 10.1007/s00384-018-3083-x]</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51 </w:t>
      </w:r>
      <w:r w:rsidRPr="009D7554">
        <w:rPr>
          <w:rFonts w:ascii="Book Antiqua" w:eastAsia="等线" w:hAnsi="Book Antiqua"/>
          <w:b/>
          <w:kern w:val="2"/>
          <w:lang w:val="en-US" w:eastAsia="zh-CN"/>
        </w:rPr>
        <w:t>Grøvik E</w:t>
      </w:r>
      <w:r w:rsidRPr="009D7554">
        <w:rPr>
          <w:rFonts w:ascii="Book Antiqua" w:eastAsia="等线" w:hAnsi="Book Antiqua"/>
          <w:kern w:val="2"/>
          <w:lang w:val="en-US" w:eastAsia="zh-CN"/>
        </w:rPr>
        <w:t xml:space="preserve">, Redalen KR, Storås TH, Negård A, Holmedal SH, Ree AH, Meltzer S, Bjørnerud A, Gjesdal KI. Dynamic multi-echo DCE- and DSC-MRI in rectal cancer: Low primary tumor K&lt;sup&gt;trans&lt;/sup&gt; and ΔR2* peak are significantly associated with lymph node metastasis.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2017; </w:t>
      </w:r>
      <w:r w:rsidRPr="009D7554">
        <w:rPr>
          <w:rFonts w:ascii="Book Antiqua" w:eastAsia="等线" w:hAnsi="Book Antiqua"/>
          <w:b/>
          <w:kern w:val="2"/>
          <w:lang w:val="en-US" w:eastAsia="zh-CN"/>
        </w:rPr>
        <w:t>46</w:t>
      </w:r>
      <w:r w:rsidRPr="009D7554">
        <w:rPr>
          <w:rFonts w:ascii="Book Antiqua" w:eastAsia="等线" w:hAnsi="Book Antiqua"/>
          <w:kern w:val="2"/>
          <w:lang w:val="en-US" w:eastAsia="zh-CN"/>
        </w:rPr>
        <w:t>: 194-206 [PMID: 28001320 DOI: 10.1002/jmri.25566]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52 </w:t>
      </w:r>
      <w:r w:rsidRPr="009D7554">
        <w:rPr>
          <w:rFonts w:ascii="Book Antiqua" w:eastAsia="等线" w:hAnsi="Book Antiqua"/>
          <w:b/>
          <w:kern w:val="2"/>
          <w:lang w:val="en-US" w:eastAsia="zh-CN"/>
        </w:rPr>
        <w:t>Yeo DM</w:t>
      </w:r>
      <w:r w:rsidRPr="009D7554">
        <w:rPr>
          <w:rFonts w:ascii="Book Antiqua" w:eastAsia="等线" w:hAnsi="Book Antiqua"/>
          <w:kern w:val="2"/>
          <w:lang w:val="en-US" w:eastAsia="zh-CN"/>
        </w:rPr>
        <w:t xml:space="preserve">, Oh SN, Jung CK, Lee MA, Oh ST, Rha SE, Jung SE, Byun JY, Gall P, Son Y. Correlation of dynamic contrast-enhanced MRI perfusion parameters with angiogenesis and biologic aggressiveness of rectal cancer: Preliminary results.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41</w:t>
      </w:r>
      <w:r w:rsidRPr="009D7554">
        <w:rPr>
          <w:rFonts w:ascii="Book Antiqua" w:eastAsia="等线" w:hAnsi="Book Antiqua"/>
          <w:kern w:val="2"/>
          <w:lang w:val="en-US" w:eastAsia="zh-CN"/>
        </w:rPr>
        <w:t>: 474-480 [PMID: 24375840 DOI: 10.1002/jmri.24541]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53 </w:t>
      </w:r>
      <w:r w:rsidRPr="009D7554">
        <w:rPr>
          <w:rFonts w:ascii="Book Antiqua" w:eastAsia="等线" w:hAnsi="Book Antiqua"/>
          <w:b/>
          <w:kern w:val="2"/>
          <w:lang w:val="en-US" w:eastAsia="zh-CN"/>
        </w:rPr>
        <w:t>Lollert A</w:t>
      </w:r>
      <w:r w:rsidRPr="009D7554">
        <w:rPr>
          <w:rFonts w:ascii="Book Antiqua" w:eastAsia="等线" w:hAnsi="Book Antiqua"/>
          <w:kern w:val="2"/>
          <w:lang w:val="en-US" w:eastAsia="zh-CN"/>
        </w:rPr>
        <w:t xml:space="preserve">, Junginger T, Schimanski CC, Biesterfeld S, Gockel I, Düber C, Oberholzer K. Rectal cancer: dynamic contrast-enhanced MRI correlates with lymph node status and epidermal growth factor receptor expression.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39</w:t>
      </w:r>
      <w:r w:rsidRPr="009D7554">
        <w:rPr>
          <w:rFonts w:ascii="Book Antiqua" w:eastAsia="等线" w:hAnsi="Book Antiqua"/>
          <w:kern w:val="2"/>
          <w:lang w:val="en-US" w:eastAsia="zh-CN"/>
        </w:rPr>
        <w:t>: 1436-1442 [PMID: 24127411 DOI: 10.1002/jmri.24301]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54 </w:t>
      </w:r>
      <w:r w:rsidRPr="009D7554">
        <w:rPr>
          <w:rFonts w:ascii="Book Antiqua" w:eastAsia="等线" w:hAnsi="Book Antiqua"/>
          <w:b/>
          <w:kern w:val="2"/>
          <w:lang w:val="en-US" w:eastAsia="zh-CN"/>
        </w:rPr>
        <w:t>Yang X</w:t>
      </w:r>
      <w:r w:rsidRPr="009D7554">
        <w:rPr>
          <w:rFonts w:ascii="Book Antiqua" w:eastAsia="等线" w:hAnsi="Book Antiqua"/>
          <w:kern w:val="2"/>
          <w:lang w:val="en-US" w:eastAsia="zh-CN"/>
        </w:rPr>
        <w:t xml:space="preserve">, Chen Y, Wen Z, Lu B, Shen B, Xiao X, Yu S. Role of Quantitative Dynamic Contrast-Enhanced MRI in Evaluating Regional Lymph Nodes With a Short-Axis Diameter of Less Than 5 mm in Rectal Cancer. </w:t>
      </w:r>
      <w:r w:rsidRPr="009D7554">
        <w:rPr>
          <w:rFonts w:ascii="Book Antiqua" w:eastAsia="等线" w:hAnsi="Book Antiqua"/>
          <w:i/>
          <w:kern w:val="2"/>
          <w:lang w:val="en-US" w:eastAsia="zh-CN"/>
        </w:rPr>
        <w:t>AJR Am J Roentgenol</w:t>
      </w:r>
      <w:r w:rsidRPr="009D7554">
        <w:rPr>
          <w:rFonts w:ascii="Book Antiqua" w:eastAsia="等线" w:hAnsi="Book Antiqua"/>
          <w:kern w:val="2"/>
          <w:lang w:val="en-US" w:eastAsia="zh-CN"/>
        </w:rPr>
        <w:t xml:space="preserve"> 2019; </w:t>
      </w:r>
      <w:r w:rsidRPr="009D7554">
        <w:rPr>
          <w:rFonts w:ascii="Book Antiqua" w:eastAsia="等线" w:hAnsi="Book Antiqua"/>
          <w:b/>
          <w:kern w:val="2"/>
          <w:lang w:val="en-US" w:eastAsia="zh-CN"/>
        </w:rPr>
        <w:t>212</w:t>
      </w:r>
      <w:r w:rsidRPr="009D7554">
        <w:rPr>
          <w:rFonts w:ascii="Book Antiqua" w:eastAsia="等线" w:hAnsi="Book Antiqua"/>
          <w:kern w:val="2"/>
          <w:lang w:val="en-US" w:eastAsia="zh-CN"/>
        </w:rPr>
        <w:t>: 77-83 [PMID: 30354269 DOI: 10.2214/AJR.18.19866]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55 </w:t>
      </w:r>
      <w:r w:rsidRPr="009D7554">
        <w:rPr>
          <w:rFonts w:ascii="Book Antiqua" w:eastAsia="等线" w:hAnsi="Book Antiqua"/>
          <w:b/>
          <w:kern w:val="2"/>
          <w:lang w:val="en-US" w:eastAsia="zh-CN"/>
        </w:rPr>
        <w:t>Yu XP</w:t>
      </w:r>
      <w:r w:rsidRPr="009D7554">
        <w:rPr>
          <w:rFonts w:ascii="Book Antiqua" w:eastAsia="等线" w:hAnsi="Book Antiqua"/>
          <w:kern w:val="2"/>
          <w:lang w:val="en-US" w:eastAsia="zh-CN"/>
        </w:rPr>
        <w:t xml:space="preserve">, Wen L, Hou J, Wang H, Lu Q. Discrimination of metastatic from non-metastatic mesorectal lymph nodes in rectal cancer using quantitative dynamic contrast-enhanced magnetic resonance imaging. </w:t>
      </w:r>
      <w:r w:rsidRPr="009D7554">
        <w:rPr>
          <w:rFonts w:ascii="Book Antiqua" w:eastAsia="等线" w:hAnsi="Book Antiqua"/>
          <w:i/>
          <w:kern w:val="2"/>
          <w:lang w:val="en-US" w:eastAsia="zh-CN"/>
        </w:rPr>
        <w:t>J Huazhong Univ Sci Technolog Med Sci</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36</w:t>
      </w:r>
      <w:r w:rsidRPr="009D7554">
        <w:rPr>
          <w:rFonts w:ascii="Book Antiqua" w:eastAsia="等线" w:hAnsi="Book Antiqua"/>
          <w:kern w:val="2"/>
          <w:lang w:val="en-US" w:eastAsia="zh-CN"/>
        </w:rPr>
        <w:t>: 594-600 [PMID: 27465339 DOI: 10.1007/s11596-016-1631-6]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56 </w:t>
      </w:r>
      <w:r w:rsidRPr="009D7554">
        <w:rPr>
          <w:rFonts w:ascii="Book Antiqua" w:eastAsia="等线" w:hAnsi="Book Antiqua"/>
          <w:b/>
          <w:kern w:val="2"/>
          <w:lang w:val="en-US" w:eastAsia="zh-CN"/>
        </w:rPr>
        <w:t>Lu YY</w:t>
      </w:r>
      <w:r w:rsidRPr="009D7554">
        <w:rPr>
          <w:rFonts w:ascii="Book Antiqua" w:eastAsia="等线" w:hAnsi="Book Antiqua"/>
          <w:kern w:val="2"/>
          <w:lang w:val="en-US" w:eastAsia="zh-CN"/>
        </w:rPr>
        <w:t xml:space="preserve">, Chen JH, Ding HJ, Chien CR, Lin WY, Kao CH. A systematic review and meta-analysis of pretherapeutic lymph node staging of colorectal cancer by 18F-FDG PET or PET/CT. </w:t>
      </w:r>
      <w:r w:rsidRPr="009D7554">
        <w:rPr>
          <w:rFonts w:ascii="Book Antiqua" w:eastAsia="等线" w:hAnsi="Book Antiqua"/>
          <w:i/>
          <w:kern w:val="2"/>
          <w:lang w:val="en-US" w:eastAsia="zh-CN"/>
        </w:rPr>
        <w:t>Nucl Med Commun</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33</w:t>
      </w:r>
      <w:r w:rsidRPr="009D7554">
        <w:rPr>
          <w:rFonts w:ascii="Book Antiqua" w:eastAsia="等线" w:hAnsi="Book Antiqua"/>
          <w:kern w:val="2"/>
          <w:lang w:val="en-US" w:eastAsia="zh-CN"/>
        </w:rPr>
        <w:t>: 1127-1133 [PMID: 23000829 DOI: 10.1097/MNM.0b013e328357b2d9]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57 </w:t>
      </w:r>
      <w:r w:rsidRPr="009D7554">
        <w:rPr>
          <w:rFonts w:ascii="Book Antiqua" w:eastAsia="等线" w:hAnsi="Book Antiqua"/>
          <w:b/>
          <w:kern w:val="2"/>
          <w:lang w:val="en-US" w:eastAsia="zh-CN"/>
        </w:rPr>
        <w:t>Yi HJ</w:t>
      </w:r>
      <w:r w:rsidRPr="009D7554">
        <w:rPr>
          <w:rFonts w:ascii="Book Antiqua" w:eastAsia="等线" w:hAnsi="Book Antiqua"/>
          <w:kern w:val="2"/>
          <w:lang w:val="en-US" w:eastAsia="zh-CN"/>
        </w:rPr>
        <w:t xml:space="preserve">, Hong KS, Moon N, Chung SS, Lee RA, Kim KH. Reliability of (18)f-fluorodeoxyglucose positron emission tomography/computed tomography in the nodal staging of colorectal cancer patients. </w:t>
      </w:r>
      <w:r w:rsidRPr="009D7554">
        <w:rPr>
          <w:rFonts w:ascii="Book Antiqua" w:eastAsia="等线" w:hAnsi="Book Antiqua"/>
          <w:i/>
          <w:kern w:val="2"/>
          <w:lang w:val="en-US" w:eastAsia="zh-CN"/>
        </w:rPr>
        <w:t>Ann Coloproctol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30</w:t>
      </w:r>
      <w:r w:rsidRPr="009D7554">
        <w:rPr>
          <w:rFonts w:ascii="Book Antiqua" w:eastAsia="等线" w:hAnsi="Book Antiqua"/>
          <w:kern w:val="2"/>
          <w:lang w:val="en-US" w:eastAsia="zh-CN"/>
        </w:rPr>
        <w:t>: 259-265 [PMID: 25580412 DOI: 10.3393/ac.2014.30.6.259]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58 </w:t>
      </w:r>
      <w:r w:rsidRPr="009D7554">
        <w:rPr>
          <w:rFonts w:ascii="Book Antiqua" w:eastAsia="等线" w:hAnsi="Book Antiqua"/>
          <w:b/>
          <w:kern w:val="2"/>
          <w:lang w:val="en-US" w:eastAsia="zh-CN"/>
        </w:rPr>
        <w:t>Tsunoda Y</w:t>
      </w:r>
      <w:r w:rsidRPr="009D7554">
        <w:rPr>
          <w:rFonts w:ascii="Book Antiqua" w:eastAsia="等线" w:hAnsi="Book Antiqua"/>
          <w:kern w:val="2"/>
          <w:lang w:val="en-US" w:eastAsia="zh-CN"/>
        </w:rPr>
        <w:t xml:space="preserve">, Ito M, Fujii H, Kuwano H, Saito N. Preoperative diagnosis of lymph node metastases of colorectal cancer by FDG-PET/CT. </w:t>
      </w:r>
      <w:r w:rsidRPr="009D7554">
        <w:rPr>
          <w:rFonts w:ascii="Book Antiqua" w:eastAsia="等线" w:hAnsi="Book Antiqua"/>
          <w:i/>
          <w:kern w:val="2"/>
          <w:lang w:val="en-US" w:eastAsia="zh-CN"/>
        </w:rPr>
        <w:t>Jpn J Clin Oncol</w:t>
      </w:r>
      <w:r w:rsidRPr="009D7554">
        <w:rPr>
          <w:rFonts w:ascii="Book Antiqua" w:eastAsia="等线" w:hAnsi="Book Antiqua"/>
          <w:kern w:val="2"/>
          <w:lang w:val="en-US" w:eastAsia="zh-CN"/>
        </w:rPr>
        <w:t xml:space="preserve"> 2008; </w:t>
      </w:r>
      <w:r w:rsidRPr="009D7554">
        <w:rPr>
          <w:rFonts w:ascii="Book Antiqua" w:eastAsia="等线" w:hAnsi="Book Antiqua"/>
          <w:b/>
          <w:kern w:val="2"/>
          <w:lang w:val="en-US" w:eastAsia="zh-CN"/>
        </w:rPr>
        <w:t>38</w:t>
      </w:r>
      <w:r w:rsidRPr="009D7554">
        <w:rPr>
          <w:rFonts w:ascii="Book Antiqua" w:eastAsia="等线" w:hAnsi="Book Antiqua"/>
          <w:kern w:val="2"/>
          <w:lang w:val="en-US" w:eastAsia="zh-CN"/>
        </w:rPr>
        <w:t>: 347-353 [PMID: 18424814 DOI: 10.1093/jjco/hyn032]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59 </w:t>
      </w:r>
      <w:r w:rsidRPr="009D7554">
        <w:rPr>
          <w:rFonts w:ascii="Book Antiqua" w:eastAsia="等线" w:hAnsi="Book Antiqua"/>
          <w:b/>
          <w:kern w:val="2"/>
          <w:lang w:val="en-US" w:eastAsia="zh-CN"/>
        </w:rPr>
        <w:t>Yu L</w:t>
      </w:r>
      <w:r w:rsidRPr="009D7554">
        <w:rPr>
          <w:rFonts w:ascii="Book Antiqua" w:eastAsia="等线" w:hAnsi="Book Antiqua"/>
          <w:kern w:val="2"/>
          <w:lang w:val="en-US" w:eastAsia="zh-CN"/>
        </w:rPr>
        <w:t xml:space="preserve">, Tian M, Gao X, Wang D, Qin Y, Geng J. The method and efficacy of 18F-fluorodeoxyglucose positron emission tomography/computed tomography for diagnosing the lymphatic metastasis of colorectal carcinoma. </w:t>
      </w:r>
      <w:r w:rsidRPr="009D7554">
        <w:rPr>
          <w:rFonts w:ascii="Book Antiqua" w:eastAsia="等线" w:hAnsi="Book Antiqua"/>
          <w:i/>
          <w:kern w:val="2"/>
          <w:lang w:val="en-US" w:eastAsia="zh-CN"/>
        </w:rPr>
        <w:t>Acad Radiol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19</w:t>
      </w:r>
      <w:r w:rsidRPr="009D7554">
        <w:rPr>
          <w:rFonts w:ascii="Book Antiqua" w:eastAsia="等线" w:hAnsi="Book Antiqua"/>
          <w:kern w:val="2"/>
          <w:lang w:val="en-US" w:eastAsia="zh-CN"/>
        </w:rPr>
        <w:t>: 427-433 [PMID: 22265721 DOI: 10.1016/j.acra.2011.12.007]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60 </w:t>
      </w:r>
      <w:r w:rsidRPr="009D7554">
        <w:rPr>
          <w:rFonts w:ascii="Book Antiqua" w:eastAsia="等线" w:hAnsi="Book Antiqua"/>
          <w:b/>
          <w:kern w:val="2"/>
          <w:lang w:val="en-US" w:eastAsia="zh-CN"/>
        </w:rPr>
        <w:t>Maretto I</w:t>
      </w:r>
      <w:r w:rsidRPr="009D7554">
        <w:rPr>
          <w:rFonts w:ascii="Book Antiqua" w:eastAsia="等线" w:hAnsi="Book Antiqua"/>
          <w:kern w:val="2"/>
          <w:lang w:val="en-US" w:eastAsia="zh-CN"/>
        </w:rPr>
        <w:t xml:space="preserve">, Pomerri F, Pucciarelli S, Mescoli C, Belluco E, Burzi S, Rugge M, Muzzio PC, Nitti D. The potential of restaging in the prediction of pathologic response after preoperative chemoradiotherapy for rectal cancer. </w:t>
      </w:r>
      <w:r w:rsidRPr="009D7554">
        <w:rPr>
          <w:rFonts w:ascii="Book Antiqua" w:eastAsia="等线" w:hAnsi="Book Antiqua"/>
          <w:i/>
          <w:kern w:val="2"/>
          <w:lang w:val="en-US" w:eastAsia="zh-CN"/>
        </w:rPr>
        <w:t>Ann Surg Oncol</w:t>
      </w:r>
      <w:r w:rsidRPr="009D7554">
        <w:rPr>
          <w:rFonts w:ascii="Book Antiqua" w:eastAsia="等线" w:hAnsi="Book Antiqua"/>
          <w:kern w:val="2"/>
          <w:lang w:val="en-US" w:eastAsia="zh-CN"/>
        </w:rPr>
        <w:t xml:space="preserve"> 2007; </w:t>
      </w:r>
      <w:r w:rsidRPr="009D7554">
        <w:rPr>
          <w:rFonts w:ascii="Book Antiqua" w:eastAsia="等线" w:hAnsi="Book Antiqua"/>
          <w:b/>
          <w:kern w:val="2"/>
          <w:lang w:val="en-US" w:eastAsia="zh-CN"/>
        </w:rPr>
        <w:t>14</w:t>
      </w:r>
      <w:r w:rsidRPr="009D7554">
        <w:rPr>
          <w:rFonts w:ascii="Book Antiqua" w:eastAsia="等线" w:hAnsi="Book Antiqua"/>
          <w:kern w:val="2"/>
          <w:lang w:val="en-US" w:eastAsia="zh-CN"/>
        </w:rPr>
        <w:t>: 455-461 [PMID: 17139456 DOI: 10.1245/s10434-006-9269-4]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61 </w:t>
      </w:r>
      <w:r w:rsidRPr="009D7554">
        <w:rPr>
          <w:rFonts w:ascii="Book Antiqua" w:eastAsia="等线" w:hAnsi="Book Antiqua"/>
          <w:b/>
          <w:kern w:val="2"/>
          <w:lang w:val="en-US" w:eastAsia="zh-CN"/>
        </w:rPr>
        <w:t>Chen CC</w:t>
      </w:r>
      <w:r w:rsidRPr="009D7554">
        <w:rPr>
          <w:rFonts w:ascii="Book Antiqua" w:eastAsia="等线" w:hAnsi="Book Antiqua"/>
          <w:kern w:val="2"/>
          <w:lang w:val="en-US" w:eastAsia="zh-CN"/>
        </w:rPr>
        <w:t xml:space="preserve">, Lee RC, Lin JK, Wang LW, Yang SH. How accurate is magnetic resonance imaging in restaging rectal cancer in patients receiving preoperative combined chemoradiotherapy? </w:t>
      </w:r>
      <w:r w:rsidRPr="009D7554">
        <w:rPr>
          <w:rFonts w:ascii="Book Antiqua" w:eastAsia="等线" w:hAnsi="Book Antiqua"/>
          <w:i/>
          <w:kern w:val="2"/>
          <w:lang w:val="en-US" w:eastAsia="zh-CN"/>
        </w:rPr>
        <w:t>Dis Colon Rectum</w:t>
      </w:r>
      <w:r w:rsidRPr="009D7554">
        <w:rPr>
          <w:rFonts w:ascii="Book Antiqua" w:eastAsia="等线" w:hAnsi="Book Antiqua"/>
          <w:kern w:val="2"/>
          <w:lang w:val="en-US" w:eastAsia="zh-CN"/>
        </w:rPr>
        <w:t xml:space="preserve"> 2005; </w:t>
      </w:r>
      <w:r w:rsidRPr="009D7554">
        <w:rPr>
          <w:rFonts w:ascii="Book Antiqua" w:eastAsia="等线" w:hAnsi="Book Antiqua"/>
          <w:b/>
          <w:kern w:val="2"/>
          <w:lang w:val="en-US" w:eastAsia="zh-CN"/>
        </w:rPr>
        <w:t>48</w:t>
      </w:r>
      <w:r w:rsidRPr="009D7554">
        <w:rPr>
          <w:rFonts w:ascii="Book Antiqua" w:eastAsia="等线" w:hAnsi="Book Antiqua"/>
          <w:kern w:val="2"/>
          <w:lang w:val="en-US" w:eastAsia="zh-CN"/>
        </w:rPr>
        <w:t>: 722-728 [PMID: 15747073 DOI: 10.1007/s10350-004-0851-1]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62 </w:t>
      </w:r>
      <w:r w:rsidRPr="009D7554">
        <w:rPr>
          <w:rFonts w:ascii="Book Antiqua" w:eastAsia="等线" w:hAnsi="Book Antiqua"/>
          <w:b/>
          <w:kern w:val="2"/>
          <w:lang w:val="en-US" w:eastAsia="zh-CN"/>
        </w:rPr>
        <w:t>Kuo LJ</w:t>
      </w:r>
      <w:r w:rsidRPr="009D7554">
        <w:rPr>
          <w:rFonts w:ascii="Book Antiqua" w:eastAsia="等线" w:hAnsi="Book Antiqua"/>
          <w:kern w:val="2"/>
          <w:lang w:val="en-US" w:eastAsia="zh-CN"/>
        </w:rPr>
        <w:t xml:space="preserve">, Chern MC, Tsou MH, Liu MC, Jian JJ, Chen CM, Chung YL, Fang WT. Interpretation of magnetic resonance imaging for locally advanced rectal carcinoma after preoperative chemoradiation therapy. </w:t>
      </w:r>
      <w:r w:rsidRPr="009D7554">
        <w:rPr>
          <w:rFonts w:ascii="Book Antiqua" w:eastAsia="等线" w:hAnsi="Book Antiqua"/>
          <w:i/>
          <w:kern w:val="2"/>
          <w:lang w:val="en-US" w:eastAsia="zh-CN"/>
        </w:rPr>
        <w:t>Dis Colon Rectum</w:t>
      </w:r>
      <w:r w:rsidRPr="009D7554">
        <w:rPr>
          <w:rFonts w:ascii="Book Antiqua" w:eastAsia="等线" w:hAnsi="Book Antiqua"/>
          <w:kern w:val="2"/>
          <w:lang w:val="en-US" w:eastAsia="zh-CN"/>
        </w:rPr>
        <w:t xml:space="preserve"> 2005; </w:t>
      </w:r>
      <w:r w:rsidRPr="009D7554">
        <w:rPr>
          <w:rFonts w:ascii="Book Antiqua" w:eastAsia="等线" w:hAnsi="Book Antiqua"/>
          <w:b/>
          <w:kern w:val="2"/>
          <w:lang w:val="en-US" w:eastAsia="zh-CN"/>
        </w:rPr>
        <w:t>48</w:t>
      </w:r>
      <w:r w:rsidRPr="009D7554">
        <w:rPr>
          <w:rFonts w:ascii="Book Antiqua" w:eastAsia="等线" w:hAnsi="Book Antiqua"/>
          <w:kern w:val="2"/>
          <w:lang w:val="en-US" w:eastAsia="zh-CN"/>
        </w:rPr>
        <w:t>: 23-28 [PMID: 15690653]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63 </w:t>
      </w:r>
      <w:r w:rsidRPr="009D7554">
        <w:rPr>
          <w:rFonts w:ascii="Book Antiqua" w:eastAsia="等线" w:hAnsi="Book Antiqua"/>
          <w:b/>
          <w:kern w:val="2"/>
          <w:lang w:val="en-US" w:eastAsia="zh-CN"/>
        </w:rPr>
        <w:t>Joye I</w:t>
      </w:r>
      <w:r w:rsidRPr="009D7554">
        <w:rPr>
          <w:rFonts w:ascii="Book Antiqua" w:eastAsia="等线" w:hAnsi="Book Antiqua"/>
          <w:kern w:val="2"/>
          <w:lang w:val="en-US" w:eastAsia="zh-CN"/>
        </w:rPr>
        <w:t xml:space="preserve">, Deroose CM, Vandecaveye V, Haustermans K. The role of diffusion-weighted MRI and (18)F-FDG PET/CT in the prediction of pathologic complete response after radiochemotherapy for rectal cancer: a systematic review. </w:t>
      </w:r>
      <w:r w:rsidRPr="009D7554">
        <w:rPr>
          <w:rFonts w:ascii="Book Antiqua" w:eastAsia="等线" w:hAnsi="Book Antiqua"/>
          <w:i/>
          <w:kern w:val="2"/>
          <w:lang w:val="en-US" w:eastAsia="zh-CN"/>
        </w:rPr>
        <w:t>Radiother Oncol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113</w:t>
      </w:r>
      <w:r w:rsidRPr="009D7554">
        <w:rPr>
          <w:rFonts w:ascii="Book Antiqua" w:eastAsia="等线" w:hAnsi="Book Antiqua"/>
          <w:kern w:val="2"/>
          <w:lang w:val="en-US" w:eastAsia="zh-CN"/>
        </w:rPr>
        <w:t>: 158-165 [PMID: 25483833 DOI: 10.1016/j.radonc.2014.11.026]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64 </w:t>
      </w:r>
      <w:r w:rsidRPr="009D7554">
        <w:rPr>
          <w:rFonts w:ascii="Book Antiqua" w:eastAsia="等线" w:hAnsi="Book Antiqua"/>
          <w:b/>
          <w:kern w:val="2"/>
          <w:lang w:val="en-US" w:eastAsia="zh-CN"/>
        </w:rPr>
        <w:t>Kim SH</w:t>
      </w:r>
      <w:r w:rsidRPr="009D7554">
        <w:rPr>
          <w:rFonts w:ascii="Book Antiqua" w:eastAsia="等线" w:hAnsi="Book Antiqua"/>
          <w:kern w:val="2"/>
          <w:lang w:val="en-US" w:eastAsia="zh-CN"/>
        </w:rPr>
        <w:t xml:space="preserve">, Lee JM, Gupta SN, Han JK, Choi BI. Dynamic contrast-enhanced MRI to evaluate the therapeutic response to neoadjuvant chemoradiation therapy in locally advanced rectal cancer.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40</w:t>
      </w:r>
      <w:r w:rsidRPr="009D7554">
        <w:rPr>
          <w:rFonts w:ascii="Book Antiqua" w:eastAsia="等线" w:hAnsi="Book Antiqua"/>
          <w:kern w:val="2"/>
          <w:lang w:val="en-US" w:eastAsia="zh-CN"/>
        </w:rPr>
        <w:t>: 730-737 [PMID: 24307571 DOI: 10.1002/jmri.24387]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65 </w:t>
      </w:r>
      <w:r w:rsidRPr="009D7554">
        <w:rPr>
          <w:rFonts w:ascii="Book Antiqua" w:eastAsia="等线" w:hAnsi="Book Antiqua"/>
          <w:b/>
          <w:kern w:val="2"/>
          <w:lang w:val="en-US" w:eastAsia="zh-CN"/>
        </w:rPr>
        <w:t>Lambrecht M</w:t>
      </w:r>
      <w:r w:rsidRPr="009D7554">
        <w:rPr>
          <w:rFonts w:ascii="Book Antiqua" w:eastAsia="等线" w:hAnsi="Book Antiqua"/>
          <w:kern w:val="2"/>
          <w:lang w:val="en-US" w:eastAsia="zh-CN"/>
        </w:rPr>
        <w:t xml:space="preserve">, Vandecaveye V, De Keyzer F, Roels S, Penninckx F, Van Cutsem E, Filip C, Haustermans K. Value of diffusion-weighted magnetic resonance imaging for prediction and early assessment of response to neoadjuvant radiochemotherapy in rectal cancer: preliminary results. </w:t>
      </w:r>
      <w:r w:rsidRPr="009D7554">
        <w:rPr>
          <w:rFonts w:ascii="Book Antiqua" w:eastAsia="等线" w:hAnsi="Book Antiqua"/>
          <w:i/>
          <w:kern w:val="2"/>
          <w:lang w:val="en-US" w:eastAsia="zh-CN"/>
        </w:rPr>
        <w:t>Int J Radiat Oncol Biol Phys</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82</w:t>
      </w:r>
      <w:r w:rsidRPr="009D7554">
        <w:rPr>
          <w:rFonts w:ascii="Book Antiqua" w:eastAsia="等线" w:hAnsi="Book Antiqua"/>
          <w:kern w:val="2"/>
          <w:lang w:val="en-US" w:eastAsia="zh-CN"/>
        </w:rPr>
        <w:t>: 863-870 [PMID: 21398048 DOI: 10.1016/j.ijrobp.2010.12.063]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66 </w:t>
      </w:r>
      <w:r w:rsidRPr="009D7554">
        <w:rPr>
          <w:rFonts w:ascii="Book Antiqua" w:eastAsia="等线" w:hAnsi="Book Antiqua"/>
          <w:b/>
          <w:kern w:val="2"/>
          <w:lang w:val="en-US" w:eastAsia="zh-CN"/>
        </w:rPr>
        <w:t>Burbach JP</w:t>
      </w:r>
      <w:r w:rsidRPr="009D7554">
        <w:rPr>
          <w:rFonts w:ascii="Book Antiqua" w:eastAsia="等线" w:hAnsi="Book Antiqua"/>
          <w:kern w:val="2"/>
          <w:lang w:val="en-US" w:eastAsia="zh-CN"/>
        </w:rPr>
        <w:t xml:space="preserve">, den Harder AM, Intven M, van Vulpen M, Verkooijen HM, Reerink O. Impact of radiotherapy boost on pathological complete response in patients with locally advanced rectal cancer: a systematic review and meta-analysis. </w:t>
      </w:r>
      <w:r w:rsidRPr="009D7554">
        <w:rPr>
          <w:rFonts w:ascii="Book Antiqua" w:eastAsia="等线" w:hAnsi="Book Antiqua"/>
          <w:i/>
          <w:kern w:val="2"/>
          <w:lang w:val="en-US" w:eastAsia="zh-CN"/>
        </w:rPr>
        <w:t>Radiother Oncol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113</w:t>
      </w:r>
      <w:r w:rsidRPr="009D7554">
        <w:rPr>
          <w:rFonts w:ascii="Book Antiqua" w:eastAsia="等线" w:hAnsi="Book Antiqua"/>
          <w:kern w:val="2"/>
          <w:lang w:val="en-US" w:eastAsia="zh-CN"/>
        </w:rPr>
        <w:t>: 1-9 [PMID: 25281582 DOI: 10.1016/j.radonc.2014.08.035]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67 </w:t>
      </w:r>
      <w:r w:rsidRPr="009D7554">
        <w:rPr>
          <w:rFonts w:ascii="Book Antiqua" w:eastAsia="等线" w:hAnsi="Book Antiqua"/>
          <w:b/>
          <w:kern w:val="2"/>
          <w:lang w:val="en-US" w:eastAsia="zh-CN"/>
        </w:rPr>
        <w:t>Song I</w:t>
      </w:r>
      <w:r w:rsidRPr="009D7554">
        <w:rPr>
          <w:rFonts w:ascii="Book Antiqua" w:eastAsia="等线" w:hAnsi="Book Antiqua"/>
          <w:kern w:val="2"/>
          <w:lang w:val="en-US" w:eastAsia="zh-CN"/>
        </w:rPr>
        <w:t xml:space="preserve">, Kim SH, Lee SJ, Choi JY, Kim MJ, Rhim H. Value of diffusion-weighted imaging in the detection of viable tumour after neoadjuvant chemoradiation therapy in patients with locally advanced rectal cancer: comparison with T2 weighted and PET/CT imaging. </w:t>
      </w:r>
      <w:r w:rsidRPr="009D7554">
        <w:rPr>
          <w:rFonts w:ascii="Book Antiqua" w:eastAsia="等线" w:hAnsi="Book Antiqua"/>
          <w:i/>
          <w:kern w:val="2"/>
          <w:lang w:val="en-US" w:eastAsia="zh-CN"/>
        </w:rPr>
        <w:t>Br J Radiol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85</w:t>
      </w:r>
      <w:r w:rsidRPr="009D7554">
        <w:rPr>
          <w:rFonts w:ascii="Book Antiqua" w:eastAsia="等线" w:hAnsi="Book Antiqua"/>
          <w:kern w:val="2"/>
          <w:lang w:val="en-US" w:eastAsia="zh-CN"/>
        </w:rPr>
        <w:t>: 577-586 [PMID: 21343320 DOI: 10.1259/bjr/68424021]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68 </w:t>
      </w:r>
      <w:r w:rsidRPr="009D7554">
        <w:rPr>
          <w:rFonts w:ascii="Book Antiqua" w:eastAsia="等线" w:hAnsi="Book Antiqua"/>
          <w:b/>
          <w:kern w:val="2"/>
          <w:lang w:val="en-US" w:eastAsia="zh-CN"/>
        </w:rPr>
        <w:t>Grosu S</w:t>
      </w:r>
      <w:r w:rsidRPr="009D7554">
        <w:rPr>
          <w:rFonts w:ascii="Book Antiqua" w:eastAsia="等线" w:hAnsi="Book Antiqua"/>
          <w:kern w:val="2"/>
          <w:lang w:val="en-US" w:eastAsia="zh-CN"/>
        </w:rPr>
        <w:t xml:space="preserve">, Schäfer AO, Baumann T, Manegold P, Langer M, Gerstmair A. Differentiating locally recurrent rectal cancer from scar tissue: Value of diffusion-weighted MRI. </w:t>
      </w:r>
      <w:r w:rsidRPr="009D7554">
        <w:rPr>
          <w:rFonts w:ascii="Book Antiqua" w:eastAsia="等线" w:hAnsi="Book Antiqua"/>
          <w:i/>
          <w:kern w:val="2"/>
          <w:lang w:val="en-US" w:eastAsia="zh-CN"/>
        </w:rPr>
        <w:t>Eur J Radiol</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85</w:t>
      </w:r>
      <w:r w:rsidRPr="009D7554">
        <w:rPr>
          <w:rFonts w:ascii="Book Antiqua" w:eastAsia="等线" w:hAnsi="Book Antiqua"/>
          <w:kern w:val="2"/>
          <w:lang w:val="en-US" w:eastAsia="zh-CN"/>
        </w:rPr>
        <w:t>: 1265-1270 [PMID: 27235873 DOI: 10.1016/j.ejrad.2016.04.006]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69 </w:t>
      </w:r>
      <w:r w:rsidRPr="009D7554">
        <w:rPr>
          <w:rFonts w:ascii="Book Antiqua" w:eastAsia="等线" w:hAnsi="Book Antiqua"/>
          <w:b/>
          <w:kern w:val="2"/>
          <w:lang w:val="en-US" w:eastAsia="zh-CN"/>
        </w:rPr>
        <w:t>Bassaneze T</w:t>
      </w:r>
      <w:r w:rsidRPr="009D7554">
        <w:rPr>
          <w:rFonts w:ascii="Book Antiqua" w:eastAsia="等线" w:hAnsi="Book Antiqua"/>
          <w:kern w:val="2"/>
          <w:lang w:val="en-US" w:eastAsia="zh-CN"/>
        </w:rPr>
        <w:t xml:space="preserve">, Gonçalves JE, Faria JF, Palma RT, Waisberg J. Quantitative Aspects of Diffusion-weighted Magnetic Resonance Imaging in Rectal Cancer Response to Neoadjuvant Therapy. </w:t>
      </w:r>
      <w:r w:rsidRPr="009D7554">
        <w:rPr>
          <w:rFonts w:ascii="Book Antiqua" w:eastAsia="等线" w:hAnsi="Book Antiqua"/>
          <w:i/>
          <w:kern w:val="2"/>
          <w:lang w:val="en-US" w:eastAsia="zh-CN"/>
        </w:rPr>
        <w:t>Radiol Oncol</w:t>
      </w:r>
      <w:r w:rsidRPr="009D7554">
        <w:rPr>
          <w:rFonts w:ascii="Book Antiqua" w:eastAsia="等线" w:hAnsi="Book Antiqua"/>
          <w:kern w:val="2"/>
          <w:lang w:val="en-US" w:eastAsia="zh-CN"/>
        </w:rPr>
        <w:t xml:space="preserve"> 2017; </w:t>
      </w:r>
      <w:r w:rsidRPr="009D7554">
        <w:rPr>
          <w:rFonts w:ascii="Book Antiqua" w:eastAsia="等线" w:hAnsi="Book Antiqua"/>
          <w:b/>
          <w:kern w:val="2"/>
          <w:lang w:val="en-US" w:eastAsia="zh-CN"/>
        </w:rPr>
        <w:t>51</w:t>
      </w:r>
      <w:r w:rsidRPr="009D7554">
        <w:rPr>
          <w:rFonts w:ascii="Book Antiqua" w:eastAsia="等线" w:hAnsi="Book Antiqua"/>
          <w:kern w:val="2"/>
          <w:lang w:val="en-US" w:eastAsia="zh-CN"/>
        </w:rPr>
        <w:t>: 270-276 [PMID: 28959163 DOI: 10.1515/raon-2017-0025]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70 </w:t>
      </w:r>
      <w:r w:rsidRPr="009D7554">
        <w:rPr>
          <w:rFonts w:ascii="Book Antiqua" w:eastAsia="等线" w:hAnsi="Book Antiqua"/>
          <w:b/>
          <w:kern w:val="2"/>
          <w:lang w:val="en-US" w:eastAsia="zh-CN"/>
        </w:rPr>
        <w:t>Lambrecht M</w:t>
      </w:r>
      <w:r w:rsidRPr="009D7554">
        <w:rPr>
          <w:rFonts w:ascii="Book Antiqua" w:eastAsia="等线" w:hAnsi="Book Antiqua"/>
          <w:kern w:val="2"/>
          <w:lang w:val="en-US" w:eastAsia="zh-CN"/>
        </w:rPr>
        <w:t xml:space="preserve">, Deroose C, Roels S, Vandecaveye V, Penninckx F, Sagaert X, van Cutsem E, de Keyzer F, Haustermans K. The use of FDG-PET/CT and diffusion-weighted magnetic resonance imaging for response prediction before, during and after preoperative chemoradiotherapy for rectal cancer. </w:t>
      </w:r>
      <w:r w:rsidRPr="009D7554">
        <w:rPr>
          <w:rFonts w:ascii="Book Antiqua" w:eastAsia="等线" w:hAnsi="Book Antiqua"/>
          <w:i/>
          <w:kern w:val="2"/>
          <w:lang w:val="en-US" w:eastAsia="zh-CN"/>
        </w:rPr>
        <w:t>Acta Oncol</w:t>
      </w:r>
      <w:r w:rsidRPr="009D7554">
        <w:rPr>
          <w:rFonts w:ascii="Book Antiqua" w:eastAsia="等线" w:hAnsi="Book Antiqua"/>
          <w:kern w:val="2"/>
          <w:lang w:val="en-US" w:eastAsia="zh-CN"/>
        </w:rPr>
        <w:t xml:space="preserve"> 2010; </w:t>
      </w:r>
      <w:r w:rsidRPr="009D7554">
        <w:rPr>
          <w:rFonts w:ascii="Book Antiqua" w:eastAsia="等线" w:hAnsi="Book Antiqua"/>
          <w:b/>
          <w:kern w:val="2"/>
          <w:lang w:val="en-US" w:eastAsia="zh-CN"/>
        </w:rPr>
        <w:t>49</w:t>
      </w:r>
      <w:r w:rsidRPr="009D7554">
        <w:rPr>
          <w:rFonts w:ascii="Book Antiqua" w:eastAsia="等线" w:hAnsi="Book Antiqua"/>
          <w:kern w:val="2"/>
          <w:lang w:val="en-US" w:eastAsia="zh-CN"/>
        </w:rPr>
        <w:t>: 956-963 [PMID: 20586658 DOI: 10.3109/0284186X.2010.498439]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71 </w:t>
      </w:r>
      <w:r w:rsidRPr="009D7554">
        <w:rPr>
          <w:rFonts w:ascii="Book Antiqua" w:eastAsia="等线" w:hAnsi="Book Antiqua"/>
          <w:b/>
          <w:kern w:val="2"/>
          <w:lang w:val="en-US" w:eastAsia="zh-CN"/>
        </w:rPr>
        <w:t>Sun YS</w:t>
      </w:r>
      <w:r w:rsidRPr="009D7554">
        <w:rPr>
          <w:rFonts w:ascii="Book Antiqua" w:eastAsia="等线" w:hAnsi="Book Antiqua"/>
          <w:kern w:val="2"/>
          <w:lang w:val="en-US" w:eastAsia="zh-CN"/>
        </w:rPr>
        <w:t xml:space="preserve">, Zhang XP, Tang L, Ji JF, Gu J, Cai Y, Zhang XY. Locally advanced rectal carcinoma treated with preoperative chemotherapy and radiation therapy: preliminary analysis of diffusion-weighted MR imaging for early detection of tumor histopathologic downstaging.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2010; </w:t>
      </w:r>
      <w:r w:rsidRPr="009D7554">
        <w:rPr>
          <w:rFonts w:ascii="Book Antiqua" w:eastAsia="等线" w:hAnsi="Book Antiqua"/>
          <w:b/>
          <w:kern w:val="2"/>
          <w:lang w:val="en-US" w:eastAsia="zh-CN"/>
        </w:rPr>
        <w:t>254</w:t>
      </w:r>
      <w:r w:rsidRPr="009D7554">
        <w:rPr>
          <w:rFonts w:ascii="Book Antiqua" w:eastAsia="等线" w:hAnsi="Book Antiqua"/>
          <w:kern w:val="2"/>
          <w:lang w:val="en-US" w:eastAsia="zh-CN"/>
        </w:rPr>
        <w:t>: 170-178 [PMID: 20019139 DOI: 10.1148/radiol.2541082230]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72 </w:t>
      </w:r>
      <w:r w:rsidRPr="009D7554">
        <w:rPr>
          <w:rFonts w:ascii="Book Antiqua" w:eastAsia="等线" w:hAnsi="Book Antiqua"/>
          <w:b/>
          <w:kern w:val="2"/>
          <w:lang w:val="en-US" w:eastAsia="zh-CN"/>
        </w:rPr>
        <w:t>DeVries AF</w:t>
      </w:r>
      <w:r w:rsidRPr="009D7554">
        <w:rPr>
          <w:rFonts w:ascii="Book Antiqua" w:eastAsia="等线" w:hAnsi="Book Antiqua"/>
          <w:kern w:val="2"/>
          <w:lang w:val="en-US" w:eastAsia="zh-CN"/>
        </w:rPr>
        <w:t xml:space="preserve">, Kremser C, Hein PA, Griebel J, Krezcy A, Ofner D, Pfeiffer KP, Lukas P, Judmaier W. Tumor microcirculation and diffusion predict therapy outcome for primary rectal carcinoma. </w:t>
      </w:r>
      <w:r w:rsidRPr="009D7554">
        <w:rPr>
          <w:rFonts w:ascii="Book Antiqua" w:eastAsia="等线" w:hAnsi="Book Antiqua"/>
          <w:i/>
          <w:kern w:val="2"/>
          <w:lang w:val="en-US" w:eastAsia="zh-CN"/>
        </w:rPr>
        <w:t>Int J Radiat Oncol Biol Phys</w:t>
      </w:r>
      <w:r w:rsidRPr="009D7554">
        <w:rPr>
          <w:rFonts w:ascii="Book Antiqua" w:eastAsia="等线" w:hAnsi="Book Antiqua"/>
          <w:kern w:val="2"/>
          <w:lang w:val="en-US" w:eastAsia="zh-CN"/>
        </w:rPr>
        <w:t xml:space="preserve"> 2003; </w:t>
      </w:r>
      <w:r w:rsidRPr="009D7554">
        <w:rPr>
          <w:rFonts w:ascii="Book Antiqua" w:eastAsia="等线" w:hAnsi="Book Antiqua"/>
          <w:b/>
          <w:kern w:val="2"/>
          <w:lang w:val="en-US" w:eastAsia="zh-CN"/>
        </w:rPr>
        <w:t>56</w:t>
      </w:r>
      <w:r w:rsidRPr="009D7554">
        <w:rPr>
          <w:rFonts w:ascii="Book Antiqua" w:eastAsia="等线" w:hAnsi="Book Antiqua"/>
          <w:kern w:val="2"/>
          <w:lang w:val="en-US" w:eastAsia="zh-CN"/>
        </w:rPr>
        <w:t>: 958-965 [PMID: 12829130]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73 </w:t>
      </w:r>
      <w:r w:rsidRPr="009D7554">
        <w:rPr>
          <w:rFonts w:ascii="Book Antiqua" w:eastAsia="等线" w:hAnsi="Book Antiqua"/>
          <w:b/>
          <w:kern w:val="2"/>
          <w:lang w:val="en-US" w:eastAsia="zh-CN"/>
        </w:rPr>
        <w:t>Bellomi M</w:t>
      </w:r>
      <w:r w:rsidRPr="009D7554">
        <w:rPr>
          <w:rFonts w:ascii="Book Antiqua" w:eastAsia="等线" w:hAnsi="Book Antiqua"/>
          <w:kern w:val="2"/>
          <w:lang w:val="en-US" w:eastAsia="zh-CN"/>
        </w:rPr>
        <w:t xml:space="preserve">, Petralia G, Sonzogni A, Zampino MG, Rocca A. CT perfusion for the monitoring of neoadjuvant chemotherapy and radiation therapy in rectal carcinoma: initial experience.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2007; </w:t>
      </w:r>
      <w:r w:rsidRPr="009D7554">
        <w:rPr>
          <w:rFonts w:ascii="Book Antiqua" w:eastAsia="等线" w:hAnsi="Book Antiqua"/>
          <w:b/>
          <w:kern w:val="2"/>
          <w:lang w:val="en-US" w:eastAsia="zh-CN"/>
        </w:rPr>
        <w:t>244</w:t>
      </w:r>
      <w:r w:rsidRPr="009D7554">
        <w:rPr>
          <w:rFonts w:ascii="Book Antiqua" w:eastAsia="等线" w:hAnsi="Book Antiqua"/>
          <w:kern w:val="2"/>
          <w:lang w:val="en-US" w:eastAsia="zh-CN"/>
        </w:rPr>
        <w:t>: 486-493 [PMID: 17641369 DOI: 10.1148/radiol.2442061189]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74 </w:t>
      </w:r>
      <w:r w:rsidRPr="009D7554">
        <w:rPr>
          <w:rFonts w:ascii="Book Antiqua" w:eastAsia="等线" w:hAnsi="Book Antiqua"/>
          <w:b/>
          <w:kern w:val="2"/>
          <w:lang w:val="en-US" w:eastAsia="zh-CN"/>
        </w:rPr>
        <w:t>Sahani DV</w:t>
      </w:r>
      <w:r w:rsidRPr="009D7554">
        <w:rPr>
          <w:rFonts w:ascii="Book Antiqua" w:eastAsia="等线" w:hAnsi="Book Antiqua"/>
          <w:kern w:val="2"/>
          <w:lang w:val="en-US" w:eastAsia="zh-CN"/>
        </w:rPr>
        <w:t xml:space="preserve">, Kalva SP, Hamberg LM, Hahn PF, Willett CG, Saini S, Mueller PR, Lee TY. Assessing tumor perfusion and treatment response in rectal cancer with multisection CT: initial observations.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2005; </w:t>
      </w:r>
      <w:r w:rsidRPr="009D7554">
        <w:rPr>
          <w:rFonts w:ascii="Book Antiqua" w:eastAsia="等线" w:hAnsi="Book Antiqua"/>
          <w:b/>
          <w:kern w:val="2"/>
          <w:lang w:val="en-US" w:eastAsia="zh-CN"/>
        </w:rPr>
        <w:t>234</w:t>
      </w:r>
      <w:r w:rsidRPr="009D7554">
        <w:rPr>
          <w:rFonts w:ascii="Book Antiqua" w:eastAsia="等线" w:hAnsi="Book Antiqua"/>
          <w:kern w:val="2"/>
          <w:lang w:val="en-US" w:eastAsia="zh-CN"/>
        </w:rPr>
        <w:t>: 785-792 [PMID: 15734934 DOI: 10.1148/radiol.2343040286]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75 </w:t>
      </w:r>
      <w:r w:rsidRPr="009D7554">
        <w:rPr>
          <w:rFonts w:ascii="Book Antiqua" w:eastAsia="等线" w:hAnsi="Book Antiqua"/>
          <w:b/>
          <w:kern w:val="2"/>
          <w:lang w:val="en-US" w:eastAsia="zh-CN"/>
        </w:rPr>
        <w:t>Curvo-Semedo L</w:t>
      </w:r>
      <w:r w:rsidRPr="009D7554">
        <w:rPr>
          <w:rFonts w:ascii="Book Antiqua" w:eastAsia="等线" w:hAnsi="Book Antiqua"/>
          <w:kern w:val="2"/>
          <w:lang w:val="en-US" w:eastAsia="zh-CN"/>
        </w:rPr>
        <w:t xml:space="preserve">, Portilha MA, Ruivo C, Borrego M, Leite JS, Caseiro-Alves F. Usefulness of perfusion CT to assess response to neoadjuvant combined chemoradiotherapy in patients with locally advanced rectal cancer. </w:t>
      </w:r>
      <w:r w:rsidRPr="009D7554">
        <w:rPr>
          <w:rFonts w:ascii="Book Antiqua" w:eastAsia="等线" w:hAnsi="Book Antiqua"/>
          <w:i/>
          <w:kern w:val="2"/>
          <w:lang w:val="en-US" w:eastAsia="zh-CN"/>
        </w:rPr>
        <w:t>Acad Radiol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19</w:t>
      </w:r>
      <w:r w:rsidRPr="009D7554">
        <w:rPr>
          <w:rFonts w:ascii="Book Antiqua" w:eastAsia="等线" w:hAnsi="Book Antiqua"/>
          <w:kern w:val="2"/>
          <w:lang w:val="en-US" w:eastAsia="zh-CN"/>
        </w:rPr>
        <w:t>: 203-213 [PMID: 22130088 DOI: 10.1016/j.acra.2011.10.019]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76 </w:t>
      </w:r>
      <w:r w:rsidRPr="009D7554">
        <w:rPr>
          <w:rFonts w:ascii="Book Antiqua" w:eastAsia="等线" w:hAnsi="Book Antiqua"/>
          <w:b/>
          <w:kern w:val="2"/>
          <w:lang w:val="en-US" w:eastAsia="zh-CN"/>
        </w:rPr>
        <w:t>Hayano K</w:t>
      </w:r>
      <w:r w:rsidRPr="009D7554">
        <w:rPr>
          <w:rFonts w:ascii="Book Antiqua" w:eastAsia="等线" w:hAnsi="Book Antiqua"/>
          <w:kern w:val="2"/>
          <w:lang w:val="en-US" w:eastAsia="zh-CN"/>
        </w:rPr>
        <w:t xml:space="preserve">, Shuto K, Koda K, Yanagawa N, Okazumi S, Matsubara H. Quantitative measurement of blood flow using perfusion CT for assessing clinicopathologic features and prognosis in patients with rectal cancer. </w:t>
      </w:r>
      <w:r w:rsidRPr="009D7554">
        <w:rPr>
          <w:rFonts w:ascii="Book Antiqua" w:eastAsia="等线" w:hAnsi="Book Antiqua"/>
          <w:i/>
          <w:kern w:val="2"/>
          <w:lang w:val="en-US" w:eastAsia="zh-CN"/>
        </w:rPr>
        <w:t>Dis Colon Rectum</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52</w:t>
      </w:r>
      <w:r w:rsidRPr="009D7554">
        <w:rPr>
          <w:rFonts w:ascii="Book Antiqua" w:eastAsia="等线" w:hAnsi="Book Antiqua"/>
          <w:kern w:val="2"/>
          <w:lang w:val="en-US" w:eastAsia="zh-CN"/>
        </w:rPr>
        <w:t>: 1624-1629 [PMID: 19690492 DOI: 10.1007/DCR.0b013e3181afbd79]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77 </w:t>
      </w:r>
      <w:r w:rsidRPr="009D7554">
        <w:rPr>
          <w:rFonts w:ascii="Book Antiqua" w:eastAsia="等线" w:hAnsi="Book Antiqua"/>
          <w:b/>
          <w:kern w:val="2"/>
          <w:lang w:val="en-US" w:eastAsia="zh-CN"/>
        </w:rPr>
        <w:t>Hayano K</w:t>
      </w:r>
      <w:r w:rsidRPr="009D7554">
        <w:rPr>
          <w:rFonts w:ascii="Book Antiqua" w:eastAsia="等线" w:hAnsi="Book Antiqua"/>
          <w:kern w:val="2"/>
          <w:lang w:val="en-US" w:eastAsia="zh-CN"/>
        </w:rPr>
        <w:t xml:space="preserve">, Fujishiro T, Sahani DV, Satoh A, Aoyagi T, Ohira G, Tochigi T, Matsubara H, Shuto K. Computed tomography perfusion imaging as a potential imaging biomarker of colorectal cancer. </w:t>
      </w:r>
      <w:r w:rsidRPr="009D7554">
        <w:rPr>
          <w:rFonts w:ascii="Book Antiqua" w:eastAsia="等线" w:hAnsi="Book Antiqua"/>
          <w:i/>
          <w:kern w:val="2"/>
          <w:lang w:val="en-US" w:eastAsia="zh-CN"/>
        </w:rPr>
        <w:t>World J Gastroenterol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20</w:t>
      </w:r>
      <w:r w:rsidRPr="009D7554">
        <w:rPr>
          <w:rFonts w:ascii="Book Antiqua" w:eastAsia="等线" w:hAnsi="Book Antiqua"/>
          <w:kern w:val="2"/>
          <w:lang w:val="en-US" w:eastAsia="zh-CN"/>
        </w:rPr>
        <w:t>: 17345-17351 [PMID: 25516645 DOI: 10.3748/wjg.v20.i46.17345]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78 </w:t>
      </w:r>
      <w:r w:rsidRPr="009D7554">
        <w:rPr>
          <w:rFonts w:ascii="Book Antiqua" w:eastAsia="等线" w:hAnsi="Book Antiqua"/>
          <w:b/>
          <w:kern w:val="2"/>
          <w:lang w:val="en-US" w:eastAsia="zh-CN"/>
        </w:rPr>
        <w:t>Lim JS</w:t>
      </w:r>
      <w:r w:rsidRPr="009D7554">
        <w:rPr>
          <w:rFonts w:ascii="Book Antiqua" w:eastAsia="等线" w:hAnsi="Book Antiqua"/>
          <w:kern w:val="2"/>
          <w:lang w:val="en-US" w:eastAsia="zh-CN"/>
        </w:rPr>
        <w:t xml:space="preserve">, Kim D, Baek SE, Myoung S, Choi J, Shin SJ, Kim MJ, Kim NK, Suh J, Kim KW, Keum KC. Perfusion MRI for the prediction of treatment response after preoperative chemoradiotherapy in locally advanced rectal cancer. </w:t>
      </w:r>
      <w:r w:rsidRPr="009D7554">
        <w:rPr>
          <w:rFonts w:ascii="Book Antiqua" w:eastAsia="等线" w:hAnsi="Book Antiqua"/>
          <w:i/>
          <w:kern w:val="2"/>
          <w:lang w:val="en-US" w:eastAsia="zh-CN"/>
        </w:rPr>
        <w:t>Eur Radiol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22</w:t>
      </w:r>
      <w:r w:rsidRPr="009D7554">
        <w:rPr>
          <w:rFonts w:ascii="Book Antiqua" w:eastAsia="等线" w:hAnsi="Book Antiqua"/>
          <w:kern w:val="2"/>
          <w:lang w:val="en-US" w:eastAsia="zh-CN"/>
        </w:rPr>
        <w:t>: 1693-1700 [PMID: 22427184 DOI: 10.1007/s00330-012-2416-3]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79 </w:t>
      </w:r>
      <w:r w:rsidRPr="009D7554">
        <w:rPr>
          <w:rFonts w:ascii="Book Antiqua" w:eastAsia="等线" w:hAnsi="Book Antiqua"/>
          <w:b/>
          <w:kern w:val="2"/>
          <w:lang w:val="en-US" w:eastAsia="zh-CN"/>
        </w:rPr>
        <w:t>Tong T</w:t>
      </w:r>
      <w:r w:rsidRPr="009D7554">
        <w:rPr>
          <w:rFonts w:ascii="Book Antiqua" w:eastAsia="等线" w:hAnsi="Book Antiqua"/>
          <w:kern w:val="2"/>
          <w:lang w:val="en-US" w:eastAsia="zh-CN"/>
        </w:rPr>
        <w:t xml:space="preserve">, Sun Y, Gollub MJ, Peng W, Cai S, Zhang Z, Gu Y. Dynamic contrast-enhanced MRI: Use in predicting pathological complete response to neoadjuvant chemoradiation in locally advanced rectal cancer.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42</w:t>
      </w:r>
      <w:r w:rsidRPr="009D7554">
        <w:rPr>
          <w:rFonts w:ascii="Book Antiqua" w:eastAsia="等线" w:hAnsi="Book Antiqua"/>
          <w:kern w:val="2"/>
          <w:lang w:val="en-US" w:eastAsia="zh-CN"/>
        </w:rPr>
        <w:t>: 673-680 [PMID: 25652254 DOI: 10.1002/jmri.24835]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80 </w:t>
      </w:r>
      <w:r w:rsidRPr="009D7554">
        <w:rPr>
          <w:rFonts w:ascii="Book Antiqua" w:eastAsia="等线" w:hAnsi="Book Antiqua"/>
          <w:b/>
          <w:kern w:val="2"/>
          <w:lang w:val="en-US" w:eastAsia="zh-CN"/>
        </w:rPr>
        <w:t>Gollub MJ</w:t>
      </w:r>
      <w:r w:rsidRPr="009D7554">
        <w:rPr>
          <w:rFonts w:ascii="Book Antiqua" w:eastAsia="等线" w:hAnsi="Book Antiqua"/>
          <w:kern w:val="2"/>
          <w:lang w:val="en-US" w:eastAsia="zh-CN"/>
        </w:rPr>
        <w:t xml:space="preserve">, Gultekin DH, Akin O, Do RK, Fuqua JL 3rd, Gonen M, Kuk D, Weiser M, Saltz L, Schrag D, Goodman K, Paty P, Guillem J, Nash GM, Temple L, Shia J, Schwartz LH. Dynamic contrast enhanced-MRI for the detection of pathological complete response to neoadjuvant chemotherapy for locally advanced rectal cancer. </w:t>
      </w:r>
      <w:r w:rsidRPr="009D7554">
        <w:rPr>
          <w:rFonts w:ascii="Book Antiqua" w:eastAsia="等线" w:hAnsi="Book Antiqua"/>
          <w:i/>
          <w:kern w:val="2"/>
          <w:lang w:val="en-US" w:eastAsia="zh-CN"/>
        </w:rPr>
        <w:t>Eur Radiol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22</w:t>
      </w:r>
      <w:r w:rsidRPr="009D7554">
        <w:rPr>
          <w:rFonts w:ascii="Book Antiqua" w:eastAsia="等线" w:hAnsi="Book Antiqua"/>
          <w:kern w:val="2"/>
          <w:lang w:val="en-US" w:eastAsia="zh-CN"/>
        </w:rPr>
        <w:t>: 821-831 [PMID: 22101743 DOI: 10.1007/s00330-011-2321-1]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81 </w:t>
      </w:r>
      <w:r w:rsidRPr="009D7554">
        <w:rPr>
          <w:rFonts w:ascii="Book Antiqua" w:eastAsia="等线" w:hAnsi="Book Antiqua"/>
          <w:b/>
          <w:kern w:val="2"/>
          <w:lang w:val="en-US" w:eastAsia="zh-CN"/>
        </w:rPr>
        <w:t>Willett CG</w:t>
      </w:r>
      <w:r w:rsidRPr="009D7554">
        <w:rPr>
          <w:rFonts w:ascii="Book Antiqua" w:eastAsia="等线" w:hAnsi="Book Antiqua"/>
          <w:kern w:val="2"/>
          <w:lang w:val="en-US" w:eastAsia="zh-CN"/>
        </w:rPr>
        <w:t xml:space="preserve">, Duda DG, di Tomaso E, Boucher Y, Ancukiewicz M, Sahani DV, Lahdenranta J, Chung DC, Fischman AJ, Lauwers GY, Shellito P, Czito BG, Wong TZ, Paulson E, Poleski M, Vujaskovic Z, Bentley R, Chen HX, Clark JW, Jain RK. Efficacy, safety, and biomarkers of neoadjuvant bevacizumab, radiation therapy, and fluorouracil in rectal cancer: a multidisciplinary phase II study. </w:t>
      </w:r>
      <w:r w:rsidRPr="009D7554">
        <w:rPr>
          <w:rFonts w:ascii="Book Antiqua" w:eastAsia="等线" w:hAnsi="Book Antiqua"/>
          <w:i/>
          <w:kern w:val="2"/>
          <w:lang w:val="en-US" w:eastAsia="zh-CN"/>
        </w:rPr>
        <w:t>J Clin Oncol</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27</w:t>
      </w:r>
      <w:r w:rsidRPr="009D7554">
        <w:rPr>
          <w:rFonts w:ascii="Book Antiqua" w:eastAsia="等线" w:hAnsi="Book Antiqua"/>
          <w:kern w:val="2"/>
          <w:lang w:val="en-US" w:eastAsia="zh-CN"/>
        </w:rPr>
        <w:t>: 3020-3026 [PMID: 19470921 DOI: 10.1200/JCO.2008.21.1771]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82 </w:t>
      </w:r>
      <w:r w:rsidRPr="009D7554">
        <w:rPr>
          <w:rFonts w:ascii="Book Antiqua" w:eastAsia="等线" w:hAnsi="Book Antiqua"/>
          <w:b/>
          <w:kern w:val="2"/>
          <w:lang w:val="en-US" w:eastAsia="zh-CN"/>
        </w:rPr>
        <w:t>Janssen MH</w:t>
      </w:r>
      <w:r w:rsidRPr="009D7554">
        <w:rPr>
          <w:rFonts w:ascii="Book Antiqua" w:eastAsia="等线" w:hAnsi="Book Antiqua"/>
          <w:kern w:val="2"/>
          <w:lang w:val="en-US" w:eastAsia="zh-CN"/>
        </w:rPr>
        <w:t xml:space="preserve">, Öllers MC, van Stiphout RG, Riedl RG, van den Bogaard J, Buijsen J, Lambin P, Lammering G. PET-based treatment response evaluation in rectal cancer: prediction and validation. </w:t>
      </w:r>
      <w:r w:rsidRPr="009D7554">
        <w:rPr>
          <w:rFonts w:ascii="Book Antiqua" w:eastAsia="等线" w:hAnsi="Book Antiqua"/>
          <w:i/>
          <w:kern w:val="2"/>
          <w:lang w:val="en-US" w:eastAsia="zh-CN"/>
        </w:rPr>
        <w:t>Int J Radiat Oncol Biol Phys</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82</w:t>
      </w:r>
      <w:r w:rsidRPr="009D7554">
        <w:rPr>
          <w:rFonts w:ascii="Book Antiqua" w:eastAsia="等线" w:hAnsi="Book Antiqua"/>
          <w:kern w:val="2"/>
          <w:lang w:val="en-US" w:eastAsia="zh-CN"/>
        </w:rPr>
        <w:t>: 871-876 [PMID: 21377810 DOI: 10.1016/j.ijrobp.2010.11.038]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83 </w:t>
      </w:r>
      <w:r w:rsidRPr="009D7554">
        <w:rPr>
          <w:rFonts w:ascii="Book Antiqua" w:eastAsia="等线" w:hAnsi="Book Antiqua"/>
          <w:b/>
          <w:kern w:val="2"/>
          <w:lang w:val="en-US" w:eastAsia="zh-CN"/>
        </w:rPr>
        <w:t>Maffione AM</w:t>
      </w:r>
      <w:r w:rsidRPr="009D7554">
        <w:rPr>
          <w:rFonts w:ascii="Book Antiqua" w:eastAsia="等线" w:hAnsi="Book Antiqua"/>
          <w:kern w:val="2"/>
          <w:lang w:val="en-US" w:eastAsia="zh-CN"/>
        </w:rPr>
        <w:t>, Chondrogiannis S, Capirci C, Galeotti F, Fornasiero A, Crepaldi G, Grassetto G, Rampin L, Marzola MC, Rubello D. Early prediction of response by ¹</w:t>
      </w:r>
      <w:r w:rsidRPr="009D7554">
        <w:rPr>
          <w:rFonts w:ascii="Times New Roman" w:eastAsia="等线" w:hAnsi="Times New Roman"/>
          <w:kern w:val="2"/>
          <w:lang w:val="en-US" w:eastAsia="zh-CN"/>
        </w:rPr>
        <w:t>⁸</w:t>
      </w:r>
      <w:r w:rsidRPr="009D7554">
        <w:rPr>
          <w:rFonts w:ascii="Book Antiqua" w:eastAsia="等线" w:hAnsi="Book Antiqua"/>
          <w:kern w:val="2"/>
          <w:lang w:val="en-US" w:eastAsia="zh-CN"/>
        </w:rPr>
        <w:t xml:space="preserve">F-FDG PET/CT during preoperative therapy in locally advanced rectal cancer: a systematic review. </w:t>
      </w:r>
      <w:r w:rsidRPr="009D7554">
        <w:rPr>
          <w:rFonts w:ascii="Book Antiqua" w:eastAsia="等线" w:hAnsi="Book Antiqua"/>
          <w:i/>
          <w:kern w:val="2"/>
          <w:lang w:val="en-US" w:eastAsia="zh-CN"/>
        </w:rPr>
        <w:t>Eur J Surg Oncol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40</w:t>
      </w:r>
      <w:r w:rsidRPr="009D7554">
        <w:rPr>
          <w:rFonts w:ascii="Book Antiqua" w:eastAsia="等线" w:hAnsi="Book Antiqua"/>
          <w:kern w:val="2"/>
          <w:lang w:val="en-US" w:eastAsia="zh-CN"/>
        </w:rPr>
        <w:t>: 1186-1194 [PMID: 25060221 DOI: 10.1016/j.ejso.2014.06.005]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84 </w:t>
      </w:r>
      <w:r w:rsidRPr="009D7554">
        <w:rPr>
          <w:rFonts w:ascii="Book Antiqua" w:eastAsia="等线" w:hAnsi="Book Antiqua"/>
          <w:b/>
          <w:kern w:val="2"/>
          <w:lang w:val="en-US" w:eastAsia="zh-CN"/>
        </w:rPr>
        <w:t>Rosenberg R</w:t>
      </w:r>
      <w:r w:rsidRPr="009D7554">
        <w:rPr>
          <w:rFonts w:ascii="Book Antiqua" w:eastAsia="等线" w:hAnsi="Book Antiqua"/>
          <w:kern w:val="2"/>
          <w:lang w:val="en-US" w:eastAsia="zh-CN"/>
        </w:rPr>
        <w:t xml:space="preserve">, Herrmann K, Gertler R, Künzli B, Essler M, Lordick F, Becker K, Schuster T, Geinitz H, Maak M, Schwaiger M, Siewert JR, Krause B. The predictive value of metabolic response to preoperative radiochemotherapy in locally advanced rectal cancer measured by PET/CT. </w:t>
      </w:r>
      <w:r w:rsidRPr="009D7554">
        <w:rPr>
          <w:rFonts w:ascii="Book Antiqua" w:eastAsia="等线" w:hAnsi="Book Antiqua"/>
          <w:i/>
          <w:kern w:val="2"/>
          <w:lang w:val="en-US" w:eastAsia="zh-CN"/>
        </w:rPr>
        <w:t>Int J Colorectal Dis</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24</w:t>
      </w:r>
      <w:r w:rsidRPr="009D7554">
        <w:rPr>
          <w:rFonts w:ascii="Book Antiqua" w:eastAsia="等线" w:hAnsi="Book Antiqua"/>
          <w:kern w:val="2"/>
          <w:lang w:val="en-US" w:eastAsia="zh-CN"/>
        </w:rPr>
        <w:t>: 191-200 [PMID: 19050900 DOI: 10.1007/s00384-008-0616-8]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85 </w:t>
      </w:r>
      <w:r w:rsidRPr="009D7554">
        <w:rPr>
          <w:rFonts w:ascii="Book Antiqua" w:eastAsia="等线" w:hAnsi="Book Antiqua"/>
          <w:b/>
          <w:kern w:val="2"/>
          <w:lang w:val="en-US" w:eastAsia="zh-CN"/>
        </w:rPr>
        <w:t>Vecchio FM</w:t>
      </w:r>
      <w:r w:rsidRPr="009D7554">
        <w:rPr>
          <w:rFonts w:ascii="Book Antiqua" w:eastAsia="等线" w:hAnsi="Book Antiqua"/>
          <w:kern w:val="2"/>
          <w:lang w:val="en-US" w:eastAsia="zh-CN"/>
        </w:rPr>
        <w:t xml:space="preserve">, Valentini V, Minsky BD, Padula GD, Venkatraman ES, Balducci M, Miccichè F, Ricci R, Morganti AG, Gambacorta MA, Maurizi F, Coco C. The relationship of pathologic tumor regression grade (TRG) and outcomes after preoperative therapy in rectal cancer. </w:t>
      </w:r>
      <w:r w:rsidRPr="009D7554">
        <w:rPr>
          <w:rFonts w:ascii="Book Antiqua" w:eastAsia="等线" w:hAnsi="Book Antiqua"/>
          <w:i/>
          <w:kern w:val="2"/>
          <w:lang w:val="en-US" w:eastAsia="zh-CN"/>
        </w:rPr>
        <w:t>Int J Radiat Oncol Biol Phys</w:t>
      </w:r>
      <w:r w:rsidRPr="009D7554">
        <w:rPr>
          <w:rFonts w:ascii="Book Antiqua" w:eastAsia="等线" w:hAnsi="Book Antiqua"/>
          <w:kern w:val="2"/>
          <w:lang w:val="en-US" w:eastAsia="zh-CN"/>
        </w:rPr>
        <w:t xml:space="preserve"> 2005; </w:t>
      </w:r>
      <w:r w:rsidRPr="009D7554">
        <w:rPr>
          <w:rFonts w:ascii="Book Antiqua" w:eastAsia="等线" w:hAnsi="Book Antiqua"/>
          <w:b/>
          <w:kern w:val="2"/>
          <w:lang w:val="en-US" w:eastAsia="zh-CN"/>
        </w:rPr>
        <w:t>62</w:t>
      </w:r>
      <w:r w:rsidRPr="009D7554">
        <w:rPr>
          <w:rFonts w:ascii="Book Antiqua" w:eastAsia="等线" w:hAnsi="Book Antiqua"/>
          <w:kern w:val="2"/>
          <w:lang w:val="en-US" w:eastAsia="zh-CN"/>
        </w:rPr>
        <w:t>: 752-760 [PMID: 15936556 DOI: 10.1016/j.ijrobp.2004.11.017]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86 </w:t>
      </w:r>
      <w:r w:rsidRPr="009D7554">
        <w:rPr>
          <w:rFonts w:ascii="Book Antiqua" w:eastAsia="等线" w:hAnsi="Book Antiqua"/>
          <w:b/>
          <w:kern w:val="2"/>
          <w:lang w:val="en-US" w:eastAsia="zh-CN"/>
        </w:rPr>
        <w:t>Dworak O</w:t>
      </w:r>
      <w:r w:rsidRPr="009D7554">
        <w:rPr>
          <w:rFonts w:ascii="Book Antiqua" w:eastAsia="等线" w:hAnsi="Book Antiqua"/>
          <w:kern w:val="2"/>
          <w:lang w:val="en-US" w:eastAsia="zh-CN"/>
        </w:rPr>
        <w:t xml:space="preserve">, Keilholz L, Hoffmann A. Pathological features of rectal cancer after preoperative radiochemotherapy. </w:t>
      </w:r>
      <w:r w:rsidRPr="009D7554">
        <w:rPr>
          <w:rFonts w:ascii="Book Antiqua" w:eastAsia="等线" w:hAnsi="Book Antiqua"/>
          <w:i/>
          <w:kern w:val="2"/>
          <w:lang w:val="en-US" w:eastAsia="zh-CN"/>
        </w:rPr>
        <w:t>Int J Colorectal Dis</w:t>
      </w:r>
      <w:r w:rsidRPr="009D7554">
        <w:rPr>
          <w:rFonts w:ascii="Book Antiqua" w:eastAsia="等线" w:hAnsi="Book Antiqua"/>
          <w:kern w:val="2"/>
          <w:lang w:val="en-US" w:eastAsia="zh-CN"/>
        </w:rPr>
        <w:t xml:space="preserve"> 1997; </w:t>
      </w:r>
      <w:r w:rsidRPr="009D7554">
        <w:rPr>
          <w:rFonts w:ascii="Book Antiqua" w:eastAsia="等线" w:hAnsi="Book Antiqua"/>
          <w:b/>
          <w:kern w:val="2"/>
          <w:lang w:val="en-US" w:eastAsia="zh-CN"/>
        </w:rPr>
        <w:t>12</w:t>
      </w:r>
      <w:r w:rsidRPr="009D7554">
        <w:rPr>
          <w:rFonts w:ascii="Book Antiqua" w:eastAsia="等线" w:hAnsi="Book Antiqua"/>
          <w:kern w:val="2"/>
          <w:lang w:val="en-US" w:eastAsia="zh-CN"/>
        </w:rPr>
        <w:t>: 19-23 [PMID: 9112145]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87 </w:t>
      </w:r>
      <w:r w:rsidRPr="009D7554">
        <w:rPr>
          <w:rFonts w:ascii="Book Antiqua" w:eastAsia="等线" w:hAnsi="Book Antiqua"/>
          <w:b/>
          <w:kern w:val="2"/>
          <w:lang w:val="en-US" w:eastAsia="zh-CN"/>
        </w:rPr>
        <w:t>Haberkorn U</w:t>
      </w:r>
      <w:r w:rsidRPr="009D7554">
        <w:rPr>
          <w:rFonts w:ascii="Book Antiqua" w:eastAsia="等线" w:hAnsi="Book Antiqua"/>
          <w:kern w:val="2"/>
          <w:lang w:val="en-US" w:eastAsia="zh-CN"/>
        </w:rPr>
        <w:t xml:space="preserve">, Strauss LG, Dimitrakopoulou A, Engenhart R, Oberdorfer F, Ostertag H, Romahn J, van Kaick G. PET studies of fluorodeoxyglucose metabolism in patients with recurrent colorectal tumors receiving radiotherapy. </w:t>
      </w:r>
      <w:r w:rsidRPr="009D7554">
        <w:rPr>
          <w:rFonts w:ascii="Book Antiqua" w:eastAsia="等线" w:hAnsi="Book Antiqua"/>
          <w:i/>
          <w:kern w:val="2"/>
          <w:lang w:val="en-US" w:eastAsia="zh-CN"/>
        </w:rPr>
        <w:t>J Nucl Med</w:t>
      </w:r>
      <w:r w:rsidRPr="009D7554">
        <w:rPr>
          <w:rFonts w:ascii="Book Antiqua" w:eastAsia="等线" w:hAnsi="Book Antiqua"/>
          <w:kern w:val="2"/>
          <w:lang w:val="en-US" w:eastAsia="zh-CN"/>
        </w:rPr>
        <w:t xml:space="preserve"> 1991; </w:t>
      </w:r>
      <w:r w:rsidRPr="009D7554">
        <w:rPr>
          <w:rFonts w:ascii="Book Antiqua" w:eastAsia="等线" w:hAnsi="Book Antiqua"/>
          <w:b/>
          <w:kern w:val="2"/>
          <w:lang w:val="en-US" w:eastAsia="zh-CN"/>
        </w:rPr>
        <w:t>32</w:t>
      </w:r>
      <w:r w:rsidRPr="009D7554">
        <w:rPr>
          <w:rFonts w:ascii="Book Antiqua" w:eastAsia="等线" w:hAnsi="Book Antiqua"/>
          <w:kern w:val="2"/>
          <w:lang w:val="en-US" w:eastAsia="zh-CN"/>
        </w:rPr>
        <w:t>: 1485-1490 [PMID: 1714497]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88 </w:t>
      </w:r>
      <w:r w:rsidRPr="009D7554">
        <w:rPr>
          <w:rFonts w:ascii="Book Antiqua" w:eastAsia="等线" w:hAnsi="Book Antiqua"/>
          <w:b/>
          <w:kern w:val="2"/>
          <w:lang w:val="en-US" w:eastAsia="zh-CN"/>
        </w:rPr>
        <w:t>Schillaci O</w:t>
      </w:r>
      <w:r w:rsidRPr="009D7554">
        <w:rPr>
          <w:rFonts w:ascii="Book Antiqua" w:eastAsia="等线" w:hAnsi="Book Antiqua"/>
          <w:kern w:val="2"/>
          <w:lang w:val="en-US" w:eastAsia="zh-CN"/>
        </w:rPr>
        <w:t xml:space="preserve">. Use of dual-point fluorodeoxyglucose imaging to enhance sensitivity and specificity. </w:t>
      </w:r>
      <w:r w:rsidRPr="009D7554">
        <w:rPr>
          <w:rFonts w:ascii="Book Antiqua" w:eastAsia="等线" w:hAnsi="Book Antiqua"/>
          <w:i/>
          <w:kern w:val="2"/>
          <w:lang w:val="en-US" w:eastAsia="zh-CN"/>
        </w:rPr>
        <w:t>Semin Nucl Med</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42</w:t>
      </w:r>
      <w:r w:rsidRPr="009D7554">
        <w:rPr>
          <w:rFonts w:ascii="Book Antiqua" w:eastAsia="等线" w:hAnsi="Book Antiqua"/>
          <w:kern w:val="2"/>
          <w:lang w:val="en-US" w:eastAsia="zh-CN"/>
        </w:rPr>
        <w:t>: 267-280 [PMID: 22681676 DOI: 10.1053/j.semnuclmed.2012.02.003]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89 </w:t>
      </w:r>
      <w:r w:rsidRPr="009D7554">
        <w:rPr>
          <w:rFonts w:ascii="Book Antiqua" w:eastAsia="等线" w:hAnsi="Book Antiqua"/>
          <w:b/>
          <w:kern w:val="2"/>
          <w:lang w:val="en-US" w:eastAsia="zh-CN"/>
        </w:rPr>
        <w:t>Yoon HJ</w:t>
      </w:r>
      <w:r w:rsidRPr="009D7554">
        <w:rPr>
          <w:rFonts w:ascii="Book Antiqua" w:eastAsia="等线" w:hAnsi="Book Antiqua"/>
          <w:kern w:val="2"/>
          <w:lang w:val="en-US" w:eastAsia="zh-CN"/>
        </w:rPr>
        <w:t xml:space="preserve">, Kim SK, Kim TS, Im HJ, Lee ES, Kim HC, Park JW, Chang HJ, Choi HS, Kim DY, Oh JH. New application of dual point 18F-FDG PET/CT in the evaluation of neoadjuvant chemoradiation response of locally advanced rectal cancer. </w:t>
      </w:r>
      <w:r w:rsidRPr="009D7554">
        <w:rPr>
          <w:rFonts w:ascii="Book Antiqua" w:eastAsia="等线" w:hAnsi="Book Antiqua"/>
          <w:i/>
          <w:kern w:val="2"/>
          <w:lang w:val="en-US" w:eastAsia="zh-CN"/>
        </w:rPr>
        <w:t>Clin Nucl Med</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38</w:t>
      </w:r>
      <w:r w:rsidRPr="009D7554">
        <w:rPr>
          <w:rFonts w:ascii="Book Antiqua" w:eastAsia="等线" w:hAnsi="Book Antiqua"/>
          <w:kern w:val="2"/>
          <w:lang w:val="en-US" w:eastAsia="zh-CN"/>
        </w:rPr>
        <w:t>: 7-12 [PMID: 23242038 DOI: 10.1097/RLU.0b013e3182639a58]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90 </w:t>
      </w:r>
      <w:r w:rsidRPr="009D7554">
        <w:rPr>
          <w:rFonts w:ascii="Book Antiqua" w:eastAsia="等线" w:hAnsi="Book Antiqua"/>
          <w:b/>
          <w:kern w:val="2"/>
          <w:lang w:val="en-US" w:eastAsia="zh-CN"/>
        </w:rPr>
        <w:t>Chow FC</w:t>
      </w:r>
      <w:r w:rsidRPr="009D7554">
        <w:rPr>
          <w:rFonts w:ascii="Book Antiqua" w:eastAsia="等线" w:hAnsi="Book Antiqua"/>
          <w:kern w:val="2"/>
          <w:lang w:val="en-US" w:eastAsia="zh-CN"/>
        </w:rPr>
        <w:t xml:space="preserve">, Chok KS. Colorectal liver metastases: An update on multidisciplinary approach. </w:t>
      </w:r>
      <w:r w:rsidRPr="009D7554">
        <w:rPr>
          <w:rFonts w:ascii="Book Antiqua" w:eastAsia="等线" w:hAnsi="Book Antiqua"/>
          <w:i/>
          <w:kern w:val="2"/>
          <w:lang w:val="en-US" w:eastAsia="zh-CN"/>
        </w:rPr>
        <w:t>World J Hepatol</w:t>
      </w:r>
      <w:r w:rsidRPr="009D7554">
        <w:rPr>
          <w:rFonts w:ascii="Book Antiqua" w:eastAsia="等线" w:hAnsi="Book Antiqua"/>
          <w:kern w:val="2"/>
          <w:lang w:val="en-US" w:eastAsia="zh-CN"/>
        </w:rPr>
        <w:t xml:space="preserve"> 2019; </w:t>
      </w:r>
      <w:r w:rsidRPr="009D7554">
        <w:rPr>
          <w:rFonts w:ascii="Book Antiqua" w:eastAsia="等线" w:hAnsi="Book Antiqua"/>
          <w:b/>
          <w:kern w:val="2"/>
          <w:lang w:val="en-US" w:eastAsia="zh-CN"/>
        </w:rPr>
        <w:t>11</w:t>
      </w:r>
      <w:r w:rsidRPr="009D7554">
        <w:rPr>
          <w:rFonts w:ascii="Book Antiqua" w:eastAsia="等线" w:hAnsi="Book Antiqua"/>
          <w:kern w:val="2"/>
          <w:lang w:val="en-US" w:eastAsia="zh-CN"/>
        </w:rPr>
        <w:t>: 150-172 [PMID: 30820266 DOI: 10.4254/wjh.v11.i2.150]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91 </w:t>
      </w:r>
      <w:r w:rsidRPr="009D7554">
        <w:rPr>
          <w:rFonts w:ascii="Book Antiqua" w:eastAsia="等线" w:hAnsi="Book Antiqua"/>
          <w:b/>
          <w:kern w:val="2"/>
          <w:lang w:val="en-US" w:eastAsia="zh-CN"/>
        </w:rPr>
        <w:t>Mainenti PP</w:t>
      </w:r>
      <w:r w:rsidRPr="009D7554">
        <w:rPr>
          <w:rFonts w:ascii="Book Antiqua" w:eastAsia="等线" w:hAnsi="Book Antiqua"/>
          <w:kern w:val="2"/>
          <w:lang w:val="en-US" w:eastAsia="zh-CN"/>
        </w:rPr>
        <w:t xml:space="preserve">, Mancini M, Mainolfi C, Camera L, Maurea S, Manchia A, Tanga M, Persico F, Addeo P, D'Antonio D, Speranza A, Bucci L, Persico G, Pace L, Salvatore M. Detection of colo-rectal liver metastases: prospective comparison of contrast enhanced US, multidetector CT, PET/CT, and 1.5 Tesla MR with extracellular and reticulo-endothelial cell specific contrast agents. </w:t>
      </w:r>
      <w:r w:rsidRPr="009D7554">
        <w:rPr>
          <w:rFonts w:ascii="Book Antiqua" w:eastAsia="等线" w:hAnsi="Book Antiqua"/>
          <w:i/>
          <w:kern w:val="2"/>
          <w:lang w:val="en-US" w:eastAsia="zh-CN"/>
        </w:rPr>
        <w:t>Abdom Imaging</w:t>
      </w:r>
      <w:r w:rsidRPr="009D7554">
        <w:rPr>
          <w:rFonts w:ascii="Book Antiqua" w:eastAsia="等线" w:hAnsi="Book Antiqua"/>
          <w:kern w:val="2"/>
          <w:lang w:val="en-US" w:eastAsia="zh-CN"/>
        </w:rPr>
        <w:t xml:space="preserve"> 2010; </w:t>
      </w:r>
      <w:r w:rsidRPr="009D7554">
        <w:rPr>
          <w:rFonts w:ascii="Book Antiqua" w:eastAsia="等线" w:hAnsi="Book Antiqua"/>
          <w:b/>
          <w:kern w:val="2"/>
          <w:lang w:val="en-US" w:eastAsia="zh-CN"/>
        </w:rPr>
        <w:t>35</w:t>
      </w:r>
      <w:r w:rsidRPr="009D7554">
        <w:rPr>
          <w:rFonts w:ascii="Book Antiqua" w:eastAsia="等线" w:hAnsi="Book Antiqua"/>
          <w:kern w:val="2"/>
          <w:lang w:val="en-US" w:eastAsia="zh-CN"/>
        </w:rPr>
        <w:t>: 511-521 [PMID: 19562412 DOI: 10.1007/s00261-009-9555-2]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92 </w:t>
      </w:r>
      <w:r w:rsidRPr="009D7554">
        <w:rPr>
          <w:rFonts w:ascii="Book Antiqua" w:eastAsia="等线" w:hAnsi="Book Antiqua"/>
          <w:b/>
          <w:kern w:val="2"/>
          <w:lang w:val="en-US" w:eastAsia="zh-CN"/>
        </w:rPr>
        <w:t>Mainenti PP</w:t>
      </w:r>
      <w:r w:rsidRPr="009D7554">
        <w:rPr>
          <w:rFonts w:ascii="Book Antiqua" w:eastAsia="等线" w:hAnsi="Book Antiqua"/>
          <w:kern w:val="2"/>
          <w:lang w:val="en-US" w:eastAsia="zh-CN"/>
        </w:rPr>
        <w:t xml:space="preserve">, Romano F, Pizzuti L, Segreto S, Storto G, Mannelli L, Imbriaco M, Camera L, Maurea S. Non-invasive diagnostic imaging of colorectal liver metastases. </w:t>
      </w:r>
      <w:r w:rsidRPr="009D7554">
        <w:rPr>
          <w:rFonts w:ascii="Book Antiqua" w:eastAsia="等线" w:hAnsi="Book Antiqua"/>
          <w:i/>
          <w:kern w:val="2"/>
          <w:lang w:val="en-US" w:eastAsia="zh-CN"/>
        </w:rPr>
        <w:t>World J Radiol</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7</w:t>
      </w:r>
      <w:r w:rsidRPr="009D7554">
        <w:rPr>
          <w:rFonts w:ascii="Book Antiqua" w:eastAsia="等线" w:hAnsi="Book Antiqua"/>
          <w:kern w:val="2"/>
          <w:lang w:val="en-US" w:eastAsia="zh-CN"/>
        </w:rPr>
        <w:t>: 157-169 [PMID: 26217455 DOI: 10.4329/wjr.v7.i7.157]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93 </w:t>
      </w:r>
      <w:r w:rsidRPr="009D7554">
        <w:rPr>
          <w:rFonts w:ascii="Book Antiqua" w:eastAsia="等线" w:hAnsi="Book Antiqua"/>
          <w:b/>
          <w:kern w:val="2"/>
          <w:lang w:val="en-US" w:eastAsia="zh-CN"/>
        </w:rPr>
        <w:t>Koh DM</w:t>
      </w:r>
      <w:r w:rsidRPr="009D7554">
        <w:rPr>
          <w:rFonts w:ascii="Book Antiqua" w:eastAsia="等线" w:hAnsi="Book Antiqua"/>
          <w:kern w:val="2"/>
          <w:lang w:val="en-US" w:eastAsia="zh-CN"/>
        </w:rPr>
        <w:t xml:space="preserve">, Scurr E, Collins D, Kanber B, Norman A, Leach MO, Husband JE. Predicting response of colorectal hepatic metastasis: value of pretreatment apparent diffusion coefficients. </w:t>
      </w:r>
      <w:r w:rsidRPr="009D7554">
        <w:rPr>
          <w:rFonts w:ascii="Book Antiqua" w:eastAsia="等线" w:hAnsi="Book Antiqua"/>
          <w:i/>
          <w:kern w:val="2"/>
          <w:lang w:val="en-US" w:eastAsia="zh-CN"/>
        </w:rPr>
        <w:t>AJR Am J Roentgenol</w:t>
      </w:r>
      <w:r w:rsidRPr="009D7554">
        <w:rPr>
          <w:rFonts w:ascii="Book Antiqua" w:eastAsia="等线" w:hAnsi="Book Antiqua"/>
          <w:kern w:val="2"/>
          <w:lang w:val="en-US" w:eastAsia="zh-CN"/>
        </w:rPr>
        <w:t xml:space="preserve"> 2007; </w:t>
      </w:r>
      <w:r w:rsidRPr="009D7554">
        <w:rPr>
          <w:rFonts w:ascii="Book Antiqua" w:eastAsia="等线" w:hAnsi="Book Antiqua"/>
          <w:b/>
          <w:kern w:val="2"/>
          <w:lang w:val="en-US" w:eastAsia="zh-CN"/>
        </w:rPr>
        <w:t>188</w:t>
      </w:r>
      <w:r w:rsidRPr="009D7554">
        <w:rPr>
          <w:rFonts w:ascii="Book Antiqua" w:eastAsia="等线" w:hAnsi="Book Antiqua"/>
          <w:kern w:val="2"/>
          <w:lang w:val="en-US" w:eastAsia="zh-CN"/>
        </w:rPr>
        <w:t>: 1001-1008 [PMID: 17377036 DOI: 10.2214/AJR.06.0601]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94 </w:t>
      </w:r>
      <w:r w:rsidRPr="009D7554">
        <w:rPr>
          <w:rFonts w:ascii="Book Antiqua" w:eastAsia="等线" w:hAnsi="Book Antiqua"/>
          <w:b/>
          <w:kern w:val="2"/>
          <w:lang w:val="en-US" w:eastAsia="zh-CN"/>
        </w:rPr>
        <w:t>Cui Y</w:t>
      </w:r>
      <w:r w:rsidRPr="009D7554">
        <w:rPr>
          <w:rFonts w:ascii="Book Antiqua" w:eastAsia="等线" w:hAnsi="Book Antiqua"/>
          <w:kern w:val="2"/>
          <w:lang w:val="en-US" w:eastAsia="zh-CN"/>
        </w:rPr>
        <w:t xml:space="preserve">, Zhang XP, Sun YS, Tang L, Shen L. Apparent diffusion coefficient: potential imaging biomarker for prediction and early detection of response to chemotherapy in hepatic metastases.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2008; </w:t>
      </w:r>
      <w:r w:rsidRPr="009D7554">
        <w:rPr>
          <w:rFonts w:ascii="Book Antiqua" w:eastAsia="等线" w:hAnsi="Book Antiqua"/>
          <w:b/>
          <w:kern w:val="2"/>
          <w:lang w:val="en-US" w:eastAsia="zh-CN"/>
        </w:rPr>
        <w:t>248</w:t>
      </w:r>
      <w:r w:rsidRPr="009D7554">
        <w:rPr>
          <w:rFonts w:ascii="Book Antiqua" w:eastAsia="等线" w:hAnsi="Book Antiqua"/>
          <w:kern w:val="2"/>
          <w:lang w:val="en-US" w:eastAsia="zh-CN"/>
        </w:rPr>
        <w:t>: 894-900 [PMID: 18710982 DOI: 10.1148/radiol.2483071407]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95 </w:t>
      </w:r>
      <w:r w:rsidRPr="009D7554">
        <w:rPr>
          <w:rFonts w:ascii="Book Antiqua" w:eastAsia="等线" w:hAnsi="Book Antiqua"/>
          <w:b/>
          <w:kern w:val="2"/>
          <w:lang w:val="en-US" w:eastAsia="zh-CN"/>
        </w:rPr>
        <w:t>Coenegrachts K</w:t>
      </w:r>
      <w:r w:rsidRPr="009D7554">
        <w:rPr>
          <w:rFonts w:ascii="Book Antiqua" w:eastAsia="等线" w:hAnsi="Book Antiqua"/>
          <w:kern w:val="2"/>
          <w:lang w:val="en-US" w:eastAsia="zh-CN"/>
        </w:rPr>
        <w:t xml:space="preserve">, Bols A, Haspeslagh M, Rigauts H. Prediction and monitoring of treatment effect using T1-weighted dynamic contrast-enhanced magnetic resonance imaging in colorectal liver metastases: potential of whole tumour ROI and selective ROI analysis. </w:t>
      </w:r>
      <w:r w:rsidRPr="009D7554">
        <w:rPr>
          <w:rFonts w:ascii="Book Antiqua" w:eastAsia="等线" w:hAnsi="Book Antiqua"/>
          <w:i/>
          <w:kern w:val="2"/>
          <w:lang w:val="en-US" w:eastAsia="zh-CN"/>
        </w:rPr>
        <w:t>Eur J Radiol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81</w:t>
      </w:r>
      <w:r w:rsidRPr="009D7554">
        <w:rPr>
          <w:rFonts w:ascii="Book Antiqua" w:eastAsia="等线" w:hAnsi="Book Antiqua"/>
          <w:kern w:val="2"/>
          <w:lang w:val="en-US" w:eastAsia="zh-CN"/>
        </w:rPr>
        <w:t>: 3870-3876 [PMID: 22944331 DOI: 10.1016/j.ejrad.2012.07.022]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96 </w:t>
      </w:r>
      <w:r w:rsidRPr="009D7554">
        <w:rPr>
          <w:rFonts w:ascii="Book Antiqua" w:eastAsia="等线" w:hAnsi="Book Antiqua"/>
          <w:b/>
          <w:kern w:val="2"/>
          <w:lang w:val="en-US" w:eastAsia="zh-CN"/>
        </w:rPr>
        <w:t>Nishioka Y</w:t>
      </w:r>
      <w:r w:rsidRPr="009D7554">
        <w:rPr>
          <w:rFonts w:ascii="Book Antiqua" w:eastAsia="等线" w:hAnsi="Book Antiqua"/>
          <w:kern w:val="2"/>
          <w:lang w:val="en-US" w:eastAsia="zh-CN"/>
        </w:rPr>
        <w:t xml:space="preserve">, Yoshioka R, Gonoi W, Sugawara T, Yoshida S, Hashimoto M, Shindoh J. Fluorine-18-fluorodeoxyglucose positron emission tomography as an objective substitute for CT morphologic response criteria in patients undergoing chemotherapy for colorectal liver metastases. </w:t>
      </w:r>
      <w:r w:rsidRPr="009D7554">
        <w:rPr>
          <w:rFonts w:ascii="Book Antiqua" w:eastAsia="等线" w:hAnsi="Book Antiqua"/>
          <w:i/>
          <w:kern w:val="2"/>
          <w:lang w:val="en-US" w:eastAsia="zh-CN"/>
        </w:rPr>
        <w:t>Abdom Radiol (NY)</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43</w:t>
      </w:r>
      <w:r w:rsidRPr="009D7554">
        <w:rPr>
          <w:rFonts w:ascii="Book Antiqua" w:eastAsia="等线" w:hAnsi="Book Antiqua"/>
          <w:kern w:val="2"/>
          <w:lang w:val="en-US" w:eastAsia="zh-CN"/>
        </w:rPr>
        <w:t>: 1152-1158 [PMID: 28815337 DOI: 10.1007/s00261-017-1287-0]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97 </w:t>
      </w:r>
      <w:r w:rsidRPr="009D7554">
        <w:rPr>
          <w:rFonts w:ascii="Book Antiqua" w:eastAsia="等线" w:hAnsi="Book Antiqua"/>
          <w:b/>
          <w:kern w:val="2"/>
          <w:lang w:val="en-US" w:eastAsia="zh-CN"/>
        </w:rPr>
        <w:t>Brenner H</w:t>
      </w:r>
      <w:r w:rsidRPr="009D7554">
        <w:rPr>
          <w:rFonts w:ascii="Book Antiqua" w:eastAsia="等线" w:hAnsi="Book Antiqua"/>
          <w:kern w:val="2"/>
          <w:lang w:val="en-US" w:eastAsia="zh-CN"/>
        </w:rPr>
        <w:t xml:space="preserve">, Kloor M, Pox CP. Colorectal cancer. </w:t>
      </w:r>
      <w:r w:rsidRPr="009D7554">
        <w:rPr>
          <w:rFonts w:ascii="Book Antiqua" w:eastAsia="等线" w:hAnsi="Book Antiqua"/>
          <w:i/>
          <w:kern w:val="2"/>
          <w:lang w:val="en-US" w:eastAsia="zh-CN"/>
        </w:rPr>
        <w:t>Lancet</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383</w:t>
      </w:r>
      <w:r w:rsidRPr="009D7554">
        <w:rPr>
          <w:rFonts w:ascii="Book Antiqua" w:eastAsia="等线" w:hAnsi="Book Antiqua"/>
          <w:kern w:val="2"/>
          <w:lang w:val="en-US" w:eastAsia="zh-CN"/>
        </w:rPr>
        <w:t>: 1490-1502 [PMID: 24225001 DOI: 10.1016/S0140-6736(13)61649-9]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98 </w:t>
      </w:r>
      <w:r w:rsidRPr="009D7554">
        <w:rPr>
          <w:rFonts w:ascii="Book Antiqua" w:eastAsia="等线" w:hAnsi="Book Antiqua"/>
          <w:b/>
          <w:kern w:val="2"/>
          <w:lang w:val="en-US" w:eastAsia="zh-CN"/>
        </w:rPr>
        <w:t>Mahar AL</w:t>
      </w:r>
      <w:r w:rsidRPr="009D7554">
        <w:rPr>
          <w:rFonts w:ascii="Book Antiqua" w:eastAsia="等线" w:hAnsi="Book Antiqua"/>
          <w:kern w:val="2"/>
          <w:lang w:val="en-US" w:eastAsia="zh-CN"/>
        </w:rPr>
        <w:t xml:space="preserve">, Compton C, Halabi S, Hess KR, Weiser MR, Groome PA. Personalizing prognosis in colorectal cancer: A systematic review of the quality and nature of clinical prognostic tools for survival outcomes. </w:t>
      </w:r>
      <w:r w:rsidRPr="009D7554">
        <w:rPr>
          <w:rFonts w:ascii="Book Antiqua" w:eastAsia="等线" w:hAnsi="Book Antiqua"/>
          <w:i/>
          <w:kern w:val="2"/>
          <w:lang w:val="en-US" w:eastAsia="zh-CN"/>
        </w:rPr>
        <w:t>J Surg Oncol</w:t>
      </w:r>
      <w:r w:rsidRPr="009D7554">
        <w:rPr>
          <w:rFonts w:ascii="Book Antiqua" w:eastAsia="等线" w:hAnsi="Book Antiqua"/>
          <w:kern w:val="2"/>
          <w:lang w:val="en-US" w:eastAsia="zh-CN"/>
        </w:rPr>
        <w:t xml:space="preserve"> 2017; </w:t>
      </w:r>
      <w:r w:rsidRPr="009D7554">
        <w:rPr>
          <w:rFonts w:ascii="Book Antiqua" w:eastAsia="等线" w:hAnsi="Book Antiqua"/>
          <w:b/>
          <w:kern w:val="2"/>
          <w:lang w:val="en-US" w:eastAsia="zh-CN"/>
        </w:rPr>
        <w:t>116</w:t>
      </w:r>
      <w:r w:rsidRPr="009D7554">
        <w:rPr>
          <w:rFonts w:ascii="Book Antiqua" w:eastAsia="等线" w:hAnsi="Book Antiqua"/>
          <w:kern w:val="2"/>
          <w:lang w:val="en-US" w:eastAsia="zh-CN"/>
        </w:rPr>
        <w:t>: 969-982 [PMID: 28767139 DOI: 10.1002/jso.24774]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99 </w:t>
      </w:r>
      <w:r w:rsidRPr="009D7554">
        <w:rPr>
          <w:rFonts w:ascii="Book Antiqua" w:eastAsia="等线" w:hAnsi="Book Antiqua"/>
          <w:b/>
          <w:kern w:val="2"/>
          <w:lang w:val="en-US" w:eastAsia="zh-CN"/>
        </w:rPr>
        <w:t>Du CZ</w:t>
      </w:r>
      <w:r w:rsidRPr="009D7554">
        <w:rPr>
          <w:rFonts w:ascii="Book Antiqua" w:eastAsia="等线" w:hAnsi="Book Antiqua"/>
          <w:kern w:val="2"/>
          <w:lang w:val="en-US" w:eastAsia="zh-CN"/>
        </w:rPr>
        <w:t xml:space="preserve">, Xue WC, Cai Y, Li M, Gu J. Lymphovascular invasion in rectal cancer following neoadjuvant radiotherapy: a retrospective cohort study. </w:t>
      </w:r>
      <w:r w:rsidRPr="009D7554">
        <w:rPr>
          <w:rFonts w:ascii="Book Antiqua" w:eastAsia="等线" w:hAnsi="Book Antiqua"/>
          <w:i/>
          <w:kern w:val="2"/>
          <w:lang w:val="en-US" w:eastAsia="zh-CN"/>
        </w:rPr>
        <w:t>World J Gastroenterol</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15</w:t>
      </w:r>
      <w:r w:rsidRPr="009D7554">
        <w:rPr>
          <w:rFonts w:ascii="Book Antiqua" w:eastAsia="等线" w:hAnsi="Book Antiqua"/>
          <w:kern w:val="2"/>
          <w:lang w:val="en-US" w:eastAsia="zh-CN"/>
        </w:rPr>
        <w:t>: 3793-3798 [PMID: 19673022 DOI: 10.3748/wjg.15.3793]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100 </w:t>
      </w:r>
      <w:r w:rsidRPr="009D7554">
        <w:rPr>
          <w:rFonts w:ascii="Book Antiqua" w:eastAsia="等线" w:hAnsi="Book Antiqua"/>
          <w:b/>
          <w:kern w:val="2"/>
          <w:lang w:val="en-US" w:eastAsia="zh-CN"/>
        </w:rPr>
        <w:t>Huh JW</w:t>
      </w:r>
      <w:r w:rsidRPr="009D7554">
        <w:rPr>
          <w:rFonts w:ascii="Book Antiqua" w:eastAsia="等线" w:hAnsi="Book Antiqua"/>
          <w:kern w:val="2"/>
          <w:lang w:val="en-US" w:eastAsia="zh-CN"/>
        </w:rPr>
        <w:t xml:space="preserve">, Oh BR, Kim HR, Kim YJ. Preoperative carcinoembryonic antigen level as an independent prognostic factor in potentially curative colon cancer. </w:t>
      </w:r>
      <w:r w:rsidRPr="009D7554">
        <w:rPr>
          <w:rFonts w:ascii="Book Antiqua" w:eastAsia="等线" w:hAnsi="Book Antiqua"/>
          <w:i/>
          <w:kern w:val="2"/>
          <w:lang w:val="en-US" w:eastAsia="zh-CN"/>
        </w:rPr>
        <w:t>J Surg Oncol</w:t>
      </w:r>
      <w:r w:rsidRPr="009D7554">
        <w:rPr>
          <w:rFonts w:ascii="Book Antiqua" w:eastAsia="等线" w:hAnsi="Book Antiqua"/>
          <w:kern w:val="2"/>
          <w:lang w:val="en-US" w:eastAsia="zh-CN"/>
        </w:rPr>
        <w:t xml:space="preserve"> 2010; </w:t>
      </w:r>
      <w:r w:rsidRPr="009D7554">
        <w:rPr>
          <w:rFonts w:ascii="Book Antiqua" w:eastAsia="等线" w:hAnsi="Book Antiqua"/>
          <w:b/>
          <w:kern w:val="2"/>
          <w:lang w:val="en-US" w:eastAsia="zh-CN"/>
        </w:rPr>
        <w:t>101</w:t>
      </w:r>
      <w:r w:rsidRPr="009D7554">
        <w:rPr>
          <w:rFonts w:ascii="Book Antiqua" w:eastAsia="等线" w:hAnsi="Book Antiqua"/>
          <w:kern w:val="2"/>
          <w:lang w:val="en-US" w:eastAsia="zh-CN"/>
        </w:rPr>
        <w:t>: 396-400 [PMID: 20119979 DOI: 10.1002/jso.21495]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101 </w:t>
      </w:r>
      <w:r w:rsidRPr="009D7554">
        <w:rPr>
          <w:rFonts w:ascii="Book Antiqua" w:eastAsia="等线" w:hAnsi="Book Antiqua"/>
          <w:b/>
          <w:kern w:val="2"/>
          <w:lang w:val="en-US" w:eastAsia="zh-CN"/>
        </w:rPr>
        <w:t>Kremser C</w:t>
      </w:r>
      <w:r w:rsidRPr="009D7554">
        <w:rPr>
          <w:rFonts w:ascii="Book Antiqua" w:eastAsia="等线" w:hAnsi="Book Antiqua"/>
          <w:kern w:val="2"/>
          <w:lang w:val="en-US" w:eastAsia="zh-CN"/>
        </w:rPr>
        <w:t xml:space="preserve">, Judmaier W, Hein P, Griebel J, Lukas P, de Vries A. Preliminary results on the influence of chemoradiation on apparent diffusion coefficients of primary rectal carcinoma measured by magnetic resonance imaging. </w:t>
      </w:r>
      <w:r w:rsidRPr="009D7554">
        <w:rPr>
          <w:rFonts w:ascii="Book Antiqua" w:eastAsia="等线" w:hAnsi="Book Antiqua"/>
          <w:i/>
          <w:kern w:val="2"/>
          <w:lang w:val="en-US" w:eastAsia="zh-CN"/>
        </w:rPr>
        <w:t>Strahlenther Onkol</w:t>
      </w:r>
      <w:r w:rsidRPr="009D7554">
        <w:rPr>
          <w:rFonts w:ascii="Book Antiqua" w:eastAsia="等线" w:hAnsi="Book Antiqua"/>
          <w:kern w:val="2"/>
          <w:lang w:val="en-US" w:eastAsia="zh-CN"/>
        </w:rPr>
        <w:t xml:space="preserve"> 2003; </w:t>
      </w:r>
      <w:r w:rsidRPr="009D7554">
        <w:rPr>
          <w:rFonts w:ascii="Book Antiqua" w:eastAsia="等线" w:hAnsi="Book Antiqua"/>
          <w:b/>
          <w:kern w:val="2"/>
          <w:lang w:val="en-US" w:eastAsia="zh-CN"/>
        </w:rPr>
        <w:t>179</w:t>
      </w:r>
      <w:r w:rsidRPr="009D7554">
        <w:rPr>
          <w:rFonts w:ascii="Book Antiqua" w:eastAsia="等线" w:hAnsi="Book Antiqua"/>
          <w:kern w:val="2"/>
          <w:lang w:val="en-US" w:eastAsia="zh-CN"/>
        </w:rPr>
        <w:t>: 641-649 [PMID: 14628131 DOI: 10.1007/s00066-003-1045-9]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102 </w:t>
      </w:r>
      <w:r w:rsidRPr="009D7554">
        <w:rPr>
          <w:rFonts w:ascii="Book Antiqua" w:eastAsia="等线" w:hAnsi="Book Antiqua"/>
          <w:b/>
          <w:kern w:val="2"/>
          <w:lang w:val="en-US" w:eastAsia="zh-CN"/>
        </w:rPr>
        <w:t>Sun Y</w:t>
      </w:r>
      <w:r w:rsidRPr="009D7554">
        <w:rPr>
          <w:rFonts w:ascii="Book Antiqua" w:eastAsia="等线" w:hAnsi="Book Antiqua"/>
          <w:kern w:val="2"/>
          <w:lang w:val="en-US" w:eastAsia="zh-CN"/>
        </w:rPr>
        <w:t xml:space="preserve">, Tong T, Cai S, Bi R, Xin C, Gu Y. Apparent Diffusion Coefficient (ADC) value: a potential imaging biomarker that reflects the biological features of rectal cancer. </w:t>
      </w:r>
      <w:r w:rsidRPr="009D7554">
        <w:rPr>
          <w:rFonts w:ascii="Book Antiqua" w:eastAsia="等线" w:hAnsi="Book Antiqua"/>
          <w:i/>
          <w:kern w:val="2"/>
          <w:lang w:val="en-US" w:eastAsia="zh-CN"/>
        </w:rPr>
        <w:t>PLoS One</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9</w:t>
      </w:r>
      <w:r w:rsidRPr="009D7554">
        <w:rPr>
          <w:rFonts w:ascii="Book Antiqua" w:eastAsia="等线" w:hAnsi="Book Antiqua"/>
          <w:kern w:val="2"/>
          <w:lang w:val="en-US" w:eastAsia="zh-CN"/>
        </w:rPr>
        <w:t>: e109371 [PMID: 25303288 DOI: 10.1371/journal.pone.0109371]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103 </w:t>
      </w:r>
      <w:r w:rsidRPr="009D7554">
        <w:rPr>
          <w:rFonts w:ascii="Book Antiqua" w:eastAsia="等线" w:hAnsi="Book Antiqua"/>
          <w:b/>
          <w:kern w:val="2"/>
          <w:lang w:val="en-US" w:eastAsia="zh-CN"/>
        </w:rPr>
        <w:t>Heijmen L</w:t>
      </w:r>
      <w:r w:rsidRPr="009D7554">
        <w:rPr>
          <w:rFonts w:ascii="Book Antiqua" w:eastAsia="等线" w:hAnsi="Book Antiqua"/>
          <w:kern w:val="2"/>
          <w:lang w:val="en-US" w:eastAsia="zh-CN"/>
        </w:rPr>
        <w:t xml:space="preserve">, ter Voert EE, Oyen WJ, Punt CJ, van Spronsen DJ, Heerschap A, de Geus-Oei LF, van Laarhoven HW. Multimodality imaging to predict response to systemic treatment in patients with advanced colorectal cancer. </w:t>
      </w:r>
      <w:r w:rsidRPr="009D7554">
        <w:rPr>
          <w:rFonts w:ascii="Book Antiqua" w:eastAsia="等线" w:hAnsi="Book Antiqua"/>
          <w:i/>
          <w:kern w:val="2"/>
          <w:lang w:val="en-US" w:eastAsia="zh-CN"/>
        </w:rPr>
        <w:t>PLoS One</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10</w:t>
      </w:r>
      <w:r w:rsidRPr="009D7554">
        <w:rPr>
          <w:rFonts w:ascii="Book Antiqua" w:eastAsia="等线" w:hAnsi="Book Antiqua"/>
          <w:kern w:val="2"/>
          <w:lang w:val="en-US" w:eastAsia="zh-CN"/>
        </w:rPr>
        <w:t>: e0120823 [PMID: 25831053 DOI: 10.1371/journal.pone.0120823]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104 </w:t>
      </w:r>
      <w:r w:rsidRPr="009D7554">
        <w:rPr>
          <w:rFonts w:ascii="Book Antiqua" w:eastAsia="等线" w:hAnsi="Book Antiqua"/>
          <w:b/>
          <w:kern w:val="2"/>
          <w:lang w:val="en-US" w:eastAsia="zh-CN"/>
        </w:rPr>
        <w:t>Goh V</w:t>
      </w:r>
      <w:r w:rsidRPr="009D7554">
        <w:rPr>
          <w:rFonts w:ascii="Book Antiqua" w:eastAsia="等线" w:hAnsi="Book Antiqua"/>
          <w:kern w:val="2"/>
          <w:lang w:val="en-US" w:eastAsia="zh-CN"/>
        </w:rPr>
        <w:t xml:space="preserve">, Halligan S, Wellsted DM, Bartram CI. Can perfusion CT assessment of primary colorectal adenocarcinoma blood flow at staging predict for subsequent metastatic disease? A pilot study. </w:t>
      </w:r>
      <w:r w:rsidRPr="009D7554">
        <w:rPr>
          <w:rFonts w:ascii="Book Antiqua" w:eastAsia="等线" w:hAnsi="Book Antiqua"/>
          <w:i/>
          <w:kern w:val="2"/>
          <w:lang w:val="en-US" w:eastAsia="zh-CN"/>
        </w:rPr>
        <w:t>Eur Radiol</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19</w:t>
      </w:r>
      <w:r w:rsidRPr="009D7554">
        <w:rPr>
          <w:rFonts w:ascii="Book Antiqua" w:eastAsia="等线" w:hAnsi="Book Antiqua"/>
          <w:kern w:val="2"/>
          <w:lang w:val="en-US" w:eastAsia="zh-CN"/>
        </w:rPr>
        <w:t>: 79-89 [PMID: 18704434 DOI: 10.1007/s00330-008-1128-1]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105 </w:t>
      </w:r>
      <w:r w:rsidRPr="009D7554">
        <w:rPr>
          <w:rFonts w:ascii="Book Antiqua" w:eastAsia="等线" w:hAnsi="Book Antiqua"/>
          <w:b/>
          <w:kern w:val="2"/>
          <w:lang w:val="en-US" w:eastAsia="zh-CN"/>
        </w:rPr>
        <w:t>Yu J</w:t>
      </w:r>
      <w:r w:rsidRPr="009D7554">
        <w:rPr>
          <w:rFonts w:ascii="Book Antiqua" w:eastAsia="等线" w:hAnsi="Book Antiqua"/>
          <w:kern w:val="2"/>
          <w:lang w:val="en-US" w:eastAsia="zh-CN"/>
        </w:rPr>
        <w:t xml:space="preserve">, Xu Q, Huang DY, Song JC, Li Y, Xu LL, Shi HB. Prognostic aspects of dynamic contrast-enhanced magnetic resonance imaging in synchronous distant metastatic rectal cancer. </w:t>
      </w:r>
      <w:r w:rsidRPr="009D7554">
        <w:rPr>
          <w:rFonts w:ascii="Book Antiqua" w:eastAsia="等线" w:hAnsi="Book Antiqua"/>
          <w:i/>
          <w:kern w:val="2"/>
          <w:lang w:val="en-US" w:eastAsia="zh-CN"/>
        </w:rPr>
        <w:t>Eur Radiol</w:t>
      </w:r>
      <w:r w:rsidRPr="009D7554">
        <w:rPr>
          <w:rFonts w:ascii="Book Antiqua" w:eastAsia="等线" w:hAnsi="Book Antiqua"/>
          <w:kern w:val="2"/>
          <w:lang w:val="en-US" w:eastAsia="zh-CN"/>
        </w:rPr>
        <w:t xml:space="preserve"> 2017; </w:t>
      </w:r>
      <w:r w:rsidRPr="009D7554">
        <w:rPr>
          <w:rFonts w:ascii="Book Antiqua" w:eastAsia="等线" w:hAnsi="Book Antiqua"/>
          <w:b/>
          <w:kern w:val="2"/>
          <w:lang w:val="en-US" w:eastAsia="zh-CN"/>
        </w:rPr>
        <w:t>27</w:t>
      </w:r>
      <w:r w:rsidRPr="009D7554">
        <w:rPr>
          <w:rFonts w:ascii="Book Antiqua" w:eastAsia="等线" w:hAnsi="Book Antiqua"/>
          <w:kern w:val="2"/>
          <w:lang w:val="en-US" w:eastAsia="zh-CN"/>
        </w:rPr>
        <w:t>: 1840-1847 [PMID: 27595835 DOI: 10.1007/s00330-016-4532-y]</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106 </w:t>
      </w:r>
      <w:r w:rsidRPr="009D7554">
        <w:rPr>
          <w:rFonts w:ascii="Book Antiqua" w:eastAsia="等线" w:hAnsi="Book Antiqua"/>
          <w:b/>
          <w:kern w:val="2"/>
          <w:lang w:val="en-US" w:eastAsia="zh-CN"/>
        </w:rPr>
        <w:t>Hirashima Y</w:t>
      </w:r>
      <w:r w:rsidRPr="009D7554">
        <w:rPr>
          <w:rFonts w:ascii="Book Antiqua" w:eastAsia="等线" w:hAnsi="Book Antiqua"/>
          <w:kern w:val="2"/>
          <w:lang w:val="en-US" w:eastAsia="zh-CN"/>
        </w:rPr>
        <w:t xml:space="preserve">, Yamada Y, Tateishi U, Kato K, Miyake M, Horita Y, Akiyoshi K, Takashima A, Okita N, Takahari D, Nakajima T, Hamaguchi T, Shimada Y, Shirao K. Pharmacokinetic parameters from 3-Tesla DCE-MRI as surrogate biomarkers of antitumor effects of bevacizumab plus FOLFIRI in colorectal cancer with liver metastasis. </w:t>
      </w:r>
      <w:r w:rsidRPr="009D7554">
        <w:rPr>
          <w:rFonts w:ascii="Book Antiqua" w:eastAsia="等线" w:hAnsi="Book Antiqua"/>
          <w:i/>
          <w:kern w:val="2"/>
          <w:lang w:val="en-US" w:eastAsia="zh-CN"/>
        </w:rPr>
        <w:t>Int J Cancer</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130</w:t>
      </w:r>
      <w:r w:rsidRPr="009D7554">
        <w:rPr>
          <w:rFonts w:ascii="Book Antiqua" w:eastAsia="等线" w:hAnsi="Book Antiqua"/>
          <w:kern w:val="2"/>
          <w:lang w:val="en-US" w:eastAsia="zh-CN"/>
        </w:rPr>
        <w:t>: 2359-2365 [PMID: 21780098 DOI: 10.1002/ijc.26282]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107 </w:t>
      </w:r>
      <w:r w:rsidRPr="009D7554">
        <w:rPr>
          <w:rFonts w:ascii="Book Antiqua" w:eastAsia="等线" w:hAnsi="Book Antiqua"/>
          <w:b/>
          <w:kern w:val="2"/>
          <w:lang w:val="en-US" w:eastAsia="zh-CN"/>
        </w:rPr>
        <w:t>Kim YE</w:t>
      </w:r>
      <w:r w:rsidRPr="009D7554">
        <w:rPr>
          <w:rFonts w:ascii="Book Antiqua" w:eastAsia="等线" w:hAnsi="Book Antiqua"/>
          <w:kern w:val="2"/>
          <w:lang w:val="en-US" w:eastAsia="zh-CN"/>
        </w:rPr>
        <w:t xml:space="preserve">, Joo B, Park MS, Shin SJ, Ahn JB, Kim MJ. Dynamic Contrast-Enhanced Magnetic Resonance Imaging as a Surrogate Biomarker for Bevacizumab in Colorectal Cancer Liver Metastasis: A Single-Arm, Exploratory Trial. </w:t>
      </w:r>
      <w:r w:rsidRPr="009D7554">
        <w:rPr>
          <w:rFonts w:ascii="Book Antiqua" w:eastAsia="等线" w:hAnsi="Book Antiqua"/>
          <w:i/>
          <w:kern w:val="2"/>
          <w:lang w:val="en-US" w:eastAsia="zh-CN"/>
        </w:rPr>
        <w:t>Cancer Res Treat</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48</w:t>
      </w:r>
      <w:r w:rsidRPr="009D7554">
        <w:rPr>
          <w:rFonts w:ascii="Book Antiqua" w:eastAsia="等线" w:hAnsi="Book Antiqua"/>
          <w:kern w:val="2"/>
          <w:lang w:val="en-US" w:eastAsia="zh-CN"/>
        </w:rPr>
        <w:t>: 1210-1221 [PMID: 26987390 DOI: 10.4143/crt.2015.374]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108 </w:t>
      </w:r>
      <w:r w:rsidRPr="009D7554">
        <w:rPr>
          <w:rFonts w:ascii="Book Antiqua" w:eastAsia="等线" w:hAnsi="Book Antiqua"/>
          <w:b/>
          <w:kern w:val="2"/>
          <w:lang w:val="en-US" w:eastAsia="zh-CN"/>
        </w:rPr>
        <w:t>De Bruyne S</w:t>
      </w:r>
      <w:r w:rsidRPr="009D7554">
        <w:rPr>
          <w:rFonts w:ascii="Book Antiqua" w:eastAsia="等线" w:hAnsi="Book Antiqua"/>
          <w:kern w:val="2"/>
          <w:lang w:val="en-US" w:eastAsia="zh-CN"/>
        </w:rPr>
        <w:t xml:space="preserve">, Van Damme N, Smeets P, Ferdinande L, Ceelen W, Mertens J, Van de Wiele C, Troisi R, Libbrecht L, Laurent S, Geboes K, Peeters M. Value of DCE-MRI and FDG-PET/CT in the prediction of response to preoperative chemotherapy with bevacizumab for colorectal liver metastases. </w:t>
      </w:r>
      <w:r w:rsidRPr="009D7554">
        <w:rPr>
          <w:rFonts w:ascii="Book Antiqua" w:eastAsia="等线" w:hAnsi="Book Antiqua"/>
          <w:i/>
          <w:kern w:val="2"/>
          <w:lang w:val="en-US" w:eastAsia="zh-CN"/>
        </w:rPr>
        <w:t>Br J Cancer</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106</w:t>
      </w:r>
      <w:r w:rsidRPr="009D7554">
        <w:rPr>
          <w:rFonts w:ascii="Book Antiqua" w:eastAsia="等线" w:hAnsi="Book Antiqua"/>
          <w:kern w:val="2"/>
          <w:lang w:val="en-US" w:eastAsia="zh-CN"/>
        </w:rPr>
        <w:t>: 1926-1933 [PMID: 22596235 DOI: 10.1038/bjc.2012.184]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109 </w:t>
      </w:r>
      <w:r w:rsidRPr="009D7554">
        <w:rPr>
          <w:rFonts w:ascii="Book Antiqua" w:eastAsia="等线" w:hAnsi="Book Antiqua"/>
          <w:b/>
          <w:kern w:val="2"/>
          <w:lang w:val="en-US" w:eastAsia="zh-CN"/>
        </w:rPr>
        <w:t>Avallone A</w:t>
      </w:r>
      <w:r w:rsidRPr="009D7554">
        <w:rPr>
          <w:rFonts w:ascii="Book Antiqua" w:eastAsia="等线" w:hAnsi="Book Antiqua"/>
          <w:kern w:val="2"/>
          <w:lang w:val="en-US" w:eastAsia="zh-CN"/>
        </w:rPr>
        <w:t xml:space="preserve">, Aloj L, Caracò C, Delrio P, Pecori B, Tatangelo F, Scott N, Casaretti R, Di Gennaro F, Montano M, Silvestro L, Budillon A, Lastoria S. Early FDG PET response assessment of preoperative radiochemotherapy in locally advanced rectal cancer: correlation with long-term outcome. </w:t>
      </w:r>
      <w:r w:rsidRPr="009D7554">
        <w:rPr>
          <w:rFonts w:ascii="Book Antiqua" w:eastAsia="等线" w:hAnsi="Book Antiqua"/>
          <w:i/>
          <w:kern w:val="2"/>
          <w:lang w:val="en-US" w:eastAsia="zh-CN"/>
        </w:rPr>
        <w:t>Eur J Nucl Med Mol Imaging</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39</w:t>
      </w:r>
      <w:r w:rsidRPr="009D7554">
        <w:rPr>
          <w:rFonts w:ascii="Book Antiqua" w:eastAsia="等线" w:hAnsi="Book Antiqua"/>
          <w:kern w:val="2"/>
          <w:lang w:val="en-US" w:eastAsia="zh-CN"/>
        </w:rPr>
        <w:t>: 1848-1857 [PMID: 23053320 DOI: 10.1007/s00259-012-2229-2]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110 </w:t>
      </w:r>
      <w:r w:rsidRPr="009D7554">
        <w:rPr>
          <w:rFonts w:ascii="Book Antiqua" w:eastAsia="等线" w:hAnsi="Book Antiqua"/>
          <w:b/>
          <w:kern w:val="2"/>
          <w:lang w:val="en-US" w:eastAsia="zh-CN"/>
        </w:rPr>
        <w:t>Muralidharan V</w:t>
      </w:r>
      <w:r w:rsidRPr="009D7554">
        <w:rPr>
          <w:rFonts w:ascii="Book Antiqua" w:eastAsia="等线" w:hAnsi="Book Antiqua"/>
          <w:kern w:val="2"/>
          <w:lang w:val="en-US" w:eastAsia="zh-CN"/>
        </w:rPr>
        <w:t xml:space="preserve">, Kwok M, Lee ST, Lau L, Scott AM, Christophi C. Prognostic ability of 18F-FDG PET/CT in the assessment of colorectal liver metastases. </w:t>
      </w:r>
      <w:r w:rsidRPr="009D7554">
        <w:rPr>
          <w:rFonts w:ascii="Book Antiqua" w:eastAsia="等线" w:hAnsi="Book Antiqua"/>
          <w:i/>
          <w:kern w:val="2"/>
          <w:lang w:val="en-US" w:eastAsia="zh-CN"/>
        </w:rPr>
        <w:t>J Nucl Med</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53</w:t>
      </w:r>
      <w:r w:rsidRPr="009D7554">
        <w:rPr>
          <w:rFonts w:ascii="Book Antiqua" w:eastAsia="等线" w:hAnsi="Book Antiqua"/>
          <w:kern w:val="2"/>
          <w:lang w:val="en-US" w:eastAsia="zh-CN"/>
        </w:rPr>
        <w:t>: 1345-1351 [PMID: 22797376 DOI: 10.2967/jnumed.112.102749]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111 </w:t>
      </w:r>
      <w:r w:rsidRPr="009D7554">
        <w:rPr>
          <w:rFonts w:ascii="Book Antiqua" w:eastAsia="等线" w:hAnsi="Book Antiqua"/>
          <w:b/>
          <w:kern w:val="2"/>
          <w:lang w:val="en-US" w:eastAsia="zh-CN"/>
        </w:rPr>
        <w:t>Lastoria S</w:t>
      </w:r>
      <w:r w:rsidRPr="009D7554">
        <w:rPr>
          <w:rFonts w:ascii="Book Antiqua" w:eastAsia="等线" w:hAnsi="Book Antiqua"/>
          <w:kern w:val="2"/>
          <w:lang w:val="en-US" w:eastAsia="zh-CN"/>
        </w:rPr>
        <w:t xml:space="preserve">, Piccirillo MC, Caracò C, Nasti G, Aloj L, Arrichiello C, de Lutio di Castelguidone E, Tatangelo F, Ottaiano A, Iaffaioli RV, Izzo F, Romano G, Giordano P, Signoriello S, Gallo C, Perrone F. Early PET/CT scan is more effective than RECIST in predicting outcome of patients with liver metastases from colorectal cancer treated with preoperative chemotherapy plus bevacizumab. </w:t>
      </w:r>
      <w:r w:rsidRPr="009D7554">
        <w:rPr>
          <w:rFonts w:ascii="Book Antiqua" w:eastAsia="等线" w:hAnsi="Book Antiqua"/>
          <w:i/>
          <w:kern w:val="2"/>
          <w:lang w:val="en-US" w:eastAsia="zh-CN"/>
        </w:rPr>
        <w:t>J Nucl Med</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54</w:t>
      </w:r>
      <w:r w:rsidRPr="009D7554">
        <w:rPr>
          <w:rFonts w:ascii="Book Antiqua" w:eastAsia="等线" w:hAnsi="Book Antiqua"/>
          <w:kern w:val="2"/>
          <w:lang w:val="en-US" w:eastAsia="zh-CN"/>
        </w:rPr>
        <w:t>: 2062-2069 [PMID: 24136935 DOI: 10.2967/jnumed.113.119909]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112 </w:t>
      </w:r>
      <w:r w:rsidRPr="009D7554">
        <w:rPr>
          <w:rFonts w:ascii="Book Antiqua" w:eastAsia="等线" w:hAnsi="Book Antiqua"/>
          <w:b/>
          <w:kern w:val="2"/>
          <w:lang w:val="en-US" w:eastAsia="zh-CN"/>
        </w:rPr>
        <w:t>Lau LF</w:t>
      </w:r>
      <w:r w:rsidRPr="009D7554">
        <w:rPr>
          <w:rFonts w:ascii="Book Antiqua" w:eastAsia="等线" w:hAnsi="Book Antiqua"/>
          <w:kern w:val="2"/>
          <w:lang w:val="en-US" w:eastAsia="zh-CN"/>
        </w:rPr>
        <w:t xml:space="preserve">, Williams DS, Lee ST, Scott AM, Christophi C, Muralidharan V. Metabolic response to preoperative chemotherapy predicts prognosis for patients undergoing surgical resection of colorectal cancer metastatic to the liver. </w:t>
      </w:r>
      <w:r w:rsidRPr="009D7554">
        <w:rPr>
          <w:rFonts w:ascii="Book Antiqua" w:eastAsia="等线" w:hAnsi="Book Antiqua"/>
          <w:i/>
          <w:kern w:val="2"/>
          <w:lang w:val="en-US" w:eastAsia="zh-CN"/>
        </w:rPr>
        <w:t>Ann Surg Oncol</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21</w:t>
      </w:r>
      <w:r w:rsidRPr="009D7554">
        <w:rPr>
          <w:rFonts w:ascii="Book Antiqua" w:eastAsia="等线" w:hAnsi="Book Antiqua"/>
          <w:kern w:val="2"/>
          <w:lang w:val="en-US" w:eastAsia="zh-CN"/>
        </w:rPr>
        <w:t>: 2420-2428 [PMID: 24595797 DOI: 10.1245/s10434-014-3590-0]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113 </w:t>
      </w:r>
      <w:r w:rsidRPr="009D7554">
        <w:rPr>
          <w:rFonts w:ascii="Book Antiqua" w:eastAsia="等线" w:hAnsi="Book Antiqua"/>
          <w:b/>
          <w:kern w:val="2"/>
          <w:lang w:val="en-US" w:eastAsia="zh-CN"/>
        </w:rPr>
        <w:t>Gulec SA</w:t>
      </w:r>
      <w:r w:rsidRPr="009D7554">
        <w:rPr>
          <w:rFonts w:ascii="Book Antiqua" w:eastAsia="等线" w:hAnsi="Book Antiqua"/>
          <w:kern w:val="2"/>
          <w:lang w:val="en-US" w:eastAsia="zh-CN"/>
        </w:rPr>
        <w:t xml:space="preserve">, Suthar RR, Barot TC, Pennington K. The prognostic value of functional tumor volume and total lesion glycolysis in patients with colorectal cancer liver metastases undergoing 90Y selective internal radiation therapy plus chemotherapy. </w:t>
      </w:r>
      <w:r w:rsidRPr="009D7554">
        <w:rPr>
          <w:rFonts w:ascii="Book Antiqua" w:eastAsia="等线" w:hAnsi="Book Antiqua"/>
          <w:i/>
          <w:kern w:val="2"/>
          <w:lang w:val="en-US" w:eastAsia="zh-CN"/>
        </w:rPr>
        <w:t>Eur J Nucl Med Mol Imaging</w:t>
      </w:r>
      <w:r w:rsidRPr="009D7554">
        <w:rPr>
          <w:rFonts w:ascii="Book Antiqua" w:eastAsia="等线" w:hAnsi="Book Antiqua"/>
          <w:kern w:val="2"/>
          <w:lang w:val="en-US" w:eastAsia="zh-CN"/>
        </w:rPr>
        <w:t xml:space="preserve"> 2011; </w:t>
      </w:r>
      <w:r w:rsidRPr="009D7554">
        <w:rPr>
          <w:rFonts w:ascii="Book Antiqua" w:eastAsia="等线" w:hAnsi="Book Antiqua"/>
          <w:b/>
          <w:kern w:val="2"/>
          <w:lang w:val="en-US" w:eastAsia="zh-CN"/>
        </w:rPr>
        <w:t>38</w:t>
      </w:r>
      <w:r w:rsidRPr="009D7554">
        <w:rPr>
          <w:rFonts w:ascii="Book Antiqua" w:eastAsia="等线" w:hAnsi="Book Antiqua"/>
          <w:kern w:val="2"/>
          <w:lang w:val="en-US" w:eastAsia="zh-CN"/>
        </w:rPr>
        <w:t>: 1289-1295 [PMID: 21461737 DOI: 10.1007/s00259-011-1758-4]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114 </w:t>
      </w:r>
      <w:r w:rsidRPr="009D7554">
        <w:rPr>
          <w:rFonts w:ascii="Book Antiqua" w:eastAsia="等线" w:hAnsi="Book Antiqua"/>
          <w:b/>
          <w:kern w:val="2"/>
          <w:lang w:val="en-US" w:eastAsia="zh-CN"/>
        </w:rPr>
        <w:t>Giacomobono S</w:t>
      </w:r>
      <w:r w:rsidRPr="009D7554">
        <w:rPr>
          <w:rFonts w:ascii="Book Antiqua" w:eastAsia="等线" w:hAnsi="Book Antiqua"/>
          <w:kern w:val="2"/>
          <w:lang w:val="en-US" w:eastAsia="zh-CN"/>
        </w:rPr>
        <w:t xml:space="preserve">, Gallicchio R, Capacchione D, Nardelli A, Gattozzi D, Lettini G, Molinari L, Mainenti P, Cammarota A, Storto G. F-18 FDG PET/CT in the assessment of patients with unexplained CEA rise after surgical curative resection for colorectal cancer. </w:t>
      </w:r>
      <w:r w:rsidRPr="009D7554">
        <w:rPr>
          <w:rFonts w:ascii="Book Antiqua" w:eastAsia="等线" w:hAnsi="Book Antiqua"/>
          <w:i/>
          <w:kern w:val="2"/>
          <w:lang w:val="en-US" w:eastAsia="zh-CN"/>
        </w:rPr>
        <w:t>Int J Colorectal Dis</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28</w:t>
      </w:r>
      <w:r w:rsidRPr="009D7554">
        <w:rPr>
          <w:rFonts w:ascii="Book Antiqua" w:eastAsia="等线" w:hAnsi="Book Antiqua"/>
          <w:kern w:val="2"/>
          <w:lang w:val="en-US" w:eastAsia="zh-CN"/>
        </w:rPr>
        <w:t>: 1699-1705 [PMID: 23846517 DOI: 10.1007/s00384-013-1747-0]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115 </w:t>
      </w:r>
      <w:r w:rsidRPr="009D7554">
        <w:rPr>
          <w:rFonts w:ascii="Book Antiqua" w:eastAsia="等线" w:hAnsi="Book Antiqua"/>
          <w:b/>
          <w:kern w:val="2"/>
          <w:lang w:val="en-US" w:eastAsia="zh-CN"/>
        </w:rPr>
        <w:t>Marcus C</w:t>
      </w:r>
      <w:r w:rsidRPr="009D7554">
        <w:rPr>
          <w:rFonts w:ascii="Book Antiqua" w:eastAsia="等线" w:hAnsi="Book Antiqua"/>
          <w:kern w:val="2"/>
          <w:lang w:val="en-US" w:eastAsia="zh-CN"/>
        </w:rPr>
        <w:t xml:space="preserve">, Wray R, Taghipour M, Marashdeh W, Ahn SJ, Mena E, Subramaniam RM. JOURNAL CLUB: Value of Quantitative FDG PET/CT Volumetric Biomarkers in Recurrent Colorectal Cancer Patient Survival. </w:t>
      </w:r>
      <w:r w:rsidRPr="009D7554">
        <w:rPr>
          <w:rFonts w:ascii="Book Antiqua" w:eastAsia="等线" w:hAnsi="Book Antiqua"/>
          <w:i/>
          <w:kern w:val="2"/>
          <w:lang w:val="en-US" w:eastAsia="zh-CN"/>
        </w:rPr>
        <w:t>AJR Am J Roentgenol</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207</w:t>
      </w:r>
      <w:r w:rsidRPr="009D7554">
        <w:rPr>
          <w:rFonts w:ascii="Book Antiqua" w:eastAsia="等线" w:hAnsi="Book Antiqua"/>
          <w:kern w:val="2"/>
          <w:lang w:val="en-US" w:eastAsia="zh-CN"/>
        </w:rPr>
        <w:t>: 257-265 [PMID: 27447341 DOI: 10.2214/AJR.15.15806]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116 </w:t>
      </w:r>
      <w:r w:rsidRPr="009D7554">
        <w:rPr>
          <w:rFonts w:ascii="Book Antiqua" w:eastAsia="等线" w:hAnsi="Book Antiqua"/>
          <w:b/>
          <w:kern w:val="2"/>
          <w:lang w:val="en-US" w:eastAsia="zh-CN"/>
        </w:rPr>
        <w:t>Ogawa S</w:t>
      </w:r>
      <w:r w:rsidRPr="009D7554">
        <w:rPr>
          <w:rFonts w:ascii="Book Antiqua" w:eastAsia="等线" w:hAnsi="Book Antiqua"/>
          <w:kern w:val="2"/>
          <w:lang w:val="en-US" w:eastAsia="zh-CN"/>
        </w:rPr>
        <w:t xml:space="preserve">, Lee TM, Nayak AS, Glynn P. Oxygenation-sensitive contrast in magnetic resonance image of rodent brain at high magnetic fields. </w:t>
      </w:r>
      <w:r w:rsidRPr="009D7554">
        <w:rPr>
          <w:rFonts w:ascii="Book Antiqua" w:eastAsia="等线" w:hAnsi="Book Antiqua"/>
          <w:i/>
          <w:kern w:val="2"/>
          <w:lang w:val="en-US" w:eastAsia="zh-CN"/>
        </w:rPr>
        <w:t>Magn Reson Med</w:t>
      </w:r>
      <w:r w:rsidRPr="009D7554">
        <w:rPr>
          <w:rFonts w:ascii="Book Antiqua" w:eastAsia="等线" w:hAnsi="Book Antiqua"/>
          <w:kern w:val="2"/>
          <w:lang w:val="en-US" w:eastAsia="zh-CN"/>
        </w:rPr>
        <w:t xml:space="preserve"> 1990; </w:t>
      </w:r>
      <w:r w:rsidRPr="009D7554">
        <w:rPr>
          <w:rFonts w:ascii="Book Antiqua" w:eastAsia="等线" w:hAnsi="Book Antiqua"/>
          <w:b/>
          <w:kern w:val="2"/>
          <w:lang w:val="en-US" w:eastAsia="zh-CN"/>
        </w:rPr>
        <w:t>14</w:t>
      </w:r>
      <w:r w:rsidRPr="009D7554">
        <w:rPr>
          <w:rFonts w:ascii="Book Antiqua" w:eastAsia="等线" w:hAnsi="Book Antiqua"/>
          <w:kern w:val="2"/>
          <w:lang w:val="en-US" w:eastAsia="zh-CN"/>
        </w:rPr>
        <w:t>: 68-78 [PMID: 2161986]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117 </w:t>
      </w:r>
      <w:r w:rsidRPr="009D7554">
        <w:rPr>
          <w:rFonts w:ascii="Book Antiqua" w:eastAsia="等线" w:hAnsi="Book Antiqua"/>
          <w:b/>
          <w:kern w:val="2"/>
          <w:lang w:val="en-US" w:eastAsia="zh-CN"/>
        </w:rPr>
        <w:t>Gonçalves MR</w:t>
      </w:r>
      <w:r w:rsidRPr="009D7554">
        <w:rPr>
          <w:rFonts w:ascii="Book Antiqua" w:eastAsia="等线" w:hAnsi="Book Antiqua"/>
          <w:kern w:val="2"/>
          <w:lang w:val="en-US" w:eastAsia="zh-CN"/>
        </w:rPr>
        <w:t xml:space="preserve">, Johnson SP, Ramasawmy R, Pedley RB, Lythgoe MF, Walker-Samuel S. Decomposition of spontaneous fluctuations in tumour oxygenation using BOLD MRI and independent component analysis. </w:t>
      </w:r>
      <w:r w:rsidRPr="009D7554">
        <w:rPr>
          <w:rFonts w:ascii="Book Antiqua" w:eastAsia="等线" w:hAnsi="Book Antiqua"/>
          <w:i/>
          <w:kern w:val="2"/>
          <w:lang w:val="en-US" w:eastAsia="zh-CN"/>
        </w:rPr>
        <w:t>Br J Cancer</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113</w:t>
      </w:r>
      <w:r w:rsidRPr="009D7554">
        <w:rPr>
          <w:rFonts w:ascii="Book Antiqua" w:eastAsia="等线" w:hAnsi="Book Antiqua"/>
          <w:kern w:val="2"/>
          <w:lang w:val="en-US" w:eastAsia="zh-CN"/>
        </w:rPr>
        <w:t>: 1168-1177 [PMID: 26484634 DOI: 10.1038/bjc.2015.270]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118 </w:t>
      </w:r>
      <w:r w:rsidRPr="009D7554">
        <w:rPr>
          <w:rFonts w:ascii="Book Antiqua" w:eastAsia="等线" w:hAnsi="Book Antiqua"/>
          <w:b/>
          <w:kern w:val="2"/>
          <w:lang w:val="en-US" w:eastAsia="zh-CN"/>
        </w:rPr>
        <w:t>Chavhan GB</w:t>
      </w:r>
      <w:r w:rsidRPr="009D7554">
        <w:rPr>
          <w:rFonts w:ascii="Book Antiqua" w:eastAsia="等线" w:hAnsi="Book Antiqua"/>
          <w:kern w:val="2"/>
          <w:lang w:val="en-US" w:eastAsia="zh-CN"/>
        </w:rPr>
        <w:t xml:space="preserve">, Babyn PS, Thomas B, Shroff MM, Haacke EM. Principles, techniques, and applications of T2*-based MR imaging and its special applications. </w:t>
      </w:r>
      <w:r w:rsidRPr="009D7554">
        <w:rPr>
          <w:rFonts w:ascii="Book Antiqua" w:eastAsia="等线" w:hAnsi="Book Antiqua"/>
          <w:i/>
          <w:kern w:val="2"/>
          <w:lang w:val="en-US" w:eastAsia="zh-CN"/>
        </w:rPr>
        <w:t>Radiographics</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29</w:t>
      </w:r>
      <w:r w:rsidRPr="009D7554">
        <w:rPr>
          <w:rFonts w:ascii="Book Antiqua" w:eastAsia="等线" w:hAnsi="Book Antiqua"/>
          <w:kern w:val="2"/>
          <w:lang w:val="en-US" w:eastAsia="zh-CN"/>
        </w:rPr>
        <w:t>: 1433-1449 [PMID: 19755604 DOI: 10.1148/rg.295095034]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119 </w:t>
      </w:r>
      <w:r w:rsidRPr="009D7554">
        <w:rPr>
          <w:rFonts w:ascii="Book Antiqua" w:eastAsia="等线" w:hAnsi="Book Antiqua"/>
          <w:b/>
          <w:kern w:val="2"/>
          <w:lang w:val="en-US" w:eastAsia="zh-CN"/>
        </w:rPr>
        <w:t>Padhani AR</w:t>
      </w:r>
      <w:r w:rsidRPr="009D7554">
        <w:rPr>
          <w:rFonts w:ascii="Book Antiqua" w:eastAsia="等线" w:hAnsi="Book Antiqua"/>
          <w:kern w:val="2"/>
          <w:lang w:val="en-US" w:eastAsia="zh-CN"/>
        </w:rPr>
        <w:t xml:space="preserve">, Krohn KA, Lewis JS, Alber M. Imaging oxygenation of human tumours. </w:t>
      </w:r>
      <w:r w:rsidRPr="009D7554">
        <w:rPr>
          <w:rFonts w:ascii="Book Antiqua" w:eastAsia="等线" w:hAnsi="Book Antiqua"/>
          <w:i/>
          <w:kern w:val="2"/>
          <w:lang w:val="en-US" w:eastAsia="zh-CN"/>
        </w:rPr>
        <w:t>Eur Radiol</w:t>
      </w:r>
      <w:r w:rsidRPr="009D7554">
        <w:rPr>
          <w:rFonts w:ascii="Book Antiqua" w:eastAsia="等线" w:hAnsi="Book Antiqua"/>
          <w:kern w:val="2"/>
          <w:lang w:val="en-US" w:eastAsia="zh-CN"/>
        </w:rPr>
        <w:t xml:space="preserve"> 2007; </w:t>
      </w:r>
      <w:r w:rsidRPr="009D7554">
        <w:rPr>
          <w:rFonts w:ascii="Book Antiqua" w:eastAsia="等线" w:hAnsi="Book Antiqua"/>
          <w:b/>
          <w:kern w:val="2"/>
          <w:lang w:val="en-US" w:eastAsia="zh-CN"/>
        </w:rPr>
        <w:t>17</w:t>
      </w:r>
      <w:r w:rsidRPr="009D7554">
        <w:rPr>
          <w:rFonts w:ascii="Book Antiqua" w:eastAsia="等线" w:hAnsi="Book Antiqua"/>
          <w:kern w:val="2"/>
          <w:lang w:val="en-US" w:eastAsia="zh-CN"/>
        </w:rPr>
        <w:t>: 861-872 [PMID: 17043737 DOI: 10.1007/s00330-006-0431-y]</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120 </w:t>
      </w:r>
      <w:r w:rsidRPr="009D7554">
        <w:rPr>
          <w:rFonts w:ascii="Book Antiqua" w:eastAsia="等线" w:hAnsi="Book Antiqua"/>
          <w:b/>
          <w:kern w:val="2"/>
          <w:lang w:val="en-US" w:eastAsia="zh-CN"/>
        </w:rPr>
        <w:t>Kim MJ</w:t>
      </w:r>
      <w:r w:rsidRPr="009D7554">
        <w:rPr>
          <w:rFonts w:ascii="Book Antiqua" w:eastAsia="等线" w:hAnsi="Book Antiqua"/>
          <w:kern w:val="2"/>
          <w:lang w:val="en-US" w:eastAsia="zh-CN"/>
        </w:rPr>
        <w:t xml:space="preserve">, Lee SJ, Lee JH, Kim SH, Chun HK, Kim SH, Lim HK, Yun SH. Detection of rectal cancer and response to concurrent chemoradiotherapy by proton magnetic resonance spectroscopy. </w:t>
      </w:r>
      <w:r w:rsidRPr="009D7554">
        <w:rPr>
          <w:rFonts w:ascii="Book Antiqua" w:eastAsia="等线" w:hAnsi="Book Antiqua"/>
          <w:i/>
          <w:kern w:val="2"/>
          <w:lang w:val="en-US" w:eastAsia="zh-CN"/>
        </w:rPr>
        <w:t>Magn Reson Imaging</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30</w:t>
      </w:r>
      <w:r w:rsidRPr="009D7554">
        <w:rPr>
          <w:rFonts w:ascii="Book Antiqua" w:eastAsia="等线" w:hAnsi="Book Antiqua"/>
          <w:kern w:val="2"/>
          <w:lang w:val="en-US" w:eastAsia="zh-CN"/>
        </w:rPr>
        <w:t>: 848-853 [PMID: 22503087 DOI: 10.1016/j.mri.2012.02.013]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121 </w:t>
      </w:r>
      <w:r w:rsidRPr="009D7554">
        <w:rPr>
          <w:rFonts w:ascii="Book Antiqua" w:eastAsia="等线" w:hAnsi="Book Antiqua"/>
          <w:b/>
          <w:kern w:val="2"/>
          <w:lang w:val="en-US" w:eastAsia="zh-CN"/>
        </w:rPr>
        <w:t>Wang H</w:t>
      </w:r>
      <w:r w:rsidRPr="009D7554">
        <w:rPr>
          <w:rFonts w:ascii="Book Antiqua" w:eastAsia="等线" w:hAnsi="Book Antiqua"/>
          <w:kern w:val="2"/>
          <w:lang w:val="en-US" w:eastAsia="zh-CN"/>
        </w:rPr>
        <w:t xml:space="preserve">, Wang L, Zhang H, Deng P, Chen J, Zhou B, Hu J, Zou J, Lu W, Xiang P, Wu T, Shao X, Li Y, Zhou Z, Zhao YL. ¹H NMR-based metabolic profiling of human rectal cancer tissue. </w:t>
      </w:r>
      <w:r w:rsidRPr="009D7554">
        <w:rPr>
          <w:rFonts w:ascii="Book Antiqua" w:eastAsia="等线" w:hAnsi="Book Antiqua"/>
          <w:i/>
          <w:kern w:val="2"/>
          <w:lang w:val="en-US" w:eastAsia="zh-CN"/>
        </w:rPr>
        <w:t>Mol Cancer</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12</w:t>
      </w:r>
      <w:r w:rsidRPr="009D7554">
        <w:rPr>
          <w:rFonts w:ascii="Book Antiqua" w:eastAsia="等线" w:hAnsi="Book Antiqua"/>
          <w:kern w:val="2"/>
          <w:lang w:val="en-US" w:eastAsia="zh-CN"/>
        </w:rPr>
        <w:t>: 121 [PMID: 24138801 DOI: 10.1186/1476-4598-12-121]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122 </w:t>
      </w:r>
      <w:r w:rsidRPr="009D7554">
        <w:rPr>
          <w:rFonts w:ascii="Book Antiqua" w:eastAsia="等线" w:hAnsi="Book Antiqua"/>
          <w:b/>
          <w:kern w:val="2"/>
          <w:lang w:val="en-US" w:eastAsia="zh-CN"/>
        </w:rPr>
        <w:t>Dzik-Jurasz AS</w:t>
      </w:r>
      <w:r w:rsidRPr="009D7554">
        <w:rPr>
          <w:rFonts w:ascii="Book Antiqua" w:eastAsia="等线" w:hAnsi="Book Antiqua"/>
          <w:kern w:val="2"/>
          <w:lang w:val="en-US" w:eastAsia="zh-CN"/>
        </w:rPr>
        <w:t xml:space="preserve">, Murphy PS, George M, Prock T, Collins DJ, Swift I, Leach MO, Rowland IJ. Human rectal adenocarcinoma: demonstration of 1H-MR spectra in vivo at 1.5 T. </w:t>
      </w:r>
      <w:r w:rsidRPr="009D7554">
        <w:rPr>
          <w:rFonts w:ascii="Book Antiqua" w:eastAsia="等线" w:hAnsi="Book Antiqua"/>
          <w:i/>
          <w:kern w:val="2"/>
          <w:lang w:val="en-US" w:eastAsia="zh-CN"/>
        </w:rPr>
        <w:t>Magn Reson Med</w:t>
      </w:r>
      <w:r w:rsidRPr="009D7554">
        <w:rPr>
          <w:rFonts w:ascii="Book Antiqua" w:eastAsia="等线" w:hAnsi="Book Antiqua"/>
          <w:kern w:val="2"/>
          <w:lang w:val="en-US" w:eastAsia="zh-CN"/>
        </w:rPr>
        <w:t xml:space="preserve"> 2002; </w:t>
      </w:r>
      <w:r w:rsidRPr="009D7554">
        <w:rPr>
          <w:rFonts w:ascii="Book Antiqua" w:eastAsia="等线" w:hAnsi="Book Antiqua"/>
          <w:b/>
          <w:kern w:val="2"/>
          <w:lang w:val="en-US" w:eastAsia="zh-CN"/>
        </w:rPr>
        <w:t>47</w:t>
      </w:r>
      <w:r w:rsidRPr="009D7554">
        <w:rPr>
          <w:rFonts w:ascii="Book Antiqua" w:eastAsia="等线" w:hAnsi="Book Antiqua"/>
          <w:kern w:val="2"/>
          <w:lang w:val="en-US" w:eastAsia="zh-CN"/>
        </w:rPr>
        <w:t>: 809-811 [PMID: 11948744 DOI: 10.1002/mrm.10108]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123 </w:t>
      </w:r>
      <w:r w:rsidRPr="009D7554">
        <w:rPr>
          <w:rFonts w:ascii="Book Antiqua" w:eastAsia="等线" w:hAnsi="Book Antiqua"/>
          <w:b/>
          <w:kern w:val="2"/>
          <w:lang w:val="en-US" w:eastAsia="zh-CN"/>
        </w:rPr>
        <w:t>Ganeshan B</w:t>
      </w:r>
      <w:r w:rsidRPr="009D7554">
        <w:rPr>
          <w:rFonts w:ascii="Book Antiqua" w:eastAsia="等线" w:hAnsi="Book Antiqua"/>
          <w:kern w:val="2"/>
          <w:lang w:val="en-US" w:eastAsia="zh-CN"/>
        </w:rPr>
        <w:t xml:space="preserve">, Miles KA. Quantifying tumour heterogeneity with CT. </w:t>
      </w:r>
      <w:r w:rsidRPr="009D7554">
        <w:rPr>
          <w:rFonts w:ascii="Book Antiqua" w:eastAsia="等线" w:hAnsi="Book Antiqua"/>
          <w:i/>
          <w:kern w:val="2"/>
          <w:lang w:val="en-US" w:eastAsia="zh-CN"/>
        </w:rPr>
        <w:t>Cancer Imaging</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13</w:t>
      </w:r>
      <w:r w:rsidRPr="009D7554">
        <w:rPr>
          <w:rFonts w:ascii="Book Antiqua" w:eastAsia="等线" w:hAnsi="Book Antiqua"/>
          <w:kern w:val="2"/>
          <w:lang w:val="en-US" w:eastAsia="zh-CN"/>
        </w:rPr>
        <w:t>: 140-149 [PMID: 23545171 DOI: 10.1102/1470-7330.2013.0015]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124 </w:t>
      </w:r>
      <w:r w:rsidRPr="009D7554">
        <w:rPr>
          <w:rFonts w:ascii="Book Antiqua" w:eastAsia="等线" w:hAnsi="Book Antiqua"/>
          <w:b/>
          <w:kern w:val="2"/>
          <w:lang w:val="en-US" w:eastAsia="zh-CN"/>
        </w:rPr>
        <w:t>Lubner MG</w:t>
      </w:r>
      <w:r w:rsidRPr="009D7554">
        <w:rPr>
          <w:rFonts w:ascii="Book Antiqua" w:eastAsia="等线" w:hAnsi="Book Antiqua"/>
          <w:kern w:val="2"/>
          <w:lang w:val="en-US" w:eastAsia="zh-CN"/>
        </w:rPr>
        <w:t xml:space="preserve">, Smith AD, Sandrasegaran K, Sahani DV, Pickhardt PJ. CT Texture Analysis: Definitions, Applications, Biologic Correlates, and Challenges. </w:t>
      </w:r>
      <w:r w:rsidRPr="009D7554">
        <w:rPr>
          <w:rFonts w:ascii="Book Antiqua" w:eastAsia="等线" w:hAnsi="Book Antiqua"/>
          <w:i/>
          <w:kern w:val="2"/>
          <w:lang w:val="en-US" w:eastAsia="zh-CN"/>
        </w:rPr>
        <w:t>Radiographics</w:t>
      </w:r>
      <w:r w:rsidRPr="009D7554">
        <w:rPr>
          <w:rFonts w:ascii="Book Antiqua" w:eastAsia="等线" w:hAnsi="Book Antiqua"/>
          <w:kern w:val="2"/>
          <w:lang w:val="en-US" w:eastAsia="zh-CN"/>
        </w:rPr>
        <w:t xml:space="preserve"> 2017; </w:t>
      </w:r>
      <w:r w:rsidRPr="009D7554">
        <w:rPr>
          <w:rFonts w:ascii="Book Antiqua" w:eastAsia="等线" w:hAnsi="Book Antiqua"/>
          <w:b/>
          <w:kern w:val="2"/>
          <w:lang w:val="en-US" w:eastAsia="zh-CN"/>
        </w:rPr>
        <w:t>37</w:t>
      </w:r>
      <w:r w:rsidRPr="009D7554">
        <w:rPr>
          <w:rFonts w:ascii="Book Antiqua" w:eastAsia="等线" w:hAnsi="Book Antiqua"/>
          <w:kern w:val="2"/>
          <w:lang w:val="en-US" w:eastAsia="zh-CN"/>
        </w:rPr>
        <w:t>: 1483-1503 [PMID: 28898189 DOI: 10.1148/rg.2017170056]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125 </w:t>
      </w:r>
      <w:r w:rsidRPr="009D7554">
        <w:rPr>
          <w:rFonts w:ascii="Book Antiqua" w:eastAsia="等线" w:hAnsi="Book Antiqua"/>
          <w:b/>
          <w:kern w:val="2"/>
          <w:lang w:val="en-US" w:eastAsia="zh-CN"/>
        </w:rPr>
        <w:t>Aker M</w:t>
      </w:r>
      <w:r w:rsidRPr="009D7554">
        <w:rPr>
          <w:rFonts w:ascii="Book Antiqua" w:eastAsia="等线" w:hAnsi="Book Antiqua"/>
          <w:kern w:val="2"/>
          <w:lang w:val="en-US" w:eastAsia="zh-CN"/>
        </w:rPr>
        <w:t xml:space="preserve">, Ganeshan B, Afaq A, Wan S, Groves AM, Arulampalam T. Magnetic Resonance Texture Analysis in Identifying Complete Pathological Response to Neoadjuvant Treatment in Locally Advanced Rectal Cancer. </w:t>
      </w:r>
      <w:r w:rsidRPr="009D7554">
        <w:rPr>
          <w:rFonts w:ascii="Book Antiqua" w:eastAsia="等线" w:hAnsi="Book Antiqua"/>
          <w:i/>
          <w:kern w:val="2"/>
          <w:lang w:val="en-US" w:eastAsia="zh-CN"/>
        </w:rPr>
        <w:t>Dis Colon Rectum</w:t>
      </w:r>
      <w:r w:rsidRPr="009D7554">
        <w:rPr>
          <w:rFonts w:ascii="Book Antiqua" w:eastAsia="等线" w:hAnsi="Book Antiqua"/>
          <w:kern w:val="2"/>
          <w:lang w:val="en-US" w:eastAsia="zh-CN"/>
        </w:rPr>
        <w:t xml:space="preserve"> 2019; </w:t>
      </w:r>
      <w:r w:rsidRPr="009D7554">
        <w:rPr>
          <w:rFonts w:ascii="Book Antiqua" w:eastAsia="等线" w:hAnsi="Book Antiqua"/>
          <w:b/>
          <w:kern w:val="2"/>
          <w:lang w:val="en-US" w:eastAsia="zh-CN"/>
        </w:rPr>
        <w:t>62</w:t>
      </w:r>
      <w:r w:rsidRPr="009D7554">
        <w:rPr>
          <w:rFonts w:ascii="Book Antiqua" w:eastAsia="等线" w:hAnsi="Book Antiqua"/>
          <w:kern w:val="2"/>
          <w:lang w:val="en-US" w:eastAsia="zh-CN"/>
        </w:rPr>
        <w:t>: 163-170 [PMID: 30451764 DOI: 10.1097/DCR.0000000000001224]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126 </w:t>
      </w:r>
      <w:r w:rsidRPr="009D7554">
        <w:rPr>
          <w:rFonts w:ascii="Book Antiqua" w:eastAsia="等线" w:hAnsi="Book Antiqua"/>
          <w:b/>
          <w:kern w:val="2"/>
          <w:lang w:val="en-US" w:eastAsia="zh-CN"/>
        </w:rPr>
        <w:t>Gillies RJ</w:t>
      </w:r>
      <w:r w:rsidRPr="009D7554">
        <w:rPr>
          <w:rFonts w:ascii="Book Antiqua" w:eastAsia="等线" w:hAnsi="Book Antiqua"/>
          <w:kern w:val="2"/>
          <w:lang w:val="en-US" w:eastAsia="zh-CN"/>
        </w:rPr>
        <w:t xml:space="preserve">, Kinahan PE, Hricak H. Radiomics: Images Are More than Pictures, They Are Data.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278</w:t>
      </w:r>
      <w:r w:rsidRPr="009D7554">
        <w:rPr>
          <w:rFonts w:ascii="Book Antiqua" w:eastAsia="等线" w:hAnsi="Book Antiqua"/>
          <w:kern w:val="2"/>
          <w:lang w:val="en-US" w:eastAsia="zh-CN"/>
        </w:rPr>
        <w:t>: 563-577 [PMID: 26579733 DOI: 10.1148/radiol.2015151169]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127 </w:t>
      </w:r>
      <w:r w:rsidRPr="009D7554">
        <w:rPr>
          <w:rFonts w:ascii="Book Antiqua" w:eastAsia="等线" w:hAnsi="Book Antiqua"/>
          <w:b/>
          <w:kern w:val="2"/>
          <w:lang w:val="en-US" w:eastAsia="zh-CN"/>
        </w:rPr>
        <w:t>Stanzione A</w:t>
      </w:r>
      <w:r w:rsidRPr="009D7554">
        <w:rPr>
          <w:rFonts w:ascii="Book Antiqua" w:eastAsia="等线" w:hAnsi="Book Antiqua"/>
          <w:kern w:val="2"/>
          <w:lang w:val="en-US" w:eastAsia="zh-CN"/>
        </w:rPr>
        <w:t xml:space="preserve">, Cuocolo R, Cocozza S, Romeo V, Persico F, Fusco F, Longo N, Brunetti A, Imbriaco M. Detection of Extraprostatic Extension of Cancer on Biparametric MRI Combining Texture Analysis and Machine Learning: Preliminary Results. </w:t>
      </w:r>
      <w:r w:rsidRPr="009D7554">
        <w:rPr>
          <w:rFonts w:ascii="Book Antiqua" w:eastAsia="等线" w:hAnsi="Book Antiqua"/>
          <w:i/>
          <w:kern w:val="2"/>
          <w:lang w:val="en-US" w:eastAsia="zh-CN"/>
        </w:rPr>
        <w:t>Acad Radiol</w:t>
      </w:r>
      <w:r w:rsidRPr="009D7554">
        <w:rPr>
          <w:rFonts w:ascii="Book Antiqua" w:eastAsia="等线" w:hAnsi="Book Antiqua"/>
          <w:kern w:val="2"/>
          <w:lang w:val="en-US" w:eastAsia="zh-CN"/>
        </w:rPr>
        <w:t xml:space="preserve"> 2019; :  [PMID: 30655050 DOI: 10.1016/j.acra.2018.12.025]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128 </w:t>
      </w:r>
      <w:r w:rsidRPr="009D7554">
        <w:rPr>
          <w:rFonts w:ascii="Book Antiqua" w:eastAsia="等线" w:hAnsi="Book Antiqua"/>
          <w:b/>
          <w:kern w:val="2"/>
          <w:lang w:val="en-US" w:eastAsia="zh-CN"/>
        </w:rPr>
        <w:t>Romeo V</w:t>
      </w:r>
      <w:r w:rsidRPr="009D7554">
        <w:rPr>
          <w:rFonts w:ascii="Book Antiqua" w:eastAsia="等线" w:hAnsi="Book Antiqua"/>
          <w:kern w:val="2"/>
          <w:lang w:val="en-US" w:eastAsia="zh-CN"/>
        </w:rPr>
        <w:t xml:space="preserve">, Maurea S, Cuocolo R, Petretta M, Mainenti PP, Verde F, Coppola M, Dell'Aversana S, Brunetti A. Characterization of Adrenal Lesions on Unenhanced MRI Using Texture Analysis: A Machine-Learning Approach.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48</w:t>
      </w:r>
      <w:r w:rsidRPr="009D7554">
        <w:rPr>
          <w:rFonts w:ascii="Book Antiqua" w:eastAsia="等线" w:hAnsi="Book Antiqua"/>
          <w:kern w:val="2"/>
          <w:lang w:val="en-US" w:eastAsia="zh-CN"/>
        </w:rPr>
        <w:t>: 198-204 [PMID: 29341325 DOI: 10.1002/jmri.25954]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129 </w:t>
      </w:r>
      <w:r w:rsidRPr="009D7554">
        <w:rPr>
          <w:rFonts w:ascii="Book Antiqua" w:eastAsia="等线" w:hAnsi="Book Antiqua"/>
          <w:b/>
          <w:kern w:val="2"/>
          <w:lang w:val="en-US" w:eastAsia="zh-CN"/>
        </w:rPr>
        <w:t>Mainenti PP</w:t>
      </w:r>
      <w:r w:rsidRPr="009D7554">
        <w:rPr>
          <w:rFonts w:ascii="Book Antiqua" w:eastAsia="等线" w:hAnsi="Book Antiqua"/>
          <w:kern w:val="2"/>
          <w:lang w:val="en-US" w:eastAsia="zh-CN"/>
        </w:rPr>
        <w:t xml:space="preserve">, Romano M, Imbriaco M, Camera L, Pace L, D'Antonio D, Bucci L, Galloro G, Salvatore M. Added value of CT colonography after a positive conventional colonoscopy: impact on treatment strategy. </w:t>
      </w:r>
      <w:r w:rsidRPr="009D7554">
        <w:rPr>
          <w:rFonts w:ascii="Book Antiqua" w:eastAsia="等线" w:hAnsi="Book Antiqua"/>
          <w:i/>
          <w:kern w:val="2"/>
          <w:lang w:val="en-US" w:eastAsia="zh-CN"/>
        </w:rPr>
        <w:t>Abdom Imaging</w:t>
      </w:r>
      <w:r w:rsidRPr="009D7554">
        <w:rPr>
          <w:rFonts w:ascii="Book Antiqua" w:eastAsia="等线" w:hAnsi="Book Antiqua"/>
          <w:kern w:val="2"/>
          <w:lang w:val="en-US" w:eastAsia="zh-CN"/>
        </w:rPr>
        <w:t xml:space="preserve"> 2005; </w:t>
      </w:r>
      <w:r w:rsidRPr="009D7554">
        <w:rPr>
          <w:rFonts w:ascii="Book Antiqua" w:eastAsia="等线" w:hAnsi="Book Antiqua"/>
          <w:b/>
          <w:kern w:val="2"/>
          <w:lang w:val="en-US" w:eastAsia="zh-CN"/>
        </w:rPr>
        <w:t>30</w:t>
      </w:r>
      <w:r w:rsidRPr="009D7554">
        <w:rPr>
          <w:rFonts w:ascii="Book Antiqua" w:eastAsia="等线" w:hAnsi="Book Antiqua"/>
          <w:kern w:val="2"/>
          <w:lang w:val="en-US" w:eastAsia="zh-CN"/>
        </w:rPr>
        <w:t>: 42-47 [PMID: 15647869 DOI: 10.1007/s00261-004-0246-8]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130 </w:t>
      </w:r>
      <w:r w:rsidRPr="009D7554">
        <w:rPr>
          <w:rFonts w:ascii="Book Antiqua" w:eastAsia="等线" w:hAnsi="Book Antiqua"/>
          <w:b/>
          <w:kern w:val="2"/>
          <w:lang w:val="en-US" w:eastAsia="zh-CN"/>
        </w:rPr>
        <w:t>Summers RM</w:t>
      </w:r>
      <w:r w:rsidRPr="009D7554">
        <w:rPr>
          <w:rFonts w:ascii="Book Antiqua" w:eastAsia="等线" w:hAnsi="Book Antiqua"/>
          <w:kern w:val="2"/>
          <w:lang w:val="en-US" w:eastAsia="zh-CN"/>
        </w:rPr>
        <w:t xml:space="preserve">. Polyp size measurement at CT colonography: what do we know and what do we need to know?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2010; </w:t>
      </w:r>
      <w:r w:rsidRPr="009D7554">
        <w:rPr>
          <w:rFonts w:ascii="Book Antiqua" w:eastAsia="等线" w:hAnsi="Book Antiqua"/>
          <w:b/>
          <w:kern w:val="2"/>
          <w:lang w:val="en-US" w:eastAsia="zh-CN"/>
        </w:rPr>
        <w:t>255</w:t>
      </w:r>
      <w:r w:rsidRPr="009D7554">
        <w:rPr>
          <w:rFonts w:ascii="Book Antiqua" w:eastAsia="等线" w:hAnsi="Book Antiqua"/>
          <w:kern w:val="2"/>
          <w:lang w:val="en-US" w:eastAsia="zh-CN"/>
        </w:rPr>
        <w:t>: 707-720 [PMID: 20501711 DOI: 10.1148/radiol.10090877]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131 </w:t>
      </w:r>
      <w:r w:rsidRPr="009D7554">
        <w:rPr>
          <w:rFonts w:ascii="Book Antiqua" w:eastAsia="等线" w:hAnsi="Book Antiqua"/>
          <w:b/>
          <w:kern w:val="2"/>
          <w:lang w:val="en-US" w:eastAsia="zh-CN"/>
        </w:rPr>
        <w:t>Song B</w:t>
      </w:r>
      <w:r w:rsidRPr="009D7554">
        <w:rPr>
          <w:rFonts w:ascii="Book Antiqua" w:eastAsia="等线" w:hAnsi="Book Antiqua"/>
          <w:kern w:val="2"/>
          <w:lang w:val="en-US" w:eastAsia="zh-CN"/>
        </w:rPr>
        <w:t xml:space="preserve">, Zhang G, Lu H, Wang H, Zhu W, J Pickhardt P, Liang Z. Volumetric texture features from higher-order images for diagnosis of colon lesions via CT colonography. </w:t>
      </w:r>
      <w:r w:rsidRPr="009D7554">
        <w:rPr>
          <w:rFonts w:ascii="Book Antiqua" w:eastAsia="等线" w:hAnsi="Book Antiqua"/>
          <w:i/>
          <w:kern w:val="2"/>
          <w:lang w:val="en-US" w:eastAsia="zh-CN"/>
        </w:rPr>
        <w:t>Int J Comput Assist Radiol Surg</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9</w:t>
      </w:r>
      <w:r w:rsidRPr="009D7554">
        <w:rPr>
          <w:rFonts w:ascii="Book Antiqua" w:eastAsia="等线" w:hAnsi="Book Antiqua"/>
          <w:kern w:val="2"/>
          <w:lang w:val="en-US" w:eastAsia="zh-CN"/>
        </w:rPr>
        <w:t>: 1021-1031 [PMID: 24696313 DOI: 10.1007/s11548-014-0991-2]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132 </w:t>
      </w:r>
      <w:r w:rsidRPr="009D7554">
        <w:rPr>
          <w:rFonts w:ascii="Book Antiqua" w:eastAsia="等线" w:hAnsi="Book Antiqua"/>
          <w:b/>
          <w:kern w:val="2"/>
          <w:lang w:val="en-US" w:eastAsia="zh-CN"/>
        </w:rPr>
        <w:t>Liu L</w:t>
      </w:r>
      <w:r w:rsidRPr="009D7554">
        <w:rPr>
          <w:rFonts w:ascii="Book Antiqua" w:eastAsia="等线" w:hAnsi="Book Antiqua"/>
          <w:kern w:val="2"/>
          <w:lang w:val="en-US" w:eastAsia="zh-CN"/>
        </w:rPr>
        <w:t xml:space="preserve">, Liu Y, Xu L, Li Z, Lv H, Dong N, Li W, Yang Z, Wang Z, Jin E. Application of texture analysis based on apparent diffusion coefficient maps in discriminating different stages of rectal cancer.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2017; </w:t>
      </w:r>
      <w:r w:rsidRPr="009D7554">
        <w:rPr>
          <w:rFonts w:ascii="Book Antiqua" w:eastAsia="等线" w:hAnsi="Book Antiqua"/>
          <w:b/>
          <w:kern w:val="2"/>
          <w:lang w:val="en-US" w:eastAsia="zh-CN"/>
        </w:rPr>
        <w:t>45</w:t>
      </w:r>
      <w:r w:rsidRPr="009D7554">
        <w:rPr>
          <w:rFonts w:ascii="Book Antiqua" w:eastAsia="等线" w:hAnsi="Book Antiqua"/>
          <w:kern w:val="2"/>
          <w:lang w:val="en-US" w:eastAsia="zh-CN"/>
        </w:rPr>
        <w:t>: 1798-1808 [PMID: 27654307 DOI: 10.1002/jmri.25460]</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133 </w:t>
      </w:r>
      <w:r w:rsidRPr="009D7554">
        <w:rPr>
          <w:rFonts w:ascii="Book Antiqua" w:eastAsia="等线" w:hAnsi="Book Antiqua"/>
          <w:b/>
          <w:kern w:val="2"/>
          <w:lang w:val="en-US" w:eastAsia="zh-CN"/>
        </w:rPr>
        <w:t>Zhu L</w:t>
      </w:r>
      <w:r w:rsidRPr="009D7554">
        <w:rPr>
          <w:rFonts w:ascii="Book Antiqua" w:eastAsia="等线" w:hAnsi="Book Antiqua"/>
          <w:kern w:val="2"/>
          <w:lang w:val="en-US" w:eastAsia="zh-CN"/>
        </w:rPr>
        <w:t xml:space="preserve">, Pan Z, Ma Q, Yang W, Shi H, Fu C, Yan X, Du L, Yan F, Zhang H. Diffusion Kurtosis Imaging Study of Rectal Adenocarcinoma Associated with Histopathologic Prognostic Factors: Preliminary Findings.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2017; </w:t>
      </w:r>
      <w:r w:rsidRPr="009D7554">
        <w:rPr>
          <w:rFonts w:ascii="Book Antiqua" w:eastAsia="等线" w:hAnsi="Book Antiqua"/>
          <w:b/>
          <w:kern w:val="2"/>
          <w:lang w:val="en-US" w:eastAsia="zh-CN"/>
        </w:rPr>
        <w:t>284</w:t>
      </w:r>
      <w:r w:rsidRPr="009D7554">
        <w:rPr>
          <w:rFonts w:ascii="Book Antiqua" w:eastAsia="等线" w:hAnsi="Book Antiqua"/>
          <w:kern w:val="2"/>
          <w:lang w:val="en-US" w:eastAsia="zh-CN"/>
        </w:rPr>
        <w:t>: 66-76 [PMID: 27929929 DOI: 10.1148/radiol.2016160094]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134 </w:t>
      </w:r>
      <w:r w:rsidRPr="009D7554">
        <w:rPr>
          <w:rFonts w:ascii="Book Antiqua" w:eastAsia="等线" w:hAnsi="Book Antiqua"/>
          <w:b/>
          <w:kern w:val="2"/>
          <w:lang w:val="en-US" w:eastAsia="zh-CN"/>
        </w:rPr>
        <w:t>Cui C</w:t>
      </w:r>
      <w:r w:rsidRPr="009D7554">
        <w:rPr>
          <w:rFonts w:ascii="Book Antiqua" w:eastAsia="等线" w:hAnsi="Book Antiqua"/>
          <w:kern w:val="2"/>
          <w:lang w:val="en-US" w:eastAsia="zh-CN"/>
        </w:rPr>
        <w:t xml:space="preserve">, Cai H, Liu L, Li L, Tian H, Li L. Quantitative analysis and prediction of regional lymph node status in rectal cancer based on computed tomography imaging. </w:t>
      </w:r>
      <w:r w:rsidRPr="009D7554">
        <w:rPr>
          <w:rFonts w:ascii="Book Antiqua" w:eastAsia="等线" w:hAnsi="Book Antiqua"/>
          <w:i/>
          <w:kern w:val="2"/>
          <w:lang w:val="en-US" w:eastAsia="zh-CN"/>
        </w:rPr>
        <w:t>Eur Radiol</w:t>
      </w:r>
      <w:r w:rsidRPr="009D7554">
        <w:rPr>
          <w:rFonts w:ascii="Book Antiqua" w:eastAsia="等线" w:hAnsi="Book Antiqua"/>
          <w:kern w:val="2"/>
          <w:lang w:val="en-US" w:eastAsia="zh-CN"/>
        </w:rPr>
        <w:t xml:space="preserve"> 2011; </w:t>
      </w:r>
      <w:r w:rsidRPr="009D7554">
        <w:rPr>
          <w:rFonts w:ascii="Book Antiqua" w:eastAsia="等线" w:hAnsi="Book Antiqua"/>
          <w:b/>
          <w:kern w:val="2"/>
          <w:lang w:val="en-US" w:eastAsia="zh-CN"/>
        </w:rPr>
        <w:t>21</w:t>
      </w:r>
      <w:r w:rsidRPr="009D7554">
        <w:rPr>
          <w:rFonts w:ascii="Book Antiqua" w:eastAsia="等线" w:hAnsi="Book Antiqua"/>
          <w:kern w:val="2"/>
          <w:lang w:val="en-US" w:eastAsia="zh-CN"/>
        </w:rPr>
        <w:t>: 2318-2325 [PMID: 21713526 DOI: 10.1007/s00330-011-2182-7]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135 </w:t>
      </w:r>
      <w:r w:rsidRPr="009D7554">
        <w:rPr>
          <w:rFonts w:ascii="Book Antiqua" w:eastAsia="等线" w:hAnsi="Book Antiqua"/>
          <w:b/>
          <w:kern w:val="2"/>
          <w:lang w:val="en-US" w:eastAsia="zh-CN"/>
        </w:rPr>
        <w:t>De Cecco CN</w:t>
      </w:r>
      <w:r w:rsidRPr="009D7554">
        <w:rPr>
          <w:rFonts w:ascii="Book Antiqua" w:eastAsia="等线" w:hAnsi="Book Antiqua"/>
          <w:kern w:val="2"/>
          <w:lang w:val="en-US" w:eastAsia="zh-CN"/>
        </w:rPr>
        <w:t xml:space="preserve">, Ciolina M, Caruso D, Rengo M, Ganeshan B, Meinel FG, Musio D, De Felice F, Tombolini V, Laghi A. Performance of diffusion-weighted imaging, perfusion imaging, and texture analysis in predicting tumoral response to neoadjuvant chemoradiotherapy in rectal cancer patients studied with 3T MR: initial experience. </w:t>
      </w:r>
      <w:r w:rsidRPr="009D7554">
        <w:rPr>
          <w:rFonts w:ascii="Book Antiqua" w:eastAsia="等线" w:hAnsi="Book Antiqua"/>
          <w:i/>
          <w:kern w:val="2"/>
          <w:lang w:val="en-US" w:eastAsia="zh-CN"/>
        </w:rPr>
        <w:t>Abdom Radiol (NY)</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41</w:t>
      </w:r>
      <w:r w:rsidRPr="009D7554">
        <w:rPr>
          <w:rFonts w:ascii="Book Antiqua" w:eastAsia="等线" w:hAnsi="Book Antiqua"/>
          <w:kern w:val="2"/>
          <w:lang w:val="en-US" w:eastAsia="zh-CN"/>
        </w:rPr>
        <w:t>: 1728-1735 [PMID: 27056748 DOI: 10.1007/s00261-016-0733-8]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136 </w:t>
      </w:r>
      <w:r w:rsidRPr="009D7554">
        <w:rPr>
          <w:rFonts w:ascii="Book Antiqua" w:eastAsia="等线" w:hAnsi="Book Antiqua"/>
          <w:b/>
          <w:kern w:val="2"/>
          <w:lang w:val="en-US" w:eastAsia="zh-CN"/>
        </w:rPr>
        <w:t>Shu Z</w:t>
      </w:r>
      <w:r w:rsidRPr="009D7554">
        <w:rPr>
          <w:rFonts w:ascii="Book Antiqua" w:eastAsia="等线" w:hAnsi="Book Antiqua"/>
          <w:kern w:val="2"/>
          <w:lang w:val="en-US" w:eastAsia="zh-CN"/>
        </w:rPr>
        <w:t xml:space="preserve">, Fang S, Ye Q, Mao D, Cao H, Pang P, Gong X. Prediction of efficacy of neoadjuvant chemoradiotherapy for rectal cancer: the value of texture analysis of magnetic resonance images. </w:t>
      </w:r>
      <w:r w:rsidRPr="009D7554">
        <w:rPr>
          <w:rFonts w:ascii="Book Antiqua" w:eastAsia="等线" w:hAnsi="Book Antiqua"/>
          <w:i/>
          <w:kern w:val="2"/>
          <w:lang w:val="en-US" w:eastAsia="zh-CN"/>
        </w:rPr>
        <w:t>Abdom Radiol (NY)</w:t>
      </w:r>
      <w:r w:rsidRPr="009D7554">
        <w:rPr>
          <w:rFonts w:ascii="Book Antiqua" w:eastAsia="等线" w:hAnsi="Book Antiqua"/>
          <w:kern w:val="2"/>
          <w:lang w:val="en-US" w:eastAsia="zh-CN"/>
        </w:rPr>
        <w:t xml:space="preserve"> 2019; :  [PMID: 30852633 DOI: 10.1007/s00261-019-01971-y]</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137 </w:t>
      </w:r>
      <w:r w:rsidRPr="009D7554">
        <w:rPr>
          <w:rFonts w:ascii="Book Antiqua" w:eastAsia="等线" w:hAnsi="Book Antiqua"/>
          <w:b/>
          <w:kern w:val="2"/>
          <w:lang w:val="en-US" w:eastAsia="zh-CN"/>
        </w:rPr>
        <w:t>Palmisano A</w:t>
      </w:r>
      <w:r w:rsidRPr="009D7554">
        <w:rPr>
          <w:rFonts w:ascii="Book Antiqua" w:eastAsia="等线" w:hAnsi="Book Antiqua"/>
          <w:kern w:val="2"/>
          <w:lang w:val="en-US" w:eastAsia="zh-CN"/>
        </w:rPr>
        <w:t xml:space="preserve">, Esposito A, Rancoita PMV, Di Chiara A, Passoni P, Slim N, Campolongo M, Albarello L, Fiorino C, Rosati R, Del Maschio A, De Cobelli F. Could perfusion heterogeneity at dynamic contrast-enhanced MRI be used to predict rectal cancer sensitivity to chemoradiotherapy? </w:t>
      </w:r>
      <w:r w:rsidRPr="009D7554">
        <w:rPr>
          <w:rFonts w:ascii="Book Antiqua" w:eastAsia="等线" w:hAnsi="Book Antiqua"/>
          <w:i/>
          <w:kern w:val="2"/>
          <w:lang w:val="en-US" w:eastAsia="zh-CN"/>
        </w:rPr>
        <w:t>Clin Radiol</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73</w:t>
      </w:r>
      <w:r w:rsidRPr="009D7554">
        <w:rPr>
          <w:rFonts w:ascii="Book Antiqua" w:eastAsia="等线" w:hAnsi="Book Antiqua"/>
          <w:kern w:val="2"/>
          <w:lang w:val="en-US" w:eastAsia="zh-CN"/>
        </w:rPr>
        <w:t>: 911.e1-911.e7 [PMID: 30029837 DOI: 10.1016/j.crad.2018.06.007]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138 </w:t>
      </w:r>
      <w:r w:rsidRPr="009D7554">
        <w:rPr>
          <w:rFonts w:ascii="Book Antiqua" w:eastAsia="等线" w:hAnsi="Book Antiqua"/>
          <w:b/>
          <w:kern w:val="2"/>
          <w:lang w:val="en-US" w:eastAsia="zh-CN"/>
        </w:rPr>
        <w:t>Vidal-Vanaclocha F</w:t>
      </w:r>
      <w:r w:rsidRPr="009D7554">
        <w:rPr>
          <w:rFonts w:ascii="Book Antiqua" w:eastAsia="等线" w:hAnsi="Book Antiqua"/>
          <w:kern w:val="2"/>
          <w:lang w:val="en-US" w:eastAsia="zh-CN"/>
        </w:rPr>
        <w:t xml:space="preserve">. The liver prometastatic reaction of cancer patients: implications for microenvironment-dependent colon cancer gene regulation. </w:t>
      </w:r>
      <w:r w:rsidRPr="009D7554">
        <w:rPr>
          <w:rFonts w:ascii="Book Antiqua" w:eastAsia="等线" w:hAnsi="Book Antiqua"/>
          <w:i/>
          <w:kern w:val="2"/>
          <w:lang w:val="en-US" w:eastAsia="zh-CN"/>
        </w:rPr>
        <w:t>Cancer Microenviron</w:t>
      </w:r>
      <w:r w:rsidRPr="009D7554">
        <w:rPr>
          <w:rFonts w:ascii="Book Antiqua" w:eastAsia="等线" w:hAnsi="Book Antiqua"/>
          <w:kern w:val="2"/>
          <w:lang w:val="en-US" w:eastAsia="zh-CN"/>
        </w:rPr>
        <w:t xml:space="preserve"> 2011; </w:t>
      </w:r>
      <w:r w:rsidRPr="009D7554">
        <w:rPr>
          <w:rFonts w:ascii="Book Antiqua" w:eastAsia="等线" w:hAnsi="Book Antiqua"/>
          <w:b/>
          <w:kern w:val="2"/>
          <w:lang w:val="en-US" w:eastAsia="zh-CN"/>
        </w:rPr>
        <w:t>4</w:t>
      </w:r>
      <w:r w:rsidRPr="009D7554">
        <w:rPr>
          <w:rFonts w:ascii="Book Antiqua" w:eastAsia="等线" w:hAnsi="Book Antiqua"/>
          <w:kern w:val="2"/>
          <w:lang w:val="en-US" w:eastAsia="zh-CN"/>
        </w:rPr>
        <w:t>: 163-180 [PMID: 21870094 DOI: 10.1007/s12307-011-0084-5]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139 </w:t>
      </w:r>
      <w:r w:rsidRPr="009D7554">
        <w:rPr>
          <w:rFonts w:ascii="Book Antiqua" w:eastAsia="等线" w:hAnsi="Book Antiqua"/>
          <w:b/>
          <w:kern w:val="2"/>
          <w:lang w:val="en-US" w:eastAsia="zh-CN"/>
        </w:rPr>
        <w:t>Wakai T</w:t>
      </w:r>
      <w:r w:rsidRPr="009D7554">
        <w:rPr>
          <w:rFonts w:ascii="Book Antiqua" w:eastAsia="等线" w:hAnsi="Book Antiqua"/>
          <w:kern w:val="2"/>
          <w:lang w:val="en-US" w:eastAsia="zh-CN"/>
        </w:rPr>
        <w:t xml:space="preserve">, Shirai Y, Sakata J, Kameyama H, Nogami H, Iiai T, Ajioka Y, Hatakeyama K. Histologic evaluation of intrahepatic micrometastases in patients treated with or without neoadjuvant chemotherapy for colorectal carcinoma liver metastasis. </w:t>
      </w:r>
      <w:r w:rsidRPr="009D7554">
        <w:rPr>
          <w:rFonts w:ascii="Book Antiqua" w:eastAsia="等线" w:hAnsi="Book Antiqua"/>
          <w:i/>
          <w:kern w:val="2"/>
          <w:lang w:val="en-US" w:eastAsia="zh-CN"/>
        </w:rPr>
        <w:t>Int J Clin Exp Pathol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5</w:t>
      </w:r>
      <w:r w:rsidRPr="009D7554">
        <w:rPr>
          <w:rFonts w:ascii="Book Antiqua" w:eastAsia="等线" w:hAnsi="Book Antiqua"/>
          <w:kern w:val="2"/>
          <w:lang w:val="en-US" w:eastAsia="zh-CN"/>
        </w:rPr>
        <w:t>: 308-314 [PMID: 22670174]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140 </w:t>
      </w:r>
      <w:r w:rsidRPr="009D7554">
        <w:rPr>
          <w:rFonts w:ascii="Book Antiqua" w:eastAsia="等线" w:hAnsi="Book Antiqua"/>
          <w:b/>
          <w:kern w:val="2"/>
          <w:lang w:val="en-US" w:eastAsia="zh-CN"/>
        </w:rPr>
        <w:t>Rao SX</w:t>
      </w:r>
      <w:r w:rsidRPr="009D7554">
        <w:rPr>
          <w:rFonts w:ascii="Book Antiqua" w:eastAsia="等线" w:hAnsi="Book Antiqua"/>
          <w:kern w:val="2"/>
          <w:lang w:val="en-US" w:eastAsia="zh-CN"/>
        </w:rPr>
        <w:t xml:space="preserve">, Lambregts DM, Schnerr RS, van Ommen W, van Nijnatten TJ, Martens MH, Heijnen LA, Backes WH, Verhoef C, Zeng MS, Beets GL, Beets-Tan RG. Whole-liver CT texture analysis in colorectal cancer: Does the presence of liver metastases affect the texture of the remaining liver? </w:t>
      </w:r>
      <w:r w:rsidRPr="009D7554">
        <w:rPr>
          <w:rFonts w:ascii="Book Antiqua" w:eastAsia="等线" w:hAnsi="Book Antiqua"/>
          <w:i/>
          <w:kern w:val="2"/>
          <w:lang w:val="en-US" w:eastAsia="zh-CN"/>
        </w:rPr>
        <w:t>United European Gastroenterol J</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2</w:t>
      </w:r>
      <w:r w:rsidRPr="009D7554">
        <w:rPr>
          <w:rFonts w:ascii="Book Antiqua" w:eastAsia="等线" w:hAnsi="Book Antiqua"/>
          <w:kern w:val="2"/>
          <w:lang w:val="en-US" w:eastAsia="zh-CN"/>
        </w:rPr>
        <w:t>: 530-538 [PMID: 25452849 DOI: 10.1177/2050640614552463]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141 </w:t>
      </w:r>
      <w:r w:rsidRPr="009D7554">
        <w:rPr>
          <w:rFonts w:ascii="Book Antiqua" w:eastAsia="等线" w:hAnsi="Book Antiqua"/>
          <w:b/>
          <w:kern w:val="2"/>
          <w:lang w:val="en-US" w:eastAsia="zh-CN"/>
        </w:rPr>
        <w:t>Zhang H</w:t>
      </w:r>
      <w:r w:rsidRPr="009D7554">
        <w:rPr>
          <w:rFonts w:ascii="Book Antiqua" w:eastAsia="等线" w:hAnsi="Book Antiqua"/>
          <w:kern w:val="2"/>
          <w:lang w:val="en-US" w:eastAsia="zh-CN"/>
        </w:rPr>
        <w:t xml:space="preserve">, Li W, Hu F, Sun Y, Hu T, Tong T. MR texture analysis: potential imaging biomarker for predicting the chemotherapeutic response of patients with colorectal liver metastases. </w:t>
      </w:r>
      <w:r w:rsidRPr="009D7554">
        <w:rPr>
          <w:rFonts w:ascii="Book Antiqua" w:eastAsia="等线" w:hAnsi="Book Antiqua"/>
          <w:i/>
          <w:kern w:val="2"/>
          <w:lang w:val="en-US" w:eastAsia="zh-CN"/>
        </w:rPr>
        <w:t>Abdom Radiol (NY)</w:t>
      </w:r>
      <w:r w:rsidRPr="009D7554">
        <w:rPr>
          <w:rFonts w:ascii="Book Antiqua" w:eastAsia="等线" w:hAnsi="Book Antiqua"/>
          <w:kern w:val="2"/>
          <w:lang w:val="en-US" w:eastAsia="zh-CN"/>
        </w:rPr>
        <w:t xml:space="preserve"> 2019; </w:t>
      </w:r>
      <w:r w:rsidRPr="009D7554">
        <w:rPr>
          <w:rFonts w:ascii="Book Antiqua" w:eastAsia="等线" w:hAnsi="Book Antiqua"/>
          <w:b/>
          <w:kern w:val="2"/>
          <w:lang w:val="en-US" w:eastAsia="zh-CN"/>
        </w:rPr>
        <w:t>44</w:t>
      </w:r>
      <w:r w:rsidRPr="009D7554">
        <w:rPr>
          <w:rFonts w:ascii="Book Antiqua" w:eastAsia="等线" w:hAnsi="Book Antiqua"/>
          <w:kern w:val="2"/>
          <w:lang w:val="en-US" w:eastAsia="zh-CN"/>
        </w:rPr>
        <w:t>: 65-71 [PMID: 29967982 DOI: 10.1007/s00261-018-1682-1]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142 </w:t>
      </w:r>
      <w:r w:rsidRPr="009D7554">
        <w:rPr>
          <w:rFonts w:ascii="Book Antiqua" w:eastAsia="等线" w:hAnsi="Book Antiqua"/>
          <w:b/>
          <w:kern w:val="2"/>
          <w:lang w:val="en-US" w:eastAsia="zh-CN"/>
        </w:rPr>
        <w:t>Ahn SJ</w:t>
      </w:r>
      <w:r w:rsidRPr="009D7554">
        <w:rPr>
          <w:rFonts w:ascii="Book Antiqua" w:eastAsia="等线" w:hAnsi="Book Antiqua"/>
          <w:kern w:val="2"/>
          <w:lang w:val="en-US" w:eastAsia="zh-CN"/>
        </w:rPr>
        <w:t xml:space="preserve">, Kim JH, Park SJ, Han JK. Prediction of the therapeutic response after FOLFOX and FOLFIRI treatment for patients with liver metastasis from colorectal cancer using computerized CT texture analysis. </w:t>
      </w:r>
      <w:r w:rsidRPr="009D7554">
        <w:rPr>
          <w:rFonts w:ascii="Book Antiqua" w:eastAsia="等线" w:hAnsi="Book Antiqua"/>
          <w:i/>
          <w:kern w:val="2"/>
          <w:lang w:val="en-US" w:eastAsia="zh-CN"/>
        </w:rPr>
        <w:t>Eur J Radiol</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85</w:t>
      </w:r>
      <w:r w:rsidRPr="009D7554">
        <w:rPr>
          <w:rFonts w:ascii="Book Antiqua" w:eastAsia="等线" w:hAnsi="Book Antiqua"/>
          <w:kern w:val="2"/>
          <w:lang w:val="en-US" w:eastAsia="zh-CN"/>
        </w:rPr>
        <w:t>: 1867-1874 [PMID: 27666629 DOI: 10.1016/j.ejrad.2016.08.014]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143 </w:t>
      </w:r>
      <w:r w:rsidRPr="009D7554">
        <w:rPr>
          <w:rFonts w:ascii="Book Antiqua" w:eastAsia="等线" w:hAnsi="Book Antiqua"/>
          <w:b/>
          <w:kern w:val="2"/>
          <w:lang w:val="en-US" w:eastAsia="zh-CN"/>
        </w:rPr>
        <w:t>Ng F</w:t>
      </w:r>
      <w:r w:rsidRPr="009D7554">
        <w:rPr>
          <w:rFonts w:ascii="Book Antiqua" w:eastAsia="等线" w:hAnsi="Book Antiqua"/>
          <w:kern w:val="2"/>
          <w:lang w:val="en-US" w:eastAsia="zh-CN"/>
        </w:rPr>
        <w:t xml:space="preserve">, Ganeshan B, Kozarski R, Miles KA, Goh V. Assessment of primary colorectal cancer heterogeneity by using whole-tumor texture analysis: contrast-enhanced CT texture as a biomarker of 5-year survival.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266</w:t>
      </w:r>
      <w:r w:rsidRPr="009D7554">
        <w:rPr>
          <w:rFonts w:ascii="Book Antiqua" w:eastAsia="等线" w:hAnsi="Book Antiqua"/>
          <w:kern w:val="2"/>
          <w:lang w:val="en-US" w:eastAsia="zh-CN"/>
        </w:rPr>
        <w:t>: 177-184 [PMID: 23151829 DOI: 10.1148/radiol.12120254]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144 </w:t>
      </w:r>
      <w:r w:rsidRPr="009D7554">
        <w:rPr>
          <w:rFonts w:ascii="Book Antiqua" w:eastAsia="等线" w:hAnsi="Book Antiqua"/>
          <w:b/>
          <w:kern w:val="2"/>
          <w:lang w:val="en-US" w:eastAsia="zh-CN"/>
        </w:rPr>
        <w:t>Miles KA</w:t>
      </w:r>
      <w:r w:rsidRPr="009D7554">
        <w:rPr>
          <w:rFonts w:ascii="Book Antiqua" w:eastAsia="等线" w:hAnsi="Book Antiqua"/>
          <w:kern w:val="2"/>
          <w:lang w:val="en-US" w:eastAsia="zh-CN"/>
        </w:rPr>
        <w:t xml:space="preserve">, Ganeshan B, Griffiths MR, Young RC, Chatwin CR. Colorectal cancer: texture analysis of portal phase hepatic CT images as a potential marker of survival.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2009; </w:t>
      </w:r>
      <w:r w:rsidRPr="009D7554">
        <w:rPr>
          <w:rFonts w:ascii="Book Antiqua" w:eastAsia="等线" w:hAnsi="Book Antiqua"/>
          <w:b/>
          <w:kern w:val="2"/>
          <w:lang w:val="en-US" w:eastAsia="zh-CN"/>
        </w:rPr>
        <w:t>250</w:t>
      </w:r>
      <w:r w:rsidRPr="009D7554">
        <w:rPr>
          <w:rFonts w:ascii="Book Antiqua" w:eastAsia="等线" w:hAnsi="Book Antiqua"/>
          <w:kern w:val="2"/>
          <w:lang w:val="en-US" w:eastAsia="zh-CN"/>
        </w:rPr>
        <w:t>: 444-452 [PMID: 19164695 DOI: 10.1148/radiol.2502071879]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145 </w:t>
      </w:r>
      <w:r w:rsidRPr="009D7554">
        <w:rPr>
          <w:rFonts w:ascii="Book Antiqua" w:eastAsia="等线" w:hAnsi="Book Antiqua"/>
          <w:b/>
          <w:kern w:val="2"/>
          <w:lang w:val="en-US" w:eastAsia="zh-CN"/>
        </w:rPr>
        <w:t>Lovinfosse P</w:t>
      </w:r>
      <w:r w:rsidRPr="009D7554">
        <w:rPr>
          <w:rFonts w:ascii="Book Antiqua" w:eastAsia="等线" w:hAnsi="Book Antiqua"/>
          <w:kern w:val="2"/>
          <w:lang w:val="en-US" w:eastAsia="zh-CN"/>
        </w:rPr>
        <w:t xml:space="preserve">, Polus M, Van Daele D, Martinive P, Daenen F, Hatt M, Visvikis D, Koopmansch B, Lambert F, Coimbra C, Seidel L, Albert A, Delvenne P, Hustinx R. FDG PET/CT radiomics for predicting the outcome of locally advanced rectal cancer. </w:t>
      </w:r>
      <w:r w:rsidRPr="009D7554">
        <w:rPr>
          <w:rFonts w:ascii="Book Antiqua" w:eastAsia="等线" w:hAnsi="Book Antiqua"/>
          <w:i/>
          <w:kern w:val="2"/>
          <w:lang w:val="en-US" w:eastAsia="zh-CN"/>
        </w:rPr>
        <w:t>Eur J Nucl Med Mol Imaging</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45</w:t>
      </w:r>
      <w:r w:rsidRPr="009D7554">
        <w:rPr>
          <w:rFonts w:ascii="Book Antiqua" w:eastAsia="等线" w:hAnsi="Book Antiqua"/>
          <w:kern w:val="2"/>
          <w:lang w:val="en-US" w:eastAsia="zh-CN"/>
        </w:rPr>
        <w:t>: 365-375 [PMID: 29046927 DOI: 10.1007/s00259-017-3855-5]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146 </w:t>
      </w:r>
      <w:r w:rsidRPr="009D7554">
        <w:rPr>
          <w:rFonts w:ascii="Book Antiqua" w:eastAsia="等线" w:hAnsi="Book Antiqua"/>
          <w:b/>
          <w:kern w:val="2"/>
          <w:lang w:val="en-US" w:eastAsia="zh-CN"/>
        </w:rPr>
        <w:t>Martens MH</w:t>
      </w:r>
      <w:r w:rsidRPr="009D7554">
        <w:rPr>
          <w:rFonts w:ascii="Book Antiqua" w:eastAsia="等线" w:hAnsi="Book Antiqua"/>
          <w:kern w:val="2"/>
          <w:lang w:val="en-US" w:eastAsia="zh-CN"/>
        </w:rPr>
        <w:t xml:space="preserve">, van Heeswijk MM, van den Broek JJ, Rao SX, Vandecaveye V, Vliegen RA, Schreurs WH, Beets GL, Lambregts DM, Beets-Tan RG. Prospective, Multicenter Validation Study of Magnetic Resonance Volumetry for Response Assessment After Preoperative Chemoradiation in Rectal Cancer: Can the Results in the Literature be Reproduced? </w:t>
      </w:r>
      <w:r w:rsidRPr="009D7554">
        <w:rPr>
          <w:rFonts w:ascii="Book Antiqua" w:eastAsia="等线" w:hAnsi="Book Antiqua"/>
          <w:i/>
          <w:kern w:val="2"/>
          <w:lang w:val="en-US" w:eastAsia="zh-CN"/>
        </w:rPr>
        <w:t>Int J Radiat Oncol Biol Phys</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93</w:t>
      </w:r>
      <w:r w:rsidRPr="009D7554">
        <w:rPr>
          <w:rFonts w:ascii="Book Antiqua" w:eastAsia="等线" w:hAnsi="Book Antiqua"/>
          <w:kern w:val="2"/>
          <w:lang w:val="en-US" w:eastAsia="zh-CN"/>
        </w:rPr>
        <w:t>: 1005-1014 [PMID: 26581139 DOI: 10.1016/j.ijrobp.2015.09.008]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147 </w:t>
      </w:r>
      <w:r w:rsidRPr="009D7554">
        <w:rPr>
          <w:rFonts w:ascii="Book Antiqua" w:eastAsia="等线" w:hAnsi="Book Antiqua"/>
          <w:b/>
          <w:kern w:val="2"/>
          <w:lang w:val="en-US" w:eastAsia="zh-CN"/>
        </w:rPr>
        <w:t>Neri E</w:t>
      </w:r>
      <w:r w:rsidRPr="009D7554">
        <w:rPr>
          <w:rFonts w:ascii="Book Antiqua" w:eastAsia="等线" w:hAnsi="Book Antiqua"/>
          <w:kern w:val="2"/>
          <w:lang w:val="en-US" w:eastAsia="zh-CN"/>
        </w:rPr>
        <w:t xml:space="preserve">, Guidi E, Pancrazi F, Castagna M, Castelluccio E, Balestri R, Buccianti P, Masi L, Falcone A, Manfredi B, Faggioni L, Bartolozzi C. MRI tumor volume reduction rate vs tumor regression grade in the pre-operative re-staging of locally advanced rectal cancer after chemo-radiotherapy. </w:t>
      </w:r>
      <w:r w:rsidRPr="009D7554">
        <w:rPr>
          <w:rFonts w:ascii="Book Antiqua" w:eastAsia="等线" w:hAnsi="Book Antiqua"/>
          <w:i/>
          <w:kern w:val="2"/>
          <w:lang w:val="en-US" w:eastAsia="zh-CN"/>
        </w:rPr>
        <w:t>Eur J Radiol</w:t>
      </w:r>
      <w:r w:rsidRPr="009D7554">
        <w:rPr>
          <w:rFonts w:ascii="Book Antiqua" w:eastAsia="等线" w:hAnsi="Book Antiqua"/>
          <w:kern w:val="2"/>
          <w:lang w:val="en-US" w:eastAsia="zh-CN"/>
        </w:rPr>
        <w:t xml:space="preserve"> 2015; </w:t>
      </w:r>
      <w:r w:rsidRPr="009D7554">
        <w:rPr>
          <w:rFonts w:ascii="Book Antiqua" w:eastAsia="等线" w:hAnsi="Book Antiqua"/>
          <w:b/>
          <w:kern w:val="2"/>
          <w:lang w:val="en-US" w:eastAsia="zh-CN"/>
        </w:rPr>
        <w:t>84</w:t>
      </w:r>
      <w:r w:rsidRPr="009D7554">
        <w:rPr>
          <w:rFonts w:ascii="Book Antiqua" w:eastAsia="等线" w:hAnsi="Book Antiqua"/>
          <w:kern w:val="2"/>
          <w:lang w:val="en-US" w:eastAsia="zh-CN"/>
        </w:rPr>
        <w:t>: 2438-2443 [PMID: 26462793 DOI: 10.1016/j.ejrad.2015.08.008]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148 </w:t>
      </w:r>
      <w:r w:rsidRPr="009D7554">
        <w:rPr>
          <w:rFonts w:ascii="Book Antiqua" w:eastAsia="等线" w:hAnsi="Book Antiqua"/>
          <w:b/>
          <w:kern w:val="2"/>
          <w:lang w:val="en-US" w:eastAsia="zh-CN"/>
        </w:rPr>
        <w:t>Atasoy G</w:t>
      </w:r>
      <w:r w:rsidRPr="009D7554">
        <w:rPr>
          <w:rFonts w:ascii="Book Antiqua" w:eastAsia="等线" w:hAnsi="Book Antiqua"/>
          <w:kern w:val="2"/>
          <w:lang w:val="en-US" w:eastAsia="zh-CN"/>
        </w:rPr>
        <w:t xml:space="preserve">, Arslan NC, Elibol FD, Sagol O, Obuz F, Sokmen S. Magnetic resonance-based pelvimetry and tumor volumetry can predict surgical difficulty and oncologic outcome in locally advanced mid-low rectal cancer. </w:t>
      </w:r>
      <w:r w:rsidRPr="009D7554">
        <w:rPr>
          <w:rFonts w:ascii="Book Antiqua" w:eastAsia="等线" w:hAnsi="Book Antiqua"/>
          <w:i/>
          <w:kern w:val="2"/>
          <w:lang w:val="en-US" w:eastAsia="zh-CN"/>
        </w:rPr>
        <w:t>Surg Today</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48</w:t>
      </w:r>
      <w:r w:rsidRPr="009D7554">
        <w:rPr>
          <w:rFonts w:ascii="Book Antiqua" w:eastAsia="等线" w:hAnsi="Book Antiqua"/>
          <w:kern w:val="2"/>
          <w:lang w:val="en-US" w:eastAsia="zh-CN"/>
        </w:rPr>
        <w:t>: 1040-1051 [PMID: 29961173 DOI: 10.1007/s00595-018-1690-3]</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149 </w:t>
      </w:r>
      <w:r w:rsidRPr="009D7554">
        <w:rPr>
          <w:rFonts w:ascii="Book Antiqua" w:eastAsia="等线" w:hAnsi="Book Antiqua"/>
          <w:b/>
          <w:kern w:val="2"/>
          <w:lang w:val="en-US" w:eastAsia="zh-CN"/>
        </w:rPr>
        <w:t>Okuno T</w:t>
      </w:r>
      <w:r w:rsidRPr="009D7554">
        <w:rPr>
          <w:rFonts w:ascii="Book Antiqua" w:eastAsia="等线" w:hAnsi="Book Antiqua"/>
          <w:kern w:val="2"/>
          <w:lang w:val="en-US" w:eastAsia="zh-CN"/>
        </w:rPr>
        <w:t xml:space="preserve">, Kawai K, Koyama K, Takahashi M, Ishihara S, Momose T, Morikawa T, Fukayama M, Watanabe T. Value of FDG-PET/CT Volumetry After Chemoradiotherapy in Rectal Cancer. </w:t>
      </w:r>
      <w:r w:rsidRPr="009D7554">
        <w:rPr>
          <w:rFonts w:ascii="Book Antiqua" w:eastAsia="等线" w:hAnsi="Book Antiqua"/>
          <w:i/>
          <w:kern w:val="2"/>
          <w:lang w:val="en-US" w:eastAsia="zh-CN"/>
        </w:rPr>
        <w:t>Dis Colon Rectum</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61</w:t>
      </w:r>
      <w:r w:rsidRPr="009D7554">
        <w:rPr>
          <w:rFonts w:ascii="Book Antiqua" w:eastAsia="等线" w:hAnsi="Book Antiqua"/>
          <w:kern w:val="2"/>
          <w:lang w:val="en-US" w:eastAsia="zh-CN"/>
        </w:rPr>
        <w:t>: 320-327 [PMID: 29360680 DOI: 10.1097/DCR.0000000000000959]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150 </w:t>
      </w:r>
      <w:r w:rsidRPr="009D7554">
        <w:rPr>
          <w:rFonts w:ascii="Book Antiqua" w:eastAsia="等线" w:hAnsi="Book Antiqua"/>
          <w:b/>
          <w:kern w:val="2"/>
          <w:lang w:val="en-US" w:eastAsia="zh-CN"/>
        </w:rPr>
        <w:t>Pomerri F</w:t>
      </w:r>
      <w:r w:rsidRPr="009D7554">
        <w:rPr>
          <w:rFonts w:ascii="Book Antiqua" w:eastAsia="等线" w:hAnsi="Book Antiqua"/>
          <w:kern w:val="2"/>
          <w:lang w:val="en-US" w:eastAsia="zh-CN"/>
        </w:rPr>
        <w:t xml:space="preserve">, Pucciarelli S, Gennaro G, Maretto I, Nitti D, Muzzio PC. Comparison between CT volume measurement and histopathological assessment of response to neoadjuvant therapy in rectal cancer. </w:t>
      </w:r>
      <w:r w:rsidRPr="009D7554">
        <w:rPr>
          <w:rFonts w:ascii="Book Antiqua" w:eastAsia="等线" w:hAnsi="Book Antiqua"/>
          <w:i/>
          <w:kern w:val="2"/>
          <w:lang w:val="en-US" w:eastAsia="zh-CN"/>
        </w:rPr>
        <w:t>Eur J Radiol</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81</w:t>
      </w:r>
      <w:r w:rsidRPr="009D7554">
        <w:rPr>
          <w:rFonts w:ascii="Book Antiqua" w:eastAsia="等线" w:hAnsi="Book Antiqua"/>
          <w:kern w:val="2"/>
          <w:lang w:val="en-US" w:eastAsia="zh-CN"/>
        </w:rPr>
        <w:t>: 3918-3924 [PMID: 22902408 DOI: 10.1016/j.ejrad.2012.04.038]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151 </w:t>
      </w:r>
      <w:r w:rsidRPr="009D7554">
        <w:rPr>
          <w:rFonts w:ascii="Book Antiqua" w:eastAsia="等线" w:hAnsi="Book Antiqua"/>
          <w:b/>
          <w:kern w:val="2"/>
          <w:lang w:val="en-US" w:eastAsia="zh-CN"/>
        </w:rPr>
        <w:t>Kim S</w:t>
      </w:r>
      <w:r w:rsidRPr="009D7554">
        <w:rPr>
          <w:rFonts w:ascii="Book Antiqua" w:eastAsia="等线" w:hAnsi="Book Antiqua"/>
          <w:kern w:val="2"/>
          <w:lang w:val="en-US" w:eastAsia="zh-CN"/>
        </w:rPr>
        <w:t xml:space="preserve">, Han K, Seo N, Kim HJ, Kim MJ, Koom WS, Ahn JB, Lim JS. T2-weighted signal intensity-selected volumetry for prediction of pathological complete response after preoperative chemoradiotherapy in locally advanced rectal cancer. </w:t>
      </w:r>
      <w:r w:rsidRPr="009D7554">
        <w:rPr>
          <w:rFonts w:ascii="Book Antiqua" w:eastAsia="等线" w:hAnsi="Book Antiqua"/>
          <w:i/>
          <w:kern w:val="2"/>
          <w:lang w:val="en-US" w:eastAsia="zh-CN"/>
        </w:rPr>
        <w:t>Eur Radiol</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28</w:t>
      </w:r>
      <w:r w:rsidRPr="009D7554">
        <w:rPr>
          <w:rFonts w:ascii="Book Antiqua" w:eastAsia="等线" w:hAnsi="Book Antiqua"/>
          <w:kern w:val="2"/>
          <w:lang w:val="en-US" w:eastAsia="zh-CN"/>
        </w:rPr>
        <w:t>: 5231-5240 [PMID: 29858637 DOI: 10.1007/s00330-018-5520-1]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152 </w:t>
      </w:r>
      <w:r w:rsidRPr="009D7554">
        <w:rPr>
          <w:rFonts w:ascii="Book Antiqua" w:eastAsia="等线" w:hAnsi="Book Antiqua"/>
          <w:b/>
          <w:kern w:val="2"/>
          <w:lang w:val="en-US" w:eastAsia="zh-CN"/>
        </w:rPr>
        <w:t>Gollub MJ</w:t>
      </w:r>
      <w:r w:rsidRPr="009D7554">
        <w:rPr>
          <w:rFonts w:ascii="Book Antiqua" w:eastAsia="等线" w:hAnsi="Book Antiqua"/>
          <w:kern w:val="2"/>
          <w:lang w:val="en-US" w:eastAsia="zh-CN"/>
        </w:rPr>
        <w:t xml:space="preserve">, Hotker AM, Woo KM, Mazaheri Y, Gonen M. Quantitating whole lesion tumor biology in rectal cancer MRI: taking a lesson from FDG-PET tumor metrics. </w:t>
      </w:r>
      <w:r w:rsidRPr="009D7554">
        <w:rPr>
          <w:rFonts w:ascii="Book Antiqua" w:eastAsia="等线" w:hAnsi="Book Antiqua"/>
          <w:i/>
          <w:kern w:val="2"/>
          <w:lang w:val="en-US" w:eastAsia="zh-CN"/>
        </w:rPr>
        <w:t>Abdom Radiol (NY)</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43</w:t>
      </w:r>
      <w:r w:rsidRPr="009D7554">
        <w:rPr>
          <w:rFonts w:ascii="Book Antiqua" w:eastAsia="等线" w:hAnsi="Book Antiqua"/>
          <w:kern w:val="2"/>
          <w:lang w:val="en-US" w:eastAsia="zh-CN"/>
        </w:rPr>
        <w:t>: 1575-1582 [PMID: 29159523 DOI: 10.1007/s00261-017-1389-8]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153 </w:t>
      </w:r>
      <w:r w:rsidRPr="009D7554">
        <w:rPr>
          <w:rFonts w:ascii="Book Antiqua" w:eastAsia="等线" w:hAnsi="Book Antiqua"/>
          <w:b/>
          <w:kern w:val="2"/>
          <w:lang w:val="en-US" w:eastAsia="zh-CN"/>
        </w:rPr>
        <w:t>Koh TS</w:t>
      </w:r>
      <w:r w:rsidRPr="009D7554">
        <w:rPr>
          <w:rFonts w:ascii="Book Antiqua" w:eastAsia="等线" w:hAnsi="Book Antiqua"/>
          <w:kern w:val="2"/>
          <w:lang w:val="en-US" w:eastAsia="zh-CN"/>
        </w:rPr>
        <w:t xml:space="preserve">, Ng QS, Thng CH, Kwek JW, Kozarski R, Goh V. Primary colorectal cancer: use of kinetic modeling of dynamic contrast-enhanced CT data to predict clinical outcome.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2013; </w:t>
      </w:r>
      <w:r w:rsidRPr="009D7554">
        <w:rPr>
          <w:rFonts w:ascii="Book Antiqua" w:eastAsia="等线" w:hAnsi="Book Antiqua"/>
          <w:b/>
          <w:kern w:val="2"/>
          <w:lang w:val="en-US" w:eastAsia="zh-CN"/>
        </w:rPr>
        <w:t>267</w:t>
      </w:r>
      <w:r w:rsidRPr="009D7554">
        <w:rPr>
          <w:rFonts w:ascii="Book Antiqua" w:eastAsia="等线" w:hAnsi="Book Antiqua"/>
          <w:kern w:val="2"/>
          <w:lang w:val="en-US" w:eastAsia="zh-CN"/>
        </w:rPr>
        <w:t>: 145-154 [PMID: 23297334 DOI: 10.1148/radiol.12120186]</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154 </w:t>
      </w:r>
      <w:r w:rsidRPr="009D7554">
        <w:rPr>
          <w:rFonts w:ascii="Book Antiqua" w:eastAsia="等线" w:hAnsi="Book Antiqua"/>
          <w:b/>
          <w:kern w:val="2"/>
          <w:lang w:val="en-US" w:eastAsia="zh-CN"/>
        </w:rPr>
        <w:t>Hakimé A</w:t>
      </w:r>
      <w:r w:rsidRPr="009D7554">
        <w:rPr>
          <w:rFonts w:ascii="Book Antiqua" w:eastAsia="等线" w:hAnsi="Book Antiqua"/>
          <w:kern w:val="2"/>
          <w:lang w:val="en-US" w:eastAsia="zh-CN"/>
        </w:rPr>
        <w:t xml:space="preserve">, Peddi H, Hines-Peralta AU, Wilcox CJ, Kruskal J, Lin S, de Baere T, Raptopoulos VD, Goldberg SN. CT perfusion for determination of pharmacologically mediated blood flow changes in an animal tumor model.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2007; </w:t>
      </w:r>
      <w:r w:rsidRPr="009D7554">
        <w:rPr>
          <w:rFonts w:ascii="Book Antiqua" w:eastAsia="等线" w:hAnsi="Book Antiqua"/>
          <w:b/>
          <w:kern w:val="2"/>
          <w:lang w:val="en-US" w:eastAsia="zh-CN"/>
        </w:rPr>
        <w:t>243</w:t>
      </w:r>
      <w:r w:rsidRPr="009D7554">
        <w:rPr>
          <w:rFonts w:ascii="Book Antiqua" w:eastAsia="等线" w:hAnsi="Book Antiqua"/>
          <w:kern w:val="2"/>
          <w:lang w:val="en-US" w:eastAsia="zh-CN"/>
        </w:rPr>
        <w:t>: 712-719 [PMID: 17517930 DOI: 10.1148/radiol.2433052048]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155 </w:t>
      </w:r>
      <w:r w:rsidRPr="009D7554">
        <w:rPr>
          <w:rFonts w:ascii="Book Antiqua" w:eastAsia="等线" w:hAnsi="Book Antiqua"/>
          <w:b/>
          <w:kern w:val="2"/>
          <w:lang w:val="en-US" w:eastAsia="zh-CN"/>
        </w:rPr>
        <w:t>van Laarhoven HW</w:t>
      </w:r>
      <w:r w:rsidRPr="009D7554">
        <w:rPr>
          <w:rFonts w:ascii="Book Antiqua" w:eastAsia="等线" w:hAnsi="Book Antiqua"/>
          <w:kern w:val="2"/>
          <w:lang w:val="en-US" w:eastAsia="zh-CN"/>
        </w:rPr>
        <w:t xml:space="preserve">, de Geus-Oei LF, Wiering B, Lok J, Rijpkema M, Kaanders JH, Krabbe PF, Ruers T, Punt CJ, van der Kogel AJ, Oyen WJ, Heerschap A. Gadopentetate dimeglumine and FDG uptake in liver metastases of colorectal carcinoma as determined with MR imaging and PET. </w:t>
      </w:r>
      <w:r w:rsidRPr="009D7554">
        <w:rPr>
          <w:rFonts w:ascii="Book Antiqua" w:eastAsia="等线" w:hAnsi="Book Antiqua"/>
          <w:i/>
          <w:kern w:val="2"/>
          <w:lang w:val="en-US" w:eastAsia="zh-CN"/>
        </w:rPr>
        <w:t>Radiology</w:t>
      </w:r>
      <w:r w:rsidRPr="009D7554">
        <w:rPr>
          <w:rFonts w:ascii="Book Antiqua" w:eastAsia="等线" w:hAnsi="Book Antiqua"/>
          <w:kern w:val="2"/>
          <w:lang w:val="en-US" w:eastAsia="zh-CN"/>
        </w:rPr>
        <w:t xml:space="preserve"> 2005; </w:t>
      </w:r>
      <w:r w:rsidRPr="009D7554">
        <w:rPr>
          <w:rFonts w:ascii="Book Antiqua" w:eastAsia="等线" w:hAnsi="Book Antiqua"/>
          <w:b/>
          <w:kern w:val="2"/>
          <w:lang w:val="en-US" w:eastAsia="zh-CN"/>
        </w:rPr>
        <w:t>237</w:t>
      </w:r>
      <w:r w:rsidRPr="009D7554">
        <w:rPr>
          <w:rFonts w:ascii="Book Antiqua" w:eastAsia="等线" w:hAnsi="Book Antiqua"/>
          <w:kern w:val="2"/>
          <w:lang w:val="en-US" w:eastAsia="zh-CN"/>
        </w:rPr>
        <w:t>: 181-188 [PMID: 16183932 DOI: 10.1148/radiol.2371041397]</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156 </w:t>
      </w:r>
      <w:r w:rsidRPr="009D7554">
        <w:rPr>
          <w:rFonts w:ascii="Book Antiqua" w:eastAsia="等线" w:hAnsi="Book Antiqua"/>
          <w:b/>
          <w:kern w:val="2"/>
          <w:lang w:val="en-US" w:eastAsia="zh-CN"/>
        </w:rPr>
        <w:t>Goh V</w:t>
      </w:r>
      <w:r w:rsidRPr="009D7554">
        <w:rPr>
          <w:rFonts w:ascii="Book Antiqua" w:eastAsia="等线" w:hAnsi="Book Antiqua"/>
          <w:kern w:val="2"/>
          <w:lang w:val="en-US" w:eastAsia="zh-CN"/>
        </w:rPr>
        <w:t xml:space="preserve">, Engledow A, Rodriguez-Justo M, Shastry M, Peck J, Blackman G, Endozo R, Taylor S, Halligan S, Ell P, Groves AM. The flow-metabolic phenotype of primary colorectal cancer: assessment by integrated 18F-FDG PET/perfusion CT with histopathologic correlation. </w:t>
      </w:r>
      <w:r w:rsidRPr="009D7554">
        <w:rPr>
          <w:rFonts w:ascii="Book Antiqua" w:eastAsia="等线" w:hAnsi="Book Antiqua"/>
          <w:i/>
          <w:kern w:val="2"/>
          <w:lang w:val="en-US" w:eastAsia="zh-CN"/>
        </w:rPr>
        <w:t>J Nucl Med</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53</w:t>
      </w:r>
      <w:r w:rsidRPr="009D7554">
        <w:rPr>
          <w:rFonts w:ascii="Book Antiqua" w:eastAsia="等线" w:hAnsi="Book Antiqua"/>
          <w:kern w:val="2"/>
          <w:lang w:val="en-US" w:eastAsia="zh-CN"/>
        </w:rPr>
        <w:t>: 687-692 [PMID: 22454485 DOI: 10.2967/jnumed.111.098525]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157 </w:t>
      </w:r>
      <w:r w:rsidRPr="009D7554">
        <w:rPr>
          <w:rFonts w:ascii="Book Antiqua" w:eastAsia="等线" w:hAnsi="Book Antiqua"/>
          <w:b/>
          <w:kern w:val="2"/>
          <w:lang w:val="en-US" w:eastAsia="zh-CN"/>
        </w:rPr>
        <w:t>Janssen MH</w:t>
      </w:r>
      <w:r w:rsidRPr="009D7554">
        <w:rPr>
          <w:rFonts w:ascii="Book Antiqua" w:eastAsia="等线" w:hAnsi="Book Antiqua"/>
          <w:kern w:val="2"/>
          <w:lang w:val="en-US" w:eastAsia="zh-CN"/>
        </w:rPr>
        <w:t xml:space="preserve">, Aerts HJ, Buijsen J, Lambin P, Lammering G, Öllers MC. Repeated positron emission tomography-computed tomography and perfusion-computed tomography imaging in rectal cancer: fluorodeoxyglucose uptake corresponds with tumor perfusion. </w:t>
      </w:r>
      <w:r w:rsidRPr="009D7554">
        <w:rPr>
          <w:rFonts w:ascii="Book Antiqua" w:eastAsia="等线" w:hAnsi="Book Antiqua"/>
          <w:i/>
          <w:kern w:val="2"/>
          <w:lang w:val="en-US" w:eastAsia="zh-CN"/>
        </w:rPr>
        <w:t>Int J Radiat Oncol Biol Phys</w:t>
      </w:r>
      <w:r w:rsidRPr="009D7554">
        <w:rPr>
          <w:rFonts w:ascii="Book Antiqua" w:eastAsia="等线" w:hAnsi="Book Antiqua"/>
          <w:kern w:val="2"/>
          <w:lang w:val="en-US" w:eastAsia="zh-CN"/>
        </w:rPr>
        <w:t xml:space="preserve"> 2012; </w:t>
      </w:r>
      <w:r w:rsidRPr="009D7554">
        <w:rPr>
          <w:rFonts w:ascii="Book Antiqua" w:eastAsia="等线" w:hAnsi="Book Antiqua"/>
          <w:b/>
          <w:kern w:val="2"/>
          <w:lang w:val="en-US" w:eastAsia="zh-CN"/>
        </w:rPr>
        <w:t>82</w:t>
      </w:r>
      <w:r w:rsidRPr="009D7554">
        <w:rPr>
          <w:rFonts w:ascii="Book Antiqua" w:eastAsia="等线" w:hAnsi="Book Antiqua"/>
          <w:kern w:val="2"/>
          <w:lang w:val="en-US" w:eastAsia="zh-CN"/>
        </w:rPr>
        <w:t>: 849-855 [PMID: 21392896 DOI: 10.1016/j.ijrobp.2010.10.029]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158 </w:t>
      </w:r>
      <w:r w:rsidRPr="009D7554">
        <w:rPr>
          <w:rFonts w:ascii="Book Antiqua" w:eastAsia="等线" w:hAnsi="Book Antiqua"/>
          <w:b/>
          <w:kern w:val="2"/>
          <w:lang w:val="en-US" w:eastAsia="zh-CN"/>
        </w:rPr>
        <w:t>Gu J</w:t>
      </w:r>
      <w:r w:rsidRPr="009D7554">
        <w:rPr>
          <w:rFonts w:ascii="Book Antiqua" w:eastAsia="等线" w:hAnsi="Book Antiqua"/>
          <w:kern w:val="2"/>
          <w:lang w:val="en-US" w:eastAsia="zh-CN"/>
        </w:rPr>
        <w:t xml:space="preserve">, Khong PL, Wang S, Chan Q, Wu EX, Law W, Liu RK, Zhang J. Dynamic contrast-enhanced MRI of primary rectal cancer: quantitative correlation with positron emission tomography/computed tomography. </w:t>
      </w:r>
      <w:r w:rsidRPr="009D7554">
        <w:rPr>
          <w:rFonts w:ascii="Book Antiqua" w:eastAsia="等线" w:hAnsi="Book Antiqua"/>
          <w:i/>
          <w:kern w:val="2"/>
          <w:lang w:val="en-US" w:eastAsia="zh-CN"/>
        </w:rPr>
        <w:t>J Magn Reson Imaging</w:t>
      </w:r>
      <w:r w:rsidRPr="009D7554">
        <w:rPr>
          <w:rFonts w:ascii="Book Antiqua" w:eastAsia="等线" w:hAnsi="Book Antiqua"/>
          <w:kern w:val="2"/>
          <w:lang w:val="en-US" w:eastAsia="zh-CN"/>
        </w:rPr>
        <w:t xml:space="preserve"> 2011; </w:t>
      </w:r>
      <w:r w:rsidRPr="009D7554">
        <w:rPr>
          <w:rFonts w:ascii="Book Antiqua" w:eastAsia="等线" w:hAnsi="Book Antiqua"/>
          <w:b/>
          <w:kern w:val="2"/>
          <w:lang w:val="en-US" w:eastAsia="zh-CN"/>
        </w:rPr>
        <w:t>33</w:t>
      </w:r>
      <w:r w:rsidRPr="009D7554">
        <w:rPr>
          <w:rFonts w:ascii="Book Antiqua" w:eastAsia="等线" w:hAnsi="Book Antiqua"/>
          <w:kern w:val="2"/>
          <w:lang w:val="en-US" w:eastAsia="zh-CN"/>
        </w:rPr>
        <w:t>: 340-347 [PMID: 21274975 DOI: 10.1002/jmri.22405]</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159 </w:t>
      </w:r>
      <w:r w:rsidRPr="009D7554">
        <w:rPr>
          <w:rFonts w:ascii="Book Antiqua" w:eastAsia="等线" w:hAnsi="Book Antiqua"/>
          <w:b/>
          <w:kern w:val="2"/>
          <w:lang w:val="en-US" w:eastAsia="zh-CN"/>
        </w:rPr>
        <w:t>Fischer MA</w:t>
      </w:r>
      <w:r w:rsidRPr="009D7554">
        <w:rPr>
          <w:rFonts w:ascii="Book Antiqua" w:eastAsia="等线" w:hAnsi="Book Antiqua"/>
          <w:kern w:val="2"/>
          <w:lang w:val="en-US" w:eastAsia="zh-CN"/>
        </w:rPr>
        <w:t>, Vrugt B, Alkadhi H, Hahnloser D, Hany TF, Veit-Haibach P. Integrated ¹</w:t>
      </w:r>
      <w:r w:rsidRPr="009D7554">
        <w:rPr>
          <w:rFonts w:ascii="Times New Roman" w:eastAsia="等线" w:hAnsi="Times New Roman"/>
          <w:kern w:val="2"/>
          <w:lang w:val="en-US" w:eastAsia="zh-CN"/>
        </w:rPr>
        <w:t>⁸</w:t>
      </w:r>
      <w:r w:rsidRPr="009D7554">
        <w:rPr>
          <w:rFonts w:ascii="Book Antiqua" w:eastAsia="等线" w:hAnsi="Book Antiqua"/>
          <w:kern w:val="2"/>
          <w:lang w:val="en-US" w:eastAsia="zh-CN"/>
        </w:rPr>
        <w:t xml:space="preserve">F-FDG PET/perfusion CT for the monitoring of neoadjuvant chemoradiotherapy in rectal carcinoma: correlation with histopathology. </w:t>
      </w:r>
      <w:r w:rsidRPr="009D7554">
        <w:rPr>
          <w:rFonts w:ascii="Book Antiqua" w:eastAsia="等线" w:hAnsi="Book Antiqua"/>
          <w:i/>
          <w:kern w:val="2"/>
          <w:lang w:val="en-US" w:eastAsia="zh-CN"/>
        </w:rPr>
        <w:t>Eur J Nucl Med Mol Imaging</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41</w:t>
      </w:r>
      <w:r w:rsidRPr="009D7554">
        <w:rPr>
          <w:rFonts w:ascii="Book Antiqua" w:eastAsia="等线" w:hAnsi="Book Antiqua"/>
          <w:kern w:val="2"/>
          <w:lang w:val="en-US" w:eastAsia="zh-CN"/>
        </w:rPr>
        <w:t>: 1563-1573 [PMID: 24760269 DOI: 10.1007/s00259-014-2752-4]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160 </w:t>
      </w:r>
      <w:r w:rsidRPr="009D7554">
        <w:rPr>
          <w:rFonts w:ascii="Book Antiqua" w:eastAsia="等线" w:hAnsi="Book Antiqua"/>
          <w:b/>
          <w:kern w:val="2"/>
          <w:lang w:val="en-US" w:eastAsia="zh-CN"/>
        </w:rPr>
        <w:t>Wu J</w:t>
      </w:r>
      <w:r w:rsidRPr="009D7554">
        <w:rPr>
          <w:rFonts w:ascii="Book Antiqua" w:eastAsia="等线" w:hAnsi="Book Antiqua"/>
          <w:kern w:val="2"/>
          <w:lang w:val="en-US" w:eastAsia="zh-CN"/>
        </w:rPr>
        <w:t xml:space="preserve">, Tha KK, Xing L, Li R. Radiomics and radiogenomics for precision radiotherapy. </w:t>
      </w:r>
      <w:r w:rsidRPr="009D7554">
        <w:rPr>
          <w:rFonts w:ascii="Book Antiqua" w:eastAsia="等线" w:hAnsi="Book Antiqua"/>
          <w:i/>
          <w:kern w:val="2"/>
          <w:lang w:val="en-US" w:eastAsia="zh-CN"/>
        </w:rPr>
        <w:t>J Radiat Res</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59</w:t>
      </w:r>
      <w:r w:rsidRPr="009D7554">
        <w:rPr>
          <w:rFonts w:ascii="Book Antiqua" w:eastAsia="等线" w:hAnsi="Book Antiqua"/>
          <w:kern w:val="2"/>
          <w:lang w:val="en-US" w:eastAsia="zh-CN"/>
        </w:rPr>
        <w:t>: i25-i31 [PMID: 29385618 DOI: 10.1093/jrr/rrx102]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161 </w:t>
      </w:r>
      <w:r w:rsidRPr="009D7554">
        <w:rPr>
          <w:rFonts w:ascii="Book Antiqua" w:eastAsia="等线" w:hAnsi="Book Antiqua"/>
          <w:b/>
          <w:kern w:val="2"/>
          <w:lang w:val="en-US" w:eastAsia="zh-CN"/>
        </w:rPr>
        <w:t>García-Figueiras R</w:t>
      </w:r>
      <w:r w:rsidRPr="009D7554">
        <w:rPr>
          <w:rFonts w:ascii="Book Antiqua" w:eastAsia="等线" w:hAnsi="Book Antiqua"/>
          <w:kern w:val="2"/>
          <w:lang w:val="en-US" w:eastAsia="zh-CN"/>
        </w:rPr>
        <w:t xml:space="preserve">, Baleato-González S, Padhani AR, Luna-Alcalá A, Marhuenda A, Vilanova JC, Osorio-Vázquez I, Martínez-de-Alegría A, Gómez-Caamaño A. Advanced Imaging Techniques in Evaluation of Colorectal Cancer. </w:t>
      </w:r>
      <w:r w:rsidRPr="009D7554">
        <w:rPr>
          <w:rFonts w:ascii="Book Antiqua" w:eastAsia="等线" w:hAnsi="Book Antiqua"/>
          <w:i/>
          <w:kern w:val="2"/>
          <w:lang w:val="en-US" w:eastAsia="zh-CN"/>
        </w:rPr>
        <w:t>Radiographics</w:t>
      </w:r>
      <w:r w:rsidRPr="009D7554">
        <w:rPr>
          <w:rFonts w:ascii="Book Antiqua" w:eastAsia="等线" w:hAnsi="Book Antiqua"/>
          <w:kern w:val="2"/>
          <w:lang w:val="en-US" w:eastAsia="zh-CN"/>
        </w:rPr>
        <w:t xml:space="preserve"> 2018; </w:t>
      </w:r>
      <w:r w:rsidRPr="009D7554">
        <w:rPr>
          <w:rFonts w:ascii="Book Antiqua" w:eastAsia="等线" w:hAnsi="Book Antiqua"/>
          <w:b/>
          <w:kern w:val="2"/>
          <w:lang w:val="en-US" w:eastAsia="zh-CN"/>
        </w:rPr>
        <w:t>38</w:t>
      </w:r>
      <w:r w:rsidRPr="009D7554">
        <w:rPr>
          <w:rFonts w:ascii="Book Antiqua" w:eastAsia="等线" w:hAnsi="Book Antiqua"/>
          <w:kern w:val="2"/>
          <w:lang w:val="en-US" w:eastAsia="zh-CN"/>
        </w:rPr>
        <w:t>: 740-765 [PMID: 29676964 DOI: 10.1148/rg.2018170044]</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162 </w:t>
      </w:r>
      <w:r w:rsidRPr="009D7554">
        <w:rPr>
          <w:rFonts w:ascii="Book Antiqua" w:eastAsia="等线" w:hAnsi="Book Antiqua"/>
          <w:b/>
          <w:kern w:val="2"/>
          <w:lang w:val="en-US" w:eastAsia="zh-CN"/>
        </w:rPr>
        <w:t>Horvat N</w:t>
      </w:r>
      <w:r w:rsidRPr="009D7554">
        <w:rPr>
          <w:rFonts w:ascii="Book Antiqua" w:eastAsia="等线" w:hAnsi="Book Antiqua"/>
          <w:kern w:val="2"/>
          <w:lang w:val="en-US" w:eastAsia="zh-CN"/>
        </w:rPr>
        <w:t xml:space="preserve">, Veeraraghavan H, Pelossof RA, Fernandes MC, Arora A, Khan M, Marco M, Cheng CT, Gonen M, Golia Pernicka JS, Gollub MJ, Garcia-Aguillar J, Petkovska I. Radiogenomics of rectal adenocarcinoma in the era of precision medicine: A pilot study of associations between qualitative and quantitative MRI imaging features and genetic mutations. </w:t>
      </w:r>
      <w:r w:rsidRPr="009D7554">
        <w:rPr>
          <w:rFonts w:ascii="Book Antiqua" w:eastAsia="等线" w:hAnsi="Book Antiqua"/>
          <w:i/>
          <w:kern w:val="2"/>
          <w:lang w:val="en-US" w:eastAsia="zh-CN"/>
        </w:rPr>
        <w:t>Eur J Radiol</w:t>
      </w:r>
      <w:r w:rsidRPr="009D7554">
        <w:rPr>
          <w:rFonts w:ascii="Book Antiqua" w:eastAsia="等线" w:hAnsi="Book Antiqua"/>
          <w:kern w:val="2"/>
          <w:lang w:val="en-US" w:eastAsia="zh-CN"/>
        </w:rPr>
        <w:t xml:space="preserve"> 2019; </w:t>
      </w:r>
      <w:r w:rsidRPr="009D7554">
        <w:rPr>
          <w:rFonts w:ascii="Book Antiqua" w:eastAsia="等线" w:hAnsi="Book Antiqua"/>
          <w:b/>
          <w:kern w:val="2"/>
          <w:lang w:val="en-US" w:eastAsia="zh-CN"/>
        </w:rPr>
        <w:t>113</w:t>
      </w:r>
      <w:r w:rsidRPr="009D7554">
        <w:rPr>
          <w:rFonts w:ascii="Book Antiqua" w:eastAsia="等线" w:hAnsi="Book Antiqua"/>
          <w:kern w:val="2"/>
          <w:lang w:val="en-US" w:eastAsia="zh-CN"/>
        </w:rPr>
        <w:t>: 174-181 [PMID: 30927944 DOI: 10.1016/j.ejrad.2019.02.022]</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163 </w:t>
      </w:r>
      <w:r w:rsidRPr="009D7554">
        <w:rPr>
          <w:rFonts w:ascii="Book Antiqua" w:eastAsia="等线" w:hAnsi="Book Antiqua"/>
          <w:b/>
          <w:kern w:val="2"/>
          <w:lang w:val="en-US" w:eastAsia="zh-CN"/>
        </w:rPr>
        <w:t>Shin YR</w:t>
      </w:r>
      <w:r w:rsidRPr="009D7554">
        <w:rPr>
          <w:rFonts w:ascii="Book Antiqua" w:eastAsia="等线" w:hAnsi="Book Antiqua"/>
          <w:kern w:val="2"/>
          <w:lang w:val="en-US" w:eastAsia="zh-CN"/>
        </w:rPr>
        <w:t xml:space="preserve">, Kim KA, Im S, Hwang SS, Kim K. Prediction of KRAS Mutation in Rectal Cancer Using MRI. </w:t>
      </w:r>
      <w:r w:rsidRPr="009D7554">
        <w:rPr>
          <w:rFonts w:ascii="Book Antiqua" w:eastAsia="等线" w:hAnsi="Book Antiqua"/>
          <w:i/>
          <w:kern w:val="2"/>
          <w:lang w:val="en-US" w:eastAsia="zh-CN"/>
        </w:rPr>
        <w:t>Anticancer Res</w:t>
      </w:r>
      <w:r w:rsidRPr="009D7554">
        <w:rPr>
          <w:rFonts w:ascii="Book Antiqua" w:eastAsia="等线" w:hAnsi="Book Antiqua"/>
          <w:kern w:val="2"/>
          <w:lang w:val="en-US" w:eastAsia="zh-CN"/>
        </w:rPr>
        <w:t xml:space="preserve"> 2016; </w:t>
      </w:r>
      <w:r w:rsidRPr="009D7554">
        <w:rPr>
          <w:rFonts w:ascii="Book Antiqua" w:eastAsia="等线" w:hAnsi="Book Antiqua"/>
          <w:b/>
          <w:kern w:val="2"/>
          <w:lang w:val="en-US" w:eastAsia="zh-CN"/>
        </w:rPr>
        <w:t>36</w:t>
      </w:r>
      <w:r w:rsidRPr="009D7554">
        <w:rPr>
          <w:rFonts w:ascii="Book Antiqua" w:eastAsia="等线" w:hAnsi="Book Antiqua"/>
          <w:kern w:val="2"/>
          <w:lang w:val="en-US" w:eastAsia="zh-CN"/>
        </w:rPr>
        <w:t>: 4799-4804 [PMID: 27630331 DOI: 10.21873/anticanres.11039]</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164 </w:t>
      </w:r>
      <w:r w:rsidRPr="009D7554">
        <w:rPr>
          <w:rFonts w:ascii="Book Antiqua" w:eastAsia="等线" w:hAnsi="Book Antiqua"/>
          <w:b/>
          <w:kern w:val="2"/>
          <w:lang w:val="en-US" w:eastAsia="zh-CN"/>
        </w:rPr>
        <w:t>Mao W</w:t>
      </w:r>
      <w:r w:rsidRPr="009D7554">
        <w:rPr>
          <w:rFonts w:ascii="Book Antiqua" w:eastAsia="等线" w:hAnsi="Book Antiqua"/>
          <w:kern w:val="2"/>
          <w:lang w:val="en-US" w:eastAsia="zh-CN"/>
        </w:rPr>
        <w:t xml:space="preserve">, Zhou J, Zhang H, Qiu L, Tan H, Hu Y, Shi H. Relationship between KRAS mutations and dual time point &lt;sup&gt;18&lt;/sup&gt;F-FDG PET/CT imaging in colorectal liver metastases. </w:t>
      </w:r>
      <w:r w:rsidRPr="009D7554">
        <w:rPr>
          <w:rFonts w:ascii="Book Antiqua" w:eastAsia="等线" w:hAnsi="Book Antiqua"/>
          <w:i/>
          <w:kern w:val="2"/>
          <w:lang w:val="en-US" w:eastAsia="zh-CN"/>
        </w:rPr>
        <w:t>Abdom Radiol (NY)</w:t>
      </w:r>
      <w:r w:rsidRPr="009D7554">
        <w:rPr>
          <w:rFonts w:ascii="Book Antiqua" w:eastAsia="等线" w:hAnsi="Book Antiqua"/>
          <w:kern w:val="2"/>
          <w:lang w:val="en-US" w:eastAsia="zh-CN"/>
        </w:rPr>
        <w:t xml:space="preserve"> 2019; </w:t>
      </w:r>
      <w:r w:rsidRPr="009D7554">
        <w:rPr>
          <w:rFonts w:ascii="Book Antiqua" w:eastAsia="等线" w:hAnsi="Book Antiqua"/>
          <w:b/>
          <w:kern w:val="2"/>
          <w:lang w:val="en-US" w:eastAsia="zh-CN"/>
        </w:rPr>
        <w:t>44</w:t>
      </w:r>
      <w:r w:rsidRPr="009D7554">
        <w:rPr>
          <w:rFonts w:ascii="Book Antiqua" w:eastAsia="等线" w:hAnsi="Book Antiqua"/>
          <w:kern w:val="2"/>
          <w:lang w:val="en-US" w:eastAsia="zh-CN"/>
        </w:rPr>
        <w:t>: 2059-2066 [PMID: 30143816 DOI: 10.1007/s00261-018-1740-8]</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165 </w:t>
      </w:r>
      <w:r w:rsidRPr="009D7554">
        <w:rPr>
          <w:rFonts w:ascii="Book Antiqua" w:eastAsia="等线" w:hAnsi="Book Antiqua"/>
          <w:b/>
          <w:kern w:val="2"/>
          <w:lang w:val="en-US" w:eastAsia="zh-CN"/>
        </w:rPr>
        <w:t>Chen SW</w:t>
      </w:r>
      <w:r w:rsidRPr="009D7554">
        <w:rPr>
          <w:rFonts w:ascii="Book Antiqua" w:eastAsia="等线" w:hAnsi="Book Antiqua"/>
          <w:kern w:val="2"/>
          <w:lang w:val="en-US" w:eastAsia="zh-CN"/>
        </w:rPr>
        <w:t xml:space="preserve">, Chiang HC, Chen WT, Hsieh TC, Yen KY, Chiang SF, Kao CH. Correlation between PET/CT parameters and KRAS expression in colorectal cancer. </w:t>
      </w:r>
      <w:r w:rsidRPr="009D7554">
        <w:rPr>
          <w:rFonts w:ascii="Book Antiqua" w:eastAsia="等线" w:hAnsi="Book Antiqua"/>
          <w:i/>
          <w:kern w:val="2"/>
          <w:lang w:val="en-US" w:eastAsia="zh-CN"/>
        </w:rPr>
        <w:t>Clin Nucl Med</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39</w:t>
      </w:r>
      <w:r w:rsidRPr="009D7554">
        <w:rPr>
          <w:rFonts w:ascii="Book Antiqua" w:eastAsia="等线" w:hAnsi="Book Antiqua"/>
          <w:kern w:val="2"/>
          <w:lang w:val="en-US" w:eastAsia="zh-CN"/>
        </w:rPr>
        <w:t>: 685-689 [PMID: 24978328 DOI: 10.1097/RLU.0000000000000481]</w:t>
      </w:r>
    </w:p>
    <w:p w:rsidR="00C806DF" w:rsidRPr="009D7554" w:rsidRDefault="00C806DF" w:rsidP="00C806DF">
      <w:pPr>
        <w:widowControl w:val="0"/>
        <w:snapToGrid w:val="0"/>
        <w:spacing w:line="360" w:lineRule="auto"/>
        <w:jc w:val="both"/>
        <w:rPr>
          <w:rFonts w:ascii="Book Antiqua" w:eastAsia="等线" w:hAnsi="Book Antiqua"/>
          <w:kern w:val="2"/>
          <w:lang w:val="en-US" w:eastAsia="zh-CN"/>
        </w:rPr>
      </w:pPr>
      <w:r w:rsidRPr="009D7554">
        <w:rPr>
          <w:rFonts w:ascii="Book Antiqua" w:eastAsia="等线" w:hAnsi="Book Antiqua"/>
          <w:kern w:val="2"/>
          <w:lang w:val="en-US" w:eastAsia="zh-CN"/>
        </w:rPr>
        <w:t xml:space="preserve">166 </w:t>
      </w:r>
      <w:r w:rsidRPr="009D7554">
        <w:rPr>
          <w:rFonts w:ascii="Book Antiqua" w:eastAsia="等线" w:hAnsi="Book Antiqua"/>
          <w:b/>
          <w:kern w:val="2"/>
          <w:lang w:val="en-US" w:eastAsia="zh-CN"/>
        </w:rPr>
        <w:t>Miles KA</w:t>
      </w:r>
      <w:r w:rsidRPr="009D7554">
        <w:rPr>
          <w:rFonts w:ascii="Book Antiqua" w:eastAsia="等线" w:hAnsi="Book Antiqua"/>
          <w:kern w:val="2"/>
          <w:lang w:val="en-US" w:eastAsia="zh-CN"/>
        </w:rPr>
        <w:t xml:space="preserve">, Ganeshan B, Rodriguez-Justo M, Goh VJ, Ziauddin Z, Engledow A, Meagher M, Endozo R, Taylor SA, Halligan S, Ell PJ, Groves AM. Multifunctional imaging signature for V-KI-RAS2 Kirsten rat sarcoma viral oncogene homolog (KRAS) mutations in colorectal cancer. </w:t>
      </w:r>
      <w:r w:rsidRPr="009D7554">
        <w:rPr>
          <w:rFonts w:ascii="Book Antiqua" w:eastAsia="等线" w:hAnsi="Book Antiqua"/>
          <w:i/>
          <w:kern w:val="2"/>
          <w:lang w:val="en-US" w:eastAsia="zh-CN"/>
        </w:rPr>
        <w:t>J Nucl Med</w:t>
      </w:r>
      <w:r w:rsidRPr="009D7554">
        <w:rPr>
          <w:rFonts w:ascii="Book Antiqua" w:eastAsia="等线" w:hAnsi="Book Antiqua"/>
          <w:kern w:val="2"/>
          <w:lang w:val="en-US" w:eastAsia="zh-CN"/>
        </w:rPr>
        <w:t xml:space="preserve"> 2014; </w:t>
      </w:r>
      <w:r w:rsidRPr="009D7554">
        <w:rPr>
          <w:rFonts w:ascii="Book Antiqua" w:eastAsia="等线" w:hAnsi="Book Antiqua"/>
          <w:b/>
          <w:kern w:val="2"/>
          <w:lang w:val="en-US" w:eastAsia="zh-CN"/>
        </w:rPr>
        <w:t>55</w:t>
      </w:r>
      <w:r w:rsidRPr="009D7554">
        <w:rPr>
          <w:rFonts w:ascii="Book Antiqua" w:eastAsia="等线" w:hAnsi="Book Antiqua"/>
          <w:kern w:val="2"/>
          <w:lang w:val="en-US" w:eastAsia="zh-CN"/>
        </w:rPr>
        <w:t>: 386-391 [PMID: 24516257 DOI: 10.2967/jnumed.113.120485]</w:t>
      </w:r>
    </w:p>
    <w:p w:rsidR="00C806DF" w:rsidRPr="009D7554" w:rsidRDefault="00C806DF" w:rsidP="00C806DF">
      <w:pPr>
        <w:snapToGrid w:val="0"/>
        <w:spacing w:line="360" w:lineRule="auto"/>
        <w:jc w:val="right"/>
        <w:rPr>
          <w:rFonts w:ascii="Book Antiqua" w:eastAsia="宋体" w:hAnsi="Book Antiqua"/>
          <w:lang w:val="en-US" w:eastAsia="zh-CN"/>
        </w:rPr>
      </w:pPr>
      <w:bookmarkStart w:id="24" w:name="OLE_LINK51"/>
      <w:bookmarkStart w:id="25" w:name="OLE_LINK52"/>
      <w:bookmarkStart w:id="26" w:name="OLE_LINK120"/>
      <w:bookmarkStart w:id="27" w:name="OLE_LINK148"/>
      <w:bookmarkStart w:id="28" w:name="OLE_LINK72"/>
      <w:bookmarkStart w:id="29" w:name="OLE_LINK112"/>
      <w:bookmarkStart w:id="30" w:name="OLE_LINK320"/>
      <w:bookmarkStart w:id="31" w:name="OLE_LINK387"/>
      <w:bookmarkStart w:id="32" w:name="OLE_LINK183"/>
      <w:bookmarkStart w:id="33" w:name="OLE_LINK254"/>
      <w:bookmarkStart w:id="34" w:name="OLE_LINK149"/>
      <w:bookmarkStart w:id="35" w:name="OLE_LINK225"/>
      <w:bookmarkStart w:id="36" w:name="OLE_LINK207"/>
      <w:bookmarkStart w:id="37" w:name="OLE_LINK226"/>
      <w:bookmarkStart w:id="38" w:name="OLE_LINK212"/>
      <w:bookmarkStart w:id="39" w:name="OLE_LINK250"/>
      <w:bookmarkStart w:id="40" w:name="OLE_LINK281"/>
      <w:bookmarkStart w:id="41" w:name="OLE_LINK282"/>
      <w:bookmarkStart w:id="42" w:name="OLE_LINK313"/>
      <w:bookmarkStart w:id="43" w:name="OLE_LINK304"/>
      <w:bookmarkStart w:id="44" w:name="OLE_LINK321"/>
      <w:bookmarkStart w:id="45" w:name="OLE_LINK385"/>
      <w:bookmarkStart w:id="46" w:name="OLE_LINK400"/>
      <w:bookmarkStart w:id="47" w:name="OLE_LINK346"/>
      <w:bookmarkStart w:id="48" w:name="OLE_LINK371"/>
      <w:bookmarkStart w:id="49" w:name="OLE_LINK334"/>
      <w:bookmarkStart w:id="50" w:name="OLE_LINK1830"/>
      <w:bookmarkStart w:id="51" w:name="OLE_LINK457"/>
      <w:bookmarkStart w:id="52" w:name="OLE_LINK288"/>
      <w:bookmarkStart w:id="53" w:name="OLE_LINK384"/>
      <w:bookmarkStart w:id="54" w:name="OLE_LINK379"/>
      <w:bookmarkStart w:id="55" w:name="OLE_LINK303"/>
      <w:bookmarkStart w:id="56" w:name="OLE_LINK450"/>
      <w:bookmarkStart w:id="57" w:name="OLE_LINK489"/>
      <w:bookmarkStart w:id="58" w:name="OLE_LINK535"/>
      <w:bookmarkStart w:id="59" w:name="OLE_LINK648"/>
      <w:bookmarkStart w:id="60" w:name="OLE_LINK686"/>
      <w:bookmarkStart w:id="61" w:name="OLE_LINK471"/>
      <w:bookmarkStart w:id="62" w:name="OLE_LINK462"/>
      <w:bookmarkStart w:id="63" w:name="OLE_LINK519"/>
      <w:bookmarkStart w:id="64" w:name="OLE_LINK575"/>
      <w:bookmarkStart w:id="65" w:name="OLE_LINK491"/>
      <w:bookmarkStart w:id="66" w:name="OLE_LINK532"/>
      <w:bookmarkStart w:id="67" w:name="OLE_LINK572"/>
      <w:bookmarkStart w:id="68" w:name="OLE_LINK574"/>
      <w:bookmarkStart w:id="69" w:name="OLE_LINK480"/>
      <w:bookmarkStart w:id="70" w:name="OLE_LINK567"/>
      <w:bookmarkStart w:id="71" w:name="OLE_LINK2700"/>
      <w:bookmarkStart w:id="72" w:name="OLE_LINK581"/>
      <w:bookmarkStart w:id="73" w:name="OLE_LINK639"/>
      <w:bookmarkStart w:id="74" w:name="OLE_LINK688"/>
      <w:bookmarkStart w:id="75" w:name="OLE_LINK722"/>
      <w:bookmarkStart w:id="76" w:name="OLE_LINK542"/>
      <w:bookmarkStart w:id="77" w:name="OLE_LINK589"/>
      <w:bookmarkStart w:id="78" w:name="OLE_LINK582"/>
      <w:bookmarkStart w:id="79" w:name="OLE_LINK640"/>
      <w:bookmarkStart w:id="80" w:name="OLE_LINK714"/>
      <w:bookmarkStart w:id="81" w:name="OLE_LINK593"/>
      <w:bookmarkStart w:id="82" w:name="OLE_LINK716"/>
      <w:bookmarkStart w:id="83" w:name="OLE_LINK770"/>
      <w:bookmarkStart w:id="84" w:name="OLE_LINK801"/>
      <w:bookmarkStart w:id="85" w:name="OLE_LINK660"/>
      <w:bookmarkStart w:id="86" w:name="OLE_LINK781"/>
      <w:bookmarkStart w:id="87" w:name="OLE_LINK833"/>
      <w:bookmarkStart w:id="88" w:name="OLE_LINK642"/>
      <w:bookmarkStart w:id="89" w:name="OLE_LINK700"/>
      <w:bookmarkStart w:id="90" w:name="OLE_LINK792"/>
      <w:bookmarkStart w:id="91" w:name="OLE_LINK2882"/>
      <w:bookmarkStart w:id="92" w:name="OLE_LINK836"/>
      <w:bookmarkStart w:id="93" w:name="OLE_LINK889"/>
      <w:bookmarkStart w:id="94" w:name="OLE_LINK782"/>
      <w:bookmarkStart w:id="95" w:name="OLE_LINK826"/>
      <w:bookmarkStart w:id="96" w:name="OLE_LINK865"/>
      <w:bookmarkStart w:id="97" w:name="OLE_LINK856"/>
      <w:bookmarkStart w:id="98" w:name="OLE_LINK908"/>
      <w:bookmarkStart w:id="99" w:name="OLE_LINK980"/>
      <w:bookmarkStart w:id="100" w:name="OLE_LINK1018"/>
      <w:bookmarkStart w:id="101" w:name="OLE_LINK1049"/>
      <w:bookmarkStart w:id="102" w:name="OLE_LINK1076"/>
      <w:bookmarkStart w:id="103" w:name="OLE_LINK1106"/>
      <w:bookmarkStart w:id="104" w:name="OLE_LINK891"/>
      <w:bookmarkStart w:id="105" w:name="OLE_LINK943"/>
      <w:bookmarkStart w:id="106" w:name="OLE_LINK981"/>
      <w:bookmarkStart w:id="107" w:name="OLE_LINK1030"/>
      <w:bookmarkStart w:id="108" w:name="OLE_LINK847"/>
      <w:bookmarkStart w:id="109" w:name="OLE_LINK909"/>
      <w:bookmarkStart w:id="110" w:name="OLE_LINK906"/>
      <w:bookmarkStart w:id="111" w:name="OLE_LINK992"/>
      <w:bookmarkStart w:id="112" w:name="OLE_LINK993"/>
      <w:bookmarkStart w:id="113" w:name="OLE_LINK1052"/>
      <w:bookmarkStart w:id="114" w:name="OLE_LINK946"/>
      <w:bookmarkStart w:id="115" w:name="OLE_LINK911"/>
      <w:bookmarkStart w:id="116" w:name="OLE_LINK930"/>
      <w:bookmarkStart w:id="117" w:name="OLE_LINK1059"/>
      <w:bookmarkStart w:id="118" w:name="OLE_LINK1174"/>
      <w:bookmarkStart w:id="119" w:name="OLE_LINK1137"/>
      <w:bookmarkStart w:id="120" w:name="OLE_LINK1167"/>
      <w:bookmarkStart w:id="121" w:name="OLE_LINK1200"/>
      <w:bookmarkStart w:id="122" w:name="OLE_LINK1241"/>
      <w:bookmarkStart w:id="123" w:name="OLE_LINK1288"/>
      <w:bookmarkStart w:id="124" w:name="OLE_LINK1056"/>
      <w:bookmarkStart w:id="125" w:name="OLE_LINK1158"/>
      <w:bookmarkStart w:id="126" w:name="OLE_LINK1175"/>
      <w:bookmarkStart w:id="127" w:name="OLE_LINK1074"/>
      <w:bookmarkStart w:id="128" w:name="OLE_LINK1169"/>
      <w:bookmarkStart w:id="129" w:name="_Hlk11235039"/>
      <w:r w:rsidRPr="009D7554">
        <w:rPr>
          <w:rFonts w:ascii="Book Antiqua" w:eastAsia="宋体" w:hAnsi="Book Antiqua"/>
          <w:b/>
          <w:bCs/>
          <w:lang w:val="en-US" w:eastAsia="zh-CN"/>
        </w:rPr>
        <w:t xml:space="preserve">P-Reviewer: </w:t>
      </w:r>
      <w:r w:rsidRPr="009D7554">
        <w:rPr>
          <w:rFonts w:ascii="Book Antiqua" w:eastAsia="宋体" w:hAnsi="Book Antiqua"/>
          <w:lang w:val="en-US" w:eastAsia="zh-CN"/>
        </w:rPr>
        <w:t>Caputo D, Gavriilidis P, Jeong KY, Tchilikidi KY</w:t>
      </w:r>
      <w:r w:rsidRPr="009D7554">
        <w:rPr>
          <w:rFonts w:ascii="Book Antiqua" w:eastAsia="宋体" w:hAnsi="Book Antiqua"/>
          <w:b/>
          <w:bCs/>
          <w:lang w:val="en-US" w:eastAsia="zh-CN"/>
        </w:rPr>
        <w:t xml:space="preserve"> S-Editor:</w:t>
      </w:r>
      <w:r w:rsidRPr="009D7554">
        <w:rPr>
          <w:rFonts w:ascii="Book Antiqua" w:eastAsia="宋体" w:hAnsi="Book Antiqua"/>
          <w:lang w:val="en-US" w:eastAsia="zh-CN"/>
        </w:rPr>
        <w:t xml:space="preserve"> Gong ZM</w:t>
      </w:r>
    </w:p>
    <w:p w:rsidR="00C806DF" w:rsidRPr="009D7554" w:rsidRDefault="00C806DF" w:rsidP="009D7554">
      <w:pPr>
        <w:wordWrap w:val="0"/>
        <w:snapToGrid w:val="0"/>
        <w:spacing w:line="360" w:lineRule="auto"/>
        <w:jc w:val="right"/>
        <w:rPr>
          <w:rFonts w:ascii="Book Antiqua" w:eastAsia="宋体" w:hAnsi="Book Antiqua"/>
          <w:b/>
          <w:bCs/>
          <w:lang w:val="en-US" w:eastAsia="zh-CN"/>
        </w:rPr>
      </w:pPr>
      <w:r w:rsidRPr="009D7554">
        <w:rPr>
          <w:rFonts w:ascii="Book Antiqua" w:eastAsia="宋体" w:hAnsi="Book Antiqua"/>
          <w:b/>
          <w:bCs/>
          <w:lang w:val="en-US" w:eastAsia="zh-CN"/>
        </w:rPr>
        <w:t>L-Editor:</w:t>
      </w:r>
      <w:r w:rsidR="009D7554">
        <w:rPr>
          <w:rFonts w:ascii="Book Antiqua" w:eastAsia="宋体" w:hAnsi="Book Antiqua"/>
          <w:b/>
          <w:bCs/>
          <w:lang w:val="en-US" w:eastAsia="zh-CN"/>
        </w:rPr>
        <w:t xml:space="preserve">  A</w:t>
      </w:r>
      <w:r w:rsidRPr="009D7554">
        <w:rPr>
          <w:rFonts w:ascii="Book Antiqua" w:eastAsia="宋体" w:hAnsi="Book Antiqua"/>
          <w:lang w:val="en-US" w:eastAsia="zh-CN"/>
        </w:rPr>
        <w:t xml:space="preserve"> </w:t>
      </w:r>
      <w:r w:rsidRPr="009D7554">
        <w:rPr>
          <w:rFonts w:ascii="Book Antiqua" w:eastAsia="宋体" w:hAnsi="Book Antiqua"/>
          <w:b/>
          <w:bCs/>
          <w:lang w:val="en-US" w:eastAsia="zh-CN"/>
        </w:rPr>
        <w:t>E-Editor:</w:t>
      </w:r>
      <w:r w:rsidR="009D7554">
        <w:rPr>
          <w:rFonts w:ascii="Book Antiqua" w:eastAsia="宋体" w:hAnsi="Book Antiqua"/>
          <w:b/>
          <w:bCs/>
          <w:lang w:val="en-US" w:eastAsia="zh-CN"/>
        </w:rPr>
        <w:t xml:space="preserve"> </w:t>
      </w:r>
      <w:r w:rsidR="009D7554" w:rsidRPr="009D7554">
        <w:rPr>
          <w:rFonts w:ascii="Book Antiqua" w:eastAsia="宋体" w:hAnsi="Book Antiqua"/>
          <w:bCs/>
          <w:lang w:val="en-US" w:eastAsia="zh-CN"/>
        </w:rPr>
        <w:t>Ma YJ</w:t>
      </w:r>
    </w:p>
    <w:p w:rsidR="00C806DF" w:rsidRPr="009D7554" w:rsidRDefault="00C806DF" w:rsidP="00C806DF">
      <w:pPr>
        <w:shd w:val="clear" w:color="auto" w:fill="FFFFFF"/>
        <w:snapToGrid w:val="0"/>
        <w:spacing w:line="360" w:lineRule="auto"/>
        <w:jc w:val="both"/>
        <w:rPr>
          <w:rFonts w:ascii="Book Antiqua" w:eastAsia="宋体" w:hAnsi="Book Antiqua" w:cs="Helvetica"/>
          <w:b/>
          <w:lang w:val="en-US" w:eastAsia="zh-CN"/>
        </w:rPr>
      </w:pPr>
      <w:bookmarkStart w:id="130" w:name="OLE_LINK880"/>
      <w:bookmarkStart w:id="131" w:name="OLE_LINK88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D7554">
        <w:rPr>
          <w:rFonts w:ascii="Book Antiqua" w:eastAsia="宋体" w:hAnsi="Book Antiqua" w:cs="Helvetica"/>
          <w:b/>
          <w:lang w:val="en-US" w:eastAsia="zh-CN"/>
        </w:rPr>
        <w:t xml:space="preserve">Specialty type: </w:t>
      </w:r>
      <w:r w:rsidRPr="009D7554">
        <w:rPr>
          <w:rFonts w:ascii="Book Antiqua" w:eastAsia="宋体" w:hAnsi="Book Antiqua" w:cs="Helvetica"/>
          <w:lang w:val="en-US" w:eastAsia="zh-CN"/>
        </w:rPr>
        <w:t>Gastroenterology and hepatology</w:t>
      </w:r>
    </w:p>
    <w:p w:rsidR="00C806DF" w:rsidRPr="009D7554" w:rsidRDefault="00C806DF" w:rsidP="00C806DF">
      <w:pPr>
        <w:shd w:val="clear" w:color="auto" w:fill="FFFFFF"/>
        <w:snapToGrid w:val="0"/>
        <w:spacing w:line="360" w:lineRule="auto"/>
        <w:jc w:val="both"/>
        <w:rPr>
          <w:rFonts w:ascii="Book Antiqua" w:eastAsia="宋体" w:hAnsi="Book Antiqua" w:cs="Helvetica"/>
          <w:b/>
          <w:lang w:val="en-US" w:eastAsia="zh-CN"/>
        </w:rPr>
      </w:pPr>
      <w:r w:rsidRPr="009D7554">
        <w:rPr>
          <w:rFonts w:ascii="Book Antiqua" w:eastAsia="宋体" w:hAnsi="Book Antiqua" w:cs="Helvetica"/>
          <w:b/>
          <w:lang w:val="en-US" w:eastAsia="zh-CN"/>
        </w:rPr>
        <w:t xml:space="preserve">Country of origin: </w:t>
      </w:r>
      <w:r w:rsidRPr="009D7554">
        <w:rPr>
          <w:rFonts w:ascii="Book Antiqua" w:eastAsia="宋体" w:hAnsi="Book Antiqua" w:cs="Helvetica"/>
          <w:bCs/>
          <w:lang w:val="en-US" w:eastAsia="zh-CN"/>
        </w:rPr>
        <w:t>Italy</w:t>
      </w:r>
    </w:p>
    <w:p w:rsidR="00C806DF" w:rsidRPr="009D7554" w:rsidRDefault="00C806DF" w:rsidP="00C806DF">
      <w:pPr>
        <w:shd w:val="clear" w:color="auto" w:fill="FFFFFF"/>
        <w:snapToGrid w:val="0"/>
        <w:spacing w:line="360" w:lineRule="auto"/>
        <w:jc w:val="both"/>
        <w:rPr>
          <w:rFonts w:ascii="Book Antiqua" w:eastAsia="宋体" w:hAnsi="Book Antiqua" w:cs="Helvetica"/>
          <w:b/>
          <w:lang w:val="en-US" w:eastAsia="zh-CN"/>
        </w:rPr>
      </w:pPr>
      <w:r w:rsidRPr="009D7554">
        <w:rPr>
          <w:rFonts w:ascii="Book Antiqua" w:eastAsia="宋体" w:hAnsi="Book Antiqua" w:cs="Helvetica"/>
          <w:b/>
          <w:lang w:val="en-US" w:eastAsia="zh-CN"/>
        </w:rPr>
        <w:t>Peer-review report classification</w:t>
      </w:r>
    </w:p>
    <w:p w:rsidR="00C806DF" w:rsidRPr="009D7554" w:rsidRDefault="00C806DF" w:rsidP="00C806DF">
      <w:pPr>
        <w:shd w:val="clear" w:color="auto" w:fill="FFFFFF"/>
        <w:snapToGrid w:val="0"/>
        <w:spacing w:line="360" w:lineRule="auto"/>
        <w:jc w:val="both"/>
        <w:rPr>
          <w:rFonts w:ascii="Book Antiqua" w:eastAsia="宋体" w:hAnsi="Book Antiqua" w:cs="Helvetica"/>
          <w:lang w:val="en-US" w:eastAsia="zh-CN"/>
        </w:rPr>
      </w:pPr>
      <w:r w:rsidRPr="009D7554">
        <w:rPr>
          <w:rFonts w:ascii="Book Antiqua" w:eastAsia="宋体" w:hAnsi="Book Antiqua" w:cs="Helvetica"/>
          <w:lang w:val="en-US" w:eastAsia="zh-CN"/>
        </w:rPr>
        <w:t>Grade A (Excellent): 0</w:t>
      </w:r>
    </w:p>
    <w:p w:rsidR="00C806DF" w:rsidRPr="009D7554" w:rsidRDefault="00C806DF" w:rsidP="00C806DF">
      <w:pPr>
        <w:shd w:val="clear" w:color="auto" w:fill="FFFFFF"/>
        <w:snapToGrid w:val="0"/>
        <w:spacing w:line="360" w:lineRule="auto"/>
        <w:jc w:val="both"/>
        <w:rPr>
          <w:rFonts w:ascii="Book Antiqua" w:eastAsia="宋体" w:hAnsi="Book Antiqua" w:cs="Helvetica"/>
          <w:lang w:val="en-US" w:eastAsia="zh-CN"/>
        </w:rPr>
      </w:pPr>
      <w:r w:rsidRPr="009D7554">
        <w:rPr>
          <w:rFonts w:ascii="Book Antiqua" w:eastAsia="宋体" w:hAnsi="Book Antiqua" w:cs="Helvetica"/>
          <w:lang w:val="en-US" w:eastAsia="zh-CN"/>
        </w:rPr>
        <w:t>Grade B (Very good): 0</w:t>
      </w:r>
    </w:p>
    <w:p w:rsidR="00C806DF" w:rsidRPr="009D7554" w:rsidRDefault="00C806DF" w:rsidP="00C806DF">
      <w:pPr>
        <w:shd w:val="clear" w:color="auto" w:fill="FFFFFF"/>
        <w:snapToGrid w:val="0"/>
        <w:spacing w:line="360" w:lineRule="auto"/>
        <w:jc w:val="both"/>
        <w:rPr>
          <w:rFonts w:ascii="Book Antiqua" w:eastAsia="宋体" w:hAnsi="Book Antiqua" w:cs="Helvetica"/>
          <w:lang w:val="en-US" w:eastAsia="zh-CN"/>
        </w:rPr>
      </w:pPr>
      <w:r w:rsidRPr="009D7554">
        <w:rPr>
          <w:rFonts w:ascii="Book Antiqua" w:eastAsia="宋体" w:hAnsi="Book Antiqua" w:cs="Helvetica"/>
          <w:lang w:val="en-US" w:eastAsia="zh-CN"/>
        </w:rPr>
        <w:t>Grade C (Good): C, C, C, C</w:t>
      </w:r>
    </w:p>
    <w:p w:rsidR="00C806DF" w:rsidRPr="009D7554" w:rsidRDefault="00C806DF" w:rsidP="00C806DF">
      <w:pPr>
        <w:shd w:val="clear" w:color="auto" w:fill="FFFFFF"/>
        <w:snapToGrid w:val="0"/>
        <w:spacing w:line="360" w:lineRule="auto"/>
        <w:jc w:val="both"/>
        <w:rPr>
          <w:rFonts w:ascii="Book Antiqua" w:eastAsia="宋体" w:hAnsi="Book Antiqua" w:cs="Helvetica"/>
          <w:lang w:val="en-US" w:eastAsia="zh-CN"/>
        </w:rPr>
      </w:pPr>
      <w:r w:rsidRPr="009D7554">
        <w:rPr>
          <w:rFonts w:ascii="Book Antiqua" w:eastAsia="宋体" w:hAnsi="Book Antiqua" w:cs="Helvetica"/>
          <w:lang w:val="en-US" w:eastAsia="zh-CN"/>
        </w:rPr>
        <w:t>Grade D (Fair): 0</w:t>
      </w:r>
    </w:p>
    <w:p w:rsidR="008E3A45" w:rsidRPr="009D7554" w:rsidRDefault="00C806DF" w:rsidP="00C806DF">
      <w:pPr>
        <w:shd w:val="clear" w:color="auto" w:fill="FFFFFF"/>
        <w:snapToGrid w:val="0"/>
        <w:spacing w:line="360" w:lineRule="auto"/>
        <w:jc w:val="both"/>
        <w:rPr>
          <w:rFonts w:ascii="Book Antiqua" w:eastAsia="宋体" w:hAnsi="Book Antiqua" w:cs="Helvetica" w:hint="eastAsia"/>
          <w:lang w:val="en-US" w:eastAsia="zh-CN"/>
        </w:rPr>
      </w:pPr>
      <w:r w:rsidRPr="009D7554">
        <w:rPr>
          <w:rFonts w:ascii="Book Antiqua" w:eastAsia="宋体" w:hAnsi="Book Antiqua" w:cs="Helvetica"/>
          <w:lang w:val="en-US" w:eastAsia="zh-CN"/>
        </w:rPr>
        <w:t>Grade E (Poor): 0</w:t>
      </w:r>
      <w:bookmarkEnd w:id="130"/>
      <w:bookmarkEnd w:id="131"/>
      <w:r w:rsidRPr="009D7554">
        <w:rPr>
          <w:rFonts w:ascii="Book Antiqua" w:eastAsia="宋体" w:hAnsi="Book Antiqua" w:cs="Helvetica"/>
          <w:lang w:val="en-US" w:eastAsia="zh-CN"/>
        </w:rPr>
        <w:t xml:space="preserve"> </w:t>
      </w:r>
      <w:bookmarkEnd w:id="129"/>
    </w:p>
    <w:p w:rsidR="00D779CE" w:rsidRPr="009D7554" w:rsidRDefault="008E3A45" w:rsidP="008E3A45">
      <w:pPr>
        <w:widowControl w:val="0"/>
        <w:autoSpaceDE w:val="0"/>
        <w:autoSpaceDN w:val="0"/>
        <w:adjustRightInd w:val="0"/>
        <w:snapToGrid w:val="0"/>
        <w:spacing w:line="360" w:lineRule="auto"/>
        <w:jc w:val="both"/>
        <w:rPr>
          <w:rFonts w:ascii="Book Antiqua" w:hAnsi="Book Antiqua"/>
          <w:b/>
          <w:caps/>
          <w:lang w:val="en-US"/>
        </w:rPr>
      </w:pPr>
      <w:r w:rsidRPr="009D7554">
        <w:rPr>
          <w:rFonts w:ascii="Book Antiqua" w:hAnsi="Book Antiqua"/>
          <w:i/>
          <w:iCs/>
          <w:lang w:val="en-US"/>
        </w:rPr>
        <w:br w:type="page"/>
      </w:r>
      <w:r w:rsidR="00354CCC" w:rsidRPr="009D7554">
        <w:rPr>
          <w:rFonts w:ascii="Book Antiqua" w:hAnsi="Book Antiqua"/>
          <w:b/>
          <w:caps/>
          <w:lang w:val="en-US"/>
        </w:rPr>
        <w:t>T</w:t>
      </w:r>
      <w:r w:rsidRPr="009D7554">
        <w:rPr>
          <w:rFonts w:ascii="Book Antiqua" w:hAnsi="Book Antiqua"/>
          <w:b/>
          <w:lang w:val="en-US"/>
        </w:rPr>
        <w:t xml:space="preserve">able </w:t>
      </w:r>
      <w:r w:rsidR="00354CCC" w:rsidRPr="009D7554">
        <w:rPr>
          <w:rFonts w:ascii="Book Antiqua" w:hAnsi="Book Antiqua"/>
          <w:b/>
          <w:caps/>
          <w:lang w:val="en-US"/>
        </w:rPr>
        <w:t>1</w:t>
      </w:r>
      <w:r w:rsidRPr="009D7554">
        <w:rPr>
          <w:rFonts w:ascii="Book Antiqua" w:hAnsi="Book Antiqua"/>
          <w:b/>
          <w:caps/>
          <w:lang w:val="en-US"/>
        </w:rPr>
        <w:t xml:space="preserve"> </w:t>
      </w:r>
      <w:r w:rsidR="00D779CE" w:rsidRPr="009D7554">
        <w:rPr>
          <w:rFonts w:ascii="Book Antiqua" w:hAnsi="Book Antiqua"/>
          <w:b/>
          <w:caps/>
          <w:lang w:val="en-US"/>
        </w:rPr>
        <w:t>c</w:t>
      </w:r>
      <w:r w:rsidR="00D779CE" w:rsidRPr="009D7554">
        <w:rPr>
          <w:rFonts w:ascii="Book Antiqua" w:hAnsi="Book Antiqua"/>
          <w:b/>
          <w:lang w:val="en-US"/>
        </w:rPr>
        <w:t xml:space="preserve">urrent limitations of qualitative imaging based on morphological features </w:t>
      </w:r>
      <w:r w:rsidR="00472B06" w:rsidRPr="009D7554">
        <w:rPr>
          <w:rFonts w:ascii="Book Antiqua" w:hAnsi="Book Antiqua"/>
          <w:b/>
          <w:lang w:val="en-US"/>
        </w:rPr>
        <w:t xml:space="preserve">used </w:t>
      </w:r>
      <w:r w:rsidR="00D779CE" w:rsidRPr="009D7554">
        <w:rPr>
          <w:rFonts w:ascii="Book Antiqua" w:hAnsi="Book Antiqua"/>
          <w:b/>
          <w:lang w:val="en-US"/>
        </w:rPr>
        <w:t xml:space="preserve">for the assessment of </w:t>
      </w:r>
      <w:r w:rsidR="008004A6" w:rsidRPr="009D7554">
        <w:rPr>
          <w:rFonts w:ascii="Book Antiqua" w:hAnsi="Book Antiqua"/>
          <w:b/>
          <w:lang w:val="en-US"/>
        </w:rPr>
        <w:t>colorectal cancer</w:t>
      </w:r>
    </w:p>
    <w:tbl>
      <w:tblPr>
        <w:tblW w:w="9496" w:type="dxa"/>
        <w:tblLook w:val="04A0" w:firstRow="1" w:lastRow="0" w:firstColumn="1" w:lastColumn="0" w:noHBand="0" w:noVBand="1"/>
      </w:tblPr>
      <w:tblGrid>
        <w:gridCol w:w="4077"/>
        <w:gridCol w:w="5419"/>
      </w:tblGrid>
      <w:tr w:rsidR="002F3CE3" w:rsidRPr="009D7554" w:rsidTr="00F84AA5">
        <w:trPr>
          <w:trHeight w:val="409"/>
        </w:trPr>
        <w:tc>
          <w:tcPr>
            <w:tcW w:w="4077" w:type="dxa"/>
            <w:tcBorders>
              <w:top w:val="single" w:sz="4" w:space="0" w:color="auto"/>
              <w:bottom w:val="single" w:sz="4" w:space="0" w:color="auto"/>
            </w:tcBorders>
            <w:shd w:val="clear" w:color="auto" w:fill="auto"/>
            <w:vAlign w:val="center"/>
          </w:tcPr>
          <w:p w:rsidR="00D779CE" w:rsidRPr="009D7554" w:rsidRDefault="00203781" w:rsidP="006A253E">
            <w:pPr>
              <w:snapToGrid w:val="0"/>
              <w:spacing w:line="360" w:lineRule="auto"/>
              <w:jc w:val="both"/>
              <w:rPr>
                <w:rFonts w:ascii="Book Antiqua" w:hAnsi="Book Antiqua"/>
                <w:b/>
                <w:lang w:val="en-US"/>
              </w:rPr>
            </w:pPr>
            <w:r w:rsidRPr="009D7554">
              <w:rPr>
                <w:rFonts w:ascii="Book Antiqua" w:hAnsi="Book Antiqua"/>
                <w:b/>
                <w:lang w:val="en-US"/>
              </w:rPr>
              <w:t xml:space="preserve">Diagnostic </w:t>
            </w:r>
            <w:r w:rsidR="00472B06" w:rsidRPr="009D7554">
              <w:rPr>
                <w:rFonts w:ascii="Book Antiqua" w:hAnsi="Book Antiqua"/>
                <w:b/>
                <w:lang w:val="en-US"/>
              </w:rPr>
              <w:t>task</w:t>
            </w:r>
          </w:p>
        </w:tc>
        <w:tc>
          <w:tcPr>
            <w:tcW w:w="5419" w:type="dxa"/>
            <w:tcBorders>
              <w:top w:val="single" w:sz="4" w:space="0" w:color="auto"/>
              <w:bottom w:val="single" w:sz="4" w:space="0" w:color="auto"/>
            </w:tcBorders>
            <w:shd w:val="clear" w:color="auto" w:fill="auto"/>
            <w:vAlign w:val="center"/>
          </w:tcPr>
          <w:p w:rsidR="00D779CE" w:rsidRPr="009D7554" w:rsidRDefault="00D779CE" w:rsidP="006A253E">
            <w:pPr>
              <w:snapToGrid w:val="0"/>
              <w:spacing w:line="360" w:lineRule="auto"/>
              <w:jc w:val="both"/>
              <w:rPr>
                <w:rFonts w:ascii="Book Antiqua" w:hAnsi="Book Antiqua"/>
                <w:b/>
                <w:lang w:val="en-US"/>
              </w:rPr>
            </w:pPr>
            <w:r w:rsidRPr="009D7554">
              <w:rPr>
                <w:rFonts w:ascii="Book Antiqua" w:hAnsi="Book Antiqua"/>
                <w:b/>
                <w:lang w:val="en-US"/>
              </w:rPr>
              <w:t>Limits of qualitative imaging</w:t>
            </w:r>
          </w:p>
        </w:tc>
      </w:tr>
      <w:tr w:rsidR="002F3CE3" w:rsidRPr="009D7554" w:rsidTr="00F84AA5">
        <w:trPr>
          <w:trHeight w:val="1129"/>
        </w:trPr>
        <w:tc>
          <w:tcPr>
            <w:tcW w:w="4077" w:type="dxa"/>
            <w:tcBorders>
              <w:top w:val="single" w:sz="4" w:space="0" w:color="auto"/>
            </w:tcBorders>
            <w:shd w:val="clear" w:color="auto" w:fill="auto"/>
            <w:vAlign w:val="center"/>
          </w:tcPr>
          <w:p w:rsidR="00D779CE" w:rsidRPr="009D7554" w:rsidRDefault="00CF3295" w:rsidP="006A253E">
            <w:pPr>
              <w:snapToGrid w:val="0"/>
              <w:spacing w:line="360" w:lineRule="auto"/>
              <w:jc w:val="both"/>
              <w:rPr>
                <w:rFonts w:ascii="Book Antiqua" w:hAnsi="Book Antiqua"/>
                <w:lang w:val="en-US"/>
              </w:rPr>
            </w:pPr>
            <w:r w:rsidRPr="009D7554">
              <w:rPr>
                <w:rFonts w:ascii="Book Antiqua" w:hAnsi="Book Antiqua"/>
                <w:lang w:val="en-US"/>
              </w:rPr>
              <w:t>Primary tumor identification</w:t>
            </w:r>
          </w:p>
        </w:tc>
        <w:tc>
          <w:tcPr>
            <w:tcW w:w="5419" w:type="dxa"/>
            <w:tcBorders>
              <w:top w:val="single" w:sz="4" w:space="0" w:color="auto"/>
            </w:tcBorders>
            <w:shd w:val="clear" w:color="auto" w:fill="auto"/>
            <w:vAlign w:val="center"/>
          </w:tcPr>
          <w:p w:rsidR="00D779CE" w:rsidRPr="009D7554" w:rsidRDefault="00D779CE" w:rsidP="00F84AA5">
            <w:pPr>
              <w:snapToGrid w:val="0"/>
              <w:spacing w:line="360" w:lineRule="auto"/>
              <w:jc w:val="both"/>
              <w:rPr>
                <w:rFonts w:ascii="Book Antiqua" w:hAnsi="Book Antiqua"/>
                <w:lang w:val="en-US"/>
              </w:rPr>
            </w:pPr>
            <w:r w:rsidRPr="009D7554">
              <w:rPr>
                <w:rFonts w:ascii="Book Antiqua" w:hAnsi="Book Antiqua"/>
                <w:lang w:val="en-US"/>
              </w:rPr>
              <w:t>Early stages of CRC hard to detect</w:t>
            </w:r>
          </w:p>
          <w:p w:rsidR="00D779CE" w:rsidRPr="009D7554" w:rsidRDefault="00D779CE" w:rsidP="00F84AA5">
            <w:pPr>
              <w:snapToGrid w:val="0"/>
              <w:spacing w:line="360" w:lineRule="auto"/>
              <w:jc w:val="both"/>
              <w:rPr>
                <w:rFonts w:ascii="Book Antiqua" w:hAnsi="Book Antiqua"/>
                <w:lang w:val="en-US"/>
              </w:rPr>
            </w:pPr>
            <w:r w:rsidRPr="009D7554">
              <w:rPr>
                <w:rFonts w:ascii="Book Antiqua" w:hAnsi="Book Antiqua"/>
                <w:lang w:val="en-US"/>
              </w:rPr>
              <w:t>Neoplastic and inflammatory tissue not easily differentiable</w:t>
            </w:r>
          </w:p>
        </w:tc>
      </w:tr>
      <w:tr w:rsidR="002F3CE3" w:rsidRPr="009D7554" w:rsidTr="00F84AA5">
        <w:trPr>
          <w:trHeight w:val="1129"/>
        </w:trPr>
        <w:tc>
          <w:tcPr>
            <w:tcW w:w="4077" w:type="dxa"/>
            <w:shd w:val="clear" w:color="auto" w:fill="auto"/>
            <w:vAlign w:val="center"/>
          </w:tcPr>
          <w:p w:rsidR="00D779CE" w:rsidRPr="009D7554" w:rsidRDefault="00CF3295" w:rsidP="006A253E">
            <w:pPr>
              <w:snapToGrid w:val="0"/>
              <w:spacing w:line="360" w:lineRule="auto"/>
              <w:jc w:val="both"/>
              <w:rPr>
                <w:rFonts w:ascii="Book Antiqua" w:hAnsi="Book Antiqua"/>
                <w:lang w:val="en-US"/>
              </w:rPr>
            </w:pPr>
            <w:r w:rsidRPr="009D7554">
              <w:rPr>
                <w:rFonts w:ascii="Book Antiqua" w:hAnsi="Book Antiqua"/>
                <w:lang w:val="en-US"/>
              </w:rPr>
              <w:t>Lymph node involvement</w:t>
            </w:r>
          </w:p>
        </w:tc>
        <w:tc>
          <w:tcPr>
            <w:tcW w:w="5419" w:type="dxa"/>
            <w:shd w:val="clear" w:color="auto" w:fill="auto"/>
            <w:vAlign w:val="center"/>
          </w:tcPr>
          <w:p w:rsidR="00D779CE" w:rsidRPr="009D7554" w:rsidRDefault="00D779CE" w:rsidP="00F84AA5">
            <w:pPr>
              <w:snapToGrid w:val="0"/>
              <w:spacing w:line="360" w:lineRule="auto"/>
              <w:jc w:val="both"/>
              <w:rPr>
                <w:rFonts w:ascii="Book Antiqua" w:hAnsi="Book Antiqua"/>
                <w:lang w:val="en-US"/>
              </w:rPr>
            </w:pPr>
            <w:r w:rsidRPr="009D7554">
              <w:rPr>
                <w:rFonts w:ascii="Book Antiqua" w:hAnsi="Book Antiqua"/>
                <w:lang w:val="en-US"/>
              </w:rPr>
              <w:t>Lymph node size criteria often misleading and insufficient</w:t>
            </w:r>
          </w:p>
          <w:p w:rsidR="001341BC" w:rsidRPr="009D7554" w:rsidRDefault="00D779CE" w:rsidP="00F84AA5">
            <w:pPr>
              <w:snapToGrid w:val="0"/>
              <w:spacing w:line="360" w:lineRule="auto"/>
              <w:jc w:val="both"/>
              <w:rPr>
                <w:rFonts w:ascii="Book Antiqua" w:hAnsi="Book Antiqua"/>
                <w:lang w:val="en-US"/>
              </w:rPr>
            </w:pPr>
            <w:r w:rsidRPr="009D7554">
              <w:rPr>
                <w:rFonts w:ascii="Book Antiqua" w:hAnsi="Book Antiqua"/>
                <w:lang w:val="en-US"/>
              </w:rPr>
              <w:t xml:space="preserve">Shape, border irregularity and structural heterogeneity hard to assess for small lymph </w:t>
            </w:r>
            <w:r w:rsidR="00502E2D" w:rsidRPr="009D7554">
              <w:rPr>
                <w:rFonts w:ascii="Book Antiqua" w:hAnsi="Book Antiqua"/>
                <w:lang w:val="en-US"/>
              </w:rPr>
              <w:t xml:space="preserve">nodes </w:t>
            </w:r>
          </w:p>
        </w:tc>
      </w:tr>
      <w:tr w:rsidR="002F3CE3" w:rsidRPr="009D7554" w:rsidTr="00F84AA5">
        <w:trPr>
          <w:trHeight w:val="1129"/>
        </w:trPr>
        <w:tc>
          <w:tcPr>
            <w:tcW w:w="4077" w:type="dxa"/>
            <w:shd w:val="clear" w:color="auto" w:fill="auto"/>
            <w:vAlign w:val="center"/>
          </w:tcPr>
          <w:p w:rsidR="00D779CE" w:rsidRPr="009D7554" w:rsidRDefault="00D779CE" w:rsidP="006A253E">
            <w:pPr>
              <w:snapToGrid w:val="0"/>
              <w:spacing w:line="360" w:lineRule="auto"/>
              <w:jc w:val="both"/>
              <w:rPr>
                <w:rFonts w:ascii="Book Antiqua" w:hAnsi="Book Antiqua"/>
                <w:lang w:val="en-US"/>
              </w:rPr>
            </w:pPr>
            <w:r w:rsidRPr="009D7554">
              <w:rPr>
                <w:rFonts w:ascii="Book Antiqua" w:hAnsi="Book Antiqua"/>
                <w:lang w:val="en-US"/>
              </w:rPr>
              <w:t>Prediction of early response</w:t>
            </w:r>
            <w:r w:rsidR="00472B06" w:rsidRPr="009D7554">
              <w:rPr>
                <w:rFonts w:ascii="Book Antiqua" w:hAnsi="Book Antiqua"/>
                <w:lang w:val="en-US"/>
              </w:rPr>
              <w:t>s</w:t>
            </w:r>
            <w:r w:rsidRPr="009D7554">
              <w:rPr>
                <w:rFonts w:ascii="Book Antiqua" w:hAnsi="Book Antiqua"/>
                <w:lang w:val="en-US"/>
              </w:rPr>
              <w:t xml:space="preserve"> to chemotherapy and radiation therapy</w:t>
            </w:r>
          </w:p>
        </w:tc>
        <w:tc>
          <w:tcPr>
            <w:tcW w:w="5419" w:type="dxa"/>
            <w:shd w:val="clear" w:color="auto" w:fill="auto"/>
            <w:vAlign w:val="center"/>
          </w:tcPr>
          <w:p w:rsidR="001341BC" w:rsidRPr="009D7554" w:rsidRDefault="00D779CE" w:rsidP="00F84AA5">
            <w:pPr>
              <w:snapToGrid w:val="0"/>
              <w:spacing w:line="360" w:lineRule="auto"/>
              <w:jc w:val="both"/>
              <w:rPr>
                <w:rFonts w:ascii="Book Antiqua" w:hAnsi="Book Antiqua"/>
                <w:lang w:val="en-US"/>
              </w:rPr>
            </w:pPr>
            <w:r w:rsidRPr="009D7554">
              <w:rPr>
                <w:rFonts w:ascii="Book Antiqua" w:hAnsi="Book Antiqua"/>
                <w:lang w:val="en-US"/>
              </w:rPr>
              <w:t>Not possible with qualitative evaluation alone</w:t>
            </w:r>
          </w:p>
        </w:tc>
      </w:tr>
      <w:tr w:rsidR="002F3CE3" w:rsidRPr="009D7554" w:rsidTr="00F84AA5">
        <w:trPr>
          <w:trHeight w:val="1129"/>
        </w:trPr>
        <w:tc>
          <w:tcPr>
            <w:tcW w:w="4077" w:type="dxa"/>
            <w:tcBorders>
              <w:bottom w:val="single" w:sz="4" w:space="0" w:color="auto"/>
            </w:tcBorders>
            <w:shd w:val="clear" w:color="auto" w:fill="auto"/>
            <w:vAlign w:val="center"/>
          </w:tcPr>
          <w:p w:rsidR="00D779CE" w:rsidRPr="009D7554" w:rsidRDefault="00D779CE" w:rsidP="006A253E">
            <w:pPr>
              <w:snapToGrid w:val="0"/>
              <w:spacing w:line="360" w:lineRule="auto"/>
              <w:jc w:val="both"/>
              <w:rPr>
                <w:rFonts w:ascii="Book Antiqua" w:hAnsi="Book Antiqua"/>
                <w:lang w:val="en-US"/>
              </w:rPr>
            </w:pPr>
            <w:r w:rsidRPr="009D7554">
              <w:rPr>
                <w:rFonts w:ascii="Book Antiqua" w:hAnsi="Book Antiqua"/>
                <w:lang w:val="en-US"/>
              </w:rPr>
              <w:t>Evaluation of treatment response</w:t>
            </w:r>
            <w:r w:rsidR="00472B06" w:rsidRPr="009D7554">
              <w:rPr>
                <w:rFonts w:ascii="Book Antiqua" w:hAnsi="Book Antiqua"/>
                <w:lang w:val="en-US"/>
              </w:rPr>
              <w:t>s</w:t>
            </w:r>
            <w:r w:rsidRPr="009D7554">
              <w:rPr>
                <w:rFonts w:ascii="Book Antiqua" w:hAnsi="Book Antiqua"/>
                <w:lang w:val="en-US"/>
              </w:rPr>
              <w:t xml:space="preserve"> and </w:t>
            </w:r>
            <w:r w:rsidR="00472B06" w:rsidRPr="009D7554">
              <w:rPr>
                <w:rFonts w:ascii="Book Antiqua" w:hAnsi="Book Antiqua"/>
                <w:lang w:val="en-US"/>
              </w:rPr>
              <w:t xml:space="preserve">the </w:t>
            </w:r>
            <w:r w:rsidRPr="009D7554">
              <w:rPr>
                <w:rFonts w:ascii="Book Antiqua" w:hAnsi="Book Antiqua"/>
                <w:lang w:val="en-US"/>
              </w:rPr>
              <w:t>detection of recurrent disease</w:t>
            </w:r>
          </w:p>
        </w:tc>
        <w:tc>
          <w:tcPr>
            <w:tcW w:w="5419" w:type="dxa"/>
            <w:tcBorders>
              <w:bottom w:val="single" w:sz="4" w:space="0" w:color="auto"/>
            </w:tcBorders>
            <w:shd w:val="clear" w:color="auto" w:fill="auto"/>
            <w:vAlign w:val="center"/>
          </w:tcPr>
          <w:p w:rsidR="00D779CE" w:rsidRPr="009D7554" w:rsidRDefault="00472B06" w:rsidP="00F84AA5">
            <w:pPr>
              <w:snapToGrid w:val="0"/>
              <w:spacing w:line="360" w:lineRule="auto"/>
              <w:jc w:val="both"/>
              <w:rPr>
                <w:rFonts w:ascii="Book Antiqua" w:hAnsi="Book Antiqua"/>
                <w:lang w:val="en-US"/>
              </w:rPr>
            </w:pPr>
            <w:r w:rsidRPr="009D7554">
              <w:rPr>
                <w:rFonts w:ascii="Book Antiqua" w:hAnsi="Book Antiqua"/>
                <w:lang w:val="en-US"/>
              </w:rPr>
              <w:t xml:space="preserve">Differentiation of </w:t>
            </w:r>
            <w:r w:rsidR="00203781" w:rsidRPr="009D7554">
              <w:rPr>
                <w:rFonts w:ascii="Book Antiqua" w:hAnsi="Book Antiqua"/>
                <w:lang w:val="en-US"/>
              </w:rPr>
              <w:t xml:space="preserve">residual or recurrent neoplastic tissue from </w:t>
            </w:r>
            <w:r w:rsidR="009A70D4" w:rsidRPr="009D7554">
              <w:rPr>
                <w:rFonts w:ascii="Book Antiqua" w:hAnsi="Book Antiqua"/>
                <w:lang w:val="en-US"/>
              </w:rPr>
              <w:t>postt</w:t>
            </w:r>
            <w:r w:rsidR="00203781" w:rsidRPr="009D7554">
              <w:rPr>
                <w:rFonts w:ascii="Book Antiqua" w:hAnsi="Book Antiqua"/>
                <w:lang w:val="en-US"/>
              </w:rPr>
              <w:t xml:space="preserve">reatment induced fibrosis or necrosis </w:t>
            </w:r>
            <w:r w:rsidRPr="009D7554">
              <w:rPr>
                <w:rFonts w:ascii="Book Antiqua" w:hAnsi="Book Antiqua"/>
                <w:lang w:val="en-US"/>
              </w:rPr>
              <w:t xml:space="preserve">is </w:t>
            </w:r>
            <w:r w:rsidR="00203781" w:rsidRPr="009D7554">
              <w:rPr>
                <w:rFonts w:ascii="Book Antiqua" w:hAnsi="Book Antiqua"/>
                <w:lang w:val="en-US"/>
              </w:rPr>
              <w:t>often challenging</w:t>
            </w:r>
          </w:p>
        </w:tc>
      </w:tr>
    </w:tbl>
    <w:p w:rsidR="00F5443F" w:rsidRPr="009D7554" w:rsidRDefault="006729E5" w:rsidP="006A253E">
      <w:pPr>
        <w:widowControl w:val="0"/>
        <w:autoSpaceDE w:val="0"/>
        <w:autoSpaceDN w:val="0"/>
        <w:adjustRightInd w:val="0"/>
        <w:snapToGrid w:val="0"/>
        <w:spacing w:line="360" w:lineRule="auto"/>
        <w:jc w:val="both"/>
        <w:rPr>
          <w:rFonts w:ascii="Book Antiqua" w:eastAsia="等线" w:hAnsi="Book Antiqua" w:hint="eastAsia"/>
          <w:bCs/>
          <w:lang w:val="en-US" w:eastAsia="zh-CN"/>
        </w:rPr>
      </w:pPr>
      <w:r w:rsidRPr="009D7554">
        <w:rPr>
          <w:rFonts w:ascii="Book Antiqua" w:eastAsia="等线" w:hAnsi="Book Antiqua" w:hint="eastAsia"/>
          <w:bCs/>
          <w:lang w:val="en-US" w:eastAsia="zh-CN"/>
        </w:rPr>
        <w:t>C</w:t>
      </w:r>
      <w:r w:rsidRPr="009D7554">
        <w:rPr>
          <w:rFonts w:ascii="Book Antiqua" w:eastAsia="等线" w:hAnsi="Book Antiqua"/>
          <w:bCs/>
          <w:lang w:val="en-US" w:eastAsia="zh-CN"/>
        </w:rPr>
        <w:t xml:space="preserve">RC: </w:t>
      </w:r>
      <w:r w:rsidRPr="009D7554">
        <w:rPr>
          <w:rFonts w:ascii="Book Antiqua" w:hAnsi="Book Antiqua"/>
          <w:bCs/>
          <w:caps/>
          <w:lang w:val="en-US"/>
        </w:rPr>
        <w:t>c</w:t>
      </w:r>
      <w:r w:rsidRPr="009D7554">
        <w:rPr>
          <w:rFonts w:ascii="Book Antiqua" w:hAnsi="Book Antiqua"/>
          <w:bCs/>
          <w:lang w:val="en-US"/>
        </w:rPr>
        <w:t>olorectal cancer.</w:t>
      </w:r>
    </w:p>
    <w:p w:rsidR="00F5443F" w:rsidRPr="009D7554" w:rsidRDefault="00F5443F" w:rsidP="008004A6">
      <w:pPr>
        <w:widowControl w:val="0"/>
        <w:autoSpaceDE w:val="0"/>
        <w:autoSpaceDN w:val="0"/>
        <w:adjustRightInd w:val="0"/>
        <w:snapToGrid w:val="0"/>
        <w:spacing w:line="360" w:lineRule="auto"/>
        <w:jc w:val="both"/>
        <w:rPr>
          <w:rFonts w:ascii="Book Antiqua" w:hAnsi="Book Antiqua"/>
          <w:lang w:val="en-US"/>
        </w:rPr>
      </w:pPr>
      <w:r w:rsidRPr="009D7554">
        <w:rPr>
          <w:rFonts w:ascii="Book Antiqua" w:hAnsi="Book Antiqua"/>
          <w:b/>
          <w:caps/>
          <w:lang w:val="en-US"/>
        </w:rPr>
        <w:br w:type="page"/>
        <w:t>T</w:t>
      </w:r>
      <w:r w:rsidR="008004A6" w:rsidRPr="009D7554">
        <w:rPr>
          <w:rFonts w:ascii="Book Antiqua" w:hAnsi="Book Antiqua"/>
          <w:b/>
          <w:lang w:val="en-US"/>
        </w:rPr>
        <w:t xml:space="preserve">able </w:t>
      </w:r>
      <w:r w:rsidRPr="009D7554">
        <w:rPr>
          <w:rFonts w:ascii="Book Antiqua" w:hAnsi="Book Antiqua"/>
          <w:b/>
          <w:caps/>
          <w:lang w:val="en-US"/>
        </w:rPr>
        <w:t>2</w:t>
      </w:r>
      <w:r w:rsidR="008004A6" w:rsidRPr="009D7554">
        <w:rPr>
          <w:rFonts w:ascii="Book Antiqua" w:eastAsia="等线" w:hAnsi="Book Antiqua" w:hint="eastAsia"/>
          <w:lang w:val="en-US" w:eastAsia="zh-CN"/>
        </w:rPr>
        <w:t xml:space="preserve"> </w:t>
      </w:r>
      <w:r w:rsidR="00335CCA" w:rsidRPr="009D7554">
        <w:rPr>
          <w:rFonts w:ascii="Book Antiqua" w:hAnsi="Book Antiqua"/>
          <w:b/>
          <w:caps/>
          <w:lang w:val="en-US"/>
        </w:rPr>
        <w:t>M</w:t>
      </w:r>
      <w:r w:rsidR="00706CB8" w:rsidRPr="009D7554">
        <w:rPr>
          <w:rFonts w:ascii="Book Antiqua" w:hAnsi="Book Antiqua"/>
          <w:b/>
          <w:lang w:val="en-US"/>
        </w:rPr>
        <w:t>ain</w:t>
      </w:r>
      <w:r w:rsidRPr="009D7554">
        <w:rPr>
          <w:rFonts w:ascii="Book Antiqua" w:hAnsi="Book Antiqua"/>
          <w:b/>
          <w:caps/>
          <w:lang w:val="en-US"/>
        </w:rPr>
        <w:t xml:space="preserve"> </w:t>
      </w:r>
      <w:r w:rsidR="00472B06" w:rsidRPr="009D7554">
        <w:rPr>
          <w:rFonts w:ascii="Book Antiqua" w:hAnsi="Book Antiqua"/>
          <w:b/>
          <w:lang w:val="en-US"/>
        </w:rPr>
        <w:t xml:space="preserve">quantitative parameters </w:t>
      </w:r>
      <w:r w:rsidR="008D5224" w:rsidRPr="009D7554">
        <w:rPr>
          <w:rFonts w:ascii="Book Antiqua" w:hAnsi="Book Antiqua"/>
          <w:b/>
          <w:lang w:val="en-US"/>
        </w:rPr>
        <w:t xml:space="preserve">extracted from </w:t>
      </w:r>
      <w:r w:rsidR="00472B06" w:rsidRPr="009D7554">
        <w:rPr>
          <w:rFonts w:ascii="Book Antiqua" w:hAnsi="Book Antiqua"/>
          <w:b/>
          <w:lang w:val="en-US"/>
        </w:rPr>
        <w:t>perfusion imaging of colorectal cancer</w:t>
      </w:r>
    </w:p>
    <w:tbl>
      <w:tblPr>
        <w:tblW w:w="10366" w:type="dxa"/>
        <w:jc w:val="center"/>
        <w:tblLook w:val="04A0" w:firstRow="1" w:lastRow="0" w:firstColumn="1" w:lastColumn="0" w:noHBand="0" w:noVBand="1"/>
      </w:tblPr>
      <w:tblGrid>
        <w:gridCol w:w="2628"/>
        <w:gridCol w:w="12"/>
        <w:gridCol w:w="4488"/>
        <w:gridCol w:w="12"/>
        <w:gridCol w:w="3226"/>
      </w:tblGrid>
      <w:tr w:rsidR="001F0F25" w:rsidRPr="009D7554">
        <w:trPr>
          <w:trHeight w:val="273"/>
          <w:jc w:val="center"/>
        </w:trPr>
        <w:tc>
          <w:tcPr>
            <w:tcW w:w="2628" w:type="dxa"/>
            <w:tcBorders>
              <w:top w:val="single" w:sz="4" w:space="0" w:color="auto"/>
              <w:bottom w:val="single" w:sz="4" w:space="0" w:color="auto"/>
            </w:tcBorders>
            <w:shd w:val="clear" w:color="auto" w:fill="auto"/>
            <w:vAlign w:val="center"/>
          </w:tcPr>
          <w:p w:rsidR="00F5443F" w:rsidRPr="009D7554" w:rsidRDefault="00F5443F" w:rsidP="006A253E">
            <w:pPr>
              <w:snapToGrid w:val="0"/>
              <w:spacing w:line="360" w:lineRule="auto"/>
              <w:jc w:val="both"/>
              <w:rPr>
                <w:rFonts w:ascii="Book Antiqua" w:hAnsi="Book Antiqua"/>
                <w:b/>
                <w:sz w:val="22"/>
                <w:szCs w:val="22"/>
                <w:lang w:val="en-US"/>
              </w:rPr>
            </w:pPr>
            <w:r w:rsidRPr="009D7554">
              <w:rPr>
                <w:rFonts w:ascii="Book Antiqua" w:hAnsi="Book Antiqua"/>
                <w:b/>
                <w:sz w:val="22"/>
                <w:szCs w:val="22"/>
                <w:lang w:val="en-US"/>
              </w:rPr>
              <w:t>Parameter name</w:t>
            </w:r>
          </w:p>
        </w:tc>
        <w:tc>
          <w:tcPr>
            <w:tcW w:w="4500" w:type="dxa"/>
            <w:gridSpan w:val="2"/>
            <w:tcBorders>
              <w:top w:val="single" w:sz="4" w:space="0" w:color="auto"/>
              <w:bottom w:val="single" w:sz="4" w:space="0" w:color="auto"/>
            </w:tcBorders>
            <w:shd w:val="clear" w:color="auto" w:fill="auto"/>
            <w:vAlign w:val="center"/>
          </w:tcPr>
          <w:p w:rsidR="00F5443F" w:rsidRPr="009D7554" w:rsidRDefault="00F5443F" w:rsidP="006A253E">
            <w:pPr>
              <w:snapToGrid w:val="0"/>
              <w:spacing w:line="360" w:lineRule="auto"/>
              <w:jc w:val="both"/>
              <w:rPr>
                <w:rFonts w:ascii="Book Antiqua" w:hAnsi="Book Antiqua"/>
                <w:b/>
                <w:sz w:val="22"/>
                <w:szCs w:val="22"/>
                <w:lang w:val="en-US"/>
              </w:rPr>
            </w:pPr>
            <w:r w:rsidRPr="009D7554">
              <w:rPr>
                <w:rFonts w:ascii="Book Antiqua" w:hAnsi="Book Antiqua"/>
                <w:b/>
                <w:sz w:val="22"/>
                <w:szCs w:val="22"/>
                <w:lang w:val="en-US"/>
              </w:rPr>
              <w:t>Parameter definition</w:t>
            </w:r>
          </w:p>
        </w:tc>
        <w:tc>
          <w:tcPr>
            <w:tcW w:w="3238" w:type="dxa"/>
            <w:gridSpan w:val="2"/>
            <w:tcBorders>
              <w:top w:val="single" w:sz="4" w:space="0" w:color="auto"/>
              <w:bottom w:val="single" w:sz="4" w:space="0" w:color="auto"/>
            </w:tcBorders>
            <w:shd w:val="clear" w:color="auto" w:fill="auto"/>
            <w:vAlign w:val="center"/>
          </w:tcPr>
          <w:p w:rsidR="00F5443F" w:rsidRPr="009D7554" w:rsidRDefault="00F5443F" w:rsidP="006A253E">
            <w:pPr>
              <w:snapToGrid w:val="0"/>
              <w:spacing w:line="360" w:lineRule="auto"/>
              <w:jc w:val="both"/>
              <w:rPr>
                <w:rFonts w:ascii="Book Antiqua" w:hAnsi="Book Antiqua"/>
                <w:b/>
                <w:sz w:val="22"/>
                <w:szCs w:val="22"/>
                <w:lang w:val="en-US"/>
              </w:rPr>
            </w:pPr>
            <w:r w:rsidRPr="009D7554">
              <w:rPr>
                <w:rFonts w:ascii="Book Antiqua" w:hAnsi="Book Antiqua"/>
                <w:b/>
                <w:sz w:val="22"/>
                <w:szCs w:val="22"/>
                <w:lang w:val="en-US"/>
              </w:rPr>
              <w:t>Parameter significance</w:t>
            </w:r>
          </w:p>
        </w:tc>
      </w:tr>
      <w:tr w:rsidR="001F0F25" w:rsidRPr="009D7554">
        <w:trPr>
          <w:trHeight w:val="1129"/>
          <w:jc w:val="center"/>
        </w:trPr>
        <w:tc>
          <w:tcPr>
            <w:tcW w:w="2628" w:type="dxa"/>
            <w:tcBorders>
              <w:top w:val="single" w:sz="4" w:space="0" w:color="auto"/>
            </w:tcBorders>
            <w:shd w:val="clear" w:color="auto" w:fill="auto"/>
            <w:vAlign w:val="center"/>
          </w:tcPr>
          <w:p w:rsidR="00F5443F" w:rsidRPr="009D7554" w:rsidRDefault="0066698F" w:rsidP="006A253E">
            <w:pPr>
              <w:snapToGrid w:val="0"/>
              <w:spacing w:line="360" w:lineRule="auto"/>
              <w:rPr>
                <w:rFonts w:ascii="Book Antiqua" w:hAnsi="Book Antiqua"/>
                <w:sz w:val="22"/>
                <w:szCs w:val="22"/>
                <w:lang w:val="en-US"/>
              </w:rPr>
            </w:pPr>
            <w:r w:rsidRPr="009D7554">
              <w:rPr>
                <w:rFonts w:ascii="Book Antiqua" w:hAnsi="Book Antiqua"/>
                <w:sz w:val="22"/>
                <w:szCs w:val="22"/>
                <w:lang w:val="en-US"/>
              </w:rPr>
              <w:t xml:space="preserve">Regional </w:t>
            </w:r>
            <w:r w:rsidR="00AE26A6" w:rsidRPr="009D7554">
              <w:rPr>
                <w:rFonts w:ascii="Book Antiqua" w:hAnsi="Book Antiqua"/>
                <w:sz w:val="22"/>
                <w:szCs w:val="22"/>
                <w:lang w:val="en-US"/>
              </w:rPr>
              <w:t>bl</w:t>
            </w:r>
            <w:r w:rsidRPr="009D7554">
              <w:rPr>
                <w:rFonts w:ascii="Book Antiqua" w:hAnsi="Book Antiqua"/>
                <w:sz w:val="22"/>
                <w:szCs w:val="22"/>
                <w:lang w:val="en-US"/>
              </w:rPr>
              <w:t xml:space="preserve">ood </w:t>
            </w:r>
            <w:r w:rsidR="00AE26A6" w:rsidRPr="009D7554">
              <w:rPr>
                <w:rFonts w:ascii="Book Antiqua" w:hAnsi="Book Antiqua"/>
                <w:sz w:val="22"/>
                <w:szCs w:val="22"/>
                <w:lang w:val="en-US"/>
              </w:rPr>
              <w:t>f</w:t>
            </w:r>
            <w:r w:rsidRPr="009D7554">
              <w:rPr>
                <w:rFonts w:ascii="Book Antiqua" w:hAnsi="Book Antiqua"/>
                <w:sz w:val="22"/>
                <w:szCs w:val="22"/>
                <w:lang w:val="en-US"/>
              </w:rPr>
              <w:t xml:space="preserve">low </w:t>
            </w:r>
          </w:p>
        </w:tc>
        <w:tc>
          <w:tcPr>
            <w:tcW w:w="4500" w:type="dxa"/>
            <w:gridSpan w:val="2"/>
            <w:tcBorders>
              <w:top w:val="single" w:sz="4" w:space="0" w:color="auto"/>
            </w:tcBorders>
            <w:shd w:val="clear" w:color="auto" w:fill="auto"/>
            <w:vAlign w:val="center"/>
          </w:tcPr>
          <w:p w:rsidR="00F5443F" w:rsidRPr="009D7554" w:rsidRDefault="00F5443F" w:rsidP="006A253E">
            <w:pPr>
              <w:snapToGrid w:val="0"/>
              <w:spacing w:line="360" w:lineRule="auto"/>
              <w:rPr>
                <w:rFonts w:ascii="Book Antiqua" w:hAnsi="Book Antiqua"/>
                <w:sz w:val="22"/>
                <w:szCs w:val="22"/>
                <w:lang w:val="en-US"/>
              </w:rPr>
            </w:pPr>
            <w:r w:rsidRPr="009D7554">
              <w:rPr>
                <w:rFonts w:ascii="Book Antiqua" w:hAnsi="Book Antiqua"/>
                <w:sz w:val="22"/>
                <w:szCs w:val="22"/>
                <w:lang w:val="en-US"/>
              </w:rPr>
              <w:t>Blood flow per unit volume or mass of tissue, expressed in mL of blood/min/100 mL tissue</w:t>
            </w:r>
          </w:p>
        </w:tc>
        <w:tc>
          <w:tcPr>
            <w:tcW w:w="3238" w:type="dxa"/>
            <w:gridSpan w:val="2"/>
            <w:tcBorders>
              <w:top w:val="single" w:sz="4" w:space="0" w:color="auto"/>
            </w:tcBorders>
            <w:shd w:val="clear" w:color="auto" w:fill="auto"/>
            <w:vAlign w:val="center"/>
          </w:tcPr>
          <w:p w:rsidR="00656878" w:rsidRPr="009D7554" w:rsidRDefault="00F5443F" w:rsidP="006A253E">
            <w:pPr>
              <w:snapToGrid w:val="0"/>
              <w:spacing w:line="360" w:lineRule="auto"/>
              <w:rPr>
                <w:rFonts w:ascii="Book Antiqua" w:hAnsi="Book Antiqua"/>
                <w:b/>
                <w:sz w:val="22"/>
                <w:szCs w:val="22"/>
                <w:lang w:val="en-US"/>
              </w:rPr>
            </w:pPr>
            <w:r w:rsidRPr="009D7554">
              <w:rPr>
                <w:rFonts w:ascii="Book Antiqua" w:hAnsi="Book Antiqua"/>
                <w:sz w:val="22"/>
                <w:szCs w:val="22"/>
                <w:lang w:val="en-US"/>
              </w:rPr>
              <w:t xml:space="preserve">It reflects the rate of </w:t>
            </w:r>
            <w:r w:rsidR="00472B06" w:rsidRPr="009D7554">
              <w:rPr>
                <w:rFonts w:ascii="Book Antiqua" w:hAnsi="Book Antiqua"/>
                <w:sz w:val="22"/>
                <w:szCs w:val="22"/>
                <w:lang w:val="en-US"/>
              </w:rPr>
              <w:t xml:space="preserve">the </w:t>
            </w:r>
            <w:r w:rsidRPr="009D7554">
              <w:rPr>
                <w:rFonts w:ascii="Book Antiqua" w:hAnsi="Book Antiqua"/>
                <w:sz w:val="22"/>
                <w:szCs w:val="22"/>
                <w:lang w:val="en-US"/>
              </w:rPr>
              <w:t>delivery of oxygen and nutrients to a certain tissue</w:t>
            </w:r>
          </w:p>
        </w:tc>
      </w:tr>
      <w:tr w:rsidR="001F0F25" w:rsidRPr="009D7554">
        <w:trPr>
          <w:trHeight w:val="1129"/>
          <w:jc w:val="center"/>
        </w:trPr>
        <w:tc>
          <w:tcPr>
            <w:tcW w:w="2628" w:type="dxa"/>
            <w:shd w:val="clear" w:color="auto" w:fill="auto"/>
            <w:vAlign w:val="center"/>
          </w:tcPr>
          <w:p w:rsidR="00F5443F" w:rsidRPr="009D7554" w:rsidRDefault="0066698F" w:rsidP="006A253E">
            <w:pPr>
              <w:snapToGrid w:val="0"/>
              <w:spacing w:line="360" w:lineRule="auto"/>
              <w:rPr>
                <w:rFonts w:ascii="Book Antiqua" w:hAnsi="Book Antiqua"/>
                <w:bCs/>
                <w:sz w:val="22"/>
                <w:szCs w:val="22"/>
                <w:lang w:val="en-US"/>
              </w:rPr>
            </w:pPr>
            <w:r w:rsidRPr="009D7554">
              <w:rPr>
                <w:rFonts w:ascii="Book Antiqua" w:hAnsi="Book Antiqua"/>
                <w:bCs/>
                <w:sz w:val="22"/>
                <w:szCs w:val="22"/>
                <w:lang w:val="en-US"/>
              </w:rPr>
              <w:t xml:space="preserve">Regional </w:t>
            </w:r>
            <w:r w:rsidR="00AE26A6" w:rsidRPr="009D7554">
              <w:rPr>
                <w:rFonts w:ascii="Book Antiqua" w:hAnsi="Book Antiqua"/>
                <w:bCs/>
                <w:sz w:val="22"/>
                <w:szCs w:val="22"/>
                <w:lang w:val="en-US"/>
              </w:rPr>
              <w:t>blood v</w:t>
            </w:r>
            <w:r w:rsidRPr="009D7554">
              <w:rPr>
                <w:rFonts w:ascii="Book Antiqua" w:hAnsi="Book Antiqua"/>
                <w:bCs/>
                <w:sz w:val="22"/>
                <w:szCs w:val="22"/>
                <w:lang w:val="en-US"/>
              </w:rPr>
              <w:t>olume</w:t>
            </w:r>
          </w:p>
        </w:tc>
        <w:tc>
          <w:tcPr>
            <w:tcW w:w="4500" w:type="dxa"/>
            <w:gridSpan w:val="2"/>
            <w:shd w:val="clear" w:color="auto" w:fill="auto"/>
            <w:vAlign w:val="center"/>
          </w:tcPr>
          <w:p w:rsidR="00F5443F" w:rsidRPr="009D7554" w:rsidRDefault="0066698F" w:rsidP="006A253E">
            <w:pPr>
              <w:snapToGrid w:val="0"/>
              <w:spacing w:line="360" w:lineRule="auto"/>
              <w:rPr>
                <w:rFonts w:ascii="Book Antiqua" w:hAnsi="Book Antiqua"/>
                <w:bCs/>
                <w:sz w:val="22"/>
                <w:szCs w:val="22"/>
                <w:lang w:val="en-US"/>
              </w:rPr>
            </w:pPr>
            <w:r w:rsidRPr="009D7554">
              <w:rPr>
                <w:rFonts w:ascii="Book Antiqua" w:hAnsi="Book Antiqua"/>
                <w:bCs/>
                <w:sz w:val="22"/>
                <w:szCs w:val="22"/>
                <w:lang w:val="en-US"/>
              </w:rPr>
              <w:t>Volume of capillary blood contained in a certain volume of tissue, expressed in mL blood/100 mL of tissue</w:t>
            </w:r>
          </w:p>
        </w:tc>
        <w:tc>
          <w:tcPr>
            <w:tcW w:w="3238" w:type="dxa"/>
            <w:gridSpan w:val="2"/>
            <w:shd w:val="clear" w:color="auto" w:fill="auto"/>
            <w:vAlign w:val="center"/>
          </w:tcPr>
          <w:p w:rsidR="00F5443F" w:rsidRPr="009D7554" w:rsidRDefault="0066698F" w:rsidP="006A253E">
            <w:pPr>
              <w:snapToGrid w:val="0"/>
              <w:spacing w:line="360" w:lineRule="auto"/>
              <w:rPr>
                <w:rFonts w:ascii="Book Antiqua" w:hAnsi="Book Antiqua"/>
                <w:bCs/>
                <w:sz w:val="22"/>
                <w:szCs w:val="22"/>
                <w:lang w:val="en-US"/>
              </w:rPr>
            </w:pPr>
            <w:r w:rsidRPr="009D7554">
              <w:rPr>
                <w:rFonts w:ascii="Book Antiqua" w:hAnsi="Book Antiqua"/>
                <w:bCs/>
                <w:sz w:val="22"/>
                <w:szCs w:val="22"/>
                <w:lang w:val="en-US"/>
              </w:rPr>
              <w:t xml:space="preserve">It reflects the </w:t>
            </w:r>
            <w:r w:rsidR="00472B06" w:rsidRPr="009D7554">
              <w:rPr>
                <w:rFonts w:ascii="Book Antiqua" w:hAnsi="Book Antiqua"/>
                <w:bCs/>
                <w:sz w:val="22"/>
                <w:szCs w:val="22"/>
                <w:lang w:val="en-US"/>
              </w:rPr>
              <w:t xml:space="preserve">functional </w:t>
            </w:r>
            <w:r w:rsidRPr="009D7554">
              <w:rPr>
                <w:rFonts w:ascii="Book Antiqua" w:hAnsi="Book Antiqua"/>
                <w:bCs/>
                <w:sz w:val="22"/>
                <w:szCs w:val="22"/>
                <w:lang w:val="en-US"/>
              </w:rPr>
              <w:t>vascular volume</w:t>
            </w:r>
          </w:p>
        </w:tc>
      </w:tr>
      <w:tr w:rsidR="001F0F25" w:rsidRPr="009D7554">
        <w:trPr>
          <w:trHeight w:val="1129"/>
          <w:jc w:val="center"/>
        </w:trPr>
        <w:tc>
          <w:tcPr>
            <w:tcW w:w="2628" w:type="dxa"/>
            <w:shd w:val="clear" w:color="auto" w:fill="auto"/>
            <w:vAlign w:val="center"/>
          </w:tcPr>
          <w:p w:rsidR="0066698F" w:rsidRPr="009D7554" w:rsidRDefault="0066698F" w:rsidP="006A253E">
            <w:pPr>
              <w:snapToGrid w:val="0"/>
              <w:spacing w:line="360" w:lineRule="auto"/>
              <w:rPr>
                <w:rFonts w:ascii="Book Antiqua" w:hAnsi="Book Antiqua"/>
                <w:bCs/>
                <w:sz w:val="22"/>
                <w:szCs w:val="22"/>
                <w:lang w:val="en-US"/>
              </w:rPr>
            </w:pPr>
            <w:r w:rsidRPr="009D7554">
              <w:rPr>
                <w:rFonts w:ascii="Book Antiqua" w:hAnsi="Book Antiqua"/>
                <w:bCs/>
                <w:sz w:val="22"/>
                <w:szCs w:val="22"/>
                <w:lang w:val="en-US"/>
              </w:rPr>
              <w:t xml:space="preserve">Mean </w:t>
            </w:r>
            <w:r w:rsidR="00AE26A6" w:rsidRPr="009D7554">
              <w:rPr>
                <w:rFonts w:ascii="Book Antiqua" w:hAnsi="Book Antiqua"/>
                <w:bCs/>
                <w:sz w:val="22"/>
                <w:szCs w:val="22"/>
                <w:lang w:val="en-US"/>
              </w:rPr>
              <w:t>transit time</w:t>
            </w:r>
          </w:p>
        </w:tc>
        <w:tc>
          <w:tcPr>
            <w:tcW w:w="4500" w:type="dxa"/>
            <w:gridSpan w:val="2"/>
            <w:shd w:val="clear" w:color="auto" w:fill="auto"/>
            <w:vAlign w:val="center"/>
          </w:tcPr>
          <w:p w:rsidR="00F5443F" w:rsidRPr="009D7554" w:rsidRDefault="0066698F" w:rsidP="006A253E">
            <w:pPr>
              <w:snapToGrid w:val="0"/>
              <w:spacing w:line="360" w:lineRule="auto"/>
              <w:rPr>
                <w:rFonts w:ascii="Book Antiqua" w:hAnsi="Book Antiqua"/>
                <w:bCs/>
                <w:sz w:val="22"/>
                <w:szCs w:val="22"/>
                <w:lang w:val="en-US"/>
              </w:rPr>
            </w:pPr>
            <w:r w:rsidRPr="009D7554">
              <w:rPr>
                <w:rFonts w:ascii="Book Antiqua" w:hAnsi="Book Antiqua"/>
                <w:bCs/>
                <w:sz w:val="22"/>
                <w:szCs w:val="22"/>
                <w:lang w:val="en-US"/>
              </w:rPr>
              <w:t xml:space="preserve">Mean time </w:t>
            </w:r>
            <w:r w:rsidR="00472B06" w:rsidRPr="009D7554">
              <w:rPr>
                <w:rFonts w:ascii="Book Antiqua" w:hAnsi="Book Antiqua"/>
                <w:bCs/>
                <w:sz w:val="22"/>
                <w:szCs w:val="22"/>
                <w:lang w:val="en-US"/>
              </w:rPr>
              <w:t>needed for</w:t>
            </w:r>
            <w:r w:rsidRPr="009D7554">
              <w:rPr>
                <w:rFonts w:ascii="Book Antiqua" w:hAnsi="Book Antiqua"/>
                <w:bCs/>
                <w:sz w:val="22"/>
                <w:szCs w:val="22"/>
                <w:lang w:val="en-US"/>
              </w:rPr>
              <w:t xml:space="preserve"> blood to pass through the capillary network, expressed in second</w:t>
            </w:r>
            <w:r w:rsidR="00472B06" w:rsidRPr="009D7554">
              <w:rPr>
                <w:rFonts w:ascii="Book Antiqua" w:hAnsi="Book Antiqua"/>
                <w:bCs/>
                <w:sz w:val="22"/>
                <w:szCs w:val="22"/>
                <w:lang w:val="en-US"/>
              </w:rPr>
              <w:t>s</w:t>
            </w:r>
          </w:p>
        </w:tc>
        <w:tc>
          <w:tcPr>
            <w:tcW w:w="3238" w:type="dxa"/>
            <w:gridSpan w:val="2"/>
            <w:shd w:val="clear" w:color="auto" w:fill="auto"/>
            <w:vAlign w:val="center"/>
          </w:tcPr>
          <w:p w:rsidR="00F5443F" w:rsidRPr="009D7554" w:rsidRDefault="00CA3A0D" w:rsidP="006A253E">
            <w:pPr>
              <w:snapToGrid w:val="0"/>
              <w:spacing w:line="360" w:lineRule="auto"/>
              <w:rPr>
                <w:rFonts w:ascii="Book Antiqua" w:hAnsi="Book Antiqua"/>
                <w:bCs/>
                <w:sz w:val="22"/>
                <w:szCs w:val="22"/>
                <w:lang w:val="en-US"/>
              </w:rPr>
            </w:pPr>
            <w:r w:rsidRPr="009D7554">
              <w:rPr>
                <w:rFonts w:ascii="Book Antiqua" w:hAnsi="Book Antiqua"/>
                <w:bCs/>
                <w:sz w:val="22"/>
                <w:szCs w:val="22"/>
                <w:lang w:val="en-US"/>
              </w:rPr>
              <w:t xml:space="preserve">It reflects the time required </w:t>
            </w:r>
            <w:r w:rsidR="00472B06" w:rsidRPr="009D7554">
              <w:rPr>
                <w:rFonts w:ascii="Book Antiqua" w:hAnsi="Book Antiqua"/>
                <w:bCs/>
                <w:sz w:val="22"/>
                <w:szCs w:val="22"/>
                <w:lang w:val="en-US"/>
              </w:rPr>
              <w:t xml:space="preserve">for </w:t>
            </w:r>
            <w:r w:rsidRPr="009D7554">
              <w:rPr>
                <w:rFonts w:ascii="Book Antiqua" w:hAnsi="Book Antiqua"/>
                <w:bCs/>
                <w:sz w:val="22"/>
                <w:szCs w:val="22"/>
                <w:lang w:val="en-US"/>
              </w:rPr>
              <w:t>the contrast agent bolus to pass through tissue</w:t>
            </w:r>
          </w:p>
        </w:tc>
      </w:tr>
      <w:tr w:rsidR="001F0F25" w:rsidRPr="009D7554">
        <w:trPr>
          <w:trHeight w:val="1625"/>
          <w:jc w:val="center"/>
        </w:trPr>
        <w:tc>
          <w:tcPr>
            <w:tcW w:w="2628" w:type="dxa"/>
            <w:shd w:val="clear" w:color="auto" w:fill="auto"/>
            <w:vAlign w:val="center"/>
          </w:tcPr>
          <w:p w:rsidR="00801FE0" w:rsidRPr="009D7554" w:rsidRDefault="00801FE0" w:rsidP="006A253E">
            <w:pPr>
              <w:snapToGrid w:val="0"/>
              <w:spacing w:line="360" w:lineRule="auto"/>
              <w:rPr>
                <w:rFonts w:ascii="Book Antiqua" w:hAnsi="Book Antiqua"/>
                <w:bCs/>
                <w:sz w:val="22"/>
                <w:szCs w:val="22"/>
                <w:lang w:val="en-US"/>
              </w:rPr>
            </w:pPr>
            <w:r w:rsidRPr="009D7554">
              <w:rPr>
                <w:rFonts w:ascii="Book Antiqua" w:hAnsi="Book Antiqua"/>
                <w:bCs/>
                <w:sz w:val="22"/>
                <w:szCs w:val="22"/>
                <w:lang w:val="en-US"/>
              </w:rPr>
              <w:t xml:space="preserve">Permeability-surface </w:t>
            </w:r>
            <w:r w:rsidR="003136E0" w:rsidRPr="009D7554">
              <w:rPr>
                <w:rFonts w:ascii="Book Antiqua" w:hAnsi="Book Antiqua"/>
                <w:bCs/>
                <w:sz w:val="22"/>
                <w:szCs w:val="22"/>
                <w:lang w:val="en-US"/>
              </w:rPr>
              <w:t>a</w:t>
            </w:r>
            <w:r w:rsidR="00472B06" w:rsidRPr="009D7554">
              <w:rPr>
                <w:rFonts w:ascii="Book Antiqua" w:hAnsi="Book Antiqua"/>
                <w:bCs/>
                <w:sz w:val="22"/>
                <w:szCs w:val="22"/>
                <w:lang w:val="en-US"/>
              </w:rPr>
              <w:t xml:space="preserve">rea </w:t>
            </w:r>
            <w:r w:rsidR="003136E0" w:rsidRPr="009D7554">
              <w:rPr>
                <w:rFonts w:ascii="Book Antiqua" w:hAnsi="Book Antiqua"/>
                <w:bCs/>
                <w:sz w:val="22"/>
                <w:szCs w:val="22"/>
                <w:lang w:val="en-US"/>
              </w:rPr>
              <w:t>p</w:t>
            </w:r>
            <w:r w:rsidRPr="009D7554">
              <w:rPr>
                <w:rFonts w:ascii="Book Antiqua" w:hAnsi="Book Antiqua"/>
                <w:bCs/>
                <w:sz w:val="22"/>
                <w:szCs w:val="22"/>
                <w:lang w:val="en-US"/>
              </w:rPr>
              <w:t>roduct (PS)</w:t>
            </w:r>
          </w:p>
        </w:tc>
        <w:tc>
          <w:tcPr>
            <w:tcW w:w="4500" w:type="dxa"/>
            <w:gridSpan w:val="2"/>
            <w:shd w:val="clear" w:color="auto" w:fill="auto"/>
            <w:vAlign w:val="center"/>
          </w:tcPr>
          <w:p w:rsidR="00F5443F" w:rsidRPr="009D7554" w:rsidRDefault="0066698F" w:rsidP="006A253E">
            <w:pPr>
              <w:snapToGrid w:val="0"/>
              <w:spacing w:line="360" w:lineRule="auto"/>
              <w:rPr>
                <w:rFonts w:ascii="Book Antiqua" w:hAnsi="Book Antiqua"/>
                <w:bCs/>
                <w:sz w:val="22"/>
                <w:szCs w:val="22"/>
                <w:lang w:val="en-US"/>
              </w:rPr>
            </w:pPr>
            <w:r w:rsidRPr="009D7554">
              <w:rPr>
                <w:rFonts w:ascii="Book Antiqua" w:hAnsi="Book Antiqua"/>
                <w:bCs/>
                <w:sz w:val="22"/>
                <w:szCs w:val="22"/>
                <w:lang w:val="en-US"/>
              </w:rPr>
              <w:t>Flow of molecules through the capillary membranes in a certain volume of tissue, expressed in mL/min/100 mL tissue</w:t>
            </w:r>
          </w:p>
        </w:tc>
        <w:tc>
          <w:tcPr>
            <w:tcW w:w="3238" w:type="dxa"/>
            <w:gridSpan w:val="2"/>
            <w:shd w:val="clear" w:color="auto" w:fill="auto"/>
            <w:vAlign w:val="center"/>
          </w:tcPr>
          <w:p w:rsidR="00F5443F" w:rsidRPr="009D7554" w:rsidRDefault="0066698F" w:rsidP="006A253E">
            <w:pPr>
              <w:snapToGrid w:val="0"/>
              <w:spacing w:line="360" w:lineRule="auto"/>
              <w:rPr>
                <w:rFonts w:ascii="Book Antiqua" w:hAnsi="Book Antiqua"/>
                <w:bCs/>
                <w:sz w:val="22"/>
                <w:szCs w:val="22"/>
                <w:lang w:val="en-US"/>
              </w:rPr>
            </w:pPr>
            <w:r w:rsidRPr="009D7554">
              <w:rPr>
                <w:rFonts w:ascii="Book Antiqua" w:hAnsi="Book Antiqua"/>
                <w:bCs/>
                <w:sz w:val="22"/>
                <w:szCs w:val="22"/>
                <w:lang w:val="en-US"/>
              </w:rPr>
              <w:t xml:space="preserve">It reflects the vascular leakage rate </w:t>
            </w:r>
            <w:r w:rsidR="00472B06" w:rsidRPr="009D7554">
              <w:rPr>
                <w:rFonts w:ascii="Book Antiqua" w:hAnsi="Book Antiqua"/>
                <w:bCs/>
                <w:sz w:val="22"/>
                <w:szCs w:val="22"/>
                <w:lang w:val="en-US"/>
              </w:rPr>
              <w:t xml:space="preserve">in </w:t>
            </w:r>
            <w:r w:rsidRPr="009D7554">
              <w:rPr>
                <w:rFonts w:ascii="Book Antiqua" w:hAnsi="Book Antiqua"/>
                <w:bCs/>
                <w:sz w:val="22"/>
                <w:szCs w:val="22"/>
                <w:lang w:val="en-US"/>
              </w:rPr>
              <w:t>the microcirculation</w:t>
            </w:r>
          </w:p>
        </w:tc>
      </w:tr>
      <w:tr w:rsidR="001F0F25" w:rsidRPr="009D7554">
        <w:tblPrEx>
          <w:tblCellMar>
            <w:left w:w="70" w:type="dxa"/>
            <w:right w:w="70" w:type="dxa"/>
          </w:tblCellMar>
          <w:tblLook w:val="0000" w:firstRow="0" w:lastRow="0" w:firstColumn="0" w:lastColumn="0" w:noHBand="0" w:noVBand="0"/>
        </w:tblPrEx>
        <w:trPr>
          <w:trHeight w:val="1068"/>
          <w:jc w:val="center"/>
        </w:trPr>
        <w:tc>
          <w:tcPr>
            <w:tcW w:w="2640" w:type="dxa"/>
            <w:gridSpan w:val="2"/>
            <w:vAlign w:val="center"/>
          </w:tcPr>
          <w:p w:rsidR="0066698F" w:rsidRPr="009D7554" w:rsidRDefault="0066698F" w:rsidP="006A253E">
            <w:pPr>
              <w:widowControl w:val="0"/>
              <w:autoSpaceDE w:val="0"/>
              <w:autoSpaceDN w:val="0"/>
              <w:adjustRightInd w:val="0"/>
              <w:snapToGrid w:val="0"/>
              <w:spacing w:line="360" w:lineRule="auto"/>
              <w:rPr>
                <w:rFonts w:ascii="Book Antiqua" w:hAnsi="Book Antiqua"/>
                <w:bCs/>
                <w:sz w:val="22"/>
                <w:szCs w:val="22"/>
                <w:lang w:val="en-US"/>
              </w:rPr>
            </w:pPr>
            <w:r w:rsidRPr="009D7554">
              <w:rPr>
                <w:rFonts w:ascii="Book Antiqua" w:hAnsi="Book Antiqua"/>
                <w:bCs/>
                <w:sz w:val="22"/>
                <w:szCs w:val="22"/>
                <w:lang w:val="en-US"/>
              </w:rPr>
              <w:t xml:space="preserve">Transfer </w:t>
            </w:r>
            <w:r w:rsidR="00AE26A6" w:rsidRPr="009D7554">
              <w:rPr>
                <w:rFonts w:ascii="Book Antiqua" w:hAnsi="Book Antiqua"/>
                <w:bCs/>
                <w:sz w:val="22"/>
                <w:szCs w:val="22"/>
                <w:lang w:val="en-US"/>
              </w:rPr>
              <w:t>c</w:t>
            </w:r>
            <w:r w:rsidRPr="009D7554">
              <w:rPr>
                <w:rFonts w:ascii="Book Antiqua" w:hAnsi="Book Antiqua"/>
                <w:bCs/>
                <w:sz w:val="22"/>
                <w:szCs w:val="22"/>
                <w:lang w:val="en-US"/>
              </w:rPr>
              <w:t>onstant (K</w:t>
            </w:r>
            <w:r w:rsidR="00472B06" w:rsidRPr="009D7554">
              <w:rPr>
                <w:rFonts w:ascii="Book Antiqua" w:hAnsi="Book Antiqua"/>
                <w:bCs/>
                <w:sz w:val="22"/>
                <w:szCs w:val="22"/>
                <w:lang w:val="en-US"/>
              </w:rPr>
              <w:t>T</w:t>
            </w:r>
            <w:r w:rsidRPr="009D7554">
              <w:rPr>
                <w:rFonts w:ascii="Book Antiqua" w:hAnsi="Book Antiqua"/>
                <w:bCs/>
                <w:sz w:val="22"/>
                <w:szCs w:val="22"/>
                <w:lang w:val="en-US"/>
              </w:rPr>
              <w:t>rans)</w:t>
            </w:r>
          </w:p>
        </w:tc>
        <w:tc>
          <w:tcPr>
            <w:tcW w:w="4500" w:type="dxa"/>
            <w:gridSpan w:val="2"/>
            <w:vAlign w:val="center"/>
          </w:tcPr>
          <w:p w:rsidR="0066698F" w:rsidRPr="009D7554" w:rsidRDefault="00472B06" w:rsidP="006A253E">
            <w:pPr>
              <w:widowControl w:val="0"/>
              <w:autoSpaceDE w:val="0"/>
              <w:autoSpaceDN w:val="0"/>
              <w:adjustRightInd w:val="0"/>
              <w:snapToGrid w:val="0"/>
              <w:spacing w:line="360" w:lineRule="auto"/>
              <w:rPr>
                <w:rFonts w:ascii="Book Antiqua" w:hAnsi="Book Antiqua"/>
                <w:bCs/>
                <w:sz w:val="22"/>
                <w:szCs w:val="22"/>
                <w:lang w:val="en-US"/>
              </w:rPr>
            </w:pPr>
            <w:r w:rsidRPr="009D7554">
              <w:rPr>
                <w:rFonts w:ascii="Book Antiqua" w:hAnsi="Book Antiqua"/>
                <w:bCs/>
                <w:sz w:val="22"/>
                <w:szCs w:val="22"/>
                <w:lang w:val="en-US"/>
              </w:rPr>
              <w:t>R</w:t>
            </w:r>
            <w:r w:rsidR="004C42C3" w:rsidRPr="009D7554">
              <w:rPr>
                <w:rFonts w:ascii="Book Antiqua" w:hAnsi="Book Antiqua"/>
                <w:bCs/>
                <w:sz w:val="22"/>
                <w:szCs w:val="22"/>
                <w:lang w:val="en-US"/>
              </w:rPr>
              <w:t>ate at which the contrast agent transfers from the blood to the interstitium (rate of contrast extraction)</w:t>
            </w:r>
          </w:p>
        </w:tc>
        <w:tc>
          <w:tcPr>
            <w:tcW w:w="3226" w:type="dxa"/>
            <w:vAlign w:val="center"/>
          </w:tcPr>
          <w:p w:rsidR="0066698F" w:rsidRPr="009D7554" w:rsidRDefault="004C42C3" w:rsidP="006A253E">
            <w:pPr>
              <w:widowControl w:val="0"/>
              <w:autoSpaceDE w:val="0"/>
              <w:autoSpaceDN w:val="0"/>
              <w:adjustRightInd w:val="0"/>
              <w:snapToGrid w:val="0"/>
              <w:spacing w:line="360" w:lineRule="auto"/>
              <w:rPr>
                <w:rFonts w:ascii="Book Antiqua" w:hAnsi="Book Antiqua"/>
                <w:strike/>
                <w:sz w:val="22"/>
                <w:szCs w:val="22"/>
                <w:lang w:val="en-US"/>
              </w:rPr>
            </w:pPr>
            <w:r w:rsidRPr="009D7554">
              <w:rPr>
                <w:rFonts w:ascii="Book Antiqua" w:hAnsi="Book Antiqua"/>
                <w:sz w:val="22"/>
                <w:szCs w:val="22"/>
                <w:lang w:val="en-US"/>
              </w:rPr>
              <w:t xml:space="preserve">It reflects the balance between capillary permeability and blood flow </w:t>
            </w:r>
            <w:r w:rsidR="00472B06" w:rsidRPr="009D7554">
              <w:rPr>
                <w:rFonts w:ascii="Book Antiqua" w:hAnsi="Book Antiqua"/>
                <w:sz w:val="22"/>
                <w:szCs w:val="22"/>
                <w:lang w:val="en-US"/>
              </w:rPr>
              <w:t xml:space="preserve">in </w:t>
            </w:r>
            <w:r w:rsidRPr="009D7554">
              <w:rPr>
                <w:rFonts w:ascii="Book Antiqua" w:hAnsi="Book Antiqua"/>
                <w:sz w:val="22"/>
                <w:szCs w:val="22"/>
                <w:lang w:val="en-US"/>
              </w:rPr>
              <w:t xml:space="preserve">a tissue </w:t>
            </w:r>
          </w:p>
        </w:tc>
      </w:tr>
      <w:tr w:rsidR="001F0F25" w:rsidRPr="009D7554">
        <w:tblPrEx>
          <w:tblCellMar>
            <w:left w:w="70" w:type="dxa"/>
            <w:right w:w="70" w:type="dxa"/>
          </w:tblCellMar>
          <w:tblLook w:val="0000" w:firstRow="0" w:lastRow="0" w:firstColumn="0" w:lastColumn="0" w:noHBand="0" w:noVBand="0"/>
        </w:tblPrEx>
        <w:trPr>
          <w:trHeight w:val="1068"/>
          <w:jc w:val="center"/>
        </w:trPr>
        <w:tc>
          <w:tcPr>
            <w:tcW w:w="2640" w:type="dxa"/>
            <w:gridSpan w:val="2"/>
            <w:vAlign w:val="center"/>
          </w:tcPr>
          <w:p w:rsidR="00CA3A0D" w:rsidRPr="009D7554" w:rsidRDefault="00CA3A0D" w:rsidP="006A253E">
            <w:pPr>
              <w:widowControl w:val="0"/>
              <w:autoSpaceDE w:val="0"/>
              <w:autoSpaceDN w:val="0"/>
              <w:adjustRightInd w:val="0"/>
              <w:snapToGrid w:val="0"/>
              <w:spacing w:line="360" w:lineRule="auto"/>
              <w:rPr>
                <w:rFonts w:ascii="Book Antiqua" w:hAnsi="Book Antiqua"/>
                <w:bCs/>
                <w:sz w:val="22"/>
                <w:szCs w:val="22"/>
                <w:lang w:val="en-US"/>
              </w:rPr>
            </w:pPr>
            <w:r w:rsidRPr="009D7554">
              <w:rPr>
                <w:rFonts w:ascii="Book Antiqua" w:hAnsi="Book Antiqua"/>
                <w:bCs/>
                <w:sz w:val="22"/>
                <w:szCs w:val="22"/>
                <w:lang w:val="en-US"/>
              </w:rPr>
              <w:t>Tissue</w:t>
            </w:r>
            <w:r w:rsidR="00AE26A6" w:rsidRPr="009D7554">
              <w:rPr>
                <w:rFonts w:ascii="Book Antiqua" w:hAnsi="Book Antiqua"/>
                <w:bCs/>
                <w:sz w:val="22"/>
                <w:szCs w:val="22"/>
                <w:lang w:val="en-US"/>
              </w:rPr>
              <w:t xml:space="preserve"> i</w:t>
            </w:r>
            <w:r w:rsidRPr="009D7554">
              <w:rPr>
                <w:rFonts w:ascii="Book Antiqua" w:hAnsi="Book Antiqua"/>
                <w:bCs/>
                <w:sz w:val="22"/>
                <w:szCs w:val="22"/>
                <w:lang w:val="en-US"/>
              </w:rPr>
              <w:t xml:space="preserve">nterstitial </w:t>
            </w:r>
            <w:r w:rsidR="00AE26A6" w:rsidRPr="009D7554">
              <w:rPr>
                <w:rFonts w:ascii="Book Antiqua" w:hAnsi="Book Antiqua"/>
                <w:bCs/>
                <w:sz w:val="22"/>
                <w:szCs w:val="22"/>
                <w:lang w:val="en-US"/>
              </w:rPr>
              <w:t>v</w:t>
            </w:r>
            <w:r w:rsidRPr="009D7554">
              <w:rPr>
                <w:rFonts w:ascii="Book Antiqua" w:hAnsi="Book Antiqua"/>
                <w:bCs/>
                <w:sz w:val="22"/>
                <w:szCs w:val="22"/>
                <w:lang w:val="en-US"/>
              </w:rPr>
              <w:t>olume (Ve)</w:t>
            </w:r>
          </w:p>
        </w:tc>
        <w:tc>
          <w:tcPr>
            <w:tcW w:w="4500" w:type="dxa"/>
            <w:gridSpan w:val="2"/>
            <w:vAlign w:val="center"/>
          </w:tcPr>
          <w:p w:rsidR="00CA3A0D" w:rsidRPr="009D7554" w:rsidRDefault="00472B06" w:rsidP="006A253E">
            <w:pPr>
              <w:widowControl w:val="0"/>
              <w:autoSpaceDE w:val="0"/>
              <w:autoSpaceDN w:val="0"/>
              <w:adjustRightInd w:val="0"/>
              <w:snapToGrid w:val="0"/>
              <w:spacing w:line="360" w:lineRule="auto"/>
              <w:rPr>
                <w:rFonts w:ascii="Book Antiqua" w:hAnsi="Book Antiqua"/>
                <w:bCs/>
                <w:sz w:val="22"/>
                <w:szCs w:val="22"/>
                <w:lang w:val="en-US"/>
              </w:rPr>
            </w:pPr>
            <w:r w:rsidRPr="009D7554">
              <w:rPr>
                <w:rFonts w:ascii="Book Antiqua" w:hAnsi="Book Antiqua"/>
                <w:bCs/>
                <w:sz w:val="22"/>
                <w:szCs w:val="22"/>
                <w:lang w:val="en-US"/>
              </w:rPr>
              <w:t>Volume of e</w:t>
            </w:r>
            <w:r w:rsidR="00CA3A0D" w:rsidRPr="009D7554">
              <w:rPr>
                <w:rFonts w:ascii="Book Antiqua" w:hAnsi="Book Antiqua"/>
                <w:bCs/>
                <w:sz w:val="22"/>
                <w:szCs w:val="22"/>
                <w:lang w:val="en-US"/>
              </w:rPr>
              <w:t>xtravascular and extracellular contrast agent in a certain tissue, expressed as a percentage</w:t>
            </w:r>
          </w:p>
        </w:tc>
        <w:tc>
          <w:tcPr>
            <w:tcW w:w="3226" w:type="dxa"/>
            <w:vAlign w:val="center"/>
          </w:tcPr>
          <w:p w:rsidR="00CA3A0D" w:rsidRPr="009D7554" w:rsidRDefault="006D51A5" w:rsidP="006A253E">
            <w:pPr>
              <w:widowControl w:val="0"/>
              <w:autoSpaceDE w:val="0"/>
              <w:autoSpaceDN w:val="0"/>
              <w:adjustRightInd w:val="0"/>
              <w:snapToGrid w:val="0"/>
              <w:spacing w:line="360" w:lineRule="auto"/>
              <w:rPr>
                <w:rFonts w:ascii="Book Antiqua" w:hAnsi="Book Antiqua"/>
                <w:sz w:val="22"/>
                <w:szCs w:val="22"/>
                <w:lang w:val="en-US"/>
              </w:rPr>
            </w:pPr>
            <w:r w:rsidRPr="009D7554">
              <w:rPr>
                <w:rFonts w:ascii="Book Antiqua" w:hAnsi="Book Antiqua"/>
                <w:sz w:val="22"/>
                <w:szCs w:val="22"/>
                <w:lang w:val="en-US"/>
              </w:rPr>
              <w:t>It is a measure of cell density</w:t>
            </w:r>
          </w:p>
        </w:tc>
      </w:tr>
      <w:tr w:rsidR="001F0F25" w:rsidRPr="009D7554">
        <w:tblPrEx>
          <w:tblCellMar>
            <w:left w:w="70" w:type="dxa"/>
            <w:right w:w="70" w:type="dxa"/>
          </w:tblCellMar>
          <w:tblLook w:val="0000" w:firstRow="0" w:lastRow="0" w:firstColumn="0" w:lastColumn="0" w:noHBand="0" w:noVBand="0"/>
        </w:tblPrEx>
        <w:trPr>
          <w:trHeight w:val="1089"/>
          <w:jc w:val="center"/>
        </w:trPr>
        <w:tc>
          <w:tcPr>
            <w:tcW w:w="2640" w:type="dxa"/>
            <w:gridSpan w:val="2"/>
            <w:tcBorders>
              <w:bottom w:val="single" w:sz="4" w:space="0" w:color="auto"/>
            </w:tcBorders>
            <w:vAlign w:val="center"/>
          </w:tcPr>
          <w:p w:rsidR="00CA3A0D" w:rsidRPr="009D7554" w:rsidRDefault="00CA3A0D" w:rsidP="006A253E">
            <w:pPr>
              <w:widowControl w:val="0"/>
              <w:autoSpaceDE w:val="0"/>
              <w:autoSpaceDN w:val="0"/>
              <w:adjustRightInd w:val="0"/>
              <w:snapToGrid w:val="0"/>
              <w:spacing w:line="360" w:lineRule="auto"/>
              <w:rPr>
                <w:rFonts w:ascii="Book Antiqua" w:hAnsi="Book Antiqua"/>
                <w:bCs/>
                <w:sz w:val="22"/>
                <w:szCs w:val="22"/>
                <w:lang w:val="en-US"/>
              </w:rPr>
            </w:pPr>
            <w:r w:rsidRPr="009D7554">
              <w:rPr>
                <w:rFonts w:ascii="Book Antiqua" w:hAnsi="Book Antiqua"/>
                <w:bCs/>
                <w:sz w:val="22"/>
                <w:szCs w:val="22"/>
                <w:lang w:val="en-US"/>
              </w:rPr>
              <w:t>Rate</w:t>
            </w:r>
            <w:r w:rsidR="00AE26A6" w:rsidRPr="009D7554">
              <w:rPr>
                <w:rFonts w:ascii="Book Antiqua" w:hAnsi="Book Antiqua"/>
                <w:bCs/>
                <w:sz w:val="22"/>
                <w:szCs w:val="22"/>
                <w:lang w:val="en-US"/>
              </w:rPr>
              <w:t xml:space="preserve"> c</w:t>
            </w:r>
            <w:r w:rsidRPr="009D7554">
              <w:rPr>
                <w:rFonts w:ascii="Book Antiqua" w:hAnsi="Book Antiqua"/>
                <w:bCs/>
                <w:sz w:val="22"/>
                <w:szCs w:val="22"/>
                <w:lang w:val="en-US"/>
              </w:rPr>
              <w:t>onstant (Kep)</w:t>
            </w:r>
          </w:p>
        </w:tc>
        <w:tc>
          <w:tcPr>
            <w:tcW w:w="4500" w:type="dxa"/>
            <w:gridSpan w:val="2"/>
            <w:tcBorders>
              <w:bottom w:val="single" w:sz="4" w:space="0" w:color="auto"/>
            </w:tcBorders>
            <w:vAlign w:val="center"/>
          </w:tcPr>
          <w:p w:rsidR="00CA3A0D" w:rsidRPr="009D7554" w:rsidRDefault="00472B06" w:rsidP="006A253E">
            <w:pPr>
              <w:widowControl w:val="0"/>
              <w:autoSpaceDE w:val="0"/>
              <w:autoSpaceDN w:val="0"/>
              <w:adjustRightInd w:val="0"/>
              <w:snapToGrid w:val="0"/>
              <w:spacing w:line="360" w:lineRule="auto"/>
              <w:rPr>
                <w:rFonts w:ascii="Book Antiqua" w:hAnsi="Book Antiqua"/>
                <w:bCs/>
                <w:sz w:val="22"/>
                <w:szCs w:val="22"/>
                <w:lang w:val="en-US"/>
              </w:rPr>
            </w:pPr>
            <w:r w:rsidRPr="009D7554">
              <w:rPr>
                <w:rFonts w:ascii="Book Antiqua" w:hAnsi="Book Antiqua"/>
                <w:bCs/>
                <w:sz w:val="22"/>
                <w:szCs w:val="22"/>
                <w:lang w:val="en-US"/>
              </w:rPr>
              <w:t>R</w:t>
            </w:r>
            <w:r w:rsidR="00CA3A0D" w:rsidRPr="009D7554">
              <w:rPr>
                <w:rFonts w:ascii="Book Antiqua" w:hAnsi="Book Antiqua"/>
                <w:bCs/>
                <w:sz w:val="22"/>
                <w:szCs w:val="22"/>
                <w:lang w:val="en-US"/>
              </w:rPr>
              <w:t>ate at which the contrast agent returns from the extravascular-extracellular space to the vascular compartment: Kep = Ktrans/Ve</w:t>
            </w:r>
          </w:p>
        </w:tc>
        <w:tc>
          <w:tcPr>
            <w:tcW w:w="3226" w:type="dxa"/>
            <w:tcBorders>
              <w:bottom w:val="single" w:sz="4" w:space="0" w:color="auto"/>
            </w:tcBorders>
            <w:vAlign w:val="center"/>
          </w:tcPr>
          <w:p w:rsidR="00CA3A0D" w:rsidRPr="009D7554" w:rsidRDefault="005E1E46" w:rsidP="006A253E">
            <w:pPr>
              <w:widowControl w:val="0"/>
              <w:autoSpaceDE w:val="0"/>
              <w:autoSpaceDN w:val="0"/>
              <w:adjustRightInd w:val="0"/>
              <w:snapToGrid w:val="0"/>
              <w:spacing w:line="360" w:lineRule="auto"/>
              <w:rPr>
                <w:rFonts w:ascii="Book Antiqua" w:hAnsi="Book Antiqua"/>
                <w:strike/>
                <w:sz w:val="22"/>
                <w:szCs w:val="22"/>
                <w:lang w:val="en-US"/>
              </w:rPr>
            </w:pPr>
            <w:r w:rsidRPr="009D7554">
              <w:rPr>
                <w:rFonts w:ascii="Book Antiqua" w:hAnsi="Book Antiqua"/>
                <w:sz w:val="22"/>
                <w:szCs w:val="22"/>
                <w:lang w:val="en-US"/>
              </w:rPr>
              <w:t xml:space="preserve">It </w:t>
            </w:r>
            <w:r w:rsidR="00FA7E23" w:rsidRPr="009D7554">
              <w:rPr>
                <w:rFonts w:ascii="Book Antiqua" w:hAnsi="Book Antiqua"/>
                <w:sz w:val="22"/>
                <w:szCs w:val="22"/>
                <w:lang w:val="en-US"/>
              </w:rPr>
              <w:t>reflects</w:t>
            </w:r>
            <w:r w:rsidRPr="009D7554">
              <w:rPr>
                <w:rFonts w:ascii="Book Antiqua" w:hAnsi="Book Antiqua"/>
                <w:sz w:val="22"/>
                <w:szCs w:val="22"/>
                <w:lang w:val="en-US"/>
              </w:rPr>
              <w:t xml:space="preserve"> the tissue microcirculation and contrast agent permeability</w:t>
            </w:r>
          </w:p>
        </w:tc>
      </w:tr>
    </w:tbl>
    <w:p w:rsidR="004616FB" w:rsidRPr="009D7554" w:rsidRDefault="00AB4FFB" w:rsidP="006A253E">
      <w:pPr>
        <w:snapToGrid w:val="0"/>
        <w:spacing w:line="360" w:lineRule="auto"/>
        <w:jc w:val="both"/>
        <w:rPr>
          <w:rFonts w:ascii="Book Antiqua" w:hAnsi="Book Antiqua"/>
          <w:b/>
          <w:bCs/>
          <w:lang w:val="en-US"/>
        </w:rPr>
      </w:pPr>
      <w:r w:rsidRPr="009D7554">
        <w:rPr>
          <w:rFonts w:ascii="Book Antiqua" w:hAnsi="Book Antiqua"/>
          <w:lang w:val="en-US"/>
        </w:rPr>
        <w:br w:type="page"/>
      </w:r>
      <w:r w:rsidR="00296048">
        <w:rPr>
          <w:noProof/>
          <w:lang w:val="en-US" w:eastAsia="zh-CN"/>
        </w:rPr>
        <w:drawing>
          <wp:inline distT="0" distB="0" distL="0" distR="0">
            <wp:extent cx="4353560" cy="2907030"/>
            <wp:effectExtent l="0" t="0" r="889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3560" cy="2907030"/>
                    </a:xfrm>
                    <a:prstGeom prst="rect">
                      <a:avLst/>
                    </a:prstGeom>
                    <a:noFill/>
                    <a:ln>
                      <a:noFill/>
                    </a:ln>
                  </pic:spPr>
                </pic:pic>
              </a:graphicData>
            </a:graphic>
          </wp:inline>
        </w:drawing>
      </w:r>
    </w:p>
    <w:p w:rsidR="00AB4FFB" w:rsidRPr="009D7554" w:rsidRDefault="00AB4FFB" w:rsidP="006A253E">
      <w:pPr>
        <w:snapToGrid w:val="0"/>
        <w:spacing w:line="360" w:lineRule="auto"/>
        <w:jc w:val="both"/>
        <w:rPr>
          <w:rFonts w:ascii="Book Antiqua" w:hAnsi="Book Antiqua"/>
          <w:b/>
          <w:bCs/>
          <w:lang w:val="en-US"/>
        </w:rPr>
      </w:pPr>
      <w:r w:rsidRPr="009D7554">
        <w:rPr>
          <w:rFonts w:ascii="Book Antiqua" w:hAnsi="Book Antiqua"/>
          <w:b/>
          <w:bCs/>
          <w:lang w:val="en-US"/>
        </w:rPr>
        <w:t>Figure 1</w:t>
      </w:r>
      <w:r w:rsidR="00A60952" w:rsidRPr="009D7554">
        <w:rPr>
          <w:rFonts w:ascii="Book Antiqua" w:eastAsia="等线" w:hAnsi="Book Antiqua" w:hint="eastAsia"/>
          <w:b/>
          <w:bCs/>
          <w:lang w:val="en-US" w:eastAsia="zh-CN"/>
        </w:rPr>
        <w:t xml:space="preserve"> </w:t>
      </w:r>
      <w:r w:rsidR="004616FB" w:rsidRPr="009D7554">
        <w:rPr>
          <w:rFonts w:ascii="Book Antiqua" w:hAnsi="Book Antiqua"/>
          <w:b/>
          <w:bCs/>
          <w:lang w:val="en-US"/>
        </w:rPr>
        <w:t xml:space="preserve">Schematic representation of water </w:t>
      </w:r>
      <w:r w:rsidR="001F0F25" w:rsidRPr="009D7554">
        <w:rPr>
          <w:rFonts w:ascii="Book Antiqua" w:hAnsi="Book Antiqua"/>
          <w:b/>
          <w:bCs/>
          <w:lang w:val="en-US"/>
        </w:rPr>
        <w:t>molecule</w:t>
      </w:r>
      <w:r w:rsidR="004616FB" w:rsidRPr="009D7554">
        <w:rPr>
          <w:rFonts w:ascii="Book Antiqua" w:hAnsi="Book Antiqua"/>
          <w:b/>
          <w:bCs/>
          <w:lang w:val="en-US"/>
        </w:rPr>
        <w:t xml:space="preserve"> diffusion </w:t>
      </w:r>
      <w:r w:rsidR="00FA7E23" w:rsidRPr="009D7554">
        <w:rPr>
          <w:rFonts w:ascii="Book Antiqua" w:hAnsi="Book Antiqua"/>
          <w:b/>
          <w:bCs/>
          <w:lang w:val="en-US"/>
        </w:rPr>
        <w:t xml:space="preserve">(dots) </w:t>
      </w:r>
      <w:r w:rsidR="004616FB" w:rsidRPr="009D7554">
        <w:rPr>
          <w:rFonts w:ascii="Book Antiqua" w:hAnsi="Book Antiqua"/>
          <w:b/>
          <w:bCs/>
          <w:lang w:val="en-US"/>
        </w:rPr>
        <w:t xml:space="preserve">in the extracellular space. </w:t>
      </w:r>
      <w:r w:rsidR="004616FB" w:rsidRPr="009D7554">
        <w:rPr>
          <w:rFonts w:ascii="Book Antiqua" w:hAnsi="Book Antiqua"/>
          <w:lang w:val="en-US"/>
        </w:rPr>
        <w:t>Normal tissues (A) show a relatively large</w:t>
      </w:r>
      <w:r w:rsidR="00FA7E23" w:rsidRPr="009D7554">
        <w:rPr>
          <w:rFonts w:ascii="Book Antiqua" w:hAnsi="Book Antiqua"/>
          <w:lang w:val="en-US"/>
        </w:rPr>
        <w:t>r</w:t>
      </w:r>
      <w:r w:rsidR="004616FB" w:rsidRPr="009D7554">
        <w:rPr>
          <w:rFonts w:ascii="Book Antiqua" w:hAnsi="Book Antiqua"/>
          <w:lang w:val="en-US"/>
        </w:rPr>
        <w:t xml:space="preserve"> extracellular space with high water diffusion (longer arrow vectors </w:t>
      </w:r>
      <w:r w:rsidR="004616FB" w:rsidRPr="009D7554">
        <w:rPr>
          <w:rFonts w:ascii="Wingdings" w:hAnsi="Wingdings"/>
          <w:lang w:val="en-US"/>
        </w:rPr>
        <w:sym w:font="Wingdings" w:char="F0E0"/>
      </w:r>
      <w:r w:rsidR="004616FB" w:rsidRPr="009D7554">
        <w:rPr>
          <w:rFonts w:ascii="Book Antiqua" w:hAnsi="Book Antiqua"/>
          <w:lang w:val="en-US"/>
        </w:rPr>
        <w:t xml:space="preserve"> higher ADC values), whereas the increased tissue cellularity </w:t>
      </w:r>
      <w:r w:rsidR="00FA7E23" w:rsidRPr="009D7554">
        <w:rPr>
          <w:rFonts w:ascii="Book Antiqua" w:hAnsi="Book Antiqua"/>
          <w:lang w:val="en-US"/>
        </w:rPr>
        <w:t xml:space="preserve">in </w:t>
      </w:r>
      <w:r w:rsidR="004616FB" w:rsidRPr="009D7554">
        <w:rPr>
          <w:rFonts w:ascii="Book Antiqua" w:hAnsi="Book Antiqua"/>
          <w:lang w:val="en-US"/>
        </w:rPr>
        <w:t xml:space="preserve">a neoplasm (B) reduces the intercellular space and consequently restricts diffusion (shorter arrow vectors </w:t>
      </w:r>
      <w:r w:rsidR="004616FB" w:rsidRPr="009D7554">
        <w:rPr>
          <w:rFonts w:ascii="Wingdings" w:hAnsi="Wingdings"/>
          <w:lang w:val="en-US"/>
        </w:rPr>
        <w:sym w:font="Wingdings" w:char="F0E0"/>
      </w:r>
      <w:r w:rsidRPr="009D7554">
        <w:rPr>
          <w:rFonts w:ascii="Book Antiqua" w:hAnsi="Book Antiqua"/>
          <w:lang w:val="en-US"/>
        </w:rPr>
        <w:t xml:space="preserve"> lower ADC values).</w:t>
      </w:r>
    </w:p>
    <w:p w:rsidR="004616FB" w:rsidRPr="009D7554" w:rsidRDefault="009F434C" w:rsidP="006A253E">
      <w:pPr>
        <w:snapToGrid w:val="0"/>
        <w:spacing w:line="360" w:lineRule="auto"/>
        <w:jc w:val="both"/>
        <w:rPr>
          <w:rFonts w:ascii="Book Antiqua" w:hAnsi="Book Antiqua"/>
          <w:b/>
          <w:bCs/>
          <w:lang w:val="en-US"/>
        </w:rPr>
      </w:pPr>
      <w:r w:rsidRPr="009D7554">
        <w:rPr>
          <w:rFonts w:ascii="Book Antiqua" w:hAnsi="Book Antiqua"/>
          <w:b/>
          <w:bCs/>
          <w:lang w:val="en-US"/>
        </w:rPr>
        <w:br w:type="page"/>
      </w:r>
      <w:r w:rsidR="00296048">
        <w:rPr>
          <w:noProof/>
          <w:lang w:val="en-US" w:eastAsia="zh-CN"/>
        </w:rPr>
        <w:drawing>
          <wp:inline distT="0" distB="0" distL="0" distR="0">
            <wp:extent cx="5554345" cy="2429510"/>
            <wp:effectExtent l="0" t="0" r="825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4345" cy="2429510"/>
                    </a:xfrm>
                    <a:prstGeom prst="rect">
                      <a:avLst/>
                    </a:prstGeom>
                    <a:noFill/>
                    <a:ln>
                      <a:noFill/>
                    </a:ln>
                  </pic:spPr>
                </pic:pic>
              </a:graphicData>
            </a:graphic>
          </wp:inline>
        </w:drawing>
      </w:r>
    </w:p>
    <w:p w:rsidR="00AB4FFB" w:rsidRPr="009D7554" w:rsidRDefault="00AB4FFB" w:rsidP="006A253E">
      <w:pPr>
        <w:snapToGrid w:val="0"/>
        <w:spacing w:line="360" w:lineRule="auto"/>
        <w:jc w:val="both"/>
        <w:rPr>
          <w:rFonts w:ascii="Book Antiqua" w:hAnsi="Book Antiqua"/>
          <w:b/>
          <w:bCs/>
          <w:lang w:val="en-US"/>
        </w:rPr>
      </w:pPr>
      <w:r w:rsidRPr="009D7554">
        <w:rPr>
          <w:rFonts w:ascii="Book Antiqua" w:hAnsi="Book Antiqua"/>
          <w:b/>
          <w:bCs/>
          <w:lang w:val="en-US"/>
        </w:rPr>
        <w:t>Figure 2</w:t>
      </w:r>
      <w:r w:rsidR="009F434C" w:rsidRPr="009D7554">
        <w:rPr>
          <w:rFonts w:ascii="Book Antiqua" w:eastAsia="等线" w:hAnsi="Book Antiqua" w:hint="eastAsia"/>
          <w:b/>
          <w:bCs/>
          <w:lang w:val="en-US" w:eastAsia="zh-CN"/>
        </w:rPr>
        <w:t xml:space="preserve"> </w:t>
      </w:r>
      <w:r w:rsidRPr="009D7554">
        <w:rPr>
          <w:rFonts w:ascii="Book Antiqua" w:hAnsi="Book Antiqua"/>
          <w:b/>
          <w:bCs/>
          <w:lang w:val="en-US"/>
        </w:rPr>
        <w:t xml:space="preserve">Schematic representation showing vascularization changes </w:t>
      </w:r>
      <w:r w:rsidR="00FA7E23" w:rsidRPr="009D7554">
        <w:rPr>
          <w:rFonts w:ascii="Book Antiqua" w:hAnsi="Book Antiqua"/>
          <w:b/>
          <w:bCs/>
          <w:lang w:val="en-US"/>
        </w:rPr>
        <w:t xml:space="preserve">in </w:t>
      </w:r>
      <w:r w:rsidRPr="009D7554">
        <w:rPr>
          <w:rFonts w:ascii="Book Antiqua" w:hAnsi="Book Antiqua"/>
          <w:b/>
          <w:bCs/>
          <w:lang w:val="en-US"/>
        </w:rPr>
        <w:t xml:space="preserve">normal tissue (A) </w:t>
      </w:r>
      <w:r w:rsidR="00FA7E23" w:rsidRPr="009D7554">
        <w:rPr>
          <w:rFonts w:ascii="Book Antiqua" w:hAnsi="Book Antiqua"/>
          <w:b/>
          <w:bCs/>
          <w:lang w:val="en-US"/>
        </w:rPr>
        <w:t xml:space="preserve">and </w:t>
      </w:r>
      <w:r w:rsidRPr="009D7554">
        <w:rPr>
          <w:rFonts w:ascii="Book Antiqua" w:hAnsi="Book Antiqua"/>
          <w:b/>
          <w:bCs/>
          <w:lang w:val="en-US"/>
        </w:rPr>
        <w:t>neoplastic neoangiogenesis (B).</w:t>
      </w:r>
      <w:r w:rsidRPr="009D7554">
        <w:rPr>
          <w:rFonts w:ascii="Book Antiqua" w:hAnsi="Book Antiqua"/>
          <w:lang w:val="en-US"/>
        </w:rPr>
        <w:t xml:space="preserve"> </w:t>
      </w:r>
      <w:r w:rsidR="00FA7E23" w:rsidRPr="009D7554">
        <w:rPr>
          <w:rFonts w:ascii="Book Antiqua" w:hAnsi="Book Antiqua"/>
          <w:lang w:val="en-US"/>
        </w:rPr>
        <w:t xml:space="preserve">In </w:t>
      </w:r>
      <w:r w:rsidRPr="009D7554">
        <w:rPr>
          <w:rFonts w:ascii="Book Antiqua" w:hAnsi="Book Antiqua"/>
          <w:lang w:val="en-US"/>
        </w:rPr>
        <w:t>C, a typical bicompartmental model (extended Toft</w:t>
      </w:r>
      <w:r w:rsidR="00FA7E23" w:rsidRPr="009D7554">
        <w:rPr>
          <w:rFonts w:ascii="Book Antiqua" w:hAnsi="Book Antiqua"/>
          <w:lang w:val="en-US"/>
        </w:rPr>
        <w:t>’s model</w:t>
      </w:r>
      <w:r w:rsidRPr="009D7554">
        <w:rPr>
          <w:rFonts w:ascii="Book Antiqua" w:hAnsi="Book Antiqua"/>
          <w:lang w:val="en-US"/>
        </w:rPr>
        <w:t xml:space="preserve">) is depicted with various parameters that can be assessed </w:t>
      </w:r>
      <w:r w:rsidR="00FA7E23" w:rsidRPr="009D7554">
        <w:rPr>
          <w:rFonts w:ascii="Book Antiqua" w:hAnsi="Book Antiqua"/>
          <w:lang w:val="en-US"/>
        </w:rPr>
        <w:t>according to the</w:t>
      </w:r>
      <w:r w:rsidRPr="009D7554">
        <w:rPr>
          <w:rFonts w:ascii="Book Antiqua" w:hAnsi="Book Antiqua"/>
          <w:lang w:val="en-US"/>
        </w:rPr>
        <w:t xml:space="preserve"> tissue contrast agent concentration</w:t>
      </w:r>
      <w:r w:rsidR="00FA7E23" w:rsidRPr="009D7554">
        <w:rPr>
          <w:rFonts w:ascii="Book Antiqua" w:hAnsi="Book Antiqua"/>
          <w:lang w:val="en-US"/>
        </w:rPr>
        <w:t xml:space="preserve"> (dots)</w:t>
      </w:r>
      <w:r w:rsidRPr="009D7554">
        <w:rPr>
          <w:rFonts w:ascii="Book Antiqua" w:hAnsi="Book Antiqua"/>
          <w:lang w:val="en-US"/>
        </w:rPr>
        <w:t xml:space="preserve"> and </w:t>
      </w:r>
      <w:r w:rsidR="00FA7E23" w:rsidRPr="009D7554">
        <w:rPr>
          <w:rFonts w:ascii="Book Antiqua" w:hAnsi="Book Antiqua"/>
          <w:lang w:val="en-US"/>
        </w:rPr>
        <w:t xml:space="preserve">the </w:t>
      </w:r>
      <w:r w:rsidRPr="009D7554">
        <w:rPr>
          <w:rFonts w:ascii="Book Antiqua" w:hAnsi="Book Antiqua"/>
          <w:lang w:val="en-US"/>
        </w:rPr>
        <w:t>arterial input function data.</w:t>
      </w:r>
    </w:p>
    <w:p w:rsidR="004616FB" w:rsidRPr="009D7554" w:rsidRDefault="004C5F99" w:rsidP="006A253E">
      <w:pPr>
        <w:snapToGrid w:val="0"/>
        <w:spacing w:line="360" w:lineRule="auto"/>
        <w:jc w:val="both"/>
        <w:rPr>
          <w:rFonts w:ascii="Book Antiqua" w:hAnsi="Book Antiqua"/>
          <w:b/>
          <w:bCs/>
          <w:lang w:val="en-US"/>
        </w:rPr>
      </w:pPr>
      <w:r w:rsidRPr="009D7554">
        <w:rPr>
          <w:rFonts w:ascii="Book Antiqua" w:hAnsi="Book Antiqua"/>
          <w:b/>
          <w:bCs/>
          <w:lang w:val="en-US"/>
        </w:rPr>
        <w:br w:type="page"/>
      </w:r>
      <w:r w:rsidR="00296048">
        <w:rPr>
          <w:noProof/>
          <w:lang w:val="en-US" w:eastAsia="zh-CN"/>
        </w:rPr>
        <w:drawing>
          <wp:inline distT="0" distB="0" distL="0" distR="0">
            <wp:extent cx="4476750" cy="2947670"/>
            <wp:effectExtent l="0" t="0" r="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947670"/>
                    </a:xfrm>
                    <a:prstGeom prst="rect">
                      <a:avLst/>
                    </a:prstGeom>
                    <a:noFill/>
                    <a:ln>
                      <a:noFill/>
                    </a:ln>
                  </pic:spPr>
                </pic:pic>
              </a:graphicData>
            </a:graphic>
          </wp:inline>
        </w:drawing>
      </w:r>
    </w:p>
    <w:p w:rsidR="00AB4FFB" w:rsidRPr="009D7554" w:rsidRDefault="00AB4FFB" w:rsidP="006A253E">
      <w:pPr>
        <w:snapToGrid w:val="0"/>
        <w:spacing w:line="360" w:lineRule="auto"/>
        <w:jc w:val="both"/>
        <w:rPr>
          <w:rFonts w:ascii="Book Antiqua" w:hAnsi="Book Antiqua"/>
          <w:b/>
          <w:bCs/>
          <w:lang w:val="en-US"/>
        </w:rPr>
      </w:pPr>
      <w:r w:rsidRPr="009D7554">
        <w:rPr>
          <w:rFonts w:ascii="Book Antiqua" w:hAnsi="Book Antiqua"/>
          <w:b/>
          <w:bCs/>
          <w:lang w:val="en-US"/>
        </w:rPr>
        <w:t>Figure 3</w:t>
      </w:r>
      <w:r w:rsidR="004C5F99" w:rsidRPr="009D7554">
        <w:rPr>
          <w:rFonts w:ascii="Book Antiqua" w:eastAsia="等线" w:hAnsi="Book Antiqua" w:hint="eastAsia"/>
          <w:b/>
          <w:bCs/>
          <w:lang w:val="en-US" w:eastAsia="zh-CN"/>
        </w:rPr>
        <w:t xml:space="preserve"> </w:t>
      </w:r>
      <w:r w:rsidR="004765FB" w:rsidRPr="009D7554">
        <w:rPr>
          <w:rFonts w:ascii="Book Antiqua" w:hAnsi="Book Antiqua"/>
          <w:b/>
          <w:bCs/>
          <w:lang w:val="en-US"/>
        </w:rPr>
        <w:t xml:space="preserve">Schematic representation of morphological and metabolic features of normal tissue (A) compared </w:t>
      </w:r>
      <w:r w:rsidR="00FA7E23" w:rsidRPr="009D7554">
        <w:rPr>
          <w:rFonts w:ascii="Book Antiqua" w:hAnsi="Book Antiqua"/>
          <w:b/>
          <w:bCs/>
          <w:lang w:val="en-US"/>
        </w:rPr>
        <w:t xml:space="preserve">with those of </w:t>
      </w:r>
      <w:r w:rsidR="004765FB" w:rsidRPr="009D7554">
        <w:rPr>
          <w:rFonts w:ascii="Book Antiqua" w:hAnsi="Book Antiqua"/>
          <w:b/>
          <w:bCs/>
          <w:lang w:val="en-US"/>
        </w:rPr>
        <w:t xml:space="preserve">neoplastic malignant cells (B). </w:t>
      </w:r>
      <w:r w:rsidR="004765FB" w:rsidRPr="009D7554">
        <w:rPr>
          <w:rFonts w:ascii="Book Antiqua" w:hAnsi="Book Antiqua"/>
          <w:lang w:val="en-US"/>
        </w:rPr>
        <w:t xml:space="preserve">The darker shade of violet represents </w:t>
      </w:r>
      <w:r w:rsidR="00FA7E23" w:rsidRPr="009D7554">
        <w:rPr>
          <w:rFonts w:ascii="Book Antiqua" w:hAnsi="Book Antiqua"/>
          <w:lang w:val="en-US"/>
        </w:rPr>
        <w:t xml:space="preserve">the </w:t>
      </w:r>
      <w:r w:rsidR="004765FB" w:rsidRPr="009D7554">
        <w:rPr>
          <w:rFonts w:ascii="Book Antiqua" w:hAnsi="Book Antiqua"/>
          <w:lang w:val="en-US"/>
        </w:rPr>
        <w:t>higher glucose consumption typical of malignant cells.</w:t>
      </w:r>
    </w:p>
    <w:p w:rsidR="004616FB" w:rsidRPr="009D7554" w:rsidRDefault="00005621" w:rsidP="006A253E">
      <w:pPr>
        <w:snapToGrid w:val="0"/>
        <w:spacing w:line="360" w:lineRule="auto"/>
        <w:jc w:val="both"/>
        <w:rPr>
          <w:rFonts w:ascii="Book Antiqua" w:hAnsi="Book Antiqua"/>
          <w:b/>
          <w:bCs/>
          <w:lang w:val="en-US"/>
        </w:rPr>
      </w:pPr>
      <w:r w:rsidRPr="009D7554">
        <w:rPr>
          <w:rFonts w:ascii="Book Antiqua" w:hAnsi="Book Antiqua"/>
          <w:b/>
          <w:bCs/>
          <w:lang w:val="en-US"/>
        </w:rPr>
        <w:br w:type="page"/>
      </w:r>
      <w:r w:rsidR="00296048">
        <w:rPr>
          <w:rFonts w:ascii="Book Antiqua" w:hAnsi="Book Antiqua"/>
          <w:b/>
          <w:bCs/>
          <w:noProof/>
          <w:lang w:val="en-US" w:eastAsia="zh-CN"/>
        </w:rPr>
        <w:drawing>
          <wp:inline distT="0" distB="0" distL="0" distR="0">
            <wp:extent cx="2115185" cy="2825115"/>
            <wp:effectExtent l="19050" t="19050" r="18415" b="13335"/>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5185" cy="2825115"/>
                    </a:xfrm>
                    <a:prstGeom prst="rect">
                      <a:avLst/>
                    </a:prstGeom>
                    <a:noFill/>
                    <a:ln w="9525" cmpd="sng">
                      <a:solidFill>
                        <a:srgbClr val="000000"/>
                      </a:solidFill>
                      <a:miter lim="800000"/>
                      <a:headEnd/>
                      <a:tailEnd/>
                    </a:ln>
                    <a:effectLst/>
                  </pic:spPr>
                </pic:pic>
              </a:graphicData>
            </a:graphic>
          </wp:inline>
        </w:drawing>
      </w:r>
    </w:p>
    <w:p w:rsidR="004616FB" w:rsidRPr="009D7554" w:rsidRDefault="00AB4FFB" w:rsidP="006A253E">
      <w:pPr>
        <w:snapToGrid w:val="0"/>
        <w:spacing w:line="360" w:lineRule="auto"/>
        <w:jc w:val="both"/>
        <w:rPr>
          <w:rFonts w:ascii="Book Antiqua" w:hAnsi="Book Antiqua"/>
          <w:b/>
          <w:bCs/>
          <w:lang w:val="en-US"/>
        </w:rPr>
      </w:pPr>
      <w:r w:rsidRPr="009D7554">
        <w:rPr>
          <w:rFonts w:ascii="Book Antiqua" w:hAnsi="Book Antiqua"/>
          <w:b/>
          <w:bCs/>
          <w:lang w:val="en-US"/>
        </w:rPr>
        <w:t>Figure 4</w:t>
      </w:r>
      <w:r w:rsidR="00005621" w:rsidRPr="009D7554">
        <w:rPr>
          <w:rFonts w:ascii="Book Antiqua" w:eastAsia="等线" w:hAnsi="Book Antiqua" w:hint="eastAsia"/>
          <w:b/>
          <w:bCs/>
          <w:lang w:val="en-US" w:eastAsia="zh-CN"/>
        </w:rPr>
        <w:t xml:space="preserve"> </w:t>
      </w:r>
      <w:r w:rsidRPr="009D7554">
        <w:rPr>
          <w:rFonts w:ascii="Book Antiqua" w:hAnsi="Book Antiqua"/>
          <w:b/>
          <w:bCs/>
          <w:lang w:val="en-US"/>
        </w:rPr>
        <w:t xml:space="preserve">Schematic representation of neoplastic tissue after treatment. </w:t>
      </w:r>
      <w:r w:rsidRPr="009D7554">
        <w:rPr>
          <w:rFonts w:ascii="Book Antiqua" w:hAnsi="Book Antiqua"/>
          <w:lang w:val="en-US"/>
        </w:rPr>
        <w:t xml:space="preserve">Cytolysis increases </w:t>
      </w:r>
      <w:r w:rsidR="00FA7E23" w:rsidRPr="009D7554">
        <w:rPr>
          <w:rFonts w:ascii="Book Antiqua" w:hAnsi="Book Antiqua"/>
          <w:lang w:val="en-US"/>
        </w:rPr>
        <w:t xml:space="preserve">the </w:t>
      </w:r>
      <w:r w:rsidRPr="009D7554">
        <w:rPr>
          <w:rFonts w:ascii="Book Antiqua" w:hAnsi="Book Antiqua"/>
          <w:lang w:val="en-US"/>
        </w:rPr>
        <w:t xml:space="preserve">extracellular space and consequently water diffusion </w:t>
      </w:r>
      <w:r w:rsidR="00FA7E23" w:rsidRPr="009D7554">
        <w:rPr>
          <w:rFonts w:ascii="Book Antiqua" w:hAnsi="Book Antiqua"/>
          <w:lang w:val="en-US"/>
        </w:rPr>
        <w:t>and</w:t>
      </w:r>
      <w:r w:rsidRPr="009D7554">
        <w:rPr>
          <w:rFonts w:ascii="Book Antiqua" w:hAnsi="Book Antiqua"/>
          <w:lang w:val="en-US"/>
        </w:rPr>
        <w:t xml:space="preserve"> reduces lesion vascularization and metabolism.</w:t>
      </w:r>
    </w:p>
    <w:p w:rsidR="00B40CC3" w:rsidRPr="009D7554" w:rsidRDefault="007E6ACD" w:rsidP="006A253E">
      <w:pPr>
        <w:snapToGrid w:val="0"/>
        <w:spacing w:line="360" w:lineRule="auto"/>
        <w:jc w:val="both"/>
        <w:rPr>
          <w:rFonts w:ascii="Book Antiqua" w:hAnsi="Book Antiqua"/>
          <w:b/>
          <w:bCs/>
          <w:lang w:val="en-US"/>
        </w:rPr>
      </w:pPr>
      <w:r w:rsidRPr="009D7554">
        <w:rPr>
          <w:rFonts w:ascii="Book Antiqua" w:hAnsi="Book Antiqua"/>
          <w:b/>
          <w:bCs/>
          <w:lang w:val="en-US"/>
        </w:rPr>
        <w:br w:type="page"/>
      </w:r>
      <w:r w:rsidR="00296048">
        <w:rPr>
          <w:noProof/>
          <w:lang w:val="en-US" w:eastAsia="zh-CN"/>
        </w:rPr>
        <w:drawing>
          <wp:inline distT="0" distB="0" distL="0" distR="0">
            <wp:extent cx="6114415" cy="3575685"/>
            <wp:effectExtent l="0" t="0" r="635" b="57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3575685"/>
                    </a:xfrm>
                    <a:prstGeom prst="rect">
                      <a:avLst/>
                    </a:prstGeom>
                    <a:noFill/>
                    <a:ln>
                      <a:noFill/>
                    </a:ln>
                  </pic:spPr>
                </pic:pic>
              </a:graphicData>
            </a:graphic>
          </wp:inline>
        </w:drawing>
      </w:r>
    </w:p>
    <w:p w:rsidR="00676207" w:rsidRPr="00A642AE" w:rsidRDefault="00AB4FFB" w:rsidP="006A253E">
      <w:pPr>
        <w:snapToGrid w:val="0"/>
        <w:spacing w:line="360" w:lineRule="auto"/>
        <w:jc w:val="both"/>
        <w:rPr>
          <w:rFonts w:ascii="Book Antiqua" w:hAnsi="Book Antiqua"/>
          <w:b/>
          <w:bCs/>
          <w:lang w:val="en-US"/>
        </w:rPr>
      </w:pPr>
      <w:r w:rsidRPr="009D7554">
        <w:rPr>
          <w:rFonts w:ascii="Book Antiqua" w:hAnsi="Book Antiqua"/>
          <w:b/>
          <w:bCs/>
          <w:lang w:val="en-US"/>
        </w:rPr>
        <w:t>Figure 5</w:t>
      </w:r>
      <w:r w:rsidR="007E6ACD" w:rsidRPr="009D7554">
        <w:rPr>
          <w:rFonts w:ascii="Book Antiqua" w:eastAsia="等线" w:hAnsi="Book Antiqua" w:hint="eastAsia"/>
          <w:b/>
          <w:bCs/>
          <w:lang w:val="en-US" w:eastAsia="zh-CN"/>
        </w:rPr>
        <w:t xml:space="preserve"> </w:t>
      </w:r>
      <w:r w:rsidRPr="009D7554">
        <w:rPr>
          <w:rFonts w:ascii="Book Antiqua" w:hAnsi="Book Antiqua"/>
          <w:b/>
          <w:bCs/>
          <w:lang w:val="en-US"/>
        </w:rPr>
        <w:t xml:space="preserve">A typical radiomics workflow consists of </w:t>
      </w:r>
      <w:r w:rsidR="00FA7E23" w:rsidRPr="009D7554">
        <w:rPr>
          <w:rFonts w:ascii="Book Antiqua" w:hAnsi="Book Antiqua"/>
          <w:b/>
          <w:bCs/>
          <w:lang w:val="en-US"/>
        </w:rPr>
        <w:t>several</w:t>
      </w:r>
      <w:r w:rsidRPr="009D7554">
        <w:rPr>
          <w:rFonts w:ascii="Book Antiqua" w:hAnsi="Book Antiqua"/>
          <w:b/>
          <w:bCs/>
          <w:lang w:val="en-US"/>
        </w:rPr>
        <w:t xml:space="preserve"> steps. After image acquisition, segmentation is performed to define the tumor region.</w:t>
      </w:r>
      <w:r w:rsidRPr="009D7554">
        <w:rPr>
          <w:rFonts w:ascii="Book Antiqua" w:hAnsi="Book Antiqua"/>
          <w:lang w:val="en-US"/>
        </w:rPr>
        <w:t xml:space="preserve"> From this region, several features are extracted based on </w:t>
      </w:r>
      <w:r w:rsidR="00FA7E23" w:rsidRPr="009D7554">
        <w:rPr>
          <w:rFonts w:ascii="Book Antiqua" w:hAnsi="Book Antiqua"/>
          <w:lang w:val="en-US"/>
        </w:rPr>
        <w:t xml:space="preserve">the </w:t>
      </w:r>
      <w:r w:rsidRPr="009D7554">
        <w:rPr>
          <w:rFonts w:ascii="Book Antiqua" w:hAnsi="Book Antiqua"/>
          <w:lang w:val="en-US"/>
        </w:rPr>
        <w:t xml:space="preserve">intensity histogram and texture analysis. Finally, these features are assessed for their prognostic power or are linked with </w:t>
      </w:r>
      <w:r w:rsidR="00FA7E23" w:rsidRPr="009D7554">
        <w:rPr>
          <w:rFonts w:ascii="Book Antiqua" w:hAnsi="Book Antiqua"/>
          <w:lang w:val="en-US"/>
        </w:rPr>
        <w:t xml:space="preserve">the </w:t>
      </w:r>
      <w:r w:rsidRPr="009D7554">
        <w:rPr>
          <w:rFonts w:ascii="Book Antiqua" w:hAnsi="Book Antiqua"/>
          <w:lang w:val="en-US"/>
        </w:rPr>
        <w:t>stage or gene expression.</w:t>
      </w:r>
    </w:p>
    <w:sectPr w:rsidR="00676207" w:rsidRPr="00A642AE" w:rsidSect="007926E7">
      <w:pgSz w:w="11900" w:h="16840"/>
      <w:pgMar w:top="1440" w:right="1361" w:bottom="1440"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28B" w:rsidRDefault="00DB428B" w:rsidP="006A253E">
      <w:r>
        <w:separator/>
      </w:r>
    </w:p>
  </w:endnote>
  <w:endnote w:type="continuationSeparator" w:id="0">
    <w:p w:rsidR="00DB428B" w:rsidRDefault="00DB428B" w:rsidP="006A2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Lucida Grande">
    <w:panose1 w:val="00000000000000000000"/>
    <w:charset w:val="00"/>
    <w:family w:val="auto"/>
    <w:pitch w:val="variable"/>
    <w:sig w:usb0="A1002AE7" w:usb1="C0000063" w:usb2="00000038" w:usb3="00000000" w:csb0="000000BF" w:csb1="00000000"/>
  </w:font>
  <w:font w:name="Tahoma">
    <w:panose1 w:val="020B0604030504040204"/>
    <w:charset w:val="00"/>
    <w:family w:val="swiss"/>
    <w:pitch w:val="variable"/>
    <w:sig w:usb0="61002A87" w:usb1="80000000" w:usb2="00000008" w:usb3="00000000" w:csb0="000101FF" w:csb1="00000000"/>
  </w:font>
  <w:font w:name="等线">
    <w:altName w:val="Arial Unicode MS"/>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28B" w:rsidRDefault="00DB428B" w:rsidP="006A253E">
      <w:r>
        <w:separator/>
      </w:r>
    </w:p>
  </w:footnote>
  <w:footnote w:type="continuationSeparator" w:id="0">
    <w:p w:rsidR="00DB428B" w:rsidRDefault="00DB428B" w:rsidP="006A25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4C46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start w:val="44"/>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BC53C0"/>
    <w:multiLevelType w:val="hybridMultilevel"/>
    <w:tmpl w:val="7A801E9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A2E0A79"/>
    <w:multiLevelType w:val="hybridMultilevel"/>
    <w:tmpl w:val="E200BC0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721128"/>
    <w:multiLevelType w:val="hybridMultilevel"/>
    <w:tmpl w:val="CDEECCC2"/>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353"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B9F4813"/>
    <w:multiLevelType w:val="hybridMultilevel"/>
    <w:tmpl w:val="9A1224A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6443894"/>
    <w:multiLevelType w:val="hybridMultilevel"/>
    <w:tmpl w:val="79E47DA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42B90246"/>
    <w:multiLevelType w:val="hybridMultilevel"/>
    <w:tmpl w:val="8BD610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F1236DA"/>
    <w:multiLevelType w:val="hybridMultilevel"/>
    <w:tmpl w:val="EFFC60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1961B35"/>
    <w:multiLevelType w:val="hybridMultilevel"/>
    <w:tmpl w:val="43600B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4877989"/>
    <w:multiLevelType w:val="hybridMultilevel"/>
    <w:tmpl w:val="A5D675A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50F4AB1"/>
    <w:multiLevelType w:val="hybridMultilevel"/>
    <w:tmpl w:val="564E55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78D5430"/>
    <w:multiLevelType w:val="singleLevel"/>
    <w:tmpl w:val="A314D1A0"/>
    <w:lvl w:ilvl="0">
      <w:numFmt w:val="bullet"/>
      <w:lvlText w:val="-"/>
      <w:lvlJc w:val="left"/>
      <w:pPr>
        <w:tabs>
          <w:tab w:val="num" w:pos="360"/>
        </w:tabs>
        <w:ind w:left="360" w:hanging="360"/>
      </w:pPr>
      <w:rPr>
        <w:rFonts w:hint="default"/>
      </w:rPr>
    </w:lvl>
  </w:abstractNum>
  <w:abstractNum w:abstractNumId="13">
    <w:nsid w:val="68821B41"/>
    <w:multiLevelType w:val="hybridMultilevel"/>
    <w:tmpl w:val="BFF0D5AA"/>
    <w:lvl w:ilvl="0">
      <w:start w:val="1"/>
      <w:numFmt w:val="decimal"/>
      <w:lvlText w:val="%1."/>
      <w:lvlJc w:val="left"/>
      <w:pPr>
        <w:ind w:left="720" w:hanging="360"/>
      </w:pPr>
      <w:rPr>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AD12CAA"/>
    <w:multiLevelType w:val="hybridMultilevel"/>
    <w:tmpl w:val="28C8E8FC"/>
    <w:lvl w:ilvl="0">
      <w:start w:val="1"/>
      <w:numFmt w:val="decimal"/>
      <w:lvlText w:val="%1."/>
      <w:lvlJc w:val="left"/>
      <w:pPr>
        <w:ind w:left="720" w:hanging="360"/>
      </w:pPr>
      <w:rPr>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75F465ED"/>
    <w:multiLevelType w:val="hybridMultilevel"/>
    <w:tmpl w:val="62DE3C6A"/>
    <w:lvl w:ilvl="0">
      <w:numFmt w:val="bullet"/>
      <w:lvlText w:val="-"/>
      <w:lvlJc w:val="left"/>
      <w:pPr>
        <w:ind w:left="720" w:hanging="360"/>
      </w:pPr>
      <w:rPr>
        <w:rFonts w:ascii="Times New Roman" w:eastAsia="MS Mincho" w:hAnsi="Times New Roman" w:cs="Times New Roman"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7E147F4"/>
    <w:multiLevelType w:val="hybridMultilevel"/>
    <w:tmpl w:val="43600B8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14"/>
  </w:num>
  <w:num w:numId="5">
    <w:abstractNumId w:val="16"/>
  </w:num>
  <w:num w:numId="6">
    <w:abstractNumId w:val="13"/>
  </w:num>
  <w:num w:numId="7">
    <w:abstractNumId w:val="10"/>
  </w:num>
  <w:num w:numId="8">
    <w:abstractNumId w:val="15"/>
  </w:num>
  <w:num w:numId="9">
    <w:abstractNumId w:val="11"/>
  </w:num>
  <w:num w:numId="10">
    <w:abstractNumId w:val="5"/>
  </w:num>
  <w:num w:numId="11">
    <w:abstractNumId w:val="6"/>
  </w:num>
  <w:num w:numId="12">
    <w:abstractNumId w:val="2"/>
  </w:num>
  <w:num w:numId="13">
    <w:abstractNumId w:val="4"/>
  </w:num>
  <w:num w:numId="14">
    <w:abstractNumId w:val="8"/>
  </w:num>
  <w:num w:numId="15">
    <w:abstractNumId w:val="4"/>
  </w:num>
  <w:num w:numId="16">
    <w:abstractNumId w:val="12"/>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7|207|197|185|203|197|199|187|197|190|190|197|190|201|197|201|189|"/>
    <w:docVar w:name="Username" w:val="Editor"/>
  </w:docVars>
  <w:rsids>
    <w:rsidRoot w:val="00047EDE"/>
    <w:rsid w:val="00001819"/>
    <w:rsid w:val="00001FCD"/>
    <w:rsid w:val="000025B5"/>
    <w:rsid w:val="000029D2"/>
    <w:rsid w:val="00003021"/>
    <w:rsid w:val="000032FF"/>
    <w:rsid w:val="0000520B"/>
    <w:rsid w:val="00005621"/>
    <w:rsid w:val="00006BDA"/>
    <w:rsid w:val="00007917"/>
    <w:rsid w:val="000104B8"/>
    <w:rsid w:val="000127D1"/>
    <w:rsid w:val="00013A28"/>
    <w:rsid w:val="00014CBB"/>
    <w:rsid w:val="000152A9"/>
    <w:rsid w:val="00016324"/>
    <w:rsid w:val="00017EB2"/>
    <w:rsid w:val="00020C01"/>
    <w:rsid w:val="00020C46"/>
    <w:rsid w:val="00021AA2"/>
    <w:rsid w:val="00022B8D"/>
    <w:rsid w:val="00024840"/>
    <w:rsid w:val="00030EC8"/>
    <w:rsid w:val="0003260E"/>
    <w:rsid w:val="0003505F"/>
    <w:rsid w:val="00036DA6"/>
    <w:rsid w:val="000370EF"/>
    <w:rsid w:val="00044F25"/>
    <w:rsid w:val="000452E8"/>
    <w:rsid w:val="00045633"/>
    <w:rsid w:val="000458E0"/>
    <w:rsid w:val="00045D00"/>
    <w:rsid w:val="00046570"/>
    <w:rsid w:val="00047A85"/>
    <w:rsid w:val="00047EDE"/>
    <w:rsid w:val="000526C8"/>
    <w:rsid w:val="0005284B"/>
    <w:rsid w:val="00056040"/>
    <w:rsid w:val="000565FF"/>
    <w:rsid w:val="0005754A"/>
    <w:rsid w:val="000609C4"/>
    <w:rsid w:val="00061BDE"/>
    <w:rsid w:val="00062214"/>
    <w:rsid w:val="0006395A"/>
    <w:rsid w:val="000639F7"/>
    <w:rsid w:val="00063AE2"/>
    <w:rsid w:val="00063DAF"/>
    <w:rsid w:val="000647B5"/>
    <w:rsid w:val="00064A0F"/>
    <w:rsid w:val="00064F73"/>
    <w:rsid w:val="00065165"/>
    <w:rsid w:val="00065D8A"/>
    <w:rsid w:val="0006633E"/>
    <w:rsid w:val="00066A83"/>
    <w:rsid w:val="00067DA8"/>
    <w:rsid w:val="00070393"/>
    <w:rsid w:val="00070880"/>
    <w:rsid w:val="000712E1"/>
    <w:rsid w:val="000747E7"/>
    <w:rsid w:val="000767F2"/>
    <w:rsid w:val="00076C06"/>
    <w:rsid w:val="00076E1A"/>
    <w:rsid w:val="00077BEB"/>
    <w:rsid w:val="0008000B"/>
    <w:rsid w:val="0008061A"/>
    <w:rsid w:val="00080EC9"/>
    <w:rsid w:val="00081147"/>
    <w:rsid w:val="000817C3"/>
    <w:rsid w:val="00081C89"/>
    <w:rsid w:val="00082125"/>
    <w:rsid w:val="00084113"/>
    <w:rsid w:val="00084BA0"/>
    <w:rsid w:val="0009071D"/>
    <w:rsid w:val="00091467"/>
    <w:rsid w:val="0009163C"/>
    <w:rsid w:val="000920C1"/>
    <w:rsid w:val="00092243"/>
    <w:rsid w:val="00092D92"/>
    <w:rsid w:val="000939ED"/>
    <w:rsid w:val="00093C2F"/>
    <w:rsid w:val="00094148"/>
    <w:rsid w:val="0009446D"/>
    <w:rsid w:val="000950AD"/>
    <w:rsid w:val="000951B6"/>
    <w:rsid w:val="00095DAC"/>
    <w:rsid w:val="00095FB3"/>
    <w:rsid w:val="00097E48"/>
    <w:rsid w:val="00097F38"/>
    <w:rsid w:val="000A04CF"/>
    <w:rsid w:val="000A0506"/>
    <w:rsid w:val="000A09A6"/>
    <w:rsid w:val="000A0C93"/>
    <w:rsid w:val="000A1195"/>
    <w:rsid w:val="000A2F95"/>
    <w:rsid w:val="000A3C7F"/>
    <w:rsid w:val="000A3F2C"/>
    <w:rsid w:val="000A57F6"/>
    <w:rsid w:val="000A6974"/>
    <w:rsid w:val="000A7511"/>
    <w:rsid w:val="000B1800"/>
    <w:rsid w:val="000B1CAC"/>
    <w:rsid w:val="000B1EBA"/>
    <w:rsid w:val="000B23BE"/>
    <w:rsid w:val="000B2962"/>
    <w:rsid w:val="000B2F1A"/>
    <w:rsid w:val="000B3D78"/>
    <w:rsid w:val="000B6AA7"/>
    <w:rsid w:val="000B72DE"/>
    <w:rsid w:val="000B79D4"/>
    <w:rsid w:val="000C0B83"/>
    <w:rsid w:val="000C0D9B"/>
    <w:rsid w:val="000C14DE"/>
    <w:rsid w:val="000C356B"/>
    <w:rsid w:val="000C3ABD"/>
    <w:rsid w:val="000C53DA"/>
    <w:rsid w:val="000C64EA"/>
    <w:rsid w:val="000D0095"/>
    <w:rsid w:val="000D093D"/>
    <w:rsid w:val="000D153E"/>
    <w:rsid w:val="000D56F8"/>
    <w:rsid w:val="000D6355"/>
    <w:rsid w:val="000D666A"/>
    <w:rsid w:val="000D7A90"/>
    <w:rsid w:val="000E03DD"/>
    <w:rsid w:val="000E0AE7"/>
    <w:rsid w:val="000E10F3"/>
    <w:rsid w:val="000E12F8"/>
    <w:rsid w:val="000E168D"/>
    <w:rsid w:val="000E238B"/>
    <w:rsid w:val="000E4B58"/>
    <w:rsid w:val="000E4BAB"/>
    <w:rsid w:val="000E5366"/>
    <w:rsid w:val="000E5390"/>
    <w:rsid w:val="000E56D2"/>
    <w:rsid w:val="000E5D22"/>
    <w:rsid w:val="000E6051"/>
    <w:rsid w:val="000E6608"/>
    <w:rsid w:val="000F0A08"/>
    <w:rsid w:val="000F1D86"/>
    <w:rsid w:val="000F2554"/>
    <w:rsid w:val="000F2B9E"/>
    <w:rsid w:val="000F2BDE"/>
    <w:rsid w:val="000F3324"/>
    <w:rsid w:val="000F4DF0"/>
    <w:rsid w:val="000F4F3B"/>
    <w:rsid w:val="000F531F"/>
    <w:rsid w:val="000F5E98"/>
    <w:rsid w:val="000F6FE9"/>
    <w:rsid w:val="001000CF"/>
    <w:rsid w:val="001003C1"/>
    <w:rsid w:val="00100BC4"/>
    <w:rsid w:val="001016B1"/>
    <w:rsid w:val="001023A3"/>
    <w:rsid w:val="00103757"/>
    <w:rsid w:val="001048CC"/>
    <w:rsid w:val="00106235"/>
    <w:rsid w:val="001063CC"/>
    <w:rsid w:val="001072A9"/>
    <w:rsid w:val="00107AFD"/>
    <w:rsid w:val="00110962"/>
    <w:rsid w:val="00110D6C"/>
    <w:rsid w:val="00111155"/>
    <w:rsid w:val="00111575"/>
    <w:rsid w:val="00111E7E"/>
    <w:rsid w:val="00112C80"/>
    <w:rsid w:val="0011374C"/>
    <w:rsid w:val="00120CCE"/>
    <w:rsid w:val="00122DC9"/>
    <w:rsid w:val="001232C5"/>
    <w:rsid w:val="001251A6"/>
    <w:rsid w:val="001265B5"/>
    <w:rsid w:val="00130330"/>
    <w:rsid w:val="00131650"/>
    <w:rsid w:val="00131F53"/>
    <w:rsid w:val="001335B6"/>
    <w:rsid w:val="001335D0"/>
    <w:rsid w:val="0013389D"/>
    <w:rsid w:val="001341BC"/>
    <w:rsid w:val="00140D15"/>
    <w:rsid w:val="00140DD2"/>
    <w:rsid w:val="001417F2"/>
    <w:rsid w:val="0014231D"/>
    <w:rsid w:val="001432CD"/>
    <w:rsid w:val="0014331E"/>
    <w:rsid w:val="00144817"/>
    <w:rsid w:val="00145618"/>
    <w:rsid w:val="00145DDD"/>
    <w:rsid w:val="001470EA"/>
    <w:rsid w:val="00151966"/>
    <w:rsid w:val="00151FF1"/>
    <w:rsid w:val="00152001"/>
    <w:rsid w:val="00152112"/>
    <w:rsid w:val="00153668"/>
    <w:rsid w:val="001553D5"/>
    <w:rsid w:val="00155F84"/>
    <w:rsid w:val="00156389"/>
    <w:rsid w:val="001564B6"/>
    <w:rsid w:val="0015771F"/>
    <w:rsid w:val="0016183D"/>
    <w:rsid w:val="00162171"/>
    <w:rsid w:val="0016534F"/>
    <w:rsid w:val="00165C86"/>
    <w:rsid w:val="00166D61"/>
    <w:rsid w:val="001670A4"/>
    <w:rsid w:val="001708A8"/>
    <w:rsid w:val="001756A9"/>
    <w:rsid w:val="00176072"/>
    <w:rsid w:val="001778ED"/>
    <w:rsid w:val="00177FC4"/>
    <w:rsid w:val="001806D7"/>
    <w:rsid w:val="00180907"/>
    <w:rsid w:val="0018097C"/>
    <w:rsid w:val="001821B1"/>
    <w:rsid w:val="00183415"/>
    <w:rsid w:val="001838AF"/>
    <w:rsid w:val="001842D9"/>
    <w:rsid w:val="001914D2"/>
    <w:rsid w:val="00192451"/>
    <w:rsid w:val="0019314F"/>
    <w:rsid w:val="00193DBB"/>
    <w:rsid w:val="00194C54"/>
    <w:rsid w:val="00197433"/>
    <w:rsid w:val="001975A4"/>
    <w:rsid w:val="00197B6E"/>
    <w:rsid w:val="001A0886"/>
    <w:rsid w:val="001A0E30"/>
    <w:rsid w:val="001A1A2D"/>
    <w:rsid w:val="001A4056"/>
    <w:rsid w:val="001A6684"/>
    <w:rsid w:val="001A7F50"/>
    <w:rsid w:val="001B05B2"/>
    <w:rsid w:val="001B0D9A"/>
    <w:rsid w:val="001B1517"/>
    <w:rsid w:val="001B4602"/>
    <w:rsid w:val="001B4DEA"/>
    <w:rsid w:val="001B55F6"/>
    <w:rsid w:val="001B5F48"/>
    <w:rsid w:val="001B68A2"/>
    <w:rsid w:val="001C0A62"/>
    <w:rsid w:val="001C0C8E"/>
    <w:rsid w:val="001C0FAF"/>
    <w:rsid w:val="001C1ACB"/>
    <w:rsid w:val="001C2AA8"/>
    <w:rsid w:val="001C2FFB"/>
    <w:rsid w:val="001C31A1"/>
    <w:rsid w:val="001C31C0"/>
    <w:rsid w:val="001C3C53"/>
    <w:rsid w:val="001C6177"/>
    <w:rsid w:val="001C68CF"/>
    <w:rsid w:val="001D0B1A"/>
    <w:rsid w:val="001D0FC4"/>
    <w:rsid w:val="001D1D4C"/>
    <w:rsid w:val="001D3A33"/>
    <w:rsid w:val="001D3C09"/>
    <w:rsid w:val="001D3EEA"/>
    <w:rsid w:val="001D4C85"/>
    <w:rsid w:val="001D5C62"/>
    <w:rsid w:val="001D6084"/>
    <w:rsid w:val="001E0563"/>
    <w:rsid w:val="001E06E0"/>
    <w:rsid w:val="001E0B88"/>
    <w:rsid w:val="001E1803"/>
    <w:rsid w:val="001E193C"/>
    <w:rsid w:val="001E3378"/>
    <w:rsid w:val="001E43B1"/>
    <w:rsid w:val="001E4DE5"/>
    <w:rsid w:val="001F08A5"/>
    <w:rsid w:val="001F0F25"/>
    <w:rsid w:val="001F316D"/>
    <w:rsid w:val="001F5152"/>
    <w:rsid w:val="001F558D"/>
    <w:rsid w:val="001F7306"/>
    <w:rsid w:val="001F734B"/>
    <w:rsid w:val="001F7717"/>
    <w:rsid w:val="00200E98"/>
    <w:rsid w:val="00202254"/>
    <w:rsid w:val="00202774"/>
    <w:rsid w:val="00203781"/>
    <w:rsid w:val="002038FF"/>
    <w:rsid w:val="00204217"/>
    <w:rsid w:val="00204338"/>
    <w:rsid w:val="002071AC"/>
    <w:rsid w:val="002076F2"/>
    <w:rsid w:val="002110D4"/>
    <w:rsid w:val="002124A4"/>
    <w:rsid w:val="00213273"/>
    <w:rsid w:val="00216AC3"/>
    <w:rsid w:val="00221052"/>
    <w:rsid w:val="00221B64"/>
    <w:rsid w:val="00222CD1"/>
    <w:rsid w:val="00222FDB"/>
    <w:rsid w:val="00223485"/>
    <w:rsid w:val="00223FB7"/>
    <w:rsid w:val="002249F9"/>
    <w:rsid w:val="00225797"/>
    <w:rsid w:val="00225A35"/>
    <w:rsid w:val="00225E7B"/>
    <w:rsid w:val="00227539"/>
    <w:rsid w:val="00230EB7"/>
    <w:rsid w:val="002310E2"/>
    <w:rsid w:val="00231272"/>
    <w:rsid w:val="002369BE"/>
    <w:rsid w:val="00236E3A"/>
    <w:rsid w:val="00237879"/>
    <w:rsid w:val="00240AF7"/>
    <w:rsid w:val="00241629"/>
    <w:rsid w:val="0024294D"/>
    <w:rsid w:val="00246607"/>
    <w:rsid w:val="00247B95"/>
    <w:rsid w:val="00247D31"/>
    <w:rsid w:val="002514CA"/>
    <w:rsid w:val="00251868"/>
    <w:rsid w:val="00252B1C"/>
    <w:rsid w:val="00254945"/>
    <w:rsid w:val="00255941"/>
    <w:rsid w:val="00256F47"/>
    <w:rsid w:val="00261BDC"/>
    <w:rsid w:val="002636DE"/>
    <w:rsid w:val="0026470C"/>
    <w:rsid w:val="002660D5"/>
    <w:rsid w:val="00266DAA"/>
    <w:rsid w:val="002672F8"/>
    <w:rsid w:val="002675FE"/>
    <w:rsid w:val="00267B06"/>
    <w:rsid w:val="002718CF"/>
    <w:rsid w:val="002731A8"/>
    <w:rsid w:val="00274131"/>
    <w:rsid w:val="002760DB"/>
    <w:rsid w:val="00277368"/>
    <w:rsid w:val="00280D57"/>
    <w:rsid w:val="00282A5B"/>
    <w:rsid w:val="00283A39"/>
    <w:rsid w:val="00283B25"/>
    <w:rsid w:val="00284427"/>
    <w:rsid w:val="002844BF"/>
    <w:rsid w:val="002846A8"/>
    <w:rsid w:val="0029093E"/>
    <w:rsid w:val="00290A58"/>
    <w:rsid w:val="00290C8D"/>
    <w:rsid w:val="00292816"/>
    <w:rsid w:val="002933C4"/>
    <w:rsid w:val="00293420"/>
    <w:rsid w:val="00293EE5"/>
    <w:rsid w:val="00294B03"/>
    <w:rsid w:val="002958CE"/>
    <w:rsid w:val="00296048"/>
    <w:rsid w:val="002A1671"/>
    <w:rsid w:val="002A1CF6"/>
    <w:rsid w:val="002A2D52"/>
    <w:rsid w:val="002A36F3"/>
    <w:rsid w:val="002A64D7"/>
    <w:rsid w:val="002A6B56"/>
    <w:rsid w:val="002A7291"/>
    <w:rsid w:val="002A787F"/>
    <w:rsid w:val="002B16D0"/>
    <w:rsid w:val="002B200D"/>
    <w:rsid w:val="002B240C"/>
    <w:rsid w:val="002B2FE9"/>
    <w:rsid w:val="002B3591"/>
    <w:rsid w:val="002B53D6"/>
    <w:rsid w:val="002B6A6B"/>
    <w:rsid w:val="002B77F5"/>
    <w:rsid w:val="002C06B4"/>
    <w:rsid w:val="002C09AC"/>
    <w:rsid w:val="002C2977"/>
    <w:rsid w:val="002C2D55"/>
    <w:rsid w:val="002C47AB"/>
    <w:rsid w:val="002C4BE8"/>
    <w:rsid w:val="002C659A"/>
    <w:rsid w:val="002C749C"/>
    <w:rsid w:val="002C7666"/>
    <w:rsid w:val="002C766A"/>
    <w:rsid w:val="002C7C24"/>
    <w:rsid w:val="002C7D51"/>
    <w:rsid w:val="002C7F06"/>
    <w:rsid w:val="002D1E91"/>
    <w:rsid w:val="002D2D30"/>
    <w:rsid w:val="002D4B0F"/>
    <w:rsid w:val="002D637C"/>
    <w:rsid w:val="002D68A6"/>
    <w:rsid w:val="002D6AF7"/>
    <w:rsid w:val="002E230C"/>
    <w:rsid w:val="002E23D6"/>
    <w:rsid w:val="002E27FA"/>
    <w:rsid w:val="002E50AD"/>
    <w:rsid w:val="002E5EF6"/>
    <w:rsid w:val="002E6B4B"/>
    <w:rsid w:val="002E70E2"/>
    <w:rsid w:val="002F1D81"/>
    <w:rsid w:val="002F2D5C"/>
    <w:rsid w:val="002F333A"/>
    <w:rsid w:val="002F3CE3"/>
    <w:rsid w:val="002F3FD5"/>
    <w:rsid w:val="002F5C2B"/>
    <w:rsid w:val="002F5F37"/>
    <w:rsid w:val="002F639F"/>
    <w:rsid w:val="002F66AA"/>
    <w:rsid w:val="002F675B"/>
    <w:rsid w:val="00300D51"/>
    <w:rsid w:val="003020B0"/>
    <w:rsid w:val="00303306"/>
    <w:rsid w:val="00304EB3"/>
    <w:rsid w:val="00305267"/>
    <w:rsid w:val="00305E8B"/>
    <w:rsid w:val="00307B86"/>
    <w:rsid w:val="003129A8"/>
    <w:rsid w:val="003136E0"/>
    <w:rsid w:val="0031379A"/>
    <w:rsid w:val="00313E76"/>
    <w:rsid w:val="003146E4"/>
    <w:rsid w:val="0031470C"/>
    <w:rsid w:val="00314AAB"/>
    <w:rsid w:val="003157D8"/>
    <w:rsid w:val="00316474"/>
    <w:rsid w:val="00320005"/>
    <w:rsid w:val="00320F2F"/>
    <w:rsid w:val="003217C6"/>
    <w:rsid w:val="00322A7D"/>
    <w:rsid w:val="003237B7"/>
    <w:rsid w:val="0032621C"/>
    <w:rsid w:val="00326F8F"/>
    <w:rsid w:val="00327A44"/>
    <w:rsid w:val="003310F7"/>
    <w:rsid w:val="0033133B"/>
    <w:rsid w:val="00331FEB"/>
    <w:rsid w:val="00334594"/>
    <w:rsid w:val="0033479D"/>
    <w:rsid w:val="00335B08"/>
    <w:rsid w:val="00335CCA"/>
    <w:rsid w:val="00336F40"/>
    <w:rsid w:val="00337B97"/>
    <w:rsid w:val="00340D54"/>
    <w:rsid w:val="00341570"/>
    <w:rsid w:val="00341F35"/>
    <w:rsid w:val="003431FD"/>
    <w:rsid w:val="0034471B"/>
    <w:rsid w:val="0034525A"/>
    <w:rsid w:val="00346A0E"/>
    <w:rsid w:val="00346A1B"/>
    <w:rsid w:val="003479CC"/>
    <w:rsid w:val="003507E5"/>
    <w:rsid w:val="003517A1"/>
    <w:rsid w:val="00352559"/>
    <w:rsid w:val="00352FDC"/>
    <w:rsid w:val="00353779"/>
    <w:rsid w:val="00354CCC"/>
    <w:rsid w:val="003563ED"/>
    <w:rsid w:val="00356A43"/>
    <w:rsid w:val="00356AD5"/>
    <w:rsid w:val="003573AF"/>
    <w:rsid w:val="00357531"/>
    <w:rsid w:val="0036157E"/>
    <w:rsid w:val="00361858"/>
    <w:rsid w:val="00362621"/>
    <w:rsid w:val="003633D8"/>
    <w:rsid w:val="00364D7E"/>
    <w:rsid w:val="00364EEF"/>
    <w:rsid w:val="00365812"/>
    <w:rsid w:val="003660E6"/>
    <w:rsid w:val="003662F7"/>
    <w:rsid w:val="003729C7"/>
    <w:rsid w:val="00374F65"/>
    <w:rsid w:val="00374FD0"/>
    <w:rsid w:val="00375925"/>
    <w:rsid w:val="00376013"/>
    <w:rsid w:val="003775BB"/>
    <w:rsid w:val="00380475"/>
    <w:rsid w:val="00383005"/>
    <w:rsid w:val="00383FB3"/>
    <w:rsid w:val="0038691B"/>
    <w:rsid w:val="00386965"/>
    <w:rsid w:val="00390446"/>
    <w:rsid w:val="00392569"/>
    <w:rsid w:val="003933ED"/>
    <w:rsid w:val="00393A18"/>
    <w:rsid w:val="00393EB3"/>
    <w:rsid w:val="00397B20"/>
    <w:rsid w:val="003A0BC8"/>
    <w:rsid w:val="003A114D"/>
    <w:rsid w:val="003A3138"/>
    <w:rsid w:val="003A35DA"/>
    <w:rsid w:val="003A3CDB"/>
    <w:rsid w:val="003A3FFD"/>
    <w:rsid w:val="003A59E8"/>
    <w:rsid w:val="003A5E69"/>
    <w:rsid w:val="003A6E60"/>
    <w:rsid w:val="003A7B06"/>
    <w:rsid w:val="003B2439"/>
    <w:rsid w:val="003B2E53"/>
    <w:rsid w:val="003B4719"/>
    <w:rsid w:val="003B6658"/>
    <w:rsid w:val="003B6E19"/>
    <w:rsid w:val="003B7C07"/>
    <w:rsid w:val="003C31C6"/>
    <w:rsid w:val="003C3C03"/>
    <w:rsid w:val="003C5641"/>
    <w:rsid w:val="003C6055"/>
    <w:rsid w:val="003C664A"/>
    <w:rsid w:val="003C6E8E"/>
    <w:rsid w:val="003C7B18"/>
    <w:rsid w:val="003D2280"/>
    <w:rsid w:val="003D4BD3"/>
    <w:rsid w:val="003D6012"/>
    <w:rsid w:val="003D6706"/>
    <w:rsid w:val="003D7C37"/>
    <w:rsid w:val="003E0221"/>
    <w:rsid w:val="003E1FF4"/>
    <w:rsid w:val="003E2231"/>
    <w:rsid w:val="003E30A9"/>
    <w:rsid w:val="003E31A8"/>
    <w:rsid w:val="003E59BE"/>
    <w:rsid w:val="003E5CA2"/>
    <w:rsid w:val="003E6C1E"/>
    <w:rsid w:val="003E73D5"/>
    <w:rsid w:val="003F13F6"/>
    <w:rsid w:val="003F2DBE"/>
    <w:rsid w:val="003F5613"/>
    <w:rsid w:val="003F5705"/>
    <w:rsid w:val="003F7885"/>
    <w:rsid w:val="003F78BF"/>
    <w:rsid w:val="0040386F"/>
    <w:rsid w:val="0040400C"/>
    <w:rsid w:val="004049B0"/>
    <w:rsid w:val="00404D59"/>
    <w:rsid w:val="004050EF"/>
    <w:rsid w:val="0040579B"/>
    <w:rsid w:val="00406876"/>
    <w:rsid w:val="00410E50"/>
    <w:rsid w:val="00411A71"/>
    <w:rsid w:val="00413228"/>
    <w:rsid w:val="00414049"/>
    <w:rsid w:val="004142CA"/>
    <w:rsid w:val="004149B0"/>
    <w:rsid w:val="00415550"/>
    <w:rsid w:val="00415A99"/>
    <w:rsid w:val="00415C6E"/>
    <w:rsid w:val="0042006A"/>
    <w:rsid w:val="00420B7D"/>
    <w:rsid w:val="004211BA"/>
    <w:rsid w:val="00422535"/>
    <w:rsid w:val="00423CC4"/>
    <w:rsid w:val="00423E84"/>
    <w:rsid w:val="0042410D"/>
    <w:rsid w:val="004264A9"/>
    <w:rsid w:val="00427020"/>
    <w:rsid w:val="004308B4"/>
    <w:rsid w:val="00431C43"/>
    <w:rsid w:val="00434D5E"/>
    <w:rsid w:val="00435D31"/>
    <w:rsid w:val="00437B50"/>
    <w:rsid w:val="00440A98"/>
    <w:rsid w:val="004415BD"/>
    <w:rsid w:val="00442205"/>
    <w:rsid w:val="004428A5"/>
    <w:rsid w:val="00443B58"/>
    <w:rsid w:val="00443D0C"/>
    <w:rsid w:val="00445945"/>
    <w:rsid w:val="00447381"/>
    <w:rsid w:val="004476EE"/>
    <w:rsid w:val="00450E74"/>
    <w:rsid w:val="00451308"/>
    <w:rsid w:val="004518D8"/>
    <w:rsid w:val="00451D54"/>
    <w:rsid w:val="004520B0"/>
    <w:rsid w:val="00453285"/>
    <w:rsid w:val="0045396F"/>
    <w:rsid w:val="004567C6"/>
    <w:rsid w:val="004572B0"/>
    <w:rsid w:val="0046005C"/>
    <w:rsid w:val="004616FB"/>
    <w:rsid w:val="0046407B"/>
    <w:rsid w:val="00465249"/>
    <w:rsid w:val="004658C9"/>
    <w:rsid w:val="00465AAB"/>
    <w:rsid w:val="004663ED"/>
    <w:rsid w:val="00466870"/>
    <w:rsid w:val="00466E47"/>
    <w:rsid w:val="00467048"/>
    <w:rsid w:val="004678F2"/>
    <w:rsid w:val="00467FC2"/>
    <w:rsid w:val="00470499"/>
    <w:rsid w:val="004711BF"/>
    <w:rsid w:val="00471388"/>
    <w:rsid w:val="00472203"/>
    <w:rsid w:val="00472B06"/>
    <w:rsid w:val="00472F64"/>
    <w:rsid w:val="00473C83"/>
    <w:rsid w:val="00475C5D"/>
    <w:rsid w:val="004765FB"/>
    <w:rsid w:val="00477AEB"/>
    <w:rsid w:val="00477D30"/>
    <w:rsid w:val="00477DE3"/>
    <w:rsid w:val="004806A0"/>
    <w:rsid w:val="00482A14"/>
    <w:rsid w:val="0048348C"/>
    <w:rsid w:val="00483FB4"/>
    <w:rsid w:val="00484164"/>
    <w:rsid w:val="004849AF"/>
    <w:rsid w:val="0048563B"/>
    <w:rsid w:val="00485E20"/>
    <w:rsid w:val="00486A5C"/>
    <w:rsid w:val="0048729A"/>
    <w:rsid w:val="00487A46"/>
    <w:rsid w:val="00492A57"/>
    <w:rsid w:val="00492F95"/>
    <w:rsid w:val="00493960"/>
    <w:rsid w:val="00494E44"/>
    <w:rsid w:val="00496977"/>
    <w:rsid w:val="00496CFA"/>
    <w:rsid w:val="00497117"/>
    <w:rsid w:val="00497DE0"/>
    <w:rsid w:val="004A1105"/>
    <w:rsid w:val="004A15C2"/>
    <w:rsid w:val="004A3A62"/>
    <w:rsid w:val="004A4491"/>
    <w:rsid w:val="004A5294"/>
    <w:rsid w:val="004A57E8"/>
    <w:rsid w:val="004A6D28"/>
    <w:rsid w:val="004A79B3"/>
    <w:rsid w:val="004A7D7D"/>
    <w:rsid w:val="004B34A2"/>
    <w:rsid w:val="004B3DDC"/>
    <w:rsid w:val="004C355A"/>
    <w:rsid w:val="004C36E3"/>
    <w:rsid w:val="004C42C3"/>
    <w:rsid w:val="004C4C0F"/>
    <w:rsid w:val="004C58BD"/>
    <w:rsid w:val="004C5F99"/>
    <w:rsid w:val="004C6085"/>
    <w:rsid w:val="004D1772"/>
    <w:rsid w:val="004D19A7"/>
    <w:rsid w:val="004D3F5C"/>
    <w:rsid w:val="004D4A77"/>
    <w:rsid w:val="004D7006"/>
    <w:rsid w:val="004D70D1"/>
    <w:rsid w:val="004D7C51"/>
    <w:rsid w:val="004D7DE8"/>
    <w:rsid w:val="004E02C2"/>
    <w:rsid w:val="004E0661"/>
    <w:rsid w:val="004E14A0"/>
    <w:rsid w:val="004E2D0A"/>
    <w:rsid w:val="004E3469"/>
    <w:rsid w:val="004E4D92"/>
    <w:rsid w:val="004E61AA"/>
    <w:rsid w:val="004E768B"/>
    <w:rsid w:val="004F0661"/>
    <w:rsid w:val="004F13B0"/>
    <w:rsid w:val="004F2AF4"/>
    <w:rsid w:val="004F2C54"/>
    <w:rsid w:val="004F31A5"/>
    <w:rsid w:val="004F4839"/>
    <w:rsid w:val="004F4C8E"/>
    <w:rsid w:val="004F7431"/>
    <w:rsid w:val="00501778"/>
    <w:rsid w:val="005017F7"/>
    <w:rsid w:val="00501A10"/>
    <w:rsid w:val="00502A63"/>
    <w:rsid w:val="00502E2D"/>
    <w:rsid w:val="00507360"/>
    <w:rsid w:val="00511393"/>
    <w:rsid w:val="00512F20"/>
    <w:rsid w:val="0051392C"/>
    <w:rsid w:val="005149FD"/>
    <w:rsid w:val="00520D8B"/>
    <w:rsid w:val="0052148D"/>
    <w:rsid w:val="00521DB4"/>
    <w:rsid w:val="00522DCF"/>
    <w:rsid w:val="00522F47"/>
    <w:rsid w:val="00523674"/>
    <w:rsid w:val="00523AE1"/>
    <w:rsid w:val="00523E4C"/>
    <w:rsid w:val="00524801"/>
    <w:rsid w:val="00525777"/>
    <w:rsid w:val="00525AF3"/>
    <w:rsid w:val="0052617E"/>
    <w:rsid w:val="005313C6"/>
    <w:rsid w:val="00531731"/>
    <w:rsid w:val="00534559"/>
    <w:rsid w:val="00534853"/>
    <w:rsid w:val="00536079"/>
    <w:rsid w:val="00536740"/>
    <w:rsid w:val="00536E9D"/>
    <w:rsid w:val="00542B56"/>
    <w:rsid w:val="00542D2E"/>
    <w:rsid w:val="0054351F"/>
    <w:rsid w:val="00545E1E"/>
    <w:rsid w:val="0054787A"/>
    <w:rsid w:val="00550AEF"/>
    <w:rsid w:val="00552B31"/>
    <w:rsid w:val="00553DCA"/>
    <w:rsid w:val="005552CD"/>
    <w:rsid w:val="0055600E"/>
    <w:rsid w:val="005567A5"/>
    <w:rsid w:val="00556838"/>
    <w:rsid w:val="0055737B"/>
    <w:rsid w:val="005573F0"/>
    <w:rsid w:val="005578F0"/>
    <w:rsid w:val="005604CC"/>
    <w:rsid w:val="00560706"/>
    <w:rsid w:val="005610D6"/>
    <w:rsid w:val="0056177E"/>
    <w:rsid w:val="005617ED"/>
    <w:rsid w:val="00563249"/>
    <w:rsid w:val="0057104D"/>
    <w:rsid w:val="00571F35"/>
    <w:rsid w:val="00574058"/>
    <w:rsid w:val="00575070"/>
    <w:rsid w:val="00577D64"/>
    <w:rsid w:val="00582D34"/>
    <w:rsid w:val="00583F17"/>
    <w:rsid w:val="00585176"/>
    <w:rsid w:val="00585794"/>
    <w:rsid w:val="005920C7"/>
    <w:rsid w:val="005935DE"/>
    <w:rsid w:val="00595C7F"/>
    <w:rsid w:val="00595F6C"/>
    <w:rsid w:val="00597DB6"/>
    <w:rsid w:val="005A0922"/>
    <w:rsid w:val="005A0BC8"/>
    <w:rsid w:val="005A2439"/>
    <w:rsid w:val="005A3099"/>
    <w:rsid w:val="005A32D2"/>
    <w:rsid w:val="005A4550"/>
    <w:rsid w:val="005A5912"/>
    <w:rsid w:val="005A6FBB"/>
    <w:rsid w:val="005A74F0"/>
    <w:rsid w:val="005A7B81"/>
    <w:rsid w:val="005A7DF7"/>
    <w:rsid w:val="005B06B0"/>
    <w:rsid w:val="005B09E6"/>
    <w:rsid w:val="005B1241"/>
    <w:rsid w:val="005B3B9F"/>
    <w:rsid w:val="005B3C79"/>
    <w:rsid w:val="005B52A6"/>
    <w:rsid w:val="005B75DF"/>
    <w:rsid w:val="005B785D"/>
    <w:rsid w:val="005B7CE4"/>
    <w:rsid w:val="005C1EA1"/>
    <w:rsid w:val="005C2E23"/>
    <w:rsid w:val="005C3E63"/>
    <w:rsid w:val="005C4EF2"/>
    <w:rsid w:val="005C4FE7"/>
    <w:rsid w:val="005C523E"/>
    <w:rsid w:val="005C5518"/>
    <w:rsid w:val="005C6310"/>
    <w:rsid w:val="005C749D"/>
    <w:rsid w:val="005D1C7E"/>
    <w:rsid w:val="005D22FF"/>
    <w:rsid w:val="005D249D"/>
    <w:rsid w:val="005D2B4F"/>
    <w:rsid w:val="005D34A2"/>
    <w:rsid w:val="005D446C"/>
    <w:rsid w:val="005D7652"/>
    <w:rsid w:val="005E078B"/>
    <w:rsid w:val="005E1E46"/>
    <w:rsid w:val="005E446C"/>
    <w:rsid w:val="005E5302"/>
    <w:rsid w:val="005E6FC1"/>
    <w:rsid w:val="005F1195"/>
    <w:rsid w:val="005F1F14"/>
    <w:rsid w:val="005F264F"/>
    <w:rsid w:val="005F2AB2"/>
    <w:rsid w:val="005F4103"/>
    <w:rsid w:val="005F4793"/>
    <w:rsid w:val="005F48E5"/>
    <w:rsid w:val="005F65F0"/>
    <w:rsid w:val="00600095"/>
    <w:rsid w:val="0060071F"/>
    <w:rsid w:val="00601064"/>
    <w:rsid w:val="00601E73"/>
    <w:rsid w:val="00611A30"/>
    <w:rsid w:val="0061231D"/>
    <w:rsid w:val="006135C7"/>
    <w:rsid w:val="00613F33"/>
    <w:rsid w:val="006141A0"/>
    <w:rsid w:val="006176C6"/>
    <w:rsid w:val="006227FE"/>
    <w:rsid w:val="00623158"/>
    <w:rsid w:val="0062383E"/>
    <w:rsid w:val="006243DA"/>
    <w:rsid w:val="00624A2D"/>
    <w:rsid w:val="00624BC3"/>
    <w:rsid w:val="00625881"/>
    <w:rsid w:val="006258A8"/>
    <w:rsid w:val="006275C2"/>
    <w:rsid w:val="006275CB"/>
    <w:rsid w:val="0062763E"/>
    <w:rsid w:val="0062778E"/>
    <w:rsid w:val="006305CB"/>
    <w:rsid w:val="00630700"/>
    <w:rsid w:val="00631004"/>
    <w:rsid w:val="00631D1E"/>
    <w:rsid w:val="006336B6"/>
    <w:rsid w:val="006359D3"/>
    <w:rsid w:val="0064107C"/>
    <w:rsid w:val="00643083"/>
    <w:rsid w:val="00646E13"/>
    <w:rsid w:val="00647343"/>
    <w:rsid w:val="0064740F"/>
    <w:rsid w:val="00650DBD"/>
    <w:rsid w:val="00650E5D"/>
    <w:rsid w:val="0065295E"/>
    <w:rsid w:val="00653DED"/>
    <w:rsid w:val="00654D3E"/>
    <w:rsid w:val="00654DD2"/>
    <w:rsid w:val="00655A8F"/>
    <w:rsid w:val="00656878"/>
    <w:rsid w:val="0065713F"/>
    <w:rsid w:val="006573C5"/>
    <w:rsid w:val="00657CDC"/>
    <w:rsid w:val="00660908"/>
    <w:rsid w:val="0066150B"/>
    <w:rsid w:val="0066261C"/>
    <w:rsid w:val="00664D8B"/>
    <w:rsid w:val="00665C4C"/>
    <w:rsid w:val="00665FD1"/>
    <w:rsid w:val="0066698F"/>
    <w:rsid w:val="00666D1F"/>
    <w:rsid w:val="00666E7A"/>
    <w:rsid w:val="00667E09"/>
    <w:rsid w:val="0067137B"/>
    <w:rsid w:val="00671FA7"/>
    <w:rsid w:val="006729E5"/>
    <w:rsid w:val="00672AD5"/>
    <w:rsid w:val="00672F4E"/>
    <w:rsid w:val="00676207"/>
    <w:rsid w:val="006763B2"/>
    <w:rsid w:val="00676781"/>
    <w:rsid w:val="00677993"/>
    <w:rsid w:val="006801A7"/>
    <w:rsid w:val="006821F4"/>
    <w:rsid w:val="006851A0"/>
    <w:rsid w:val="00685C41"/>
    <w:rsid w:val="00686525"/>
    <w:rsid w:val="00686FF4"/>
    <w:rsid w:val="006873C8"/>
    <w:rsid w:val="0068769B"/>
    <w:rsid w:val="00687D58"/>
    <w:rsid w:val="006903AC"/>
    <w:rsid w:val="00690FFE"/>
    <w:rsid w:val="006915BB"/>
    <w:rsid w:val="00692006"/>
    <w:rsid w:val="0069420E"/>
    <w:rsid w:val="00694477"/>
    <w:rsid w:val="00694726"/>
    <w:rsid w:val="006948AB"/>
    <w:rsid w:val="00694F3C"/>
    <w:rsid w:val="006A0C16"/>
    <w:rsid w:val="006A1DC8"/>
    <w:rsid w:val="006A253E"/>
    <w:rsid w:val="006A28B2"/>
    <w:rsid w:val="006A3A08"/>
    <w:rsid w:val="006A3A6E"/>
    <w:rsid w:val="006A63A6"/>
    <w:rsid w:val="006A6ED3"/>
    <w:rsid w:val="006A7281"/>
    <w:rsid w:val="006A7433"/>
    <w:rsid w:val="006A7671"/>
    <w:rsid w:val="006B0758"/>
    <w:rsid w:val="006B3095"/>
    <w:rsid w:val="006B3B00"/>
    <w:rsid w:val="006B3E54"/>
    <w:rsid w:val="006B4809"/>
    <w:rsid w:val="006B4F61"/>
    <w:rsid w:val="006B572E"/>
    <w:rsid w:val="006B7CEB"/>
    <w:rsid w:val="006B7D29"/>
    <w:rsid w:val="006B7FE7"/>
    <w:rsid w:val="006C09C6"/>
    <w:rsid w:val="006C0E23"/>
    <w:rsid w:val="006C357F"/>
    <w:rsid w:val="006C3C1F"/>
    <w:rsid w:val="006C3DB5"/>
    <w:rsid w:val="006C4AC8"/>
    <w:rsid w:val="006C58B0"/>
    <w:rsid w:val="006C6533"/>
    <w:rsid w:val="006C6604"/>
    <w:rsid w:val="006D0992"/>
    <w:rsid w:val="006D116F"/>
    <w:rsid w:val="006D1BD7"/>
    <w:rsid w:val="006D1FE4"/>
    <w:rsid w:val="006D3608"/>
    <w:rsid w:val="006D3E9E"/>
    <w:rsid w:val="006D469B"/>
    <w:rsid w:val="006D51A5"/>
    <w:rsid w:val="006D56F1"/>
    <w:rsid w:val="006D6473"/>
    <w:rsid w:val="006D7C21"/>
    <w:rsid w:val="006D7E72"/>
    <w:rsid w:val="006E0838"/>
    <w:rsid w:val="006E14C1"/>
    <w:rsid w:val="006E22C2"/>
    <w:rsid w:val="006E48DF"/>
    <w:rsid w:val="006E5B32"/>
    <w:rsid w:val="006E5B55"/>
    <w:rsid w:val="006E7E49"/>
    <w:rsid w:val="006F064D"/>
    <w:rsid w:val="006F0CD7"/>
    <w:rsid w:val="006F1144"/>
    <w:rsid w:val="006F64EF"/>
    <w:rsid w:val="006F67A0"/>
    <w:rsid w:val="006F7D31"/>
    <w:rsid w:val="00700578"/>
    <w:rsid w:val="007007FA"/>
    <w:rsid w:val="0070207E"/>
    <w:rsid w:val="007028E4"/>
    <w:rsid w:val="00703CEB"/>
    <w:rsid w:val="00704AA0"/>
    <w:rsid w:val="00705746"/>
    <w:rsid w:val="00705F73"/>
    <w:rsid w:val="00706CB8"/>
    <w:rsid w:val="00707456"/>
    <w:rsid w:val="00707DF9"/>
    <w:rsid w:val="00707E33"/>
    <w:rsid w:val="007109C6"/>
    <w:rsid w:val="00710CE4"/>
    <w:rsid w:val="007113FD"/>
    <w:rsid w:val="00711A91"/>
    <w:rsid w:val="00711C20"/>
    <w:rsid w:val="00716826"/>
    <w:rsid w:val="00716BC4"/>
    <w:rsid w:val="007178B7"/>
    <w:rsid w:val="00720945"/>
    <w:rsid w:val="00722013"/>
    <w:rsid w:val="007261BB"/>
    <w:rsid w:val="00726FCD"/>
    <w:rsid w:val="007270BE"/>
    <w:rsid w:val="007301CB"/>
    <w:rsid w:val="00734B25"/>
    <w:rsid w:val="0073561B"/>
    <w:rsid w:val="00735B0A"/>
    <w:rsid w:val="00737F58"/>
    <w:rsid w:val="0074032E"/>
    <w:rsid w:val="007406D2"/>
    <w:rsid w:val="00740F89"/>
    <w:rsid w:val="00741253"/>
    <w:rsid w:val="00742760"/>
    <w:rsid w:val="00742910"/>
    <w:rsid w:val="00745A5D"/>
    <w:rsid w:val="00746933"/>
    <w:rsid w:val="0074747E"/>
    <w:rsid w:val="00751044"/>
    <w:rsid w:val="007510B6"/>
    <w:rsid w:val="00752595"/>
    <w:rsid w:val="007536D2"/>
    <w:rsid w:val="00755038"/>
    <w:rsid w:val="00755257"/>
    <w:rsid w:val="00755CFF"/>
    <w:rsid w:val="007573A1"/>
    <w:rsid w:val="00757517"/>
    <w:rsid w:val="007608AE"/>
    <w:rsid w:val="007610DF"/>
    <w:rsid w:val="00762FA1"/>
    <w:rsid w:val="007632AD"/>
    <w:rsid w:val="00763B28"/>
    <w:rsid w:val="00763E18"/>
    <w:rsid w:val="0076739D"/>
    <w:rsid w:val="007706DB"/>
    <w:rsid w:val="007712C0"/>
    <w:rsid w:val="0077322D"/>
    <w:rsid w:val="0077332F"/>
    <w:rsid w:val="00773BDA"/>
    <w:rsid w:val="00774ACC"/>
    <w:rsid w:val="0078039B"/>
    <w:rsid w:val="0078090E"/>
    <w:rsid w:val="007824A1"/>
    <w:rsid w:val="007829EA"/>
    <w:rsid w:val="00782CCA"/>
    <w:rsid w:val="007835DB"/>
    <w:rsid w:val="00783C3D"/>
    <w:rsid w:val="00784820"/>
    <w:rsid w:val="00784E0F"/>
    <w:rsid w:val="007864BB"/>
    <w:rsid w:val="00786780"/>
    <w:rsid w:val="007875E0"/>
    <w:rsid w:val="00790E32"/>
    <w:rsid w:val="00792186"/>
    <w:rsid w:val="007926E7"/>
    <w:rsid w:val="00792F1D"/>
    <w:rsid w:val="007964EA"/>
    <w:rsid w:val="007965AF"/>
    <w:rsid w:val="0079768E"/>
    <w:rsid w:val="007A0FFA"/>
    <w:rsid w:val="007A1AB2"/>
    <w:rsid w:val="007A3177"/>
    <w:rsid w:val="007A35AD"/>
    <w:rsid w:val="007A3DBF"/>
    <w:rsid w:val="007A4384"/>
    <w:rsid w:val="007A5A4C"/>
    <w:rsid w:val="007A5E5B"/>
    <w:rsid w:val="007A6040"/>
    <w:rsid w:val="007A65CF"/>
    <w:rsid w:val="007A7907"/>
    <w:rsid w:val="007B0E35"/>
    <w:rsid w:val="007B1E65"/>
    <w:rsid w:val="007B39E4"/>
    <w:rsid w:val="007B3A00"/>
    <w:rsid w:val="007B61A1"/>
    <w:rsid w:val="007C06D5"/>
    <w:rsid w:val="007C0995"/>
    <w:rsid w:val="007C564B"/>
    <w:rsid w:val="007C6083"/>
    <w:rsid w:val="007D0EE7"/>
    <w:rsid w:val="007D2AE2"/>
    <w:rsid w:val="007D2C71"/>
    <w:rsid w:val="007D3F34"/>
    <w:rsid w:val="007D427D"/>
    <w:rsid w:val="007D47B1"/>
    <w:rsid w:val="007D5724"/>
    <w:rsid w:val="007D77B0"/>
    <w:rsid w:val="007E0088"/>
    <w:rsid w:val="007E1709"/>
    <w:rsid w:val="007E2000"/>
    <w:rsid w:val="007E2296"/>
    <w:rsid w:val="007E2CC1"/>
    <w:rsid w:val="007E3DC2"/>
    <w:rsid w:val="007E41E5"/>
    <w:rsid w:val="007E6ACD"/>
    <w:rsid w:val="007E6B6E"/>
    <w:rsid w:val="007E7084"/>
    <w:rsid w:val="007E7ED0"/>
    <w:rsid w:val="007F0387"/>
    <w:rsid w:val="007F08ED"/>
    <w:rsid w:val="007F1077"/>
    <w:rsid w:val="007F2688"/>
    <w:rsid w:val="007F2B63"/>
    <w:rsid w:val="007F306B"/>
    <w:rsid w:val="007F4F51"/>
    <w:rsid w:val="007F5BCA"/>
    <w:rsid w:val="007F7287"/>
    <w:rsid w:val="008004A6"/>
    <w:rsid w:val="008009D2"/>
    <w:rsid w:val="00801FE0"/>
    <w:rsid w:val="0080250F"/>
    <w:rsid w:val="00802573"/>
    <w:rsid w:val="0080395C"/>
    <w:rsid w:val="0080527F"/>
    <w:rsid w:val="0080629C"/>
    <w:rsid w:val="00807410"/>
    <w:rsid w:val="00807BB3"/>
    <w:rsid w:val="008107AE"/>
    <w:rsid w:val="00811512"/>
    <w:rsid w:val="00811E39"/>
    <w:rsid w:val="00813D48"/>
    <w:rsid w:val="00814773"/>
    <w:rsid w:val="008147E0"/>
    <w:rsid w:val="00815476"/>
    <w:rsid w:val="00816279"/>
    <w:rsid w:val="0081697A"/>
    <w:rsid w:val="0081711F"/>
    <w:rsid w:val="008171BB"/>
    <w:rsid w:val="00817C86"/>
    <w:rsid w:val="008202E2"/>
    <w:rsid w:val="00820DAF"/>
    <w:rsid w:val="00822611"/>
    <w:rsid w:val="008227C9"/>
    <w:rsid w:val="0082294F"/>
    <w:rsid w:val="00823255"/>
    <w:rsid w:val="00823A02"/>
    <w:rsid w:val="00824560"/>
    <w:rsid w:val="00825CA6"/>
    <w:rsid w:val="008316B4"/>
    <w:rsid w:val="00834B4F"/>
    <w:rsid w:val="00835948"/>
    <w:rsid w:val="00835BF4"/>
    <w:rsid w:val="00836AD8"/>
    <w:rsid w:val="00837165"/>
    <w:rsid w:val="0084060A"/>
    <w:rsid w:val="008420CB"/>
    <w:rsid w:val="00843396"/>
    <w:rsid w:val="008447D2"/>
    <w:rsid w:val="00845282"/>
    <w:rsid w:val="00845E21"/>
    <w:rsid w:val="00847DCF"/>
    <w:rsid w:val="008508F8"/>
    <w:rsid w:val="0085297A"/>
    <w:rsid w:val="00853231"/>
    <w:rsid w:val="00854874"/>
    <w:rsid w:val="00854C12"/>
    <w:rsid w:val="00854CC8"/>
    <w:rsid w:val="00855821"/>
    <w:rsid w:val="0085708A"/>
    <w:rsid w:val="008571D9"/>
    <w:rsid w:val="00862D89"/>
    <w:rsid w:val="008637D5"/>
    <w:rsid w:val="008679B7"/>
    <w:rsid w:val="00871D07"/>
    <w:rsid w:val="008722F5"/>
    <w:rsid w:val="00873AFD"/>
    <w:rsid w:val="008751F8"/>
    <w:rsid w:val="00877C9F"/>
    <w:rsid w:val="00877EC2"/>
    <w:rsid w:val="0088063C"/>
    <w:rsid w:val="00882FFC"/>
    <w:rsid w:val="00884AD7"/>
    <w:rsid w:val="008872D0"/>
    <w:rsid w:val="00890743"/>
    <w:rsid w:val="00891836"/>
    <w:rsid w:val="008927BC"/>
    <w:rsid w:val="00892EE1"/>
    <w:rsid w:val="00894807"/>
    <w:rsid w:val="00896316"/>
    <w:rsid w:val="0089749B"/>
    <w:rsid w:val="008A0903"/>
    <w:rsid w:val="008A0EAE"/>
    <w:rsid w:val="008A1582"/>
    <w:rsid w:val="008A1E5D"/>
    <w:rsid w:val="008A1F4E"/>
    <w:rsid w:val="008A4B80"/>
    <w:rsid w:val="008B1F30"/>
    <w:rsid w:val="008B21D9"/>
    <w:rsid w:val="008B3B41"/>
    <w:rsid w:val="008B4AF6"/>
    <w:rsid w:val="008B551C"/>
    <w:rsid w:val="008B566D"/>
    <w:rsid w:val="008B59A9"/>
    <w:rsid w:val="008B59FA"/>
    <w:rsid w:val="008B63B2"/>
    <w:rsid w:val="008B6B3A"/>
    <w:rsid w:val="008B7B12"/>
    <w:rsid w:val="008C02C6"/>
    <w:rsid w:val="008C0335"/>
    <w:rsid w:val="008C05BF"/>
    <w:rsid w:val="008C0818"/>
    <w:rsid w:val="008C2457"/>
    <w:rsid w:val="008C4AC8"/>
    <w:rsid w:val="008C7CCF"/>
    <w:rsid w:val="008D2515"/>
    <w:rsid w:val="008D28AA"/>
    <w:rsid w:val="008D42FC"/>
    <w:rsid w:val="008D4BDA"/>
    <w:rsid w:val="008D51FF"/>
    <w:rsid w:val="008D5224"/>
    <w:rsid w:val="008D6153"/>
    <w:rsid w:val="008E00C3"/>
    <w:rsid w:val="008E2B17"/>
    <w:rsid w:val="008E3988"/>
    <w:rsid w:val="008E3A45"/>
    <w:rsid w:val="008E467B"/>
    <w:rsid w:val="008E4D3E"/>
    <w:rsid w:val="008E5A65"/>
    <w:rsid w:val="008E6C02"/>
    <w:rsid w:val="008E7023"/>
    <w:rsid w:val="008E7EC9"/>
    <w:rsid w:val="008F0A67"/>
    <w:rsid w:val="008F269B"/>
    <w:rsid w:val="008F35F9"/>
    <w:rsid w:val="008F36AB"/>
    <w:rsid w:val="008F4325"/>
    <w:rsid w:val="008F4DC8"/>
    <w:rsid w:val="008F65BA"/>
    <w:rsid w:val="008F698D"/>
    <w:rsid w:val="008F6F6E"/>
    <w:rsid w:val="008F76DA"/>
    <w:rsid w:val="009004E9"/>
    <w:rsid w:val="00900A5F"/>
    <w:rsid w:val="00901D1F"/>
    <w:rsid w:val="00902A9C"/>
    <w:rsid w:val="009032DD"/>
    <w:rsid w:val="009035ED"/>
    <w:rsid w:val="0090571A"/>
    <w:rsid w:val="00907117"/>
    <w:rsid w:val="00907D66"/>
    <w:rsid w:val="0091087B"/>
    <w:rsid w:val="00910C89"/>
    <w:rsid w:val="00911169"/>
    <w:rsid w:val="00913798"/>
    <w:rsid w:val="00913875"/>
    <w:rsid w:val="00914044"/>
    <w:rsid w:val="009146A5"/>
    <w:rsid w:val="00914E0E"/>
    <w:rsid w:val="00915AF8"/>
    <w:rsid w:val="00917017"/>
    <w:rsid w:val="009172D9"/>
    <w:rsid w:val="00921F87"/>
    <w:rsid w:val="00923B4A"/>
    <w:rsid w:val="00924198"/>
    <w:rsid w:val="0092573B"/>
    <w:rsid w:val="009258D7"/>
    <w:rsid w:val="00925D06"/>
    <w:rsid w:val="0093010E"/>
    <w:rsid w:val="00930809"/>
    <w:rsid w:val="009310C3"/>
    <w:rsid w:val="00931508"/>
    <w:rsid w:val="00935A19"/>
    <w:rsid w:val="009360C4"/>
    <w:rsid w:val="009379B5"/>
    <w:rsid w:val="00940322"/>
    <w:rsid w:val="00942FB5"/>
    <w:rsid w:val="0094365E"/>
    <w:rsid w:val="0094422C"/>
    <w:rsid w:val="00944C9B"/>
    <w:rsid w:val="009462DC"/>
    <w:rsid w:val="009476DE"/>
    <w:rsid w:val="009508BB"/>
    <w:rsid w:val="009515E9"/>
    <w:rsid w:val="0095184E"/>
    <w:rsid w:val="00951D8A"/>
    <w:rsid w:val="00952085"/>
    <w:rsid w:val="009528EE"/>
    <w:rsid w:val="00960412"/>
    <w:rsid w:val="00960455"/>
    <w:rsid w:val="0096089A"/>
    <w:rsid w:val="00961640"/>
    <w:rsid w:val="009619E5"/>
    <w:rsid w:val="009620A6"/>
    <w:rsid w:val="009624D7"/>
    <w:rsid w:val="00963060"/>
    <w:rsid w:val="00965105"/>
    <w:rsid w:val="00965260"/>
    <w:rsid w:val="00966F50"/>
    <w:rsid w:val="00970002"/>
    <w:rsid w:val="00971376"/>
    <w:rsid w:val="009719B5"/>
    <w:rsid w:val="00971B5D"/>
    <w:rsid w:val="00971BC5"/>
    <w:rsid w:val="00972C6E"/>
    <w:rsid w:val="00973B80"/>
    <w:rsid w:val="00973F8E"/>
    <w:rsid w:val="0097589D"/>
    <w:rsid w:val="00975F00"/>
    <w:rsid w:val="0097625E"/>
    <w:rsid w:val="0098016B"/>
    <w:rsid w:val="009803E1"/>
    <w:rsid w:val="009842B7"/>
    <w:rsid w:val="00986DE3"/>
    <w:rsid w:val="009877D8"/>
    <w:rsid w:val="00990EBE"/>
    <w:rsid w:val="00991A45"/>
    <w:rsid w:val="00991EEA"/>
    <w:rsid w:val="00996383"/>
    <w:rsid w:val="00997026"/>
    <w:rsid w:val="009974A2"/>
    <w:rsid w:val="009A2C00"/>
    <w:rsid w:val="009A40D9"/>
    <w:rsid w:val="009A5667"/>
    <w:rsid w:val="009A6EA4"/>
    <w:rsid w:val="009A6F3D"/>
    <w:rsid w:val="009A6FA5"/>
    <w:rsid w:val="009A70D4"/>
    <w:rsid w:val="009A7C29"/>
    <w:rsid w:val="009B070A"/>
    <w:rsid w:val="009B5025"/>
    <w:rsid w:val="009B5064"/>
    <w:rsid w:val="009B507D"/>
    <w:rsid w:val="009B5C82"/>
    <w:rsid w:val="009B6370"/>
    <w:rsid w:val="009B74C4"/>
    <w:rsid w:val="009C11B0"/>
    <w:rsid w:val="009C5872"/>
    <w:rsid w:val="009C64A0"/>
    <w:rsid w:val="009C6E3A"/>
    <w:rsid w:val="009C7331"/>
    <w:rsid w:val="009C774F"/>
    <w:rsid w:val="009D04E0"/>
    <w:rsid w:val="009D07A7"/>
    <w:rsid w:val="009D14B9"/>
    <w:rsid w:val="009D243F"/>
    <w:rsid w:val="009D2627"/>
    <w:rsid w:val="009D2EB5"/>
    <w:rsid w:val="009D34DD"/>
    <w:rsid w:val="009D5348"/>
    <w:rsid w:val="009D7375"/>
    <w:rsid w:val="009D7554"/>
    <w:rsid w:val="009D7E3B"/>
    <w:rsid w:val="009E01A0"/>
    <w:rsid w:val="009E186B"/>
    <w:rsid w:val="009E1B9E"/>
    <w:rsid w:val="009E2F52"/>
    <w:rsid w:val="009E408E"/>
    <w:rsid w:val="009F175A"/>
    <w:rsid w:val="009F3E29"/>
    <w:rsid w:val="009F434C"/>
    <w:rsid w:val="009F485C"/>
    <w:rsid w:val="009F4B00"/>
    <w:rsid w:val="009F5D6B"/>
    <w:rsid w:val="009F6A25"/>
    <w:rsid w:val="00A00FC1"/>
    <w:rsid w:val="00A01245"/>
    <w:rsid w:val="00A015A1"/>
    <w:rsid w:val="00A028D0"/>
    <w:rsid w:val="00A03743"/>
    <w:rsid w:val="00A0381A"/>
    <w:rsid w:val="00A04504"/>
    <w:rsid w:val="00A04898"/>
    <w:rsid w:val="00A100F5"/>
    <w:rsid w:val="00A11C05"/>
    <w:rsid w:val="00A11F45"/>
    <w:rsid w:val="00A131DE"/>
    <w:rsid w:val="00A135BD"/>
    <w:rsid w:val="00A1433E"/>
    <w:rsid w:val="00A148AB"/>
    <w:rsid w:val="00A15B19"/>
    <w:rsid w:val="00A20BCC"/>
    <w:rsid w:val="00A22252"/>
    <w:rsid w:val="00A233A4"/>
    <w:rsid w:val="00A245F1"/>
    <w:rsid w:val="00A24A9E"/>
    <w:rsid w:val="00A24BB6"/>
    <w:rsid w:val="00A2504F"/>
    <w:rsid w:val="00A260F3"/>
    <w:rsid w:val="00A26DF8"/>
    <w:rsid w:val="00A276B8"/>
    <w:rsid w:val="00A27781"/>
    <w:rsid w:val="00A30141"/>
    <w:rsid w:val="00A30DBB"/>
    <w:rsid w:val="00A31EF2"/>
    <w:rsid w:val="00A32431"/>
    <w:rsid w:val="00A32EFE"/>
    <w:rsid w:val="00A33381"/>
    <w:rsid w:val="00A3570E"/>
    <w:rsid w:val="00A418A5"/>
    <w:rsid w:val="00A41C49"/>
    <w:rsid w:val="00A41E29"/>
    <w:rsid w:val="00A43190"/>
    <w:rsid w:val="00A4337F"/>
    <w:rsid w:val="00A433A6"/>
    <w:rsid w:val="00A4364C"/>
    <w:rsid w:val="00A43902"/>
    <w:rsid w:val="00A44350"/>
    <w:rsid w:val="00A45E75"/>
    <w:rsid w:val="00A51E0C"/>
    <w:rsid w:val="00A528A6"/>
    <w:rsid w:val="00A540D3"/>
    <w:rsid w:val="00A5588C"/>
    <w:rsid w:val="00A5596D"/>
    <w:rsid w:val="00A60952"/>
    <w:rsid w:val="00A61769"/>
    <w:rsid w:val="00A63734"/>
    <w:rsid w:val="00A642AE"/>
    <w:rsid w:val="00A658DB"/>
    <w:rsid w:val="00A66BF2"/>
    <w:rsid w:val="00A672A2"/>
    <w:rsid w:val="00A7102A"/>
    <w:rsid w:val="00A71140"/>
    <w:rsid w:val="00A72ED1"/>
    <w:rsid w:val="00A7370C"/>
    <w:rsid w:val="00A75298"/>
    <w:rsid w:val="00A77268"/>
    <w:rsid w:val="00A8007F"/>
    <w:rsid w:val="00A83290"/>
    <w:rsid w:val="00A83B53"/>
    <w:rsid w:val="00A846A6"/>
    <w:rsid w:val="00A846BD"/>
    <w:rsid w:val="00A85075"/>
    <w:rsid w:val="00A852EB"/>
    <w:rsid w:val="00A86BAC"/>
    <w:rsid w:val="00A87818"/>
    <w:rsid w:val="00A87BB5"/>
    <w:rsid w:val="00A900D7"/>
    <w:rsid w:val="00A9182B"/>
    <w:rsid w:val="00A91CEC"/>
    <w:rsid w:val="00A92722"/>
    <w:rsid w:val="00A92803"/>
    <w:rsid w:val="00A93AB1"/>
    <w:rsid w:val="00A953B3"/>
    <w:rsid w:val="00A95E3A"/>
    <w:rsid w:val="00AA053C"/>
    <w:rsid w:val="00AA3E5B"/>
    <w:rsid w:val="00AA43B2"/>
    <w:rsid w:val="00AA4C0C"/>
    <w:rsid w:val="00AA61BC"/>
    <w:rsid w:val="00AB058B"/>
    <w:rsid w:val="00AB390F"/>
    <w:rsid w:val="00AB3D85"/>
    <w:rsid w:val="00AB4CDD"/>
    <w:rsid w:val="00AB4FFB"/>
    <w:rsid w:val="00AB6CEA"/>
    <w:rsid w:val="00AB743B"/>
    <w:rsid w:val="00AC2571"/>
    <w:rsid w:val="00AC3289"/>
    <w:rsid w:val="00AC32B5"/>
    <w:rsid w:val="00AC5005"/>
    <w:rsid w:val="00AC5203"/>
    <w:rsid w:val="00AC5F12"/>
    <w:rsid w:val="00AD0B37"/>
    <w:rsid w:val="00AD0C45"/>
    <w:rsid w:val="00AD0E9F"/>
    <w:rsid w:val="00AD2400"/>
    <w:rsid w:val="00AD2CB2"/>
    <w:rsid w:val="00AD670A"/>
    <w:rsid w:val="00AD6D17"/>
    <w:rsid w:val="00AD70DC"/>
    <w:rsid w:val="00AE0183"/>
    <w:rsid w:val="00AE033A"/>
    <w:rsid w:val="00AE130B"/>
    <w:rsid w:val="00AE1BF8"/>
    <w:rsid w:val="00AE26A6"/>
    <w:rsid w:val="00AE5A30"/>
    <w:rsid w:val="00AE60DF"/>
    <w:rsid w:val="00AE6DF8"/>
    <w:rsid w:val="00AF082C"/>
    <w:rsid w:val="00AF285C"/>
    <w:rsid w:val="00AF2E99"/>
    <w:rsid w:val="00AF3634"/>
    <w:rsid w:val="00AF3A82"/>
    <w:rsid w:val="00AF3BFA"/>
    <w:rsid w:val="00AF4B3E"/>
    <w:rsid w:val="00AF6B04"/>
    <w:rsid w:val="00AF7B09"/>
    <w:rsid w:val="00AF7B7E"/>
    <w:rsid w:val="00AF7C85"/>
    <w:rsid w:val="00B01F65"/>
    <w:rsid w:val="00B02005"/>
    <w:rsid w:val="00B028F6"/>
    <w:rsid w:val="00B02A68"/>
    <w:rsid w:val="00B034EE"/>
    <w:rsid w:val="00B051A7"/>
    <w:rsid w:val="00B05B23"/>
    <w:rsid w:val="00B07EE5"/>
    <w:rsid w:val="00B103B8"/>
    <w:rsid w:val="00B1040D"/>
    <w:rsid w:val="00B1140F"/>
    <w:rsid w:val="00B12A46"/>
    <w:rsid w:val="00B1331F"/>
    <w:rsid w:val="00B1418E"/>
    <w:rsid w:val="00B15622"/>
    <w:rsid w:val="00B22EAC"/>
    <w:rsid w:val="00B23595"/>
    <w:rsid w:val="00B23CCE"/>
    <w:rsid w:val="00B25A7E"/>
    <w:rsid w:val="00B26B13"/>
    <w:rsid w:val="00B2793D"/>
    <w:rsid w:val="00B310FE"/>
    <w:rsid w:val="00B3151C"/>
    <w:rsid w:val="00B31779"/>
    <w:rsid w:val="00B31A0B"/>
    <w:rsid w:val="00B32252"/>
    <w:rsid w:val="00B32A18"/>
    <w:rsid w:val="00B32BFE"/>
    <w:rsid w:val="00B32C9D"/>
    <w:rsid w:val="00B33B1E"/>
    <w:rsid w:val="00B35ECA"/>
    <w:rsid w:val="00B40129"/>
    <w:rsid w:val="00B40CC3"/>
    <w:rsid w:val="00B41DCD"/>
    <w:rsid w:val="00B41F59"/>
    <w:rsid w:val="00B4292E"/>
    <w:rsid w:val="00B42BB1"/>
    <w:rsid w:val="00B43358"/>
    <w:rsid w:val="00B4362C"/>
    <w:rsid w:val="00B43C26"/>
    <w:rsid w:val="00B45D3A"/>
    <w:rsid w:val="00B47287"/>
    <w:rsid w:val="00B500E5"/>
    <w:rsid w:val="00B51727"/>
    <w:rsid w:val="00B52D2C"/>
    <w:rsid w:val="00B53223"/>
    <w:rsid w:val="00B544CE"/>
    <w:rsid w:val="00B54A11"/>
    <w:rsid w:val="00B56D9B"/>
    <w:rsid w:val="00B57496"/>
    <w:rsid w:val="00B6100F"/>
    <w:rsid w:val="00B62E92"/>
    <w:rsid w:val="00B6372A"/>
    <w:rsid w:val="00B63AA8"/>
    <w:rsid w:val="00B63D4E"/>
    <w:rsid w:val="00B65CE9"/>
    <w:rsid w:val="00B65EE0"/>
    <w:rsid w:val="00B66D79"/>
    <w:rsid w:val="00B6755C"/>
    <w:rsid w:val="00B70347"/>
    <w:rsid w:val="00B71B2D"/>
    <w:rsid w:val="00B7320F"/>
    <w:rsid w:val="00B735F6"/>
    <w:rsid w:val="00B737BD"/>
    <w:rsid w:val="00B738A7"/>
    <w:rsid w:val="00B763E1"/>
    <w:rsid w:val="00B768F3"/>
    <w:rsid w:val="00B773C5"/>
    <w:rsid w:val="00B80B92"/>
    <w:rsid w:val="00B81916"/>
    <w:rsid w:val="00B822E7"/>
    <w:rsid w:val="00B837A3"/>
    <w:rsid w:val="00B863AA"/>
    <w:rsid w:val="00B86DF4"/>
    <w:rsid w:val="00B870FF"/>
    <w:rsid w:val="00B87476"/>
    <w:rsid w:val="00B87978"/>
    <w:rsid w:val="00B9163F"/>
    <w:rsid w:val="00B92A13"/>
    <w:rsid w:val="00B92A6A"/>
    <w:rsid w:val="00B95ECF"/>
    <w:rsid w:val="00B97DB5"/>
    <w:rsid w:val="00BA0641"/>
    <w:rsid w:val="00BA1650"/>
    <w:rsid w:val="00BA2110"/>
    <w:rsid w:val="00BA2736"/>
    <w:rsid w:val="00BA3C63"/>
    <w:rsid w:val="00BA55D6"/>
    <w:rsid w:val="00BA6884"/>
    <w:rsid w:val="00BB6D05"/>
    <w:rsid w:val="00BB72ED"/>
    <w:rsid w:val="00BC11C1"/>
    <w:rsid w:val="00BC156F"/>
    <w:rsid w:val="00BC3427"/>
    <w:rsid w:val="00BC42AD"/>
    <w:rsid w:val="00BC4904"/>
    <w:rsid w:val="00BC550D"/>
    <w:rsid w:val="00BC6284"/>
    <w:rsid w:val="00BC674C"/>
    <w:rsid w:val="00BC7D38"/>
    <w:rsid w:val="00BD12A0"/>
    <w:rsid w:val="00BD1536"/>
    <w:rsid w:val="00BD1582"/>
    <w:rsid w:val="00BD18C9"/>
    <w:rsid w:val="00BD22FF"/>
    <w:rsid w:val="00BD3812"/>
    <w:rsid w:val="00BD396E"/>
    <w:rsid w:val="00BD4468"/>
    <w:rsid w:val="00BD45E5"/>
    <w:rsid w:val="00BD4A85"/>
    <w:rsid w:val="00BD6320"/>
    <w:rsid w:val="00BD7086"/>
    <w:rsid w:val="00BE0084"/>
    <w:rsid w:val="00BE03F7"/>
    <w:rsid w:val="00BE1C48"/>
    <w:rsid w:val="00BE2DBF"/>
    <w:rsid w:val="00BE3233"/>
    <w:rsid w:val="00BE5020"/>
    <w:rsid w:val="00BE6FFD"/>
    <w:rsid w:val="00BF0320"/>
    <w:rsid w:val="00BF156F"/>
    <w:rsid w:val="00BF1AFE"/>
    <w:rsid w:val="00BF1FB6"/>
    <w:rsid w:val="00BF5D7B"/>
    <w:rsid w:val="00BF6A9E"/>
    <w:rsid w:val="00BF6EF4"/>
    <w:rsid w:val="00C01606"/>
    <w:rsid w:val="00C023A7"/>
    <w:rsid w:val="00C034F0"/>
    <w:rsid w:val="00C04C6A"/>
    <w:rsid w:val="00C04EBE"/>
    <w:rsid w:val="00C0518D"/>
    <w:rsid w:val="00C05331"/>
    <w:rsid w:val="00C05FAF"/>
    <w:rsid w:val="00C07DD4"/>
    <w:rsid w:val="00C10044"/>
    <w:rsid w:val="00C117FC"/>
    <w:rsid w:val="00C11884"/>
    <w:rsid w:val="00C12EE8"/>
    <w:rsid w:val="00C1444F"/>
    <w:rsid w:val="00C158E4"/>
    <w:rsid w:val="00C16608"/>
    <w:rsid w:val="00C16D8F"/>
    <w:rsid w:val="00C17CDD"/>
    <w:rsid w:val="00C17D35"/>
    <w:rsid w:val="00C20379"/>
    <w:rsid w:val="00C22035"/>
    <w:rsid w:val="00C22BD5"/>
    <w:rsid w:val="00C22D4C"/>
    <w:rsid w:val="00C2451F"/>
    <w:rsid w:val="00C247C5"/>
    <w:rsid w:val="00C24C22"/>
    <w:rsid w:val="00C25A2F"/>
    <w:rsid w:val="00C25DA8"/>
    <w:rsid w:val="00C30790"/>
    <w:rsid w:val="00C308D7"/>
    <w:rsid w:val="00C311B4"/>
    <w:rsid w:val="00C31EDA"/>
    <w:rsid w:val="00C327FF"/>
    <w:rsid w:val="00C342F6"/>
    <w:rsid w:val="00C35B7C"/>
    <w:rsid w:val="00C35C9E"/>
    <w:rsid w:val="00C37196"/>
    <w:rsid w:val="00C401A4"/>
    <w:rsid w:val="00C422F7"/>
    <w:rsid w:val="00C43EC5"/>
    <w:rsid w:val="00C45F1F"/>
    <w:rsid w:val="00C46717"/>
    <w:rsid w:val="00C50A94"/>
    <w:rsid w:val="00C51133"/>
    <w:rsid w:val="00C5146E"/>
    <w:rsid w:val="00C525F8"/>
    <w:rsid w:val="00C54702"/>
    <w:rsid w:val="00C5471C"/>
    <w:rsid w:val="00C56C95"/>
    <w:rsid w:val="00C57143"/>
    <w:rsid w:val="00C60720"/>
    <w:rsid w:val="00C61226"/>
    <w:rsid w:val="00C61443"/>
    <w:rsid w:val="00C65475"/>
    <w:rsid w:val="00C750AC"/>
    <w:rsid w:val="00C806DF"/>
    <w:rsid w:val="00C8073A"/>
    <w:rsid w:val="00C81E97"/>
    <w:rsid w:val="00C82290"/>
    <w:rsid w:val="00C856FA"/>
    <w:rsid w:val="00C86F98"/>
    <w:rsid w:val="00C872E8"/>
    <w:rsid w:val="00C87C04"/>
    <w:rsid w:val="00C9177E"/>
    <w:rsid w:val="00C926B8"/>
    <w:rsid w:val="00C92F63"/>
    <w:rsid w:val="00C9443F"/>
    <w:rsid w:val="00C96A55"/>
    <w:rsid w:val="00C97D4B"/>
    <w:rsid w:val="00CA0461"/>
    <w:rsid w:val="00CA1D39"/>
    <w:rsid w:val="00CA238D"/>
    <w:rsid w:val="00CA23CE"/>
    <w:rsid w:val="00CA2BEF"/>
    <w:rsid w:val="00CA2CAE"/>
    <w:rsid w:val="00CA3A0D"/>
    <w:rsid w:val="00CA45B2"/>
    <w:rsid w:val="00CA4BC7"/>
    <w:rsid w:val="00CA4C36"/>
    <w:rsid w:val="00CA6132"/>
    <w:rsid w:val="00CA6C5E"/>
    <w:rsid w:val="00CA7C04"/>
    <w:rsid w:val="00CB0505"/>
    <w:rsid w:val="00CB0562"/>
    <w:rsid w:val="00CB07ED"/>
    <w:rsid w:val="00CB1BD5"/>
    <w:rsid w:val="00CB2C5B"/>
    <w:rsid w:val="00CB3A6C"/>
    <w:rsid w:val="00CB3B7F"/>
    <w:rsid w:val="00CB41BD"/>
    <w:rsid w:val="00CB43E1"/>
    <w:rsid w:val="00CB4442"/>
    <w:rsid w:val="00CB46CD"/>
    <w:rsid w:val="00CB5004"/>
    <w:rsid w:val="00CB62B4"/>
    <w:rsid w:val="00CB7687"/>
    <w:rsid w:val="00CC04F0"/>
    <w:rsid w:val="00CC0CA2"/>
    <w:rsid w:val="00CC1590"/>
    <w:rsid w:val="00CC2969"/>
    <w:rsid w:val="00CC2B03"/>
    <w:rsid w:val="00CC4B74"/>
    <w:rsid w:val="00CC693E"/>
    <w:rsid w:val="00CC6FB3"/>
    <w:rsid w:val="00CD0D77"/>
    <w:rsid w:val="00CD0E7A"/>
    <w:rsid w:val="00CD1566"/>
    <w:rsid w:val="00CD1674"/>
    <w:rsid w:val="00CD23B3"/>
    <w:rsid w:val="00CD261A"/>
    <w:rsid w:val="00CD376B"/>
    <w:rsid w:val="00CD3FB2"/>
    <w:rsid w:val="00CD5049"/>
    <w:rsid w:val="00CD519A"/>
    <w:rsid w:val="00CD7328"/>
    <w:rsid w:val="00CD7FA6"/>
    <w:rsid w:val="00CD7FC4"/>
    <w:rsid w:val="00CE0FEC"/>
    <w:rsid w:val="00CE10CA"/>
    <w:rsid w:val="00CE1144"/>
    <w:rsid w:val="00CE1687"/>
    <w:rsid w:val="00CE182E"/>
    <w:rsid w:val="00CE2556"/>
    <w:rsid w:val="00CE2CC9"/>
    <w:rsid w:val="00CE41FA"/>
    <w:rsid w:val="00CE445D"/>
    <w:rsid w:val="00CE4AB4"/>
    <w:rsid w:val="00CE5ACC"/>
    <w:rsid w:val="00CE7938"/>
    <w:rsid w:val="00CE7AA2"/>
    <w:rsid w:val="00CE7C3B"/>
    <w:rsid w:val="00CF320B"/>
    <w:rsid w:val="00CF3295"/>
    <w:rsid w:val="00CF3382"/>
    <w:rsid w:val="00CF49DC"/>
    <w:rsid w:val="00CF58DE"/>
    <w:rsid w:val="00CF7DB8"/>
    <w:rsid w:val="00CF7EA0"/>
    <w:rsid w:val="00D00FA0"/>
    <w:rsid w:val="00D0110A"/>
    <w:rsid w:val="00D01265"/>
    <w:rsid w:val="00D02EC7"/>
    <w:rsid w:val="00D033B1"/>
    <w:rsid w:val="00D03481"/>
    <w:rsid w:val="00D061C8"/>
    <w:rsid w:val="00D06957"/>
    <w:rsid w:val="00D127FF"/>
    <w:rsid w:val="00D132FA"/>
    <w:rsid w:val="00D13E51"/>
    <w:rsid w:val="00D146C3"/>
    <w:rsid w:val="00D1489A"/>
    <w:rsid w:val="00D150FE"/>
    <w:rsid w:val="00D177A6"/>
    <w:rsid w:val="00D210C0"/>
    <w:rsid w:val="00D21C99"/>
    <w:rsid w:val="00D22149"/>
    <w:rsid w:val="00D236FA"/>
    <w:rsid w:val="00D237C5"/>
    <w:rsid w:val="00D23943"/>
    <w:rsid w:val="00D247BA"/>
    <w:rsid w:val="00D24887"/>
    <w:rsid w:val="00D26849"/>
    <w:rsid w:val="00D3099C"/>
    <w:rsid w:val="00D31175"/>
    <w:rsid w:val="00D31CC2"/>
    <w:rsid w:val="00D32E4C"/>
    <w:rsid w:val="00D32FD5"/>
    <w:rsid w:val="00D3348B"/>
    <w:rsid w:val="00D34360"/>
    <w:rsid w:val="00D355C9"/>
    <w:rsid w:val="00D36DFF"/>
    <w:rsid w:val="00D3702E"/>
    <w:rsid w:val="00D376F4"/>
    <w:rsid w:val="00D41DDC"/>
    <w:rsid w:val="00D42665"/>
    <w:rsid w:val="00D42957"/>
    <w:rsid w:val="00D42A34"/>
    <w:rsid w:val="00D43052"/>
    <w:rsid w:val="00D44F50"/>
    <w:rsid w:val="00D4689F"/>
    <w:rsid w:val="00D473F3"/>
    <w:rsid w:val="00D476AC"/>
    <w:rsid w:val="00D47B84"/>
    <w:rsid w:val="00D505F3"/>
    <w:rsid w:val="00D507CD"/>
    <w:rsid w:val="00D50D4F"/>
    <w:rsid w:val="00D51C7B"/>
    <w:rsid w:val="00D52547"/>
    <w:rsid w:val="00D53512"/>
    <w:rsid w:val="00D54CDD"/>
    <w:rsid w:val="00D54D96"/>
    <w:rsid w:val="00D55464"/>
    <w:rsid w:val="00D564C9"/>
    <w:rsid w:val="00D572EF"/>
    <w:rsid w:val="00D5737E"/>
    <w:rsid w:val="00D579DA"/>
    <w:rsid w:val="00D61EA9"/>
    <w:rsid w:val="00D62BB4"/>
    <w:rsid w:val="00D62E12"/>
    <w:rsid w:val="00D6419D"/>
    <w:rsid w:val="00D70B3C"/>
    <w:rsid w:val="00D70F3A"/>
    <w:rsid w:val="00D72B62"/>
    <w:rsid w:val="00D72DBE"/>
    <w:rsid w:val="00D73F8D"/>
    <w:rsid w:val="00D7576C"/>
    <w:rsid w:val="00D76296"/>
    <w:rsid w:val="00D76586"/>
    <w:rsid w:val="00D773F6"/>
    <w:rsid w:val="00D779CE"/>
    <w:rsid w:val="00D77CF6"/>
    <w:rsid w:val="00D81AFA"/>
    <w:rsid w:val="00D81CCA"/>
    <w:rsid w:val="00D833FC"/>
    <w:rsid w:val="00D84E74"/>
    <w:rsid w:val="00D85062"/>
    <w:rsid w:val="00D91927"/>
    <w:rsid w:val="00D9229F"/>
    <w:rsid w:val="00D93B06"/>
    <w:rsid w:val="00D94568"/>
    <w:rsid w:val="00D9502F"/>
    <w:rsid w:val="00D9503D"/>
    <w:rsid w:val="00D950AC"/>
    <w:rsid w:val="00D96F7D"/>
    <w:rsid w:val="00D971F7"/>
    <w:rsid w:val="00DA05D7"/>
    <w:rsid w:val="00DA1171"/>
    <w:rsid w:val="00DA1A3C"/>
    <w:rsid w:val="00DA1D79"/>
    <w:rsid w:val="00DA2023"/>
    <w:rsid w:val="00DA5187"/>
    <w:rsid w:val="00DA5FDF"/>
    <w:rsid w:val="00DA7F9E"/>
    <w:rsid w:val="00DB0AA6"/>
    <w:rsid w:val="00DB0CFE"/>
    <w:rsid w:val="00DB2CF7"/>
    <w:rsid w:val="00DB2D5C"/>
    <w:rsid w:val="00DB2F54"/>
    <w:rsid w:val="00DB3165"/>
    <w:rsid w:val="00DB428B"/>
    <w:rsid w:val="00DB4669"/>
    <w:rsid w:val="00DB5A08"/>
    <w:rsid w:val="00DB5B06"/>
    <w:rsid w:val="00DB65B2"/>
    <w:rsid w:val="00DC101F"/>
    <w:rsid w:val="00DC1CD6"/>
    <w:rsid w:val="00DC3D32"/>
    <w:rsid w:val="00DC6293"/>
    <w:rsid w:val="00DC7A77"/>
    <w:rsid w:val="00DC7DA7"/>
    <w:rsid w:val="00DC7EB0"/>
    <w:rsid w:val="00DC7F12"/>
    <w:rsid w:val="00DD0C5B"/>
    <w:rsid w:val="00DD390A"/>
    <w:rsid w:val="00DD3A50"/>
    <w:rsid w:val="00DD5735"/>
    <w:rsid w:val="00DD7105"/>
    <w:rsid w:val="00DD749C"/>
    <w:rsid w:val="00DE1CE6"/>
    <w:rsid w:val="00DE2E1A"/>
    <w:rsid w:val="00DE2E7D"/>
    <w:rsid w:val="00DE427A"/>
    <w:rsid w:val="00DE430C"/>
    <w:rsid w:val="00DE4AC1"/>
    <w:rsid w:val="00DE537F"/>
    <w:rsid w:val="00DE54AE"/>
    <w:rsid w:val="00DE55AB"/>
    <w:rsid w:val="00DE6B4E"/>
    <w:rsid w:val="00DE6B5E"/>
    <w:rsid w:val="00DE6D80"/>
    <w:rsid w:val="00DE79D6"/>
    <w:rsid w:val="00DF0C39"/>
    <w:rsid w:val="00DF2FDA"/>
    <w:rsid w:val="00DF3F2B"/>
    <w:rsid w:val="00DF4275"/>
    <w:rsid w:val="00DF46FE"/>
    <w:rsid w:val="00DF4FB7"/>
    <w:rsid w:val="00DF503B"/>
    <w:rsid w:val="00DF5047"/>
    <w:rsid w:val="00DF56AB"/>
    <w:rsid w:val="00DF66F5"/>
    <w:rsid w:val="00DF69D1"/>
    <w:rsid w:val="00DF72A8"/>
    <w:rsid w:val="00DF7392"/>
    <w:rsid w:val="00DF7968"/>
    <w:rsid w:val="00E009DC"/>
    <w:rsid w:val="00E03279"/>
    <w:rsid w:val="00E03976"/>
    <w:rsid w:val="00E03E4B"/>
    <w:rsid w:val="00E0416F"/>
    <w:rsid w:val="00E05023"/>
    <w:rsid w:val="00E067F5"/>
    <w:rsid w:val="00E07675"/>
    <w:rsid w:val="00E10ECA"/>
    <w:rsid w:val="00E115DB"/>
    <w:rsid w:val="00E1465D"/>
    <w:rsid w:val="00E15D06"/>
    <w:rsid w:val="00E16739"/>
    <w:rsid w:val="00E16829"/>
    <w:rsid w:val="00E168AA"/>
    <w:rsid w:val="00E1726F"/>
    <w:rsid w:val="00E17768"/>
    <w:rsid w:val="00E207AF"/>
    <w:rsid w:val="00E208DE"/>
    <w:rsid w:val="00E22461"/>
    <w:rsid w:val="00E23EE6"/>
    <w:rsid w:val="00E23F0D"/>
    <w:rsid w:val="00E24867"/>
    <w:rsid w:val="00E24CDC"/>
    <w:rsid w:val="00E252AF"/>
    <w:rsid w:val="00E254A1"/>
    <w:rsid w:val="00E25558"/>
    <w:rsid w:val="00E27581"/>
    <w:rsid w:val="00E276EC"/>
    <w:rsid w:val="00E2778B"/>
    <w:rsid w:val="00E30F9F"/>
    <w:rsid w:val="00E31DC6"/>
    <w:rsid w:val="00E31DFD"/>
    <w:rsid w:val="00E33CCE"/>
    <w:rsid w:val="00E34136"/>
    <w:rsid w:val="00E34432"/>
    <w:rsid w:val="00E35927"/>
    <w:rsid w:val="00E35DE7"/>
    <w:rsid w:val="00E360DA"/>
    <w:rsid w:val="00E3610F"/>
    <w:rsid w:val="00E36418"/>
    <w:rsid w:val="00E406D5"/>
    <w:rsid w:val="00E40AC8"/>
    <w:rsid w:val="00E40B25"/>
    <w:rsid w:val="00E43027"/>
    <w:rsid w:val="00E43965"/>
    <w:rsid w:val="00E439C5"/>
    <w:rsid w:val="00E44FA6"/>
    <w:rsid w:val="00E44FC4"/>
    <w:rsid w:val="00E45DF9"/>
    <w:rsid w:val="00E46034"/>
    <w:rsid w:val="00E461DE"/>
    <w:rsid w:val="00E516A5"/>
    <w:rsid w:val="00E51D46"/>
    <w:rsid w:val="00E5224B"/>
    <w:rsid w:val="00E530E5"/>
    <w:rsid w:val="00E530FB"/>
    <w:rsid w:val="00E54B21"/>
    <w:rsid w:val="00E56390"/>
    <w:rsid w:val="00E56660"/>
    <w:rsid w:val="00E61542"/>
    <w:rsid w:val="00E616F2"/>
    <w:rsid w:val="00E61A55"/>
    <w:rsid w:val="00E61AC8"/>
    <w:rsid w:val="00E61E03"/>
    <w:rsid w:val="00E62ADA"/>
    <w:rsid w:val="00E63ACC"/>
    <w:rsid w:val="00E7004B"/>
    <w:rsid w:val="00E70ABA"/>
    <w:rsid w:val="00E718C7"/>
    <w:rsid w:val="00E7489B"/>
    <w:rsid w:val="00E76732"/>
    <w:rsid w:val="00E76C66"/>
    <w:rsid w:val="00E76FA6"/>
    <w:rsid w:val="00E80FED"/>
    <w:rsid w:val="00E82355"/>
    <w:rsid w:val="00E82DFC"/>
    <w:rsid w:val="00E838D6"/>
    <w:rsid w:val="00E84931"/>
    <w:rsid w:val="00E86333"/>
    <w:rsid w:val="00E875EF"/>
    <w:rsid w:val="00E87904"/>
    <w:rsid w:val="00E91476"/>
    <w:rsid w:val="00E952A6"/>
    <w:rsid w:val="00E96541"/>
    <w:rsid w:val="00E968A5"/>
    <w:rsid w:val="00EA0BBE"/>
    <w:rsid w:val="00EA1286"/>
    <w:rsid w:val="00EA390E"/>
    <w:rsid w:val="00EA470D"/>
    <w:rsid w:val="00EA48DE"/>
    <w:rsid w:val="00EA49A5"/>
    <w:rsid w:val="00EA56AC"/>
    <w:rsid w:val="00EA621A"/>
    <w:rsid w:val="00EA63CE"/>
    <w:rsid w:val="00EB2C90"/>
    <w:rsid w:val="00EB39FF"/>
    <w:rsid w:val="00EB48B1"/>
    <w:rsid w:val="00EB5306"/>
    <w:rsid w:val="00EB5961"/>
    <w:rsid w:val="00EC06BD"/>
    <w:rsid w:val="00EC0948"/>
    <w:rsid w:val="00EC0BF0"/>
    <w:rsid w:val="00EC1D2D"/>
    <w:rsid w:val="00EC1D68"/>
    <w:rsid w:val="00EC3A1D"/>
    <w:rsid w:val="00EC45B0"/>
    <w:rsid w:val="00EC50A4"/>
    <w:rsid w:val="00EC57CA"/>
    <w:rsid w:val="00EC6035"/>
    <w:rsid w:val="00EC7232"/>
    <w:rsid w:val="00ED0571"/>
    <w:rsid w:val="00ED06F5"/>
    <w:rsid w:val="00ED06FB"/>
    <w:rsid w:val="00ED46D3"/>
    <w:rsid w:val="00ED4C04"/>
    <w:rsid w:val="00ED606E"/>
    <w:rsid w:val="00ED6CE0"/>
    <w:rsid w:val="00ED7E07"/>
    <w:rsid w:val="00EE00EA"/>
    <w:rsid w:val="00EE0189"/>
    <w:rsid w:val="00EE07A0"/>
    <w:rsid w:val="00EE286E"/>
    <w:rsid w:val="00EE2F3A"/>
    <w:rsid w:val="00EE43BB"/>
    <w:rsid w:val="00EE7208"/>
    <w:rsid w:val="00EE7703"/>
    <w:rsid w:val="00EF0D26"/>
    <w:rsid w:val="00EF1418"/>
    <w:rsid w:val="00EF1982"/>
    <w:rsid w:val="00EF31AA"/>
    <w:rsid w:val="00EF3272"/>
    <w:rsid w:val="00EF38DA"/>
    <w:rsid w:val="00EF4A9F"/>
    <w:rsid w:val="00EF552B"/>
    <w:rsid w:val="00EF5B37"/>
    <w:rsid w:val="00EF7147"/>
    <w:rsid w:val="00F00593"/>
    <w:rsid w:val="00F005F0"/>
    <w:rsid w:val="00F02B96"/>
    <w:rsid w:val="00F03686"/>
    <w:rsid w:val="00F03DDF"/>
    <w:rsid w:val="00F0411D"/>
    <w:rsid w:val="00F04BB8"/>
    <w:rsid w:val="00F05119"/>
    <w:rsid w:val="00F05989"/>
    <w:rsid w:val="00F11FD2"/>
    <w:rsid w:val="00F15ECD"/>
    <w:rsid w:val="00F1661E"/>
    <w:rsid w:val="00F20BC9"/>
    <w:rsid w:val="00F20D0E"/>
    <w:rsid w:val="00F216AD"/>
    <w:rsid w:val="00F23402"/>
    <w:rsid w:val="00F23FAB"/>
    <w:rsid w:val="00F23FDB"/>
    <w:rsid w:val="00F25E12"/>
    <w:rsid w:val="00F25FF0"/>
    <w:rsid w:val="00F2747E"/>
    <w:rsid w:val="00F276AD"/>
    <w:rsid w:val="00F277B8"/>
    <w:rsid w:val="00F27D20"/>
    <w:rsid w:val="00F27DD7"/>
    <w:rsid w:val="00F309C9"/>
    <w:rsid w:val="00F3247C"/>
    <w:rsid w:val="00F339B0"/>
    <w:rsid w:val="00F33A96"/>
    <w:rsid w:val="00F34530"/>
    <w:rsid w:val="00F34CF1"/>
    <w:rsid w:val="00F3708F"/>
    <w:rsid w:val="00F37119"/>
    <w:rsid w:val="00F372FE"/>
    <w:rsid w:val="00F40F33"/>
    <w:rsid w:val="00F41A7B"/>
    <w:rsid w:val="00F42C34"/>
    <w:rsid w:val="00F43752"/>
    <w:rsid w:val="00F43ECC"/>
    <w:rsid w:val="00F453A0"/>
    <w:rsid w:val="00F45739"/>
    <w:rsid w:val="00F45D9E"/>
    <w:rsid w:val="00F460F9"/>
    <w:rsid w:val="00F46571"/>
    <w:rsid w:val="00F50359"/>
    <w:rsid w:val="00F525B9"/>
    <w:rsid w:val="00F52793"/>
    <w:rsid w:val="00F528F4"/>
    <w:rsid w:val="00F53584"/>
    <w:rsid w:val="00F539DC"/>
    <w:rsid w:val="00F53D7A"/>
    <w:rsid w:val="00F5443F"/>
    <w:rsid w:val="00F54718"/>
    <w:rsid w:val="00F551D8"/>
    <w:rsid w:val="00F557DC"/>
    <w:rsid w:val="00F576BD"/>
    <w:rsid w:val="00F57718"/>
    <w:rsid w:val="00F578EB"/>
    <w:rsid w:val="00F57CE2"/>
    <w:rsid w:val="00F61108"/>
    <w:rsid w:val="00F6169A"/>
    <w:rsid w:val="00F64487"/>
    <w:rsid w:val="00F64E9D"/>
    <w:rsid w:val="00F64F91"/>
    <w:rsid w:val="00F65B81"/>
    <w:rsid w:val="00F700DE"/>
    <w:rsid w:val="00F702CC"/>
    <w:rsid w:val="00F718CC"/>
    <w:rsid w:val="00F75A1F"/>
    <w:rsid w:val="00F77914"/>
    <w:rsid w:val="00F77D45"/>
    <w:rsid w:val="00F81520"/>
    <w:rsid w:val="00F8397A"/>
    <w:rsid w:val="00F84959"/>
    <w:rsid w:val="00F84AA5"/>
    <w:rsid w:val="00F91B5D"/>
    <w:rsid w:val="00F91D98"/>
    <w:rsid w:val="00F9422C"/>
    <w:rsid w:val="00F94AF3"/>
    <w:rsid w:val="00F959D0"/>
    <w:rsid w:val="00F965EA"/>
    <w:rsid w:val="00F96CD1"/>
    <w:rsid w:val="00F9719E"/>
    <w:rsid w:val="00F97460"/>
    <w:rsid w:val="00F97FB0"/>
    <w:rsid w:val="00FA19A5"/>
    <w:rsid w:val="00FA1C64"/>
    <w:rsid w:val="00FA3ABC"/>
    <w:rsid w:val="00FA3BC2"/>
    <w:rsid w:val="00FA4EBB"/>
    <w:rsid w:val="00FA62BB"/>
    <w:rsid w:val="00FA633E"/>
    <w:rsid w:val="00FA7118"/>
    <w:rsid w:val="00FA753A"/>
    <w:rsid w:val="00FA7C34"/>
    <w:rsid w:val="00FA7E23"/>
    <w:rsid w:val="00FB0140"/>
    <w:rsid w:val="00FB1D2E"/>
    <w:rsid w:val="00FB21ED"/>
    <w:rsid w:val="00FB27DA"/>
    <w:rsid w:val="00FB36F8"/>
    <w:rsid w:val="00FB4083"/>
    <w:rsid w:val="00FB4B16"/>
    <w:rsid w:val="00FB53E0"/>
    <w:rsid w:val="00FB5DD0"/>
    <w:rsid w:val="00FC1089"/>
    <w:rsid w:val="00FC26D1"/>
    <w:rsid w:val="00FC3BEE"/>
    <w:rsid w:val="00FC40CD"/>
    <w:rsid w:val="00FC431D"/>
    <w:rsid w:val="00FC680C"/>
    <w:rsid w:val="00FC6E87"/>
    <w:rsid w:val="00FC74A2"/>
    <w:rsid w:val="00FD1C2A"/>
    <w:rsid w:val="00FD3B5F"/>
    <w:rsid w:val="00FD7718"/>
    <w:rsid w:val="00FD7749"/>
    <w:rsid w:val="00FE0FEC"/>
    <w:rsid w:val="00FE3843"/>
    <w:rsid w:val="00FE3C61"/>
    <w:rsid w:val="00FE4C72"/>
    <w:rsid w:val="00FE5423"/>
    <w:rsid w:val="00FE5659"/>
    <w:rsid w:val="00FE7266"/>
    <w:rsid w:val="00FF269A"/>
    <w:rsid w:val="00FF3168"/>
    <w:rsid w:val="00FF482B"/>
    <w:rsid w:val="00FF5A96"/>
    <w:rsid w:val="00FF72D4"/>
    <w:rsid w:val="00FF7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EDE"/>
    <w:rPr>
      <w:sz w:val="24"/>
      <w:szCs w:val="24"/>
      <w:lang w:val="it-IT" w:eastAsia="it-IT"/>
    </w:rPr>
  </w:style>
  <w:style w:type="paragraph" w:styleId="1">
    <w:name w:val="heading 1"/>
    <w:basedOn w:val="a"/>
    <w:next w:val="a"/>
    <w:link w:val="10"/>
    <w:qFormat/>
    <w:rsid w:val="00166D61"/>
    <w:pPr>
      <w:keepNext/>
      <w:ind w:right="-1"/>
      <w:jc w:val="both"/>
      <w:outlineLvl w:val="0"/>
    </w:pPr>
    <w:rPr>
      <w:rFonts w:ascii="Times New Roman" w:eastAsia="Times New Roman" w:hAnsi="Times New Roman"/>
      <w:b/>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rigliachiara-Colore31">
    <w:name w:val="Griglia chiara - Colore 31"/>
    <w:basedOn w:val="a"/>
    <w:uiPriority w:val="34"/>
    <w:qFormat/>
    <w:rsid w:val="00047EDE"/>
    <w:pPr>
      <w:ind w:left="720"/>
      <w:contextualSpacing/>
    </w:pPr>
    <w:rPr>
      <w:rFonts w:ascii="Calibri" w:eastAsia="Times New Roman" w:hAnsi="Calibri"/>
    </w:rPr>
  </w:style>
  <w:style w:type="paragraph" w:styleId="a3">
    <w:name w:val="Normal (Web)"/>
    <w:basedOn w:val="a"/>
    <w:uiPriority w:val="99"/>
    <w:unhideWhenUsed/>
    <w:rsid w:val="00B92A13"/>
    <w:pPr>
      <w:spacing w:before="100" w:beforeAutospacing="1" w:after="100" w:afterAutospacing="1"/>
    </w:pPr>
    <w:rPr>
      <w:rFonts w:ascii="Times" w:hAnsi="Times"/>
      <w:sz w:val="20"/>
      <w:szCs w:val="20"/>
    </w:rPr>
  </w:style>
  <w:style w:type="paragraph" w:styleId="a4">
    <w:name w:val="Balloon Text"/>
    <w:basedOn w:val="a"/>
    <w:link w:val="a5"/>
    <w:uiPriority w:val="99"/>
    <w:semiHidden/>
    <w:unhideWhenUsed/>
    <w:rsid w:val="005A74F0"/>
    <w:rPr>
      <w:rFonts w:ascii="Lucida Grande" w:hAnsi="Lucida Grande"/>
      <w:sz w:val="18"/>
      <w:szCs w:val="18"/>
      <w:lang w:val="en-US" w:eastAsia="x-none"/>
    </w:rPr>
  </w:style>
  <w:style w:type="character" w:customStyle="1" w:styleId="a5">
    <w:name w:val="批注框文本 字符"/>
    <w:link w:val="a4"/>
    <w:uiPriority w:val="99"/>
    <w:semiHidden/>
    <w:rsid w:val="005A74F0"/>
    <w:rPr>
      <w:rFonts w:ascii="Lucida Grande" w:hAnsi="Lucida Grande"/>
      <w:sz w:val="18"/>
      <w:szCs w:val="18"/>
      <w:lang w:eastAsia="x-none"/>
    </w:rPr>
  </w:style>
  <w:style w:type="paragraph" w:customStyle="1" w:styleId="Grigliamedia1-Colore21">
    <w:name w:val="Griglia media 1 - Colore 21"/>
    <w:basedOn w:val="a"/>
    <w:uiPriority w:val="34"/>
    <w:qFormat/>
    <w:rsid w:val="001F7717"/>
    <w:pPr>
      <w:ind w:left="720"/>
      <w:contextualSpacing/>
    </w:pPr>
    <w:rPr>
      <w:rFonts w:ascii="Calibri" w:eastAsia="Times New Roman" w:hAnsi="Calibri"/>
    </w:rPr>
  </w:style>
  <w:style w:type="table" w:styleId="a6">
    <w:name w:val="Table Grid"/>
    <w:basedOn w:val="a1"/>
    <w:uiPriority w:val="59"/>
    <w:rsid w:val="00D77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link w:val="1"/>
    <w:rsid w:val="00166D61"/>
    <w:rPr>
      <w:rFonts w:ascii="Times New Roman" w:eastAsia="Times New Roman" w:hAnsi="Times New Roman"/>
      <w:b/>
    </w:rPr>
  </w:style>
  <w:style w:type="character" w:styleId="a7">
    <w:name w:val="Strong"/>
    <w:qFormat/>
    <w:rsid w:val="00166D61"/>
    <w:rPr>
      <w:b/>
      <w:bCs/>
    </w:rPr>
  </w:style>
  <w:style w:type="character" w:customStyle="1" w:styleId="src">
    <w:name w:val="src"/>
    <w:basedOn w:val="a0"/>
    <w:rsid w:val="00166D61"/>
  </w:style>
  <w:style w:type="character" w:customStyle="1" w:styleId="jrnl">
    <w:name w:val="jrnl"/>
    <w:basedOn w:val="a0"/>
    <w:rsid w:val="00166D61"/>
  </w:style>
  <w:style w:type="paragraph" w:customStyle="1" w:styleId="Elencoacolori-Colore11">
    <w:name w:val="Elenco a colori - Colore 11"/>
    <w:basedOn w:val="a"/>
    <w:uiPriority w:val="34"/>
    <w:qFormat/>
    <w:rsid w:val="00166D61"/>
    <w:pPr>
      <w:ind w:left="708"/>
      <w:jc w:val="both"/>
    </w:pPr>
    <w:rPr>
      <w:rFonts w:ascii="Times New Roman" w:eastAsia="Times New Roman" w:hAnsi="Times New Roman"/>
      <w:sz w:val="20"/>
      <w:szCs w:val="20"/>
    </w:rPr>
  </w:style>
  <w:style w:type="paragraph" w:customStyle="1" w:styleId="Elencoacolori-Colore1">
    <w:name w:val="Elenco a colori - Colore 1"/>
    <w:basedOn w:val="a"/>
    <w:uiPriority w:val="34"/>
    <w:qFormat/>
    <w:rsid w:val="00AF285C"/>
    <w:pPr>
      <w:ind w:left="708"/>
    </w:pPr>
  </w:style>
  <w:style w:type="character" w:styleId="a8">
    <w:name w:val="Hyperlink"/>
    <w:uiPriority w:val="99"/>
    <w:unhideWhenUsed/>
    <w:rsid w:val="001A1A2D"/>
    <w:rPr>
      <w:color w:val="0563C1"/>
      <w:u w:val="single"/>
    </w:rPr>
  </w:style>
  <w:style w:type="character" w:customStyle="1" w:styleId="Menzionenonrisolta1">
    <w:name w:val="Menzione non risolta1"/>
    <w:uiPriority w:val="99"/>
    <w:semiHidden/>
    <w:unhideWhenUsed/>
    <w:rsid w:val="001A1A2D"/>
    <w:rPr>
      <w:color w:val="605E5C"/>
      <w:shd w:val="clear" w:color="auto" w:fill="E1DFDD"/>
    </w:rPr>
  </w:style>
  <w:style w:type="character" w:styleId="a9">
    <w:name w:val="Emphasis"/>
    <w:uiPriority w:val="20"/>
    <w:qFormat/>
    <w:rsid w:val="001A1A2D"/>
    <w:rPr>
      <w:i/>
      <w:iCs/>
    </w:rPr>
  </w:style>
  <w:style w:type="character" w:customStyle="1" w:styleId="highlight">
    <w:name w:val="highlight"/>
    <w:rsid w:val="00F2747E"/>
  </w:style>
  <w:style w:type="character" w:customStyle="1" w:styleId="Menzionenonrisolta">
    <w:name w:val="Menzione non risolta"/>
    <w:uiPriority w:val="99"/>
    <w:semiHidden/>
    <w:unhideWhenUsed/>
    <w:rsid w:val="00365812"/>
    <w:rPr>
      <w:color w:val="605E5C"/>
      <w:shd w:val="clear" w:color="auto" w:fill="E1DFDD"/>
    </w:rPr>
  </w:style>
  <w:style w:type="paragraph" w:styleId="aa">
    <w:name w:val="header"/>
    <w:basedOn w:val="a"/>
    <w:link w:val="ab"/>
    <w:uiPriority w:val="99"/>
    <w:unhideWhenUsed/>
    <w:rsid w:val="006A253E"/>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rsid w:val="006A253E"/>
    <w:rPr>
      <w:sz w:val="18"/>
      <w:szCs w:val="18"/>
      <w:lang w:val="it-IT" w:eastAsia="it-IT"/>
    </w:rPr>
  </w:style>
  <w:style w:type="paragraph" w:styleId="ac">
    <w:name w:val="footer"/>
    <w:basedOn w:val="a"/>
    <w:link w:val="ad"/>
    <w:uiPriority w:val="99"/>
    <w:unhideWhenUsed/>
    <w:rsid w:val="006A253E"/>
    <w:pPr>
      <w:tabs>
        <w:tab w:val="center" w:pos="4153"/>
        <w:tab w:val="right" w:pos="8306"/>
      </w:tabs>
      <w:snapToGrid w:val="0"/>
    </w:pPr>
    <w:rPr>
      <w:sz w:val="18"/>
      <w:szCs w:val="18"/>
    </w:rPr>
  </w:style>
  <w:style w:type="character" w:customStyle="1" w:styleId="ad">
    <w:name w:val="页脚 字符"/>
    <w:link w:val="ac"/>
    <w:uiPriority w:val="99"/>
    <w:rsid w:val="006A253E"/>
    <w:rPr>
      <w:sz w:val="18"/>
      <w:szCs w:val="18"/>
      <w:lang w:val="it-IT" w:eastAsia="it-IT"/>
    </w:rPr>
  </w:style>
  <w:style w:type="character" w:styleId="ae">
    <w:name w:val="annotation reference"/>
    <w:uiPriority w:val="99"/>
    <w:semiHidden/>
    <w:unhideWhenUsed/>
    <w:rsid w:val="00703CEB"/>
    <w:rPr>
      <w:rFonts w:ascii="Tahoma" w:hAnsi="Tahoma" w:cs="Tahoma"/>
      <w:b w:val="0"/>
      <w:i w:val="0"/>
      <w:caps w:val="0"/>
      <w:strike w:val="0"/>
      <w:sz w:val="16"/>
      <w:szCs w:val="16"/>
      <w:u w:val="none"/>
    </w:rPr>
  </w:style>
  <w:style w:type="paragraph" w:styleId="af">
    <w:name w:val="annotation text"/>
    <w:basedOn w:val="a"/>
    <w:link w:val="11"/>
    <w:uiPriority w:val="99"/>
    <w:unhideWhenUsed/>
    <w:rsid w:val="00703CEB"/>
    <w:pPr>
      <w:widowControl w:val="0"/>
    </w:pPr>
    <w:rPr>
      <w:rFonts w:ascii="Tahoma" w:eastAsia="等线" w:hAnsi="Tahoma" w:cs="Tahoma"/>
      <w:kern w:val="2"/>
      <w:sz w:val="16"/>
      <w:szCs w:val="20"/>
      <w:lang w:val="en-US" w:eastAsia="x-none"/>
    </w:rPr>
  </w:style>
  <w:style w:type="character" w:customStyle="1" w:styleId="af0">
    <w:name w:val="批注文字 字符"/>
    <w:uiPriority w:val="99"/>
    <w:semiHidden/>
    <w:rsid w:val="00703CEB"/>
    <w:rPr>
      <w:sz w:val="24"/>
      <w:szCs w:val="24"/>
      <w:lang w:val="it-IT" w:eastAsia="it-IT"/>
    </w:rPr>
  </w:style>
  <w:style w:type="character" w:customStyle="1" w:styleId="11">
    <w:name w:val="批注文字 字符1"/>
    <w:link w:val="af"/>
    <w:uiPriority w:val="99"/>
    <w:rsid w:val="00703CEB"/>
    <w:rPr>
      <w:rFonts w:ascii="Tahoma" w:eastAsia="等线" w:hAnsi="Tahoma" w:cs="Tahoma"/>
      <w:kern w:val="2"/>
      <w:sz w:val="16"/>
      <w:lang w:eastAsia="x-none"/>
    </w:rPr>
  </w:style>
  <w:style w:type="paragraph" w:customStyle="1" w:styleId="p1">
    <w:name w:val="p1"/>
    <w:basedOn w:val="a"/>
    <w:rsid w:val="00703CEB"/>
    <w:rPr>
      <w:rFonts w:ascii="Helvetica" w:eastAsia="宋体" w:hAnsi="Helvetica"/>
      <w:sz w:val="18"/>
      <w:szCs w:val="18"/>
      <w:lang w:val="en-US" w:eastAsia="zh-CN"/>
    </w:rPr>
  </w:style>
  <w:style w:type="paragraph" w:customStyle="1" w:styleId="12">
    <w:name w:val="正文1"/>
    <w:uiPriority w:val="99"/>
    <w:rsid w:val="00703CEB"/>
    <w:pPr>
      <w:spacing w:line="276" w:lineRule="auto"/>
    </w:pPr>
    <w:rPr>
      <w:rFonts w:ascii="Arial" w:eastAsia="宋体" w:hAnsi="Arial" w:cs="Arial"/>
      <w:color w:val="000000"/>
      <w:sz w:val="22"/>
      <w:lang w:val="pl-PL" w:eastAsia="pl-PL"/>
    </w:rPr>
  </w:style>
  <w:style w:type="paragraph" w:styleId="af1">
    <w:name w:val="annotation subject"/>
    <w:basedOn w:val="af"/>
    <w:next w:val="af"/>
    <w:link w:val="af2"/>
    <w:uiPriority w:val="99"/>
    <w:semiHidden/>
    <w:unhideWhenUsed/>
    <w:rsid w:val="00B43C26"/>
    <w:pPr>
      <w:widowControl/>
    </w:pPr>
    <w:rPr>
      <w:b/>
      <w:bCs/>
      <w:sz w:val="24"/>
      <w:szCs w:val="24"/>
      <w:lang w:eastAsia="it-IT"/>
    </w:rPr>
  </w:style>
  <w:style w:type="character" w:customStyle="1" w:styleId="af2">
    <w:name w:val="批注主题 字符"/>
    <w:link w:val="af1"/>
    <w:uiPriority w:val="99"/>
    <w:semiHidden/>
    <w:rsid w:val="00B43C26"/>
    <w:rPr>
      <w:rFonts w:ascii="Tahoma" w:eastAsia="等线" w:hAnsi="Tahoma"/>
      <w:b/>
      <w:bCs/>
      <w:kern w:val="2"/>
      <w:sz w:val="24"/>
      <w:szCs w:val="24"/>
      <w:lang w:eastAsia="it-IT"/>
    </w:rPr>
  </w:style>
  <w:style w:type="paragraph" w:customStyle="1" w:styleId="Paragrafoelenco">
    <w:name w:val="Paragrafo elenco"/>
    <w:basedOn w:val="a"/>
    <w:uiPriority w:val="34"/>
    <w:qFormat/>
    <w:rsid w:val="00A26DF8"/>
    <w:pPr>
      <w:widowControl w:val="0"/>
      <w:ind w:firstLineChars="200" w:firstLine="420"/>
      <w:jc w:val="both"/>
    </w:pPr>
    <w:rPr>
      <w:rFonts w:ascii="Calibri" w:eastAsia="宋体" w:hAnsi="Calibri"/>
      <w:kern w:val="2"/>
      <w:sz w:val="21"/>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EDE"/>
    <w:rPr>
      <w:sz w:val="24"/>
      <w:szCs w:val="24"/>
      <w:lang w:val="it-IT" w:eastAsia="it-IT"/>
    </w:rPr>
  </w:style>
  <w:style w:type="paragraph" w:styleId="1">
    <w:name w:val="heading 1"/>
    <w:basedOn w:val="a"/>
    <w:next w:val="a"/>
    <w:link w:val="10"/>
    <w:qFormat/>
    <w:rsid w:val="00166D61"/>
    <w:pPr>
      <w:keepNext/>
      <w:ind w:right="-1"/>
      <w:jc w:val="both"/>
      <w:outlineLvl w:val="0"/>
    </w:pPr>
    <w:rPr>
      <w:rFonts w:ascii="Times New Roman" w:eastAsia="Times New Roman" w:hAnsi="Times New Roman"/>
      <w:b/>
      <w:sz w:val="20"/>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Grigliachiara-Colore31">
    <w:name w:val="Griglia chiara - Colore 31"/>
    <w:basedOn w:val="a"/>
    <w:uiPriority w:val="34"/>
    <w:qFormat/>
    <w:rsid w:val="00047EDE"/>
    <w:pPr>
      <w:ind w:left="720"/>
      <w:contextualSpacing/>
    </w:pPr>
    <w:rPr>
      <w:rFonts w:ascii="Calibri" w:eastAsia="Times New Roman" w:hAnsi="Calibri"/>
    </w:rPr>
  </w:style>
  <w:style w:type="paragraph" w:styleId="a3">
    <w:name w:val="Normal (Web)"/>
    <w:basedOn w:val="a"/>
    <w:uiPriority w:val="99"/>
    <w:unhideWhenUsed/>
    <w:rsid w:val="00B92A13"/>
    <w:pPr>
      <w:spacing w:before="100" w:beforeAutospacing="1" w:after="100" w:afterAutospacing="1"/>
    </w:pPr>
    <w:rPr>
      <w:rFonts w:ascii="Times" w:hAnsi="Times"/>
      <w:sz w:val="20"/>
      <w:szCs w:val="20"/>
    </w:rPr>
  </w:style>
  <w:style w:type="paragraph" w:styleId="a4">
    <w:name w:val="Balloon Text"/>
    <w:basedOn w:val="a"/>
    <w:link w:val="a5"/>
    <w:uiPriority w:val="99"/>
    <w:semiHidden/>
    <w:unhideWhenUsed/>
    <w:rsid w:val="005A74F0"/>
    <w:rPr>
      <w:rFonts w:ascii="Lucida Grande" w:hAnsi="Lucida Grande"/>
      <w:sz w:val="18"/>
      <w:szCs w:val="18"/>
      <w:lang w:val="en-US" w:eastAsia="x-none"/>
    </w:rPr>
  </w:style>
  <w:style w:type="character" w:customStyle="1" w:styleId="a5">
    <w:name w:val="批注框文本 字符"/>
    <w:link w:val="a4"/>
    <w:uiPriority w:val="99"/>
    <w:semiHidden/>
    <w:rsid w:val="005A74F0"/>
    <w:rPr>
      <w:rFonts w:ascii="Lucida Grande" w:hAnsi="Lucida Grande"/>
      <w:sz w:val="18"/>
      <w:szCs w:val="18"/>
      <w:lang w:eastAsia="x-none"/>
    </w:rPr>
  </w:style>
  <w:style w:type="paragraph" w:customStyle="1" w:styleId="Grigliamedia1-Colore21">
    <w:name w:val="Griglia media 1 - Colore 21"/>
    <w:basedOn w:val="a"/>
    <w:uiPriority w:val="34"/>
    <w:qFormat/>
    <w:rsid w:val="001F7717"/>
    <w:pPr>
      <w:ind w:left="720"/>
      <w:contextualSpacing/>
    </w:pPr>
    <w:rPr>
      <w:rFonts w:ascii="Calibri" w:eastAsia="Times New Roman" w:hAnsi="Calibri"/>
    </w:rPr>
  </w:style>
  <w:style w:type="table" w:styleId="a6">
    <w:name w:val="Table Grid"/>
    <w:basedOn w:val="a1"/>
    <w:uiPriority w:val="59"/>
    <w:rsid w:val="00D77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标题 1 字符"/>
    <w:link w:val="1"/>
    <w:rsid w:val="00166D61"/>
    <w:rPr>
      <w:rFonts w:ascii="Times New Roman" w:eastAsia="Times New Roman" w:hAnsi="Times New Roman"/>
      <w:b/>
    </w:rPr>
  </w:style>
  <w:style w:type="character" w:styleId="a7">
    <w:name w:val="Strong"/>
    <w:qFormat/>
    <w:rsid w:val="00166D61"/>
    <w:rPr>
      <w:b/>
      <w:bCs/>
    </w:rPr>
  </w:style>
  <w:style w:type="character" w:customStyle="1" w:styleId="src">
    <w:name w:val="src"/>
    <w:basedOn w:val="a0"/>
    <w:rsid w:val="00166D61"/>
  </w:style>
  <w:style w:type="character" w:customStyle="1" w:styleId="jrnl">
    <w:name w:val="jrnl"/>
    <w:basedOn w:val="a0"/>
    <w:rsid w:val="00166D61"/>
  </w:style>
  <w:style w:type="paragraph" w:customStyle="1" w:styleId="Elencoacolori-Colore11">
    <w:name w:val="Elenco a colori - Colore 11"/>
    <w:basedOn w:val="a"/>
    <w:uiPriority w:val="34"/>
    <w:qFormat/>
    <w:rsid w:val="00166D61"/>
    <w:pPr>
      <w:ind w:left="708"/>
      <w:jc w:val="both"/>
    </w:pPr>
    <w:rPr>
      <w:rFonts w:ascii="Times New Roman" w:eastAsia="Times New Roman" w:hAnsi="Times New Roman"/>
      <w:sz w:val="20"/>
      <w:szCs w:val="20"/>
    </w:rPr>
  </w:style>
  <w:style w:type="paragraph" w:customStyle="1" w:styleId="Elencoacolori-Colore1">
    <w:name w:val="Elenco a colori - Colore 1"/>
    <w:basedOn w:val="a"/>
    <w:uiPriority w:val="34"/>
    <w:qFormat/>
    <w:rsid w:val="00AF285C"/>
    <w:pPr>
      <w:ind w:left="708"/>
    </w:pPr>
  </w:style>
  <w:style w:type="character" w:styleId="a8">
    <w:name w:val="Hyperlink"/>
    <w:uiPriority w:val="99"/>
    <w:unhideWhenUsed/>
    <w:rsid w:val="001A1A2D"/>
    <w:rPr>
      <w:color w:val="0563C1"/>
      <w:u w:val="single"/>
    </w:rPr>
  </w:style>
  <w:style w:type="character" w:customStyle="1" w:styleId="Menzionenonrisolta1">
    <w:name w:val="Menzione non risolta1"/>
    <w:uiPriority w:val="99"/>
    <w:semiHidden/>
    <w:unhideWhenUsed/>
    <w:rsid w:val="001A1A2D"/>
    <w:rPr>
      <w:color w:val="605E5C"/>
      <w:shd w:val="clear" w:color="auto" w:fill="E1DFDD"/>
    </w:rPr>
  </w:style>
  <w:style w:type="character" w:styleId="a9">
    <w:name w:val="Emphasis"/>
    <w:uiPriority w:val="20"/>
    <w:qFormat/>
    <w:rsid w:val="001A1A2D"/>
    <w:rPr>
      <w:i/>
      <w:iCs/>
    </w:rPr>
  </w:style>
  <w:style w:type="character" w:customStyle="1" w:styleId="highlight">
    <w:name w:val="highlight"/>
    <w:rsid w:val="00F2747E"/>
  </w:style>
  <w:style w:type="character" w:customStyle="1" w:styleId="Menzionenonrisolta">
    <w:name w:val="Menzione non risolta"/>
    <w:uiPriority w:val="99"/>
    <w:semiHidden/>
    <w:unhideWhenUsed/>
    <w:rsid w:val="00365812"/>
    <w:rPr>
      <w:color w:val="605E5C"/>
      <w:shd w:val="clear" w:color="auto" w:fill="E1DFDD"/>
    </w:rPr>
  </w:style>
  <w:style w:type="paragraph" w:styleId="aa">
    <w:name w:val="header"/>
    <w:basedOn w:val="a"/>
    <w:link w:val="ab"/>
    <w:uiPriority w:val="99"/>
    <w:unhideWhenUsed/>
    <w:rsid w:val="006A253E"/>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rsid w:val="006A253E"/>
    <w:rPr>
      <w:sz w:val="18"/>
      <w:szCs w:val="18"/>
      <w:lang w:val="it-IT" w:eastAsia="it-IT"/>
    </w:rPr>
  </w:style>
  <w:style w:type="paragraph" w:styleId="ac">
    <w:name w:val="footer"/>
    <w:basedOn w:val="a"/>
    <w:link w:val="ad"/>
    <w:uiPriority w:val="99"/>
    <w:unhideWhenUsed/>
    <w:rsid w:val="006A253E"/>
    <w:pPr>
      <w:tabs>
        <w:tab w:val="center" w:pos="4153"/>
        <w:tab w:val="right" w:pos="8306"/>
      </w:tabs>
      <w:snapToGrid w:val="0"/>
    </w:pPr>
    <w:rPr>
      <w:sz w:val="18"/>
      <w:szCs w:val="18"/>
    </w:rPr>
  </w:style>
  <w:style w:type="character" w:customStyle="1" w:styleId="ad">
    <w:name w:val="页脚 字符"/>
    <w:link w:val="ac"/>
    <w:uiPriority w:val="99"/>
    <w:rsid w:val="006A253E"/>
    <w:rPr>
      <w:sz w:val="18"/>
      <w:szCs w:val="18"/>
      <w:lang w:val="it-IT" w:eastAsia="it-IT"/>
    </w:rPr>
  </w:style>
  <w:style w:type="character" w:styleId="ae">
    <w:name w:val="annotation reference"/>
    <w:uiPriority w:val="99"/>
    <w:semiHidden/>
    <w:unhideWhenUsed/>
    <w:rsid w:val="00703CEB"/>
    <w:rPr>
      <w:rFonts w:ascii="Tahoma" w:hAnsi="Tahoma" w:cs="Tahoma"/>
      <w:b w:val="0"/>
      <w:i w:val="0"/>
      <w:caps w:val="0"/>
      <w:strike w:val="0"/>
      <w:sz w:val="16"/>
      <w:szCs w:val="16"/>
      <w:u w:val="none"/>
    </w:rPr>
  </w:style>
  <w:style w:type="paragraph" w:styleId="af">
    <w:name w:val="annotation text"/>
    <w:basedOn w:val="a"/>
    <w:link w:val="11"/>
    <w:uiPriority w:val="99"/>
    <w:unhideWhenUsed/>
    <w:rsid w:val="00703CEB"/>
    <w:pPr>
      <w:widowControl w:val="0"/>
    </w:pPr>
    <w:rPr>
      <w:rFonts w:ascii="Tahoma" w:eastAsia="等线" w:hAnsi="Tahoma" w:cs="Tahoma"/>
      <w:kern w:val="2"/>
      <w:sz w:val="16"/>
      <w:szCs w:val="20"/>
      <w:lang w:val="en-US" w:eastAsia="x-none"/>
    </w:rPr>
  </w:style>
  <w:style w:type="character" w:customStyle="1" w:styleId="af0">
    <w:name w:val="批注文字 字符"/>
    <w:uiPriority w:val="99"/>
    <w:semiHidden/>
    <w:rsid w:val="00703CEB"/>
    <w:rPr>
      <w:sz w:val="24"/>
      <w:szCs w:val="24"/>
      <w:lang w:val="it-IT" w:eastAsia="it-IT"/>
    </w:rPr>
  </w:style>
  <w:style w:type="character" w:customStyle="1" w:styleId="11">
    <w:name w:val="批注文字 字符1"/>
    <w:link w:val="af"/>
    <w:uiPriority w:val="99"/>
    <w:rsid w:val="00703CEB"/>
    <w:rPr>
      <w:rFonts w:ascii="Tahoma" w:eastAsia="等线" w:hAnsi="Tahoma" w:cs="Tahoma"/>
      <w:kern w:val="2"/>
      <w:sz w:val="16"/>
      <w:lang w:eastAsia="x-none"/>
    </w:rPr>
  </w:style>
  <w:style w:type="paragraph" w:customStyle="1" w:styleId="p1">
    <w:name w:val="p1"/>
    <w:basedOn w:val="a"/>
    <w:rsid w:val="00703CEB"/>
    <w:rPr>
      <w:rFonts w:ascii="Helvetica" w:eastAsia="宋体" w:hAnsi="Helvetica"/>
      <w:sz w:val="18"/>
      <w:szCs w:val="18"/>
      <w:lang w:val="en-US" w:eastAsia="zh-CN"/>
    </w:rPr>
  </w:style>
  <w:style w:type="paragraph" w:customStyle="1" w:styleId="12">
    <w:name w:val="正文1"/>
    <w:uiPriority w:val="99"/>
    <w:rsid w:val="00703CEB"/>
    <w:pPr>
      <w:spacing w:line="276" w:lineRule="auto"/>
    </w:pPr>
    <w:rPr>
      <w:rFonts w:ascii="Arial" w:eastAsia="宋体" w:hAnsi="Arial" w:cs="Arial"/>
      <w:color w:val="000000"/>
      <w:sz w:val="22"/>
      <w:lang w:val="pl-PL" w:eastAsia="pl-PL"/>
    </w:rPr>
  </w:style>
  <w:style w:type="paragraph" w:styleId="af1">
    <w:name w:val="annotation subject"/>
    <w:basedOn w:val="af"/>
    <w:next w:val="af"/>
    <w:link w:val="af2"/>
    <w:uiPriority w:val="99"/>
    <w:semiHidden/>
    <w:unhideWhenUsed/>
    <w:rsid w:val="00B43C26"/>
    <w:pPr>
      <w:widowControl/>
    </w:pPr>
    <w:rPr>
      <w:b/>
      <w:bCs/>
      <w:sz w:val="24"/>
      <w:szCs w:val="24"/>
      <w:lang w:eastAsia="it-IT"/>
    </w:rPr>
  </w:style>
  <w:style w:type="character" w:customStyle="1" w:styleId="af2">
    <w:name w:val="批注主题 字符"/>
    <w:link w:val="af1"/>
    <w:uiPriority w:val="99"/>
    <w:semiHidden/>
    <w:rsid w:val="00B43C26"/>
    <w:rPr>
      <w:rFonts w:ascii="Tahoma" w:eastAsia="等线" w:hAnsi="Tahoma"/>
      <w:b/>
      <w:bCs/>
      <w:kern w:val="2"/>
      <w:sz w:val="24"/>
      <w:szCs w:val="24"/>
      <w:lang w:eastAsia="it-IT"/>
    </w:rPr>
  </w:style>
  <w:style w:type="paragraph" w:customStyle="1" w:styleId="Paragrafoelenco">
    <w:name w:val="Paragrafo elenco"/>
    <w:basedOn w:val="a"/>
    <w:uiPriority w:val="34"/>
    <w:qFormat/>
    <w:rsid w:val="00A26DF8"/>
    <w:pPr>
      <w:widowControl w:val="0"/>
      <w:ind w:firstLineChars="200" w:firstLine="420"/>
      <w:jc w:val="both"/>
    </w:pPr>
    <w:rPr>
      <w:rFonts w:ascii="Calibri" w:eastAsia="宋体" w:hAnsi="Calibr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73914">
      <w:bodyDiv w:val="1"/>
      <w:marLeft w:val="0"/>
      <w:marRight w:val="0"/>
      <w:marTop w:val="0"/>
      <w:marBottom w:val="0"/>
      <w:divBdr>
        <w:top w:val="none" w:sz="0" w:space="0" w:color="auto"/>
        <w:left w:val="none" w:sz="0" w:space="0" w:color="auto"/>
        <w:bottom w:val="none" w:sz="0" w:space="0" w:color="auto"/>
        <w:right w:val="none" w:sz="0" w:space="0" w:color="auto"/>
      </w:divBdr>
    </w:div>
    <w:div w:id="323972270">
      <w:bodyDiv w:val="1"/>
      <w:marLeft w:val="0"/>
      <w:marRight w:val="0"/>
      <w:marTop w:val="0"/>
      <w:marBottom w:val="0"/>
      <w:divBdr>
        <w:top w:val="none" w:sz="0" w:space="0" w:color="auto"/>
        <w:left w:val="none" w:sz="0" w:space="0" w:color="auto"/>
        <w:bottom w:val="none" w:sz="0" w:space="0" w:color="auto"/>
        <w:right w:val="none" w:sz="0" w:space="0" w:color="auto"/>
      </w:divBdr>
      <w:divsChild>
        <w:div w:id="1528130388">
          <w:marLeft w:val="0"/>
          <w:marRight w:val="0"/>
          <w:marTop w:val="0"/>
          <w:marBottom w:val="0"/>
          <w:divBdr>
            <w:top w:val="none" w:sz="0" w:space="0" w:color="auto"/>
            <w:left w:val="none" w:sz="0" w:space="0" w:color="auto"/>
            <w:bottom w:val="none" w:sz="0" w:space="0" w:color="auto"/>
            <w:right w:val="none" w:sz="0" w:space="0" w:color="auto"/>
          </w:divBdr>
          <w:divsChild>
            <w:div w:id="770442593">
              <w:marLeft w:val="0"/>
              <w:marRight w:val="0"/>
              <w:marTop w:val="0"/>
              <w:marBottom w:val="0"/>
              <w:divBdr>
                <w:top w:val="none" w:sz="0" w:space="0" w:color="auto"/>
                <w:left w:val="none" w:sz="0" w:space="0" w:color="auto"/>
                <w:bottom w:val="none" w:sz="0" w:space="0" w:color="auto"/>
                <w:right w:val="none" w:sz="0" w:space="0" w:color="auto"/>
              </w:divBdr>
              <w:divsChild>
                <w:div w:id="1953129090">
                  <w:marLeft w:val="0"/>
                  <w:marRight w:val="0"/>
                  <w:marTop w:val="0"/>
                  <w:marBottom w:val="0"/>
                  <w:divBdr>
                    <w:top w:val="none" w:sz="0" w:space="0" w:color="auto"/>
                    <w:left w:val="none" w:sz="0" w:space="0" w:color="auto"/>
                    <w:bottom w:val="none" w:sz="0" w:space="0" w:color="auto"/>
                    <w:right w:val="none" w:sz="0" w:space="0" w:color="auto"/>
                  </w:divBdr>
                  <w:divsChild>
                    <w:div w:id="21135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288201">
      <w:bodyDiv w:val="1"/>
      <w:marLeft w:val="0"/>
      <w:marRight w:val="0"/>
      <w:marTop w:val="0"/>
      <w:marBottom w:val="0"/>
      <w:divBdr>
        <w:top w:val="none" w:sz="0" w:space="0" w:color="auto"/>
        <w:left w:val="none" w:sz="0" w:space="0" w:color="auto"/>
        <w:bottom w:val="none" w:sz="0" w:space="0" w:color="auto"/>
        <w:right w:val="none" w:sz="0" w:space="0" w:color="auto"/>
      </w:divBdr>
    </w:div>
    <w:div w:id="986739397">
      <w:bodyDiv w:val="1"/>
      <w:marLeft w:val="0"/>
      <w:marRight w:val="0"/>
      <w:marTop w:val="0"/>
      <w:marBottom w:val="0"/>
      <w:divBdr>
        <w:top w:val="none" w:sz="0" w:space="0" w:color="auto"/>
        <w:left w:val="none" w:sz="0" w:space="0" w:color="auto"/>
        <w:bottom w:val="none" w:sz="0" w:space="0" w:color="auto"/>
        <w:right w:val="none" w:sz="0" w:space="0" w:color="auto"/>
      </w:divBdr>
    </w:div>
    <w:div w:id="2130388496">
      <w:bodyDiv w:val="1"/>
      <w:marLeft w:val="0"/>
      <w:marRight w:val="0"/>
      <w:marTop w:val="0"/>
      <w:marBottom w:val="0"/>
      <w:divBdr>
        <w:top w:val="none" w:sz="0" w:space="0" w:color="auto"/>
        <w:left w:val="none" w:sz="0" w:space="0" w:color="auto"/>
        <w:bottom w:val="none" w:sz="0" w:space="0" w:color="auto"/>
        <w:right w:val="none" w:sz="0" w:space="0" w:color="auto"/>
      </w:divBdr>
    </w:div>
  </w:divs>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pierpamainenti@hotmail.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116997</Words>
  <Characters>666885</Characters>
  <Application>Microsoft Office Word</Application>
  <DocSecurity>0</DocSecurity>
  <Lines>5557</Lines>
  <Paragraphs>1564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782318</CharactersWithSpaces>
  <SharedDoc>false</SharedDoc>
  <HLinks>
    <vt:vector size="12" baseType="variant">
      <vt:variant>
        <vt:i4>7864394</vt:i4>
      </vt:variant>
      <vt:variant>
        <vt:i4>3</vt:i4>
      </vt:variant>
      <vt:variant>
        <vt:i4>0</vt:i4>
      </vt:variant>
      <vt:variant>
        <vt:i4>5</vt:i4>
      </vt:variant>
      <vt:variant>
        <vt:lpwstr>mailto:pierpamainenti@hotmail.com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Guarino Salvatore</dc:creator>
  <cp:lastModifiedBy>Administrator</cp:lastModifiedBy>
  <cp:revision>2</cp:revision>
  <cp:lastPrinted>2019-03-17T11:19:00Z</cp:lastPrinted>
  <dcterms:created xsi:type="dcterms:W3CDTF">2019-09-20T08:33:00Z</dcterms:created>
  <dcterms:modified xsi:type="dcterms:W3CDTF">2019-09-20T08:33:00Z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http://csl.mendeley.com/styles/493665931/world-journal-of-gastroenterology-5</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http://www.zotero.org/styles/harvard-cite-them-right</vt:lpwstr>
  </property>
  <property fmtid="{D5CDD505-2E9C-101B-9397-08002B2CF9AE}" pid="6" name="Mendeley Recent Style Id 2_1">
    <vt:lpwstr>http://www.zotero.org/styles/clinical-genitourinary-cancer</vt:lpwstr>
  </property>
  <property fmtid="{D5CDD505-2E9C-101B-9397-08002B2CF9AE}" pid="7" name="Mendeley Recent Style Id 3_1">
    <vt:lpwstr>http://www.zotero.org/styles/european-journal-of-radiology</vt:lpwstr>
  </property>
  <property fmtid="{D5CDD505-2E9C-101B-9397-08002B2CF9AE}" pid="8" name="Mendeley Recent Style Id 4_1">
    <vt:lpwstr>http://www.zotero.org/styles/ieee</vt:lpwstr>
  </property>
  <property fmtid="{D5CDD505-2E9C-101B-9397-08002B2CF9AE}" pid="9" name="Mendeley Recent Style Id 5_1">
    <vt:lpwstr>http://www.zotero.org/styles/journal-of-magnetic-resonance-imaging</vt:lpwstr>
  </property>
  <property fmtid="{D5CDD505-2E9C-101B-9397-08002B2CF9AE}" pid="10" name="Mendeley Recent Style Id 6_1">
    <vt:lpwstr>http://www.zotero.org/styles/nature</vt:lpwstr>
  </property>
  <property fmtid="{D5CDD505-2E9C-101B-9397-08002B2CF9AE}" pid="11" name="Mendeley Recent Style Id 7_1">
    <vt:lpwstr>http://www.zotero.org/styles/technische-universitat-dresden-finanzwirtschaft-und-finanzdienstleistungen-author-date-with-short-titles</vt:lpwstr>
  </property>
  <property fmtid="{D5CDD505-2E9C-101B-9397-08002B2CF9AE}" pid="12" name="Mendeley Recent Style Id 8_1">
    <vt:lpwstr>http://www.zotero.org/styles/world-journal-of-gastroenterology</vt:lpwstr>
  </property>
  <property fmtid="{D5CDD505-2E9C-101B-9397-08002B2CF9AE}" pid="13" name="Mendeley Recent Style Id 9_1">
    <vt:lpwstr>http://csl.mendeley.com/styles/493665931/world-journal-of-gastroenterology-5</vt:lpwstr>
  </property>
  <property fmtid="{D5CDD505-2E9C-101B-9397-08002B2CF9AE}" pid="14" name="Mendeley Recent Style Name 0_1">
    <vt:lpwstr>American Political Science Association</vt:lpwstr>
  </property>
  <property fmtid="{D5CDD505-2E9C-101B-9397-08002B2CF9AE}" pid="15" name="Mendeley Recent Style Name 1_1">
    <vt:lpwstr>Cite Them Right 10th edition - Harvard</vt:lpwstr>
  </property>
  <property fmtid="{D5CDD505-2E9C-101B-9397-08002B2CF9AE}" pid="16" name="Mendeley Recent Style Name 2_1">
    <vt:lpwstr>Clinical Genitourinary Cancer</vt:lpwstr>
  </property>
  <property fmtid="{D5CDD505-2E9C-101B-9397-08002B2CF9AE}" pid="17" name="Mendeley Recent Style Name 3_1">
    <vt:lpwstr>European Journal of Radiology</vt:lpwstr>
  </property>
  <property fmtid="{D5CDD505-2E9C-101B-9397-08002B2CF9AE}" pid="18" name="Mendeley Recent Style Name 4_1">
    <vt:lpwstr>IEEE</vt:lpwstr>
  </property>
  <property fmtid="{D5CDD505-2E9C-101B-9397-08002B2CF9AE}" pid="19" name="Mendeley Recent Style Name 5_1">
    <vt:lpwstr>Journal Of Magnetic Resonance Imaging</vt:lpwstr>
  </property>
  <property fmtid="{D5CDD505-2E9C-101B-9397-08002B2CF9AE}" pid="20" name="Mendeley Recent Style Name 6_1">
    <vt:lpwstr>Nature</vt:lpwstr>
  </property>
  <property fmtid="{D5CDD505-2E9C-101B-9397-08002B2CF9AE}" pid="21" name="Mendeley Recent Style Name 7_1">
    <vt:lpwstr>Technische Universität Dresden - Finanzwirtschaft und Finanzdienstleistungen (author-date, with short titles)</vt:lpwstr>
  </property>
  <property fmtid="{D5CDD505-2E9C-101B-9397-08002B2CF9AE}" pid="22" name="Mendeley Recent Style Name 8_1">
    <vt:lpwstr>World Journal of Gastroenterology</vt:lpwstr>
  </property>
  <property fmtid="{D5CDD505-2E9C-101B-9397-08002B2CF9AE}" pid="23" name="Mendeley Recent Style Name 9_1">
    <vt:lpwstr>World Journal of Gastroenterology - Arnaldo Stanzione</vt:lpwstr>
  </property>
  <property fmtid="{D5CDD505-2E9C-101B-9397-08002B2CF9AE}" pid="24" name="Mendeley Unique User Id_1">
    <vt:lpwstr>9c52eee2-91c3-33e6-8766-b511fe20a0bb</vt:lpwstr>
  </property>
  <property fmtid="{D5CDD505-2E9C-101B-9397-08002B2CF9AE}" pid="25" name="UseTimer">
    <vt:bool>true</vt:bool>
  </property>
  <property fmtid="{D5CDD505-2E9C-101B-9397-08002B2CF9AE}" pid="26" name="LastTick">
    <vt:r8>43677.7396759259</vt:r8>
  </property>
  <property fmtid="{D5CDD505-2E9C-101B-9397-08002B2CF9AE}" pid="27" name="EditTimer">
    <vt:i4>14915</vt:i4>
  </property>
</Properties>
</file>