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1D1" w:rsidRDefault="00C450F3">
      <w:pPr>
        <w:adjustRightInd w:val="0"/>
        <w:snapToGrid w:val="0"/>
        <w:spacing w:line="360" w:lineRule="auto"/>
        <w:jc w:val="both"/>
        <w:rPr>
          <w:rFonts w:ascii="Book Antiqua" w:eastAsia="Times New Roman" w:hAnsi="Book Antiqua" w:cs="宋体"/>
          <w:i/>
        </w:rPr>
      </w:pPr>
      <w:r>
        <w:rPr>
          <w:rFonts w:ascii="Book Antiqua" w:eastAsia="Times New Roman" w:hAnsi="Book Antiqua" w:cs="宋体"/>
          <w:b/>
        </w:rPr>
        <w:t xml:space="preserve">Name of Journal: </w:t>
      </w:r>
      <w:bookmarkStart w:id="0" w:name="OLE_LINK645"/>
      <w:bookmarkStart w:id="1" w:name="OLE_LINK719"/>
      <w:bookmarkStart w:id="2" w:name="OLE_LINK335"/>
      <w:bookmarkStart w:id="3" w:name="OLE_LINK1068"/>
      <w:bookmarkStart w:id="4" w:name="OLE_LINK718"/>
      <w:bookmarkStart w:id="5" w:name="OLE_LINK661"/>
      <w:bookmarkStart w:id="6" w:name="OLE_LINK696"/>
      <w:r>
        <w:rPr>
          <w:rFonts w:ascii="Book Antiqua" w:eastAsia="Times New Roman" w:hAnsi="Book Antiqua" w:cs="宋体"/>
          <w:i/>
        </w:rPr>
        <w:t xml:space="preserve">World Journal of </w:t>
      </w:r>
      <w:bookmarkEnd w:id="0"/>
      <w:bookmarkEnd w:id="1"/>
      <w:bookmarkEnd w:id="2"/>
      <w:bookmarkEnd w:id="3"/>
      <w:bookmarkEnd w:id="4"/>
      <w:bookmarkEnd w:id="5"/>
      <w:bookmarkEnd w:id="6"/>
      <w:r>
        <w:rPr>
          <w:rFonts w:ascii="Book Antiqua" w:eastAsia="Times New Roman" w:hAnsi="Book Antiqua" w:cs="宋体"/>
          <w:i/>
        </w:rPr>
        <w:t>S</w:t>
      </w:r>
      <w:r>
        <w:rPr>
          <w:rFonts w:ascii="Book Antiqua" w:eastAsiaTheme="minorEastAsia" w:hAnsi="Book Antiqua" w:cs="宋体"/>
          <w:i/>
        </w:rPr>
        <w:t>tem Cells</w:t>
      </w:r>
    </w:p>
    <w:p w:rsidR="00FE31D1" w:rsidRDefault="00C450F3">
      <w:pPr>
        <w:adjustRightInd w:val="0"/>
        <w:snapToGrid w:val="0"/>
        <w:spacing w:line="360" w:lineRule="auto"/>
        <w:jc w:val="both"/>
        <w:rPr>
          <w:rFonts w:ascii="Book Antiqua" w:hAnsi="Book Antiqua" w:cs="Arial"/>
          <w:lang w:val="en"/>
        </w:rPr>
      </w:pPr>
      <w:r>
        <w:rPr>
          <w:rFonts w:ascii="Book Antiqua" w:eastAsia="Times New Roman" w:hAnsi="Book Antiqua"/>
          <w:b/>
          <w:bCs/>
        </w:rPr>
        <w:t>Manuscript NO</w:t>
      </w:r>
      <w:r>
        <w:rPr>
          <w:rFonts w:ascii="Book Antiqua" w:hAnsi="Book Antiqua" w:cs="Arial"/>
          <w:b/>
          <w:lang w:val="en"/>
        </w:rPr>
        <w:t xml:space="preserve">: </w:t>
      </w:r>
      <w:r>
        <w:rPr>
          <w:rFonts w:ascii="Book Antiqua" w:hAnsi="Book Antiqua" w:cs="Arial"/>
          <w:lang w:val="en"/>
        </w:rPr>
        <w:t>49806</w:t>
      </w:r>
    </w:p>
    <w:p w:rsidR="00FE31D1" w:rsidRDefault="00C450F3">
      <w:pPr>
        <w:adjustRightInd w:val="0"/>
        <w:snapToGrid w:val="0"/>
        <w:spacing w:line="360" w:lineRule="auto"/>
        <w:jc w:val="both"/>
        <w:rPr>
          <w:rFonts w:ascii="Book Antiqua" w:hAnsi="Book Antiqua"/>
          <w:color w:val="000000" w:themeColor="text1"/>
        </w:rPr>
      </w:pPr>
      <w:bookmarkStart w:id="7" w:name="OLE_LINK4"/>
      <w:bookmarkStart w:id="8" w:name="OLE_LINK3"/>
      <w:r>
        <w:rPr>
          <w:rFonts w:ascii="Book Antiqua" w:hAnsi="Book Antiqua"/>
          <w:b/>
          <w:shd w:val="clear" w:color="auto" w:fill="FFFFFF"/>
        </w:rPr>
        <w:t>Manuscript Type</w:t>
      </w:r>
      <w:r>
        <w:rPr>
          <w:rFonts w:ascii="Book Antiqua" w:hAnsi="Book Antiqua"/>
          <w:b/>
        </w:rPr>
        <w:t xml:space="preserve">: </w:t>
      </w:r>
      <w:bookmarkEnd w:id="7"/>
      <w:bookmarkEnd w:id="8"/>
      <w:r>
        <w:rPr>
          <w:rFonts w:ascii="Book Antiqua" w:hAnsi="Book Antiqua"/>
          <w:color w:val="000000" w:themeColor="text1"/>
        </w:rPr>
        <w:t>ORIGINAL ARTICLE</w:t>
      </w:r>
    </w:p>
    <w:p w:rsidR="00FE31D1" w:rsidRDefault="00FE31D1">
      <w:pPr>
        <w:adjustRightInd w:val="0"/>
        <w:snapToGrid w:val="0"/>
        <w:spacing w:line="360" w:lineRule="auto"/>
        <w:jc w:val="both"/>
        <w:rPr>
          <w:rFonts w:ascii="Book Antiqua" w:hAnsi="Book Antiqua"/>
          <w:i/>
        </w:rPr>
      </w:pPr>
    </w:p>
    <w:p w:rsidR="00FE31D1" w:rsidRDefault="00C450F3">
      <w:pPr>
        <w:snapToGrid w:val="0"/>
        <w:spacing w:line="360" w:lineRule="auto"/>
        <w:jc w:val="both"/>
        <w:rPr>
          <w:rFonts w:ascii="Book Antiqua" w:hAnsi="Book Antiqua"/>
          <w:b/>
          <w:bCs/>
          <w:i/>
          <w:iCs/>
          <w:color w:val="000000" w:themeColor="text1"/>
        </w:rPr>
      </w:pPr>
      <w:r>
        <w:rPr>
          <w:rFonts w:ascii="Book Antiqua" w:hAnsi="Book Antiqua"/>
          <w:b/>
          <w:bCs/>
          <w:i/>
          <w:iCs/>
          <w:color w:val="000000" w:themeColor="text1"/>
        </w:rPr>
        <w:t>Basic Study</w:t>
      </w:r>
    </w:p>
    <w:p w:rsidR="00FE31D1" w:rsidRDefault="00C450F3">
      <w:pPr>
        <w:autoSpaceDE w:val="0"/>
        <w:autoSpaceDN w:val="0"/>
        <w:spacing w:line="360" w:lineRule="auto"/>
        <w:jc w:val="both"/>
        <w:rPr>
          <w:rFonts w:ascii="Book Antiqua" w:eastAsiaTheme="majorEastAsia" w:hAnsi="Book Antiqua"/>
          <w:b/>
        </w:rPr>
      </w:pPr>
      <w:bookmarkStart w:id="9" w:name="OLE_LINK1"/>
      <w:r>
        <w:rPr>
          <w:rFonts w:ascii="Book Antiqua" w:eastAsiaTheme="majorEastAsia" w:hAnsi="Book Antiqua"/>
          <w:b/>
        </w:rPr>
        <w:t xml:space="preserve">HIF-2α regulates CD44 to promote cancer stem cell activation in triple-negative breast cancer </w:t>
      </w:r>
      <w:r>
        <w:rPr>
          <w:rFonts w:ascii="Book Antiqua" w:eastAsiaTheme="majorEastAsia" w:hAnsi="Book Antiqua"/>
          <w:b/>
          <w:i/>
          <w:iCs/>
        </w:rPr>
        <w:t>via</w:t>
      </w:r>
      <w:r>
        <w:rPr>
          <w:rFonts w:ascii="Book Antiqua" w:eastAsiaTheme="majorEastAsia" w:hAnsi="Book Antiqua"/>
          <w:b/>
        </w:rPr>
        <w:t xml:space="preserve"> PI3K/AKT/mTOR signaling</w:t>
      </w:r>
    </w:p>
    <w:bookmarkEnd w:id="9"/>
    <w:p w:rsidR="00FE31D1" w:rsidRDefault="00FE31D1">
      <w:pPr>
        <w:spacing w:line="360" w:lineRule="auto"/>
        <w:jc w:val="both"/>
        <w:rPr>
          <w:rFonts w:ascii="Book Antiqua" w:eastAsia="Songti SC" w:hAnsi="Book Antiqua"/>
          <w:b/>
        </w:rPr>
      </w:pPr>
    </w:p>
    <w:p w:rsidR="00FE31D1" w:rsidRDefault="00C450F3">
      <w:pPr>
        <w:spacing w:line="360" w:lineRule="auto"/>
        <w:jc w:val="both"/>
        <w:rPr>
          <w:rFonts w:ascii="Book Antiqua" w:eastAsiaTheme="minorEastAsia" w:hAnsi="Book Antiqua"/>
        </w:rPr>
      </w:pPr>
      <w:r>
        <w:rPr>
          <w:rFonts w:ascii="Book Antiqua" w:eastAsia="宋体" w:hAnsi="Book Antiqua"/>
          <w:bCs/>
        </w:rPr>
        <w:t xml:space="preserve">Bai J </w:t>
      </w:r>
      <w:r>
        <w:rPr>
          <w:rFonts w:ascii="Book Antiqua" w:eastAsia="宋体" w:hAnsi="Book Antiqua"/>
          <w:bCs/>
          <w:i/>
          <w:iCs/>
        </w:rPr>
        <w:t>et al</w:t>
      </w:r>
      <w:r>
        <w:rPr>
          <w:rFonts w:ascii="Book Antiqua" w:eastAsia="宋体" w:hAnsi="Book Antiqua"/>
          <w:bCs/>
        </w:rPr>
        <w:t>.</w:t>
      </w:r>
      <w:r>
        <w:rPr>
          <w:rFonts w:ascii="Book Antiqua" w:eastAsia="Songti SC" w:hAnsi="Book Antiqua"/>
        </w:rPr>
        <w:t xml:space="preserve"> </w:t>
      </w:r>
      <w:bookmarkStart w:id="10" w:name="OLE_LINK5"/>
      <w:bookmarkStart w:id="11" w:name="OLE_LINK2"/>
      <w:r>
        <w:rPr>
          <w:rFonts w:ascii="Book Antiqua" w:eastAsia="Songti SC" w:hAnsi="Book Antiqua"/>
        </w:rPr>
        <w:t xml:space="preserve">Expression of </w:t>
      </w:r>
      <w:r>
        <w:rPr>
          <w:rFonts w:ascii="Book Antiqua" w:eastAsiaTheme="minorEastAsia" w:hAnsi="Book Antiqua"/>
        </w:rPr>
        <w:t>HIF-2α</w:t>
      </w:r>
      <w:r>
        <w:rPr>
          <w:rFonts w:ascii="Book Antiqua" w:eastAsia="Songti SC" w:hAnsi="Book Antiqua"/>
        </w:rPr>
        <w:t xml:space="preserve"> and CD44 in </w:t>
      </w:r>
      <w:r>
        <w:rPr>
          <w:rFonts w:ascii="Book Antiqua" w:eastAsiaTheme="minorEastAsia" w:hAnsi="Book Antiqua"/>
        </w:rPr>
        <w:t>TNBC</w:t>
      </w:r>
      <w:bookmarkEnd w:id="10"/>
      <w:bookmarkEnd w:id="11"/>
    </w:p>
    <w:p w:rsidR="00FE31D1" w:rsidRDefault="00FE31D1">
      <w:pPr>
        <w:autoSpaceDE w:val="0"/>
        <w:autoSpaceDN w:val="0"/>
        <w:spacing w:line="360" w:lineRule="auto"/>
        <w:jc w:val="both"/>
        <w:rPr>
          <w:rFonts w:ascii="Book Antiqua" w:eastAsia="宋体" w:hAnsi="Book Antiqua"/>
          <w:bCs/>
        </w:rPr>
      </w:pPr>
    </w:p>
    <w:p w:rsidR="00FE31D1" w:rsidRDefault="00C450F3">
      <w:pPr>
        <w:autoSpaceDE w:val="0"/>
        <w:autoSpaceDN w:val="0"/>
        <w:spacing w:line="360" w:lineRule="auto"/>
        <w:jc w:val="both"/>
        <w:rPr>
          <w:rFonts w:ascii="Book Antiqua" w:eastAsia="宋体" w:hAnsi="Book Antiqua"/>
          <w:bCs/>
        </w:rPr>
      </w:pPr>
      <w:r>
        <w:rPr>
          <w:rFonts w:ascii="Book Antiqua" w:eastAsia="宋体" w:hAnsi="Book Antiqua"/>
          <w:bCs/>
        </w:rPr>
        <w:t>Jie Bai, Wei-</w:t>
      </w:r>
      <w:r>
        <w:rPr>
          <w:rFonts w:ascii="Book Antiqua" w:eastAsia="宋体" w:hAnsi="Book Antiqua"/>
          <w:bCs/>
          <w:caps/>
        </w:rPr>
        <w:t>b</w:t>
      </w:r>
      <w:r>
        <w:rPr>
          <w:rFonts w:ascii="Book Antiqua" w:eastAsia="宋体" w:hAnsi="Book Antiqua"/>
          <w:bCs/>
        </w:rPr>
        <w:t>in Chen, Xiao-</w:t>
      </w:r>
      <w:r>
        <w:rPr>
          <w:rFonts w:ascii="Book Antiqua" w:eastAsia="宋体" w:hAnsi="Book Antiqua"/>
          <w:bCs/>
          <w:caps/>
        </w:rPr>
        <w:t>y</w:t>
      </w:r>
      <w:r>
        <w:rPr>
          <w:rFonts w:ascii="Book Antiqua" w:eastAsia="宋体" w:hAnsi="Book Antiqua"/>
          <w:bCs/>
        </w:rPr>
        <w:t>u Zhang, Xiao-Ning Kang, Li-Jun Jin, Hui Zhang, Zun-Yi Wang</w:t>
      </w:r>
    </w:p>
    <w:p w:rsidR="00FE31D1" w:rsidRDefault="00FE31D1">
      <w:pPr>
        <w:autoSpaceDE w:val="0"/>
        <w:autoSpaceDN w:val="0"/>
        <w:spacing w:line="360" w:lineRule="auto"/>
        <w:jc w:val="both"/>
        <w:rPr>
          <w:rFonts w:ascii="Book Antiqua" w:eastAsia="宋体" w:hAnsi="Book Antiqua"/>
          <w:bCs/>
        </w:rPr>
      </w:pPr>
    </w:p>
    <w:p w:rsidR="00FE31D1" w:rsidRDefault="00C450F3">
      <w:pPr>
        <w:autoSpaceDE w:val="0"/>
        <w:autoSpaceDN w:val="0"/>
        <w:spacing w:line="360" w:lineRule="auto"/>
        <w:jc w:val="both"/>
        <w:rPr>
          <w:rFonts w:ascii="Book Antiqua" w:eastAsia="Verdana" w:hAnsi="Book Antiqua"/>
          <w:shd w:val="clear" w:color="auto" w:fill="FFFFFF"/>
        </w:rPr>
      </w:pPr>
      <w:r>
        <w:rPr>
          <w:rFonts w:ascii="Book Antiqua" w:eastAsia="宋体" w:hAnsi="Book Antiqua"/>
          <w:b/>
        </w:rPr>
        <w:t>Jie Bai, Xiao-</w:t>
      </w:r>
      <w:r>
        <w:rPr>
          <w:rFonts w:ascii="Book Antiqua" w:eastAsia="宋体" w:hAnsi="Book Antiqua"/>
          <w:b/>
          <w:caps/>
        </w:rPr>
        <w:t>y</w:t>
      </w:r>
      <w:r>
        <w:rPr>
          <w:rFonts w:ascii="Book Antiqua" w:eastAsia="宋体" w:hAnsi="Book Antiqua"/>
          <w:b/>
        </w:rPr>
        <w:t xml:space="preserve">u Zhang, Li-Jun Jin, Zun-Yi Wang, </w:t>
      </w:r>
      <w:r>
        <w:rPr>
          <w:rFonts w:ascii="Book Antiqua" w:eastAsia="宋体" w:hAnsi="Book Antiqua"/>
          <w:shd w:val="clear" w:color="auto" w:fill="FFFFFF"/>
        </w:rPr>
        <w:t xml:space="preserve">Thyroid and Breast Deptartment </w:t>
      </w:r>
      <w:r>
        <w:rPr>
          <w:rFonts w:ascii="宋体" w:eastAsia="宋体" w:hAnsi="宋体" w:cs="宋体" w:hint="eastAsia"/>
          <w:shd w:val="clear" w:color="auto" w:fill="FFFFFF"/>
        </w:rPr>
        <w:t>Ⅲ</w:t>
      </w:r>
      <w:r>
        <w:rPr>
          <w:rFonts w:ascii="Book Antiqua" w:eastAsia="Verdana" w:hAnsi="Book Antiqua"/>
          <w:shd w:val="clear" w:color="auto" w:fill="FFFFFF"/>
        </w:rPr>
        <w:t>, Cangzhou Central Hospital, Cangzhou 061001, Hebei Province, China</w:t>
      </w:r>
    </w:p>
    <w:p w:rsidR="00FE31D1" w:rsidRDefault="00FE31D1">
      <w:pPr>
        <w:spacing w:line="360" w:lineRule="auto"/>
        <w:jc w:val="both"/>
        <w:rPr>
          <w:rFonts w:ascii="Book Antiqua" w:eastAsia="Verdana" w:hAnsi="Book Antiqua"/>
          <w:b/>
          <w:bCs/>
          <w:shd w:val="clear" w:color="auto" w:fill="FFFFFF"/>
        </w:rPr>
      </w:pPr>
    </w:p>
    <w:p w:rsidR="00FE31D1" w:rsidRDefault="00C450F3">
      <w:pPr>
        <w:spacing w:line="360" w:lineRule="auto"/>
        <w:jc w:val="both"/>
        <w:rPr>
          <w:rFonts w:ascii="Book Antiqua" w:eastAsia="Verdana" w:hAnsi="Book Antiqua"/>
          <w:shd w:val="clear" w:color="auto" w:fill="FFFFFF"/>
        </w:rPr>
      </w:pPr>
      <w:r>
        <w:rPr>
          <w:rFonts w:ascii="Book Antiqua" w:eastAsia="宋体" w:hAnsi="Book Antiqua"/>
          <w:b/>
        </w:rPr>
        <w:t>Wei-</w:t>
      </w:r>
      <w:r>
        <w:rPr>
          <w:rFonts w:ascii="Book Antiqua" w:eastAsia="宋体" w:hAnsi="Book Antiqua"/>
          <w:b/>
          <w:caps/>
        </w:rPr>
        <w:t>b</w:t>
      </w:r>
      <w:r>
        <w:rPr>
          <w:rFonts w:ascii="Book Antiqua" w:eastAsia="宋体" w:hAnsi="Book Antiqua"/>
          <w:b/>
        </w:rPr>
        <w:t>in Chen,</w:t>
      </w:r>
      <w:r>
        <w:rPr>
          <w:rFonts w:ascii="Book Antiqua" w:eastAsia="Verdana" w:hAnsi="Book Antiqua"/>
          <w:b/>
          <w:bCs/>
          <w:shd w:val="clear" w:color="auto" w:fill="FFFFFF"/>
        </w:rPr>
        <w:t xml:space="preserve"> </w:t>
      </w:r>
      <w:r>
        <w:rPr>
          <w:rFonts w:ascii="Book Antiqua" w:eastAsia="Verdana" w:hAnsi="Book Antiqua"/>
          <w:shd w:val="clear" w:color="auto" w:fill="FFFFFF"/>
        </w:rPr>
        <w:t xml:space="preserve">Department of Radiology, North China University of Science and Technology </w:t>
      </w:r>
      <w:r>
        <w:rPr>
          <w:rFonts w:ascii="Book Antiqua" w:eastAsia="宋体" w:hAnsi="Book Antiqua"/>
          <w:shd w:val="clear" w:color="auto" w:fill="FFFFFF"/>
        </w:rPr>
        <w:t xml:space="preserve">Affiliated </w:t>
      </w:r>
      <w:r>
        <w:rPr>
          <w:rFonts w:ascii="Book Antiqua" w:eastAsia="Verdana" w:hAnsi="Book Antiqua"/>
          <w:shd w:val="clear" w:color="auto" w:fill="FFFFFF"/>
        </w:rPr>
        <w:t>Hospital, Tangshan 063000, Hebei Province, China</w:t>
      </w:r>
    </w:p>
    <w:p w:rsidR="00FE31D1" w:rsidRDefault="00FE31D1">
      <w:pPr>
        <w:autoSpaceDE w:val="0"/>
        <w:autoSpaceDN w:val="0"/>
        <w:spacing w:line="360" w:lineRule="auto"/>
        <w:jc w:val="both"/>
        <w:rPr>
          <w:rFonts w:ascii="Book Antiqua" w:eastAsia="宋体" w:hAnsi="Book Antiqua"/>
          <w:b/>
        </w:rPr>
      </w:pPr>
    </w:p>
    <w:p w:rsidR="00FE31D1" w:rsidRDefault="00C450F3">
      <w:pPr>
        <w:autoSpaceDE w:val="0"/>
        <w:autoSpaceDN w:val="0"/>
        <w:spacing w:line="360" w:lineRule="auto"/>
        <w:jc w:val="both"/>
        <w:rPr>
          <w:rFonts w:ascii="Book Antiqua" w:hAnsi="Book Antiqua"/>
        </w:rPr>
      </w:pPr>
      <w:r>
        <w:rPr>
          <w:rFonts w:ascii="Book Antiqua" w:eastAsia="宋体" w:hAnsi="Book Antiqua"/>
          <w:b/>
        </w:rPr>
        <w:t xml:space="preserve">Xiao-Ning Kang, </w:t>
      </w:r>
      <w:r>
        <w:rPr>
          <w:rFonts w:ascii="Book Antiqua" w:eastAsia="Verdana" w:hAnsi="Book Antiqua"/>
          <w:shd w:val="clear" w:color="auto" w:fill="FFFFFF"/>
        </w:rPr>
        <w:t xml:space="preserve">Department of </w:t>
      </w:r>
      <w:r>
        <w:rPr>
          <w:rFonts w:ascii="Book Antiqua" w:eastAsia="宋体" w:hAnsi="Book Antiqua"/>
          <w:shd w:val="clear" w:color="auto" w:fill="FFFFFF"/>
        </w:rPr>
        <w:t>Second Ultrasound</w:t>
      </w:r>
      <w:r>
        <w:rPr>
          <w:rFonts w:ascii="Book Antiqua" w:eastAsia="Verdana" w:hAnsi="Book Antiqua"/>
          <w:shd w:val="clear" w:color="auto" w:fill="FFFFFF"/>
        </w:rPr>
        <w:t>, Cangzhou Central Hospital, Cangzhou 061001, Hebei Province, China</w:t>
      </w:r>
    </w:p>
    <w:p w:rsidR="00FE31D1" w:rsidRDefault="00FE31D1">
      <w:pPr>
        <w:spacing w:line="360" w:lineRule="auto"/>
        <w:jc w:val="both"/>
        <w:rPr>
          <w:rFonts w:ascii="Book Antiqua" w:hAnsi="Book Antiqua"/>
          <w:b/>
          <w:bCs/>
          <w:shd w:val="clear" w:color="auto" w:fill="FFFFFF"/>
        </w:rPr>
      </w:pPr>
      <w:bookmarkStart w:id="12" w:name="_Hlk11162777"/>
      <w:bookmarkStart w:id="13" w:name="_Hlk15549508"/>
    </w:p>
    <w:p w:rsidR="00FE31D1" w:rsidRDefault="00C450F3">
      <w:pPr>
        <w:spacing w:line="360" w:lineRule="auto"/>
        <w:jc w:val="both"/>
        <w:rPr>
          <w:rFonts w:ascii="Book Antiqua" w:hAnsi="Book Antiqua"/>
          <w:b/>
          <w:lang w:val="en-GB"/>
        </w:rPr>
      </w:pPr>
      <w:r>
        <w:rPr>
          <w:rFonts w:ascii="Book Antiqua" w:hAnsi="Book Antiqua"/>
          <w:b/>
          <w:bCs/>
          <w:shd w:val="clear" w:color="auto" w:fill="FFFFFF"/>
        </w:rPr>
        <w:t>ORCID number</w:t>
      </w:r>
      <w:r>
        <w:rPr>
          <w:rFonts w:ascii="Book Antiqua" w:hAnsi="Book Antiqua"/>
          <w:b/>
          <w:lang w:val="en-GB"/>
        </w:rPr>
        <w:t>:</w:t>
      </w:r>
      <w:bookmarkEnd w:id="12"/>
      <w:bookmarkEnd w:id="13"/>
      <w:r>
        <w:rPr>
          <w:rFonts w:ascii="Book Antiqua" w:hAnsi="Book Antiqua"/>
          <w:b/>
          <w:lang w:val="en-GB"/>
        </w:rPr>
        <w:t xml:space="preserve"> </w:t>
      </w:r>
      <w:r>
        <w:rPr>
          <w:rFonts w:ascii="Book Antiqua" w:eastAsia="宋体" w:hAnsi="Book Antiqua"/>
          <w:bCs/>
        </w:rPr>
        <w:t>Jie Bai</w:t>
      </w:r>
      <w:r>
        <w:rPr>
          <w:rFonts w:ascii="Book Antiqua" w:hAnsi="Book Antiqua"/>
        </w:rPr>
        <w:t xml:space="preserve"> (0000-0002-9825-5030); </w:t>
      </w:r>
      <w:r>
        <w:rPr>
          <w:rFonts w:ascii="Book Antiqua" w:eastAsia="宋体" w:hAnsi="Book Antiqua"/>
          <w:bCs/>
        </w:rPr>
        <w:t>Wei-</w:t>
      </w:r>
      <w:r>
        <w:rPr>
          <w:rFonts w:ascii="Book Antiqua" w:eastAsia="宋体" w:hAnsi="Book Antiqua"/>
          <w:bCs/>
          <w:caps/>
        </w:rPr>
        <w:t>b</w:t>
      </w:r>
      <w:r>
        <w:rPr>
          <w:rFonts w:ascii="Book Antiqua" w:eastAsia="宋体" w:hAnsi="Book Antiqua"/>
          <w:bCs/>
        </w:rPr>
        <w:t>in Chen</w:t>
      </w:r>
      <w:r>
        <w:rPr>
          <w:rFonts w:ascii="Book Antiqua" w:hAnsi="Book Antiqua"/>
        </w:rPr>
        <w:t xml:space="preserve"> (0000-0001-5858-2435)</w:t>
      </w:r>
      <w:r>
        <w:rPr>
          <w:rFonts w:ascii="Book Antiqua" w:hAnsi="Book Antiqua"/>
          <w:b/>
          <w:lang w:val="en-GB"/>
        </w:rPr>
        <w:t xml:space="preserve">; </w:t>
      </w:r>
      <w:r>
        <w:rPr>
          <w:rFonts w:ascii="Book Antiqua" w:eastAsia="宋体" w:hAnsi="Book Antiqua"/>
          <w:bCs/>
        </w:rPr>
        <w:t>Xiao-</w:t>
      </w:r>
      <w:r>
        <w:rPr>
          <w:rFonts w:ascii="Book Antiqua" w:eastAsia="宋体" w:hAnsi="Book Antiqua"/>
          <w:bCs/>
          <w:caps/>
        </w:rPr>
        <w:t>y</w:t>
      </w:r>
      <w:r>
        <w:rPr>
          <w:rFonts w:ascii="Book Antiqua" w:eastAsia="宋体" w:hAnsi="Book Antiqua"/>
          <w:bCs/>
        </w:rPr>
        <w:t>u Zhang</w:t>
      </w:r>
      <w:r>
        <w:rPr>
          <w:rFonts w:ascii="Book Antiqua" w:hAnsi="Book Antiqua"/>
        </w:rPr>
        <w:t xml:space="preserve"> (0000-0002-6363-0435);</w:t>
      </w:r>
      <w:r>
        <w:rPr>
          <w:rFonts w:ascii="Book Antiqua" w:hAnsi="Book Antiqua"/>
          <w:b/>
          <w:lang w:val="en-GB"/>
        </w:rPr>
        <w:t xml:space="preserve"> </w:t>
      </w:r>
      <w:r>
        <w:rPr>
          <w:rFonts w:ascii="Book Antiqua" w:eastAsia="宋体" w:hAnsi="Book Antiqua"/>
          <w:bCs/>
        </w:rPr>
        <w:t>Xiao-Ning Kang</w:t>
      </w:r>
      <w:r>
        <w:rPr>
          <w:rFonts w:ascii="Book Antiqua" w:hAnsi="Book Antiqua"/>
        </w:rPr>
        <w:t xml:space="preserve"> (0000-0002-9480-8929);</w:t>
      </w:r>
      <w:r>
        <w:rPr>
          <w:rFonts w:ascii="Book Antiqua" w:hAnsi="Book Antiqua"/>
          <w:b/>
          <w:lang w:val="en-GB"/>
        </w:rPr>
        <w:t xml:space="preserve"> </w:t>
      </w:r>
      <w:r>
        <w:rPr>
          <w:rFonts w:ascii="Book Antiqua" w:eastAsia="宋体" w:hAnsi="Book Antiqua"/>
          <w:bCs/>
        </w:rPr>
        <w:t>Li-Jun Jin</w:t>
      </w:r>
      <w:r>
        <w:rPr>
          <w:rFonts w:ascii="Book Antiqua" w:hAnsi="Book Antiqua"/>
        </w:rPr>
        <w:t xml:space="preserve"> (0000-0002-9818-3815);</w:t>
      </w:r>
      <w:r>
        <w:rPr>
          <w:rFonts w:ascii="Book Antiqua" w:hAnsi="Book Antiqua"/>
          <w:b/>
          <w:lang w:val="en-GB"/>
        </w:rPr>
        <w:t xml:space="preserve"> </w:t>
      </w:r>
      <w:r>
        <w:rPr>
          <w:rFonts w:ascii="Book Antiqua" w:eastAsia="宋体" w:hAnsi="Book Antiqua"/>
          <w:bCs/>
        </w:rPr>
        <w:t>Hui Zhang</w:t>
      </w:r>
      <w:r>
        <w:rPr>
          <w:rFonts w:ascii="Book Antiqua" w:hAnsi="Book Antiqua"/>
        </w:rPr>
        <w:t xml:space="preserve"> (0000-0001-7352-3566);</w:t>
      </w:r>
      <w:r>
        <w:rPr>
          <w:rFonts w:ascii="Book Antiqua" w:hAnsi="Book Antiqua"/>
          <w:b/>
          <w:lang w:val="en-GB"/>
        </w:rPr>
        <w:t xml:space="preserve"> </w:t>
      </w:r>
      <w:r>
        <w:rPr>
          <w:rFonts w:ascii="Book Antiqua" w:eastAsia="宋体" w:hAnsi="Book Antiqua"/>
          <w:bCs/>
        </w:rPr>
        <w:t>Zun-Yi Wang</w:t>
      </w:r>
      <w:r>
        <w:rPr>
          <w:rFonts w:ascii="Book Antiqua" w:hAnsi="Book Antiqua"/>
        </w:rPr>
        <w:t xml:space="preserve"> (0000-0002-4318-0813).</w:t>
      </w:r>
    </w:p>
    <w:p w:rsidR="00FE31D1" w:rsidRDefault="00FE31D1">
      <w:pPr>
        <w:adjustRightInd w:val="0"/>
        <w:snapToGrid w:val="0"/>
        <w:spacing w:line="360" w:lineRule="auto"/>
        <w:jc w:val="both"/>
        <w:rPr>
          <w:rFonts w:ascii="Book Antiqua" w:hAnsi="Book Antiqua"/>
          <w:b/>
          <w:lang w:val="en-GB"/>
        </w:rPr>
      </w:pPr>
      <w:bookmarkStart w:id="14" w:name="OLE_LINK20"/>
      <w:bookmarkStart w:id="15" w:name="OLE_LINK18"/>
      <w:bookmarkStart w:id="16" w:name="_Hlk6588641"/>
    </w:p>
    <w:p w:rsidR="00FE31D1" w:rsidRDefault="00C450F3">
      <w:pPr>
        <w:adjustRightInd w:val="0"/>
        <w:snapToGrid w:val="0"/>
        <w:spacing w:line="360" w:lineRule="auto"/>
        <w:jc w:val="both"/>
        <w:rPr>
          <w:rFonts w:ascii="Book Antiqua" w:hAnsi="Book Antiqua"/>
        </w:rPr>
      </w:pPr>
      <w:r>
        <w:rPr>
          <w:rFonts w:ascii="Book Antiqua" w:hAnsi="Book Antiqua"/>
          <w:b/>
          <w:lang w:val="en-GB"/>
        </w:rPr>
        <w:t>Author contributions:</w:t>
      </w:r>
      <w:bookmarkEnd w:id="14"/>
      <w:bookmarkEnd w:id="15"/>
      <w:r>
        <w:rPr>
          <w:rFonts w:ascii="Book Antiqua" w:hAnsi="Book Antiqua"/>
        </w:rPr>
        <w:t xml:space="preserve"> </w:t>
      </w:r>
      <w:bookmarkEnd w:id="16"/>
      <w:r>
        <w:rPr>
          <w:rFonts w:ascii="Book Antiqua" w:eastAsia="宋体" w:hAnsi="Book Antiqua"/>
          <w:bCs/>
        </w:rPr>
        <w:t xml:space="preserve">Bai J </w:t>
      </w:r>
      <w:r>
        <w:rPr>
          <w:rFonts w:ascii="Book Antiqua" w:hAnsi="Book Antiqua"/>
        </w:rPr>
        <w:t xml:space="preserve">and </w:t>
      </w:r>
      <w:r>
        <w:rPr>
          <w:rFonts w:ascii="Book Antiqua" w:eastAsia="宋体" w:hAnsi="Book Antiqua"/>
          <w:bCs/>
        </w:rPr>
        <w:t>Wang ZY</w:t>
      </w:r>
      <w:r>
        <w:rPr>
          <w:rFonts w:ascii="Book Antiqua" w:hAnsi="Book Antiqua"/>
        </w:rPr>
        <w:t xml:space="preserve"> conceived and designed the study; </w:t>
      </w:r>
      <w:r>
        <w:rPr>
          <w:rFonts w:ascii="Book Antiqua" w:eastAsia="宋体" w:hAnsi="Book Antiqua"/>
          <w:bCs/>
        </w:rPr>
        <w:t>Bai J, Chen WB, and Zhang XY</w:t>
      </w:r>
      <w:r>
        <w:rPr>
          <w:rFonts w:ascii="Book Antiqua" w:hAnsi="Book Antiqua"/>
        </w:rPr>
        <w:t xml:space="preserve"> performed the experiments; </w:t>
      </w:r>
      <w:r>
        <w:rPr>
          <w:rFonts w:ascii="Book Antiqua" w:eastAsia="宋体" w:hAnsi="Book Antiqua"/>
          <w:bCs/>
        </w:rPr>
        <w:t>Zhang XY and Kang XN</w:t>
      </w:r>
      <w:r>
        <w:rPr>
          <w:rFonts w:ascii="Book Antiqua" w:hAnsi="Book Antiqua"/>
        </w:rPr>
        <w:t xml:space="preserve"> acquired the patients’ data; </w:t>
      </w:r>
      <w:r>
        <w:rPr>
          <w:rFonts w:ascii="Book Antiqua" w:eastAsia="宋体" w:hAnsi="Book Antiqua"/>
          <w:bCs/>
        </w:rPr>
        <w:t>Bai J, Kang XN, Jin LJ, and Zhang H</w:t>
      </w:r>
      <w:r>
        <w:rPr>
          <w:rFonts w:ascii="Book Antiqua" w:hAnsi="Book Antiqua"/>
        </w:rPr>
        <w:t xml:space="preserve"> </w:t>
      </w:r>
      <w:r>
        <w:rPr>
          <w:rFonts w:ascii="Book Antiqua" w:hAnsi="Book Antiqua"/>
        </w:rPr>
        <w:lastRenderedPageBreak/>
        <w:t xml:space="preserve">analyzed the data and drafted the report; </w:t>
      </w:r>
      <w:r>
        <w:rPr>
          <w:rFonts w:ascii="Book Antiqua" w:eastAsia="宋体" w:hAnsi="Book Antiqua"/>
          <w:bCs/>
        </w:rPr>
        <w:t>Wang ZY</w:t>
      </w:r>
      <w:r>
        <w:rPr>
          <w:rFonts w:ascii="Book Antiqua" w:hAnsi="Book Antiqua"/>
        </w:rPr>
        <w:t xml:space="preserve"> supervised the study; all author</w:t>
      </w:r>
      <w:r w:rsidR="005E4837">
        <w:rPr>
          <w:rFonts w:ascii="Book Antiqua" w:hAnsi="Book Antiqua"/>
        </w:rPr>
        <w:t>s reviewed and revised the manu</w:t>
      </w:r>
      <w:r>
        <w:rPr>
          <w:rFonts w:ascii="Book Antiqua" w:hAnsi="Book Antiqua"/>
        </w:rPr>
        <w:t>script critically and approved the final version to be published.</w:t>
      </w:r>
    </w:p>
    <w:p w:rsidR="00FE31D1" w:rsidRDefault="00FE31D1">
      <w:pPr>
        <w:spacing w:line="360" w:lineRule="auto"/>
        <w:jc w:val="both"/>
        <w:rPr>
          <w:rFonts w:ascii="Book Antiqua" w:hAnsi="Book Antiqua"/>
        </w:rPr>
      </w:pPr>
    </w:p>
    <w:p w:rsidR="00FE31D1" w:rsidRDefault="00C450F3">
      <w:pPr>
        <w:spacing w:line="360" w:lineRule="auto"/>
        <w:jc w:val="both"/>
        <w:rPr>
          <w:rFonts w:ascii="Book Antiqua" w:hAnsi="Book Antiqua"/>
          <w:b/>
          <w:bCs/>
        </w:rPr>
      </w:pPr>
      <w:r>
        <w:rPr>
          <w:rFonts w:ascii="Book Antiqua" w:hAnsi="Book Antiqua"/>
          <w:b/>
          <w:bCs/>
        </w:rPr>
        <w:t xml:space="preserve">Institutional review board statement: </w:t>
      </w:r>
      <w:r>
        <w:rPr>
          <w:rFonts w:ascii="Book Antiqua" w:hAnsi="Book Antiqua"/>
        </w:rPr>
        <w:t>The study was approved by the Ethics Committee of Cangzhou Central Hospital.</w:t>
      </w:r>
    </w:p>
    <w:p w:rsidR="00FE31D1" w:rsidRDefault="00FE31D1">
      <w:pPr>
        <w:spacing w:line="360" w:lineRule="auto"/>
        <w:jc w:val="both"/>
        <w:rPr>
          <w:rFonts w:ascii="Book Antiqua" w:hAnsi="Book Antiqua"/>
        </w:rPr>
      </w:pPr>
    </w:p>
    <w:p w:rsidR="00FE31D1" w:rsidRDefault="00C450F3">
      <w:pPr>
        <w:adjustRightInd w:val="0"/>
        <w:snapToGrid w:val="0"/>
        <w:spacing w:line="360" w:lineRule="auto"/>
        <w:jc w:val="both"/>
        <w:rPr>
          <w:rFonts w:ascii="Book Antiqua" w:hAnsi="Book Antiqua"/>
          <w:b/>
        </w:rPr>
      </w:pPr>
      <w:bookmarkStart w:id="17" w:name="_Hlk6585775"/>
      <w:r>
        <w:rPr>
          <w:rFonts w:ascii="Book Antiqua" w:hAnsi="Book Antiqua"/>
          <w:b/>
        </w:rPr>
        <w:t>Conflict-of-interest statement:</w:t>
      </w:r>
      <w:bookmarkEnd w:id="17"/>
      <w:r>
        <w:rPr>
          <w:rFonts w:ascii="Book Antiqua" w:hAnsi="Book Antiqua"/>
          <w:b/>
        </w:rPr>
        <w:t xml:space="preserve"> </w:t>
      </w:r>
      <w:r>
        <w:rPr>
          <w:rFonts w:ascii="Book Antiqua" w:hAnsi="Book Antiqua"/>
        </w:rPr>
        <w:t>The authors report no conflicts of interest in this work.</w:t>
      </w:r>
    </w:p>
    <w:p w:rsidR="00FE31D1" w:rsidRDefault="00FE31D1">
      <w:pPr>
        <w:spacing w:line="360" w:lineRule="auto"/>
        <w:jc w:val="both"/>
        <w:rPr>
          <w:rFonts w:ascii="Book Antiqua" w:hAnsi="Book Antiqua"/>
        </w:rPr>
      </w:pPr>
    </w:p>
    <w:p w:rsidR="00FE31D1" w:rsidRDefault="00C450F3">
      <w:pPr>
        <w:snapToGrid w:val="0"/>
        <w:spacing w:line="360" w:lineRule="auto"/>
        <w:jc w:val="both"/>
        <w:rPr>
          <w:rFonts w:ascii="Book Antiqua" w:hAnsi="Book Antiqua"/>
          <w:color w:val="000000" w:themeColor="text1"/>
        </w:rPr>
      </w:pPr>
      <w:bookmarkStart w:id="18" w:name="OLE_LINK10"/>
      <w:r>
        <w:rPr>
          <w:rFonts w:ascii="Book Antiqua" w:hAnsi="Book Antiqua"/>
          <w:b/>
          <w:color w:val="000000" w:themeColor="text1"/>
        </w:rPr>
        <w:t>Open-Access:</w:t>
      </w:r>
      <w:r>
        <w:rPr>
          <w:rFonts w:ascii="Book Antiqua" w:hAnsi="Book Antiqua"/>
          <w:color w:val="000000" w:themeColor="text1"/>
        </w:rPr>
        <w:t xml:space="preserve"> </w:t>
      </w:r>
      <w:bookmarkStart w:id="19" w:name="OLE_LINK6"/>
      <w:r>
        <w:rPr>
          <w:rFonts w:ascii="Book Antiqua" w:hAnsi="Book Antiqua"/>
          <w:color w:val="000000" w:themeColor="text1"/>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9"/>
    <w:p w:rsidR="00FE31D1" w:rsidRDefault="00FE31D1">
      <w:pPr>
        <w:pStyle w:val="10"/>
        <w:adjustRightInd w:val="0"/>
        <w:snapToGrid w:val="0"/>
        <w:spacing w:line="360" w:lineRule="auto"/>
        <w:jc w:val="both"/>
        <w:rPr>
          <w:rFonts w:ascii="Book Antiqua" w:hAnsi="Book Antiqua" w:cs="Times New Roman"/>
          <w:b/>
          <w:bCs/>
          <w:color w:val="000000" w:themeColor="text1"/>
          <w:sz w:val="24"/>
          <w:szCs w:val="24"/>
          <w:lang w:val="en-US"/>
        </w:rPr>
      </w:pPr>
    </w:p>
    <w:p w:rsidR="00FE31D1" w:rsidRDefault="00C450F3">
      <w:pPr>
        <w:pStyle w:val="10"/>
        <w:adjustRightInd w:val="0"/>
        <w:snapToGrid w:val="0"/>
        <w:spacing w:line="360" w:lineRule="auto"/>
        <w:jc w:val="both"/>
        <w:rPr>
          <w:rFonts w:ascii="Book Antiqua" w:hAnsi="Book Antiqua"/>
          <w:b/>
          <w:color w:val="000000" w:themeColor="text1"/>
          <w:sz w:val="24"/>
          <w:szCs w:val="24"/>
        </w:rPr>
      </w:pPr>
      <w:r>
        <w:rPr>
          <w:rFonts w:ascii="Book Antiqua" w:hAnsi="Book Antiqua" w:cs="Times New Roman"/>
          <w:b/>
          <w:bCs/>
          <w:color w:val="000000" w:themeColor="text1"/>
          <w:sz w:val="24"/>
          <w:szCs w:val="24"/>
          <w:lang w:val="en-US"/>
        </w:rPr>
        <w:t>Manuscript source:</w:t>
      </w:r>
      <w:r>
        <w:rPr>
          <w:rFonts w:ascii="Book Antiqua" w:hAnsi="Book Antiqua" w:cs="Times New Roman"/>
          <w:b/>
          <w:bCs/>
          <w:color w:val="000000" w:themeColor="text1"/>
          <w:sz w:val="24"/>
          <w:szCs w:val="24"/>
          <w:lang w:val="en-US" w:eastAsia="zh-CN"/>
        </w:rPr>
        <w:t xml:space="preserve"> </w:t>
      </w:r>
      <w:bookmarkEnd w:id="18"/>
      <w:r>
        <w:rPr>
          <w:rFonts w:ascii="Book Antiqua" w:hAnsi="Book Antiqua" w:cs="Times New Roman"/>
          <w:bCs/>
          <w:color w:val="000000" w:themeColor="text1"/>
          <w:sz w:val="24"/>
          <w:szCs w:val="24"/>
          <w:lang w:val="en-US"/>
        </w:rPr>
        <w:t>Unsolicited manuscript</w:t>
      </w:r>
    </w:p>
    <w:p w:rsidR="00FE31D1" w:rsidRDefault="00FE31D1">
      <w:pPr>
        <w:spacing w:line="360" w:lineRule="auto"/>
        <w:jc w:val="both"/>
        <w:rPr>
          <w:rFonts w:ascii="Book Antiqua" w:hAnsi="Book Antiqua"/>
        </w:rPr>
      </w:pPr>
    </w:p>
    <w:p w:rsidR="00FE31D1" w:rsidRDefault="00C450F3">
      <w:pPr>
        <w:spacing w:line="360" w:lineRule="auto"/>
        <w:jc w:val="both"/>
        <w:rPr>
          <w:rFonts w:ascii="Book Antiqua" w:hAnsi="Book Antiqua"/>
          <w:b/>
          <w:bCs/>
        </w:rPr>
      </w:pPr>
      <w:r>
        <w:rPr>
          <w:rFonts w:ascii="Book Antiqua" w:hAnsi="Book Antiqua"/>
          <w:b/>
          <w:bCs/>
        </w:rPr>
        <w:t xml:space="preserve">Corresponding author: </w:t>
      </w:r>
      <w:r>
        <w:rPr>
          <w:rFonts w:ascii="Book Antiqua" w:eastAsia="Verdana" w:hAnsi="Book Antiqua"/>
          <w:b/>
          <w:bCs/>
          <w:shd w:val="clear" w:color="auto" w:fill="FFFFFF"/>
        </w:rPr>
        <w:t>Zun-</w:t>
      </w:r>
      <w:r>
        <w:rPr>
          <w:rFonts w:ascii="Book Antiqua" w:eastAsia="Verdana" w:hAnsi="Book Antiqua"/>
          <w:b/>
          <w:bCs/>
          <w:caps/>
          <w:shd w:val="clear" w:color="auto" w:fill="FFFFFF"/>
        </w:rPr>
        <w:t>y</w:t>
      </w:r>
      <w:r>
        <w:rPr>
          <w:rFonts w:ascii="Book Antiqua" w:eastAsia="Verdana" w:hAnsi="Book Antiqua"/>
          <w:b/>
          <w:bCs/>
          <w:shd w:val="clear" w:color="auto" w:fill="FFFFFF"/>
        </w:rPr>
        <w:t>i Wang, Doctor, MD,</w:t>
      </w:r>
      <w:r>
        <w:rPr>
          <w:rFonts w:ascii="Book Antiqua" w:eastAsia="Verdana" w:hAnsi="Book Antiqua"/>
          <w:shd w:val="clear" w:color="auto" w:fill="FFFFFF"/>
        </w:rPr>
        <w:t xml:space="preserve"> Department of Third Surgical Oncology, Cangzhou Central Hospital, No. 16, West Xinhua Road, Cangzhou 061001, Hebei Province,</w:t>
      </w:r>
      <w:r>
        <w:rPr>
          <w:rFonts w:ascii="Book Antiqua" w:eastAsiaTheme="minorEastAsia" w:hAnsi="Book Antiqua" w:hint="eastAsia"/>
          <w:shd w:val="clear" w:color="auto" w:fill="FFFFFF"/>
        </w:rPr>
        <w:t xml:space="preserve"> </w:t>
      </w:r>
      <w:r>
        <w:rPr>
          <w:rFonts w:ascii="Book Antiqua" w:eastAsia="Verdana" w:hAnsi="Book Antiqua"/>
          <w:shd w:val="clear" w:color="auto" w:fill="FFFFFF"/>
        </w:rPr>
        <w:t>China.</w:t>
      </w:r>
      <w:r>
        <w:rPr>
          <w:rFonts w:ascii="Book Antiqua" w:hAnsi="Book Antiqua"/>
        </w:rPr>
        <w:t xml:space="preserve"> </w:t>
      </w:r>
      <w:hyperlink r:id="rId8" w:history="1">
        <w:r>
          <w:rPr>
            <w:rFonts w:ascii="Book Antiqua" w:eastAsia="Verdana" w:hAnsi="Book Antiqua"/>
            <w:shd w:val="clear" w:color="auto" w:fill="FFFFFF"/>
          </w:rPr>
          <w:t>czwzy99@163.com</w:t>
        </w:r>
      </w:hyperlink>
    </w:p>
    <w:p w:rsidR="00FE31D1" w:rsidRDefault="00C450F3">
      <w:pPr>
        <w:spacing w:line="360" w:lineRule="auto"/>
        <w:jc w:val="both"/>
        <w:rPr>
          <w:rFonts w:ascii="Book Antiqua" w:eastAsia="Verdana" w:hAnsi="Book Antiqua"/>
          <w:shd w:val="clear" w:color="auto" w:fill="FFFFFF"/>
        </w:rPr>
      </w:pPr>
      <w:bookmarkStart w:id="20" w:name="_Hlk17269656"/>
      <w:r>
        <w:rPr>
          <w:rFonts w:ascii="Book Antiqua" w:hAnsi="Book Antiqua"/>
          <w:b/>
          <w:bCs/>
          <w:color w:val="000000" w:themeColor="text1"/>
        </w:rPr>
        <w:t>Telephone:</w:t>
      </w:r>
      <w:bookmarkEnd w:id="20"/>
      <w:r>
        <w:rPr>
          <w:rFonts w:ascii="Book Antiqua" w:hAnsi="Book Antiqua"/>
          <w:b/>
          <w:bCs/>
          <w:color w:val="000000" w:themeColor="text1"/>
        </w:rPr>
        <w:t xml:space="preserve"> </w:t>
      </w:r>
      <w:r>
        <w:rPr>
          <w:rFonts w:ascii="Book Antiqua" w:eastAsia="Verdana" w:hAnsi="Book Antiqua"/>
          <w:shd w:val="clear" w:color="auto" w:fill="FFFFFF"/>
        </w:rPr>
        <w:t>+86-0317-2075979</w:t>
      </w:r>
    </w:p>
    <w:p w:rsidR="00FE31D1" w:rsidRDefault="00FE31D1">
      <w:pPr>
        <w:spacing w:line="360" w:lineRule="auto"/>
        <w:jc w:val="both"/>
        <w:rPr>
          <w:rFonts w:ascii="Book Antiqua" w:eastAsia="Songti SC" w:hAnsi="Book Antiqua"/>
          <w:b/>
        </w:rPr>
      </w:pPr>
    </w:p>
    <w:p w:rsidR="00FE31D1" w:rsidRDefault="00C450F3">
      <w:pPr>
        <w:snapToGrid w:val="0"/>
        <w:spacing w:line="360" w:lineRule="auto"/>
        <w:jc w:val="both"/>
        <w:rPr>
          <w:rFonts w:ascii="Book Antiqua" w:hAnsi="Book Antiqua"/>
          <w:color w:val="000000"/>
        </w:rPr>
      </w:pPr>
      <w:r>
        <w:rPr>
          <w:rFonts w:ascii="Book Antiqua" w:hAnsi="Book Antiqua"/>
          <w:b/>
          <w:color w:val="000000"/>
        </w:rPr>
        <w:t>Received:</w:t>
      </w:r>
      <w:r>
        <w:rPr>
          <w:rFonts w:ascii="Book Antiqua" w:hAnsi="Book Antiqua"/>
          <w:color w:val="000000"/>
        </w:rPr>
        <w:t xml:space="preserve"> June 15, 2019</w:t>
      </w:r>
    </w:p>
    <w:p w:rsidR="00FE31D1" w:rsidRDefault="00C450F3">
      <w:pPr>
        <w:snapToGrid w:val="0"/>
        <w:spacing w:line="360" w:lineRule="auto"/>
        <w:jc w:val="both"/>
        <w:rPr>
          <w:rFonts w:ascii="Book Antiqua" w:hAnsi="Book Antiqua"/>
          <w:color w:val="000000"/>
        </w:rPr>
      </w:pPr>
      <w:r>
        <w:rPr>
          <w:rFonts w:ascii="Book Antiqua" w:hAnsi="Book Antiqua"/>
          <w:b/>
          <w:color w:val="000000"/>
        </w:rPr>
        <w:t>Peer-review started:</w:t>
      </w:r>
      <w:r>
        <w:rPr>
          <w:rFonts w:ascii="Book Antiqua" w:hAnsi="Book Antiqua"/>
          <w:color w:val="000000"/>
        </w:rPr>
        <w:t xml:space="preserve"> June 18, 2019</w:t>
      </w:r>
    </w:p>
    <w:p w:rsidR="00FE31D1" w:rsidRDefault="00C450F3">
      <w:pPr>
        <w:snapToGrid w:val="0"/>
        <w:spacing w:line="360" w:lineRule="auto"/>
        <w:jc w:val="both"/>
        <w:rPr>
          <w:rFonts w:ascii="Book Antiqua" w:hAnsi="Book Antiqua"/>
          <w:color w:val="000000"/>
        </w:rPr>
      </w:pPr>
      <w:r>
        <w:rPr>
          <w:rFonts w:ascii="Book Antiqua" w:hAnsi="Book Antiqua"/>
          <w:b/>
          <w:color w:val="000000"/>
        </w:rPr>
        <w:t>First decision:</w:t>
      </w:r>
      <w:r>
        <w:rPr>
          <w:rFonts w:ascii="Book Antiqua" w:hAnsi="Book Antiqua"/>
          <w:color w:val="000000"/>
        </w:rPr>
        <w:t xml:space="preserve"> July 31, 2019</w:t>
      </w:r>
    </w:p>
    <w:p w:rsidR="00FE31D1" w:rsidRDefault="00C450F3">
      <w:pPr>
        <w:snapToGrid w:val="0"/>
        <w:spacing w:line="360" w:lineRule="auto"/>
        <w:jc w:val="both"/>
        <w:rPr>
          <w:rFonts w:ascii="Book Antiqua" w:hAnsi="Book Antiqua"/>
          <w:color w:val="000000"/>
        </w:rPr>
      </w:pPr>
      <w:r>
        <w:rPr>
          <w:rFonts w:ascii="Book Antiqua" w:hAnsi="Book Antiqua"/>
          <w:b/>
          <w:color w:val="000000"/>
        </w:rPr>
        <w:t>Revised:</w:t>
      </w:r>
      <w:r>
        <w:rPr>
          <w:rFonts w:ascii="Book Antiqua" w:hAnsi="Book Antiqua"/>
          <w:color w:val="000000"/>
        </w:rPr>
        <w:t xml:space="preserve"> August 12, 2019</w:t>
      </w:r>
    </w:p>
    <w:p w:rsidR="00FE31D1" w:rsidRDefault="00C450F3">
      <w:pPr>
        <w:snapToGrid w:val="0"/>
        <w:spacing w:line="360" w:lineRule="auto"/>
        <w:jc w:val="both"/>
        <w:rPr>
          <w:rFonts w:ascii="Book Antiqua" w:hAnsi="Book Antiqua"/>
          <w:color w:val="000000"/>
        </w:rPr>
      </w:pPr>
      <w:r>
        <w:rPr>
          <w:rFonts w:ascii="Book Antiqua" w:hAnsi="Book Antiqua"/>
          <w:b/>
          <w:color w:val="000000"/>
        </w:rPr>
        <w:t>Accepted:</w:t>
      </w:r>
      <w:r>
        <w:rPr>
          <w:rFonts w:ascii="Book Antiqua" w:hAnsi="Book Antiqua"/>
          <w:color w:val="000000"/>
        </w:rPr>
        <w:t xml:space="preserve"> October 14, 2019</w:t>
      </w:r>
    </w:p>
    <w:p w:rsidR="00FE31D1" w:rsidRDefault="00C450F3">
      <w:pPr>
        <w:snapToGrid w:val="0"/>
        <w:spacing w:line="360" w:lineRule="auto"/>
        <w:jc w:val="both"/>
        <w:rPr>
          <w:rFonts w:ascii="Book Antiqua" w:hAnsi="Book Antiqua"/>
          <w:b/>
          <w:color w:val="000000"/>
        </w:rPr>
      </w:pPr>
      <w:r>
        <w:rPr>
          <w:rFonts w:ascii="Book Antiqua" w:hAnsi="Book Antiqua"/>
          <w:b/>
          <w:color w:val="000000"/>
        </w:rPr>
        <w:t>Article in press:</w:t>
      </w:r>
    </w:p>
    <w:p w:rsidR="00FE31D1" w:rsidRDefault="00C450F3">
      <w:pPr>
        <w:snapToGrid w:val="0"/>
        <w:spacing w:line="360" w:lineRule="auto"/>
        <w:jc w:val="both"/>
        <w:rPr>
          <w:rFonts w:ascii="Book Antiqua" w:hAnsi="Book Antiqua"/>
          <w:b/>
          <w:color w:val="000000"/>
        </w:rPr>
      </w:pPr>
      <w:r>
        <w:rPr>
          <w:rFonts w:ascii="Book Antiqua" w:hAnsi="Book Antiqua"/>
          <w:b/>
          <w:color w:val="000000"/>
        </w:rPr>
        <w:lastRenderedPageBreak/>
        <w:t>Published online:</w:t>
      </w:r>
    </w:p>
    <w:p w:rsidR="00FE31D1" w:rsidRDefault="00C450F3">
      <w:pPr>
        <w:spacing w:line="360" w:lineRule="auto"/>
        <w:jc w:val="both"/>
        <w:rPr>
          <w:rFonts w:ascii="Book Antiqua" w:eastAsia="Songti SC" w:hAnsi="Book Antiqua"/>
          <w:b/>
        </w:rPr>
      </w:pPr>
      <w:r>
        <w:rPr>
          <w:rFonts w:ascii="Book Antiqua" w:eastAsia="Songti SC" w:hAnsi="Book Antiqua"/>
          <w:b/>
        </w:rPr>
        <w:t>Abstract</w:t>
      </w:r>
    </w:p>
    <w:p w:rsidR="00FE31D1" w:rsidRDefault="00C450F3">
      <w:pPr>
        <w:spacing w:line="360" w:lineRule="auto"/>
        <w:jc w:val="both"/>
        <w:rPr>
          <w:rFonts w:ascii="Book Antiqua" w:eastAsia="Songti SC" w:hAnsi="Book Antiqua"/>
          <w:b/>
          <w:i/>
          <w:iCs/>
        </w:rPr>
      </w:pPr>
      <w:r>
        <w:rPr>
          <w:rFonts w:ascii="Book Antiqua" w:eastAsia="Songti SC" w:hAnsi="Book Antiqua"/>
          <w:b/>
          <w:i/>
          <w:iCs/>
        </w:rPr>
        <w:t>BACKGROUND</w:t>
      </w:r>
    </w:p>
    <w:p w:rsidR="00FE31D1" w:rsidRDefault="00C450F3">
      <w:pPr>
        <w:spacing w:line="360" w:lineRule="auto"/>
        <w:jc w:val="both"/>
        <w:rPr>
          <w:rFonts w:ascii="Book Antiqua" w:eastAsia="Songti SC" w:hAnsi="Book Antiqua"/>
        </w:rPr>
      </w:pPr>
      <w:r>
        <w:rPr>
          <w:rFonts w:ascii="Book Antiqua" w:eastAsia="Songti SC" w:hAnsi="Book Antiqua"/>
        </w:rPr>
        <w:t xml:space="preserve">Breast cancer is a common malignant tumor that seriously threatens women’s health. Breast cancer stem cell (CSC)-like cell population may be the main factor for breast cancer metastasis. Therefore, targeted therapy for CSCs has great potential significance. Hypoxia-inducible factor is a transcription factor widely expressed in tumors. Studies have shown that down-regulation of the hypoxia signaling pathway inhibits tumor stem cell self-renewal and increases the sensitivity of stem cells to radiotherapy and chemotherapy mediated by </w:t>
      </w:r>
      <w:r>
        <w:rPr>
          <w:rFonts w:ascii="Book Antiqua" w:eastAsiaTheme="minorEastAsia" w:hAnsi="Book Antiqua"/>
        </w:rPr>
        <w:t>hypoxia-inducible factor-2</w:t>
      </w:r>
      <w:r>
        <w:rPr>
          <w:rFonts w:ascii="Book Antiqua" w:eastAsia="Songti SC" w:hAnsi="Book Antiqua"/>
        </w:rPr>
        <w:t xml:space="preserve">α </w:t>
      </w:r>
      <w:r>
        <w:rPr>
          <w:rFonts w:ascii="Book Antiqua" w:eastAsia="Songti SC" w:hAnsi="Book Antiqua" w:hint="eastAsia"/>
        </w:rPr>
        <w:t>(</w:t>
      </w:r>
      <w:r>
        <w:rPr>
          <w:rFonts w:ascii="Book Antiqua" w:eastAsia="Songti SC" w:hAnsi="Book Antiqua"/>
        </w:rPr>
        <w:t>HIF-2α). However, the specific mechanism remains unclear and further research is necessary.</w:t>
      </w:r>
    </w:p>
    <w:p w:rsidR="00FE31D1" w:rsidRDefault="00FE31D1">
      <w:pPr>
        <w:spacing w:line="360" w:lineRule="auto"/>
        <w:jc w:val="both"/>
        <w:rPr>
          <w:rFonts w:ascii="Book Antiqua" w:eastAsia="Songti SC" w:hAnsi="Book Antiqua"/>
          <w:b/>
        </w:rPr>
      </w:pPr>
    </w:p>
    <w:p w:rsidR="00FE31D1" w:rsidRDefault="00C450F3">
      <w:pPr>
        <w:spacing w:line="360" w:lineRule="auto"/>
        <w:jc w:val="both"/>
        <w:rPr>
          <w:rFonts w:ascii="Book Antiqua" w:eastAsia="Songti SC" w:hAnsi="Book Antiqua"/>
          <w:b/>
          <w:i/>
          <w:iCs/>
        </w:rPr>
      </w:pPr>
      <w:r>
        <w:rPr>
          <w:rFonts w:ascii="Book Antiqua" w:eastAsia="Songti SC" w:hAnsi="Book Antiqua"/>
          <w:b/>
          <w:i/>
          <w:iCs/>
        </w:rPr>
        <w:t>AIM</w:t>
      </w:r>
    </w:p>
    <w:p w:rsidR="00FE31D1" w:rsidRDefault="00C450F3">
      <w:pPr>
        <w:spacing w:line="360" w:lineRule="auto"/>
        <w:jc w:val="both"/>
        <w:rPr>
          <w:rFonts w:ascii="Book Antiqua" w:eastAsia="Songti SC" w:hAnsi="Book Antiqua"/>
        </w:rPr>
      </w:pPr>
      <w:r>
        <w:rPr>
          <w:rFonts w:ascii="Book Antiqua" w:eastAsia="Songti SC" w:hAnsi="Book Antiqua"/>
        </w:rPr>
        <w:t>To investigate the effect of HIF-2α down-regulation on stem cell markers, microsphere formation, and apoptosis in breast cancer cell line MDA-MB-231 under hypoxia and its possible mechanism.</w:t>
      </w:r>
    </w:p>
    <w:p w:rsidR="00FE31D1" w:rsidRDefault="00FE31D1">
      <w:pPr>
        <w:spacing w:line="360" w:lineRule="auto"/>
        <w:jc w:val="both"/>
        <w:rPr>
          <w:rFonts w:ascii="Book Antiqua" w:eastAsia="Songti SC" w:hAnsi="Book Antiqua"/>
          <w:b/>
        </w:rPr>
      </w:pPr>
    </w:p>
    <w:p w:rsidR="00FE31D1" w:rsidRDefault="00C450F3">
      <w:pPr>
        <w:spacing w:line="360" w:lineRule="auto"/>
        <w:jc w:val="both"/>
        <w:rPr>
          <w:rFonts w:ascii="Book Antiqua" w:eastAsia="Songti SC" w:hAnsi="Book Antiqua"/>
          <w:b/>
          <w:i/>
          <w:iCs/>
        </w:rPr>
      </w:pPr>
      <w:r>
        <w:rPr>
          <w:rFonts w:ascii="Book Antiqua" w:eastAsia="Songti SC" w:hAnsi="Book Antiqua"/>
          <w:b/>
          <w:i/>
          <w:iCs/>
        </w:rPr>
        <w:t>METHODS</w:t>
      </w:r>
    </w:p>
    <w:p w:rsidR="00FE31D1" w:rsidRDefault="00C450F3">
      <w:pPr>
        <w:spacing w:line="360" w:lineRule="auto"/>
        <w:jc w:val="both"/>
        <w:rPr>
          <w:rFonts w:ascii="Book Antiqua" w:eastAsia="Songti SC" w:hAnsi="Book Antiqua"/>
        </w:rPr>
      </w:pPr>
      <w:r>
        <w:rPr>
          <w:rFonts w:ascii="Book Antiqua" w:eastAsia="Songti SC" w:hAnsi="Book Antiqua"/>
        </w:rPr>
        <w:t xml:space="preserve">Immunohistochemistry was used to detect the expression of HIF-2α and CD44 in </w:t>
      </w:r>
      <w:r>
        <w:rPr>
          <w:rFonts w:ascii="Book Antiqua" w:eastAsiaTheme="majorEastAsia" w:hAnsi="Book Antiqua"/>
          <w:bCs/>
        </w:rPr>
        <w:t>triple-negative breast cancer</w:t>
      </w:r>
      <w:r>
        <w:rPr>
          <w:rFonts w:ascii="Book Antiqua" w:eastAsiaTheme="minorEastAsia" w:hAnsi="Book Antiqua"/>
        </w:rPr>
        <w:t xml:space="preserve"> (TNBC)</w:t>
      </w:r>
      <w:r>
        <w:rPr>
          <w:rFonts w:ascii="Book Antiqua" w:eastAsia="Songti SC" w:hAnsi="Book Antiqua"/>
        </w:rPr>
        <w:t xml:space="preserve"> and non-</w:t>
      </w:r>
      <w:r>
        <w:rPr>
          <w:rFonts w:ascii="Book Antiqua" w:eastAsiaTheme="minorEastAsia" w:hAnsi="Book Antiqua"/>
        </w:rPr>
        <w:t>TNBC</w:t>
      </w:r>
      <w:r>
        <w:rPr>
          <w:rFonts w:ascii="Book Antiqua" w:eastAsia="Songti SC" w:hAnsi="Book Antiqua"/>
        </w:rPr>
        <w:t xml:space="preserve"> tissues. Double-labeling immunofluorescence was applied to detect the co-expression of HIF-2α and CD44 in MDA-MB-231 cells and MCF-7 cells. HIF-2α was silenced</w:t>
      </w:r>
      <w:r>
        <w:rPr>
          <w:rFonts w:ascii="Book Antiqua" w:hAnsi="Book Antiqua"/>
        </w:rPr>
        <w:t xml:space="preserve"> </w:t>
      </w:r>
      <w:r>
        <w:rPr>
          <w:rFonts w:ascii="Book Antiqua" w:eastAsia="Songti SC" w:hAnsi="Book Antiqua"/>
        </w:rPr>
        <w:t>by RNA interference, and the expression of CD44 and transfection efficiency were detected by real-time fluorescent quantitative PCR. Further, flow cytometry, TdT-mediated X-dUTP nick end labeling, and mammosphere formation assays were used to evaluate the effect of HIF-2α on CSCs and apoptosis. The possible mechanisms were analyzed by Western blot.</w:t>
      </w:r>
    </w:p>
    <w:p w:rsidR="00FE31D1" w:rsidRDefault="00FE31D1">
      <w:pPr>
        <w:spacing w:line="360" w:lineRule="auto"/>
        <w:jc w:val="both"/>
        <w:rPr>
          <w:rFonts w:ascii="Book Antiqua" w:eastAsia="Songti SC" w:hAnsi="Book Antiqua"/>
          <w:b/>
        </w:rPr>
      </w:pPr>
    </w:p>
    <w:p w:rsidR="00FE31D1" w:rsidRDefault="00C450F3">
      <w:pPr>
        <w:spacing w:line="360" w:lineRule="auto"/>
        <w:jc w:val="both"/>
        <w:rPr>
          <w:rFonts w:ascii="Book Antiqua" w:eastAsia="Songti SC" w:hAnsi="Book Antiqua"/>
          <w:b/>
        </w:rPr>
      </w:pPr>
      <w:r>
        <w:rPr>
          <w:rFonts w:ascii="Book Antiqua" w:eastAsia="Songti SC" w:hAnsi="Book Antiqua"/>
          <w:b/>
          <w:i/>
          <w:iCs/>
        </w:rPr>
        <w:t>RESULTS</w:t>
      </w:r>
      <w:r>
        <w:rPr>
          <w:rFonts w:ascii="Book Antiqua" w:eastAsia="Songti SC" w:hAnsi="Book Antiqua"/>
          <w:b/>
        </w:rPr>
        <w:t xml:space="preserve"> </w:t>
      </w:r>
    </w:p>
    <w:p w:rsidR="00FE31D1" w:rsidRDefault="00C450F3">
      <w:pPr>
        <w:spacing w:line="360" w:lineRule="auto"/>
        <w:jc w:val="both"/>
        <w:rPr>
          <w:rFonts w:ascii="Book Antiqua" w:eastAsia="Songti SC" w:hAnsi="Book Antiqua"/>
        </w:rPr>
      </w:pPr>
      <w:r>
        <w:rPr>
          <w:rFonts w:ascii="Book Antiqua" w:eastAsiaTheme="minorEastAsia" w:hAnsi="Book Antiqua"/>
        </w:rPr>
        <w:lastRenderedPageBreak/>
        <w:t xml:space="preserve">The results of </w:t>
      </w:r>
      <w:r>
        <w:rPr>
          <w:rFonts w:ascii="Book Antiqua" w:eastAsia="Songti SC" w:hAnsi="Book Antiqua"/>
        </w:rPr>
        <w:t>immunohistochemistry</w:t>
      </w:r>
      <w:r>
        <w:rPr>
          <w:rFonts w:ascii="Book Antiqua" w:eastAsiaTheme="minorEastAsia" w:hAnsi="Book Antiqua"/>
        </w:rPr>
        <w:t xml:space="preserve"> showed that </w:t>
      </w:r>
      <w:r>
        <w:rPr>
          <w:rFonts w:ascii="Book Antiqua" w:eastAsia="Songti SC" w:hAnsi="Book Antiqua"/>
        </w:rPr>
        <w:t xml:space="preserve">HIF-2α was highly expressed in both </w:t>
      </w:r>
      <w:r>
        <w:rPr>
          <w:rFonts w:ascii="Book Antiqua" w:eastAsiaTheme="minorEastAsia" w:hAnsi="Book Antiqua"/>
        </w:rPr>
        <w:t xml:space="preserve">TNBC and non-TNBC, while the expression of CD44 in different molecular types of breast cancer cells was different. In </w:t>
      </w:r>
      <w:r>
        <w:rPr>
          <w:rFonts w:ascii="Book Antiqua" w:eastAsia="Songti SC" w:hAnsi="Book Antiqua"/>
          <w:i/>
          <w:iCs/>
        </w:rPr>
        <w:t>in vitro</w:t>
      </w:r>
      <w:r>
        <w:rPr>
          <w:rFonts w:ascii="Book Antiqua" w:eastAsia="Songti SC" w:hAnsi="Book Antiqua"/>
        </w:rPr>
        <w:t xml:space="preserve"> experiments</w:t>
      </w:r>
      <w:r>
        <w:rPr>
          <w:rFonts w:ascii="Book Antiqua" w:eastAsiaTheme="minorEastAsia" w:hAnsi="Book Antiqua"/>
        </w:rPr>
        <w:t>, it was found that HIF-2α and CD44 were expressed almost in the same cell. Compared with hypoxia + negative-sequence control, HIF-2α small interfering ribonucleic acid transfection can lower the expression of HIF-2α and CD44 mRNA</w:t>
      </w:r>
      <w:r>
        <w:rPr>
          <w:rFonts w:ascii="Book Antiqua" w:eastAsia="Songti SC" w:hAnsi="Book Antiqua"/>
        </w:rPr>
        <w:t>(</w:t>
      </w:r>
      <w:r>
        <w:rPr>
          <w:rFonts w:ascii="Book Antiqua" w:eastAsia="Songti SC" w:hAnsi="Book Antiqua"/>
          <w:i/>
        </w:rPr>
        <w:t xml:space="preserve">P </w:t>
      </w:r>
      <w:r>
        <w:rPr>
          <w:rFonts w:ascii="Book Antiqua" w:eastAsia="Songti SC" w:hAnsi="Book Antiqua"/>
        </w:rPr>
        <w:t>&lt; 0.05)</w:t>
      </w:r>
      <w:r>
        <w:rPr>
          <w:rFonts w:ascii="Book Antiqua" w:eastAsiaTheme="minorEastAsia" w:hAnsi="Book Antiqua"/>
        </w:rPr>
        <w:t xml:space="preserve">, </w:t>
      </w:r>
      <w:r>
        <w:rPr>
          <w:rFonts w:ascii="Book Antiqua" w:eastAsia="Songti SC" w:hAnsi="Book Antiqua"/>
        </w:rPr>
        <w:t>increase the percentage of apoptotic cells</w:t>
      </w:r>
      <w:r>
        <w:rPr>
          <w:rFonts w:ascii="Book Antiqua" w:eastAsiaTheme="minorEastAsia" w:hAnsi="Book Antiqua"/>
        </w:rPr>
        <w:t xml:space="preserve"> </w:t>
      </w:r>
      <w:r>
        <w:rPr>
          <w:rFonts w:ascii="Book Antiqua" w:eastAsia="Songti SC" w:hAnsi="Book Antiqua"/>
        </w:rPr>
        <w:t>(</w:t>
      </w:r>
      <w:r>
        <w:rPr>
          <w:rFonts w:ascii="Book Antiqua" w:eastAsia="Songti SC" w:hAnsi="Book Antiqua"/>
          <w:i/>
        </w:rPr>
        <w:t xml:space="preserve">P </w:t>
      </w:r>
      <w:r>
        <w:rPr>
          <w:rFonts w:ascii="Book Antiqua" w:eastAsia="Songti SC" w:hAnsi="Book Antiqua"/>
        </w:rPr>
        <w:t xml:space="preserve">&lt; 0.05), </w:t>
      </w:r>
      <w:r>
        <w:rPr>
          <w:rFonts w:ascii="Book Antiqua" w:eastAsiaTheme="minorEastAsia" w:hAnsi="Book Antiqua"/>
        </w:rPr>
        <w:t xml:space="preserve">and </w:t>
      </w:r>
      <w:r>
        <w:rPr>
          <w:rFonts w:ascii="Book Antiqua" w:eastAsia="Songti SC" w:hAnsi="Book Antiqua"/>
        </w:rPr>
        <w:t>resulted in a reduction of CD44</w:t>
      </w:r>
      <w:r>
        <w:rPr>
          <w:rFonts w:ascii="Book Antiqua" w:eastAsia="Songti SC" w:hAnsi="Book Antiqua"/>
          <w:vertAlign w:val="superscript"/>
        </w:rPr>
        <w:t>+</w:t>
      </w:r>
      <w:r>
        <w:rPr>
          <w:rFonts w:ascii="Book Antiqua" w:eastAsia="Songti SC" w:hAnsi="Book Antiqua"/>
        </w:rPr>
        <w:t>/CD24</w:t>
      </w:r>
      <w:r>
        <w:rPr>
          <w:rFonts w:ascii="Book Antiqua" w:eastAsia="Songti SC" w:hAnsi="Book Antiqua"/>
          <w:vertAlign w:val="superscript"/>
        </w:rPr>
        <w:t>−</w:t>
      </w:r>
      <w:r>
        <w:rPr>
          <w:rFonts w:ascii="Book Antiqua" w:eastAsia="Songti SC" w:hAnsi="Book Antiqua"/>
        </w:rPr>
        <w:t xml:space="preserve"> population (</w:t>
      </w:r>
      <w:r>
        <w:rPr>
          <w:rFonts w:ascii="Book Antiqua" w:eastAsia="Songti SC" w:hAnsi="Book Antiqua"/>
          <w:i/>
        </w:rPr>
        <w:t xml:space="preserve">P </w:t>
      </w:r>
      <w:r>
        <w:rPr>
          <w:rFonts w:ascii="Book Antiqua" w:eastAsia="Songti SC" w:hAnsi="Book Antiqua"/>
        </w:rPr>
        <w:t>&lt; 0.05) and mammosphere formation</w:t>
      </w:r>
      <w:r>
        <w:rPr>
          <w:rFonts w:ascii="Book Antiqua" w:eastAsiaTheme="minorEastAsia" w:hAnsi="Book Antiqua"/>
        </w:rPr>
        <w:t xml:space="preserve"> </w:t>
      </w:r>
      <w:r>
        <w:rPr>
          <w:rFonts w:ascii="Book Antiqua" w:eastAsia="Songti SC" w:hAnsi="Book Antiqua"/>
        </w:rPr>
        <w:t>(</w:t>
      </w:r>
      <w:r>
        <w:rPr>
          <w:rFonts w:ascii="Book Antiqua" w:eastAsia="Songti SC" w:hAnsi="Book Antiqua"/>
          <w:i/>
        </w:rPr>
        <w:t xml:space="preserve">P </w:t>
      </w:r>
      <w:r>
        <w:rPr>
          <w:rFonts w:ascii="Book Antiqua" w:eastAsia="Songti SC" w:hAnsi="Book Antiqua"/>
        </w:rPr>
        <w:t xml:space="preserve">&lt; 0.05) </w:t>
      </w:r>
      <w:r>
        <w:rPr>
          <w:rFonts w:ascii="Book Antiqua" w:eastAsiaTheme="minorEastAsia" w:hAnsi="Book Antiqua"/>
        </w:rPr>
        <w:t xml:space="preserve">in hypoxic MDA-MB-231 cells. </w:t>
      </w:r>
      <w:r>
        <w:rPr>
          <w:rFonts w:ascii="Book Antiqua" w:eastAsia="Songti SC" w:hAnsi="Book Antiqua"/>
        </w:rPr>
        <w:t>Western blot analysis revealed that phosphorylated protein-serine-threonine kinase (p-AKT) and phosphorylated mammalian target of rapamycin (p-mTOR) levels in MDA-MB-231 decreased significantly after HIF-2α silencing (</w:t>
      </w:r>
      <w:r>
        <w:rPr>
          <w:rFonts w:ascii="Book Antiqua" w:eastAsia="Songti SC" w:hAnsi="Book Antiqua"/>
          <w:i/>
        </w:rPr>
        <w:t xml:space="preserve">P </w:t>
      </w:r>
      <w:r>
        <w:rPr>
          <w:rFonts w:ascii="Book Antiqua" w:eastAsia="Songti SC" w:hAnsi="Book Antiqua"/>
        </w:rPr>
        <w:t>&lt; 0.05).</w:t>
      </w:r>
    </w:p>
    <w:p w:rsidR="00FE31D1" w:rsidRDefault="00FE31D1">
      <w:pPr>
        <w:spacing w:line="360" w:lineRule="auto"/>
        <w:jc w:val="both"/>
        <w:rPr>
          <w:rFonts w:ascii="Book Antiqua" w:eastAsia="Songti SC" w:hAnsi="Book Antiqua"/>
          <w:b/>
        </w:rPr>
      </w:pPr>
    </w:p>
    <w:p w:rsidR="00FE31D1" w:rsidRDefault="00C450F3">
      <w:pPr>
        <w:spacing w:line="360" w:lineRule="auto"/>
        <w:jc w:val="both"/>
        <w:rPr>
          <w:rFonts w:ascii="Book Antiqua" w:eastAsia="Songti SC" w:hAnsi="Book Antiqua"/>
          <w:b/>
          <w:i/>
          <w:iCs/>
        </w:rPr>
      </w:pPr>
      <w:r>
        <w:rPr>
          <w:rFonts w:ascii="Book Antiqua" w:eastAsia="Songti SC" w:hAnsi="Book Antiqua"/>
          <w:b/>
          <w:i/>
          <w:iCs/>
        </w:rPr>
        <w:t>CONCLUSION</w:t>
      </w:r>
    </w:p>
    <w:p w:rsidR="00FE31D1" w:rsidRDefault="00C450F3">
      <w:pPr>
        <w:spacing w:line="360" w:lineRule="auto"/>
        <w:jc w:val="both"/>
        <w:rPr>
          <w:rFonts w:ascii="Book Antiqua" w:eastAsiaTheme="minorEastAsia" w:hAnsi="Book Antiqua"/>
        </w:rPr>
      </w:pPr>
      <w:r>
        <w:rPr>
          <w:rFonts w:ascii="Book Antiqua" w:eastAsiaTheme="minorEastAsia" w:hAnsi="Book Antiqua"/>
        </w:rPr>
        <w:t xml:space="preserve">Down-regulation of HIF-2α expression can inhibit the </w:t>
      </w:r>
      <w:r>
        <w:rPr>
          <w:rFonts w:ascii="Book Antiqua" w:eastAsia="Songti SC" w:hAnsi="Book Antiqua"/>
        </w:rPr>
        <w:t>stemness</w:t>
      </w:r>
      <w:r>
        <w:rPr>
          <w:rFonts w:ascii="Book Antiqua" w:eastAsiaTheme="minorEastAsia" w:hAnsi="Book Antiqua"/>
        </w:rPr>
        <w:t xml:space="preserve"> of human breast cancer MDA-MB-231 cells and promote apoptosis, and its mechanism may be related to the CD44/phosphoinosmde-3-kinase/AKT/mTOR signaling pathway.</w:t>
      </w:r>
    </w:p>
    <w:p w:rsidR="00FE31D1" w:rsidRDefault="00FE31D1">
      <w:pPr>
        <w:spacing w:line="360" w:lineRule="auto"/>
        <w:jc w:val="both"/>
        <w:rPr>
          <w:rFonts w:ascii="Book Antiqua" w:eastAsia="Songti SC" w:hAnsi="Book Antiqua"/>
          <w:b/>
        </w:rPr>
      </w:pPr>
    </w:p>
    <w:p w:rsidR="00FE31D1" w:rsidRDefault="00C450F3">
      <w:pPr>
        <w:spacing w:line="360" w:lineRule="auto"/>
        <w:jc w:val="both"/>
        <w:rPr>
          <w:rFonts w:ascii="Book Antiqua" w:eastAsia="Songti SC" w:hAnsi="Book Antiqua"/>
        </w:rPr>
      </w:pPr>
      <w:r>
        <w:rPr>
          <w:rFonts w:ascii="Book Antiqua" w:eastAsia="Songti SC" w:hAnsi="Book Antiqua"/>
          <w:b/>
        </w:rPr>
        <w:t xml:space="preserve">Key words: </w:t>
      </w:r>
      <w:bookmarkStart w:id="21" w:name="OLE_LINK7"/>
      <w:r>
        <w:rPr>
          <w:rFonts w:ascii="Book Antiqua" w:eastAsiaTheme="minorEastAsia" w:hAnsi="Book Antiqua"/>
        </w:rPr>
        <w:t>Breast cancer</w:t>
      </w:r>
      <w:bookmarkEnd w:id="21"/>
      <w:r>
        <w:rPr>
          <w:rFonts w:ascii="Book Antiqua" w:eastAsiaTheme="minorEastAsia" w:hAnsi="Book Antiqua"/>
        </w:rPr>
        <w:t xml:space="preserve">; </w:t>
      </w:r>
      <w:bookmarkStart w:id="22" w:name="OLE_LINK16"/>
      <w:r>
        <w:rPr>
          <w:rFonts w:ascii="Book Antiqua" w:eastAsiaTheme="minorEastAsia" w:hAnsi="Book Antiqua"/>
        </w:rPr>
        <w:t>Hypoxia-inducible factor-2α</w:t>
      </w:r>
      <w:bookmarkEnd w:id="22"/>
      <w:r>
        <w:rPr>
          <w:rFonts w:ascii="Book Antiqua" w:eastAsiaTheme="minorEastAsia" w:hAnsi="Book Antiqua"/>
        </w:rPr>
        <w:t xml:space="preserve">; </w:t>
      </w:r>
      <w:bookmarkStart w:id="23" w:name="OLE_LINK13"/>
      <w:r>
        <w:rPr>
          <w:rFonts w:ascii="Book Antiqua" w:eastAsiaTheme="minorEastAsia" w:hAnsi="Book Antiqua"/>
        </w:rPr>
        <w:t>Cancer stem cells</w:t>
      </w:r>
      <w:bookmarkEnd w:id="23"/>
      <w:r>
        <w:rPr>
          <w:rFonts w:ascii="Book Antiqua" w:eastAsiaTheme="minorEastAsia" w:hAnsi="Book Antiqua"/>
        </w:rPr>
        <w:t xml:space="preserve">; </w:t>
      </w:r>
      <w:bookmarkStart w:id="24" w:name="OLE_LINK15"/>
      <w:r>
        <w:rPr>
          <w:rFonts w:ascii="Book Antiqua" w:eastAsiaTheme="minorEastAsia" w:hAnsi="Book Antiqua"/>
        </w:rPr>
        <w:t>CD44</w:t>
      </w:r>
      <w:bookmarkEnd w:id="24"/>
    </w:p>
    <w:p w:rsidR="00FE31D1" w:rsidRDefault="00FE31D1">
      <w:pPr>
        <w:spacing w:line="360" w:lineRule="auto"/>
        <w:jc w:val="both"/>
        <w:rPr>
          <w:rFonts w:ascii="Book Antiqua" w:eastAsiaTheme="minorEastAsia" w:hAnsi="Book Antiqua"/>
        </w:rPr>
      </w:pPr>
    </w:p>
    <w:p w:rsidR="00FE31D1" w:rsidRDefault="00C450F3">
      <w:pPr>
        <w:snapToGrid w:val="0"/>
        <w:spacing w:line="360" w:lineRule="auto"/>
        <w:jc w:val="both"/>
        <w:rPr>
          <w:rFonts w:ascii="Book Antiqua" w:hAnsi="Book Antiqua"/>
          <w:color w:val="000000" w:themeColor="text1"/>
        </w:rPr>
      </w:pPr>
      <w:bookmarkStart w:id="25" w:name="OLE_LINK8"/>
      <w:r>
        <w:rPr>
          <w:rFonts w:ascii="Book Antiqua" w:hAnsi="Book Antiqua"/>
          <w:b/>
          <w:bCs/>
          <w:color w:val="000000" w:themeColor="text1"/>
        </w:rPr>
        <w:t xml:space="preserve">© The Author(s) 2019. </w:t>
      </w:r>
      <w:r>
        <w:rPr>
          <w:rFonts w:ascii="Book Antiqua" w:hAnsi="Book Antiqua"/>
          <w:color w:val="000000" w:themeColor="text1"/>
        </w:rPr>
        <w:t>Published by Baishideng Publishing Group Inc. All rights reserved.</w:t>
      </w:r>
    </w:p>
    <w:bookmarkEnd w:id="25"/>
    <w:p w:rsidR="00FE31D1" w:rsidRDefault="00FE31D1">
      <w:pPr>
        <w:spacing w:line="360" w:lineRule="auto"/>
        <w:jc w:val="both"/>
        <w:rPr>
          <w:rFonts w:ascii="Book Antiqua" w:eastAsiaTheme="minorEastAsia" w:hAnsi="Book Antiqua"/>
        </w:rPr>
      </w:pPr>
    </w:p>
    <w:p w:rsidR="00FE31D1" w:rsidRDefault="00C450F3">
      <w:pPr>
        <w:spacing w:line="360" w:lineRule="auto"/>
        <w:jc w:val="both"/>
        <w:rPr>
          <w:rFonts w:ascii="Book Antiqua" w:eastAsia="Songti SC" w:hAnsi="Book Antiqua"/>
          <w:b/>
        </w:rPr>
      </w:pPr>
      <w:r>
        <w:rPr>
          <w:rFonts w:ascii="Book Antiqua" w:eastAsia="Songti SC" w:hAnsi="Book Antiqua"/>
          <w:b/>
        </w:rPr>
        <w:t xml:space="preserve">Core tip: </w:t>
      </w:r>
      <w:bookmarkStart w:id="26" w:name="OLE_LINK17"/>
      <w:bookmarkStart w:id="27" w:name="OLE_LINK19"/>
      <w:r>
        <w:rPr>
          <w:rFonts w:ascii="Book Antiqua" w:eastAsiaTheme="minorEastAsia" w:hAnsi="Book Antiqua"/>
        </w:rPr>
        <w:t>Cancer stem cells (</w:t>
      </w:r>
      <w:r>
        <w:rPr>
          <w:rFonts w:ascii="Book Antiqua" w:eastAsia="Songti SC" w:hAnsi="Book Antiqua"/>
        </w:rPr>
        <w:t>CSCs</w:t>
      </w:r>
      <w:r>
        <w:rPr>
          <w:rFonts w:ascii="Book Antiqua" w:eastAsiaTheme="minorEastAsia" w:hAnsi="Book Antiqua"/>
        </w:rPr>
        <w:t>) play an important role in tumor formation, growth, invasion, metastasis, and recurrence. Hypoxia can promote the differentiation of various tumor cells, enable cells to acquire stem cell characteristics, and enhance tumor cell invasion and tumorigenicity. In the long-term exposure of tumors to hypoxia, the major regulatory factor is hypoxia-inducible factor-2</w:t>
      </w:r>
      <w:r>
        <w:rPr>
          <w:rFonts w:ascii="Book Antiqua" w:eastAsia="Songti SC" w:hAnsi="Book Antiqua"/>
        </w:rPr>
        <w:t>α (</w:t>
      </w:r>
      <w:r>
        <w:rPr>
          <w:rFonts w:ascii="Book Antiqua" w:eastAsiaTheme="minorEastAsia" w:hAnsi="Book Antiqua"/>
        </w:rPr>
        <w:t xml:space="preserve">HIF-2α), which can promote the malignant </w:t>
      </w:r>
      <w:r>
        <w:rPr>
          <w:rFonts w:ascii="Book Antiqua" w:eastAsiaTheme="minorEastAsia" w:hAnsi="Book Antiqua"/>
        </w:rPr>
        <w:lastRenderedPageBreak/>
        <w:t xml:space="preserve">biological behavior of tumors by activating its downstream target genes. Studies have shown that the effect of HIF-2α on tumor cells may be related to CD44, a marker for breast </w:t>
      </w:r>
      <w:r>
        <w:rPr>
          <w:rFonts w:ascii="Book Antiqua" w:eastAsia="Songti SC" w:hAnsi="Book Antiqua"/>
        </w:rPr>
        <w:t>CSCs</w:t>
      </w:r>
      <w:r>
        <w:rPr>
          <w:rFonts w:ascii="Book Antiqua" w:eastAsiaTheme="minorEastAsia" w:hAnsi="Book Antiqua"/>
        </w:rPr>
        <w:t xml:space="preserve">. In this study, breast cancer cell line MCF-7 and basal breast cancer cell line MDA-MB-231 were utilized to investigate the relationship between HIF-2α and CD44 gene expression and the regulatory effect of HIF-2α on CD44. </w:t>
      </w:r>
      <w:bookmarkEnd w:id="26"/>
      <w:bookmarkEnd w:id="27"/>
    </w:p>
    <w:p w:rsidR="00FE31D1" w:rsidRDefault="00FE31D1">
      <w:pPr>
        <w:spacing w:line="360" w:lineRule="auto"/>
        <w:jc w:val="both"/>
        <w:rPr>
          <w:rFonts w:ascii="Book Antiqua" w:eastAsiaTheme="minorEastAsia" w:hAnsi="Book Antiqua"/>
        </w:rPr>
      </w:pPr>
    </w:p>
    <w:p w:rsidR="00FE31D1" w:rsidRDefault="00C450F3">
      <w:pPr>
        <w:snapToGrid w:val="0"/>
        <w:spacing w:line="360" w:lineRule="auto"/>
        <w:jc w:val="both"/>
        <w:rPr>
          <w:rFonts w:ascii="Book Antiqua" w:hAnsi="Book Antiqua"/>
          <w:bCs/>
          <w:color w:val="000000" w:themeColor="text1"/>
        </w:rPr>
      </w:pPr>
      <w:r>
        <w:rPr>
          <w:rFonts w:ascii="Book Antiqua" w:eastAsia="宋体" w:hAnsi="Book Antiqua"/>
          <w:bCs/>
        </w:rPr>
        <w:t>Bai J, Chen WB, Zhang XY, Kang XN, Jin LJ, Zhang H, Wang ZY.</w:t>
      </w:r>
      <w:r>
        <w:rPr>
          <w:rFonts w:ascii="Book Antiqua" w:eastAsiaTheme="majorEastAsia" w:hAnsi="Book Antiqua"/>
          <w:b/>
        </w:rPr>
        <w:t xml:space="preserve"> </w:t>
      </w:r>
      <w:r>
        <w:rPr>
          <w:rFonts w:ascii="Book Antiqua" w:eastAsiaTheme="majorEastAsia" w:hAnsi="Book Antiqua"/>
          <w:bCs/>
        </w:rPr>
        <w:t xml:space="preserve">HIF-2α regulates CD44 to promote cancer stem cell activation in triple-negative breast cancer </w:t>
      </w:r>
      <w:r>
        <w:rPr>
          <w:rFonts w:ascii="Book Antiqua" w:eastAsiaTheme="majorEastAsia" w:hAnsi="Book Antiqua"/>
          <w:bCs/>
          <w:i/>
          <w:iCs/>
        </w:rPr>
        <w:t>via</w:t>
      </w:r>
      <w:r>
        <w:rPr>
          <w:rFonts w:ascii="Book Antiqua" w:eastAsiaTheme="majorEastAsia" w:hAnsi="Book Antiqua"/>
          <w:bCs/>
        </w:rPr>
        <w:t xml:space="preserve"> PI3K/AKT/mTOR signaling.</w:t>
      </w:r>
      <w:r>
        <w:rPr>
          <w:rFonts w:ascii="Book Antiqua" w:hAnsi="Book Antiqua"/>
          <w:i/>
          <w:color w:val="000000" w:themeColor="text1"/>
        </w:rPr>
        <w:t xml:space="preserve"> World J Stem Cells 2019</w:t>
      </w:r>
      <w:r>
        <w:rPr>
          <w:rFonts w:ascii="Book Antiqua" w:hAnsi="Book Antiqua"/>
          <w:color w:val="000000" w:themeColor="text1"/>
          <w:kern w:val="2"/>
        </w:rPr>
        <w:t xml:space="preserve">; </w:t>
      </w:r>
      <w:bookmarkStart w:id="28" w:name="_Hlk17271814"/>
      <w:bookmarkStart w:id="29" w:name="OLE_LINK11"/>
      <w:r>
        <w:rPr>
          <w:rFonts w:ascii="Book Antiqua" w:hAnsi="Book Antiqua"/>
          <w:color w:val="000000" w:themeColor="text1"/>
          <w:kern w:val="2"/>
        </w:rPr>
        <w:t>In press</w:t>
      </w:r>
      <w:bookmarkEnd w:id="28"/>
      <w:bookmarkEnd w:id="29"/>
    </w:p>
    <w:p w:rsidR="00FE31D1" w:rsidRDefault="00C450F3">
      <w:pPr>
        <w:spacing w:line="360" w:lineRule="auto"/>
        <w:jc w:val="both"/>
        <w:rPr>
          <w:rFonts w:ascii="Book Antiqua" w:eastAsiaTheme="majorEastAsia" w:hAnsi="Book Antiqua"/>
          <w:bCs/>
        </w:rPr>
      </w:pPr>
      <w:r>
        <w:rPr>
          <w:rFonts w:ascii="Book Antiqua" w:eastAsiaTheme="majorEastAsia" w:hAnsi="Book Antiqua"/>
          <w:bCs/>
        </w:rPr>
        <w:br w:type="page"/>
      </w:r>
    </w:p>
    <w:p w:rsidR="00FE31D1" w:rsidRDefault="00C450F3">
      <w:pPr>
        <w:spacing w:line="360" w:lineRule="auto"/>
        <w:jc w:val="both"/>
        <w:rPr>
          <w:rFonts w:ascii="Book Antiqua" w:eastAsia="Songti SC" w:hAnsi="Book Antiqua"/>
          <w:b/>
        </w:rPr>
      </w:pPr>
      <w:r>
        <w:rPr>
          <w:rFonts w:ascii="Book Antiqua" w:eastAsia="Songti SC" w:hAnsi="Book Antiqua"/>
          <w:b/>
        </w:rPr>
        <w:lastRenderedPageBreak/>
        <w:t>INTRODUCTION</w:t>
      </w:r>
    </w:p>
    <w:p w:rsidR="00FE31D1" w:rsidRDefault="00C450F3">
      <w:pPr>
        <w:spacing w:line="360" w:lineRule="auto"/>
        <w:jc w:val="both"/>
        <w:rPr>
          <w:rFonts w:ascii="Book Antiqua" w:eastAsiaTheme="minorEastAsia" w:hAnsi="Book Antiqua"/>
        </w:rPr>
      </w:pPr>
      <w:r>
        <w:rPr>
          <w:rFonts w:ascii="Book Antiqua" w:eastAsiaTheme="minorEastAsia" w:hAnsi="Book Antiqua"/>
        </w:rPr>
        <w:t>Breast cancer is one of the most common malignant tumors. Its incidence rate is the highest in females and has a rising trend</w:t>
      </w:r>
      <w:r>
        <w:rPr>
          <w:rFonts w:ascii="Book Antiqua" w:eastAsiaTheme="minorEastAsia" w:hAnsi="Book Antiqua"/>
          <w:vertAlign w:val="superscript"/>
        </w:rPr>
        <w:t>[1-3]</w:t>
      </w:r>
      <w:r>
        <w:rPr>
          <w:rFonts w:ascii="Book Antiqua" w:eastAsiaTheme="minorEastAsia" w:hAnsi="Book Antiqua"/>
        </w:rPr>
        <w:t>. Although advanced medical technology has significantly improved the 5-year survival rate of many types of breast cancer, there are still 20% to 30% of patients who will have recurrence, serious complications, and even death after treatment</w:t>
      </w:r>
      <w:r>
        <w:rPr>
          <w:rFonts w:ascii="Book Antiqua" w:eastAsiaTheme="minorEastAsia" w:hAnsi="Book Antiqua"/>
          <w:vertAlign w:val="superscript"/>
        </w:rPr>
        <w:t>[4-6]</w:t>
      </w:r>
      <w:r>
        <w:rPr>
          <w:rFonts w:ascii="Book Antiqua" w:eastAsiaTheme="minorEastAsia" w:hAnsi="Book Antiqua"/>
        </w:rPr>
        <w:t xml:space="preserve">. According to the report by Dent </w:t>
      </w:r>
      <w:r>
        <w:rPr>
          <w:rFonts w:ascii="Book Antiqua" w:eastAsiaTheme="minorEastAsia" w:hAnsi="Book Antiqua"/>
          <w:i/>
          <w:iCs/>
        </w:rPr>
        <w:t>et al</w:t>
      </w:r>
      <w:r>
        <w:rPr>
          <w:rFonts w:ascii="Book Antiqua" w:eastAsiaTheme="minorEastAsia" w:hAnsi="Book Antiqua"/>
          <w:vertAlign w:val="superscript"/>
        </w:rPr>
        <w:t>[7]</w:t>
      </w:r>
      <w:r>
        <w:rPr>
          <w:rFonts w:ascii="Book Antiqua" w:eastAsiaTheme="minorEastAsia" w:hAnsi="Book Antiqua"/>
        </w:rPr>
        <w:t>, the 5-year survival rate of patients with recurrent breast cancer is only about 60%. Distant metastasis is one of the most important reasons. In particular, attention needs to be paid to patients with triple-negative breast cancer (TNBC), which is highly invasive and more prone to recurrence and metastasis than other f</w:t>
      </w:r>
      <w:r w:rsidR="005E4837">
        <w:rPr>
          <w:rFonts w:ascii="Book Antiqua" w:eastAsiaTheme="minorEastAsia" w:hAnsi="Book Antiqua"/>
        </w:rPr>
        <w:t>or</w:t>
      </w:r>
      <w:bookmarkStart w:id="30" w:name="_GoBack"/>
      <w:bookmarkEnd w:id="30"/>
      <w:r>
        <w:rPr>
          <w:rFonts w:ascii="Book Antiqua" w:eastAsiaTheme="minorEastAsia" w:hAnsi="Book Antiqua"/>
        </w:rPr>
        <w:t>ms of breast cancer</w:t>
      </w:r>
      <w:r>
        <w:rPr>
          <w:rFonts w:ascii="Book Antiqua" w:eastAsiaTheme="minorEastAsia" w:hAnsi="Book Antiqua"/>
          <w:vertAlign w:val="superscript"/>
        </w:rPr>
        <w:t>[8-10]</w:t>
      </w:r>
      <w:r>
        <w:rPr>
          <w:rFonts w:ascii="Book Antiqua" w:eastAsiaTheme="minorEastAsia" w:hAnsi="Book Antiqua"/>
        </w:rPr>
        <w:t>. Therefore, studies on TNBC are popular in clinical research. In recent years, researchers have found a small number of highly tumorigenic cell populations in breast tumors that express stem cell-like properties and are capable of self-renewal and differentiation, which are considered to be the source of tumor recurrence</w:t>
      </w:r>
      <w:r>
        <w:rPr>
          <w:rFonts w:ascii="Book Antiqua" w:eastAsiaTheme="minorEastAsia" w:hAnsi="Book Antiqua"/>
          <w:vertAlign w:val="superscript"/>
        </w:rPr>
        <w:t>[11-13]</w:t>
      </w:r>
      <w:r>
        <w:rPr>
          <w:rFonts w:ascii="Book Antiqua" w:eastAsiaTheme="minorEastAsia" w:hAnsi="Book Antiqua"/>
        </w:rPr>
        <w:t>. Some latest studies have suggested that deaths caused by TNBC are mainly associated with persistent cancer stem cells (CSCs)</w:t>
      </w:r>
      <w:r>
        <w:rPr>
          <w:rFonts w:ascii="Book Antiqua" w:eastAsiaTheme="minorEastAsia" w:hAnsi="Book Antiqua"/>
          <w:vertAlign w:val="superscript"/>
        </w:rPr>
        <w:t>[14-16]</w:t>
      </w:r>
      <w:r>
        <w:rPr>
          <w:rFonts w:ascii="Book Antiqua" w:eastAsiaTheme="minorEastAsia" w:hAnsi="Book Antiqua"/>
        </w:rPr>
        <w:t xml:space="preserve">. An </w:t>
      </w:r>
      <w:r>
        <w:rPr>
          <w:rFonts w:ascii="Book Antiqua" w:eastAsiaTheme="minorEastAsia" w:hAnsi="Book Antiqua"/>
          <w:i/>
          <w:iCs/>
        </w:rPr>
        <w:t>in vitro</w:t>
      </w:r>
      <w:r>
        <w:rPr>
          <w:rFonts w:ascii="Book Antiqua" w:eastAsiaTheme="minorEastAsia" w:hAnsi="Book Antiqua"/>
        </w:rPr>
        <w:t xml:space="preserve"> experiment with CSCs from Lu </w:t>
      </w:r>
      <w:r>
        <w:rPr>
          <w:rFonts w:ascii="Book Antiqua" w:eastAsiaTheme="minorEastAsia" w:hAnsi="Book Antiqua"/>
          <w:i/>
          <w:iCs/>
        </w:rPr>
        <w:t>et al</w:t>
      </w:r>
      <w:r>
        <w:rPr>
          <w:rFonts w:ascii="Book Antiqua" w:eastAsiaTheme="minorEastAsia" w:hAnsi="Book Antiqua"/>
          <w:vertAlign w:val="superscript"/>
        </w:rPr>
        <w:t>[17]</w:t>
      </w:r>
      <w:r>
        <w:rPr>
          <w:rFonts w:ascii="Book Antiqua" w:eastAsiaTheme="minorEastAsia" w:hAnsi="Book Antiqua"/>
        </w:rPr>
        <w:t xml:space="preserve"> also showed that chemotherapy can enrich CSCs in TNBC and induce recurrence. Hence, targeted therapy for inhibiting CSC population has great clinical value. In the study of Samanta </w:t>
      </w:r>
      <w:r>
        <w:rPr>
          <w:rFonts w:ascii="Book Antiqua" w:eastAsiaTheme="minorEastAsia" w:hAnsi="Book Antiqua"/>
          <w:i/>
          <w:iCs/>
        </w:rPr>
        <w:t>et al</w:t>
      </w:r>
      <w:r>
        <w:rPr>
          <w:rFonts w:ascii="Book Antiqua" w:eastAsiaTheme="minorEastAsia" w:hAnsi="Book Antiqua"/>
          <w:vertAlign w:val="superscript"/>
        </w:rPr>
        <w:t>[18]</w:t>
      </w:r>
      <w:r>
        <w:rPr>
          <w:rFonts w:ascii="Book Antiqua" w:eastAsiaTheme="minorEastAsia" w:hAnsi="Book Antiqua"/>
        </w:rPr>
        <w:t xml:space="preserve">, hypoxia can promote the ability of tumor cells to obtain the features of stem cells and enhance the resistance of breast cancer cells to chemotherapy. Carroll </w:t>
      </w:r>
      <w:r>
        <w:rPr>
          <w:rFonts w:ascii="Book Antiqua" w:eastAsiaTheme="minorEastAsia" w:hAnsi="Book Antiqua"/>
          <w:i/>
          <w:iCs/>
        </w:rPr>
        <w:t>et al</w:t>
      </w:r>
      <w:r>
        <w:rPr>
          <w:rFonts w:ascii="Book Antiqua" w:eastAsiaTheme="minorEastAsia" w:hAnsi="Book Antiqua"/>
          <w:vertAlign w:val="superscript"/>
        </w:rPr>
        <w:t>[19]</w:t>
      </w:r>
      <w:r>
        <w:rPr>
          <w:rFonts w:ascii="Book Antiqua" w:eastAsiaTheme="minorEastAsia" w:hAnsi="Book Antiqua"/>
        </w:rPr>
        <w:t xml:space="preserve"> revealed the role of gene expression of hypoxia-inducible factor-1</w:t>
      </w:r>
      <w:r>
        <w:rPr>
          <w:rFonts w:ascii="Book Antiqua" w:eastAsia="Songti SC" w:hAnsi="Book Antiqua"/>
        </w:rPr>
        <w:t>α</w:t>
      </w:r>
      <w:r>
        <w:rPr>
          <w:rFonts w:ascii="Book Antiqua" w:eastAsiaTheme="minorEastAsia" w:hAnsi="Book Antiqua"/>
        </w:rPr>
        <w:t xml:space="preserve"> (HIF-1</w:t>
      </w:r>
      <w:r>
        <w:rPr>
          <w:rFonts w:ascii="Book Antiqua" w:eastAsia="Songti SC" w:hAnsi="Book Antiqua"/>
        </w:rPr>
        <w:t>α</w:t>
      </w:r>
      <w:r>
        <w:rPr>
          <w:rFonts w:ascii="Book Antiqua" w:eastAsiaTheme="minorEastAsia" w:hAnsi="Book Antiqua"/>
        </w:rPr>
        <w:t>) and hypoxia-inducible factor-2</w:t>
      </w:r>
      <w:r>
        <w:rPr>
          <w:rFonts w:ascii="Book Antiqua" w:eastAsia="Songti SC" w:hAnsi="Book Antiqua"/>
        </w:rPr>
        <w:t>α</w:t>
      </w:r>
      <w:r>
        <w:rPr>
          <w:rFonts w:ascii="Book Antiqua" w:eastAsiaTheme="minorEastAsia" w:hAnsi="Book Antiqua"/>
        </w:rPr>
        <w:t xml:space="preserve"> (HIF-2</w:t>
      </w:r>
      <w:r>
        <w:rPr>
          <w:rFonts w:ascii="Book Antiqua" w:eastAsia="Songti SC" w:hAnsi="Book Antiqua"/>
        </w:rPr>
        <w:t>α</w:t>
      </w:r>
      <w:r>
        <w:rPr>
          <w:rFonts w:ascii="Book Antiqua" w:eastAsiaTheme="minorEastAsia" w:hAnsi="Book Antiqua"/>
        </w:rPr>
        <w:t>) in breast cancer cell proliferation. It is worth noting that HIF-2</w:t>
      </w:r>
      <w:r>
        <w:rPr>
          <w:rFonts w:ascii="Book Antiqua" w:eastAsia="Songti SC" w:hAnsi="Book Antiqua"/>
        </w:rPr>
        <w:t>α</w:t>
      </w:r>
      <w:r>
        <w:rPr>
          <w:rFonts w:ascii="Book Antiqua" w:eastAsiaTheme="minorEastAsia" w:hAnsi="Book Antiqua"/>
        </w:rPr>
        <w:t xml:space="preserve"> is more important in regulating the state of CSCs. Studies have confirmed that HIF-2</w:t>
      </w:r>
      <w:r>
        <w:rPr>
          <w:rFonts w:ascii="Book Antiqua" w:eastAsia="Songti SC" w:hAnsi="Book Antiqua"/>
        </w:rPr>
        <w:t>α</w:t>
      </w:r>
      <w:r>
        <w:rPr>
          <w:rFonts w:ascii="Book Antiqua" w:eastAsiaTheme="minorEastAsia" w:hAnsi="Book Antiqua"/>
        </w:rPr>
        <w:t xml:space="preserve"> can affect the biological characteristics of breast CSCs, which is related to CD44 and its downstream pathway</w:t>
      </w:r>
      <w:r>
        <w:rPr>
          <w:rFonts w:ascii="Book Antiqua" w:eastAsiaTheme="minorEastAsia" w:hAnsi="Book Antiqua"/>
          <w:vertAlign w:val="superscript"/>
        </w:rPr>
        <w:t>[20,21]</w:t>
      </w:r>
      <w:r>
        <w:rPr>
          <w:rFonts w:ascii="Book Antiqua" w:eastAsiaTheme="minorEastAsia" w:hAnsi="Book Antiqua"/>
        </w:rPr>
        <w:t xml:space="preserve">. As a widely distributed transmembrane glycoprotein, CD44 regulates the phosphoinosmde-3-kinase (PI3K)/protein-serine-threonine kinase (AKT)/mammalian target of rapamycin (mTOR) signaling pathway and participates in the migration of cancer cells. It is also highly expressed in CSCs </w:t>
      </w:r>
      <w:r>
        <w:rPr>
          <w:rFonts w:ascii="Book Antiqua" w:eastAsiaTheme="minorEastAsia" w:hAnsi="Book Antiqua"/>
        </w:rPr>
        <w:lastRenderedPageBreak/>
        <w:t>and is one of the important markers of CSCs. Current studies have shown that the change of CD44 expression is consistent with the trend of HIF-2</w:t>
      </w:r>
      <w:r>
        <w:rPr>
          <w:rFonts w:ascii="Book Antiqua" w:eastAsia="Songti SC" w:hAnsi="Book Antiqua"/>
        </w:rPr>
        <w:t>α</w:t>
      </w:r>
      <w:r>
        <w:rPr>
          <w:rFonts w:ascii="Book Antiqua" w:eastAsiaTheme="minorEastAsia" w:hAnsi="Book Antiqua"/>
        </w:rPr>
        <w:t xml:space="preserve"> expression</w:t>
      </w:r>
      <w:r>
        <w:rPr>
          <w:rFonts w:ascii="Book Antiqua" w:eastAsiaTheme="minorEastAsia" w:hAnsi="Book Antiqua"/>
          <w:vertAlign w:val="superscript"/>
        </w:rPr>
        <w:t>[22-24]</w:t>
      </w:r>
      <w:r>
        <w:rPr>
          <w:rFonts w:ascii="Book Antiqua" w:eastAsiaTheme="minorEastAsia" w:hAnsi="Book Antiqua"/>
        </w:rPr>
        <w:t>, but the relationship between CD44 and HIF-2</w:t>
      </w:r>
      <w:r>
        <w:rPr>
          <w:rFonts w:ascii="Book Antiqua" w:eastAsia="Songti SC" w:hAnsi="Book Antiqua"/>
        </w:rPr>
        <w:t>α</w:t>
      </w:r>
      <w:r>
        <w:rPr>
          <w:rFonts w:ascii="Book Antiqua" w:eastAsiaTheme="minorEastAsia" w:hAnsi="Book Antiqua"/>
        </w:rPr>
        <w:t xml:space="preserve"> and its regulation mechanism are still unknown. The aim of this study was to investigate the relationship between HIF-2</w:t>
      </w:r>
      <w:r>
        <w:rPr>
          <w:rFonts w:ascii="Book Antiqua" w:eastAsia="Songti SC" w:hAnsi="Book Antiqua"/>
        </w:rPr>
        <w:t>α</w:t>
      </w:r>
      <w:r>
        <w:rPr>
          <w:rFonts w:ascii="Book Antiqua" w:eastAsiaTheme="minorEastAsia" w:hAnsi="Book Antiqua"/>
        </w:rPr>
        <w:t>, CD44, and PI3K/AKT/mTOR signaling by using breast cancer cell line MDA-MB-231, and further analyze the mechanism of CSC activation in TNBC and its role in the malignant progression of TNBC.</w:t>
      </w:r>
    </w:p>
    <w:p w:rsidR="00FE31D1" w:rsidRDefault="00FE31D1">
      <w:pPr>
        <w:spacing w:line="360" w:lineRule="auto"/>
        <w:ind w:firstLineChars="200" w:firstLine="480"/>
        <w:jc w:val="both"/>
        <w:rPr>
          <w:rFonts w:ascii="Book Antiqua" w:eastAsiaTheme="minorEastAsia" w:hAnsi="Book Antiqua"/>
        </w:rPr>
      </w:pPr>
    </w:p>
    <w:p w:rsidR="00FE31D1" w:rsidRDefault="00C450F3">
      <w:pPr>
        <w:spacing w:line="360" w:lineRule="auto"/>
        <w:jc w:val="both"/>
        <w:outlineLvl w:val="0"/>
        <w:rPr>
          <w:rFonts w:ascii="Book Antiqua" w:hAnsi="Book Antiqua"/>
        </w:rPr>
      </w:pPr>
      <w:r>
        <w:rPr>
          <w:rFonts w:ascii="Book Antiqua" w:eastAsia="Songti SC" w:hAnsi="Book Antiqua"/>
          <w:b/>
        </w:rPr>
        <w:t>MATERIALS AND METHODS</w:t>
      </w:r>
      <w:r>
        <w:rPr>
          <w:rFonts w:ascii="Book Antiqua" w:hAnsi="Book Antiqua"/>
        </w:rPr>
        <w:t xml:space="preserve"> </w:t>
      </w:r>
    </w:p>
    <w:p w:rsidR="00FE31D1" w:rsidRDefault="00C450F3">
      <w:pPr>
        <w:spacing w:line="360" w:lineRule="auto"/>
        <w:jc w:val="both"/>
        <w:outlineLvl w:val="0"/>
        <w:rPr>
          <w:rFonts w:ascii="Book Antiqua" w:hAnsi="Book Antiqua"/>
          <w:b/>
          <w:i/>
          <w:iCs/>
        </w:rPr>
      </w:pPr>
      <w:r>
        <w:rPr>
          <w:rFonts w:ascii="Book Antiqua" w:hAnsi="Book Antiqua"/>
          <w:b/>
          <w:i/>
          <w:iCs/>
        </w:rPr>
        <w:t>Patients and breast cancer tissues</w:t>
      </w:r>
    </w:p>
    <w:p w:rsidR="00FE31D1" w:rsidRDefault="00C450F3">
      <w:pPr>
        <w:spacing w:line="360" w:lineRule="auto"/>
        <w:jc w:val="both"/>
        <w:outlineLvl w:val="0"/>
        <w:rPr>
          <w:rFonts w:ascii="Book Antiqua" w:hAnsi="Book Antiqua"/>
        </w:rPr>
      </w:pPr>
      <w:r>
        <w:rPr>
          <w:rFonts w:ascii="Book Antiqua" w:hAnsi="Book Antiqua"/>
        </w:rPr>
        <w:t xml:space="preserve">A total of 49 female patients with primary breast cancer diagnosed at Cangzhou Central Hospital were enrolled in our study from 2016 to 2017. Among them are 29 cases of TNBC and 20 cases of lumen type breast cancer (non-TNBC). All the patients had never been treated with radiotherapy or chemotherapy and the diagnosis was confirmed pathologically by more than two pathologists. Patients who had recurrent or metastatic breast cancer were excluded. Tumor tissues from TNBC and non-TNBC patients obtained during surgery were fixed in 10% neutral buffered formalin and then embedded in paraffin wax for </w:t>
      </w:r>
      <w:r>
        <w:rPr>
          <w:rFonts w:ascii="Book Antiqua" w:eastAsiaTheme="minorEastAsia" w:hAnsi="Book Antiqua"/>
        </w:rPr>
        <w:t>immunohistochemistry</w:t>
      </w:r>
      <w:r>
        <w:rPr>
          <w:rFonts w:ascii="Book Antiqua" w:hAnsi="Book Antiqua"/>
        </w:rPr>
        <w:t xml:space="preserve"> analysis. This study was approved by the Ethics Committee of Cangzhou Central Hospital.</w:t>
      </w:r>
    </w:p>
    <w:p w:rsidR="00FE31D1" w:rsidRDefault="00FE31D1">
      <w:pPr>
        <w:spacing w:line="360" w:lineRule="auto"/>
        <w:jc w:val="both"/>
        <w:outlineLvl w:val="0"/>
        <w:rPr>
          <w:rFonts w:ascii="Book Antiqua" w:eastAsiaTheme="minorEastAsia" w:hAnsi="Book Antiqua"/>
          <w:b/>
        </w:rPr>
      </w:pPr>
    </w:p>
    <w:p w:rsidR="00FE31D1" w:rsidRDefault="00C450F3">
      <w:pPr>
        <w:spacing w:line="360" w:lineRule="auto"/>
        <w:jc w:val="both"/>
        <w:outlineLvl w:val="0"/>
        <w:rPr>
          <w:rFonts w:ascii="Book Antiqua" w:eastAsiaTheme="minorEastAsia" w:hAnsi="Book Antiqua"/>
          <w:b/>
          <w:i/>
          <w:iCs/>
        </w:rPr>
      </w:pPr>
      <w:r>
        <w:rPr>
          <w:rFonts w:ascii="Book Antiqua" w:eastAsiaTheme="minorEastAsia" w:hAnsi="Book Antiqua"/>
          <w:b/>
          <w:i/>
          <w:iCs/>
        </w:rPr>
        <w:t>Immunohistochemistry</w:t>
      </w:r>
    </w:p>
    <w:p w:rsidR="00FE31D1" w:rsidRDefault="00C450F3">
      <w:pPr>
        <w:spacing w:line="360" w:lineRule="auto"/>
        <w:jc w:val="both"/>
        <w:outlineLvl w:val="0"/>
        <w:rPr>
          <w:rFonts w:ascii="Book Antiqua" w:hAnsi="Book Antiqua"/>
        </w:rPr>
      </w:pPr>
      <w:r>
        <w:rPr>
          <w:rFonts w:ascii="Book Antiqua" w:hAnsi="Book Antiqua"/>
        </w:rPr>
        <w:t xml:space="preserve">The expression of </w:t>
      </w:r>
      <w:r>
        <w:rPr>
          <w:rFonts w:ascii="Book Antiqua" w:eastAsiaTheme="minorEastAsia" w:hAnsi="Book Antiqua"/>
        </w:rPr>
        <w:t>HIF-2α</w:t>
      </w:r>
      <w:r>
        <w:rPr>
          <w:rFonts w:ascii="Book Antiqua" w:hAnsi="Book Antiqua"/>
        </w:rPr>
        <w:t xml:space="preserve"> and CD44 in breast cancer was measured by </w:t>
      </w:r>
      <w:r>
        <w:rPr>
          <w:rFonts w:ascii="Book Antiqua" w:eastAsiaTheme="minorEastAsia" w:hAnsi="Book Antiqua"/>
        </w:rPr>
        <w:t>immunohistochemistry</w:t>
      </w:r>
      <w:r>
        <w:rPr>
          <w:rFonts w:ascii="Book Antiqua" w:hAnsi="Book Antiqua"/>
        </w:rPr>
        <w:t xml:space="preserve"> analysis. </w:t>
      </w:r>
      <w:r>
        <w:rPr>
          <w:rFonts w:ascii="Book Antiqua" w:eastAsiaTheme="minorEastAsia" w:hAnsi="Book Antiqua"/>
        </w:rPr>
        <w:t>Briefly</w:t>
      </w:r>
      <w:r>
        <w:rPr>
          <w:rFonts w:ascii="Book Antiqua" w:hAnsi="Book Antiqua"/>
        </w:rPr>
        <w:t>, sections of 4 μm thickness, obtained from patients with TNBC and non-TNBC, were subjected to deparaffinization, rehydration, and microwave antigen retrieval. The tissue sections were incubated in 0.3% H</w:t>
      </w:r>
      <w:r>
        <w:rPr>
          <w:rFonts w:ascii="Book Antiqua" w:hAnsi="Book Antiqua"/>
          <w:vertAlign w:val="subscript"/>
        </w:rPr>
        <w:t>2</w:t>
      </w:r>
      <w:r>
        <w:rPr>
          <w:rFonts w:ascii="Book Antiqua" w:hAnsi="Book Antiqua"/>
        </w:rPr>
        <w:t>O</w:t>
      </w:r>
      <w:r>
        <w:rPr>
          <w:rFonts w:ascii="Book Antiqua" w:hAnsi="Book Antiqua"/>
          <w:vertAlign w:val="subscript"/>
        </w:rPr>
        <w:t>2</w:t>
      </w:r>
      <w:r>
        <w:rPr>
          <w:rFonts w:ascii="Book Antiqua" w:hAnsi="Book Antiqua"/>
        </w:rPr>
        <w:t xml:space="preserve"> for 10 min and blocked using 1% BSA/PBS. The slides were then incubated with the following primary antibodies: anti-CD44 (dilution, 1:800) and anti</w:t>
      </w:r>
      <w:r>
        <w:rPr>
          <w:rFonts w:ascii="Book Antiqua" w:eastAsiaTheme="minorEastAsia" w:hAnsi="Book Antiqua"/>
        </w:rPr>
        <w:t>-HIF-2α</w:t>
      </w:r>
      <w:r>
        <w:rPr>
          <w:rFonts w:ascii="Book Antiqua" w:hAnsi="Book Antiqua"/>
        </w:rPr>
        <w:t xml:space="preserve"> antibodies (dilution, 1:400; Abcam, Cambridge, MA, United States) overnight at 4 °C. Afterwards, the tissues were </w:t>
      </w:r>
      <w:r>
        <w:rPr>
          <w:rFonts w:ascii="Book Antiqua" w:hAnsi="Book Antiqua"/>
        </w:rPr>
        <w:lastRenderedPageBreak/>
        <w:t>incubated with horseradish peroxidase-labeled secondary antibody (dilution, 1:1000; Santa Cruz Biotechnology, Inc) at 37 °C for 30 min and and stained with DAB, followed by haematoxylin counterstaning. The result was evaluated by pathologists based on the following criteria: &gt;10% of cells stained represented positive expression and &gt;30% of cells stained were considered as high expression.</w:t>
      </w:r>
    </w:p>
    <w:p w:rsidR="00FE31D1" w:rsidRDefault="00FE31D1">
      <w:pPr>
        <w:spacing w:line="360" w:lineRule="auto"/>
        <w:jc w:val="both"/>
        <w:outlineLvl w:val="0"/>
        <w:rPr>
          <w:rFonts w:ascii="Book Antiqua" w:eastAsiaTheme="minorEastAsia" w:hAnsi="Book Antiqua"/>
          <w:b/>
        </w:rPr>
      </w:pPr>
    </w:p>
    <w:p w:rsidR="00FE31D1" w:rsidRDefault="00C450F3">
      <w:pPr>
        <w:spacing w:line="360" w:lineRule="auto"/>
        <w:jc w:val="both"/>
        <w:outlineLvl w:val="0"/>
        <w:rPr>
          <w:rFonts w:ascii="Book Antiqua" w:eastAsiaTheme="minorEastAsia" w:hAnsi="Book Antiqua"/>
          <w:b/>
          <w:i/>
          <w:iCs/>
        </w:rPr>
      </w:pPr>
      <w:r>
        <w:rPr>
          <w:rFonts w:ascii="Book Antiqua" w:eastAsiaTheme="minorEastAsia" w:hAnsi="Book Antiqua"/>
          <w:b/>
          <w:i/>
          <w:iCs/>
        </w:rPr>
        <w:t>Cell culture</w:t>
      </w:r>
    </w:p>
    <w:p w:rsidR="00FE31D1" w:rsidRDefault="00C450F3">
      <w:pPr>
        <w:spacing w:line="360" w:lineRule="auto"/>
        <w:jc w:val="both"/>
        <w:rPr>
          <w:rFonts w:ascii="Book Antiqua" w:eastAsiaTheme="minorEastAsia" w:hAnsi="Book Antiqua"/>
        </w:rPr>
      </w:pPr>
      <w:r>
        <w:rPr>
          <w:rFonts w:ascii="Book Antiqua" w:eastAsiaTheme="minorEastAsia" w:hAnsi="Book Antiqua"/>
        </w:rPr>
        <w:t>Human breast cancer cell lines MDA-MB-231 and MCF-7 were obtained from American Type Culture Collection (ATCC, Manassas, VA, United States) and routinely cultured in Dulbecco’s modified Eagle’s medium-F12 medium containing 10% fetal bovine serum, 100 U/mL penicillin, and 100 μg/mL streptomycin (Gibco, Grand island, NY, United States). Cells were grown at 37 °C in a humidified incubator containing 5% CO</w:t>
      </w:r>
      <w:r>
        <w:rPr>
          <w:rFonts w:ascii="Book Antiqua" w:eastAsiaTheme="minorEastAsia" w:hAnsi="Book Antiqua"/>
          <w:vertAlign w:val="subscript"/>
        </w:rPr>
        <w:t xml:space="preserve">2 </w:t>
      </w:r>
      <w:r>
        <w:rPr>
          <w:rFonts w:ascii="Book Antiqua" w:eastAsiaTheme="minorEastAsia" w:hAnsi="Book Antiqua"/>
        </w:rPr>
        <w:t>and the complete medium changed 24 h. Digestion and passage were performed and cells in exponential growth stage were harvested for various experiments. For hypoxia treatment, all cells were cultured in a constant-temperature incubator with 1%O</w:t>
      </w:r>
      <w:r>
        <w:rPr>
          <w:rFonts w:ascii="Book Antiqua" w:eastAsiaTheme="minorEastAsia" w:hAnsi="Book Antiqua"/>
          <w:vertAlign w:val="subscript"/>
        </w:rPr>
        <w:t>2</w:t>
      </w:r>
      <w:r>
        <w:rPr>
          <w:rFonts w:ascii="Book Antiqua" w:eastAsiaTheme="minorEastAsia" w:hAnsi="Book Antiqua"/>
        </w:rPr>
        <w:t>, 5%CO</w:t>
      </w:r>
      <w:r>
        <w:rPr>
          <w:rFonts w:ascii="Book Antiqua" w:eastAsiaTheme="minorEastAsia" w:hAnsi="Book Antiqua"/>
          <w:vertAlign w:val="subscript"/>
        </w:rPr>
        <w:t>2</w:t>
      </w:r>
      <w:r>
        <w:rPr>
          <w:rFonts w:ascii="Book Antiqua" w:eastAsiaTheme="minorEastAsia" w:hAnsi="Book Antiqua"/>
        </w:rPr>
        <w:t>, and 94%N</w:t>
      </w:r>
      <w:r>
        <w:rPr>
          <w:rFonts w:ascii="Book Antiqua" w:eastAsiaTheme="minorEastAsia" w:hAnsi="Book Antiqua"/>
          <w:vertAlign w:val="subscript"/>
        </w:rPr>
        <w:t>2</w:t>
      </w:r>
      <w:r>
        <w:rPr>
          <w:rFonts w:ascii="Book Antiqua" w:eastAsiaTheme="minorEastAsia" w:hAnsi="Book Antiqua"/>
        </w:rPr>
        <w:t>.</w:t>
      </w:r>
    </w:p>
    <w:p w:rsidR="00FE31D1" w:rsidRDefault="00FE31D1">
      <w:pPr>
        <w:spacing w:line="360" w:lineRule="auto"/>
        <w:jc w:val="both"/>
        <w:outlineLvl w:val="0"/>
        <w:rPr>
          <w:rFonts w:ascii="Book Antiqua" w:hAnsi="Book Antiqua"/>
          <w:b/>
          <w:i/>
          <w:iCs/>
        </w:rPr>
      </w:pPr>
    </w:p>
    <w:p w:rsidR="00FE31D1" w:rsidRDefault="00C450F3">
      <w:pPr>
        <w:spacing w:line="360" w:lineRule="auto"/>
        <w:jc w:val="both"/>
        <w:outlineLvl w:val="0"/>
        <w:rPr>
          <w:rFonts w:ascii="Book Antiqua" w:hAnsi="Book Antiqua"/>
          <w:b/>
          <w:i/>
          <w:iCs/>
        </w:rPr>
      </w:pPr>
      <w:r>
        <w:rPr>
          <w:rFonts w:ascii="Book Antiqua" w:hAnsi="Book Antiqua"/>
          <w:b/>
          <w:i/>
          <w:iCs/>
        </w:rPr>
        <w:t>Immunofluorescence</w:t>
      </w:r>
    </w:p>
    <w:p w:rsidR="00FE31D1" w:rsidRDefault="00C450F3">
      <w:pPr>
        <w:spacing w:line="360" w:lineRule="auto"/>
        <w:jc w:val="both"/>
        <w:outlineLvl w:val="0"/>
        <w:rPr>
          <w:rFonts w:ascii="Book Antiqua" w:hAnsi="Book Antiqua"/>
        </w:rPr>
      </w:pPr>
      <w:r>
        <w:rPr>
          <w:rFonts w:ascii="Book Antiqua" w:hAnsi="Book Antiqua"/>
        </w:rPr>
        <w:t xml:space="preserve">Cells were seeded on coverslides for 24 h and then fixed in 4% paraformaldehyde, followed by permeabilization with 0.2% Triton X-100. The nonspecific sites of samples were blocked with normal sheep serum at room temperature, and then the cells were stained with the primary antibody CD44-PE (dilution, 1:200) and rabbit anti-HIF-2α antibody (dilution, 1:600) provided by BD Biosciences overnight at 4 </w:t>
      </w:r>
      <w:r>
        <w:rPr>
          <w:rFonts w:ascii="Book Antiqua" w:hAnsi="Book Antiqua" w:cs="Book Antiqua"/>
        </w:rPr>
        <w:t>°</w:t>
      </w:r>
      <w:r>
        <w:rPr>
          <w:rFonts w:ascii="Book Antiqua" w:hAnsi="Book Antiqua"/>
        </w:rPr>
        <w:t xml:space="preserve">C. Then, the samples were washed three times with PBS and incubated with the fluorophore-labelled goat anti-rabbit antibody for an additional 30 min at room temperature. After three washes with PBS, the samples were counterstained with 1 μg/mL 4',6-diamidino-2-phenylindole (Sigma, St. Louis, MO, </w:t>
      </w:r>
      <w:r>
        <w:rPr>
          <w:rFonts w:ascii="Book Antiqua" w:eastAsiaTheme="minorEastAsia" w:hAnsi="Book Antiqua"/>
        </w:rPr>
        <w:t>United States</w:t>
      </w:r>
      <w:r>
        <w:rPr>
          <w:rFonts w:ascii="Book Antiqua" w:hAnsi="Book Antiqua"/>
        </w:rPr>
        <w:t>) to visualize cell nuclei and the stained cells were analyzed under a fluorescence microscope.</w:t>
      </w:r>
    </w:p>
    <w:p w:rsidR="00FE31D1" w:rsidRDefault="00FE31D1">
      <w:pPr>
        <w:spacing w:line="360" w:lineRule="auto"/>
        <w:jc w:val="both"/>
        <w:rPr>
          <w:rFonts w:ascii="Book Antiqua" w:eastAsiaTheme="minorEastAsia" w:hAnsi="Book Antiqua"/>
          <w:b/>
        </w:rPr>
      </w:pPr>
    </w:p>
    <w:p w:rsidR="00FE31D1" w:rsidRDefault="00C450F3">
      <w:pPr>
        <w:spacing w:line="360" w:lineRule="auto"/>
        <w:jc w:val="both"/>
        <w:rPr>
          <w:rFonts w:ascii="Book Antiqua" w:eastAsiaTheme="minorEastAsia" w:hAnsi="Book Antiqua"/>
          <w:b/>
          <w:i/>
          <w:iCs/>
        </w:rPr>
      </w:pPr>
      <w:r>
        <w:rPr>
          <w:rFonts w:ascii="Book Antiqua" w:eastAsiaTheme="minorEastAsia" w:hAnsi="Book Antiqua"/>
          <w:b/>
          <w:i/>
          <w:iCs/>
        </w:rPr>
        <w:t>RNA interference and transfection</w:t>
      </w:r>
    </w:p>
    <w:p w:rsidR="00FE31D1" w:rsidRDefault="00C450F3">
      <w:pPr>
        <w:spacing w:line="360" w:lineRule="auto"/>
        <w:jc w:val="both"/>
        <w:rPr>
          <w:rFonts w:ascii="Book Antiqua" w:eastAsiaTheme="minorEastAsia" w:hAnsi="Book Antiqua"/>
        </w:rPr>
      </w:pPr>
      <w:r>
        <w:rPr>
          <w:rFonts w:ascii="Book Antiqua" w:eastAsiaTheme="minorEastAsia" w:hAnsi="Book Antiqua"/>
        </w:rPr>
        <w:t>5 × 10</w:t>
      </w:r>
      <w:r>
        <w:rPr>
          <w:rFonts w:ascii="Book Antiqua" w:eastAsiaTheme="minorEastAsia" w:hAnsi="Book Antiqua"/>
          <w:vertAlign w:val="superscript"/>
        </w:rPr>
        <w:t xml:space="preserve">5 </w:t>
      </w:r>
      <w:r>
        <w:rPr>
          <w:rFonts w:ascii="Book Antiqua" w:eastAsiaTheme="minorEastAsia" w:hAnsi="Book Antiqua"/>
        </w:rPr>
        <w:t>cells were seeded in 6-well plates containing antibiotic-free medium after enzyme digestion</w:t>
      </w:r>
      <w:r>
        <w:rPr>
          <w:rFonts w:ascii="Book Antiqua" w:eastAsiaTheme="minorEastAsia" w:hAnsi="Book Antiqua"/>
          <w:vertAlign w:val="superscript"/>
        </w:rPr>
        <w:t xml:space="preserve"> </w:t>
      </w:r>
      <w:r>
        <w:rPr>
          <w:rFonts w:ascii="Book Antiqua" w:eastAsiaTheme="minorEastAsia" w:hAnsi="Book Antiqua"/>
        </w:rPr>
        <w:t>and cultured in a CO</w:t>
      </w:r>
      <w:r>
        <w:rPr>
          <w:rFonts w:ascii="Book Antiqua" w:eastAsiaTheme="minorEastAsia" w:hAnsi="Book Antiqua"/>
          <w:vertAlign w:val="subscript"/>
        </w:rPr>
        <w:t>2</w:t>
      </w:r>
      <w:r>
        <w:rPr>
          <w:rFonts w:ascii="Book Antiqua" w:eastAsiaTheme="minorEastAsia" w:hAnsi="Book Antiqua"/>
        </w:rPr>
        <w:t xml:space="preserve"> incubator for 24 h. Transfection was performed in cells at 70%-80% confluence with small interfering ribonucleic acid (siRNA) using Lipofectamine</w:t>
      </w:r>
      <w:r>
        <w:rPr>
          <w:rFonts w:ascii="Book Antiqua" w:eastAsiaTheme="minorEastAsia" w:hAnsi="Book Antiqua"/>
          <w:vertAlign w:val="superscript"/>
        </w:rPr>
        <w:t xml:space="preserve"> </w:t>
      </w:r>
      <w:r>
        <w:rPr>
          <w:rFonts w:ascii="Book Antiqua" w:eastAsiaTheme="minorEastAsia" w:hAnsi="Book Antiqua"/>
        </w:rPr>
        <w:t>2000 (Invitrogen, United States) according to the manufacturer’s instructions. siRNAs targeting HIF-2α were designed and synthesized by Sangon Biotech (Shanghai) Co., Ltd. Three siRNAs were tested and that with the highest efficiency of HIF-2α down-regulation was chosen. Briefly, siRNA and Lipofectamine</w:t>
      </w:r>
      <w:r>
        <w:rPr>
          <w:rFonts w:ascii="Book Antiqua" w:eastAsiaTheme="minorEastAsia" w:hAnsi="Book Antiqua"/>
          <w:vertAlign w:val="superscript"/>
        </w:rPr>
        <w:t xml:space="preserve"> </w:t>
      </w:r>
      <w:r>
        <w:rPr>
          <w:rFonts w:ascii="Book Antiqua" w:eastAsiaTheme="minorEastAsia" w:hAnsi="Book Antiqua"/>
        </w:rPr>
        <w:t>2000 were diluted with Opti-MEM medium (Invitrogen, United States) prior to the mixing and then cultured at room temperature for 20 min to allow the formation of a mixture of siRNA-Lipofectamine</w:t>
      </w:r>
      <w:r>
        <w:rPr>
          <w:rFonts w:ascii="Book Antiqua" w:eastAsiaTheme="minorEastAsia" w:hAnsi="Book Antiqua"/>
          <w:vertAlign w:val="superscript"/>
        </w:rPr>
        <w:t xml:space="preserve"> </w:t>
      </w:r>
      <w:r>
        <w:rPr>
          <w:rFonts w:ascii="Book Antiqua" w:eastAsiaTheme="minorEastAsia" w:hAnsi="Book Antiqua"/>
        </w:rPr>
        <w:t>2000. The mixture was added to each well, and culturing continued for 24 h. The medium was replaced with complete medium and incubated for an additional 24 h after hypoxia treatment. RNA was harvested to detect the expression of HIF-2α after 48 h by reverse transcription-PCR.</w:t>
      </w:r>
    </w:p>
    <w:p w:rsidR="00FE31D1" w:rsidRDefault="00FE31D1">
      <w:pPr>
        <w:spacing w:line="360" w:lineRule="auto"/>
        <w:jc w:val="both"/>
        <w:rPr>
          <w:rFonts w:ascii="Book Antiqua" w:eastAsiaTheme="minorEastAsia" w:hAnsi="Book Antiqua"/>
          <w:b/>
        </w:rPr>
      </w:pPr>
    </w:p>
    <w:p w:rsidR="00FE31D1" w:rsidRDefault="00C450F3">
      <w:pPr>
        <w:spacing w:line="360" w:lineRule="auto"/>
        <w:jc w:val="both"/>
        <w:rPr>
          <w:rFonts w:ascii="Book Antiqua" w:eastAsiaTheme="minorEastAsia" w:hAnsi="Book Antiqua"/>
          <w:b/>
          <w:i/>
          <w:iCs/>
        </w:rPr>
      </w:pPr>
      <w:r>
        <w:rPr>
          <w:rFonts w:ascii="Book Antiqua" w:eastAsiaTheme="minorEastAsia" w:hAnsi="Book Antiqua"/>
          <w:b/>
          <w:i/>
          <w:iCs/>
        </w:rPr>
        <w:t>Real-time fluorescent quantitative PCR</w:t>
      </w:r>
    </w:p>
    <w:p w:rsidR="00FE31D1" w:rsidRDefault="00C450F3">
      <w:pPr>
        <w:spacing w:line="360" w:lineRule="auto"/>
        <w:jc w:val="both"/>
        <w:rPr>
          <w:rFonts w:ascii="Book Antiqua" w:eastAsiaTheme="minorEastAsia" w:hAnsi="Book Antiqua"/>
        </w:rPr>
      </w:pPr>
      <w:r>
        <w:rPr>
          <w:rFonts w:ascii="Book Antiqua" w:eastAsiaTheme="minorEastAsia" w:hAnsi="Book Antiqua"/>
        </w:rPr>
        <w:t>Total RNA was isolated from MDA-MB-231 and MCF-7 cells with Trizol reagent (Invitrogen, United States) and the quality of RNA was detected by 1% agarose gel electrophoresis in strict accordance with the manual. 3μg of mRNA was used as template to reverse-transcribe into cDNA, and real-time fluorescent quantitative PCR was conducted utilizing Maxima SYB RGreen /ROX qPCR Master Mix (2X) (Fermentas, United States) and the ABI 7500 real-time PCR system. The 2</w:t>
      </w:r>
      <w:r>
        <w:rPr>
          <w:rFonts w:ascii="Book Antiqua" w:eastAsiaTheme="minorEastAsia" w:hAnsi="Book Antiqua"/>
          <w:vertAlign w:val="superscript"/>
        </w:rPr>
        <w:t>-ΔΔCt</w:t>
      </w:r>
      <w:r>
        <w:rPr>
          <w:rFonts w:ascii="Book Antiqua" w:eastAsiaTheme="minorEastAsia" w:hAnsi="Book Antiqua"/>
        </w:rPr>
        <w:t xml:space="preserve"> method was used to calculate the relative expression level of target genes. GAPDH as a housekeeping gene control was purchased from Sangon Biotech (Shanghai) Co., Ltd, and the specific primer sequences were designed using Primer 5. 0 software as follows: HIF-2α forward, 5’-GG TGAAAGTCTACAACAACTGCC-3’ and reverse, 5’-ATGGGTGCTGGATTGGTTC-3’; CD44 forward, 5’-</w:t>
      </w:r>
      <w:r>
        <w:rPr>
          <w:rFonts w:ascii="Book Antiqua" w:eastAsiaTheme="minorEastAsia" w:hAnsi="Book Antiqua"/>
        </w:rPr>
        <w:lastRenderedPageBreak/>
        <w:t>CCAAGACACATTCCACCCCA-3’ and reverse, 5’-GCCAAGAGGGATGCCAAGAT-3’; GAPDH forward, 5’-TGGCACCCAGCACAATGAA-3’ and reverse 5’-CTAAGTCATAGTCCGC CTAGAAGCA-3’. The conditions for qPCR reactions were: 95 °C for 10 min, followed by 45 cycles of 15 s at 95 °C, 15 s at 57 °C, and 30 s at 72 °C. Melting curve analysis was performed to confirm the specificity of the target gene.</w:t>
      </w:r>
    </w:p>
    <w:p w:rsidR="00FE31D1" w:rsidRDefault="00FE31D1">
      <w:pPr>
        <w:spacing w:line="360" w:lineRule="auto"/>
        <w:jc w:val="both"/>
        <w:rPr>
          <w:rFonts w:ascii="Book Antiqua" w:eastAsiaTheme="minorEastAsia" w:hAnsi="Book Antiqua"/>
          <w:b/>
        </w:rPr>
      </w:pPr>
    </w:p>
    <w:p w:rsidR="00FE31D1" w:rsidRDefault="00C450F3">
      <w:pPr>
        <w:spacing w:line="360" w:lineRule="auto"/>
        <w:jc w:val="both"/>
        <w:rPr>
          <w:rFonts w:ascii="Book Antiqua" w:eastAsiaTheme="minorEastAsia" w:hAnsi="Book Antiqua"/>
          <w:b/>
          <w:i/>
          <w:iCs/>
        </w:rPr>
      </w:pPr>
      <w:r>
        <w:rPr>
          <w:rFonts w:ascii="Book Antiqua" w:eastAsiaTheme="minorEastAsia" w:hAnsi="Book Antiqua"/>
          <w:b/>
          <w:i/>
          <w:iCs/>
        </w:rPr>
        <w:t>Flow cytometry</w:t>
      </w:r>
    </w:p>
    <w:p w:rsidR="00FE31D1" w:rsidRDefault="00C450F3">
      <w:pPr>
        <w:spacing w:line="360" w:lineRule="auto"/>
        <w:jc w:val="both"/>
        <w:rPr>
          <w:rFonts w:ascii="Book Antiqua" w:eastAsiaTheme="minorEastAsia" w:hAnsi="Book Antiqua"/>
        </w:rPr>
      </w:pPr>
      <w:r>
        <w:rPr>
          <w:rFonts w:ascii="Book Antiqua" w:eastAsiaTheme="minorEastAsia" w:hAnsi="Book Antiqua"/>
        </w:rPr>
        <w:t>Briefly, MDA-MB-231 cells were washed once with PBS and enzymatically dissociated with trypsin-EDTA (Corning, Manassas, VA, United States). Detached cells were resuspended in PBS supplemented with 2% fetal bovine serum. The cell suspension at a density of 10</w:t>
      </w:r>
      <w:r>
        <w:rPr>
          <w:rFonts w:ascii="Book Antiqua" w:eastAsiaTheme="minorEastAsia" w:hAnsi="Book Antiqua"/>
          <w:vertAlign w:val="superscript"/>
        </w:rPr>
        <w:t xml:space="preserve">6 </w:t>
      </w:r>
      <w:r>
        <w:rPr>
          <w:rFonts w:ascii="Book Antiqua" w:eastAsiaTheme="minorEastAsia" w:hAnsi="Book Antiqua"/>
        </w:rPr>
        <w:t>cells/100</w:t>
      </w:r>
      <w:r>
        <w:rPr>
          <w:rFonts w:ascii="Book Antiqua" w:hAnsi="Book Antiqua"/>
        </w:rPr>
        <w:t xml:space="preserve"> </w:t>
      </w:r>
      <w:r>
        <w:rPr>
          <w:rFonts w:ascii="Book Antiqua" w:eastAsiaTheme="minorEastAsia" w:hAnsi="Book Antiqua"/>
        </w:rPr>
        <w:t>μL were incubated with staining buffer containing monoclonal antibodies purchased from BD Biosciences (San Diego, CA, United States), including anti-human CD44-APC at a dilution of 1:40 and CD24-PE at a dilution of 1:40, for 30 to 40 min on ice, with IgG antibody labeled with APC and PE as isotype controls. Labeled cells were washed and resuspended in PBS, and analyzed on a Becton-Dickinson FACSCalibur flow cytometer. Specific CSC markers in control and HIF-2α siRNA transfected cells were detected.</w:t>
      </w:r>
    </w:p>
    <w:p w:rsidR="00FE31D1" w:rsidRDefault="00FE31D1">
      <w:pPr>
        <w:spacing w:line="360" w:lineRule="auto"/>
        <w:jc w:val="both"/>
        <w:rPr>
          <w:rFonts w:ascii="Book Antiqua" w:eastAsiaTheme="minorEastAsia" w:hAnsi="Book Antiqua"/>
          <w:b/>
        </w:rPr>
      </w:pPr>
    </w:p>
    <w:p w:rsidR="00FE31D1" w:rsidRDefault="00C450F3">
      <w:pPr>
        <w:spacing w:line="360" w:lineRule="auto"/>
        <w:jc w:val="both"/>
        <w:rPr>
          <w:rFonts w:ascii="Book Antiqua" w:eastAsiaTheme="minorEastAsia" w:hAnsi="Book Antiqua"/>
          <w:b/>
          <w:i/>
          <w:iCs/>
        </w:rPr>
      </w:pPr>
      <w:r>
        <w:rPr>
          <w:rFonts w:ascii="Book Antiqua" w:eastAsiaTheme="minorEastAsia" w:hAnsi="Book Antiqua"/>
          <w:b/>
          <w:i/>
          <w:iCs/>
        </w:rPr>
        <w:t>TdT-mediated X-dUTP nick end labeling (TUNEL) assay</w:t>
      </w:r>
    </w:p>
    <w:p w:rsidR="00FE31D1" w:rsidRDefault="00C450F3">
      <w:pPr>
        <w:spacing w:line="360" w:lineRule="auto"/>
        <w:jc w:val="both"/>
        <w:rPr>
          <w:rFonts w:ascii="Book Antiqua" w:eastAsiaTheme="minorEastAsia" w:hAnsi="Book Antiqua"/>
        </w:rPr>
      </w:pPr>
      <w:r>
        <w:rPr>
          <w:rFonts w:ascii="Book Antiqua" w:eastAsiaTheme="minorEastAsia" w:hAnsi="Book Antiqua"/>
        </w:rPr>
        <w:t xml:space="preserve">The effect of hypoxia treatment and downregulation HIF-2α on apoptosis of MDA-MB-231 cells was detected with a TUNEL assay kit following the manufacturer’s instructions (Roche Molecular Diagnostics, Pleasanton, CA, United States). In brief, cells were seeded on glass coverslips, fixed with 4% paraformaldehyde in PBS, and permeated with 0.1% Triton X-100 in 0.1% sodium citrate for 2 min on ice, after which they were incubated with 50 μL reaction mixture in a humidified chamber at 37 °C for 1 h. Then, cells were washed with PBS three times and 4',6-diamidino-2-phenylindole staining was performed for 10 min at room temperature. Five random fields of each stained section were photographed under a fluorescence microscope (Olympus </w:t>
      </w:r>
      <w:r>
        <w:rPr>
          <w:rFonts w:ascii="Book Antiqua" w:eastAsiaTheme="minorEastAsia" w:hAnsi="Book Antiqua"/>
        </w:rPr>
        <w:lastRenderedPageBreak/>
        <w:t>Corporation, Tokyo, Japan). The percentage of TUNEL-positive cells was determined by counting cells in at least eight ﬁelds and more than 500 cells in total.</w:t>
      </w:r>
    </w:p>
    <w:p w:rsidR="00FE31D1" w:rsidRDefault="00FE31D1">
      <w:pPr>
        <w:spacing w:line="360" w:lineRule="auto"/>
        <w:jc w:val="both"/>
        <w:rPr>
          <w:rFonts w:ascii="Book Antiqua" w:eastAsiaTheme="minorEastAsia" w:hAnsi="Book Antiqua"/>
          <w:b/>
        </w:rPr>
      </w:pPr>
    </w:p>
    <w:p w:rsidR="00FE31D1" w:rsidRDefault="00C450F3">
      <w:pPr>
        <w:spacing w:line="360" w:lineRule="auto"/>
        <w:jc w:val="both"/>
        <w:rPr>
          <w:rFonts w:ascii="Book Antiqua" w:eastAsiaTheme="minorEastAsia" w:hAnsi="Book Antiqua"/>
          <w:b/>
          <w:i/>
          <w:iCs/>
        </w:rPr>
      </w:pPr>
      <w:r>
        <w:rPr>
          <w:rFonts w:ascii="Book Antiqua" w:eastAsiaTheme="minorEastAsia" w:hAnsi="Book Antiqua"/>
          <w:b/>
          <w:i/>
          <w:iCs/>
        </w:rPr>
        <w:t>Mammosphere formation assay</w:t>
      </w:r>
    </w:p>
    <w:p w:rsidR="00FE31D1" w:rsidRDefault="00C450F3">
      <w:pPr>
        <w:spacing w:line="360" w:lineRule="auto"/>
        <w:jc w:val="both"/>
        <w:rPr>
          <w:rFonts w:ascii="Book Antiqua" w:eastAsiaTheme="minorEastAsia" w:hAnsi="Book Antiqua"/>
        </w:rPr>
      </w:pPr>
      <w:r>
        <w:rPr>
          <w:rFonts w:ascii="Book Antiqua" w:eastAsiaTheme="minorEastAsia" w:hAnsi="Book Antiqua"/>
        </w:rPr>
        <w:t>Following treatment, cells were harvested and dissociated into single cell suspension prior to filtration. Subsequently, cells were cultured in ultra-low attachment 96-well plates (Corning Incorporated, NY, United States) at a density of 1 × 10</w:t>
      </w:r>
      <w:r>
        <w:rPr>
          <w:rFonts w:ascii="Book Antiqua" w:eastAsiaTheme="minorEastAsia" w:hAnsi="Book Antiqua"/>
          <w:vertAlign w:val="superscript"/>
        </w:rPr>
        <w:t>5</w:t>
      </w:r>
      <w:r>
        <w:rPr>
          <w:rFonts w:ascii="Book Antiqua" w:eastAsiaTheme="minorEastAsia" w:hAnsi="Book Antiqua"/>
        </w:rPr>
        <w:t>/mL. The serum-free DMEM/F-12 (HyClone, Logan, UT, United States) containing 2% B27 (Invitrogen, Carlsbed, CA, United States), 20 ng/mL b-FGF (Promega, United States), 20 ng/mL EGF (Promega, United States), and 5 μg/mL insulin was used for mammosphere culture. After culturing for 7-21 d, mammosphere were monitored and the number of mammospheres was counted with an Olympus digital camera.</w:t>
      </w:r>
    </w:p>
    <w:p w:rsidR="00FE31D1" w:rsidRDefault="00FE31D1">
      <w:pPr>
        <w:spacing w:line="360" w:lineRule="auto"/>
        <w:jc w:val="both"/>
        <w:rPr>
          <w:rFonts w:ascii="Book Antiqua" w:eastAsiaTheme="minorEastAsia" w:hAnsi="Book Antiqua"/>
          <w:b/>
        </w:rPr>
      </w:pPr>
    </w:p>
    <w:p w:rsidR="00FE31D1" w:rsidRDefault="00C450F3">
      <w:pPr>
        <w:spacing w:line="360" w:lineRule="auto"/>
        <w:jc w:val="both"/>
        <w:rPr>
          <w:rFonts w:ascii="Book Antiqua" w:eastAsiaTheme="minorEastAsia" w:hAnsi="Book Antiqua"/>
          <w:b/>
          <w:i/>
          <w:iCs/>
        </w:rPr>
      </w:pPr>
      <w:r>
        <w:rPr>
          <w:rFonts w:ascii="Book Antiqua" w:eastAsiaTheme="minorEastAsia" w:hAnsi="Book Antiqua"/>
          <w:b/>
          <w:i/>
          <w:iCs/>
        </w:rPr>
        <w:t>Western blot analysis</w:t>
      </w:r>
    </w:p>
    <w:p w:rsidR="00FE31D1" w:rsidRDefault="00C450F3">
      <w:pPr>
        <w:spacing w:line="360" w:lineRule="auto"/>
        <w:jc w:val="both"/>
        <w:rPr>
          <w:rFonts w:ascii="Book Antiqua" w:eastAsiaTheme="minorEastAsia" w:hAnsi="Book Antiqua"/>
        </w:rPr>
      </w:pPr>
      <w:r>
        <w:rPr>
          <w:rFonts w:ascii="Book Antiqua" w:eastAsiaTheme="minorEastAsia" w:hAnsi="Book Antiqua"/>
        </w:rPr>
        <w:t>Cells were washed three times with ice-cold PBS and lysed in RIPA buffer (Beyotime, Shanghai, China) supplemented with 1% phosphatase inhibitor (Sigma-Aldrich), followed by centrifugation. The supernatant was harvested and protein concentration was determined using a bicinchoninic acid assay kit (Beyotime, Shanghai, China). Total proteins (10–30 μg) were subjected to 8%-15% sodium dodecyl sulfate</w:t>
      </w:r>
      <w:r>
        <w:rPr>
          <w:rFonts w:ascii="Book Antiqua" w:eastAsia="宋体" w:hAnsi="Book Antiqua" w:cs="宋体"/>
        </w:rPr>
        <w:t>-</w:t>
      </w:r>
      <w:r>
        <w:rPr>
          <w:rFonts w:ascii="Book Antiqua" w:eastAsiaTheme="minorEastAsia" w:hAnsi="Book Antiqua"/>
        </w:rPr>
        <w:t>polyacrylamide gel electrophoresis. Then, the proteins were transferred to a polyvinylidene fluoride membrane (Millipore, United States), which was blocked with 5% BSA and then incubated with primary antibodies at 4 ˚C overnight. After washing, the membranes were incubated with an IgG antibody conjugated to horseradish peroxidase (dilution 1:2000) for 1 h at room temperature. Visualization of protein bands was performed with enhanced chemiluminescence solution (Thermo Fisher Scientific, Inc.), and GAPDH (Cell Signaling Technology, Danvers, United States) was used as a loading control. The primary antibodies were p-AKT (phosphor-ser473, dilution 1:500), AKT (dilution 1:500), p-mTOR (phosphor-</w:t>
      </w:r>
      <w:r>
        <w:rPr>
          <w:rFonts w:ascii="Book Antiqua" w:eastAsiaTheme="minorEastAsia" w:hAnsi="Book Antiqua"/>
        </w:rPr>
        <w:lastRenderedPageBreak/>
        <w:t>ser2448, dilution 1:1000), and mTOR diluted to 1:1000 (Abcam, Cambridge, United Kingdom).</w:t>
      </w:r>
    </w:p>
    <w:p w:rsidR="00FE31D1" w:rsidRDefault="00FE31D1">
      <w:pPr>
        <w:spacing w:line="360" w:lineRule="auto"/>
        <w:jc w:val="both"/>
        <w:rPr>
          <w:rFonts w:ascii="Book Antiqua" w:eastAsia="Songti SC" w:hAnsi="Book Antiqua"/>
          <w:b/>
        </w:rPr>
      </w:pPr>
    </w:p>
    <w:p w:rsidR="00FE31D1" w:rsidRDefault="00C450F3">
      <w:pPr>
        <w:spacing w:line="360" w:lineRule="auto"/>
        <w:jc w:val="both"/>
        <w:rPr>
          <w:rFonts w:ascii="Book Antiqua" w:eastAsia="Songti SC" w:hAnsi="Book Antiqua"/>
          <w:b/>
          <w:i/>
          <w:iCs/>
        </w:rPr>
      </w:pPr>
      <w:r>
        <w:rPr>
          <w:rFonts w:ascii="Book Antiqua" w:eastAsia="Songti SC" w:hAnsi="Book Antiqua"/>
          <w:b/>
          <w:i/>
          <w:iCs/>
        </w:rPr>
        <w:t>Statistical analysis</w:t>
      </w:r>
    </w:p>
    <w:p w:rsidR="00FE31D1" w:rsidRDefault="00C450F3">
      <w:pPr>
        <w:spacing w:line="360" w:lineRule="auto"/>
        <w:jc w:val="both"/>
        <w:rPr>
          <w:rFonts w:ascii="Book Antiqua" w:eastAsia="Songti SC" w:hAnsi="Book Antiqua"/>
        </w:rPr>
      </w:pPr>
      <w:r>
        <w:rPr>
          <w:rFonts w:ascii="Book Antiqua" w:eastAsia="Songti SC" w:hAnsi="Book Antiqua"/>
        </w:rPr>
        <w:t xml:space="preserve">All data are represented as the mean ± standard deviation and analyzed with SPSS19.0 software. The independent </w:t>
      </w:r>
      <w:r>
        <w:rPr>
          <w:rFonts w:ascii="Book Antiqua" w:eastAsia="Songti SC" w:hAnsi="Book Antiqua"/>
          <w:i/>
          <w:iCs/>
        </w:rPr>
        <w:t>t</w:t>
      </w:r>
      <w:r>
        <w:rPr>
          <w:rFonts w:ascii="Book Antiqua" w:eastAsia="Songti SC" w:hAnsi="Book Antiqua"/>
        </w:rPr>
        <w:t xml:space="preserve">-test was used for two-group comparisons and one-way analysis of variance was applied to compare the means among three groups. Pairwise comparison was performed by the LSD test. </w:t>
      </w:r>
      <w:r>
        <w:rPr>
          <w:rFonts w:ascii="Book Antiqua" w:eastAsia="Songti SC" w:hAnsi="Book Antiqua"/>
          <w:i/>
          <w:iCs/>
        </w:rPr>
        <w:t>P</w:t>
      </w:r>
      <w:r>
        <w:rPr>
          <w:rFonts w:ascii="Book Antiqua" w:eastAsia="Songti SC" w:hAnsi="Book Antiqua"/>
        </w:rPr>
        <w:t xml:space="preserve"> &lt; 0.05 was considered to indicate a statistically significant difference.</w:t>
      </w:r>
    </w:p>
    <w:p w:rsidR="00FE31D1" w:rsidRDefault="00FE31D1">
      <w:pPr>
        <w:spacing w:line="360" w:lineRule="auto"/>
        <w:jc w:val="both"/>
        <w:outlineLvl w:val="0"/>
        <w:rPr>
          <w:rFonts w:ascii="Book Antiqua" w:eastAsiaTheme="minorEastAsia" w:hAnsi="Book Antiqua"/>
          <w:b/>
        </w:rPr>
      </w:pPr>
    </w:p>
    <w:p w:rsidR="00FE31D1" w:rsidRDefault="00C450F3">
      <w:pPr>
        <w:spacing w:line="360" w:lineRule="auto"/>
        <w:jc w:val="both"/>
        <w:outlineLvl w:val="0"/>
        <w:rPr>
          <w:rFonts w:ascii="Book Antiqua" w:eastAsiaTheme="minorEastAsia" w:hAnsi="Book Antiqua"/>
          <w:b/>
        </w:rPr>
      </w:pPr>
      <w:r>
        <w:rPr>
          <w:rFonts w:ascii="Book Antiqua" w:eastAsiaTheme="minorEastAsia" w:hAnsi="Book Antiqua"/>
          <w:b/>
        </w:rPr>
        <w:t>RESULTS</w:t>
      </w:r>
    </w:p>
    <w:p w:rsidR="00FE31D1" w:rsidRDefault="00C450F3">
      <w:pPr>
        <w:spacing w:line="360" w:lineRule="auto"/>
        <w:jc w:val="both"/>
        <w:outlineLvl w:val="0"/>
        <w:rPr>
          <w:rFonts w:ascii="Book Antiqua" w:eastAsiaTheme="minorEastAsia" w:hAnsi="Book Antiqua"/>
          <w:b/>
          <w:i/>
          <w:iCs/>
        </w:rPr>
      </w:pPr>
      <w:r>
        <w:rPr>
          <w:rFonts w:ascii="Book Antiqua" w:eastAsiaTheme="minorEastAsia" w:hAnsi="Book Antiqua"/>
          <w:b/>
          <w:i/>
          <w:iCs/>
        </w:rPr>
        <w:t>Expression of HIF-2α and CD44 in different breast cancer patients</w:t>
      </w:r>
    </w:p>
    <w:p w:rsidR="00FE31D1" w:rsidRDefault="00C450F3">
      <w:pPr>
        <w:spacing w:line="360" w:lineRule="auto"/>
        <w:jc w:val="both"/>
        <w:outlineLvl w:val="0"/>
        <w:rPr>
          <w:rFonts w:ascii="Book Antiqua" w:eastAsiaTheme="minorEastAsia" w:hAnsi="Book Antiqua"/>
        </w:rPr>
      </w:pPr>
      <w:r>
        <w:rPr>
          <w:rFonts w:ascii="Book Antiqua" w:eastAsiaTheme="minorEastAsia" w:hAnsi="Book Antiqua"/>
        </w:rPr>
        <w:t>In this study, we analyzed HIF-2α and CD44 expression by immunohistochemical staining. The results showed that a high density of cancer cells positive for HIF-2α was observed in both TNBC and non-TNBC cells. CD44 was highly expressed in TNBC but lowly expressed in luminal breast cancer cells. The expression of HIF-2α in different molecular types of breast cancer cells was relatively consistent, while the expression of CD44 in different molecular types of breast cancer cells was different (Figure 1).</w:t>
      </w:r>
    </w:p>
    <w:p w:rsidR="00FE31D1" w:rsidRDefault="00FE31D1">
      <w:pPr>
        <w:spacing w:line="360" w:lineRule="auto"/>
        <w:jc w:val="both"/>
        <w:outlineLvl w:val="0"/>
        <w:rPr>
          <w:rFonts w:ascii="Book Antiqua" w:eastAsiaTheme="minorEastAsia" w:hAnsi="Book Antiqua"/>
          <w:i/>
          <w:iCs/>
        </w:rPr>
      </w:pPr>
    </w:p>
    <w:p w:rsidR="00FE31D1" w:rsidRDefault="00C450F3">
      <w:pPr>
        <w:spacing w:line="360" w:lineRule="auto"/>
        <w:jc w:val="both"/>
        <w:outlineLvl w:val="0"/>
        <w:rPr>
          <w:rFonts w:ascii="Book Antiqua" w:eastAsiaTheme="minorEastAsia" w:hAnsi="Book Antiqua"/>
          <w:b/>
          <w:i/>
          <w:iCs/>
        </w:rPr>
      </w:pPr>
      <w:r>
        <w:rPr>
          <w:rFonts w:ascii="Book Antiqua" w:hAnsi="Book Antiqua"/>
          <w:b/>
          <w:i/>
          <w:iCs/>
        </w:rPr>
        <w:t>Immunofluorescent analysis</w:t>
      </w:r>
      <w:r>
        <w:rPr>
          <w:rFonts w:ascii="Book Antiqua" w:eastAsiaTheme="minorEastAsia" w:hAnsi="Book Antiqua"/>
          <w:b/>
          <w:i/>
          <w:iCs/>
        </w:rPr>
        <w:t xml:space="preserve"> for the expression of CD44 and HIF-2α in MCF-7 and MDA-MB-231 cells</w:t>
      </w:r>
    </w:p>
    <w:p w:rsidR="00FE31D1" w:rsidRDefault="00C450F3">
      <w:pPr>
        <w:spacing w:line="360" w:lineRule="auto"/>
        <w:jc w:val="both"/>
        <w:outlineLvl w:val="0"/>
        <w:rPr>
          <w:rFonts w:ascii="Book Antiqua" w:eastAsiaTheme="minorEastAsia" w:hAnsi="Book Antiqua"/>
        </w:rPr>
      </w:pPr>
      <w:r>
        <w:rPr>
          <w:rFonts w:ascii="Book Antiqua" w:eastAsiaTheme="minorEastAsia" w:hAnsi="Book Antiqua"/>
        </w:rPr>
        <w:t xml:space="preserve">After hypoxia treatment, immunofluorescence assay showed that HIF-2α was mainly expressed in the nucleus, while CD44 was mainly expressed on the cell membrane. It was found by image fusion that HIF-2α and CD44 were expressed almost in the same cell. The expression of HIF-2α and CD44 in </w:t>
      </w:r>
      <w:r>
        <w:rPr>
          <w:rFonts w:ascii="Book Antiqua" w:hAnsi="Book Antiqua"/>
        </w:rPr>
        <w:t>MCF-7</w:t>
      </w:r>
      <w:r>
        <w:rPr>
          <w:rFonts w:ascii="Book Antiqua" w:eastAsiaTheme="minorEastAsia" w:hAnsi="Book Antiqua"/>
        </w:rPr>
        <w:t xml:space="preserve"> was less than that in </w:t>
      </w:r>
      <w:r>
        <w:rPr>
          <w:rFonts w:ascii="Book Antiqua" w:hAnsi="Book Antiqua"/>
        </w:rPr>
        <w:t xml:space="preserve">MDA-MB-231 cells </w:t>
      </w:r>
      <w:r>
        <w:rPr>
          <w:rFonts w:ascii="Book Antiqua" w:eastAsiaTheme="minorEastAsia" w:hAnsi="Book Antiqua"/>
        </w:rPr>
        <w:t>(Figure 2).</w:t>
      </w:r>
    </w:p>
    <w:p w:rsidR="00FE31D1" w:rsidRDefault="00FE31D1">
      <w:pPr>
        <w:spacing w:line="360" w:lineRule="auto"/>
        <w:jc w:val="both"/>
        <w:rPr>
          <w:rFonts w:ascii="Book Antiqua" w:eastAsiaTheme="minorEastAsia" w:hAnsi="Book Antiqua"/>
          <w:b/>
        </w:rPr>
      </w:pPr>
    </w:p>
    <w:p w:rsidR="00FE31D1" w:rsidRDefault="00C450F3">
      <w:pPr>
        <w:spacing w:line="360" w:lineRule="auto"/>
        <w:jc w:val="both"/>
        <w:rPr>
          <w:rFonts w:ascii="Book Antiqua" w:eastAsiaTheme="minorEastAsia" w:hAnsi="Book Antiqua"/>
          <w:b/>
          <w:i/>
          <w:iCs/>
        </w:rPr>
      </w:pPr>
      <w:r>
        <w:rPr>
          <w:rFonts w:ascii="Book Antiqua" w:eastAsiaTheme="minorEastAsia" w:hAnsi="Book Antiqua"/>
          <w:b/>
          <w:i/>
          <w:iCs/>
        </w:rPr>
        <w:t>HIF-2α and CD44 mRNA expression levels in MCF-7 and MDA-MB-231 cells after transfection</w:t>
      </w:r>
    </w:p>
    <w:p w:rsidR="00FE31D1" w:rsidRDefault="00C450F3">
      <w:pPr>
        <w:spacing w:line="360" w:lineRule="auto"/>
        <w:jc w:val="both"/>
        <w:rPr>
          <w:rFonts w:ascii="Book Antiqua" w:eastAsiaTheme="minorEastAsia" w:hAnsi="Book Antiqua"/>
        </w:rPr>
      </w:pPr>
      <w:r>
        <w:rPr>
          <w:rFonts w:ascii="Book Antiqua" w:eastAsiaTheme="minorEastAsia" w:hAnsi="Book Antiqua"/>
        </w:rPr>
        <w:lastRenderedPageBreak/>
        <w:t>In contrast with normoxic control, the expression of HIF-2α and CD44 mRNAs in MDA-MB-231 cells was significantly increased after induction of hypoxia. HIF-2α siRNA transfection can lower the expression of HIF-2α and CD44 mRNAs in hypoxic cells, and the difference was statistically significant (</w:t>
      </w:r>
      <w:r>
        <w:rPr>
          <w:rFonts w:ascii="Book Antiqua" w:eastAsiaTheme="minorEastAsia" w:hAnsi="Book Antiqua"/>
          <w:i/>
          <w:iCs/>
        </w:rPr>
        <w:t>P</w:t>
      </w:r>
      <w:r>
        <w:rPr>
          <w:rFonts w:ascii="Book Antiqua" w:eastAsiaTheme="minorEastAsia" w:hAnsi="Book Antiqua"/>
        </w:rPr>
        <w:t xml:space="preserve"> &lt; 0.05). The expression of HIF-2α in MCF-7 cells treated with HIF-2α siRNA and hypoxia was higher than that in cells treated by hypoxia + negative-sequence control (NC), but there was no significant difference between the normoxic control and hypoxia cells (</w:t>
      </w:r>
      <w:r>
        <w:rPr>
          <w:rFonts w:ascii="Book Antiqua" w:eastAsiaTheme="minorEastAsia" w:hAnsi="Book Antiqua"/>
          <w:i/>
          <w:iCs/>
        </w:rPr>
        <w:t>P</w:t>
      </w:r>
      <w:r>
        <w:rPr>
          <w:rFonts w:ascii="Book Antiqua" w:eastAsiaTheme="minorEastAsia" w:hAnsi="Book Antiqua"/>
        </w:rPr>
        <w:t xml:space="preserve"> &gt; 0.05) (</w:t>
      </w:r>
      <w:r>
        <w:rPr>
          <w:rFonts w:ascii="Book Antiqua" w:eastAsia="Songti SC" w:hAnsi="Book Antiqua"/>
        </w:rPr>
        <w:t>Figure 3)</w:t>
      </w:r>
      <w:r>
        <w:rPr>
          <w:rFonts w:ascii="Book Antiqua" w:eastAsiaTheme="minorEastAsia" w:hAnsi="Book Antiqua"/>
        </w:rPr>
        <w:t>.</w:t>
      </w:r>
    </w:p>
    <w:p w:rsidR="00FE31D1" w:rsidRDefault="00FE31D1">
      <w:pPr>
        <w:spacing w:line="360" w:lineRule="auto"/>
        <w:jc w:val="both"/>
        <w:rPr>
          <w:rFonts w:ascii="Book Antiqua" w:eastAsiaTheme="minorEastAsia" w:hAnsi="Book Antiqua"/>
          <w:b/>
        </w:rPr>
      </w:pPr>
    </w:p>
    <w:p w:rsidR="00FE31D1" w:rsidRDefault="00C450F3">
      <w:pPr>
        <w:spacing w:line="360" w:lineRule="auto"/>
        <w:jc w:val="both"/>
        <w:rPr>
          <w:rFonts w:ascii="Book Antiqua" w:eastAsia="Songti SC" w:hAnsi="Book Antiqua"/>
          <w:b/>
          <w:i/>
          <w:iCs/>
        </w:rPr>
      </w:pPr>
      <w:r>
        <w:rPr>
          <w:rFonts w:ascii="Book Antiqua" w:eastAsiaTheme="minorEastAsia" w:hAnsi="Book Antiqua"/>
          <w:b/>
          <w:i/>
          <w:iCs/>
        </w:rPr>
        <w:t>HIF-2α</w:t>
      </w:r>
      <w:r>
        <w:rPr>
          <w:rFonts w:ascii="Book Antiqua" w:eastAsia="Songti SC" w:hAnsi="Book Antiqua"/>
          <w:b/>
          <w:i/>
          <w:iCs/>
        </w:rPr>
        <w:t xml:space="preserve"> silencing significantly reduces the CD44</w:t>
      </w:r>
      <w:r>
        <w:rPr>
          <w:rFonts w:ascii="Book Antiqua" w:eastAsia="Songti SC" w:hAnsi="Book Antiqua"/>
          <w:b/>
          <w:i/>
          <w:iCs/>
          <w:vertAlign w:val="superscript"/>
        </w:rPr>
        <w:t>+</w:t>
      </w:r>
      <w:r>
        <w:rPr>
          <w:rFonts w:ascii="Book Antiqua" w:eastAsia="Songti SC" w:hAnsi="Book Antiqua"/>
          <w:b/>
          <w:i/>
          <w:iCs/>
        </w:rPr>
        <w:t>/CD24</w:t>
      </w:r>
      <w:r>
        <w:rPr>
          <w:rFonts w:ascii="Book Antiqua" w:eastAsia="Songti SC" w:hAnsi="Book Antiqua"/>
          <w:b/>
          <w:i/>
          <w:iCs/>
          <w:vertAlign w:val="superscript"/>
        </w:rPr>
        <w:t>-</w:t>
      </w:r>
      <w:r>
        <w:rPr>
          <w:rFonts w:ascii="Book Antiqua" w:eastAsia="Songti SC" w:hAnsi="Book Antiqua"/>
          <w:b/>
          <w:i/>
          <w:iCs/>
        </w:rPr>
        <w:t xml:space="preserve"> population in </w:t>
      </w:r>
      <w:r>
        <w:rPr>
          <w:rFonts w:ascii="Book Antiqua" w:eastAsiaTheme="minorEastAsia" w:hAnsi="Book Antiqua"/>
          <w:b/>
          <w:i/>
          <w:iCs/>
        </w:rPr>
        <w:t>MDA-MB-231</w:t>
      </w:r>
      <w:r>
        <w:rPr>
          <w:rFonts w:ascii="Book Antiqua" w:eastAsia="Songti SC" w:hAnsi="Book Antiqua"/>
          <w:b/>
          <w:i/>
          <w:iCs/>
        </w:rPr>
        <w:t xml:space="preserve"> cells</w:t>
      </w:r>
    </w:p>
    <w:p w:rsidR="00FE31D1" w:rsidRDefault="00C450F3">
      <w:pPr>
        <w:spacing w:line="360" w:lineRule="auto"/>
        <w:jc w:val="both"/>
        <w:rPr>
          <w:rFonts w:ascii="Book Antiqua" w:eastAsia="Songti SC" w:hAnsi="Book Antiqua"/>
        </w:rPr>
      </w:pPr>
      <w:r>
        <w:rPr>
          <w:rFonts w:ascii="Book Antiqua" w:eastAsia="Songti SC" w:hAnsi="Book Antiqua"/>
        </w:rPr>
        <w:t xml:space="preserve">To determine the effect of </w:t>
      </w:r>
      <w:r>
        <w:rPr>
          <w:rFonts w:ascii="Book Antiqua" w:eastAsiaTheme="minorEastAsia" w:hAnsi="Book Antiqua"/>
        </w:rPr>
        <w:t>HIF-2α</w:t>
      </w:r>
      <w:r>
        <w:rPr>
          <w:rFonts w:ascii="Book Antiqua" w:eastAsia="Songti SC" w:hAnsi="Book Antiqua"/>
        </w:rPr>
        <w:t xml:space="preserve"> silencing on CSC properties, we assessed the percentage of CD44+/CD24− population in hypoxia with or without</w:t>
      </w:r>
      <w:r>
        <w:rPr>
          <w:rFonts w:ascii="Book Antiqua" w:eastAsiaTheme="minorEastAsia" w:hAnsi="Book Antiqua"/>
        </w:rPr>
        <w:t xml:space="preserve"> HIF-2α</w:t>
      </w:r>
      <w:r>
        <w:rPr>
          <w:rFonts w:ascii="Book Antiqua" w:eastAsia="Songti SC" w:hAnsi="Book Antiqua"/>
        </w:rPr>
        <w:t xml:space="preserve"> silencing by flow cytometry. As shown in Figure 4,</w:t>
      </w:r>
      <w:r>
        <w:rPr>
          <w:rFonts w:ascii="Book Antiqua" w:eastAsiaTheme="minorEastAsia" w:hAnsi="Book Antiqua"/>
        </w:rPr>
        <w:t xml:space="preserve"> t</w:t>
      </w:r>
      <w:r>
        <w:rPr>
          <w:rFonts w:ascii="Book Antiqua" w:eastAsia="Songti SC" w:hAnsi="Book Antiqua"/>
        </w:rPr>
        <w:t>he percentage of CD44</w:t>
      </w:r>
      <w:r>
        <w:rPr>
          <w:rFonts w:ascii="Book Antiqua" w:eastAsia="Songti SC" w:hAnsi="Book Antiqua"/>
          <w:vertAlign w:val="superscript"/>
        </w:rPr>
        <w:t>+</w:t>
      </w:r>
      <w:r>
        <w:rPr>
          <w:rFonts w:ascii="Book Antiqua" w:eastAsia="Songti SC" w:hAnsi="Book Antiqua"/>
        </w:rPr>
        <w:t>/CD24</w:t>
      </w:r>
      <w:r>
        <w:rPr>
          <w:rFonts w:ascii="Book Antiqua" w:eastAsia="Songti SC" w:hAnsi="Book Antiqua"/>
          <w:vertAlign w:val="superscript"/>
        </w:rPr>
        <w:t>−</w:t>
      </w:r>
      <w:r>
        <w:rPr>
          <w:rFonts w:ascii="Book Antiqua" w:eastAsia="Songti SC" w:hAnsi="Book Antiqua"/>
        </w:rPr>
        <w:t xml:space="preserve"> cells was 96.27% in the hypoxia group, and 84.02% in the hypoxia cells transfected with </w:t>
      </w:r>
      <w:r>
        <w:rPr>
          <w:rFonts w:ascii="Book Antiqua" w:eastAsiaTheme="minorEastAsia" w:hAnsi="Book Antiqua"/>
        </w:rPr>
        <w:t>HIF-2α</w:t>
      </w:r>
      <w:r>
        <w:rPr>
          <w:rFonts w:ascii="Book Antiqua" w:eastAsia="Songti SC" w:hAnsi="Book Antiqua"/>
        </w:rPr>
        <w:t xml:space="preserve">-siRNA. SiRNA-mediated </w:t>
      </w:r>
      <w:r>
        <w:rPr>
          <w:rFonts w:ascii="Book Antiqua" w:eastAsiaTheme="minorEastAsia" w:hAnsi="Book Antiqua"/>
        </w:rPr>
        <w:t>HIF-2α</w:t>
      </w:r>
      <w:r>
        <w:rPr>
          <w:rFonts w:ascii="Book Antiqua" w:eastAsia="Songti SC" w:hAnsi="Book Antiqua"/>
        </w:rPr>
        <w:t xml:space="preserve"> depletion resulted in a reduction of CD44</w:t>
      </w:r>
      <w:r>
        <w:rPr>
          <w:rFonts w:ascii="Book Antiqua" w:eastAsia="Songti SC" w:hAnsi="Book Antiqua"/>
          <w:vertAlign w:val="superscript"/>
        </w:rPr>
        <w:t>+</w:t>
      </w:r>
      <w:r>
        <w:rPr>
          <w:rFonts w:ascii="Book Antiqua" w:eastAsia="Songti SC" w:hAnsi="Book Antiqua"/>
        </w:rPr>
        <w:t>/CD24</w:t>
      </w:r>
      <w:r>
        <w:rPr>
          <w:rFonts w:ascii="Book Antiqua" w:eastAsia="Songti SC" w:hAnsi="Book Antiqua"/>
          <w:vertAlign w:val="superscript"/>
        </w:rPr>
        <w:t>−</w:t>
      </w:r>
      <w:r>
        <w:rPr>
          <w:rFonts w:ascii="Book Antiqua" w:eastAsia="Songti SC" w:hAnsi="Book Antiqua"/>
        </w:rPr>
        <w:t xml:space="preserve"> population by 12.25%.</w:t>
      </w:r>
    </w:p>
    <w:p w:rsidR="00FE31D1" w:rsidRDefault="00FE31D1">
      <w:pPr>
        <w:spacing w:line="360" w:lineRule="auto"/>
        <w:jc w:val="both"/>
        <w:rPr>
          <w:rFonts w:ascii="Book Antiqua" w:eastAsia="Songti SC" w:hAnsi="Book Antiqua"/>
        </w:rPr>
      </w:pPr>
    </w:p>
    <w:p w:rsidR="00FE31D1" w:rsidRDefault="00C450F3">
      <w:pPr>
        <w:spacing w:line="360" w:lineRule="auto"/>
        <w:jc w:val="both"/>
        <w:rPr>
          <w:rFonts w:ascii="Book Antiqua" w:eastAsia="Songti SC" w:hAnsi="Book Antiqua"/>
          <w:b/>
          <w:i/>
          <w:iCs/>
        </w:rPr>
      </w:pPr>
      <w:r>
        <w:rPr>
          <w:rFonts w:ascii="Book Antiqua" w:eastAsia="Songti SC" w:hAnsi="Book Antiqua"/>
          <w:b/>
          <w:i/>
          <w:iCs/>
        </w:rPr>
        <w:t>TUNEL assay to detect apoptotic cells</w:t>
      </w:r>
    </w:p>
    <w:p w:rsidR="00FE31D1" w:rsidRDefault="00C450F3">
      <w:pPr>
        <w:spacing w:line="360" w:lineRule="auto"/>
        <w:jc w:val="both"/>
        <w:rPr>
          <w:rFonts w:ascii="Book Antiqua" w:eastAsia="Songti SC" w:hAnsi="Book Antiqua"/>
        </w:rPr>
      </w:pPr>
      <w:r>
        <w:rPr>
          <w:rFonts w:ascii="Book Antiqua" w:eastAsia="Songti SC" w:hAnsi="Book Antiqua"/>
        </w:rPr>
        <w:t xml:space="preserve">To evaluate the effect of </w:t>
      </w:r>
      <w:r>
        <w:rPr>
          <w:rFonts w:ascii="Book Antiqua" w:eastAsiaTheme="minorEastAsia" w:hAnsi="Book Antiqua"/>
        </w:rPr>
        <w:t>hypoxia</w:t>
      </w:r>
      <w:r>
        <w:rPr>
          <w:rFonts w:ascii="Book Antiqua" w:eastAsia="Songti SC" w:hAnsi="Book Antiqua"/>
        </w:rPr>
        <w:t xml:space="preserve"> and HIF-2α silencing on apoptosis </w:t>
      </w:r>
      <w:r>
        <w:rPr>
          <w:rFonts w:ascii="Book Antiqua" w:eastAsia="Songti SC" w:hAnsi="Book Antiqua"/>
          <w:i/>
          <w:iCs/>
        </w:rPr>
        <w:t>in vitro</w:t>
      </w:r>
      <w:r>
        <w:rPr>
          <w:rFonts w:ascii="Book Antiqua" w:eastAsia="Songti SC" w:hAnsi="Book Antiqua"/>
        </w:rPr>
        <w:t xml:space="preserve">, </w:t>
      </w:r>
      <w:r>
        <w:rPr>
          <w:rFonts w:ascii="Book Antiqua" w:eastAsiaTheme="minorEastAsia" w:hAnsi="Book Antiqua"/>
        </w:rPr>
        <w:t xml:space="preserve">MDA-MB-231 </w:t>
      </w:r>
      <w:r>
        <w:rPr>
          <w:rFonts w:ascii="Book Antiqua" w:eastAsia="Songti SC" w:hAnsi="Book Antiqua"/>
        </w:rPr>
        <w:t>cell apoptosis was detected using TUNEL assay. The results showed that the percentage of apoptotic cells was decreased under hypoxia compared to normoxic cells (</w:t>
      </w:r>
      <w:r>
        <w:rPr>
          <w:rFonts w:ascii="Book Antiqua" w:eastAsia="Songti SC" w:hAnsi="Book Antiqua"/>
          <w:i/>
        </w:rPr>
        <w:t xml:space="preserve">P </w:t>
      </w:r>
      <w:r>
        <w:rPr>
          <w:rFonts w:ascii="Book Antiqua" w:eastAsia="Songti SC" w:hAnsi="Book Antiqua"/>
        </w:rPr>
        <w:t xml:space="preserve">&lt; 0.05). Further research found that transfection of HIF-2α–siRNA in MDA-MB-231 cells induced by </w:t>
      </w:r>
      <w:r>
        <w:rPr>
          <w:rFonts w:ascii="Book Antiqua" w:eastAsiaTheme="minorEastAsia" w:hAnsi="Book Antiqua"/>
        </w:rPr>
        <w:t xml:space="preserve">hypoxia can </w:t>
      </w:r>
      <w:r>
        <w:rPr>
          <w:rFonts w:ascii="Book Antiqua" w:eastAsia="Songti SC" w:hAnsi="Book Antiqua"/>
        </w:rPr>
        <w:t xml:space="preserve">increase the percentage of apoptotic cells than that in cells treated by hypoxia + NC, and the difference </w:t>
      </w:r>
      <w:r>
        <w:rPr>
          <w:rFonts w:ascii="Book Antiqua" w:eastAsiaTheme="minorEastAsia" w:hAnsi="Book Antiqua"/>
        </w:rPr>
        <w:t>was statistically significant (</w:t>
      </w:r>
      <w:r>
        <w:rPr>
          <w:rFonts w:ascii="Book Antiqua" w:eastAsiaTheme="minorEastAsia" w:hAnsi="Book Antiqua"/>
          <w:i/>
        </w:rPr>
        <w:t xml:space="preserve">P </w:t>
      </w:r>
      <w:r>
        <w:rPr>
          <w:rFonts w:ascii="Book Antiqua" w:eastAsiaTheme="minorEastAsia" w:hAnsi="Book Antiqua"/>
        </w:rPr>
        <w:t xml:space="preserve">&lt; 0.05), </w:t>
      </w:r>
      <w:r>
        <w:rPr>
          <w:rFonts w:ascii="Book Antiqua" w:eastAsia="Songti SC" w:hAnsi="Book Antiqua"/>
        </w:rPr>
        <w:t xml:space="preserve">indicating that HIF-2α plays an important role in apoptosis of </w:t>
      </w:r>
      <w:r>
        <w:rPr>
          <w:rFonts w:ascii="Book Antiqua" w:eastAsiaTheme="minorEastAsia" w:hAnsi="Book Antiqua"/>
        </w:rPr>
        <w:t xml:space="preserve">MDA-MB-231 </w:t>
      </w:r>
      <w:r>
        <w:rPr>
          <w:rFonts w:ascii="Book Antiqua" w:eastAsia="Songti SC" w:hAnsi="Book Antiqua"/>
        </w:rPr>
        <w:t>cells (Figure 5).</w:t>
      </w:r>
    </w:p>
    <w:p w:rsidR="00FE31D1" w:rsidRDefault="00FE31D1">
      <w:pPr>
        <w:spacing w:line="360" w:lineRule="auto"/>
        <w:jc w:val="both"/>
        <w:rPr>
          <w:rFonts w:ascii="Book Antiqua" w:eastAsia="Songti SC" w:hAnsi="Book Antiqua"/>
        </w:rPr>
      </w:pPr>
    </w:p>
    <w:p w:rsidR="00FE31D1" w:rsidRDefault="00C450F3">
      <w:pPr>
        <w:spacing w:line="360" w:lineRule="auto"/>
        <w:jc w:val="both"/>
        <w:rPr>
          <w:rFonts w:ascii="Book Antiqua" w:eastAsia="Songti SC" w:hAnsi="Book Antiqua"/>
          <w:b/>
          <w:i/>
          <w:iCs/>
        </w:rPr>
      </w:pPr>
      <w:r>
        <w:rPr>
          <w:rFonts w:ascii="Book Antiqua" w:eastAsia="Songti SC" w:hAnsi="Book Antiqua"/>
          <w:b/>
          <w:i/>
          <w:iCs/>
        </w:rPr>
        <w:t>Effect of HIF-2α on mammosphere formation efficiency (MFE) of MDA-MB-231 cells</w:t>
      </w:r>
    </w:p>
    <w:p w:rsidR="00FE31D1" w:rsidRDefault="00C450F3">
      <w:pPr>
        <w:spacing w:line="360" w:lineRule="auto"/>
        <w:jc w:val="both"/>
        <w:rPr>
          <w:rFonts w:ascii="Book Antiqua" w:eastAsia="Songti SC" w:hAnsi="Book Antiqua"/>
        </w:rPr>
      </w:pPr>
      <w:r>
        <w:rPr>
          <w:rFonts w:ascii="Book Antiqua" w:eastAsiaTheme="minorEastAsia" w:hAnsi="Book Antiqua"/>
        </w:rPr>
        <w:lastRenderedPageBreak/>
        <w:t>From Figure 6, it is observed that</w:t>
      </w:r>
      <w:r>
        <w:rPr>
          <w:rFonts w:ascii="Book Antiqua" w:eastAsia="Songti SC" w:hAnsi="Book Antiqua"/>
        </w:rPr>
        <w:t xml:space="preserve"> mammospheres were successfully generated from MDA-MB-231 cells. In MDA-MB-231 cells, mammospheres appeared after 7 d of culture, and mammospheres of 100-200 µm in diameter formed and tended to attach after 21 d of culture. MFE of cells treated by hypoxia + NC and hypoxia + siRNA at 7 d was 0.32% ± 0.06% and 0.26% ± 0.05%, respectively. At the 21 d, MFE of the above cells was 0.33% ± 0.26% and 0.17% ± 0.09%, respectively, and the difference </w:t>
      </w:r>
      <w:r>
        <w:rPr>
          <w:rFonts w:ascii="Book Antiqua" w:eastAsiaTheme="minorEastAsia" w:hAnsi="Book Antiqua"/>
        </w:rPr>
        <w:t>was statistically significant (</w:t>
      </w:r>
      <w:r>
        <w:rPr>
          <w:rFonts w:ascii="Book Antiqua" w:eastAsiaTheme="minorEastAsia" w:hAnsi="Book Antiqua"/>
          <w:i/>
        </w:rPr>
        <w:t xml:space="preserve">P </w:t>
      </w:r>
      <w:r>
        <w:rPr>
          <w:rFonts w:ascii="Book Antiqua" w:eastAsiaTheme="minorEastAsia" w:hAnsi="Book Antiqua"/>
        </w:rPr>
        <w:t xml:space="preserve">&lt; 0.05). </w:t>
      </w:r>
      <w:r>
        <w:rPr>
          <w:rFonts w:ascii="Book Antiqua" w:eastAsia="Songti SC" w:hAnsi="Book Antiqua"/>
        </w:rPr>
        <w:t>These data suggest that HIF-2α silencing significantly reduces mammosphere formation.</w:t>
      </w:r>
    </w:p>
    <w:p w:rsidR="00FE31D1" w:rsidRDefault="00FE31D1">
      <w:pPr>
        <w:spacing w:line="360" w:lineRule="auto"/>
        <w:jc w:val="both"/>
        <w:rPr>
          <w:rFonts w:ascii="Book Antiqua" w:eastAsia="Songti SC" w:hAnsi="Book Antiqua"/>
        </w:rPr>
      </w:pPr>
    </w:p>
    <w:p w:rsidR="00FE31D1" w:rsidRDefault="00C450F3">
      <w:pPr>
        <w:spacing w:line="360" w:lineRule="auto"/>
        <w:jc w:val="both"/>
        <w:rPr>
          <w:rFonts w:ascii="Book Antiqua" w:eastAsia="Songti SC" w:hAnsi="Book Antiqua"/>
          <w:b/>
          <w:i/>
          <w:iCs/>
        </w:rPr>
      </w:pPr>
      <w:r>
        <w:rPr>
          <w:rFonts w:ascii="Book Antiqua" w:eastAsia="Songti SC" w:hAnsi="Book Antiqua"/>
          <w:b/>
          <w:i/>
          <w:iCs/>
        </w:rPr>
        <w:t>Effect of HIF-2α on the PI3K/AKT signaling pathway</w:t>
      </w:r>
    </w:p>
    <w:p w:rsidR="00FE31D1" w:rsidRDefault="00C450F3">
      <w:pPr>
        <w:spacing w:line="360" w:lineRule="auto"/>
        <w:jc w:val="both"/>
        <w:rPr>
          <w:rFonts w:ascii="Book Antiqua" w:eastAsia="Songti SC" w:hAnsi="Book Antiqua"/>
        </w:rPr>
      </w:pPr>
      <w:r>
        <w:rPr>
          <w:rFonts w:ascii="Book Antiqua" w:eastAsia="Songti SC" w:hAnsi="Book Antiqua"/>
        </w:rPr>
        <w:t xml:space="preserve">PI3K/AKT/mTOR signaling is commonly activated in breast cancer and plays important roles in tumor invasion and metastasis. Therefore, in this study, the main signaling molecules of the PI3K-AKT-mTOR signaling pathway including AKT, mTOR, and their phosphorylation levels were identified by Western blot analysis. The results revealed that p-AKT and p-mTOR levels in MDA-MB-231 cells increased slightly under anoxic conditions, while decreased significantly with HIF-2α knockdown, and the difference </w:t>
      </w:r>
      <w:r>
        <w:rPr>
          <w:rFonts w:ascii="Book Antiqua" w:eastAsiaTheme="minorEastAsia" w:hAnsi="Book Antiqua"/>
        </w:rPr>
        <w:t>was statistically significant (</w:t>
      </w:r>
      <w:r>
        <w:rPr>
          <w:rFonts w:ascii="Book Antiqua" w:eastAsiaTheme="minorEastAsia" w:hAnsi="Book Antiqua"/>
          <w:i/>
        </w:rPr>
        <w:t xml:space="preserve">P </w:t>
      </w:r>
      <w:r>
        <w:rPr>
          <w:rFonts w:ascii="Book Antiqua" w:eastAsiaTheme="minorEastAsia" w:hAnsi="Book Antiqua"/>
        </w:rPr>
        <w:t>&lt; 0.05),</w:t>
      </w:r>
      <w:r>
        <w:rPr>
          <w:rFonts w:ascii="Book Antiqua" w:eastAsia="Songti SC" w:hAnsi="Book Antiqua"/>
        </w:rPr>
        <w:t xml:space="preserve"> which suggests that hypoxia could increase the HIF-2α level to promote stem phenotype conversion </w:t>
      </w:r>
      <w:r>
        <w:rPr>
          <w:rFonts w:ascii="Book Antiqua" w:eastAsia="Songti SC" w:hAnsi="Book Antiqua"/>
          <w:i/>
        </w:rPr>
        <w:t>via</w:t>
      </w:r>
      <w:r>
        <w:rPr>
          <w:rFonts w:ascii="Book Antiqua" w:eastAsia="Songti SC" w:hAnsi="Book Antiqua"/>
        </w:rPr>
        <w:t xml:space="preserve"> the PI3K/AKT signaling pathway.</w:t>
      </w:r>
    </w:p>
    <w:p w:rsidR="00FE31D1" w:rsidRDefault="00FE31D1">
      <w:pPr>
        <w:spacing w:line="360" w:lineRule="auto"/>
        <w:jc w:val="both"/>
        <w:rPr>
          <w:rFonts w:ascii="Book Antiqua" w:eastAsia="Songti SC" w:hAnsi="Book Antiqua"/>
        </w:rPr>
      </w:pPr>
    </w:p>
    <w:p w:rsidR="00FE31D1" w:rsidRDefault="00C450F3">
      <w:pPr>
        <w:spacing w:line="360" w:lineRule="auto"/>
        <w:jc w:val="both"/>
        <w:rPr>
          <w:rFonts w:ascii="Book Antiqua" w:eastAsia="Songti SC" w:hAnsi="Book Antiqua"/>
          <w:b/>
        </w:rPr>
      </w:pPr>
      <w:r>
        <w:rPr>
          <w:rFonts w:ascii="Book Antiqua" w:eastAsia="Songti SC" w:hAnsi="Book Antiqua"/>
          <w:b/>
        </w:rPr>
        <w:t>DISCUSSION</w:t>
      </w:r>
    </w:p>
    <w:p w:rsidR="00FE31D1" w:rsidRDefault="00C450F3">
      <w:pPr>
        <w:spacing w:line="360" w:lineRule="auto"/>
        <w:jc w:val="both"/>
        <w:rPr>
          <w:rFonts w:ascii="Book Antiqua" w:eastAsia="Songti SC" w:hAnsi="Book Antiqua"/>
        </w:rPr>
      </w:pPr>
      <w:r>
        <w:rPr>
          <w:rFonts w:ascii="Book Antiqua" w:eastAsia="Songti SC" w:hAnsi="Book Antiqua"/>
        </w:rPr>
        <w:t>CSCs are considered as cells capable of highly proliferation, self-renewal, and multidirectional differentiation, which play an important role in tumorigenesis, growth, invasion, metastasis, and recurrence</w:t>
      </w:r>
      <w:r>
        <w:rPr>
          <w:rFonts w:ascii="Book Antiqua" w:eastAsia="Songti SC" w:hAnsi="Book Antiqua"/>
          <w:vertAlign w:val="superscript"/>
        </w:rPr>
        <w:t>[25-27]</w:t>
      </w:r>
      <w:r>
        <w:rPr>
          <w:rFonts w:ascii="Book Antiqua" w:eastAsia="Songti SC" w:hAnsi="Book Antiqua"/>
        </w:rPr>
        <w:t>. Hypoxia can promote the dedifferentiation of differentiated cancer cells, enable cells to acquire stem cell characteristics, and enhance the invasiveness and tumorigenicity of cancer cells</w:t>
      </w:r>
      <w:r>
        <w:rPr>
          <w:rFonts w:ascii="Book Antiqua" w:eastAsia="Songti SC" w:hAnsi="Book Antiqua"/>
          <w:vertAlign w:val="superscript"/>
        </w:rPr>
        <w:t>[28-30]</w:t>
      </w:r>
      <w:r>
        <w:rPr>
          <w:rFonts w:ascii="Book Antiqua" w:eastAsia="Songti SC" w:hAnsi="Book Antiqua"/>
        </w:rPr>
        <w:t xml:space="preserve">. The expression of HIF-2α gene is positively correlated with the proliferation of breast cancer cells. A previous study found that HIFs and its target genes are highly expressed in </w:t>
      </w:r>
      <w:r>
        <w:rPr>
          <w:rFonts w:ascii="Book Antiqua" w:eastAsiaTheme="minorEastAsia" w:hAnsi="Book Antiqua"/>
        </w:rPr>
        <w:t>TNBC</w:t>
      </w:r>
      <w:r>
        <w:rPr>
          <w:rFonts w:ascii="Book Antiqua" w:eastAsiaTheme="minorEastAsia" w:hAnsi="Book Antiqua"/>
          <w:vertAlign w:val="superscript"/>
        </w:rPr>
        <w:t>[31]</w:t>
      </w:r>
      <w:r>
        <w:rPr>
          <w:rFonts w:ascii="Book Antiqua" w:eastAsia="Songti SC" w:hAnsi="Book Antiqua"/>
        </w:rPr>
        <w:t xml:space="preserve">. Under hypoxic conditions, the </w:t>
      </w:r>
      <w:r>
        <w:rPr>
          <w:rFonts w:ascii="Book Antiqua" w:eastAsia="Songti SC" w:hAnsi="Book Antiqua"/>
        </w:rPr>
        <w:lastRenderedPageBreak/>
        <w:t>expression of HIF-1α increased rapidly and generally decreased sharply within 2-12 h, while the expression of HIF-2α began to increase 48-72 h after hypoxia, and then continued to express steadily for about 2 wk</w:t>
      </w:r>
      <w:r>
        <w:rPr>
          <w:rFonts w:ascii="Book Antiqua" w:eastAsia="Songti SC" w:hAnsi="Book Antiqua"/>
          <w:vertAlign w:val="superscript"/>
        </w:rPr>
        <w:t>[32-34]</w:t>
      </w:r>
      <w:r>
        <w:rPr>
          <w:rFonts w:ascii="Book Antiqua" w:eastAsia="Songti SC" w:hAnsi="Book Antiqua"/>
        </w:rPr>
        <w:t xml:space="preserve">. Therefore, we believe that HIF-2α may play a more important role in tumors and other chronic hypoxic diseases. In this study, we found that HIF-2α was highly expressed in both </w:t>
      </w:r>
      <w:r>
        <w:rPr>
          <w:rFonts w:ascii="Book Antiqua" w:eastAsiaTheme="minorEastAsia" w:hAnsi="Book Antiqua"/>
        </w:rPr>
        <w:t>TNBC and non-TNBC</w:t>
      </w:r>
      <w:r>
        <w:rPr>
          <w:rFonts w:ascii="Book Antiqua" w:eastAsia="Songti SC" w:hAnsi="Book Antiqua"/>
        </w:rPr>
        <w:t xml:space="preserve">, and was higher in </w:t>
      </w:r>
      <w:r>
        <w:rPr>
          <w:rFonts w:ascii="Book Antiqua" w:eastAsiaTheme="minorEastAsia" w:hAnsi="Book Antiqua"/>
        </w:rPr>
        <w:t>TNBC</w:t>
      </w:r>
      <w:r>
        <w:rPr>
          <w:rFonts w:ascii="Book Antiqua" w:eastAsia="Songti SC" w:hAnsi="Book Antiqua"/>
        </w:rPr>
        <w:t xml:space="preserve">. This result is consistent with the findings of </w:t>
      </w:r>
      <w:r>
        <w:rPr>
          <w:rFonts w:ascii="Book Antiqua" w:eastAsiaTheme="minorEastAsia" w:hAnsi="Book Antiqua"/>
        </w:rPr>
        <w:t>Goggins</w:t>
      </w:r>
      <w:r>
        <w:rPr>
          <w:rFonts w:ascii="Book Antiqua" w:eastAsia="Songti SC" w:hAnsi="Book Antiqua"/>
        </w:rPr>
        <w:t xml:space="preserve"> </w:t>
      </w:r>
      <w:r>
        <w:rPr>
          <w:rFonts w:ascii="Book Antiqua" w:eastAsia="Songti SC" w:hAnsi="Book Antiqua"/>
          <w:i/>
          <w:iCs/>
        </w:rPr>
        <w:t>et al</w:t>
      </w:r>
      <w:r>
        <w:rPr>
          <w:rFonts w:ascii="Book Antiqua" w:eastAsia="Songti SC" w:hAnsi="Book Antiqua"/>
          <w:vertAlign w:val="superscript"/>
        </w:rPr>
        <w:t>[35]</w:t>
      </w:r>
      <w:r>
        <w:rPr>
          <w:rFonts w:ascii="Book Antiqua" w:eastAsia="Songti SC" w:hAnsi="Book Antiqua"/>
        </w:rPr>
        <w:t>. Further, clinical studies have shown that high expression of HIF-2α suggests a poor prognosis for both locally advanced breast cancer and early breast cancer patients</w:t>
      </w:r>
      <w:r>
        <w:rPr>
          <w:rFonts w:ascii="Book Antiqua" w:eastAsia="Songti SC" w:hAnsi="Book Antiqua"/>
          <w:vertAlign w:val="superscript"/>
        </w:rPr>
        <w:t>[36-38]</w:t>
      </w:r>
      <w:r>
        <w:rPr>
          <w:rFonts w:ascii="Book Antiqua" w:eastAsia="Songti SC" w:hAnsi="Book Antiqua"/>
        </w:rPr>
        <w:t>.</w:t>
      </w:r>
    </w:p>
    <w:p w:rsidR="00FE31D1" w:rsidRDefault="00C450F3">
      <w:pPr>
        <w:spacing w:line="360" w:lineRule="auto"/>
        <w:ind w:firstLineChars="100" w:firstLine="240"/>
        <w:jc w:val="both"/>
        <w:rPr>
          <w:rFonts w:ascii="Book Antiqua" w:eastAsiaTheme="minorEastAsia" w:hAnsi="Book Antiqua"/>
        </w:rPr>
      </w:pPr>
      <w:r>
        <w:rPr>
          <w:rFonts w:ascii="Book Antiqua" w:eastAsia="Songti SC" w:hAnsi="Book Antiqua"/>
        </w:rPr>
        <w:t>The reduction of breast cancer recurrence rate and improvement of its cure rate in clinical practice are based on in-depth exploration of CSCs</w:t>
      </w:r>
      <w:r>
        <w:rPr>
          <w:rFonts w:ascii="Book Antiqua" w:eastAsia="Songti SC" w:hAnsi="Book Antiqua"/>
          <w:vertAlign w:val="superscript"/>
        </w:rPr>
        <w:t>[39-41]</w:t>
      </w:r>
      <w:r>
        <w:rPr>
          <w:rFonts w:ascii="Book Antiqua" w:eastAsia="Songti SC" w:hAnsi="Book Antiqua"/>
        </w:rPr>
        <w:t xml:space="preserve">. Therefore, this study analyzed the relationship between HIF-2α and CD44 by immunofluorescence </w:t>
      </w:r>
      <w:r>
        <w:rPr>
          <w:rFonts w:ascii="Book Antiqua" w:eastAsiaTheme="minorEastAsia" w:hAnsi="Book Antiqua"/>
        </w:rPr>
        <w:t>after hypoxia treatment</w:t>
      </w:r>
      <w:r>
        <w:rPr>
          <w:rFonts w:ascii="Book Antiqua" w:eastAsia="Songti SC" w:hAnsi="Book Antiqua"/>
        </w:rPr>
        <w:t xml:space="preserve">, and the results </w:t>
      </w:r>
      <w:r>
        <w:rPr>
          <w:rFonts w:ascii="Book Antiqua" w:eastAsiaTheme="minorEastAsia" w:hAnsi="Book Antiqua"/>
        </w:rPr>
        <w:t xml:space="preserve">showed that HIF-2α and CD44 were expressed almost in the same cell, leading us to hypothesize that there is a close relationship between CD44 and </w:t>
      </w:r>
      <w:r>
        <w:rPr>
          <w:rFonts w:ascii="Book Antiqua" w:eastAsia="Songti SC" w:hAnsi="Book Antiqua"/>
        </w:rPr>
        <w:t>HIF-2α</w:t>
      </w:r>
      <w:r>
        <w:rPr>
          <w:rFonts w:ascii="Book Antiqua" w:eastAsiaTheme="minorEastAsia" w:hAnsi="Book Antiqua"/>
        </w:rPr>
        <w:t xml:space="preserve">. The latter may regulate the expression of the former, but the specific regulatory mechanism still needs to be further explored. Furthermore, </w:t>
      </w:r>
      <w:r>
        <w:rPr>
          <w:rFonts w:ascii="Book Antiqua" w:eastAsia="Songti SC" w:hAnsi="Book Antiqua"/>
        </w:rPr>
        <w:t>RNA interference, flow cytometry, and TUNEL assays were applied to identify the effect of HIF-2α expression on the biological function of CSCs in breast cancer cells.</w:t>
      </w:r>
      <w:r>
        <w:rPr>
          <w:rFonts w:ascii="Book Antiqua" w:eastAsiaTheme="minorEastAsia" w:hAnsi="Book Antiqua"/>
        </w:rPr>
        <w:t xml:space="preserve"> In this experiment, it was found that the expression of HIF-2α mRNA in MDB-MB-231 and MCF-7 cells was significantly increased under hypoxic conditions, while significantly decreased after specific HIF-2α siRNA transfection, indicating successful cell transfection. Moreover, the results also showed that HIF-2α </w:t>
      </w:r>
      <w:r>
        <w:rPr>
          <w:rFonts w:ascii="Book Antiqua" w:eastAsia="Songti SC" w:hAnsi="Book Antiqua"/>
        </w:rPr>
        <w:t>silencing</w:t>
      </w:r>
      <w:r>
        <w:rPr>
          <w:rFonts w:ascii="Book Antiqua" w:eastAsiaTheme="minorEastAsia" w:hAnsi="Book Antiqua"/>
        </w:rPr>
        <w:t xml:space="preserve"> can lower the expression of HIF-2α and CD44 mRNAs in hypoxic cells, suggesting that HIF-2α could affect the level of CD44.</w:t>
      </w:r>
    </w:p>
    <w:p w:rsidR="00FE31D1" w:rsidRDefault="00C450F3">
      <w:pPr>
        <w:spacing w:line="360" w:lineRule="auto"/>
        <w:ind w:firstLineChars="100" w:firstLine="240"/>
        <w:jc w:val="both"/>
        <w:rPr>
          <w:rFonts w:ascii="Book Antiqua" w:eastAsia="Songti SC" w:hAnsi="Book Antiqua"/>
        </w:rPr>
      </w:pPr>
      <w:r>
        <w:rPr>
          <w:rFonts w:ascii="Book Antiqua" w:eastAsiaTheme="minorEastAsia" w:hAnsi="Book Antiqua"/>
        </w:rPr>
        <w:t>In breast cancers, CSCs carry the phenotypic signature of being CD24</w:t>
      </w:r>
      <w:r>
        <w:rPr>
          <w:rFonts w:ascii="Book Antiqua" w:eastAsiaTheme="minorEastAsia" w:hAnsi="Book Antiqua"/>
          <w:vertAlign w:val="superscript"/>
        </w:rPr>
        <w:t>-</w:t>
      </w:r>
      <w:r>
        <w:rPr>
          <w:rFonts w:ascii="Book Antiqua" w:eastAsiaTheme="minorEastAsia" w:hAnsi="Book Antiqua"/>
        </w:rPr>
        <w:t>/CD44</w:t>
      </w:r>
      <w:r>
        <w:rPr>
          <w:rFonts w:ascii="Book Antiqua" w:eastAsiaTheme="minorEastAsia" w:hAnsi="Book Antiqua"/>
          <w:vertAlign w:val="superscript"/>
        </w:rPr>
        <w:t>+[42]</w:t>
      </w:r>
      <w:r>
        <w:rPr>
          <w:rFonts w:ascii="Book Antiqua" w:eastAsiaTheme="minorEastAsia" w:hAnsi="Book Antiqua"/>
        </w:rPr>
        <w:t xml:space="preserve">. Flow cytometry showed that the proportion of CD44 cells in hypoxia-induced cells was significantly lower than that in the hypoxia control group after HIF-2α down-regulation. The results confirmed that down-regulation of HIF-2α in hypoxic microenvironment can slow the formation of MDA-MB-231 tumor stem cells, and the results are consistent with those of Xie </w:t>
      </w:r>
      <w:r>
        <w:rPr>
          <w:rFonts w:ascii="Book Antiqua" w:eastAsiaTheme="minorEastAsia" w:hAnsi="Book Antiqua"/>
          <w:i/>
          <w:iCs/>
        </w:rPr>
        <w:lastRenderedPageBreak/>
        <w:t>et al</w:t>
      </w:r>
      <w:r>
        <w:rPr>
          <w:rFonts w:ascii="Book Antiqua" w:eastAsiaTheme="minorEastAsia" w:hAnsi="Book Antiqua"/>
          <w:vertAlign w:val="superscript"/>
        </w:rPr>
        <w:t>[43]</w:t>
      </w:r>
      <w:r>
        <w:rPr>
          <w:rFonts w:ascii="Book Antiqua" w:eastAsiaTheme="minorEastAsia" w:hAnsi="Book Antiqua"/>
        </w:rPr>
        <w:t xml:space="preserve">. It is suggested that HIF-2α plays an important role in maintaining the stemness of CSCs. Alternatively, TUNEL assay showed that </w:t>
      </w:r>
      <w:r>
        <w:rPr>
          <w:rFonts w:ascii="Book Antiqua" w:eastAsia="Songti SC" w:hAnsi="Book Antiqua"/>
        </w:rPr>
        <w:t xml:space="preserve">HIF-2α siRNA in MDA-MB-231 cells induced by </w:t>
      </w:r>
      <w:r>
        <w:rPr>
          <w:rFonts w:ascii="Book Antiqua" w:eastAsiaTheme="minorEastAsia" w:hAnsi="Book Antiqua"/>
        </w:rPr>
        <w:t xml:space="preserve">hypoxia can </w:t>
      </w:r>
      <w:r>
        <w:rPr>
          <w:rFonts w:ascii="Book Antiqua" w:eastAsia="Songti SC" w:hAnsi="Book Antiqua"/>
        </w:rPr>
        <w:t>increase the percentage of apoptotic cells, and high-level HIF-2α was believed to be linked to an increased risk of breast cancer recurrence and metastasis</w:t>
      </w:r>
      <w:r>
        <w:rPr>
          <w:rFonts w:ascii="Book Antiqua" w:eastAsia="Songti SC" w:hAnsi="Book Antiqua"/>
          <w:vertAlign w:val="superscript"/>
        </w:rPr>
        <w:t>[44,45]</w:t>
      </w:r>
      <w:r>
        <w:rPr>
          <w:rFonts w:ascii="Book Antiqua" w:eastAsia="Songti SC" w:hAnsi="Book Antiqua"/>
        </w:rPr>
        <w:t>. Invasion and metastasis are important factors affecting the prognosis of tumor patients. It was found that the percentage of apoptotic cells was decreased under hypoxic conditions, and increased after transfection of specific HIF-2α siRNA, which further confirms that HIF-2α can promote the migration and invasion of breast cancer cells and inhibit the apoptosis of breast cancer cells.</w:t>
      </w:r>
    </w:p>
    <w:p w:rsidR="00FE31D1" w:rsidRDefault="00C450F3">
      <w:pPr>
        <w:spacing w:line="360" w:lineRule="auto"/>
        <w:ind w:firstLineChars="100" w:firstLine="240"/>
        <w:jc w:val="both"/>
        <w:rPr>
          <w:rFonts w:ascii="Book Antiqua" w:eastAsiaTheme="minorEastAsia" w:hAnsi="Book Antiqua"/>
        </w:rPr>
      </w:pPr>
      <w:r>
        <w:rPr>
          <w:rFonts w:ascii="Book Antiqua" w:eastAsiaTheme="minorEastAsia" w:hAnsi="Book Antiqua"/>
        </w:rPr>
        <w:t>Activation of the PI3K/mTOR/mTOR signaling pathway is very common in breast cancer patients</w:t>
      </w:r>
      <w:r>
        <w:rPr>
          <w:rFonts w:ascii="Book Antiqua" w:eastAsiaTheme="minorEastAsia" w:hAnsi="Book Antiqua"/>
          <w:vertAlign w:val="superscript"/>
        </w:rPr>
        <w:t>[46,47]</w:t>
      </w:r>
      <w:r>
        <w:rPr>
          <w:rFonts w:ascii="Book Antiqua" w:eastAsiaTheme="minorEastAsia" w:hAnsi="Book Antiqua"/>
        </w:rPr>
        <w:t xml:space="preserve">. Whole-genome sequencing in ER-positive metastatic breast cancer patients revealed frequent mutations in many genes. Sharma </w:t>
      </w:r>
      <w:r>
        <w:rPr>
          <w:rFonts w:ascii="Book Antiqua" w:eastAsiaTheme="minorEastAsia" w:hAnsi="Book Antiqua"/>
          <w:i/>
          <w:iCs/>
        </w:rPr>
        <w:t>et al</w:t>
      </w:r>
      <w:r>
        <w:rPr>
          <w:rFonts w:ascii="Book Antiqua" w:eastAsiaTheme="minorEastAsia" w:hAnsi="Book Antiqua"/>
          <w:vertAlign w:val="superscript"/>
        </w:rPr>
        <w:t>[48]</w:t>
      </w:r>
      <w:r>
        <w:rPr>
          <w:rFonts w:ascii="Book Antiqua" w:eastAsiaTheme="minorEastAsia" w:hAnsi="Book Antiqua"/>
        </w:rPr>
        <w:t xml:space="preserve"> showed that p7170, a dual inhibitor of PI3K/mTOR, has a strong inhibitory effect on proliferation of endocrine-sensitive and -resistant ER</w:t>
      </w:r>
      <w:r>
        <w:rPr>
          <w:rFonts w:ascii="Book Antiqua" w:eastAsiaTheme="minorEastAsia" w:hAnsi="Book Antiqua"/>
          <w:vertAlign w:val="superscript"/>
        </w:rPr>
        <w:t>+</w:t>
      </w:r>
      <w:r>
        <w:rPr>
          <w:rFonts w:ascii="Book Antiqua" w:eastAsiaTheme="minorEastAsia" w:hAnsi="Book Antiqua"/>
        </w:rPr>
        <w:t>/Her-2</w:t>
      </w:r>
      <w:r>
        <w:rPr>
          <w:rFonts w:ascii="Book Antiqua" w:eastAsiaTheme="minorEastAsia" w:hAnsi="Book Antiqua"/>
          <w:vertAlign w:val="superscript"/>
        </w:rPr>
        <w:t>-</w:t>
      </w:r>
      <w:r>
        <w:rPr>
          <w:rFonts w:ascii="Book Antiqua" w:eastAsiaTheme="minorEastAsia" w:hAnsi="Book Antiqua"/>
        </w:rPr>
        <w:t xml:space="preserve"> breast cancer cells. In this study, we hypothesized that </w:t>
      </w:r>
      <w:r>
        <w:rPr>
          <w:rFonts w:ascii="Book Antiqua" w:eastAsia="Songti SC" w:hAnsi="Book Antiqua"/>
        </w:rPr>
        <w:t>HIF-2α silencing</w:t>
      </w:r>
      <w:r>
        <w:rPr>
          <w:rFonts w:ascii="Book Antiqua" w:eastAsiaTheme="minorEastAsia" w:hAnsi="Book Antiqua"/>
        </w:rPr>
        <w:t xml:space="preserve"> mediated by siRNA in human breast cancer MDA-MB-231 cells can inhibit the expression of CD44, thus inhibiting the expression of the intracellular p-AKT and p-mTOR, and the migration and invasion of cancer cells were suppressed.</w:t>
      </w:r>
    </w:p>
    <w:p w:rsidR="00FE31D1" w:rsidRDefault="00C450F3">
      <w:pPr>
        <w:spacing w:line="360" w:lineRule="auto"/>
        <w:ind w:firstLineChars="100" w:firstLine="240"/>
        <w:jc w:val="both"/>
        <w:rPr>
          <w:rFonts w:ascii="Book Antiqua" w:eastAsiaTheme="minorEastAsia" w:hAnsi="Book Antiqua"/>
        </w:rPr>
      </w:pPr>
      <w:r>
        <w:rPr>
          <w:rFonts w:ascii="Book Antiqua" w:eastAsiaTheme="minorEastAsia" w:hAnsi="Book Antiqua"/>
        </w:rPr>
        <w:t xml:space="preserve">In conclusion, down-regulation of HIF-2α expression can inhibit the </w:t>
      </w:r>
      <w:r>
        <w:rPr>
          <w:rFonts w:ascii="Book Antiqua" w:eastAsia="Songti SC" w:hAnsi="Book Antiqua"/>
        </w:rPr>
        <w:t>stemness</w:t>
      </w:r>
      <w:r>
        <w:rPr>
          <w:rFonts w:ascii="Book Antiqua" w:eastAsiaTheme="minorEastAsia" w:hAnsi="Book Antiqua"/>
        </w:rPr>
        <w:t xml:space="preserve"> of human breast cancer MDA-MB-231 cells and promote apoptosis, and its mechanism may be related to the CD44/PI3K/AKT/mTOR signaling pathway, which is expected to be a target for the treatment of TNBC.</w:t>
      </w:r>
    </w:p>
    <w:p w:rsidR="00FE31D1" w:rsidRDefault="00FE31D1">
      <w:pPr>
        <w:snapToGrid w:val="0"/>
        <w:spacing w:line="360" w:lineRule="auto"/>
        <w:jc w:val="both"/>
        <w:rPr>
          <w:rFonts w:ascii="Book Antiqua" w:hAnsi="Book Antiqua"/>
          <w:b/>
        </w:rPr>
      </w:pPr>
      <w:bookmarkStart w:id="31" w:name="_Hlk15543807"/>
    </w:p>
    <w:p w:rsidR="00FE31D1" w:rsidRDefault="00C450F3">
      <w:pPr>
        <w:snapToGrid w:val="0"/>
        <w:spacing w:line="360" w:lineRule="auto"/>
        <w:jc w:val="both"/>
        <w:rPr>
          <w:rFonts w:ascii="Book Antiqua" w:hAnsi="Book Antiqua"/>
          <w:b/>
          <w:caps/>
        </w:rPr>
      </w:pPr>
      <w:r>
        <w:rPr>
          <w:rFonts w:ascii="Book Antiqua" w:hAnsi="Book Antiqua" w:cs="Segoe UI"/>
          <w:b/>
          <w:caps/>
          <w:shd w:val="clear" w:color="auto" w:fill="FFFFFF"/>
        </w:rPr>
        <w:t>Article Highlights</w:t>
      </w:r>
    </w:p>
    <w:p w:rsidR="00FE31D1" w:rsidRDefault="00C450F3">
      <w:pPr>
        <w:adjustRightInd w:val="0"/>
        <w:snapToGrid w:val="0"/>
        <w:spacing w:line="360" w:lineRule="auto"/>
        <w:jc w:val="both"/>
        <w:rPr>
          <w:rFonts w:ascii="Book Antiqua" w:hAnsi="Book Antiqua"/>
          <w:b/>
          <w:i/>
        </w:rPr>
      </w:pPr>
      <w:r>
        <w:rPr>
          <w:rFonts w:ascii="Book Antiqua" w:hAnsi="Book Antiqua"/>
          <w:b/>
          <w:i/>
        </w:rPr>
        <w:t>Research background</w:t>
      </w:r>
    </w:p>
    <w:p w:rsidR="00FE31D1" w:rsidRDefault="00C450F3">
      <w:pPr>
        <w:adjustRightInd w:val="0"/>
        <w:snapToGrid w:val="0"/>
        <w:spacing w:line="360" w:lineRule="auto"/>
        <w:jc w:val="both"/>
        <w:rPr>
          <w:rFonts w:ascii="Book Antiqua" w:hAnsi="Book Antiqua"/>
          <w:b/>
          <w:i/>
        </w:rPr>
      </w:pPr>
      <w:r>
        <w:rPr>
          <w:rFonts w:ascii="Book Antiqua" w:hAnsi="Book Antiqua"/>
        </w:rPr>
        <w:t xml:space="preserve">Breast cancer has a high degree of phenotype and functional heterogeneity, and the intratumoral variation is obvious. Traditional chemical and endocrine therapies are not effective in treating all cells in a tumor. Researchers have found a small group of highly tumorigenic cell populations in breast tumors. They have stem cell-like properties that are critical for tumorigenesis, </w:t>
      </w:r>
      <w:r>
        <w:rPr>
          <w:rFonts w:ascii="Book Antiqua" w:hAnsi="Book Antiqua"/>
        </w:rPr>
        <w:lastRenderedPageBreak/>
        <w:t xml:space="preserve">progression, progression, and recurrence, and are closely associated with breast cancer metastasis. In the development of tumors, </w:t>
      </w:r>
      <w:r>
        <w:rPr>
          <w:rFonts w:ascii="Book Antiqua" w:eastAsiaTheme="minorEastAsia" w:hAnsi="Book Antiqua"/>
        </w:rPr>
        <w:t>hypoxia-inducible factor-2</w:t>
      </w:r>
      <w:r>
        <w:rPr>
          <w:rFonts w:ascii="Book Antiqua" w:eastAsia="Songti SC" w:hAnsi="Book Antiqua"/>
        </w:rPr>
        <w:t>α (</w:t>
      </w:r>
      <w:r>
        <w:rPr>
          <w:rFonts w:ascii="Book Antiqua" w:hAnsi="Book Antiqua"/>
        </w:rPr>
        <w:t>HIF-2α) plays an important role in enhancing the drug resistance and migration of breast cancer stem cells. At present, whether the expression of cancer stem cells can be regulated by interfering with the expression of HIF-2α has not been reported in the literature</w:t>
      </w:r>
      <w:r>
        <w:rPr>
          <w:rFonts w:ascii="Book Antiqua" w:hAnsi="Book Antiqua"/>
          <w:b/>
          <w:i/>
        </w:rPr>
        <w:t>.</w:t>
      </w:r>
    </w:p>
    <w:p w:rsidR="00FE31D1" w:rsidRDefault="00FE31D1">
      <w:pPr>
        <w:adjustRightInd w:val="0"/>
        <w:snapToGrid w:val="0"/>
        <w:spacing w:line="360" w:lineRule="auto"/>
        <w:jc w:val="both"/>
        <w:rPr>
          <w:rFonts w:ascii="Book Antiqua" w:hAnsi="Book Antiqua"/>
          <w:b/>
          <w:i/>
        </w:rPr>
      </w:pPr>
    </w:p>
    <w:p w:rsidR="00FE31D1" w:rsidRDefault="00C450F3">
      <w:pPr>
        <w:adjustRightInd w:val="0"/>
        <w:snapToGrid w:val="0"/>
        <w:spacing w:line="360" w:lineRule="auto"/>
        <w:jc w:val="both"/>
        <w:rPr>
          <w:rFonts w:ascii="Book Antiqua" w:hAnsi="Book Antiqua"/>
          <w:b/>
          <w:i/>
        </w:rPr>
      </w:pPr>
      <w:r>
        <w:rPr>
          <w:rFonts w:ascii="Book Antiqua" w:hAnsi="Book Antiqua"/>
          <w:b/>
          <w:i/>
        </w:rPr>
        <w:t>Research motivation</w:t>
      </w:r>
    </w:p>
    <w:p w:rsidR="00FE31D1" w:rsidRDefault="00C450F3">
      <w:pPr>
        <w:adjustRightInd w:val="0"/>
        <w:snapToGrid w:val="0"/>
        <w:spacing w:line="360" w:lineRule="auto"/>
        <w:jc w:val="both"/>
        <w:rPr>
          <w:rFonts w:ascii="Book Antiqua" w:hAnsi="Book Antiqua"/>
        </w:rPr>
      </w:pPr>
      <w:r>
        <w:rPr>
          <w:rFonts w:ascii="Book Antiqua" w:hAnsi="Book Antiqua"/>
        </w:rPr>
        <w:t xml:space="preserve">Due to the rapid growth of </w:t>
      </w:r>
      <w:r>
        <w:rPr>
          <w:rFonts w:ascii="Book Antiqua" w:eastAsiaTheme="majorEastAsia" w:hAnsi="Book Antiqua"/>
          <w:bCs/>
        </w:rPr>
        <w:t>triple-negative breast cancer</w:t>
      </w:r>
      <w:r>
        <w:rPr>
          <w:rFonts w:ascii="Book Antiqua" w:hAnsi="Book Antiqua"/>
        </w:rPr>
        <w:t xml:space="preserve"> (TNBC), and the lack of self-vascular supply to meet the needs of rapidly growing tumor cells, a hypoxic environment is gradually formed. In the long-term chronic hypoxia of tumors, the major regulatory factor is HIF-2α, which increases the malignant biological behavior of tumors by activating its downstream target genes. As a marker of breast cancer stem cells, CD44 is closely related to the invasion and metastasis of tumor cells. Previous studies have found that HIF-2α can regulate the expression of the cell adhesion molecule CD44, but the relationship between the two and the regulatory mechanism are not clear.</w:t>
      </w:r>
    </w:p>
    <w:p w:rsidR="00FE31D1" w:rsidRDefault="00FE31D1">
      <w:pPr>
        <w:adjustRightInd w:val="0"/>
        <w:snapToGrid w:val="0"/>
        <w:spacing w:line="360" w:lineRule="auto"/>
        <w:jc w:val="both"/>
        <w:rPr>
          <w:rFonts w:ascii="Book Antiqua" w:hAnsi="Book Antiqua"/>
          <w:b/>
          <w:i/>
        </w:rPr>
      </w:pPr>
    </w:p>
    <w:p w:rsidR="00FE31D1" w:rsidRDefault="00C450F3">
      <w:pPr>
        <w:adjustRightInd w:val="0"/>
        <w:snapToGrid w:val="0"/>
        <w:spacing w:line="360" w:lineRule="auto"/>
        <w:jc w:val="both"/>
        <w:rPr>
          <w:rFonts w:ascii="Book Antiqua" w:hAnsi="Book Antiqua"/>
          <w:b/>
          <w:i/>
        </w:rPr>
      </w:pPr>
      <w:r>
        <w:rPr>
          <w:rFonts w:ascii="Book Antiqua" w:hAnsi="Book Antiqua"/>
          <w:b/>
          <w:i/>
        </w:rPr>
        <w:t>Research objectives</w:t>
      </w:r>
    </w:p>
    <w:p w:rsidR="00FE31D1" w:rsidRDefault="00C450F3">
      <w:pPr>
        <w:adjustRightInd w:val="0"/>
        <w:snapToGrid w:val="0"/>
        <w:spacing w:line="360" w:lineRule="auto"/>
        <w:jc w:val="both"/>
        <w:rPr>
          <w:rFonts w:ascii="Book Antiqua" w:hAnsi="Book Antiqua"/>
        </w:rPr>
      </w:pPr>
      <w:r>
        <w:rPr>
          <w:rFonts w:ascii="Book Antiqua" w:hAnsi="Book Antiqua"/>
        </w:rPr>
        <w:t>This study analyzed the relationship between the expression of HIF-2α and CD44 in patients with TNBC and non-TNBC. Then, the effects of HIF-2α on the expression of CD44 in human breast cancer cell lines MCF-7 and MDA-MB-231 and its possible mechanism were explored.</w:t>
      </w:r>
    </w:p>
    <w:p w:rsidR="00FE31D1" w:rsidRDefault="00FE31D1">
      <w:pPr>
        <w:adjustRightInd w:val="0"/>
        <w:snapToGrid w:val="0"/>
        <w:spacing w:line="360" w:lineRule="auto"/>
        <w:jc w:val="both"/>
        <w:rPr>
          <w:rFonts w:ascii="Book Antiqua" w:hAnsi="Book Antiqua"/>
          <w:b/>
          <w:i/>
        </w:rPr>
      </w:pPr>
    </w:p>
    <w:p w:rsidR="00FE31D1" w:rsidRDefault="00C450F3">
      <w:pPr>
        <w:adjustRightInd w:val="0"/>
        <w:snapToGrid w:val="0"/>
        <w:spacing w:line="360" w:lineRule="auto"/>
        <w:jc w:val="both"/>
        <w:rPr>
          <w:rFonts w:ascii="Book Antiqua" w:hAnsi="Book Antiqua"/>
          <w:b/>
          <w:i/>
        </w:rPr>
      </w:pPr>
      <w:r>
        <w:rPr>
          <w:rFonts w:ascii="Book Antiqua" w:hAnsi="Book Antiqua"/>
          <w:b/>
          <w:i/>
        </w:rPr>
        <w:t>Research methods</w:t>
      </w:r>
    </w:p>
    <w:p w:rsidR="00FE31D1" w:rsidRDefault="00C450F3">
      <w:pPr>
        <w:adjustRightInd w:val="0"/>
        <w:snapToGrid w:val="0"/>
        <w:spacing w:line="360" w:lineRule="auto"/>
        <w:jc w:val="both"/>
        <w:rPr>
          <w:rFonts w:ascii="Book Antiqua" w:hAnsi="Book Antiqua"/>
        </w:rPr>
      </w:pPr>
      <w:r>
        <w:rPr>
          <w:rFonts w:ascii="Book Antiqua" w:hAnsi="Book Antiqua"/>
        </w:rPr>
        <w:t>We analyzed the expression of HIF-2α and CD44 in patients with TNBC (</w:t>
      </w:r>
      <w:r>
        <w:rPr>
          <w:rFonts w:ascii="Book Antiqua" w:hAnsi="Book Antiqua"/>
          <w:i/>
          <w:iCs/>
        </w:rPr>
        <w:t>n</w:t>
      </w:r>
      <w:r>
        <w:rPr>
          <w:rFonts w:ascii="Book Antiqua" w:hAnsi="Book Antiqua"/>
        </w:rPr>
        <w:t xml:space="preserve"> = 29) and non-TNBC (</w:t>
      </w:r>
      <w:r>
        <w:rPr>
          <w:rFonts w:ascii="Book Antiqua" w:hAnsi="Book Antiqua"/>
          <w:i/>
          <w:iCs/>
        </w:rPr>
        <w:t>n</w:t>
      </w:r>
      <w:r>
        <w:rPr>
          <w:rFonts w:ascii="Book Antiqua" w:hAnsi="Book Antiqua"/>
        </w:rPr>
        <w:t xml:space="preserve"> = 20) using immunohistochemistry. The co-expression of HIF-2α and CD44 in MDA-MB-231 cells and MCF-7 cells was characterized by double-labeling immunofluorescence. The impact of siRNA-mediated HIF-2α knockdown on the CSCs and apoptosis of MDA-MB-231 cells was detected by real-time fluorescent quantitative PCR, flow cytometry, TUNEL, and </w:t>
      </w:r>
      <w:r>
        <w:rPr>
          <w:rFonts w:ascii="Book Antiqua" w:hAnsi="Book Antiqua"/>
        </w:rPr>
        <w:lastRenderedPageBreak/>
        <w:t xml:space="preserve">mammosphere formation assays. Data were statistically analyzed using the </w:t>
      </w:r>
      <w:r>
        <w:rPr>
          <w:rFonts w:ascii="Book Antiqua" w:eastAsia="Songti SC" w:hAnsi="Book Antiqua"/>
        </w:rPr>
        <w:t xml:space="preserve">independent </w:t>
      </w:r>
      <w:r>
        <w:rPr>
          <w:rFonts w:ascii="Book Antiqua" w:eastAsia="Songti SC" w:hAnsi="Book Antiqua"/>
          <w:i/>
          <w:iCs/>
        </w:rPr>
        <w:t>t</w:t>
      </w:r>
      <w:r>
        <w:rPr>
          <w:rFonts w:ascii="Book Antiqua" w:eastAsia="Songti SC" w:hAnsi="Book Antiqua"/>
        </w:rPr>
        <w:t>-test</w:t>
      </w:r>
      <w:r>
        <w:rPr>
          <w:rFonts w:ascii="Book Antiqua" w:hAnsi="Book Antiqua"/>
        </w:rPr>
        <w:t xml:space="preserve"> and one-way analysis of variance followed by </w:t>
      </w:r>
      <w:r>
        <w:rPr>
          <w:rFonts w:ascii="Book Antiqua" w:eastAsia="Songti SC" w:hAnsi="Book Antiqua"/>
        </w:rPr>
        <w:t>LSD</w:t>
      </w:r>
      <w:r>
        <w:rPr>
          <w:rFonts w:ascii="Book Antiqua" w:hAnsi="Book Antiqua"/>
        </w:rPr>
        <w:t xml:space="preserve"> </w:t>
      </w:r>
      <w:r>
        <w:rPr>
          <w:rFonts w:ascii="Book Antiqua" w:eastAsia="Songti SC" w:hAnsi="Book Antiqua"/>
        </w:rPr>
        <w:t>pairwise</w:t>
      </w:r>
      <w:r>
        <w:rPr>
          <w:rFonts w:ascii="Book Antiqua" w:hAnsi="Book Antiqua"/>
        </w:rPr>
        <w:t xml:space="preserve"> comparison tests.</w:t>
      </w:r>
    </w:p>
    <w:p w:rsidR="00FE31D1" w:rsidRDefault="00FE31D1">
      <w:pPr>
        <w:adjustRightInd w:val="0"/>
        <w:snapToGrid w:val="0"/>
        <w:spacing w:line="360" w:lineRule="auto"/>
        <w:jc w:val="both"/>
        <w:rPr>
          <w:rFonts w:ascii="Book Antiqua" w:hAnsi="Book Antiqua"/>
          <w:b/>
          <w:i/>
        </w:rPr>
      </w:pPr>
    </w:p>
    <w:p w:rsidR="00FE31D1" w:rsidRDefault="00C450F3">
      <w:pPr>
        <w:adjustRightInd w:val="0"/>
        <w:snapToGrid w:val="0"/>
        <w:spacing w:line="360" w:lineRule="auto"/>
        <w:jc w:val="both"/>
        <w:rPr>
          <w:rFonts w:ascii="Book Antiqua" w:hAnsi="Book Antiqua"/>
          <w:b/>
          <w:i/>
        </w:rPr>
      </w:pPr>
      <w:r>
        <w:rPr>
          <w:rFonts w:ascii="Book Antiqua" w:hAnsi="Book Antiqua"/>
          <w:b/>
          <w:i/>
        </w:rPr>
        <w:t>Research results</w:t>
      </w:r>
    </w:p>
    <w:p w:rsidR="00FE31D1" w:rsidRDefault="00C450F3">
      <w:pPr>
        <w:adjustRightInd w:val="0"/>
        <w:snapToGrid w:val="0"/>
        <w:spacing w:line="360" w:lineRule="auto"/>
        <w:jc w:val="both"/>
        <w:rPr>
          <w:rFonts w:ascii="Book Antiqua" w:hAnsi="Book Antiqua"/>
        </w:rPr>
      </w:pPr>
      <w:r>
        <w:rPr>
          <w:rFonts w:ascii="Book Antiqua" w:hAnsi="Book Antiqua"/>
        </w:rPr>
        <w:t>Our data showed that HIF-2α had a high level expression in both TNBC and non-TNBC, and HIF-2α and CD44 were located in the same cell. Functionally, HIF-2α silencing significantly reduced the expression of HIF-2α and CD44 mRNAs, but increased cell apoptosis. Flow cytometry and mammosphere formation assay results indicated downregulation of CD44+/CD24− population (</w:t>
      </w:r>
      <w:r>
        <w:rPr>
          <w:rFonts w:ascii="Book Antiqua" w:hAnsi="Book Antiqua"/>
          <w:i/>
          <w:iCs/>
        </w:rPr>
        <w:t>P</w:t>
      </w:r>
      <w:r>
        <w:rPr>
          <w:rFonts w:ascii="Book Antiqua" w:hAnsi="Book Antiqua"/>
        </w:rPr>
        <w:t xml:space="preserve"> &lt; 0.05) and mammosphere formation upon HIF-2α suppression in hypoxic MDA-MB-231 cells. Moreover, HIF-2α siRNA transfection could decrease the levels of phosphorylated protein-serine-threonine kinase (p-AKT) and </w:t>
      </w:r>
      <w:r>
        <w:rPr>
          <w:rFonts w:ascii="Book Antiqua" w:eastAsiaTheme="minorEastAsia" w:hAnsi="Book Antiqua"/>
        </w:rPr>
        <w:t>phosphorylated</w:t>
      </w:r>
      <w:r>
        <w:rPr>
          <w:rFonts w:ascii="Book Antiqua" w:hAnsi="Book Antiqua"/>
        </w:rPr>
        <w:t xml:space="preserve"> mammalian target of rapamycin (p-mTOR) in MDA-MB-231 cells.</w:t>
      </w:r>
    </w:p>
    <w:p w:rsidR="00FE31D1" w:rsidRDefault="00FE31D1">
      <w:pPr>
        <w:adjustRightInd w:val="0"/>
        <w:snapToGrid w:val="0"/>
        <w:spacing w:line="360" w:lineRule="auto"/>
        <w:jc w:val="both"/>
        <w:rPr>
          <w:rFonts w:ascii="Book Antiqua" w:hAnsi="Book Antiqua"/>
          <w:b/>
          <w:i/>
        </w:rPr>
      </w:pPr>
    </w:p>
    <w:p w:rsidR="00FE31D1" w:rsidRDefault="00C450F3">
      <w:pPr>
        <w:adjustRightInd w:val="0"/>
        <w:snapToGrid w:val="0"/>
        <w:spacing w:line="360" w:lineRule="auto"/>
        <w:jc w:val="both"/>
        <w:rPr>
          <w:rFonts w:ascii="Book Antiqua" w:hAnsi="Book Antiqua"/>
          <w:b/>
          <w:i/>
        </w:rPr>
      </w:pPr>
      <w:r>
        <w:rPr>
          <w:rFonts w:ascii="Book Antiqua" w:hAnsi="Book Antiqua"/>
          <w:b/>
          <w:i/>
        </w:rPr>
        <w:t>Research conclusions</w:t>
      </w:r>
    </w:p>
    <w:p w:rsidR="00FE31D1" w:rsidRDefault="00C450F3">
      <w:pPr>
        <w:adjustRightInd w:val="0"/>
        <w:snapToGrid w:val="0"/>
        <w:spacing w:line="360" w:lineRule="auto"/>
        <w:jc w:val="both"/>
        <w:rPr>
          <w:rFonts w:ascii="Book Antiqua" w:hAnsi="Book Antiqua"/>
        </w:rPr>
      </w:pPr>
      <w:r>
        <w:rPr>
          <w:rFonts w:ascii="Book Antiqua" w:hAnsi="Book Antiqua"/>
        </w:rPr>
        <w:t xml:space="preserve">HIF-2α plays an important role in the stemness and apoptosis of human breast cancer MDA-MB-231 cells </w:t>
      </w:r>
      <w:r>
        <w:rPr>
          <w:rFonts w:ascii="Book Antiqua" w:hAnsi="Book Antiqua"/>
          <w:i/>
          <w:iCs/>
        </w:rPr>
        <w:t>via</w:t>
      </w:r>
      <w:r>
        <w:rPr>
          <w:rFonts w:ascii="Book Antiqua" w:hAnsi="Book Antiqua"/>
        </w:rPr>
        <w:t xml:space="preserve"> </w:t>
      </w:r>
      <w:r>
        <w:rPr>
          <w:rFonts w:ascii="Book Antiqua" w:eastAsiaTheme="minorEastAsia" w:hAnsi="Book Antiqua"/>
        </w:rPr>
        <w:t>the CD44/PI3K/AKT/mTOR signaling pathway</w:t>
      </w:r>
      <w:r>
        <w:rPr>
          <w:rFonts w:ascii="Book Antiqua" w:hAnsi="Book Antiqua"/>
        </w:rPr>
        <w:t xml:space="preserve">, thus emerging as a </w:t>
      </w:r>
      <w:r>
        <w:rPr>
          <w:rFonts w:ascii="Book Antiqua" w:eastAsiaTheme="minorEastAsia" w:hAnsi="Book Antiqua"/>
        </w:rPr>
        <w:t>target for the treatment of TNBC.</w:t>
      </w:r>
    </w:p>
    <w:p w:rsidR="00FE31D1" w:rsidRDefault="00FE31D1">
      <w:pPr>
        <w:adjustRightInd w:val="0"/>
        <w:snapToGrid w:val="0"/>
        <w:spacing w:line="360" w:lineRule="auto"/>
        <w:jc w:val="both"/>
        <w:rPr>
          <w:rFonts w:ascii="Book Antiqua" w:hAnsi="Book Antiqua"/>
          <w:b/>
          <w:i/>
        </w:rPr>
      </w:pPr>
    </w:p>
    <w:p w:rsidR="00FE31D1" w:rsidRDefault="00C450F3">
      <w:pPr>
        <w:adjustRightInd w:val="0"/>
        <w:snapToGrid w:val="0"/>
        <w:spacing w:line="360" w:lineRule="auto"/>
        <w:jc w:val="both"/>
        <w:rPr>
          <w:rFonts w:ascii="Book Antiqua" w:hAnsi="Book Antiqua"/>
          <w:b/>
          <w:i/>
        </w:rPr>
      </w:pPr>
      <w:r>
        <w:rPr>
          <w:rFonts w:ascii="Book Antiqua" w:hAnsi="Book Antiqua"/>
          <w:b/>
          <w:i/>
        </w:rPr>
        <w:t>Research perspectives</w:t>
      </w:r>
    </w:p>
    <w:bookmarkEnd w:id="31"/>
    <w:p w:rsidR="00FE31D1" w:rsidRDefault="00C450F3">
      <w:pPr>
        <w:spacing w:line="360" w:lineRule="auto"/>
        <w:jc w:val="both"/>
        <w:rPr>
          <w:rFonts w:ascii="Book Antiqua" w:eastAsiaTheme="minorEastAsia" w:hAnsi="Book Antiqua"/>
        </w:rPr>
      </w:pPr>
      <w:r>
        <w:rPr>
          <w:rFonts w:ascii="Book Antiqua" w:eastAsiaTheme="minorEastAsia" w:hAnsi="Book Antiqua"/>
        </w:rPr>
        <w:t xml:space="preserve">The molecular regulation mechanism of CSCs in TNBC tissues is still unclear. Inhibition of CSC activation or elimination of CSCs has become a difficult and critical step in the current treatment of TNBC. In this study, the effect of HIF-2α on CSCs was explored by clinicopathological specimens and </w:t>
      </w:r>
      <w:r>
        <w:rPr>
          <w:rFonts w:ascii="Book Antiqua" w:eastAsiaTheme="minorEastAsia" w:hAnsi="Book Antiqua"/>
          <w:i/>
          <w:iCs/>
        </w:rPr>
        <w:t>in vitro</w:t>
      </w:r>
      <w:r>
        <w:rPr>
          <w:rFonts w:ascii="Book Antiqua" w:eastAsiaTheme="minorEastAsia" w:hAnsi="Book Antiqua"/>
        </w:rPr>
        <w:t xml:space="preserve"> experiments, and the mechanism of action was preliminarily analyzed. The conclusions of this study have important clinical and pathological significance for understanding the mechanism of CSC activation in TNBC tissues, blocking the signaling pathway of HIF-2α, inhibiting the malignant progression of TNBC, and improving the prognosis of patients.</w:t>
      </w:r>
    </w:p>
    <w:p w:rsidR="00FE31D1" w:rsidRDefault="00FE31D1">
      <w:pPr>
        <w:spacing w:line="360" w:lineRule="auto"/>
        <w:jc w:val="both"/>
        <w:rPr>
          <w:rFonts w:ascii="Book Antiqua" w:eastAsia="Songti SC" w:hAnsi="Book Antiqua"/>
          <w:b/>
        </w:rPr>
      </w:pPr>
    </w:p>
    <w:p w:rsidR="00FE31D1" w:rsidRDefault="00FE31D1">
      <w:pPr>
        <w:spacing w:line="360" w:lineRule="auto"/>
        <w:jc w:val="both"/>
        <w:rPr>
          <w:rFonts w:ascii="Book Antiqua" w:eastAsia="Songti SC" w:hAnsi="Book Antiqua"/>
          <w:b/>
        </w:rPr>
      </w:pPr>
    </w:p>
    <w:p w:rsidR="00FE31D1" w:rsidRDefault="00C450F3">
      <w:pPr>
        <w:spacing w:line="360" w:lineRule="auto"/>
        <w:jc w:val="both"/>
        <w:rPr>
          <w:rFonts w:ascii="Book Antiqua" w:eastAsia="Songti SC" w:hAnsi="Book Antiqua"/>
          <w:b/>
        </w:rPr>
      </w:pPr>
      <w:r>
        <w:rPr>
          <w:rFonts w:ascii="Book Antiqua" w:eastAsia="Songti SC" w:hAnsi="Book Antiqua"/>
          <w:b/>
        </w:rPr>
        <w:t>REFERENCES</w:t>
      </w:r>
    </w:p>
    <w:p w:rsidR="00FE31D1" w:rsidRDefault="00C450F3">
      <w:pPr>
        <w:spacing w:line="360" w:lineRule="auto"/>
        <w:jc w:val="both"/>
        <w:rPr>
          <w:rFonts w:ascii="Book Antiqua" w:hAnsi="Book Antiqua"/>
        </w:rPr>
      </w:pPr>
      <w:r>
        <w:rPr>
          <w:rFonts w:ascii="Book Antiqua" w:hAnsi="Book Antiqua"/>
        </w:rPr>
        <w:t xml:space="preserve">1 </w:t>
      </w:r>
      <w:r>
        <w:rPr>
          <w:rFonts w:ascii="Book Antiqua" w:hAnsi="Book Antiqua"/>
          <w:b/>
        </w:rPr>
        <w:t>Templeton AJ</w:t>
      </w:r>
      <w:r>
        <w:rPr>
          <w:rFonts w:ascii="Book Antiqua" w:hAnsi="Book Antiqua"/>
        </w:rPr>
        <w:t xml:space="preserve">, Ace O, McNamara MG, Al-Mubarak M, Vera-Badillo FE, Hermanns T, Seruga B, Ocaña A, Tannock IF, Amir E. Prognostic role of platelet to lymphocyte ratio in solid tumors: a systematic review and meta-analysis. </w:t>
      </w:r>
      <w:r>
        <w:rPr>
          <w:rFonts w:ascii="Book Antiqua" w:hAnsi="Book Antiqua"/>
          <w:i/>
        </w:rPr>
        <w:t>Cancer Epidemiol Biomarkers Prev</w:t>
      </w:r>
      <w:r>
        <w:rPr>
          <w:rFonts w:ascii="Book Antiqua" w:hAnsi="Book Antiqua"/>
        </w:rPr>
        <w:t xml:space="preserve"> 2014; </w:t>
      </w:r>
      <w:r>
        <w:rPr>
          <w:rFonts w:ascii="Book Antiqua" w:hAnsi="Book Antiqua"/>
          <w:b/>
        </w:rPr>
        <w:t>23</w:t>
      </w:r>
      <w:r>
        <w:rPr>
          <w:rFonts w:ascii="Book Antiqua" w:hAnsi="Book Antiqua"/>
        </w:rPr>
        <w:t>: 1204-1212 [PMID: 24793958 DOI: 10.1158/1055-9965.EPI-14-0146]</w:t>
      </w:r>
    </w:p>
    <w:p w:rsidR="00FE31D1" w:rsidRDefault="00C450F3">
      <w:pPr>
        <w:spacing w:line="360" w:lineRule="auto"/>
        <w:jc w:val="both"/>
        <w:rPr>
          <w:rFonts w:ascii="Book Antiqua" w:hAnsi="Book Antiqua"/>
        </w:rPr>
      </w:pPr>
      <w:r>
        <w:rPr>
          <w:rFonts w:ascii="Book Antiqua" w:hAnsi="Book Antiqua"/>
        </w:rPr>
        <w:t xml:space="preserve">2 </w:t>
      </w:r>
      <w:r>
        <w:rPr>
          <w:rFonts w:ascii="Book Antiqua" w:hAnsi="Book Antiqua"/>
          <w:b/>
        </w:rPr>
        <w:t>Neil-Sztramko SE</w:t>
      </w:r>
      <w:r>
        <w:rPr>
          <w:rFonts w:ascii="Book Antiqua" w:hAnsi="Book Antiqua"/>
        </w:rPr>
        <w:t xml:space="preserve">, Winters-Stone KM, Bland KA, Campbell KL. Updated systematic review of exercise studies in breast cancer survivors: attention to the principles of exercise training. </w:t>
      </w:r>
      <w:r>
        <w:rPr>
          <w:rFonts w:ascii="Book Antiqua" w:hAnsi="Book Antiqua"/>
          <w:i/>
        </w:rPr>
        <w:t>Br J Sports Med</w:t>
      </w:r>
      <w:r>
        <w:rPr>
          <w:rFonts w:ascii="Book Antiqua" w:hAnsi="Book Antiqua"/>
        </w:rPr>
        <w:t xml:space="preserve"> 2019; </w:t>
      </w:r>
      <w:r>
        <w:rPr>
          <w:rFonts w:ascii="Book Antiqua" w:hAnsi="Book Antiqua"/>
          <w:b/>
        </w:rPr>
        <w:t>53</w:t>
      </w:r>
      <w:r>
        <w:rPr>
          <w:rFonts w:ascii="Book Antiqua" w:hAnsi="Book Antiqua"/>
        </w:rPr>
        <w:t>: 504-512 [PMID: 29162619 DOI: 10.1136/bjsports-2017-098389]</w:t>
      </w:r>
    </w:p>
    <w:p w:rsidR="00FE31D1" w:rsidRDefault="00C450F3">
      <w:pPr>
        <w:spacing w:line="360" w:lineRule="auto"/>
        <w:jc w:val="both"/>
        <w:rPr>
          <w:rFonts w:ascii="Book Antiqua" w:hAnsi="Book Antiqua"/>
        </w:rPr>
      </w:pPr>
      <w:r>
        <w:rPr>
          <w:rFonts w:ascii="Book Antiqua" w:hAnsi="Book Antiqua"/>
        </w:rPr>
        <w:t xml:space="preserve">3 </w:t>
      </w:r>
      <w:r>
        <w:rPr>
          <w:rFonts w:ascii="Book Antiqua" w:hAnsi="Book Antiqua"/>
          <w:b/>
        </w:rPr>
        <w:t>Brandão T</w:t>
      </w:r>
      <w:r>
        <w:rPr>
          <w:rFonts w:ascii="Book Antiqua" w:hAnsi="Book Antiqua"/>
        </w:rPr>
        <w:t xml:space="preserve">, Schulz MS, Matos PM. Psychological adjustment after breast cancer: a systematic review of longitudinal studies. </w:t>
      </w:r>
      <w:r>
        <w:rPr>
          <w:rFonts w:ascii="Book Antiqua" w:hAnsi="Book Antiqua"/>
          <w:i/>
        </w:rPr>
        <w:t>Psychooncology</w:t>
      </w:r>
      <w:r>
        <w:rPr>
          <w:rFonts w:ascii="Book Antiqua" w:hAnsi="Book Antiqua"/>
        </w:rPr>
        <w:t xml:space="preserve"> 2017; </w:t>
      </w:r>
      <w:r>
        <w:rPr>
          <w:rFonts w:ascii="Book Antiqua" w:hAnsi="Book Antiqua"/>
          <w:b/>
        </w:rPr>
        <w:t>26</w:t>
      </w:r>
      <w:r>
        <w:rPr>
          <w:rFonts w:ascii="Book Antiqua" w:hAnsi="Book Antiqua"/>
        </w:rPr>
        <w:t>: 917-926 [PMID: 27440317 DOI: 10.1002/pon.4230]</w:t>
      </w:r>
    </w:p>
    <w:p w:rsidR="00FE31D1" w:rsidRDefault="00C450F3">
      <w:pPr>
        <w:spacing w:line="360" w:lineRule="auto"/>
        <w:jc w:val="both"/>
        <w:rPr>
          <w:rFonts w:ascii="Book Antiqua" w:hAnsi="Book Antiqua"/>
        </w:rPr>
      </w:pPr>
      <w:r>
        <w:rPr>
          <w:rFonts w:ascii="Book Antiqua" w:hAnsi="Book Antiqua"/>
        </w:rPr>
        <w:t xml:space="preserve">4 </w:t>
      </w:r>
      <w:r>
        <w:rPr>
          <w:rFonts w:ascii="Book Antiqua" w:hAnsi="Book Antiqua"/>
          <w:b/>
        </w:rPr>
        <w:t>Ennour-Idrissi K</w:t>
      </w:r>
      <w:r>
        <w:rPr>
          <w:rFonts w:ascii="Book Antiqua" w:hAnsi="Book Antiqua"/>
        </w:rPr>
        <w:t xml:space="preserve">, Maunsell E, Diorio C. Telomere Length and Breast Cancer Prognosis: A Systematic Review. </w:t>
      </w:r>
      <w:r>
        <w:rPr>
          <w:rFonts w:ascii="Book Antiqua" w:hAnsi="Book Antiqua"/>
          <w:i/>
        </w:rPr>
        <w:t>Cancer Epidemiol Biomarkers Prev</w:t>
      </w:r>
      <w:r>
        <w:rPr>
          <w:rFonts w:ascii="Book Antiqua" w:hAnsi="Book Antiqua"/>
        </w:rPr>
        <w:t xml:space="preserve"> 2017; </w:t>
      </w:r>
      <w:r>
        <w:rPr>
          <w:rFonts w:ascii="Book Antiqua" w:hAnsi="Book Antiqua"/>
          <w:b/>
        </w:rPr>
        <w:t>26</w:t>
      </w:r>
      <w:r>
        <w:rPr>
          <w:rFonts w:ascii="Book Antiqua" w:hAnsi="Book Antiqua"/>
        </w:rPr>
        <w:t>: 3-10 [PMID: 27677729 DOI: 10.1158/1055-9965.EPI-16-0343]</w:t>
      </w:r>
    </w:p>
    <w:p w:rsidR="00FE31D1" w:rsidRDefault="00C450F3">
      <w:pPr>
        <w:spacing w:line="360" w:lineRule="auto"/>
        <w:jc w:val="both"/>
        <w:rPr>
          <w:rFonts w:ascii="Book Antiqua" w:hAnsi="Book Antiqua"/>
        </w:rPr>
      </w:pPr>
      <w:r>
        <w:rPr>
          <w:rFonts w:ascii="Book Antiqua" w:hAnsi="Book Antiqua"/>
        </w:rPr>
        <w:t xml:space="preserve">5 </w:t>
      </w:r>
      <w:r>
        <w:rPr>
          <w:rFonts w:ascii="Book Antiqua" w:hAnsi="Book Antiqua"/>
          <w:b/>
        </w:rPr>
        <w:t>Lee JD</w:t>
      </w:r>
      <w:r>
        <w:rPr>
          <w:rFonts w:ascii="Book Antiqua" w:hAnsi="Book Antiqua"/>
        </w:rPr>
        <w:t xml:space="preserve">, Cai Q, Shu XO, Nechuta SJ. The Role of Biomarkers of Oxidative Stress in Breast Cancer Risk and Prognosis: A Systematic Review of the Epidemiologic Literature. </w:t>
      </w:r>
      <w:r>
        <w:rPr>
          <w:rFonts w:ascii="Book Antiqua" w:hAnsi="Book Antiqua"/>
          <w:i/>
        </w:rPr>
        <w:t>J Womens Health (Larchmt)</w:t>
      </w:r>
      <w:r>
        <w:rPr>
          <w:rFonts w:ascii="Book Antiqua" w:hAnsi="Book Antiqua"/>
        </w:rPr>
        <w:t xml:space="preserve"> 2017; </w:t>
      </w:r>
      <w:r>
        <w:rPr>
          <w:rFonts w:ascii="Book Antiqua" w:hAnsi="Book Antiqua"/>
          <w:b/>
        </w:rPr>
        <w:t>26</w:t>
      </w:r>
      <w:r>
        <w:rPr>
          <w:rFonts w:ascii="Book Antiqua" w:hAnsi="Book Antiqua"/>
        </w:rPr>
        <w:t>: 467-482 [PMID: 28151039 DOI: 10.1089/jwh.2016.5973]</w:t>
      </w:r>
    </w:p>
    <w:p w:rsidR="00FE31D1" w:rsidRDefault="00C450F3">
      <w:pPr>
        <w:spacing w:line="360" w:lineRule="auto"/>
        <w:jc w:val="both"/>
        <w:rPr>
          <w:rFonts w:ascii="Book Antiqua" w:hAnsi="Book Antiqua"/>
        </w:rPr>
      </w:pPr>
      <w:r>
        <w:rPr>
          <w:rFonts w:ascii="Book Antiqua" w:hAnsi="Book Antiqua"/>
        </w:rPr>
        <w:t xml:space="preserve">6 </w:t>
      </w:r>
      <w:r>
        <w:rPr>
          <w:rFonts w:ascii="Book Antiqua" w:hAnsi="Book Antiqua"/>
          <w:b/>
        </w:rPr>
        <w:t>Terranova CO</w:t>
      </w:r>
      <w:r>
        <w:rPr>
          <w:rFonts w:ascii="Book Antiqua" w:hAnsi="Book Antiqua"/>
        </w:rPr>
        <w:t xml:space="preserve">, Protani MM, Reeves MM. Overall Dietary Intake and Prognosis after Breast Cancer: A Systematic Review. </w:t>
      </w:r>
      <w:r>
        <w:rPr>
          <w:rFonts w:ascii="Book Antiqua" w:hAnsi="Book Antiqua"/>
          <w:i/>
        </w:rPr>
        <w:t>Nutr Cancer</w:t>
      </w:r>
      <w:r>
        <w:rPr>
          <w:rFonts w:ascii="Book Antiqua" w:hAnsi="Book Antiqua"/>
        </w:rPr>
        <w:t xml:space="preserve"> 2018; </w:t>
      </w:r>
      <w:r>
        <w:rPr>
          <w:rFonts w:ascii="Book Antiqua" w:hAnsi="Book Antiqua"/>
          <w:b/>
        </w:rPr>
        <w:t>70</w:t>
      </w:r>
      <w:r>
        <w:rPr>
          <w:rFonts w:ascii="Book Antiqua" w:hAnsi="Book Antiqua"/>
        </w:rPr>
        <w:t>: 153-163 [PMID: 29308928 DOI: 10.1080/01635581.2018.1412478]</w:t>
      </w:r>
    </w:p>
    <w:p w:rsidR="00FE31D1" w:rsidRDefault="00C450F3">
      <w:pPr>
        <w:spacing w:line="360" w:lineRule="auto"/>
        <w:jc w:val="both"/>
        <w:rPr>
          <w:rFonts w:ascii="Book Antiqua" w:hAnsi="Book Antiqua"/>
        </w:rPr>
      </w:pPr>
      <w:r>
        <w:rPr>
          <w:rFonts w:ascii="Book Antiqua" w:hAnsi="Book Antiqua"/>
        </w:rPr>
        <w:t xml:space="preserve">7 </w:t>
      </w:r>
      <w:r>
        <w:rPr>
          <w:rFonts w:ascii="Book Antiqua" w:hAnsi="Book Antiqua"/>
          <w:b/>
        </w:rPr>
        <w:t>Dent R</w:t>
      </w:r>
      <w:r>
        <w:rPr>
          <w:rFonts w:ascii="Book Antiqua" w:hAnsi="Book Antiqua"/>
        </w:rPr>
        <w:t xml:space="preserve">, Valentini A, Hanna W, Rawlinson E, Rakovitch E, Sun P, Narod SA. Factors associated with breast cancer mortality after local recurrence. </w:t>
      </w:r>
      <w:r>
        <w:rPr>
          <w:rFonts w:ascii="Book Antiqua" w:hAnsi="Book Antiqua"/>
          <w:i/>
        </w:rPr>
        <w:t>Curr Oncol</w:t>
      </w:r>
      <w:r>
        <w:rPr>
          <w:rFonts w:ascii="Book Antiqua" w:hAnsi="Book Antiqua"/>
        </w:rPr>
        <w:t xml:space="preserve"> 2014; </w:t>
      </w:r>
      <w:r>
        <w:rPr>
          <w:rFonts w:ascii="Book Antiqua" w:hAnsi="Book Antiqua"/>
          <w:b/>
        </w:rPr>
        <w:t>21</w:t>
      </w:r>
      <w:r>
        <w:rPr>
          <w:rFonts w:ascii="Book Antiqua" w:hAnsi="Book Antiqua"/>
        </w:rPr>
        <w:t>: e418-e425 [PMID: 24940101 DOI: 10.3747/co.21.1563]</w:t>
      </w:r>
    </w:p>
    <w:p w:rsidR="00FE31D1" w:rsidRDefault="00C450F3">
      <w:pPr>
        <w:spacing w:line="360" w:lineRule="auto"/>
        <w:jc w:val="both"/>
        <w:rPr>
          <w:rFonts w:ascii="Book Antiqua" w:hAnsi="Book Antiqua"/>
        </w:rPr>
      </w:pPr>
      <w:r>
        <w:rPr>
          <w:rFonts w:ascii="Book Antiqua" w:hAnsi="Book Antiqua"/>
        </w:rPr>
        <w:t xml:space="preserve">8 </w:t>
      </w:r>
      <w:r>
        <w:rPr>
          <w:rFonts w:ascii="Book Antiqua" w:hAnsi="Book Antiqua"/>
          <w:b/>
        </w:rPr>
        <w:t>Poggio F</w:t>
      </w:r>
      <w:r>
        <w:rPr>
          <w:rFonts w:ascii="Book Antiqua" w:hAnsi="Book Antiqua"/>
        </w:rPr>
        <w:t xml:space="preserve">, Bruzzone M, Ceppi M, Pondé NF, La Valle G, Del Mastro L, de Azambuja E, Lambertini M. Platinum-based neoadjuvant chemotherapy in </w:t>
      </w:r>
      <w:r>
        <w:rPr>
          <w:rFonts w:ascii="Book Antiqua" w:hAnsi="Book Antiqua"/>
        </w:rPr>
        <w:lastRenderedPageBreak/>
        <w:t xml:space="preserve">triple-negative breast cancer: a systematic review and meta-analysis. </w:t>
      </w:r>
      <w:r>
        <w:rPr>
          <w:rFonts w:ascii="Book Antiqua" w:hAnsi="Book Antiqua"/>
          <w:i/>
        </w:rPr>
        <w:t>Ann Oncol</w:t>
      </w:r>
      <w:r>
        <w:rPr>
          <w:rFonts w:ascii="Book Antiqua" w:hAnsi="Book Antiqua"/>
        </w:rPr>
        <w:t xml:space="preserve"> 2018; </w:t>
      </w:r>
      <w:r>
        <w:rPr>
          <w:rFonts w:ascii="Book Antiqua" w:hAnsi="Book Antiqua"/>
          <w:b/>
        </w:rPr>
        <w:t>29</w:t>
      </w:r>
      <w:r>
        <w:rPr>
          <w:rFonts w:ascii="Book Antiqua" w:hAnsi="Book Antiqua"/>
        </w:rPr>
        <w:t>: 1497-1508 [PMID: 29873695 DOI: 10.1093/annonc/mdy127]</w:t>
      </w:r>
    </w:p>
    <w:p w:rsidR="00FE31D1" w:rsidRDefault="00C450F3">
      <w:pPr>
        <w:spacing w:line="360" w:lineRule="auto"/>
        <w:jc w:val="both"/>
        <w:rPr>
          <w:rFonts w:ascii="Book Antiqua" w:hAnsi="Book Antiqua"/>
        </w:rPr>
      </w:pPr>
      <w:r>
        <w:rPr>
          <w:rFonts w:ascii="Book Antiqua" w:hAnsi="Book Antiqua"/>
        </w:rPr>
        <w:t xml:space="preserve">9 </w:t>
      </w:r>
      <w:r>
        <w:rPr>
          <w:rFonts w:ascii="Book Antiqua" w:hAnsi="Book Antiqua"/>
          <w:b/>
        </w:rPr>
        <w:t>Li L</w:t>
      </w:r>
      <w:r>
        <w:rPr>
          <w:rFonts w:ascii="Book Antiqua" w:hAnsi="Book Antiqua"/>
        </w:rPr>
        <w:t xml:space="preserve">, Zhong Y, Zhang H, Yu H, Huang Y, Li Z, Chen G, Hua X. </w:t>
      </w:r>
      <w:bookmarkStart w:id="32" w:name="OLE_LINK14"/>
      <w:r>
        <w:rPr>
          <w:rFonts w:ascii="Book Antiqua" w:hAnsi="Book Antiqua"/>
        </w:rPr>
        <w:t>Association between oral contraceptive use as a risk factor and triple-negative breast cancer: A systematic review and meta-analysis</w:t>
      </w:r>
      <w:bookmarkEnd w:id="32"/>
      <w:r>
        <w:rPr>
          <w:rFonts w:ascii="Book Antiqua" w:hAnsi="Book Antiqua"/>
        </w:rPr>
        <w:t xml:space="preserve">. </w:t>
      </w:r>
      <w:r>
        <w:rPr>
          <w:rFonts w:ascii="Book Antiqua" w:hAnsi="Book Antiqua"/>
          <w:i/>
        </w:rPr>
        <w:t>Mol Clin Oncol</w:t>
      </w:r>
      <w:r>
        <w:rPr>
          <w:rFonts w:ascii="Book Antiqua" w:hAnsi="Book Antiqua"/>
        </w:rPr>
        <w:t xml:space="preserve"> 2017; </w:t>
      </w:r>
      <w:r>
        <w:rPr>
          <w:rFonts w:ascii="Book Antiqua" w:hAnsi="Book Antiqua"/>
          <w:b/>
        </w:rPr>
        <w:t>7</w:t>
      </w:r>
      <w:r>
        <w:rPr>
          <w:rFonts w:ascii="Book Antiqua" w:hAnsi="Book Antiqua"/>
        </w:rPr>
        <w:t>: 76-80 [PMID: 28685080 DOI:10.3892/mco.2017.1259]</w:t>
      </w:r>
    </w:p>
    <w:p w:rsidR="00FE31D1" w:rsidRDefault="00C450F3">
      <w:pPr>
        <w:spacing w:line="360" w:lineRule="auto"/>
        <w:jc w:val="both"/>
        <w:rPr>
          <w:rFonts w:ascii="Book Antiqua" w:hAnsi="Book Antiqua"/>
        </w:rPr>
      </w:pPr>
      <w:r>
        <w:rPr>
          <w:rFonts w:ascii="Book Antiqua" w:hAnsi="Book Antiqua"/>
        </w:rPr>
        <w:t xml:space="preserve">10 </w:t>
      </w:r>
      <w:r>
        <w:rPr>
          <w:rFonts w:ascii="Book Antiqua" w:hAnsi="Book Antiqua"/>
          <w:b/>
        </w:rPr>
        <w:t>Dent R</w:t>
      </w:r>
      <w:r>
        <w:rPr>
          <w:rFonts w:ascii="Book Antiqua" w:hAnsi="Book Antiqua"/>
        </w:rPr>
        <w:t xml:space="preserve">, Trudeau M, Pritchard KI, Hanna WM, Kahn HK, Sawka CA, Lickley LA, Rawlinson E, Sun P, Narod SA. Triple-negative breast cancer: clinical features and patterns of recurrence. </w:t>
      </w:r>
      <w:r>
        <w:rPr>
          <w:rFonts w:ascii="Book Antiqua" w:hAnsi="Book Antiqua"/>
          <w:i/>
        </w:rPr>
        <w:t>Clin Cancer Res</w:t>
      </w:r>
      <w:r>
        <w:rPr>
          <w:rFonts w:ascii="Book Antiqua" w:hAnsi="Book Antiqua"/>
        </w:rPr>
        <w:t xml:space="preserve"> 2007; </w:t>
      </w:r>
      <w:r>
        <w:rPr>
          <w:rFonts w:ascii="Book Antiqua" w:hAnsi="Book Antiqua"/>
          <w:b/>
        </w:rPr>
        <w:t>13</w:t>
      </w:r>
      <w:r>
        <w:rPr>
          <w:rFonts w:ascii="Book Antiqua" w:hAnsi="Book Antiqua"/>
        </w:rPr>
        <w:t>: 4429-4434 [PMID: 17671126 DOI: 10.1158/1078-0432.CCR-06-3045]</w:t>
      </w:r>
    </w:p>
    <w:p w:rsidR="00FE31D1" w:rsidRDefault="00C450F3">
      <w:pPr>
        <w:spacing w:line="360" w:lineRule="auto"/>
        <w:jc w:val="both"/>
        <w:rPr>
          <w:rFonts w:ascii="Book Antiqua" w:hAnsi="Book Antiqua"/>
        </w:rPr>
      </w:pPr>
      <w:r>
        <w:rPr>
          <w:rFonts w:ascii="Book Antiqua" w:hAnsi="Book Antiqua"/>
        </w:rPr>
        <w:t xml:space="preserve">11 </w:t>
      </w:r>
      <w:r>
        <w:rPr>
          <w:rFonts w:ascii="Book Antiqua" w:hAnsi="Book Antiqua"/>
          <w:b/>
        </w:rPr>
        <w:t>Pindiprolu SKSS</w:t>
      </w:r>
      <w:r>
        <w:rPr>
          <w:rFonts w:ascii="Book Antiqua" w:hAnsi="Book Antiqua"/>
        </w:rPr>
        <w:t xml:space="preserve">, Krishnamurthy PT, Chintamaneni PK. Pharmacological targets of breast cancer stem cells: a review. </w:t>
      </w:r>
      <w:r>
        <w:rPr>
          <w:rFonts w:ascii="Book Antiqua" w:hAnsi="Book Antiqua"/>
          <w:i/>
        </w:rPr>
        <w:t>Naunyn Schmiedebergs Arch Pharmacol</w:t>
      </w:r>
      <w:r>
        <w:rPr>
          <w:rFonts w:ascii="Book Antiqua" w:hAnsi="Book Antiqua"/>
        </w:rPr>
        <w:t xml:space="preserve"> 2018; </w:t>
      </w:r>
      <w:r>
        <w:rPr>
          <w:rFonts w:ascii="Book Antiqua" w:hAnsi="Book Antiqua"/>
          <w:b/>
        </w:rPr>
        <w:t>391</w:t>
      </w:r>
      <w:r>
        <w:rPr>
          <w:rFonts w:ascii="Book Antiqua" w:hAnsi="Book Antiqua"/>
        </w:rPr>
        <w:t>: 463-479 [PMID: 29476201 DOI: 10.1007/s00210-018-1479-3]</w:t>
      </w:r>
    </w:p>
    <w:p w:rsidR="00FE31D1" w:rsidRDefault="00C450F3">
      <w:pPr>
        <w:spacing w:line="360" w:lineRule="auto"/>
        <w:jc w:val="both"/>
        <w:rPr>
          <w:rFonts w:ascii="Book Antiqua" w:hAnsi="Book Antiqua"/>
        </w:rPr>
      </w:pPr>
      <w:r>
        <w:rPr>
          <w:rFonts w:ascii="Book Antiqua" w:hAnsi="Book Antiqua"/>
        </w:rPr>
        <w:t xml:space="preserve">12 </w:t>
      </w:r>
      <w:r>
        <w:rPr>
          <w:rFonts w:ascii="Book Antiqua" w:hAnsi="Book Antiqua"/>
          <w:b/>
        </w:rPr>
        <w:t>Mansoori M</w:t>
      </w:r>
      <w:r>
        <w:rPr>
          <w:rFonts w:ascii="Book Antiqua" w:hAnsi="Book Antiqua"/>
        </w:rPr>
        <w:t xml:space="preserve">, Madjd Z, Janani L, Rasti A. Circulating cancer stem cell markers in breast carcinomas: a systematic review protocol. </w:t>
      </w:r>
      <w:r>
        <w:rPr>
          <w:rFonts w:ascii="Book Antiqua" w:hAnsi="Book Antiqua"/>
          <w:i/>
        </w:rPr>
        <w:t>Syst Rev</w:t>
      </w:r>
      <w:r>
        <w:rPr>
          <w:rFonts w:ascii="Book Antiqua" w:hAnsi="Book Antiqua"/>
        </w:rPr>
        <w:t xml:space="preserve"> 2017; </w:t>
      </w:r>
      <w:r>
        <w:rPr>
          <w:rFonts w:ascii="Book Antiqua" w:hAnsi="Book Antiqua"/>
          <w:b/>
        </w:rPr>
        <w:t>6</w:t>
      </w:r>
      <w:r>
        <w:rPr>
          <w:rFonts w:ascii="Book Antiqua" w:hAnsi="Book Antiqua"/>
        </w:rPr>
        <w:t>: 262 [PMID: 29258583 DOI: 10.1186/s13643-017-0660-y]</w:t>
      </w:r>
    </w:p>
    <w:p w:rsidR="00FE31D1" w:rsidRDefault="00C450F3">
      <w:pPr>
        <w:spacing w:line="360" w:lineRule="auto"/>
        <w:jc w:val="both"/>
        <w:rPr>
          <w:rFonts w:ascii="Book Antiqua" w:hAnsi="Book Antiqua"/>
        </w:rPr>
      </w:pPr>
      <w:r>
        <w:rPr>
          <w:rFonts w:ascii="Book Antiqua" w:hAnsi="Book Antiqua"/>
        </w:rPr>
        <w:t xml:space="preserve">13 </w:t>
      </w:r>
      <w:r>
        <w:rPr>
          <w:rFonts w:ascii="Book Antiqua" w:hAnsi="Book Antiqua"/>
          <w:b/>
        </w:rPr>
        <w:t>Chen X</w:t>
      </w:r>
      <w:r>
        <w:rPr>
          <w:rFonts w:ascii="Book Antiqua" w:hAnsi="Book Antiqua"/>
        </w:rPr>
        <w:t xml:space="preserve">, Liu Q, Song E. Mammary stem cells: angels or demons in mammary gland? </w:t>
      </w:r>
      <w:r>
        <w:rPr>
          <w:rFonts w:ascii="Book Antiqua" w:hAnsi="Book Antiqua"/>
          <w:i/>
        </w:rPr>
        <w:t>Signal Transduct Target Ther</w:t>
      </w:r>
      <w:r>
        <w:rPr>
          <w:rFonts w:ascii="Book Antiqua" w:hAnsi="Book Antiqua"/>
        </w:rPr>
        <w:t xml:space="preserve"> 2017; </w:t>
      </w:r>
      <w:r>
        <w:rPr>
          <w:rFonts w:ascii="Book Antiqua" w:hAnsi="Book Antiqua"/>
          <w:b/>
        </w:rPr>
        <w:t>2</w:t>
      </w:r>
      <w:r>
        <w:rPr>
          <w:rFonts w:ascii="Book Antiqua" w:hAnsi="Book Antiqua"/>
        </w:rPr>
        <w:t>: 16038 [PMID: 29263909 DOI: 10.1038/sigtrans.2016.38]</w:t>
      </w:r>
    </w:p>
    <w:p w:rsidR="00FE31D1" w:rsidRDefault="00C450F3">
      <w:pPr>
        <w:spacing w:line="360" w:lineRule="auto"/>
        <w:jc w:val="both"/>
        <w:rPr>
          <w:rFonts w:ascii="Book Antiqua" w:hAnsi="Book Antiqua"/>
        </w:rPr>
      </w:pPr>
      <w:r>
        <w:rPr>
          <w:rFonts w:ascii="Book Antiqua" w:hAnsi="Book Antiqua"/>
        </w:rPr>
        <w:t xml:space="preserve">14 </w:t>
      </w:r>
      <w:r>
        <w:rPr>
          <w:rFonts w:ascii="Book Antiqua" w:hAnsi="Book Antiqua"/>
          <w:b/>
        </w:rPr>
        <w:t>Liu M</w:t>
      </w:r>
      <w:r>
        <w:rPr>
          <w:rFonts w:ascii="Book Antiqua" w:hAnsi="Book Antiqua"/>
        </w:rPr>
        <w:t xml:space="preserve">, Liu Y, Deng L, Wang D, He X, Zhou L, Wicha MS, Bai F, Liu S. Transcriptional profiles of different states of cancer stem cells in triple-negative breast cancer. </w:t>
      </w:r>
      <w:r>
        <w:rPr>
          <w:rFonts w:ascii="Book Antiqua" w:hAnsi="Book Antiqua"/>
          <w:i/>
        </w:rPr>
        <w:t>Mol Cancer</w:t>
      </w:r>
      <w:r>
        <w:rPr>
          <w:rFonts w:ascii="Book Antiqua" w:hAnsi="Book Antiqua"/>
        </w:rPr>
        <w:t xml:space="preserve"> 2018; </w:t>
      </w:r>
      <w:r>
        <w:rPr>
          <w:rFonts w:ascii="Book Antiqua" w:hAnsi="Book Antiqua"/>
          <w:b/>
        </w:rPr>
        <w:t>17</w:t>
      </w:r>
      <w:r>
        <w:rPr>
          <w:rFonts w:ascii="Book Antiqua" w:hAnsi="Book Antiqua"/>
        </w:rPr>
        <w:t>: 65 [PMID: 29471829 DOI: 10.1186/s12943-018-0809-x]</w:t>
      </w:r>
    </w:p>
    <w:p w:rsidR="00FE31D1" w:rsidRDefault="00C450F3">
      <w:pPr>
        <w:spacing w:line="360" w:lineRule="auto"/>
        <w:jc w:val="both"/>
        <w:rPr>
          <w:rFonts w:ascii="Book Antiqua" w:hAnsi="Book Antiqua"/>
        </w:rPr>
      </w:pPr>
      <w:r>
        <w:rPr>
          <w:rFonts w:ascii="Book Antiqua" w:hAnsi="Book Antiqua"/>
        </w:rPr>
        <w:t xml:space="preserve">15 </w:t>
      </w:r>
      <w:r>
        <w:rPr>
          <w:rFonts w:ascii="Book Antiqua" w:hAnsi="Book Antiqua"/>
          <w:b/>
        </w:rPr>
        <w:t>Ren D</w:t>
      </w:r>
      <w:r>
        <w:rPr>
          <w:rFonts w:ascii="Book Antiqua" w:hAnsi="Book Antiqua"/>
        </w:rPr>
        <w:t xml:space="preserve">, Zhu X, Kong R, Zhao Z, Sheng J, Wang J, Xu X, Liu J, Cui K, Zhang XH, Zhao H, Wong STC. Targeting Brain-Adaptive Cancer Stem Cells Prohibits Brain Metastatic Colonization of Triple-Negative Breast Cancer. </w:t>
      </w:r>
      <w:r>
        <w:rPr>
          <w:rFonts w:ascii="Book Antiqua" w:hAnsi="Book Antiqua"/>
          <w:i/>
        </w:rPr>
        <w:t>Cancer Res</w:t>
      </w:r>
      <w:r>
        <w:rPr>
          <w:rFonts w:ascii="Book Antiqua" w:hAnsi="Book Antiqua"/>
        </w:rPr>
        <w:t xml:space="preserve"> 2018; </w:t>
      </w:r>
      <w:r>
        <w:rPr>
          <w:rFonts w:ascii="Book Antiqua" w:hAnsi="Book Antiqua"/>
          <w:b/>
        </w:rPr>
        <w:t>78</w:t>
      </w:r>
      <w:r>
        <w:rPr>
          <w:rFonts w:ascii="Book Antiqua" w:hAnsi="Book Antiqua"/>
        </w:rPr>
        <w:t>: 2052-2064 [PMID: 29567857 DOI: 10.1158/0008-5472.CAN-17-2994]</w:t>
      </w:r>
    </w:p>
    <w:p w:rsidR="00FE31D1" w:rsidRDefault="00C450F3">
      <w:pPr>
        <w:spacing w:line="360" w:lineRule="auto"/>
        <w:jc w:val="both"/>
        <w:rPr>
          <w:rFonts w:ascii="Book Antiqua" w:hAnsi="Book Antiqua"/>
        </w:rPr>
      </w:pPr>
      <w:r>
        <w:rPr>
          <w:rFonts w:ascii="Book Antiqua" w:hAnsi="Book Antiqua"/>
        </w:rPr>
        <w:t xml:space="preserve">16 </w:t>
      </w:r>
      <w:r>
        <w:rPr>
          <w:rFonts w:ascii="Book Antiqua" w:hAnsi="Book Antiqua"/>
          <w:b/>
        </w:rPr>
        <w:t>Shi P</w:t>
      </w:r>
      <w:r>
        <w:rPr>
          <w:rFonts w:ascii="Book Antiqua" w:hAnsi="Book Antiqua"/>
        </w:rPr>
        <w:t xml:space="preserve">, Liu W, Tala, Wang H, Li F, Zhang H, Wu Y, Kong Y, Zhou Z, Wang C, Chen W, Liu R, Chen C. Metformin suppresses triple-negative breast cancer stem cells by targeting KLF5 for degradation. </w:t>
      </w:r>
      <w:r>
        <w:rPr>
          <w:rFonts w:ascii="Book Antiqua" w:hAnsi="Book Antiqua"/>
          <w:i/>
        </w:rPr>
        <w:t>Cell Discov</w:t>
      </w:r>
      <w:r>
        <w:rPr>
          <w:rFonts w:ascii="Book Antiqua" w:hAnsi="Book Antiqua"/>
        </w:rPr>
        <w:t xml:space="preserve"> 2017; </w:t>
      </w:r>
      <w:r>
        <w:rPr>
          <w:rFonts w:ascii="Book Antiqua" w:hAnsi="Book Antiqua"/>
          <w:b/>
        </w:rPr>
        <w:t>3</w:t>
      </w:r>
      <w:r>
        <w:rPr>
          <w:rFonts w:ascii="Book Antiqua" w:hAnsi="Book Antiqua"/>
        </w:rPr>
        <w:t>: 17010 [PMID: 28480051 DOI: 10.1038/celldisc.2017.10]</w:t>
      </w:r>
    </w:p>
    <w:p w:rsidR="00FE31D1" w:rsidRDefault="00C450F3">
      <w:pPr>
        <w:spacing w:line="360" w:lineRule="auto"/>
        <w:jc w:val="both"/>
        <w:rPr>
          <w:rFonts w:ascii="Book Antiqua" w:hAnsi="Book Antiqua"/>
        </w:rPr>
      </w:pPr>
      <w:r>
        <w:rPr>
          <w:rFonts w:ascii="Book Antiqua" w:hAnsi="Book Antiqua"/>
        </w:rPr>
        <w:lastRenderedPageBreak/>
        <w:t xml:space="preserve">17 </w:t>
      </w:r>
      <w:r>
        <w:rPr>
          <w:rFonts w:ascii="Book Antiqua" w:hAnsi="Book Antiqua"/>
          <w:b/>
        </w:rPr>
        <w:t>Lu H</w:t>
      </w:r>
      <w:r>
        <w:rPr>
          <w:rFonts w:ascii="Book Antiqua" w:hAnsi="Book Antiqua"/>
        </w:rPr>
        <w:t xml:space="preserve">, Samanta D, Xiang L, Zhang H, Hu H, Chen I, Bullen JW, Semenza GL. Chemotherapy triggers HIF-1-dependent glutathione synthesis and copper chelation that induces the breast cancer stem cell phenotype. </w:t>
      </w:r>
      <w:r>
        <w:rPr>
          <w:rFonts w:ascii="Book Antiqua" w:hAnsi="Book Antiqua"/>
          <w:i/>
        </w:rPr>
        <w:t>Proc Natl Acad Sci U S A</w:t>
      </w:r>
      <w:r>
        <w:rPr>
          <w:rFonts w:ascii="Book Antiqua" w:hAnsi="Book Antiqua"/>
        </w:rPr>
        <w:t xml:space="preserve"> 2015; </w:t>
      </w:r>
      <w:r>
        <w:rPr>
          <w:rFonts w:ascii="Book Antiqua" w:hAnsi="Book Antiqua"/>
          <w:b/>
        </w:rPr>
        <w:t>112</w:t>
      </w:r>
      <w:r>
        <w:rPr>
          <w:rFonts w:ascii="Book Antiqua" w:hAnsi="Book Antiqua"/>
        </w:rPr>
        <w:t>: E4600-E4609 [PMID: 26229077 DOI: 10.1073/pnas.1513433112]</w:t>
      </w:r>
    </w:p>
    <w:p w:rsidR="00FE31D1" w:rsidRDefault="00C450F3">
      <w:pPr>
        <w:spacing w:line="360" w:lineRule="auto"/>
        <w:jc w:val="both"/>
        <w:rPr>
          <w:rFonts w:ascii="Book Antiqua" w:hAnsi="Book Antiqua"/>
        </w:rPr>
      </w:pPr>
      <w:r>
        <w:rPr>
          <w:rFonts w:ascii="Book Antiqua" w:hAnsi="Book Antiqua"/>
        </w:rPr>
        <w:t xml:space="preserve">18 </w:t>
      </w:r>
      <w:r>
        <w:rPr>
          <w:rFonts w:ascii="Book Antiqua" w:hAnsi="Book Antiqua"/>
          <w:b/>
        </w:rPr>
        <w:t>Samanta D</w:t>
      </w:r>
      <w:r>
        <w:rPr>
          <w:rFonts w:ascii="Book Antiqua" w:hAnsi="Book Antiqua"/>
        </w:rPr>
        <w:t xml:space="preserve">, Gilkes DM, Chaturvedi P, Xiang L, Semenza GL. Hypoxia-inducible factors are required for chemotherapy resistance of breast cancer stem cells. </w:t>
      </w:r>
      <w:r>
        <w:rPr>
          <w:rFonts w:ascii="Book Antiqua" w:hAnsi="Book Antiqua"/>
          <w:i/>
        </w:rPr>
        <w:t>Proc Natl Acad Sci U S A</w:t>
      </w:r>
      <w:r>
        <w:rPr>
          <w:rFonts w:ascii="Book Antiqua" w:hAnsi="Book Antiqua"/>
        </w:rPr>
        <w:t xml:space="preserve"> 2014; </w:t>
      </w:r>
      <w:r>
        <w:rPr>
          <w:rFonts w:ascii="Book Antiqua" w:hAnsi="Book Antiqua"/>
          <w:b/>
        </w:rPr>
        <w:t>111</w:t>
      </w:r>
      <w:r>
        <w:rPr>
          <w:rFonts w:ascii="Book Antiqua" w:hAnsi="Book Antiqua"/>
        </w:rPr>
        <w:t>: E5429-E5438 [PMID: 25453096 DOI: 10.1073/pnas.1421438111]</w:t>
      </w:r>
    </w:p>
    <w:p w:rsidR="00FE31D1" w:rsidRDefault="00C450F3">
      <w:pPr>
        <w:spacing w:line="360" w:lineRule="auto"/>
        <w:jc w:val="both"/>
        <w:rPr>
          <w:rFonts w:ascii="Book Antiqua" w:hAnsi="Book Antiqua"/>
        </w:rPr>
      </w:pPr>
      <w:r>
        <w:rPr>
          <w:rFonts w:ascii="Book Antiqua" w:hAnsi="Book Antiqua"/>
        </w:rPr>
        <w:t xml:space="preserve">19 </w:t>
      </w:r>
      <w:r>
        <w:rPr>
          <w:rFonts w:ascii="Book Antiqua" w:hAnsi="Book Antiqua"/>
          <w:b/>
        </w:rPr>
        <w:t>Carroll VA</w:t>
      </w:r>
      <w:r>
        <w:rPr>
          <w:rFonts w:ascii="Book Antiqua" w:hAnsi="Book Antiqua"/>
        </w:rPr>
        <w:t xml:space="preserve">, Ashcroft M. Role of hypoxia-inducible factor (HIF)-1alpha versus HIF-2alpha in the regulation of HIF target genes in response to hypoxia, insulin-like growth factor-I, or loss of von Hippel-Lindau function: implications for targeting the HIF pathway. </w:t>
      </w:r>
      <w:r>
        <w:rPr>
          <w:rFonts w:ascii="Book Antiqua" w:hAnsi="Book Antiqua"/>
          <w:i/>
        </w:rPr>
        <w:t>Cancer Res</w:t>
      </w:r>
      <w:r>
        <w:rPr>
          <w:rFonts w:ascii="Book Antiqua" w:hAnsi="Book Antiqua"/>
        </w:rPr>
        <w:t xml:space="preserve"> 2006; </w:t>
      </w:r>
      <w:r>
        <w:rPr>
          <w:rFonts w:ascii="Book Antiqua" w:hAnsi="Book Antiqua"/>
          <w:b/>
        </w:rPr>
        <w:t>66</w:t>
      </w:r>
      <w:r>
        <w:rPr>
          <w:rFonts w:ascii="Book Antiqua" w:hAnsi="Book Antiqua"/>
        </w:rPr>
        <w:t>: 6264-6270 [PMID: 16778202 DOI: 10.1158/0008-5472.CAN-05-2519]</w:t>
      </w:r>
    </w:p>
    <w:p w:rsidR="00FE31D1" w:rsidRDefault="00C450F3">
      <w:pPr>
        <w:spacing w:line="360" w:lineRule="auto"/>
        <w:jc w:val="both"/>
        <w:rPr>
          <w:rFonts w:ascii="Book Antiqua" w:hAnsi="Book Antiqua"/>
        </w:rPr>
      </w:pPr>
      <w:r>
        <w:rPr>
          <w:rFonts w:ascii="Book Antiqua" w:hAnsi="Book Antiqua"/>
        </w:rPr>
        <w:t xml:space="preserve">20 </w:t>
      </w:r>
      <w:r>
        <w:rPr>
          <w:rFonts w:ascii="Book Antiqua" w:hAnsi="Book Antiqua"/>
          <w:b/>
        </w:rPr>
        <w:t>Kwak JH</w:t>
      </w:r>
      <w:r>
        <w:rPr>
          <w:rFonts w:ascii="Book Antiqua" w:hAnsi="Book Antiqua"/>
        </w:rPr>
        <w:t xml:space="preserve">, Lee NH, Lee HY, Hong IS, Nam JS. HIF2α/EFEMP1 cascade mediates hypoxic effects on breast cancer stem cell hierarchy. </w:t>
      </w:r>
      <w:r>
        <w:rPr>
          <w:rFonts w:ascii="Book Antiqua" w:hAnsi="Book Antiqua"/>
          <w:i/>
        </w:rPr>
        <w:t>Oncotarget</w:t>
      </w:r>
      <w:r>
        <w:rPr>
          <w:rFonts w:ascii="Book Antiqua" w:hAnsi="Book Antiqua"/>
        </w:rPr>
        <w:t xml:space="preserve"> 2016; </w:t>
      </w:r>
      <w:r>
        <w:rPr>
          <w:rFonts w:ascii="Book Antiqua" w:hAnsi="Book Antiqua"/>
          <w:b/>
        </w:rPr>
        <w:t>7</w:t>
      </w:r>
      <w:r>
        <w:rPr>
          <w:rFonts w:ascii="Book Antiqua" w:hAnsi="Book Antiqua"/>
        </w:rPr>
        <w:t>: 43518-43533 [PMID: 27270657 DOI: 10.18632/oncotarget.9846]</w:t>
      </w:r>
    </w:p>
    <w:p w:rsidR="00FE31D1" w:rsidRDefault="00C450F3">
      <w:pPr>
        <w:spacing w:line="360" w:lineRule="auto"/>
        <w:jc w:val="both"/>
        <w:rPr>
          <w:rFonts w:ascii="Book Antiqua" w:hAnsi="Book Antiqua"/>
        </w:rPr>
      </w:pPr>
      <w:r>
        <w:rPr>
          <w:rFonts w:ascii="Book Antiqua" w:hAnsi="Book Antiqua"/>
        </w:rPr>
        <w:t xml:space="preserve">21 </w:t>
      </w:r>
      <w:r>
        <w:rPr>
          <w:rFonts w:ascii="Book Antiqua" w:hAnsi="Book Antiqua"/>
          <w:b/>
        </w:rPr>
        <w:t>Kim RJ</w:t>
      </w:r>
      <w:r>
        <w:rPr>
          <w:rFonts w:ascii="Book Antiqua" w:hAnsi="Book Antiqua"/>
        </w:rPr>
        <w:t xml:space="preserve">, Park JR, Roh KJ, Choi AR, Kim SR, Kim PH, Yu JH, Lee JW, Ahn SH, Gong G, Hwang JW, Kang KS, Kong G, Sheen YY, Nam JS. High aldehyde dehydrogenase activity enhances stem cell features in breast cancer cells by activating hypoxia-inducible factor-2α. </w:t>
      </w:r>
      <w:r>
        <w:rPr>
          <w:rFonts w:ascii="Book Antiqua" w:hAnsi="Book Antiqua"/>
          <w:i/>
        </w:rPr>
        <w:t>Cancer Lett</w:t>
      </w:r>
      <w:r>
        <w:rPr>
          <w:rFonts w:ascii="Book Antiqua" w:hAnsi="Book Antiqua"/>
        </w:rPr>
        <w:t xml:space="preserve"> 2013; </w:t>
      </w:r>
      <w:r>
        <w:rPr>
          <w:rFonts w:ascii="Book Antiqua" w:hAnsi="Book Antiqua"/>
          <w:b/>
        </w:rPr>
        <w:t>333</w:t>
      </w:r>
      <w:r>
        <w:rPr>
          <w:rFonts w:ascii="Book Antiqua" w:hAnsi="Book Antiqua"/>
        </w:rPr>
        <w:t>: 18-31 [PMID: 23174107 DOI: 10.1016/j.canlet.2012.11.026]</w:t>
      </w:r>
    </w:p>
    <w:p w:rsidR="00FE31D1" w:rsidRDefault="00C450F3">
      <w:pPr>
        <w:spacing w:line="360" w:lineRule="auto"/>
        <w:jc w:val="both"/>
        <w:rPr>
          <w:rFonts w:ascii="Book Antiqua" w:hAnsi="Book Antiqua"/>
        </w:rPr>
      </w:pPr>
      <w:r>
        <w:rPr>
          <w:rFonts w:ascii="Book Antiqua" w:hAnsi="Book Antiqua"/>
        </w:rPr>
        <w:t xml:space="preserve">22 </w:t>
      </w:r>
      <w:r>
        <w:rPr>
          <w:rFonts w:ascii="Book Antiqua" w:hAnsi="Book Antiqua"/>
          <w:b/>
        </w:rPr>
        <w:t>Johansson E</w:t>
      </w:r>
      <w:r>
        <w:rPr>
          <w:rFonts w:ascii="Book Antiqua" w:hAnsi="Book Antiqua"/>
        </w:rPr>
        <w:t xml:space="preserve">, Grassi ES, Pantazopoulou V, Tong B, Lindgren D, Berg TJ, Pietras EJ, Axelson H, Pietras A. CD44 Interacts with HIF-2α to Modulate the Hypoxic Phenotype of Perinecrotic and Perivascular Glioma Cells. </w:t>
      </w:r>
      <w:r>
        <w:rPr>
          <w:rFonts w:ascii="Book Antiqua" w:hAnsi="Book Antiqua"/>
          <w:i/>
        </w:rPr>
        <w:t>Cell Rep</w:t>
      </w:r>
      <w:r>
        <w:rPr>
          <w:rFonts w:ascii="Book Antiqua" w:hAnsi="Book Antiqua"/>
        </w:rPr>
        <w:t xml:space="preserve"> 2017; </w:t>
      </w:r>
      <w:r>
        <w:rPr>
          <w:rFonts w:ascii="Book Antiqua" w:hAnsi="Book Antiqua"/>
          <w:b/>
        </w:rPr>
        <w:t>20</w:t>
      </w:r>
      <w:r>
        <w:rPr>
          <w:rFonts w:ascii="Book Antiqua" w:hAnsi="Book Antiqua"/>
        </w:rPr>
        <w:t>: 1641-1653 [PMID: 28813675 DOI: 10.1016/j.celrep.2017.07.049]</w:t>
      </w:r>
    </w:p>
    <w:p w:rsidR="00FE31D1" w:rsidRDefault="00C450F3">
      <w:pPr>
        <w:spacing w:line="360" w:lineRule="auto"/>
        <w:jc w:val="both"/>
        <w:rPr>
          <w:rFonts w:ascii="Book Antiqua" w:hAnsi="Book Antiqua"/>
        </w:rPr>
      </w:pPr>
      <w:r>
        <w:rPr>
          <w:rFonts w:ascii="Book Antiqua" w:hAnsi="Book Antiqua"/>
        </w:rPr>
        <w:t xml:space="preserve">23 </w:t>
      </w:r>
      <w:r>
        <w:rPr>
          <w:rFonts w:ascii="Book Antiqua" w:hAnsi="Book Antiqua"/>
          <w:b/>
        </w:rPr>
        <w:t>Covello KL</w:t>
      </w:r>
      <w:r>
        <w:rPr>
          <w:rFonts w:ascii="Book Antiqua" w:hAnsi="Book Antiqua"/>
        </w:rPr>
        <w:t xml:space="preserve">, Kehler J, Yu H, Gordan JD, Arsham AM, Hu CJ, Labosky PA, Simon MC, Keith B. HIF-2alpha regulates Oct-4: effects of hypoxia on stem cell function, embryonic development, and tumor growth. </w:t>
      </w:r>
      <w:r>
        <w:rPr>
          <w:rFonts w:ascii="Book Antiqua" w:hAnsi="Book Antiqua"/>
          <w:i/>
        </w:rPr>
        <w:t>Genes Dev</w:t>
      </w:r>
      <w:r>
        <w:rPr>
          <w:rFonts w:ascii="Book Antiqua" w:hAnsi="Book Antiqua"/>
        </w:rPr>
        <w:t xml:space="preserve"> 2006; </w:t>
      </w:r>
      <w:r>
        <w:rPr>
          <w:rFonts w:ascii="Book Antiqua" w:hAnsi="Book Antiqua"/>
          <w:b/>
        </w:rPr>
        <w:t>20</w:t>
      </w:r>
      <w:r>
        <w:rPr>
          <w:rFonts w:ascii="Book Antiqua" w:hAnsi="Book Antiqua"/>
        </w:rPr>
        <w:t>: 557-570 [PMID: 16510872 DOI: 10.1101/gad.1399906]</w:t>
      </w:r>
    </w:p>
    <w:p w:rsidR="00FE31D1" w:rsidRDefault="00C450F3">
      <w:pPr>
        <w:spacing w:line="360" w:lineRule="auto"/>
        <w:jc w:val="both"/>
        <w:rPr>
          <w:rFonts w:ascii="Book Antiqua" w:hAnsi="Book Antiqua"/>
        </w:rPr>
      </w:pPr>
      <w:r>
        <w:rPr>
          <w:rFonts w:ascii="Book Antiqua" w:hAnsi="Book Antiqua"/>
        </w:rPr>
        <w:t xml:space="preserve">24 </w:t>
      </w:r>
      <w:r>
        <w:rPr>
          <w:rFonts w:ascii="Book Antiqua" w:hAnsi="Book Antiqua"/>
          <w:b/>
        </w:rPr>
        <w:t>Koh MY</w:t>
      </w:r>
      <w:r>
        <w:rPr>
          <w:rFonts w:ascii="Book Antiqua" w:hAnsi="Book Antiqua"/>
        </w:rPr>
        <w:t xml:space="preserve">, Lemos R Jr, Liu X, Powis G. The hypoxia-associated factor switches cells from HIF-1α- to HIF-2α-dependent signaling promoting stem cell </w:t>
      </w:r>
      <w:r>
        <w:rPr>
          <w:rFonts w:ascii="Book Antiqua" w:hAnsi="Book Antiqua"/>
        </w:rPr>
        <w:lastRenderedPageBreak/>
        <w:t xml:space="preserve">characteristics, aggressive tumor growth and invasion. </w:t>
      </w:r>
      <w:r>
        <w:rPr>
          <w:rFonts w:ascii="Book Antiqua" w:hAnsi="Book Antiqua"/>
          <w:i/>
        </w:rPr>
        <w:t>Cancer Res</w:t>
      </w:r>
      <w:r>
        <w:rPr>
          <w:rFonts w:ascii="Book Antiqua" w:hAnsi="Book Antiqua"/>
        </w:rPr>
        <w:t xml:space="preserve"> 2011; </w:t>
      </w:r>
      <w:r>
        <w:rPr>
          <w:rFonts w:ascii="Book Antiqua" w:hAnsi="Book Antiqua"/>
          <w:b/>
        </w:rPr>
        <w:t>71</w:t>
      </w:r>
      <w:r>
        <w:rPr>
          <w:rFonts w:ascii="Book Antiqua" w:hAnsi="Book Antiqua"/>
        </w:rPr>
        <w:t>: 4015-4027 [PMID: 21512133 DOI: 10.1158/0008-5472.CAN-10-4142]</w:t>
      </w:r>
    </w:p>
    <w:p w:rsidR="00FE31D1" w:rsidRDefault="00C450F3">
      <w:pPr>
        <w:spacing w:line="360" w:lineRule="auto"/>
        <w:jc w:val="both"/>
        <w:rPr>
          <w:rFonts w:ascii="Book Antiqua" w:hAnsi="Book Antiqua"/>
        </w:rPr>
      </w:pPr>
      <w:r>
        <w:rPr>
          <w:rFonts w:ascii="Book Antiqua" w:hAnsi="Book Antiqua"/>
        </w:rPr>
        <w:t xml:space="preserve">25 </w:t>
      </w:r>
      <w:r>
        <w:rPr>
          <w:rFonts w:ascii="Book Antiqua" w:hAnsi="Book Antiqua"/>
          <w:b/>
        </w:rPr>
        <w:t>Luo M</w:t>
      </w:r>
      <w:r>
        <w:rPr>
          <w:rFonts w:ascii="Book Antiqua" w:hAnsi="Book Antiqua"/>
        </w:rPr>
        <w:t xml:space="preserve">, Clouthier SG, Deol Y, Liu S, Nagrath S, Azizi E, Wicha MS. Breast cancer stem cells: current advances and clinical implications. </w:t>
      </w:r>
      <w:r>
        <w:rPr>
          <w:rFonts w:ascii="Book Antiqua" w:hAnsi="Book Antiqua"/>
          <w:i/>
        </w:rPr>
        <w:t>Methods Mol Biol</w:t>
      </w:r>
      <w:r>
        <w:rPr>
          <w:rFonts w:ascii="Book Antiqua" w:hAnsi="Book Antiqua"/>
        </w:rPr>
        <w:t xml:space="preserve"> 2015; </w:t>
      </w:r>
      <w:r>
        <w:rPr>
          <w:rFonts w:ascii="Book Antiqua" w:hAnsi="Book Antiqua"/>
          <w:b/>
        </w:rPr>
        <w:t>1293</w:t>
      </w:r>
      <w:r>
        <w:rPr>
          <w:rFonts w:ascii="Book Antiqua" w:hAnsi="Book Antiqua"/>
        </w:rPr>
        <w:t>: 1-49 [PMID: 26040679 DOI: 10.1007/978-1-4939-2519-3_1]</w:t>
      </w:r>
    </w:p>
    <w:p w:rsidR="00FE31D1" w:rsidRDefault="00C450F3">
      <w:pPr>
        <w:spacing w:line="360" w:lineRule="auto"/>
        <w:jc w:val="both"/>
        <w:rPr>
          <w:rFonts w:ascii="Book Antiqua" w:hAnsi="Book Antiqua"/>
        </w:rPr>
      </w:pPr>
      <w:r>
        <w:rPr>
          <w:rFonts w:ascii="Book Antiqua" w:hAnsi="Book Antiqua"/>
        </w:rPr>
        <w:t xml:space="preserve">26 </w:t>
      </w:r>
      <w:r>
        <w:rPr>
          <w:rFonts w:ascii="Book Antiqua" w:hAnsi="Book Antiqua"/>
          <w:b/>
        </w:rPr>
        <w:t>Bettaieb A</w:t>
      </w:r>
      <w:r>
        <w:rPr>
          <w:rFonts w:ascii="Book Antiqua" w:hAnsi="Book Antiqua"/>
        </w:rPr>
        <w:t xml:space="preserve">, Paul C, Plenchette S, Shan J, Chouchane L, Ghiringhelli F. Precision medicine in breast cancer: reality or utopia? </w:t>
      </w:r>
      <w:r>
        <w:rPr>
          <w:rFonts w:ascii="Book Antiqua" w:hAnsi="Book Antiqua"/>
          <w:i/>
        </w:rPr>
        <w:t>J Transl Med</w:t>
      </w:r>
      <w:r>
        <w:rPr>
          <w:rFonts w:ascii="Book Antiqua" w:hAnsi="Book Antiqua"/>
        </w:rPr>
        <w:t xml:space="preserve"> 2017; </w:t>
      </w:r>
      <w:r>
        <w:rPr>
          <w:rFonts w:ascii="Book Antiqua" w:hAnsi="Book Antiqua"/>
          <w:b/>
        </w:rPr>
        <w:t>15</w:t>
      </w:r>
      <w:r>
        <w:rPr>
          <w:rFonts w:ascii="Book Antiqua" w:hAnsi="Book Antiqua"/>
        </w:rPr>
        <w:t>: 139 [PMID: 28623955 DOI: 10.1186/s12967-017-1239-z]</w:t>
      </w:r>
    </w:p>
    <w:p w:rsidR="00FE31D1" w:rsidRDefault="00C450F3">
      <w:pPr>
        <w:spacing w:line="360" w:lineRule="auto"/>
        <w:jc w:val="both"/>
        <w:rPr>
          <w:rFonts w:ascii="Book Antiqua" w:hAnsi="Book Antiqua"/>
        </w:rPr>
      </w:pPr>
      <w:r>
        <w:rPr>
          <w:rFonts w:ascii="Book Antiqua" w:hAnsi="Book Antiqua"/>
        </w:rPr>
        <w:t xml:space="preserve">27 </w:t>
      </w:r>
      <w:r>
        <w:rPr>
          <w:rFonts w:ascii="Book Antiqua" w:hAnsi="Book Antiqua"/>
          <w:b/>
        </w:rPr>
        <w:t>Lowry MC</w:t>
      </w:r>
      <w:r>
        <w:rPr>
          <w:rFonts w:ascii="Book Antiqua" w:hAnsi="Book Antiqua"/>
        </w:rPr>
        <w:t xml:space="preserve">, Gallagher WM, O'Driscoll L. The Role of Exosomes in Breast Cancer. </w:t>
      </w:r>
      <w:r>
        <w:rPr>
          <w:rFonts w:ascii="Book Antiqua" w:hAnsi="Book Antiqua"/>
          <w:i/>
        </w:rPr>
        <w:t>Clin Chem</w:t>
      </w:r>
      <w:r>
        <w:rPr>
          <w:rFonts w:ascii="Book Antiqua" w:hAnsi="Book Antiqua"/>
        </w:rPr>
        <w:t xml:space="preserve"> 2015; </w:t>
      </w:r>
      <w:r>
        <w:rPr>
          <w:rFonts w:ascii="Book Antiqua" w:hAnsi="Book Antiqua"/>
          <w:b/>
        </w:rPr>
        <w:t>61</w:t>
      </w:r>
      <w:r>
        <w:rPr>
          <w:rFonts w:ascii="Book Antiqua" w:hAnsi="Book Antiqua"/>
        </w:rPr>
        <w:t>: 1457-1465 [PMID: 26467503 DOI: 10.1373/clinchem.2015.240028]</w:t>
      </w:r>
    </w:p>
    <w:p w:rsidR="00FE31D1" w:rsidRDefault="00C450F3">
      <w:pPr>
        <w:spacing w:line="360" w:lineRule="auto"/>
        <w:jc w:val="both"/>
        <w:rPr>
          <w:rFonts w:ascii="Book Antiqua" w:hAnsi="Book Antiqua"/>
        </w:rPr>
      </w:pPr>
      <w:r>
        <w:rPr>
          <w:rFonts w:ascii="Book Antiqua" w:hAnsi="Book Antiqua"/>
        </w:rPr>
        <w:t xml:space="preserve">28 </w:t>
      </w:r>
      <w:r>
        <w:rPr>
          <w:rFonts w:ascii="Book Antiqua" w:hAnsi="Book Antiqua"/>
          <w:b/>
        </w:rPr>
        <w:t>Semenza GL</w:t>
      </w:r>
      <w:r>
        <w:rPr>
          <w:rFonts w:ascii="Book Antiqua" w:hAnsi="Book Antiqua"/>
        </w:rPr>
        <w:t xml:space="preserve">. Hypoxia-inducible factors: coupling glucose metabolism and redox regulation with induction of the breast cancer stem cell phenotype. </w:t>
      </w:r>
      <w:r>
        <w:rPr>
          <w:rFonts w:ascii="Book Antiqua" w:hAnsi="Book Antiqua"/>
          <w:i/>
        </w:rPr>
        <w:t>EMBO J</w:t>
      </w:r>
      <w:r>
        <w:rPr>
          <w:rFonts w:ascii="Book Antiqua" w:hAnsi="Book Antiqua"/>
        </w:rPr>
        <w:t xml:space="preserve"> 2017; </w:t>
      </w:r>
      <w:r>
        <w:rPr>
          <w:rFonts w:ascii="Book Antiqua" w:hAnsi="Book Antiqua"/>
          <w:b/>
        </w:rPr>
        <w:t>36</w:t>
      </w:r>
      <w:r>
        <w:rPr>
          <w:rFonts w:ascii="Book Antiqua" w:hAnsi="Book Antiqua"/>
        </w:rPr>
        <w:t>: 252-259 [PMID: 28007895 DOI: 10.15252/embj.201695204]</w:t>
      </w:r>
    </w:p>
    <w:p w:rsidR="00FE31D1" w:rsidRDefault="00C450F3">
      <w:pPr>
        <w:spacing w:line="360" w:lineRule="auto"/>
        <w:jc w:val="both"/>
        <w:rPr>
          <w:rFonts w:ascii="Book Antiqua" w:hAnsi="Book Antiqua"/>
        </w:rPr>
      </w:pPr>
      <w:r>
        <w:rPr>
          <w:rFonts w:ascii="Book Antiqua" w:hAnsi="Book Antiqua"/>
        </w:rPr>
        <w:t xml:space="preserve">29 </w:t>
      </w:r>
      <w:r>
        <w:rPr>
          <w:rFonts w:ascii="Book Antiqua" w:hAnsi="Book Antiqua"/>
          <w:b/>
        </w:rPr>
        <w:t>Schito L</w:t>
      </w:r>
      <w:r>
        <w:rPr>
          <w:rFonts w:ascii="Book Antiqua" w:hAnsi="Book Antiqua"/>
        </w:rPr>
        <w:t xml:space="preserve">, Rey S. Hypoxic pathobiology of breast cancer metastasis. </w:t>
      </w:r>
      <w:r>
        <w:rPr>
          <w:rFonts w:ascii="Book Antiqua" w:hAnsi="Book Antiqua"/>
          <w:i/>
        </w:rPr>
        <w:t>Biochim Biophys Acta Rev Cancer</w:t>
      </w:r>
      <w:r>
        <w:rPr>
          <w:rFonts w:ascii="Book Antiqua" w:hAnsi="Book Antiqua"/>
        </w:rPr>
        <w:t xml:space="preserve"> 2017; </w:t>
      </w:r>
      <w:r>
        <w:rPr>
          <w:rFonts w:ascii="Book Antiqua" w:hAnsi="Book Antiqua"/>
          <w:b/>
        </w:rPr>
        <w:t>1868</w:t>
      </w:r>
      <w:r>
        <w:rPr>
          <w:rFonts w:ascii="Book Antiqua" w:hAnsi="Book Antiqua"/>
        </w:rPr>
        <w:t>: 239-245 [PMID: 28526262 DOI: 10.1016/j.bbcan.2017.05.004]</w:t>
      </w:r>
    </w:p>
    <w:p w:rsidR="00FE31D1" w:rsidRDefault="00C450F3">
      <w:pPr>
        <w:spacing w:line="360" w:lineRule="auto"/>
        <w:jc w:val="both"/>
        <w:rPr>
          <w:rFonts w:ascii="Book Antiqua" w:hAnsi="Book Antiqua"/>
        </w:rPr>
      </w:pPr>
      <w:r>
        <w:rPr>
          <w:rFonts w:ascii="Book Antiqua" w:hAnsi="Book Antiqua"/>
        </w:rPr>
        <w:t xml:space="preserve">30 </w:t>
      </w:r>
      <w:r>
        <w:rPr>
          <w:rFonts w:ascii="Book Antiqua" w:hAnsi="Book Antiqua"/>
          <w:b/>
        </w:rPr>
        <w:t>Liu J</w:t>
      </w:r>
      <w:r>
        <w:rPr>
          <w:rFonts w:ascii="Book Antiqua" w:hAnsi="Book Antiqua"/>
        </w:rPr>
        <w:t xml:space="preserve">, Zhang C, Zhao Y, Yue X, Wu H, Huang S, Chen J, Tomsky K, Xie H, Khella CA, Gatza ML, Xia D, Gao J, White E, Haffty BG, Hu W, Feng Z. Parkin targets HIF-1α for ubiquitination and degradation to inhibit breast tumor progression. </w:t>
      </w:r>
      <w:r>
        <w:rPr>
          <w:rFonts w:ascii="Book Antiqua" w:hAnsi="Book Antiqua"/>
          <w:i/>
        </w:rPr>
        <w:t>Nat Commun</w:t>
      </w:r>
      <w:r>
        <w:rPr>
          <w:rFonts w:ascii="Book Antiqua" w:hAnsi="Book Antiqua"/>
        </w:rPr>
        <w:t xml:space="preserve"> 2017; </w:t>
      </w:r>
      <w:r>
        <w:rPr>
          <w:rFonts w:ascii="Book Antiqua" w:hAnsi="Book Antiqua"/>
          <w:b/>
        </w:rPr>
        <w:t>8</w:t>
      </w:r>
      <w:r>
        <w:rPr>
          <w:rFonts w:ascii="Book Antiqua" w:hAnsi="Book Antiqua"/>
        </w:rPr>
        <w:t>: 1823 [PMID: 29180628 DOI: 10.1038/s41467-017-01947-w]</w:t>
      </w:r>
    </w:p>
    <w:p w:rsidR="00FE31D1" w:rsidRDefault="00C450F3">
      <w:pPr>
        <w:spacing w:line="360" w:lineRule="auto"/>
        <w:jc w:val="both"/>
        <w:rPr>
          <w:rFonts w:ascii="Book Antiqua" w:hAnsi="Book Antiqua"/>
        </w:rPr>
      </w:pPr>
      <w:r>
        <w:rPr>
          <w:rFonts w:ascii="Book Antiqua" w:hAnsi="Book Antiqua"/>
        </w:rPr>
        <w:t xml:space="preserve">31 </w:t>
      </w:r>
      <w:r>
        <w:rPr>
          <w:rFonts w:ascii="Book Antiqua" w:hAnsi="Book Antiqua"/>
          <w:b/>
        </w:rPr>
        <w:t>Lv Y</w:t>
      </w:r>
      <w:r>
        <w:rPr>
          <w:rFonts w:ascii="Book Antiqua" w:hAnsi="Book Antiqua"/>
        </w:rPr>
        <w:t xml:space="preserve">, Chen C, Zhao B, Zhang X. Regulation of matrix stiffness on the epithelial-mesenchymal transition of breast cancer cells under hypoxia environment. </w:t>
      </w:r>
      <w:r>
        <w:rPr>
          <w:rFonts w:ascii="Book Antiqua" w:hAnsi="Book Antiqua"/>
          <w:i/>
        </w:rPr>
        <w:t>Naturwissenschaften</w:t>
      </w:r>
      <w:r>
        <w:rPr>
          <w:rFonts w:ascii="Book Antiqua" w:hAnsi="Book Antiqua"/>
        </w:rPr>
        <w:t xml:space="preserve"> 2017; </w:t>
      </w:r>
      <w:r>
        <w:rPr>
          <w:rFonts w:ascii="Book Antiqua" w:hAnsi="Book Antiqua"/>
          <w:b/>
        </w:rPr>
        <w:t>104</w:t>
      </w:r>
      <w:r>
        <w:rPr>
          <w:rFonts w:ascii="Book Antiqua" w:hAnsi="Book Antiqua"/>
        </w:rPr>
        <w:t>: 38 [PMID: 28382476 DOI: 10.1007/s00114-017-1461-9]</w:t>
      </w:r>
    </w:p>
    <w:p w:rsidR="00FE31D1" w:rsidRDefault="00C450F3">
      <w:pPr>
        <w:spacing w:line="360" w:lineRule="auto"/>
        <w:jc w:val="both"/>
        <w:rPr>
          <w:rFonts w:ascii="Book Antiqua" w:hAnsi="Book Antiqua"/>
        </w:rPr>
      </w:pPr>
      <w:r>
        <w:rPr>
          <w:rFonts w:ascii="Book Antiqua" w:hAnsi="Book Antiqua"/>
        </w:rPr>
        <w:t xml:space="preserve">32 </w:t>
      </w:r>
      <w:r>
        <w:rPr>
          <w:rFonts w:ascii="Book Antiqua" w:hAnsi="Book Antiqua"/>
          <w:b/>
        </w:rPr>
        <w:t>Schöning JP</w:t>
      </w:r>
      <w:r>
        <w:rPr>
          <w:rFonts w:ascii="Book Antiqua" w:hAnsi="Book Antiqua"/>
        </w:rPr>
        <w:t xml:space="preserve">, Monteiro M, Gu W. Drug resistance and cancer stem cells: the shared but distinct roles of hypoxia-inducible factors HIF1α and HIF2α. </w:t>
      </w:r>
      <w:r>
        <w:rPr>
          <w:rFonts w:ascii="Book Antiqua" w:hAnsi="Book Antiqua"/>
          <w:i/>
        </w:rPr>
        <w:t>Clin Exp Pharmacol Physiol</w:t>
      </w:r>
      <w:r>
        <w:rPr>
          <w:rFonts w:ascii="Book Antiqua" w:hAnsi="Book Antiqua"/>
        </w:rPr>
        <w:t xml:space="preserve"> 2017; </w:t>
      </w:r>
      <w:r>
        <w:rPr>
          <w:rFonts w:ascii="Book Antiqua" w:hAnsi="Book Antiqua"/>
          <w:b/>
        </w:rPr>
        <w:t>44</w:t>
      </w:r>
      <w:r>
        <w:rPr>
          <w:rFonts w:ascii="Book Antiqua" w:hAnsi="Book Antiqua"/>
        </w:rPr>
        <w:t>: 153-161 [PMID: 27809360 DOI: 10.1111/1440-1681.12693]</w:t>
      </w:r>
    </w:p>
    <w:p w:rsidR="00FE31D1" w:rsidRDefault="00C450F3">
      <w:pPr>
        <w:spacing w:line="360" w:lineRule="auto"/>
        <w:jc w:val="both"/>
        <w:rPr>
          <w:rFonts w:ascii="Book Antiqua" w:hAnsi="Book Antiqua"/>
        </w:rPr>
      </w:pPr>
      <w:r>
        <w:rPr>
          <w:rFonts w:ascii="Book Antiqua" w:hAnsi="Book Antiqua"/>
        </w:rPr>
        <w:lastRenderedPageBreak/>
        <w:t xml:space="preserve">33 </w:t>
      </w:r>
      <w:r>
        <w:rPr>
          <w:rFonts w:ascii="Book Antiqua" w:hAnsi="Book Antiqua"/>
          <w:b/>
        </w:rPr>
        <w:t>Shan C</w:t>
      </w:r>
      <w:r>
        <w:rPr>
          <w:rFonts w:ascii="Book Antiqua" w:hAnsi="Book Antiqua"/>
        </w:rPr>
        <w:t xml:space="preserve">, Zheng Y, Wang M, Lin S, Tian T, Deng Y, Xu P, Hao Q, Wu Y, Yang T, Guo Y, Dai Z. Polymorphisms in &lt;i&gt;HIFs&lt;/i&gt; and breast cancer sutarsceptibility in Chinese women: a case-control study. </w:t>
      </w:r>
      <w:r>
        <w:rPr>
          <w:rFonts w:ascii="Book Antiqua" w:hAnsi="Book Antiqua"/>
          <w:i/>
        </w:rPr>
        <w:t>Biosci Rep</w:t>
      </w:r>
      <w:r>
        <w:rPr>
          <w:rFonts w:ascii="Book Antiqua" w:hAnsi="Book Antiqua"/>
        </w:rPr>
        <w:t xml:space="preserve"> 2018; </w:t>
      </w:r>
      <w:r>
        <w:rPr>
          <w:rFonts w:ascii="Book Antiqua" w:hAnsi="Book Antiqua"/>
          <w:b/>
        </w:rPr>
        <w:t>38</w:t>
      </w:r>
      <w:r>
        <w:rPr>
          <w:rFonts w:ascii="Book Antiqua" w:hAnsi="Book Antiqua"/>
        </w:rPr>
        <w:t>: [PMID: 30135144 DOI: 10.1042/BSR20180950]</w:t>
      </w:r>
    </w:p>
    <w:p w:rsidR="00FE31D1" w:rsidRDefault="00C450F3">
      <w:pPr>
        <w:spacing w:line="360" w:lineRule="auto"/>
        <w:jc w:val="both"/>
        <w:rPr>
          <w:rFonts w:ascii="Book Antiqua" w:hAnsi="Book Antiqua"/>
        </w:rPr>
      </w:pPr>
      <w:r>
        <w:rPr>
          <w:rFonts w:ascii="Book Antiqua" w:hAnsi="Book Antiqua"/>
        </w:rPr>
        <w:t xml:space="preserve">34 </w:t>
      </w:r>
      <w:r>
        <w:rPr>
          <w:rFonts w:ascii="Book Antiqua" w:hAnsi="Book Antiqua"/>
          <w:b/>
        </w:rPr>
        <w:t>Påhlman S</w:t>
      </w:r>
      <w:r>
        <w:rPr>
          <w:rFonts w:ascii="Book Antiqua" w:hAnsi="Book Antiqua"/>
        </w:rPr>
        <w:t xml:space="preserve">, Lund LR, Jögi A. Differential HIF-1α and HIF-2α Expression in Mammary Epithelial Cells during Fat Pad Invasion, Lactation, and Involution. </w:t>
      </w:r>
      <w:r>
        <w:rPr>
          <w:rFonts w:ascii="Book Antiqua" w:hAnsi="Book Antiqua"/>
          <w:i/>
        </w:rPr>
        <w:t>PLoS One</w:t>
      </w:r>
      <w:r>
        <w:rPr>
          <w:rFonts w:ascii="Book Antiqua" w:hAnsi="Book Antiqua"/>
        </w:rPr>
        <w:t xml:space="preserve"> 2015; </w:t>
      </w:r>
      <w:r>
        <w:rPr>
          <w:rFonts w:ascii="Book Antiqua" w:hAnsi="Book Antiqua"/>
          <w:b/>
        </w:rPr>
        <w:t>10</w:t>
      </w:r>
      <w:r>
        <w:rPr>
          <w:rFonts w:ascii="Book Antiqua" w:hAnsi="Book Antiqua"/>
        </w:rPr>
        <w:t>: e0125771 [PMID: 25955753 DOI: 10.1371/journal.pone.0125771]</w:t>
      </w:r>
    </w:p>
    <w:p w:rsidR="00FE31D1" w:rsidRDefault="00C450F3">
      <w:pPr>
        <w:spacing w:line="360" w:lineRule="auto"/>
        <w:jc w:val="both"/>
        <w:rPr>
          <w:rFonts w:ascii="Book Antiqua" w:hAnsi="Book Antiqua"/>
        </w:rPr>
      </w:pPr>
      <w:r>
        <w:rPr>
          <w:rFonts w:ascii="Book Antiqua" w:hAnsi="Book Antiqua"/>
        </w:rPr>
        <w:t xml:space="preserve">35 </w:t>
      </w:r>
      <w:r>
        <w:rPr>
          <w:rFonts w:ascii="Book Antiqua" w:hAnsi="Book Antiqua"/>
          <w:b/>
        </w:rPr>
        <w:t>Goggins E</w:t>
      </w:r>
      <w:r>
        <w:rPr>
          <w:rFonts w:ascii="Book Antiqua" w:hAnsi="Book Antiqua"/>
        </w:rPr>
        <w:t xml:space="preserve">, Kakkad S, Mironchik Y, Jacob D, Wildes F, Krishnamachary B, Bhujwalla ZM. Hypoxia Inducible Factors Modify Collagen I Fibers in MDA-MB-231 Triple Negative Breast Cancer Xenografts. </w:t>
      </w:r>
      <w:r>
        <w:rPr>
          <w:rFonts w:ascii="Book Antiqua" w:hAnsi="Book Antiqua"/>
          <w:i/>
        </w:rPr>
        <w:t>Neoplasia</w:t>
      </w:r>
      <w:r>
        <w:rPr>
          <w:rFonts w:ascii="Book Antiqua" w:hAnsi="Book Antiqua"/>
        </w:rPr>
        <w:t xml:space="preserve"> 2018; </w:t>
      </w:r>
      <w:r>
        <w:rPr>
          <w:rFonts w:ascii="Book Antiqua" w:hAnsi="Book Antiqua"/>
          <w:b/>
        </w:rPr>
        <w:t>20</w:t>
      </w:r>
      <w:r>
        <w:rPr>
          <w:rFonts w:ascii="Book Antiqua" w:hAnsi="Book Antiqua"/>
        </w:rPr>
        <w:t>: 131-139 [PMID: 29247885 DOI: 10.1016/j.neo.2017.11.010]</w:t>
      </w:r>
    </w:p>
    <w:p w:rsidR="00FE31D1" w:rsidRDefault="00C450F3">
      <w:pPr>
        <w:spacing w:line="360" w:lineRule="auto"/>
        <w:jc w:val="both"/>
        <w:rPr>
          <w:rFonts w:ascii="Book Antiqua" w:hAnsi="Book Antiqua"/>
        </w:rPr>
      </w:pPr>
      <w:r>
        <w:rPr>
          <w:rFonts w:ascii="Book Antiqua" w:hAnsi="Book Antiqua"/>
        </w:rPr>
        <w:t xml:space="preserve">36 </w:t>
      </w:r>
      <w:r>
        <w:rPr>
          <w:rFonts w:ascii="Book Antiqua" w:hAnsi="Book Antiqua"/>
          <w:b/>
        </w:rPr>
        <w:t>Regan Anderson TM</w:t>
      </w:r>
      <w:r>
        <w:rPr>
          <w:rFonts w:ascii="Book Antiqua" w:hAnsi="Book Antiqua"/>
        </w:rPr>
        <w:t xml:space="preserve">, Ma SH, Raj GV, Cidlowski JA, Helle TM, Knutson TP, Krutilina RI, Seagroves TN, Lange CA. Breast Tumor Kinase (Brk/PTK6) Is Induced by HIF, Glucocorticoid Receptor, and PELP1-Mediated Stress Signaling in Triple-Negative Breast Cancer. </w:t>
      </w:r>
      <w:r>
        <w:rPr>
          <w:rFonts w:ascii="Book Antiqua" w:hAnsi="Book Antiqua"/>
          <w:i/>
        </w:rPr>
        <w:t>Cancer Res</w:t>
      </w:r>
      <w:r>
        <w:rPr>
          <w:rFonts w:ascii="Book Antiqua" w:hAnsi="Book Antiqua"/>
        </w:rPr>
        <w:t xml:space="preserve"> 2016; </w:t>
      </w:r>
      <w:r>
        <w:rPr>
          <w:rFonts w:ascii="Book Antiqua" w:hAnsi="Book Antiqua"/>
          <w:b/>
        </w:rPr>
        <w:t>76</w:t>
      </w:r>
      <w:r>
        <w:rPr>
          <w:rFonts w:ascii="Book Antiqua" w:hAnsi="Book Antiqua"/>
        </w:rPr>
        <w:t>: 1653-1663 [PMID: 26825173 DOI: 10.1158/0008-5472.CAN-15-2510]</w:t>
      </w:r>
    </w:p>
    <w:p w:rsidR="00FE31D1" w:rsidRDefault="00C450F3">
      <w:pPr>
        <w:spacing w:line="360" w:lineRule="auto"/>
        <w:jc w:val="both"/>
        <w:rPr>
          <w:rFonts w:ascii="Book Antiqua" w:hAnsi="Book Antiqua"/>
        </w:rPr>
      </w:pPr>
      <w:r>
        <w:rPr>
          <w:rFonts w:ascii="Book Antiqua" w:hAnsi="Book Antiqua"/>
        </w:rPr>
        <w:t xml:space="preserve">37 </w:t>
      </w:r>
      <w:r>
        <w:rPr>
          <w:rFonts w:ascii="Book Antiqua" w:hAnsi="Book Antiqua"/>
          <w:b/>
        </w:rPr>
        <w:t>Bharti SK</w:t>
      </w:r>
      <w:r>
        <w:rPr>
          <w:rFonts w:ascii="Book Antiqua" w:hAnsi="Book Antiqua"/>
        </w:rPr>
        <w:t xml:space="preserve">, Mironchik Y, Wildes F, Penet MF, Goggins E, Krishnamachary B, Bhujwalla ZM. Metabolic consequences of HIF silencing in a triple negative human breast cancer xenograft. </w:t>
      </w:r>
      <w:r>
        <w:rPr>
          <w:rFonts w:ascii="Book Antiqua" w:hAnsi="Book Antiqua"/>
          <w:i/>
        </w:rPr>
        <w:t>Oncotarget</w:t>
      </w:r>
      <w:r>
        <w:rPr>
          <w:rFonts w:ascii="Book Antiqua" w:hAnsi="Book Antiqua"/>
        </w:rPr>
        <w:t xml:space="preserve"> 2018; </w:t>
      </w:r>
      <w:r>
        <w:rPr>
          <w:rFonts w:ascii="Book Antiqua" w:hAnsi="Book Antiqua"/>
          <w:b/>
        </w:rPr>
        <w:t>9</w:t>
      </w:r>
      <w:r>
        <w:rPr>
          <w:rFonts w:ascii="Book Antiqua" w:hAnsi="Book Antiqua"/>
        </w:rPr>
        <w:t>: 15326-15339 [PMID: 29632647 DOI: 10.18632/oncotarget.24569]</w:t>
      </w:r>
    </w:p>
    <w:p w:rsidR="00FE31D1" w:rsidRDefault="00C450F3">
      <w:pPr>
        <w:spacing w:line="360" w:lineRule="auto"/>
        <w:jc w:val="both"/>
        <w:rPr>
          <w:rFonts w:ascii="Book Antiqua" w:hAnsi="Book Antiqua"/>
        </w:rPr>
      </w:pPr>
      <w:r>
        <w:rPr>
          <w:rFonts w:ascii="Book Antiqua" w:hAnsi="Book Antiqua"/>
        </w:rPr>
        <w:t xml:space="preserve">38 </w:t>
      </w:r>
      <w:r>
        <w:rPr>
          <w:rFonts w:ascii="Book Antiqua" w:hAnsi="Book Antiqua"/>
          <w:b/>
        </w:rPr>
        <w:t>Karousou E</w:t>
      </w:r>
      <w:r>
        <w:rPr>
          <w:rFonts w:ascii="Book Antiqua" w:hAnsi="Book Antiqua"/>
        </w:rPr>
        <w:t xml:space="preserve">, Misra S, Ghatak S, Dobra K, Götte M, Vigetti D, Passi A, Karamanos NK, Skandalis SS. Roles and targeting of the HAS/hyaluronan/CD44 molecular system in cancer. </w:t>
      </w:r>
      <w:r>
        <w:rPr>
          <w:rFonts w:ascii="Book Antiqua" w:hAnsi="Book Antiqua"/>
          <w:i/>
        </w:rPr>
        <w:t>Matrix Biol</w:t>
      </w:r>
      <w:r>
        <w:rPr>
          <w:rFonts w:ascii="Book Antiqua" w:hAnsi="Book Antiqua"/>
        </w:rPr>
        <w:t xml:space="preserve"> 2017; </w:t>
      </w:r>
      <w:r>
        <w:rPr>
          <w:rFonts w:ascii="Book Antiqua" w:hAnsi="Book Antiqua"/>
          <w:b/>
        </w:rPr>
        <w:t>59</w:t>
      </w:r>
      <w:r>
        <w:rPr>
          <w:rFonts w:ascii="Book Antiqua" w:hAnsi="Book Antiqua"/>
        </w:rPr>
        <w:t>: 3-22 [PMID: 27746219 DOI: 10.1016/j.matbio.2016.10.001]</w:t>
      </w:r>
    </w:p>
    <w:p w:rsidR="00FE31D1" w:rsidRDefault="00C450F3">
      <w:pPr>
        <w:spacing w:line="360" w:lineRule="auto"/>
        <w:jc w:val="both"/>
        <w:rPr>
          <w:rFonts w:ascii="Book Antiqua" w:hAnsi="Book Antiqua"/>
        </w:rPr>
      </w:pPr>
      <w:r>
        <w:rPr>
          <w:rFonts w:ascii="Book Antiqua" w:hAnsi="Book Antiqua"/>
        </w:rPr>
        <w:t xml:space="preserve">39 </w:t>
      </w:r>
      <w:r>
        <w:rPr>
          <w:rFonts w:ascii="Book Antiqua" w:hAnsi="Book Antiqua"/>
          <w:b/>
        </w:rPr>
        <w:t>Yang F</w:t>
      </w:r>
      <w:r>
        <w:rPr>
          <w:rFonts w:ascii="Book Antiqua" w:hAnsi="Book Antiqua"/>
        </w:rPr>
        <w:t xml:space="preserve">, Xu J, Tang L, Guan X. Breast cancer stem cell: the roles and therapeutic implications. </w:t>
      </w:r>
      <w:r>
        <w:rPr>
          <w:rFonts w:ascii="Book Antiqua" w:hAnsi="Book Antiqua"/>
          <w:i/>
        </w:rPr>
        <w:t>Cell Mol Life Sci</w:t>
      </w:r>
      <w:r>
        <w:rPr>
          <w:rFonts w:ascii="Book Antiqua" w:hAnsi="Book Antiqua"/>
        </w:rPr>
        <w:t xml:space="preserve"> 2017; </w:t>
      </w:r>
      <w:r>
        <w:rPr>
          <w:rFonts w:ascii="Book Antiqua" w:hAnsi="Book Antiqua"/>
          <w:b/>
        </w:rPr>
        <w:t>74</w:t>
      </w:r>
      <w:r>
        <w:rPr>
          <w:rFonts w:ascii="Book Antiqua" w:hAnsi="Book Antiqua"/>
        </w:rPr>
        <w:t>: 951-966 [PMID: 27530548 DOI: 10.1007/s00018-016-2334-7]</w:t>
      </w:r>
    </w:p>
    <w:p w:rsidR="00FE31D1" w:rsidRDefault="00C450F3">
      <w:pPr>
        <w:spacing w:line="360" w:lineRule="auto"/>
        <w:jc w:val="both"/>
        <w:rPr>
          <w:rFonts w:ascii="Book Antiqua" w:hAnsi="Book Antiqua"/>
        </w:rPr>
      </w:pPr>
      <w:r>
        <w:rPr>
          <w:rFonts w:ascii="Book Antiqua" w:hAnsi="Book Antiqua"/>
        </w:rPr>
        <w:t xml:space="preserve">40 </w:t>
      </w:r>
      <w:r>
        <w:rPr>
          <w:rFonts w:ascii="Book Antiqua" w:hAnsi="Book Antiqua"/>
          <w:b/>
        </w:rPr>
        <w:t>Schwarz-Cruz Y Celis A</w:t>
      </w:r>
      <w:r>
        <w:rPr>
          <w:rFonts w:ascii="Book Antiqua" w:hAnsi="Book Antiqua"/>
        </w:rPr>
        <w:t xml:space="preserve">, Espinosa M, Maldonado V, Melendez-Zajgla J. Advances in the knowledge of breast cancer stem cells. A review. </w:t>
      </w:r>
      <w:r>
        <w:rPr>
          <w:rFonts w:ascii="Book Antiqua" w:hAnsi="Book Antiqua"/>
          <w:i/>
        </w:rPr>
        <w:t>Histol Histopathol</w:t>
      </w:r>
      <w:r>
        <w:rPr>
          <w:rFonts w:ascii="Book Antiqua" w:hAnsi="Book Antiqua"/>
        </w:rPr>
        <w:t xml:space="preserve"> 2016; </w:t>
      </w:r>
      <w:r>
        <w:rPr>
          <w:rFonts w:ascii="Book Antiqua" w:hAnsi="Book Antiqua"/>
          <w:b/>
        </w:rPr>
        <w:t>31</w:t>
      </w:r>
      <w:r>
        <w:rPr>
          <w:rFonts w:ascii="Book Antiqua" w:hAnsi="Book Antiqua"/>
        </w:rPr>
        <w:t>: 601-612 [PMID: 26715540 DOI: 10.14670/HH-11-718]</w:t>
      </w:r>
    </w:p>
    <w:p w:rsidR="00FE31D1" w:rsidRDefault="00C450F3">
      <w:pPr>
        <w:spacing w:line="360" w:lineRule="auto"/>
        <w:jc w:val="both"/>
        <w:rPr>
          <w:rFonts w:ascii="Book Antiqua" w:hAnsi="Book Antiqua"/>
        </w:rPr>
      </w:pPr>
      <w:r>
        <w:rPr>
          <w:rFonts w:ascii="Book Antiqua" w:hAnsi="Book Antiqua"/>
        </w:rPr>
        <w:lastRenderedPageBreak/>
        <w:t xml:space="preserve">41 </w:t>
      </w:r>
      <w:r>
        <w:rPr>
          <w:rFonts w:ascii="Book Antiqua" w:hAnsi="Book Antiqua"/>
          <w:b/>
        </w:rPr>
        <w:t>Zhang L</w:t>
      </w:r>
      <w:r>
        <w:rPr>
          <w:rFonts w:ascii="Book Antiqua" w:hAnsi="Book Antiqua"/>
        </w:rPr>
        <w:t xml:space="preserve">, Wen X, Li M, Li S, Zhao H. Targeting cancer stem cells and signaling pathways by resveratrol and pterostilbene. </w:t>
      </w:r>
      <w:r>
        <w:rPr>
          <w:rFonts w:ascii="Book Antiqua" w:hAnsi="Book Antiqua"/>
          <w:i/>
        </w:rPr>
        <w:t>Biofactors</w:t>
      </w:r>
      <w:r>
        <w:rPr>
          <w:rFonts w:ascii="Book Antiqua" w:hAnsi="Book Antiqua"/>
        </w:rPr>
        <w:t xml:space="preserve"> 2018; </w:t>
      </w:r>
      <w:r>
        <w:rPr>
          <w:rFonts w:ascii="Book Antiqua" w:hAnsi="Book Antiqua"/>
          <w:b/>
        </w:rPr>
        <w:t>44</w:t>
      </w:r>
      <w:r>
        <w:rPr>
          <w:rFonts w:ascii="Book Antiqua" w:hAnsi="Book Antiqua"/>
        </w:rPr>
        <w:t>: 61-68 [PMID: 29205560 DOI: 10.1002/biof.1398]</w:t>
      </w:r>
    </w:p>
    <w:p w:rsidR="00FE31D1" w:rsidRDefault="00C450F3">
      <w:pPr>
        <w:spacing w:line="360" w:lineRule="auto"/>
        <w:jc w:val="both"/>
        <w:rPr>
          <w:rFonts w:ascii="Book Antiqua" w:hAnsi="Book Antiqua"/>
        </w:rPr>
      </w:pPr>
      <w:r>
        <w:rPr>
          <w:rFonts w:ascii="Book Antiqua" w:hAnsi="Book Antiqua"/>
        </w:rPr>
        <w:t xml:space="preserve">42 </w:t>
      </w:r>
      <w:r>
        <w:rPr>
          <w:rFonts w:ascii="Book Antiqua" w:hAnsi="Book Antiqua"/>
          <w:b/>
        </w:rPr>
        <w:t>Goyette S</w:t>
      </w:r>
      <w:r>
        <w:rPr>
          <w:rFonts w:ascii="Book Antiqua" w:hAnsi="Book Antiqua"/>
        </w:rPr>
        <w:t xml:space="preserve">, Liang Y, Mafuvadze B, Cook MT, Munir M, Hyder SM. Natural and synthetic progestins enrich cancer stem cell-like cells in hormone-responsive human breast cancer cell populations in vitro. </w:t>
      </w:r>
      <w:r>
        <w:rPr>
          <w:rFonts w:ascii="Book Antiqua" w:hAnsi="Book Antiqua"/>
          <w:i/>
        </w:rPr>
        <w:t>Breast Cancer (Dove Med Press)</w:t>
      </w:r>
      <w:r>
        <w:rPr>
          <w:rFonts w:ascii="Book Antiqua" w:hAnsi="Book Antiqua"/>
        </w:rPr>
        <w:t xml:space="preserve"> 2017; </w:t>
      </w:r>
      <w:r>
        <w:rPr>
          <w:rFonts w:ascii="Book Antiqua" w:hAnsi="Book Antiqua"/>
          <w:b/>
        </w:rPr>
        <w:t>9</w:t>
      </w:r>
      <w:r>
        <w:rPr>
          <w:rFonts w:ascii="Book Antiqua" w:hAnsi="Book Antiqua"/>
        </w:rPr>
        <w:t>: 347-357 [PMID: 28579829 DOI: 10.2147/BCTT.S135371]</w:t>
      </w:r>
    </w:p>
    <w:p w:rsidR="00FE31D1" w:rsidRDefault="00C450F3">
      <w:pPr>
        <w:spacing w:line="360" w:lineRule="auto"/>
        <w:jc w:val="both"/>
        <w:rPr>
          <w:rFonts w:ascii="Book Antiqua" w:hAnsi="Book Antiqua"/>
        </w:rPr>
      </w:pPr>
      <w:r>
        <w:rPr>
          <w:rFonts w:ascii="Book Antiqua" w:hAnsi="Book Antiqua"/>
        </w:rPr>
        <w:t xml:space="preserve">43 </w:t>
      </w:r>
      <w:r>
        <w:rPr>
          <w:rFonts w:ascii="Book Antiqua" w:hAnsi="Book Antiqua"/>
          <w:b/>
        </w:rPr>
        <w:t>Xie G</w:t>
      </w:r>
      <w:r>
        <w:rPr>
          <w:rFonts w:ascii="Book Antiqua" w:hAnsi="Book Antiqua"/>
        </w:rPr>
        <w:t xml:space="preserve">, Liu Y, Yao Q, Zheng R, Zhang L, Lin J, Guo Z, Du S, Ren C, Yuan Q, Yuan Y. Hypoxia-induced angiotensin II by the lactate-chymase-dependent mechanism mediates radioresistance of hypoxic tumor cells. </w:t>
      </w:r>
      <w:r>
        <w:rPr>
          <w:rFonts w:ascii="Book Antiqua" w:hAnsi="Book Antiqua"/>
          <w:i/>
        </w:rPr>
        <w:t>Sci Rep</w:t>
      </w:r>
      <w:r>
        <w:rPr>
          <w:rFonts w:ascii="Book Antiqua" w:hAnsi="Book Antiqua"/>
        </w:rPr>
        <w:t xml:space="preserve"> 2017; </w:t>
      </w:r>
      <w:r>
        <w:rPr>
          <w:rFonts w:ascii="Book Antiqua" w:hAnsi="Book Antiqua"/>
          <w:b/>
        </w:rPr>
        <w:t>7</w:t>
      </w:r>
      <w:r>
        <w:rPr>
          <w:rFonts w:ascii="Book Antiqua" w:hAnsi="Book Antiqua"/>
        </w:rPr>
        <w:t>: 42396 [PMID: 28205588 DOI: 10.1038/srep42396]</w:t>
      </w:r>
    </w:p>
    <w:p w:rsidR="00FE31D1" w:rsidRDefault="00C450F3">
      <w:pPr>
        <w:spacing w:line="360" w:lineRule="auto"/>
        <w:jc w:val="both"/>
        <w:rPr>
          <w:rFonts w:ascii="Book Antiqua" w:hAnsi="Book Antiqua"/>
        </w:rPr>
      </w:pPr>
      <w:r>
        <w:rPr>
          <w:rFonts w:ascii="Book Antiqua" w:hAnsi="Book Antiqua"/>
        </w:rPr>
        <w:t xml:space="preserve">44 </w:t>
      </w:r>
      <w:r>
        <w:rPr>
          <w:rFonts w:ascii="Book Antiqua" w:hAnsi="Book Antiqua"/>
          <w:b/>
        </w:rPr>
        <w:t>Fuady JH</w:t>
      </w:r>
      <w:r>
        <w:rPr>
          <w:rFonts w:ascii="Book Antiqua" w:hAnsi="Book Antiqua"/>
        </w:rPr>
        <w:t xml:space="preserve">, Gutsche K, Santambrogio S, Varga Z, Hoogewijs D, Wenger RH. Estrogen-dependent downregulation of hypoxia-inducible factor (HIF)-2α in invasive breast cancer cells. </w:t>
      </w:r>
      <w:r>
        <w:rPr>
          <w:rFonts w:ascii="Book Antiqua" w:hAnsi="Book Antiqua"/>
          <w:i/>
        </w:rPr>
        <w:t>Oncotarget</w:t>
      </w:r>
      <w:r>
        <w:rPr>
          <w:rFonts w:ascii="Book Antiqua" w:hAnsi="Book Antiqua"/>
        </w:rPr>
        <w:t xml:space="preserve"> 2016; </w:t>
      </w:r>
      <w:r>
        <w:rPr>
          <w:rFonts w:ascii="Book Antiqua" w:hAnsi="Book Antiqua"/>
          <w:b/>
        </w:rPr>
        <w:t>7</w:t>
      </w:r>
      <w:r>
        <w:rPr>
          <w:rFonts w:ascii="Book Antiqua" w:hAnsi="Book Antiqua"/>
        </w:rPr>
        <w:t>: 31153-31165 [PMID: 27105516 DOI: 10.18632/oncotarget.8866]</w:t>
      </w:r>
    </w:p>
    <w:p w:rsidR="00FE31D1" w:rsidRDefault="00C450F3">
      <w:pPr>
        <w:spacing w:line="360" w:lineRule="auto"/>
        <w:jc w:val="both"/>
        <w:rPr>
          <w:rFonts w:ascii="Book Antiqua" w:hAnsi="Book Antiqua"/>
        </w:rPr>
      </w:pPr>
      <w:r>
        <w:rPr>
          <w:rFonts w:ascii="Book Antiqua" w:hAnsi="Book Antiqua"/>
        </w:rPr>
        <w:t xml:space="preserve">45 </w:t>
      </w:r>
      <w:r>
        <w:rPr>
          <w:rFonts w:ascii="Book Antiqua" w:hAnsi="Book Antiqua"/>
          <w:b/>
        </w:rPr>
        <w:t>Shiraishi A</w:t>
      </w:r>
      <w:r>
        <w:rPr>
          <w:rFonts w:ascii="Book Antiqua" w:hAnsi="Book Antiqua"/>
        </w:rPr>
        <w:t xml:space="preserve">, Tachi K, Essid N, Tsuboi I, Nagano M, Kato T, Yamashita T, Bando H, Hara H, Ohneda O. Hypoxia promotes the phenotypic change of aldehyde dehydrogenase activity of breast cancer stem cells. </w:t>
      </w:r>
      <w:r>
        <w:rPr>
          <w:rFonts w:ascii="Book Antiqua" w:hAnsi="Book Antiqua"/>
          <w:i/>
        </w:rPr>
        <w:t>Cancer Sci</w:t>
      </w:r>
      <w:r>
        <w:rPr>
          <w:rFonts w:ascii="Book Antiqua" w:hAnsi="Book Antiqua"/>
        </w:rPr>
        <w:t xml:space="preserve"> 2017; </w:t>
      </w:r>
      <w:r>
        <w:rPr>
          <w:rFonts w:ascii="Book Antiqua" w:hAnsi="Book Antiqua"/>
          <w:b/>
        </w:rPr>
        <w:t>108</w:t>
      </w:r>
      <w:r>
        <w:rPr>
          <w:rFonts w:ascii="Book Antiqua" w:hAnsi="Book Antiqua"/>
        </w:rPr>
        <w:t>: 362-372 [PMID: 28012234 DOI: 10.1111/cas.13147]</w:t>
      </w:r>
    </w:p>
    <w:p w:rsidR="00FE31D1" w:rsidRDefault="00C450F3">
      <w:pPr>
        <w:spacing w:line="360" w:lineRule="auto"/>
        <w:jc w:val="both"/>
        <w:rPr>
          <w:rFonts w:ascii="Book Antiqua" w:hAnsi="Book Antiqua"/>
        </w:rPr>
      </w:pPr>
      <w:r>
        <w:rPr>
          <w:rFonts w:ascii="Book Antiqua" w:hAnsi="Book Antiqua"/>
        </w:rPr>
        <w:t xml:space="preserve">46 </w:t>
      </w:r>
      <w:r>
        <w:rPr>
          <w:rFonts w:ascii="Book Antiqua" w:hAnsi="Book Antiqua"/>
          <w:b/>
        </w:rPr>
        <w:t>Deng L</w:t>
      </w:r>
      <w:r>
        <w:rPr>
          <w:rFonts w:ascii="Book Antiqua" w:hAnsi="Book Antiqua"/>
        </w:rPr>
        <w:t xml:space="preserve">, Chen J, Zhong XR, Luo T, Wang YP, Huang HF, Yin LJ, Qiu Y, Bu H, Lv Q, Zheng H. Correlation between activation of PI3K/AKT/mTOR pathway and prognosis of breast cancer in Chinese women. </w:t>
      </w:r>
      <w:r>
        <w:rPr>
          <w:rFonts w:ascii="Book Antiqua" w:hAnsi="Book Antiqua"/>
          <w:i/>
        </w:rPr>
        <w:t>PLoS One</w:t>
      </w:r>
      <w:r>
        <w:rPr>
          <w:rFonts w:ascii="Book Antiqua" w:hAnsi="Book Antiqua"/>
        </w:rPr>
        <w:t xml:space="preserve"> 2015; </w:t>
      </w:r>
      <w:r>
        <w:rPr>
          <w:rFonts w:ascii="Book Antiqua" w:hAnsi="Book Antiqua"/>
          <w:b/>
        </w:rPr>
        <w:t>10</w:t>
      </w:r>
      <w:r>
        <w:rPr>
          <w:rFonts w:ascii="Book Antiqua" w:hAnsi="Book Antiqua"/>
        </w:rPr>
        <w:t>: e0120511 [PMID: 25816324 DOI: 10.1371/journal.pone.0120511]</w:t>
      </w:r>
    </w:p>
    <w:p w:rsidR="00FE31D1" w:rsidRDefault="00C450F3">
      <w:pPr>
        <w:spacing w:line="360" w:lineRule="auto"/>
        <w:jc w:val="both"/>
        <w:rPr>
          <w:rFonts w:ascii="Book Antiqua" w:hAnsi="Book Antiqua"/>
        </w:rPr>
      </w:pPr>
      <w:r>
        <w:rPr>
          <w:rFonts w:ascii="Book Antiqua" w:hAnsi="Book Antiqua"/>
        </w:rPr>
        <w:t xml:space="preserve">47 </w:t>
      </w:r>
      <w:r>
        <w:rPr>
          <w:rFonts w:ascii="Book Antiqua" w:hAnsi="Book Antiqua"/>
          <w:b/>
        </w:rPr>
        <w:t>Pierobon M</w:t>
      </w:r>
      <w:r>
        <w:rPr>
          <w:rFonts w:ascii="Book Antiqua" w:hAnsi="Book Antiqua"/>
        </w:rPr>
        <w:t xml:space="preserve">, Ramos C, Wong S, Hodge KA, Aldrich J, Byron S, Anthony SP, Robert NJ, Northfelt DW, Jahanzeb M, Vocila L, Wulfkuhle J, Gambara G, Gallagher RI, Dunetz B, Hoke N, Dong T, Craig DW, Cristofanilli M, Leyland-Jones B, Liotta LA, O'Shaughnessy JA, Carpten JD, Petricoin EF. Enrichment of PI3K-AKT-mTOR Pathway Activation in Hepatic Metastases from Breast Cancer. </w:t>
      </w:r>
      <w:r>
        <w:rPr>
          <w:rFonts w:ascii="Book Antiqua" w:hAnsi="Book Antiqua"/>
          <w:i/>
        </w:rPr>
        <w:t>Clin Cancer Res</w:t>
      </w:r>
      <w:r>
        <w:rPr>
          <w:rFonts w:ascii="Book Antiqua" w:hAnsi="Book Antiqua"/>
        </w:rPr>
        <w:t xml:space="preserve"> 2017; </w:t>
      </w:r>
      <w:r>
        <w:rPr>
          <w:rFonts w:ascii="Book Antiqua" w:hAnsi="Book Antiqua"/>
          <w:b/>
        </w:rPr>
        <w:t>23</w:t>
      </w:r>
      <w:r>
        <w:rPr>
          <w:rFonts w:ascii="Book Antiqua" w:hAnsi="Book Antiqua"/>
        </w:rPr>
        <w:t>: 4919-4928 [PMID: 28446508 DOI: 10.1158/1078-0432.CCR-16-2656]</w:t>
      </w:r>
    </w:p>
    <w:p w:rsidR="00FE31D1" w:rsidRDefault="00C450F3">
      <w:pPr>
        <w:spacing w:line="360" w:lineRule="auto"/>
        <w:jc w:val="both"/>
        <w:rPr>
          <w:rFonts w:ascii="Book Antiqua" w:hAnsi="Book Antiqua"/>
        </w:rPr>
      </w:pPr>
      <w:r>
        <w:rPr>
          <w:rFonts w:ascii="Book Antiqua" w:hAnsi="Book Antiqua"/>
        </w:rPr>
        <w:lastRenderedPageBreak/>
        <w:t xml:space="preserve">48 </w:t>
      </w:r>
      <w:r>
        <w:rPr>
          <w:rFonts w:ascii="Book Antiqua" w:hAnsi="Book Antiqua"/>
          <w:b/>
        </w:rPr>
        <w:t>Sharma VR</w:t>
      </w:r>
      <w:r>
        <w:rPr>
          <w:rFonts w:ascii="Book Antiqua" w:hAnsi="Book Antiqua"/>
        </w:rPr>
        <w:t xml:space="preserve">, Gupta GK, Sharma AK, Batra N, Sharma DK, Joshi A, Sharma AK. PI3K/Akt/mTOR Intracellular Pathway and Breast Cancer: Factors, Mechanism and Regulation. </w:t>
      </w:r>
      <w:r>
        <w:rPr>
          <w:rFonts w:ascii="Book Antiqua" w:hAnsi="Book Antiqua"/>
          <w:i/>
        </w:rPr>
        <w:t>Curr Pharm Des</w:t>
      </w:r>
      <w:r>
        <w:rPr>
          <w:rFonts w:ascii="Book Antiqua" w:hAnsi="Book Antiqua"/>
        </w:rPr>
        <w:t xml:space="preserve"> 2017; </w:t>
      </w:r>
      <w:r>
        <w:rPr>
          <w:rFonts w:ascii="Book Antiqua" w:hAnsi="Book Antiqua"/>
          <w:b/>
        </w:rPr>
        <w:t>23</w:t>
      </w:r>
      <w:r>
        <w:rPr>
          <w:rFonts w:ascii="Book Antiqua" w:hAnsi="Book Antiqua"/>
        </w:rPr>
        <w:t>: 1633-1638 [PMID: 27848885 DOI: 10.2174/1381612823666161116125218]</w:t>
      </w:r>
    </w:p>
    <w:p w:rsidR="00FE31D1" w:rsidRDefault="00FE31D1">
      <w:pPr>
        <w:tabs>
          <w:tab w:val="left" w:pos="420"/>
        </w:tabs>
        <w:spacing w:line="360" w:lineRule="auto"/>
        <w:jc w:val="both"/>
        <w:rPr>
          <w:rFonts w:ascii="Book Antiqua" w:eastAsiaTheme="minorEastAsia" w:hAnsi="Book Antiqua"/>
        </w:rPr>
      </w:pPr>
    </w:p>
    <w:p w:rsidR="00FE31D1" w:rsidRDefault="00C450F3">
      <w:pPr>
        <w:snapToGrid w:val="0"/>
        <w:spacing w:line="360" w:lineRule="auto"/>
        <w:ind w:left="360" w:hangingChars="150" w:hanging="360"/>
        <w:jc w:val="both"/>
        <w:rPr>
          <w:rFonts w:ascii="Book Antiqua" w:hAnsi="Book Antiqua"/>
          <w:b/>
          <w:bCs/>
          <w:color w:val="000000"/>
        </w:rPr>
      </w:pPr>
      <w:bookmarkStart w:id="33" w:name="_Hlk17289862"/>
      <w:r>
        <w:rPr>
          <w:rFonts w:ascii="Book Antiqua" w:hAnsi="Book Antiqua"/>
          <w:b/>
          <w:bCs/>
          <w:color w:val="000000"/>
        </w:rPr>
        <w:t xml:space="preserve">P-Reviewer: </w:t>
      </w:r>
      <w:r>
        <w:rPr>
          <w:rFonts w:ascii="Book Antiqua" w:eastAsia="等线" w:hAnsi="Book Antiqua"/>
          <w:color w:val="000000"/>
          <w:shd w:val="clear" w:color="auto" w:fill="FFFFFF"/>
        </w:rPr>
        <w:t>Kruis W</w:t>
      </w:r>
      <w:r>
        <w:rPr>
          <w:rFonts w:ascii="Book Antiqua" w:hAnsi="Book Antiqua"/>
          <w:bCs/>
          <w:color w:val="000000"/>
        </w:rPr>
        <w:t xml:space="preserve">, </w:t>
      </w:r>
      <w:r>
        <w:rPr>
          <w:rFonts w:ascii="Book Antiqua" w:hAnsi="Book Antiqua"/>
          <w:color w:val="000000"/>
          <w:shd w:val="clear" w:color="auto" w:fill="FFFFFF"/>
        </w:rPr>
        <w:t>Reich K</w:t>
      </w:r>
      <w:r>
        <w:rPr>
          <w:rFonts w:ascii="Book Antiqua" w:hAnsi="Book Antiqua"/>
          <w:bCs/>
          <w:color w:val="000000"/>
        </w:rPr>
        <w:t xml:space="preserve">, </w:t>
      </w:r>
      <w:r>
        <w:rPr>
          <w:rFonts w:ascii="Book Antiqua" w:hAnsi="Book Antiqua"/>
          <w:color w:val="000000"/>
          <w:shd w:val="clear" w:color="auto" w:fill="FFFFFF"/>
        </w:rPr>
        <w:t>Manuel CF</w:t>
      </w:r>
      <w:r>
        <w:rPr>
          <w:rFonts w:ascii="Book Antiqua" w:hAnsi="Book Antiqua"/>
          <w:b/>
          <w:bCs/>
          <w:color w:val="000000"/>
        </w:rPr>
        <w:t xml:space="preserve"> </w:t>
      </w:r>
    </w:p>
    <w:p w:rsidR="00FE31D1" w:rsidRDefault="00C450F3">
      <w:pPr>
        <w:snapToGrid w:val="0"/>
        <w:spacing w:line="360" w:lineRule="auto"/>
        <w:ind w:left="360" w:hangingChars="150" w:hanging="360"/>
        <w:jc w:val="both"/>
        <w:rPr>
          <w:rFonts w:ascii="Book Antiqua" w:hAnsi="Book Antiqua"/>
          <w:color w:val="000000"/>
        </w:rPr>
      </w:pPr>
      <w:r>
        <w:rPr>
          <w:rFonts w:ascii="Book Antiqua" w:hAnsi="Book Antiqua"/>
          <w:b/>
          <w:bCs/>
          <w:color w:val="000000"/>
        </w:rPr>
        <w:t>S-Editor:</w:t>
      </w:r>
      <w:r>
        <w:rPr>
          <w:rFonts w:ascii="Book Antiqua" w:hAnsi="Book Antiqua"/>
          <w:color w:val="000000"/>
        </w:rPr>
        <w:t xml:space="preserve"> Zhang L</w:t>
      </w:r>
      <w:r>
        <w:rPr>
          <w:rFonts w:ascii="Book Antiqua" w:eastAsia="等线" w:hAnsi="Book Antiqua"/>
          <w:color w:val="000000"/>
        </w:rPr>
        <w:t xml:space="preserve"> </w:t>
      </w:r>
      <w:r>
        <w:rPr>
          <w:rFonts w:ascii="Book Antiqua" w:hAnsi="Book Antiqua"/>
          <w:b/>
          <w:bCs/>
          <w:color w:val="000000"/>
        </w:rPr>
        <w:t>L-Editor:</w:t>
      </w:r>
      <w:r>
        <w:rPr>
          <w:rFonts w:ascii="Book Antiqua" w:hAnsi="Book Antiqua"/>
          <w:color w:val="000000"/>
        </w:rPr>
        <w:t xml:space="preserve"> Wang TQ </w:t>
      </w:r>
      <w:r>
        <w:rPr>
          <w:rFonts w:ascii="Book Antiqua" w:hAnsi="Book Antiqua"/>
          <w:b/>
          <w:bCs/>
          <w:color w:val="000000"/>
        </w:rPr>
        <w:t>E-Editor:</w:t>
      </w:r>
    </w:p>
    <w:p w:rsidR="00FE31D1" w:rsidRDefault="00FE31D1">
      <w:pPr>
        <w:shd w:val="clear" w:color="auto" w:fill="FFFFFF"/>
        <w:snapToGrid w:val="0"/>
        <w:spacing w:line="360" w:lineRule="auto"/>
        <w:jc w:val="both"/>
        <w:rPr>
          <w:rFonts w:ascii="Book Antiqua" w:hAnsi="Book Antiqua" w:cs="Helvetica"/>
          <w:b/>
        </w:rPr>
      </w:pPr>
    </w:p>
    <w:p w:rsidR="00FE31D1" w:rsidRDefault="00C450F3">
      <w:pPr>
        <w:shd w:val="clear" w:color="auto" w:fill="FFFFFF"/>
        <w:snapToGrid w:val="0"/>
        <w:spacing w:line="360" w:lineRule="auto"/>
        <w:jc w:val="both"/>
        <w:rPr>
          <w:rFonts w:ascii="Book Antiqua" w:hAnsi="Book Antiqua" w:cs="Helvetica"/>
          <w:b/>
        </w:rPr>
      </w:pPr>
      <w:r>
        <w:rPr>
          <w:rFonts w:ascii="Book Antiqua" w:hAnsi="Book Antiqua" w:cs="Helvetica"/>
          <w:b/>
        </w:rPr>
        <w:t xml:space="preserve">Specialty type: </w:t>
      </w:r>
      <w:r>
        <w:rPr>
          <w:rFonts w:ascii="Book Antiqua" w:hAnsi="Book Antiqua" w:cs="宋体"/>
        </w:rPr>
        <w:t>Cell and tissue engineering</w:t>
      </w:r>
    </w:p>
    <w:p w:rsidR="00FE31D1" w:rsidRDefault="00C450F3">
      <w:pPr>
        <w:shd w:val="clear" w:color="auto" w:fill="FFFFFF"/>
        <w:snapToGrid w:val="0"/>
        <w:spacing w:line="360" w:lineRule="auto"/>
        <w:jc w:val="both"/>
        <w:rPr>
          <w:rFonts w:ascii="Book Antiqua" w:hAnsi="Book Antiqua" w:cs="Helvetica"/>
        </w:rPr>
      </w:pPr>
      <w:r>
        <w:rPr>
          <w:rFonts w:ascii="Book Antiqua" w:hAnsi="Book Antiqua" w:cs="Helvetica"/>
          <w:b/>
        </w:rPr>
        <w:t xml:space="preserve">Country of origin: </w:t>
      </w:r>
      <w:r>
        <w:rPr>
          <w:rFonts w:ascii="Book Antiqua" w:hAnsi="Book Antiqua" w:cs="Helvetica"/>
        </w:rPr>
        <w:t>China</w:t>
      </w:r>
    </w:p>
    <w:p w:rsidR="00FE31D1" w:rsidRDefault="00C450F3">
      <w:pPr>
        <w:shd w:val="clear" w:color="auto" w:fill="FFFFFF"/>
        <w:snapToGrid w:val="0"/>
        <w:spacing w:line="360" w:lineRule="auto"/>
        <w:jc w:val="both"/>
        <w:rPr>
          <w:rFonts w:ascii="Book Antiqua" w:hAnsi="Book Antiqua" w:cs="Helvetica"/>
          <w:b/>
        </w:rPr>
      </w:pPr>
      <w:r>
        <w:rPr>
          <w:rFonts w:ascii="Book Antiqua" w:hAnsi="Book Antiqua" w:cs="Helvetica"/>
          <w:b/>
        </w:rPr>
        <w:t>Peer-review report classification</w:t>
      </w:r>
    </w:p>
    <w:p w:rsidR="00FE31D1" w:rsidRDefault="00C450F3">
      <w:pPr>
        <w:shd w:val="clear" w:color="auto" w:fill="FFFFFF"/>
        <w:snapToGrid w:val="0"/>
        <w:spacing w:line="360" w:lineRule="auto"/>
        <w:jc w:val="both"/>
        <w:rPr>
          <w:rFonts w:ascii="Book Antiqua" w:hAnsi="Book Antiqua" w:cs="Helvetica"/>
        </w:rPr>
      </w:pPr>
      <w:r>
        <w:rPr>
          <w:rFonts w:ascii="Book Antiqua" w:hAnsi="Book Antiqua" w:cs="Helvetica"/>
        </w:rPr>
        <w:t>Grade A (Excellent): 0</w:t>
      </w:r>
    </w:p>
    <w:p w:rsidR="00FE31D1" w:rsidRDefault="00C450F3">
      <w:pPr>
        <w:shd w:val="clear" w:color="auto" w:fill="FFFFFF"/>
        <w:snapToGrid w:val="0"/>
        <w:spacing w:line="360" w:lineRule="auto"/>
        <w:jc w:val="both"/>
        <w:rPr>
          <w:rFonts w:ascii="Book Antiqua" w:hAnsi="Book Antiqua" w:cs="Helvetica"/>
        </w:rPr>
      </w:pPr>
      <w:r>
        <w:rPr>
          <w:rFonts w:ascii="Book Antiqua" w:hAnsi="Book Antiqua" w:cs="Helvetica"/>
        </w:rPr>
        <w:t>Grade B (Very good): B, B</w:t>
      </w:r>
    </w:p>
    <w:p w:rsidR="00FE31D1" w:rsidRDefault="00C450F3">
      <w:pPr>
        <w:shd w:val="clear" w:color="auto" w:fill="FFFFFF"/>
        <w:snapToGrid w:val="0"/>
        <w:spacing w:line="360" w:lineRule="auto"/>
        <w:jc w:val="both"/>
        <w:rPr>
          <w:rFonts w:ascii="Book Antiqua" w:hAnsi="Book Antiqua" w:cs="Helvetica"/>
        </w:rPr>
      </w:pPr>
      <w:r>
        <w:rPr>
          <w:rFonts w:ascii="Book Antiqua" w:hAnsi="Book Antiqua" w:cs="Helvetica"/>
        </w:rPr>
        <w:t>Grade C (Good): C</w:t>
      </w:r>
    </w:p>
    <w:p w:rsidR="00FE31D1" w:rsidRDefault="00C450F3">
      <w:pPr>
        <w:shd w:val="clear" w:color="auto" w:fill="FFFFFF"/>
        <w:snapToGrid w:val="0"/>
        <w:spacing w:line="360" w:lineRule="auto"/>
        <w:jc w:val="both"/>
        <w:rPr>
          <w:rFonts w:ascii="Book Antiqua" w:hAnsi="Book Antiqua" w:cs="Helvetica"/>
        </w:rPr>
      </w:pPr>
      <w:r>
        <w:rPr>
          <w:rFonts w:ascii="Book Antiqua" w:hAnsi="Book Antiqua" w:cs="Helvetica"/>
        </w:rPr>
        <w:t>Grade D (Fair): 0</w:t>
      </w:r>
    </w:p>
    <w:p w:rsidR="00FE31D1" w:rsidRDefault="00C450F3">
      <w:pPr>
        <w:shd w:val="clear" w:color="auto" w:fill="FFFFFF"/>
        <w:snapToGrid w:val="0"/>
        <w:spacing w:line="360" w:lineRule="auto"/>
        <w:jc w:val="both"/>
        <w:rPr>
          <w:rFonts w:ascii="Book Antiqua" w:hAnsi="Book Antiqua" w:cs="Helvetica"/>
        </w:rPr>
      </w:pPr>
      <w:r>
        <w:rPr>
          <w:rFonts w:ascii="Book Antiqua" w:hAnsi="Book Antiqua" w:cs="Helvetica"/>
        </w:rPr>
        <w:t>Grade E (Poor): 0</w:t>
      </w:r>
    </w:p>
    <w:p w:rsidR="00FE31D1" w:rsidRDefault="00C450F3">
      <w:pPr>
        <w:rPr>
          <w:rFonts w:ascii="Book Antiqua" w:hAnsi="Book Antiqua" w:cs="Helvetica"/>
        </w:rPr>
      </w:pPr>
      <w:r>
        <w:rPr>
          <w:rFonts w:ascii="Book Antiqua" w:hAnsi="Book Antiqua" w:cs="Helvetica"/>
        </w:rPr>
        <w:br w:type="page"/>
      </w:r>
    </w:p>
    <w:p w:rsidR="00FE31D1" w:rsidRDefault="00C450F3">
      <w:pPr>
        <w:shd w:val="clear" w:color="auto" w:fill="FFFFFF"/>
        <w:snapToGrid w:val="0"/>
        <w:spacing w:line="360" w:lineRule="auto"/>
        <w:jc w:val="both"/>
        <w:rPr>
          <w:rFonts w:ascii="Book Antiqua" w:hAnsi="Book Antiqua" w:cs="Helvetica"/>
        </w:rPr>
      </w:pPr>
      <w:r>
        <w:rPr>
          <w:noProof/>
        </w:rPr>
        <w:lastRenderedPageBreak/>
        <w:drawing>
          <wp:inline distT="0" distB="0" distL="0" distR="0">
            <wp:extent cx="5274310" cy="38588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3859281"/>
                    </a:xfrm>
                    <a:prstGeom prst="rect">
                      <a:avLst/>
                    </a:prstGeom>
                  </pic:spPr>
                </pic:pic>
              </a:graphicData>
            </a:graphic>
          </wp:inline>
        </w:drawing>
      </w:r>
    </w:p>
    <w:bookmarkEnd w:id="33"/>
    <w:p w:rsidR="00FE31D1" w:rsidRDefault="00C450F3">
      <w:pPr>
        <w:spacing w:line="360" w:lineRule="auto"/>
        <w:jc w:val="both"/>
        <w:outlineLvl w:val="0"/>
        <w:rPr>
          <w:rFonts w:ascii="Book Antiqua" w:eastAsia="Songti SC" w:hAnsi="Book Antiqua"/>
        </w:rPr>
      </w:pPr>
      <w:r>
        <w:rPr>
          <w:rFonts w:ascii="Book Antiqua" w:eastAsiaTheme="minorEastAsia" w:hAnsi="Book Antiqua"/>
          <w:b/>
        </w:rPr>
        <w:t>Figure 1 Expression of hypoxia-inducible factor-2</w:t>
      </w:r>
      <w:r>
        <w:rPr>
          <w:rFonts w:ascii="Book Antiqua" w:eastAsia="Songti SC" w:hAnsi="Book Antiqua"/>
          <w:b/>
        </w:rPr>
        <w:t>α</w:t>
      </w:r>
      <w:r>
        <w:rPr>
          <w:rFonts w:ascii="Book Antiqua" w:eastAsiaTheme="minorEastAsia" w:hAnsi="Book Antiqua"/>
          <w:b/>
        </w:rPr>
        <w:t xml:space="preserve"> and CD44 in carcinoma tissues of triple-negative breast cancer and non-triple-negative breast cancer patients (</w:t>
      </w:r>
      <w:r>
        <w:rPr>
          <w:rFonts w:ascii="Book Antiqua" w:eastAsia="宋体" w:hAnsi="Book Antiqua"/>
          <w:b/>
        </w:rPr>
        <w:t>×</w:t>
      </w:r>
      <w:r>
        <w:rPr>
          <w:rFonts w:ascii="Book Antiqua" w:eastAsiaTheme="minorEastAsia" w:hAnsi="Book Antiqua"/>
          <w:b/>
        </w:rPr>
        <w:t>200).</w:t>
      </w:r>
      <w:r>
        <w:rPr>
          <w:rFonts w:ascii="Book Antiqua" w:eastAsiaTheme="minorEastAsia" w:hAnsi="Book Antiqua"/>
          <w:bCs/>
        </w:rPr>
        <w:t xml:space="preserve"> </w:t>
      </w:r>
      <w:r>
        <w:rPr>
          <w:rFonts w:ascii="Book Antiqua" w:eastAsiaTheme="minorEastAsia" w:hAnsi="Book Antiqua"/>
        </w:rPr>
        <w:t>TNBC: Triple-negative breast cancer; HIF-2</w:t>
      </w:r>
      <w:r>
        <w:rPr>
          <w:rFonts w:ascii="Book Antiqua" w:eastAsia="Songti SC" w:hAnsi="Book Antiqua"/>
        </w:rPr>
        <w:t xml:space="preserve">α: </w:t>
      </w:r>
      <w:r>
        <w:rPr>
          <w:rFonts w:ascii="Book Antiqua" w:eastAsiaTheme="minorEastAsia" w:hAnsi="Book Antiqua"/>
        </w:rPr>
        <w:t>Hypoxia-inducible factor-2</w:t>
      </w:r>
      <w:r>
        <w:rPr>
          <w:rFonts w:ascii="Book Antiqua" w:eastAsia="Songti SC" w:hAnsi="Book Antiqua"/>
        </w:rPr>
        <w:t>α.</w:t>
      </w:r>
    </w:p>
    <w:p w:rsidR="00FE31D1" w:rsidRDefault="00C450F3">
      <w:pPr>
        <w:rPr>
          <w:rFonts w:ascii="Book Antiqua" w:eastAsia="Songti SC" w:hAnsi="Book Antiqua"/>
        </w:rPr>
      </w:pPr>
      <w:r>
        <w:rPr>
          <w:rFonts w:ascii="Book Antiqua" w:eastAsia="Songti SC" w:hAnsi="Book Antiqua"/>
        </w:rPr>
        <w:br w:type="page"/>
      </w:r>
    </w:p>
    <w:p w:rsidR="00FE31D1" w:rsidRDefault="00C450F3">
      <w:pPr>
        <w:spacing w:line="360" w:lineRule="auto"/>
        <w:jc w:val="both"/>
        <w:outlineLvl w:val="0"/>
        <w:rPr>
          <w:rFonts w:ascii="Book Antiqua" w:eastAsia="Songti SC" w:hAnsi="Book Antiqua"/>
        </w:rPr>
      </w:pPr>
      <w:r>
        <w:rPr>
          <w:noProof/>
        </w:rPr>
        <w:lastRenderedPageBreak/>
        <w:drawing>
          <wp:inline distT="0" distB="0" distL="0" distR="0">
            <wp:extent cx="5274310" cy="212979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4310" cy="2129869"/>
                    </a:xfrm>
                    <a:prstGeom prst="rect">
                      <a:avLst/>
                    </a:prstGeom>
                  </pic:spPr>
                </pic:pic>
              </a:graphicData>
            </a:graphic>
          </wp:inline>
        </w:drawing>
      </w:r>
    </w:p>
    <w:p w:rsidR="00FE31D1" w:rsidRDefault="00C450F3">
      <w:pPr>
        <w:spacing w:line="360" w:lineRule="auto"/>
        <w:jc w:val="both"/>
        <w:rPr>
          <w:rFonts w:ascii="Book Antiqua" w:eastAsiaTheme="minorEastAsia" w:hAnsi="Book Antiqua"/>
          <w:bCs/>
        </w:rPr>
      </w:pPr>
      <w:r>
        <w:rPr>
          <w:rFonts w:ascii="Book Antiqua" w:eastAsiaTheme="minorEastAsia" w:hAnsi="Book Antiqua"/>
          <w:b/>
        </w:rPr>
        <w:t>Figure 2 Expression of hypoxia-inducible factor-2</w:t>
      </w:r>
      <w:r>
        <w:rPr>
          <w:rFonts w:ascii="Book Antiqua" w:eastAsia="Songti SC" w:hAnsi="Book Antiqua"/>
          <w:b/>
        </w:rPr>
        <w:t>α</w:t>
      </w:r>
      <w:r>
        <w:rPr>
          <w:rFonts w:ascii="Book Antiqua" w:eastAsia="Songti SC" w:hAnsi="Book Antiqua" w:hint="eastAsia"/>
          <w:b/>
        </w:rPr>
        <w:t xml:space="preserve"> </w:t>
      </w:r>
      <w:r>
        <w:rPr>
          <w:rFonts w:ascii="Book Antiqua" w:eastAsiaTheme="minorEastAsia" w:hAnsi="Book Antiqua"/>
          <w:b/>
        </w:rPr>
        <w:t>and CD44 in MCF-7 and MDA-MB-231 cells</w:t>
      </w:r>
      <w:r>
        <w:rPr>
          <w:rFonts w:ascii="Book Antiqua" w:eastAsiaTheme="minorEastAsia" w:hAnsi="Book Antiqua" w:hint="eastAsia"/>
          <w:b/>
        </w:rPr>
        <w:t xml:space="preserve"> </w:t>
      </w:r>
      <w:r>
        <w:rPr>
          <w:rFonts w:ascii="Book Antiqua" w:eastAsiaTheme="minorEastAsia" w:hAnsi="Book Antiqua"/>
          <w:b/>
        </w:rPr>
        <w:t>(</w:t>
      </w:r>
      <w:r>
        <w:rPr>
          <w:rFonts w:ascii="Book Antiqua" w:eastAsia="宋体" w:hAnsi="Book Antiqua"/>
          <w:b/>
        </w:rPr>
        <w:t>×</w:t>
      </w:r>
      <w:r>
        <w:rPr>
          <w:rFonts w:ascii="Book Antiqua" w:eastAsiaTheme="minorEastAsia" w:hAnsi="Book Antiqua"/>
          <w:b/>
        </w:rPr>
        <w:t>200).</w:t>
      </w:r>
      <w:r>
        <w:rPr>
          <w:rFonts w:ascii="Book Antiqua" w:eastAsiaTheme="minorEastAsia" w:hAnsi="Book Antiqua"/>
          <w:bCs/>
        </w:rPr>
        <w:t xml:space="preserve"> The expression of HIF-2α and CD44 in MDA-MB-231 cells was significantly higher than that in MCF-7 cells. </w:t>
      </w:r>
      <w:r>
        <w:rPr>
          <w:rFonts w:ascii="Book Antiqua" w:eastAsiaTheme="minorEastAsia" w:hAnsi="Book Antiqua"/>
        </w:rPr>
        <w:t>HIF-2</w:t>
      </w:r>
      <w:r>
        <w:rPr>
          <w:rFonts w:ascii="Book Antiqua" w:eastAsia="Songti SC" w:hAnsi="Book Antiqua"/>
        </w:rPr>
        <w:t xml:space="preserve">α: </w:t>
      </w:r>
      <w:r>
        <w:rPr>
          <w:rFonts w:ascii="Book Antiqua" w:eastAsiaTheme="minorEastAsia" w:hAnsi="Book Antiqua"/>
        </w:rPr>
        <w:t>Hypoxia-inducible factor-2</w:t>
      </w:r>
      <w:r>
        <w:rPr>
          <w:rFonts w:ascii="Book Antiqua" w:eastAsia="Songti SC" w:hAnsi="Book Antiqua"/>
        </w:rPr>
        <w:t>α; DAPI : 4',6-diamidino-2-phenylindole.</w:t>
      </w:r>
    </w:p>
    <w:p w:rsidR="00FE31D1" w:rsidRDefault="00C450F3">
      <w:pPr>
        <w:rPr>
          <w:rFonts w:ascii="Book Antiqua" w:eastAsia="Songti SC" w:hAnsi="Book Antiqua"/>
        </w:rPr>
      </w:pPr>
      <w:r>
        <w:rPr>
          <w:rFonts w:ascii="Book Antiqua" w:eastAsia="Songti SC" w:hAnsi="Book Antiqua"/>
        </w:rPr>
        <w:br w:type="page"/>
      </w:r>
    </w:p>
    <w:p w:rsidR="00FE31D1" w:rsidRDefault="00FE31D1">
      <w:pPr>
        <w:spacing w:line="360" w:lineRule="auto"/>
        <w:jc w:val="both"/>
        <w:outlineLvl w:val="0"/>
        <w:rPr>
          <w:rFonts w:ascii="Book Antiqua" w:eastAsia="Songti SC" w:hAnsi="Book Antiqua"/>
        </w:rPr>
      </w:pPr>
    </w:p>
    <w:p w:rsidR="00FE31D1" w:rsidRDefault="00C450F3">
      <w:pPr>
        <w:spacing w:line="360" w:lineRule="auto"/>
        <w:jc w:val="both"/>
        <w:rPr>
          <w:rFonts w:ascii="Book Antiqua" w:eastAsia="Songti SC" w:hAnsi="Book Antiqua"/>
        </w:rPr>
      </w:pPr>
      <w:r>
        <w:rPr>
          <w:rFonts w:ascii="Book Antiqua" w:eastAsia="Songti SC" w:hAnsi="Book Antiqua"/>
          <w:noProof/>
        </w:rPr>
        <w:drawing>
          <wp:inline distT="0" distB="0" distL="0" distR="0">
            <wp:extent cx="5274310" cy="1879600"/>
            <wp:effectExtent l="0" t="0" r="254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1879600"/>
                    </a:xfrm>
                    <a:prstGeom prst="rect">
                      <a:avLst/>
                    </a:prstGeom>
                  </pic:spPr>
                </pic:pic>
              </a:graphicData>
            </a:graphic>
          </wp:inline>
        </w:drawing>
      </w:r>
    </w:p>
    <w:p w:rsidR="00FE31D1" w:rsidRDefault="00C450F3">
      <w:pPr>
        <w:spacing w:line="360" w:lineRule="auto"/>
        <w:jc w:val="both"/>
        <w:rPr>
          <w:rFonts w:ascii="Book Antiqua" w:eastAsia="Songti SC" w:hAnsi="Book Antiqua"/>
        </w:rPr>
      </w:pPr>
      <w:r>
        <w:rPr>
          <w:rFonts w:ascii="Book Antiqua" w:eastAsia="Songti SC" w:hAnsi="Book Antiqua"/>
          <w:b/>
        </w:rPr>
        <w:t xml:space="preserve">Figure 3 Expression of </w:t>
      </w:r>
      <w:r>
        <w:rPr>
          <w:rFonts w:ascii="Book Antiqua" w:eastAsiaTheme="minorEastAsia" w:hAnsi="Book Antiqua"/>
          <w:b/>
        </w:rPr>
        <w:t>HIF-2α and CD44</w:t>
      </w:r>
      <w:r>
        <w:rPr>
          <w:rFonts w:ascii="Book Antiqua" w:eastAsia="Songti SC" w:hAnsi="Book Antiqua"/>
          <w:b/>
        </w:rPr>
        <w:t xml:space="preserve"> mRNAs in human breast cancer cells after transfection</w:t>
      </w:r>
      <w:r>
        <w:rPr>
          <w:rFonts w:ascii="Book Antiqua" w:eastAsia="Songti SC" w:hAnsi="Book Antiqua"/>
          <w:bCs/>
        </w:rPr>
        <w:t xml:space="preserve">. </w:t>
      </w:r>
      <w:r>
        <w:rPr>
          <w:rFonts w:ascii="Book Antiqua" w:eastAsia="Songti SC" w:hAnsi="Book Antiqua"/>
          <w:bCs/>
          <w:vertAlign w:val="superscript"/>
        </w:rPr>
        <w:t>a</w:t>
      </w:r>
      <w:r>
        <w:rPr>
          <w:rFonts w:ascii="Book Antiqua" w:eastAsia="Songti SC" w:hAnsi="Book Antiqua"/>
          <w:bCs/>
          <w:i/>
        </w:rPr>
        <w:t xml:space="preserve">P </w:t>
      </w:r>
      <w:r>
        <w:rPr>
          <w:rFonts w:ascii="Book Antiqua" w:eastAsia="Songti SC" w:hAnsi="Book Antiqua"/>
          <w:bCs/>
        </w:rPr>
        <w:t xml:space="preserve">&lt; 0.05 </w:t>
      </w:r>
      <w:r>
        <w:rPr>
          <w:rFonts w:ascii="Book Antiqua" w:eastAsia="Songti SC" w:hAnsi="Book Antiqua"/>
          <w:bCs/>
          <w:i/>
          <w:iCs/>
        </w:rPr>
        <w:t>vs</w:t>
      </w:r>
      <w:r>
        <w:rPr>
          <w:rFonts w:ascii="Book Antiqua" w:eastAsia="Songti SC" w:hAnsi="Book Antiqua"/>
          <w:bCs/>
        </w:rPr>
        <w:t xml:space="preserve"> normoxia; </w:t>
      </w:r>
      <w:r>
        <w:rPr>
          <w:rFonts w:ascii="Book Antiqua" w:eastAsia="Songti SC" w:hAnsi="Book Antiqua"/>
          <w:bCs/>
          <w:i/>
          <w:vertAlign w:val="superscript"/>
        </w:rPr>
        <w:t>b</w:t>
      </w:r>
      <w:r>
        <w:rPr>
          <w:rFonts w:ascii="Book Antiqua" w:eastAsia="Songti SC" w:hAnsi="Book Antiqua"/>
          <w:bCs/>
          <w:i/>
        </w:rPr>
        <w:t xml:space="preserve">P </w:t>
      </w:r>
      <w:r>
        <w:rPr>
          <w:rFonts w:ascii="Book Antiqua" w:eastAsia="Songti SC" w:hAnsi="Book Antiqua"/>
          <w:bCs/>
        </w:rPr>
        <w:t xml:space="preserve">&lt; 0.05 </w:t>
      </w:r>
      <w:r>
        <w:rPr>
          <w:rFonts w:ascii="Book Antiqua" w:eastAsia="Songti SC" w:hAnsi="Book Antiqua"/>
          <w:bCs/>
          <w:i/>
          <w:iCs/>
        </w:rPr>
        <w:t>vs</w:t>
      </w:r>
      <w:r>
        <w:rPr>
          <w:rFonts w:ascii="Book Antiqua" w:eastAsia="Songti SC" w:hAnsi="Book Antiqua"/>
          <w:bCs/>
        </w:rPr>
        <w:t xml:space="preserve"> hypoxia + NC. </w:t>
      </w:r>
      <w:r>
        <w:rPr>
          <w:rFonts w:ascii="Book Antiqua" w:eastAsiaTheme="minorEastAsia" w:hAnsi="Book Antiqua"/>
        </w:rPr>
        <w:t>HIF-2</w:t>
      </w:r>
      <w:r>
        <w:rPr>
          <w:rFonts w:ascii="Book Antiqua" w:eastAsia="Songti SC" w:hAnsi="Book Antiqua"/>
        </w:rPr>
        <w:t xml:space="preserve">α: </w:t>
      </w:r>
      <w:r>
        <w:rPr>
          <w:rFonts w:ascii="Book Antiqua" w:eastAsiaTheme="minorEastAsia" w:hAnsi="Book Antiqua"/>
        </w:rPr>
        <w:t>Hypoxia-inducible factor-2</w:t>
      </w:r>
      <w:r>
        <w:rPr>
          <w:rFonts w:ascii="Book Antiqua" w:eastAsia="Songti SC" w:hAnsi="Book Antiqua"/>
        </w:rPr>
        <w:t>α; NC: Negative-sequence control.</w:t>
      </w:r>
    </w:p>
    <w:p w:rsidR="00FE31D1" w:rsidRDefault="00C450F3">
      <w:pPr>
        <w:rPr>
          <w:rFonts w:ascii="Book Antiqua" w:eastAsia="Songti SC" w:hAnsi="Book Antiqua"/>
          <w:bCs/>
        </w:rPr>
      </w:pPr>
      <w:r>
        <w:rPr>
          <w:rFonts w:ascii="Book Antiqua" w:eastAsia="Songti SC" w:hAnsi="Book Antiqua"/>
          <w:bCs/>
        </w:rPr>
        <w:br w:type="page"/>
      </w:r>
    </w:p>
    <w:p w:rsidR="00FE31D1" w:rsidRDefault="00FE31D1">
      <w:pPr>
        <w:spacing w:line="360" w:lineRule="auto"/>
        <w:jc w:val="both"/>
        <w:rPr>
          <w:rFonts w:ascii="Book Antiqua" w:eastAsia="Songti SC" w:hAnsi="Book Antiqua"/>
          <w:bCs/>
        </w:rPr>
      </w:pPr>
    </w:p>
    <w:p w:rsidR="00FE31D1" w:rsidRDefault="00C450F3">
      <w:pPr>
        <w:spacing w:line="360" w:lineRule="auto"/>
        <w:jc w:val="both"/>
        <w:rPr>
          <w:rFonts w:ascii="Book Antiqua" w:eastAsia="Songti SC" w:hAnsi="Book Antiqua"/>
        </w:rPr>
      </w:pPr>
      <w:r>
        <w:rPr>
          <w:rFonts w:ascii="Book Antiqua" w:eastAsia="Songti SC" w:hAnsi="Book Antiqua"/>
          <w:noProof/>
        </w:rPr>
        <w:drawing>
          <wp:inline distT="0" distB="0" distL="0" distR="0">
            <wp:extent cx="5274310" cy="191516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4310" cy="1915160"/>
                    </a:xfrm>
                    <a:prstGeom prst="rect">
                      <a:avLst/>
                    </a:prstGeom>
                  </pic:spPr>
                </pic:pic>
              </a:graphicData>
            </a:graphic>
          </wp:inline>
        </w:drawing>
      </w:r>
    </w:p>
    <w:p w:rsidR="00FE31D1" w:rsidRDefault="00C450F3">
      <w:pPr>
        <w:spacing w:line="360" w:lineRule="auto"/>
        <w:jc w:val="both"/>
        <w:rPr>
          <w:rFonts w:ascii="Book Antiqua" w:eastAsiaTheme="minorEastAsia" w:hAnsi="Book Antiqua"/>
          <w:bCs/>
        </w:rPr>
      </w:pPr>
      <w:r>
        <w:rPr>
          <w:rFonts w:ascii="Book Antiqua" w:eastAsia="Songti SC" w:hAnsi="Book Antiqua"/>
          <w:b/>
        </w:rPr>
        <w:t xml:space="preserve">Figure 4 </w:t>
      </w:r>
      <w:r>
        <w:rPr>
          <w:rFonts w:ascii="Book Antiqua" w:eastAsiaTheme="minorEastAsia" w:hAnsi="Book Antiqua"/>
          <w:b/>
        </w:rPr>
        <w:t>HIF-2α</w:t>
      </w:r>
      <w:r>
        <w:rPr>
          <w:rFonts w:ascii="Book Antiqua" w:eastAsia="Songti SC" w:hAnsi="Book Antiqua"/>
          <w:b/>
        </w:rPr>
        <w:t xml:space="preserve"> silencing reduces the CD44</w:t>
      </w:r>
      <w:r>
        <w:rPr>
          <w:rFonts w:ascii="Book Antiqua" w:eastAsia="Songti SC" w:hAnsi="Book Antiqua"/>
          <w:b/>
          <w:vertAlign w:val="superscript"/>
        </w:rPr>
        <w:t>+</w:t>
      </w:r>
      <w:r>
        <w:rPr>
          <w:rFonts w:ascii="Book Antiqua" w:eastAsia="Songti SC" w:hAnsi="Book Antiqua"/>
          <w:b/>
        </w:rPr>
        <w:t>/CD24</w:t>
      </w:r>
      <w:r>
        <w:rPr>
          <w:rFonts w:ascii="Book Antiqua" w:eastAsia="Songti SC" w:hAnsi="Book Antiqua"/>
          <w:b/>
          <w:vertAlign w:val="superscript"/>
        </w:rPr>
        <w:t>−</w:t>
      </w:r>
      <w:r>
        <w:rPr>
          <w:rFonts w:ascii="Book Antiqua" w:eastAsia="Songti SC" w:hAnsi="Book Antiqua"/>
          <w:b/>
        </w:rPr>
        <w:t xml:space="preserve"> population in </w:t>
      </w:r>
      <w:r>
        <w:rPr>
          <w:rFonts w:ascii="Book Antiqua" w:eastAsiaTheme="minorEastAsia" w:hAnsi="Book Antiqua"/>
          <w:b/>
        </w:rPr>
        <w:t>MDA-MB-231</w:t>
      </w:r>
      <w:r>
        <w:rPr>
          <w:rFonts w:ascii="Book Antiqua" w:eastAsia="Songti SC" w:hAnsi="Book Antiqua"/>
          <w:b/>
        </w:rPr>
        <w:t xml:space="preserve"> cells.</w:t>
      </w:r>
      <w:r>
        <w:rPr>
          <w:rFonts w:ascii="Book Antiqua" w:eastAsia="Songti SC" w:hAnsi="Book Antiqua"/>
          <w:bCs/>
        </w:rPr>
        <w:t xml:space="preserve"> </w:t>
      </w:r>
      <w:r>
        <w:rPr>
          <w:rFonts w:ascii="Book Antiqua" w:eastAsiaTheme="minorEastAsia" w:hAnsi="Book Antiqua"/>
          <w:bCs/>
        </w:rPr>
        <w:t>Flow cytometry</w:t>
      </w:r>
      <w:r>
        <w:rPr>
          <w:rFonts w:ascii="Book Antiqua" w:eastAsia="Songti SC" w:hAnsi="Book Antiqua"/>
          <w:bCs/>
        </w:rPr>
        <w:t xml:space="preserve"> of the stem cell-associated cell surface markers CD44 and CD24 in hypoxia and </w:t>
      </w:r>
      <w:r>
        <w:rPr>
          <w:rFonts w:ascii="Book Antiqua" w:eastAsiaTheme="minorEastAsia" w:hAnsi="Book Antiqua"/>
          <w:bCs/>
        </w:rPr>
        <w:t>HIF-2α</w:t>
      </w:r>
      <w:r>
        <w:rPr>
          <w:rFonts w:ascii="Book Antiqua" w:eastAsia="Songti SC" w:hAnsi="Book Antiqua"/>
          <w:bCs/>
        </w:rPr>
        <w:t xml:space="preserve">-siRNA treated cells. </w:t>
      </w:r>
      <w:r>
        <w:rPr>
          <w:rFonts w:ascii="Book Antiqua" w:eastAsiaTheme="minorEastAsia" w:hAnsi="Book Antiqua"/>
        </w:rPr>
        <w:t>HIF-2</w:t>
      </w:r>
      <w:r>
        <w:rPr>
          <w:rFonts w:ascii="Book Antiqua" w:eastAsia="Songti SC" w:hAnsi="Book Antiqua"/>
        </w:rPr>
        <w:t>α:</w:t>
      </w:r>
      <w:r>
        <w:rPr>
          <w:rFonts w:ascii="Book Antiqua" w:eastAsiaTheme="minorEastAsia" w:hAnsi="Book Antiqua"/>
        </w:rPr>
        <w:t xml:space="preserve"> Hypoxia-inducible factor-2</w:t>
      </w:r>
      <w:r>
        <w:rPr>
          <w:rFonts w:ascii="Book Antiqua" w:eastAsia="Songti SC" w:hAnsi="Book Antiqua"/>
        </w:rPr>
        <w:t>α.</w:t>
      </w:r>
    </w:p>
    <w:p w:rsidR="00FE31D1" w:rsidRDefault="00C450F3">
      <w:pPr>
        <w:rPr>
          <w:rFonts w:ascii="Book Antiqua" w:eastAsia="Songti SC" w:hAnsi="Book Antiqua"/>
        </w:rPr>
      </w:pPr>
      <w:r>
        <w:rPr>
          <w:rFonts w:ascii="Book Antiqua" w:eastAsia="Songti SC" w:hAnsi="Book Antiqua"/>
        </w:rPr>
        <w:br w:type="page"/>
      </w:r>
    </w:p>
    <w:p w:rsidR="00FE31D1" w:rsidRDefault="00C450F3">
      <w:pPr>
        <w:spacing w:line="360" w:lineRule="auto"/>
        <w:jc w:val="both"/>
        <w:outlineLvl w:val="0"/>
        <w:rPr>
          <w:rFonts w:ascii="Book Antiqua" w:eastAsia="Songti SC" w:hAnsi="Book Antiqua"/>
        </w:rPr>
      </w:pPr>
      <w:r>
        <w:rPr>
          <w:noProof/>
        </w:rPr>
        <w:lastRenderedPageBreak/>
        <w:drawing>
          <wp:inline distT="0" distB="0" distL="0" distR="0">
            <wp:extent cx="5274310" cy="263525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74310" cy="2635324"/>
                    </a:xfrm>
                    <a:prstGeom prst="rect">
                      <a:avLst/>
                    </a:prstGeom>
                  </pic:spPr>
                </pic:pic>
              </a:graphicData>
            </a:graphic>
          </wp:inline>
        </w:drawing>
      </w:r>
    </w:p>
    <w:p w:rsidR="00FE31D1" w:rsidRDefault="00FE31D1">
      <w:pPr>
        <w:spacing w:line="360" w:lineRule="auto"/>
        <w:jc w:val="both"/>
        <w:rPr>
          <w:rFonts w:ascii="Book Antiqua" w:eastAsia="Songti SC" w:hAnsi="Book Antiqua"/>
        </w:rPr>
      </w:pPr>
    </w:p>
    <w:p w:rsidR="00FE31D1" w:rsidRDefault="00C450F3">
      <w:pPr>
        <w:spacing w:line="360" w:lineRule="auto"/>
        <w:ind w:firstLineChars="250" w:firstLine="600"/>
        <w:jc w:val="both"/>
        <w:rPr>
          <w:rFonts w:ascii="Book Antiqua" w:eastAsia="Songti SC" w:hAnsi="Book Antiqua"/>
        </w:rPr>
      </w:pPr>
      <w:r>
        <w:rPr>
          <w:rFonts w:ascii="Book Antiqua" w:eastAsia="Songti SC" w:hAnsi="Book Antiqua"/>
          <w:noProof/>
        </w:rPr>
        <w:drawing>
          <wp:inline distT="0" distB="0" distL="0" distR="0">
            <wp:extent cx="3152775" cy="20396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8066" cy="2062686"/>
                    </a:xfrm>
                    <a:prstGeom prst="rect">
                      <a:avLst/>
                    </a:prstGeom>
                  </pic:spPr>
                </pic:pic>
              </a:graphicData>
            </a:graphic>
          </wp:inline>
        </w:drawing>
      </w:r>
    </w:p>
    <w:p w:rsidR="00FE31D1" w:rsidRDefault="00C450F3">
      <w:pPr>
        <w:spacing w:line="360" w:lineRule="auto"/>
        <w:jc w:val="both"/>
        <w:rPr>
          <w:rFonts w:ascii="Book Antiqua" w:eastAsia="Songti SC" w:hAnsi="Book Antiqua"/>
        </w:rPr>
      </w:pPr>
      <w:r>
        <w:rPr>
          <w:rFonts w:ascii="Book Antiqua" w:eastAsia="Songti SC" w:hAnsi="Book Antiqua"/>
          <w:b/>
        </w:rPr>
        <w:t xml:space="preserve">Figure 5 TUNEL assay of hypoxia-induced MDA-MB-231 cells after transfection </w:t>
      </w:r>
      <w:r>
        <w:rPr>
          <w:rFonts w:ascii="Book Antiqua" w:eastAsiaTheme="minorEastAsia" w:hAnsi="Book Antiqua"/>
          <w:b/>
        </w:rPr>
        <w:t>(</w:t>
      </w:r>
      <w:r>
        <w:rPr>
          <w:rFonts w:ascii="Book Antiqua" w:eastAsia="宋体" w:hAnsi="Book Antiqua"/>
          <w:b/>
        </w:rPr>
        <w:t>×</w:t>
      </w:r>
      <w:r>
        <w:rPr>
          <w:rFonts w:ascii="Book Antiqua" w:eastAsiaTheme="minorEastAsia" w:hAnsi="Book Antiqua"/>
          <w:b/>
        </w:rPr>
        <w:t>200)</w:t>
      </w:r>
      <w:r>
        <w:rPr>
          <w:rFonts w:ascii="Book Antiqua" w:eastAsia="Songti SC" w:hAnsi="Book Antiqua"/>
          <w:bCs/>
        </w:rPr>
        <w:t xml:space="preserve">. Light green cells are TUNEL-positive staining cells. </w:t>
      </w:r>
      <w:r>
        <w:rPr>
          <w:rFonts w:ascii="Book Antiqua" w:eastAsia="Songti SC" w:hAnsi="Book Antiqua"/>
          <w:bCs/>
          <w:i/>
          <w:vertAlign w:val="superscript"/>
        </w:rPr>
        <w:t>a</w:t>
      </w:r>
      <w:r>
        <w:rPr>
          <w:rFonts w:ascii="Book Antiqua" w:eastAsia="Songti SC" w:hAnsi="Book Antiqua"/>
          <w:bCs/>
          <w:i/>
        </w:rPr>
        <w:t xml:space="preserve">P </w:t>
      </w:r>
      <w:r>
        <w:rPr>
          <w:rFonts w:ascii="Book Antiqua" w:eastAsia="Songti SC" w:hAnsi="Book Antiqua"/>
          <w:bCs/>
        </w:rPr>
        <w:t xml:space="preserve">&lt; 0.05 </w:t>
      </w:r>
      <w:r>
        <w:rPr>
          <w:rFonts w:ascii="Book Antiqua" w:eastAsia="Songti SC" w:hAnsi="Book Antiqua"/>
          <w:bCs/>
          <w:i/>
          <w:iCs/>
        </w:rPr>
        <w:t>vs</w:t>
      </w:r>
      <w:r>
        <w:rPr>
          <w:rFonts w:ascii="Book Antiqua" w:eastAsia="Songti SC" w:hAnsi="Book Antiqua"/>
          <w:bCs/>
        </w:rPr>
        <w:t xml:space="preserve"> normoxia; </w:t>
      </w:r>
      <w:r>
        <w:rPr>
          <w:rFonts w:ascii="Book Antiqua" w:eastAsia="Songti SC" w:hAnsi="Book Antiqua"/>
          <w:bCs/>
          <w:i/>
          <w:vertAlign w:val="superscript"/>
        </w:rPr>
        <w:t>b</w:t>
      </w:r>
      <w:r>
        <w:rPr>
          <w:rFonts w:ascii="Book Antiqua" w:eastAsia="Songti SC" w:hAnsi="Book Antiqua"/>
          <w:bCs/>
          <w:i/>
        </w:rPr>
        <w:t xml:space="preserve">P </w:t>
      </w:r>
      <w:r>
        <w:rPr>
          <w:rFonts w:ascii="Book Antiqua" w:eastAsia="Songti SC" w:hAnsi="Book Antiqua"/>
          <w:bCs/>
        </w:rPr>
        <w:t xml:space="preserve">&lt; 0.01 </w:t>
      </w:r>
      <w:r>
        <w:rPr>
          <w:rFonts w:ascii="Book Antiqua" w:eastAsia="Songti SC" w:hAnsi="Book Antiqua"/>
          <w:bCs/>
          <w:i/>
          <w:iCs/>
        </w:rPr>
        <w:t>vs</w:t>
      </w:r>
      <w:r>
        <w:rPr>
          <w:rFonts w:ascii="Book Antiqua" w:eastAsia="Songti SC" w:hAnsi="Book Antiqua"/>
          <w:bCs/>
        </w:rPr>
        <w:t xml:space="preserve"> hypoxia + NC. </w:t>
      </w:r>
      <w:r>
        <w:rPr>
          <w:rFonts w:ascii="Book Antiqua" w:eastAsia="Songti SC" w:hAnsi="Book Antiqua"/>
        </w:rPr>
        <w:t>DAPI: 4',6-diamidino-2-phenylindole; NC: Negative-sequence control.</w:t>
      </w:r>
    </w:p>
    <w:p w:rsidR="00FE31D1" w:rsidRDefault="00C450F3">
      <w:pPr>
        <w:rPr>
          <w:rFonts w:ascii="Book Antiqua" w:eastAsia="Songti SC" w:hAnsi="Book Antiqua"/>
        </w:rPr>
      </w:pPr>
      <w:r>
        <w:rPr>
          <w:rFonts w:ascii="Book Antiqua" w:eastAsia="Songti SC" w:hAnsi="Book Antiqua"/>
        </w:rPr>
        <w:br w:type="page"/>
      </w:r>
    </w:p>
    <w:p w:rsidR="00FE31D1" w:rsidRDefault="00FE31D1">
      <w:pPr>
        <w:spacing w:line="360" w:lineRule="auto"/>
        <w:jc w:val="both"/>
        <w:rPr>
          <w:rFonts w:ascii="Book Antiqua" w:eastAsia="Songti SC" w:hAnsi="Book Antiqua"/>
          <w:bCs/>
        </w:rPr>
      </w:pPr>
    </w:p>
    <w:p w:rsidR="00FE31D1" w:rsidRDefault="00C450F3">
      <w:pPr>
        <w:spacing w:line="360" w:lineRule="auto"/>
        <w:jc w:val="both"/>
        <w:rPr>
          <w:rFonts w:ascii="Book Antiqua" w:eastAsia="Songti SC" w:hAnsi="Book Antiqua"/>
        </w:rPr>
      </w:pPr>
      <w:r>
        <w:rPr>
          <w:rFonts w:ascii="Book Antiqua" w:eastAsia="Songti SC" w:hAnsi="Book Antiqua"/>
          <w:noProof/>
        </w:rPr>
        <w:drawing>
          <wp:inline distT="0" distB="0" distL="0" distR="0">
            <wp:extent cx="3533775" cy="24288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4034" cy="2449683"/>
                    </a:xfrm>
                    <a:prstGeom prst="rect">
                      <a:avLst/>
                    </a:prstGeom>
                  </pic:spPr>
                </pic:pic>
              </a:graphicData>
            </a:graphic>
          </wp:inline>
        </w:drawing>
      </w:r>
    </w:p>
    <w:p w:rsidR="00FE31D1" w:rsidRDefault="00C450F3">
      <w:pPr>
        <w:spacing w:line="360" w:lineRule="auto"/>
        <w:jc w:val="both"/>
        <w:rPr>
          <w:rFonts w:ascii="Book Antiqua" w:eastAsia="Songti SC" w:hAnsi="Book Antiqua"/>
        </w:rPr>
      </w:pPr>
      <w:r>
        <w:rPr>
          <w:rFonts w:ascii="Book Antiqua" w:eastAsiaTheme="minorEastAsia" w:hAnsi="Book Antiqua"/>
          <w:b/>
        </w:rPr>
        <w:t xml:space="preserve">Figure 6 Quantification of mammosphere formation assay of </w:t>
      </w:r>
      <w:r>
        <w:rPr>
          <w:rFonts w:ascii="Book Antiqua" w:eastAsia="Songti SC" w:hAnsi="Book Antiqua"/>
          <w:b/>
        </w:rPr>
        <w:t>MDA-MB-231 cells</w:t>
      </w:r>
      <w:r>
        <w:rPr>
          <w:rFonts w:ascii="Book Antiqua" w:eastAsiaTheme="minorEastAsia" w:hAnsi="Book Antiqua"/>
          <w:b/>
        </w:rPr>
        <w:t xml:space="preserve"> before and after transfection. Cells were cultured for 7-21 d under mammosphere culture conditions</w:t>
      </w:r>
      <w:r>
        <w:rPr>
          <w:rFonts w:ascii="Book Antiqua" w:eastAsiaTheme="minorEastAsia" w:hAnsi="Book Antiqua"/>
          <w:bCs/>
        </w:rPr>
        <w:t xml:space="preserve">. </w:t>
      </w:r>
      <w:r>
        <w:rPr>
          <w:rFonts w:ascii="Book Antiqua" w:eastAsia="Songti SC" w:hAnsi="Book Antiqua"/>
          <w:bCs/>
          <w:i/>
          <w:vertAlign w:val="superscript"/>
        </w:rPr>
        <w:t>b</w:t>
      </w:r>
      <w:r>
        <w:rPr>
          <w:rFonts w:ascii="Book Antiqua" w:eastAsia="Songti SC" w:hAnsi="Book Antiqua"/>
          <w:bCs/>
          <w:i/>
        </w:rPr>
        <w:t xml:space="preserve">P </w:t>
      </w:r>
      <w:r>
        <w:rPr>
          <w:rFonts w:ascii="Book Antiqua" w:eastAsia="Songti SC" w:hAnsi="Book Antiqua"/>
          <w:bCs/>
        </w:rPr>
        <w:t xml:space="preserve">&lt; 0.01 </w:t>
      </w:r>
      <w:r>
        <w:rPr>
          <w:rFonts w:ascii="Book Antiqua" w:eastAsia="Songti SC" w:hAnsi="Book Antiqua"/>
          <w:bCs/>
          <w:i/>
          <w:iCs/>
        </w:rPr>
        <w:t>vs</w:t>
      </w:r>
      <w:r>
        <w:rPr>
          <w:rFonts w:ascii="Book Antiqua" w:eastAsia="Songti SC" w:hAnsi="Book Antiqua"/>
          <w:bCs/>
        </w:rPr>
        <w:t xml:space="preserve"> hypoxia + NC. </w:t>
      </w:r>
      <w:r>
        <w:rPr>
          <w:rFonts w:ascii="Book Antiqua" w:eastAsia="Songti SC" w:hAnsi="Book Antiqua"/>
        </w:rPr>
        <w:t>NC: Negative-sequence control.</w:t>
      </w:r>
    </w:p>
    <w:p w:rsidR="00FE31D1" w:rsidRDefault="00C450F3">
      <w:pPr>
        <w:rPr>
          <w:rFonts w:ascii="Book Antiqua" w:eastAsia="Songti SC" w:hAnsi="Book Antiqua"/>
          <w:bCs/>
        </w:rPr>
      </w:pPr>
      <w:r>
        <w:rPr>
          <w:rFonts w:ascii="Book Antiqua" w:eastAsia="Songti SC" w:hAnsi="Book Antiqua"/>
          <w:bCs/>
        </w:rPr>
        <w:br w:type="page"/>
      </w:r>
    </w:p>
    <w:p w:rsidR="00FE31D1" w:rsidRDefault="00FE31D1">
      <w:pPr>
        <w:spacing w:line="360" w:lineRule="auto"/>
        <w:jc w:val="both"/>
        <w:rPr>
          <w:rFonts w:ascii="Book Antiqua" w:eastAsia="Songti SC" w:hAnsi="Book Antiqua"/>
          <w:bCs/>
        </w:rPr>
      </w:pPr>
    </w:p>
    <w:p w:rsidR="00FE31D1" w:rsidRDefault="00C450F3">
      <w:pPr>
        <w:spacing w:line="360" w:lineRule="auto"/>
        <w:jc w:val="both"/>
        <w:rPr>
          <w:rFonts w:ascii="Book Antiqua" w:eastAsia="Songti SC" w:hAnsi="Book Antiqua"/>
        </w:rPr>
      </w:pPr>
      <w:r>
        <w:rPr>
          <w:rFonts w:ascii="Book Antiqua" w:hAnsi="Book Antiqua"/>
        </w:rPr>
        <w:t xml:space="preserve"> </w:t>
      </w:r>
      <w:r>
        <w:rPr>
          <w:rFonts w:ascii="Book Antiqua" w:eastAsia="Songti SC" w:hAnsi="Book Antiqua"/>
          <w:noProof/>
        </w:rPr>
        <w:drawing>
          <wp:inline distT="0" distB="0" distL="0" distR="0">
            <wp:extent cx="5274310" cy="191262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1912620"/>
                    </a:xfrm>
                    <a:prstGeom prst="rect">
                      <a:avLst/>
                    </a:prstGeom>
                  </pic:spPr>
                </pic:pic>
              </a:graphicData>
            </a:graphic>
          </wp:inline>
        </w:drawing>
      </w:r>
    </w:p>
    <w:p w:rsidR="00FE31D1" w:rsidRDefault="00C450F3">
      <w:pPr>
        <w:spacing w:line="360" w:lineRule="auto"/>
        <w:jc w:val="both"/>
        <w:rPr>
          <w:rFonts w:ascii="Book Antiqua" w:eastAsia="Songti SC" w:hAnsi="Book Antiqua"/>
          <w:bCs/>
        </w:rPr>
      </w:pPr>
      <w:r>
        <w:rPr>
          <w:rFonts w:ascii="Book Antiqua" w:eastAsia="Songti SC" w:hAnsi="Book Antiqua"/>
          <w:b/>
        </w:rPr>
        <w:t>Figure 7 Effect of HIF-2α on the PI3K/AKT signaling pathway.</w:t>
      </w:r>
      <w:r>
        <w:rPr>
          <w:rFonts w:ascii="Book Antiqua" w:eastAsia="Songti SC" w:hAnsi="Book Antiqua"/>
          <w:bCs/>
        </w:rPr>
        <w:t xml:space="preserve"> In MDA-MB-231 cells induced by hypoxia, HIF-2α knockdown reduced the AKT and mTOR phosphorylation levels; </w:t>
      </w:r>
      <w:r>
        <w:rPr>
          <w:rFonts w:ascii="Book Antiqua" w:eastAsia="Songti SC" w:hAnsi="Book Antiqua"/>
          <w:bCs/>
          <w:i/>
          <w:vertAlign w:val="superscript"/>
        </w:rPr>
        <w:t>a</w:t>
      </w:r>
      <w:r>
        <w:rPr>
          <w:rFonts w:ascii="Book Antiqua" w:eastAsia="Songti SC" w:hAnsi="Book Antiqua"/>
          <w:bCs/>
          <w:i/>
        </w:rPr>
        <w:t xml:space="preserve">P </w:t>
      </w:r>
      <w:r>
        <w:rPr>
          <w:rFonts w:ascii="Book Antiqua" w:eastAsia="Songti SC" w:hAnsi="Book Antiqua"/>
          <w:bCs/>
        </w:rPr>
        <w:t xml:space="preserve">&lt; 0.05 </w:t>
      </w:r>
      <w:r>
        <w:rPr>
          <w:rFonts w:ascii="Book Antiqua" w:eastAsia="Songti SC" w:hAnsi="Book Antiqua"/>
          <w:bCs/>
          <w:i/>
          <w:iCs/>
        </w:rPr>
        <w:t>vs</w:t>
      </w:r>
      <w:r>
        <w:rPr>
          <w:rFonts w:ascii="Book Antiqua" w:eastAsia="Songti SC" w:hAnsi="Book Antiqua"/>
          <w:bCs/>
        </w:rPr>
        <w:t xml:space="preserve"> normoxia; </w:t>
      </w:r>
      <w:r>
        <w:rPr>
          <w:rFonts w:ascii="Book Antiqua" w:eastAsia="Songti SC" w:hAnsi="Book Antiqua"/>
          <w:bCs/>
          <w:i/>
          <w:vertAlign w:val="superscript"/>
        </w:rPr>
        <w:t>b</w:t>
      </w:r>
      <w:r>
        <w:rPr>
          <w:rFonts w:ascii="Book Antiqua" w:eastAsia="Songti SC" w:hAnsi="Book Antiqua"/>
          <w:bCs/>
          <w:i/>
        </w:rPr>
        <w:t xml:space="preserve">P </w:t>
      </w:r>
      <w:r>
        <w:rPr>
          <w:rFonts w:ascii="Book Antiqua" w:eastAsia="Songti SC" w:hAnsi="Book Antiqua"/>
          <w:bCs/>
        </w:rPr>
        <w:t xml:space="preserve">&lt; 0.05 </w:t>
      </w:r>
      <w:r>
        <w:rPr>
          <w:rFonts w:ascii="Book Antiqua" w:eastAsia="Songti SC" w:hAnsi="Book Antiqua"/>
          <w:bCs/>
          <w:i/>
          <w:iCs/>
        </w:rPr>
        <w:t>vs</w:t>
      </w:r>
      <w:r>
        <w:rPr>
          <w:rFonts w:ascii="Book Antiqua" w:eastAsia="Songti SC" w:hAnsi="Book Antiqua"/>
          <w:bCs/>
        </w:rPr>
        <w:t xml:space="preserve"> hypoxia + NC. </w:t>
      </w:r>
      <w:r>
        <w:rPr>
          <w:rFonts w:ascii="Book Antiqua" w:eastAsiaTheme="minorEastAsia" w:hAnsi="Book Antiqua"/>
        </w:rPr>
        <w:t xml:space="preserve">PI3K: Phosphoinosmde-3-kinase; AKT: Protein-serine-threonine kinase; mTOR: Mammalian target of rapamycin; p-AKT: Phosphorylated AKT; p-mTOR: Phosphorylated mTOR; </w:t>
      </w:r>
      <w:r>
        <w:rPr>
          <w:rFonts w:ascii="Book Antiqua" w:eastAsia="Songti SC" w:hAnsi="Book Antiqua"/>
        </w:rPr>
        <w:t>NC: Negative-sequence control.</w:t>
      </w:r>
    </w:p>
    <w:p w:rsidR="00FE31D1" w:rsidRDefault="00FE31D1">
      <w:pPr>
        <w:spacing w:line="360" w:lineRule="auto"/>
        <w:jc w:val="both"/>
        <w:outlineLvl w:val="0"/>
        <w:rPr>
          <w:rFonts w:ascii="Book Antiqua" w:eastAsiaTheme="minorEastAsia" w:hAnsi="Book Antiqua"/>
          <w:bCs/>
        </w:rPr>
      </w:pPr>
    </w:p>
    <w:p w:rsidR="00FE31D1" w:rsidRDefault="00FE31D1">
      <w:pPr>
        <w:spacing w:line="360" w:lineRule="auto"/>
        <w:jc w:val="both"/>
        <w:rPr>
          <w:rFonts w:ascii="Book Antiqua" w:eastAsia="Songti SC" w:hAnsi="Book Antiqua"/>
        </w:rPr>
      </w:pPr>
    </w:p>
    <w:sectPr w:rsidR="00FE31D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DA8" w:rsidRDefault="00570DA8" w:rsidP="005E4837">
      <w:r>
        <w:separator/>
      </w:r>
    </w:p>
  </w:endnote>
  <w:endnote w:type="continuationSeparator" w:id="0">
    <w:p w:rsidR="00570DA8" w:rsidRDefault="00570DA8" w:rsidP="005E4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ongti SC">
    <w:altName w:val="宋体"/>
    <w:charset w:val="86"/>
    <w:family w:val="auto"/>
    <w:pitch w:val="default"/>
    <w:sig w:usb0="00000000" w:usb1="0000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等线">
    <w:altName w:val="Arial Unicode MS"/>
    <w:charset w:val="86"/>
    <w:family w:val="auto"/>
    <w:pitch w:val="default"/>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DA8" w:rsidRDefault="00570DA8" w:rsidP="005E4837">
      <w:r>
        <w:separator/>
      </w:r>
    </w:p>
  </w:footnote>
  <w:footnote w:type="continuationSeparator" w:id="0">
    <w:p w:rsidR="00570DA8" w:rsidRDefault="00570DA8" w:rsidP="005E48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00B63"/>
    <w:rsid w:val="000014AB"/>
    <w:rsid w:val="00005C1B"/>
    <w:rsid w:val="00005E0D"/>
    <w:rsid w:val="000064EB"/>
    <w:rsid w:val="0000758D"/>
    <w:rsid w:val="000076D5"/>
    <w:rsid w:val="000111C7"/>
    <w:rsid w:val="00012B37"/>
    <w:rsid w:val="00021A7E"/>
    <w:rsid w:val="00023702"/>
    <w:rsid w:val="00025559"/>
    <w:rsid w:val="00025FAC"/>
    <w:rsid w:val="000264E0"/>
    <w:rsid w:val="00026571"/>
    <w:rsid w:val="00026B4E"/>
    <w:rsid w:val="00026D30"/>
    <w:rsid w:val="00027CBE"/>
    <w:rsid w:val="00033E79"/>
    <w:rsid w:val="00034F0C"/>
    <w:rsid w:val="00040A78"/>
    <w:rsid w:val="00041C50"/>
    <w:rsid w:val="000435DD"/>
    <w:rsid w:val="000465C6"/>
    <w:rsid w:val="0004728C"/>
    <w:rsid w:val="00050466"/>
    <w:rsid w:val="00053415"/>
    <w:rsid w:val="00056B27"/>
    <w:rsid w:val="000601B6"/>
    <w:rsid w:val="00062D2E"/>
    <w:rsid w:val="00066E09"/>
    <w:rsid w:val="00071F24"/>
    <w:rsid w:val="00072550"/>
    <w:rsid w:val="00076E68"/>
    <w:rsid w:val="000777A9"/>
    <w:rsid w:val="000815AF"/>
    <w:rsid w:val="00083161"/>
    <w:rsid w:val="000852C5"/>
    <w:rsid w:val="00085AB1"/>
    <w:rsid w:val="00086B21"/>
    <w:rsid w:val="000873AD"/>
    <w:rsid w:val="00087A80"/>
    <w:rsid w:val="00091133"/>
    <w:rsid w:val="000912A1"/>
    <w:rsid w:val="00091C9A"/>
    <w:rsid w:val="00092D7E"/>
    <w:rsid w:val="00093A0D"/>
    <w:rsid w:val="0009759A"/>
    <w:rsid w:val="000A01E5"/>
    <w:rsid w:val="000A11FE"/>
    <w:rsid w:val="000A1AEC"/>
    <w:rsid w:val="000A3A25"/>
    <w:rsid w:val="000A3C37"/>
    <w:rsid w:val="000A74A0"/>
    <w:rsid w:val="000A7A2C"/>
    <w:rsid w:val="000A7C36"/>
    <w:rsid w:val="000B1745"/>
    <w:rsid w:val="000B33DB"/>
    <w:rsid w:val="000B3663"/>
    <w:rsid w:val="000C1B5B"/>
    <w:rsid w:val="000C3197"/>
    <w:rsid w:val="000C37CE"/>
    <w:rsid w:val="000C3D6A"/>
    <w:rsid w:val="000E0A3B"/>
    <w:rsid w:val="000E1230"/>
    <w:rsid w:val="000E17F3"/>
    <w:rsid w:val="000E22EF"/>
    <w:rsid w:val="000E555D"/>
    <w:rsid w:val="000E690F"/>
    <w:rsid w:val="000E6C56"/>
    <w:rsid w:val="000E6DB5"/>
    <w:rsid w:val="000F0D70"/>
    <w:rsid w:val="000F3C17"/>
    <w:rsid w:val="000F7E48"/>
    <w:rsid w:val="001020A5"/>
    <w:rsid w:val="00102E0C"/>
    <w:rsid w:val="001037F6"/>
    <w:rsid w:val="00106CB1"/>
    <w:rsid w:val="00110FAD"/>
    <w:rsid w:val="00112361"/>
    <w:rsid w:val="00116226"/>
    <w:rsid w:val="00117C59"/>
    <w:rsid w:val="00117FAF"/>
    <w:rsid w:val="00120F38"/>
    <w:rsid w:val="001221C5"/>
    <w:rsid w:val="00124F1B"/>
    <w:rsid w:val="00126BC0"/>
    <w:rsid w:val="0012703C"/>
    <w:rsid w:val="0013482D"/>
    <w:rsid w:val="00135EEB"/>
    <w:rsid w:val="0014014A"/>
    <w:rsid w:val="0014027E"/>
    <w:rsid w:val="00140D82"/>
    <w:rsid w:val="00141979"/>
    <w:rsid w:val="00141BBB"/>
    <w:rsid w:val="00141CAA"/>
    <w:rsid w:val="00143FE4"/>
    <w:rsid w:val="00145232"/>
    <w:rsid w:val="0015019E"/>
    <w:rsid w:val="001553ED"/>
    <w:rsid w:val="001564D8"/>
    <w:rsid w:val="0015766C"/>
    <w:rsid w:val="00161896"/>
    <w:rsid w:val="00171710"/>
    <w:rsid w:val="00171F4E"/>
    <w:rsid w:val="001766BE"/>
    <w:rsid w:val="001837C8"/>
    <w:rsid w:val="00187B4D"/>
    <w:rsid w:val="001918C8"/>
    <w:rsid w:val="001922D1"/>
    <w:rsid w:val="00195371"/>
    <w:rsid w:val="001A07EF"/>
    <w:rsid w:val="001B180E"/>
    <w:rsid w:val="001B3BB5"/>
    <w:rsid w:val="001B4461"/>
    <w:rsid w:val="001B54F1"/>
    <w:rsid w:val="001B759D"/>
    <w:rsid w:val="001B7636"/>
    <w:rsid w:val="001C0043"/>
    <w:rsid w:val="001C0F76"/>
    <w:rsid w:val="001C1BB0"/>
    <w:rsid w:val="001C1E9B"/>
    <w:rsid w:val="001C7807"/>
    <w:rsid w:val="001D400E"/>
    <w:rsid w:val="001D4A67"/>
    <w:rsid w:val="001E02FD"/>
    <w:rsid w:val="001E6966"/>
    <w:rsid w:val="001E7A03"/>
    <w:rsid w:val="001F2166"/>
    <w:rsid w:val="001F2986"/>
    <w:rsid w:val="001F397F"/>
    <w:rsid w:val="001F4BDF"/>
    <w:rsid w:val="001F6324"/>
    <w:rsid w:val="002013B3"/>
    <w:rsid w:val="0020293D"/>
    <w:rsid w:val="002031E9"/>
    <w:rsid w:val="002106C6"/>
    <w:rsid w:val="00211BF5"/>
    <w:rsid w:val="00215F6A"/>
    <w:rsid w:val="00216A1B"/>
    <w:rsid w:val="00221393"/>
    <w:rsid w:val="00221E8C"/>
    <w:rsid w:val="0022272C"/>
    <w:rsid w:val="002251D1"/>
    <w:rsid w:val="0022614D"/>
    <w:rsid w:val="0023007B"/>
    <w:rsid w:val="002338F6"/>
    <w:rsid w:val="00235547"/>
    <w:rsid w:val="00235AFD"/>
    <w:rsid w:val="00237490"/>
    <w:rsid w:val="002413C6"/>
    <w:rsid w:val="00242139"/>
    <w:rsid w:val="00243D0F"/>
    <w:rsid w:val="00244776"/>
    <w:rsid w:val="00244DB5"/>
    <w:rsid w:val="0024670E"/>
    <w:rsid w:val="00250087"/>
    <w:rsid w:val="00254BE2"/>
    <w:rsid w:val="00254BE3"/>
    <w:rsid w:val="002600F9"/>
    <w:rsid w:val="0026011B"/>
    <w:rsid w:val="0026024E"/>
    <w:rsid w:val="002621BD"/>
    <w:rsid w:val="0026285A"/>
    <w:rsid w:val="00262E1E"/>
    <w:rsid w:val="00265FE5"/>
    <w:rsid w:val="00271E82"/>
    <w:rsid w:val="002739D6"/>
    <w:rsid w:val="00274904"/>
    <w:rsid w:val="00276CE8"/>
    <w:rsid w:val="00281AF3"/>
    <w:rsid w:val="00281D22"/>
    <w:rsid w:val="00286B94"/>
    <w:rsid w:val="00293C4A"/>
    <w:rsid w:val="00294787"/>
    <w:rsid w:val="00294DD4"/>
    <w:rsid w:val="00296711"/>
    <w:rsid w:val="00296AE5"/>
    <w:rsid w:val="00297462"/>
    <w:rsid w:val="002A1359"/>
    <w:rsid w:val="002A45BD"/>
    <w:rsid w:val="002A4B38"/>
    <w:rsid w:val="002B107E"/>
    <w:rsid w:val="002B2F51"/>
    <w:rsid w:val="002B3792"/>
    <w:rsid w:val="002B46BE"/>
    <w:rsid w:val="002B7D54"/>
    <w:rsid w:val="002C2B89"/>
    <w:rsid w:val="002C2EDB"/>
    <w:rsid w:val="002C3ECD"/>
    <w:rsid w:val="002C7E14"/>
    <w:rsid w:val="002D025D"/>
    <w:rsid w:val="002D140A"/>
    <w:rsid w:val="002D5652"/>
    <w:rsid w:val="002D5716"/>
    <w:rsid w:val="002D5B67"/>
    <w:rsid w:val="002E14F0"/>
    <w:rsid w:val="002E3F74"/>
    <w:rsid w:val="002E72A3"/>
    <w:rsid w:val="002F1260"/>
    <w:rsid w:val="002F3490"/>
    <w:rsid w:val="002F4409"/>
    <w:rsid w:val="002F4508"/>
    <w:rsid w:val="002F57F1"/>
    <w:rsid w:val="002F63E5"/>
    <w:rsid w:val="002F6D8E"/>
    <w:rsid w:val="00301212"/>
    <w:rsid w:val="00306B78"/>
    <w:rsid w:val="00307D61"/>
    <w:rsid w:val="003113B0"/>
    <w:rsid w:val="00311691"/>
    <w:rsid w:val="00312DC0"/>
    <w:rsid w:val="00312E73"/>
    <w:rsid w:val="003144C2"/>
    <w:rsid w:val="00314B55"/>
    <w:rsid w:val="00315B2F"/>
    <w:rsid w:val="00317171"/>
    <w:rsid w:val="00321BF7"/>
    <w:rsid w:val="00322356"/>
    <w:rsid w:val="00322D8B"/>
    <w:rsid w:val="00323B43"/>
    <w:rsid w:val="00324B6B"/>
    <w:rsid w:val="00327174"/>
    <w:rsid w:val="0033539D"/>
    <w:rsid w:val="0033737E"/>
    <w:rsid w:val="003409AE"/>
    <w:rsid w:val="0034121A"/>
    <w:rsid w:val="00343C95"/>
    <w:rsid w:val="00344127"/>
    <w:rsid w:val="00345AA1"/>
    <w:rsid w:val="0034791D"/>
    <w:rsid w:val="00350149"/>
    <w:rsid w:val="0035098D"/>
    <w:rsid w:val="00350CE6"/>
    <w:rsid w:val="003514AF"/>
    <w:rsid w:val="00354B71"/>
    <w:rsid w:val="00354F1D"/>
    <w:rsid w:val="00361775"/>
    <w:rsid w:val="00362D08"/>
    <w:rsid w:val="00363DDB"/>
    <w:rsid w:val="00372008"/>
    <w:rsid w:val="003728F3"/>
    <w:rsid w:val="00372EBE"/>
    <w:rsid w:val="00372EC0"/>
    <w:rsid w:val="0037583A"/>
    <w:rsid w:val="003773E1"/>
    <w:rsid w:val="00381F15"/>
    <w:rsid w:val="00382468"/>
    <w:rsid w:val="0038282C"/>
    <w:rsid w:val="003833CA"/>
    <w:rsid w:val="00383E32"/>
    <w:rsid w:val="00384724"/>
    <w:rsid w:val="003863E0"/>
    <w:rsid w:val="00392072"/>
    <w:rsid w:val="0039368E"/>
    <w:rsid w:val="003940A5"/>
    <w:rsid w:val="003961C1"/>
    <w:rsid w:val="003B0925"/>
    <w:rsid w:val="003B27D3"/>
    <w:rsid w:val="003B2C4A"/>
    <w:rsid w:val="003B7B29"/>
    <w:rsid w:val="003C0206"/>
    <w:rsid w:val="003C7090"/>
    <w:rsid w:val="003D01E2"/>
    <w:rsid w:val="003D15A2"/>
    <w:rsid w:val="003D2271"/>
    <w:rsid w:val="003D37D8"/>
    <w:rsid w:val="003D479F"/>
    <w:rsid w:val="003D4B0E"/>
    <w:rsid w:val="003D4D59"/>
    <w:rsid w:val="003D6C04"/>
    <w:rsid w:val="003D6F89"/>
    <w:rsid w:val="003D6FCB"/>
    <w:rsid w:val="003D7DC3"/>
    <w:rsid w:val="003E002C"/>
    <w:rsid w:val="003E2208"/>
    <w:rsid w:val="003E2757"/>
    <w:rsid w:val="003E2BFD"/>
    <w:rsid w:val="003E431E"/>
    <w:rsid w:val="003E521A"/>
    <w:rsid w:val="003E6353"/>
    <w:rsid w:val="003E67D2"/>
    <w:rsid w:val="003F0081"/>
    <w:rsid w:val="003F36F4"/>
    <w:rsid w:val="003F3A70"/>
    <w:rsid w:val="003F57C8"/>
    <w:rsid w:val="00401C57"/>
    <w:rsid w:val="004026F9"/>
    <w:rsid w:val="00411077"/>
    <w:rsid w:val="00417F08"/>
    <w:rsid w:val="0042312E"/>
    <w:rsid w:val="00426133"/>
    <w:rsid w:val="00427460"/>
    <w:rsid w:val="00430221"/>
    <w:rsid w:val="00430895"/>
    <w:rsid w:val="004358AB"/>
    <w:rsid w:val="00437217"/>
    <w:rsid w:val="0044167D"/>
    <w:rsid w:val="00441C0A"/>
    <w:rsid w:val="00444E33"/>
    <w:rsid w:val="004469C6"/>
    <w:rsid w:val="00447604"/>
    <w:rsid w:val="004501D7"/>
    <w:rsid w:val="00450DAD"/>
    <w:rsid w:val="00450FD9"/>
    <w:rsid w:val="00452223"/>
    <w:rsid w:val="00452CEC"/>
    <w:rsid w:val="00454312"/>
    <w:rsid w:val="00454CD9"/>
    <w:rsid w:val="004552EC"/>
    <w:rsid w:val="004564B8"/>
    <w:rsid w:val="00460E7B"/>
    <w:rsid w:val="00465288"/>
    <w:rsid w:val="0047171E"/>
    <w:rsid w:val="004723BA"/>
    <w:rsid w:val="00473E81"/>
    <w:rsid w:val="00476BED"/>
    <w:rsid w:val="00476F1E"/>
    <w:rsid w:val="0047732E"/>
    <w:rsid w:val="004776CB"/>
    <w:rsid w:val="00481C11"/>
    <w:rsid w:val="00485E0E"/>
    <w:rsid w:val="004915C6"/>
    <w:rsid w:val="004919E2"/>
    <w:rsid w:val="00492307"/>
    <w:rsid w:val="004943A5"/>
    <w:rsid w:val="00494721"/>
    <w:rsid w:val="004958BB"/>
    <w:rsid w:val="004A157E"/>
    <w:rsid w:val="004A1ECC"/>
    <w:rsid w:val="004A36B0"/>
    <w:rsid w:val="004B74B2"/>
    <w:rsid w:val="004B75BE"/>
    <w:rsid w:val="004B7C99"/>
    <w:rsid w:val="004B7F76"/>
    <w:rsid w:val="004C01CA"/>
    <w:rsid w:val="004C2384"/>
    <w:rsid w:val="004C40A4"/>
    <w:rsid w:val="004C4916"/>
    <w:rsid w:val="004C4BE9"/>
    <w:rsid w:val="004C6801"/>
    <w:rsid w:val="004C7936"/>
    <w:rsid w:val="004D0715"/>
    <w:rsid w:val="004D1D00"/>
    <w:rsid w:val="004D25E4"/>
    <w:rsid w:val="004D268A"/>
    <w:rsid w:val="004D400E"/>
    <w:rsid w:val="004D4167"/>
    <w:rsid w:val="004D7640"/>
    <w:rsid w:val="004D7B84"/>
    <w:rsid w:val="004E0435"/>
    <w:rsid w:val="004E1AA4"/>
    <w:rsid w:val="004E1CE7"/>
    <w:rsid w:val="004E2427"/>
    <w:rsid w:val="004E3890"/>
    <w:rsid w:val="004E69B2"/>
    <w:rsid w:val="004E7159"/>
    <w:rsid w:val="004F1378"/>
    <w:rsid w:val="004F4D36"/>
    <w:rsid w:val="004F5173"/>
    <w:rsid w:val="00500358"/>
    <w:rsid w:val="0050200C"/>
    <w:rsid w:val="005033F2"/>
    <w:rsid w:val="00505C7A"/>
    <w:rsid w:val="00506A1A"/>
    <w:rsid w:val="00512032"/>
    <w:rsid w:val="00513F9E"/>
    <w:rsid w:val="0051478C"/>
    <w:rsid w:val="005151AA"/>
    <w:rsid w:val="005161A4"/>
    <w:rsid w:val="005206E0"/>
    <w:rsid w:val="0052189B"/>
    <w:rsid w:val="00522169"/>
    <w:rsid w:val="005239FE"/>
    <w:rsid w:val="005250D9"/>
    <w:rsid w:val="00525997"/>
    <w:rsid w:val="005318C5"/>
    <w:rsid w:val="00532616"/>
    <w:rsid w:val="00535A31"/>
    <w:rsid w:val="0053651E"/>
    <w:rsid w:val="00536ED6"/>
    <w:rsid w:val="005370BE"/>
    <w:rsid w:val="00540F76"/>
    <w:rsid w:val="00544949"/>
    <w:rsid w:val="0054779D"/>
    <w:rsid w:val="005506BD"/>
    <w:rsid w:val="00552A23"/>
    <w:rsid w:val="00556DA7"/>
    <w:rsid w:val="005570B7"/>
    <w:rsid w:val="00557CB0"/>
    <w:rsid w:val="00560710"/>
    <w:rsid w:val="00560AEA"/>
    <w:rsid w:val="00561F07"/>
    <w:rsid w:val="00563008"/>
    <w:rsid w:val="00565C87"/>
    <w:rsid w:val="00570DA8"/>
    <w:rsid w:val="00571963"/>
    <w:rsid w:val="00571E3C"/>
    <w:rsid w:val="00575770"/>
    <w:rsid w:val="00576E95"/>
    <w:rsid w:val="0057751B"/>
    <w:rsid w:val="00580185"/>
    <w:rsid w:val="00580A8B"/>
    <w:rsid w:val="0058131E"/>
    <w:rsid w:val="00583060"/>
    <w:rsid w:val="0059003A"/>
    <w:rsid w:val="00592D18"/>
    <w:rsid w:val="00592D89"/>
    <w:rsid w:val="0059502B"/>
    <w:rsid w:val="0059784F"/>
    <w:rsid w:val="005A069C"/>
    <w:rsid w:val="005A1430"/>
    <w:rsid w:val="005A1C80"/>
    <w:rsid w:val="005A4D6C"/>
    <w:rsid w:val="005A5E12"/>
    <w:rsid w:val="005B094D"/>
    <w:rsid w:val="005B1271"/>
    <w:rsid w:val="005B406C"/>
    <w:rsid w:val="005B4CDE"/>
    <w:rsid w:val="005B5D51"/>
    <w:rsid w:val="005B6D4D"/>
    <w:rsid w:val="005B7E64"/>
    <w:rsid w:val="005C1553"/>
    <w:rsid w:val="005D03E1"/>
    <w:rsid w:val="005D212C"/>
    <w:rsid w:val="005D247C"/>
    <w:rsid w:val="005D2887"/>
    <w:rsid w:val="005D5B99"/>
    <w:rsid w:val="005D6B20"/>
    <w:rsid w:val="005D7901"/>
    <w:rsid w:val="005E4837"/>
    <w:rsid w:val="005E528D"/>
    <w:rsid w:val="005E7153"/>
    <w:rsid w:val="005F06E8"/>
    <w:rsid w:val="005F30D3"/>
    <w:rsid w:val="005F3CEE"/>
    <w:rsid w:val="005F62B3"/>
    <w:rsid w:val="005F6BC1"/>
    <w:rsid w:val="00600A1B"/>
    <w:rsid w:val="00602126"/>
    <w:rsid w:val="006035B5"/>
    <w:rsid w:val="00604B3C"/>
    <w:rsid w:val="00605130"/>
    <w:rsid w:val="00605202"/>
    <w:rsid w:val="00605CF5"/>
    <w:rsid w:val="006060CB"/>
    <w:rsid w:val="006135BB"/>
    <w:rsid w:val="0061426A"/>
    <w:rsid w:val="006144BD"/>
    <w:rsid w:val="00614AE2"/>
    <w:rsid w:val="00615CC1"/>
    <w:rsid w:val="00616399"/>
    <w:rsid w:val="00620EED"/>
    <w:rsid w:val="0062118A"/>
    <w:rsid w:val="00621FE3"/>
    <w:rsid w:val="00623DDD"/>
    <w:rsid w:val="006243A0"/>
    <w:rsid w:val="0062733A"/>
    <w:rsid w:val="00627A50"/>
    <w:rsid w:val="00631BC0"/>
    <w:rsid w:val="006375D2"/>
    <w:rsid w:val="00640E52"/>
    <w:rsid w:val="00640E8F"/>
    <w:rsid w:val="006411EC"/>
    <w:rsid w:val="00641411"/>
    <w:rsid w:val="006415F7"/>
    <w:rsid w:val="00641686"/>
    <w:rsid w:val="00641D35"/>
    <w:rsid w:val="006429B2"/>
    <w:rsid w:val="00660339"/>
    <w:rsid w:val="006618C3"/>
    <w:rsid w:val="00664C04"/>
    <w:rsid w:val="00664DE4"/>
    <w:rsid w:val="00670A87"/>
    <w:rsid w:val="00671D77"/>
    <w:rsid w:val="00672748"/>
    <w:rsid w:val="00673227"/>
    <w:rsid w:val="00673BEE"/>
    <w:rsid w:val="0067520E"/>
    <w:rsid w:val="00675325"/>
    <w:rsid w:val="0067720E"/>
    <w:rsid w:val="006773FC"/>
    <w:rsid w:val="00680453"/>
    <w:rsid w:val="006810E7"/>
    <w:rsid w:val="00685B8E"/>
    <w:rsid w:val="00686B7C"/>
    <w:rsid w:val="00691B71"/>
    <w:rsid w:val="006923F9"/>
    <w:rsid w:val="00695C33"/>
    <w:rsid w:val="00696426"/>
    <w:rsid w:val="006A2747"/>
    <w:rsid w:val="006A3DA2"/>
    <w:rsid w:val="006A5D46"/>
    <w:rsid w:val="006A5E72"/>
    <w:rsid w:val="006B0B13"/>
    <w:rsid w:val="006B1FF1"/>
    <w:rsid w:val="006B49DA"/>
    <w:rsid w:val="006C01C4"/>
    <w:rsid w:val="006C182B"/>
    <w:rsid w:val="006C2993"/>
    <w:rsid w:val="006C2D4A"/>
    <w:rsid w:val="006C5AB4"/>
    <w:rsid w:val="006C5C7A"/>
    <w:rsid w:val="006C6C12"/>
    <w:rsid w:val="006D0388"/>
    <w:rsid w:val="006D04EA"/>
    <w:rsid w:val="006D0D59"/>
    <w:rsid w:val="006E02E1"/>
    <w:rsid w:val="006E37D5"/>
    <w:rsid w:val="006E4295"/>
    <w:rsid w:val="006F06E3"/>
    <w:rsid w:val="006F7E78"/>
    <w:rsid w:val="0070005B"/>
    <w:rsid w:val="0070256B"/>
    <w:rsid w:val="00702829"/>
    <w:rsid w:val="00702B3B"/>
    <w:rsid w:val="00703D7B"/>
    <w:rsid w:val="00704C26"/>
    <w:rsid w:val="00704ED7"/>
    <w:rsid w:val="00706BCB"/>
    <w:rsid w:val="007070C8"/>
    <w:rsid w:val="00714CD4"/>
    <w:rsid w:val="00715304"/>
    <w:rsid w:val="007178E7"/>
    <w:rsid w:val="00717B22"/>
    <w:rsid w:val="00720611"/>
    <w:rsid w:val="00721FD0"/>
    <w:rsid w:val="00724955"/>
    <w:rsid w:val="00725061"/>
    <w:rsid w:val="007279C3"/>
    <w:rsid w:val="00732080"/>
    <w:rsid w:val="00741F17"/>
    <w:rsid w:val="00745A53"/>
    <w:rsid w:val="00746C30"/>
    <w:rsid w:val="00747395"/>
    <w:rsid w:val="007502BE"/>
    <w:rsid w:val="0075071F"/>
    <w:rsid w:val="0075078B"/>
    <w:rsid w:val="00751BA0"/>
    <w:rsid w:val="00752898"/>
    <w:rsid w:val="00752AA9"/>
    <w:rsid w:val="00754A2D"/>
    <w:rsid w:val="00757447"/>
    <w:rsid w:val="007602A6"/>
    <w:rsid w:val="0076419C"/>
    <w:rsid w:val="00764A79"/>
    <w:rsid w:val="00766BB4"/>
    <w:rsid w:val="00767F97"/>
    <w:rsid w:val="00770A72"/>
    <w:rsid w:val="00771D65"/>
    <w:rsid w:val="00776886"/>
    <w:rsid w:val="007803FE"/>
    <w:rsid w:val="0078284C"/>
    <w:rsid w:val="00782FDD"/>
    <w:rsid w:val="00784BAB"/>
    <w:rsid w:val="00785D72"/>
    <w:rsid w:val="007904FA"/>
    <w:rsid w:val="00790894"/>
    <w:rsid w:val="00790A1A"/>
    <w:rsid w:val="00791B31"/>
    <w:rsid w:val="007929F4"/>
    <w:rsid w:val="00792A48"/>
    <w:rsid w:val="007939D3"/>
    <w:rsid w:val="007A039A"/>
    <w:rsid w:val="007A0D8F"/>
    <w:rsid w:val="007A178F"/>
    <w:rsid w:val="007A2857"/>
    <w:rsid w:val="007A3ADF"/>
    <w:rsid w:val="007B0D01"/>
    <w:rsid w:val="007B15D4"/>
    <w:rsid w:val="007B261D"/>
    <w:rsid w:val="007B4A2F"/>
    <w:rsid w:val="007B5AE6"/>
    <w:rsid w:val="007B662B"/>
    <w:rsid w:val="007B663E"/>
    <w:rsid w:val="007C20A1"/>
    <w:rsid w:val="007C2B43"/>
    <w:rsid w:val="007C58C9"/>
    <w:rsid w:val="007C6256"/>
    <w:rsid w:val="007C71B9"/>
    <w:rsid w:val="007D054D"/>
    <w:rsid w:val="007D06E6"/>
    <w:rsid w:val="007D46E1"/>
    <w:rsid w:val="007E06E0"/>
    <w:rsid w:val="007E1076"/>
    <w:rsid w:val="007E3F1A"/>
    <w:rsid w:val="007E4667"/>
    <w:rsid w:val="007E77B9"/>
    <w:rsid w:val="007F2FD6"/>
    <w:rsid w:val="00801EF7"/>
    <w:rsid w:val="00805F90"/>
    <w:rsid w:val="00806C33"/>
    <w:rsid w:val="008078AA"/>
    <w:rsid w:val="00810062"/>
    <w:rsid w:val="00811D9A"/>
    <w:rsid w:val="008133AF"/>
    <w:rsid w:val="00814E59"/>
    <w:rsid w:val="00814F29"/>
    <w:rsid w:val="00816D41"/>
    <w:rsid w:val="008170A6"/>
    <w:rsid w:val="008170B4"/>
    <w:rsid w:val="008224DB"/>
    <w:rsid w:val="00823287"/>
    <w:rsid w:val="0082366D"/>
    <w:rsid w:val="00824A49"/>
    <w:rsid w:val="0082550B"/>
    <w:rsid w:val="00825AA4"/>
    <w:rsid w:val="0083374D"/>
    <w:rsid w:val="00834A73"/>
    <w:rsid w:val="00835644"/>
    <w:rsid w:val="00836545"/>
    <w:rsid w:val="0084275A"/>
    <w:rsid w:val="008437EA"/>
    <w:rsid w:val="0085029C"/>
    <w:rsid w:val="00851A4A"/>
    <w:rsid w:val="008606CA"/>
    <w:rsid w:val="00861785"/>
    <w:rsid w:val="0086405E"/>
    <w:rsid w:val="00864A4C"/>
    <w:rsid w:val="00864C20"/>
    <w:rsid w:val="0086629E"/>
    <w:rsid w:val="00867346"/>
    <w:rsid w:val="0087355C"/>
    <w:rsid w:val="00875C48"/>
    <w:rsid w:val="008763DA"/>
    <w:rsid w:val="00882B7D"/>
    <w:rsid w:val="00884840"/>
    <w:rsid w:val="00890743"/>
    <w:rsid w:val="00891310"/>
    <w:rsid w:val="0089699C"/>
    <w:rsid w:val="008A129B"/>
    <w:rsid w:val="008A1FA5"/>
    <w:rsid w:val="008A674A"/>
    <w:rsid w:val="008A7EFF"/>
    <w:rsid w:val="008B15B3"/>
    <w:rsid w:val="008B26AD"/>
    <w:rsid w:val="008B3813"/>
    <w:rsid w:val="008B43B7"/>
    <w:rsid w:val="008B5554"/>
    <w:rsid w:val="008B56A6"/>
    <w:rsid w:val="008B5B4A"/>
    <w:rsid w:val="008B70FC"/>
    <w:rsid w:val="008B7726"/>
    <w:rsid w:val="008C39AC"/>
    <w:rsid w:val="008C4119"/>
    <w:rsid w:val="008C555F"/>
    <w:rsid w:val="008C55A3"/>
    <w:rsid w:val="008D122E"/>
    <w:rsid w:val="008D141A"/>
    <w:rsid w:val="008D2C9D"/>
    <w:rsid w:val="008D593C"/>
    <w:rsid w:val="008D713A"/>
    <w:rsid w:val="008E148B"/>
    <w:rsid w:val="008E20C8"/>
    <w:rsid w:val="008E40E2"/>
    <w:rsid w:val="008E5867"/>
    <w:rsid w:val="008E77A7"/>
    <w:rsid w:val="008E7A61"/>
    <w:rsid w:val="008E7AD2"/>
    <w:rsid w:val="008F1B2B"/>
    <w:rsid w:val="008F3240"/>
    <w:rsid w:val="008F48E2"/>
    <w:rsid w:val="008F706E"/>
    <w:rsid w:val="008F76DB"/>
    <w:rsid w:val="008F7856"/>
    <w:rsid w:val="00900705"/>
    <w:rsid w:val="009012D1"/>
    <w:rsid w:val="009012E5"/>
    <w:rsid w:val="00903041"/>
    <w:rsid w:val="00903F7F"/>
    <w:rsid w:val="009058FD"/>
    <w:rsid w:val="00905B16"/>
    <w:rsid w:val="00906D7A"/>
    <w:rsid w:val="00907224"/>
    <w:rsid w:val="00910837"/>
    <w:rsid w:val="00912711"/>
    <w:rsid w:val="00913C8C"/>
    <w:rsid w:val="00914127"/>
    <w:rsid w:val="009153B0"/>
    <w:rsid w:val="00916185"/>
    <w:rsid w:val="009171F8"/>
    <w:rsid w:val="00920B96"/>
    <w:rsid w:val="00920C52"/>
    <w:rsid w:val="0092208F"/>
    <w:rsid w:val="009235C5"/>
    <w:rsid w:val="00925403"/>
    <w:rsid w:val="009269EE"/>
    <w:rsid w:val="0092741B"/>
    <w:rsid w:val="00932378"/>
    <w:rsid w:val="00935F90"/>
    <w:rsid w:val="0093736A"/>
    <w:rsid w:val="0094193A"/>
    <w:rsid w:val="00945A89"/>
    <w:rsid w:val="00946414"/>
    <w:rsid w:val="00950558"/>
    <w:rsid w:val="00953F90"/>
    <w:rsid w:val="00955DFE"/>
    <w:rsid w:val="009602B0"/>
    <w:rsid w:val="00960F9B"/>
    <w:rsid w:val="00962B7C"/>
    <w:rsid w:val="00963569"/>
    <w:rsid w:val="00963DC9"/>
    <w:rsid w:val="009640AD"/>
    <w:rsid w:val="00964BC0"/>
    <w:rsid w:val="00971443"/>
    <w:rsid w:val="00974E35"/>
    <w:rsid w:val="0097586A"/>
    <w:rsid w:val="00975C13"/>
    <w:rsid w:val="00976289"/>
    <w:rsid w:val="00990D19"/>
    <w:rsid w:val="00991666"/>
    <w:rsid w:val="009922A3"/>
    <w:rsid w:val="009925D7"/>
    <w:rsid w:val="00992F7C"/>
    <w:rsid w:val="00993297"/>
    <w:rsid w:val="009946B6"/>
    <w:rsid w:val="009948C6"/>
    <w:rsid w:val="00996C36"/>
    <w:rsid w:val="00997297"/>
    <w:rsid w:val="00997900"/>
    <w:rsid w:val="009A2847"/>
    <w:rsid w:val="009A38E2"/>
    <w:rsid w:val="009A3C1E"/>
    <w:rsid w:val="009A4D84"/>
    <w:rsid w:val="009B5BA6"/>
    <w:rsid w:val="009C094C"/>
    <w:rsid w:val="009C0BE3"/>
    <w:rsid w:val="009C465B"/>
    <w:rsid w:val="009C4A25"/>
    <w:rsid w:val="009C4CC4"/>
    <w:rsid w:val="009D0913"/>
    <w:rsid w:val="009E0BE1"/>
    <w:rsid w:val="009E2E1E"/>
    <w:rsid w:val="009E3056"/>
    <w:rsid w:val="009E350F"/>
    <w:rsid w:val="009E4EBF"/>
    <w:rsid w:val="009E669D"/>
    <w:rsid w:val="009E6B65"/>
    <w:rsid w:val="009E76AF"/>
    <w:rsid w:val="009F227A"/>
    <w:rsid w:val="009F4777"/>
    <w:rsid w:val="009F50E8"/>
    <w:rsid w:val="009F5B1B"/>
    <w:rsid w:val="009F6866"/>
    <w:rsid w:val="009F7E1E"/>
    <w:rsid w:val="00A00205"/>
    <w:rsid w:val="00A02F01"/>
    <w:rsid w:val="00A0536A"/>
    <w:rsid w:val="00A07196"/>
    <w:rsid w:val="00A11DB3"/>
    <w:rsid w:val="00A142BA"/>
    <w:rsid w:val="00A148D9"/>
    <w:rsid w:val="00A1632F"/>
    <w:rsid w:val="00A16934"/>
    <w:rsid w:val="00A20E5C"/>
    <w:rsid w:val="00A2208F"/>
    <w:rsid w:val="00A318AC"/>
    <w:rsid w:val="00A33079"/>
    <w:rsid w:val="00A3379E"/>
    <w:rsid w:val="00A34366"/>
    <w:rsid w:val="00A40791"/>
    <w:rsid w:val="00A425C3"/>
    <w:rsid w:val="00A446C4"/>
    <w:rsid w:val="00A50E46"/>
    <w:rsid w:val="00A51BDC"/>
    <w:rsid w:val="00A52708"/>
    <w:rsid w:val="00A532B5"/>
    <w:rsid w:val="00A5395D"/>
    <w:rsid w:val="00A54F55"/>
    <w:rsid w:val="00A555B5"/>
    <w:rsid w:val="00A637A2"/>
    <w:rsid w:val="00A64C04"/>
    <w:rsid w:val="00A65D3D"/>
    <w:rsid w:val="00A715FF"/>
    <w:rsid w:val="00A7164A"/>
    <w:rsid w:val="00A718FB"/>
    <w:rsid w:val="00A73DC1"/>
    <w:rsid w:val="00A740EC"/>
    <w:rsid w:val="00A74293"/>
    <w:rsid w:val="00A773A9"/>
    <w:rsid w:val="00A815A9"/>
    <w:rsid w:val="00A842F4"/>
    <w:rsid w:val="00A8586B"/>
    <w:rsid w:val="00A85E2D"/>
    <w:rsid w:val="00A900ED"/>
    <w:rsid w:val="00A90C73"/>
    <w:rsid w:val="00A911B9"/>
    <w:rsid w:val="00A92051"/>
    <w:rsid w:val="00A92E9D"/>
    <w:rsid w:val="00AA1965"/>
    <w:rsid w:val="00AA3E09"/>
    <w:rsid w:val="00AA47E3"/>
    <w:rsid w:val="00AA6DD1"/>
    <w:rsid w:val="00AA6E44"/>
    <w:rsid w:val="00AA7F37"/>
    <w:rsid w:val="00AB0F0D"/>
    <w:rsid w:val="00AB138C"/>
    <w:rsid w:val="00AB3346"/>
    <w:rsid w:val="00AB3991"/>
    <w:rsid w:val="00AC296C"/>
    <w:rsid w:val="00AC2D14"/>
    <w:rsid w:val="00AC3066"/>
    <w:rsid w:val="00AC3A11"/>
    <w:rsid w:val="00AC3AC6"/>
    <w:rsid w:val="00AC4EA8"/>
    <w:rsid w:val="00AD0D37"/>
    <w:rsid w:val="00AD2A6E"/>
    <w:rsid w:val="00AD30E3"/>
    <w:rsid w:val="00AD3129"/>
    <w:rsid w:val="00AD3D52"/>
    <w:rsid w:val="00AE0311"/>
    <w:rsid w:val="00AE31E0"/>
    <w:rsid w:val="00AE405D"/>
    <w:rsid w:val="00AE472D"/>
    <w:rsid w:val="00AF03AE"/>
    <w:rsid w:val="00AF0B75"/>
    <w:rsid w:val="00AF18AC"/>
    <w:rsid w:val="00AF302E"/>
    <w:rsid w:val="00AF6144"/>
    <w:rsid w:val="00B00D08"/>
    <w:rsid w:val="00B0221D"/>
    <w:rsid w:val="00B03174"/>
    <w:rsid w:val="00B036D5"/>
    <w:rsid w:val="00B03AAC"/>
    <w:rsid w:val="00B03D8E"/>
    <w:rsid w:val="00B03E28"/>
    <w:rsid w:val="00B047F5"/>
    <w:rsid w:val="00B04A1F"/>
    <w:rsid w:val="00B069BA"/>
    <w:rsid w:val="00B06AC7"/>
    <w:rsid w:val="00B10AE3"/>
    <w:rsid w:val="00B12952"/>
    <w:rsid w:val="00B14556"/>
    <w:rsid w:val="00B14ACE"/>
    <w:rsid w:val="00B165E2"/>
    <w:rsid w:val="00B21BBA"/>
    <w:rsid w:val="00B25C0E"/>
    <w:rsid w:val="00B269BF"/>
    <w:rsid w:val="00B304FE"/>
    <w:rsid w:val="00B31948"/>
    <w:rsid w:val="00B31A98"/>
    <w:rsid w:val="00B40125"/>
    <w:rsid w:val="00B408F6"/>
    <w:rsid w:val="00B45268"/>
    <w:rsid w:val="00B452D7"/>
    <w:rsid w:val="00B46455"/>
    <w:rsid w:val="00B51377"/>
    <w:rsid w:val="00B5304F"/>
    <w:rsid w:val="00B54AED"/>
    <w:rsid w:val="00B60C11"/>
    <w:rsid w:val="00B62640"/>
    <w:rsid w:val="00B633AA"/>
    <w:rsid w:val="00B64EEB"/>
    <w:rsid w:val="00B71F8B"/>
    <w:rsid w:val="00B730EA"/>
    <w:rsid w:val="00B73B0A"/>
    <w:rsid w:val="00B7624D"/>
    <w:rsid w:val="00B770C2"/>
    <w:rsid w:val="00B77123"/>
    <w:rsid w:val="00B800F2"/>
    <w:rsid w:val="00B80979"/>
    <w:rsid w:val="00B809AF"/>
    <w:rsid w:val="00B8359D"/>
    <w:rsid w:val="00B8378D"/>
    <w:rsid w:val="00B91054"/>
    <w:rsid w:val="00B91780"/>
    <w:rsid w:val="00B94005"/>
    <w:rsid w:val="00B94F05"/>
    <w:rsid w:val="00B95A86"/>
    <w:rsid w:val="00B96481"/>
    <w:rsid w:val="00BA17EE"/>
    <w:rsid w:val="00BA1AAD"/>
    <w:rsid w:val="00BA26A4"/>
    <w:rsid w:val="00BA5665"/>
    <w:rsid w:val="00BA6F29"/>
    <w:rsid w:val="00BA748C"/>
    <w:rsid w:val="00BB05E5"/>
    <w:rsid w:val="00BB25CD"/>
    <w:rsid w:val="00BB3359"/>
    <w:rsid w:val="00BB5AAA"/>
    <w:rsid w:val="00BB6282"/>
    <w:rsid w:val="00BB6403"/>
    <w:rsid w:val="00BB6E27"/>
    <w:rsid w:val="00BC0576"/>
    <w:rsid w:val="00BC5749"/>
    <w:rsid w:val="00BC6220"/>
    <w:rsid w:val="00BC65CA"/>
    <w:rsid w:val="00BC6DF2"/>
    <w:rsid w:val="00BC6E49"/>
    <w:rsid w:val="00BD01C0"/>
    <w:rsid w:val="00BD0CCF"/>
    <w:rsid w:val="00BD41E1"/>
    <w:rsid w:val="00BD5322"/>
    <w:rsid w:val="00BD5E84"/>
    <w:rsid w:val="00BD5ED5"/>
    <w:rsid w:val="00BD6440"/>
    <w:rsid w:val="00BD7695"/>
    <w:rsid w:val="00BE2E8A"/>
    <w:rsid w:val="00BE2F70"/>
    <w:rsid w:val="00BE3332"/>
    <w:rsid w:val="00BE5094"/>
    <w:rsid w:val="00BE5C2B"/>
    <w:rsid w:val="00BE667E"/>
    <w:rsid w:val="00BE735C"/>
    <w:rsid w:val="00BF1FFF"/>
    <w:rsid w:val="00BF2799"/>
    <w:rsid w:val="00BF3B5F"/>
    <w:rsid w:val="00BF4A61"/>
    <w:rsid w:val="00BF5650"/>
    <w:rsid w:val="00BF6411"/>
    <w:rsid w:val="00BF720F"/>
    <w:rsid w:val="00BF7D5B"/>
    <w:rsid w:val="00C03891"/>
    <w:rsid w:val="00C04303"/>
    <w:rsid w:val="00C07A57"/>
    <w:rsid w:val="00C10D67"/>
    <w:rsid w:val="00C14843"/>
    <w:rsid w:val="00C14ACD"/>
    <w:rsid w:val="00C14DEF"/>
    <w:rsid w:val="00C15EBF"/>
    <w:rsid w:val="00C23BF4"/>
    <w:rsid w:val="00C24587"/>
    <w:rsid w:val="00C26F87"/>
    <w:rsid w:val="00C33EE9"/>
    <w:rsid w:val="00C35491"/>
    <w:rsid w:val="00C35DB3"/>
    <w:rsid w:val="00C4164D"/>
    <w:rsid w:val="00C43383"/>
    <w:rsid w:val="00C450F3"/>
    <w:rsid w:val="00C530AB"/>
    <w:rsid w:val="00C569FF"/>
    <w:rsid w:val="00C5737B"/>
    <w:rsid w:val="00C57C7F"/>
    <w:rsid w:val="00C60299"/>
    <w:rsid w:val="00C61C51"/>
    <w:rsid w:val="00C62DDD"/>
    <w:rsid w:val="00C6354C"/>
    <w:rsid w:val="00C65579"/>
    <w:rsid w:val="00C7104A"/>
    <w:rsid w:val="00C71C4B"/>
    <w:rsid w:val="00C71E7B"/>
    <w:rsid w:val="00C7402B"/>
    <w:rsid w:val="00C74DD6"/>
    <w:rsid w:val="00C779D9"/>
    <w:rsid w:val="00C82BDB"/>
    <w:rsid w:val="00C83F54"/>
    <w:rsid w:val="00C852D0"/>
    <w:rsid w:val="00C861B8"/>
    <w:rsid w:val="00C8654C"/>
    <w:rsid w:val="00C91F6E"/>
    <w:rsid w:val="00C92E9F"/>
    <w:rsid w:val="00C939B7"/>
    <w:rsid w:val="00C9544C"/>
    <w:rsid w:val="00C96823"/>
    <w:rsid w:val="00C97B90"/>
    <w:rsid w:val="00CA07EF"/>
    <w:rsid w:val="00CA0D4B"/>
    <w:rsid w:val="00CA36F7"/>
    <w:rsid w:val="00CA3D97"/>
    <w:rsid w:val="00CA61BC"/>
    <w:rsid w:val="00CA6ECA"/>
    <w:rsid w:val="00CA7142"/>
    <w:rsid w:val="00CA7F40"/>
    <w:rsid w:val="00CB043E"/>
    <w:rsid w:val="00CB1959"/>
    <w:rsid w:val="00CB54D6"/>
    <w:rsid w:val="00CB5A8C"/>
    <w:rsid w:val="00CB5E8F"/>
    <w:rsid w:val="00CB67A2"/>
    <w:rsid w:val="00CC39BC"/>
    <w:rsid w:val="00CC7619"/>
    <w:rsid w:val="00CD06FB"/>
    <w:rsid w:val="00CD0A71"/>
    <w:rsid w:val="00CD1811"/>
    <w:rsid w:val="00CD3769"/>
    <w:rsid w:val="00CD5964"/>
    <w:rsid w:val="00CD5E1A"/>
    <w:rsid w:val="00CD6459"/>
    <w:rsid w:val="00CD792A"/>
    <w:rsid w:val="00CE3080"/>
    <w:rsid w:val="00CE63B4"/>
    <w:rsid w:val="00CE6E16"/>
    <w:rsid w:val="00CE732C"/>
    <w:rsid w:val="00CF5D51"/>
    <w:rsid w:val="00CF6443"/>
    <w:rsid w:val="00D0184A"/>
    <w:rsid w:val="00D018C5"/>
    <w:rsid w:val="00D02275"/>
    <w:rsid w:val="00D033ED"/>
    <w:rsid w:val="00D0407D"/>
    <w:rsid w:val="00D044C3"/>
    <w:rsid w:val="00D0602E"/>
    <w:rsid w:val="00D061DA"/>
    <w:rsid w:val="00D0647F"/>
    <w:rsid w:val="00D06764"/>
    <w:rsid w:val="00D10238"/>
    <w:rsid w:val="00D10272"/>
    <w:rsid w:val="00D10784"/>
    <w:rsid w:val="00D115D8"/>
    <w:rsid w:val="00D128D7"/>
    <w:rsid w:val="00D12D09"/>
    <w:rsid w:val="00D17650"/>
    <w:rsid w:val="00D21092"/>
    <w:rsid w:val="00D22AC3"/>
    <w:rsid w:val="00D22C62"/>
    <w:rsid w:val="00D25C0C"/>
    <w:rsid w:val="00D27510"/>
    <w:rsid w:val="00D27C45"/>
    <w:rsid w:val="00D31D50"/>
    <w:rsid w:val="00D348FA"/>
    <w:rsid w:val="00D36CEF"/>
    <w:rsid w:val="00D37D30"/>
    <w:rsid w:val="00D37EB5"/>
    <w:rsid w:val="00D40FBC"/>
    <w:rsid w:val="00D41B60"/>
    <w:rsid w:val="00D45B71"/>
    <w:rsid w:val="00D466B7"/>
    <w:rsid w:val="00D472E9"/>
    <w:rsid w:val="00D523A2"/>
    <w:rsid w:val="00D52BE4"/>
    <w:rsid w:val="00D52D26"/>
    <w:rsid w:val="00D5689A"/>
    <w:rsid w:val="00D60985"/>
    <w:rsid w:val="00D64668"/>
    <w:rsid w:val="00D6529E"/>
    <w:rsid w:val="00D655E9"/>
    <w:rsid w:val="00D66624"/>
    <w:rsid w:val="00D67335"/>
    <w:rsid w:val="00D73126"/>
    <w:rsid w:val="00D7507A"/>
    <w:rsid w:val="00D775BD"/>
    <w:rsid w:val="00D831AC"/>
    <w:rsid w:val="00D840D2"/>
    <w:rsid w:val="00D8765C"/>
    <w:rsid w:val="00D91EFD"/>
    <w:rsid w:val="00D94B9A"/>
    <w:rsid w:val="00D94E56"/>
    <w:rsid w:val="00D96B54"/>
    <w:rsid w:val="00DA0856"/>
    <w:rsid w:val="00DA19CF"/>
    <w:rsid w:val="00DA21EB"/>
    <w:rsid w:val="00DA2655"/>
    <w:rsid w:val="00DA3528"/>
    <w:rsid w:val="00DA38EC"/>
    <w:rsid w:val="00DA4A54"/>
    <w:rsid w:val="00DA6756"/>
    <w:rsid w:val="00DA7580"/>
    <w:rsid w:val="00DA7AC3"/>
    <w:rsid w:val="00DB07A9"/>
    <w:rsid w:val="00DB506A"/>
    <w:rsid w:val="00DB5908"/>
    <w:rsid w:val="00DB6EAC"/>
    <w:rsid w:val="00DC0D2D"/>
    <w:rsid w:val="00DC3BBA"/>
    <w:rsid w:val="00DC7A0A"/>
    <w:rsid w:val="00DD3141"/>
    <w:rsid w:val="00DD3DC2"/>
    <w:rsid w:val="00DD3FE6"/>
    <w:rsid w:val="00DD55EE"/>
    <w:rsid w:val="00DD7176"/>
    <w:rsid w:val="00DD7493"/>
    <w:rsid w:val="00DD7E99"/>
    <w:rsid w:val="00DE29AF"/>
    <w:rsid w:val="00DE2CBA"/>
    <w:rsid w:val="00DE6C85"/>
    <w:rsid w:val="00DE6F5B"/>
    <w:rsid w:val="00DE7291"/>
    <w:rsid w:val="00DE7B56"/>
    <w:rsid w:val="00DE7C03"/>
    <w:rsid w:val="00DF3AE8"/>
    <w:rsid w:val="00DF53BF"/>
    <w:rsid w:val="00DF57D6"/>
    <w:rsid w:val="00DF59B4"/>
    <w:rsid w:val="00DF608E"/>
    <w:rsid w:val="00DF640F"/>
    <w:rsid w:val="00E10D3A"/>
    <w:rsid w:val="00E11F67"/>
    <w:rsid w:val="00E12A7E"/>
    <w:rsid w:val="00E1304D"/>
    <w:rsid w:val="00E13CF8"/>
    <w:rsid w:val="00E149F9"/>
    <w:rsid w:val="00E16567"/>
    <w:rsid w:val="00E24468"/>
    <w:rsid w:val="00E24B46"/>
    <w:rsid w:val="00E302E6"/>
    <w:rsid w:val="00E34BAF"/>
    <w:rsid w:val="00E37602"/>
    <w:rsid w:val="00E37A72"/>
    <w:rsid w:val="00E418E1"/>
    <w:rsid w:val="00E41FC2"/>
    <w:rsid w:val="00E42212"/>
    <w:rsid w:val="00E46F8C"/>
    <w:rsid w:val="00E47001"/>
    <w:rsid w:val="00E474F8"/>
    <w:rsid w:val="00E477BA"/>
    <w:rsid w:val="00E50614"/>
    <w:rsid w:val="00E50B0D"/>
    <w:rsid w:val="00E52A5E"/>
    <w:rsid w:val="00E6070E"/>
    <w:rsid w:val="00E63BEE"/>
    <w:rsid w:val="00E667D7"/>
    <w:rsid w:val="00E70642"/>
    <w:rsid w:val="00E70DC0"/>
    <w:rsid w:val="00E74490"/>
    <w:rsid w:val="00E75204"/>
    <w:rsid w:val="00E758F6"/>
    <w:rsid w:val="00E7615E"/>
    <w:rsid w:val="00E87330"/>
    <w:rsid w:val="00E91B0E"/>
    <w:rsid w:val="00E91F50"/>
    <w:rsid w:val="00E92D12"/>
    <w:rsid w:val="00E974BF"/>
    <w:rsid w:val="00E97F30"/>
    <w:rsid w:val="00EA136A"/>
    <w:rsid w:val="00EA59BE"/>
    <w:rsid w:val="00EA681E"/>
    <w:rsid w:val="00EA7A04"/>
    <w:rsid w:val="00EB1997"/>
    <w:rsid w:val="00EB3A08"/>
    <w:rsid w:val="00EB3EAD"/>
    <w:rsid w:val="00EB4364"/>
    <w:rsid w:val="00EB5886"/>
    <w:rsid w:val="00EB7F47"/>
    <w:rsid w:val="00EC0332"/>
    <w:rsid w:val="00EC1A73"/>
    <w:rsid w:val="00EC2814"/>
    <w:rsid w:val="00EC36B7"/>
    <w:rsid w:val="00EC550E"/>
    <w:rsid w:val="00EC7F84"/>
    <w:rsid w:val="00ED0BBE"/>
    <w:rsid w:val="00ED0CF1"/>
    <w:rsid w:val="00ED264A"/>
    <w:rsid w:val="00ED443E"/>
    <w:rsid w:val="00ED5490"/>
    <w:rsid w:val="00ED57FC"/>
    <w:rsid w:val="00EE069F"/>
    <w:rsid w:val="00EE0D72"/>
    <w:rsid w:val="00EE18F4"/>
    <w:rsid w:val="00EE246B"/>
    <w:rsid w:val="00EF0712"/>
    <w:rsid w:val="00EF282A"/>
    <w:rsid w:val="00EF3875"/>
    <w:rsid w:val="00F0284B"/>
    <w:rsid w:val="00F0707D"/>
    <w:rsid w:val="00F100F5"/>
    <w:rsid w:val="00F13B27"/>
    <w:rsid w:val="00F14444"/>
    <w:rsid w:val="00F1539C"/>
    <w:rsid w:val="00F15BF0"/>
    <w:rsid w:val="00F20210"/>
    <w:rsid w:val="00F246EB"/>
    <w:rsid w:val="00F26CD1"/>
    <w:rsid w:val="00F31B5D"/>
    <w:rsid w:val="00F33A20"/>
    <w:rsid w:val="00F33B58"/>
    <w:rsid w:val="00F3509F"/>
    <w:rsid w:val="00F3765D"/>
    <w:rsid w:val="00F41B97"/>
    <w:rsid w:val="00F42D93"/>
    <w:rsid w:val="00F437CD"/>
    <w:rsid w:val="00F44470"/>
    <w:rsid w:val="00F47D34"/>
    <w:rsid w:val="00F519B1"/>
    <w:rsid w:val="00F53400"/>
    <w:rsid w:val="00F54132"/>
    <w:rsid w:val="00F56502"/>
    <w:rsid w:val="00F56940"/>
    <w:rsid w:val="00F605C1"/>
    <w:rsid w:val="00F6068C"/>
    <w:rsid w:val="00F642DD"/>
    <w:rsid w:val="00F66E40"/>
    <w:rsid w:val="00F670B9"/>
    <w:rsid w:val="00F72BF0"/>
    <w:rsid w:val="00F739ED"/>
    <w:rsid w:val="00F77BAF"/>
    <w:rsid w:val="00F805FF"/>
    <w:rsid w:val="00F80FEE"/>
    <w:rsid w:val="00F82A91"/>
    <w:rsid w:val="00F84CC2"/>
    <w:rsid w:val="00F93007"/>
    <w:rsid w:val="00F938D9"/>
    <w:rsid w:val="00F93CEB"/>
    <w:rsid w:val="00F945B9"/>
    <w:rsid w:val="00F954D1"/>
    <w:rsid w:val="00F9656C"/>
    <w:rsid w:val="00FA05E5"/>
    <w:rsid w:val="00FA1497"/>
    <w:rsid w:val="00FA3014"/>
    <w:rsid w:val="00FA33A8"/>
    <w:rsid w:val="00FA542E"/>
    <w:rsid w:val="00FA724E"/>
    <w:rsid w:val="00FB0A66"/>
    <w:rsid w:val="00FB1391"/>
    <w:rsid w:val="00FB1545"/>
    <w:rsid w:val="00FB30D7"/>
    <w:rsid w:val="00FB3E51"/>
    <w:rsid w:val="00FB4110"/>
    <w:rsid w:val="00FB5750"/>
    <w:rsid w:val="00FB6521"/>
    <w:rsid w:val="00FC1B1B"/>
    <w:rsid w:val="00FC2C6C"/>
    <w:rsid w:val="00FC3E57"/>
    <w:rsid w:val="00FC48A7"/>
    <w:rsid w:val="00FC76DA"/>
    <w:rsid w:val="00FD2BAC"/>
    <w:rsid w:val="00FD2C0A"/>
    <w:rsid w:val="00FD3430"/>
    <w:rsid w:val="00FD34C0"/>
    <w:rsid w:val="00FD358E"/>
    <w:rsid w:val="00FD4EE5"/>
    <w:rsid w:val="00FE08C4"/>
    <w:rsid w:val="00FE0DE4"/>
    <w:rsid w:val="00FE1091"/>
    <w:rsid w:val="00FE31D1"/>
    <w:rsid w:val="00FE435A"/>
    <w:rsid w:val="00FE4CEF"/>
    <w:rsid w:val="00FE4F4B"/>
    <w:rsid w:val="00FE52C9"/>
    <w:rsid w:val="00FE6793"/>
    <w:rsid w:val="00FF4007"/>
    <w:rsid w:val="00FF5EF6"/>
    <w:rsid w:val="00FF6166"/>
    <w:rsid w:val="00FF6749"/>
    <w:rsid w:val="00FF7B32"/>
    <w:rsid w:val="018F0CB4"/>
    <w:rsid w:val="03512624"/>
    <w:rsid w:val="11B0178F"/>
    <w:rsid w:val="13D450A8"/>
    <w:rsid w:val="21F405DC"/>
    <w:rsid w:val="23B47505"/>
    <w:rsid w:val="2AC154A9"/>
    <w:rsid w:val="3B067EF7"/>
    <w:rsid w:val="3FBB0DE1"/>
    <w:rsid w:val="46226DAF"/>
    <w:rsid w:val="48461321"/>
    <w:rsid w:val="4E2B6D5D"/>
    <w:rsid w:val="52A02076"/>
    <w:rsid w:val="5810403E"/>
    <w:rsid w:val="6309646B"/>
    <w:rsid w:val="67EF1E94"/>
    <w:rsid w:val="69A96F16"/>
    <w:rsid w:val="77CC7FE7"/>
    <w:rsid w:val="7C1E64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FE8F39-7A12-4DE0-A62C-DE722E271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微软雅黑" w:hAnsi="Times New Roman" w:cs="Times New Roman"/>
      <w:sz w:val="24"/>
      <w:szCs w:val="24"/>
    </w:rPr>
  </w:style>
  <w:style w:type="paragraph" w:styleId="5">
    <w:name w:val="heading 5"/>
    <w:basedOn w:val="a"/>
    <w:next w:val="a"/>
    <w:link w:val="5Char"/>
    <w:uiPriority w:val="9"/>
    <w:qFormat/>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pPr>
      <w:adjustRightInd w:val="0"/>
      <w:snapToGrid w:val="0"/>
      <w:spacing w:after="200"/>
    </w:pPr>
    <w:rPr>
      <w:rFonts w:ascii="宋体" w:eastAsia="宋体" w:hAnsi="Tahoma" w:cstheme="minorBidi"/>
      <w:kern w:val="2"/>
    </w:rPr>
  </w:style>
  <w:style w:type="paragraph" w:styleId="a4">
    <w:name w:val="annotation text"/>
    <w:basedOn w:val="a"/>
    <w:link w:val="Char0"/>
    <w:uiPriority w:val="99"/>
    <w:unhideWhenUsed/>
    <w:qFormat/>
    <w:pPr>
      <w:adjustRightInd w:val="0"/>
      <w:snapToGrid w:val="0"/>
      <w:spacing w:after="200"/>
    </w:pPr>
    <w:rPr>
      <w:rFonts w:ascii="Tahoma" w:hAnsi="Tahoma" w:cstheme="minorBidi"/>
      <w:kern w:val="2"/>
      <w:sz w:val="22"/>
      <w:szCs w:val="22"/>
    </w:rPr>
  </w:style>
  <w:style w:type="paragraph" w:styleId="a5">
    <w:name w:val="Balloon Text"/>
    <w:basedOn w:val="a"/>
    <w:link w:val="Char1"/>
    <w:uiPriority w:val="99"/>
    <w:unhideWhenUsed/>
    <w:qFormat/>
    <w:pPr>
      <w:adjustRightInd w:val="0"/>
      <w:snapToGrid w:val="0"/>
    </w:pPr>
    <w:rPr>
      <w:rFonts w:ascii="Tahoma" w:hAnsi="Tahoma" w:cstheme="minorBidi"/>
      <w:kern w:val="2"/>
      <w:sz w:val="18"/>
      <w:szCs w:val="18"/>
    </w:rPr>
  </w:style>
  <w:style w:type="paragraph" w:styleId="a6">
    <w:name w:val="footer"/>
    <w:basedOn w:val="a"/>
    <w:link w:val="Char2"/>
    <w:uiPriority w:val="99"/>
    <w:unhideWhenUsed/>
    <w:qFormat/>
    <w:pPr>
      <w:tabs>
        <w:tab w:val="center" w:pos="4153"/>
        <w:tab w:val="right" w:pos="8306"/>
      </w:tabs>
      <w:adjustRightInd w:val="0"/>
      <w:snapToGrid w:val="0"/>
      <w:spacing w:after="200"/>
    </w:pPr>
    <w:rPr>
      <w:rFonts w:ascii="Tahoma" w:hAnsi="Tahoma" w:cstheme="minorBidi"/>
      <w:kern w:val="2"/>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adjustRightInd w:val="0"/>
      <w:snapToGrid w:val="0"/>
      <w:spacing w:after="200"/>
      <w:jc w:val="center"/>
    </w:pPr>
    <w:rPr>
      <w:rFonts w:ascii="Tahoma" w:hAnsi="Tahoma" w:cstheme="minorBidi"/>
      <w:kern w:val="2"/>
      <w:sz w:val="18"/>
      <w:szCs w:val="18"/>
    </w:rPr>
  </w:style>
  <w:style w:type="paragraph" w:styleId="a8">
    <w:name w:val="Normal (Web)"/>
    <w:basedOn w:val="a"/>
    <w:uiPriority w:val="99"/>
    <w:unhideWhenUsed/>
    <w:qFormat/>
    <w:pPr>
      <w:spacing w:before="100" w:beforeAutospacing="1" w:after="100" w:afterAutospacing="1"/>
    </w:pPr>
    <w:rPr>
      <w:rFonts w:eastAsiaTheme="minorEastAsia"/>
      <w:kern w:val="2"/>
    </w:rPr>
  </w:style>
  <w:style w:type="paragraph" w:styleId="a9">
    <w:name w:val="annotation subject"/>
    <w:basedOn w:val="a4"/>
    <w:next w:val="a4"/>
    <w:link w:val="Char4"/>
    <w:uiPriority w:val="99"/>
    <w:semiHidden/>
    <w:unhideWhenUsed/>
    <w:qFormat/>
    <w:rPr>
      <w:b/>
      <w:bCs/>
    </w:rPr>
  </w:style>
  <w:style w:type="character" w:styleId="aa">
    <w:name w:val="Hyperlink"/>
    <w:basedOn w:val="a0"/>
    <w:uiPriority w:val="99"/>
    <w:unhideWhenUsed/>
    <w:qFormat/>
    <w:rPr>
      <w:color w:val="0000FF" w:themeColor="hyperlink"/>
      <w:u w:val="single"/>
    </w:rPr>
  </w:style>
  <w:style w:type="character" w:styleId="ab">
    <w:name w:val="annotation reference"/>
    <w:basedOn w:val="a0"/>
    <w:uiPriority w:val="99"/>
    <w:unhideWhenUsed/>
    <w:qFormat/>
    <w:rPr>
      <w:sz w:val="21"/>
      <w:szCs w:val="21"/>
    </w:rPr>
  </w:style>
  <w:style w:type="character" w:customStyle="1" w:styleId="Char3">
    <w:name w:val="页眉 Char"/>
    <w:basedOn w:val="a0"/>
    <w:link w:val="a7"/>
    <w:uiPriority w:val="99"/>
    <w:qFormat/>
    <w:rPr>
      <w:rFonts w:ascii="Tahoma" w:hAnsi="Tahoma"/>
      <w:sz w:val="18"/>
      <w:szCs w:val="18"/>
    </w:rPr>
  </w:style>
  <w:style w:type="character" w:customStyle="1" w:styleId="Char2">
    <w:name w:val="页脚 Char"/>
    <w:basedOn w:val="a0"/>
    <w:link w:val="a6"/>
    <w:uiPriority w:val="99"/>
    <w:qFormat/>
    <w:rPr>
      <w:rFonts w:ascii="Tahoma" w:hAnsi="Tahoma"/>
      <w:sz w:val="18"/>
      <w:szCs w:val="18"/>
    </w:rPr>
  </w:style>
  <w:style w:type="paragraph" w:customStyle="1" w:styleId="1">
    <w:name w:val="列出段落1"/>
    <w:basedOn w:val="a"/>
    <w:uiPriority w:val="34"/>
    <w:qFormat/>
    <w:pPr>
      <w:widowControl w:val="0"/>
      <w:ind w:firstLineChars="200" w:firstLine="420"/>
      <w:jc w:val="both"/>
    </w:pPr>
    <w:rPr>
      <w:rFonts w:asciiTheme="minorHAnsi" w:eastAsiaTheme="minorEastAsia" w:hAnsiTheme="minorHAnsi" w:cstheme="minorBidi"/>
      <w:kern w:val="2"/>
      <w:sz w:val="21"/>
    </w:rPr>
  </w:style>
  <w:style w:type="paragraph" w:customStyle="1" w:styleId="2">
    <w:name w:val="列出段落2"/>
    <w:basedOn w:val="a"/>
    <w:uiPriority w:val="34"/>
    <w:qFormat/>
    <w:pPr>
      <w:adjustRightInd w:val="0"/>
      <w:snapToGrid w:val="0"/>
      <w:spacing w:after="200"/>
      <w:ind w:firstLineChars="200" w:firstLine="420"/>
    </w:pPr>
    <w:rPr>
      <w:rFonts w:ascii="Tahoma" w:hAnsi="Tahoma" w:cstheme="minorBidi"/>
      <w:kern w:val="2"/>
      <w:sz w:val="22"/>
      <w:szCs w:val="22"/>
    </w:rPr>
  </w:style>
  <w:style w:type="character" w:customStyle="1" w:styleId="Char1">
    <w:name w:val="批注框文本 Char"/>
    <w:basedOn w:val="a0"/>
    <w:link w:val="a5"/>
    <w:uiPriority w:val="99"/>
    <w:semiHidden/>
    <w:qFormat/>
    <w:rPr>
      <w:rFonts w:ascii="Tahoma" w:hAnsi="Tahoma"/>
      <w:sz w:val="18"/>
      <w:szCs w:val="18"/>
    </w:rPr>
  </w:style>
  <w:style w:type="character" w:customStyle="1" w:styleId="Char">
    <w:name w:val="文档结构图 Char"/>
    <w:basedOn w:val="a0"/>
    <w:link w:val="a3"/>
    <w:uiPriority w:val="99"/>
    <w:semiHidden/>
    <w:qFormat/>
    <w:rPr>
      <w:rFonts w:ascii="宋体" w:eastAsia="宋体" w:hAnsi="Tahoma"/>
      <w:sz w:val="24"/>
      <w:szCs w:val="24"/>
    </w:rPr>
  </w:style>
  <w:style w:type="paragraph" w:customStyle="1" w:styleId="ListParagraph1">
    <w:name w:val="List Paragraph1"/>
    <w:basedOn w:val="a"/>
    <w:uiPriority w:val="34"/>
    <w:qFormat/>
    <w:pPr>
      <w:widowControl w:val="0"/>
      <w:spacing w:after="200" w:line="276" w:lineRule="auto"/>
      <w:ind w:firstLineChars="200" w:firstLine="420"/>
      <w:jc w:val="both"/>
    </w:pPr>
    <w:rPr>
      <w:rFonts w:eastAsiaTheme="minorEastAsia"/>
      <w:kern w:val="2"/>
      <w:sz w:val="21"/>
    </w:rPr>
  </w:style>
  <w:style w:type="paragraph" w:styleId="ac">
    <w:name w:val="List Paragraph"/>
    <w:basedOn w:val="a"/>
    <w:uiPriority w:val="99"/>
    <w:qFormat/>
    <w:pPr>
      <w:adjustRightInd w:val="0"/>
      <w:snapToGrid w:val="0"/>
      <w:spacing w:after="200"/>
      <w:ind w:firstLineChars="200" w:firstLine="420"/>
    </w:pPr>
    <w:rPr>
      <w:rFonts w:ascii="Tahoma" w:hAnsi="Tahoma" w:cstheme="minorBidi"/>
      <w:kern w:val="2"/>
      <w:sz w:val="22"/>
      <w:szCs w:val="22"/>
    </w:rPr>
  </w:style>
  <w:style w:type="character" w:customStyle="1" w:styleId="Char0">
    <w:name w:val="批注文字 Char"/>
    <w:basedOn w:val="a0"/>
    <w:link w:val="a4"/>
    <w:uiPriority w:val="99"/>
    <w:semiHidden/>
    <w:qFormat/>
    <w:rPr>
      <w:rFonts w:ascii="Tahoma" w:hAnsi="Tahoma"/>
      <w:sz w:val="22"/>
      <w:szCs w:val="22"/>
    </w:rPr>
  </w:style>
  <w:style w:type="character" w:customStyle="1" w:styleId="Char4">
    <w:name w:val="批注主题 Char"/>
    <w:basedOn w:val="Char0"/>
    <w:link w:val="a9"/>
    <w:uiPriority w:val="99"/>
    <w:semiHidden/>
    <w:qFormat/>
    <w:rPr>
      <w:rFonts w:ascii="Tahoma" w:hAnsi="Tahoma"/>
      <w:b/>
      <w:bCs/>
      <w:sz w:val="22"/>
      <w:szCs w:val="22"/>
    </w:rPr>
  </w:style>
  <w:style w:type="character" w:customStyle="1" w:styleId="5Char">
    <w:name w:val="标题 5 Char"/>
    <w:basedOn w:val="a0"/>
    <w:link w:val="5"/>
    <w:uiPriority w:val="9"/>
    <w:qFormat/>
    <w:rPr>
      <w:rFonts w:ascii="Times New Roman" w:hAnsi="Times New Roman" w:cs="Times New Roman"/>
      <w:b/>
      <w:bCs/>
    </w:rPr>
  </w:style>
  <w:style w:type="character" w:customStyle="1" w:styleId="apple-converted-space">
    <w:name w:val="apple-converted-space"/>
    <w:basedOn w:val="a0"/>
    <w:qFormat/>
  </w:style>
  <w:style w:type="character" w:customStyle="1" w:styleId="italic">
    <w:name w:val="italic"/>
    <w:basedOn w:val="a0"/>
    <w:qFormat/>
  </w:style>
  <w:style w:type="character" w:styleId="ad">
    <w:name w:val="Placeholder Text"/>
    <w:basedOn w:val="a0"/>
    <w:uiPriority w:val="99"/>
    <w:semiHidden/>
    <w:qFormat/>
    <w:rPr>
      <w:color w:val="808080"/>
    </w:rPr>
  </w:style>
  <w:style w:type="character" w:customStyle="1" w:styleId="superscript">
    <w:name w:val="superscript"/>
    <w:basedOn w:val="a0"/>
    <w:qFormat/>
  </w:style>
  <w:style w:type="paragraph" w:customStyle="1" w:styleId="10">
    <w:name w:val="正文1"/>
    <w:uiPriority w:val="99"/>
    <w:qFormat/>
    <w:pPr>
      <w:spacing w:line="276" w:lineRule="auto"/>
    </w:pPr>
    <w:rPr>
      <w:rFonts w:ascii="Arial" w:eastAsia="宋体" w:hAnsi="Arial" w:cs="Arial"/>
      <w:color w:val="000000"/>
      <w:sz w:val="22"/>
      <w:lang w:val="pl-PL" w:eastAsia="pl-PL"/>
    </w:rPr>
  </w:style>
  <w:style w:type="character" w:customStyle="1" w:styleId="11">
    <w:name w:val="批注文字 字符1"/>
    <w:basedOn w:val="a0"/>
    <w:uiPriority w:val="99"/>
    <w:qFormat/>
    <w:rPr>
      <w:rFonts w:eastAsiaTheme="minorEastAsia"/>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czwzy99@163.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455B76-F2AA-4515-8F83-E9BEA5376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6926</Words>
  <Characters>39484</Characters>
  <Application>Microsoft Office Word</Application>
  <DocSecurity>0</DocSecurity>
  <Lines>329</Lines>
  <Paragraphs>92</Paragraphs>
  <ScaleCrop>false</ScaleCrop>
  <Company/>
  <LinksUpToDate>false</LinksUpToDate>
  <CharactersWithSpaces>46318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Wang Tianqi</cp:lastModifiedBy>
  <cp:revision>3</cp:revision>
  <dcterms:created xsi:type="dcterms:W3CDTF">2019-10-22T02:26:00Z</dcterms:created>
  <dcterms:modified xsi:type="dcterms:W3CDTF">2019-10-22T02:35:00Z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