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85D0BB" w14:textId="41F843C8" w:rsidR="00152FA5" w:rsidRPr="00907C84" w:rsidRDefault="00152FA5" w:rsidP="00907C84">
      <w:pPr>
        <w:adjustRightInd w:val="0"/>
        <w:snapToGrid w:val="0"/>
        <w:spacing w:after="0" w:line="360" w:lineRule="auto"/>
        <w:jc w:val="both"/>
        <w:rPr>
          <w:rFonts w:ascii="Book Antiqua" w:eastAsia="宋体" w:hAnsi="Book Antiqua" w:cs="Times New Roman"/>
          <w:b/>
          <w:sz w:val="24"/>
          <w:szCs w:val="24"/>
          <w:highlight w:val="white"/>
          <w:lang w:eastAsia="zh-CN"/>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bookmarkStart w:id="11" w:name="OLE_LINK246"/>
      <w:bookmarkStart w:id="12" w:name="OLE_LINK636"/>
      <w:bookmarkStart w:id="13" w:name="OLE_LINK654"/>
      <w:bookmarkStart w:id="14" w:name="OLE_LINK849"/>
      <w:bookmarkStart w:id="15" w:name="OLE_LINK939"/>
      <w:bookmarkStart w:id="16" w:name="OLE_LINK1000"/>
      <w:bookmarkStart w:id="17" w:name="OLE_LINK1039"/>
      <w:bookmarkStart w:id="18" w:name="OLE_LINK1050"/>
      <w:bookmarkStart w:id="19" w:name="OLE_LINK1071"/>
      <w:bookmarkStart w:id="20" w:name="OLE_LINK255"/>
      <w:bookmarkStart w:id="21" w:name="OLE_LINK578"/>
      <w:r w:rsidRPr="00907C84">
        <w:rPr>
          <w:rFonts w:ascii="Book Antiqua" w:eastAsia="宋体" w:hAnsi="Book Antiqua" w:cs="Times New Roman"/>
          <w:b/>
          <w:sz w:val="24"/>
          <w:szCs w:val="24"/>
          <w:highlight w:val="white"/>
          <w:lang w:eastAsia="zh-CN"/>
        </w:rPr>
        <w:t xml:space="preserve">Name of </w:t>
      </w:r>
      <w:r w:rsidRPr="00907C84">
        <w:rPr>
          <w:rFonts w:ascii="Book Antiqua" w:eastAsia="宋体" w:hAnsi="Book Antiqua" w:cs="Times New Roman"/>
          <w:b/>
          <w:caps/>
          <w:sz w:val="24"/>
          <w:szCs w:val="24"/>
          <w:highlight w:val="white"/>
          <w:lang w:eastAsia="zh-CN"/>
        </w:rPr>
        <w:t>j</w:t>
      </w:r>
      <w:r w:rsidRPr="00907C84">
        <w:rPr>
          <w:rFonts w:ascii="Book Antiqua" w:eastAsia="宋体" w:hAnsi="Book Antiqua" w:cs="Times New Roman"/>
          <w:b/>
          <w:sz w:val="24"/>
          <w:szCs w:val="24"/>
          <w:highlight w:val="white"/>
          <w:lang w:eastAsia="zh-CN"/>
        </w:rPr>
        <w:t xml:space="preserve">ournal: </w:t>
      </w:r>
      <w:r w:rsidRPr="00907C84">
        <w:rPr>
          <w:rFonts w:ascii="Book Antiqua" w:eastAsia="宋体" w:hAnsi="Book Antiqua" w:cs="Times New Roman"/>
          <w:b/>
          <w:i/>
          <w:sz w:val="24"/>
          <w:szCs w:val="24"/>
          <w:lang w:eastAsia="zh-CN"/>
        </w:rPr>
        <w:t>World Journal of Orthopedics</w:t>
      </w:r>
    </w:p>
    <w:p w14:paraId="05A55015" w14:textId="02E8581A" w:rsidR="00152FA5" w:rsidRPr="00907C84" w:rsidRDefault="00152FA5" w:rsidP="00907C84">
      <w:pPr>
        <w:adjustRightInd w:val="0"/>
        <w:snapToGrid w:val="0"/>
        <w:spacing w:after="0" w:line="360" w:lineRule="auto"/>
        <w:jc w:val="both"/>
        <w:rPr>
          <w:rFonts w:ascii="Book Antiqua" w:eastAsia="宋体" w:hAnsi="Book Antiqua" w:cs="Times New Roman"/>
          <w:b/>
          <w:i/>
          <w:sz w:val="24"/>
          <w:szCs w:val="24"/>
          <w:highlight w:val="white"/>
          <w:lang w:eastAsia="zh-CN"/>
        </w:rPr>
      </w:pPr>
      <w:bookmarkStart w:id="22" w:name="OLE_LINK485"/>
      <w:bookmarkStart w:id="23" w:name="OLE_LINK486"/>
      <w:bookmarkStart w:id="24" w:name="OLE_LINK661"/>
      <w:bookmarkStart w:id="25" w:name="OLE_LINK768"/>
      <w:bookmarkStart w:id="26" w:name="OLE_LINK568"/>
      <w:bookmarkStart w:id="27" w:name="OLE_LINK499"/>
      <w:bookmarkStart w:id="28" w:name="OLE_LINK437"/>
      <w:bookmarkStart w:id="29" w:name="OLE_LINK514"/>
      <w:bookmarkStart w:id="30" w:name="OLE_LINK515"/>
      <w:bookmarkStart w:id="31" w:name="OLE_LINK13"/>
      <w:bookmarkStart w:id="32" w:name="OLE_LINK351"/>
      <w:bookmarkStart w:id="33" w:name="OLE_LINK425"/>
      <w:r w:rsidRPr="00907C84">
        <w:rPr>
          <w:rFonts w:ascii="Book Antiqua" w:eastAsia="宋体" w:hAnsi="Book Antiqua" w:cs="Times New Roman"/>
          <w:b/>
          <w:sz w:val="24"/>
          <w:szCs w:val="24"/>
          <w:highlight w:val="white"/>
          <w:lang w:val="pl-PL" w:eastAsia="zh-CN"/>
        </w:rPr>
        <w:t>Manuscript NO:</w:t>
      </w:r>
      <w:bookmarkEnd w:id="22"/>
      <w:bookmarkEnd w:id="23"/>
      <w:bookmarkEnd w:id="24"/>
      <w:bookmarkEnd w:id="25"/>
      <w:bookmarkEnd w:id="26"/>
      <w:r w:rsidRPr="00907C84">
        <w:rPr>
          <w:rFonts w:ascii="Book Antiqua" w:eastAsia="宋体" w:hAnsi="Book Antiqua" w:cs="Times New Roman"/>
          <w:b/>
          <w:sz w:val="24"/>
          <w:szCs w:val="24"/>
          <w:highlight w:val="white"/>
          <w:lang w:val="pl-PL" w:eastAsia="zh-CN"/>
        </w:rPr>
        <w:t xml:space="preserve"> </w:t>
      </w:r>
      <w:bookmarkEnd w:id="27"/>
      <w:bookmarkEnd w:id="28"/>
      <w:r w:rsidR="00927772" w:rsidRPr="00907C84">
        <w:rPr>
          <w:rFonts w:ascii="Book Antiqua" w:eastAsia="宋体" w:hAnsi="Book Antiqua" w:cs="Times New Roman"/>
          <w:b/>
          <w:sz w:val="24"/>
          <w:szCs w:val="24"/>
          <w:highlight w:val="white"/>
          <w:lang w:val="pl-PL" w:eastAsia="zh-CN"/>
        </w:rPr>
        <w:t>49898</w:t>
      </w:r>
    </w:p>
    <w:p w14:paraId="118FDA41" w14:textId="45B0E002" w:rsidR="00907C84" w:rsidRDefault="00152FA5" w:rsidP="00907C84">
      <w:pPr>
        <w:adjustRightInd w:val="0"/>
        <w:snapToGrid w:val="0"/>
        <w:spacing w:after="0" w:line="360" w:lineRule="auto"/>
        <w:jc w:val="both"/>
        <w:rPr>
          <w:rFonts w:ascii="Book Antiqua" w:eastAsia="宋体" w:hAnsi="Book Antiqua" w:cs="宋体"/>
          <w:b/>
          <w:sz w:val="24"/>
          <w:szCs w:val="24"/>
          <w:lang w:val="it-IT" w:eastAsia="zh-CN"/>
        </w:rPr>
      </w:pPr>
      <w:bookmarkStart w:id="34" w:name="OLE_LINK511"/>
      <w:bookmarkStart w:id="35" w:name="OLE_LINK512"/>
      <w:bookmarkEnd w:id="29"/>
      <w:bookmarkEnd w:id="30"/>
      <w:bookmarkEnd w:id="31"/>
      <w:bookmarkEnd w:id="32"/>
      <w:bookmarkEnd w:id="33"/>
      <w:r w:rsidRPr="00907C84">
        <w:rPr>
          <w:rFonts w:ascii="Book Antiqua" w:eastAsia="宋体" w:hAnsi="Book Antiqua" w:cs="宋体"/>
          <w:b/>
          <w:sz w:val="24"/>
          <w:szCs w:val="24"/>
          <w:highlight w:val="white"/>
          <w:lang w:val="it-IT" w:eastAsia="zh-CN"/>
        </w:rPr>
        <w:t xml:space="preserve">Manuscript </w:t>
      </w:r>
      <w:r w:rsidRPr="00907C84">
        <w:rPr>
          <w:rFonts w:ascii="Book Antiqua" w:eastAsia="宋体" w:hAnsi="Book Antiqua" w:cs="宋体"/>
          <w:b/>
          <w:caps/>
          <w:sz w:val="24"/>
          <w:szCs w:val="24"/>
          <w:highlight w:val="white"/>
          <w:lang w:eastAsia="zh-CN"/>
        </w:rPr>
        <w:t>t</w:t>
      </w:r>
      <w:r w:rsidRPr="00907C84">
        <w:rPr>
          <w:rFonts w:ascii="Book Antiqua" w:eastAsia="宋体" w:hAnsi="Book Antiqua" w:cs="宋体"/>
          <w:b/>
          <w:sz w:val="24"/>
          <w:szCs w:val="24"/>
          <w:highlight w:val="white"/>
          <w:lang w:val="it-IT" w:eastAsia="zh-CN"/>
        </w:rPr>
        <w:t>ype</w:t>
      </w:r>
      <w:r w:rsidRPr="00907C84">
        <w:rPr>
          <w:rFonts w:ascii="Book Antiqua" w:eastAsia="宋体" w:hAnsi="Book Antiqua" w:cs="宋体"/>
          <w:b/>
          <w:sz w:val="24"/>
          <w:szCs w:val="24"/>
          <w:lang w:val="it-IT" w:eastAsia="zh-CN"/>
        </w:rPr>
        <w:t>:</w:t>
      </w:r>
      <w:bookmarkEnd w:id="0"/>
      <w:bookmarkEnd w:id="1"/>
      <w:bookmarkEnd w:id="2"/>
      <w:bookmarkEnd w:id="3"/>
      <w:bookmarkEnd w:id="4"/>
      <w:bookmarkEnd w:id="5"/>
      <w:bookmarkEnd w:id="6"/>
      <w:bookmarkEnd w:id="7"/>
      <w:bookmarkEnd w:id="8"/>
      <w:bookmarkEnd w:id="9"/>
      <w:bookmarkEnd w:id="10"/>
      <w:bookmarkEnd w:id="11"/>
      <w:r w:rsidRPr="00907C84">
        <w:rPr>
          <w:rFonts w:ascii="Book Antiqua" w:eastAsia="宋体" w:hAnsi="Book Antiqua" w:cs="宋体"/>
          <w:b/>
          <w:sz w:val="24"/>
          <w:szCs w:val="24"/>
          <w:lang w:val="it-IT" w:eastAsia="zh-CN"/>
        </w:rPr>
        <w:t xml:space="preserve"> </w:t>
      </w:r>
      <w:r w:rsidR="00907C84">
        <w:rPr>
          <w:rFonts w:ascii="Book Antiqua" w:eastAsia="宋体" w:hAnsi="Book Antiqua" w:cs="宋体"/>
          <w:b/>
          <w:sz w:val="24"/>
          <w:szCs w:val="24"/>
          <w:lang w:val="it-IT" w:eastAsia="zh-CN"/>
        </w:rPr>
        <w:t>REVIEW</w:t>
      </w:r>
    </w:p>
    <w:p w14:paraId="6D4E5F17" w14:textId="77777777" w:rsidR="00907C84" w:rsidRPr="00907C84" w:rsidRDefault="00907C84" w:rsidP="00907C84">
      <w:pPr>
        <w:adjustRightInd w:val="0"/>
        <w:snapToGrid w:val="0"/>
        <w:spacing w:after="0" w:line="360" w:lineRule="auto"/>
        <w:jc w:val="both"/>
        <w:rPr>
          <w:rFonts w:ascii="Book Antiqua" w:eastAsia="宋体" w:hAnsi="Book Antiqua" w:cs="宋体"/>
          <w:b/>
          <w:sz w:val="24"/>
          <w:szCs w:val="24"/>
          <w:lang w:val="it-IT" w:eastAsia="zh-CN"/>
        </w:rPr>
      </w:pPr>
    </w:p>
    <w:p w14:paraId="31FDE74F" w14:textId="7E86ED0B" w:rsidR="00152FA5" w:rsidRDefault="00907C84" w:rsidP="00907C84">
      <w:pPr>
        <w:adjustRightInd w:val="0"/>
        <w:snapToGrid w:val="0"/>
        <w:spacing w:after="0" w:line="360" w:lineRule="auto"/>
        <w:jc w:val="both"/>
        <w:rPr>
          <w:rFonts w:ascii="Book Antiqua" w:eastAsia="宋体" w:hAnsi="Book Antiqua" w:cs="宋体"/>
          <w:b/>
          <w:sz w:val="24"/>
          <w:szCs w:val="24"/>
          <w:lang w:val="it-IT" w:eastAsia="zh-CN"/>
        </w:rPr>
      </w:pPr>
      <w:r w:rsidRPr="00907C84">
        <w:rPr>
          <w:rFonts w:ascii="Book Antiqua" w:eastAsia="宋体" w:hAnsi="Book Antiqua" w:cs="宋体"/>
          <w:b/>
          <w:sz w:val="24"/>
          <w:szCs w:val="24"/>
          <w:lang w:val="it-IT" w:eastAsia="zh-CN"/>
        </w:rPr>
        <w:t>Impact of dental clearance on total joint arthroplasty</w:t>
      </w:r>
      <w:r w:rsidR="00CD4503">
        <w:rPr>
          <w:rFonts w:ascii="Book Antiqua" w:eastAsia="宋体" w:hAnsi="Book Antiqua" w:cs="宋体"/>
          <w:b/>
          <w:sz w:val="24"/>
          <w:szCs w:val="24"/>
          <w:lang w:val="it-IT" w:eastAsia="zh-CN"/>
        </w:rPr>
        <w:t>:</w:t>
      </w:r>
      <w:r w:rsidRPr="00907C84">
        <w:rPr>
          <w:rFonts w:ascii="Book Antiqua" w:eastAsia="宋体" w:hAnsi="Book Antiqua" w:cs="宋体"/>
          <w:b/>
          <w:sz w:val="24"/>
          <w:szCs w:val="24"/>
          <w:lang w:val="it-IT" w:eastAsia="zh-CN"/>
        </w:rPr>
        <w:t xml:space="preserve"> </w:t>
      </w:r>
      <w:r w:rsidR="00CD4503">
        <w:rPr>
          <w:rFonts w:ascii="Book Antiqua" w:eastAsia="宋体" w:hAnsi="Book Antiqua" w:cs="宋体"/>
          <w:b/>
          <w:sz w:val="24"/>
          <w:szCs w:val="24"/>
          <w:lang w:val="it-IT" w:eastAsia="zh-CN"/>
        </w:rPr>
        <w:t>A</w:t>
      </w:r>
      <w:r w:rsidRPr="00907C84">
        <w:rPr>
          <w:rFonts w:ascii="Book Antiqua" w:eastAsia="宋体" w:hAnsi="Book Antiqua" w:cs="宋体"/>
          <w:b/>
          <w:sz w:val="24"/>
          <w:szCs w:val="24"/>
          <w:lang w:val="it-IT" w:eastAsia="zh-CN"/>
        </w:rPr>
        <w:t xml:space="preserve"> systematic review</w:t>
      </w:r>
    </w:p>
    <w:p w14:paraId="527F1B4F" w14:textId="77777777" w:rsidR="00907C84" w:rsidRPr="00907C84" w:rsidRDefault="00907C84" w:rsidP="00907C84">
      <w:pPr>
        <w:adjustRightInd w:val="0"/>
        <w:snapToGrid w:val="0"/>
        <w:spacing w:after="0" w:line="360" w:lineRule="auto"/>
        <w:jc w:val="both"/>
        <w:rPr>
          <w:rFonts w:ascii="Book Antiqua" w:eastAsia="宋体" w:hAnsi="Book Antiqua" w:cs="宋体"/>
          <w:b/>
          <w:sz w:val="24"/>
          <w:szCs w:val="24"/>
          <w:lang w:val="it-IT" w:eastAsia="zh-CN"/>
        </w:rPr>
      </w:pPr>
    </w:p>
    <w:bookmarkEnd w:id="12"/>
    <w:bookmarkEnd w:id="13"/>
    <w:bookmarkEnd w:id="14"/>
    <w:bookmarkEnd w:id="15"/>
    <w:bookmarkEnd w:id="16"/>
    <w:bookmarkEnd w:id="17"/>
    <w:bookmarkEnd w:id="18"/>
    <w:bookmarkEnd w:id="19"/>
    <w:bookmarkEnd w:id="20"/>
    <w:bookmarkEnd w:id="21"/>
    <w:bookmarkEnd w:id="34"/>
    <w:bookmarkEnd w:id="35"/>
    <w:p w14:paraId="21A1AFE6" w14:textId="77E52193" w:rsidR="00152FA5" w:rsidRDefault="00907C84" w:rsidP="00907C84">
      <w:pPr>
        <w:adjustRightInd w:val="0"/>
        <w:snapToGrid w:val="0"/>
        <w:spacing w:after="0" w:line="360" w:lineRule="auto"/>
        <w:jc w:val="both"/>
        <w:rPr>
          <w:rFonts w:ascii="Book Antiqua" w:hAnsi="Book Antiqua" w:cs="Times New Roman"/>
          <w:bCs/>
          <w:sz w:val="24"/>
          <w:szCs w:val="24"/>
        </w:rPr>
      </w:pPr>
      <w:r w:rsidRPr="00907C84">
        <w:rPr>
          <w:rFonts w:ascii="Book Antiqua" w:hAnsi="Book Antiqua" w:cs="Times New Roman"/>
          <w:sz w:val="24"/>
          <w:szCs w:val="24"/>
        </w:rPr>
        <w:t xml:space="preserve">Frey </w:t>
      </w:r>
      <w:r>
        <w:rPr>
          <w:rFonts w:ascii="Book Antiqua" w:hAnsi="Book Antiqua" w:cs="Times New Roman"/>
          <w:sz w:val="24"/>
          <w:szCs w:val="24"/>
        </w:rPr>
        <w:t xml:space="preserve">C </w:t>
      </w:r>
      <w:r w:rsidR="00E8220F" w:rsidRPr="00E8220F">
        <w:rPr>
          <w:rFonts w:ascii="Book Antiqua" w:hAnsi="Book Antiqua" w:cs="Times New Roman" w:hint="eastAsia"/>
          <w:i/>
          <w:iCs/>
          <w:sz w:val="24"/>
          <w:szCs w:val="24"/>
          <w:lang w:eastAsia="zh-CN"/>
        </w:rPr>
        <w:t>et al</w:t>
      </w:r>
      <w:r w:rsidR="00C07A76">
        <w:rPr>
          <w:rFonts w:ascii="Book Antiqua" w:hAnsi="Book Antiqua" w:cs="Times New Roman"/>
          <w:i/>
          <w:iCs/>
          <w:sz w:val="24"/>
          <w:szCs w:val="24"/>
          <w:lang w:eastAsia="zh-CN"/>
        </w:rPr>
        <w:t>.</w:t>
      </w:r>
      <w:r>
        <w:rPr>
          <w:rFonts w:ascii="Book Antiqua" w:hAnsi="Book Antiqua" w:cs="Times New Roman"/>
          <w:sz w:val="24"/>
          <w:szCs w:val="24"/>
        </w:rPr>
        <w:t xml:space="preserve"> </w:t>
      </w:r>
      <w:r w:rsidRPr="00907C84">
        <w:rPr>
          <w:rFonts w:ascii="Book Antiqua" w:hAnsi="Book Antiqua" w:cs="Times New Roman"/>
          <w:bCs/>
          <w:sz w:val="24"/>
          <w:szCs w:val="24"/>
        </w:rPr>
        <w:t>Impact of dental clearance on arthroplasty</w:t>
      </w:r>
    </w:p>
    <w:p w14:paraId="44A6E67B" w14:textId="77777777" w:rsidR="00907C84" w:rsidRPr="00907C84" w:rsidRDefault="00907C84" w:rsidP="00907C84">
      <w:pPr>
        <w:adjustRightInd w:val="0"/>
        <w:snapToGrid w:val="0"/>
        <w:spacing w:after="0" w:line="360" w:lineRule="auto"/>
        <w:jc w:val="both"/>
        <w:rPr>
          <w:rFonts w:ascii="Book Antiqua" w:hAnsi="Book Antiqua" w:cs="Times New Roman"/>
          <w:bCs/>
          <w:sz w:val="24"/>
          <w:szCs w:val="24"/>
        </w:rPr>
      </w:pPr>
    </w:p>
    <w:p w14:paraId="015DCB36" w14:textId="0BBB6BF4" w:rsidR="00D22D24" w:rsidRDefault="00907C84" w:rsidP="00907C84">
      <w:pPr>
        <w:adjustRightInd w:val="0"/>
        <w:snapToGrid w:val="0"/>
        <w:spacing w:after="0" w:line="360" w:lineRule="auto"/>
        <w:jc w:val="both"/>
        <w:rPr>
          <w:rFonts w:ascii="Book Antiqua" w:hAnsi="Book Antiqua" w:cs="Times New Roman"/>
          <w:b/>
          <w:sz w:val="24"/>
          <w:szCs w:val="24"/>
        </w:rPr>
      </w:pPr>
      <w:r w:rsidRPr="00907C84">
        <w:rPr>
          <w:rFonts w:ascii="Book Antiqua" w:hAnsi="Book Antiqua" w:cs="Times New Roman"/>
          <w:sz w:val="24"/>
          <w:szCs w:val="24"/>
        </w:rPr>
        <w:t>Christopher Frey</w:t>
      </w:r>
      <w:r>
        <w:rPr>
          <w:rFonts w:ascii="Book Antiqua" w:hAnsi="Book Antiqua" w:cs="Times New Roman"/>
          <w:sz w:val="24"/>
          <w:szCs w:val="24"/>
        </w:rPr>
        <w:t xml:space="preserve">, </w:t>
      </w:r>
      <w:r w:rsidRPr="00907C84">
        <w:rPr>
          <w:rFonts w:ascii="Book Antiqua" w:hAnsi="Book Antiqua" w:cs="Times New Roman"/>
          <w:sz w:val="24"/>
          <w:szCs w:val="24"/>
        </w:rPr>
        <w:t>Sergio Navarro</w:t>
      </w:r>
      <w:r>
        <w:rPr>
          <w:rFonts w:ascii="Book Antiqua" w:hAnsi="Book Antiqua" w:cs="Times New Roman"/>
          <w:sz w:val="24"/>
          <w:szCs w:val="24"/>
        </w:rPr>
        <w:t xml:space="preserve">, </w:t>
      </w:r>
      <w:r w:rsidRPr="00907C84">
        <w:rPr>
          <w:rFonts w:ascii="Book Antiqua" w:hAnsi="Book Antiqua" w:cs="Times New Roman"/>
          <w:sz w:val="24"/>
          <w:szCs w:val="24"/>
        </w:rPr>
        <w:t>Terri Blackwell</w:t>
      </w:r>
      <w:r>
        <w:rPr>
          <w:rFonts w:ascii="Book Antiqua" w:hAnsi="Book Antiqua" w:cs="Times New Roman"/>
          <w:sz w:val="24"/>
          <w:szCs w:val="24"/>
        </w:rPr>
        <w:t xml:space="preserve">, </w:t>
      </w:r>
      <w:r w:rsidRPr="00907C84">
        <w:rPr>
          <w:rFonts w:ascii="Book Antiqua" w:hAnsi="Book Antiqua" w:cs="Times New Roman"/>
          <w:sz w:val="24"/>
          <w:szCs w:val="24"/>
        </w:rPr>
        <w:t xml:space="preserve">Carla </w:t>
      </w:r>
      <w:proofErr w:type="spellStart"/>
      <w:r w:rsidRPr="00907C84">
        <w:rPr>
          <w:rFonts w:ascii="Book Antiqua" w:hAnsi="Book Antiqua" w:cs="Times New Roman"/>
          <w:sz w:val="24"/>
          <w:szCs w:val="24"/>
        </w:rPr>
        <w:t>Lidner</w:t>
      </w:r>
      <w:proofErr w:type="spellEnd"/>
      <w:r>
        <w:rPr>
          <w:rFonts w:ascii="Book Antiqua" w:hAnsi="Book Antiqua" w:cs="Times New Roman"/>
          <w:sz w:val="24"/>
          <w:szCs w:val="24"/>
        </w:rPr>
        <w:t xml:space="preserve">, </w:t>
      </w:r>
      <w:r w:rsidRPr="00907C84">
        <w:rPr>
          <w:rFonts w:ascii="Book Antiqua" w:hAnsi="Book Antiqua" w:cs="Times New Roman"/>
          <w:sz w:val="24"/>
          <w:szCs w:val="24"/>
        </w:rPr>
        <w:t xml:space="preserve">H Del </w:t>
      </w:r>
      <w:proofErr w:type="spellStart"/>
      <w:r w:rsidRPr="00907C84">
        <w:rPr>
          <w:rFonts w:ascii="Book Antiqua" w:hAnsi="Book Antiqua" w:cs="Times New Roman"/>
          <w:sz w:val="24"/>
          <w:szCs w:val="24"/>
        </w:rPr>
        <w:t>Schutte</w:t>
      </w:r>
      <w:proofErr w:type="spellEnd"/>
      <w:r w:rsidRPr="00907C84">
        <w:rPr>
          <w:rFonts w:ascii="Book Antiqua" w:hAnsi="Book Antiqua" w:cs="Times New Roman"/>
          <w:sz w:val="24"/>
          <w:szCs w:val="24"/>
        </w:rPr>
        <w:t xml:space="preserve"> Jr</w:t>
      </w:r>
    </w:p>
    <w:p w14:paraId="219D19D6" w14:textId="77777777" w:rsidR="00907C84" w:rsidRPr="00907C84" w:rsidRDefault="00907C84" w:rsidP="00907C84">
      <w:pPr>
        <w:adjustRightInd w:val="0"/>
        <w:snapToGrid w:val="0"/>
        <w:spacing w:after="0" w:line="360" w:lineRule="auto"/>
        <w:jc w:val="both"/>
        <w:rPr>
          <w:rFonts w:ascii="Book Antiqua" w:hAnsi="Book Antiqua" w:cs="Times New Roman"/>
          <w:b/>
          <w:sz w:val="24"/>
          <w:szCs w:val="24"/>
        </w:rPr>
      </w:pPr>
    </w:p>
    <w:p w14:paraId="777EDB7A" w14:textId="465840BF" w:rsidR="00927772" w:rsidRDefault="00F47356" w:rsidP="00907C84">
      <w:pPr>
        <w:adjustRightInd w:val="0"/>
        <w:snapToGrid w:val="0"/>
        <w:spacing w:after="0" w:line="360" w:lineRule="auto"/>
        <w:jc w:val="both"/>
        <w:rPr>
          <w:rFonts w:ascii="Book Antiqua" w:hAnsi="Book Antiqua" w:cs="Times New Roman"/>
          <w:sz w:val="24"/>
          <w:szCs w:val="24"/>
        </w:rPr>
      </w:pPr>
      <w:r w:rsidRPr="00907C84">
        <w:rPr>
          <w:rFonts w:ascii="Book Antiqua" w:hAnsi="Book Antiqua" w:cs="Times New Roman"/>
          <w:b/>
          <w:bCs/>
          <w:sz w:val="24"/>
          <w:szCs w:val="24"/>
        </w:rPr>
        <w:t>Christopher Frey</w:t>
      </w:r>
      <w:r w:rsidR="00927772" w:rsidRPr="00907C84">
        <w:rPr>
          <w:rFonts w:ascii="Book Antiqua" w:hAnsi="Book Antiqua" w:cs="Times New Roman"/>
          <w:b/>
          <w:bCs/>
          <w:sz w:val="24"/>
          <w:szCs w:val="24"/>
        </w:rPr>
        <w:t>,</w:t>
      </w:r>
      <w:r w:rsidR="00927772" w:rsidRPr="00907C84">
        <w:rPr>
          <w:rFonts w:ascii="Book Antiqua" w:hAnsi="Book Antiqua" w:cs="Times New Roman"/>
          <w:sz w:val="24"/>
          <w:szCs w:val="24"/>
        </w:rPr>
        <w:t xml:space="preserve"> Department of Orthopedic Surgery, Stanford Medicine, Redwood City, CA 94063, United States</w:t>
      </w:r>
    </w:p>
    <w:p w14:paraId="36827892" w14:textId="77777777" w:rsidR="00907C84" w:rsidRPr="00907C84" w:rsidRDefault="00907C84" w:rsidP="00907C84">
      <w:pPr>
        <w:adjustRightInd w:val="0"/>
        <w:snapToGrid w:val="0"/>
        <w:spacing w:after="0" w:line="360" w:lineRule="auto"/>
        <w:jc w:val="both"/>
        <w:rPr>
          <w:rFonts w:ascii="Book Antiqua" w:hAnsi="Book Antiqua" w:cs="Times New Roman"/>
          <w:sz w:val="24"/>
          <w:szCs w:val="24"/>
          <w:lang w:eastAsia="zh-CN"/>
        </w:rPr>
      </w:pPr>
    </w:p>
    <w:p w14:paraId="55EC1311" w14:textId="5AF30FB7" w:rsidR="00512846" w:rsidRDefault="00F47356" w:rsidP="00907C84">
      <w:pPr>
        <w:adjustRightInd w:val="0"/>
        <w:snapToGrid w:val="0"/>
        <w:spacing w:after="0" w:line="360" w:lineRule="auto"/>
        <w:jc w:val="both"/>
        <w:rPr>
          <w:rFonts w:ascii="Book Antiqua" w:hAnsi="Book Antiqua" w:cs="Times New Roman"/>
          <w:sz w:val="24"/>
          <w:szCs w:val="24"/>
        </w:rPr>
      </w:pPr>
      <w:r w:rsidRPr="00512846">
        <w:rPr>
          <w:rFonts w:ascii="Book Antiqua" w:hAnsi="Book Antiqua" w:cs="Times New Roman"/>
          <w:b/>
          <w:bCs/>
          <w:sz w:val="24"/>
          <w:szCs w:val="24"/>
        </w:rPr>
        <w:t>Sergio Navarro</w:t>
      </w:r>
      <w:r w:rsidR="0018540F" w:rsidRPr="00512846">
        <w:rPr>
          <w:rFonts w:ascii="Book Antiqua" w:hAnsi="Book Antiqua" w:cs="Times New Roman"/>
          <w:b/>
          <w:bCs/>
          <w:sz w:val="24"/>
          <w:szCs w:val="24"/>
        </w:rPr>
        <w:t>,</w:t>
      </w:r>
      <w:r w:rsidR="00927772" w:rsidRPr="00907C84">
        <w:rPr>
          <w:rFonts w:ascii="Book Antiqua" w:hAnsi="Book Antiqua" w:cs="Times New Roman"/>
          <w:sz w:val="24"/>
          <w:szCs w:val="24"/>
        </w:rPr>
        <w:t xml:space="preserve"> Baylor College of Medicine, Houston, TX 77030, </w:t>
      </w:r>
      <w:r w:rsidR="00C106A0" w:rsidRPr="00907C84">
        <w:rPr>
          <w:rFonts w:ascii="Book Antiqua" w:hAnsi="Book Antiqua" w:cs="Times New Roman"/>
          <w:sz w:val="24"/>
          <w:szCs w:val="24"/>
        </w:rPr>
        <w:t>United States</w:t>
      </w:r>
    </w:p>
    <w:p w14:paraId="2902A368" w14:textId="77777777" w:rsidR="00512846" w:rsidRDefault="00512846" w:rsidP="00907C84">
      <w:pPr>
        <w:adjustRightInd w:val="0"/>
        <w:snapToGrid w:val="0"/>
        <w:spacing w:after="0" w:line="360" w:lineRule="auto"/>
        <w:jc w:val="both"/>
        <w:rPr>
          <w:rFonts w:ascii="Book Antiqua" w:hAnsi="Book Antiqua" w:cs="Times New Roman"/>
          <w:sz w:val="24"/>
          <w:szCs w:val="24"/>
        </w:rPr>
      </w:pPr>
    </w:p>
    <w:p w14:paraId="44F6EA3D" w14:textId="07A61062" w:rsidR="00927772" w:rsidRDefault="0062386C" w:rsidP="00907C84">
      <w:pPr>
        <w:adjustRightInd w:val="0"/>
        <w:snapToGrid w:val="0"/>
        <w:spacing w:after="0" w:line="360" w:lineRule="auto"/>
        <w:jc w:val="both"/>
        <w:rPr>
          <w:rFonts w:ascii="Book Antiqua" w:hAnsi="Book Antiqua" w:cs="Times New Roman"/>
          <w:sz w:val="24"/>
          <w:szCs w:val="24"/>
        </w:rPr>
      </w:pPr>
      <w:r w:rsidRPr="00512846">
        <w:rPr>
          <w:rFonts w:ascii="Book Antiqua" w:hAnsi="Book Antiqua" w:cs="Times New Roman"/>
          <w:b/>
          <w:bCs/>
          <w:sz w:val="24"/>
          <w:szCs w:val="24"/>
        </w:rPr>
        <w:t>Sergio Navarro,</w:t>
      </w:r>
      <w:r>
        <w:rPr>
          <w:rFonts w:ascii="Book Antiqua" w:hAnsi="Book Antiqua" w:cs="Times New Roman"/>
          <w:b/>
          <w:bCs/>
          <w:sz w:val="24"/>
          <w:szCs w:val="24"/>
        </w:rPr>
        <w:t xml:space="preserve"> </w:t>
      </w:r>
      <w:r w:rsidR="00C106A0" w:rsidRPr="00907C84">
        <w:rPr>
          <w:rFonts w:ascii="Book Antiqua" w:hAnsi="Book Antiqua" w:cs="Times New Roman"/>
          <w:sz w:val="24"/>
          <w:szCs w:val="24"/>
        </w:rPr>
        <w:t>Said School of Business University of Oxford, Oxford OX1 1HP, United Kingdom</w:t>
      </w:r>
    </w:p>
    <w:p w14:paraId="2E4C0177" w14:textId="77777777" w:rsidR="00512846" w:rsidRPr="00907C84" w:rsidRDefault="00512846" w:rsidP="00907C84">
      <w:pPr>
        <w:adjustRightInd w:val="0"/>
        <w:snapToGrid w:val="0"/>
        <w:spacing w:after="0" w:line="360" w:lineRule="auto"/>
        <w:jc w:val="both"/>
        <w:rPr>
          <w:rFonts w:ascii="Book Antiqua" w:hAnsi="Book Antiqua" w:cs="Times New Roman"/>
          <w:sz w:val="24"/>
          <w:szCs w:val="24"/>
        </w:rPr>
      </w:pPr>
    </w:p>
    <w:p w14:paraId="3BC298A8" w14:textId="51374C4D" w:rsidR="00927772" w:rsidRDefault="00F47356" w:rsidP="00907C84">
      <w:pPr>
        <w:adjustRightInd w:val="0"/>
        <w:snapToGrid w:val="0"/>
        <w:spacing w:after="0" w:line="360" w:lineRule="auto"/>
        <w:jc w:val="both"/>
        <w:rPr>
          <w:rFonts w:ascii="Book Antiqua" w:hAnsi="Book Antiqua" w:cs="Times New Roman"/>
          <w:sz w:val="24"/>
          <w:szCs w:val="24"/>
        </w:rPr>
      </w:pPr>
      <w:r w:rsidRPr="00512846">
        <w:rPr>
          <w:rFonts w:ascii="Book Antiqua" w:hAnsi="Book Antiqua" w:cs="Times New Roman"/>
          <w:b/>
          <w:bCs/>
          <w:sz w:val="24"/>
          <w:szCs w:val="24"/>
        </w:rPr>
        <w:t>Terri Blackwell</w:t>
      </w:r>
      <w:r w:rsidR="00512846" w:rsidRPr="00512846">
        <w:rPr>
          <w:rFonts w:ascii="Book Antiqua" w:hAnsi="Book Antiqua" w:cs="Times New Roman"/>
          <w:b/>
          <w:bCs/>
          <w:sz w:val="24"/>
          <w:szCs w:val="24"/>
        </w:rPr>
        <w:t>, H Del Schutte Jr,</w:t>
      </w:r>
      <w:r w:rsidR="00E14276" w:rsidRPr="00907C84">
        <w:rPr>
          <w:rFonts w:ascii="Book Antiqua" w:hAnsi="Book Antiqua" w:cs="Times New Roman"/>
          <w:sz w:val="24"/>
          <w:szCs w:val="24"/>
        </w:rPr>
        <w:t xml:space="preserve"> </w:t>
      </w:r>
      <w:r w:rsidR="00512846" w:rsidRPr="00512846">
        <w:rPr>
          <w:rFonts w:ascii="Book Antiqua" w:hAnsi="Book Antiqua" w:cs="Times New Roman"/>
          <w:sz w:val="24"/>
          <w:szCs w:val="24"/>
        </w:rPr>
        <w:t>Comprehensive Joint Program</w:t>
      </w:r>
      <w:r w:rsidR="00512846">
        <w:rPr>
          <w:rFonts w:ascii="Book Antiqua" w:hAnsi="Book Antiqua" w:cs="Times New Roman"/>
          <w:sz w:val="24"/>
          <w:szCs w:val="24"/>
        </w:rPr>
        <w:t xml:space="preserve">, </w:t>
      </w:r>
      <w:r w:rsidR="00927772" w:rsidRPr="00907C84">
        <w:rPr>
          <w:rFonts w:ascii="Book Antiqua" w:hAnsi="Book Antiqua" w:cs="Times New Roman"/>
          <w:sz w:val="24"/>
          <w:szCs w:val="24"/>
        </w:rPr>
        <w:t>Charleston Institute for Advanced Orthopedics, Charleston, SC</w:t>
      </w:r>
      <w:r w:rsidR="00D22D24" w:rsidRPr="00907C84">
        <w:rPr>
          <w:rFonts w:ascii="Book Antiqua" w:hAnsi="Book Antiqua" w:cs="Times New Roman"/>
          <w:sz w:val="24"/>
          <w:szCs w:val="24"/>
        </w:rPr>
        <w:t xml:space="preserve"> 29464, United States</w:t>
      </w:r>
    </w:p>
    <w:p w14:paraId="71575CB5" w14:textId="77777777" w:rsidR="00512846" w:rsidRPr="00907C84" w:rsidRDefault="00512846" w:rsidP="00907C84">
      <w:pPr>
        <w:adjustRightInd w:val="0"/>
        <w:snapToGrid w:val="0"/>
        <w:spacing w:after="0" w:line="360" w:lineRule="auto"/>
        <w:jc w:val="both"/>
        <w:rPr>
          <w:rFonts w:ascii="Book Antiqua" w:hAnsi="Book Antiqua" w:cs="Times New Roman"/>
          <w:sz w:val="24"/>
          <w:szCs w:val="24"/>
        </w:rPr>
      </w:pPr>
    </w:p>
    <w:p w14:paraId="717E2C4B" w14:textId="433C105F" w:rsidR="00927772" w:rsidRPr="00907C84" w:rsidRDefault="00EE6527" w:rsidP="00907C84">
      <w:pPr>
        <w:adjustRightInd w:val="0"/>
        <w:snapToGrid w:val="0"/>
        <w:spacing w:after="0" w:line="360" w:lineRule="auto"/>
        <w:jc w:val="both"/>
        <w:rPr>
          <w:rFonts w:ascii="Book Antiqua" w:hAnsi="Book Antiqua" w:cs="Times New Roman"/>
          <w:sz w:val="24"/>
          <w:szCs w:val="24"/>
        </w:rPr>
      </w:pPr>
      <w:r w:rsidRPr="00512846">
        <w:rPr>
          <w:rFonts w:ascii="Book Antiqua" w:hAnsi="Book Antiqua" w:cs="Times New Roman"/>
          <w:b/>
          <w:bCs/>
          <w:sz w:val="24"/>
          <w:szCs w:val="24"/>
        </w:rPr>
        <w:t xml:space="preserve">Carla </w:t>
      </w:r>
      <w:proofErr w:type="spellStart"/>
      <w:r w:rsidRPr="00512846">
        <w:rPr>
          <w:rFonts w:ascii="Book Antiqua" w:hAnsi="Book Antiqua" w:cs="Times New Roman"/>
          <w:b/>
          <w:bCs/>
          <w:sz w:val="24"/>
          <w:szCs w:val="24"/>
        </w:rPr>
        <w:t>Lidner</w:t>
      </w:r>
      <w:proofErr w:type="spellEnd"/>
      <w:r w:rsidR="00512846" w:rsidRPr="00512846">
        <w:rPr>
          <w:rFonts w:ascii="Book Antiqua" w:hAnsi="Book Antiqua" w:cs="Times New Roman"/>
          <w:b/>
          <w:bCs/>
          <w:sz w:val="24"/>
          <w:szCs w:val="24"/>
        </w:rPr>
        <w:t>,</w:t>
      </w:r>
      <w:r w:rsidR="00754D77" w:rsidRPr="00907C84">
        <w:rPr>
          <w:rFonts w:ascii="Book Antiqua" w:hAnsi="Book Antiqua" w:cs="Times New Roman"/>
          <w:sz w:val="24"/>
          <w:szCs w:val="24"/>
        </w:rPr>
        <w:t xml:space="preserve"> </w:t>
      </w:r>
      <w:r w:rsidR="00512846" w:rsidRPr="00512846">
        <w:rPr>
          <w:rFonts w:ascii="Book Antiqua" w:hAnsi="Book Antiqua" w:cs="Times New Roman"/>
          <w:sz w:val="24"/>
          <w:szCs w:val="24"/>
        </w:rPr>
        <w:t>Dentistry</w:t>
      </w:r>
      <w:r w:rsidR="00512846">
        <w:rPr>
          <w:rFonts w:ascii="Book Antiqua" w:hAnsi="Book Antiqua" w:cs="Times New Roman"/>
          <w:sz w:val="24"/>
          <w:szCs w:val="24"/>
        </w:rPr>
        <w:t xml:space="preserve">, </w:t>
      </w:r>
      <w:r w:rsidR="00927772" w:rsidRPr="00907C84">
        <w:rPr>
          <w:rFonts w:ascii="Book Antiqua" w:hAnsi="Book Antiqua" w:cs="Times New Roman"/>
          <w:sz w:val="24"/>
          <w:szCs w:val="24"/>
        </w:rPr>
        <w:t>Orange County Dental Society</w:t>
      </w:r>
      <w:r w:rsidR="00D22D24" w:rsidRPr="00907C84">
        <w:rPr>
          <w:rFonts w:ascii="Book Antiqua" w:hAnsi="Book Antiqua" w:cs="Times New Roman"/>
          <w:sz w:val="24"/>
          <w:szCs w:val="24"/>
        </w:rPr>
        <w:t>, Orange, CA 92868, United States</w:t>
      </w:r>
    </w:p>
    <w:p w14:paraId="44A8A8ED" w14:textId="77777777" w:rsidR="00152FA5" w:rsidRPr="00907C84" w:rsidRDefault="00152FA5" w:rsidP="00907C84">
      <w:pPr>
        <w:adjustRightInd w:val="0"/>
        <w:snapToGrid w:val="0"/>
        <w:spacing w:after="0" w:line="360" w:lineRule="auto"/>
        <w:jc w:val="both"/>
        <w:rPr>
          <w:rFonts w:ascii="Book Antiqua" w:hAnsi="Book Antiqua" w:cs="Times New Roman"/>
          <w:sz w:val="24"/>
          <w:szCs w:val="24"/>
        </w:rPr>
      </w:pPr>
    </w:p>
    <w:p w14:paraId="7C85D956" w14:textId="4947F0B7" w:rsidR="00F356A2" w:rsidRPr="0062386C" w:rsidRDefault="00152FA5" w:rsidP="00907C84">
      <w:pPr>
        <w:adjustRightInd w:val="0"/>
        <w:snapToGrid w:val="0"/>
        <w:spacing w:after="0" w:line="360" w:lineRule="auto"/>
        <w:jc w:val="both"/>
        <w:rPr>
          <w:rFonts w:ascii="Book Antiqua" w:eastAsia="宋体" w:hAnsi="Book Antiqua" w:cs="Arial"/>
          <w:b/>
          <w:sz w:val="24"/>
          <w:szCs w:val="24"/>
          <w:lang w:val="pl-PL" w:eastAsia="pl-PL"/>
        </w:rPr>
      </w:pPr>
      <w:bookmarkStart w:id="36" w:name="OLE_LINK167"/>
      <w:bookmarkStart w:id="37" w:name="OLE_LINK170"/>
      <w:bookmarkStart w:id="38" w:name="OLE_LINK219"/>
      <w:r w:rsidRPr="00907C84">
        <w:rPr>
          <w:rFonts w:ascii="Book Antiqua" w:eastAsia="宋体" w:hAnsi="Book Antiqua" w:cs="Arial"/>
          <w:b/>
          <w:sz w:val="24"/>
          <w:szCs w:val="24"/>
          <w:lang w:val="pl-PL" w:eastAsia="pl-PL"/>
        </w:rPr>
        <w:t>ORCID number:</w:t>
      </w:r>
      <w:r w:rsidR="0062386C">
        <w:rPr>
          <w:rFonts w:ascii="Book Antiqua" w:eastAsia="宋体" w:hAnsi="Book Antiqua" w:cs="Arial" w:hint="eastAsia"/>
          <w:b/>
          <w:sz w:val="24"/>
          <w:szCs w:val="24"/>
          <w:lang w:val="pl-PL" w:eastAsia="zh-CN"/>
        </w:rPr>
        <w:t xml:space="preserve"> </w:t>
      </w:r>
      <w:r w:rsidR="00C106A0" w:rsidRPr="00907C84">
        <w:rPr>
          <w:rFonts w:ascii="Book Antiqua" w:eastAsia="宋体" w:hAnsi="Book Antiqua" w:cs="Arial"/>
          <w:bCs/>
          <w:sz w:val="24"/>
          <w:szCs w:val="24"/>
          <w:lang w:val="pl-PL" w:eastAsia="pl-PL"/>
        </w:rPr>
        <w:t>Christopher Frey (</w:t>
      </w:r>
      <w:bookmarkEnd w:id="36"/>
      <w:bookmarkEnd w:id="37"/>
      <w:r w:rsidR="00C106A0" w:rsidRPr="00907C84">
        <w:rPr>
          <w:rFonts w:ascii="Book Antiqua" w:eastAsia="宋体" w:hAnsi="Book Antiqua" w:cs="Arial"/>
          <w:bCs/>
          <w:sz w:val="24"/>
          <w:szCs w:val="24"/>
          <w:lang w:val="pl-PL" w:eastAsia="zh-CN"/>
        </w:rPr>
        <w:t>0000-0001-7009-7977</w:t>
      </w:r>
      <w:bookmarkEnd w:id="38"/>
      <w:r w:rsidR="00C106A0" w:rsidRPr="00907C84">
        <w:rPr>
          <w:rFonts w:ascii="Book Antiqua" w:eastAsia="宋体" w:hAnsi="Book Antiqua" w:cs="Arial"/>
          <w:bCs/>
          <w:sz w:val="24"/>
          <w:szCs w:val="24"/>
          <w:lang w:val="pl-PL" w:eastAsia="zh-CN"/>
        </w:rPr>
        <w:t>)</w:t>
      </w:r>
      <w:r w:rsidR="0062386C">
        <w:rPr>
          <w:rFonts w:ascii="Book Antiqua" w:eastAsia="宋体" w:hAnsi="Book Antiqua" w:cs="Arial"/>
          <w:bCs/>
          <w:sz w:val="24"/>
          <w:szCs w:val="24"/>
          <w:lang w:val="pl-PL" w:eastAsia="zh-CN"/>
        </w:rPr>
        <w:t xml:space="preserve">; </w:t>
      </w:r>
      <w:r w:rsidR="00F356A2" w:rsidRPr="00907C84">
        <w:rPr>
          <w:rFonts w:ascii="Book Antiqua" w:hAnsi="Book Antiqua"/>
          <w:sz w:val="24"/>
          <w:szCs w:val="24"/>
        </w:rPr>
        <w:t>Sergio Navarro (</w:t>
      </w:r>
      <w:r w:rsidR="00F356A2" w:rsidRPr="00907C84">
        <w:rPr>
          <w:rFonts w:ascii="Book Antiqua" w:hAnsi="Book Antiqua" w:cs="Arial"/>
          <w:sz w:val="24"/>
          <w:szCs w:val="24"/>
          <w:shd w:val="clear" w:color="auto" w:fill="FFFFFF"/>
        </w:rPr>
        <w:t>0000-0003-3455-1567)</w:t>
      </w:r>
      <w:r w:rsidR="0062386C">
        <w:rPr>
          <w:rFonts w:ascii="Book Antiqua" w:hAnsi="Book Antiqua" w:cs="Arial"/>
          <w:sz w:val="24"/>
          <w:szCs w:val="24"/>
          <w:shd w:val="clear" w:color="auto" w:fill="FFFFFF"/>
        </w:rPr>
        <w:t xml:space="preserve">; </w:t>
      </w:r>
      <w:r w:rsidR="00C106A0" w:rsidRPr="00907C84">
        <w:rPr>
          <w:rFonts w:ascii="Book Antiqua" w:hAnsi="Book Antiqua"/>
          <w:sz w:val="24"/>
          <w:szCs w:val="24"/>
        </w:rPr>
        <w:t>Terri Blackwell (</w:t>
      </w:r>
      <w:r w:rsidR="00C106A0" w:rsidRPr="00825C30">
        <w:rPr>
          <w:rFonts w:ascii="Book Antiqua" w:hAnsi="Book Antiqua" w:cs="Arial"/>
          <w:sz w:val="24"/>
          <w:szCs w:val="24"/>
          <w:shd w:val="clear" w:color="auto" w:fill="FFFFFF"/>
        </w:rPr>
        <w:t>0000-0003-0012-7020</w:t>
      </w:r>
      <w:r w:rsidR="00C106A0" w:rsidRPr="0062386C">
        <w:rPr>
          <w:rStyle w:val="a9"/>
          <w:rFonts w:ascii="Book Antiqua" w:hAnsi="Book Antiqua" w:cs="Arial"/>
          <w:color w:val="auto"/>
          <w:sz w:val="24"/>
          <w:szCs w:val="24"/>
          <w:u w:val="none"/>
          <w:shd w:val="clear" w:color="auto" w:fill="FFFFFF"/>
        </w:rPr>
        <w:t>)</w:t>
      </w:r>
      <w:r w:rsidR="0062386C">
        <w:rPr>
          <w:rStyle w:val="a9"/>
          <w:rFonts w:ascii="Book Antiqua" w:hAnsi="Book Antiqua" w:cs="Arial"/>
          <w:color w:val="auto"/>
          <w:sz w:val="24"/>
          <w:szCs w:val="24"/>
          <w:u w:val="none"/>
          <w:shd w:val="clear" w:color="auto" w:fill="FFFFFF"/>
        </w:rPr>
        <w:t xml:space="preserve">; </w:t>
      </w:r>
      <w:r w:rsidR="00F356A2" w:rsidRPr="00907C84">
        <w:rPr>
          <w:rFonts w:ascii="Book Antiqua" w:hAnsi="Book Antiqua" w:cs="Arial"/>
          <w:sz w:val="24"/>
          <w:szCs w:val="24"/>
          <w:shd w:val="clear" w:color="auto" w:fill="FFFFFF"/>
        </w:rPr>
        <w:t xml:space="preserve">Carla </w:t>
      </w:r>
      <w:proofErr w:type="spellStart"/>
      <w:r w:rsidR="00F356A2" w:rsidRPr="00907C84">
        <w:rPr>
          <w:rFonts w:ascii="Book Antiqua" w:hAnsi="Book Antiqua" w:cs="Arial"/>
          <w:sz w:val="24"/>
          <w:szCs w:val="24"/>
          <w:shd w:val="clear" w:color="auto" w:fill="FFFFFF"/>
        </w:rPr>
        <w:t>Lidner</w:t>
      </w:r>
      <w:proofErr w:type="spellEnd"/>
      <w:r w:rsidR="00F356A2" w:rsidRPr="00907C84">
        <w:rPr>
          <w:rFonts w:ascii="Book Antiqua" w:hAnsi="Book Antiqua" w:cs="Arial"/>
          <w:sz w:val="24"/>
          <w:szCs w:val="24"/>
          <w:shd w:val="clear" w:color="auto" w:fill="FFFFFF"/>
        </w:rPr>
        <w:t xml:space="preserve"> (0000-0003-2668-4386)</w:t>
      </w:r>
      <w:r w:rsidR="0062386C">
        <w:rPr>
          <w:rFonts w:ascii="Book Antiqua" w:hAnsi="Book Antiqua" w:cs="Arial"/>
          <w:sz w:val="24"/>
          <w:szCs w:val="24"/>
          <w:shd w:val="clear" w:color="auto" w:fill="FFFFFF"/>
        </w:rPr>
        <w:t xml:space="preserve">; </w:t>
      </w:r>
      <w:r w:rsidR="00F356A2" w:rsidRPr="00907C84">
        <w:rPr>
          <w:rFonts w:ascii="Book Antiqua" w:hAnsi="Book Antiqua" w:cs="Arial"/>
          <w:sz w:val="24"/>
          <w:szCs w:val="24"/>
          <w:shd w:val="clear" w:color="auto" w:fill="FFFFFF"/>
        </w:rPr>
        <w:t xml:space="preserve">H Del </w:t>
      </w:r>
      <w:proofErr w:type="spellStart"/>
      <w:r w:rsidR="00F356A2" w:rsidRPr="00907C84">
        <w:rPr>
          <w:rFonts w:ascii="Book Antiqua" w:hAnsi="Book Antiqua" w:cs="Arial"/>
          <w:sz w:val="24"/>
          <w:szCs w:val="24"/>
          <w:shd w:val="clear" w:color="auto" w:fill="FFFFFF"/>
        </w:rPr>
        <w:t>Schutte</w:t>
      </w:r>
      <w:proofErr w:type="spellEnd"/>
      <w:r w:rsidR="00B27072">
        <w:rPr>
          <w:rFonts w:ascii="Book Antiqua" w:hAnsi="Book Antiqua" w:cs="Arial"/>
          <w:sz w:val="24"/>
          <w:szCs w:val="24"/>
          <w:shd w:val="clear" w:color="auto" w:fill="FFFFFF"/>
        </w:rPr>
        <w:t xml:space="preserve"> </w:t>
      </w:r>
      <w:r w:rsidR="00B27072" w:rsidRPr="00907C84">
        <w:rPr>
          <w:rFonts w:ascii="Book Antiqua" w:hAnsi="Book Antiqua" w:cs="Times New Roman"/>
          <w:sz w:val="24"/>
          <w:szCs w:val="24"/>
        </w:rPr>
        <w:t>Jr</w:t>
      </w:r>
      <w:r w:rsidR="00F356A2" w:rsidRPr="00907C84">
        <w:rPr>
          <w:rFonts w:ascii="Book Antiqua" w:hAnsi="Book Antiqua" w:cs="Arial"/>
          <w:sz w:val="24"/>
          <w:szCs w:val="24"/>
          <w:shd w:val="clear" w:color="auto" w:fill="FFFFFF"/>
        </w:rPr>
        <w:t xml:space="preserve"> (</w:t>
      </w:r>
      <w:r w:rsidR="00F356A2" w:rsidRPr="00825C30">
        <w:rPr>
          <w:rFonts w:ascii="Book Antiqua" w:hAnsi="Book Antiqua" w:cs="Arial"/>
          <w:sz w:val="24"/>
          <w:szCs w:val="24"/>
          <w:shd w:val="clear" w:color="auto" w:fill="FFFFFF"/>
        </w:rPr>
        <w:t>0000-0003-0921-5852</w:t>
      </w:r>
      <w:r w:rsidR="00F356A2" w:rsidRPr="0062386C">
        <w:rPr>
          <w:rStyle w:val="a9"/>
          <w:rFonts w:ascii="Book Antiqua" w:hAnsi="Book Antiqua" w:cs="Arial"/>
          <w:color w:val="auto"/>
          <w:sz w:val="24"/>
          <w:szCs w:val="24"/>
          <w:u w:val="none"/>
          <w:shd w:val="clear" w:color="auto" w:fill="FFFFFF"/>
        </w:rPr>
        <w:t>)</w:t>
      </w:r>
      <w:r w:rsidR="0062386C">
        <w:rPr>
          <w:rStyle w:val="a9"/>
          <w:rFonts w:ascii="Book Antiqua" w:hAnsi="Book Antiqua" w:cs="Arial"/>
          <w:color w:val="auto"/>
          <w:sz w:val="24"/>
          <w:szCs w:val="24"/>
          <w:u w:val="none"/>
          <w:shd w:val="clear" w:color="auto" w:fill="FFFFFF"/>
        </w:rPr>
        <w:t>.</w:t>
      </w:r>
    </w:p>
    <w:p w14:paraId="3651E2E1" w14:textId="43D2BC3E" w:rsidR="00CD0F3E" w:rsidRPr="00907C84" w:rsidRDefault="00CD0F3E" w:rsidP="00907C84">
      <w:pPr>
        <w:adjustRightInd w:val="0"/>
        <w:snapToGrid w:val="0"/>
        <w:spacing w:after="0" w:line="360" w:lineRule="auto"/>
        <w:jc w:val="both"/>
        <w:rPr>
          <w:rFonts w:ascii="Book Antiqua" w:hAnsi="Book Antiqua" w:cs="Times New Roman"/>
          <w:sz w:val="24"/>
          <w:szCs w:val="24"/>
        </w:rPr>
      </w:pPr>
    </w:p>
    <w:p w14:paraId="068C67F9" w14:textId="76DAC2CD" w:rsidR="00152FA5" w:rsidRPr="00907C84" w:rsidRDefault="00152FA5" w:rsidP="00907C84">
      <w:pPr>
        <w:adjustRightInd w:val="0"/>
        <w:snapToGrid w:val="0"/>
        <w:spacing w:after="0" w:line="360" w:lineRule="auto"/>
        <w:jc w:val="both"/>
        <w:rPr>
          <w:rFonts w:ascii="Book Antiqua" w:eastAsia="宋体" w:hAnsi="Book Antiqua" w:cs="Times New Roman"/>
          <w:bCs/>
          <w:sz w:val="24"/>
          <w:szCs w:val="24"/>
          <w:lang w:eastAsia="zh-CN"/>
        </w:rPr>
      </w:pPr>
      <w:bookmarkStart w:id="39" w:name="OLE_LINK188"/>
      <w:bookmarkStart w:id="40" w:name="OLE_LINK189"/>
      <w:bookmarkStart w:id="41" w:name="OLE_LINK806"/>
      <w:bookmarkStart w:id="42" w:name="OLE_LINK106"/>
      <w:bookmarkStart w:id="43" w:name="OLE_LINK107"/>
      <w:bookmarkStart w:id="44" w:name="OLE_LINK187"/>
      <w:bookmarkStart w:id="45" w:name="OLE_LINK402"/>
      <w:bookmarkStart w:id="46" w:name="OLE_LINK174"/>
      <w:r w:rsidRPr="00907C84">
        <w:rPr>
          <w:rFonts w:ascii="Book Antiqua" w:eastAsia="宋体" w:hAnsi="Book Antiqua" w:cs="Times New Roman"/>
          <w:b/>
          <w:sz w:val="24"/>
          <w:szCs w:val="24"/>
          <w:highlight w:val="white"/>
          <w:lang w:eastAsia="zh-CN"/>
        </w:rPr>
        <w:t xml:space="preserve">Author contributions: </w:t>
      </w:r>
      <w:r w:rsidR="00365054" w:rsidRPr="00907C84">
        <w:rPr>
          <w:rFonts w:ascii="Book Antiqua" w:eastAsia="宋体" w:hAnsi="Book Antiqua" w:cs="Times New Roman"/>
          <w:bCs/>
          <w:sz w:val="24"/>
          <w:szCs w:val="24"/>
          <w:highlight w:val="white"/>
          <w:lang w:eastAsia="zh-CN"/>
        </w:rPr>
        <w:t>Frey</w:t>
      </w:r>
      <w:r w:rsidR="0062386C" w:rsidRPr="0062386C">
        <w:rPr>
          <w:rFonts w:ascii="Book Antiqua" w:eastAsia="宋体" w:hAnsi="Book Antiqua" w:cs="Times New Roman"/>
          <w:bCs/>
          <w:sz w:val="24"/>
          <w:szCs w:val="24"/>
          <w:highlight w:val="white"/>
          <w:lang w:eastAsia="zh-CN"/>
        </w:rPr>
        <w:t xml:space="preserve"> </w:t>
      </w:r>
      <w:r w:rsidR="0062386C" w:rsidRPr="00907C84">
        <w:rPr>
          <w:rFonts w:ascii="Book Antiqua" w:eastAsia="宋体" w:hAnsi="Book Antiqua" w:cs="Times New Roman"/>
          <w:bCs/>
          <w:sz w:val="24"/>
          <w:szCs w:val="24"/>
          <w:highlight w:val="white"/>
          <w:lang w:eastAsia="zh-CN"/>
        </w:rPr>
        <w:t>C</w:t>
      </w:r>
      <w:r w:rsidR="00365054" w:rsidRPr="00907C84">
        <w:rPr>
          <w:rFonts w:ascii="Book Antiqua" w:eastAsia="宋体" w:hAnsi="Book Antiqua" w:cs="Times New Roman"/>
          <w:bCs/>
          <w:sz w:val="24"/>
          <w:szCs w:val="24"/>
          <w:highlight w:val="white"/>
          <w:lang w:eastAsia="zh-CN"/>
        </w:rPr>
        <w:t xml:space="preserve"> and Navarro</w:t>
      </w:r>
      <w:r w:rsidR="0062386C" w:rsidRPr="0062386C">
        <w:rPr>
          <w:rFonts w:ascii="Book Antiqua" w:eastAsia="宋体" w:hAnsi="Book Antiqua" w:cs="Times New Roman"/>
          <w:bCs/>
          <w:sz w:val="24"/>
          <w:szCs w:val="24"/>
          <w:highlight w:val="white"/>
          <w:lang w:eastAsia="zh-CN"/>
        </w:rPr>
        <w:t xml:space="preserve"> </w:t>
      </w:r>
      <w:r w:rsidR="0062386C" w:rsidRPr="00907C84">
        <w:rPr>
          <w:rFonts w:ascii="Book Antiqua" w:eastAsia="宋体" w:hAnsi="Book Antiqua" w:cs="Times New Roman"/>
          <w:bCs/>
          <w:sz w:val="24"/>
          <w:szCs w:val="24"/>
          <w:highlight w:val="white"/>
          <w:lang w:eastAsia="zh-CN"/>
        </w:rPr>
        <w:t>S</w:t>
      </w:r>
      <w:r w:rsidR="00365054" w:rsidRPr="00907C84">
        <w:rPr>
          <w:rFonts w:ascii="Book Antiqua" w:eastAsia="宋体" w:hAnsi="Book Antiqua" w:cs="Times New Roman"/>
          <w:bCs/>
          <w:sz w:val="24"/>
          <w:szCs w:val="24"/>
          <w:highlight w:val="white"/>
          <w:lang w:eastAsia="zh-CN"/>
        </w:rPr>
        <w:t xml:space="preserve"> contributed to source collection, data extraction, statistical analysis, and initial manuscript drafting</w:t>
      </w:r>
      <w:bookmarkEnd w:id="39"/>
      <w:bookmarkEnd w:id="40"/>
      <w:bookmarkEnd w:id="41"/>
      <w:bookmarkEnd w:id="42"/>
      <w:bookmarkEnd w:id="43"/>
      <w:bookmarkEnd w:id="44"/>
      <w:bookmarkEnd w:id="45"/>
      <w:bookmarkEnd w:id="46"/>
      <w:r w:rsidR="0062386C">
        <w:rPr>
          <w:rFonts w:ascii="Book Antiqua" w:eastAsia="宋体" w:hAnsi="Book Antiqua" w:cs="Times New Roman"/>
          <w:bCs/>
          <w:sz w:val="24"/>
          <w:szCs w:val="24"/>
          <w:lang w:eastAsia="zh-CN"/>
        </w:rPr>
        <w:t xml:space="preserve">; </w:t>
      </w:r>
      <w:r w:rsidR="00365054" w:rsidRPr="00907C84">
        <w:rPr>
          <w:rFonts w:ascii="Book Antiqua" w:eastAsia="宋体" w:hAnsi="Book Antiqua" w:cs="Times New Roman"/>
          <w:bCs/>
          <w:sz w:val="24"/>
          <w:szCs w:val="24"/>
          <w:lang w:eastAsia="zh-CN"/>
        </w:rPr>
        <w:t>Blackwell</w:t>
      </w:r>
      <w:r w:rsidR="0062386C" w:rsidRPr="0062386C">
        <w:rPr>
          <w:rFonts w:ascii="Book Antiqua" w:eastAsia="宋体" w:hAnsi="Book Antiqua" w:cs="Times New Roman"/>
          <w:bCs/>
          <w:sz w:val="24"/>
          <w:szCs w:val="24"/>
          <w:lang w:eastAsia="zh-CN"/>
        </w:rPr>
        <w:t xml:space="preserve"> </w:t>
      </w:r>
      <w:r w:rsidR="0062386C" w:rsidRPr="00907C84">
        <w:rPr>
          <w:rFonts w:ascii="Book Antiqua" w:eastAsia="宋体" w:hAnsi="Book Antiqua" w:cs="Times New Roman"/>
          <w:bCs/>
          <w:sz w:val="24"/>
          <w:szCs w:val="24"/>
          <w:lang w:eastAsia="zh-CN"/>
        </w:rPr>
        <w:t>T</w:t>
      </w:r>
      <w:r w:rsidR="00365054" w:rsidRPr="00907C84">
        <w:rPr>
          <w:rFonts w:ascii="Book Antiqua" w:eastAsia="宋体" w:hAnsi="Book Antiqua" w:cs="Times New Roman"/>
          <w:bCs/>
          <w:sz w:val="24"/>
          <w:szCs w:val="24"/>
          <w:lang w:eastAsia="zh-CN"/>
        </w:rPr>
        <w:t xml:space="preserve"> and Del Schutte </w:t>
      </w:r>
      <w:r w:rsidR="0062386C">
        <w:rPr>
          <w:rFonts w:ascii="Book Antiqua" w:eastAsia="宋体" w:hAnsi="Book Antiqua" w:cs="Times New Roman"/>
          <w:bCs/>
          <w:sz w:val="24"/>
          <w:szCs w:val="24"/>
          <w:lang w:eastAsia="zh-CN"/>
        </w:rPr>
        <w:t>Jr</w:t>
      </w:r>
      <w:r w:rsidR="0062386C" w:rsidRPr="0062386C">
        <w:rPr>
          <w:rFonts w:ascii="Book Antiqua" w:eastAsia="宋体" w:hAnsi="Book Antiqua" w:cs="Times New Roman"/>
          <w:bCs/>
          <w:sz w:val="24"/>
          <w:szCs w:val="24"/>
          <w:lang w:eastAsia="zh-CN"/>
        </w:rPr>
        <w:t xml:space="preserve"> </w:t>
      </w:r>
      <w:r w:rsidR="0062386C" w:rsidRPr="00907C84">
        <w:rPr>
          <w:rFonts w:ascii="Book Antiqua" w:eastAsia="宋体" w:hAnsi="Book Antiqua" w:cs="Times New Roman"/>
          <w:bCs/>
          <w:sz w:val="24"/>
          <w:szCs w:val="24"/>
          <w:lang w:eastAsia="zh-CN"/>
        </w:rPr>
        <w:t xml:space="preserve">H </w:t>
      </w:r>
      <w:r w:rsidR="00365054" w:rsidRPr="00907C84">
        <w:rPr>
          <w:rFonts w:ascii="Book Antiqua" w:eastAsia="宋体" w:hAnsi="Book Antiqua" w:cs="Times New Roman"/>
          <w:bCs/>
          <w:sz w:val="24"/>
          <w:szCs w:val="24"/>
          <w:lang w:eastAsia="zh-CN"/>
        </w:rPr>
        <w:t>contributed to original paper ideation and final manuscript editing</w:t>
      </w:r>
      <w:r w:rsidR="002E46DE">
        <w:rPr>
          <w:rFonts w:ascii="Book Antiqua" w:eastAsia="宋体" w:hAnsi="Book Antiqua" w:cs="Times New Roman"/>
          <w:bCs/>
          <w:sz w:val="24"/>
          <w:szCs w:val="24"/>
          <w:lang w:eastAsia="zh-CN"/>
        </w:rPr>
        <w:t>;</w:t>
      </w:r>
      <w:r w:rsidR="00365054" w:rsidRPr="00907C84">
        <w:rPr>
          <w:rFonts w:ascii="Book Antiqua" w:eastAsia="宋体" w:hAnsi="Book Antiqua" w:cs="Times New Roman"/>
          <w:bCs/>
          <w:sz w:val="24"/>
          <w:szCs w:val="24"/>
          <w:lang w:eastAsia="zh-CN"/>
        </w:rPr>
        <w:t xml:space="preserve"> </w:t>
      </w:r>
      <w:proofErr w:type="spellStart"/>
      <w:r w:rsidR="00365054" w:rsidRPr="00907C84">
        <w:rPr>
          <w:rFonts w:ascii="Book Antiqua" w:eastAsia="宋体" w:hAnsi="Book Antiqua" w:cs="Times New Roman"/>
          <w:bCs/>
          <w:sz w:val="24"/>
          <w:szCs w:val="24"/>
          <w:lang w:eastAsia="zh-CN"/>
        </w:rPr>
        <w:t>Lidner</w:t>
      </w:r>
      <w:proofErr w:type="spellEnd"/>
      <w:r w:rsidR="002E46DE">
        <w:rPr>
          <w:rFonts w:ascii="Book Antiqua" w:eastAsia="宋体" w:hAnsi="Book Antiqua" w:cs="Times New Roman"/>
          <w:bCs/>
          <w:sz w:val="24"/>
          <w:szCs w:val="24"/>
          <w:lang w:eastAsia="zh-CN"/>
        </w:rPr>
        <w:t xml:space="preserve"> </w:t>
      </w:r>
      <w:r w:rsidR="002E46DE" w:rsidRPr="00907C84">
        <w:rPr>
          <w:rFonts w:ascii="Book Antiqua" w:eastAsia="宋体" w:hAnsi="Book Antiqua" w:cs="Times New Roman"/>
          <w:bCs/>
          <w:sz w:val="24"/>
          <w:szCs w:val="24"/>
          <w:lang w:eastAsia="zh-CN"/>
        </w:rPr>
        <w:t>C</w:t>
      </w:r>
      <w:r w:rsidR="00365054" w:rsidRPr="00907C84">
        <w:rPr>
          <w:rFonts w:ascii="Book Antiqua" w:eastAsia="宋体" w:hAnsi="Book Antiqua" w:cs="Times New Roman"/>
          <w:bCs/>
          <w:sz w:val="24"/>
          <w:szCs w:val="24"/>
          <w:lang w:eastAsia="zh-CN"/>
        </w:rPr>
        <w:t xml:space="preserve"> contributed to final manuscript editing</w:t>
      </w:r>
      <w:r w:rsidR="002E46DE">
        <w:rPr>
          <w:rFonts w:ascii="Book Antiqua" w:eastAsia="宋体" w:hAnsi="Book Antiqua" w:cs="Times New Roman"/>
          <w:bCs/>
          <w:sz w:val="24"/>
          <w:szCs w:val="24"/>
          <w:lang w:eastAsia="zh-CN"/>
        </w:rPr>
        <w:t>.</w:t>
      </w:r>
    </w:p>
    <w:p w14:paraId="24C08719" w14:textId="77777777" w:rsidR="00365054" w:rsidRPr="00907C84" w:rsidRDefault="00365054" w:rsidP="00907C84">
      <w:pPr>
        <w:adjustRightInd w:val="0"/>
        <w:snapToGrid w:val="0"/>
        <w:spacing w:after="0" w:line="360" w:lineRule="auto"/>
        <w:jc w:val="both"/>
        <w:rPr>
          <w:rFonts w:ascii="Book Antiqua" w:hAnsi="Book Antiqua" w:cs="Times New Roman"/>
          <w:sz w:val="24"/>
          <w:szCs w:val="24"/>
        </w:rPr>
      </w:pPr>
    </w:p>
    <w:p w14:paraId="4C9C59FE" w14:textId="000737BA" w:rsidR="00397C46" w:rsidRPr="002E46DE" w:rsidRDefault="00152FA5" w:rsidP="00907C84">
      <w:pPr>
        <w:adjustRightInd w:val="0"/>
        <w:snapToGrid w:val="0"/>
        <w:spacing w:after="0" w:line="360" w:lineRule="auto"/>
        <w:jc w:val="both"/>
        <w:rPr>
          <w:rFonts w:ascii="Book Antiqua" w:eastAsia="宋体" w:hAnsi="Book Antiqua" w:cs="Times New Roman"/>
          <w:b/>
          <w:bCs/>
          <w:iCs/>
          <w:sz w:val="24"/>
          <w:szCs w:val="24"/>
          <w:highlight w:val="white"/>
          <w:lang w:eastAsia="zh-CN"/>
        </w:rPr>
      </w:pPr>
      <w:bookmarkStart w:id="47" w:name="OLE_LINK235"/>
      <w:bookmarkStart w:id="48" w:name="OLE_LINK236"/>
      <w:bookmarkStart w:id="49" w:name="OLE_LINK684"/>
      <w:r w:rsidRPr="00907C84">
        <w:rPr>
          <w:rFonts w:ascii="Book Antiqua" w:eastAsia="宋体" w:hAnsi="Book Antiqua" w:cs="Times New Roman"/>
          <w:b/>
          <w:bCs/>
          <w:iCs/>
          <w:sz w:val="24"/>
          <w:szCs w:val="24"/>
          <w:highlight w:val="white"/>
          <w:lang w:eastAsia="zh-CN"/>
        </w:rPr>
        <w:t>Conflict-of-interest statement:</w:t>
      </w:r>
      <w:bookmarkEnd w:id="47"/>
      <w:bookmarkEnd w:id="48"/>
      <w:bookmarkEnd w:id="49"/>
      <w:r w:rsidR="002E46DE">
        <w:rPr>
          <w:rFonts w:ascii="Book Antiqua" w:eastAsia="宋体" w:hAnsi="Book Antiqua" w:cs="Times New Roman" w:hint="eastAsia"/>
          <w:b/>
          <w:bCs/>
          <w:iCs/>
          <w:sz w:val="24"/>
          <w:szCs w:val="24"/>
          <w:lang w:eastAsia="zh-CN"/>
        </w:rPr>
        <w:t xml:space="preserve"> </w:t>
      </w:r>
      <w:r w:rsidR="00397C46" w:rsidRPr="00907C84">
        <w:rPr>
          <w:rFonts w:ascii="Book Antiqua" w:hAnsi="Book Antiqua" w:cs="Times New Roman"/>
          <w:sz w:val="24"/>
          <w:szCs w:val="24"/>
        </w:rPr>
        <w:t>No author has received grant support or research funding for this article. The authors have no relevant financial relationships to disclose.</w:t>
      </w:r>
      <w:r w:rsidR="00397C46" w:rsidRPr="00907C84">
        <w:rPr>
          <w:rFonts w:ascii="Book Antiqua" w:hAnsi="Book Antiqua"/>
          <w:sz w:val="24"/>
          <w:szCs w:val="24"/>
        </w:rPr>
        <w:t xml:space="preserve"> </w:t>
      </w:r>
      <w:r w:rsidR="00397C46" w:rsidRPr="00907C84">
        <w:rPr>
          <w:rFonts w:ascii="Book Antiqua" w:hAnsi="Book Antiqua" w:cs="Times New Roman"/>
          <w:sz w:val="24"/>
          <w:szCs w:val="24"/>
        </w:rPr>
        <w:t>We confirm that this manuscript has not been published elsewhere and is not currently under consideration by another journal. All authors have approved the manuscript and are in agreement concerning its submission.</w:t>
      </w:r>
    </w:p>
    <w:p w14:paraId="228D0DB4" w14:textId="4B1171C9" w:rsidR="00152FA5" w:rsidRPr="00907C84" w:rsidRDefault="00152FA5" w:rsidP="00907C84">
      <w:pPr>
        <w:adjustRightInd w:val="0"/>
        <w:snapToGrid w:val="0"/>
        <w:spacing w:after="0" w:line="360" w:lineRule="auto"/>
        <w:jc w:val="both"/>
        <w:rPr>
          <w:rFonts w:ascii="Book Antiqua" w:hAnsi="Book Antiqua" w:cs="Times New Roman"/>
          <w:sz w:val="24"/>
          <w:szCs w:val="24"/>
        </w:rPr>
      </w:pPr>
    </w:p>
    <w:p w14:paraId="271D57FD" w14:textId="1F81F058" w:rsidR="00152FA5" w:rsidRPr="002E46DE" w:rsidRDefault="00152FA5" w:rsidP="00907C84">
      <w:pPr>
        <w:adjustRightInd w:val="0"/>
        <w:snapToGrid w:val="0"/>
        <w:spacing w:after="0" w:line="360" w:lineRule="auto"/>
        <w:jc w:val="both"/>
        <w:rPr>
          <w:rFonts w:ascii="Book Antiqua" w:eastAsia="宋体" w:hAnsi="Book Antiqua" w:cs="Times New Roman"/>
          <w:b/>
          <w:bCs/>
          <w:iCs/>
          <w:sz w:val="24"/>
          <w:szCs w:val="24"/>
          <w:highlight w:val="white"/>
          <w:lang w:eastAsia="zh-CN"/>
        </w:rPr>
      </w:pPr>
      <w:bookmarkStart w:id="50" w:name="OLE_LINK824"/>
      <w:bookmarkStart w:id="51" w:name="OLE_LINK825"/>
      <w:bookmarkStart w:id="52" w:name="OLE_LINK2"/>
      <w:bookmarkStart w:id="53" w:name="OLE_LINK5"/>
      <w:bookmarkStart w:id="54" w:name="OLE_LINK587"/>
      <w:bookmarkStart w:id="55" w:name="OLE_LINK765"/>
      <w:bookmarkStart w:id="56" w:name="OLE_LINK186"/>
      <w:r w:rsidRPr="00907C84">
        <w:rPr>
          <w:rFonts w:ascii="Book Antiqua" w:eastAsia="宋体" w:hAnsi="Book Antiqua" w:cs="Times New Roman"/>
          <w:b/>
          <w:bCs/>
          <w:iCs/>
          <w:sz w:val="24"/>
          <w:szCs w:val="24"/>
          <w:highlight w:val="white"/>
          <w:lang w:eastAsia="zh-CN"/>
        </w:rPr>
        <w:t>Data sharing statement:</w:t>
      </w:r>
      <w:bookmarkEnd w:id="50"/>
      <w:bookmarkEnd w:id="51"/>
      <w:r w:rsidRPr="00907C84">
        <w:rPr>
          <w:rFonts w:ascii="Book Antiqua" w:eastAsia="宋体" w:hAnsi="Book Antiqua" w:cs="Times New Roman"/>
          <w:b/>
          <w:bCs/>
          <w:iCs/>
          <w:sz w:val="24"/>
          <w:szCs w:val="24"/>
          <w:highlight w:val="white"/>
          <w:lang w:eastAsia="zh-CN"/>
        </w:rPr>
        <w:t xml:space="preserve"> </w:t>
      </w:r>
      <w:bookmarkEnd w:id="52"/>
      <w:bookmarkEnd w:id="53"/>
      <w:bookmarkEnd w:id="54"/>
      <w:bookmarkEnd w:id="55"/>
      <w:bookmarkEnd w:id="56"/>
      <w:r w:rsidR="00397C46" w:rsidRPr="00907C84">
        <w:rPr>
          <w:rFonts w:ascii="Book Antiqua" w:hAnsi="Book Antiqua" w:cs="Times New Roman"/>
          <w:sz w:val="24"/>
          <w:szCs w:val="24"/>
        </w:rPr>
        <w:t>The authors collectively authorize the sharing of data from this publication</w:t>
      </w:r>
      <w:r w:rsidR="007E1F7A" w:rsidRPr="00907C84">
        <w:rPr>
          <w:rFonts w:ascii="Book Antiqua" w:hAnsi="Book Antiqua" w:cs="Times New Roman"/>
          <w:sz w:val="24"/>
          <w:szCs w:val="24"/>
        </w:rPr>
        <w:t>.</w:t>
      </w:r>
    </w:p>
    <w:p w14:paraId="4E886784" w14:textId="37CF75EE" w:rsidR="00152FA5" w:rsidRDefault="00152FA5" w:rsidP="00907C84">
      <w:pPr>
        <w:adjustRightInd w:val="0"/>
        <w:snapToGrid w:val="0"/>
        <w:spacing w:after="0" w:line="360" w:lineRule="auto"/>
        <w:jc w:val="both"/>
        <w:rPr>
          <w:rFonts w:ascii="Book Antiqua" w:hAnsi="Book Antiqua" w:cs="Times New Roman"/>
          <w:sz w:val="24"/>
          <w:szCs w:val="24"/>
        </w:rPr>
      </w:pPr>
    </w:p>
    <w:p w14:paraId="55EF19C1" w14:textId="19B8B0A0" w:rsidR="00EE0233" w:rsidRPr="00EE0233" w:rsidRDefault="00EE0233" w:rsidP="00EE0233">
      <w:pPr>
        <w:snapToGrid w:val="0"/>
        <w:spacing w:after="0" w:line="360" w:lineRule="auto"/>
        <w:jc w:val="both"/>
        <w:rPr>
          <w:rFonts w:ascii="Book Antiqua" w:eastAsia="宋体" w:hAnsi="Book Antiqua" w:cs="Times New Roman"/>
          <w:sz w:val="24"/>
          <w:szCs w:val="24"/>
          <w:lang w:eastAsia="zh-CN"/>
        </w:rPr>
      </w:pPr>
      <w:bookmarkStart w:id="57" w:name="OLE_LINK25"/>
      <w:bookmarkStart w:id="58" w:name="OLE_LINK26"/>
      <w:bookmarkStart w:id="59" w:name="OLE_LINK375"/>
      <w:bookmarkStart w:id="60" w:name="OLE_LINK32"/>
      <w:bookmarkStart w:id="61" w:name="OLE_LINK381"/>
      <w:bookmarkStart w:id="62" w:name="OLE_LINK413"/>
      <w:bookmarkStart w:id="63" w:name="OLE_LINK61"/>
      <w:bookmarkStart w:id="64" w:name="OLE_LINK615"/>
      <w:bookmarkStart w:id="65" w:name="OLE_LINK69"/>
      <w:bookmarkStart w:id="66" w:name="OLE_LINK140"/>
      <w:r w:rsidRPr="00EE0233">
        <w:rPr>
          <w:rFonts w:ascii="Book Antiqua" w:eastAsia="宋体" w:hAnsi="Book Antiqua" w:cs="Times New Roman"/>
          <w:b/>
          <w:color w:val="000000"/>
          <w:sz w:val="24"/>
          <w:szCs w:val="24"/>
          <w:lang w:eastAsia="zh-CN"/>
        </w:rPr>
        <w:t xml:space="preserve">Open-Access: </w:t>
      </w:r>
      <w:r w:rsidRPr="00EE0233">
        <w:rPr>
          <w:rFonts w:ascii="Book Antiqua" w:eastAsia="宋体" w:hAnsi="Book Antiqua" w:cs="Times New Roman"/>
          <w:color w:val="000000"/>
          <w:sz w:val="24"/>
          <w:szCs w:val="24"/>
          <w:lang w:eastAsia="zh-CN"/>
        </w:rPr>
        <w:t xml:space="preserve">This is an </w:t>
      </w:r>
      <w:r w:rsidRPr="00EE0233">
        <w:rPr>
          <w:rFonts w:ascii="Book Antiqua" w:eastAsia="宋体" w:hAnsi="Book Antiqua" w:cs="宋体"/>
          <w:sz w:val="24"/>
          <w:szCs w:val="24"/>
          <w:lang w:eastAsia="zh-CN"/>
        </w:rPr>
        <w:t xml:space="preserve">open-access article that was </w:t>
      </w:r>
      <w:r w:rsidRPr="00EE0233">
        <w:rPr>
          <w:rFonts w:ascii="Book Antiqua" w:eastAsia="宋体" w:hAnsi="Book Antiqua" w:cs="Times New Roman"/>
          <w:sz w:val="24"/>
          <w:szCs w:val="24"/>
          <w:lang w:eastAsia="zh-CN"/>
        </w:rPr>
        <w:t xml:space="preserve">selected by an in-house editor and fully peer-reviewed by external reviewers. It is </w:t>
      </w:r>
      <w:r w:rsidRPr="00EE0233">
        <w:rPr>
          <w:rFonts w:ascii="Book Antiqua" w:eastAsia="宋体" w:hAnsi="Book Antiqua" w:cs="宋体"/>
          <w:sz w:val="24"/>
          <w:szCs w:val="24"/>
          <w:lang w:eastAsia="zh-CN"/>
        </w:rPr>
        <w:t xml:space="preserve">distributed in accordance with </w:t>
      </w:r>
      <w:r w:rsidRPr="00EE0233">
        <w:rPr>
          <w:rFonts w:ascii="Book Antiqua" w:eastAsia="宋体" w:hAnsi="Book Antiqua" w:cs="Times New Roman"/>
          <w:sz w:val="24"/>
          <w:szCs w:val="24"/>
          <w:lang w:eastAsia="zh-CN"/>
        </w:rPr>
        <w:t xml:space="preserve">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EE0233">
        <w:rPr>
          <w:rFonts w:ascii="Book Antiqua" w:eastAsia="宋体" w:hAnsi="Book Antiqua" w:cs="Times New Roman"/>
          <w:color w:val="0000FF"/>
          <w:sz w:val="24"/>
          <w:szCs w:val="24"/>
          <w:u w:val="single"/>
          <w:lang w:eastAsia="zh-CN"/>
        </w:rPr>
        <w:t>http://creativecommons.org/licenses/by-nc/4.0/</w:t>
      </w:r>
    </w:p>
    <w:p w14:paraId="50BBE79D" w14:textId="77777777" w:rsidR="00EE0233" w:rsidRPr="00EE0233" w:rsidRDefault="00EE0233" w:rsidP="00EE0233">
      <w:pPr>
        <w:snapToGrid w:val="0"/>
        <w:spacing w:after="0" w:line="360" w:lineRule="auto"/>
        <w:jc w:val="both"/>
        <w:rPr>
          <w:rFonts w:ascii="Book Antiqua" w:eastAsia="宋体" w:hAnsi="Book Antiqua" w:cs="Times New Roman"/>
          <w:sz w:val="24"/>
          <w:szCs w:val="24"/>
          <w:lang w:eastAsia="zh-CN"/>
        </w:rPr>
      </w:pPr>
    </w:p>
    <w:p w14:paraId="2CEC0F7E" w14:textId="53B15E75" w:rsidR="00EE0233" w:rsidRDefault="00EE0233" w:rsidP="00EE0233">
      <w:pPr>
        <w:adjustRightInd w:val="0"/>
        <w:snapToGrid w:val="0"/>
        <w:spacing w:after="0" w:line="360" w:lineRule="auto"/>
        <w:jc w:val="both"/>
        <w:rPr>
          <w:rFonts w:ascii="Book Antiqua" w:hAnsi="Book Antiqua" w:cs="Times New Roman"/>
          <w:sz w:val="24"/>
          <w:szCs w:val="24"/>
        </w:rPr>
      </w:pPr>
      <w:bookmarkStart w:id="67" w:name="OLE_LINK11"/>
      <w:r w:rsidRPr="00EE0233">
        <w:rPr>
          <w:rFonts w:ascii="Book Antiqua" w:eastAsia="宋体" w:hAnsi="Book Antiqua" w:cs="Times New Roman"/>
          <w:b/>
          <w:bCs/>
          <w:sz w:val="24"/>
          <w:szCs w:val="24"/>
          <w:highlight w:val="white"/>
          <w:lang w:eastAsia="zh-CN"/>
        </w:rPr>
        <w:t>Manuscript source:</w:t>
      </w:r>
      <w:r w:rsidRPr="00EE0233">
        <w:rPr>
          <w:rFonts w:ascii="Book Antiqua" w:eastAsia="宋体" w:hAnsi="Book Antiqua" w:cs="Times New Roman" w:hint="eastAsia"/>
          <w:b/>
          <w:bCs/>
          <w:sz w:val="24"/>
          <w:szCs w:val="24"/>
          <w:highlight w:val="white"/>
          <w:lang w:eastAsia="zh-CN"/>
        </w:rPr>
        <w:t xml:space="preserve"> </w:t>
      </w:r>
      <w:r w:rsidRPr="00EE0233">
        <w:rPr>
          <w:rFonts w:ascii="Book Antiqua" w:eastAsia="宋体" w:hAnsi="Book Antiqua" w:cs="Times New Roman"/>
          <w:bCs/>
          <w:sz w:val="24"/>
          <w:szCs w:val="24"/>
          <w:highlight w:val="white"/>
          <w:lang w:eastAsia="zh-CN"/>
        </w:rPr>
        <w:t>Unsolicited manuscript</w:t>
      </w:r>
      <w:bookmarkEnd w:id="57"/>
      <w:bookmarkEnd w:id="58"/>
      <w:bookmarkEnd w:id="59"/>
      <w:bookmarkEnd w:id="60"/>
      <w:bookmarkEnd w:id="61"/>
      <w:bookmarkEnd w:id="62"/>
      <w:bookmarkEnd w:id="63"/>
      <w:bookmarkEnd w:id="64"/>
      <w:bookmarkEnd w:id="65"/>
      <w:bookmarkEnd w:id="66"/>
      <w:bookmarkEnd w:id="67"/>
    </w:p>
    <w:p w14:paraId="65E9D076" w14:textId="77777777" w:rsidR="00EE0233" w:rsidRPr="00907C84" w:rsidRDefault="00EE0233" w:rsidP="00907C84">
      <w:pPr>
        <w:adjustRightInd w:val="0"/>
        <w:snapToGrid w:val="0"/>
        <w:spacing w:after="0" w:line="360" w:lineRule="auto"/>
        <w:jc w:val="both"/>
        <w:rPr>
          <w:rFonts w:ascii="Book Antiqua" w:hAnsi="Book Antiqua" w:cs="Times New Roman"/>
          <w:sz w:val="24"/>
          <w:szCs w:val="24"/>
        </w:rPr>
      </w:pPr>
    </w:p>
    <w:p w14:paraId="750A25D3" w14:textId="5489BA62" w:rsidR="00ED31AA" w:rsidRPr="00907C84" w:rsidRDefault="00CD0F3E" w:rsidP="00907C84">
      <w:pPr>
        <w:adjustRightInd w:val="0"/>
        <w:snapToGrid w:val="0"/>
        <w:spacing w:after="0" w:line="360" w:lineRule="auto"/>
        <w:jc w:val="both"/>
        <w:rPr>
          <w:rFonts w:ascii="Book Antiqua" w:hAnsi="Book Antiqua" w:cs="Times New Roman"/>
          <w:sz w:val="24"/>
          <w:szCs w:val="24"/>
        </w:rPr>
      </w:pPr>
      <w:r w:rsidRPr="00907C84">
        <w:rPr>
          <w:rFonts w:ascii="Book Antiqua" w:hAnsi="Book Antiqua" w:cs="Times New Roman"/>
          <w:b/>
          <w:bCs/>
          <w:sz w:val="24"/>
          <w:szCs w:val="24"/>
        </w:rPr>
        <w:t>Corresponding author</w:t>
      </w:r>
      <w:r w:rsidRPr="00EE0233">
        <w:rPr>
          <w:rFonts w:ascii="Book Antiqua" w:hAnsi="Book Antiqua" w:cs="Times New Roman"/>
          <w:b/>
          <w:bCs/>
          <w:sz w:val="24"/>
          <w:szCs w:val="24"/>
        </w:rPr>
        <w:t>:</w:t>
      </w:r>
      <w:r w:rsidRPr="00907C84">
        <w:rPr>
          <w:rFonts w:ascii="Book Antiqua" w:hAnsi="Book Antiqua" w:cs="Times New Roman"/>
          <w:sz w:val="24"/>
          <w:szCs w:val="24"/>
        </w:rPr>
        <w:t xml:space="preserve"> </w:t>
      </w:r>
      <w:r w:rsidRPr="00EE0233">
        <w:rPr>
          <w:rFonts w:ascii="Book Antiqua" w:hAnsi="Book Antiqua" w:cs="Times New Roman"/>
          <w:b/>
          <w:bCs/>
          <w:sz w:val="24"/>
          <w:szCs w:val="24"/>
        </w:rPr>
        <w:t>Christopher Frey</w:t>
      </w:r>
      <w:r w:rsidR="00EE0233">
        <w:rPr>
          <w:rFonts w:ascii="Book Antiqua" w:hAnsi="Book Antiqua" w:cs="Times New Roman"/>
          <w:b/>
          <w:bCs/>
          <w:sz w:val="24"/>
          <w:szCs w:val="24"/>
        </w:rPr>
        <w:t>,</w:t>
      </w:r>
      <w:r w:rsidR="00397C46" w:rsidRPr="00EE0233">
        <w:rPr>
          <w:rFonts w:ascii="Book Antiqua" w:hAnsi="Book Antiqua" w:cs="Times New Roman"/>
          <w:b/>
          <w:bCs/>
          <w:sz w:val="24"/>
          <w:szCs w:val="24"/>
        </w:rPr>
        <w:t xml:space="preserve"> </w:t>
      </w:r>
      <w:r w:rsidR="00EE0233" w:rsidRPr="00EE0233">
        <w:rPr>
          <w:rFonts w:ascii="Book Antiqua" w:hAnsi="Book Antiqua" w:cs="Times New Roman"/>
          <w:b/>
          <w:bCs/>
          <w:sz w:val="24"/>
          <w:szCs w:val="24"/>
        </w:rPr>
        <w:t>MD, Doctor,</w:t>
      </w:r>
      <w:r w:rsidR="00397C46" w:rsidRPr="00907C84">
        <w:rPr>
          <w:rFonts w:ascii="Book Antiqua" w:hAnsi="Book Antiqua" w:cs="Times New Roman"/>
          <w:sz w:val="24"/>
          <w:szCs w:val="24"/>
        </w:rPr>
        <w:t xml:space="preserve"> Department of Orthopedic Surgery, Stanford Medicine, 50 Broadway Street Pavilion C</w:t>
      </w:r>
      <w:r w:rsidR="00730768">
        <w:rPr>
          <w:rFonts w:ascii="Book Antiqua" w:hAnsi="Book Antiqua" w:cs="Times New Roman"/>
          <w:sz w:val="24"/>
          <w:szCs w:val="24"/>
          <w:lang w:eastAsia="zh-CN"/>
        </w:rPr>
        <w:t>,</w:t>
      </w:r>
      <w:r w:rsidR="00397C46" w:rsidRPr="00907C84">
        <w:rPr>
          <w:rFonts w:ascii="Book Antiqua" w:hAnsi="Book Antiqua" w:cs="Times New Roman"/>
          <w:sz w:val="24"/>
          <w:szCs w:val="24"/>
        </w:rPr>
        <w:t xml:space="preserve"> 4</w:t>
      </w:r>
      <w:r w:rsidR="00397C46" w:rsidRPr="00EE0233">
        <w:rPr>
          <w:rFonts w:ascii="Book Antiqua" w:hAnsi="Book Antiqua" w:cs="Times New Roman"/>
          <w:sz w:val="24"/>
          <w:szCs w:val="24"/>
          <w:vertAlign w:val="superscript"/>
        </w:rPr>
        <w:t>th</w:t>
      </w:r>
      <w:r w:rsidR="00397C46" w:rsidRPr="00907C84">
        <w:rPr>
          <w:rFonts w:ascii="Book Antiqua" w:hAnsi="Book Antiqua" w:cs="Times New Roman"/>
          <w:sz w:val="24"/>
          <w:szCs w:val="24"/>
        </w:rPr>
        <w:t xml:space="preserve"> Floor</w:t>
      </w:r>
      <w:r w:rsidR="00245296">
        <w:rPr>
          <w:rFonts w:ascii="Book Antiqua" w:hAnsi="Book Antiqua" w:cs="Times New Roman" w:hint="eastAsia"/>
          <w:sz w:val="24"/>
          <w:szCs w:val="24"/>
          <w:lang w:eastAsia="zh-CN"/>
        </w:rPr>
        <w:t>,</w:t>
      </w:r>
      <w:r w:rsidR="00397C46" w:rsidRPr="00907C84">
        <w:rPr>
          <w:rFonts w:ascii="Book Antiqua" w:hAnsi="Book Antiqua" w:cs="Times New Roman"/>
          <w:sz w:val="24"/>
          <w:szCs w:val="24"/>
        </w:rPr>
        <w:t xml:space="preserve"> Redwood City, CA 94063, </w:t>
      </w:r>
      <w:r w:rsidR="00EE0233">
        <w:rPr>
          <w:rFonts w:ascii="Book Antiqua" w:hAnsi="Book Antiqua" w:cs="Times New Roman"/>
          <w:sz w:val="24"/>
          <w:szCs w:val="24"/>
        </w:rPr>
        <w:t xml:space="preserve">United States. </w:t>
      </w:r>
      <w:r w:rsidR="00CD4503" w:rsidRPr="00CD4503">
        <w:rPr>
          <w:rFonts w:ascii="Book Antiqua" w:hAnsi="Book Antiqua" w:cs="Times New Roman"/>
          <w:sz w:val="24"/>
          <w:szCs w:val="24"/>
        </w:rPr>
        <w:t>chris1fr@stanford.edu</w:t>
      </w:r>
    </w:p>
    <w:p w14:paraId="680D6C87" w14:textId="3CBAB0F7" w:rsidR="00397C46" w:rsidRPr="00907C84" w:rsidRDefault="00397C46" w:rsidP="00907C84">
      <w:pPr>
        <w:adjustRightInd w:val="0"/>
        <w:snapToGrid w:val="0"/>
        <w:spacing w:after="0" w:line="360" w:lineRule="auto"/>
        <w:jc w:val="both"/>
        <w:rPr>
          <w:rFonts w:ascii="Book Antiqua" w:eastAsia="宋体" w:hAnsi="Book Antiqua" w:cs="宋体"/>
          <w:sz w:val="24"/>
          <w:szCs w:val="24"/>
          <w:lang w:val="pl-PL" w:eastAsia="zh-CN"/>
        </w:rPr>
      </w:pPr>
      <w:r w:rsidRPr="00907C84">
        <w:rPr>
          <w:rFonts w:ascii="Book Antiqua" w:eastAsia="宋体" w:hAnsi="Book Antiqua" w:cs="宋体"/>
          <w:b/>
          <w:bCs/>
          <w:sz w:val="24"/>
          <w:szCs w:val="24"/>
          <w:lang w:val="pl-PL" w:eastAsia="zh-CN"/>
        </w:rPr>
        <w:t>Telephone:</w:t>
      </w:r>
      <w:r w:rsidRPr="00907C84">
        <w:rPr>
          <w:rFonts w:ascii="Book Antiqua" w:eastAsia="宋体" w:hAnsi="Book Antiqua" w:cs="宋体"/>
          <w:sz w:val="24"/>
          <w:szCs w:val="24"/>
          <w:lang w:val="pl-PL" w:eastAsia="zh-CN"/>
        </w:rPr>
        <w:t xml:space="preserve"> +1</w:t>
      </w:r>
      <w:r w:rsidR="00132352">
        <w:rPr>
          <w:rFonts w:ascii="Book Antiqua" w:eastAsia="宋体" w:hAnsi="Book Antiqua" w:cs="宋体"/>
          <w:sz w:val="24"/>
          <w:szCs w:val="24"/>
          <w:lang w:val="pl-PL" w:eastAsia="zh-CN"/>
        </w:rPr>
        <w:t>-</w:t>
      </w:r>
      <w:r w:rsidRPr="00907C84">
        <w:rPr>
          <w:rFonts w:ascii="Book Antiqua" w:eastAsia="宋体" w:hAnsi="Book Antiqua" w:cs="宋体"/>
          <w:sz w:val="24"/>
          <w:szCs w:val="24"/>
          <w:lang w:val="pl-PL" w:eastAsia="zh-CN"/>
        </w:rPr>
        <w:t>571</w:t>
      </w:r>
      <w:r w:rsidR="00132352">
        <w:rPr>
          <w:rFonts w:ascii="Book Antiqua" w:eastAsia="宋体" w:hAnsi="Book Antiqua" w:cs="宋体"/>
          <w:sz w:val="24"/>
          <w:szCs w:val="24"/>
          <w:lang w:val="pl-PL" w:eastAsia="zh-CN"/>
        </w:rPr>
        <w:t>-</w:t>
      </w:r>
      <w:r w:rsidRPr="00907C84">
        <w:rPr>
          <w:rFonts w:ascii="Book Antiqua" w:eastAsia="宋体" w:hAnsi="Book Antiqua" w:cs="宋体"/>
          <w:sz w:val="24"/>
          <w:szCs w:val="24"/>
          <w:lang w:val="pl-PL" w:eastAsia="zh-CN"/>
        </w:rPr>
        <w:t>2253999</w:t>
      </w:r>
    </w:p>
    <w:p w14:paraId="660973CC" w14:textId="39ADF4E3" w:rsidR="00397C46" w:rsidRDefault="00397C46" w:rsidP="00907C84">
      <w:pPr>
        <w:adjustRightInd w:val="0"/>
        <w:snapToGrid w:val="0"/>
        <w:spacing w:after="0" w:line="360" w:lineRule="auto"/>
        <w:jc w:val="both"/>
        <w:rPr>
          <w:rFonts w:ascii="Book Antiqua" w:eastAsia="宋体" w:hAnsi="Book Antiqua" w:cs="Arial"/>
          <w:sz w:val="24"/>
          <w:szCs w:val="24"/>
          <w:lang w:val="pl-PL" w:eastAsia="zh-CN"/>
        </w:rPr>
      </w:pPr>
      <w:r w:rsidRPr="00907C84">
        <w:rPr>
          <w:rFonts w:ascii="Book Antiqua" w:eastAsia="宋体" w:hAnsi="Book Antiqua" w:cs="宋体"/>
          <w:b/>
          <w:bCs/>
          <w:sz w:val="24"/>
          <w:szCs w:val="24"/>
          <w:lang w:val="pl-PL" w:eastAsia="zh-CN"/>
        </w:rPr>
        <w:t>Fax:</w:t>
      </w:r>
      <w:r w:rsidRPr="00907C84">
        <w:rPr>
          <w:rFonts w:ascii="Book Antiqua" w:eastAsia="宋体" w:hAnsi="Book Antiqua" w:cs="宋体"/>
          <w:sz w:val="24"/>
          <w:szCs w:val="24"/>
          <w:lang w:val="pl-PL" w:eastAsia="zh-CN"/>
        </w:rPr>
        <w:t xml:space="preserve"> </w:t>
      </w:r>
      <w:r w:rsidRPr="00907C84">
        <w:rPr>
          <w:rFonts w:ascii="Book Antiqua" w:eastAsia="宋体" w:hAnsi="Book Antiqua" w:cs="Arial"/>
          <w:sz w:val="24"/>
          <w:szCs w:val="24"/>
          <w:lang w:val="pl-PL" w:eastAsia="zh-CN"/>
        </w:rPr>
        <w:t>+1</w:t>
      </w:r>
      <w:r w:rsidR="00132352">
        <w:rPr>
          <w:rFonts w:ascii="Book Antiqua" w:eastAsia="宋体" w:hAnsi="Book Antiqua" w:cs="Arial"/>
          <w:sz w:val="24"/>
          <w:szCs w:val="24"/>
          <w:lang w:val="pl-PL" w:eastAsia="zh-CN"/>
        </w:rPr>
        <w:t>-</w:t>
      </w:r>
      <w:r w:rsidRPr="00907C84">
        <w:rPr>
          <w:rFonts w:ascii="Book Antiqua" w:eastAsia="宋体" w:hAnsi="Book Antiqua" w:cs="Arial"/>
          <w:sz w:val="24"/>
          <w:szCs w:val="24"/>
          <w:lang w:val="pl-PL" w:eastAsia="zh-CN"/>
        </w:rPr>
        <w:t>650</w:t>
      </w:r>
      <w:r w:rsidR="00132352">
        <w:rPr>
          <w:rFonts w:ascii="Book Antiqua" w:eastAsia="宋体" w:hAnsi="Book Antiqua" w:cs="Arial"/>
          <w:sz w:val="24"/>
          <w:szCs w:val="24"/>
          <w:lang w:val="pl-PL" w:eastAsia="zh-CN"/>
        </w:rPr>
        <w:t>-</w:t>
      </w:r>
      <w:r w:rsidRPr="00907C84">
        <w:rPr>
          <w:rFonts w:ascii="Book Antiqua" w:eastAsia="宋体" w:hAnsi="Book Antiqua" w:cs="Arial"/>
          <w:sz w:val="24"/>
          <w:szCs w:val="24"/>
          <w:lang w:val="pl-PL" w:eastAsia="zh-CN"/>
        </w:rPr>
        <w:t>7213470</w:t>
      </w:r>
    </w:p>
    <w:p w14:paraId="619882AB" w14:textId="32D9BF5A" w:rsidR="00C80B75" w:rsidRDefault="00C80B75" w:rsidP="00907C84">
      <w:pPr>
        <w:adjustRightInd w:val="0"/>
        <w:snapToGrid w:val="0"/>
        <w:spacing w:after="0" w:line="360" w:lineRule="auto"/>
        <w:jc w:val="both"/>
        <w:rPr>
          <w:rFonts w:ascii="Book Antiqua" w:eastAsia="宋体" w:hAnsi="Book Antiqua" w:cs="Arial"/>
          <w:sz w:val="24"/>
          <w:szCs w:val="24"/>
          <w:lang w:val="pl-PL" w:eastAsia="zh-CN"/>
        </w:rPr>
      </w:pPr>
    </w:p>
    <w:p w14:paraId="584D75AB" w14:textId="5D7D0C58" w:rsidR="00C80B75" w:rsidRPr="00C80B75" w:rsidRDefault="00C80B75" w:rsidP="00C80B75">
      <w:pPr>
        <w:adjustRightInd w:val="0"/>
        <w:snapToGrid w:val="0"/>
        <w:spacing w:after="0" w:line="360" w:lineRule="auto"/>
        <w:jc w:val="both"/>
        <w:rPr>
          <w:rFonts w:ascii="Book Antiqua" w:eastAsia="宋体" w:hAnsi="Book Antiqua" w:cs="Times New Roman"/>
          <w:b/>
          <w:sz w:val="24"/>
          <w:szCs w:val="24"/>
          <w:lang w:eastAsia="zh-CN"/>
        </w:rPr>
      </w:pPr>
      <w:bookmarkStart w:id="68" w:name="OLE_LINK14"/>
      <w:bookmarkStart w:id="69" w:name="OLE_LINK16"/>
      <w:bookmarkStart w:id="70" w:name="OLE_LINK51"/>
      <w:bookmarkStart w:id="71" w:name="OLE_LINK27"/>
      <w:bookmarkStart w:id="72" w:name="OLE_LINK382"/>
      <w:bookmarkStart w:id="73" w:name="OLE_LINK30"/>
      <w:bookmarkStart w:id="74" w:name="OLE_LINK376"/>
      <w:bookmarkStart w:id="75" w:name="OLE_LINK35"/>
      <w:bookmarkStart w:id="76" w:name="OLE_LINK64"/>
      <w:bookmarkStart w:id="77" w:name="OLE_LINK616"/>
      <w:bookmarkStart w:id="78" w:name="OLE_LINK141"/>
      <w:r w:rsidRPr="00C80B75">
        <w:rPr>
          <w:rFonts w:ascii="Book Antiqua" w:eastAsia="宋体" w:hAnsi="Book Antiqua" w:cs="Times New Roman"/>
          <w:b/>
          <w:sz w:val="24"/>
          <w:szCs w:val="24"/>
          <w:lang w:eastAsia="zh-CN"/>
        </w:rPr>
        <w:t xml:space="preserve">Received: </w:t>
      </w:r>
      <w:r>
        <w:rPr>
          <w:rFonts w:ascii="Book Antiqua" w:eastAsia="宋体" w:hAnsi="Book Antiqua" w:cs="Times New Roman"/>
          <w:sz w:val="24"/>
          <w:szCs w:val="24"/>
          <w:lang w:eastAsia="zh-CN"/>
        </w:rPr>
        <w:t>July</w:t>
      </w:r>
      <w:r w:rsidRPr="00C80B75">
        <w:rPr>
          <w:rFonts w:ascii="Book Antiqua" w:eastAsia="等线" w:hAnsi="Book Antiqua" w:cs="Times New Roman"/>
          <w:sz w:val="24"/>
          <w:szCs w:val="24"/>
          <w:lang w:eastAsia="zh-CN"/>
        </w:rPr>
        <w:t xml:space="preserve"> </w:t>
      </w:r>
      <w:r>
        <w:rPr>
          <w:rFonts w:ascii="Book Antiqua" w:eastAsia="等线" w:hAnsi="Book Antiqua" w:cs="Times New Roman"/>
          <w:sz w:val="24"/>
          <w:szCs w:val="24"/>
          <w:lang w:eastAsia="zh-CN"/>
        </w:rPr>
        <w:t>13</w:t>
      </w:r>
      <w:r w:rsidRPr="00C80B75">
        <w:rPr>
          <w:rFonts w:ascii="Book Antiqua" w:eastAsia="等线" w:hAnsi="Book Antiqua" w:cs="Times New Roman"/>
          <w:sz w:val="24"/>
          <w:szCs w:val="24"/>
          <w:lang w:eastAsia="zh-CN"/>
        </w:rPr>
        <w:t>, 2019</w:t>
      </w:r>
    </w:p>
    <w:p w14:paraId="2EA80022" w14:textId="502585E0" w:rsidR="00C80B75" w:rsidRPr="00C80B75" w:rsidRDefault="00C80B75" w:rsidP="00C80B75">
      <w:pPr>
        <w:adjustRightInd w:val="0"/>
        <w:snapToGrid w:val="0"/>
        <w:spacing w:after="0" w:line="360" w:lineRule="auto"/>
        <w:jc w:val="both"/>
        <w:rPr>
          <w:rFonts w:ascii="Book Antiqua" w:eastAsia="等线" w:hAnsi="Book Antiqua" w:cs="Times New Roman"/>
          <w:b/>
          <w:sz w:val="24"/>
          <w:szCs w:val="24"/>
          <w:lang w:eastAsia="zh-CN"/>
        </w:rPr>
      </w:pPr>
      <w:r w:rsidRPr="00C80B75">
        <w:rPr>
          <w:rFonts w:ascii="Book Antiqua" w:eastAsia="宋体" w:hAnsi="Book Antiqua" w:cs="Times New Roman"/>
          <w:b/>
          <w:sz w:val="24"/>
          <w:szCs w:val="24"/>
          <w:lang w:eastAsia="zh-CN"/>
        </w:rPr>
        <w:t>Peer-review started:</w:t>
      </w:r>
      <w:r w:rsidRPr="00C80B75">
        <w:rPr>
          <w:rFonts w:ascii="Book Antiqua" w:eastAsia="等线" w:hAnsi="Book Antiqua" w:cs="Times New Roman"/>
          <w:b/>
          <w:sz w:val="24"/>
          <w:szCs w:val="24"/>
          <w:lang w:eastAsia="zh-CN"/>
        </w:rPr>
        <w:t xml:space="preserve"> </w:t>
      </w:r>
      <w:r w:rsidRPr="00C80B75">
        <w:rPr>
          <w:rFonts w:ascii="Book Antiqua" w:eastAsia="宋体" w:hAnsi="Book Antiqua" w:cs="Times New Roman"/>
          <w:sz w:val="24"/>
          <w:szCs w:val="24"/>
          <w:lang w:eastAsia="zh-CN"/>
        </w:rPr>
        <w:t>July 1</w:t>
      </w:r>
      <w:r>
        <w:rPr>
          <w:rFonts w:ascii="Book Antiqua" w:eastAsia="宋体" w:hAnsi="Book Antiqua" w:cs="Times New Roman"/>
          <w:sz w:val="24"/>
          <w:szCs w:val="24"/>
          <w:lang w:eastAsia="zh-CN"/>
        </w:rPr>
        <w:t>6</w:t>
      </w:r>
      <w:r w:rsidRPr="00C80B75">
        <w:rPr>
          <w:rFonts w:ascii="Book Antiqua" w:eastAsia="等线" w:hAnsi="Book Antiqua" w:cs="Times New Roman"/>
          <w:sz w:val="24"/>
          <w:szCs w:val="24"/>
          <w:lang w:eastAsia="zh-CN"/>
        </w:rPr>
        <w:t>, 2019</w:t>
      </w:r>
    </w:p>
    <w:p w14:paraId="7E19D81D" w14:textId="5F4D42E3" w:rsidR="00C80B75" w:rsidRPr="00C80B75" w:rsidRDefault="00C80B75" w:rsidP="00C80B75">
      <w:pPr>
        <w:adjustRightInd w:val="0"/>
        <w:snapToGrid w:val="0"/>
        <w:spacing w:after="0" w:line="360" w:lineRule="auto"/>
        <w:jc w:val="both"/>
        <w:rPr>
          <w:rFonts w:ascii="Book Antiqua" w:eastAsia="等线" w:hAnsi="Book Antiqua" w:cs="Times New Roman"/>
          <w:b/>
          <w:sz w:val="24"/>
          <w:szCs w:val="24"/>
          <w:lang w:eastAsia="zh-CN"/>
        </w:rPr>
      </w:pPr>
      <w:r w:rsidRPr="00C80B75">
        <w:rPr>
          <w:rFonts w:ascii="Book Antiqua" w:eastAsia="宋体" w:hAnsi="Book Antiqua" w:cs="Times New Roman"/>
          <w:b/>
          <w:sz w:val="24"/>
          <w:szCs w:val="24"/>
          <w:lang w:eastAsia="zh-CN"/>
        </w:rPr>
        <w:t>First decision:</w:t>
      </w:r>
      <w:r w:rsidRPr="00C80B75">
        <w:rPr>
          <w:rFonts w:ascii="Book Antiqua" w:eastAsia="等线" w:hAnsi="Book Antiqua" w:cs="Times New Roman"/>
          <w:b/>
          <w:sz w:val="24"/>
          <w:szCs w:val="24"/>
          <w:lang w:eastAsia="zh-CN"/>
        </w:rPr>
        <w:t xml:space="preserve"> </w:t>
      </w:r>
      <w:r w:rsidRPr="00C80B75">
        <w:rPr>
          <w:rFonts w:ascii="Book Antiqua" w:eastAsia="宋体" w:hAnsi="Book Antiqua" w:cs="Times New Roman"/>
          <w:sz w:val="24"/>
          <w:szCs w:val="24"/>
          <w:lang w:eastAsia="zh-CN"/>
        </w:rPr>
        <w:t xml:space="preserve">July </w:t>
      </w:r>
      <w:r>
        <w:rPr>
          <w:rFonts w:ascii="Book Antiqua" w:eastAsia="宋体" w:hAnsi="Book Antiqua" w:cs="Times New Roman"/>
          <w:sz w:val="24"/>
          <w:szCs w:val="24"/>
          <w:lang w:eastAsia="zh-CN"/>
        </w:rPr>
        <w:t>30</w:t>
      </w:r>
      <w:r w:rsidRPr="00C80B75">
        <w:rPr>
          <w:rFonts w:ascii="Book Antiqua" w:eastAsia="等线" w:hAnsi="Book Antiqua" w:cs="Times New Roman"/>
          <w:sz w:val="24"/>
          <w:szCs w:val="24"/>
          <w:lang w:eastAsia="zh-CN"/>
        </w:rPr>
        <w:t>, 2019</w:t>
      </w:r>
    </w:p>
    <w:p w14:paraId="4084C07A" w14:textId="3463DAE4" w:rsidR="00C80B75" w:rsidRPr="00C80B75" w:rsidRDefault="00C80B75" w:rsidP="00C80B75">
      <w:pPr>
        <w:adjustRightInd w:val="0"/>
        <w:snapToGrid w:val="0"/>
        <w:spacing w:after="0" w:line="360" w:lineRule="auto"/>
        <w:jc w:val="both"/>
        <w:rPr>
          <w:rFonts w:ascii="Book Antiqua" w:eastAsia="宋体" w:hAnsi="Book Antiqua" w:cs="Times New Roman"/>
          <w:b/>
          <w:sz w:val="24"/>
          <w:szCs w:val="24"/>
          <w:lang w:eastAsia="zh-CN"/>
        </w:rPr>
      </w:pPr>
      <w:r w:rsidRPr="00C80B75">
        <w:rPr>
          <w:rFonts w:ascii="Book Antiqua" w:eastAsia="宋体" w:hAnsi="Book Antiqua" w:cs="Times New Roman"/>
          <w:b/>
          <w:sz w:val="24"/>
          <w:szCs w:val="24"/>
          <w:lang w:eastAsia="zh-CN"/>
        </w:rPr>
        <w:t xml:space="preserve">Revised: </w:t>
      </w:r>
      <w:r>
        <w:rPr>
          <w:rFonts w:ascii="Book Antiqua" w:eastAsia="宋体" w:hAnsi="Book Antiqua" w:cs="Times New Roman"/>
          <w:sz w:val="24"/>
          <w:szCs w:val="24"/>
          <w:lang w:eastAsia="zh-CN"/>
        </w:rPr>
        <w:t>September 8</w:t>
      </w:r>
      <w:r w:rsidRPr="00C80B75">
        <w:rPr>
          <w:rFonts w:ascii="Book Antiqua" w:eastAsia="宋体" w:hAnsi="Book Antiqua" w:cs="Times New Roman"/>
          <w:sz w:val="24"/>
          <w:szCs w:val="24"/>
          <w:lang w:eastAsia="zh-CN"/>
        </w:rPr>
        <w:t>, 2019</w:t>
      </w:r>
    </w:p>
    <w:p w14:paraId="3FD8F08C" w14:textId="63FFCDCF" w:rsidR="00C80B75" w:rsidRPr="00C80B75" w:rsidRDefault="00C80B75" w:rsidP="00C80B75">
      <w:pPr>
        <w:adjustRightInd w:val="0"/>
        <w:snapToGrid w:val="0"/>
        <w:spacing w:after="0" w:line="360" w:lineRule="auto"/>
        <w:jc w:val="both"/>
        <w:rPr>
          <w:rFonts w:ascii="Book Antiqua" w:eastAsia="宋体" w:hAnsi="Book Antiqua" w:cs="Times New Roman"/>
          <w:b/>
          <w:sz w:val="24"/>
          <w:szCs w:val="24"/>
          <w:lang w:eastAsia="zh-CN"/>
        </w:rPr>
      </w:pPr>
      <w:r w:rsidRPr="00C80B75">
        <w:rPr>
          <w:rFonts w:ascii="Book Antiqua" w:eastAsia="宋体" w:hAnsi="Book Antiqua" w:cs="Times New Roman"/>
          <w:b/>
          <w:sz w:val="24"/>
          <w:szCs w:val="24"/>
          <w:lang w:eastAsia="zh-CN"/>
        </w:rPr>
        <w:t xml:space="preserve">Accepted: </w:t>
      </w:r>
      <w:r w:rsidR="009075F4">
        <w:rPr>
          <w:rFonts w:ascii="Book Antiqua" w:eastAsia="宋体" w:hAnsi="Book Antiqua" w:cs="Times New Roman"/>
          <w:sz w:val="24"/>
          <w:szCs w:val="24"/>
          <w:lang w:eastAsia="zh-CN"/>
        </w:rPr>
        <w:t>September 22</w:t>
      </w:r>
      <w:r w:rsidR="009075F4" w:rsidRPr="00C80B75">
        <w:rPr>
          <w:rFonts w:ascii="Book Antiqua" w:eastAsia="宋体" w:hAnsi="Book Antiqua" w:cs="Times New Roman"/>
          <w:sz w:val="24"/>
          <w:szCs w:val="24"/>
          <w:lang w:eastAsia="zh-CN"/>
        </w:rPr>
        <w:t>, 2019</w:t>
      </w:r>
    </w:p>
    <w:p w14:paraId="0090F7BD" w14:textId="47298728" w:rsidR="00C80B75" w:rsidRPr="00C80B75" w:rsidRDefault="00C80B75" w:rsidP="00C80B75">
      <w:pPr>
        <w:adjustRightInd w:val="0"/>
        <w:snapToGrid w:val="0"/>
        <w:spacing w:after="0" w:line="360" w:lineRule="auto"/>
        <w:jc w:val="both"/>
        <w:rPr>
          <w:rFonts w:ascii="Book Antiqua" w:eastAsia="宋体" w:hAnsi="Book Antiqua" w:cs="Times New Roman"/>
          <w:b/>
          <w:sz w:val="24"/>
          <w:szCs w:val="24"/>
          <w:lang w:eastAsia="zh-CN"/>
        </w:rPr>
      </w:pPr>
      <w:r w:rsidRPr="00C80B75">
        <w:rPr>
          <w:rFonts w:ascii="Book Antiqua" w:eastAsia="宋体" w:hAnsi="Book Antiqua" w:cs="Times New Roman"/>
          <w:b/>
          <w:sz w:val="24"/>
          <w:szCs w:val="24"/>
          <w:lang w:eastAsia="zh-CN"/>
        </w:rPr>
        <w:t>Article in press:</w:t>
      </w:r>
      <w:r w:rsidR="008B74BD">
        <w:rPr>
          <w:rFonts w:ascii="Book Antiqua" w:eastAsia="宋体" w:hAnsi="Book Antiqua" w:cs="Times New Roman" w:hint="eastAsia"/>
          <w:b/>
          <w:sz w:val="24"/>
          <w:szCs w:val="24"/>
          <w:lang w:eastAsia="zh-CN"/>
        </w:rPr>
        <w:t xml:space="preserve"> </w:t>
      </w:r>
      <w:r w:rsidR="008B74BD">
        <w:rPr>
          <w:rFonts w:ascii="Book Antiqua" w:eastAsia="宋体" w:hAnsi="Book Antiqua" w:cs="Times New Roman"/>
          <w:sz w:val="24"/>
          <w:szCs w:val="24"/>
          <w:lang w:eastAsia="zh-CN"/>
        </w:rPr>
        <w:t>September 22</w:t>
      </w:r>
      <w:r w:rsidR="008B74BD" w:rsidRPr="00C80B75">
        <w:rPr>
          <w:rFonts w:ascii="Book Antiqua" w:eastAsia="宋体" w:hAnsi="Book Antiqua" w:cs="Times New Roman"/>
          <w:sz w:val="24"/>
          <w:szCs w:val="24"/>
          <w:lang w:eastAsia="zh-CN"/>
        </w:rPr>
        <w:t>, 2019</w:t>
      </w:r>
    </w:p>
    <w:p w14:paraId="547CCF12" w14:textId="18ADF6A0" w:rsidR="00C80B75" w:rsidRPr="00C80B75" w:rsidRDefault="00C80B75" w:rsidP="00C80B75">
      <w:pPr>
        <w:snapToGrid w:val="0"/>
        <w:spacing w:after="0" w:line="360" w:lineRule="auto"/>
        <w:jc w:val="both"/>
        <w:rPr>
          <w:rFonts w:ascii="Book Antiqua" w:eastAsia="宋体" w:hAnsi="Book Antiqua" w:cs="Times New Roman"/>
          <w:color w:val="000000"/>
          <w:sz w:val="24"/>
          <w:szCs w:val="24"/>
          <w:lang w:eastAsia="zh-CN"/>
        </w:rPr>
      </w:pPr>
      <w:r w:rsidRPr="00C80B75">
        <w:rPr>
          <w:rFonts w:ascii="Book Antiqua" w:eastAsia="宋体" w:hAnsi="Book Antiqua" w:cs="Times New Roman"/>
          <w:b/>
          <w:sz w:val="24"/>
          <w:szCs w:val="24"/>
          <w:lang w:eastAsia="zh-CN"/>
        </w:rPr>
        <w:t>Published online:</w:t>
      </w:r>
      <w:bookmarkEnd w:id="68"/>
      <w:bookmarkEnd w:id="69"/>
      <w:bookmarkEnd w:id="70"/>
      <w:bookmarkEnd w:id="71"/>
      <w:bookmarkEnd w:id="72"/>
      <w:r w:rsidR="008B74BD">
        <w:rPr>
          <w:rFonts w:ascii="Book Antiqua" w:eastAsia="宋体" w:hAnsi="Book Antiqua" w:cs="Times New Roman" w:hint="eastAsia"/>
          <w:b/>
          <w:sz w:val="24"/>
          <w:szCs w:val="24"/>
          <w:lang w:eastAsia="zh-CN"/>
        </w:rPr>
        <w:t xml:space="preserve"> </w:t>
      </w:r>
      <w:r w:rsidR="008B74BD" w:rsidRPr="008B74BD">
        <w:rPr>
          <w:rFonts w:ascii="Book Antiqua" w:eastAsia="宋体" w:hAnsi="Book Antiqua" w:cs="Times New Roman"/>
          <w:sz w:val="24"/>
          <w:szCs w:val="24"/>
          <w:lang w:eastAsia="zh-CN"/>
        </w:rPr>
        <w:t>December 18, 2019</w:t>
      </w:r>
    </w:p>
    <w:bookmarkEnd w:id="73"/>
    <w:bookmarkEnd w:id="74"/>
    <w:bookmarkEnd w:id="75"/>
    <w:bookmarkEnd w:id="76"/>
    <w:bookmarkEnd w:id="77"/>
    <w:bookmarkEnd w:id="78"/>
    <w:p w14:paraId="668EA261" w14:textId="77777777" w:rsidR="00C80B75" w:rsidRPr="00C80B75" w:rsidRDefault="00C80B75" w:rsidP="00907C84">
      <w:pPr>
        <w:adjustRightInd w:val="0"/>
        <w:snapToGrid w:val="0"/>
        <w:spacing w:after="0" w:line="360" w:lineRule="auto"/>
        <w:jc w:val="both"/>
        <w:rPr>
          <w:rFonts w:ascii="Book Antiqua" w:eastAsia="宋体" w:hAnsi="Book Antiqua" w:cs="宋体"/>
          <w:sz w:val="24"/>
          <w:szCs w:val="24"/>
          <w:lang w:eastAsia="zh-CN"/>
        </w:rPr>
      </w:pPr>
    </w:p>
    <w:p w14:paraId="01651682" w14:textId="73116596" w:rsidR="00CD0F3E" w:rsidRPr="00907C84" w:rsidRDefault="00CD0F3E" w:rsidP="00907C84">
      <w:pPr>
        <w:adjustRightInd w:val="0"/>
        <w:snapToGrid w:val="0"/>
        <w:spacing w:after="0" w:line="360" w:lineRule="auto"/>
        <w:jc w:val="both"/>
        <w:rPr>
          <w:rFonts w:ascii="Book Antiqua" w:hAnsi="Book Antiqua" w:cs="Times New Roman"/>
          <w:sz w:val="24"/>
          <w:szCs w:val="24"/>
        </w:rPr>
      </w:pPr>
    </w:p>
    <w:p w14:paraId="516EB14A" w14:textId="04490779" w:rsidR="00152FA5" w:rsidRPr="00907C84" w:rsidRDefault="00152FA5" w:rsidP="00907C84">
      <w:pPr>
        <w:adjustRightInd w:val="0"/>
        <w:snapToGrid w:val="0"/>
        <w:spacing w:after="0" w:line="360" w:lineRule="auto"/>
        <w:jc w:val="both"/>
        <w:rPr>
          <w:rFonts w:ascii="Book Antiqua" w:hAnsi="Book Antiqua" w:cs="Times New Roman"/>
          <w:sz w:val="24"/>
          <w:szCs w:val="24"/>
        </w:rPr>
      </w:pPr>
      <w:r w:rsidRPr="00907C84">
        <w:rPr>
          <w:rFonts w:ascii="Book Antiqua" w:hAnsi="Book Antiqua" w:cs="Times New Roman"/>
          <w:sz w:val="24"/>
          <w:szCs w:val="24"/>
        </w:rPr>
        <w:br w:type="page"/>
      </w:r>
    </w:p>
    <w:p w14:paraId="6BBC7014" w14:textId="571E7860" w:rsidR="00AF1C19" w:rsidRPr="00907C84" w:rsidRDefault="00AF1C19" w:rsidP="00907C84">
      <w:pPr>
        <w:adjustRightInd w:val="0"/>
        <w:snapToGrid w:val="0"/>
        <w:spacing w:after="0" w:line="360" w:lineRule="auto"/>
        <w:jc w:val="both"/>
        <w:rPr>
          <w:rFonts w:ascii="Book Antiqua" w:hAnsi="Book Antiqua" w:cs="Times New Roman"/>
          <w:b/>
          <w:sz w:val="24"/>
          <w:szCs w:val="24"/>
        </w:rPr>
      </w:pPr>
      <w:r w:rsidRPr="00907C84">
        <w:rPr>
          <w:rFonts w:ascii="Book Antiqua" w:hAnsi="Book Antiqua" w:cs="Times New Roman"/>
          <w:b/>
          <w:sz w:val="24"/>
          <w:szCs w:val="24"/>
        </w:rPr>
        <w:t>Abstract</w:t>
      </w:r>
    </w:p>
    <w:p w14:paraId="7A3FC6D7" w14:textId="6F6FEDC0" w:rsidR="004C4375" w:rsidRPr="00907C84" w:rsidRDefault="001C7C58" w:rsidP="00907C84">
      <w:pPr>
        <w:adjustRightInd w:val="0"/>
        <w:snapToGrid w:val="0"/>
        <w:spacing w:after="0" w:line="360" w:lineRule="auto"/>
        <w:jc w:val="both"/>
        <w:rPr>
          <w:rFonts w:ascii="Book Antiqua" w:hAnsi="Book Antiqua" w:cs="Times New Roman"/>
          <w:sz w:val="24"/>
          <w:szCs w:val="24"/>
        </w:rPr>
      </w:pPr>
      <w:r w:rsidRPr="00907C84">
        <w:rPr>
          <w:rFonts w:ascii="Book Antiqua" w:hAnsi="Book Antiqua" w:cs="Times New Roman"/>
          <w:sz w:val="24"/>
          <w:szCs w:val="24"/>
        </w:rPr>
        <w:t xml:space="preserve">Many orthopedic surgeons require that their patients obtain dental clearance before elective </w:t>
      </w:r>
      <w:r w:rsidR="00F87412" w:rsidRPr="00907C84">
        <w:rPr>
          <w:rFonts w:ascii="Book Antiqua" w:hAnsi="Book Antiqua" w:cs="Times New Roman"/>
          <w:sz w:val="24"/>
          <w:szCs w:val="24"/>
        </w:rPr>
        <w:t>t</w:t>
      </w:r>
      <w:r w:rsidR="0018540F" w:rsidRPr="00907C84">
        <w:rPr>
          <w:rFonts w:ascii="Book Antiqua" w:hAnsi="Book Antiqua" w:cs="Times New Roman"/>
          <w:sz w:val="24"/>
          <w:szCs w:val="24"/>
        </w:rPr>
        <w:t xml:space="preserve">otal </w:t>
      </w:r>
      <w:r w:rsidR="00F87412" w:rsidRPr="00907C84">
        <w:rPr>
          <w:rFonts w:ascii="Book Antiqua" w:hAnsi="Book Antiqua" w:cs="Times New Roman"/>
          <w:sz w:val="24"/>
          <w:szCs w:val="24"/>
        </w:rPr>
        <w:t>joint arthroplasty</w:t>
      </w:r>
      <w:r w:rsidR="0018540F" w:rsidRPr="00907C84">
        <w:rPr>
          <w:rFonts w:ascii="Book Antiqua" w:hAnsi="Book Antiqua" w:cs="Times New Roman"/>
          <w:sz w:val="24"/>
          <w:szCs w:val="24"/>
        </w:rPr>
        <w:t xml:space="preserve"> (</w:t>
      </w:r>
      <w:r w:rsidR="00AD5B4E" w:rsidRPr="00907C84">
        <w:rPr>
          <w:rFonts w:ascii="Book Antiqua" w:hAnsi="Book Antiqua" w:cs="Times New Roman"/>
          <w:sz w:val="24"/>
          <w:szCs w:val="24"/>
        </w:rPr>
        <w:t>TJA</w:t>
      </w:r>
      <w:r w:rsidR="0018540F" w:rsidRPr="00907C84">
        <w:rPr>
          <w:rFonts w:ascii="Book Antiqua" w:hAnsi="Book Antiqua" w:cs="Times New Roman"/>
          <w:sz w:val="24"/>
          <w:szCs w:val="24"/>
        </w:rPr>
        <w:t>)</w:t>
      </w:r>
      <w:r w:rsidRPr="00907C84">
        <w:rPr>
          <w:rFonts w:ascii="Book Antiqua" w:hAnsi="Book Antiqua" w:cs="Times New Roman"/>
          <w:sz w:val="24"/>
          <w:szCs w:val="24"/>
        </w:rPr>
        <w:t xml:space="preserve">. However, there is no consensus substantiating the practice. </w:t>
      </w:r>
      <w:r w:rsidR="004C4375" w:rsidRPr="00907C84">
        <w:rPr>
          <w:rFonts w:ascii="Book Antiqua" w:hAnsi="Book Antiqua" w:cs="Times New Roman"/>
          <w:sz w:val="24"/>
          <w:szCs w:val="24"/>
        </w:rPr>
        <w:t xml:space="preserve">To this end, </w:t>
      </w:r>
      <w:r w:rsidR="00CE3B3B" w:rsidRPr="00907C84">
        <w:rPr>
          <w:rFonts w:ascii="Book Antiqua" w:hAnsi="Book Antiqua" w:cs="Times New Roman"/>
          <w:sz w:val="24"/>
          <w:szCs w:val="24"/>
        </w:rPr>
        <w:t xml:space="preserve">a systematic review on the prevalence of dental pathology in </w:t>
      </w:r>
      <w:r w:rsidR="00984CCA" w:rsidRPr="00907C84">
        <w:rPr>
          <w:rFonts w:ascii="Book Antiqua" w:hAnsi="Book Antiqua" w:cs="Times New Roman"/>
          <w:sz w:val="24"/>
          <w:szCs w:val="24"/>
        </w:rPr>
        <w:t>TJA</w:t>
      </w:r>
      <w:r w:rsidR="008A3D84" w:rsidRPr="00907C84">
        <w:rPr>
          <w:rFonts w:ascii="Book Antiqua" w:hAnsi="Book Antiqua" w:cs="Times New Roman"/>
          <w:sz w:val="24"/>
          <w:szCs w:val="24"/>
        </w:rPr>
        <w:t xml:space="preserve"> patients</w:t>
      </w:r>
      <w:r w:rsidR="00CE3B3B" w:rsidRPr="00907C84">
        <w:rPr>
          <w:rFonts w:ascii="Book Antiqua" w:hAnsi="Book Antiqua" w:cs="Times New Roman"/>
          <w:sz w:val="24"/>
          <w:szCs w:val="24"/>
        </w:rPr>
        <w:t>, risk factors for failing dental screening, and impact of dental evaluations</w:t>
      </w:r>
      <w:r w:rsidR="00754D77" w:rsidRPr="00907C84">
        <w:rPr>
          <w:rFonts w:ascii="Book Antiqua" w:hAnsi="Book Antiqua" w:cs="Times New Roman"/>
          <w:sz w:val="24"/>
          <w:szCs w:val="24"/>
        </w:rPr>
        <w:t xml:space="preserve"> was performed</w:t>
      </w:r>
      <w:r w:rsidR="00CE3B3B" w:rsidRPr="00907C84">
        <w:rPr>
          <w:rFonts w:ascii="Book Antiqua" w:hAnsi="Book Antiqua" w:cs="Times New Roman"/>
          <w:sz w:val="24"/>
          <w:szCs w:val="24"/>
        </w:rPr>
        <w:t>.</w:t>
      </w:r>
      <w:r w:rsidR="0014493B" w:rsidRPr="00907C84">
        <w:rPr>
          <w:rFonts w:ascii="Book Antiqua" w:hAnsi="Book Antiqua" w:cs="Times New Roman"/>
          <w:b/>
          <w:sz w:val="24"/>
          <w:szCs w:val="24"/>
        </w:rPr>
        <w:t xml:space="preserve"> </w:t>
      </w:r>
      <w:r w:rsidR="007D125B" w:rsidRPr="00907C84">
        <w:rPr>
          <w:rFonts w:ascii="Book Antiqua" w:hAnsi="Book Antiqua" w:cs="Times New Roman"/>
          <w:sz w:val="24"/>
          <w:szCs w:val="24"/>
        </w:rPr>
        <w:t>Literature</w:t>
      </w:r>
      <w:r w:rsidR="005F6C0F" w:rsidRPr="00907C84">
        <w:rPr>
          <w:rFonts w:ascii="Book Antiqua" w:hAnsi="Book Antiqua" w:cs="Times New Roman"/>
          <w:sz w:val="24"/>
          <w:szCs w:val="24"/>
        </w:rPr>
        <w:t xml:space="preserve"> was</w:t>
      </w:r>
      <w:r w:rsidR="00864BFB" w:rsidRPr="00907C84">
        <w:rPr>
          <w:rFonts w:ascii="Book Antiqua" w:hAnsi="Book Antiqua" w:cs="Times New Roman"/>
          <w:sz w:val="24"/>
          <w:szCs w:val="24"/>
        </w:rPr>
        <w:t xml:space="preserve"> sourced from Pub</w:t>
      </w:r>
      <w:r w:rsidR="00660915" w:rsidRPr="00907C84">
        <w:rPr>
          <w:rFonts w:ascii="Book Antiqua" w:hAnsi="Book Antiqua" w:cs="Times New Roman"/>
          <w:sz w:val="24"/>
          <w:szCs w:val="24"/>
        </w:rPr>
        <w:t>M</w:t>
      </w:r>
      <w:r w:rsidR="00864BFB" w:rsidRPr="00907C84">
        <w:rPr>
          <w:rFonts w:ascii="Book Antiqua" w:hAnsi="Book Antiqua" w:cs="Times New Roman"/>
          <w:sz w:val="24"/>
          <w:szCs w:val="24"/>
        </w:rPr>
        <w:t xml:space="preserve">ed and </w:t>
      </w:r>
      <w:r w:rsidR="00C07A76">
        <w:rPr>
          <w:rFonts w:ascii="Book Antiqua" w:hAnsi="Book Antiqua" w:cs="Times New Roman"/>
          <w:sz w:val="24"/>
          <w:szCs w:val="24"/>
        </w:rPr>
        <w:t>Scopus</w:t>
      </w:r>
      <w:r w:rsidR="00864BFB" w:rsidRPr="00907C84">
        <w:rPr>
          <w:rFonts w:ascii="Book Antiqua" w:hAnsi="Book Antiqua" w:cs="Times New Roman"/>
          <w:sz w:val="24"/>
          <w:szCs w:val="24"/>
        </w:rPr>
        <w:t xml:space="preserve"> databases.</w:t>
      </w:r>
      <w:r w:rsidR="007D125B" w:rsidRPr="00907C84">
        <w:rPr>
          <w:rFonts w:ascii="Book Antiqua" w:hAnsi="Book Antiqua" w:cs="Times New Roman"/>
          <w:sz w:val="24"/>
          <w:szCs w:val="24"/>
        </w:rPr>
        <w:t xml:space="preserve"> Six papers were sourced from the initial search, one study was extracted from the references of the original six manuscripts, and one new publication was retrieved from a second search conducted after the first.</w:t>
      </w:r>
      <w:r w:rsidR="004364B3" w:rsidRPr="00907C84">
        <w:rPr>
          <w:rFonts w:ascii="Book Antiqua" w:eastAsia="Times New Roman" w:hAnsi="Book Antiqua" w:cs="Times New Roman"/>
          <w:color w:val="000000"/>
          <w:sz w:val="24"/>
          <w:szCs w:val="24"/>
        </w:rPr>
        <w:t xml:space="preserve"> </w:t>
      </w:r>
      <w:r w:rsidR="00287BAB" w:rsidRPr="00907C84">
        <w:rPr>
          <w:rFonts w:ascii="Book Antiqua" w:hAnsi="Book Antiqua" w:cs="Times New Roman"/>
          <w:sz w:val="24"/>
          <w:szCs w:val="24"/>
        </w:rPr>
        <w:t xml:space="preserve">The prevalence of dental pathology ranged from 8.8% to 29.4% across studies. </w:t>
      </w:r>
      <w:r w:rsidR="00804AA5" w:rsidRPr="00907C84">
        <w:rPr>
          <w:rFonts w:ascii="Book Antiqua" w:hAnsi="Book Antiqua" w:cs="Times New Roman"/>
          <w:sz w:val="24"/>
          <w:szCs w:val="24"/>
        </w:rPr>
        <w:t xml:space="preserve">Two of </w:t>
      </w:r>
      <w:r w:rsidR="00D675E4" w:rsidRPr="00907C84">
        <w:rPr>
          <w:rFonts w:ascii="Book Antiqua" w:hAnsi="Book Antiqua" w:cs="Times New Roman"/>
          <w:sz w:val="24"/>
          <w:szCs w:val="24"/>
        </w:rPr>
        <w:t>four</w:t>
      </w:r>
      <w:r w:rsidR="00804AA5" w:rsidRPr="00907C84">
        <w:rPr>
          <w:rFonts w:ascii="Book Antiqua" w:hAnsi="Book Antiqua" w:cs="Times New Roman"/>
          <w:sz w:val="24"/>
          <w:szCs w:val="24"/>
        </w:rPr>
        <w:t xml:space="preserve"> papers reported lower than average or improvements in post-operative infection</w:t>
      </w:r>
      <w:r w:rsidR="007D125B" w:rsidRPr="00907C84">
        <w:rPr>
          <w:rFonts w:ascii="Book Antiqua" w:hAnsi="Book Antiqua" w:cs="Times New Roman"/>
          <w:sz w:val="24"/>
          <w:szCs w:val="24"/>
        </w:rPr>
        <w:t xml:space="preserve"> </w:t>
      </w:r>
      <w:r w:rsidR="00804AA5" w:rsidRPr="00907C84">
        <w:rPr>
          <w:rFonts w:ascii="Book Antiqua" w:hAnsi="Book Antiqua" w:cs="Times New Roman"/>
          <w:sz w:val="24"/>
          <w:szCs w:val="24"/>
        </w:rPr>
        <w:t xml:space="preserve">with </w:t>
      </w:r>
      <w:r w:rsidR="00AD5B4E" w:rsidRPr="00907C84">
        <w:rPr>
          <w:rFonts w:ascii="Book Antiqua" w:hAnsi="Book Antiqua" w:cs="Times New Roman"/>
          <w:sz w:val="24"/>
          <w:szCs w:val="24"/>
        </w:rPr>
        <w:t>pre-operative</w:t>
      </w:r>
      <w:r w:rsidR="00804AA5" w:rsidRPr="00907C84">
        <w:rPr>
          <w:rFonts w:ascii="Book Antiqua" w:hAnsi="Book Antiqua" w:cs="Times New Roman"/>
          <w:sz w:val="24"/>
          <w:szCs w:val="24"/>
        </w:rPr>
        <w:t xml:space="preserve"> dental evaluation</w:t>
      </w:r>
      <w:r w:rsidR="00AD5B4E" w:rsidRPr="00907C84">
        <w:rPr>
          <w:rFonts w:ascii="Book Antiqua" w:hAnsi="Book Antiqua" w:cs="Times New Roman"/>
          <w:sz w:val="24"/>
          <w:szCs w:val="24"/>
        </w:rPr>
        <w:t>s</w:t>
      </w:r>
      <w:r w:rsidR="007D125B" w:rsidRPr="00907C84">
        <w:rPr>
          <w:rFonts w:ascii="Book Antiqua" w:hAnsi="Book Antiqua" w:cs="Times New Roman"/>
          <w:sz w:val="24"/>
          <w:szCs w:val="24"/>
        </w:rPr>
        <w:t xml:space="preserve"> while two found no such association</w:t>
      </w:r>
      <w:r w:rsidR="00804AA5" w:rsidRPr="00907C84">
        <w:rPr>
          <w:rFonts w:ascii="Book Antiqua" w:hAnsi="Book Antiqua" w:cs="Times New Roman"/>
          <w:sz w:val="24"/>
          <w:szCs w:val="24"/>
        </w:rPr>
        <w:t>.</w:t>
      </w:r>
      <w:r w:rsidR="00AD0E95" w:rsidRPr="00907C84">
        <w:rPr>
          <w:rFonts w:ascii="Book Antiqua" w:hAnsi="Book Antiqua" w:cs="Times New Roman"/>
          <w:b/>
          <w:sz w:val="24"/>
          <w:szCs w:val="24"/>
        </w:rPr>
        <w:t xml:space="preserve"> </w:t>
      </w:r>
      <w:r w:rsidR="00AD0E95" w:rsidRPr="00907C84">
        <w:rPr>
          <w:rFonts w:ascii="Book Antiqua" w:hAnsi="Book Antiqua" w:cs="Times New Roman"/>
          <w:sz w:val="24"/>
          <w:szCs w:val="24"/>
        </w:rPr>
        <w:t xml:space="preserve">There is insufficient evidence to support universal dental clearance before </w:t>
      </w:r>
      <w:r w:rsidR="00660915" w:rsidRPr="00907C84">
        <w:rPr>
          <w:rFonts w:ascii="Book Antiqua" w:hAnsi="Book Antiqua" w:cs="Times New Roman"/>
          <w:sz w:val="24"/>
          <w:szCs w:val="24"/>
        </w:rPr>
        <w:t>TJA</w:t>
      </w:r>
      <w:r w:rsidR="00AD0E95" w:rsidRPr="00907C84">
        <w:rPr>
          <w:rFonts w:ascii="Book Antiqua" w:hAnsi="Book Antiqua" w:cs="Times New Roman"/>
          <w:sz w:val="24"/>
          <w:szCs w:val="24"/>
        </w:rPr>
        <w:t xml:space="preserve">. </w:t>
      </w:r>
    </w:p>
    <w:p w14:paraId="38047F43" w14:textId="1F92FB0B" w:rsidR="00152FA5" w:rsidRPr="00907C84" w:rsidRDefault="00152FA5" w:rsidP="00907C84">
      <w:pPr>
        <w:adjustRightInd w:val="0"/>
        <w:snapToGrid w:val="0"/>
        <w:spacing w:after="0" w:line="360" w:lineRule="auto"/>
        <w:jc w:val="both"/>
        <w:rPr>
          <w:rFonts w:ascii="Book Antiqua" w:hAnsi="Book Antiqua" w:cs="Times New Roman"/>
          <w:sz w:val="24"/>
          <w:szCs w:val="24"/>
        </w:rPr>
      </w:pPr>
    </w:p>
    <w:p w14:paraId="36C882B7" w14:textId="66733338" w:rsidR="00152FA5" w:rsidRDefault="00152FA5" w:rsidP="00907C84">
      <w:pPr>
        <w:adjustRightInd w:val="0"/>
        <w:snapToGrid w:val="0"/>
        <w:spacing w:after="0" w:line="360" w:lineRule="auto"/>
        <w:jc w:val="both"/>
        <w:rPr>
          <w:rFonts w:ascii="Book Antiqua" w:eastAsia="宋体" w:hAnsi="Book Antiqua" w:cs="Times New Roman"/>
          <w:bCs/>
          <w:sz w:val="24"/>
          <w:szCs w:val="24"/>
          <w:lang w:eastAsia="zh-CN"/>
        </w:rPr>
      </w:pPr>
      <w:bookmarkStart w:id="79" w:name="OLE_LINK883"/>
      <w:bookmarkStart w:id="80" w:name="OLE_LINK884"/>
      <w:bookmarkStart w:id="81" w:name="OLE_LINK947"/>
      <w:bookmarkStart w:id="82" w:name="OLE_LINK348"/>
      <w:bookmarkStart w:id="83" w:name="OLE_LINK349"/>
      <w:bookmarkStart w:id="84" w:name="OLE_LINK360"/>
      <w:bookmarkStart w:id="85" w:name="OLE_LINK394"/>
      <w:bookmarkStart w:id="86" w:name="OLE_LINK407"/>
      <w:bookmarkStart w:id="87" w:name="OLE_LINK408"/>
      <w:bookmarkStart w:id="88" w:name="OLE_LINK645"/>
      <w:bookmarkStart w:id="89" w:name="OLE_LINK646"/>
      <w:r w:rsidRPr="00907C84">
        <w:rPr>
          <w:rFonts w:ascii="Book Antiqua" w:eastAsia="宋体" w:hAnsi="Book Antiqua" w:cs="Times New Roman"/>
          <w:b/>
          <w:sz w:val="24"/>
          <w:szCs w:val="24"/>
          <w:lang w:eastAsia="zh-CN"/>
        </w:rPr>
        <w:t>Key words:</w:t>
      </w:r>
      <w:bookmarkStart w:id="90" w:name="OLE_LINK1029"/>
      <w:bookmarkStart w:id="91" w:name="OLE_LINK1031"/>
      <w:bookmarkStart w:id="92" w:name="OLE_LINK111"/>
      <w:bookmarkStart w:id="93" w:name="OLE_LINK113"/>
      <w:bookmarkStart w:id="94" w:name="OLE_LINK817"/>
      <w:bookmarkStart w:id="95" w:name="OLE_LINK797"/>
      <w:bookmarkStart w:id="96" w:name="OLE_LINK798"/>
      <w:r w:rsidRPr="00907C84">
        <w:rPr>
          <w:rFonts w:ascii="Book Antiqua" w:eastAsia="宋体" w:hAnsi="Book Antiqua" w:cs="Times New Roman"/>
          <w:b/>
          <w:sz w:val="24"/>
          <w:szCs w:val="24"/>
          <w:lang w:eastAsia="zh-CN"/>
        </w:rPr>
        <w:t xml:space="preserve"> </w:t>
      </w:r>
      <w:bookmarkStart w:id="97" w:name="OLE_LINK241"/>
      <w:bookmarkEnd w:id="90"/>
      <w:bookmarkEnd w:id="91"/>
      <w:bookmarkEnd w:id="92"/>
      <w:bookmarkEnd w:id="93"/>
      <w:bookmarkEnd w:id="94"/>
      <w:bookmarkEnd w:id="95"/>
      <w:bookmarkEnd w:id="96"/>
      <w:r w:rsidR="00D22D24" w:rsidRPr="00907C84">
        <w:rPr>
          <w:rFonts w:ascii="Book Antiqua" w:eastAsia="宋体" w:hAnsi="Book Antiqua" w:cs="Times New Roman"/>
          <w:bCs/>
          <w:sz w:val="24"/>
          <w:szCs w:val="24"/>
          <w:lang w:eastAsia="zh-CN"/>
        </w:rPr>
        <w:t xml:space="preserve">Total </w:t>
      </w:r>
      <w:r w:rsidR="00714904" w:rsidRPr="00907C84">
        <w:rPr>
          <w:rFonts w:ascii="Book Antiqua" w:eastAsia="宋体" w:hAnsi="Book Antiqua" w:cs="Times New Roman"/>
          <w:bCs/>
          <w:sz w:val="24"/>
          <w:szCs w:val="24"/>
          <w:lang w:eastAsia="zh-CN"/>
        </w:rPr>
        <w:t>knee arthroplasty</w:t>
      </w:r>
      <w:r w:rsidR="00714904">
        <w:rPr>
          <w:rFonts w:ascii="Book Antiqua" w:eastAsia="宋体" w:hAnsi="Book Antiqua" w:cs="Times New Roman"/>
          <w:bCs/>
          <w:sz w:val="24"/>
          <w:szCs w:val="24"/>
          <w:lang w:eastAsia="zh-CN"/>
        </w:rPr>
        <w:t>;</w:t>
      </w:r>
      <w:r w:rsidR="00D22D24" w:rsidRPr="00907C84">
        <w:rPr>
          <w:rFonts w:ascii="Book Antiqua" w:eastAsia="宋体" w:hAnsi="Book Antiqua" w:cs="Times New Roman"/>
          <w:bCs/>
          <w:sz w:val="24"/>
          <w:szCs w:val="24"/>
          <w:lang w:eastAsia="zh-CN"/>
        </w:rPr>
        <w:t xml:space="preserve"> Total </w:t>
      </w:r>
      <w:r w:rsidR="00714904" w:rsidRPr="00907C84">
        <w:rPr>
          <w:rFonts w:ascii="Book Antiqua" w:eastAsia="宋体" w:hAnsi="Book Antiqua" w:cs="Times New Roman"/>
          <w:bCs/>
          <w:sz w:val="24"/>
          <w:szCs w:val="24"/>
          <w:lang w:eastAsia="zh-CN"/>
        </w:rPr>
        <w:t>hip arthroplasty</w:t>
      </w:r>
      <w:r w:rsidR="00714904">
        <w:rPr>
          <w:rFonts w:ascii="Book Antiqua" w:eastAsia="宋体" w:hAnsi="Book Antiqua" w:cs="Times New Roman"/>
          <w:bCs/>
          <w:sz w:val="24"/>
          <w:szCs w:val="24"/>
          <w:lang w:eastAsia="zh-CN"/>
        </w:rPr>
        <w:t>;</w:t>
      </w:r>
      <w:r w:rsidR="00D22D24" w:rsidRPr="00907C84">
        <w:rPr>
          <w:rFonts w:ascii="Book Antiqua" w:eastAsia="宋体" w:hAnsi="Book Antiqua" w:cs="Times New Roman"/>
          <w:bCs/>
          <w:sz w:val="24"/>
          <w:szCs w:val="24"/>
          <w:lang w:eastAsia="zh-CN"/>
        </w:rPr>
        <w:t xml:space="preserve"> Total </w:t>
      </w:r>
      <w:r w:rsidR="00714904" w:rsidRPr="00907C84">
        <w:rPr>
          <w:rFonts w:ascii="Book Antiqua" w:eastAsia="宋体" w:hAnsi="Book Antiqua" w:cs="Times New Roman"/>
          <w:bCs/>
          <w:sz w:val="24"/>
          <w:szCs w:val="24"/>
          <w:lang w:eastAsia="zh-CN"/>
        </w:rPr>
        <w:t>joint arthroplasty</w:t>
      </w:r>
      <w:r w:rsidR="00714904">
        <w:rPr>
          <w:rFonts w:ascii="Book Antiqua" w:eastAsia="宋体" w:hAnsi="Book Antiqua" w:cs="Times New Roman"/>
          <w:bCs/>
          <w:sz w:val="24"/>
          <w:szCs w:val="24"/>
          <w:lang w:eastAsia="zh-CN"/>
        </w:rPr>
        <w:t>;</w:t>
      </w:r>
      <w:r w:rsidR="00D22D24" w:rsidRPr="00907C84">
        <w:rPr>
          <w:rFonts w:ascii="Book Antiqua" w:eastAsia="宋体" w:hAnsi="Book Antiqua" w:cs="Times New Roman"/>
          <w:bCs/>
          <w:sz w:val="24"/>
          <w:szCs w:val="24"/>
          <w:lang w:eastAsia="zh-CN"/>
        </w:rPr>
        <w:t xml:space="preserve"> Peri</w:t>
      </w:r>
      <w:r w:rsidR="00714904" w:rsidRPr="00907C84">
        <w:rPr>
          <w:rFonts w:ascii="Book Antiqua" w:eastAsia="宋体" w:hAnsi="Book Antiqua" w:cs="Times New Roman"/>
          <w:bCs/>
          <w:sz w:val="24"/>
          <w:szCs w:val="24"/>
          <w:lang w:eastAsia="zh-CN"/>
        </w:rPr>
        <w:t>prosthetic joint i</w:t>
      </w:r>
      <w:r w:rsidR="00D22D24" w:rsidRPr="00907C84">
        <w:rPr>
          <w:rFonts w:ascii="Book Antiqua" w:eastAsia="宋体" w:hAnsi="Book Antiqua" w:cs="Times New Roman"/>
          <w:bCs/>
          <w:sz w:val="24"/>
          <w:szCs w:val="24"/>
          <w:lang w:eastAsia="zh-CN"/>
        </w:rPr>
        <w:t>nfection</w:t>
      </w:r>
      <w:r w:rsidR="00714904">
        <w:rPr>
          <w:rFonts w:ascii="Book Antiqua" w:eastAsia="宋体" w:hAnsi="Book Antiqua" w:cs="Times New Roman"/>
          <w:bCs/>
          <w:sz w:val="24"/>
          <w:szCs w:val="24"/>
          <w:lang w:eastAsia="zh-CN"/>
        </w:rPr>
        <w:t>;</w:t>
      </w:r>
      <w:r w:rsidR="00D22D24" w:rsidRPr="00907C84">
        <w:rPr>
          <w:rFonts w:ascii="Book Antiqua" w:eastAsia="宋体" w:hAnsi="Book Antiqua" w:cs="Times New Roman"/>
          <w:bCs/>
          <w:sz w:val="24"/>
          <w:szCs w:val="24"/>
          <w:lang w:eastAsia="zh-CN"/>
        </w:rPr>
        <w:t xml:space="preserve"> Dental </w:t>
      </w:r>
      <w:r w:rsidR="00714904" w:rsidRPr="00907C84">
        <w:rPr>
          <w:rFonts w:ascii="Book Antiqua" w:eastAsia="宋体" w:hAnsi="Book Antiqua" w:cs="Times New Roman"/>
          <w:bCs/>
          <w:sz w:val="24"/>
          <w:szCs w:val="24"/>
          <w:lang w:eastAsia="zh-CN"/>
        </w:rPr>
        <w:t>s</w:t>
      </w:r>
      <w:r w:rsidR="00D22D24" w:rsidRPr="00907C84">
        <w:rPr>
          <w:rFonts w:ascii="Book Antiqua" w:eastAsia="宋体" w:hAnsi="Book Antiqua" w:cs="Times New Roman"/>
          <w:bCs/>
          <w:sz w:val="24"/>
          <w:szCs w:val="24"/>
          <w:lang w:eastAsia="zh-CN"/>
        </w:rPr>
        <w:t>creening</w:t>
      </w:r>
    </w:p>
    <w:p w14:paraId="5E0B92B5" w14:textId="77777777" w:rsidR="0014191D" w:rsidRDefault="0014191D" w:rsidP="00907C84">
      <w:pPr>
        <w:adjustRightInd w:val="0"/>
        <w:snapToGrid w:val="0"/>
        <w:spacing w:after="0" w:line="360" w:lineRule="auto"/>
        <w:jc w:val="both"/>
        <w:rPr>
          <w:rFonts w:ascii="Book Antiqua" w:eastAsia="宋体" w:hAnsi="Book Antiqua" w:cs="Times New Roman"/>
          <w:bCs/>
          <w:sz w:val="24"/>
          <w:szCs w:val="24"/>
          <w:lang w:eastAsia="zh-CN"/>
        </w:rPr>
      </w:pPr>
    </w:p>
    <w:p w14:paraId="12C3C538" w14:textId="0A06B51B" w:rsidR="0014191D" w:rsidRPr="0014191D" w:rsidRDefault="0014191D" w:rsidP="0014191D">
      <w:pPr>
        <w:spacing w:after="0" w:line="360" w:lineRule="auto"/>
        <w:jc w:val="both"/>
        <w:rPr>
          <w:rFonts w:ascii="Book Antiqua" w:eastAsia="宋体" w:hAnsi="Book Antiqua" w:cs="Times New Roman"/>
          <w:sz w:val="24"/>
          <w:szCs w:val="24"/>
          <w:lang w:eastAsia="zh-CN"/>
        </w:rPr>
      </w:pPr>
      <w:bookmarkStart w:id="98" w:name="OLE_LINK43"/>
      <w:bookmarkStart w:id="99" w:name="OLE_LINK44"/>
      <w:bookmarkStart w:id="100" w:name="OLE_LINK67"/>
      <w:bookmarkStart w:id="101" w:name="OLE_LINK65"/>
      <w:bookmarkStart w:id="102" w:name="OLE_LINK71"/>
      <w:bookmarkStart w:id="103" w:name="OLE_LINK58"/>
      <w:bookmarkStart w:id="104" w:name="OLE_LINK59"/>
      <w:bookmarkStart w:id="105" w:name="OLE_LINK24"/>
      <w:proofErr w:type="gramStart"/>
      <w:r w:rsidRPr="0014191D">
        <w:rPr>
          <w:rFonts w:ascii="Book Antiqua" w:eastAsia="宋体" w:hAnsi="Book Antiqua" w:cs="Times New Roman"/>
          <w:b/>
          <w:sz w:val="24"/>
          <w:szCs w:val="24"/>
          <w:lang w:eastAsia="zh-CN"/>
        </w:rPr>
        <w:t>© The Author(s) 201</w:t>
      </w:r>
      <w:r w:rsidRPr="0014191D">
        <w:rPr>
          <w:rFonts w:ascii="Book Antiqua" w:eastAsia="宋体" w:hAnsi="Book Antiqua" w:cs="Times New Roman" w:hint="eastAsia"/>
          <w:b/>
          <w:sz w:val="24"/>
          <w:szCs w:val="24"/>
          <w:lang w:eastAsia="zh-CN"/>
        </w:rPr>
        <w:t>9</w:t>
      </w:r>
      <w:r w:rsidRPr="0014191D">
        <w:rPr>
          <w:rFonts w:ascii="Book Antiqua" w:eastAsia="宋体" w:hAnsi="Book Antiqua" w:cs="Times New Roman"/>
          <w:b/>
          <w:sz w:val="24"/>
          <w:szCs w:val="24"/>
          <w:lang w:eastAsia="zh-CN"/>
        </w:rPr>
        <w:t>.</w:t>
      </w:r>
      <w:proofErr w:type="gramEnd"/>
      <w:r w:rsidRPr="0014191D">
        <w:rPr>
          <w:rFonts w:ascii="Book Antiqua" w:eastAsia="宋体" w:hAnsi="Book Antiqua" w:cs="Times New Roman"/>
          <w:b/>
          <w:sz w:val="24"/>
          <w:szCs w:val="24"/>
          <w:lang w:eastAsia="zh-CN"/>
        </w:rPr>
        <w:t xml:space="preserve"> </w:t>
      </w:r>
      <w:proofErr w:type="gramStart"/>
      <w:r w:rsidRPr="0014191D">
        <w:rPr>
          <w:rFonts w:ascii="Book Antiqua" w:eastAsia="宋体" w:hAnsi="Book Antiqua" w:cs="Times New Roman"/>
          <w:sz w:val="24"/>
          <w:szCs w:val="24"/>
          <w:lang w:eastAsia="zh-CN"/>
        </w:rPr>
        <w:t xml:space="preserve">Published by </w:t>
      </w:r>
      <w:proofErr w:type="spellStart"/>
      <w:r w:rsidRPr="0014191D">
        <w:rPr>
          <w:rFonts w:ascii="Book Antiqua" w:eastAsia="宋体" w:hAnsi="Book Antiqua" w:cs="Times New Roman"/>
          <w:sz w:val="24"/>
          <w:szCs w:val="24"/>
          <w:lang w:eastAsia="zh-CN"/>
        </w:rPr>
        <w:t>Baishideng</w:t>
      </w:r>
      <w:proofErr w:type="spellEnd"/>
      <w:r w:rsidRPr="0014191D">
        <w:rPr>
          <w:rFonts w:ascii="Book Antiqua" w:eastAsia="宋体" w:hAnsi="Book Antiqua" w:cs="Times New Roman"/>
          <w:sz w:val="24"/>
          <w:szCs w:val="24"/>
          <w:lang w:eastAsia="zh-CN"/>
        </w:rPr>
        <w:t xml:space="preserve"> Publishing Group Inc.</w:t>
      </w:r>
      <w:proofErr w:type="gramEnd"/>
      <w:r w:rsidRPr="0014191D">
        <w:rPr>
          <w:rFonts w:ascii="Book Antiqua" w:eastAsia="宋体" w:hAnsi="Book Antiqua" w:cs="Times New Roman"/>
          <w:sz w:val="24"/>
          <w:szCs w:val="24"/>
          <w:lang w:eastAsia="zh-CN"/>
        </w:rPr>
        <w:t xml:space="preserve"> All rights reserved.</w:t>
      </w:r>
      <w:bookmarkEnd w:id="98"/>
      <w:bookmarkEnd w:id="99"/>
      <w:bookmarkEnd w:id="100"/>
      <w:bookmarkEnd w:id="101"/>
      <w:bookmarkEnd w:id="102"/>
      <w:r w:rsidRPr="0014191D">
        <w:rPr>
          <w:rFonts w:ascii="Book Antiqua" w:eastAsia="宋体" w:hAnsi="Book Antiqua" w:cs="Times New Roman"/>
          <w:sz w:val="24"/>
          <w:szCs w:val="24"/>
          <w:lang w:eastAsia="zh-CN"/>
        </w:rPr>
        <w:t xml:space="preserve"> </w:t>
      </w:r>
      <w:bookmarkEnd w:id="103"/>
      <w:bookmarkEnd w:id="104"/>
      <w:bookmarkEnd w:id="105"/>
    </w:p>
    <w:bookmarkEnd w:id="79"/>
    <w:bookmarkEnd w:id="80"/>
    <w:bookmarkEnd w:id="81"/>
    <w:bookmarkEnd w:id="82"/>
    <w:bookmarkEnd w:id="83"/>
    <w:bookmarkEnd w:id="84"/>
    <w:bookmarkEnd w:id="85"/>
    <w:bookmarkEnd w:id="86"/>
    <w:bookmarkEnd w:id="87"/>
    <w:bookmarkEnd w:id="88"/>
    <w:bookmarkEnd w:id="89"/>
    <w:bookmarkEnd w:id="97"/>
    <w:p w14:paraId="64B59655" w14:textId="0E959200" w:rsidR="00152FA5" w:rsidRPr="00907C84" w:rsidRDefault="00152FA5" w:rsidP="00907C84">
      <w:pPr>
        <w:adjustRightInd w:val="0"/>
        <w:snapToGrid w:val="0"/>
        <w:spacing w:after="0" w:line="360" w:lineRule="auto"/>
        <w:jc w:val="both"/>
        <w:rPr>
          <w:rFonts w:ascii="Book Antiqua" w:hAnsi="Book Antiqua" w:cs="Times New Roman"/>
          <w:sz w:val="24"/>
          <w:szCs w:val="24"/>
        </w:rPr>
      </w:pPr>
    </w:p>
    <w:p w14:paraId="2E2F24BB" w14:textId="24E565A1" w:rsidR="007743BE" w:rsidRDefault="007743BE" w:rsidP="00907C84">
      <w:pPr>
        <w:adjustRightInd w:val="0"/>
        <w:snapToGrid w:val="0"/>
        <w:spacing w:after="0" w:line="360" w:lineRule="auto"/>
        <w:jc w:val="both"/>
        <w:rPr>
          <w:rFonts w:ascii="Book Antiqua" w:hAnsi="Book Antiqua" w:cs="Times New Roman"/>
          <w:sz w:val="24"/>
          <w:szCs w:val="24"/>
        </w:rPr>
      </w:pPr>
      <w:r w:rsidRPr="00907C84">
        <w:rPr>
          <w:rFonts w:ascii="Book Antiqua" w:hAnsi="Book Antiqua" w:cs="Times New Roman"/>
          <w:b/>
          <w:bCs/>
          <w:sz w:val="24"/>
          <w:szCs w:val="24"/>
        </w:rPr>
        <w:t>Core tip:</w:t>
      </w:r>
      <w:r w:rsidRPr="00907C84">
        <w:rPr>
          <w:rFonts w:ascii="Book Antiqua" w:hAnsi="Book Antiqua" w:cs="Times New Roman"/>
          <w:sz w:val="24"/>
          <w:szCs w:val="24"/>
        </w:rPr>
        <w:t xml:space="preserve"> There is insufficient evidence to support universal dental clearance before total knee arthroplasty or total hip arthroplasty </w:t>
      </w:r>
      <w:r w:rsidR="00277A47" w:rsidRPr="00907C84">
        <w:rPr>
          <w:rFonts w:ascii="Book Antiqua" w:hAnsi="Book Antiqua" w:cs="Times New Roman"/>
          <w:sz w:val="24"/>
          <w:szCs w:val="24"/>
        </w:rPr>
        <w:t>procedures for reducing periprosthetic joint infection, even for higher risk patients</w:t>
      </w:r>
      <w:r w:rsidR="003539B1" w:rsidRPr="00907C84">
        <w:rPr>
          <w:rFonts w:ascii="Book Antiqua" w:hAnsi="Book Antiqua" w:cs="Times New Roman"/>
          <w:sz w:val="24"/>
          <w:szCs w:val="24"/>
        </w:rPr>
        <w:t>.</w:t>
      </w:r>
    </w:p>
    <w:p w14:paraId="03EA20B2" w14:textId="36A65473" w:rsidR="0014191D" w:rsidRDefault="0014191D" w:rsidP="00907C84">
      <w:pPr>
        <w:adjustRightInd w:val="0"/>
        <w:snapToGrid w:val="0"/>
        <w:spacing w:after="0" w:line="360" w:lineRule="auto"/>
        <w:jc w:val="both"/>
        <w:rPr>
          <w:rFonts w:ascii="Book Antiqua" w:hAnsi="Book Antiqua" w:cs="Times New Roman"/>
          <w:sz w:val="24"/>
          <w:szCs w:val="24"/>
        </w:rPr>
      </w:pPr>
    </w:p>
    <w:p w14:paraId="6E32552A" w14:textId="77777777" w:rsidR="00825C30" w:rsidRDefault="0014191D" w:rsidP="00907C84">
      <w:pPr>
        <w:adjustRightInd w:val="0"/>
        <w:snapToGrid w:val="0"/>
        <w:spacing w:after="0" w:line="360" w:lineRule="auto"/>
        <w:jc w:val="both"/>
        <w:rPr>
          <w:rFonts w:ascii="Book Antiqua" w:hAnsi="Book Antiqua" w:hint="eastAsia"/>
          <w:color w:val="000000"/>
          <w:lang w:eastAsia="zh-CN"/>
        </w:rPr>
      </w:pPr>
      <w:bookmarkStart w:id="106" w:name="OLE_LINK314"/>
      <w:bookmarkStart w:id="107" w:name="OLE_LINK315"/>
      <w:r w:rsidRPr="00907C84">
        <w:rPr>
          <w:rFonts w:ascii="Book Antiqua" w:hAnsi="Book Antiqua" w:cs="Times New Roman"/>
          <w:sz w:val="24"/>
          <w:szCs w:val="24"/>
        </w:rPr>
        <w:t>Frey</w:t>
      </w:r>
      <w:r w:rsidRPr="0014191D">
        <w:rPr>
          <w:rFonts w:ascii="Book Antiqua" w:hAnsi="Book Antiqua" w:cs="Times New Roman"/>
          <w:sz w:val="24"/>
          <w:szCs w:val="24"/>
        </w:rPr>
        <w:t xml:space="preserve"> </w:t>
      </w:r>
      <w:r w:rsidRPr="00907C84">
        <w:rPr>
          <w:rFonts w:ascii="Book Antiqua" w:hAnsi="Book Antiqua" w:cs="Times New Roman"/>
          <w:sz w:val="24"/>
          <w:szCs w:val="24"/>
        </w:rPr>
        <w:t>C</w:t>
      </w:r>
      <w:r>
        <w:rPr>
          <w:rFonts w:ascii="Book Antiqua" w:hAnsi="Book Antiqua" w:cs="Times New Roman"/>
          <w:sz w:val="24"/>
          <w:szCs w:val="24"/>
        </w:rPr>
        <w:t xml:space="preserve">, </w:t>
      </w:r>
      <w:r w:rsidRPr="00907C84">
        <w:rPr>
          <w:rFonts w:ascii="Book Antiqua" w:hAnsi="Book Antiqua" w:cs="Times New Roman"/>
          <w:sz w:val="24"/>
          <w:szCs w:val="24"/>
        </w:rPr>
        <w:t>Navarro</w:t>
      </w:r>
      <w:r w:rsidRPr="0014191D">
        <w:rPr>
          <w:rFonts w:ascii="Book Antiqua" w:hAnsi="Book Antiqua" w:cs="Times New Roman"/>
          <w:sz w:val="24"/>
          <w:szCs w:val="24"/>
        </w:rPr>
        <w:t xml:space="preserve"> </w:t>
      </w:r>
      <w:r w:rsidRPr="00907C84">
        <w:rPr>
          <w:rFonts w:ascii="Book Antiqua" w:hAnsi="Book Antiqua" w:cs="Times New Roman"/>
          <w:sz w:val="24"/>
          <w:szCs w:val="24"/>
        </w:rPr>
        <w:t>S</w:t>
      </w:r>
      <w:r>
        <w:rPr>
          <w:rFonts w:ascii="Book Antiqua" w:hAnsi="Book Antiqua" w:cs="Times New Roman"/>
          <w:sz w:val="24"/>
          <w:szCs w:val="24"/>
        </w:rPr>
        <w:t xml:space="preserve">, </w:t>
      </w:r>
      <w:r w:rsidRPr="00907C84">
        <w:rPr>
          <w:rFonts w:ascii="Book Antiqua" w:hAnsi="Book Antiqua" w:cs="Times New Roman"/>
          <w:sz w:val="24"/>
          <w:szCs w:val="24"/>
        </w:rPr>
        <w:t>Blackwell</w:t>
      </w:r>
      <w:r w:rsidRPr="0014191D">
        <w:rPr>
          <w:rFonts w:ascii="Book Antiqua" w:hAnsi="Book Antiqua" w:cs="Times New Roman"/>
          <w:sz w:val="24"/>
          <w:szCs w:val="24"/>
        </w:rPr>
        <w:t xml:space="preserve"> </w:t>
      </w:r>
      <w:r w:rsidRPr="00907C84">
        <w:rPr>
          <w:rFonts w:ascii="Book Antiqua" w:hAnsi="Book Antiqua" w:cs="Times New Roman"/>
          <w:sz w:val="24"/>
          <w:szCs w:val="24"/>
        </w:rPr>
        <w:t>T</w:t>
      </w:r>
      <w:r>
        <w:rPr>
          <w:rFonts w:ascii="Book Antiqua" w:hAnsi="Book Antiqua" w:cs="Times New Roman"/>
          <w:sz w:val="24"/>
          <w:szCs w:val="24"/>
        </w:rPr>
        <w:t xml:space="preserve">, </w:t>
      </w:r>
      <w:proofErr w:type="spellStart"/>
      <w:r w:rsidRPr="00907C84">
        <w:rPr>
          <w:rFonts w:ascii="Book Antiqua" w:hAnsi="Book Antiqua" w:cs="Times New Roman"/>
          <w:sz w:val="24"/>
          <w:szCs w:val="24"/>
        </w:rPr>
        <w:t>Lidner</w:t>
      </w:r>
      <w:proofErr w:type="spellEnd"/>
      <w:r w:rsidRPr="0014191D">
        <w:rPr>
          <w:rFonts w:ascii="Book Antiqua" w:hAnsi="Book Antiqua" w:cs="Times New Roman"/>
          <w:sz w:val="24"/>
          <w:szCs w:val="24"/>
        </w:rPr>
        <w:t xml:space="preserve"> </w:t>
      </w:r>
      <w:r w:rsidRPr="00907C84">
        <w:rPr>
          <w:rFonts w:ascii="Book Antiqua" w:hAnsi="Book Antiqua" w:cs="Times New Roman"/>
          <w:sz w:val="24"/>
          <w:szCs w:val="24"/>
        </w:rPr>
        <w:t>C</w:t>
      </w:r>
      <w:r>
        <w:rPr>
          <w:rFonts w:ascii="Book Antiqua" w:hAnsi="Book Antiqua" w:cs="Times New Roman"/>
          <w:sz w:val="24"/>
          <w:szCs w:val="24"/>
        </w:rPr>
        <w:t xml:space="preserve">, </w:t>
      </w:r>
      <w:r w:rsidRPr="00907C84">
        <w:rPr>
          <w:rFonts w:ascii="Book Antiqua" w:hAnsi="Book Antiqua" w:cs="Times New Roman"/>
          <w:sz w:val="24"/>
          <w:szCs w:val="24"/>
        </w:rPr>
        <w:t xml:space="preserve">Del </w:t>
      </w:r>
      <w:proofErr w:type="spellStart"/>
      <w:r w:rsidRPr="00907C84">
        <w:rPr>
          <w:rFonts w:ascii="Book Antiqua" w:hAnsi="Book Antiqua" w:cs="Times New Roman"/>
          <w:sz w:val="24"/>
          <w:szCs w:val="24"/>
        </w:rPr>
        <w:t>Schutte</w:t>
      </w:r>
      <w:proofErr w:type="spellEnd"/>
      <w:r w:rsidRPr="00907C84">
        <w:rPr>
          <w:rFonts w:ascii="Book Antiqua" w:hAnsi="Book Antiqua" w:cs="Times New Roman"/>
          <w:sz w:val="24"/>
          <w:szCs w:val="24"/>
        </w:rPr>
        <w:t xml:space="preserve"> Jr</w:t>
      </w:r>
      <w:r w:rsidRPr="0014191D">
        <w:rPr>
          <w:rFonts w:ascii="Book Antiqua" w:hAnsi="Book Antiqua" w:cs="Times New Roman"/>
          <w:sz w:val="24"/>
          <w:szCs w:val="24"/>
        </w:rPr>
        <w:t xml:space="preserve"> </w:t>
      </w:r>
      <w:r w:rsidRPr="00907C84">
        <w:rPr>
          <w:rFonts w:ascii="Book Antiqua" w:hAnsi="Book Antiqua" w:cs="Times New Roman"/>
          <w:sz w:val="24"/>
          <w:szCs w:val="24"/>
        </w:rPr>
        <w:t>H</w:t>
      </w:r>
      <w:r w:rsidR="00FC386A">
        <w:rPr>
          <w:rFonts w:ascii="Book Antiqua" w:hAnsi="Book Antiqua" w:cs="Times New Roman"/>
          <w:sz w:val="24"/>
          <w:szCs w:val="24"/>
        </w:rPr>
        <w:t xml:space="preserve">. </w:t>
      </w:r>
      <w:r w:rsidR="00FC386A" w:rsidRPr="00FC386A">
        <w:rPr>
          <w:rFonts w:ascii="Book Antiqua" w:hAnsi="Book Antiqua" w:cs="Times New Roman"/>
          <w:sz w:val="24"/>
          <w:szCs w:val="24"/>
        </w:rPr>
        <w:t>Impact of dental clearance on total joint arthroplasty</w:t>
      </w:r>
      <w:r w:rsidR="00CD4503">
        <w:rPr>
          <w:rFonts w:ascii="Book Antiqua" w:hAnsi="Book Antiqua" w:cs="Times New Roman"/>
          <w:sz w:val="24"/>
          <w:szCs w:val="24"/>
        </w:rPr>
        <w:t>:</w:t>
      </w:r>
      <w:r w:rsidR="00FC386A" w:rsidRPr="00FC386A">
        <w:rPr>
          <w:rFonts w:ascii="Book Antiqua" w:hAnsi="Book Antiqua" w:cs="Times New Roman"/>
          <w:sz w:val="24"/>
          <w:szCs w:val="24"/>
        </w:rPr>
        <w:t xml:space="preserve"> </w:t>
      </w:r>
      <w:r w:rsidR="00CD4503">
        <w:rPr>
          <w:rFonts w:ascii="Book Antiqua" w:hAnsi="Book Antiqua" w:cs="Times New Roman"/>
          <w:sz w:val="24"/>
          <w:szCs w:val="24"/>
        </w:rPr>
        <w:t>A</w:t>
      </w:r>
      <w:r w:rsidR="00FC386A" w:rsidRPr="00FC386A">
        <w:rPr>
          <w:rFonts w:ascii="Book Antiqua" w:hAnsi="Book Antiqua" w:cs="Times New Roman"/>
          <w:sz w:val="24"/>
          <w:szCs w:val="24"/>
        </w:rPr>
        <w:t xml:space="preserve"> systematic review</w:t>
      </w:r>
      <w:r w:rsidR="00FC386A">
        <w:rPr>
          <w:rFonts w:ascii="Book Antiqua" w:hAnsi="Book Antiqua" w:cs="Times New Roman"/>
          <w:sz w:val="24"/>
          <w:szCs w:val="24"/>
        </w:rPr>
        <w:t xml:space="preserve">. </w:t>
      </w:r>
      <w:bookmarkStart w:id="108" w:name="OLE_LINK1105"/>
      <w:bookmarkStart w:id="109" w:name="OLE_LINK1107"/>
      <w:bookmarkStart w:id="110" w:name="OLE_LINK380"/>
      <w:bookmarkStart w:id="111" w:name="OLE_LINK68"/>
      <w:bookmarkStart w:id="112" w:name="OLE_LINK66"/>
      <w:bookmarkStart w:id="113" w:name="OLE_LINK74"/>
      <w:r w:rsidR="00FC386A" w:rsidRPr="00FC386A">
        <w:rPr>
          <w:rFonts w:ascii="Book Antiqua" w:hAnsi="Book Antiqua"/>
          <w:i/>
          <w:color w:val="000000"/>
        </w:rPr>
        <w:t xml:space="preserve">World J </w:t>
      </w:r>
      <w:proofErr w:type="spellStart"/>
      <w:r w:rsidR="00FC386A" w:rsidRPr="00FC386A">
        <w:rPr>
          <w:rFonts w:ascii="Book Antiqua" w:hAnsi="Book Antiqua"/>
          <w:i/>
          <w:color w:val="000000"/>
        </w:rPr>
        <w:t>Orthop</w:t>
      </w:r>
      <w:proofErr w:type="spellEnd"/>
      <w:r w:rsidR="00FC386A" w:rsidRPr="00FC386A">
        <w:rPr>
          <w:rFonts w:ascii="Book Antiqua" w:hAnsi="Book Antiqua"/>
          <w:i/>
          <w:color w:val="000000"/>
        </w:rPr>
        <w:t xml:space="preserve"> </w:t>
      </w:r>
      <w:bookmarkEnd w:id="106"/>
      <w:bookmarkEnd w:id="107"/>
      <w:bookmarkEnd w:id="108"/>
      <w:bookmarkEnd w:id="109"/>
      <w:bookmarkEnd w:id="110"/>
      <w:bookmarkEnd w:id="111"/>
      <w:bookmarkEnd w:id="112"/>
      <w:bookmarkEnd w:id="113"/>
      <w:r w:rsidR="00825C30">
        <w:rPr>
          <w:rFonts w:ascii="Book Antiqua" w:hAnsi="Book Antiqua"/>
          <w:color w:val="000000"/>
        </w:rPr>
        <w:t>2019; 10(12): 416-423</w:t>
      </w:r>
    </w:p>
    <w:p w14:paraId="0BA6CDF2" w14:textId="499F1B26" w:rsidR="00825C30" w:rsidRDefault="008B74BD" w:rsidP="00907C84">
      <w:pPr>
        <w:adjustRightInd w:val="0"/>
        <w:snapToGrid w:val="0"/>
        <w:spacing w:after="0" w:line="360" w:lineRule="auto"/>
        <w:jc w:val="both"/>
        <w:rPr>
          <w:rFonts w:ascii="Book Antiqua" w:hAnsi="Book Antiqua" w:hint="eastAsia"/>
          <w:color w:val="000000"/>
          <w:lang w:eastAsia="zh-CN"/>
        </w:rPr>
      </w:pPr>
      <w:r w:rsidRPr="008B74BD">
        <w:rPr>
          <w:rFonts w:ascii="Book Antiqua" w:hAnsi="Book Antiqua"/>
          <w:color w:val="000000"/>
        </w:rPr>
        <w:t xml:space="preserve">URL: </w:t>
      </w:r>
      <w:r w:rsidR="00825C30" w:rsidRPr="00825C30">
        <w:rPr>
          <w:rFonts w:ascii="Book Antiqua" w:hAnsi="Book Antiqua"/>
          <w:color w:val="000000"/>
        </w:rPr>
        <w:t>https://www.wjgnet.com/2218-5836/full/v10/i12/</w:t>
      </w:r>
      <w:r w:rsidR="00825C30" w:rsidRPr="00825C30">
        <w:rPr>
          <w:rFonts w:ascii="Book Antiqua" w:hAnsi="Book Antiqua" w:hint="eastAsia"/>
          <w:color w:val="000000"/>
          <w:lang w:eastAsia="zh-CN"/>
        </w:rPr>
        <w:t>416</w:t>
      </w:r>
      <w:r w:rsidR="00825C30" w:rsidRPr="00825C30">
        <w:rPr>
          <w:rFonts w:ascii="Book Antiqua" w:hAnsi="Book Antiqua"/>
          <w:color w:val="000000"/>
        </w:rPr>
        <w:t>htm</w:t>
      </w:r>
    </w:p>
    <w:p w14:paraId="26027FEB" w14:textId="284B7F27" w:rsidR="0014191D" w:rsidRPr="00907C84" w:rsidRDefault="008B74BD" w:rsidP="00907C84">
      <w:pPr>
        <w:adjustRightInd w:val="0"/>
        <w:snapToGrid w:val="0"/>
        <w:spacing w:after="0" w:line="360" w:lineRule="auto"/>
        <w:jc w:val="both"/>
        <w:rPr>
          <w:rFonts w:ascii="Book Antiqua" w:hAnsi="Book Antiqua" w:cs="Times New Roman" w:hint="eastAsia"/>
          <w:sz w:val="24"/>
          <w:szCs w:val="24"/>
          <w:lang w:eastAsia="zh-CN"/>
        </w:rPr>
      </w:pPr>
      <w:r w:rsidRPr="008B74BD">
        <w:rPr>
          <w:rFonts w:ascii="Book Antiqua" w:hAnsi="Book Antiqua"/>
          <w:color w:val="000000"/>
        </w:rPr>
        <w:t>DOI</w:t>
      </w:r>
      <w:r w:rsidR="00825C30">
        <w:rPr>
          <w:rFonts w:ascii="Book Antiqua" w:hAnsi="Book Antiqua"/>
          <w:color w:val="000000"/>
        </w:rPr>
        <w:t>: https://dx.doi.org/10.5312/wj</w:t>
      </w:r>
      <w:bookmarkStart w:id="114" w:name="_GoBack"/>
      <w:bookmarkEnd w:id="114"/>
      <w:r w:rsidRPr="008B74BD">
        <w:rPr>
          <w:rFonts w:ascii="Book Antiqua" w:hAnsi="Book Antiqua"/>
          <w:color w:val="000000"/>
        </w:rPr>
        <w:t>o.v10.i12.</w:t>
      </w:r>
      <w:r w:rsidR="00825C30">
        <w:rPr>
          <w:rFonts w:ascii="Book Antiqua" w:hAnsi="Book Antiqua" w:hint="eastAsia"/>
          <w:color w:val="000000"/>
          <w:lang w:eastAsia="zh-CN"/>
        </w:rPr>
        <w:t>416</w:t>
      </w:r>
    </w:p>
    <w:p w14:paraId="12915DDE" w14:textId="5DA6F08A" w:rsidR="00AF1C19" w:rsidRPr="00907C84" w:rsidRDefault="00152FA5" w:rsidP="00907C84">
      <w:pPr>
        <w:adjustRightInd w:val="0"/>
        <w:snapToGrid w:val="0"/>
        <w:spacing w:after="0" w:line="360" w:lineRule="auto"/>
        <w:jc w:val="both"/>
        <w:rPr>
          <w:rFonts w:ascii="Book Antiqua" w:hAnsi="Book Antiqua" w:cs="Times New Roman"/>
          <w:b/>
          <w:sz w:val="24"/>
          <w:szCs w:val="24"/>
        </w:rPr>
      </w:pPr>
      <w:r w:rsidRPr="00907C84">
        <w:rPr>
          <w:rFonts w:ascii="Book Antiqua" w:hAnsi="Book Antiqua" w:cs="Times New Roman"/>
          <w:sz w:val="24"/>
          <w:szCs w:val="24"/>
        </w:rPr>
        <w:br w:type="page"/>
      </w:r>
      <w:r w:rsidR="003915E4" w:rsidRPr="00907C84">
        <w:rPr>
          <w:rFonts w:ascii="Book Antiqua" w:hAnsi="Book Antiqua" w:cs="Times New Roman"/>
          <w:b/>
          <w:sz w:val="24"/>
          <w:szCs w:val="24"/>
        </w:rPr>
        <w:t>INTRODUCTION</w:t>
      </w:r>
    </w:p>
    <w:p w14:paraId="6AC319B8" w14:textId="0F789095" w:rsidR="001815D0" w:rsidRPr="00907C84" w:rsidRDefault="000437B8" w:rsidP="00907C84">
      <w:pPr>
        <w:adjustRightInd w:val="0"/>
        <w:snapToGrid w:val="0"/>
        <w:spacing w:after="0" w:line="360" w:lineRule="auto"/>
        <w:jc w:val="both"/>
        <w:rPr>
          <w:rFonts w:ascii="Book Antiqua" w:hAnsi="Book Antiqua" w:cs="Times New Roman"/>
          <w:sz w:val="24"/>
          <w:szCs w:val="24"/>
        </w:rPr>
      </w:pPr>
      <w:r w:rsidRPr="00907C84">
        <w:rPr>
          <w:rFonts w:ascii="Book Antiqua" w:hAnsi="Book Antiqua" w:cs="Times New Roman"/>
          <w:sz w:val="24"/>
          <w:szCs w:val="24"/>
        </w:rPr>
        <w:t>While there have been</w:t>
      </w:r>
      <w:r w:rsidR="001815D0" w:rsidRPr="00907C84">
        <w:rPr>
          <w:rFonts w:ascii="Book Antiqua" w:hAnsi="Book Antiqua" w:cs="Times New Roman"/>
          <w:sz w:val="24"/>
          <w:szCs w:val="24"/>
        </w:rPr>
        <w:t xml:space="preserve"> </w:t>
      </w:r>
      <w:r w:rsidR="006C76E7" w:rsidRPr="00907C84">
        <w:rPr>
          <w:rFonts w:ascii="Book Antiqua" w:hAnsi="Book Antiqua" w:cs="Times New Roman"/>
          <w:sz w:val="24"/>
          <w:szCs w:val="24"/>
        </w:rPr>
        <w:t xml:space="preserve">improvements in </w:t>
      </w:r>
      <w:r w:rsidR="00660915" w:rsidRPr="00907C84">
        <w:rPr>
          <w:rFonts w:ascii="Book Antiqua" w:hAnsi="Book Antiqua" w:cs="Times New Roman"/>
          <w:sz w:val="24"/>
          <w:szCs w:val="24"/>
        </w:rPr>
        <w:t xml:space="preserve">total joint arthroplasty </w:t>
      </w:r>
      <w:r w:rsidR="00660915">
        <w:rPr>
          <w:rFonts w:ascii="Book Antiqua" w:hAnsi="Book Antiqua" w:cs="Times New Roman"/>
          <w:sz w:val="24"/>
          <w:szCs w:val="24"/>
        </w:rPr>
        <w:t>(</w:t>
      </w:r>
      <w:r w:rsidR="003915E4" w:rsidRPr="00907C84">
        <w:rPr>
          <w:rFonts w:ascii="Book Antiqua" w:hAnsi="Book Antiqua" w:cs="Times New Roman"/>
          <w:sz w:val="24"/>
          <w:szCs w:val="24"/>
        </w:rPr>
        <w:t>TJA</w:t>
      </w:r>
      <w:r w:rsidR="00660915">
        <w:rPr>
          <w:rFonts w:ascii="Book Antiqua" w:hAnsi="Book Antiqua" w:cs="Times New Roman"/>
          <w:sz w:val="24"/>
          <w:szCs w:val="24"/>
        </w:rPr>
        <w:t>)</w:t>
      </w:r>
      <w:r w:rsidR="009521B3" w:rsidRPr="00907C84">
        <w:rPr>
          <w:rFonts w:ascii="Book Antiqua" w:hAnsi="Book Antiqua" w:cs="Times New Roman"/>
          <w:sz w:val="24"/>
          <w:szCs w:val="24"/>
        </w:rPr>
        <w:t xml:space="preserve"> </w:t>
      </w:r>
      <w:r w:rsidR="00DD570E" w:rsidRPr="00907C84">
        <w:rPr>
          <w:rFonts w:ascii="Book Antiqua" w:hAnsi="Book Antiqua" w:cs="Times New Roman"/>
          <w:sz w:val="24"/>
          <w:szCs w:val="24"/>
        </w:rPr>
        <w:t>throughout the years</w:t>
      </w:r>
      <w:r w:rsidR="001815D0" w:rsidRPr="00907C84">
        <w:rPr>
          <w:rFonts w:ascii="Book Antiqua" w:hAnsi="Book Antiqua" w:cs="Times New Roman"/>
          <w:sz w:val="24"/>
          <w:szCs w:val="24"/>
        </w:rPr>
        <w:t xml:space="preserve">, it is compromised by the risk of </w:t>
      </w:r>
      <w:r w:rsidR="008A0CD6" w:rsidRPr="00907C84">
        <w:rPr>
          <w:rFonts w:ascii="Book Antiqua" w:hAnsi="Book Antiqua" w:cs="Times New Roman"/>
          <w:sz w:val="24"/>
          <w:szCs w:val="24"/>
        </w:rPr>
        <w:t xml:space="preserve">periprosthetic joint infection </w:t>
      </w:r>
      <w:r w:rsidR="008A0CD6">
        <w:rPr>
          <w:rFonts w:ascii="Book Antiqua" w:hAnsi="Book Antiqua" w:cs="Times New Roman"/>
          <w:sz w:val="24"/>
          <w:szCs w:val="24"/>
        </w:rPr>
        <w:t>(</w:t>
      </w:r>
      <w:r w:rsidR="00277A47" w:rsidRPr="00907C84">
        <w:rPr>
          <w:rFonts w:ascii="Book Antiqua" w:hAnsi="Book Antiqua" w:cs="Times New Roman"/>
          <w:sz w:val="24"/>
          <w:szCs w:val="24"/>
        </w:rPr>
        <w:t>PJI</w:t>
      </w:r>
      <w:r w:rsidR="008A0CD6">
        <w:rPr>
          <w:rFonts w:ascii="Book Antiqua" w:hAnsi="Book Antiqua" w:cs="Times New Roman"/>
          <w:sz w:val="24"/>
          <w:szCs w:val="24"/>
        </w:rPr>
        <w:t>)</w:t>
      </w:r>
      <w:r w:rsidR="00277A47" w:rsidRPr="00907C84">
        <w:rPr>
          <w:rFonts w:ascii="Book Antiqua" w:hAnsi="Book Antiqua" w:cs="Times New Roman"/>
          <w:sz w:val="24"/>
          <w:szCs w:val="24"/>
        </w:rPr>
        <w:t>,</w:t>
      </w:r>
      <w:r w:rsidR="001815D0" w:rsidRPr="00907C84">
        <w:rPr>
          <w:rFonts w:ascii="Book Antiqua" w:hAnsi="Book Antiqua" w:cs="Times New Roman"/>
          <w:sz w:val="24"/>
          <w:szCs w:val="24"/>
        </w:rPr>
        <w:t xml:space="preserve"> </w:t>
      </w:r>
      <w:r w:rsidR="00DD570E" w:rsidRPr="00907C84">
        <w:rPr>
          <w:rFonts w:ascii="Book Antiqua" w:hAnsi="Book Antiqua" w:cs="Times New Roman"/>
          <w:sz w:val="24"/>
          <w:szCs w:val="24"/>
        </w:rPr>
        <w:t xml:space="preserve">the most common cause of </w:t>
      </w:r>
      <w:r w:rsidR="008A0CD6" w:rsidRPr="00907C84">
        <w:rPr>
          <w:rFonts w:ascii="Book Antiqua" w:hAnsi="Book Antiqua" w:cs="Times New Roman"/>
          <w:sz w:val="24"/>
          <w:szCs w:val="24"/>
        </w:rPr>
        <w:t xml:space="preserve">total knee arthroplasty </w:t>
      </w:r>
      <w:r w:rsidR="008A0CD6">
        <w:rPr>
          <w:rFonts w:ascii="Book Antiqua" w:hAnsi="Book Antiqua" w:cs="Times New Roman"/>
          <w:sz w:val="24"/>
          <w:szCs w:val="24"/>
        </w:rPr>
        <w:t>(</w:t>
      </w:r>
      <w:r w:rsidR="007743BE" w:rsidRPr="00907C84">
        <w:rPr>
          <w:rFonts w:ascii="Book Antiqua" w:hAnsi="Book Antiqua" w:cs="Times New Roman"/>
          <w:sz w:val="24"/>
          <w:szCs w:val="24"/>
        </w:rPr>
        <w:t>TKA</w:t>
      </w:r>
      <w:r w:rsidR="008A0CD6">
        <w:rPr>
          <w:rFonts w:ascii="Book Antiqua" w:hAnsi="Book Antiqua" w:cs="Times New Roman"/>
          <w:sz w:val="24"/>
          <w:szCs w:val="24"/>
        </w:rPr>
        <w:t>)</w:t>
      </w:r>
      <w:r w:rsidR="007743BE" w:rsidRPr="00907C84">
        <w:rPr>
          <w:rFonts w:ascii="Book Antiqua" w:hAnsi="Book Antiqua" w:cs="Times New Roman"/>
          <w:sz w:val="24"/>
          <w:szCs w:val="24"/>
        </w:rPr>
        <w:t xml:space="preserve"> and </w:t>
      </w:r>
      <w:r w:rsidR="008A0CD6" w:rsidRPr="00907C84">
        <w:rPr>
          <w:rFonts w:ascii="Book Antiqua" w:hAnsi="Book Antiqua" w:cs="Times New Roman"/>
          <w:sz w:val="24"/>
          <w:szCs w:val="24"/>
        </w:rPr>
        <w:t xml:space="preserve">total hip arthroplasty </w:t>
      </w:r>
      <w:r w:rsidR="008A0CD6">
        <w:rPr>
          <w:rFonts w:ascii="Book Antiqua" w:hAnsi="Book Antiqua" w:cs="Times New Roman"/>
          <w:sz w:val="24"/>
          <w:szCs w:val="24"/>
        </w:rPr>
        <w:t>(</w:t>
      </w:r>
      <w:r w:rsidR="007743BE" w:rsidRPr="00907C84">
        <w:rPr>
          <w:rFonts w:ascii="Book Antiqua" w:hAnsi="Book Antiqua" w:cs="Times New Roman"/>
          <w:sz w:val="24"/>
          <w:szCs w:val="24"/>
        </w:rPr>
        <w:t>THA</w:t>
      </w:r>
      <w:r w:rsidR="008A0CD6">
        <w:rPr>
          <w:rFonts w:ascii="Book Antiqua" w:hAnsi="Book Antiqua" w:cs="Times New Roman"/>
          <w:sz w:val="24"/>
          <w:szCs w:val="24"/>
        </w:rPr>
        <w:t>)</w:t>
      </w:r>
      <w:r w:rsidR="00DD570E" w:rsidRPr="00907C84">
        <w:rPr>
          <w:rFonts w:ascii="Book Antiqua" w:hAnsi="Book Antiqua" w:cs="Times New Roman"/>
          <w:sz w:val="24"/>
          <w:szCs w:val="24"/>
        </w:rPr>
        <w:t xml:space="preserve"> failure</w:t>
      </w:r>
      <w:r w:rsidR="00857B4B" w:rsidRPr="00857B4B">
        <w:rPr>
          <w:rFonts w:ascii="Book Antiqua" w:hAnsi="Book Antiqua" w:cs="Times New Roman"/>
          <w:sz w:val="24"/>
          <w:szCs w:val="24"/>
          <w:vertAlign w:val="superscript"/>
        </w:rPr>
        <w:t>[</w:t>
      </w:r>
      <w:r w:rsidR="00857B4B" w:rsidRPr="00907C84">
        <w:rPr>
          <w:rFonts w:ascii="Book Antiqua" w:hAnsi="Book Antiqua" w:cs="Times New Roman"/>
          <w:sz w:val="24"/>
          <w:szCs w:val="24"/>
          <w:vertAlign w:val="superscript"/>
        </w:rPr>
        <w:t>1,2</w:t>
      </w:r>
      <w:r w:rsidR="00857B4B">
        <w:rPr>
          <w:rFonts w:ascii="Book Antiqua" w:hAnsi="Book Antiqua" w:cs="Times New Roman"/>
          <w:sz w:val="24"/>
          <w:szCs w:val="24"/>
          <w:vertAlign w:val="superscript"/>
        </w:rPr>
        <w:t>]</w:t>
      </w:r>
      <w:r w:rsidR="00DD570E" w:rsidRPr="00907C84">
        <w:rPr>
          <w:rFonts w:ascii="Book Antiqua" w:hAnsi="Book Antiqua" w:cs="Times New Roman"/>
          <w:sz w:val="24"/>
          <w:szCs w:val="24"/>
        </w:rPr>
        <w:t xml:space="preserve">. </w:t>
      </w:r>
      <w:r w:rsidR="00A1110D" w:rsidRPr="00907C84">
        <w:rPr>
          <w:rFonts w:ascii="Book Antiqua" w:hAnsi="Book Antiqua" w:cs="Times New Roman"/>
          <w:sz w:val="24"/>
          <w:szCs w:val="24"/>
        </w:rPr>
        <w:t xml:space="preserve">It is </w:t>
      </w:r>
      <w:r w:rsidR="001815D0" w:rsidRPr="00907C84">
        <w:rPr>
          <w:rFonts w:ascii="Book Antiqua" w:hAnsi="Book Antiqua" w:cs="Times New Roman"/>
          <w:sz w:val="24"/>
          <w:szCs w:val="24"/>
        </w:rPr>
        <w:t xml:space="preserve">a devastating complication which results in significant patient morbidity. </w:t>
      </w:r>
      <w:r w:rsidR="004D1674" w:rsidRPr="00907C84">
        <w:rPr>
          <w:rFonts w:ascii="Book Antiqua" w:hAnsi="Book Antiqua" w:cs="Times New Roman"/>
          <w:sz w:val="24"/>
          <w:szCs w:val="24"/>
        </w:rPr>
        <w:t>Infected revisions can</w:t>
      </w:r>
      <w:r w:rsidR="001815D0" w:rsidRPr="00907C84">
        <w:rPr>
          <w:rFonts w:ascii="Book Antiqua" w:hAnsi="Book Antiqua" w:cs="Times New Roman"/>
          <w:sz w:val="24"/>
          <w:szCs w:val="24"/>
        </w:rPr>
        <w:t xml:space="preserve"> easily exceed the cost of performing </w:t>
      </w:r>
      <w:r w:rsidR="004D1674" w:rsidRPr="00907C84">
        <w:rPr>
          <w:rFonts w:ascii="Book Antiqua" w:hAnsi="Book Antiqua" w:cs="Times New Roman"/>
          <w:sz w:val="24"/>
          <w:szCs w:val="24"/>
        </w:rPr>
        <w:t>the</w:t>
      </w:r>
      <w:r w:rsidR="001815D0" w:rsidRPr="00907C84">
        <w:rPr>
          <w:rFonts w:ascii="Book Antiqua" w:hAnsi="Book Antiqua" w:cs="Times New Roman"/>
          <w:sz w:val="24"/>
          <w:szCs w:val="24"/>
        </w:rPr>
        <w:t xml:space="preserve"> </w:t>
      </w:r>
      <w:r w:rsidR="00A57B8B" w:rsidRPr="00907C84">
        <w:rPr>
          <w:rFonts w:ascii="Book Antiqua" w:hAnsi="Book Antiqua" w:cs="Times New Roman"/>
          <w:sz w:val="24"/>
          <w:szCs w:val="24"/>
        </w:rPr>
        <w:t>primary arthroplasty</w:t>
      </w:r>
      <w:r w:rsidR="00D7628E" w:rsidRPr="00907C84">
        <w:rPr>
          <w:rFonts w:ascii="Book Antiqua" w:hAnsi="Book Antiqua" w:cs="Times New Roman"/>
          <w:sz w:val="24"/>
          <w:szCs w:val="24"/>
        </w:rPr>
        <w:t xml:space="preserve"> and </w:t>
      </w:r>
      <w:r w:rsidR="009521B3" w:rsidRPr="00907C84">
        <w:rPr>
          <w:rFonts w:ascii="Book Antiqua" w:hAnsi="Book Antiqua" w:cs="Times New Roman"/>
          <w:sz w:val="24"/>
          <w:szCs w:val="24"/>
        </w:rPr>
        <w:t>are</w:t>
      </w:r>
      <w:r w:rsidR="00A57B8B" w:rsidRPr="00907C84">
        <w:rPr>
          <w:rFonts w:ascii="Book Antiqua" w:hAnsi="Book Antiqua" w:cs="Times New Roman"/>
          <w:sz w:val="24"/>
          <w:szCs w:val="24"/>
        </w:rPr>
        <w:t xml:space="preserve"> projected to total</w:t>
      </w:r>
      <w:r w:rsidR="004D1674" w:rsidRPr="00907C84">
        <w:rPr>
          <w:rFonts w:ascii="Book Antiqua" w:hAnsi="Book Antiqua" w:cs="Times New Roman"/>
          <w:sz w:val="24"/>
          <w:szCs w:val="24"/>
        </w:rPr>
        <w:t xml:space="preserve"> $</w:t>
      </w:r>
      <w:r w:rsidR="00857B4B">
        <w:rPr>
          <w:rFonts w:ascii="Book Antiqua" w:hAnsi="Book Antiqua" w:cs="Times New Roman"/>
          <w:sz w:val="24"/>
          <w:szCs w:val="24"/>
        </w:rPr>
        <w:t xml:space="preserve"> </w:t>
      </w:r>
      <w:r w:rsidR="004D1674" w:rsidRPr="00907C84">
        <w:rPr>
          <w:rFonts w:ascii="Book Antiqua" w:hAnsi="Book Antiqua" w:cs="Times New Roman"/>
          <w:sz w:val="24"/>
          <w:szCs w:val="24"/>
        </w:rPr>
        <w:t>1.62 billion by 2020</w:t>
      </w:r>
      <w:r w:rsidR="00857B4B" w:rsidRPr="00857B4B">
        <w:rPr>
          <w:rFonts w:ascii="Book Antiqua" w:hAnsi="Book Antiqua" w:cs="Times New Roman"/>
          <w:sz w:val="24"/>
          <w:szCs w:val="24"/>
          <w:vertAlign w:val="superscript"/>
        </w:rPr>
        <w:t>[</w:t>
      </w:r>
      <w:r w:rsidR="00857B4B" w:rsidRPr="00907C84">
        <w:rPr>
          <w:rFonts w:ascii="Book Antiqua" w:hAnsi="Book Antiqua" w:cs="Times New Roman"/>
          <w:sz w:val="24"/>
          <w:szCs w:val="24"/>
          <w:vertAlign w:val="superscript"/>
        </w:rPr>
        <w:t>3</w:t>
      </w:r>
      <w:r w:rsidR="00857B4B">
        <w:rPr>
          <w:rFonts w:ascii="Book Antiqua" w:hAnsi="Book Antiqua" w:cs="Times New Roman"/>
          <w:sz w:val="24"/>
          <w:szCs w:val="24"/>
          <w:vertAlign w:val="superscript"/>
        </w:rPr>
        <w:t>]</w:t>
      </w:r>
      <w:r w:rsidR="001815D0" w:rsidRPr="00907C84">
        <w:rPr>
          <w:rFonts w:ascii="Book Antiqua" w:hAnsi="Book Antiqua" w:cs="Times New Roman"/>
          <w:sz w:val="24"/>
          <w:szCs w:val="24"/>
        </w:rPr>
        <w:t xml:space="preserve">. Key risk factors </w:t>
      </w:r>
      <w:r w:rsidR="00CD601C" w:rsidRPr="00907C84">
        <w:rPr>
          <w:rFonts w:ascii="Book Antiqua" w:hAnsi="Book Antiqua" w:cs="Times New Roman"/>
          <w:sz w:val="24"/>
          <w:szCs w:val="24"/>
        </w:rPr>
        <w:t xml:space="preserve">have </w:t>
      </w:r>
      <w:r w:rsidR="001815D0" w:rsidRPr="00907C84">
        <w:rPr>
          <w:rFonts w:ascii="Book Antiqua" w:hAnsi="Book Antiqua" w:cs="Times New Roman"/>
          <w:sz w:val="24"/>
          <w:szCs w:val="24"/>
        </w:rPr>
        <w:t xml:space="preserve">been </w:t>
      </w:r>
      <w:r w:rsidRPr="00907C84">
        <w:rPr>
          <w:rFonts w:ascii="Book Antiqua" w:hAnsi="Book Antiqua" w:cs="Times New Roman"/>
          <w:sz w:val="24"/>
          <w:szCs w:val="24"/>
        </w:rPr>
        <w:t>determined</w:t>
      </w:r>
      <w:r w:rsidR="00BB2092" w:rsidRPr="00907C84">
        <w:rPr>
          <w:rFonts w:ascii="Book Antiqua" w:hAnsi="Book Antiqua" w:cs="Times New Roman"/>
          <w:sz w:val="24"/>
          <w:szCs w:val="24"/>
        </w:rPr>
        <w:t>, and include</w:t>
      </w:r>
      <w:r w:rsidR="00D7467C" w:rsidRPr="00907C84">
        <w:rPr>
          <w:rFonts w:ascii="Book Antiqua" w:hAnsi="Book Antiqua" w:cs="Times New Roman"/>
          <w:sz w:val="24"/>
          <w:szCs w:val="24"/>
        </w:rPr>
        <w:t xml:space="preserve"> poor nutritional status, smoking, </w:t>
      </w:r>
      <w:r w:rsidR="009521B3" w:rsidRPr="00907C84">
        <w:rPr>
          <w:rFonts w:ascii="Book Antiqua" w:hAnsi="Book Antiqua" w:cs="Times New Roman"/>
          <w:sz w:val="24"/>
          <w:szCs w:val="24"/>
        </w:rPr>
        <w:t>inadequate</w:t>
      </w:r>
      <w:r w:rsidR="00D7467C" w:rsidRPr="00907C84">
        <w:rPr>
          <w:rFonts w:ascii="Book Antiqua" w:hAnsi="Book Antiqua" w:cs="Times New Roman"/>
          <w:sz w:val="24"/>
          <w:szCs w:val="24"/>
        </w:rPr>
        <w:t xml:space="preserve"> blood sugar</w:t>
      </w:r>
      <w:r w:rsidR="00754D77" w:rsidRPr="00907C84">
        <w:rPr>
          <w:rFonts w:ascii="Book Antiqua" w:hAnsi="Book Antiqua" w:cs="Times New Roman"/>
          <w:sz w:val="24"/>
          <w:szCs w:val="24"/>
        </w:rPr>
        <w:t xml:space="preserve"> control</w:t>
      </w:r>
      <w:r w:rsidR="00D7467C" w:rsidRPr="00907C84">
        <w:rPr>
          <w:rFonts w:ascii="Book Antiqua" w:hAnsi="Book Antiqua" w:cs="Times New Roman"/>
          <w:sz w:val="24"/>
          <w:szCs w:val="24"/>
        </w:rPr>
        <w:t xml:space="preserve">, </w:t>
      </w:r>
      <w:r w:rsidR="00FF2439" w:rsidRPr="00907C84">
        <w:rPr>
          <w:rFonts w:ascii="Book Antiqua" w:hAnsi="Book Antiqua" w:cs="Times New Roman"/>
          <w:sz w:val="24"/>
          <w:szCs w:val="24"/>
        </w:rPr>
        <w:t xml:space="preserve">and poor dental </w:t>
      </w:r>
      <w:proofErr w:type="gramStart"/>
      <w:r w:rsidR="00FF2439" w:rsidRPr="00907C84">
        <w:rPr>
          <w:rFonts w:ascii="Book Antiqua" w:hAnsi="Book Antiqua" w:cs="Times New Roman"/>
          <w:sz w:val="24"/>
          <w:szCs w:val="24"/>
        </w:rPr>
        <w:t>health</w:t>
      </w:r>
      <w:r w:rsidR="00857B4B" w:rsidRPr="00857B4B">
        <w:rPr>
          <w:rFonts w:ascii="Book Antiqua" w:hAnsi="Book Antiqua" w:cs="Times New Roman"/>
          <w:sz w:val="24"/>
          <w:szCs w:val="24"/>
          <w:vertAlign w:val="superscript"/>
        </w:rPr>
        <w:t>[</w:t>
      </w:r>
      <w:proofErr w:type="gramEnd"/>
      <w:r w:rsidR="00857B4B" w:rsidRPr="00907C84">
        <w:rPr>
          <w:rFonts w:ascii="Book Antiqua" w:hAnsi="Book Antiqua" w:cs="Times New Roman"/>
          <w:sz w:val="24"/>
          <w:szCs w:val="24"/>
          <w:vertAlign w:val="superscript"/>
        </w:rPr>
        <w:t>4,5,6</w:t>
      </w:r>
      <w:r w:rsidR="00857B4B">
        <w:rPr>
          <w:rFonts w:ascii="Book Antiqua" w:hAnsi="Book Antiqua" w:cs="Times New Roman"/>
          <w:sz w:val="24"/>
          <w:szCs w:val="24"/>
          <w:vertAlign w:val="superscript"/>
        </w:rPr>
        <w:t>]</w:t>
      </w:r>
      <w:r w:rsidR="00BB2092" w:rsidRPr="00907C84">
        <w:rPr>
          <w:rFonts w:ascii="Book Antiqua" w:hAnsi="Book Antiqua" w:cs="Times New Roman"/>
          <w:sz w:val="24"/>
          <w:szCs w:val="24"/>
        </w:rPr>
        <w:t xml:space="preserve">. Ideally, knowledge </w:t>
      </w:r>
      <w:r w:rsidR="009521B3" w:rsidRPr="00907C84">
        <w:rPr>
          <w:rFonts w:ascii="Book Antiqua" w:hAnsi="Book Antiqua" w:cs="Times New Roman"/>
          <w:sz w:val="24"/>
          <w:szCs w:val="24"/>
        </w:rPr>
        <w:t>of these</w:t>
      </w:r>
      <w:r w:rsidR="00754D77" w:rsidRPr="00907C84">
        <w:rPr>
          <w:rFonts w:ascii="Book Antiqua" w:hAnsi="Book Antiqua" w:cs="Times New Roman"/>
          <w:sz w:val="24"/>
          <w:szCs w:val="24"/>
        </w:rPr>
        <w:t xml:space="preserve"> factors</w:t>
      </w:r>
      <w:r w:rsidR="009521B3" w:rsidRPr="00907C84">
        <w:rPr>
          <w:rFonts w:ascii="Book Antiqua" w:hAnsi="Book Antiqua" w:cs="Times New Roman"/>
          <w:sz w:val="24"/>
          <w:szCs w:val="24"/>
        </w:rPr>
        <w:t xml:space="preserve"> </w:t>
      </w:r>
      <w:r w:rsidR="00E836C4" w:rsidRPr="00907C84">
        <w:rPr>
          <w:rFonts w:ascii="Book Antiqua" w:hAnsi="Book Antiqua" w:cs="Times New Roman"/>
          <w:sz w:val="24"/>
          <w:szCs w:val="24"/>
        </w:rPr>
        <w:t>can be used to develop risk mitigation strategies</w:t>
      </w:r>
      <w:r w:rsidR="00BB2092" w:rsidRPr="00907C84">
        <w:rPr>
          <w:rFonts w:ascii="Book Antiqua" w:hAnsi="Book Antiqua" w:cs="Times New Roman"/>
          <w:sz w:val="24"/>
          <w:szCs w:val="24"/>
        </w:rPr>
        <w:t>.</w:t>
      </w:r>
      <w:r w:rsidR="001815D0" w:rsidRPr="00907C84">
        <w:rPr>
          <w:rFonts w:ascii="Book Antiqua" w:hAnsi="Book Antiqua" w:cs="Times New Roman"/>
          <w:sz w:val="24"/>
          <w:szCs w:val="24"/>
        </w:rPr>
        <w:t xml:space="preserve"> </w:t>
      </w:r>
      <w:r w:rsidR="0059529C" w:rsidRPr="00907C84">
        <w:rPr>
          <w:rFonts w:ascii="Book Antiqua" w:hAnsi="Book Antiqua" w:cs="Times New Roman"/>
          <w:sz w:val="24"/>
          <w:szCs w:val="24"/>
        </w:rPr>
        <w:t>One potential application is discerning</w:t>
      </w:r>
      <w:r w:rsidR="001815D0" w:rsidRPr="00907C84">
        <w:rPr>
          <w:rFonts w:ascii="Book Antiqua" w:hAnsi="Book Antiqua" w:cs="Times New Roman"/>
          <w:sz w:val="24"/>
          <w:szCs w:val="24"/>
        </w:rPr>
        <w:t xml:space="preserve"> </w:t>
      </w:r>
      <w:r w:rsidR="00102120" w:rsidRPr="00907C84">
        <w:rPr>
          <w:rFonts w:ascii="Book Antiqua" w:hAnsi="Book Antiqua" w:cs="Times New Roman"/>
          <w:sz w:val="24"/>
          <w:szCs w:val="24"/>
        </w:rPr>
        <w:t xml:space="preserve">the </w:t>
      </w:r>
      <w:r w:rsidR="00754D77" w:rsidRPr="00907C84">
        <w:rPr>
          <w:rFonts w:ascii="Book Antiqua" w:hAnsi="Book Antiqua" w:cs="Times New Roman"/>
          <w:sz w:val="24"/>
          <w:szCs w:val="24"/>
        </w:rPr>
        <w:t>impact</w:t>
      </w:r>
      <w:r w:rsidR="001815D0" w:rsidRPr="00907C84">
        <w:rPr>
          <w:rFonts w:ascii="Book Antiqua" w:hAnsi="Book Antiqua" w:cs="Times New Roman"/>
          <w:sz w:val="24"/>
          <w:szCs w:val="24"/>
        </w:rPr>
        <w:t xml:space="preserve"> of dental procedures and </w:t>
      </w:r>
      <w:r w:rsidR="009521B3" w:rsidRPr="00907C84">
        <w:rPr>
          <w:rFonts w:ascii="Book Antiqua" w:hAnsi="Book Antiqua" w:cs="Times New Roman"/>
          <w:sz w:val="24"/>
          <w:szCs w:val="24"/>
        </w:rPr>
        <w:t>patholog</w:t>
      </w:r>
      <w:r w:rsidR="00754D77" w:rsidRPr="00907C84">
        <w:rPr>
          <w:rFonts w:ascii="Book Antiqua" w:hAnsi="Book Antiqua" w:cs="Times New Roman"/>
          <w:sz w:val="24"/>
          <w:szCs w:val="24"/>
        </w:rPr>
        <w:t>ies on</w:t>
      </w:r>
      <w:r w:rsidR="009521B3" w:rsidRPr="00907C84">
        <w:rPr>
          <w:rFonts w:ascii="Book Antiqua" w:hAnsi="Book Antiqua" w:cs="Times New Roman"/>
          <w:sz w:val="24"/>
          <w:szCs w:val="24"/>
        </w:rPr>
        <w:t xml:space="preserve"> adverse outcomes in TJA</w:t>
      </w:r>
      <w:r w:rsidR="001815D0" w:rsidRPr="00907C84">
        <w:rPr>
          <w:rFonts w:ascii="Book Antiqua" w:hAnsi="Book Antiqua" w:cs="Times New Roman"/>
          <w:sz w:val="24"/>
          <w:szCs w:val="24"/>
        </w:rPr>
        <w:t xml:space="preserve">. </w:t>
      </w:r>
    </w:p>
    <w:p w14:paraId="7EB54EE5" w14:textId="495B9541" w:rsidR="001815D0" w:rsidRPr="00907C84" w:rsidRDefault="0024641A" w:rsidP="00857B4B">
      <w:pPr>
        <w:adjustRightInd w:val="0"/>
        <w:snapToGrid w:val="0"/>
        <w:spacing w:after="0" w:line="360" w:lineRule="auto"/>
        <w:ind w:firstLineChars="100" w:firstLine="240"/>
        <w:jc w:val="both"/>
        <w:rPr>
          <w:rFonts w:ascii="Book Antiqua" w:hAnsi="Book Antiqua" w:cs="Times New Roman"/>
          <w:sz w:val="24"/>
          <w:szCs w:val="24"/>
        </w:rPr>
      </w:pPr>
      <w:r w:rsidRPr="00907C84">
        <w:rPr>
          <w:rFonts w:ascii="Book Antiqua" w:hAnsi="Book Antiqua" w:cs="Times New Roman"/>
          <w:sz w:val="24"/>
          <w:szCs w:val="24"/>
        </w:rPr>
        <w:t xml:space="preserve">There </w:t>
      </w:r>
      <w:proofErr w:type="gramStart"/>
      <w:r w:rsidRPr="00907C84">
        <w:rPr>
          <w:rFonts w:ascii="Book Antiqua" w:hAnsi="Book Antiqua" w:cs="Times New Roman"/>
          <w:sz w:val="24"/>
          <w:szCs w:val="24"/>
        </w:rPr>
        <w:t>exists no absolute criteria</w:t>
      </w:r>
      <w:proofErr w:type="gramEnd"/>
      <w:r w:rsidRPr="00907C84">
        <w:rPr>
          <w:rFonts w:ascii="Book Antiqua" w:hAnsi="Book Antiqua" w:cs="Times New Roman"/>
          <w:sz w:val="24"/>
          <w:szCs w:val="24"/>
        </w:rPr>
        <w:t xml:space="preserve"> or single test to diagnose PJI. Instead, diagnosis is based upon a mixture of lab results, cultures, and clinical </w:t>
      </w:r>
      <w:proofErr w:type="gramStart"/>
      <w:r w:rsidRPr="00907C84">
        <w:rPr>
          <w:rFonts w:ascii="Book Antiqua" w:hAnsi="Book Antiqua" w:cs="Times New Roman"/>
          <w:sz w:val="24"/>
          <w:szCs w:val="24"/>
        </w:rPr>
        <w:t>findings</w:t>
      </w:r>
      <w:r w:rsidR="00857B4B" w:rsidRPr="00857B4B">
        <w:rPr>
          <w:rFonts w:ascii="Book Antiqua" w:hAnsi="Book Antiqua" w:cs="Times New Roman"/>
          <w:sz w:val="24"/>
          <w:szCs w:val="24"/>
          <w:vertAlign w:val="superscript"/>
        </w:rPr>
        <w:t>[</w:t>
      </w:r>
      <w:proofErr w:type="gramEnd"/>
      <w:r w:rsidR="00857B4B" w:rsidRPr="00907C84">
        <w:rPr>
          <w:rFonts w:ascii="Book Antiqua" w:hAnsi="Book Antiqua" w:cs="Times New Roman"/>
          <w:sz w:val="24"/>
          <w:szCs w:val="24"/>
          <w:vertAlign w:val="superscript"/>
        </w:rPr>
        <w:t>7</w:t>
      </w:r>
      <w:r w:rsidR="00857B4B">
        <w:rPr>
          <w:rFonts w:ascii="Book Antiqua" w:hAnsi="Book Antiqua" w:cs="Times New Roman"/>
          <w:sz w:val="24"/>
          <w:szCs w:val="24"/>
          <w:vertAlign w:val="superscript"/>
        </w:rPr>
        <w:t>]</w:t>
      </w:r>
      <w:r w:rsidRPr="00907C84">
        <w:rPr>
          <w:rFonts w:ascii="Book Antiqua" w:hAnsi="Book Antiqua" w:cs="Times New Roman"/>
          <w:sz w:val="24"/>
          <w:szCs w:val="24"/>
        </w:rPr>
        <w:t xml:space="preserve">. </w:t>
      </w:r>
      <w:r w:rsidR="001815D0" w:rsidRPr="00907C84">
        <w:rPr>
          <w:rFonts w:ascii="Book Antiqua" w:hAnsi="Book Antiqua" w:cs="Times New Roman"/>
          <w:sz w:val="24"/>
          <w:szCs w:val="24"/>
        </w:rPr>
        <w:t xml:space="preserve">The implication of a dental source is </w:t>
      </w:r>
      <w:r w:rsidR="00085B74" w:rsidRPr="00907C84">
        <w:rPr>
          <w:rFonts w:ascii="Book Antiqua" w:hAnsi="Book Antiqua" w:cs="Times New Roman"/>
          <w:sz w:val="24"/>
          <w:szCs w:val="24"/>
        </w:rPr>
        <w:t xml:space="preserve">often </w:t>
      </w:r>
      <w:r w:rsidR="001815D0" w:rsidRPr="00907C84">
        <w:rPr>
          <w:rFonts w:ascii="Book Antiqua" w:hAnsi="Book Antiqua" w:cs="Times New Roman"/>
          <w:sz w:val="24"/>
          <w:szCs w:val="24"/>
        </w:rPr>
        <w:t xml:space="preserve">based upon both the identification of a pathogen considered to be </w:t>
      </w:r>
      <w:r w:rsidR="005E6A3A" w:rsidRPr="00907C84">
        <w:rPr>
          <w:rFonts w:ascii="Book Antiqua" w:hAnsi="Book Antiqua" w:cs="Times New Roman"/>
          <w:sz w:val="24"/>
          <w:szCs w:val="24"/>
        </w:rPr>
        <w:t>a constituent of the patient’s</w:t>
      </w:r>
      <w:r w:rsidR="001815D0" w:rsidRPr="00907C84">
        <w:rPr>
          <w:rFonts w:ascii="Book Antiqua" w:hAnsi="Book Antiqua" w:cs="Times New Roman"/>
          <w:sz w:val="24"/>
          <w:szCs w:val="24"/>
        </w:rPr>
        <w:t xml:space="preserve"> oral flora</w:t>
      </w:r>
      <w:r w:rsidR="00754D77" w:rsidRPr="00907C84">
        <w:rPr>
          <w:rFonts w:ascii="Book Antiqua" w:hAnsi="Book Antiqua" w:cs="Times New Roman"/>
          <w:sz w:val="24"/>
          <w:szCs w:val="24"/>
        </w:rPr>
        <w:t xml:space="preserve"> at the infection site</w:t>
      </w:r>
      <w:r w:rsidR="001815D0" w:rsidRPr="00907C84">
        <w:rPr>
          <w:rFonts w:ascii="Book Antiqua" w:hAnsi="Book Antiqua" w:cs="Times New Roman"/>
          <w:sz w:val="24"/>
          <w:szCs w:val="24"/>
        </w:rPr>
        <w:t xml:space="preserve"> and the timing of the infection with a </w:t>
      </w:r>
      <w:r w:rsidR="00085B74" w:rsidRPr="00907C84">
        <w:rPr>
          <w:rFonts w:ascii="Book Antiqua" w:hAnsi="Book Antiqua" w:cs="Times New Roman"/>
          <w:sz w:val="24"/>
          <w:szCs w:val="24"/>
        </w:rPr>
        <w:t>seeding</w:t>
      </w:r>
      <w:r w:rsidR="001815D0" w:rsidRPr="00907C84">
        <w:rPr>
          <w:rFonts w:ascii="Book Antiqua" w:hAnsi="Book Antiqua" w:cs="Times New Roman"/>
          <w:sz w:val="24"/>
          <w:szCs w:val="24"/>
        </w:rPr>
        <w:t xml:space="preserve"> </w:t>
      </w:r>
      <w:proofErr w:type="gramStart"/>
      <w:r w:rsidR="001815D0" w:rsidRPr="00907C84">
        <w:rPr>
          <w:rFonts w:ascii="Book Antiqua" w:hAnsi="Book Antiqua" w:cs="Times New Roman"/>
          <w:sz w:val="24"/>
          <w:szCs w:val="24"/>
        </w:rPr>
        <w:t>procedure</w:t>
      </w:r>
      <w:r w:rsidR="008F6507" w:rsidRPr="008F6507">
        <w:rPr>
          <w:rFonts w:ascii="Book Antiqua" w:hAnsi="Book Antiqua" w:cs="Times New Roman"/>
          <w:sz w:val="24"/>
          <w:szCs w:val="24"/>
          <w:vertAlign w:val="superscript"/>
        </w:rPr>
        <w:t>[</w:t>
      </w:r>
      <w:proofErr w:type="gramEnd"/>
      <w:r w:rsidR="008F6507" w:rsidRPr="00907C84">
        <w:rPr>
          <w:rFonts w:ascii="Book Antiqua" w:hAnsi="Book Antiqua" w:cs="Times New Roman"/>
          <w:sz w:val="24"/>
          <w:szCs w:val="24"/>
          <w:vertAlign w:val="superscript"/>
        </w:rPr>
        <w:t>8</w:t>
      </w:r>
      <w:r w:rsidR="008F6507">
        <w:rPr>
          <w:rFonts w:ascii="Book Antiqua" w:hAnsi="Book Antiqua" w:cs="Times New Roman"/>
          <w:sz w:val="24"/>
          <w:szCs w:val="24"/>
          <w:vertAlign w:val="superscript"/>
        </w:rPr>
        <w:t>]</w:t>
      </w:r>
      <w:r w:rsidR="001815D0" w:rsidRPr="00907C84">
        <w:rPr>
          <w:rFonts w:ascii="Book Antiqua" w:hAnsi="Book Antiqua" w:cs="Times New Roman"/>
          <w:sz w:val="24"/>
          <w:szCs w:val="24"/>
        </w:rPr>
        <w:t xml:space="preserve">. </w:t>
      </w:r>
      <w:r w:rsidR="00BB3D66" w:rsidRPr="00907C84">
        <w:rPr>
          <w:rFonts w:ascii="Book Antiqua" w:hAnsi="Book Antiqua" w:cs="Times New Roman"/>
          <w:sz w:val="24"/>
          <w:szCs w:val="24"/>
        </w:rPr>
        <w:t>This</w:t>
      </w:r>
      <w:r w:rsidR="005E6A3A" w:rsidRPr="00907C84">
        <w:rPr>
          <w:rFonts w:ascii="Book Antiqua" w:hAnsi="Book Antiqua" w:cs="Times New Roman"/>
          <w:sz w:val="24"/>
          <w:szCs w:val="24"/>
        </w:rPr>
        <w:t xml:space="preserve"> premise</w:t>
      </w:r>
      <w:r w:rsidR="00BB3D66" w:rsidRPr="00907C84">
        <w:rPr>
          <w:rFonts w:ascii="Book Antiqua" w:hAnsi="Book Antiqua" w:cs="Times New Roman"/>
          <w:sz w:val="24"/>
          <w:szCs w:val="24"/>
        </w:rPr>
        <w:t xml:space="preserve"> is based upon the finding that many events</w:t>
      </w:r>
      <w:r w:rsidR="00394E9D" w:rsidRPr="00907C84">
        <w:rPr>
          <w:rFonts w:ascii="Book Antiqua" w:hAnsi="Book Antiqua" w:cs="Times New Roman"/>
          <w:sz w:val="24"/>
          <w:szCs w:val="24"/>
        </w:rPr>
        <w:t xml:space="preserve"> such as dental scaling and brushing </w:t>
      </w:r>
      <w:r w:rsidR="005E6A3A" w:rsidRPr="00907C84">
        <w:rPr>
          <w:rFonts w:ascii="Book Antiqua" w:hAnsi="Book Antiqua" w:cs="Times New Roman"/>
          <w:sz w:val="24"/>
          <w:szCs w:val="24"/>
        </w:rPr>
        <w:t xml:space="preserve">one’s </w:t>
      </w:r>
      <w:r w:rsidR="00394E9D" w:rsidRPr="00907C84">
        <w:rPr>
          <w:rFonts w:ascii="Book Antiqua" w:hAnsi="Book Antiqua" w:cs="Times New Roman"/>
          <w:sz w:val="24"/>
          <w:szCs w:val="24"/>
        </w:rPr>
        <w:t>teeth</w:t>
      </w:r>
      <w:r w:rsidR="00BB3D66" w:rsidRPr="00907C84">
        <w:rPr>
          <w:rFonts w:ascii="Book Antiqua" w:hAnsi="Book Antiqua" w:cs="Times New Roman"/>
          <w:sz w:val="24"/>
          <w:szCs w:val="24"/>
        </w:rPr>
        <w:t xml:space="preserve"> can cause </w:t>
      </w:r>
      <w:r w:rsidR="00394E9D" w:rsidRPr="00907C84">
        <w:rPr>
          <w:rFonts w:ascii="Book Antiqua" w:hAnsi="Book Antiqua" w:cs="Times New Roman"/>
          <w:sz w:val="24"/>
          <w:szCs w:val="24"/>
        </w:rPr>
        <w:t xml:space="preserve">transient </w:t>
      </w:r>
      <w:r w:rsidR="00BB3D66" w:rsidRPr="00907C84">
        <w:rPr>
          <w:rFonts w:ascii="Book Antiqua" w:hAnsi="Book Antiqua" w:cs="Times New Roman"/>
          <w:sz w:val="24"/>
          <w:szCs w:val="24"/>
        </w:rPr>
        <w:t>bacteremia when dental pathology is present</w:t>
      </w:r>
      <w:r w:rsidR="008F6507" w:rsidRPr="008F6507">
        <w:rPr>
          <w:rFonts w:ascii="Book Antiqua" w:hAnsi="Book Antiqua" w:cs="Times New Roman"/>
          <w:sz w:val="24"/>
          <w:szCs w:val="24"/>
          <w:vertAlign w:val="superscript"/>
        </w:rPr>
        <w:t>[</w:t>
      </w:r>
      <w:r w:rsidR="008F6507" w:rsidRPr="00907C84">
        <w:rPr>
          <w:rFonts w:ascii="Book Antiqua" w:hAnsi="Book Antiqua" w:cs="Times New Roman"/>
          <w:sz w:val="24"/>
          <w:szCs w:val="24"/>
          <w:vertAlign w:val="superscript"/>
        </w:rPr>
        <w:t>9,10</w:t>
      </w:r>
      <w:r w:rsidR="008F6507">
        <w:rPr>
          <w:rFonts w:ascii="Book Antiqua" w:hAnsi="Book Antiqua" w:cs="Times New Roman"/>
          <w:sz w:val="24"/>
          <w:szCs w:val="24"/>
          <w:vertAlign w:val="superscript"/>
        </w:rPr>
        <w:t>]</w:t>
      </w:r>
      <w:r w:rsidR="00394E9D" w:rsidRPr="00907C84">
        <w:rPr>
          <w:rFonts w:ascii="Book Antiqua" w:hAnsi="Book Antiqua" w:cs="Times New Roman"/>
          <w:sz w:val="24"/>
          <w:szCs w:val="24"/>
        </w:rPr>
        <w:t>.</w:t>
      </w:r>
      <w:r w:rsidR="00394E9D" w:rsidRPr="00907C84">
        <w:rPr>
          <w:rFonts w:ascii="Book Antiqua" w:hAnsi="Book Antiqua" w:cs="Times New Roman"/>
          <w:sz w:val="24"/>
          <w:szCs w:val="24"/>
          <w:vertAlign w:val="superscript"/>
        </w:rPr>
        <w:t xml:space="preserve"> </w:t>
      </w:r>
      <w:r w:rsidR="00B30E26" w:rsidRPr="00907C84">
        <w:rPr>
          <w:rFonts w:ascii="Book Antiqua" w:hAnsi="Book Antiqua" w:cs="Times New Roman"/>
          <w:sz w:val="24"/>
          <w:szCs w:val="24"/>
        </w:rPr>
        <w:t>Such reports</w:t>
      </w:r>
      <w:r w:rsidR="001815D0" w:rsidRPr="00907C84">
        <w:rPr>
          <w:rFonts w:ascii="Book Antiqua" w:hAnsi="Book Antiqua" w:cs="Times New Roman"/>
          <w:sz w:val="24"/>
          <w:szCs w:val="24"/>
        </w:rPr>
        <w:t xml:space="preserve"> have been </w:t>
      </w:r>
      <w:r w:rsidR="00DF113A" w:rsidRPr="00907C84">
        <w:rPr>
          <w:rFonts w:ascii="Book Antiqua" w:hAnsi="Book Antiqua" w:cs="Times New Roman"/>
          <w:sz w:val="24"/>
          <w:szCs w:val="24"/>
        </w:rPr>
        <w:t xml:space="preserve">cited when </w:t>
      </w:r>
      <w:r w:rsidR="00B30E26" w:rsidRPr="00907C84">
        <w:rPr>
          <w:rFonts w:ascii="Book Antiqua" w:hAnsi="Book Antiqua" w:cs="Times New Roman"/>
          <w:sz w:val="24"/>
          <w:szCs w:val="24"/>
        </w:rPr>
        <w:t>implement</w:t>
      </w:r>
      <w:r w:rsidR="00DF113A" w:rsidRPr="00907C84">
        <w:rPr>
          <w:rFonts w:ascii="Book Antiqua" w:hAnsi="Book Antiqua" w:cs="Times New Roman"/>
          <w:sz w:val="24"/>
          <w:szCs w:val="24"/>
        </w:rPr>
        <w:t>ing</w:t>
      </w:r>
      <w:r w:rsidR="001815D0" w:rsidRPr="00907C84">
        <w:rPr>
          <w:rFonts w:ascii="Book Antiqua" w:hAnsi="Book Antiqua" w:cs="Times New Roman"/>
          <w:sz w:val="24"/>
          <w:szCs w:val="24"/>
        </w:rPr>
        <w:t xml:space="preserve"> dental prophylaxis in arthroplasty patients prior to dental procedures. </w:t>
      </w:r>
      <w:r w:rsidR="005E6A3A" w:rsidRPr="00907C84">
        <w:rPr>
          <w:rFonts w:ascii="Book Antiqua" w:hAnsi="Book Antiqua" w:cs="Times New Roman"/>
          <w:sz w:val="24"/>
          <w:szCs w:val="24"/>
        </w:rPr>
        <w:t>Conversely,</w:t>
      </w:r>
      <w:r w:rsidR="001815D0" w:rsidRPr="00907C84">
        <w:rPr>
          <w:rFonts w:ascii="Book Antiqua" w:hAnsi="Book Antiqua" w:cs="Times New Roman"/>
          <w:sz w:val="24"/>
          <w:szCs w:val="24"/>
        </w:rPr>
        <w:t xml:space="preserve"> </w:t>
      </w:r>
      <w:r w:rsidR="0005674E" w:rsidRPr="00907C84">
        <w:rPr>
          <w:rFonts w:ascii="Book Antiqua" w:hAnsi="Book Antiqua" w:cs="Times New Roman"/>
          <w:sz w:val="24"/>
          <w:szCs w:val="24"/>
        </w:rPr>
        <w:t>some</w:t>
      </w:r>
      <w:r w:rsidR="005E6A3A" w:rsidRPr="00907C84">
        <w:rPr>
          <w:rFonts w:ascii="Book Antiqua" w:hAnsi="Book Antiqua" w:cs="Times New Roman"/>
          <w:sz w:val="24"/>
          <w:szCs w:val="24"/>
        </w:rPr>
        <w:t xml:space="preserve"> orthopedic</w:t>
      </w:r>
      <w:r w:rsidR="0005674E" w:rsidRPr="00907C84">
        <w:rPr>
          <w:rFonts w:ascii="Book Antiqua" w:hAnsi="Book Antiqua" w:cs="Times New Roman"/>
          <w:sz w:val="24"/>
          <w:szCs w:val="24"/>
        </w:rPr>
        <w:t xml:space="preserve"> surgeons</w:t>
      </w:r>
      <w:r w:rsidR="001815D0" w:rsidRPr="00907C84">
        <w:rPr>
          <w:rFonts w:ascii="Book Antiqua" w:hAnsi="Book Antiqua" w:cs="Times New Roman"/>
          <w:sz w:val="24"/>
          <w:szCs w:val="24"/>
        </w:rPr>
        <w:t xml:space="preserve"> recommend that patients </w:t>
      </w:r>
      <w:r w:rsidR="0005674E" w:rsidRPr="00907C84">
        <w:rPr>
          <w:rFonts w:ascii="Book Antiqua" w:hAnsi="Book Antiqua" w:cs="Times New Roman"/>
          <w:sz w:val="24"/>
          <w:szCs w:val="24"/>
        </w:rPr>
        <w:t>receive</w:t>
      </w:r>
      <w:r w:rsidR="001815D0" w:rsidRPr="00907C84">
        <w:rPr>
          <w:rFonts w:ascii="Book Antiqua" w:hAnsi="Book Antiqua" w:cs="Times New Roman"/>
          <w:sz w:val="24"/>
          <w:szCs w:val="24"/>
        </w:rPr>
        <w:t xml:space="preserve"> preoperative</w:t>
      </w:r>
      <w:r w:rsidR="00B30E26" w:rsidRPr="00907C84">
        <w:rPr>
          <w:rFonts w:ascii="Book Antiqua" w:hAnsi="Book Antiqua" w:cs="Times New Roman"/>
          <w:sz w:val="24"/>
          <w:szCs w:val="24"/>
        </w:rPr>
        <w:t xml:space="preserve"> prophylactic antibiotics and/or</w:t>
      </w:r>
      <w:r w:rsidR="001815D0" w:rsidRPr="00907C84">
        <w:rPr>
          <w:rFonts w:ascii="Book Antiqua" w:hAnsi="Book Antiqua" w:cs="Times New Roman"/>
          <w:sz w:val="24"/>
          <w:szCs w:val="24"/>
        </w:rPr>
        <w:t xml:space="preserve"> dental clearance</w:t>
      </w:r>
      <w:r w:rsidR="00754D77" w:rsidRPr="00907C84">
        <w:rPr>
          <w:rFonts w:ascii="Book Antiqua" w:hAnsi="Book Antiqua" w:cs="Times New Roman"/>
          <w:sz w:val="24"/>
          <w:szCs w:val="24"/>
        </w:rPr>
        <w:t xml:space="preserve"> before </w:t>
      </w:r>
      <w:r w:rsidR="00660915" w:rsidRPr="00660915">
        <w:rPr>
          <w:rFonts w:ascii="Book Antiqua" w:hAnsi="Book Antiqua" w:cs="Times New Roman"/>
          <w:sz w:val="24"/>
          <w:szCs w:val="24"/>
        </w:rPr>
        <w:t>TJA</w:t>
      </w:r>
      <w:r w:rsidR="00754D77" w:rsidRPr="00907C84">
        <w:rPr>
          <w:rFonts w:ascii="Book Antiqua" w:hAnsi="Book Antiqua" w:cs="Times New Roman"/>
          <w:sz w:val="24"/>
          <w:szCs w:val="24"/>
        </w:rPr>
        <w:t>.</w:t>
      </w:r>
    </w:p>
    <w:p w14:paraId="1C231103" w14:textId="4A63A170" w:rsidR="00923CDA" w:rsidRPr="00907C84" w:rsidRDefault="001815D0" w:rsidP="00857B4B">
      <w:pPr>
        <w:adjustRightInd w:val="0"/>
        <w:snapToGrid w:val="0"/>
        <w:spacing w:after="0" w:line="360" w:lineRule="auto"/>
        <w:ind w:firstLineChars="100" w:firstLine="240"/>
        <w:jc w:val="both"/>
        <w:rPr>
          <w:rFonts w:ascii="Book Antiqua" w:hAnsi="Book Antiqua" w:cs="Times New Roman"/>
          <w:sz w:val="24"/>
          <w:szCs w:val="24"/>
        </w:rPr>
      </w:pPr>
      <w:r w:rsidRPr="00907C84">
        <w:rPr>
          <w:rFonts w:ascii="Book Antiqua" w:hAnsi="Book Antiqua" w:cs="Times New Roman"/>
          <w:sz w:val="24"/>
          <w:szCs w:val="24"/>
        </w:rPr>
        <w:t xml:space="preserve">Given the </w:t>
      </w:r>
      <w:r w:rsidR="005E6A3A" w:rsidRPr="00907C84">
        <w:rPr>
          <w:rFonts w:ascii="Book Antiqua" w:hAnsi="Book Antiqua" w:cs="Times New Roman"/>
          <w:sz w:val="24"/>
          <w:szCs w:val="24"/>
        </w:rPr>
        <w:t>lack of overarching guidelines</w:t>
      </w:r>
      <w:r w:rsidR="00754D77" w:rsidRPr="00907C84">
        <w:rPr>
          <w:rFonts w:ascii="Book Antiqua" w:hAnsi="Book Antiqua" w:cs="Times New Roman"/>
          <w:sz w:val="24"/>
          <w:szCs w:val="24"/>
        </w:rPr>
        <w:t xml:space="preserve"> on</w:t>
      </w:r>
      <w:r w:rsidRPr="00907C84">
        <w:rPr>
          <w:rFonts w:ascii="Book Antiqua" w:hAnsi="Book Antiqua" w:cs="Times New Roman"/>
          <w:sz w:val="24"/>
          <w:szCs w:val="24"/>
        </w:rPr>
        <w:t xml:space="preserve"> the role of dental clearance and its association </w:t>
      </w:r>
      <w:r w:rsidR="005E6A3A" w:rsidRPr="00907C84">
        <w:rPr>
          <w:rFonts w:ascii="Book Antiqua" w:hAnsi="Book Antiqua" w:cs="Times New Roman"/>
          <w:sz w:val="24"/>
          <w:szCs w:val="24"/>
        </w:rPr>
        <w:t>with</w:t>
      </w:r>
      <w:r w:rsidRPr="00907C84">
        <w:rPr>
          <w:rFonts w:ascii="Book Antiqua" w:hAnsi="Book Antiqua" w:cs="Times New Roman"/>
          <w:sz w:val="24"/>
          <w:szCs w:val="24"/>
        </w:rPr>
        <w:t xml:space="preserve"> TJA</w:t>
      </w:r>
      <w:r w:rsidR="005E6A3A" w:rsidRPr="00907C84">
        <w:rPr>
          <w:rFonts w:ascii="Book Antiqua" w:hAnsi="Book Antiqua" w:cs="Times New Roman"/>
          <w:sz w:val="24"/>
          <w:szCs w:val="24"/>
        </w:rPr>
        <w:t xml:space="preserve"> outcomes</w:t>
      </w:r>
      <w:r w:rsidRPr="00907C84">
        <w:rPr>
          <w:rFonts w:ascii="Book Antiqua" w:hAnsi="Book Antiqua" w:cs="Times New Roman"/>
          <w:sz w:val="24"/>
          <w:szCs w:val="24"/>
        </w:rPr>
        <w:t>, a systematic review was performed using data from primary studies to summarize the prevalence of dental pathology in patients scheduled for TKA and THA and the impact of dental evaluation and necessary interventions on outcomes.</w:t>
      </w:r>
    </w:p>
    <w:p w14:paraId="6B352A9D" w14:textId="77777777" w:rsidR="00991DD1" w:rsidRPr="00907C84" w:rsidRDefault="00991DD1" w:rsidP="008B74BD">
      <w:pPr>
        <w:adjustRightInd w:val="0"/>
        <w:snapToGrid w:val="0"/>
        <w:spacing w:after="0" w:line="360" w:lineRule="auto"/>
        <w:jc w:val="right"/>
        <w:rPr>
          <w:rFonts w:ascii="Book Antiqua" w:hAnsi="Book Antiqua" w:cs="Times New Roman"/>
          <w:sz w:val="24"/>
          <w:szCs w:val="24"/>
        </w:rPr>
      </w:pPr>
    </w:p>
    <w:p w14:paraId="6DCAC29F" w14:textId="17520120" w:rsidR="00AF1C19" w:rsidRPr="00907C84" w:rsidRDefault="003915E4" w:rsidP="00907C84">
      <w:pPr>
        <w:adjustRightInd w:val="0"/>
        <w:snapToGrid w:val="0"/>
        <w:spacing w:after="0" w:line="360" w:lineRule="auto"/>
        <w:jc w:val="both"/>
        <w:rPr>
          <w:rFonts w:ascii="Book Antiqua" w:hAnsi="Book Antiqua" w:cs="Times New Roman"/>
          <w:b/>
          <w:sz w:val="24"/>
          <w:szCs w:val="24"/>
        </w:rPr>
      </w:pPr>
      <w:r w:rsidRPr="00907C84">
        <w:rPr>
          <w:rFonts w:ascii="Book Antiqua" w:hAnsi="Book Antiqua" w:cs="Times New Roman"/>
          <w:b/>
          <w:sz w:val="24"/>
          <w:szCs w:val="24"/>
        </w:rPr>
        <w:t>METHODS</w:t>
      </w:r>
    </w:p>
    <w:p w14:paraId="100DB4E6" w14:textId="15F7C6F3" w:rsidR="00534D35" w:rsidRPr="00907C84" w:rsidRDefault="00210B95" w:rsidP="00907C84">
      <w:pPr>
        <w:adjustRightInd w:val="0"/>
        <w:snapToGrid w:val="0"/>
        <w:spacing w:after="0" w:line="360" w:lineRule="auto"/>
        <w:jc w:val="both"/>
        <w:rPr>
          <w:rFonts w:ascii="Book Antiqua" w:eastAsia="Times New Roman" w:hAnsi="Book Antiqua" w:cs="Times New Roman"/>
          <w:color w:val="000000"/>
          <w:sz w:val="24"/>
          <w:szCs w:val="24"/>
        </w:rPr>
      </w:pPr>
      <w:r w:rsidRPr="00907C84">
        <w:rPr>
          <w:rFonts w:ascii="Book Antiqua" w:hAnsi="Book Antiqua" w:cs="Times New Roman"/>
          <w:sz w:val="24"/>
          <w:szCs w:val="24"/>
        </w:rPr>
        <w:t xml:space="preserve">The literature </w:t>
      </w:r>
      <w:r w:rsidR="00850341" w:rsidRPr="00907C84">
        <w:rPr>
          <w:rFonts w:ascii="Book Antiqua" w:hAnsi="Book Antiqua" w:cs="Times New Roman"/>
          <w:sz w:val="24"/>
          <w:szCs w:val="24"/>
        </w:rPr>
        <w:t xml:space="preserve">search </w:t>
      </w:r>
      <w:r w:rsidRPr="00907C84">
        <w:rPr>
          <w:rFonts w:ascii="Book Antiqua" w:hAnsi="Book Antiqua" w:cs="Times New Roman"/>
          <w:sz w:val="24"/>
          <w:szCs w:val="24"/>
        </w:rPr>
        <w:t>consisted of Pub</w:t>
      </w:r>
      <w:r w:rsidR="00660915" w:rsidRPr="00907C84">
        <w:rPr>
          <w:rFonts w:ascii="Book Antiqua" w:hAnsi="Book Antiqua" w:cs="Times New Roman"/>
          <w:sz w:val="24"/>
          <w:szCs w:val="24"/>
        </w:rPr>
        <w:t>M</w:t>
      </w:r>
      <w:r w:rsidRPr="00907C84">
        <w:rPr>
          <w:rFonts w:ascii="Book Antiqua" w:hAnsi="Book Antiqua" w:cs="Times New Roman"/>
          <w:sz w:val="24"/>
          <w:szCs w:val="24"/>
        </w:rPr>
        <w:t xml:space="preserve">ed and </w:t>
      </w:r>
      <w:r w:rsidR="00C07A76">
        <w:rPr>
          <w:rFonts w:ascii="Book Antiqua" w:hAnsi="Book Antiqua" w:cs="Times New Roman"/>
          <w:sz w:val="24"/>
          <w:szCs w:val="24"/>
        </w:rPr>
        <w:t>Scopus</w:t>
      </w:r>
      <w:r w:rsidRPr="00907C84">
        <w:rPr>
          <w:rFonts w:ascii="Book Antiqua" w:hAnsi="Book Antiqua" w:cs="Times New Roman"/>
          <w:sz w:val="24"/>
          <w:szCs w:val="24"/>
        </w:rPr>
        <w:t xml:space="preserve"> database inquiries </w:t>
      </w:r>
      <w:r w:rsidR="00850341" w:rsidRPr="00907C84">
        <w:rPr>
          <w:rFonts w:ascii="Book Antiqua" w:hAnsi="Book Antiqua" w:cs="Times New Roman"/>
          <w:sz w:val="24"/>
          <w:szCs w:val="24"/>
        </w:rPr>
        <w:t xml:space="preserve">in February 2019 </w:t>
      </w:r>
      <w:r w:rsidRPr="00907C84">
        <w:rPr>
          <w:rFonts w:ascii="Book Antiqua" w:hAnsi="Book Antiqua" w:cs="Times New Roman"/>
          <w:sz w:val="24"/>
          <w:szCs w:val="24"/>
        </w:rPr>
        <w:t xml:space="preserve">for the impact of dental clearance and the epidemiology of significant dental pathology in potential </w:t>
      </w:r>
      <w:r w:rsidR="00660915" w:rsidRPr="00660915">
        <w:rPr>
          <w:rFonts w:ascii="Book Antiqua" w:hAnsi="Book Antiqua" w:cs="Times New Roman"/>
          <w:sz w:val="24"/>
          <w:szCs w:val="24"/>
        </w:rPr>
        <w:t>TJA</w:t>
      </w:r>
      <w:r w:rsidRPr="00907C84">
        <w:rPr>
          <w:rFonts w:ascii="Book Antiqua" w:hAnsi="Book Antiqua" w:cs="Times New Roman"/>
          <w:sz w:val="24"/>
          <w:szCs w:val="24"/>
        </w:rPr>
        <w:t xml:space="preserve"> patients (Figure 1). </w:t>
      </w:r>
      <w:r w:rsidR="007D125B" w:rsidRPr="00907C84">
        <w:rPr>
          <w:rFonts w:ascii="Book Antiqua" w:hAnsi="Book Antiqua" w:cs="Times New Roman"/>
          <w:sz w:val="24"/>
          <w:szCs w:val="24"/>
        </w:rPr>
        <w:t xml:space="preserve">This was conducted by one author. </w:t>
      </w:r>
      <w:r w:rsidRPr="00907C84">
        <w:rPr>
          <w:rFonts w:ascii="Book Antiqua" w:hAnsi="Book Antiqua" w:cs="Times New Roman"/>
          <w:sz w:val="24"/>
          <w:szCs w:val="24"/>
        </w:rPr>
        <w:t>Search terms consisted of “Arthroplasty AND Dental AND Clearance” and “</w:t>
      </w:r>
      <w:r w:rsidRPr="00907C84">
        <w:rPr>
          <w:rFonts w:ascii="Book Antiqua" w:eastAsia="Times New Roman" w:hAnsi="Book Antiqua" w:cs="Times New Roman"/>
          <w:color w:val="000000"/>
          <w:sz w:val="24"/>
          <w:szCs w:val="24"/>
        </w:rPr>
        <w:t xml:space="preserve">Arthroplasty AND Dental AND Hygiene” for both databases. This yielded 6 papers that met all of the criteria (Table 1). One additional paper was selected from a review article that </w:t>
      </w:r>
      <w:r w:rsidR="00FE2395" w:rsidRPr="00907C84">
        <w:rPr>
          <w:rFonts w:ascii="Book Antiqua" w:eastAsia="Times New Roman" w:hAnsi="Book Antiqua" w:cs="Times New Roman"/>
          <w:color w:val="000000"/>
          <w:sz w:val="24"/>
          <w:szCs w:val="24"/>
        </w:rPr>
        <w:t xml:space="preserve">resulted from the initial search. </w:t>
      </w:r>
      <w:r w:rsidR="003D3478" w:rsidRPr="00907C84">
        <w:rPr>
          <w:rFonts w:ascii="Book Antiqua" w:eastAsia="Times New Roman" w:hAnsi="Book Antiqua" w:cs="Times New Roman"/>
          <w:color w:val="000000"/>
          <w:sz w:val="24"/>
          <w:szCs w:val="24"/>
        </w:rPr>
        <w:t>Another paper was individually retrieved after</w:t>
      </w:r>
      <w:r w:rsidR="00754D77" w:rsidRPr="00907C84">
        <w:rPr>
          <w:rFonts w:ascii="Book Antiqua" w:eastAsia="Times New Roman" w:hAnsi="Book Antiqua" w:cs="Times New Roman"/>
          <w:color w:val="000000"/>
          <w:sz w:val="24"/>
          <w:szCs w:val="24"/>
        </w:rPr>
        <w:t xml:space="preserve"> the initial screen</w:t>
      </w:r>
      <w:r w:rsidR="003D3478" w:rsidRPr="00907C84">
        <w:rPr>
          <w:rFonts w:ascii="Book Antiqua" w:eastAsia="Times New Roman" w:hAnsi="Book Antiqua" w:cs="Times New Roman"/>
          <w:color w:val="000000"/>
          <w:sz w:val="24"/>
          <w:szCs w:val="24"/>
        </w:rPr>
        <w:t xml:space="preserve"> as it was accepted and published </w:t>
      </w:r>
      <w:r w:rsidR="00754D77" w:rsidRPr="00907C84">
        <w:rPr>
          <w:rFonts w:ascii="Book Antiqua" w:eastAsia="Times New Roman" w:hAnsi="Book Antiqua" w:cs="Times New Roman"/>
          <w:color w:val="000000"/>
          <w:sz w:val="24"/>
          <w:szCs w:val="24"/>
        </w:rPr>
        <w:t>in May</w:t>
      </w:r>
      <w:r w:rsidR="003D3478" w:rsidRPr="00907C84">
        <w:rPr>
          <w:rFonts w:ascii="Book Antiqua" w:eastAsia="Times New Roman" w:hAnsi="Book Antiqua" w:cs="Times New Roman"/>
          <w:color w:val="000000"/>
          <w:sz w:val="24"/>
          <w:szCs w:val="24"/>
        </w:rPr>
        <w:t>.</w:t>
      </w:r>
    </w:p>
    <w:p w14:paraId="7C830B1A" w14:textId="540CA055" w:rsidR="00E053DA" w:rsidRPr="00907C84" w:rsidRDefault="00534D35" w:rsidP="006826F0">
      <w:pPr>
        <w:adjustRightInd w:val="0"/>
        <w:snapToGrid w:val="0"/>
        <w:spacing w:after="0" w:line="360" w:lineRule="auto"/>
        <w:ind w:firstLineChars="100" w:firstLine="240"/>
        <w:jc w:val="both"/>
        <w:rPr>
          <w:rFonts w:ascii="Book Antiqua" w:hAnsi="Book Antiqua" w:cs="Times New Roman"/>
          <w:sz w:val="24"/>
          <w:szCs w:val="24"/>
        </w:rPr>
      </w:pPr>
      <w:proofErr w:type="gramStart"/>
      <w:r w:rsidRPr="00907C84">
        <w:rPr>
          <w:rFonts w:ascii="Book Antiqua" w:eastAsia="Times New Roman" w:hAnsi="Book Antiqua" w:cs="Times New Roman"/>
          <w:color w:val="000000"/>
          <w:sz w:val="24"/>
          <w:szCs w:val="24"/>
        </w:rPr>
        <w:t xml:space="preserve">Literature </w:t>
      </w:r>
      <w:r w:rsidR="009B2B95" w:rsidRPr="00907C84">
        <w:rPr>
          <w:rFonts w:ascii="Book Antiqua" w:eastAsia="Times New Roman" w:hAnsi="Book Antiqua" w:cs="Times New Roman"/>
          <w:color w:val="000000"/>
          <w:sz w:val="24"/>
          <w:szCs w:val="24"/>
        </w:rPr>
        <w:t>assessing the association between</w:t>
      </w:r>
      <w:r w:rsidRPr="00907C84">
        <w:rPr>
          <w:rFonts w:ascii="Book Antiqua" w:eastAsia="Times New Roman" w:hAnsi="Book Antiqua" w:cs="Times New Roman"/>
          <w:color w:val="000000"/>
          <w:sz w:val="24"/>
          <w:szCs w:val="24"/>
        </w:rPr>
        <w:t xml:space="preserve"> dental clearance a</w:t>
      </w:r>
      <w:r w:rsidR="009B2B95" w:rsidRPr="00907C84">
        <w:rPr>
          <w:rFonts w:ascii="Book Antiqua" w:eastAsia="Times New Roman" w:hAnsi="Book Antiqua" w:cs="Times New Roman"/>
          <w:color w:val="000000"/>
          <w:sz w:val="24"/>
          <w:szCs w:val="24"/>
        </w:rPr>
        <w:t>nd</w:t>
      </w:r>
      <w:r w:rsidRPr="00907C84">
        <w:rPr>
          <w:rFonts w:ascii="Book Antiqua" w:eastAsia="Times New Roman" w:hAnsi="Book Antiqua" w:cs="Times New Roman"/>
          <w:color w:val="000000"/>
          <w:sz w:val="24"/>
          <w:szCs w:val="24"/>
        </w:rPr>
        <w:t xml:space="preserve"> TJA outcomes were</w:t>
      </w:r>
      <w:proofErr w:type="gramEnd"/>
      <w:r w:rsidRPr="00907C84">
        <w:rPr>
          <w:rFonts w:ascii="Book Antiqua" w:eastAsia="Times New Roman" w:hAnsi="Book Antiqua" w:cs="Times New Roman"/>
          <w:color w:val="000000"/>
          <w:sz w:val="24"/>
          <w:szCs w:val="24"/>
        </w:rPr>
        <w:t xml:space="preserve"> included.</w:t>
      </w:r>
      <w:r w:rsidR="009B2B95" w:rsidRPr="00907C84">
        <w:rPr>
          <w:rFonts w:ascii="Book Antiqua" w:eastAsia="Times New Roman" w:hAnsi="Book Antiqua" w:cs="Times New Roman"/>
          <w:color w:val="000000"/>
          <w:sz w:val="24"/>
          <w:szCs w:val="24"/>
        </w:rPr>
        <w:t xml:space="preserve"> M</w:t>
      </w:r>
      <w:r w:rsidRPr="00907C84">
        <w:rPr>
          <w:rFonts w:ascii="Book Antiqua" w:eastAsia="Times New Roman" w:hAnsi="Book Antiqua" w:cs="Times New Roman"/>
          <w:color w:val="000000"/>
          <w:sz w:val="24"/>
          <w:szCs w:val="24"/>
        </w:rPr>
        <w:t>anuscripts examining prevalence of and risk factors for failing dental clearance were included</w:t>
      </w:r>
      <w:r w:rsidR="002C5AD7" w:rsidRPr="00907C84">
        <w:rPr>
          <w:rFonts w:ascii="Book Antiqua" w:eastAsia="Times New Roman" w:hAnsi="Book Antiqua" w:cs="Times New Roman"/>
          <w:color w:val="000000"/>
          <w:sz w:val="24"/>
          <w:szCs w:val="24"/>
        </w:rPr>
        <w:t xml:space="preserve"> as well</w:t>
      </w:r>
      <w:r w:rsidRPr="00907C84">
        <w:rPr>
          <w:rFonts w:ascii="Book Antiqua" w:eastAsia="Times New Roman" w:hAnsi="Book Antiqua" w:cs="Times New Roman"/>
          <w:color w:val="000000"/>
          <w:sz w:val="24"/>
          <w:szCs w:val="24"/>
        </w:rPr>
        <w:t xml:space="preserve">. </w:t>
      </w:r>
      <w:r w:rsidR="002C5AD7" w:rsidRPr="00907C84">
        <w:rPr>
          <w:rFonts w:ascii="Book Antiqua" w:eastAsia="Times New Roman" w:hAnsi="Book Antiqua" w:cs="Times New Roman"/>
          <w:color w:val="000000"/>
          <w:sz w:val="24"/>
          <w:szCs w:val="24"/>
        </w:rPr>
        <w:t xml:space="preserve">Considering the scarcity of evidence, various summary measures were accepted, </w:t>
      </w:r>
      <w:r w:rsidR="009944C3" w:rsidRPr="00907C84">
        <w:rPr>
          <w:rFonts w:ascii="Book Antiqua" w:eastAsia="Times New Roman" w:hAnsi="Book Antiqua" w:cs="Times New Roman"/>
          <w:color w:val="000000"/>
          <w:sz w:val="24"/>
          <w:szCs w:val="24"/>
        </w:rPr>
        <w:t>with a preference for</w:t>
      </w:r>
      <w:r w:rsidR="002C5AD7" w:rsidRPr="00907C84">
        <w:rPr>
          <w:rFonts w:ascii="Book Antiqua" w:eastAsia="Times New Roman" w:hAnsi="Book Antiqua" w:cs="Times New Roman"/>
          <w:color w:val="000000"/>
          <w:sz w:val="24"/>
          <w:szCs w:val="24"/>
        </w:rPr>
        <w:t xml:space="preserve"> risk ratios. </w:t>
      </w:r>
      <w:r w:rsidRPr="00907C84">
        <w:rPr>
          <w:rFonts w:ascii="Book Antiqua" w:eastAsia="Times New Roman" w:hAnsi="Book Antiqua" w:cs="Times New Roman"/>
          <w:color w:val="000000"/>
          <w:sz w:val="24"/>
          <w:szCs w:val="24"/>
        </w:rPr>
        <w:t>Only human studies within the last 25 years were included</w:t>
      </w:r>
      <w:r w:rsidR="009B2B95" w:rsidRPr="00907C84">
        <w:rPr>
          <w:rFonts w:ascii="Book Antiqua" w:eastAsia="Times New Roman" w:hAnsi="Book Antiqua" w:cs="Times New Roman"/>
          <w:color w:val="000000"/>
          <w:sz w:val="24"/>
          <w:szCs w:val="24"/>
        </w:rPr>
        <w:t xml:space="preserve"> to ensure that the results are applicable</w:t>
      </w:r>
      <w:r w:rsidRPr="00907C84">
        <w:rPr>
          <w:rFonts w:ascii="Book Antiqua" w:eastAsia="Times New Roman" w:hAnsi="Book Antiqua" w:cs="Times New Roman"/>
          <w:color w:val="000000"/>
          <w:sz w:val="24"/>
          <w:szCs w:val="24"/>
        </w:rPr>
        <w:t xml:space="preserve">. </w:t>
      </w:r>
      <w:r w:rsidR="0047093A" w:rsidRPr="00907C84">
        <w:rPr>
          <w:rFonts w:ascii="Book Antiqua" w:eastAsia="Times New Roman" w:hAnsi="Book Antiqua" w:cs="Times New Roman"/>
          <w:color w:val="000000"/>
          <w:sz w:val="24"/>
          <w:szCs w:val="24"/>
        </w:rPr>
        <w:t>Interventional, case-control, and cross</w:t>
      </w:r>
      <w:r w:rsidR="00B74516" w:rsidRPr="00907C84">
        <w:rPr>
          <w:rFonts w:ascii="Book Antiqua" w:eastAsia="Times New Roman" w:hAnsi="Book Antiqua" w:cs="Times New Roman"/>
          <w:color w:val="000000"/>
          <w:sz w:val="24"/>
          <w:szCs w:val="24"/>
        </w:rPr>
        <w:t>-</w:t>
      </w:r>
      <w:r w:rsidR="0047093A" w:rsidRPr="00907C84">
        <w:rPr>
          <w:rFonts w:ascii="Book Antiqua" w:eastAsia="Times New Roman" w:hAnsi="Book Antiqua" w:cs="Times New Roman"/>
          <w:color w:val="000000"/>
          <w:sz w:val="24"/>
          <w:szCs w:val="24"/>
        </w:rPr>
        <w:t>sectional studies were included.</w:t>
      </w:r>
      <w:r w:rsidR="00B74516" w:rsidRPr="00907C84">
        <w:rPr>
          <w:rFonts w:ascii="Book Antiqua" w:eastAsia="Times New Roman" w:hAnsi="Book Antiqua" w:cs="Times New Roman"/>
          <w:color w:val="000000"/>
          <w:sz w:val="24"/>
          <w:szCs w:val="24"/>
        </w:rPr>
        <w:t xml:space="preserve"> </w:t>
      </w:r>
      <w:r w:rsidR="00754D77" w:rsidRPr="00907C84">
        <w:rPr>
          <w:rFonts w:ascii="Book Antiqua" w:eastAsia="Times New Roman" w:hAnsi="Book Antiqua" w:cs="Times New Roman"/>
          <w:color w:val="000000"/>
          <w:sz w:val="24"/>
          <w:szCs w:val="24"/>
        </w:rPr>
        <w:t>In total</w:t>
      </w:r>
      <w:r w:rsidR="001E0204" w:rsidRPr="00907C84">
        <w:rPr>
          <w:rFonts w:ascii="Book Antiqua" w:eastAsia="Times New Roman" w:hAnsi="Book Antiqua" w:cs="Times New Roman"/>
          <w:color w:val="000000"/>
          <w:sz w:val="24"/>
          <w:szCs w:val="24"/>
        </w:rPr>
        <w:t xml:space="preserve">, </w:t>
      </w:r>
      <w:r w:rsidR="00754D77" w:rsidRPr="00907C84">
        <w:rPr>
          <w:rFonts w:ascii="Book Antiqua" w:eastAsia="Times New Roman" w:hAnsi="Book Antiqua" w:cs="Times New Roman"/>
          <w:color w:val="000000"/>
          <w:sz w:val="24"/>
          <w:szCs w:val="24"/>
        </w:rPr>
        <w:t>eight</w:t>
      </w:r>
      <w:r w:rsidR="001E0204" w:rsidRPr="00907C84">
        <w:rPr>
          <w:rFonts w:ascii="Book Antiqua" w:eastAsia="Times New Roman" w:hAnsi="Book Antiqua" w:cs="Times New Roman"/>
          <w:color w:val="000000"/>
          <w:sz w:val="24"/>
          <w:szCs w:val="24"/>
        </w:rPr>
        <w:t xml:space="preserve"> studies met criteria. </w:t>
      </w:r>
      <w:r w:rsidR="00B74516" w:rsidRPr="00907C84">
        <w:rPr>
          <w:rFonts w:ascii="Book Antiqua" w:eastAsia="Times New Roman" w:hAnsi="Book Antiqua" w:cs="Times New Roman"/>
          <w:color w:val="000000"/>
          <w:sz w:val="24"/>
          <w:szCs w:val="24"/>
        </w:rPr>
        <w:t>All studies were evaluated</w:t>
      </w:r>
      <w:r w:rsidR="00E90804" w:rsidRPr="00907C84">
        <w:rPr>
          <w:rFonts w:ascii="Book Antiqua" w:eastAsia="Times New Roman" w:hAnsi="Book Antiqua" w:cs="Times New Roman"/>
          <w:color w:val="000000"/>
          <w:sz w:val="24"/>
          <w:szCs w:val="24"/>
        </w:rPr>
        <w:t xml:space="preserve"> for quality and bias</w:t>
      </w:r>
      <w:r w:rsidR="00B74516" w:rsidRPr="00907C84">
        <w:rPr>
          <w:rFonts w:ascii="Book Antiqua" w:eastAsia="Times New Roman" w:hAnsi="Book Antiqua" w:cs="Times New Roman"/>
          <w:color w:val="000000"/>
          <w:sz w:val="24"/>
          <w:szCs w:val="24"/>
        </w:rPr>
        <w:t xml:space="preserve"> </w:t>
      </w:r>
      <w:r w:rsidR="001E0204" w:rsidRPr="00907C84">
        <w:rPr>
          <w:rFonts w:ascii="Book Antiqua" w:eastAsia="Times New Roman" w:hAnsi="Book Antiqua" w:cs="Times New Roman"/>
          <w:color w:val="000000"/>
          <w:sz w:val="24"/>
          <w:szCs w:val="24"/>
        </w:rPr>
        <w:t xml:space="preserve">using a modified 27 item Downs </w:t>
      </w:r>
      <w:r w:rsidR="006826F0">
        <w:rPr>
          <w:rFonts w:ascii="Book Antiqua" w:eastAsia="Times New Roman" w:hAnsi="Book Antiqua" w:cs="Times New Roman"/>
          <w:color w:val="000000"/>
          <w:sz w:val="24"/>
          <w:szCs w:val="24"/>
        </w:rPr>
        <w:t>and</w:t>
      </w:r>
      <w:r w:rsidR="001E0204" w:rsidRPr="00907C84">
        <w:rPr>
          <w:rFonts w:ascii="Book Antiqua" w:eastAsia="Times New Roman" w:hAnsi="Book Antiqua" w:cs="Times New Roman"/>
          <w:color w:val="000000"/>
          <w:sz w:val="24"/>
          <w:szCs w:val="24"/>
        </w:rPr>
        <w:t xml:space="preserve"> Black </w:t>
      </w:r>
      <w:proofErr w:type="gramStart"/>
      <w:r w:rsidR="001E0204" w:rsidRPr="00907C84">
        <w:rPr>
          <w:rFonts w:ascii="Book Antiqua" w:eastAsia="Times New Roman" w:hAnsi="Book Antiqua" w:cs="Times New Roman"/>
          <w:color w:val="000000"/>
          <w:sz w:val="24"/>
          <w:szCs w:val="24"/>
        </w:rPr>
        <w:t>checklist</w:t>
      </w:r>
      <w:r w:rsidR="006826F0" w:rsidRPr="006826F0">
        <w:rPr>
          <w:rFonts w:ascii="Book Antiqua" w:eastAsia="Times New Roman" w:hAnsi="Book Antiqua" w:cs="Times New Roman"/>
          <w:color w:val="000000"/>
          <w:sz w:val="24"/>
          <w:szCs w:val="24"/>
          <w:vertAlign w:val="superscript"/>
        </w:rPr>
        <w:t>[</w:t>
      </w:r>
      <w:proofErr w:type="gramEnd"/>
      <w:r w:rsidR="006826F0" w:rsidRPr="00907C84">
        <w:rPr>
          <w:rFonts w:ascii="Book Antiqua" w:eastAsia="Times New Roman" w:hAnsi="Book Antiqua" w:cs="Times New Roman"/>
          <w:color w:val="000000"/>
          <w:sz w:val="24"/>
          <w:szCs w:val="24"/>
          <w:vertAlign w:val="superscript"/>
        </w:rPr>
        <w:t>11</w:t>
      </w:r>
      <w:r w:rsidR="006826F0">
        <w:rPr>
          <w:rFonts w:ascii="Book Antiqua" w:eastAsia="Times New Roman" w:hAnsi="Book Antiqua" w:cs="Times New Roman"/>
          <w:color w:val="000000"/>
          <w:sz w:val="24"/>
          <w:szCs w:val="24"/>
          <w:vertAlign w:val="superscript"/>
        </w:rPr>
        <w:t>]</w:t>
      </w:r>
      <w:r w:rsidR="001E0204" w:rsidRPr="00907C84">
        <w:rPr>
          <w:rFonts w:ascii="Book Antiqua" w:eastAsia="Times New Roman" w:hAnsi="Book Antiqua" w:cs="Times New Roman"/>
          <w:color w:val="000000"/>
          <w:sz w:val="24"/>
          <w:szCs w:val="24"/>
        </w:rPr>
        <w:t>. For the power analysis</w:t>
      </w:r>
      <w:r w:rsidR="00E53BB0" w:rsidRPr="00907C84">
        <w:rPr>
          <w:rFonts w:ascii="Book Antiqua" w:eastAsia="Times New Roman" w:hAnsi="Book Antiqua" w:cs="Times New Roman"/>
          <w:color w:val="000000"/>
          <w:sz w:val="24"/>
          <w:szCs w:val="24"/>
        </w:rPr>
        <w:t xml:space="preserve"> (item 27)</w:t>
      </w:r>
      <w:r w:rsidR="001E0204" w:rsidRPr="00907C84">
        <w:rPr>
          <w:rFonts w:ascii="Book Antiqua" w:eastAsia="Times New Roman" w:hAnsi="Book Antiqua" w:cs="Times New Roman"/>
          <w:color w:val="000000"/>
          <w:sz w:val="24"/>
          <w:szCs w:val="24"/>
        </w:rPr>
        <w:t xml:space="preserve">, we substituted </w:t>
      </w:r>
      <w:r w:rsidR="001E0204" w:rsidRPr="00907C84">
        <w:rPr>
          <w:rFonts w:ascii="Book Antiqua" w:hAnsi="Book Antiqua" w:cs="Times New Roman"/>
          <w:sz w:val="24"/>
          <w:szCs w:val="24"/>
        </w:rPr>
        <w:t>a simple</w:t>
      </w:r>
      <w:r w:rsidR="00CD5553" w:rsidRPr="00907C84">
        <w:rPr>
          <w:rFonts w:ascii="Book Antiqua" w:hAnsi="Book Antiqua" w:cs="Times New Roman"/>
          <w:sz w:val="24"/>
          <w:szCs w:val="24"/>
        </w:rPr>
        <w:t xml:space="preserve"> score of</w:t>
      </w:r>
      <w:r w:rsidR="001E0204" w:rsidRPr="00907C84">
        <w:rPr>
          <w:rFonts w:ascii="Book Antiqua" w:hAnsi="Book Antiqua" w:cs="Times New Roman"/>
          <w:sz w:val="24"/>
          <w:szCs w:val="24"/>
        </w:rPr>
        <w:t xml:space="preserve"> 0 or 1 score</w:t>
      </w:r>
      <w:r w:rsidR="005873D5" w:rsidRPr="00907C84">
        <w:rPr>
          <w:rFonts w:ascii="Book Antiqua" w:hAnsi="Book Antiqua" w:cs="Times New Roman"/>
          <w:sz w:val="24"/>
          <w:szCs w:val="24"/>
        </w:rPr>
        <w:t>. P</w:t>
      </w:r>
      <w:r w:rsidR="001E0204" w:rsidRPr="00907C84">
        <w:rPr>
          <w:rFonts w:ascii="Book Antiqua" w:hAnsi="Book Antiqua" w:cs="Times New Roman"/>
          <w:sz w:val="24"/>
          <w:szCs w:val="24"/>
        </w:rPr>
        <w:t>apers receiv</w:t>
      </w:r>
      <w:r w:rsidR="005873D5" w:rsidRPr="00907C84">
        <w:rPr>
          <w:rFonts w:ascii="Book Antiqua" w:hAnsi="Book Antiqua" w:cs="Times New Roman"/>
          <w:sz w:val="24"/>
          <w:szCs w:val="24"/>
        </w:rPr>
        <w:t>ed</w:t>
      </w:r>
      <w:r w:rsidR="001E0204" w:rsidRPr="00907C84">
        <w:rPr>
          <w:rFonts w:ascii="Book Antiqua" w:hAnsi="Book Antiqua" w:cs="Times New Roman"/>
          <w:sz w:val="24"/>
          <w:szCs w:val="24"/>
        </w:rPr>
        <w:t xml:space="preserve"> one point if they included power calculations</w:t>
      </w:r>
      <w:r w:rsidR="001E0204" w:rsidRPr="00907C84">
        <w:rPr>
          <w:rFonts w:ascii="Book Antiqua" w:eastAsia="Times New Roman" w:hAnsi="Book Antiqua" w:cs="Times New Roman"/>
          <w:color w:val="000000"/>
          <w:sz w:val="24"/>
          <w:szCs w:val="24"/>
        </w:rPr>
        <w:t>. We decided to utilize t</w:t>
      </w:r>
      <w:r w:rsidR="001E0204" w:rsidRPr="00907C84">
        <w:rPr>
          <w:rFonts w:ascii="Book Antiqua" w:hAnsi="Book Antiqua" w:cs="Times New Roman"/>
          <w:sz w:val="24"/>
          <w:szCs w:val="24"/>
        </w:rPr>
        <w:t xml:space="preserve">his instrument to evaluate methodological quality because it is validated for both randomized and non-randomized studies. </w:t>
      </w:r>
      <w:r w:rsidR="00D7467C" w:rsidRPr="00907C84">
        <w:rPr>
          <w:rFonts w:ascii="Book Antiqua" w:hAnsi="Book Antiqua" w:cs="Times New Roman"/>
          <w:sz w:val="24"/>
          <w:szCs w:val="24"/>
        </w:rPr>
        <w:t>W</w:t>
      </w:r>
      <w:r w:rsidR="00FA50A9" w:rsidRPr="00907C84">
        <w:rPr>
          <w:rFonts w:ascii="Book Antiqua" w:hAnsi="Book Antiqua" w:cs="Times New Roman"/>
          <w:sz w:val="24"/>
          <w:szCs w:val="24"/>
        </w:rPr>
        <w:t xml:space="preserve">e did not use </w:t>
      </w:r>
      <w:r w:rsidR="00496A6B" w:rsidRPr="00907C84">
        <w:rPr>
          <w:rFonts w:ascii="Book Antiqua" w:hAnsi="Book Antiqua" w:cs="Times New Roman"/>
          <w:sz w:val="24"/>
          <w:szCs w:val="24"/>
        </w:rPr>
        <w:t xml:space="preserve">a formal </w:t>
      </w:r>
      <w:r w:rsidR="00FA50A9" w:rsidRPr="00907C84">
        <w:rPr>
          <w:rFonts w:ascii="Book Antiqua" w:hAnsi="Book Antiqua" w:cs="Times New Roman"/>
          <w:sz w:val="24"/>
          <w:szCs w:val="24"/>
        </w:rPr>
        <w:t>metric to estimate risk of bias across studies</w:t>
      </w:r>
      <w:r w:rsidR="00496A6B" w:rsidRPr="00907C84">
        <w:rPr>
          <w:rFonts w:ascii="Book Antiqua" w:hAnsi="Book Antiqua" w:cs="Times New Roman"/>
          <w:sz w:val="24"/>
          <w:szCs w:val="24"/>
        </w:rPr>
        <w:t>.</w:t>
      </w:r>
      <w:r w:rsidR="00FA50A9" w:rsidRPr="00907C84">
        <w:rPr>
          <w:rFonts w:ascii="Book Antiqua" w:hAnsi="Book Antiqua" w:cs="Times New Roman"/>
          <w:sz w:val="24"/>
          <w:szCs w:val="24"/>
        </w:rPr>
        <w:t xml:space="preserve"> </w:t>
      </w:r>
    </w:p>
    <w:p w14:paraId="2D8F17DC" w14:textId="4B07BE37" w:rsidR="00CF6FB5" w:rsidRPr="006826F0" w:rsidRDefault="00C36247" w:rsidP="006826F0">
      <w:pPr>
        <w:adjustRightInd w:val="0"/>
        <w:snapToGrid w:val="0"/>
        <w:spacing w:after="0" w:line="360" w:lineRule="auto"/>
        <w:ind w:firstLineChars="100" w:firstLine="240"/>
        <w:jc w:val="both"/>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 xml:space="preserve">After the studies were included, data concerning </w:t>
      </w:r>
      <w:r w:rsidR="00D004BD" w:rsidRPr="00907C84">
        <w:rPr>
          <w:rFonts w:ascii="Book Antiqua" w:eastAsia="Times New Roman" w:hAnsi="Book Antiqua" w:cs="Times New Roman"/>
          <w:color w:val="000000"/>
          <w:sz w:val="24"/>
          <w:szCs w:val="24"/>
        </w:rPr>
        <w:t>impact of dental clearance, model used, sample size, methods, results</w:t>
      </w:r>
      <w:r w:rsidR="005873D5" w:rsidRPr="00907C84">
        <w:rPr>
          <w:rFonts w:ascii="Book Antiqua" w:eastAsia="Times New Roman" w:hAnsi="Book Antiqua" w:cs="Times New Roman"/>
          <w:color w:val="000000"/>
          <w:sz w:val="24"/>
          <w:szCs w:val="24"/>
        </w:rPr>
        <w:t xml:space="preserve"> with statistical analysis</w:t>
      </w:r>
      <w:r w:rsidR="00D004BD" w:rsidRPr="00907C84">
        <w:rPr>
          <w:rFonts w:ascii="Book Antiqua" w:eastAsia="Times New Roman" w:hAnsi="Book Antiqua" w:cs="Times New Roman"/>
          <w:color w:val="000000"/>
          <w:sz w:val="24"/>
          <w:szCs w:val="24"/>
        </w:rPr>
        <w:t>, and conclusions</w:t>
      </w:r>
      <w:r w:rsidRPr="00907C84">
        <w:rPr>
          <w:rFonts w:ascii="Book Antiqua" w:eastAsia="Times New Roman" w:hAnsi="Book Antiqua" w:cs="Times New Roman"/>
          <w:color w:val="000000"/>
          <w:sz w:val="24"/>
          <w:szCs w:val="24"/>
        </w:rPr>
        <w:t xml:space="preserve"> were extracted by one author and transcribed in a table</w:t>
      </w:r>
      <w:r w:rsidR="007D125B" w:rsidRPr="00907C84">
        <w:rPr>
          <w:rFonts w:ascii="Book Antiqua" w:eastAsia="Times New Roman" w:hAnsi="Book Antiqua" w:cs="Times New Roman"/>
          <w:color w:val="000000"/>
          <w:sz w:val="24"/>
          <w:szCs w:val="24"/>
        </w:rPr>
        <w:t>. This was reviewed by another author for verification</w:t>
      </w:r>
      <w:r w:rsidR="00B72796" w:rsidRPr="00907C84">
        <w:rPr>
          <w:rFonts w:ascii="Book Antiqua" w:eastAsia="Times New Roman" w:hAnsi="Book Antiqua" w:cs="Times New Roman"/>
          <w:color w:val="000000"/>
          <w:sz w:val="24"/>
          <w:szCs w:val="24"/>
        </w:rPr>
        <w:t>.</w:t>
      </w:r>
      <w:r w:rsidR="005873D5" w:rsidRPr="00907C84">
        <w:rPr>
          <w:rFonts w:ascii="Book Antiqua" w:eastAsia="Times New Roman" w:hAnsi="Book Antiqua" w:cs="Times New Roman"/>
          <w:color w:val="000000"/>
          <w:sz w:val="24"/>
          <w:szCs w:val="24"/>
        </w:rPr>
        <w:t xml:space="preserve"> Next, inputs for the methodological quality analysis with the Downs and Black checklist were extracted. </w:t>
      </w:r>
    </w:p>
    <w:p w14:paraId="531DD171" w14:textId="77777777" w:rsidR="00991DD1" w:rsidRPr="00907C84" w:rsidRDefault="00991DD1" w:rsidP="00907C84">
      <w:pPr>
        <w:adjustRightInd w:val="0"/>
        <w:snapToGrid w:val="0"/>
        <w:spacing w:after="0" w:line="360" w:lineRule="auto"/>
        <w:jc w:val="both"/>
        <w:rPr>
          <w:rFonts w:ascii="Book Antiqua" w:hAnsi="Book Antiqua" w:cs="Times New Roman"/>
          <w:sz w:val="24"/>
          <w:szCs w:val="24"/>
        </w:rPr>
      </w:pPr>
    </w:p>
    <w:p w14:paraId="169937B7" w14:textId="7699734B" w:rsidR="00AF1C19" w:rsidRPr="00907C84" w:rsidRDefault="003915E4" w:rsidP="00907C84">
      <w:pPr>
        <w:adjustRightInd w:val="0"/>
        <w:snapToGrid w:val="0"/>
        <w:spacing w:after="0" w:line="360" w:lineRule="auto"/>
        <w:jc w:val="both"/>
        <w:rPr>
          <w:rFonts w:ascii="Book Antiqua" w:hAnsi="Book Antiqua" w:cs="Times New Roman"/>
          <w:b/>
          <w:sz w:val="24"/>
          <w:szCs w:val="24"/>
        </w:rPr>
      </w:pPr>
      <w:r w:rsidRPr="00907C84">
        <w:rPr>
          <w:rFonts w:ascii="Book Antiqua" w:hAnsi="Book Antiqua" w:cs="Times New Roman"/>
          <w:b/>
          <w:sz w:val="24"/>
          <w:szCs w:val="24"/>
        </w:rPr>
        <w:t>RESULTS</w:t>
      </w:r>
    </w:p>
    <w:p w14:paraId="0EFB14F7" w14:textId="78D08587" w:rsidR="00AF1C19" w:rsidRPr="00907C84" w:rsidRDefault="00AF1C19" w:rsidP="00907C84">
      <w:pPr>
        <w:adjustRightInd w:val="0"/>
        <w:snapToGrid w:val="0"/>
        <w:spacing w:after="0" w:line="360" w:lineRule="auto"/>
        <w:jc w:val="both"/>
        <w:rPr>
          <w:rFonts w:ascii="Book Antiqua" w:hAnsi="Book Antiqua" w:cs="Times New Roman"/>
          <w:b/>
          <w:i/>
          <w:iCs/>
          <w:sz w:val="24"/>
          <w:szCs w:val="24"/>
        </w:rPr>
      </w:pPr>
      <w:r w:rsidRPr="00907C84">
        <w:rPr>
          <w:rFonts w:ascii="Book Antiqua" w:hAnsi="Book Antiqua" w:cs="Times New Roman"/>
          <w:b/>
          <w:i/>
          <w:iCs/>
          <w:sz w:val="24"/>
          <w:szCs w:val="24"/>
        </w:rPr>
        <w:t xml:space="preserve">Quality </w:t>
      </w:r>
      <w:r w:rsidR="00C355C6" w:rsidRPr="00907C84">
        <w:rPr>
          <w:rFonts w:ascii="Book Antiqua" w:hAnsi="Book Antiqua" w:cs="Times New Roman"/>
          <w:b/>
          <w:i/>
          <w:iCs/>
          <w:sz w:val="24"/>
          <w:szCs w:val="24"/>
        </w:rPr>
        <w:t>a</w:t>
      </w:r>
      <w:r w:rsidRPr="00907C84">
        <w:rPr>
          <w:rFonts w:ascii="Book Antiqua" w:hAnsi="Book Antiqua" w:cs="Times New Roman"/>
          <w:b/>
          <w:i/>
          <w:iCs/>
          <w:sz w:val="24"/>
          <w:szCs w:val="24"/>
        </w:rPr>
        <w:t>ssessment</w:t>
      </w:r>
    </w:p>
    <w:p w14:paraId="680DDF2A" w14:textId="65F57DD9" w:rsidR="00145DBB" w:rsidRDefault="000E022F" w:rsidP="00907C84">
      <w:pPr>
        <w:adjustRightInd w:val="0"/>
        <w:snapToGrid w:val="0"/>
        <w:spacing w:after="0" w:line="360" w:lineRule="auto"/>
        <w:jc w:val="both"/>
        <w:rPr>
          <w:rFonts w:ascii="Book Antiqua" w:hAnsi="Book Antiqua" w:cs="Times New Roman"/>
          <w:sz w:val="24"/>
          <w:szCs w:val="24"/>
          <w:vertAlign w:val="superscript"/>
        </w:rPr>
      </w:pPr>
      <w:r w:rsidRPr="00907C84">
        <w:rPr>
          <w:rFonts w:ascii="Book Antiqua" w:hAnsi="Book Antiqua" w:cs="Times New Roman"/>
          <w:sz w:val="24"/>
          <w:szCs w:val="24"/>
        </w:rPr>
        <w:t>Eight</w:t>
      </w:r>
      <w:r w:rsidR="002E49CE" w:rsidRPr="00907C84">
        <w:rPr>
          <w:rFonts w:ascii="Book Antiqua" w:hAnsi="Book Antiqua" w:cs="Times New Roman"/>
          <w:sz w:val="24"/>
          <w:szCs w:val="24"/>
        </w:rPr>
        <w:t xml:space="preserve"> studies were </w:t>
      </w:r>
      <w:proofErr w:type="gramStart"/>
      <w:r w:rsidR="002E49CE" w:rsidRPr="00907C84">
        <w:rPr>
          <w:rFonts w:ascii="Book Antiqua" w:hAnsi="Book Antiqua" w:cs="Times New Roman"/>
          <w:sz w:val="24"/>
          <w:szCs w:val="24"/>
        </w:rPr>
        <w:t>included</w:t>
      </w:r>
      <w:r w:rsidR="00C355C6" w:rsidRPr="00C355C6">
        <w:rPr>
          <w:rFonts w:ascii="Book Antiqua" w:hAnsi="Book Antiqua" w:cs="Times New Roman"/>
          <w:sz w:val="24"/>
          <w:szCs w:val="24"/>
          <w:vertAlign w:val="superscript"/>
        </w:rPr>
        <w:t>[</w:t>
      </w:r>
      <w:proofErr w:type="gramEnd"/>
      <w:r w:rsidR="00C355C6" w:rsidRPr="00907C84">
        <w:rPr>
          <w:rFonts w:ascii="Book Antiqua" w:hAnsi="Book Antiqua" w:cs="Times New Roman"/>
          <w:sz w:val="24"/>
          <w:szCs w:val="24"/>
          <w:vertAlign w:val="superscript"/>
        </w:rPr>
        <w:t>12-19</w:t>
      </w:r>
      <w:r w:rsidR="00C355C6">
        <w:rPr>
          <w:rFonts w:ascii="Book Antiqua" w:hAnsi="Book Antiqua" w:cs="Times New Roman"/>
          <w:sz w:val="24"/>
          <w:szCs w:val="24"/>
          <w:vertAlign w:val="superscript"/>
        </w:rPr>
        <w:t>]</w:t>
      </w:r>
      <w:r w:rsidR="002E49CE" w:rsidRPr="00907C84">
        <w:rPr>
          <w:rFonts w:ascii="Book Antiqua" w:hAnsi="Book Antiqua" w:cs="Times New Roman"/>
          <w:sz w:val="24"/>
          <w:szCs w:val="24"/>
        </w:rPr>
        <w:t xml:space="preserve">. Of the </w:t>
      </w:r>
      <w:r w:rsidR="00C355C6">
        <w:rPr>
          <w:rFonts w:ascii="Book Antiqua" w:hAnsi="Book Antiqua" w:cs="Times New Roman"/>
          <w:sz w:val="24"/>
          <w:szCs w:val="24"/>
        </w:rPr>
        <w:t>8</w:t>
      </w:r>
      <w:r w:rsidR="002E49CE" w:rsidRPr="00907C84">
        <w:rPr>
          <w:rFonts w:ascii="Book Antiqua" w:hAnsi="Book Antiqua" w:cs="Times New Roman"/>
          <w:sz w:val="24"/>
          <w:szCs w:val="24"/>
        </w:rPr>
        <w:t xml:space="preserve">, </w:t>
      </w:r>
      <w:r w:rsidR="00C355C6">
        <w:rPr>
          <w:rFonts w:ascii="Book Antiqua" w:hAnsi="Book Antiqua" w:cs="Times New Roman"/>
          <w:sz w:val="24"/>
          <w:szCs w:val="24"/>
        </w:rPr>
        <w:t>7</w:t>
      </w:r>
      <w:r w:rsidR="002E49CE" w:rsidRPr="00907C84">
        <w:rPr>
          <w:rFonts w:ascii="Book Antiqua" w:hAnsi="Book Antiqua" w:cs="Times New Roman"/>
          <w:sz w:val="24"/>
          <w:szCs w:val="24"/>
        </w:rPr>
        <w:t xml:space="preserve"> (86%) </w:t>
      </w:r>
      <w:r w:rsidR="00CD1B5D" w:rsidRPr="00907C84">
        <w:rPr>
          <w:rFonts w:ascii="Book Antiqua" w:hAnsi="Book Antiqua" w:cs="Times New Roman"/>
          <w:sz w:val="24"/>
          <w:szCs w:val="24"/>
        </w:rPr>
        <w:t>included a</w:t>
      </w:r>
      <w:r w:rsidR="002E49CE" w:rsidRPr="00907C84">
        <w:rPr>
          <w:rFonts w:ascii="Book Antiqua" w:hAnsi="Book Antiqua" w:cs="Times New Roman"/>
          <w:sz w:val="24"/>
          <w:szCs w:val="24"/>
        </w:rPr>
        <w:t xml:space="preserve"> dental evaluation</w:t>
      </w:r>
      <w:r w:rsidR="00CD1B5D" w:rsidRPr="00907C84">
        <w:rPr>
          <w:rFonts w:ascii="Book Antiqua" w:hAnsi="Book Antiqua" w:cs="Times New Roman"/>
          <w:sz w:val="24"/>
          <w:szCs w:val="24"/>
        </w:rPr>
        <w:t xml:space="preserve"> performed</w:t>
      </w:r>
      <w:r w:rsidR="002E49CE" w:rsidRPr="00907C84">
        <w:rPr>
          <w:rFonts w:ascii="Book Antiqua" w:hAnsi="Book Antiqua" w:cs="Times New Roman"/>
          <w:sz w:val="24"/>
          <w:szCs w:val="24"/>
        </w:rPr>
        <w:t xml:space="preserve"> by</w:t>
      </w:r>
      <w:r w:rsidR="00CD1B5D" w:rsidRPr="00907C84">
        <w:rPr>
          <w:rFonts w:ascii="Book Antiqua" w:hAnsi="Book Antiqua" w:cs="Times New Roman"/>
          <w:sz w:val="24"/>
          <w:szCs w:val="24"/>
        </w:rPr>
        <w:t xml:space="preserve"> a</w:t>
      </w:r>
      <w:r w:rsidR="002E49CE" w:rsidRPr="00907C84">
        <w:rPr>
          <w:rFonts w:ascii="Book Antiqua" w:hAnsi="Book Antiqua" w:cs="Times New Roman"/>
          <w:sz w:val="24"/>
          <w:szCs w:val="24"/>
        </w:rPr>
        <w:t xml:space="preserve"> </w:t>
      </w:r>
      <w:r w:rsidR="00754D77" w:rsidRPr="00907C84">
        <w:rPr>
          <w:rFonts w:ascii="Book Antiqua" w:hAnsi="Book Antiqua" w:cs="Times New Roman"/>
          <w:sz w:val="24"/>
          <w:szCs w:val="24"/>
        </w:rPr>
        <w:t xml:space="preserve">dental </w:t>
      </w:r>
      <w:proofErr w:type="gramStart"/>
      <w:r w:rsidR="002E49CE" w:rsidRPr="00907C84">
        <w:rPr>
          <w:rFonts w:ascii="Book Antiqua" w:hAnsi="Book Antiqua" w:cs="Times New Roman"/>
          <w:sz w:val="24"/>
          <w:szCs w:val="24"/>
        </w:rPr>
        <w:t>professional</w:t>
      </w:r>
      <w:r w:rsidR="00C355C6" w:rsidRPr="00C355C6">
        <w:rPr>
          <w:rFonts w:ascii="Book Antiqua" w:hAnsi="Book Antiqua" w:cs="Times New Roman"/>
          <w:sz w:val="24"/>
          <w:szCs w:val="24"/>
          <w:vertAlign w:val="superscript"/>
        </w:rPr>
        <w:t>[</w:t>
      </w:r>
      <w:proofErr w:type="gramEnd"/>
      <w:r w:rsidR="0048467F" w:rsidRPr="00907C84">
        <w:rPr>
          <w:rFonts w:ascii="Book Antiqua" w:hAnsi="Book Antiqua" w:cs="Times New Roman"/>
          <w:sz w:val="24"/>
          <w:szCs w:val="24"/>
          <w:vertAlign w:val="superscript"/>
        </w:rPr>
        <w:t>12-14,16-1</w:t>
      </w:r>
      <w:r w:rsidR="00075210" w:rsidRPr="00907C84">
        <w:rPr>
          <w:rFonts w:ascii="Book Antiqua" w:hAnsi="Book Antiqua" w:cs="Times New Roman"/>
          <w:sz w:val="24"/>
          <w:szCs w:val="24"/>
          <w:vertAlign w:val="superscript"/>
        </w:rPr>
        <w:t>9</w:t>
      </w:r>
      <w:r w:rsidR="00C355C6">
        <w:rPr>
          <w:rFonts w:ascii="Book Antiqua" w:hAnsi="Book Antiqua" w:cs="Times New Roman"/>
          <w:sz w:val="24"/>
          <w:szCs w:val="24"/>
          <w:vertAlign w:val="superscript"/>
        </w:rPr>
        <w:t>]</w:t>
      </w:r>
      <w:r w:rsidR="002E49CE" w:rsidRPr="00907C84">
        <w:rPr>
          <w:rFonts w:ascii="Book Antiqua" w:hAnsi="Book Antiqua" w:cs="Times New Roman"/>
          <w:sz w:val="24"/>
          <w:szCs w:val="24"/>
        </w:rPr>
        <w:t xml:space="preserve"> and five utilized questionnaires or interviews (71%)</w:t>
      </w:r>
      <w:r w:rsidR="00C355C6" w:rsidRPr="00C355C6">
        <w:rPr>
          <w:rFonts w:ascii="Book Antiqua" w:hAnsi="Book Antiqua" w:cs="Times New Roman"/>
          <w:sz w:val="24"/>
          <w:szCs w:val="24"/>
          <w:vertAlign w:val="superscript"/>
        </w:rPr>
        <w:t>[</w:t>
      </w:r>
      <w:r w:rsidR="00C355C6" w:rsidRPr="00907C84">
        <w:rPr>
          <w:rFonts w:ascii="Book Antiqua" w:hAnsi="Book Antiqua" w:cs="Times New Roman"/>
          <w:sz w:val="24"/>
          <w:szCs w:val="24"/>
          <w:vertAlign w:val="superscript"/>
        </w:rPr>
        <w:t>13-17</w:t>
      </w:r>
      <w:r w:rsidR="00C355C6">
        <w:rPr>
          <w:rFonts w:ascii="Book Antiqua" w:hAnsi="Book Antiqua" w:cs="Times New Roman"/>
          <w:sz w:val="24"/>
          <w:szCs w:val="24"/>
          <w:vertAlign w:val="superscript"/>
        </w:rPr>
        <w:t>]</w:t>
      </w:r>
      <w:r w:rsidR="002E49CE" w:rsidRPr="00907C84">
        <w:rPr>
          <w:rFonts w:ascii="Book Antiqua" w:hAnsi="Book Antiqua" w:cs="Times New Roman"/>
          <w:sz w:val="24"/>
          <w:szCs w:val="24"/>
        </w:rPr>
        <w:t xml:space="preserve">. One paper used a questionnaire </w:t>
      </w:r>
      <w:proofErr w:type="gramStart"/>
      <w:r w:rsidR="002E49CE" w:rsidRPr="00907C84">
        <w:rPr>
          <w:rFonts w:ascii="Book Antiqua" w:hAnsi="Book Antiqua" w:cs="Times New Roman"/>
          <w:sz w:val="24"/>
          <w:szCs w:val="24"/>
        </w:rPr>
        <w:t>alone</w:t>
      </w:r>
      <w:r w:rsidR="00C355C6" w:rsidRPr="00C355C6">
        <w:rPr>
          <w:rFonts w:ascii="Book Antiqua" w:hAnsi="Book Antiqua" w:cs="Times New Roman"/>
          <w:sz w:val="24"/>
          <w:szCs w:val="24"/>
          <w:vertAlign w:val="superscript"/>
        </w:rPr>
        <w:t>[</w:t>
      </w:r>
      <w:proofErr w:type="gramEnd"/>
      <w:r w:rsidR="00C355C6" w:rsidRPr="00907C84">
        <w:rPr>
          <w:rFonts w:ascii="Book Antiqua" w:hAnsi="Book Antiqua" w:cs="Times New Roman"/>
          <w:sz w:val="24"/>
          <w:szCs w:val="24"/>
          <w:vertAlign w:val="superscript"/>
        </w:rPr>
        <w:t>15</w:t>
      </w:r>
      <w:r w:rsidR="00C355C6">
        <w:rPr>
          <w:rFonts w:ascii="Book Antiqua" w:hAnsi="Book Antiqua" w:cs="Times New Roman"/>
          <w:sz w:val="24"/>
          <w:szCs w:val="24"/>
          <w:vertAlign w:val="superscript"/>
        </w:rPr>
        <w:t>]</w:t>
      </w:r>
      <w:r w:rsidR="002E49CE" w:rsidRPr="00907C84">
        <w:rPr>
          <w:rFonts w:ascii="Book Antiqua" w:hAnsi="Book Antiqua" w:cs="Times New Roman"/>
          <w:sz w:val="24"/>
          <w:szCs w:val="24"/>
        </w:rPr>
        <w:t>.</w:t>
      </w:r>
      <w:r w:rsidR="0048467F" w:rsidRPr="00907C84">
        <w:rPr>
          <w:rFonts w:ascii="Book Antiqua" w:hAnsi="Book Antiqua" w:cs="Times New Roman"/>
          <w:sz w:val="24"/>
          <w:szCs w:val="24"/>
        </w:rPr>
        <w:t xml:space="preserve"> A</w:t>
      </w:r>
      <w:r w:rsidR="00B01E9E" w:rsidRPr="00907C84">
        <w:rPr>
          <w:rFonts w:ascii="Book Antiqua" w:hAnsi="Book Antiqua" w:cs="Times New Roman"/>
          <w:sz w:val="24"/>
          <w:szCs w:val="24"/>
        </w:rPr>
        <w:t xml:space="preserve">lthough papers were selected from peer reviewed publications, </w:t>
      </w:r>
      <w:r w:rsidR="00E8220F">
        <w:rPr>
          <w:rFonts w:ascii="Book Antiqua" w:hAnsi="Book Antiqua" w:cs="Times New Roman"/>
          <w:sz w:val="24"/>
          <w:szCs w:val="24"/>
        </w:rPr>
        <w:t>2</w:t>
      </w:r>
      <w:r w:rsidR="00B01E9E" w:rsidRPr="00907C84">
        <w:rPr>
          <w:rFonts w:ascii="Book Antiqua" w:hAnsi="Book Antiqua" w:cs="Times New Roman"/>
          <w:sz w:val="24"/>
          <w:szCs w:val="24"/>
        </w:rPr>
        <w:t xml:space="preserve"> w</w:t>
      </w:r>
      <w:r w:rsidR="00075210" w:rsidRPr="00907C84">
        <w:rPr>
          <w:rFonts w:ascii="Book Antiqua" w:hAnsi="Book Antiqua" w:cs="Times New Roman"/>
          <w:sz w:val="24"/>
          <w:szCs w:val="24"/>
        </w:rPr>
        <w:t>ere</w:t>
      </w:r>
      <w:r w:rsidR="00B01E9E" w:rsidRPr="00907C84">
        <w:rPr>
          <w:rFonts w:ascii="Book Antiqua" w:hAnsi="Book Antiqua" w:cs="Times New Roman"/>
          <w:sz w:val="24"/>
          <w:szCs w:val="24"/>
        </w:rPr>
        <w:t xml:space="preserve"> not </w:t>
      </w:r>
      <w:r w:rsidR="00075210" w:rsidRPr="00907C84">
        <w:rPr>
          <w:rFonts w:ascii="Book Antiqua" w:hAnsi="Book Antiqua" w:cs="Times New Roman"/>
          <w:sz w:val="24"/>
          <w:szCs w:val="24"/>
        </w:rPr>
        <w:t>listed</w:t>
      </w:r>
      <w:r w:rsidR="00B01E9E" w:rsidRPr="00907C84">
        <w:rPr>
          <w:rFonts w:ascii="Book Antiqua" w:hAnsi="Book Antiqua" w:cs="Times New Roman"/>
          <w:sz w:val="24"/>
          <w:szCs w:val="24"/>
        </w:rPr>
        <w:t xml:space="preserve"> on </w:t>
      </w:r>
      <w:proofErr w:type="gramStart"/>
      <w:r w:rsidR="00B01E9E" w:rsidRPr="00907C84">
        <w:rPr>
          <w:rFonts w:ascii="Book Antiqua" w:hAnsi="Book Antiqua" w:cs="Times New Roman"/>
          <w:sz w:val="24"/>
          <w:szCs w:val="24"/>
        </w:rPr>
        <w:t>PubMed</w:t>
      </w:r>
      <w:r w:rsidR="00C355C6" w:rsidRPr="00C355C6">
        <w:rPr>
          <w:rFonts w:ascii="Book Antiqua" w:hAnsi="Book Antiqua" w:cs="Times New Roman"/>
          <w:sz w:val="24"/>
          <w:szCs w:val="24"/>
          <w:vertAlign w:val="superscript"/>
        </w:rPr>
        <w:t>[</w:t>
      </w:r>
      <w:proofErr w:type="gramEnd"/>
      <w:r w:rsidR="00C355C6" w:rsidRPr="00907C84">
        <w:rPr>
          <w:rFonts w:ascii="Book Antiqua" w:hAnsi="Book Antiqua" w:cs="Times New Roman"/>
          <w:sz w:val="24"/>
          <w:szCs w:val="24"/>
          <w:vertAlign w:val="superscript"/>
        </w:rPr>
        <w:t>15,19</w:t>
      </w:r>
      <w:r w:rsidR="00C355C6">
        <w:rPr>
          <w:rFonts w:ascii="Book Antiqua" w:hAnsi="Book Antiqua" w:cs="Times New Roman"/>
          <w:sz w:val="24"/>
          <w:szCs w:val="24"/>
          <w:vertAlign w:val="superscript"/>
        </w:rPr>
        <w:t>]</w:t>
      </w:r>
      <w:r w:rsidR="00B01E9E" w:rsidRPr="00907C84">
        <w:rPr>
          <w:rFonts w:ascii="Book Antiqua" w:hAnsi="Book Antiqua" w:cs="Times New Roman"/>
          <w:sz w:val="24"/>
          <w:szCs w:val="24"/>
        </w:rPr>
        <w:t>.</w:t>
      </w:r>
      <w:r w:rsidR="00F83349" w:rsidRPr="00907C84">
        <w:rPr>
          <w:rFonts w:ascii="Book Antiqua" w:hAnsi="Book Antiqua" w:cs="Times New Roman"/>
          <w:sz w:val="24"/>
          <w:szCs w:val="24"/>
        </w:rPr>
        <w:t xml:space="preserve"> The article</w:t>
      </w:r>
      <w:r w:rsidR="00CD429F" w:rsidRPr="00907C84">
        <w:rPr>
          <w:rFonts w:ascii="Book Antiqua" w:hAnsi="Book Antiqua" w:cs="Times New Roman"/>
          <w:sz w:val="24"/>
          <w:szCs w:val="24"/>
        </w:rPr>
        <w:t>s scored between</w:t>
      </w:r>
      <w:r w:rsidR="003E6BA8" w:rsidRPr="00907C84">
        <w:rPr>
          <w:rFonts w:ascii="Book Antiqua" w:hAnsi="Book Antiqua" w:cs="Times New Roman"/>
          <w:sz w:val="24"/>
          <w:szCs w:val="24"/>
        </w:rPr>
        <w:t xml:space="preserve"> 15</w:t>
      </w:r>
      <w:r w:rsidR="00CD429F" w:rsidRPr="00907C84">
        <w:rPr>
          <w:rFonts w:ascii="Book Antiqua" w:hAnsi="Book Antiqua" w:cs="Times New Roman"/>
          <w:sz w:val="24"/>
          <w:szCs w:val="24"/>
        </w:rPr>
        <w:t xml:space="preserve"> and </w:t>
      </w:r>
      <w:r w:rsidR="003E6BA8" w:rsidRPr="00907C84">
        <w:rPr>
          <w:rFonts w:ascii="Book Antiqua" w:hAnsi="Book Antiqua" w:cs="Times New Roman"/>
          <w:sz w:val="24"/>
          <w:szCs w:val="24"/>
        </w:rPr>
        <w:t>23</w:t>
      </w:r>
      <w:r w:rsidR="00CD429F" w:rsidRPr="00907C84">
        <w:rPr>
          <w:rFonts w:ascii="Book Antiqua" w:hAnsi="Book Antiqua" w:cs="Times New Roman"/>
          <w:sz w:val="24"/>
          <w:szCs w:val="24"/>
        </w:rPr>
        <w:t xml:space="preserve"> using our modified </w:t>
      </w:r>
      <w:proofErr w:type="spellStart"/>
      <w:r w:rsidR="00CD429F" w:rsidRPr="00907C84">
        <w:rPr>
          <w:rFonts w:ascii="Book Antiqua" w:hAnsi="Book Antiqua" w:cs="Times New Roman"/>
          <w:sz w:val="24"/>
          <w:szCs w:val="24"/>
        </w:rPr>
        <w:t>D</w:t>
      </w:r>
      <w:r w:rsidR="006826F0">
        <w:rPr>
          <w:rFonts w:ascii="Book Antiqua" w:hAnsi="Book Antiqua" w:cs="Times New Roman"/>
          <w:sz w:val="24"/>
          <w:szCs w:val="24"/>
        </w:rPr>
        <w:t>and</w:t>
      </w:r>
      <w:r w:rsidR="00CD429F" w:rsidRPr="00907C84">
        <w:rPr>
          <w:rFonts w:ascii="Book Antiqua" w:hAnsi="Book Antiqua" w:cs="Times New Roman"/>
          <w:sz w:val="24"/>
          <w:szCs w:val="24"/>
        </w:rPr>
        <w:t>B</w:t>
      </w:r>
      <w:proofErr w:type="spellEnd"/>
      <w:r w:rsidR="00CD429F" w:rsidRPr="00907C84">
        <w:rPr>
          <w:rFonts w:ascii="Book Antiqua" w:hAnsi="Book Antiqua" w:cs="Times New Roman"/>
          <w:sz w:val="24"/>
          <w:szCs w:val="24"/>
        </w:rPr>
        <w:t xml:space="preserve"> checklist (Table 2)</w:t>
      </w:r>
      <w:r w:rsidR="003E6BA8" w:rsidRPr="00907C84">
        <w:rPr>
          <w:rFonts w:ascii="Book Antiqua" w:hAnsi="Book Antiqua" w:cs="Times New Roman"/>
          <w:sz w:val="24"/>
          <w:szCs w:val="24"/>
        </w:rPr>
        <w:t xml:space="preserve">. </w:t>
      </w:r>
      <w:r w:rsidR="007D4686" w:rsidRPr="00907C84">
        <w:rPr>
          <w:rFonts w:ascii="Book Antiqua" w:hAnsi="Book Antiqua" w:cs="Times New Roman"/>
          <w:sz w:val="24"/>
          <w:szCs w:val="24"/>
        </w:rPr>
        <w:t>The papers were limited by several factors. For instance, n</w:t>
      </w:r>
      <w:r w:rsidR="003E6BA8" w:rsidRPr="00907C84">
        <w:rPr>
          <w:rFonts w:ascii="Book Antiqua" w:hAnsi="Book Antiqua" w:cs="Times New Roman"/>
          <w:sz w:val="24"/>
          <w:szCs w:val="24"/>
        </w:rPr>
        <w:t xml:space="preserve">one </w:t>
      </w:r>
      <w:r w:rsidR="00CD429F" w:rsidRPr="00907C84">
        <w:rPr>
          <w:rFonts w:ascii="Book Antiqua" w:hAnsi="Book Antiqua" w:cs="Times New Roman"/>
          <w:sz w:val="24"/>
          <w:szCs w:val="24"/>
        </w:rPr>
        <w:t>of the</w:t>
      </w:r>
      <w:r w:rsidR="007D4686" w:rsidRPr="00907C84">
        <w:rPr>
          <w:rFonts w:ascii="Book Antiqua" w:hAnsi="Book Antiqua" w:cs="Times New Roman"/>
          <w:sz w:val="24"/>
          <w:szCs w:val="24"/>
        </w:rPr>
        <w:t xml:space="preserve"> selected manuscripts</w:t>
      </w:r>
      <w:r w:rsidR="00CD429F" w:rsidRPr="00907C84">
        <w:rPr>
          <w:rFonts w:ascii="Book Antiqua" w:hAnsi="Book Antiqua" w:cs="Times New Roman"/>
          <w:sz w:val="24"/>
          <w:szCs w:val="24"/>
        </w:rPr>
        <w:t xml:space="preserve"> </w:t>
      </w:r>
      <w:r w:rsidR="003E6BA8" w:rsidRPr="00907C84">
        <w:rPr>
          <w:rFonts w:ascii="Book Antiqua" w:hAnsi="Book Antiqua" w:cs="Times New Roman"/>
          <w:sz w:val="24"/>
          <w:szCs w:val="24"/>
        </w:rPr>
        <w:t>were randomized</w:t>
      </w:r>
      <w:r w:rsidR="007D4686" w:rsidRPr="00907C84">
        <w:rPr>
          <w:rFonts w:ascii="Book Antiqua" w:hAnsi="Book Antiqua" w:cs="Times New Roman"/>
          <w:sz w:val="24"/>
          <w:szCs w:val="24"/>
        </w:rPr>
        <w:t xml:space="preserve"> or</w:t>
      </w:r>
      <w:r w:rsidR="003E6BA8" w:rsidRPr="00907C84">
        <w:rPr>
          <w:rFonts w:ascii="Book Antiqua" w:hAnsi="Book Antiqua" w:cs="Times New Roman"/>
          <w:sz w:val="24"/>
          <w:szCs w:val="24"/>
        </w:rPr>
        <w:t xml:space="preserve"> blinded</w:t>
      </w:r>
      <w:r w:rsidR="007D4686" w:rsidRPr="00907C84">
        <w:rPr>
          <w:rFonts w:ascii="Book Antiqua" w:hAnsi="Book Antiqua" w:cs="Times New Roman"/>
          <w:sz w:val="24"/>
          <w:szCs w:val="24"/>
        </w:rPr>
        <w:t>, increasing risk of bias. Additionally, many of the papers had small sample sizes, and none</w:t>
      </w:r>
      <w:r w:rsidR="008D4D42" w:rsidRPr="00907C84">
        <w:rPr>
          <w:rFonts w:ascii="Book Antiqua" w:hAnsi="Book Antiqua" w:cs="Times New Roman"/>
          <w:sz w:val="24"/>
          <w:szCs w:val="24"/>
        </w:rPr>
        <w:t xml:space="preserve"> </w:t>
      </w:r>
      <w:r w:rsidR="003E6BA8" w:rsidRPr="00907C84">
        <w:rPr>
          <w:rFonts w:ascii="Book Antiqua" w:hAnsi="Book Antiqua" w:cs="Times New Roman"/>
          <w:sz w:val="24"/>
          <w:szCs w:val="24"/>
        </w:rPr>
        <w:t xml:space="preserve">demonstrated calculation of power. </w:t>
      </w:r>
      <w:r w:rsidR="008D4D42" w:rsidRPr="00907C84">
        <w:rPr>
          <w:rFonts w:ascii="Book Antiqua" w:hAnsi="Book Antiqua" w:cs="Times New Roman"/>
          <w:sz w:val="24"/>
          <w:szCs w:val="24"/>
        </w:rPr>
        <w:t>Lastly, it</w:t>
      </w:r>
      <w:r w:rsidR="003E6BA8" w:rsidRPr="00907C84">
        <w:rPr>
          <w:rFonts w:ascii="Book Antiqua" w:hAnsi="Book Antiqua" w:cs="Times New Roman"/>
          <w:sz w:val="24"/>
          <w:szCs w:val="24"/>
        </w:rPr>
        <w:t xml:space="preserve"> should be noted that the paper by</w:t>
      </w:r>
      <w:r w:rsidR="009C4C96" w:rsidRPr="00907C84">
        <w:rPr>
          <w:rFonts w:ascii="Book Antiqua" w:hAnsi="Book Antiqua" w:cs="Times New Roman"/>
          <w:sz w:val="24"/>
          <w:szCs w:val="24"/>
        </w:rPr>
        <w:t xml:space="preserve"> Barrington </w:t>
      </w:r>
      <w:r w:rsidR="006826F0">
        <w:rPr>
          <w:rFonts w:ascii="Book Antiqua" w:hAnsi="Book Antiqua" w:cs="Times New Roman"/>
          <w:sz w:val="24"/>
          <w:szCs w:val="24"/>
        </w:rPr>
        <w:t>and</w:t>
      </w:r>
      <w:r w:rsidR="009C4C96" w:rsidRPr="00907C84">
        <w:rPr>
          <w:rFonts w:ascii="Book Antiqua" w:hAnsi="Book Antiqua" w:cs="Times New Roman"/>
          <w:sz w:val="24"/>
          <w:szCs w:val="24"/>
        </w:rPr>
        <w:t xml:space="preserve"> Barrington was designed to capture the primary outcome of dental pathology incidence, not for</w:t>
      </w:r>
      <w:r w:rsidR="003E6BA8" w:rsidRPr="00907C84">
        <w:rPr>
          <w:rFonts w:ascii="Book Antiqua" w:hAnsi="Book Antiqua" w:cs="Times New Roman"/>
          <w:sz w:val="24"/>
          <w:szCs w:val="24"/>
        </w:rPr>
        <w:t xml:space="preserve"> detecting </w:t>
      </w:r>
      <w:proofErr w:type="gramStart"/>
      <w:r w:rsidR="008A0CD6">
        <w:rPr>
          <w:rFonts w:ascii="Book Antiqua" w:hAnsi="Book Antiqua" w:cs="Times New Roman"/>
          <w:sz w:val="24"/>
          <w:szCs w:val="24"/>
        </w:rPr>
        <w:t>PJI</w:t>
      </w:r>
      <w:r w:rsidR="00E8220F" w:rsidRPr="00E8220F">
        <w:rPr>
          <w:rFonts w:ascii="Book Antiqua" w:hAnsi="Book Antiqua" w:cs="Times New Roman"/>
          <w:sz w:val="24"/>
          <w:szCs w:val="24"/>
          <w:vertAlign w:val="superscript"/>
        </w:rPr>
        <w:t>[</w:t>
      </w:r>
      <w:proofErr w:type="gramEnd"/>
      <w:r w:rsidR="00E8220F" w:rsidRPr="00907C84">
        <w:rPr>
          <w:rFonts w:ascii="Book Antiqua" w:hAnsi="Book Antiqua" w:cs="Times New Roman"/>
          <w:sz w:val="24"/>
          <w:szCs w:val="24"/>
          <w:vertAlign w:val="superscript"/>
        </w:rPr>
        <w:t>16</w:t>
      </w:r>
      <w:r w:rsidR="00E8220F">
        <w:rPr>
          <w:rFonts w:ascii="Book Antiqua" w:hAnsi="Book Antiqua" w:cs="Times New Roman"/>
          <w:sz w:val="24"/>
          <w:szCs w:val="24"/>
          <w:vertAlign w:val="superscript"/>
        </w:rPr>
        <w:t>]</w:t>
      </w:r>
      <w:r w:rsidR="003E6BA8" w:rsidRPr="00907C84">
        <w:rPr>
          <w:rFonts w:ascii="Book Antiqua" w:hAnsi="Book Antiqua" w:cs="Times New Roman"/>
          <w:sz w:val="24"/>
          <w:szCs w:val="24"/>
        </w:rPr>
        <w:t>.</w:t>
      </w:r>
    </w:p>
    <w:p w14:paraId="1339073A" w14:textId="77777777" w:rsidR="00E8220F" w:rsidRPr="00907C84" w:rsidRDefault="00E8220F" w:rsidP="00907C84">
      <w:pPr>
        <w:adjustRightInd w:val="0"/>
        <w:snapToGrid w:val="0"/>
        <w:spacing w:after="0" w:line="360" w:lineRule="auto"/>
        <w:jc w:val="both"/>
        <w:rPr>
          <w:rFonts w:ascii="Book Antiqua" w:hAnsi="Book Antiqua" w:cs="Times New Roman"/>
          <w:sz w:val="24"/>
          <w:szCs w:val="24"/>
          <w:vertAlign w:val="superscript"/>
        </w:rPr>
      </w:pPr>
    </w:p>
    <w:p w14:paraId="75461795" w14:textId="790BF8E0" w:rsidR="00AF1C19" w:rsidRPr="00907C84" w:rsidRDefault="00AF1C19" w:rsidP="00907C84">
      <w:pPr>
        <w:adjustRightInd w:val="0"/>
        <w:snapToGrid w:val="0"/>
        <w:spacing w:after="0" w:line="360" w:lineRule="auto"/>
        <w:jc w:val="both"/>
        <w:rPr>
          <w:rFonts w:ascii="Book Antiqua" w:hAnsi="Book Antiqua" w:cs="Times New Roman"/>
          <w:b/>
          <w:i/>
          <w:iCs/>
          <w:sz w:val="24"/>
          <w:szCs w:val="24"/>
        </w:rPr>
      </w:pPr>
      <w:r w:rsidRPr="00907C84">
        <w:rPr>
          <w:rFonts w:ascii="Book Antiqua" w:hAnsi="Book Antiqua" w:cs="Times New Roman"/>
          <w:b/>
          <w:i/>
          <w:iCs/>
          <w:sz w:val="24"/>
          <w:szCs w:val="24"/>
        </w:rPr>
        <w:t xml:space="preserve">Prevalence of </w:t>
      </w:r>
      <w:r w:rsidR="00E8220F" w:rsidRPr="00907C84">
        <w:rPr>
          <w:rFonts w:ascii="Book Antiqua" w:hAnsi="Book Antiqua" w:cs="Times New Roman"/>
          <w:b/>
          <w:i/>
          <w:iCs/>
          <w:sz w:val="24"/>
          <w:szCs w:val="24"/>
        </w:rPr>
        <w:t>periodontal pathology</w:t>
      </w:r>
    </w:p>
    <w:p w14:paraId="66B959CC" w14:textId="195EA335" w:rsidR="00E5253D" w:rsidRPr="00907C84" w:rsidRDefault="00E5253D" w:rsidP="00907C84">
      <w:pPr>
        <w:adjustRightInd w:val="0"/>
        <w:snapToGrid w:val="0"/>
        <w:spacing w:after="0" w:line="360" w:lineRule="auto"/>
        <w:jc w:val="both"/>
        <w:rPr>
          <w:rFonts w:ascii="Book Antiqua" w:hAnsi="Book Antiqua" w:cs="Times New Roman"/>
          <w:sz w:val="24"/>
          <w:szCs w:val="24"/>
        </w:rPr>
      </w:pPr>
      <w:r w:rsidRPr="00907C84">
        <w:rPr>
          <w:rFonts w:ascii="Book Antiqua" w:hAnsi="Book Antiqua" w:cs="Times New Roman"/>
          <w:sz w:val="24"/>
          <w:szCs w:val="24"/>
        </w:rPr>
        <w:t xml:space="preserve">Four studies </w:t>
      </w:r>
      <w:r w:rsidR="00822517" w:rsidRPr="00907C84">
        <w:rPr>
          <w:rFonts w:ascii="Book Antiqua" w:hAnsi="Book Antiqua" w:cs="Times New Roman"/>
          <w:sz w:val="24"/>
          <w:szCs w:val="24"/>
        </w:rPr>
        <w:t>focused on</w:t>
      </w:r>
      <w:r w:rsidRPr="00907C84">
        <w:rPr>
          <w:rFonts w:ascii="Book Antiqua" w:hAnsi="Book Antiqua" w:cs="Times New Roman"/>
          <w:sz w:val="24"/>
          <w:szCs w:val="24"/>
        </w:rPr>
        <w:t xml:space="preserve"> the prevalence of dental pathology and/or dental hygiene practices in patients to undergo TJA</w:t>
      </w:r>
      <w:r w:rsidR="003D5DC6" w:rsidRPr="00907C84">
        <w:rPr>
          <w:rFonts w:ascii="Book Antiqua" w:hAnsi="Book Antiqua" w:cs="Times New Roman"/>
          <w:sz w:val="24"/>
          <w:szCs w:val="24"/>
        </w:rPr>
        <w:t xml:space="preserve"> (Table 3</w:t>
      </w:r>
      <w:proofErr w:type="gramStart"/>
      <w:r w:rsidR="003D5DC6" w:rsidRPr="00907C84">
        <w:rPr>
          <w:rFonts w:ascii="Book Antiqua" w:hAnsi="Book Antiqua" w:cs="Times New Roman"/>
          <w:sz w:val="24"/>
          <w:szCs w:val="24"/>
        </w:rPr>
        <w:t>)</w:t>
      </w:r>
      <w:r w:rsidR="00E8220F" w:rsidRPr="00E8220F">
        <w:rPr>
          <w:rFonts w:ascii="Book Antiqua" w:hAnsi="Book Antiqua" w:cs="Times New Roman"/>
          <w:sz w:val="24"/>
          <w:szCs w:val="24"/>
          <w:vertAlign w:val="superscript"/>
        </w:rPr>
        <w:t>[</w:t>
      </w:r>
      <w:proofErr w:type="gramEnd"/>
      <w:r w:rsidR="00E8220F" w:rsidRPr="00907C84">
        <w:rPr>
          <w:rFonts w:ascii="Book Antiqua" w:hAnsi="Book Antiqua" w:cs="Times New Roman"/>
          <w:sz w:val="24"/>
          <w:szCs w:val="24"/>
          <w:vertAlign w:val="superscript"/>
        </w:rPr>
        <w:t>12-15</w:t>
      </w:r>
      <w:r w:rsidR="00E8220F">
        <w:rPr>
          <w:rFonts w:ascii="Book Antiqua" w:hAnsi="Book Antiqua" w:cs="Times New Roman"/>
          <w:sz w:val="24"/>
          <w:szCs w:val="24"/>
          <w:vertAlign w:val="superscript"/>
        </w:rPr>
        <w:t>]</w:t>
      </w:r>
      <w:r w:rsidRPr="00907C84">
        <w:rPr>
          <w:rFonts w:ascii="Book Antiqua" w:hAnsi="Book Antiqua" w:cs="Times New Roman"/>
          <w:sz w:val="24"/>
          <w:szCs w:val="24"/>
        </w:rPr>
        <w:t xml:space="preserve">. </w:t>
      </w:r>
      <w:proofErr w:type="spellStart"/>
      <w:r w:rsidRPr="00907C84">
        <w:rPr>
          <w:rFonts w:ascii="Book Antiqua" w:hAnsi="Book Antiqua" w:cs="Times New Roman"/>
          <w:sz w:val="24"/>
          <w:szCs w:val="24"/>
        </w:rPr>
        <w:t>Adamkiewicz</w:t>
      </w:r>
      <w:proofErr w:type="spellEnd"/>
      <w:r w:rsidRPr="00907C84">
        <w:rPr>
          <w:rFonts w:ascii="Book Antiqua" w:hAnsi="Book Antiqua" w:cs="Times New Roman"/>
          <w:sz w:val="24"/>
          <w:szCs w:val="24"/>
        </w:rPr>
        <w:t xml:space="preserve"> </w:t>
      </w:r>
      <w:r w:rsidR="00E8220F" w:rsidRPr="00E8220F">
        <w:rPr>
          <w:rFonts w:ascii="Book Antiqua" w:hAnsi="Book Antiqua" w:cs="Times New Roman"/>
          <w:i/>
          <w:sz w:val="24"/>
          <w:szCs w:val="24"/>
        </w:rPr>
        <w:t xml:space="preserve">et </w:t>
      </w:r>
      <w:proofErr w:type="gramStart"/>
      <w:r w:rsidR="00E8220F" w:rsidRPr="00E8220F">
        <w:rPr>
          <w:rFonts w:ascii="Book Antiqua" w:hAnsi="Book Antiqua" w:cs="Times New Roman"/>
          <w:i/>
          <w:sz w:val="24"/>
          <w:szCs w:val="24"/>
        </w:rPr>
        <w:t>al</w:t>
      </w:r>
      <w:r w:rsidR="00E8220F" w:rsidRPr="00E8220F">
        <w:rPr>
          <w:rFonts w:ascii="Book Antiqua" w:hAnsi="Book Antiqua" w:cs="Times New Roman"/>
          <w:sz w:val="24"/>
          <w:szCs w:val="24"/>
          <w:vertAlign w:val="superscript"/>
        </w:rPr>
        <w:t>[</w:t>
      </w:r>
      <w:proofErr w:type="gramEnd"/>
      <w:r w:rsidR="00E8220F" w:rsidRPr="00907C84">
        <w:rPr>
          <w:rFonts w:ascii="Book Antiqua" w:hAnsi="Book Antiqua" w:cs="Times New Roman"/>
          <w:sz w:val="24"/>
          <w:szCs w:val="24"/>
          <w:vertAlign w:val="superscript"/>
        </w:rPr>
        <w:t>12</w:t>
      </w:r>
      <w:r w:rsidR="00E8220F">
        <w:rPr>
          <w:rFonts w:ascii="Book Antiqua" w:hAnsi="Book Antiqua" w:cs="Times New Roman"/>
          <w:sz w:val="24"/>
          <w:szCs w:val="24"/>
          <w:vertAlign w:val="superscript"/>
        </w:rPr>
        <w:t>]</w:t>
      </w:r>
      <w:r w:rsidR="00E8220F" w:rsidRPr="00907C84">
        <w:rPr>
          <w:rFonts w:ascii="Book Antiqua" w:hAnsi="Book Antiqua" w:cs="Times New Roman"/>
          <w:sz w:val="24"/>
          <w:szCs w:val="24"/>
        </w:rPr>
        <w:t xml:space="preserve"> </w:t>
      </w:r>
      <w:r w:rsidR="003057B0" w:rsidRPr="00907C84">
        <w:rPr>
          <w:rFonts w:ascii="Book Antiqua" w:hAnsi="Book Antiqua" w:cs="Times New Roman"/>
          <w:sz w:val="24"/>
          <w:szCs w:val="24"/>
        </w:rPr>
        <w:t>had dental evaluations performed on patients admitted for TJA preoperative workup</w:t>
      </w:r>
      <w:r w:rsidR="00BB49D8" w:rsidRPr="00907C84">
        <w:rPr>
          <w:rFonts w:ascii="Book Antiqua" w:hAnsi="Book Antiqua" w:cs="Times New Roman"/>
          <w:sz w:val="24"/>
          <w:szCs w:val="24"/>
        </w:rPr>
        <w:t xml:space="preserve"> in Poland</w:t>
      </w:r>
      <w:r w:rsidR="003057B0" w:rsidRPr="00907C84">
        <w:rPr>
          <w:rFonts w:ascii="Book Antiqua" w:hAnsi="Book Antiqua" w:cs="Times New Roman"/>
          <w:sz w:val="24"/>
          <w:szCs w:val="24"/>
        </w:rPr>
        <w:t xml:space="preserve">. They found that 28.5% had clinically significant periodontal disease. </w:t>
      </w:r>
      <w:r w:rsidR="00BB49D8" w:rsidRPr="00907C84">
        <w:rPr>
          <w:rFonts w:ascii="Book Antiqua" w:hAnsi="Book Antiqua" w:cs="Times New Roman"/>
          <w:sz w:val="24"/>
          <w:szCs w:val="24"/>
        </w:rPr>
        <w:t xml:space="preserve">This compares with 23% in previously published national </w:t>
      </w:r>
      <w:proofErr w:type="gramStart"/>
      <w:r w:rsidR="00BB49D8" w:rsidRPr="00907C84">
        <w:rPr>
          <w:rFonts w:ascii="Book Antiqua" w:hAnsi="Book Antiqua" w:cs="Times New Roman"/>
          <w:sz w:val="24"/>
          <w:szCs w:val="24"/>
        </w:rPr>
        <w:t>data</w:t>
      </w:r>
      <w:r w:rsidR="00E8220F" w:rsidRPr="00E8220F">
        <w:rPr>
          <w:rFonts w:ascii="Book Antiqua" w:hAnsi="Book Antiqua" w:cs="Times New Roman"/>
          <w:sz w:val="24"/>
          <w:szCs w:val="24"/>
          <w:vertAlign w:val="superscript"/>
        </w:rPr>
        <w:t>[</w:t>
      </w:r>
      <w:proofErr w:type="gramEnd"/>
      <w:r w:rsidR="00E8220F" w:rsidRPr="00907C84">
        <w:rPr>
          <w:rFonts w:ascii="Book Antiqua" w:hAnsi="Book Antiqua" w:cs="Times New Roman"/>
          <w:sz w:val="24"/>
          <w:szCs w:val="24"/>
          <w:vertAlign w:val="superscript"/>
        </w:rPr>
        <w:t>20</w:t>
      </w:r>
      <w:r w:rsidR="00E8220F">
        <w:rPr>
          <w:rFonts w:ascii="Book Antiqua" w:hAnsi="Book Antiqua" w:cs="Times New Roman"/>
          <w:sz w:val="24"/>
          <w:szCs w:val="24"/>
          <w:vertAlign w:val="superscript"/>
        </w:rPr>
        <w:t>]</w:t>
      </w:r>
      <w:r w:rsidR="00BB49D8" w:rsidRPr="00907C84">
        <w:rPr>
          <w:rFonts w:ascii="Book Antiqua" w:hAnsi="Book Antiqua" w:cs="Times New Roman"/>
          <w:sz w:val="24"/>
          <w:szCs w:val="24"/>
        </w:rPr>
        <w:t>.</w:t>
      </w:r>
      <w:r w:rsidR="001D0FBC" w:rsidRPr="00907C84">
        <w:rPr>
          <w:rFonts w:ascii="Book Antiqua" w:hAnsi="Book Antiqua" w:cs="Times New Roman"/>
          <w:sz w:val="24"/>
          <w:szCs w:val="24"/>
        </w:rPr>
        <w:t xml:space="preserve"> </w:t>
      </w:r>
      <w:r w:rsidR="00BB49D8" w:rsidRPr="00907C84">
        <w:rPr>
          <w:rFonts w:ascii="Book Antiqua" w:hAnsi="Book Antiqua" w:cs="Times New Roman"/>
          <w:sz w:val="24"/>
          <w:szCs w:val="24"/>
        </w:rPr>
        <w:t xml:space="preserve">There were no significant differences in inflammatory markers or cell counts between the periodontal disease and healthy groups. </w:t>
      </w:r>
    </w:p>
    <w:p w14:paraId="14BCD53C" w14:textId="78A6D92D" w:rsidR="00B26BF4" w:rsidRPr="00907C84" w:rsidRDefault="00B26BF4" w:rsidP="00907C84">
      <w:pPr>
        <w:adjustRightInd w:val="0"/>
        <w:snapToGrid w:val="0"/>
        <w:spacing w:after="0" w:line="360" w:lineRule="auto"/>
        <w:jc w:val="both"/>
        <w:rPr>
          <w:rFonts w:ascii="Book Antiqua" w:hAnsi="Book Antiqua" w:cs="Times New Roman"/>
          <w:sz w:val="24"/>
          <w:szCs w:val="24"/>
        </w:rPr>
      </w:pPr>
      <w:proofErr w:type="spellStart"/>
      <w:r w:rsidRPr="00907C84">
        <w:rPr>
          <w:rFonts w:ascii="Book Antiqua" w:hAnsi="Book Antiqua" w:cs="Times New Roman"/>
          <w:sz w:val="24"/>
          <w:szCs w:val="24"/>
        </w:rPr>
        <w:t>Tokarski</w:t>
      </w:r>
      <w:proofErr w:type="spellEnd"/>
      <w:r w:rsidRPr="00907C84">
        <w:rPr>
          <w:rFonts w:ascii="Book Antiqua" w:hAnsi="Book Antiqua" w:cs="Times New Roman"/>
          <w:sz w:val="24"/>
          <w:szCs w:val="24"/>
        </w:rPr>
        <w:t xml:space="preserve"> </w:t>
      </w:r>
      <w:r w:rsidR="00E8220F" w:rsidRPr="00E8220F">
        <w:rPr>
          <w:rFonts w:ascii="Book Antiqua" w:hAnsi="Book Antiqua" w:cs="Times New Roman"/>
          <w:i/>
          <w:iCs/>
          <w:sz w:val="24"/>
          <w:szCs w:val="24"/>
        </w:rPr>
        <w:t xml:space="preserve">et </w:t>
      </w:r>
      <w:proofErr w:type="gramStart"/>
      <w:r w:rsidR="00E8220F" w:rsidRPr="00E8220F">
        <w:rPr>
          <w:rFonts w:ascii="Book Antiqua" w:hAnsi="Book Antiqua" w:cs="Times New Roman"/>
          <w:i/>
          <w:iCs/>
          <w:sz w:val="24"/>
          <w:szCs w:val="24"/>
        </w:rPr>
        <w:t>al</w:t>
      </w:r>
      <w:r w:rsidR="00E8220F" w:rsidRPr="00E8220F">
        <w:rPr>
          <w:rFonts w:ascii="Book Antiqua" w:hAnsi="Book Antiqua" w:cs="Times New Roman"/>
          <w:sz w:val="24"/>
          <w:szCs w:val="24"/>
          <w:vertAlign w:val="superscript"/>
        </w:rPr>
        <w:t>[</w:t>
      </w:r>
      <w:proofErr w:type="gramEnd"/>
      <w:r w:rsidR="00E8220F" w:rsidRPr="00907C84">
        <w:rPr>
          <w:rFonts w:ascii="Book Antiqua" w:hAnsi="Book Antiqua" w:cs="Times New Roman"/>
          <w:sz w:val="24"/>
          <w:szCs w:val="24"/>
          <w:vertAlign w:val="superscript"/>
        </w:rPr>
        <w:t>13</w:t>
      </w:r>
      <w:r w:rsidR="00E8220F">
        <w:rPr>
          <w:rFonts w:ascii="Book Antiqua" w:hAnsi="Book Antiqua" w:cs="Times New Roman"/>
          <w:sz w:val="24"/>
          <w:szCs w:val="24"/>
          <w:vertAlign w:val="superscript"/>
        </w:rPr>
        <w:t>]</w:t>
      </w:r>
      <w:r w:rsidR="00E8220F">
        <w:rPr>
          <w:rFonts w:ascii="Book Antiqua" w:hAnsi="Book Antiqua" w:cs="Times New Roman"/>
          <w:sz w:val="24"/>
          <w:szCs w:val="24"/>
        </w:rPr>
        <w:t xml:space="preserve"> </w:t>
      </w:r>
      <w:r w:rsidR="00935313" w:rsidRPr="00907C84">
        <w:rPr>
          <w:rFonts w:ascii="Book Antiqua" w:hAnsi="Book Antiqua" w:cs="Times New Roman"/>
          <w:sz w:val="24"/>
          <w:szCs w:val="24"/>
        </w:rPr>
        <w:t>employed</w:t>
      </w:r>
      <w:r w:rsidR="00502B1D" w:rsidRPr="00907C84">
        <w:rPr>
          <w:rFonts w:ascii="Book Antiqua" w:hAnsi="Book Antiqua" w:cs="Times New Roman"/>
          <w:sz w:val="24"/>
          <w:szCs w:val="24"/>
        </w:rPr>
        <w:t xml:space="preserve"> a dental hygiene questionnaire along with a dental evaluation. They found that 12% failed dental clearance</w:t>
      </w:r>
      <w:r w:rsidR="00617A18" w:rsidRPr="00907C84">
        <w:rPr>
          <w:rFonts w:ascii="Book Antiqua" w:hAnsi="Book Antiqua" w:cs="Times New Roman"/>
          <w:sz w:val="24"/>
          <w:szCs w:val="24"/>
        </w:rPr>
        <w:t xml:space="preserve">, which, in this case, was defined as requiring a </w:t>
      </w:r>
      <w:r w:rsidR="00B7080C" w:rsidRPr="00907C84">
        <w:rPr>
          <w:rFonts w:ascii="Book Antiqua" w:hAnsi="Book Antiqua" w:cs="Times New Roman"/>
          <w:sz w:val="24"/>
          <w:szCs w:val="24"/>
        </w:rPr>
        <w:t>tooth extraction or root canal</w:t>
      </w:r>
      <w:r w:rsidR="00502B1D" w:rsidRPr="00907C84">
        <w:rPr>
          <w:rFonts w:ascii="Book Antiqua" w:hAnsi="Book Antiqua" w:cs="Times New Roman"/>
          <w:sz w:val="24"/>
          <w:szCs w:val="24"/>
        </w:rPr>
        <w:t>.</w:t>
      </w:r>
      <w:r w:rsidR="00B7080C" w:rsidRPr="00907C84">
        <w:rPr>
          <w:rFonts w:ascii="Book Antiqua" w:hAnsi="Book Antiqua" w:cs="Times New Roman"/>
          <w:sz w:val="24"/>
          <w:szCs w:val="24"/>
        </w:rPr>
        <w:t xml:space="preserve"> The number increases to 19% when patients requiring fillings are included.</w:t>
      </w:r>
      <w:r w:rsidR="00502B1D" w:rsidRPr="00907C84">
        <w:rPr>
          <w:rFonts w:ascii="Book Antiqua" w:hAnsi="Book Antiqua" w:cs="Times New Roman"/>
          <w:sz w:val="24"/>
          <w:szCs w:val="24"/>
        </w:rPr>
        <w:t xml:space="preserve"> Additionally, they identified that patients with one of three key risk factors (narcotic use, tobacco use, and last dentist visit over one year ago) had a 22% chance of failing the dental evaluation, compared with 6% if they did not have any.</w:t>
      </w:r>
    </w:p>
    <w:p w14:paraId="11A055F4" w14:textId="697EC00B" w:rsidR="00B26BF4" w:rsidRPr="00907C84" w:rsidRDefault="0073360B" w:rsidP="00E8220F">
      <w:pPr>
        <w:adjustRightInd w:val="0"/>
        <w:snapToGrid w:val="0"/>
        <w:spacing w:after="0" w:line="360" w:lineRule="auto"/>
        <w:ind w:firstLineChars="100" w:firstLine="240"/>
        <w:jc w:val="both"/>
        <w:rPr>
          <w:rFonts w:ascii="Book Antiqua" w:hAnsi="Book Antiqua" w:cs="Times New Roman"/>
          <w:sz w:val="24"/>
          <w:szCs w:val="24"/>
        </w:rPr>
      </w:pPr>
      <w:proofErr w:type="spellStart"/>
      <w:r w:rsidRPr="00907C84">
        <w:rPr>
          <w:rFonts w:ascii="Book Antiqua" w:hAnsi="Book Antiqua" w:cs="Times New Roman"/>
          <w:sz w:val="24"/>
          <w:szCs w:val="24"/>
        </w:rPr>
        <w:t>Vuorinen</w:t>
      </w:r>
      <w:proofErr w:type="spellEnd"/>
      <w:r w:rsidRPr="00907C84">
        <w:rPr>
          <w:rFonts w:ascii="Book Antiqua" w:hAnsi="Book Antiqua" w:cs="Times New Roman"/>
          <w:sz w:val="24"/>
          <w:szCs w:val="24"/>
        </w:rPr>
        <w:t xml:space="preserve"> </w:t>
      </w:r>
      <w:r w:rsidR="00E8220F" w:rsidRPr="00E8220F">
        <w:rPr>
          <w:rFonts w:ascii="Book Antiqua" w:hAnsi="Book Antiqua" w:cs="Times New Roman"/>
          <w:i/>
          <w:sz w:val="24"/>
          <w:szCs w:val="24"/>
        </w:rPr>
        <w:t xml:space="preserve">et </w:t>
      </w:r>
      <w:proofErr w:type="gramStart"/>
      <w:r w:rsidR="00E8220F" w:rsidRPr="00E8220F">
        <w:rPr>
          <w:rFonts w:ascii="Book Antiqua" w:hAnsi="Book Antiqua" w:cs="Times New Roman"/>
          <w:i/>
          <w:sz w:val="24"/>
          <w:szCs w:val="24"/>
        </w:rPr>
        <w:t>al</w:t>
      </w:r>
      <w:r w:rsidR="00E8220F" w:rsidRPr="00E8220F">
        <w:rPr>
          <w:rFonts w:ascii="Book Antiqua" w:hAnsi="Book Antiqua" w:cs="Times New Roman"/>
          <w:sz w:val="24"/>
          <w:szCs w:val="24"/>
          <w:vertAlign w:val="superscript"/>
        </w:rPr>
        <w:t>[</w:t>
      </w:r>
      <w:proofErr w:type="gramEnd"/>
      <w:r w:rsidR="00E8220F" w:rsidRPr="00907C84">
        <w:rPr>
          <w:rFonts w:ascii="Book Antiqua" w:hAnsi="Book Antiqua" w:cs="Times New Roman"/>
          <w:sz w:val="24"/>
          <w:szCs w:val="24"/>
          <w:vertAlign w:val="superscript"/>
        </w:rPr>
        <w:t>14</w:t>
      </w:r>
      <w:r w:rsidR="00E8220F">
        <w:rPr>
          <w:rFonts w:ascii="Book Antiqua" w:hAnsi="Book Antiqua" w:cs="Times New Roman"/>
          <w:sz w:val="24"/>
          <w:szCs w:val="24"/>
          <w:vertAlign w:val="superscript"/>
        </w:rPr>
        <w:t>]</w:t>
      </w:r>
      <w:r w:rsidRPr="00907C84">
        <w:rPr>
          <w:rFonts w:ascii="Book Antiqua" w:hAnsi="Book Antiqua" w:cs="Times New Roman"/>
          <w:sz w:val="24"/>
          <w:szCs w:val="24"/>
        </w:rPr>
        <w:t xml:space="preserve"> also used </w:t>
      </w:r>
      <w:r w:rsidR="00533803" w:rsidRPr="00907C84">
        <w:rPr>
          <w:rFonts w:ascii="Book Antiqua" w:hAnsi="Book Antiqua" w:cs="Times New Roman"/>
          <w:sz w:val="24"/>
          <w:szCs w:val="24"/>
        </w:rPr>
        <w:t xml:space="preserve">both questionnaires and dental evaluation in an attempt to determine which patients ought to receive dental clearance based on risk factors. </w:t>
      </w:r>
      <w:r w:rsidR="00E8220F">
        <w:rPr>
          <w:rFonts w:ascii="Book Antiqua" w:hAnsi="Book Antiqua" w:cs="Times New Roman"/>
          <w:sz w:val="24"/>
          <w:szCs w:val="24"/>
        </w:rPr>
        <w:t>Twenty-nine point four percent</w:t>
      </w:r>
      <w:r w:rsidR="00287BAB" w:rsidRPr="00907C84">
        <w:rPr>
          <w:rFonts w:ascii="Book Antiqua" w:hAnsi="Book Antiqua" w:cs="Times New Roman"/>
          <w:sz w:val="24"/>
          <w:szCs w:val="24"/>
        </w:rPr>
        <w:t xml:space="preserve"> of patients failed clearance, 34% were found to have m</w:t>
      </w:r>
      <w:r w:rsidR="00B774E9" w:rsidRPr="00907C84">
        <w:rPr>
          <w:rFonts w:ascii="Book Antiqua" w:hAnsi="Book Antiqua" w:cs="Times New Roman"/>
          <w:sz w:val="24"/>
          <w:szCs w:val="24"/>
        </w:rPr>
        <w:t>oderate gingivitis</w:t>
      </w:r>
      <w:r w:rsidR="00287BAB" w:rsidRPr="00907C84">
        <w:rPr>
          <w:rFonts w:ascii="Book Antiqua" w:hAnsi="Book Antiqua" w:cs="Times New Roman"/>
          <w:sz w:val="24"/>
          <w:szCs w:val="24"/>
        </w:rPr>
        <w:t>, and 5.1% o</w:t>
      </w:r>
      <w:r w:rsidR="00B774E9" w:rsidRPr="00907C84">
        <w:rPr>
          <w:rFonts w:ascii="Book Antiqua" w:hAnsi="Book Antiqua" w:cs="Times New Roman"/>
          <w:sz w:val="24"/>
          <w:szCs w:val="24"/>
        </w:rPr>
        <w:t xml:space="preserve">f patients </w:t>
      </w:r>
      <w:r w:rsidR="00287BAB" w:rsidRPr="00907C84">
        <w:rPr>
          <w:rFonts w:ascii="Book Antiqua" w:hAnsi="Book Antiqua" w:cs="Times New Roman"/>
          <w:sz w:val="24"/>
          <w:szCs w:val="24"/>
        </w:rPr>
        <w:t>had</w:t>
      </w:r>
      <w:r w:rsidR="00B774E9" w:rsidRPr="00907C84">
        <w:rPr>
          <w:rFonts w:ascii="Book Antiqua" w:hAnsi="Book Antiqua" w:cs="Times New Roman"/>
          <w:sz w:val="24"/>
          <w:szCs w:val="24"/>
        </w:rPr>
        <w:t xml:space="preserve"> severe periodontitis</w:t>
      </w:r>
      <w:r w:rsidR="00287BAB" w:rsidRPr="00907C84">
        <w:rPr>
          <w:rFonts w:ascii="Book Antiqua" w:hAnsi="Book Antiqua" w:cs="Times New Roman"/>
          <w:sz w:val="24"/>
          <w:szCs w:val="24"/>
        </w:rPr>
        <w:t>.</w:t>
      </w:r>
      <w:r w:rsidR="00B774E9" w:rsidRPr="00907C84">
        <w:rPr>
          <w:rFonts w:ascii="Book Antiqua" w:hAnsi="Book Antiqua" w:cs="Times New Roman"/>
          <w:sz w:val="24"/>
          <w:szCs w:val="24"/>
        </w:rPr>
        <w:t xml:space="preserve"> </w:t>
      </w:r>
      <w:r w:rsidR="00533803" w:rsidRPr="00907C84">
        <w:rPr>
          <w:rFonts w:ascii="Book Antiqua" w:hAnsi="Book Antiqua" w:cs="Times New Roman"/>
          <w:sz w:val="24"/>
          <w:szCs w:val="24"/>
        </w:rPr>
        <w:t>Thi</w:t>
      </w:r>
      <w:r w:rsidR="00DE1BAE" w:rsidRPr="00907C84">
        <w:rPr>
          <w:rFonts w:ascii="Book Antiqua" w:hAnsi="Book Antiqua" w:cs="Times New Roman"/>
          <w:sz w:val="24"/>
          <w:szCs w:val="24"/>
        </w:rPr>
        <w:t xml:space="preserve">s compares with national reports that 27% of Finnish patients had periodontal </w:t>
      </w:r>
      <w:proofErr w:type="gramStart"/>
      <w:r w:rsidR="00DE1BAE" w:rsidRPr="00907C84">
        <w:rPr>
          <w:rFonts w:ascii="Book Antiqua" w:hAnsi="Book Antiqua" w:cs="Times New Roman"/>
          <w:sz w:val="24"/>
          <w:szCs w:val="24"/>
        </w:rPr>
        <w:t>disease</w:t>
      </w:r>
      <w:r w:rsidR="00E8220F" w:rsidRPr="00E8220F">
        <w:rPr>
          <w:rFonts w:ascii="Book Antiqua" w:hAnsi="Book Antiqua" w:cs="Times New Roman"/>
          <w:sz w:val="24"/>
          <w:szCs w:val="24"/>
          <w:vertAlign w:val="superscript"/>
        </w:rPr>
        <w:t>[</w:t>
      </w:r>
      <w:proofErr w:type="gramEnd"/>
      <w:r w:rsidR="00E8220F" w:rsidRPr="00907C84">
        <w:rPr>
          <w:rFonts w:ascii="Book Antiqua" w:hAnsi="Book Antiqua" w:cs="Times New Roman"/>
          <w:sz w:val="24"/>
          <w:szCs w:val="24"/>
          <w:vertAlign w:val="superscript"/>
        </w:rPr>
        <w:t>21</w:t>
      </w:r>
      <w:r w:rsidR="00E8220F">
        <w:rPr>
          <w:rFonts w:ascii="Book Antiqua" w:hAnsi="Book Antiqua" w:cs="Times New Roman"/>
          <w:sz w:val="24"/>
          <w:szCs w:val="24"/>
          <w:vertAlign w:val="superscript"/>
        </w:rPr>
        <w:t>]</w:t>
      </w:r>
      <w:r w:rsidR="00DE1BAE" w:rsidRPr="00907C84">
        <w:rPr>
          <w:rFonts w:ascii="Book Antiqua" w:hAnsi="Book Antiqua" w:cs="Times New Roman"/>
          <w:sz w:val="24"/>
          <w:szCs w:val="24"/>
        </w:rPr>
        <w:t xml:space="preserve">. </w:t>
      </w:r>
      <w:r w:rsidR="00361EC6" w:rsidRPr="00907C84">
        <w:rPr>
          <w:rFonts w:ascii="Book Antiqua" w:hAnsi="Book Antiqua" w:cs="Times New Roman"/>
          <w:sz w:val="24"/>
          <w:szCs w:val="24"/>
        </w:rPr>
        <w:t>I</w:t>
      </w:r>
      <w:r w:rsidR="00B774E9" w:rsidRPr="00907C84">
        <w:rPr>
          <w:rFonts w:ascii="Book Antiqua" w:hAnsi="Book Antiqua" w:cs="Times New Roman"/>
          <w:sz w:val="24"/>
          <w:szCs w:val="24"/>
        </w:rPr>
        <w:t>t was found that the only significant risk factor</w:t>
      </w:r>
      <w:r w:rsidR="00361EC6" w:rsidRPr="00907C84">
        <w:rPr>
          <w:rFonts w:ascii="Book Antiqua" w:hAnsi="Book Antiqua" w:cs="Times New Roman"/>
          <w:sz w:val="24"/>
          <w:szCs w:val="24"/>
        </w:rPr>
        <w:t>s</w:t>
      </w:r>
      <w:r w:rsidR="00B774E9" w:rsidRPr="00907C84">
        <w:rPr>
          <w:rFonts w:ascii="Book Antiqua" w:hAnsi="Book Antiqua" w:cs="Times New Roman"/>
          <w:sz w:val="24"/>
          <w:szCs w:val="24"/>
        </w:rPr>
        <w:t xml:space="preserve"> for failing dental clearance </w:t>
      </w:r>
      <w:r w:rsidR="00361EC6" w:rsidRPr="00907C84">
        <w:rPr>
          <w:rFonts w:ascii="Book Antiqua" w:hAnsi="Book Antiqua" w:cs="Times New Roman"/>
          <w:sz w:val="24"/>
          <w:szCs w:val="24"/>
        </w:rPr>
        <w:t>were history of root canal</w:t>
      </w:r>
      <w:r w:rsidR="00616A48" w:rsidRPr="00907C84">
        <w:rPr>
          <w:rFonts w:ascii="Book Antiqua" w:hAnsi="Book Antiqua" w:cs="Times New Roman"/>
          <w:sz w:val="24"/>
          <w:szCs w:val="24"/>
        </w:rPr>
        <w:t xml:space="preserve">, dental visit for symptoms within the last 3 </w:t>
      </w:r>
      <w:proofErr w:type="spellStart"/>
      <w:r w:rsidR="00E8220F">
        <w:rPr>
          <w:rFonts w:ascii="Book Antiqua" w:hAnsi="Book Antiqua" w:cs="Times New Roman"/>
          <w:sz w:val="24"/>
          <w:szCs w:val="24"/>
        </w:rPr>
        <w:t>mo</w:t>
      </w:r>
      <w:proofErr w:type="spellEnd"/>
      <w:r w:rsidR="00616A48" w:rsidRPr="00907C84">
        <w:rPr>
          <w:rFonts w:ascii="Book Antiqua" w:hAnsi="Book Antiqua" w:cs="Times New Roman"/>
          <w:sz w:val="24"/>
          <w:szCs w:val="24"/>
        </w:rPr>
        <w:t>, infrequent dental checkups, and</w:t>
      </w:r>
      <w:r w:rsidR="00B774E9" w:rsidRPr="00907C84">
        <w:rPr>
          <w:rFonts w:ascii="Book Antiqua" w:hAnsi="Book Antiqua" w:cs="Times New Roman"/>
          <w:sz w:val="24"/>
          <w:szCs w:val="24"/>
        </w:rPr>
        <w:t xml:space="preserve"> tobacco use.</w:t>
      </w:r>
      <w:r w:rsidR="00616A48" w:rsidRPr="00907C84">
        <w:rPr>
          <w:rFonts w:ascii="Book Antiqua" w:hAnsi="Book Antiqua" w:cs="Times New Roman"/>
          <w:sz w:val="24"/>
          <w:szCs w:val="24"/>
        </w:rPr>
        <w:t xml:space="preserve"> Patients with regular examination and no history of root canal were 50% less likely to fail clearance.</w:t>
      </w:r>
    </w:p>
    <w:p w14:paraId="1BD106E1" w14:textId="4152CDBF" w:rsidR="002321E9" w:rsidRPr="00907C84" w:rsidRDefault="002321E9" w:rsidP="00E8220F">
      <w:pPr>
        <w:adjustRightInd w:val="0"/>
        <w:snapToGrid w:val="0"/>
        <w:spacing w:after="0" w:line="360" w:lineRule="auto"/>
        <w:ind w:firstLineChars="100" w:firstLine="240"/>
        <w:jc w:val="both"/>
        <w:rPr>
          <w:rFonts w:ascii="Book Antiqua" w:hAnsi="Book Antiqua" w:cs="Times New Roman"/>
          <w:sz w:val="24"/>
          <w:szCs w:val="24"/>
        </w:rPr>
      </w:pPr>
      <w:r w:rsidRPr="00907C84">
        <w:rPr>
          <w:rFonts w:ascii="Book Antiqua" w:hAnsi="Book Antiqua" w:cs="Times New Roman"/>
          <w:sz w:val="24"/>
          <w:szCs w:val="24"/>
        </w:rPr>
        <w:t xml:space="preserve">Lastly Wood </w:t>
      </w:r>
      <w:r w:rsidR="00E8220F" w:rsidRPr="00E8220F">
        <w:rPr>
          <w:rFonts w:ascii="Book Antiqua" w:hAnsi="Book Antiqua" w:cs="Times New Roman"/>
          <w:i/>
          <w:sz w:val="24"/>
          <w:szCs w:val="24"/>
        </w:rPr>
        <w:t xml:space="preserve">et </w:t>
      </w:r>
      <w:proofErr w:type="gramStart"/>
      <w:r w:rsidR="00E8220F" w:rsidRPr="00E8220F">
        <w:rPr>
          <w:rFonts w:ascii="Book Antiqua" w:hAnsi="Book Antiqua" w:cs="Times New Roman"/>
          <w:i/>
          <w:sz w:val="24"/>
          <w:szCs w:val="24"/>
        </w:rPr>
        <w:t>al</w:t>
      </w:r>
      <w:r w:rsidR="00E8220F" w:rsidRPr="00E8220F">
        <w:rPr>
          <w:rFonts w:ascii="Book Antiqua" w:hAnsi="Book Antiqua" w:cs="Times New Roman"/>
          <w:sz w:val="24"/>
          <w:szCs w:val="24"/>
          <w:vertAlign w:val="superscript"/>
        </w:rPr>
        <w:t>[</w:t>
      </w:r>
      <w:proofErr w:type="gramEnd"/>
      <w:r w:rsidR="00E8220F" w:rsidRPr="00907C84">
        <w:rPr>
          <w:rFonts w:ascii="Book Antiqua" w:hAnsi="Book Antiqua" w:cs="Times New Roman"/>
          <w:sz w:val="24"/>
          <w:szCs w:val="24"/>
          <w:vertAlign w:val="superscript"/>
        </w:rPr>
        <w:t>15</w:t>
      </w:r>
      <w:r w:rsidR="00E8220F">
        <w:rPr>
          <w:rFonts w:ascii="Book Antiqua" w:hAnsi="Book Antiqua" w:cs="Times New Roman"/>
          <w:sz w:val="24"/>
          <w:szCs w:val="24"/>
          <w:vertAlign w:val="superscript"/>
        </w:rPr>
        <w:t>]</w:t>
      </w:r>
      <w:r w:rsidRPr="00907C84">
        <w:rPr>
          <w:rFonts w:ascii="Book Antiqua" w:hAnsi="Book Antiqua" w:cs="Times New Roman"/>
          <w:sz w:val="24"/>
          <w:szCs w:val="24"/>
        </w:rPr>
        <w:t xml:space="preserve"> used a </w:t>
      </w:r>
      <w:r w:rsidR="00DE45E9" w:rsidRPr="00907C84">
        <w:rPr>
          <w:rFonts w:ascii="Book Antiqua" w:hAnsi="Book Antiqua" w:cs="Times New Roman"/>
          <w:sz w:val="24"/>
          <w:szCs w:val="24"/>
        </w:rPr>
        <w:t xml:space="preserve">post-operative </w:t>
      </w:r>
      <w:r w:rsidRPr="00907C84">
        <w:rPr>
          <w:rFonts w:ascii="Book Antiqua" w:hAnsi="Book Antiqua" w:cs="Times New Roman"/>
          <w:sz w:val="24"/>
          <w:szCs w:val="24"/>
        </w:rPr>
        <w:t xml:space="preserve">dental hygiene survey </w:t>
      </w:r>
      <w:r w:rsidR="00147719" w:rsidRPr="00907C84">
        <w:rPr>
          <w:rFonts w:ascii="Book Antiqua" w:hAnsi="Book Antiqua" w:cs="Times New Roman"/>
          <w:sz w:val="24"/>
          <w:szCs w:val="24"/>
        </w:rPr>
        <w:t>without professional dental evaluation.</w:t>
      </w:r>
      <w:r w:rsidR="00DE45E9" w:rsidRPr="00907C84">
        <w:rPr>
          <w:rFonts w:ascii="Book Antiqua" w:hAnsi="Book Antiqua" w:cs="Times New Roman"/>
          <w:sz w:val="24"/>
          <w:szCs w:val="24"/>
        </w:rPr>
        <w:t xml:space="preserve"> They found that patients in general report adequate oral hygiene </w:t>
      </w:r>
      <w:r w:rsidR="00253A2F" w:rsidRPr="00907C84">
        <w:rPr>
          <w:rFonts w:ascii="Book Antiqua" w:hAnsi="Book Antiqua" w:cs="Times New Roman"/>
          <w:sz w:val="24"/>
          <w:szCs w:val="24"/>
        </w:rPr>
        <w:t>and</w:t>
      </w:r>
      <w:r w:rsidR="00DE45E9" w:rsidRPr="00907C84">
        <w:rPr>
          <w:rFonts w:ascii="Book Antiqua" w:hAnsi="Book Antiqua" w:cs="Times New Roman"/>
          <w:sz w:val="24"/>
          <w:szCs w:val="24"/>
        </w:rPr>
        <w:t xml:space="preserve"> 76% having</w:t>
      </w:r>
      <w:r w:rsidR="00253A2F" w:rsidRPr="00907C84">
        <w:rPr>
          <w:rFonts w:ascii="Book Antiqua" w:hAnsi="Book Antiqua" w:cs="Times New Roman"/>
          <w:sz w:val="24"/>
          <w:szCs w:val="24"/>
        </w:rPr>
        <w:t xml:space="preserve"> had</w:t>
      </w:r>
      <w:r w:rsidR="00DE45E9" w:rsidRPr="00907C84">
        <w:rPr>
          <w:rFonts w:ascii="Book Antiqua" w:hAnsi="Book Antiqua" w:cs="Times New Roman"/>
          <w:sz w:val="24"/>
          <w:szCs w:val="24"/>
        </w:rPr>
        <w:t xml:space="preserve"> a dental cleaning within the last year. Only 5% admitted to not having a dentist. </w:t>
      </w:r>
    </w:p>
    <w:p w14:paraId="41B5A05B" w14:textId="77777777" w:rsidR="00253A2F" w:rsidRPr="00907C84" w:rsidRDefault="00253A2F" w:rsidP="00907C84">
      <w:pPr>
        <w:adjustRightInd w:val="0"/>
        <w:snapToGrid w:val="0"/>
        <w:spacing w:after="0" w:line="360" w:lineRule="auto"/>
        <w:jc w:val="both"/>
        <w:rPr>
          <w:rFonts w:ascii="Book Antiqua" w:hAnsi="Book Antiqua" w:cs="Times New Roman"/>
          <w:sz w:val="24"/>
          <w:szCs w:val="24"/>
        </w:rPr>
      </w:pPr>
    </w:p>
    <w:p w14:paraId="2F6798B4" w14:textId="164D888A" w:rsidR="00AF1C19" w:rsidRPr="00907C84" w:rsidRDefault="00AF1C19" w:rsidP="00907C84">
      <w:pPr>
        <w:adjustRightInd w:val="0"/>
        <w:snapToGrid w:val="0"/>
        <w:spacing w:after="0" w:line="360" w:lineRule="auto"/>
        <w:jc w:val="both"/>
        <w:rPr>
          <w:rFonts w:ascii="Book Antiqua" w:hAnsi="Book Antiqua" w:cs="Times New Roman"/>
          <w:b/>
          <w:i/>
          <w:iCs/>
          <w:sz w:val="24"/>
          <w:szCs w:val="24"/>
        </w:rPr>
      </w:pPr>
      <w:r w:rsidRPr="00907C84">
        <w:rPr>
          <w:rFonts w:ascii="Book Antiqua" w:hAnsi="Book Antiqua" w:cs="Times New Roman"/>
          <w:b/>
          <w:i/>
          <w:iCs/>
          <w:sz w:val="24"/>
          <w:szCs w:val="24"/>
        </w:rPr>
        <w:t xml:space="preserve">Impact of </w:t>
      </w:r>
      <w:r w:rsidR="00E8220F" w:rsidRPr="00907C84">
        <w:rPr>
          <w:rFonts w:ascii="Book Antiqua" w:hAnsi="Book Antiqua" w:cs="Times New Roman"/>
          <w:b/>
          <w:i/>
          <w:iCs/>
          <w:sz w:val="24"/>
          <w:szCs w:val="24"/>
        </w:rPr>
        <w:t>dental clearance and/or scaling on infection</w:t>
      </w:r>
    </w:p>
    <w:p w14:paraId="094CD37D" w14:textId="6A3CABB7" w:rsidR="009C4C96" w:rsidRPr="00907C84" w:rsidRDefault="00822517" w:rsidP="00907C84">
      <w:pPr>
        <w:adjustRightInd w:val="0"/>
        <w:snapToGrid w:val="0"/>
        <w:spacing w:after="0" w:line="360" w:lineRule="auto"/>
        <w:jc w:val="both"/>
        <w:rPr>
          <w:rFonts w:ascii="Book Antiqua" w:hAnsi="Book Antiqua" w:cs="Times New Roman"/>
          <w:sz w:val="24"/>
          <w:szCs w:val="24"/>
        </w:rPr>
      </w:pPr>
      <w:r w:rsidRPr="00907C84">
        <w:rPr>
          <w:rFonts w:ascii="Book Antiqua" w:hAnsi="Book Antiqua" w:cs="Times New Roman"/>
          <w:sz w:val="24"/>
          <w:szCs w:val="24"/>
        </w:rPr>
        <w:t>Four</w:t>
      </w:r>
      <w:r w:rsidR="00735664" w:rsidRPr="00907C84">
        <w:rPr>
          <w:rFonts w:ascii="Book Antiqua" w:hAnsi="Book Antiqua" w:cs="Times New Roman"/>
          <w:sz w:val="24"/>
          <w:szCs w:val="24"/>
        </w:rPr>
        <w:t xml:space="preserve"> studies measured the impact of preoperative dental clearance on </w:t>
      </w:r>
      <w:r w:rsidR="00CC00E1" w:rsidRPr="00907C84">
        <w:rPr>
          <w:rFonts w:ascii="Book Antiqua" w:hAnsi="Book Antiqua" w:cs="Times New Roman"/>
          <w:sz w:val="24"/>
          <w:szCs w:val="24"/>
        </w:rPr>
        <w:t>TJA outcomes (Table 4</w:t>
      </w:r>
      <w:proofErr w:type="gramStart"/>
      <w:r w:rsidR="00CC00E1" w:rsidRPr="00907C84">
        <w:rPr>
          <w:rFonts w:ascii="Book Antiqua" w:hAnsi="Book Antiqua" w:cs="Times New Roman"/>
          <w:sz w:val="24"/>
          <w:szCs w:val="24"/>
        </w:rPr>
        <w:t>)</w:t>
      </w:r>
      <w:r w:rsidR="00E8220F" w:rsidRPr="00E8220F">
        <w:rPr>
          <w:rFonts w:ascii="Book Antiqua" w:hAnsi="Book Antiqua" w:cs="Times New Roman"/>
          <w:sz w:val="24"/>
          <w:szCs w:val="24"/>
          <w:vertAlign w:val="superscript"/>
        </w:rPr>
        <w:t>[</w:t>
      </w:r>
      <w:proofErr w:type="gramEnd"/>
      <w:r w:rsidR="00E8220F" w:rsidRPr="00907C84">
        <w:rPr>
          <w:rFonts w:ascii="Book Antiqua" w:hAnsi="Book Antiqua" w:cs="Times New Roman"/>
          <w:sz w:val="24"/>
          <w:szCs w:val="24"/>
          <w:vertAlign w:val="superscript"/>
        </w:rPr>
        <w:t>16-19</w:t>
      </w:r>
      <w:r w:rsidR="00E8220F">
        <w:rPr>
          <w:rFonts w:ascii="Book Antiqua" w:hAnsi="Book Antiqua" w:cs="Times New Roman"/>
          <w:sz w:val="24"/>
          <w:szCs w:val="24"/>
          <w:vertAlign w:val="superscript"/>
        </w:rPr>
        <w:t>]</w:t>
      </w:r>
      <w:r w:rsidR="00CC00E1" w:rsidRPr="00907C84">
        <w:rPr>
          <w:rFonts w:ascii="Book Antiqua" w:hAnsi="Book Antiqua" w:cs="Times New Roman"/>
          <w:sz w:val="24"/>
          <w:szCs w:val="24"/>
        </w:rPr>
        <w:t>.</w:t>
      </w:r>
      <w:r w:rsidR="00BB61B1" w:rsidRPr="00907C84">
        <w:rPr>
          <w:rFonts w:ascii="Book Antiqua" w:hAnsi="Book Antiqua" w:cs="Times New Roman"/>
          <w:sz w:val="24"/>
          <w:szCs w:val="24"/>
        </w:rPr>
        <w:t xml:space="preserve"> </w:t>
      </w:r>
      <w:r w:rsidR="009C4C96" w:rsidRPr="00907C84">
        <w:rPr>
          <w:rFonts w:ascii="Book Antiqua" w:hAnsi="Book Antiqua" w:cs="Times New Roman"/>
          <w:sz w:val="24"/>
          <w:szCs w:val="24"/>
        </w:rPr>
        <w:t xml:space="preserve">Barrington </w:t>
      </w:r>
      <w:r w:rsidR="006826F0">
        <w:rPr>
          <w:rFonts w:ascii="Book Antiqua" w:hAnsi="Book Antiqua" w:cs="Times New Roman"/>
          <w:sz w:val="24"/>
          <w:szCs w:val="24"/>
        </w:rPr>
        <w:t>and</w:t>
      </w:r>
      <w:r w:rsidR="009C4C96" w:rsidRPr="00907C84">
        <w:rPr>
          <w:rFonts w:ascii="Book Antiqua" w:hAnsi="Book Antiqua" w:cs="Times New Roman"/>
          <w:sz w:val="24"/>
          <w:szCs w:val="24"/>
        </w:rPr>
        <w:t xml:space="preserve"> Barrington required patients to receive dental evaluation and the appropriate interventions before elective </w:t>
      </w:r>
      <w:proofErr w:type="gramStart"/>
      <w:r w:rsidR="009C4C96" w:rsidRPr="00907C84">
        <w:rPr>
          <w:rFonts w:ascii="Book Antiqua" w:hAnsi="Book Antiqua" w:cs="Times New Roman"/>
          <w:sz w:val="24"/>
          <w:szCs w:val="24"/>
        </w:rPr>
        <w:t>TJA</w:t>
      </w:r>
      <w:r w:rsidR="00E8220F" w:rsidRPr="00E8220F">
        <w:rPr>
          <w:rFonts w:ascii="Book Antiqua" w:hAnsi="Book Antiqua" w:cs="Times New Roman"/>
          <w:sz w:val="24"/>
          <w:szCs w:val="24"/>
          <w:vertAlign w:val="superscript"/>
        </w:rPr>
        <w:t>[</w:t>
      </w:r>
      <w:proofErr w:type="gramEnd"/>
      <w:r w:rsidR="00E8220F" w:rsidRPr="00907C84">
        <w:rPr>
          <w:rFonts w:ascii="Book Antiqua" w:hAnsi="Book Antiqua" w:cs="Times New Roman"/>
          <w:sz w:val="24"/>
          <w:szCs w:val="24"/>
          <w:vertAlign w:val="superscript"/>
        </w:rPr>
        <w:t>16</w:t>
      </w:r>
      <w:r w:rsidR="00E8220F">
        <w:rPr>
          <w:rFonts w:ascii="Book Antiqua" w:hAnsi="Book Antiqua" w:cs="Times New Roman"/>
          <w:sz w:val="24"/>
          <w:szCs w:val="24"/>
          <w:vertAlign w:val="superscript"/>
        </w:rPr>
        <w:t>]</w:t>
      </w:r>
      <w:r w:rsidR="009C4C96" w:rsidRPr="00907C84">
        <w:rPr>
          <w:rFonts w:ascii="Book Antiqua" w:hAnsi="Book Antiqua" w:cs="Times New Roman"/>
          <w:sz w:val="24"/>
          <w:szCs w:val="24"/>
        </w:rPr>
        <w:t xml:space="preserve">. </w:t>
      </w:r>
      <w:r w:rsidR="00E8220F">
        <w:rPr>
          <w:rFonts w:ascii="Book Antiqua" w:hAnsi="Book Antiqua" w:cs="Times New Roman"/>
          <w:sz w:val="24"/>
          <w:szCs w:val="24"/>
        </w:rPr>
        <w:t>Twenty-three percent</w:t>
      </w:r>
      <w:r w:rsidR="007633D9" w:rsidRPr="00907C84">
        <w:rPr>
          <w:rFonts w:ascii="Book Antiqua" w:hAnsi="Book Antiqua" w:cs="Times New Roman"/>
          <w:sz w:val="24"/>
          <w:szCs w:val="24"/>
        </w:rPr>
        <w:t xml:space="preserve"> were found to have active tooth decay requiring treatment. </w:t>
      </w:r>
      <w:r w:rsidR="005F4647" w:rsidRPr="00907C84">
        <w:rPr>
          <w:rFonts w:ascii="Book Antiqua" w:hAnsi="Book Antiqua" w:cs="Times New Roman"/>
          <w:sz w:val="24"/>
          <w:szCs w:val="24"/>
        </w:rPr>
        <w:t xml:space="preserve">There were no significant differences between primary and revision groups. </w:t>
      </w:r>
      <w:r w:rsidR="009C4C96" w:rsidRPr="00907C84">
        <w:rPr>
          <w:rFonts w:ascii="Book Antiqua" w:hAnsi="Book Antiqua" w:cs="Times New Roman"/>
          <w:sz w:val="24"/>
          <w:szCs w:val="24"/>
        </w:rPr>
        <w:t xml:space="preserve">Although it was not the primary outcome, </w:t>
      </w:r>
      <w:r w:rsidR="005F4647" w:rsidRPr="00907C84">
        <w:rPr>
          <w:rFonts w:ascii="Book Antiqua" w:hAnsi="Book Antiqua" w:cs="Times New Roman"/>
          <w:sz w:val="24"/>
          <w:szCs w:val="24"/>
        </w:rPr>
        <w:t xml:space="preserve">there were no infections related to the operation detected within the first 90 </w:t>
      </w:r>
      <w:r w:rsidR="006826F0">
        <w:rPr>
          <w:rFonts w:ascii="Book Antiqua" w:hAnsi="Book Antiqua" w:cs="Times New Roman"/>
          <w:sz w:val="24"/>
          <w:szCs w:val="24"/>
        </w:rPr>
        <w:t>d</w:t>
      </w:r>
      <w:r w:rsidR="005F4647" w:rsidRPr="00907C84">
        <w:rPr>
          <w:rFonts w:ascii="Book Antiqua" w:hAnsi="Book Antiqua" w:cs="Times New Roman"/>
          <w:sz w:val="24"/>
          <w:szCs w:val="24"/>
        </w:rPr>
        <w:t xml:space="preserve"> post-operatively</w:t>
      </w:r>
      <w:r w:rsidR="00253A2F" w:rsidRPr="00907C84">
        <w:rPr>
          <w:rFonts w:ascii="Book Antiqua" w:hAnsi="Book Antiqua" w:cs="Times New Roman"/>
          <w:sz w:val="24"/>
          <w:szCs w:val="24"/>
        </w:rPr>
        <w:t xml:space="preserve"> in any of the 100 patients.</w:t>
      </w:r>
    </w:p>
    <w:p w14:paraId="5AD88F62" w14:textId="271C1264" w:rsidR="005F4647" w:rsidRPr="00907C84" w:rsidRDefault="006828E5" w:rsidP="00E8220F">
      <w:pPr>
        <w:adjustRightInd w:val="0"/>
        <w:snapToGrid w:val="0"/>
        <w:spacing w:after="0" w:line="360" w:lineRule="auto"/>
        <w:ind w:firstLineChars="100" w:firstLine="240"/>
        <w:jc w:val="both"/>
        <w:rPr>
          <w:rFonts w:ascii="Book Antiqua" w:hAnsi="Book Antiqua" w:cs="Times New Roman"/>
          <w:sz w:val="24"/>
          <w:szCs w:val="24"/>
        </w:rPr>
      </w:pPr>
      <w:r w:rsidRPr="00907C84">
        <w:rPr>
          <w:rFonts w:ascii="Book Antiqua" w:hAnsi="Book Antiqua" w:cs="Times New Roman"/>
          <w:sz w:val="24"/>
          <w:szCs w:val="24"/>
        </w:rPr>
        <w:t>Lampley and colleagues compared postoperative infections between elective TJA patients who had received dental clearance and hip fracture patients who received THA or hemiarthroplasties</w:t>
      </w:r>
      <w:r w:rsidR="005347E3" w:rsidRPr="00907C84">
        <w:rPr>
          <w:rFonts w:ascii="Book Antiqua" w:hAnsi="Book Antiqua" w:cs="Times New Roman"/>
          <w:sz w:val="24"/>
          <w:szCs w:val="24"/>
        </w:rPr>
        <w:t xml:space="preserve"> </w:t>
      </w:r>
      <w:r w:rsidR="00CD1B5D" w:rsidRPr="00907C84">
        <w:rPr>
          <w:rFonts w:ascii="Book Antiqua" w:hAnsi="Book Antiqua" w:cs="Times New Roman"/>
          <w:sz w:val="24"/>
          <w:szCs w:val="24"/>
        </w:rPr>
        <w:t>who</w:t>
      </w:r>
      <w:r w:rsidR="005347E3" w:rsidRPr="00907C84">
        <w:rPr>
          <w:rFonts w:ascii="Book Antiqua" w:hAnsi="Book Antiqua" w:cs="Times New Roman"/>
          <w:sz w:val="24"/>
          <w:szCs w:val="24"/>
        </w:rPr>
        <w:t xml:space="preserve"> </w:t>
      </w:r>
      <w:r w:rsidRPr="00907C84">
        <w:rPr>
          <w:rFonts w:ascii="Book Antiqua" w:hAnsi="Book Antiqua" w:cs="Times New Roman"/>
          <w:sz w:val="24"/>
          <w:szCs w:val="24"/>
        </w:rPr>
        <w:t xml:space="preserve">did not receive pre-operative dental </w:t>
      </w:r>
      <w:proofErr w:type="gramStart"/>
      <w:r w:rsidRPr="00907C84">
        <w:rPr>
          <w:rFonts w:ascii="Book Antiqua" w:hAnsi="Book Antiqua" w:cs="Times New Roman"/>
          <w:sz w:val="24"/>
          <w:szCs w:val="24"/>
        </w:rPr>
        <w:t>clearance</w:t>
      </w:r>
      <w:r w:rsidR="00E8220F" w:rsidRPr="00E8220F">
        <w:rPr>
          <w:rFonts w:ascii="Book Antiqua" w:hAnsi="Book Antiqua" w:cs="Times New Roman"/>
          <w:sz w:val="24"/>
          <w:szCs w:val="24"/>
          <w:vertAlign w:val="superscript"/>
        </w:rPr>
        <w:t>[</w:t>
      </w:r>
      <w:proofErr w:type="gramEnd"/>
      <w:r w:rsidR="00E8220F" w:rsidRPr="00907C84">
        <w:rPr>
          <w:rFonts w:ascii="Book Antiqua" w:hAnsi="Book Antiqua" w:cs="Times New Roman"/>
          <w:sz w:val="24"/>
          <w:szCs w:val="24"/>
          <w:vertAlign w:val="superscript"/>
        </w:rPr>
        <w:t>17</w:t>
      </w:r>
      <w:r w:rsidR="00E8220F">
        <w:rPr>
          <w:rFonts w:ascii="Book Antiqua" w:hAnsi="Book Antiqua" w:cs="Times New Roman"/>
          <w:sz w:val="24"/>
          <w:szCs w:val="24"/>
          <w:vertAlign w:val="superscript"/>
        </w:rPr>
        <w:t>]</w:t>
      </w:r>
      <w:r w:rsidRPr="00907C84">
        <w:rPr>
          <w:rFonts w:ascii="Book Antiqua" w:hAnsi="Book Antiqua" w:cs="Times New Roman"/>
          <w:sz w:val="24"/>
          <w:szCs w:val="24"/>
        </w:rPr>
        <w:t xml:space="preserve">. </w:t>
      </w:r>
      <w:r w:rsidR="00CD1B5D" w:rsidRPr="00907C84">
        <w:rPr>
          <w:rFonts w:ascii="Book Antiqua" w:hAnsi="Book Antiqua" w:cs="Times New Roman"/>
          <w:sz w:val="24"/>
          <w:szCs w:val="24"/>
        </w:rPr>
        <w:t>O</w:t>
      </w:r>
      <w:r w:rsidR="00FF359B" w:rsidRPr="00907C84">
        <w:rPr>
          <w:rFonts w:ascii="Book Antiqua" w:hAnsi="Book Antiqua" w:cs="Times New Roman"/>
          <w:sz w:val="24"/>
          <w:szCs w:val="24"/>
        </w:rPr>
        <w:t>ut of the patients who received dental clearance, 8.8% required treatment for periodontal disease. There was no significant difference in postoperative infection</w:t>
      </w:r>
      <w:r w:rsidR="0080261D" w:rsidRPr="00907C84">
        <w:rPr>
          <w:rFonts w:ascii="Book Antiqua" w:hAnsi="Book Antiqua" w:cs="Times New Roman"/>
          <w:sz w:val="24"/>
          <w:szCs w:val="24"/>
        </w:rPr>
        <w:t xml:space="preserve"> (less than 6 </w:t>
      </w:r>
      <w:proofErr w:type="spellStart"/>
      <w:proofErr w:type="gramStart"/>
      <w:r w:rsidR="00E8220F">
        <w:rPr>
          <w:rFonts w:ascii="Book Antiqua" w:hAnsi="Book Antiqua" w:cs="Times New Roman"/>
          <w:sz w:val="24"/>
          <w:szCs w:val="24"/>
        </w:rPr>
        <w:t>mo</w:t>
      </w:r>
      <w:proofErr w:type="spellEnd"/>
      <w:proofErr w:type="gramEnd"/>
      <w:r w:rsidR="0080261D" w:rsidRPr="00907C84">
        <w:rPr>
          <w:rFonts w:ascii="Book Antiqua" w:hAnsi="Book Antiqua" w:cs="Times New Roman"/>
          <w:sz w:val="24"/>
          <w:szCs w:val="24"/>
        </w:rPr>
        <w:t xml:space="preserve"> post-op)</w:t>
      </w:r>
      <w:r w:rsidR="00FF359B" w:rsidRPr="00907C84">
        <w:rPr>
          <w:rFonts w:ascii="Book Antiqua" w:hAnsi="Book Antiqua" w:cs="Times New Roman"/>
          <w:sz w:val="24"/>
          <w:szCs w:val="24"/>
        </w:rPr>
        <w:t xml:space="preserve"> requiring reoperation. Of the </w:t>
      </w:r>
      <w:r w:rsidR="00E8220F">
        <w:rPr>
          <w:rFonts w:ascii="Book Antiqua" w:hAnsi="Book Antiqua" w:cs="Times New Roman"/>
          <w:sz w:val="24"/>
          <w:szCs w:val="24"/>
        </w:rPr>
        <w:t>6</w:t>
      </w:r>
      <w:r w:rsidR="00FF359B" w:rsidRPr="00907C84">
        <w:rPr>
          <w:rFonts w:ascii="Book Antiqua" w:hAnsi="Book Antiqua" w:cs="Times New Roman"/>
          <w:sz w:val="24"/>
          <w:szCs w:val="24"/>
        </w:rPr>
        <w:t xml:space="preserve"> (1.7%) patients with infections in the elective group, only one failed the dental screen.</w:t>
      </w:r>
      <w:r w:rsidR="0080261D" w:rsidRPr="00907C84">
        <w:rPr>
          <w:rFonts w:ascii="Book Antiqua" w:hAnsi="Book Antiqua" w:cs="Times New Roman"/>
          <w:sz w:val="24"/>
          <w:szCs w:val="24"/>
        </w:rPr>
        <w:t xml:space="preserve"> A pathogen was detected in </w:t>
      </w:r>
      <w:r w:rsidR="00E8220F">
        <w:rPr>
          <w:rFonts w:ascii="Book Antiqua" w:hAnsi="Book Antiqua" w:cs="Times New Roman"/>
          <w:sz w:val="24"/>
          <w:szCs w:val="24"/>
        </w:rPr>
        <w:t>5</w:t>
      </w:r>
      <w:r w:rsidR="0080261D" w:rsidRPr="00907C84">
        <w:rPr>
          <w:rFonts w:ascii="Book Antiqua" w:hAnsi="Book Antiqua" w:cs="Times New Roman"/>
          <w:sz w:val="24"/>
          <w:szCs w:val="24"/>
        </w:rPr>
        <w:t xml:space="preserve"> out of the </w:t>
      </w:r>
      <w:r w:rsidR="00E8220F">
        <w:rPr>
          <w:rFonts w:ascii="Book Antiqua" w:hAnsi="Book Antiqua" w:cs="Times New Roman"/>
          <w:sz w:val="24"/>
          <w:szCs w:val="24"/>
        </w:rPr>
        <w:t>6</w:t>
      </w:r>
      <w:r w:rsidR="00CD1B5D" w:rsidRPr="00907C84">
        <w:rPr>
          <w:rFonts w:ascii="Book Antiqua" w:hAnsi="Book Antiqua" w:cs="Times New Roman"/>
          <w:sz w:val="24"/>
          <w:szCs w:val="24"/>
        </w:rPr>
        <w:t xml:space="preserve"> cases</w:t>
      </w:r>
      <w:r w:rsidR="0080261D" w:rsidRPr="00907C84">
        <w:rPr>
          <w:rFonts w:ascii="Book Antiqua" w:hAnsi="Book Antiqua" w:cs="Times New Roman"/>
          <w:sz w:val="24"/>
          <w:szCs w:val="24"/>
        </w:rPr>
        <w:t>. Four (2.5%) patients in the hip fracture group required reoperation for infection concern. Only one patient had an identifiable pathogen. None of the pathogens except</w:t>
      </w:r>
      <w:r w:rsidR="00CD1B5D" w:rsidRPr="00907C84">
        <w:rPr>
          <w:rFonts w:ascii="Book Antiqua" w:hAnsi="Book Antiqua" w:cs="Times New Roman"/>
          <w:sz w:val="24"/>
          <w:szCs w:val="24"/>
        </w:rPr>
        <w:t>,</w:t>
      </w:r>
      <w:r w:rsidR="0080261D" w:rsidRPr="00907C84">
        <w:rPr>
          <w:rFonts w:ascii="Book Antiqua" w:hAnsi="Book Antiqua" w:cs="Times New Roman"/>
          <w:sz w:val="24"/>
          <w:szCs w:val="24"/>
        </w:rPr>
        <w:t xml:space="preserve"> </w:t>
      </w:r>
      <w:r w:rsidR="00CC5C06" w:rsidRPr="00907C84">
        <w:rPr>
          <w:rFonts w:ascii="Book Antiqua" w:hAnsi="Book Antiqua" w:cs="Times New Roman"/>
          <w:sz w:val="24"/>
          <w:szCs w:val="24"/>
        </w:rPr>
        <w:t>possibly</w:t>
      </w:r>
      <w:r w:rsidR="00CD1B5D" w:rsidRPr="00907C84">
        <w:rPr>
          <w:rFonts w:ascii="Book Antiqua" w:hAnsi="Book Antiqua" w:cs="Times New Roman"/>
          <w:sz w:val="24"/>
          <w:szCs w:val="24"/>
        </w:rPr>
        <w:t>,</w:t>
      </w:r>
      <w:r w:rsidR="00CC5C06" w:rsidRPr="00907C84">
        <w:rPr>
          <w:rFonts w:ascii="Book Antiqua" w:hAnsi="Book Antiqua" w:cs="Times New Roman"/>
          <w:sz w:val="24"/>
          <w:szCs w:val="24"/>
        </w:rPr>
        <w:t xml:space="preserve"> </w:t>
      </w:r>
      <w:proofErr w:type="spellStart"/>
      <w:r w:rsidR="0080261D" w:rsidRPr="00907C84">
        <w:rPr>
          <w:rFonts w:ascii="Book Antiqua" w:hAnsi="Book Antiqua" w:cs="Times New Roman"/>
          <w:sz w:val="24"/>
          <w:szCs w:val="24"/>
        </w:rPr>
        <w:t>Peptostreptococcus</w:t>
      </w:r>
      <w:proofErr w:type="spellEnd"/>
      <w:r w:rsidR="0080261D" w:rsidRPr="00907C84">
        <w:rPr>
          <w:rFonts w:ascii="Book Antiqua" w:hAnsi="Book Antiqua" w:cs="Times New Roman"/>
          <w:sz w:val="24"/>
          <w:szCs w:val="24"/>
        </w:rPr>
        <w:t xml:space="preserve"> </w:t>
      </w:r>
      <w:proofErr w:type="spellStart"/>
      <w:r w:rsidR="0080261D" w:rsidRPr="00907C84">
        <w:rPr>
          <w:rFonts w:ascii="Book Antiqua" w:hAnsi="Book Antiqua" w:cs="Times New Roman"/>
          <w:sz w:val="24"/>
          <w:szCs w:val="24"/>
        </w:rPr>
        <w:t>magnus</w:t>
      </w:r>
      <w:proofErr w:type="spellEnd"/>
      <w:r w:rsidR="0080261D" w:rsidRPr="00907C84">
        <w:rPr>
          <w:rFonts w:ascii="Book Antiqua" w:hAnsi="Book Antiqua" w:cs="Times New Roman"/>
          <w:sz w:val="24"/>
          <w:szCs w:val="24"/>
        </w:rPr>
        <w:t xml:space="preserve"> in the dental clearance group were of likely dental origin.</w:t>
      </w:r>
    </w:p>
    <w:p w14:paraId="63D235A3" w14:textId="4FF85085" w:rsidR="009C4C96" w:rsidRPr="00907C84" w:rsidRDefault="009C4C96" w:rsidP="00E8220F">
      <w:pPr>
        <w:adjustRightInd w:val="0"/>
        <w:snapToGrid w:val="0"/>
        <w:spacing w:after="0" w:line="360" w:lineRule="auto"/>
        <w:ind w:firstLineChars="100" w:firstLine="240"/>
        <w:jc w:val="both"/>
        <w:rPr>
          <w:rFonts w:ascii="Book Antiqua" w:hAnsi="Book Antiqua" w:cs="Times New Roman"/>
          <w:sz w:val="24"/>
          <w:szCs w:val="24"/>
        </w:rPr>
      </w:pPr>
      <w:r w:rsidRPr="00907C84">
        <w:rPr>
          <w:rFonts w:ascii="Book Antiqua" w:hAnsi="Book Antiqua" w:cs="Times New Roman"/>
          <w:sz w:val="24"/>
          <w:szCs w:val="24"/>
        </w:rPr>
        <w:t xml:space="preserve">Tai </w:t>
      </w:r>
      <w:r w:rsidR="00E8220F" w:rsidRPr="00E8220F">
        <w:rPr>
          <w:rFonts w:ascii="Book Antiqua" w:hAnsi="Book Antiqua" w:cs="Times New Roman"/>
          <w:i/>
          <w:sz w:val="24"/>
          <w:szCs w:val="24"/>
        </w:rPr>
        <w:t xml:space="preserve">et </w:t>
      </w:r>
      <w:proofErr w:type="gramStart"/>
      <w:r w:rsidR="00E8220F" w:rsidRPr="00E8220F">
        <w:rPr>
          <w:rFonts w:ascii="Book Antiqua" w:hAnsi="Book Antiqua" w:cs="Times New Roman"/>
          <w:i/>
          <w:sz w:val="24"/>
          <w:szCs w:val="24"/>
        </w:rPr>
        <w:t>al</w:t>
      </w:r>
      <w:r w:rsidR="00E8220F" w:rsidRPr="00E8220F">
        <w:rPr>
          <w:rFonts w:ascii="Book Antiqua" w:hAnsi="Book Antiqua" w:cs="Times New Roman"/>
          <w:sz w:val="24"/>
          <w:szCs w:val="24"/>
          <w:vertAlign w:val="superscript"/>
        </w:rPr>
        <w:t>[</w:t>
      </w:r>
      <w:proofErr w:type="gramEnd"/>
      <w:r w:rsidR="00E8220F" w:rsidRPr="00907C84">
        <w:rPr>
          <w:rFonts w:ascii="Book Antiqua" w:hAnsi="Book Antiqua" w:cs="Times New Roman"/>
          <w:sz w:val="24"/>
          <w:szCs w:val="24"/>
          <w:vertAlign w:val="superscript"/>
        </w:rPr>
        <w:t>18</w:t>
      </w:r>
      <w:r w:rsidR="00E8220F">
        <w:rPr>
          <w:rFonts w:ascii="Book Antiqua" w:hAnsi="Book Antiqua" w:cs="Times New Roman"/>
          <w:sz w:val="24"/>
          <w:szCs w:val="24"/>
          <w:vertAlign w:val="superscript"/>
        </w:rPr>
        <w:t>]</w:t>
      </w:r>
      <w:r w:rsidRPr="00907C84">
        <w:rPr>
          <w:rFonts w:ascii="Book Antiqua" w:hAnsi="Book Antiqua" w:cs="Times New Roman"/>
          <w:sz w:val="24"/>
          <w:szCs w:val="24"/>
        </w:rPr>
        <w:t xml:space="preserve"> </w:t>
      </w:r>
      <w:r w:rsidR="009D763C" w:rsidRPr="00907C84">
        <w:rPr>
          <w:rFonts w:ascii="Book Antiqua" w:hAnsi="Book Antiqua" w:cs="Times New Roman"/>
          <w:sz w:val="24"/>
          <w:szCs w:val="24"/>
        </w:rPr>
        <w:t xml:space="preserve">utilized a retrospective </w:t>
      </w:r>
      <w:r w:rsidR="007B2BA6" w:rsidRPr="00907C84">
        <w:rPr>
          <w:rFonts w:ascii="Book Antiqua" w:hAnsi="Book Antiqua" w:cs="Times New Roman"/>
          <w:sz w:val="24"/>
          <w:szCs w:val="24"/>
        </w:rPr>
        <w:t xml:space="preserve">data from the </w:t>
      </w:r>
      <w:r w:rsidRPr="00907C84">
        <w:rPr>
          <w:rFonts w:ascii="Book Antiqua" w:hAnsi="Book Antiqua" w:cs="Times New Roman"/>
          <w:sz w:val="24"/>
          <w:szCs w:val="24"/>
        </w:rPr>
        <w:t>National Health Insurance Research Database</w:t>
      </w:r>
      <w:r w:rsidR="007B2BA6" w:rsidRPr="00907C84">
        <w:rPr>
          <w:rFonts w:ascii="Book Antiqua" w:hAnsi="Book Antiqua" w:cs="Times New Roman"/>
          <w:sz w:val="24"/>
          <w:szCs w:val="24"/>
        </w:rPr>
        <w:t xml:space="preserve"> (NHIRD) to compare TKA patients who required “removal of hardware” plus </w:t>
      </w:r>
      <w:r w:rsidR="006826F0">
        <w:rPr>
          <w:rFonts w:ascii="Book Antiqua" w:hAnsi="Book Antiqua" w:cs="Times New Roman"/>
          <w:sz w:val="24"/>
          <w:szCs w:val="24"/>
        </w:rPr>
        <w:t>7</w:t>
      </w:r>
      <w:r w:rsidR="007B2BA6" w:rsidRPr="00907C84">
        <w:rPr>
          <w:rFonts w:ascii="Book Antiqua" w:hAnsi="Book Antiqua" w:cs="Times New Roman"/>
          <w:sz w:val="24"/>
          <w:szCs w:val="24"/>
        </w:rPr>
        <w:t xml:space="preserve"> </w:t>
      </w:r>
      <w:r w:rsidR="006826F0">
        <w:rPr>
          <w:rFonts w:ascii="Book Antiqua" w:hAnsi="Book Antiqua" w:cs="Times New Roman"/>
          <w:sz w:val="24"/>
          <w:szCs w:val="24"/>
        </w:rPr>
        <w:t>d</w:t>
      </w:r>
      <w:r w:rsidR="007B2BA6" w:rsidRPr="00907C84">
        <w:rPr>
          <w:rFonts w:ascii="Book Antiqua" w:hAnsi="Book Antiqua" w:cs="Times New Roman"/>
          <w:sz w:val="24"/>
          <w:szCs w:val="24"/>
        </w:rPr>
        <w:t xml:space="preserve"> of antibiotics within five years of the operation to those who did not.</w:t>
      </w:r>
      <w:r w:rsidR="00C61DAF" w:rsidRPr="00907C84">
        <w:rPr>
          <w:rFonts w:ascii="Book Antiqua" w:hAnsi="Book Antiqua" w:cs="Times New Roman"/>
          <w:sz w:val="24"/>
          <w:szCs w:val="24"/>
        </w:rPr>
        <w:t xml:space="preserve"> They found </w:t>
      </w:r>
      <w:r w:rsidR="0058378E" w:rsidRPr="00907C84">
        <w:rPr>
          <w:rFonts w:ascii="Book Antiqua" w:hAnsi="Book Antiqua" w:cs="Times New Roman"/>
          <w:sz w:val="24"/>
          <w:szCs w:val="24"/>
        </w:rPr>
        <w:t>that dental checkups and scaling were associated with significantly lower post-operative infection rates</w:t>
      </w:r>
      <w:r w:rsidR="00D72913" w:rsidRPr="00907C84">
        <w:rPr>
          <w:rFonts w:ascii="Book Antiqua" w:hAnsi="Book Antiqua" w:cs="Times New Roman"/>
          <w:sz w:val="24"/>
          <w:szCs w:val="24"/>
        </w:rPr>
        <w:t xml:space="preserve">. Only 7.1% of the infection group had regular checkup and scaling (5-6 times over last three years) compared to 9.9% in the healthy group. Moreover, 73.1% had no visits in the infection group compared to 67.8% in the healthy </w:t>
      </w:r>
      <w:r w:rsidR="0006031A" w:rsidRPr="00907C84">
        <w:rPr>
          <w:rFonts w:ascii="Book Antiqua" w:hAnsi="Book Antiqua" w:cs="Times New Roman"/>
          <w:sz w:val="24"/>
          <w:szCs w:val="24"/>
        </w:rPr>
        <w:t xml:space="preserve">group. The adjusted OR </w:t>
      </w:r>
      <w:r w:rsidR="00CD1B5D" w:rsidRPr="00907C84">
        <w:rPr>
          <w:rFonts w:ascii="Book Antiqua" w:hAnsi="Book Antiqua" w:cs="Times New Roman"/>
          <w:sz w:val="24"/>
          <w:szCs w:val="24"/>
        </w:rPr>
        <w:t xml:space="preserve">of PJI when </w:t>
      </w:r>
      <w:r w:rsidR="0006031A" w:rsidRPr="00907C84">
        <w:rPr>
          <w:rFonts w:ascii="Book Antiqua" w:hAnsi="Book Antiqua" w:cs="Times New Roman"/>
          <w:sz w:val="24"/>
          <w:szCs w:val="24"/>
        </w:rPr>
        <w:t>receiving regular checkup and scaling was 0.69 (0.54-0.89)</w:t>
      </w:r>
      <w:r w:rsidR="00422EA6" w:rsidRPr="00907C84">
        <w:rPr>
          <w:rFonts w:ascii="Book Antiqua" w:hAnsi="Book Antiqua" w:cs="Times New Roman"/>
          <w:sz w:val="24"/>
          <w:szCs w:val="24"/>
        </w:rPr>
        <w:t xml:space="preserve"> and 0.84 (0.71-0.99) </w:t>
      </w:r>
      <w:r w:rsidR="00253A2F" w:rsidRPr="00907C84">
        <w:rPr>
          <w:rFonts w:ascii="Book Antiqua" w:hAnsi="Book Antiqua" w:cs="Times New Roman"/>
          <w:sz w:val="24"/>
          <w:szCs w:val="24"/>
        </w:rPr>
        <w:t>when le</w:t>
      </w:r>
      <w:r w:rsidR="00422EA6" w:rsidRPr="00907C84">
        <w:rPr>
          <w:rFonts w:ascii="Book Antiqua" w:hAnsi="Book Antiqua" w:cs="Times New Roman"/>
          <w:sz w:val="24"/>
          <w:szCs w:val="24"/>
        </w:rPr>
        <w:t>ss frequent.</w:t>
      </w:r>
    </w:p>
    <w:p w14:paraId="41EFB541" w14:textId="2BF1104A" w:rsidR="001D77C3" w:rsidRPr="00907C84" w:rsidRDefault="001D77C3" w:rsidP="00E8220F">
      <w:pPr>
        <w:adjustRightInd w:val="0"/>
        <w:snapToGrid w:val="0"/>
        <w:spacing w:after="0" w:line="360" w:lineRule="auto"/>
        <w:ind w:firstLineChars="100" w:firstLine="240"/>
        <w:jc w:val="both"/>
        <w:rPr>
          <w:rFonts w:ascii="Book Antiqua" w:hAnsi="Book Antiqua" w:cs="Times New Roman"/>
          <w:sz w:val="24"/>
          <w:szCs w:val="24"/>
        </w:rPr>
      </w:pPr>
      <w:proofErr w:type="spellStart"/>
      <w:r w:rsidRPr="00907C84">
        <w:rPr>
          <w:rFonts w:ascii="Book Antiqua" w:hAnsi="Book Antiqua" w:cs="Times New Roman"/>
          <w:sz w:val="24"/>
          <w:szCs w:val="24"/>
        </w:rPr>
        <w:t>Sonn</w:t>
      </w:r>
      <w:proofErr w:type="spellEnd"/>
      <w:r w:rsidRPr="00907C84">
        <w:rPr>
          <w:rFonts w:ascii="Book Antiqua" w:hAnsi="Book Antiqua" w:cs="Times New Roman"/>
          <w:sz w:val="24"/>
          <w:szCs w:val="24"/>
        </w:rPr>
        <w:t xml:space="preserve"> </w:t>
      </w:r>
      <w:r w:rsidR="00E8220F" w:rsidRPr="00E8220F">
        <w:rPr>
          <w:rFonts w:ascii="Book Antiqua" w:hAnsi="Book Antiqua" w:cs="Times New Roman"/>
          <w:i/>
          <w:sz w:val="24"/>
          <w:szCs w:val="24"/>
        </w:rPr>
        <w:t xml:space="preserve">et </w:t>
      </w:r>
      <w:proofErr w:type="gramStart"/>
      <w:r w:rsidR="00E8220F" w:rsidRPr="00E8220F">
        <w:rPr>
          <w:rFonts w:ascii="Book Antiqua" w:hAnsi="Book Antiqua" w:cs="Times New Roman"/>
          <w:i/>
          <w:sz w:val="24"/>
          <w:szCs w:val="24"/>
        </w:rPr>
        <w:t>al</w:t>
      </w:r>
      <w:r w:rsidR="00E8220F" w:rsidRPr="00E8220F">
        <w:rPr>
          <w:rFonts w:ascii="Book Antiqua" w:hAnsi="Book Antiqua" w:cs="Times New Roman"/>
          <w:sz w:val="24"/>
          <w:szCs w:val="24"/>
          <w:vertAlign w:val="superscript"/>
        </w:rPr>
        <w:t>[</w:t>
      </w:r>
      <w:proofErr w:type="gramEnd"/>
      <w:r w:rsidR="00E8220F" w:rsidRPr="00907C84">
        <w:rPr>
          <w:rFonts w:ascii="Book Antiqua" w:hAnsi="Book Antiqua" w:cs="Times New Roman"/>
          <w:sz w:val="24"/>
          <w:szCs w:val="24"/>
          <w:vertAlign w:val="superscript"/>
        </w:rPr>
        <w:t>19</w:t>
      </w:r>
      <w:r w:rsidR="00E8220F">
        <w:rPr>
          <w:rFonts w:ascii="Book Antiqua" w:hAnsi="Book Antiqua" w:cs="Times New Roman"/>
          <w:sz w:val="24"/>
          <w:szCs w:val="24"/>
          <w:vertAlign w:val="superscript"/>
        </w:rPr>
        <w:t>]</w:t>
      </w:r>
      <w:r w:rsidRPr="00907C84">
        <w:rPr>
          <w:rFonts w:ascii="Book Antiqua" w:hAnsi="Book Antiqua" w:cs="Times New Roman"/>
          <w:sz w:val="24"/>
          <w:szCs w:val="24"/>
        </w:rPr>
        <w:t xml:space="preserve"> performed a retrospective review of 2457 patients who underwent primary TJA. </w:t>
      </w:r>
      <w:r w:rsidR="00E8220F">
        <w:rPr>
          <w:rFonts w:ascii="Book Antiqua" w:hAnsi="Book Antiqua" w:cs="Times New Roman"/>
          <w:sz w:val="24"/>
          <w:szCs w:val="24"/>
        </w:rPr>
        <w:t>Seventy</w:t>
      </w:r>
      <w:r w:rsidR="00F42F20">
        <w:rPr>
          <w:rFonts w:ascii="Book Antiqua" w:hAnsi="Book Antiqua" w:cs="Times New Roman"/>
          <w:sz w:val="24"/>
          <w:szCs w:val="24"/>
        </w:rPr>
        <w:t>-nine point one percent</w:t>
      </w:r>
      <w:r w:rsidRPr="00907C84">
        <w:rPr>
          <w:rFonts w:ascii="Book Antiqua" w:hAnsi="Book Antiqua" w:cs="Times New Roman"/>
          <w:sz w:val="24"/>
          <w:szCs w:val="24"/>
        </w:rPr>
        <w:t xml:space="preserve"> of these patients received dental evaluation before the operation</w:t>
      </w:r>
      <w:r w:rsidR="00D675E4" w:rsidRPr="00907C84">
        <w:rPr>
          <w:rFonts w:ascii="Book Antiqua" w:hAnsi="Book Antiqua" w:cs="Times New Roman"/>
          <w:sz w:val="24"/>
          <w:szCs w:val="24"/>
        </w:rPr>
        <w:t xml:space="preserve">, however, </w:t>
      </w:r>
      <w:r w:rsidR="00253A2F" w:rsidRPr="00907C84">
        <w:rPr>
          <w:rFonts w:ascii="Book Antiqua" w:hAnsi="Book Antiqua" w:cs="Times New Roman"/>
          <w:sz w:val="24"/>
          <w:szCs w:val="24"/>
        </w:rPr>
        <w:t xml:space="preserve">it appears this was </w:t>
      </w:r>
      <w:r w:rsidR="00D675E4" w:rsidRPr="00907C84">
        <w:rPr>
          <w:rFonts w:ascii="Book Antiqua" w:hAnsi="Book Antiqua" w:cs="Times New Roman"/>
          <w:sz w:val="24"/>
          <w:szCs w:val="24"/>
        </w:rPr>
        <w:t xml:space="preserve">decided on an individualized basis and not </w:t>
      </w:r>
      <w:r w:rsidR="00253A2F" w:rsidRPr="00907C84">
        <w:rPr>
          <w:rFonts w:ascii="Book Antiqua" w:hAnsi="Book Antiqua" w:cs="Times New Roman"/>
          <w:sz w:val="24"/>
          <w:szCs w:val="24"/>
        </w:rPr>
        <w:t xml:space="preserve">based on </w:t>
      </w:r>
      <w:r w:rsidR="00D675E4" w:rsidRPr="00907C84">
        <w:rPr>
          <w:rFonts w:ascii="Book Antiqua" w:hAnsi="Book Antiqua" w:cs="Times New Roman"/>
          <w:sz w:val="24"/>
          <w:szCs w:val="24"/>
        </w:rPr>
        <w:t>a</w:t>
      </w:r>
      <w:r w:rsidR="00253A2F" w:rsidRPr="00907C84">
        <w:rPr>
          <w:rFonts w:ascii="Book Antiqua" w:hAnsi="Book Antiqua" w:cs="Times New Roman"/>
          <w:sz w:val="24"/>
          <w:szCs w:val="24"/>
        </w:rPr>
        <w:t xml:space="preserve"> predetermined,</w:t>
      </w:r>
      <w:r w:rsidR="00D675E4" w:rsidRPr="00907C84">
        <w:rPr>
          <w:rFonts w:ascii="Book Antiqua" w:hAnsi="Book Antiqua" w:cs="Times New Roman"/>
          <w:sz w:val="24"/>
          <w:szCs w:val="24"/>
        </w:rPr>
        <w:t xml:space="preserve"> randomized approach</w:t>
      </w:r>
      <w:r w:rsidRPr="00907C84">
        <w:rPr>
          <w:rFonts w:ascii="Book Antiqua" w:hAnsi="Book Antiqua" w:cs="Times New Roman"/>
          <w:sz w:val="24"/>
          <w:szCs w:val="24"/>
        </w:rPr>
        <w:t xml:space="preserve">. </w:t>
      </w:r>
      <w:r w:rsidR="007115C2" w:rsidRPr="00907C84">
        <w:rPr>
          <w:rFonts w:ascii="Book Antiqua" w:hAnsi="Book Antiqua" w:cs="Times New Roman"/>
          <w:sz w:val="24"/>
          <w:szCs w:val="24"/>
        </w:rPr>
        <w:t>Complication</w:t>
      </w:r>
      <w:r w:rsidR="00F317FE" w:rsidRPr="00907C84">
        <w:rPr>
          <w:rFonts w:ascii="Book Antiqua" w:hAnsi="Book Antiqua" w:cs="Times New Roman"/>
          <w:sz w:val="24"/>
          <w:szCs w:val="24"/>
        </w:rPr>
        <w:t>-</w:t>
      </w:r>
      <w:r w:rsidR="007115C2" w:rsidRPr="00907C84">
        <w:rPr>
          <w:rFonts w:ascii="Book Antiqua" w:hAnsi="Book Antiqua" w:cs="Times New Roman"/>
          <w:sz w:val="24"/>
          <w:szCs w:val="24"/>
        </w:rPr>
        <w:t xml:space="preserve">free rates at 36 </w:t>
      </w:r>
      <w:proofErr w:type="spellStart"/>
      <w:proofErr w:type="gramStart"/>
      <w:r w:rsidR="00E8220F">
        <w:rPr>
          <w:rFonts w:ascii="Book Antiqua" w:hAnsi="Book Antiqua" w:cs="Times New Roman"/>
          <w:sz w:val="24"/>
          <w:szCs w:val="24"/>
        </w:rPr>
        <w:t>mo</w:t>
      </w:r>
      <w:proofErr w:type="spellEnd"/>
      <w:proofErr w:type="gramEnd"/>
      <w:r w:rsidR="007115C2" w:rsidRPr="00907C84">
        <w:rPr>
          <w:rFonts w:ascii="Book Antiqua" w:hAnsi="Book Antiqua" w:cs="Times New Roman"/>
          <w:sz w:val="24"/>
          <w:szCs w:val="24"/>
        </w:rPr>
        <w:t xml:space="preserve"> w</w:t>
      </w:r>
      <w:r w:rsidR="00253A2F" w:rsidRPr="00907C84">
        <w:rPr>
          <w:rFonts w:ascii="Book Antiqua" w:hAnsi="Book Antiqua" w:cs="Times New Roman"/>
          <w:sz w:val="24"/>
          <w:szCs w:val="24"/>
        </w:rPr>
        <w:t>ere</w:t>
      </w:r>
      <w:r w:rsidR="007115C2" w:rsidRPr="00907C84">
        <w:rPr>
          <w:rFonts w:ascii="Book Antiqua" w:hAnsi="Book Antiqua" w:cs="Times New Roman"/>
          <w:sz w:val="24"/>
          <w:szCs w:val="24"/>
        </w:rPr>
        <w:t xml:space="preserve"> similar between</w:t>
      </w:r>
      <w:r w:rsidR="00F317FE" w:rsidRPr="00907C84">
        <w:rPr>
          <w:rFonts w:ascii="Book Antiqua" w:hAnsi="Book Antiqua" w:cs="Times New Roman"/>
          <w:sz w:val="24"/>
          <w:szCs w:val="24"/>
        </w:rPr>
        <w:t xml:space="preserve"> those who did and did not receive dental evaluation.</w:t>
      </w:r>
      <w:r w:rsidR="007115C2" w:rsidRPr="00907C84">
        <w:rPr>
          <w:rFonts w:ascii="Book Antiqua" w:hAnsi="Book Antiqua" w:cs="Times New Roman"/>
          <w:sz w:val="24"/>
          <w:szCs w:val="24"/>
        </w:rPr>
        <w:t xml:space="preserve"> </w:t>
      </w:r>
      <w:r w:rsidR="00F317FE" w:rsidRPr="00907C84">
        <w:rPr>
          <w:rFonts w:ascii="Book Antiqua" w:hAnsi="Book Antiqua" w:cs="Times New Roman"/>
          <w:sz w:val="24"/>
          <w:szCs w:val="24"/>
        </w:rPr>
        <w:t xml:space="preserve">Although </w:t>
      </w:r>
      <w:r w:rsidR="00253A2F" w:rsidRPr="00907C84">
        <w:rPr>
          <w:rFonts w:ascii="Book Antiqua" w:hAnsi="Book Antiqua" w:cs="Times New Roman"/>
          <w:sz w:val="24"/>
          <w:szCs w:val="24"/>
        </w:rPr>
        <w:t xml:space="preserve">not </w:t>
      </w:r>
      <w:r w:rsidR="00F317FE" w:rsidRPr="00907C84">
        <w:rPr>
          <w:rFonts w:ascii="Book Antiqua" w:hAnsi="Book Antiqua" w:cs="Times New Roman"/>
          <w:sz w:val="24"/>
          <w:szCs w:val="24"/>
        </w:rPr>
        <w:t>significant, both the dental evaluation and extraction groups appeared more hazardous than the groups</w:t>
      </w:r>
      <w:r w:rsidR="00253A2F" w:rsidRPr="00907C84">
        <w:rPr>
          <w:rFonts w:ascii="Book Antiqua" w:hAnsi="Book Antiqua" w:cs="Times New Roman"/>
          <w:sz w:val="24"/>
          <w:szCs w:val="24"/>
        </w:rPr>
        <w:t xml:space="preserve"> that did not have a dental workup</w:t>
      </w:r>
      <w:r w:rsidR="00F317FE" w:rsidRPr="00907C84">
        <w:rPr>
          <w:rFonts w:ascii="Book Antiqua" w:hAnsi="Book Antiqua" w:cs="Times New Roman"/>
          <w:sz w:val="24"/>
          <w:szCs w:val="24"/>
        </w:rPr>
        <w:t xml:space="preserve"> </w:t>
      </w:r>
      <w:r w:rsidR="000145E9">
        <w:rPr>
          <w:rFonts w:ascii="Book Antiqua" w:hAnsi="Book Antiqua" w:cs="Times New Roman"/>
          <w:sz w:val="24"/>
          <w:szCs w:val="24"/>
        </w:rPr>
        <w:t>[</w:t>
      </w:r>
      <w:r w:rsidR="000145E9" w:rsidRPr="000145E9">
        <w:rPr>
          <w:rFonts w:ascii="Book Antiqua" w:hAnsi="Book Antiqua" w:cs="Times New Roman"/>
          <w:sz w:val="24"/>
          <w:szCs w:val="24"/>
        </w:rPr>
        <w:t>Hazard ratio</w:t>
      </w:r>
      <w:r w:rsidR="000145E9">
        <w:rPr>
          <w:rFonts w:ascii="Book Antiqua" w:hAnsi="Book Antiqua" w:cs="Times New Roman"/>
          <w:sz w:val="24"/>
          <w:szCs w:val="24"/>
        </w:rPr>
        <w:t xml:space="preserve"> (</w:t>
      </w:r>
      <w:r w:rsidR="00F317FE" w:rsidRPr="00907C84">
        <w:rPr>
          <w:rFonts w:ascii="Book Antiqua" w:hAnsi="Book Antiqua" w:cs="Times New Roman"/>
          <w:sz w:val="24"/>
          <w:szCs w:val="24"/>
        </w:rPr>
        <w:t>HR</w:t>
      </w:r>
      <w:r w:rsidR="000145E9">
        <w:rPr>
          <w:rFonts w:ascii="Book Antiqua" w:hAnsi="Book Antiqua" w:cs="Times New Roman"/>
          <w:sz w:val="24"/>
          <w:szCs w:val="24"/>
        </w:rPr>
        <w:t>)</w:t>
      </w:r>
      <w:r w:rsidR="00F42F20">
        <w:rPr>
          <w:rFonts w:ascii="Book Antiqua" w:hAnsi="Book Antiqua" w:cs="Times New Roman"/>
          <w:sz w:val="24"/>
          <w:szCs w:val="24"/>
        </w:rPr>
        <w:t xml:space="preserve"> </w:t>
      </w:r>
      <w:r w:rsidR="00F317FE" w:rsidRPr="00907C84">
        <w:rPr>
          <w:rFonts w:ascii="Book Antiqua" w:hAnsi="Book Antiqua" w:cs="Times New Roman"/>
          <w:sz w:val="24"/>
          <w:szCs w:val="24"/>
        </w:rPr>
        <w:t>=</w:t>
      </w:r>
      <w:r w:rsidR="00F42F20">
        <w:rPr>
          <w:rFonts w:ascii="Book Antiqua" w:hAnsi="Book Antiqua" w:cs="Times New Roman"/>
          <w:sz w:val="24"/>
          <w:szCs w:val="24"/>
        </w:rPr>
        <w:t xml:space="preserve"> </w:t>
      </w:r>
      <w:r w:rsidR="00F317FE" w:rsidRPr="00907C84">
        <w:rPr>
          <w:rFonts w:ascii="Book Antiqua" w:hAnsi="Book Antiqua" w:cs="Times New Roman"/>
          <w:sz w:val="24"/>
          <w:szCs w:val="24"/>
        </w:rPr>
        <w:t>1.95</w:t>
      </w:r>
      <w:r w:rsidR="00F42F20">
        <w:rPr>
          <w:rFonts w:ascii="Book Antiqua" w:hAnsi="Book Antiqua" w:cs="Times New Roman"/>
          <w:sz w:val="24"/>
          <w:szCs w:val="24"/>
        </w:rPr>
        <w:t>,</w:t>
      </w:r>
      <w:r w:rsidR="00F317FE" w:rsidRPr="00907C84">
        <w:rPr>
          <w:rFonts w:ascii="Book Antiqua" w:hAnsi="Book Antiqua" w:cs="Times New Roman"/>
          <w:sz w:val="24"/>
          <w:szCs w:val="24"/>
        </w:rPr>
        <w:t xml:space="preserve"> </w:t>
      </w:r>
      <w:r w:rsidR="00F42F20" w:rsidRPr="00F42F20">
        <w:rPr>
          <w:rFonts w:ascii="Book Antiqua" w:hAnsi="Book Antiqua" w:cs="Times New Roman"/>
          <w:i/>
          <w:iCs/>
          <w:sz w:val="24"/>
          <w:szCs w:val="24"/>
        </w:rPr>
        <w:t>P</w:t>
      </w:r>
      <w:r w:rsidR="00F42F20">
        <w:rPr>
          <w:rFonts w:ascii="Book Antiqua" w:hAnsi="Book Antiqua" w:cs="Times New Roman"/>
          <w:sz w:val="24"/>
          <w:szCs w:val="24"/>
        </w:rPr>
        <w:t xml:space="preserve"> </w:t>
      </w:r>
      <w:r w:rsidR="00F317FE" w:rsidRPr="00907C84">
        <w:rPr>
          <w:rFonts w:ascii="Book Antiqua" w:hAnsi="Book Antiqua" w:cs="Times New Roman"/>
          <w:sz w:val="24"/>
          <w:szCs w:val="24"/>
        </w:rPr>
        <w:t>=</w:t>
      </w:r>
      <w:r w:rsidR="00F42F20">
        <w:rPr>
          <w:rFonts w:ascii="Book Antiqua" w:hAnsi="Book Antiqua" w:cs="Times New Roman"/>
          <w:sz w:val="24"/>
          <w:szCs w:val="24"/>
        </w:rPr>
        <w:t xml:space="preserve"> </w:t>
      </w:r>
      <w:r w:rsidR="00F317FE" w:rsidRPr="00907C84">
        <w:rPr>
          <w:rFonts w:ascii="Book Antiqua" w:hAnsi="Book Antiqua" w:cs="Times New Roman"/>
          <w:sz w:val="24"/>
          <w:szCs w:val="24"/>
        </w:rPr>
        <w:t>0.07 and HR</w:t>
      </w:r>
      <w:r w:rsidR="00F42F20">
        <w:rPr>
          <w:rFonts w:ascii="Book Antiqua" w:hAnsi="Book Antiqua" w:cs="Times New Roman"/>
          <w:sz w:val="24"/>
          <w:szCs w:val="24"/>
        </w:rPr>
        <w:t xml:space="preserve"> </w:t>
      </w:r>
      <w:r w:rsidR="00F317FE" w:rsidRPr="00907C84">
        <w:rPr>
          <w:rFonts w:ascii="Book Antiqua" w:hAnsi="Book Antiqua" w:cs="Times New Roman"/>
          <w:sz w:val="24"/>
          <w:szCs w:val="24"/>
        </w:rPr>
        <w:t>=</w:t>
      </w:r>
      <w:r w:rsidR="00F42F20">
        <w:rPr>
          <w:rFonts w:ascii="Book Antiqua" w:hAnsi="Book Antiqua" w:cs="Times New Roman"/>
          <w:sz w:val="24"/>
          <w:szCs w:val="24"/>
        </w:rPr>
        <w:t xml:space="preserve"> </w:t>
      </w:r>
      <w:r w:rsidR="00F317FE" w:rsidRPr="00907C84">
        <w:rPr>
          <w:rFonts w:ascii="Book Antiqua" w:hAnsi="Book Antiqua" w:cs="Times New Roman"/>
          <w:sz w:val="24"/>
          <w:szCs w:val="24"/>
        </w:rPr>
        <w:t>1.24</w:t>
      </w:r>
      <w:r w:rsidR="00F42F20">
        <w:rPr>
          <w:rFonts w:ascii="Book Antiqua" w:hAnsi="Book Antiqua" w:cs="Times New Roman"/>
          <w:sz w:val="24"/>
          <w:szCs w:val="24"/>
        </w:rPr>
        <w:t>,</w:t>
      </w:r>
      <w:r w:rsidR="00F317FE" w:rsidRPr="00907C84">
        <w:rPr>
          <w:rFonts w:ascii="Book Antiqua" w:hAnsi="Book Antiqua" w:cs="Times New Roman"/>
          <w:sz w:val="24"/>
          <w:szCs w:val="24"/>
        </w:rPr>
        <w:t xml:space="preserve"> </w:t>
      </w:r>
      <w:r w:rsidR="00F42F20" w:rsidRPr="00F42F20">
        <w:rPr>
          <w:rFonts w:ascii="Book Antiqua" w:hAnsi="Book Antiqua" w:cs="Times New Roman"/>
          <w:i/>
          <w:iCs/>
          <w:sz w:val="24"/>
          <w:szCs w:val="24"/>
        </w:rPr>
        <w:t>P</w:t>
      </w:r>
      <w:r w:rsidR="00F42F20">
        <w:rPr>
          <w:rFonts w:ascii="Book Antiqua" w:hAnsi="Book Antiqua" w:cs="Times New Roman"/>
          <w:sz w:val="24"/>
          <w:szCs w:val="24"/>
        </w:rPr>
        <w:t xml:space="preserve"> </w:t>
      </w:r>
      <w:r w:rsidR="00F317FE" w:rsidRPr="00907C84">
        <w:rPr>
          <w:rFonts w:ascii="Book Antiqua" w:hAnsi="Book Antiqua" w:cs="Times New Roman"/>
          <w:sz w:val="24"/>
          <w:szCs w:val="24"/>
        </w:rPr>
        <w:t>=</w:t>
      </w:r>
      <w:r w:rsidR="00F42F20">
        <w:rPr>
          <w:rFonts w:ascii="Book Antiqua" w:hAnsi="Book Antiqua" w:cs="Times New Roman"/>
          <w:sz w:val="24"/>
          <w:szCs w:val="24"/>
        </w:rPr>
        <w:t xml:space="preserve"> </w:t>
      </w:r>
      <w:r w:rsidR="00F317FE" w:rsidRPr="00907C84">
        <w:rPr>
          <w:rFonts w:ascii="Book Antiqua" w:hAnsi="Book Antiqua" w:cs="Times New Roman"/>
          <w:sz w:val="24"/>
          <w:szCs w:val="24"/>
        </w:rPr>
        <w:t>0.57</w:t>
      </w:r>
      <w:r w:rsidR="000145E9">
        <w:rPr>
          <w:rFonts w:ascii="Book Antiqua" w:hAnsi="Book Antiqua" w:cs="Times New Roman"/>
          <w:sz w:val="24"/>
          <w:szCs w:val="24"/>
        </w:rPr>
        <w:t>]</w:t>
      </w:r>
      <w:r w:rsidR="00F317FE" w:rsidRPr="00907C84">
        <w:rPr>
          <w:rFonts w:ascii="Book Antiqua" w:hAnsi="Book Antiqua" w:cs="Times New Roman"/>
          <w:sz w:val="24"/>
          <w:szCs w:val="24"/>
        </w:rPr>
        <w:t xml:space="preserve">. </w:t>
      </w:r>
      <w:r w:rsidR="007115C2" w:rsidRPr="00907C84">
        <w:rPr>
          <w:rFonts w:ascii="Book Antiqua" w:hAnsi="Book Antiqua" w:cs="Times New Roman"/>
          <w:sz w:val="24"/>
          <w:szCs w:val="24"/>
        </w:rPr>
        <w:t>The rate of PJI was measured to be 1.51%</w:t>
      </w:r>
      <w:proofErr w:type="gramStart"/>
      <w:r w:rsidR="007115C2" w:rsidRPr="00907C84">
        <w:rPr>
          <w:rFonts w:ascii="Book Antiqua" w:hAnsi="Book Antiqua" w:cs="Times New Roman"/>
          <w:sz w:val="24"/>
          <w:szCs w:val="24"/>
        </w:rPr>
        <w:t>,</w:t>
      </w:r>
      <w:proofErr w:type="gramEnd"/>
      <w:r w:rsidR="007115C2" w:rsidRPr="00907C84">
        <w:rPr>
          <w:rFonts w:ascii="Book Antiqua" w:hAnsi="Book Antiqua" w:cs="Times New Roman"/>
          <w:sz w:val="24"/>
          <w:szCs w:val="24"/>
        </w:rPr>
        <w:t xml:space="preserve"> however this was not compared between groups. </w:t>
      </w:r>
    </w:p>
    <w:p w14:paraId="7E8D49AD" w14:textId="77777777" w:rsidR="00991DD1" w:rsidRPr="00907C84" w:rsidRDefault="00991DD1" w:rsidP="00907C84">
      <w:pPr>
        <w:adjustRightInd w:val="0"/>
        <w:snapToGrid w:val="0"/>
        <w:spacing w:after="0" w:line="360" w:lineRule="auto"/>
        <w:jc w:val="both"/>
        <w:rPr>
          <w:rFonts w:ascii="Book Antiqua" w:hAnsi="Book Antiqua" w:cs="Times New Roman"/>
          <w:sz w:val="24"/>
          <w:szCs w:val="24"/>
        </w:rPr>
      </w:pPr>
    </w:p>
    <w:p w14:paraId="3459ED2F" w14:textId="3EC18E72" w:rsidR="00AF1C19" w:rsidRPr="00907C84" w:rsidRDefault="003915E4" w:rsidP="00907C84">
      <w:pPr>
        <w:adjustRightInd w:val="0"/>
        <w:snapToGrid w:val="0"/>
        <w:spacing w:after="0" w:line="360" w:lineRule="auto"/>
        <w:jc w:val="both"/>
        <w:rPr>
          <w:rFonts w:ascii="Book Antiqua" w:hAnsi="Book Antiqua" w:cs="Times New Roman"/>
          <w:b/>
          <w:sz w:val="24"/>
          <w:szCs w:val="24"/>
        </w:rPr>
      </w:pPr>
      <w:r w:rsidRPr="00907C84">
        <w:rPr>
          <w:rFonts w:ascii="Book Antiqua" w:hAnsi="Book Antiqua" w:cs="Times New Roman"/>
          <w:b/>
          <w:sz w:val="24"/>
          <w:szCs w:val="24"/>
        </w:rPr>
        <w:t>DISCUSSION</w:t>
      </w:r>
    </w:p>
    <w:p w14:paraId="6A1CB069" w14:textId="493D6F34" w:rsidR="00617A18" w:rsidRPr="00907C84" w:rsidRDefault="00CD5890" w:rsidP="00907C84">
      <w:pPr>
        <w:adjustRightInd w:val="0"/>
        <w:snapToGrid w:val="0"/>
        <w:spacing w:after="0" w:line="360" w:lineRule="auto"/>
        <w:jc w:val="both"/>
        <w:rPr>
          <w:rFonts w:ascii="Book Antiqua" w:hAnsi="Book Antiqua" w:cs="Times New Roman"/>
          <w:sz w:val="24"/>
          <w:szCs w:val="24"/>
        </w:rPr>
      </w:pPr>
      <w:r w:rsidRPr="00907C84">
        <w:rPr>
          <w:rFonts w:ascii="Book Antiqua" w:hAnsi="Book Antiqua" w:cs="Times New Roman"/>
          <w:sz w:val="24"/>
          <w:szCs w:val="24"/>
        </w:rPr>
        <w:t xml:space="preserve">In this systematic review, we attempted to capture the </w:t>
      </w:r>
      <w:r w:rsidR="001C57F7" w:rsidRPr="00907C84">
        <w:rPr>
          <w:rFonts w:ascii="Book Antiqua" w:hAnsi="Book Antiqua" w:cs="Times New Roman"/>
          <w:sz w:val="24"/>
          <w:szCs w:val="24"/>
        </w:rPr>
        <w:t>prevalence of dental pathology</w:t>
      </w:r>
      <w:r w:rsidR="005B358D" w:rsidRPr="00907C84">
        <w:rPr>
          <w:rFonts w:ascii="Book Antiqua" w:hAnsi="Book Antiqua" w:cs="Times New Roman"/>
          <w:sz w:val="24"/>
          <w:szCs w:val="24"/>
        </w:rPr>
        <w:t xml:space="preserve"> and risk factors in</w:t>
      </w:r>
      <w:r w:rsidR="001C57F7" w:rsidRPr="00907C84">
        <w:rPr>
          <w:rFonts w:ascii="Book Antiqua" w:hAnsi="Book Antiqua" w:cs="Times New Roman"/>
          <w:sz w:val="24"/>
          <w:szCs w:val="24"/>
        </w:rPr>
        <w:t xml:space="preserve"> populations in consideration for TJA as well as the impact of dental clearance and interventions on the outcomes of TJA procedures. </w:t>
      </w:r>
      <w:r w:rsidR="00A123BC" w:rsidRPr="00907C84">
        <w:rPr>
          <w:rFonts w:ascii="Book Antiqua" w:hAnsi="Book Antiqua" w:cs="Times New Roman"/>
          <w:sz w:val="24"/>
          <w:szCs w:val="24"/>
        </w:rPr>
        <w:t xml:space="preserve">In order to advocate for the institution of these rules, </w:t>
      </w:r>
      <w:r w:rsidR="00826ABE" w:rsidRPr="00907C84">
        <w:rPr>
          <w:rFonts w:ascii="Book Antiqua" w:hAnsi="Book Antiqua" w:cs="Times New Roman"/>
          <w:sz w:val="24"/>
          <w:szCs w:val="24"/>
        </w:rPr>
        <w:t>the benefits of pre-operative dental evaluation must outweigh the</w:t>
      </w:r>
      <w:r w:rsidR="00A123BC" w:rsidRPr="00907C84">
        <w:rPr>
          <w:rFonts w:ascii="Book Antiqua" w:hAnsi="Book Antiqua" w:cs="Times New Roman"/>
          <w:sz w:val="24"/>
          <w:szCs w:val="24"/>
        </w:rPr>
        <w:t xml:space="preserve"> </w:t>
      </w:r>
      <w:r w:rsidR="00826ABE" w:rsidRPr="00907C84">
        <w:rPr>
          <w:rFonts w:ascii="Book Antiqua" w:hAnsi="Book Antiqua" w:cs="Times New Roman"/>
          <w:sz w:val="24"/>
          <w:szCs w:val="24"/>
        </w:rPr>
        <w:t>not</w:t>
      </w:r>
      <w:r w:rsidR="00AC296F" w:rsidRPr="00907C84">
        <w:rPr>
          <w:rFonts w:ascii="Book Antiqua" w:hAnsi="Book Antiqua" w:cs="Times New Roman"/>
          <w:sz w:val="24"/>
          <w:szCs w:val="24"/>
        </w:rPr>
        <w:t>-</w:t>
      </w:r>
      <w:r w:rsidR="00826ABE" w:rsidRPr="00907C84">
        <w:rPr>
          <w:rFonts w:ascii="Book Antiqua" w:hAnsi="Book Antiqua" w:cs="Times New Roman"/>
          <w:sz w:val="24"/>
          <w:szCs w:val="24"/>
        </w:rPr>
        <w:t xml:space="preserve">insignificant </w:t>
      </w:r>
      <w:r w:rsidR="00A123BC" w:rsidRPr="00907C84">
        <w:rPr>
          <w:rFonts w:ascii="Book Antiqua" w:hAnsi="Book Antiqua" w:cs="Times New Roman"/>
          <w:sz w:val="24"/>
          <w:szCs w:val="24"/>
        </w:rPr>
        <w:t>costs imposed on patients and the healthcare system at a whole</w:t>
      </w:r>
      <w:r w:rsidR="00826ABE" w:rsidRPr="00907C84">
        <w:rPr>
          <w:rFonts w:ascii="Book Antiqua" w:hAnsi="Book Antiqua" w:cs="Times New Roman"/>
          <w:sz w:val="24"/>
          <w:szCs w:val="24"/>
        </w:rPr>
        <w:t xml:space="preserve">. </w:t>
      </w:r>
      <w:r w:rsidR="00497912" w:rsidRPr="00907C84">
        <w:rPr>
          <w:rFonts w:ascii="Book Antiqua" w:hAnsi="Book Antiqua" w:cs="Times New Roman"/>
          <w:sz w:val="24"/>
          <w:szCs w:val="24"/>
        </w:rPr>
        <w:t xml:space="preserve">Overall, there is not enough concrete evidence to support dental evaluation for all patients. </w:t>
      </w:r>
    </w:p>
    <w:p w14:paraId="2A661220" w14:textId="5C3221E0" w:rsidR="001C57F7" w:rsidRPr="00907C84" w:rsidRDefault="00D14BB5" w:rsidP="00F42F20">
      <w:pPr>
        <w:adjustRightInd w:val="0"/>
        <w:snapToGrid w:val="0"/>
        <w:spacing w:after="0" w:line="360" w:lineRule="auto"/>
        <w:ind w:firstLineChars="100" w:firstLine="240"/>
        <w:jc w:val="both"/>
        <w:rPr>
          <w:rFonts w:ascii="Book Antiqua" w:hAnsi="Book Antiqua" w:cs="Times New Roman"/>
          <w:sz w:val="24"/>
          <w:szCs w:val="24"/>
        </w:rPr>
      </w:pPr>
      <w:r w:rsidRPr="00907C84">
        <w:rPr>
          <w:rFonts w:ascii="Book Antiqua" w:hAnsi="Book Antiqua" w:cs="Times New Roman"/>
          <w:sz w:val="24"/>
          <w:szCs w:val="24"/>
        </w:rPr>
        <w:t xml:space="preserve">We included four studies that paint a picture of dental health of TJA patients. Failure of dental clearance ranged from </w:t>
      </w:r>
      <w:r w:rsidR="006E6444" w:rsidRPr="00907C84">
        <w:rPr>
          <w:rFonts w:ascii="Book Antiqua" w:hAnsi="Book Antiqua" w:cs="Times New Roman"/>
          <w:sz w:val="24"/>
          <w:szCs w:val="24"/>
        </w:rPr>
        <w:t>8.8</w:t>
      </w:r>
      <w:proofErr w:type="gramStart"/>
      <w:r w:rsidRPr="00907C84">
        <w:rPr>
          <w:rFonts w:ascii="Book Antiqua" w:hAnsi="Book Antiqua" w:cs="Times New Roman"/>
          <w:sz w:val="24"/>
          <w:szCs w:val="24"/>
        </w:rPr>
        <w:t>%</w:t>
      </w:r>
      <w:r w:rsidR="00F42F20" w:rsidRPr="00F42F20">
        <w:rPr>
          <w:rFonts w:ascii="Book Antiqua" w:hAnsi="Book Antiqua" w:cs="Times New Roman"/>
          <w:sz w:val="24"/>
          <w:szCs w:val="24"/>
          <w:vertAlign w:val="superscript"/>
        </w:rPr>
        <w:t>[</w:t>
      </w:r>
      <w:proofErr w:type="gramEnd"/>
      <w:r w:rsidR="007C207D" w:rsidRPr="00F42F20">
        <w:rPr>
          <w:rFonts w:ascii="Book Antiqua" w:hAnsi="Book Antiqua" w:cs="Times New Roman"/>
          <w:sz w:val="24"/>
          <w:szCs w:val="24"/>
          <w:vertAlign w:val="superscript"/>
        </w:rPr>
        <w:t>1</w:t>
      </w:r>
      <w:r w:rsidR="006E6444" w:rsidRPr="00F42F20">
        <w:rPr>
          <w:rFonts w:ascii="Book Antiqua" w:hAnsi="Book Antiqua" w:cs="Times New Roman"/>
          <w:sz w:val="24"/>
          <w:szCs w:val="24"/>
          <w:vertAlign w:val="superscript"/>
        </w:rPr>
        <w:t>7</w:t>
      </w:r>
      <w:r w:rsidR="00F42F20" w:rsidRPr="00F42F20">
        <w:rPr>
          <w:rFonts w:ascii="Book Antiqua" w:hAnsi="Book Antiqua" w:cs="Times New Roman"/>
          <w:sz w:val="24"/>
          <w:szCs w:val="24"/>
          <w:vertAlign w:val="superscript"/>
        </w:rPr>
        <w:t>]</w:t>
      </w:r>
      <w:r w:rsidRPr="00907C84">
        <w:rPr>
          <w:rFonts w:ascii="Book Antiqua" w:hAnsi="Book Antiqua" w:cs="Times New Roman"/>
          <w:sz w:val="24"/>
          <w:szCs w:val="24"/>
        </w:rPr>
        <w:t xml:space="preserve"> to 29.4%</w:t>
      </w:r>
      <w:r w:rsidR="00F42F20" w:rsidRPr="00F42F20">
        <w:rPr>
          <w:rFonts w:ascii="Book Antiqua" w:hAnsi="Book Antiqua" w:cs="Times New Roman"/>
          <w:sz w:val="24"/>
          <w:szCs w:val="24"/>
          <w:vertAlign w:val="superscript"/>
        </w:rPr>
        <w:t>[</w:t>
      </w:r>
      <w:r w:rsidRPr="00907C84">
        <w:rPr>
          <w:rFonts w:ascii="Book Antiqua" w:hAnsi="Book Antiqua" w:cs="Times New Roman"/>
          <w:sz w:val="24"/>
          <w:szCs w:val="24"/>
          <w:vertAlign w:val="superscript"/>
        </w:rPr>
        <w:t>14</w:t>
      </w:r>
      <w:r w:rsidR="00F42F20">
        <w:rPr>
          <w:rFonts w:ascii="Book Antiqua" w:hAnsi="Book Antiqua" w:cs="Times New Roman"/>
          <w:sz w:val="24"/>
          <w:szCs w:val="24"/>
          <w:vertAlign w:val="superscript"/>
        </w:rPr>
        <w:t>]</w:t>
      </w:r>
      <w:r w:rsidR="007C207D" w:rsidRPr="00907C84">
        <w:rPr>
          <w:rFonts w:ascii="Book Antiqua" w:hAnsi="Book Antiqua" w:cs="Times New Roman"/>
          <w:sz w:val="24"/>
          <w:szCs w:val="24"/>
        </w:rPr>
        <w:t>.</w:t>
      </w:r>
      <w:r w:rsidRPr="00907C84">
        <w:rPr>
          <w:rFonts w:ascii="Book Antiqua" w:hAnsi="Book Antiqua" w:cs="Times New Roman"/>
          <w:sz w:val="24"/>
          <w:szCs w:val="24"/>
        </w:rPr>
        <w:t xml:space="preserve"> However, the </w:t>
      </w:r>
      <w:r w:rsidR="006E6444" w:rsidRPr="00907C84">
        <w:rPr>
          <w:rFonts w:ascii="Book Antiqua" w:hAnsi="Book Antiqua" w:cs="Times New Roman"/>
          <w:sz w:val="24"/>
          <w:szCs w:val="24"/>
        </w:rPr>
        <w:t>standards</w:t>
      </w:r>
      <w:r w:rsidRPr="00907C84">
        <w:rPr>
          <w:rFonts w:ascii="Book Antiqua" w:hAnsi="Book Antiqua" w:cs="Times New Roman"/>
          <w:sz w:val="24"/>
          <w:szCs w:val="24"/>
        </w:rPr>
        <w:t xml:space="preserve"> </w:t>
      </w:r>
      <w:r w:rsidR="006E6444" w:rsidRPr="00907C84">
        <w:rPr>
          <w:rFonts w:ascii="Book Antiqua" w:hAnsi="Book Antiqua" w:cs="Times New Roman"/>
          <w:sz w:val="24"/>
          <w:szCs w:val="24"/>
        </w:rPr>
        <w:t xml:space="preserve">for evaluation varied. The criteria </w:t>
      </w:r>
      <w:r w:rsidRPr="00907C84">
        <w:rPr>
          <w:rFonts w:ascii="Book Antiqua" w:hAnsi="Book Antiqua" w:cs="Times New Roman"/>
          <w:sz w:val="24"/>
          <w:szCs w:val="24"/>
        </w:rPr>
        <w:t xml:space="preserve">used by </w:t>
      </w:r>
      <w:proofErr w:type="spellStart"/>
      <w:r w:rsidRPr="00907C84">
        <w:rPr>
          <w:rFonts w:ascii="Book Antiqua" w:hAnsi="Book Antiqua" w:cs="Times New Roman"/>
          <w:sz w:val="24"/>
          <w:szCs w:val="24"/>
        </w:rPr>
        <w:t>Tokarski</w:t>
      </w:r>
      <w:proofErr w:type="spellEnd"/>
      <w:r w:rsidRPr="00907C84">
        <w:rPr>
          <w:rFonts w:ascii="Book Antiqua" w:hAnsi="Book Antiqua" w:cs="Times New Roman"/>
          <w:sz w:val="24"/>
          <w:szCs w:val="24"/>
        </w:rPr>
        <w:t xml:space="preserve"> </w:t>
      </w:r>
      <w:r w:rsidR="00E8220F" w:rsidRPr="00E8220F">
        <w:rPr>
          <w:rFonts w:ascii="Book Antiqua" w:hAnsi="Book Antiqua" w:cs="Times New Roman"/>
          <w:i/>
          <w:sz w:val="24"/>
          <w:szCs w:val="24"/>
        </w:rPr>
        <w:t xml:space="preserve">et </w:t>
      </w:r>
      <w:proofErr w:type="gramStart"/>
      <w:r w:rsidR="00E8220F" w:rsidRPr="00E8220F">
        <w:rPr>
          <w:rFonts w:ascii="Book Antiqua" w:hAnsi="Book Antiqua" w:cs="Times New Roman"/>
          <w:i/>
          <w:sz w:val="24"/>
          <w:szCs w:val="24"/>
        </w:rPr>
        <w:t>al</w:t>
      </w:r>
      <w:r w:rsidR="00F42F20" w:rsidRPr="00F42F20">
        <w:rPr>
          <w:rFonts w:ascii="Book Antiqua" w:hAnsi="Book Antiqua" w:cs="Times New Roman"/>
          <w:sz w:val="24"/>
          <w:szCs w:val="24"/>
          <w:vertAlign w:val="superscript"/>
        </w:rPr>
        <w:t>[</w:t>
      </w:r>
      <w:proofErr w:type="gramEnd"/>
      <w:r w:rsidR="00F42F20" w:rsidRPr="00907C84">
        <w:rPr>
          <w:rFonts w:ascii="Book Antiqua" w:hAnsi="Book Antiqua" w:cs="Times New Roman"/>
          <w:sz w:val="24"/>
          <w:szCs w:val="24"/>
          <w:vertAlign w:val="superscript"/>
        </w:rPr>
        <w:t>13</w:t>
      </w:r>
      <w:r w:rsidR="00F42F20">
        <w:rPr>
          <w:rFonts w:ascii="Book Antiqua" w:hAnsi="Book Antiqua" w:cs="Times New Roman"/>
          <w:sz w:val="24"/>
          <w:szCs w:val="24"/>
          <w:vertAlign w:val="superscript"/>
        </w:rPr>
        <w:t>]</w:t>
      </w:r>
      <w:r w:rsidRPr="00907C84">
        <w:rPr>
          <w:rFonts w:ascii="Book Antiqua" w:hAnsi="Book Antiqua" w:cs="Times New Roman"/>
          <w:sz w:val="24"/>
          <w:szCs w:val="24"/>
        </w:rPr>
        <w:t xml:space="preserve"> measured failure as requiring tooth extraction or root canal. In fact, when carious lesions are included</w:t>
      </w:r>
      <w:r w:rsidR="006E6444" w:rsidRPr="00907C84">
        <w:rPr>
          <w:rFonts w:ascii="Book Antiqua" w:hAnsi="Book Antiqua" w:cs="Times New Roman"/>
          <w:sz w:val="24"/>
          <w:szCs w:val="24"/>
        </w:rPr>
        <w:t>,</w:t>
      </w:r>
      <w:r w:rsidRPr="00907C84">
        <w:rPr>
          <w:rFonts w:ascii="Book Antiqua" w:hAnsi="Book Antiqua" w:cs="Times New Roman"/>
          <w:sz w:val="24"/>
          <w:szCs w:val="24"/>
        </w:rPr>
        <w:t xml:space="preserve"> failure rate</w:t>
      </w:r>
      <w:r w:rsidR="006E6444" w:rsidRPr="00907C84">
        <w:rPr>
          <w:rFonts w:ascii="Book Antiqua" w:hAnsi="Book Antiqua" w:cs="Times New Roman"/>
          <w:sz w:val="24"/>
          <w:szCs w:val="24"/>
        </w:rPr>
        <w:t>s increased from 12%</w:t>
      </w:r>
      <w:r w:rsidRPr="00907C84">
        <w:rPr>
          <w:rFonts w:ascii="Book Antiqua" w:hAnsi="Book Antiqua" w:cs="Times New Roman"/>
          <w:sz w:val="24"/>
          <w:szCs w:val="24"/>
        </w:rPr>
        <w:t xml:space="preserve"> to 19</w:t>
      </w:r>
      <w:proofErr w:type="gramStart"/>
      <w:r w:rsidRPr="00907C84">
        <w:rPr>
          <w:rFonts w:ascii="Book Antiqua" w:hAnsi="Book Antiqua" w:cs="Times New Roman"/>
          <w:sz w:val="24"/>
          <w:szCs w:val="24"/>
        </w:rPr>
        <w:t>%</w:t>
      </w:r>
      <w:r w:rsidR="00F42F20" w:rsidRPr="00F42F20">
        <w:rPr>
          <w:rFonts w:ascii="Book Antiqua" w:hAnsi="Book Antiqua" w:cs="Times New Roman"/>
          <w:sz w:val="24"/>
          <w:szCs w:val="24"/>
          <w:vertAlign w:val="superscript"/>
        </w:rPr>
        <w:t>[</w:t>
      </w:r>
      <w:proofErr w:type="gramEnd"/>
      <w:r w:rsidR="00F42F20" w:rsidRPr="00907C84">
        <w:rPr>
          <w:rFonts w:ascii="Book Antiqua" w:hAnsi="Book Antiqua" w:cs="Times New Roman"/>
          <w:sz w:val="24"/>
          <w:szCs w:val="24"/>
          <w:vertAlign w:val="superscript"/>
        </w:rPr>
        <w:t>13</w:t>
      </w:r>
      <w:r w:rsidR="00F42F20">
        <w:rPr>
          <w:rFonts w:ascii="Book Antiqua" w:hAnsi="Book Antiqua" w:cs="Times New Roman"/>
          <w:sz w:val="24"/>
          <w:szCs w:val="24"/>
          <w:vertAlign w:val="superscript"/>
        </w:rPr>
        <w:t>]</w:t>
      </w:r>
      <w:r w:rsidRPr="00907C84">
        <w:rPr>
          <w:rFonts w:ascii="Book Antiqua" w:hAnsi="Book Antiqua" w:cs="Times New Roman"/>
          <w:sz w:val="24"/>
          <w:szCs w:val="24"/>
        </w:rPr>
        <w:t xml:space="preserve">. </w:t>
      </w:r>
      <w:r w:rsidR="006E6444" w:rsidRPr="00907C84">
        <w:rPr>
          <w:rFonts w:ascii="Book Antiqua" w:hAnsi="Book Antiqua" w:cs="Times New Roman"/>
          <w:sz w:val="24"/>
          <w:szCs w:val="24"/>
        </w:rPr>
        <w:t xml:space="preserve">Similarly, Lampley </w:t>
      </w:r>
      <w:r w:rsidR="00E8220F" w:rsidRPr="00E8220F">
        <w:rPr>
          <w:rFonts w:ascii="Book Antiqua" w:hAnsi="Book Antiqua" w:cs="Times New Roman"/>
          <w:i/>
          <w:sz w:val="24"/>
          <w:szCs w:val="24"/>
        </w:rPr>
        <w:t xml:space="preserve">et </w:t>
      </w:r>
      <w:proofErr w:type="gramStart"/>
      <w:r w:rsidR="00E8220F" w:rsidRPr="00E8220F">
        <w:rPr>
          <w:rFonts w:ascii="Book Antiqua" w:hAnsi="Book Antiqua" w:cs="Times New Roman"/>
          <w:i/>
          <w:sz w:val="24"/>
          <w:szCs w:val="24"/>
        </w:rPr>
        <w:t>al</w:t>
      </w:r>
      <w:r w:rsidR="00F42F20" w:rsidRPr="00F42F20">
        <w:rPr>
          <w:rFonts w:ascii="Book Antiqua" w:hAnsi="Book Antiqua" w:cs="Times New Roman"/>
          <w:sz w:val="24"/>
          <w:szCs w:val="24"/>
          <w:vertAlign w:val="superscript"/>
        </w:rPr>
        <w:t>[</w:t>
      </w:r>
      <w:proofErr w:type="gramEnd"/>
      <w:r w:rsidR="00F42F20" w:rsidRPr="00907C84">
        <w:rPr>
          <w:rFonts w:ascii="Book Antiqua" w:hAnsi="Book Antiqua" w:cs="Times New Roman"/>
          <w:sz w:val="24"/>
          <w:szCs w:val="24"/>
          <w:vertAlign w:val="superscript"/>
        </w:rPr>
        <w:t>17</w:t>
      </w:r>
      <w:r w:rsidR="00F42F20">
        <w:rPr>
          <w:rFonts w:ascii="Book Antiqua" w:hAnsi="Book Antiqua" w:cs="Times New Roman"/>
          <w:sz w:val="24"/>
          <w:szCs w:val="24"/>
          <w:vertAlign w:val="superscript"/>
        </w:rPr>
        <w:t>]</w:t>
      </w:r>
      <w:r w:rsidR="006E6444" w:rsidRPr="00907C84">
        <w:rPr>
          <w:rFonts w:ascii="Book Antiqua" w:hAnsi="Book Antiqua" w:cs="Times New Roman"/>
          <w:sz w:val="24"/>
          <w:szCs w:val="24"/>
        </w:rPr>
        <w:t xml:space="preserve"> measured failure as dental pathology necessitating intervention prior to surgery</w:t>
      </w:r>
      <w:r w:rsidR="005B358D" w:rsidRPr="00907C84">
        <w:rPr>
          <w:rFonts w:ascii="Book Antiqua" w:hAnsi="Book Antiqua" w:cs="Times New Roman"/>
          <w:sz w:val="24"/>
          <w:szCs w:val="24"/>
        </w:rPr>
        <w:t xml:space="preserve"> and only found a failure rate of 8.8%</w:t>
      </w:r>
      <w:r w:rsidR="006E6444" w:rsidRPr="00907C84">
        <w:rPr>
          <w:rFonts w:ascii="Book Antiqua" w:hAnsi="Book Antiqua" w:cs="Times New Roman"/>
          <w:sz w:val="24"/>
          <w:szCs w:val="24"/>
        </w:rPr>
        <w:t xml:space="preserve">. </w:t>
      </w:r>
      <w:r w:rsidR="007C207D" w:rsidRPr="00907C84">
        <w:rPr>
          <w:rFonts w:ascii="Book Antiqua" w:hAnsi="Book Antiqua" w:cs="Times New Roman"/>
          <w:sz w:val="24"/>
          <w:szCs w:val="24"/>
        </w:rPr>
        <w:t>Wood and colleagues detected good overall dental hygiene at a tertiary care center in Canada with 76% having</w:t>
      </w:r>
      <w:r w:rsidR="00281BA7" w:rsidRPr="00907C84">
        <w:rPr>
          <w:rFonts w:ascii="Book Antiqua" w:hAnsi="Book Antiqua" w:cs="Times New Roman"/>
          <w:sz w:val="24"/>
          <w:szCs w:val="24"/>
        </w:rPr>
        <w:t xml:space="preserve"> had a</w:t>
      </w:r>
      <w:r w:rsidR="007C207D" w:rsidRPr="00907C84">
        <w:rPr>
          <w:rFonts w:ascii="Book Antiqua" w:hAnsi="Book Antiqua" w:cs="Times New Roman"/>
          <w:sz w:val="24"/>
          <w:szCs w:val="24"/>
        </w:rPr>
        <w:t xml:space="preserve"> dental checkup within the previous 12 </w:t>
      </w:r>
      <w:proofErr w:type="spellStart"/>
      <w:r w:rsidR="00E8220F">
        <w:rPr>
          <w:rFonts w:ascii="Book Antiqua" w:hAnsi="Book Antiqua" w:cs="Times New Roman"/>
          <w:sz w:val="24"/>
          <w:szCs w:val="24"/>
        </w:rPr>
        <w:t>mo</w:t>
      </w:r>
      <w:proofErr w:type="spellEnd"/>
      <w:r w:rsidR="007C207D" w:rsidRPr="00907C84">
        <w:rPr>
          <w:rFonts w:ascii="Book Antiqua" w:hAnsi="Book Antiqua" w:cs="Times New Roman"/>
          <w:sz w:val="24"/>
          <w:szCs w:val="24"/>
        </w:rPr>
        <w:t xml:space="preserve"> and only 5% admitting to not seeing a </w:t>
      </w:r>
      <w:proofErr w:type="gramStart"/>
      <w:r w:rsidR="007C207D" w:rsidRPr="00907C84">
        <w:rPr>
          <w:rFonts w:ascii="Book Antiqua" w:hAnsi="Book Antiqua" w:cs="Times New Roman"/>
          <w:sz w:val="24"/>
          <w:szCs w:val="24"/>
        </w:rPr>
        <w:t>dentist</w:t>
      </w:r>
      <w:r w:rsidR="00F42F20" w:rsidRPr="00F42F20">
        <w:rPr>
          <w:rFonts w:ascii="Book Antiqua" w:hAnsi="Book Antiqua" w:cs="Times New Roman"/>
          <w:sz w:val="24"/>
          <w:szCs w:val="24"/>
          <w:vertAlign w:val="superscript"/>
        </w:rPr>
        <w:t>[</w:t>
      </w:r>
      <w:proofErr w:type="gramEnd"/>
      <w:r w:rsidR="00F42F20" w:rsidRPr="00907C84">
        <w:rPr>
          <w:rFonts w:ascii="Book Antiqua" w:hAnsi="Book Antiqua" w:cs="Times New Roman"/>
          <w:sz w:val="24"/>
          <w:szCs w:val="24"/>
          <w:vertAlign w:val="superscript"/>
        </w:rPr>
        <w:t>15</w:t>
      </w:r>
      <w:r w:rsidR="00F42F20">
        <w:rPr>
          <w:rFonts w:ascii="Book Antiqua" w:hAnsi="Book Antiqua" w:cs="Times New Roman"/>
          <w:sz w:val="24"/>
          <w:szCs w:val="24"/>
          <w:vertAlign w:val="superscript"/>
        </w:rPr>
        <w:t>]</w:t>
      </w:r>
      <w:r w:rsidR="007C207D" w:rsidRPr="00907C84">
        <w:rPr>
          <w:rFonts w:ascii="Book Antiqua" w:hAnsi="Book Antiqua" w:cs="Times New Roman"/>
          <w:sz w:val="24"/>
          <w:szCs w:val="24"/>
        </w:rPr>
        <w:t xml:space="preserve">. </w:t>
      </w:r>
      <w:r w:rsidRPr="00907C84">
        <w:rPr>
          <w:rFonts w:ascii="Book Antiqua" w:hAnsi="Book Antiqua" w:cs="Times New Roman"/>
          <w:sz w:val="24"/>
          <w:szCs w:val="24"/>
        </w:rPr>
        <w:t xml:space="preserve">When compared by region, </w:t>
      </w:r>
      <w:r w:rsidR="007C207D" w:rsidRPr="00907C84">
        <w:rPr>
          <w:rFonts w:ascii="Book Antiqua" w:hAnsi="Book Antiqua" w:cs="Times New Roman"/>
          <w:sz w:val="24"/>
          <w:szCs w:val="24"/>
        </w:rPr>
        <w:t xml:space="preserve">TJA patients in American tertiary care centers had failure rates from </w:t>
      </w:r>
      <w:r w:rsidR="006E6444" w:rsidRPr="00907C84">
        <w:rPr>
          <w:rFonts w:ascii="Book Antiqua" w:hAnsi="Book Antiqua" w:cs="Times New Roman"/>
          <w:sz w:val="24"/>
          <w:szCs w:val="24"/>
        </w:rPr>
        <w:t>8.8</w:t>
      </w:r>
      <w:r w:rsidR="007C207D" w:rsidRPr="00907C84">
        <w:rPr>
          <w:rFonts w:ascii="Book Antiqua" w:hAnsi="Book Antiqua" w:cs="Times New Roman"/>
          <w:sz w:val="24"/>
          <w:szCs w:val="24"/>
        </w:rPr>
        <w:t>% to 23</w:t>
      </w:r>
      <w:proofErr w:type="gramStart"/>
      <w:r w:rsidR="007C207D" w:rsidRPr="00907C84">
        <w:rPr>
          <w:rFonts w:ascii="Book Antiqua" w:hAnsi="Book Antiqua" w:cs="Times New Roman"/>
          <w:sz w:val="24"/>
          <w:szCs w:val="24"/>
        </w:rPr>
        <w:t>%</w:t>
      </w:r>
      <w:r w:rsidR="00F42F20" w:rsidRPr="00F42F20">
        <w:rPr>
          <w:rFonts w:ascii="Book Antiqua" w:hAnsi="Book Antiqua" w:cs="Times New Roman"/>
          <w:sz w:val="24"/>
          <w:szCs w:val="24"/>
          <w:vertAlign w:val="superscript"/>
        </w:rPr>
        <w:t>[</w:t>
      </w:r>
      <w:proofErr w:type="gramEnd"/>
      <w:r w:rsidR="00F42F20" w:rsidRPr="00907C84">
        <w:rPr>
          <w:rFonts w:ascii="Book Antiqua" w:hAnsi="Book Antiqua" w:cs="Times New Roman"/>
          <w:sz w:val="24"/>
          <w:szCs w:val="24"/>
          <w:vertAlign w:val="superscript"/>
        </w:rPr>
        <w:t>13,16</w:t>
      </w:r>
      <w:r w:rsidR="00F42F20">
        <w:rPr>
          <w:rFonts w:ascii="Book Antiqua" w:hAnsi="Book Antiqua" w:cs="Times New Roman"/>
          <w:sz w:val="24"/>
          <w:szCs w:val="24"/>
          <w:vertAlign w:val="superscript"/>
        </w:rPr>
        <w:t>]</w:t>
      </w:r>
      <w:r w:rsidR="007C207D" w:rsidRPr="00907C84">
        <w:rPr>
          <w:rFonts w:ascii="Book Antiqua" w:hAnsi="Book Antiqua" w:cs="Times New Roman"/>
          <w:sz w:val="24"/>
          <w:szCs w:val="24"/>
        </w:rPr>
        <w:t>. This is moderately higher than failure rates in Poland (28.5%</w:t>
      </w:r>
      <w:proofErr w:type="gramStart"/>
      <w:r w:rsidR="007C207D" w:rsidRPr="00907C84">
        <w:rPr>
          <w:rFonts w:ascii="Book Antiqua" w:hAnsi="Book Antiqua" w:cs="Times New Roman"/>
          <w:sz w:val="24"/>
          <w:szCs w:val="24"/>
        </w:rPr>
        <w:t>)</w:t>
      </w:r>
      <w:r w:rsidR="00F42F20" w:rsidRPr="00F42F20">
        <w:rPr>
          <w:rFonts w:ascii="Book Antiqua" w:hAnsi="Book Antiqua" w:cs="Times New Roman"/>
          <w:sz w:val="24"/>
          <w:szCs w:val="24"/>
          <w:vertAlign w:val="superscript"/>
        </w:rPr>
        <w:t>[</w:t>
      </w:r>
      <w:proofErr w:type="gramEnd"/>
      <w:r w:rsidR="007C207D" w:rsidRPr="00907C84">
        <w:rPr>
          <w:rFonts w:ascii="Book Antiqua" w:hAnsi="Book Antiqua" w:cs="Times New Roman"/>
          <w:sz w:val="24"/>
          <w:szCs w:val="24"/>
          <w:vertAlign w:val="superscript"/>
        </w:rPr>
        <w:t>12</w:t>
      </w:r>
      <w:r w:rsidR="00F42F20">
        <w:rPr>
          <w:rFonts w:ascii="Book Antiqua" w:hAnsi="Book Antiqua" w:cs="Times New Roman"/>
          <w:sz w:val="24"/>
          <w:szCs w:val="24"/>
          <w:vertAlign w:val="superscript"/>
        </w:rPr>
        <w:t>]</w:t>
      </w:r>
      <w:r w:rsidR="007C207D" w:rsidRPr="00907C84">
        <w:rPr>
          <w:rFonts w:ascii="Book Antiqua" w:hAnsi="Book Antiqua" w:cs="Times New Roman"/>
          <w:sz w:val="24"/>
          <w:szCs w:val="24"/>
        </w:rPr>
        <w:t xml:space="preserve"> and Finland (29.4%)</w:t>
      </w:r>
      <w:r w:rsidR="00F42F20" w:rsidRPr="00F42F20">
        <w:rPr>
          <w:rFonts w:ascii="Book Antiqua" w:hAnsi="Book Antiqua" w:cs="Times New Roman"/>
          <w:sz w:val="24"/>
          <w:szCs w:val="24"/>
          <w:vertAlign w:val="superscript"/>
        </w:rPr>
        <w:t>[</w:t>
      </w:r>
      <w:r w:rsidR="007C207D" w:rsidRPr="00907C84">
        <w:rPr>
          <w:rFonts w:ascii="Book Antiqua" w:hAnsi="Book Antiqua" w:cs="Times New Roman"/>
          <w:sz w:val="24"/>
          <w:szCs w:val="24"/>
          <w:vertAlign w:val="superscript"/>
        </w:rPr>
        <w:t>14</w:t>
      </w:r>
      <w:r w:rsidR="00F42F20">
        <w:rPr>
          <w:rFonts w:ascii="Book Antiqua" w:hAnsi="Book Antiqua" w:cs="Times New Roman"/>
          <w:sz w:val="24"/>
          <w:szCs w:val="24"/>
          <w:vertAlign w:val="superscript"/>
        </w:rPr>
        <w:t>]</w:t>
      </w:r>
      <w:r w:rsidR="007C207D" w:rsidRPr="00907C84">
        <w:rPr>
          <w:rFonts w:ascii="Book Antiqua" w:hAnsi="Book Antiqua" w:cs="Times New Roman"/>
          <w:sz w:val="24"/>
          <w:szCs w:val="24"/>
        </w:rPr>
        <w:t xml:space="preserve">. However, it is difficult to pool data </w:t>
      </w:r>
      <w:proofErr w:type="spellStart"/>
      <w:r w:rsidR="007C207D" w:rsidRPr="00907C84">
        <w:rPr>
          <w:rFonts w:ascii="Book Antiqua" w:hAnsi="Book Antiqua" w:cs="Times New Roman"/>
          <w:sz w:val="24"/>
          <w:szCs w:val="24"/>
        </w:rPr>
        <w:t>do</w:t>
      </w:r>
      <w:proofErr w:type="spellEnd"/>
      <w:r w:rsidR="007C207D" w:rsidRPr="00907C84">
        <w:rPr>
          <w:rFonts w:ascii="Book Antiqua" w:hAnsi="Book Antiqua" w:cs="Times New Roman"/>
          <w:sz w:val="24"/>
          <w:szCs w:val="24"/>
        </w:rPr>
        <w:t xml:space="preserve"> to differences in baseline patient population oral health status and variation in dental evaluation practice. </w:t>
      </w:r>
    </w:p>
    <w:p w14:paraId="5289773B" w14:textId="0547F708" w:rsidR="007C207D" w:rsidRPr="00907C84" w:rsidRDefault="007C207D" w:rsidP="00F42F20">
      <w:pPr>
        <w:adjustRightInd w:val="0"/>
        <w:snapToGrid w:val="0"/>
        <w:spacing w:after="0" w:line="360" w:lineRule="auto"/>
        <w:ind w:firstLineChars="100" w:firstLine="240"/>
        <w:jc w:val="both"/>
        <w:rPr>
          <w:rFonts w:ascii="Book Antiqua" w:hAnsi="Book Antiqua" w:cs="Times New Roman"/>
          <w:sz w:val="24"/>
          <w:szCs w:val="24"/>
        </w:rPr>
      </w:pPr>
      <w:r w:rsidRPr="00907C84">
        <w:rPr>
          <w:rFonts w:ascii="Book Antiqua" w:hAnsi="Book Antiqua" w:cs="Times New Roman"/>
          <w:sz w:val="24"/>
          <w:szCs w:val="24"/>
        </w:rPr>
        <w:t>T</w:t>
      </w:r>
      <w:r w:rsidR="00DB239C" w:rsidRPr="00907C84">
        <w:rPr>
          <w:rFonts w:ascii="Book Antiqua" w:hAnsi="Book Antiqua" w:cs="Times New Roman"/>
          <w:sz w:val="24"/>
          <w:szCs w:val="24"/>
        </w:rPr>
        <w:t>wo of the studies evaluated risk factors for failing dental clearance</w:t>
      </w:r>
      <w:r w:rsidR="00361EC6" w:rsidRPr="00907C84">
        <w:rPr>
          <w:rFonts w:ascii="Book Antiqua" w:hAnsi="Book Antiqua" w:cs="Times New Roman"/>
          <w:sz w:val="24"/>
          <w:szCs w:val="24"/>
        </w:rPr>
        <w:t xml:space="preserve">. </w:t>
      </w:r>
      <w:proofErr w:type="spellStart"/>
      <w:r w:rsidR="00361EC6" w:rsidRPr="00907C84">
        <w:rPr>
          <w:rFonts w:ascii="Book Antiqua" w:hAnsi="Book Antiqua" w:cs="Times New Roman"/>
          <w:sz w:val="24"/>
          <w:szCs w:val="24"/>
        </w:rPr>
        <w:t>Tokarski</w:t>
      </w:r>
      <w:proofErr w:type="spellEnd"/>
      <w:r w:rsidR="00361EC6" w:rsidRPr="00907C84">
        <w:rPr>
          <w:rFonts w:ascii="Book Antiqua" w:hAnsi="Book Antiqua" w:cs="Times New Roman"/>
          <w:sz w:val="24"/>
          <w:szCs w:val="24"/>
        </w:rPr>
        <w:t xml:space="preserve"> </w:t>
      </w:r>
      <w:r w:rsidR="00361EC6" w:rsidRPr="00F42F20">
        <w:rPr>
          <w:rFonts w:ascii="Book Antiqua" w:hAnsi="Book Antiqua" w:cs="Times New Roman"/>
          <w:i/>
          <w:iCs/>
          <w:sz w:val="24"/>
          <w:szCs w:val="24"/>
        </w:rPr>
        <w:t xml:space="preserve">et </w:t>
      </w:r>
      <w:proofErr w:type="gramStart"/>
      <w:r w:rsidR="00361EC6" w:rsidRPr="00F42F20">
        <w:rPr>
          <w:rFonts w:ascii="Book Antiqua" w:hAnsi="Book Antiqua" w:cs="Times New Roman"/>
          <w:i/>
          <w:iCs/>
          <w:sz w:val="24"/>
          <w:szCs w:val="24"/>
        </w:rPr>
        <w:t>al</w:t>
      </w:r>
      <w:r w:rsidR="00F42F20" w:rsidRPr="00F42F20">
        <w:rPr>
          <w:rFonts w:ascii="Book Antiqua" w:hAnsi="Book Antiqua" w:cs="Times New Roman"/>
          <w:sz w:val="24"/>
          <w:szCs w:val="24"/>
          <w:vertAlign w:val="superscript"/>
        </w:rPr>
        <w:t>[</w:t>
      </w:r>
      <w:proofErr w:type="gramEnd"/>
      <w:r w:rsidR="00F42F20" w:rsidRPr="00907C84">
        <w:rPr>
          <w:rFonts w:ascii="Book Antiqua" w:hAnsi="Book Antiqua" w:cs="Times New Roman"/>
          <w:sz w:val="24"/>
          <w:szCs w:val="24"/>
          <w:vertAlign w:val="superscript"/>
        </w:rPr>
        <w:t>13</w:t>
      </w:r>
      <w:r w:rsidR="00F42F20">
        <w:rPr>
          <w:rFonts w:ascii="Book Antiqua" w:hAnsi="Book Antiqua" w:cs="Times New Roman"/>
          <w:sz w:val="24"/>
          <w:szCs w:val="24"/>
          <w:vertAlign w:val="superscript"/>
        </w:rPr>
        <w:t>]</w:t>
      </w:r>
      <w:r w:rsidR="00361EC6" w:rsidRPr="00907C84">
        <w:rPr>
          <w:rFonts w:ascii="Book Antiqua" w:hAnsi="Book Antiqua" w:cs="Times New Roman"/>
          <w:sz w:val="24"/>
          <w:szCs w:val="24"/>
        </w:rPr>
        <w:t xml:space="preserve"> found that </w:t>
      </w:r>
      <w:r w:rsidR="005B358D" w:rsidRPr="00907C84">
        <w:rPr>
          <w:rFonts w:ascii="Book Antiqua" w:hAnsi="Book Antiqua" w:cs="Times New Roman"/>
          <w:sz w:val="24"/>
          <w:szCs w:val="24"/>
        </w:rPr>
        <w:t>of several risk factors</w:t>
      </w:r>
      <w:r w:rsidR="00361EC6" w:rsidRPr="00907C84">
        <w:rPr>
          <w:rFonts w:ascii="Book Antiqua" w:hAnsi="Book Antiqua" w:cs="Times New Roman"/>
          <w:sz w:val="24"/>
          <w:szCs w:val="24"/>
        </w:rPr>
        <w:t xml:space="preserve">, patients who had one or more of: narcotic use, tobacco use, and no dental visit within the last </w:t>
      </w:r>
      <w:r w:rsidR="00616A48" w:rsidRPr="00907C84">
        <w:rPr>
          <w:rFonts w:ascii="Book Antiqua" w:hAnsi="Book Antiqua" w:cs="Times New Roman"/>
          <w:sz w:val="24"/>
          <w:szCs w:val="24"/>
        </w:rPr>
        <w:t xml:space="preserve">12 </w:t>
      </w:r>
      <w:proofErr w:type="spellStart"/>
      <w:r w:rsidR="00E8220F">
        <w:rPr>
          <w:rFonts w:ascii="Book Antiqua" w:hAnsi="Book Antiqua" w:cs="Times New Roman"/>
          <w:sz w:val="24"/>
          <w:szCs w:val="24"/>
        </w:rPr>
        <w:t>mo</w:t>
      </w:r>
      <w:proofErr w:type="spellEnd"/>
      <w:r w:rsidR="00616A48" w:rsidRPr="00907C84">
        <w:rPr>
          <w:rFonts w:ascii="Book Antiqua" w:hAnsi="Book Antiqua" w:cs="Times New Roman"/>
          <w:sz w:val="24"/>
          <w:szCs w:val="24"/>
        </w:rPr>
        <w:t xml:space="preserve"> </w:t>
      </w:r>
      <w:r w:rsidR="00361EC6" w:rsidRPr="00907C84">
        <w:rPr>
          <w:rFonts w:ascii="Book Antiqua" w:hAnsi="Book Antiqua" w:cs="Times New Roman"/>
          <w:sz w:val="24"/>
          <w:szCs w:val="24"/>
        </w:rPr>
        <w:t xml:space="preserve">had a 22% risk of failure compared to 6% for patients with no risk factors. The authors concluded that it is feasible to exclusively screen those with high risk profiles. However, </w:t>
      </w:r>
      <w:proofErr w:type="spellStart"/>
      <w:r w:rsidR="00361EC6" w:rsidRPr="00907C84">
        <w:rPr>
          <w:rFonts w:ascii="Book Antiqua" w:hAnsi="Book Antiqua" w:cs="Times New Roman"/>
          <w:sz w:val="24"/>
          <w:szCs w:val="24"/>
        </w:rPr>
        <w:t>Vuorinen</w:t>
      </w:r>
      <w:proofErr w:type="spellEnd"/>
      <w:r w:rsidR="00361EC6" w:rsidRPr="00907C84">
        <w:rPr>
          <w:rFonts w:ascii="Book Antiqua" w:hAnsi="Book Antiqua" w:cs="Times New Roman"/>
          <w:sz w:val="24"/>
          <w:szCs w:val="24"/>
        </w:rPr>
        <w:t xml:space="preserve"> </w:t>
      </w:r>
      <w:r w:rsidR="00361EC6" w:rsidRPr="00F42F20">
        <w:rPr>
          <w:rFonts w:ascii="Book Antiqua" w:hAnsi="Book Antiqua" w:cs="Times New Roman"/>
          <w:i/>
          <w:iCs/>
          <w:sz w:val="24"/>
          <w:szCs w:val="24"/>
        </w:rPr>
        <w:t xml:space="preserve">et </w:t>
      </w:r>
      <w:proofErr w:type="gramStart"/>
      <w:r w:rsidR="00361EC6" w:rsidRPr="00F42F20">
        <w:rPr>
          <w:rFonts w:ascii="Book Antiqua" w:hAnsi="Book Antiqua" w:cs="Times New Roman"/>
          <w:i/>
          <w:iCs/>
          <w:sz w:val="24"/>
          <w:szCs w:val="24"/>
        </w:rPr>
        <w:t>al</w:t>
      </w:r>
      <w:r w:rsidR="00F42F20" w:rsidRPr="00F42F20">
        <w:rPr>
          <w:rFonts w:ascii="Book Antiqua" w:hAnsi="Book Antiqua" w:cs="Times New Roman"/>
          <w:sz w:val="24"/>
          <w:szCs w:val="24"/>
          <w:vertAlign w:val="superscript"/>
          <w:lang w:eastAsia="zh-CN"/>
        </w:rPr>
        <w:t>[</w:t>
      </w:r>
      <w:proofErr w:type="gramEnd"/>
      <w:r w:rsidR="00F42F20" w:rsidRPr="00907C84">
        <w:rPr>
          <w:rFonts w:ascii="Book Antiqua" w:hAnsi="Book Antiqua" w:cs="Times New Roman"/>
          <w:sz w:val="24"/>
          <w:szCs w:val="24"/>
          <w:vertAlign w:val="superscript"/>
        </w:rPr>
        <w:t>14</w:t>
      </w:r>
      <w:r w:rsidR="00F42F20">
        <w:rPr>
          <w:rFonts w:ascii="Book Antiqua" w:hAnsi="Book Antiqua" w:cs="Times New Roman"/>
          <w:sz w:val="24"/>
          <w:szCs w:val="24"/>
          <w:vertAlign w:val="superscript"/>
        </w:rPr>
        <w:t>]</w:t>
      </w:r>
      <w:r w:rsidR="00361EC6" w:rsidRPr="00907C84">
        <w:rPr>
          <w:rFonts w:ascii="Book Antiqua" w:hAnsi="Book Antiqua" w:cs="Times New Roman"/>
          <w:sz w:val="24"/>
          <w:szCs w:val="24"/>
        </w:rPr>
        <w:t xml:space="preserve"> found that tobacco use</w:t>
      </w:r>
      <w:r w:rsidR="00925202" w:rsidRPr="00907C84">
        <w:rPr>
          <w:rFonts w:ascii="Book Antiqua" w:hAnsi="Book Antiqua" w:cs="Times New Roman"/>
          <w:sz w:val="24"/>
          <w:szCs w:val="24"/>
        </w:rPr>
        <w:t xml:space="preserve">, history of root canal, dental visit for symptoms, and infrequent </w:t>
      </w:r>
      <w:r w:rsidR="00616A48" w:rsidRPr="00907C84">
        <w:rPr>
          <w:rFonts w:ascii="Book Antiqua" w:hAnsi="Book Antiqua" w:cs="Times New Roman"/>
          <w:sz w:val="24"/>
          <w:szCs w:val="24"/>
        </w:rPr>
        <w:t>dental visits were</w:t>
      </w:r>
      <w:r w:rsidR="00361EC6" w:rsidRPr="00907C84">
        <w:rPr>
          <w:rFonts w:ascii="Book Antiqua" w:hAnsi="Book Antiqua" w:cs="Times New Roman"/>
          <w:sz w:val="24"/>
          <w:szCs w:val="24"/>
        </w:rPr>
        <w:t xml:space="preserve"> significant risk factor</w:t>
      </w:r>
      <w:r w:rsidR="00616A48" w:rsidRPr="00907C84">
        <w:rPr>
          <w:rFonts w:ascii="Book Antiqua" w:hAnsi="Book Antiqua" w:cs="Times New Roman"/>
          <w:sz w:val="24"/>
          <w:szCs w:val="24"/>
        </w:rPr>
        <w:t>s</w:t>
      </w:r>
      <w:r w:rsidR="00361EC6" w:rsidRPr="00907C84">
        <w:rPr>
          <w:rFonts w:ascii="Book Antiqua" w:hAnsi="Book Antiqua" w:cs="Times New Roman"/>
          <w:sz w:val="24"/>
          <w:szCs w:val="24"/>
        </w:rPr>
        <w:t xml:space="preserve">. </w:t>
      </w:r>
      <w:r w:rsidR="00616A48" w:rsidRPr="00907C84">
        <w:rPr>
          <w:rFonts w:ascii="Book Antiqua" w:hAnsi="Book Antiqua" w:cs="Times New Roman"/>
          <w:sz w:val="24"/>
          <w:szCs w:val="24"/>
        </w:rPr>
        <w:t>Patients with no root canal and regular checkups were less likely to fail, but grouping, as performed in the previous study</w:t>
      </w:r>
      <w:r w:rsidR="00281BA7" w:rsidRPr="00907C84">
        <w:rPr>
          <w:rFonts w:ascii="Book Antiqua" w:hAnsi="Book Antiqua" w:cs="Times New Roman"/>
          <w:sz w:val="24"/>
          <w:szCs w:val="24"/>
        </w:rPr>
        <w:t>,</w:t>
      </w:r>
      <w:r w:rsidR="00616A48" w:rsidRPr="00907C84">
        <w:rPr>
          <w:rFonts w:ascii="Book Antiqua" w:hAnsi="Book Antiqua" w:cs="Times New Roman"/>
          <w:sz w:val="24"/>
          <w:szCs w:val="24"/>
        </w:rPr>
        <w:t xml:space="preserve"> did not yield a significantly different risk profile.</w:t>
      </w:r>
      <w:r w:rsidR="00C2701A" w:rsidRPr="00907C84">
        <w:rPr>
          <w:rFonts w:ascii="Book Antiqua" w:hAnsi="Book Antiqua" w:cs="Times New Roman"/>
          <w:sz w:val="24"/>
          <w:szCs w:val="24"/>
        </w:rPr>
        <w:t xml:space="preserve"> </w:t>
      </w:r>
      <w:r w:rsidR="00A71FAE" w:rsidRPr="00907C84">
        <w:rPr>
          <w:rFonts w:ascii="Book Antiqua" w:hAnsi="Book Antiqua" w:cs="Times New Roman"/>
          <w:sz w:val="24"/>
          <w:szCs w:val="24"/>
        </w:rPr>
        <w:t>The authors concluded that they were unable to identify a group of patients who could avoid dental clearance.</w:t>
      </w:r>
    </w:p>
    <w:p w14:paraId="6B42036A" w14:textId="1B679092" w:rsidR="001C57F7" w:rsidRPr="00907C84" w:rsidRDefault="00B0187A" w:rsidP="00F42F20">
      <w:pPr>
        <w:adjustRightInd w:val="0"/>
        <w:snapToGrid w:val="0"/>
        <w:spacing w:after="0" w:line="360" w:lineRule="auto"/>
        <w:ind w:firstLineChars="100" w:firstLine="240"/>
        <w:jc w:val="both"/>
        <w:rPr>
          <w:rFonts w:ascii="Book Antiqua" w:hAnsi="Book Antiqua" w:cs="Times New Roman"/>
          <w:sz w:val="24"/>
          <w:szCs w:val="24"/>
        </w:rPr>
      </w:pPr>
      <w:r w:rsidRPr="00907C84">
        <w:rPr>
          <w:rFonts w:ascii="Book Antiqua" w:hAnsi="Book Antiqua" w:cs="Times New Roman"/>
          <w:sz w:val="24"/>
          <w:szCs w:val="24"/>
        </w:rPr>
        <w:t xml:space="preserve">We identified </w:t>
      </w:r>
      <w:r w:rsidR="00687CFA" w:rsidRPr="00907C84">
        <w:rPr>
          <w:rFonts w:ascii="Book Antiqua" w:hAnsi="Book Antiqua" w:cs="Times New Roman"/>
          <w:sz w:val="24"/>
          <w:szCs w:val="24"/>
        </w:rPr>
        <w:t>four</w:t>
      </w:r>
      <w:r w:rsidRPr="00907C84">
        <w:rPr>
          <w:rFonts w:ascii="Book Antiqua" w:hAnsi="Book Antiqua" w:cs="Times New Roman"/>
          <w:sz w:val="24"/>
          <w:szCs w:val="24"/>
        </w:rPr>
        <w:t xml:space="preserve"> papers that detail the i</w:t>
      </w:r>
      <w:r w:rsidR="001C57F7" w:rsidRPr="00907C84">
        <w:rPr>
          <w:rFonts w:ascii="Book Antiqua" w:hAnsi="Book Antiqua" w:cs="Times New Roman"/>
          <w:sz w:val="24"/>
          <w:szCs w:val="24"/>
        </w:rPr>
        <w:t xml:space="preserve">mpact of </w:t>
      </w:r>
      <w:r w:rsidRPr="00907C84">
        <w:rPr>
          <w:rFonts w:ascii="Book Antiqua" w:hAnsi="Book Antiqua" w:cs="Times New Roman"/>
          <w:sz w:val="24"/>
          <w:szCs w:val="24"/>
        </w:rPr>
        <w:t>dental c</w:t>
      </w:r>
      <w:r w:rsidR="001C57F7" w:rsidRPr="00907C84">
        <w:rPr>
          <w:rFonts w:ascii="Book Antiqua" w:hAnsi="Book Antiqua" w:cs="Times New Roman"/>
          <w:sz w:val="24"/>
          <w:szCs w:val="24"/>
        </w:rPr>
        <w:t>learance and/or necessary interventions</w:t>
      </w:r>
      <w:r w:rsidRPr="00907C84">
        <w:rPr>
          <w:rFonts w:ascii="Book Antiqua" w:hAnsi="Book Antiqua" w:cs="Times New Roman"/>
          <w:sz w:val="24"/>
          <w:szCs w:val="24"/>
        </w:rPr>
        <w:t xml:space="preserve"> on the outcomes of TJA</w:t>
      </w:r>
      <w:r w:rsidR="00415BF0" w:rsidRPr="00907C84">
        <w:rPr>
          <w:rFonts w:ascii="Book Antiqua" w:hAnsi="Book Antiqua" w:cs="Times New Roman"/>
          <w:sz w:val="24"/>
          <w:szCs w:val="24"/>
        </w:rPr>
        <w:t xml:space="preserve">, with </w:t>
      </w:r>
      <w:r w:rsidR="00687CFA" w:rsidRPr="00907C84">
        <w:rPr>
          <w:rFonts w:ascii="Book Antiqua" w:hAnsi="Book Antiqua" w:cs="Times New Roman"/>
          <w:sz w:val="24"/>
          <w:szCs w:val="24"/>
        </w:rPr>
        <w:t>one</w:t>
      </w:r>
      <w:r w:rsidR="00415BF0" w:rsidRPr="00907C84">
        <w:rPr>
          <w:rFonts w:ascii="Book Antiqua" w:hAnsi="Book Antiqua" w:cs="Times New Roman"/>
          <w:sz w:val="24"/>
          <w:szCs w:val="24"/>
        </w:rPr>
        <w:t xml:space="preserve"> of the </w:t>
      </w:r>
      <w:r w:rsidR="00687CFA" w:rsidRPr="00907C84">
        <w:rPr>
          <w:rFonts w:ascii="Book Antiqua" w:hAnsi="Book Antiqua" w:cs="Times New Roman"/>
          <w:sz w:val="24"/>
          <w:szCs w:val="24"/>
        </w:rPr>
        <w:t>four</w:t>
      </w:r>
      <w:r w:rsidR="00415BF0" w:rsidRPr="00907C84">
        <w:rPr>
          <w:rFonts w:ascii="Book Antiqua" w:hAnsi="Book Antiqua" w:cs="Times New Roman"/>
          <w:sz w:val="24"/>
          <w:szCs w:val="24"/>
        </w:rPr>
        <w:t xml:space="preserve"> finding </w:t>
      </w:r>
      <w:r w:rsidR="00687CFA" w:rsidRPr="00907C84">
        <w:rPr>
          <w:rFonts w:ascii="Book Antiqua" w:hAnsi="Book Antiqua" w:cs="Times New Roman"/>
          <w:sz w:val="24"/>
          <w:szCs w:val="24"/>
        </w:rPr>
        <w:t>a</w:t>
      </w:r>
      <w:r w:rsidR="00281BA7" w:rsidRPr="00907C84">
        <w:rPr>
          <w:rFonts w:ascii="Book Antiqua" w:hAnsi="Book Antiqua" w:cs="Times New Roman"/>
          <w:sz w:val="24"/>
          <w:szCs w:val="24"/>
        </w:rPr>
        <w:t xml:space="preserve"> significant</w:t>
      </w:r>
      <w:r w:rsidR="00415BF0" w:rsidRPr="00907C84">
        <w:rPr>
          <w:rFonts w:ascii="Book Antiqua" w:hAnsi="Book Antiqua" w:cs="Times New Roman"/>
          <w:sz w:val="24"/>
          <w:szCs w:val="24"/>
        </w:rPr>
        <w:t xml:space="preserve"> positive impact of dental clearance and</w:t>
      </w:r>
      <w:r w:rsidR="00687CFA" w:rsidRPr="00907C84">
        <w:rPr>
          <w:rFonts w:ascii="Book Antiqua" w:hAnsi="Book Antiqua" w:cs="Times New Roman"/>
          <w:sz w:val="24"/>
          <w:szCs w:val="24"/>
        </w:rPr>
        <w:t>/</w:t>
      </w:r>
      <w:r w:rsidR="00415BF0" w:rsidRPr="00907C84">
        <w:rPr>
          <w:rFonts w:ascii="Book Antiqua" w:hAnsi="Book Antiqua" w:cs="Times New Roman"/>
          <w:sz w:val="24"/>
          <w:szCs w:val="24"/>
        </w:rPr>
        <w:t xml:space="preserve">or </w:t>
      </w:r>
      <w:proofErr w:type="gramStart"/>
      <w:r w:rsidR="00415BF0" w:rsidRPr="00907C84">
        <w:rPr>
          <w:rFonts w:ascii="Book Antiqua" w:hAnsi="Book Antiqua" w:cs="Times New Roman"/>
          <w:sz w:val="24"/>
          <w:szCs w:val="24"/>
        </w:rPr>
        <w:t>evaluation</w:t>
      </w:r>
      <w:r w:rsidR="00F42F20" w:rsidRPr="00F42F20">
        <w:rPr>
          <w:rFonts w:ascii="Book Antiqua" w:hAnsi="Book Antiqua" w:cs="Times New Roman"/>
          <w:sz w:val="24"/>
          <w:szCs w:val="24"/>
          <w:vertAlign w:val="superscript"/>
        </w:rPr>
        <w:t>[</w:t>
      </w:r>
      <w:proofErr w:type="gramEnd"/>
      <w:r w:rsidR="00F42F20" w:rsidRPr="00907C84">
        <w:rPr>
          <w:rFonts w:ascii="Book Antiqua" w:hAnsi="Book Antiqua" w:cs="Times New Roman"/>
          <w:sz w:val="24"/>
          <w:szCs w:val="24"/>
          <w:vertAlign w:val="superscript"/>
        </w:rPr>
        <w:t>16,18</w:t>
      </w:r>
      <w:r w:rsidR="00F42F20">
        <w:rPr>
          <w:rFonts w:ascii="Book Antiqua" w:hAnsi="Book Antiqua" w:cs="Times New Roman"/>
          <w:sz w:val="24"/>
          <w:szCs w:val="24"/>
          <w:vertAlign w:val="superscript"/>
        </w:rPr>
        <w:t>]</w:t>
      </w:r>
      <w:r w:rsidRPr="00907C84">
        <w:rPr>
          <w:rFonts w:ascii="Book Antiqua" w:hAnsi="Book Antiqua" w:cs="Times New Roman"/>
          <w:sz w:val="24"/>
          <w:szCs w:val="24"/>
        </w:rPr>
        <w:t xml:space="preserve">. </w:t>
      </w:r>
      <w:r w:rsidR="00A71FAE" w:rsidRPr="00907C84">
        <w:rPr>
          <w:rFonts w:ascii="Book Antiqua" w:hAnsi="Book Antiqua" w:cs="Times New Roman"/>
          <w:sz w:val="24"/>
          <w:szCs w:val="24"/>
        </w:rPr>
        <w:t xml:space="preserve">Firstly, Barrington </w:t>
      </w:r>
      <w:r w:rsidR="006826F0">
        <w:rPr>
          <w:rFonts w:ascii="Book Antiqua" w:hAnsi="Book Antiqua" w:cs="Times New Roman"/>
          <w:sz w:val="24"/>
          <w:szCs w:val="24"/>
        </w:rPr>
        <w:t>and</w:t>
      </w:r>
      <w:r w:rsidR="00A71FAE" w:rsidRPr="00907C84">
        <w:rPr>
          <w:rFonts w:ascii="Book Antiqua" w:hAnsi="Book Antiqua" w:cs="Times New Roman"/>
          <w:sz w:val="24"/>
          <w:szCs w:val="24"/>
        </w:rPr>
        <w:t xml:space="preserve"> Barrington detected pathology requiring treatment in 23% of </w:t>
      </w:r>
      <w:proofErr w:type="gramStart"/>
      <w:r w:rsidR="00A71FAE" w:rsidRPr="00907C84">
        <w:rPr>
          <w:rFonts w:ascii="Book Antiqua" w:hAnsi="Book Antiqua" w:cs="Times New Roman"/>
          <w:sz w:val="24"/>
          <w:szCs w:val="24"/>
        </w:rPr>
        <w:t>patients</w:t>
      </w:r>
      <w:r w:rsidR="006826F0" w:rsidRPr="006826F0">
        <w:rPr>
          <w:rFonts w:ascii="Book Antiqua" w:hAnsi="Book Antiqua" w:cs="Times New Roman"/>
          <w:sz w:val="24"/>
          <w:szCs w:val="24"/>
          <w:vertAlign w:val="superscript"/>
        </w:rPr>
        <w:t>[</w:t>
      </w:r>
      <w:proofErr w:type="gramEnd"/>
      <w:r w:rsidR="006826F0" w:rsidRPr="00907C84">
        <w:rPr>
          <w:rFonts w:ascii="Book Antiqua" w:hAnsi="Book Antiqua" w:cs="Times New Roman"/>
          <w:sz w:val="24"/>
          <w:szCs w:val="24"/>
          <w:vertAlign w:val="superscript"/>
        </w:rPr>
        <w:t>16</w:t>
      </w:r>
      <w:r w:rsidR="006826F0">
        <w:rPr>
          <w:rFonts w:ascii="Book Antiqua" w:hAnsi="Book Antiqua" w:cs="Times New Roman"/>
          <w:sz w:val="24"/>
          <w:szCs w:val="24"/>
          <w:vertAlign w:val="superscript"/>
        </w:rPr>
        <w:t>]</w:t>
      </w:r>
      <w:r w:rsidR="00A71FAE" w:rsidRPr="00907C84">
        <w:rPr>
          <w:rFonts w:ascii="Book Antiqua" w:hAnsi="Book Antiqua" w:cs="Times New Roman"/>
          <w:sz w:val="24"/>
          <w:szCs w:val="24"/>
        </w:rPr>
        <w:t xml:space="preserve">. </w:t>
      </w:r>
      <w:r w:rsidR="00385414" w:rsidRPr="00907C84">
        <w:rPr>
          <w:rFonts w:ascii="Book Antiqua" w:hAnsi="Book Antiqua" w:cs="Times New Roman"/>
          <w:sz w:val="24"/>
          <w:szCs w:val="24"/>
        </w:rPr>
        <w:t xml:space="preserve">No periprosthetic joint infections were detected within 90 </w:t>
      </w:r>
      <w:r w:rsidR="006826F0">
        <w:rPr>
          <w:rFonts w:ascii="Book Antiqua" w:hAnsi="Book Antiqua" w:cs="Times New Roman"/>
          <w:sz w:val="24"/>
          <w:szCs w:val="24"/>
        </w:rPr>
        <w:t>d</w:t>
      </w:r>
      <w:r w:rsidR="00385414" w:rsidRPr="00907C84">
        <w:rPr>
          <w:rFonts w:ascii="Book Antiqua" w:hAnsi="Book Antiqua" w:cs="Times New Roman"/>
          <w:sz w:val="24"/>
          <w:szCs w:val="24"/>
        </w:rPr>
        <w:t xml:space="preserve"> of surgery. However,</w:t>
      </w:r>
      <w:r w:rsidR="00A71FAE" w:rsidRPr="00907C84">
        <w:rPr>
          <w:rFonts w:ascii="Book Antiqua" w:hAnsi="Book Antiqua" w:cs="Times New Roman"/>
          <w:sz w:val="24"/>
          <w:szCs w:val="24"/>
        </w:rPr>
        <w:t xml:space="preserve"> the study was small (</w:t>
      </w:r>
      <w:r w:rsidR="00A71FAE" w:rsidRPr="006826F0">
        <w:rPr>
          <w:rFonts w:ascii="Book Antiqua" w:hAnsi="Book Antiqua" w:cs="Times New Roman"/>
          <w:i/>
          <w:iCs/>
          <w:sz w:val="24"/>
          <w:szCs w:val="24"/>
        </w:rPr>
        <w:t>n</w:t>
      </w:r>
      <w:r w:rsidR="006826F0">
        <w:rPr>
          <w:rFonts w:ascii="Book Antiqua" w:hAnsi="Book Antiqua" w:cs="Times New Roman"/>
          <w:sz w:val="24"/>
          <w:szCs w:val="24"/>
        </w:rPr>
        <w:t xml:space="preserve"> </w:t>
      </w:r>
      <w:r w:rsidR="00A71FAE" w:rsidRPr="00907C84">
        <w:rPr>
          <w:rFonts w:ascii="Book Antiqua" w:hAnsi="Book Antiqua" w:cs="Times New Roman"/>
          <w:sz w:val="24"/>
          <w:szCs w:val="24"/>
        </w:rPr>
        <w:t>=</w:t>
      </w:r>
      <w:r w:rsidR="006826F0">
        <w:rPr>
          <w:rFonts w:ascii="Book Antiqua" w:hAnsi="Book Antiqua" w:cs="Times New Roman"/>
          <w:sz w:val="24"/>
          <w:szCs w:val="24"/>
        </w:rPr>
        <w:t xml:space="preserve"> </w:t>
      </w:r>
      <w:r w:rsidR="00A71FAE" w:rsidRPr="00907C84">
        <w:rPr>
          <w:rFonts w:ascii="Book Antiqua" w:hAnsi="Book Antiqua" w:cs="Times New Roman"/>
          <w:sz w:val="24"/>
          <w:szCs w:val="24"/>
        </w:rPr>
        <w:t>100) and not designed to capture the effect of dental evaluations</w:t>
      </w:r>
      <w:r w:rsidR="00687CFA" w:rsidRPr="00907C84">
        <w:rPr>
          <w:rFonts w:ascii="Book Antiqua" w:hAnsi="Book Antiqua" w:cs="Times New Roman"/>
          <w:sz w:val="24"/>
          <w:szCs w:val="24"/>
        </w:rPr>
        <w:t xml:space="preserve"> so the results are </w:t>
      </w:r>
      <w:r w:rsidR="00D675E4" w:rsidRPr="00907C84">
        <w:rPr>
          <w:rFonts w:ascii="Book Antiqua" w:hAnsi="Book Antiqua" w:cs="Times New Roman"/>
          <w:sz w:val="24"/>
          <w:szCs w:val="24"/>
        </w:rPr>
        <w:t>difficult to interpret</w:t>
      </w:r>
      <w:r w:rsidR="00687CFA" w:rsidRPr="00907C84">
        <w:rPr>
          <w:rFonts w:ascii="Book Antiqua" w:hAnsi="Book Antiqua" w:cs="Times New Roman"/>
          <w:sz w:val="24"/>
          <w:szCs w:val="24"/>
        </w:rPr>
        <w:t xml:space="preserve">. </w:t>
      </w:r>
      <w:r w:rsidRPr="00907C84">
        <w:rPr>
          <w:rFonts w:ascii="Book Antiqua" w:hAnsi="Book Antiqua" w:cs="Times New Roman"/>
          <w:sz w:val="24"/>
          <w:szCs w:val="24"/>
        </w:rPr>
        <w:t xml:space="preserve">Tai </w:t>
      </w:r>
      <w:r w:rsidR="00E8220F" w:rsidRPr="00E8220F">
        <w:rPr>
          <w:rFonts w:ascii="Book Antiqua" w:hAnsi="Book Antiqua" w:cs="Times New Roman"/>
          <w:i/>
          <w:sz w:val="24"/>
          <w:szCs w:val="24"/>
        </w:rPr>
        <w:t xml:space="preserve">et </w:t>
      </w:r>
      <w:proofErr w:type="gramStart"/>
      <w:r w:rsidR="00E8220F" w:rsidRPr="00E8220F">
        <w:rPr>
          <w:rFonts w:ascii="Book Antiqua" w:hAnsi="Book Antiqua" w:cs="Times New Roman"/>
          <w:i/>
          <w:sz w:val="24"/>
          <w:szCs w:val="24"/>
        </w:rPr>
        <w:t>al</w:t>
      </w:r>
      <w:r w:rsidR="00F42F20" w:rsidRPr="00F42F20">
        <w:rPr>
          <w:rFonts w:ascii="Book Antiqua" w:hAnsi="Book Antiqua" w:cs="Times New Roman"/>
          <w:sz w:val="24"/>
          <w:szCs w:val="24"/>
          <w:vertAlign w:val="superscript"/>
        </w:rPr>
        <w:t>[</w:t>
      </w:r>
      <w:proofErr w:type="gramEnd"/>
      <w:r w:rsidR="00F42F20" w:rsidRPr="00F42F20">
        <w:rPr>
          <w:rFonts w:ascii="Book Antiqua" w:hAnsi="Book Antiqua" w:cs="Times New Roman"/>
          <w:sz w:val="24"/>
          <w:szCs w:val="24"/>
          <w:vertAlign w:val="superscript"/>
        </w:rPr>
        <w:t>18]</w:t>
      </w:r>
      <w:r w:rsidRPr="00907C84">
        <w:rPr>
          <w:rFonts w:ascii="Book Antiqua" w:hAnsi="Book Antiqua" w:cs="Times New Roman"/>
          <w:sz w:val="24"/>
          <w:szCs w:val="24"/>
        </w:rPr>
        <w:t xml:space="preserve"> found that</w:t>
      </w:r>
      <w:r w:rsidR="00281BA7" w:rsidRPr="00907C84">
        <w:rPr>
          <w:rFonts w:ascii="Book Antiqua" w:hAnsi="Book Antiqua" w:cs="Times New Roman"/>
          <w:sz w:val="24"/>
          <w:szCs w:val="24"/>
        </w:rPr>
        <w:t xml:space="preserve"> patients with</w:t>
      </w:r>
      <w:r w:rsidRPr="00907C84">
        <w:rPr>
          <w:rFonts w:ascii="Book Antiqua" w:hAnsi="Book Antiqua" w:cs="Times New Roman"/>
          <w:sz w:val="24"/>
          <w:szCs w:val="24"/>
        </w:rPr>
        <w:t xml:space="preserve"> frequent dental scaling in the previous three years </w:t>
      </w:r>
      <w:r w:rsidR="00281BA7" w:rsidRPr="00907C84">
        <w:rPr>
          <w:rFonts w:ascii="Book Antiqua" w:hAnsi="Book Antiqua" w:cs="Times New Roman"/>
          <w:sz w:val="24"/>
          <w:szCs w:val="24"/>
        </w:rPr>
        <w:t>had</w:t>
      </w:r>
      <w:r w:rsidRPr="00907C84">
        <w:rPr>
          <w:rFonts w:ascii="Book Antiqua" w:hAnsi="Book Antiqua" w:cs="Times New Roman"/>
          <w:sz w:val="24"/>
          <w:szCs w:val="24"/>
        </w:rPr>
        <w:t xml:space="preserve"> 31% lower risk of PJI after TKA</w:t>
      </w:r>
      <w:r w:rsidR="00415BF0" w:rsidRPr="00907C84">
        <w:rPr>
          <w:rFonts w:ascii="Book Antiqua" w:hAnsi="Book Antiqua" w:cs="Times New Roman"/>
          <w:sz w:val="24"/>
          <w:szCs w:val="24"/>
        </w:rPr>
        <w:t xml:space="preserve"> than those who did not receive scaling</w:t>
      </w:r>
      <w:r w:rsidRPr="00907C84">
        <w:rPr>
          <w:rFonts w:ascii="Book Antiqua" w:hAnsi="Book Antiqua" w:cs="Times New Roman"/>
          <w:sz w:val="24"/>
          <w:szCs w:val="24"/>
        </w:rPr>
        <w:t>.</w:t>
      </w:r>
      <w:r w:rsidR="00F42F20" w:rsidRPr="00907C84">
        <w:rPr>
          <w:rFonts w:ascii="Book Antiqua" w:hAnsi="Book Antiqua" w:cs="Times New Roman"/>
          <w:sz w:val="24"/>
          <w:szCs w:val="24"/>
        </w:rPr>
        <w:t xml:space="preserve"> </w:t>
      </w:r>
      <w:r w:rsidR="00FD29F6" w:rsidRPr="00907C84">
        <w:rPr>
          <w:rFonts w:ascii="Book Antiqua" w:hAnsi="Book Antiqua" w:cs="Times New Roman"/>
          <w:sz w:val="24"/>
          <w:szCs w:val="24"/>
        </w:rPr>
        <w:t xml:space="preserve">Although these results reflect well upon frequent dental examination and scaling, it does not directly assess the impact of pre-operative dental clearance. </w:t>
      </w:r>
      <w:r w:rsidR="00415BF0" w:rsidRPr="00907C84">
        <w:rPr>
          <w:rFonts w:ascii="Book Antiqua" w:hAnsi="Book Antiqua" w:cs="Times New Roman"/>
          <w:sz w:val="24"/>
          <w:szCs w:val="24"/>
        </w:rPr>
        <w:t xml:space="preserve">In contrast, </w:t>
      </w:r>
      <w:r w:rsidR="00D675E4" w:rsidRPr="00907C84">
        <w:rPr>
          <w:rFonts w:ascii="Book Antiqua" w:hAnsi="Book Antiqua" w:cs="Times New Roman"/>
          <w:sz w:val="24"/>
          <w:szCs w:val="24"/>
        </w:rPr>
        <w:t xml:space="preserve">neither </w:t>
      </w:r>
      <w:r w:rsidR="00415BF0" w:rsidRPr="00907C84">
        <w:rPr>
          <w:rFonts w:ascii="Book Antiqua" w:hAnsi="Book Antiqua" w:cs="Times New Roman"/>
          <w:sz w:val="24"/>
          <w:szCs w:val="24"/>
        </w:rPr>
        <w:t xml:space="preserve">Lampley </w:t>
      </w:r>
      <w:r w:rsidR="00E8220F" w:rsidRPr="00E8220F">
        <w:rPr>
          <w:rFonts w:ascii="Book Antiqua" w:hAnsi="Book Antiqua" w:cs="Times New Roman"/>
          <w:i/>
          <w:sz w:val="24"/>
          <w:szCs w:val="24"/>
        </w:rPr>
        <w:t xml:space="preserve">et </w:t>
      </w:r>
      <w:proofErr w:type="gramStart"/>
      <w:r w:rsidR="00E8220F" w:rsidRPr="00E8220F">
        <w:rPr>
          <w:rFonts w:ascii="Book Antiqua" w:hAnsi="Book Antiqua" w:cs="Times New Roman"/>
          <w:i/>
          <w:sz w:val="24"/>
          <w:szCs w:val="24"/>
        </w:rPr>
        <w:t>al</w:t>
      </w:r>
      <w:r w:rsidR="00F42F20" w:rsidRPr="00F42F20">
        <w:rPr>
          <w:rFonts w:ascii="Book Antiqua" w:hAnsi="Book Antiqua" w:cs="Times New Roman"/>
          <w:sz w:val="24"/>
          <w:szCs w:val="24"/>
          <w:vertAlign w:val="superscript"/>
        </w:rPr>
        <w:t>[</w:t>
      </w:r>
      <w:proofErr w:type="gramEnd"/>
      <w:r w:rsidR="00F42F20" w:rsidRPr="00907C84">
        <w:rPr>
          <w:rFonts w:ascii="Book Antiqua" w:hAnsi="Book Antiqua" w:cs="Times New Roman"/>
          <w:sz w:val="24"/>
          <w:szCs w:val="24"/>
          <w:vertAlign w:val="superscript"/>
        </w:rPr>
        <w:t>17</w:t>
      </w:r>
      <w:r w:rsidR="00F42F20">
        <w:rPr>
          <w:rFonts w:ascii="Book Antiqua" w:hAnsi="Book Antiqua" w:cs="Times New Roman"/>
          <w:sz w:val="24"/>
          <w:szCs w:val="24"/>
          <w:vertAlign w:val="superscript"/>
        </w:rPr>
        <w:t>]</w:t>
      </w:r>
      <w:r w:rsidR="00415BF0" w:rsidRPr="00907C84">
        <w:rPr>
          <w:rFonts w:ascii="Book Antiqua" w:hAnsi="Book Antiqua" w:cs="Times New Roman"/>
          <w:sz w:val="24"/>
          <w:szCs w:val="24"/>
        </w:rPr>
        <w:t xml:space="preserve"> </w:t>
      </w:r>
      <w:r w:rsidR="00D675E4" w:rsidRPr="00907C84">
        <w:rPr>
          <w:rFonts w:ascii="Book Antiqua" w:hAnsi="Book Antiqua" w:cs="Times New Roman"/>
          <w:sz w:val="24"/>
          <w:szCs w:val="24"/>
        </w:rPr>
        <w:t xml:space="preserve">nor </w:t>
      </w:r>
      <w:proofErr w:type="spellStart"/>
      <w:r w:rsidR="00D675E4" w:rsidRPr="00907C84">
        <w:rPr>
          <w:rFonts w:ascii="Book Antiqua" w:hAnsi="Book Antiqua" w:cs="Times New Roman"/>
          <w:sz w:val="24"/>
          <w:szCs w:val="24"/>
        </w:rPr>
        <w:t>Sonn</w:t>
      </w:r>
      <w:proofErr w:type="spellEnd"/>
      <w:r w:rsidR="00D675E4" w:rsidRPr="00907C84">
        <w:rPr>
          <w:rFonts w:ascii="Book Antiqua" w:hAnsi="Book Antiqua" w:cs="Times New Roman"/>
          <w:sz w:val="24"/>
          <w:szCs w:val="24"/>
        </w:rPr>
        <w:t xml:space="preserve"> </w:t>
      </w:r>
      <w:r w:rsidR="00E8220F" w:rsidRPr="00E8220F">
        <w:rPr>
          <w:rFonts w:ascii="Book Antiqua" w:hAnsi="Book Antiqua" w:cs="Times New Roman"/>
          <w:i/>
          <w:sz w:val="24"/>
          <w:szCs w:val="24"/>
        </w:rPr>
        <w:t>et al</w:t>
      </w:r>
      <w:r w:rsidR="00F42F20" w:rsidRPr="00F42F20">
        <w:rPr>
          <w:rFonts w:ascii="Book Antiqua" w:hAnsi="Book Antiqua" w:cs="Times New Roman"/>
          <w:iCs/>
          <w:sz w:val="24"/>
          <w:szCs w:val="24"/>
          <w:vertAlign w:val="superscript"/>
        </w:rPr>
        <w:t>[19]</w:t>
      </w:r>
      <w:r w:rsidR="00D675E4" w:rsidRPr="00907C84">
        <w:rPr>
          <w:rFonts w:ascii="Book Antiqua" w:hAnsi="Book Antiqua" w:cs="Times New Roman"/>
          <w:sz w:val="24"/>
          <w:szCs w:val="24"/>
        </w:rPr>
        <w:t xml:space="preserve"> found</w:t>
      </w:r>
      <w:r w:rsidR="00415BF0" w:rsidRPr="00907C84">
        <w:rPr>
          <w:rFonts w:ascii="Book Antiqua" w:hAnsi="Book Antiqua" w:cs="Times New Roman"/>
          <w:sz w:val="24"/>
          <w:szCs w:val="24"/>
        </w:rPr>
        <w:t xml:space="preserve"> evidence to support dental evaluations. Although the hip fracture group </w:t>
      </w:r>
      <w:r w:rsidR="00D675E4" w:rsidRPr="00907C84">
        <w:rPr>
          <w:rFonts w:ascii="Book Antiqua" w:hAnsi="Book Antiqua" w:cs="Times New Roman"/>
          <w:sz w:val="24"/>
          <w:szCs w:val="24"/>
        </w:rPr>
        <w:t xml:space="preserve">in the former study </w:t>
      </w:r>
      <w:r w:rsidR="00415BF0" w:rsidRPr="00907C84">
        <w:rPr>
          <w:rFonts w:ascii="Book Antiqua" w:hAnsi="Book Antiqua" w:cs="Times New Roman"/>
          <w:sz w:val="24"/>
          <w:szCs w:val="24"/>
        </w:rPr>
        <w:t>had a</w:t>
      </w:r>
      <w:r w:rsidR="00C34DCF" w:rsidRPr="00907C84">
        <w:rPr>
          <w:rFonts w:ascii="Book Antiqua" w:hAnsi="Book Antiqua" w:cs="Times New Roman"/>
          <w:sz w:val="24"/>
          <w:szCs w:val="24"/>
        </w:rPr>
        <w:t>n insignificantly</w:t>
      </w:r>
      <w:r w:rsidR="00415BF0" w:rsidRPr="00907C84">
        <w:rPr>
          <w:rFonts w:ascii="Book Antiqua" w:hAnsi="Book Antiqua" w:cs="Times New Roman"/>
          <w:sz w:val="24"/>
          <w:szCs w:val="24"/>
        </w:rPr>
        <w:t xml:space="preserve"> higher reoperation rate (2.5% </w:t>
      </w:r>
      <w:r w:rsidR="00415BF0" w:rsidRPr="00F42F20">
        <w:rPr>
          <w:rFonts w:ascii="Book Antiqua" w:hAnsi="Book Antiqua" w:cs="Times New Roman"/>
          <w:i/>
          <w:iCs/>
          <w:sz w:val="24"/>
          <w:szCs w:val="24"/>
        </w:rPr>
        <w:t>vs</w:t>
      </w:r>
      <w:r w:rsidR="00415BF0" w:rsidRPr="00907C84">
        <w:rPr>
          <w:rFonts w:ascii="Book Antiqua" w:hAnsi="Book Antiqua" w:cs="Times New Roman"/>
          <w:sz w:val="24"/>
          <w:szCs w:val="24"/>
        </w:rPr>
        <w:t xml:space="preserve"> 1.7%), hardware was not removed in any of the four cases as no bacterial infection was identified. It should be noted that there were no true controls, follow up was poor in the hip fracture group (18% were deceased), and the threshold for failing clearance was high.</w:t>
      </w:r>
      <w:r w:rsidR="00D675E4" w:rsidRPr="00907C84">
        <w:rPr>
          <w:rFonts w:ascii="Book Antiqua" w:hAnsi="Book Antiqua" w:cs="Times New Roman"/>
          <w:sz w:val="24"/>
          <w:szCs w:val="24"/>
        </w:rPr>
        <w:t xml:space="preserve"> </w:t>
      </w:r>
      <w:proofErr w:type="spellStart"/>
      <w:r w:rsidR="00D675E4" w:rsidRPr="00907C84">
        <w:rPr>
          <w:rFonts w:ascii="Book Antiqua" w:hAnsi="Book Antiqua" w:cs="Times New Roman"/>
          <w:sz w:val="24"/>
          <w:szCs w:val="24"/>
        </w:rPr>
        <w:t>Sonn</w:t>
      </w:r>
      <w:proofErr w:type="spellEnd"/>
      <w:r w:rsidR="00D675E4" w:rsidRPr="00907C84">
        <w:rPr>
          <w:rFonts w:ascii="Book Antiqua" w:hAnsi="Book Antiqua" w:cs="Times New Roman"/>
          <w:sz w:val="24"/>
          <w:szCs w:val="24"/>
        </w:rPr>
        <w:t xml:space="preserve"> </w:t>
      </w:r>
      <w:r w:rsidR="00E8220F" w:rsidRPr="00E8220F">
        <w:rPr>
          <w:rFonts w:ascii="Book Antiqua" w:hAnsi="Book Antiqua" w:cs="Times New Roman"/>
          <w:i/>
          <w:sz w:val="24"/>
          <w:szCs w:val="24"/>
        </w:rPr>
        <w:t xml:space="preserve">et </w:t>
      </w:r>
      <w:proofErr w:type="gramStart"/>
      <w:r w:rsidR="00E8220F" w:rsidRPr="00E8220F">
        <w:rPr>
          <w:rFonts w:ascii="Book Antiqua" w:hAnsi="Book Antiqua" w:cs="Times New Roman"/>
          <w:i/>
          <w:sz w:val="24"/>
          <w:szCs w:val="24"/>
        </w:rPr>
        <w:t>al</w:t>
      </w:r>
      <w:r w:rsidR="00F42F20" w:rsidRPr="00F42F20">
        <w:rPr>
          <w:rFonts w:ascii="Book Antiqua" w:hAnsi="Book Antiqua" w:cs="Times New Roman"/>
          <w:iCs/>
          <w:sz w:val="24"/>
          <w:szCs w:val="24"/>
          <w:vertAlign w:val="superscript"/>
        </w:rPr>
        <w:t>[</w:t>
      </w:r>
      <w:proofErr w:type="gramEnd"/>
      <w:r w:rsidR="00F42F20" w:rsidRPr="00F42F20">
        <w:rPr>
          <w:rFonts w:ascii="Book Antiqua" w:hAnsi="Book Antiqua" w:cs="Times New Roman"/>
          <w:iCs/>
          <w:sz w:val="24"/>
          <w:szCs w:val="24"/>
          <w:vertAlign w:val="superscript"/>
        </w:rPr>
        <w:t>19]</w:t>
      </w:r>
      <w:r w:rsidR="00D675E4" w:rsidRPr="00907C84">
        <w:rPr>
          <w:rFonts w:ascii="Book Antiqua" w:hAnsi="Book Antiqua" w:cs="Times New Roman"/>
          <w:sz w:val="24"/>
          <w:szCs w:val="24"/>
        </w:rPr>
        <w:t xml:space="preserve"> actually found higher complication rates in the dental evaluation and extraction groups, although </w:t>
      </w:r>
      <w:r w:rsidR="00281BA7" w:rsidRPr="00907C84">
        <w:rPr>
          <w:rFonts w:ascii="Book Antiqua" w:hAnsi="Book Antiqua" w:cs="Times New Roman"/>
          <w:sz w:val="24"/>
          <w:szCs w:val="24"/>
        </w:rPr>
        <w:t xml:space="preserve">this was </w:t>
      </w:r>
      <w:r w:rsidR="00D675E4" w:rsidRPr="00907C84">
        <w:rPr>
          <w:rFonts w:ascii="Book Antiqua" w:hAnsi="Book Antiqua" w:cs="Times New Roman"/>
          <w:sz w:val="24"/>
          <w:szCs w:val="24"/>
        </w:rPr>
        <w:t>not significant. This may be attributed to other confounding health risks not captured by the study.</w:t>
      </w:r>
    </w:p>
    <w:p w14:paraId="1CFB1D43" w14:textId="67D25697" w:rsidR="001C57F7" w:rsidRPr="00907C84" w:rsidRDefault="004A03DE" w:rsidP="00F42F20">
      <w:pPr>
        <w:adjustRightInd w:val="0"/>
        <w:snapToGrid w:val="0"/>
        <w:spacing w:after="0" w:line="360" w:lineRule="auto"/>
        <w:ind w:firstLineChars="100" w:firstLine="240"/>
        <w:jc w:val="both"/>
        <w:rPr>
          <w:rFonts w:ascii="Book Antiqua" w:hAnsi="Book Antiqua" w:cs="Times New Roman"/>
          <w:b/>
          <w:sz w:val="24"/>
          <w:szCs w:val="24"/>
        </w:rPr>
      </w:pPr>
      <w:r w:rsidRPr="00907C84">
        <w:rPr>
          <w:rFonts w:ascii="Book Antiqua" w:hAnsi="Book Antiqua" w:cs="Times New Roman"/>
          <w:sz w:val="24"/>
          <w:szCs w:val="24"/>
        </w:rPr>
        <w:t>The results of our systematic analysis are</w:t>
      </w:r>
      <w:r w:rsidR="00281BA7" w:rsidRPr="00907C84">
        <w:rPr>
          <w:rFonts w:ascii="Book Antiqua" w:hAnsi="Book Antiqua" w:cs="Times New Roman"/>
          <w:sz w:val="24"/>
          <w:szCs w:val="24"/>
        </w:rPr>
        <w:t xml:space="preserve"> somewhat</w:t>
      </w:r>
      <w:r w:rsidRPr="00907C84">
        <w:rPr>
          <w:rFonts w:ascii="Book Antiqua" w:hAnsi="Book Antiqua" w:cs="Times New Roman"/>
          <w:sz w:val="24"/>
          <w:szCs w:val="24"/>
        </w:rPr>
        <w:t xml:space="preserve"> in line with current recommendations. </w:t>
      </w:r>
      <w:r w:rsidR="0046131E" w:rsidRPr="00907C84">
        <w:rPr>
          <w:rFonts w:ascii="Book Antiqua" w:hAnsi="Book Antiqua" w:cs="Times New Roman"/>
          <w:sz w:val="24"/>
          <w:szCs w:val="24"/>
        </w:rPr>
        <w:t xml:space="preserve">In the </w:t>
      </w:r>
      <w:r w:rsidR="002B00D9" w:rsidRPr="00907C84">
        <w:rPr>
          <w:rFonts w:ascii="Book Antiqua" w:hAnsi="Book Antiqua" w:cs="Times New Roman"/>
          <w:sz w:val="24"/>
          <w:szCs w:val="24"/>
        </w:rPr>
        <w:t>proceedings of international consensus on orthopedic infections</w:t>
      </w:r>
      <w:r w:rsidR="0046131E" w:rsidRPr="00907C84">
        <w:rPr>
          <w:rFonts w:ascii="Book Antiqua" w:hAnsi="Book Antiqua" w:cs="Times New Roman"/>
          <w:sz w:val="24"/>
          <w:szCs w:val="24"/>
        </w:rPr>
        <w:t xml:space="preserve">, 92% of voters agreed that patients with oral disease should receive appropriate interventions before elective TJA to reduce risk of infection despite limited </w:t>
      </w:r>
      <w:proofErr w:type="gramStart"/>
      <w:r w:rsidR="0046131E" w:rsidRPr="00907C84">
        <w:rPr>
          <w:rFonts w:ascii="Book Antiqua" w:hAnsi="Book Antiqua" w:cs="Times New Roman"/>
          <w:sz w:val="24"/>
          <w:szCs w:val="24"/>
        </w:rPr>
        <w:t>evidence</w:t>
      </w:r>
      <w:r w:rsidR="00F42F20" w:rsidRPr="00F42F20">
        <w:rPr>
          <w:rFonts w:ascii="Book Antiqua" w:hAnsi="Book Antiqua" w:cs="Times New Roman"/>
          <w:sz w:val="24"/>
          <w:szCs w:val="24"/>
          <w:vertAlign w:val="superscript"/>
        </w:rPr>
        <w:t>[</w:t>
      </w:r>
      <w:proofErr w:type="gramEnd"/>
      <w:r w:rsidR="00F42F20" w:rsidRPr="00907C84">
        <w:rPr>
          <w:rFonts w:ascii="Book Antiqua" w:hAnsi="Book Antiqua" w:cs="Times New Roman"/>
          <w:sz w:val="24"/>
          <w:szCs w:val="24"/>
          <w:vertAlign w:val="superscript"/>
        </w:rPr>
        <w:t>8</w:t>
      </w:r>
      <w:r w:rsidR="00F42F20">
        <w:rPr>
          <w:rFonts w:ascii="Book Antiqua" w:hAnsi="Book Antiqua" w:cs="Times New Roman"/>
          <w:sz w:val="24"/>
          <w:szCs w:val="24"/>
          <w:vertAlign w:val="superscript"/>
        </w:rPr>
        <w:t>]</w:t>
      </w:r>
      <w:r w:rsidR="0046131E" w:rsidRPr="00907C84">
        <w:rPr>
          <w:rFonts w:ascii="Book Antiqua" w:hAnsi="Book Antiqua" w:cs="Times New Roman"/>
          <w:sz w:val="24"/>
          <w:szCs w:val="24"/>
        </w:rPr>
        <w:t xml:space="preserve">. It was proposed that dental screening may be required for </w:t>
      </w:r>
      <w:r w:rsidR="002B6BD5" w:rsidRPr="00907C84">
        <w:rPr>
          <w:rFonts w:ascii="Book Antiqua" w:hAnsi="Book Antiqua" w:cs="Times New Roman"/>
          <w:sz w:val="24"/>
          <w:szCs w:val="24"/>
        </w:rPr>
        <w:t xml:space="preserve">high risk patients. 76% of voters agreed that dental clearance should not be required for all patients to undergo TJA. </w:t>
      </w:r>
      <w:r w:rsidRPr="00907C84">
        <w:rPr>
          <w:rFonts w:ascii="Book Antiqua" w:hAnsi="Book Antiqua" w:cs="Times New Roman"/>
          <w:sz w:val="24"/>
          <w:szCs w:val="24"/>
        </w:rPr>
        <w:t>Much like how prophylactic antibiotics</w:t>
      </w:r>
      <w:r w:rsidR="00AC296F" w:rsidRPr="00907C84">
        <w:rPr>
          <w:rFonts w:ascii="Book Antiqua" w:hAnsi="Book Antiqua" w:cs="Times New Roman"/>
          <w:sz w:val="24"/>
          <w:szCs w:val="24"/>
        </w:rPr>
        <w:t xml:space="preserve"> for </w:t>
      </w:r>
      <w:r w:rsidRPr="00907C84">
        <w:rPr>
          <w:rFonts w:ascii="Book Antiqua" w:hAnsi="Book Antiqua" w:cs="Times New Roman"/>
          <w:sz w:val="24"/>
          <w:szCs w:val="24"/>
        </w:rPr>
        <w:t xml:space="preserve">common </w:t>
      </w:r>
      <w:r w:rsidR="00AC296F" w:rsidRPr="00907C84">
        <w:rPr>
          <w:rFonts w:ascii="Book Antiqua" w:hAnsi="Book Antiqua" w:cs="Times New Roman"/>
          <w:sz w:val="24"/>
          <w:szCs w:val="24"/>
        </w:rPr>
        <w:t>dental procedures</w:t>
      </w:r>
      <w:r w:rsidRPr="00907C84">
        <w:rPr>
          <w:rFonts w:ascii="Book Antiqua" w:hAnsi="Book Antiqua" w:cs="Times New Roman"/>
          <w:sz w:val="24"/>
          <w:szCs w:val="24"/>
        </w:rPr>
        <w:t xml:space="preserve"> in all patients with joint prostheses is falling out of favor, </w:t>
      </w:r>
      <w:r w:rsidR="009F0C76" w:rsidRPr="00907C84">
        <w:rPr>
          <w:rFonts w:ascii="Book Antiqua" w:hAnsi="Book Antiqua" w:cs="Times New Roman"/>
          <w:sz w:val="24"/>
          <w:szCs w:val="24"/>
        </w:rPr>
        <w:t xml:space="preserve">we expect </w:t>
      </w:r>
      <w:r w:rsidR="00706E33" w:rsidRPr="00907C84">
        <w:rPr>
          <w:rFonts w:ascii="Book Antiqua" w:hAnsi="Book Antiqua" w:cs="Times New Roman"/>
          <w:sz w:val="24"/>
          <w:szCs w:val="24"/>
        </w:rPr>
        <w:t xml:space="preserve">dental clearance protocol to change as new data </w:t>
      </w:r>
      <w:proofErr w:type="gramStart"/>
      <w:r w:rsidR="00706E33" w:rsidRPr="00907C84">
        <w:rPr>
          <w:rFonts w:ascii="Book Antiqua" w:hAnsi="Book Antiqua" w:cs="Times New Roman"/>
          <w:sz w:val="24"/>
          <w:szCs w:val="24"/>
        </w:rPr>
        <w:t>emerges</w:t>
      </w:r>
      <w:r w:rsidR="00F42F20" w:rsidRPr="00F42F20">
        <w:rPr>
          <w:rFonts w:ascii="Book Antiqua" w:hAnsi="Book Antiqua" w:cs="Times New Roman"/>
          <w:sz w:val="24"/>
          <w:szCs w:val="24"/>
          <w:vertAlign w:val="superscript"/>
        </w:rPr>
        <w:t>[</w:t>
      </w:r>
      <w:proofErr w:type="gramEnd"/>
      <w:r w:rsidR="00F42F20" w:rsidRPr="00907C84">
        <w:rPr>
          <w:rFonts w:ascii="Book Antiqua" w:hAnsi="Book Antiqua" w:cs="Times New Roman"/>
          <w:sz w:val="24"/>
          <w:szCs w:val="24"/>
          <w:vertAlign w:val="superscript"/>
        </w:rPr>
        <w:t>22-25</w:t>
      </w:r>
      <w:r w:rsidR="00F42F20">
        <w:rPr>
          <w:rFonts w:ascii="Book Antiqua" w:hAnsi="Book Antiqua" w:cs="Times New Roman"/>
          <w:sz w:val="24"/>
          <w:szCs w:val="24"/>
          <w:vertAlign w:val="superscript"/>
        </w:rPr>
        <w:t>]</w:t>
      </w:r>
      <w:r w:rsidR="00706E33" w:rsidRPr="00907C84">
        <w:rPr>
          <w:rFonts w:ascii="Book Antiqua" w:hAnsi="Book Antiqua" w:cs="Times New Roman"/>
          <w:sz w:val="24"/>
          <w:szCs w:val="24"/>
        </w:rPr>
        <w:t>.</w:t>
      </w:r>
      <w:r w:rsidR="00DB1098" w:rsidRPr="00907C84">
        <w:rPr>
          <w:rFonts w:ascii="Book Antiqua" w:hAnsi="Book Antiqua" w:cs="Times New Roman"/>
          <w:sz w:val="24"/>
          <w:szCs w:val="24"/>
          <w:vertAlign w:val="superscript"/>
        </w:rPr>
        <w:t xml:space="preserve"> </w:t>
      </w:r>
      <w:r w:rsidR="00DB1098" w:rsidRPr="00907C84">
        <w:rPr>
          <w:rFonts w:ascii="Book Antiqua" w:hAnsi="Book Antiqua" w:cs="Times New Roman"/>
          <w:sz w:val="24"/>
          <w:szCs w:val="24"/>
        </w:rPr>
        <w:t>At the moment, we would not recommend</w:t>
      </w:r>
      <w:r w:rsidR="00F06EF9" w:rsidRPr="00907C84">
        <w:rPr>
          <w:rFonts w:ascii="Book Antiqua" w:hAnsi="Book Antiqua" w:cs="Times New Roman"/>
          <w:sz w:val="24"/>
          <w:szCs w:val="24"/>
        </w:rPr>
        <w:t xml:space="preserve"> for</w:t>
      </w:r>
      <w:r w:rsidR="00DB1098" w:rsidRPr="00907C84">
        <w:rPr>
          <w:rFonts w:ascii="Book Antiqua" w:hAnsi="Book Antiqua" w:cs="Times New Roman"/>
          <w:sz w:val="24"/>
          <w:szCs w:val="24"/>
        </w:rPr>
        <w:t xml:space="preserve"> universal dental screening before TJA.</w:t>
      </w:r>
    </w:p>
    <w:p w14:paraId="35E2E1CA" w14:textId="5DB7D197" w:rsidR="00BB49D8" w:rsidRPr="00907C84" w:rsidRDefault="00CD5890" w:rsidP="00F42F20">
      <w:pPr>
        <w:adjustRightInd w:val="0"/>
        <w:snapToGrid w:val="0"/>
        <w:spacing w:after="0" w:line="360" w:lineRule="auto"/>
        <w:ind w:firstLineChars="100" w:firstLine="240"/>
        <w:jc w:val="both"/>
        <w:rPr>
          <w:rFonts w:ascii="Book Antiqua" w:hAnsi="Book Antiqua" w:cs="Times New Roman"/>
          <w:sz w:val="24"/>
          <w:szCs w:val="24"/>
          <w:vertAlign w:val="superscript"/>
        </w:rPr>
      </w:pPr>
      <w:r w:rsidRPr="00907C84">
        <w:rPr>
          <w:rFonts w:ascii="Book Antiqua" w:hAnsi="Book Antiqua" w:cs="Times New Roman"/>
          <w:sz w:val="24"/>
          <w:szCs w:val="24"/>
        </w:rPr>
        <w:t xml:space="preserve">We performed this study to </w:t>
      </w:r>
      <w:r w:rsidR="00F42F20" w:rsidRPr="00907C84">
        <w:rPr>
          <w:rFonts w:ascii="Book Antiqua" w:hAnsi="Book Antiqua" w:cs="Times New Roman"/>
          <w:sz w:val="24"/>
          <w:szCs w:val="24"/>
        </w:rPr>
        <w:t>preferred reporting items for systematic reviews and meta-analyses</w:t>
      </w:r>
      <w:r w:rsidRPr="00907C84">
        <w:rPr>
          <w:rFonts w:ascii="Book Antiqua" w:hAnsi="Book Antiqua" w:cs="Times New Roman"/>
          <w:sz w:val="24"/>
          <w:szCs w:val="24"/>
        </w:rPr>
        <w:t xml:space="preserve"> guideline standards, however, there were still several limitations. First and foremost, literature regarding dental clearance for TJA is scarce. Our methods only disinterred </w:t>
      </w:r>
      <w:r w:rsidR="00281BA7" w:rsidRPr="00907C84">
        <w:rPr>
          <w:rFonts w:ascii="Book Antiqua" w:hAnsi="Book Antiqua" w:cs="Times New Roman"/>
          <w:sz w:val="24"/>
          <w:szCs w:val="24"/>
        </w:rPr>
        <w:t>four</w:t>
      </w:r>
      <w:r w:rsidRPr="00907C84">
        <w:rPr>
          <w:rFonts w:ascii="Book Antiqua" w:hAnsi="Book Antiqua" w:cs="Times New Roman"/>
          <w:sz w:val="24"/>
          <w:szCs w:val="24"/>
        </w:rPr>
        <w:t xml:space="preserve"> papers</w:t>
      </w:r>
      <w:r w:rsidR="008F2AC7" w:rsidRPr="00907C84">
        <w:rPr>
          <w:rFonts w:ascii="Book Antiqua" w:hAnsi="Book Antiqua" w:cs="Times New Roman"/>
          <w:sz w:val="24"/>
          <w:szCs w:val="24"/>
        </w:rPr>
        <w:t xml:space="preserve"> capturing the impact of dental evaluation and/or treatment on infections after TJA. </w:t>
      </w:r>
      <w:r w:rsidR="00A67228" w:rsidRPr="00907C84">
        <w:rPr>
          <w:rFonts w:ascii="Book Antiqua" w:hAnsi="Book Antiqua" w:cs="Times New Roman"/>
          <w:sz w:val="24"/>
          <w:szCs w:val="24"/>
        </w:rPr>
        <w:t>Considering the relatively low incidence of periprosthetic infection, few of the studies were adequately powered to detect significance</w:t>
      </w:r>
      <w:r w:rsidR="00281BA7" w:rsidRPr="00907C84">
        <w:rPr>
          <w:rFonts w:ascii="Book Antiqua" w:hAnsi="Book Antiqua" w:cs="Times New Roman"/>
          <w:sz w:val="24"/>
          <w:szCs w:val="24"/>
        </w:rPr>
        <w:t xml:space="preserve"> and none were designed as </w:t>
      </w:r>
      <w:r w:rsidR="00A67228" w:rsidRPr="00907C84">
        <w:rPr>
          <w:rFonts w:ascii="Book Antiqua" w:hAnsi="Book Antiqua" w:cs="Times New Roman"/>
          <w:sz w:val="24"/>
          <w:szCs w:val="24"/>
        </w:rPr>
        <w:t xml:space="preserve">randomized controlled trials. </w:t>
      </w:r>
      <w:r w:rsidR="008F2AC7" w:rsidRPr="00907C84">
        <w:rPr>
          <w:rFonts w:ascii="Book Antiqua" w:hAnsi="Book Antiqua" w:cs="Times New Roman"/>
          <w:sz w:val="24"/>
          <w:szCs w:val="24"/>
        </w:rPr>
        <w:t>Additionally, there is no</w:t>
      </w:r>
      <w:r w:rsidR="00BB49D8" w:rsidRPr="00907C84">
        <w:rPr>
          <w:rFonts w:ascii="Book Antiqua" w:hAnsi="Book Antiqua" w:cs="Times New Roman"/>
          <w:sz w:val="24"/>
          <w:szCs w:val="24"/>
        </w:rPr>
        <w:t xml:space="preserve"> common standard for</w:t>
      </w:r>
      <w:r w:rsidR="008F2AC7" w:rsidRPr="00907C84">
        <w:rPr>
          <w:rFonts w:ascii="Book Antiqua" w:hAnsi="Book Antiqua" w:cs="Times New Roman"/>
          <w:sz w:val="24"/>
          <w:szCs w:val="24"/>
        </w:rPr>
        <w:t xml:space="preserve"> preoperative</w:t>
      </w:r>
      <w:r w:rsidR="00BB49D8" w:rsidRPr="00907C84">
        <w:rPr>
          <w:rFonts w:ascii="Book Antiqua" w:hAnsi="Book Antiqua" w:cs="Times New Roman"/>
          <w:sz w:val="24"/>
          <w:szCs w:val="24"/>
        </w:rPr>
        <w:t xml:space="preserve"> dental evaluation</w:t>
      </w:r>
      <w:r w:rsidR="008F2AC7" w:rsidRPr="00907C84">
        <w:rPr>
          <w:rFonts w:ascii="Book Antiqua" w:hAnsi="Book Antiqua" w:cs="Times New Roman"/>
          <w:sz w:val="24"/>
          <w:szCs w:val="24"/>
        </w:rPr>
        <w:t xml:space="preserve">. Criteria for failing dental clearance ranged from </w:t>
      </w:r>
      <w:r w:rsidR="00265D56" w:rsidRPr="00907C84">
        <w:rPr>
          <w:rFonts w:ascii="Book Antiqua" w:hAnsi="Book Antiqua" w:cs="Times New Roman"/>
          <w:sz w:val="24"/>
          <w:szCs w:val="24"/>
        </w:rPr>
        <w:t xml:space="preserve">diagnosing </w:t>
      </w:r>
      <w:r w:rsidR="008F2AC7" w:rsidRPr="00907C84">
        <w:rPr>
          <w:rFonts w:ascii="Book Antiqua" w:hAnsi="Book Antiqua" w:cs="Times New Roman"/>
          <w:sz w:val="24"/>
          <w:szCs w:val="24"/>
        </w:rPr>
        <w:t>dental caries to requiring tooth extraction or root canals.</w:t>
      </w:r>
      <w:r w:rsidR="00B774E9" w:rsidRPr="00907C84">
        <w:rPr>
          <w:rFonts w:ascii="Book Antiqua" w:hAnsi="Book Antiqua" w:cs="Times New Roman"/>
          <w:sz w:val="24"/>
          <w:szCs w:val="24"/>
        </w:rPr>
        <w:t xml:space="preserve"> </w:t>
      </w:r>
      <w:r w:rsidR="00A67228" w:rsidRPr="00907C84">
        <w:rPr>
          <w:rFonts w:ascii="Book Antiqua" w:hAnsi="Book Antiqua" w:cs="Times New Roman"/>
          <w:sz w:val="24"/>
          <w:szCs w:val="24"/>
        </w:rPr>
        <w:t>Amongst studies assessing prevalence of dental pathology, differences in location and clinical setting hinder synthesis of data. Lastly, s</w:t>
      </w:r>
      <w:r w:rsidR="00265D56" w:rsidRPr="00907C84">
        <w:rPr>
          <w:rFonts w:ascii="Book Antiqua" w:hAnsi="Book Antiqua" w:cs="Times New Roman"/>
          <w:sz w:val="24"/>
          <w:szCs w:val="24"/>
        </w:rPr>
        <w:t xml:space="preserve">ome studies relied on </w:t>
      </w:r>
      <w:r w:rsidR="00B774E9" w:rsidRPr="00907C84">
        <w:rPr>
          <w:rFonts w:ascii="Book Antiqua" w:hAnsi="Book Antiqua" w:cs="Times New Roman"/>
          <w:sz w:val="24"/>
          <w:szCs w:val="24"/>
        </w:rPr>
        <w:t>self-reporting of questionnaires</w:t>
      </w:r>
      <w:r w:rsidR="00265D56" w:rsidRPr="00907C84">
        <w:rPr>
          <w:rFonts w:ascii="Book Antiqua" w:hAnsi="Book Antiqua" w:cs="Times New Roman"/>
          <w:sz w:val="24"/>
          <w:szCs w:val="24"/>
        </w:rPr>
        <w:t xml:space="preserve"> and surveys, which incur</w:t>
      </w:r>
      <w:r w:rsidR="007226E0" w:rsidRPr="00907C84">
        <w:rPr>
          <w:rFonts w:ascii="Book Antiqua" w:hAnsi="Book Antiqua" w:cs="Times New Roman"/>
          <w:sz w:val="24"/>
          <w:szCs w:val="24"/>
        </w:rPr>
        <w:t xml:space="preserve"> several</w:t>
      </w:r>
      <w:r w:rsidR="00265D56" w:rsidRPr="00907C84">
        <w:rPr>
          <w:rFonts w:ascii="Book Antiqua" w:hAnsi="Book Antiqua" w:cs="Times New Roman"/>
          <w:sz w:val="24"/>
          <w:szCs w:val="24"/>
        </w:rPr>
        <w:t xml:space="preserve"> </w:t>
      </w:r>
      <w:r w:rsidR="007226E0" w:rsidRPr="00907C84">
        <w:rPr>
          <w:rFonts w:ascii="Book Antiqua" w:hAnsi="Book Antiqua" w:cs="Times New Roman"/>
          <w:sz w:val="24"/>
          <w:szCs w:val="24"/>
        </w:rPr>
        <w:t xml:space="preserve">inherent </w:t>
      </w:r>
      <w:proofErr w:type="gramStart"/>
      <w:r w:rsidR="007226E0" w:rsidRPr="00907C84">
        <w:rPr>
          <w:rFonts w:ascii="Book Antiqua" w:hAnsi="Book Antiqua" w:cs="Times New Roman"/>
          <w:sz w:val="24"/>
          <w:szCs w:val="24"/>
        </w:rPr>
        <w:t>biases</w:t>
      </w:r>
      <w:r w:rsidR="00F42F20" w:rsidRPr="00F42F20">
        <w:rPr>
          <w:rFonts w:ascii="Book Antiqua" w:hAnsi="Book Antiqua" w:cs="Times New Roman"/>
          <w:sz w:val="24"/>
          <w:szCs w:val="24"/>
          <w:vertAlign w:val="superscript"/>
        </w:rPr>
        <w:t>[</w:t>
      </w:r>
      <w:proofErr w:type="gramEnd"/>
      <w:r w:rsidR="00F42F20" w:rsidRPr="00F42F20">
        <w:rPr>
          <w:rFonts w:ascii="Book Antiqua" w:hAnsi="Book Antiqua" w:cs="Times New Roman"/>
          <w:sz w:val="24"/>
          <w:szCs w:val="24"/>
          <w:vertAlign w:val="superscript"/>
        </w:rPr>
        <w:t>26]</w:t>
      </w:r>
      <w:r w:rsidR="007226E0" w:rsidRPr="00907C84">
        <w:rPr>
          <w:rFonts w:ascii="Book Antiqua" w:hAnsi="Book Antiqua" w:cs="Times New Roman"/>
          <w:sz w:val="24"/>
          <w:szCs w:val="24"/>
        </w:rPr>
        <w:t>.</w:t>
      </w:r>
    </w:p>
    <w:p w14:paraId="29239C36" w14:textId="77777777" w:rsidR="00C60958" w:rsidRPr="00907C84" w:rsidRDefault="00C60958" w:rsidP="00907C84">
      <w:pPr>
        <w:adjustRightInd w:val="0"/>
        <w:snapToGrid w:val="0"/>
        <w:spacing w:after="0" w:line="360" w:lineRule="auto"/>
        <w:jc w:val="both"/>
        <w:rPr>
          <w:rFonts w:ascii="Book Antiqua" w:hAnsi="Book Antiqua" w:cs="Times New Roman"/>
          <w:sz w:val="24"/>
          <w:szCs w:val="24"/>
          <w:vertAlign w:val="superscript"/>
        </w:rPr>
      </w:pPr>
    </w:p>
    <w:p w14:paraId="0FCCEA72" w14:textId="7C09CAAD" w:rsidR="00AF1C19" w:rsidRPr="00907C84" w:rsidRDefault="00F42F20" w:rsidP="00907C84">
      <w:pPr>
        <w:adjustRightInd w:val="0"/>
        <w:snapToGrid w:val="0"/>
        <w:spacing w:after="0" w:line="360" w:lineRule="auto"/>
        <w:jc w:val="both"/>
        <w:rPr>
          <w:rFonts w:ascii="Book Antiqua" w:hAnsi="Book Antiqua" w:cs="Times New Roman"/>
          <w:b/>
          <w:sz w:val="24"/>
          <w:szCs w:val="24"/>
        </w:rPr>
      </w:pPr>
      <w:r w:rsidRPr="00907C84">
        <w:rPr>
          <w:rFonts w:ascii="Book Antiqua" w:hAnsi="Book Antiqua" w:cs="Times New Roman"/>
          <w:b/>
          <w:sz w:val="24"/>
          <w:szCs w:val="24"/>
        </w:rPr>
        <w:t>CONCLUSION</w:t>
      </w:r>
    </w:p>
    <w:p w14:paraId="54D6E62C" w14:textId="46402A6B" w:rsidR="00F967FE" w:rsidRPr="00907C84" w:rsidRDefault="00F967FE" w:rsidP="00907C84">
      <w:pPr>
        <w:adjustRightInd w:val="0"/>
        <w:snapToGrid w:val="0"/>
        <w:spacing w:after="0" w:line="360" w:lineRule="auto"/>
        <w:jc w:val="both"/>
        <w:rPr>
          <w:rFonts w:ascii="Book Antiqua" w:hAnsi="Book Antiqua" w:cs="Times New Roman"/>
          <w:sz w:val="24"/>
          <w:szCs w:val="24"/>
        </w:rPr>
      </w:pPr>
      <w:r w:rsidRPr="00907C84">
        <w:rPr>
          <w:rFonts w:ascii="Book Antiqua" w:hAnsi="Book Antiqua" w:cs="Times New Roman"/>
          <w:sz w:val="24"/>
          <w:szCs w:val="24"/>
        </w:rPr>
        <w:t xml:space="preserve">With an aging population, the number of </w:t>
      </w:r>
      <w:r w:rsidR="00D675E4" w:rsidRPr="00907C84">
        <w:rPr>
          <w:rFonts w:ascii="Book Antiqua" w:hAnsi="Book Antiqua" w:cs="Times New Roman"/>
          <w:sz w:val="24"/>
          <w:szCs w:val="24"/>
        </w:rPr>
        <w:t>total joint arthroplasties</w:t>
      </w:r>
      <w:r w:rsidRPr="00907C84">
        <w:rPr>
          <w:rFonts w:ascii="Book Antiqua" w:hAnsi="Book Antiqua" w:cs="Times New Roman"/>
          <w:sz w:val="24"/>
          <w:szCs w:val="24"/>
        </w:rPr>
        <w:t xml:space="preserve"> </w:t>
      </w:r>
      <w:r w:rsidR="006F1EA8" w:rsidRPr="00907C84">
        <w:rPr>
          <w:rFonts w:ascii="Book Antiqua" w:hAnsi="Book Antiqua" w:cs="Times New Roman"/>
          <w:sz w:val="24"/>
          <w:szCs w:val="24"/>
        </w:rPr>
        <w:t>is likely to continue growing. Periprosthetic infection remains a great concern and</w:t>
      </w:r>
      <w:r w:rsidR="002F4FC1" w:rsidRPr="00907C84">
        <w:rPr>
          <w:rFonts w:ascii="Book Antiqua" w:hAnsi="Book Antiqua" w:cs="Times New Roman"/>
          <w:sz w:val="24"/>
          <w:szCs w:val="24"/>
        </w:rPr>
        <w:t xml:space="preserve"> </w:t>
      </w:r>
      <w:r w:rsidR="003B737C" w:rsidRPr="00907C84">
        <w:rPr>
          <w:rFonts w:ascii="Book Antiqua" w:hAnsi="Book Antiqua" w:cs="Times New Roman"/>
          <w:sz w:val="24"/>
          <w:szCs w:val="24"/>
        </w:rPr>
        <w:t>quality improvement</w:t>
      </w:r>
      <w:r w:rsidR="006F1EA8" w:rsidRPr="00907C84">
        <w:rPr>
          <w:rFonts w:ascii="Book Antiqua" w:hAnsi="Book Antiqua" w:cs="Times New Roman"/>
          <w:sz w:val="24"/>
          <w:szCs w:val="24"/>
        </w:rPr>
        <w:t xml:space="preserve"> problem despite improvements in sterile and prophylactic techniques</w:t>
      </w:r>
      <w:r w:rsidR="00EF6445" w:rsidRPr="00907C84">
        <w:rPr>
          <w:rFonts w:ascii="Book Antiqua" w:hAnsi="Book Antiqua" w:cs="Times New Roman"/>
          <w:sz w:val="24"/>
          <w:szCs w:val="24"/>
        </w:rPr>
        <w:t xml:space="preserve">. </w:t>
      </w:r>
      <w:r w:rsidR="00B37B28" w:rsidRPr="00907C84">
        <w:rPr>
          <w:rFonts w:ascii="Book Antiqua" w:hAnsi="Book Antiqua" w:cs="Times New Roman"/>
          <w:sz w:val="24"/>
          <w:szCs w:val="24"/>
        </w:rPr>
        <w:t xml:space="preserve">There is </w:t>
      </w:r>
      <w:r w:rsidR="00767D54" w:rsidRPr="00907C84">
        <w:rPr>
          <w:rFonts w:ascii="Book Antiqua" w:hAnsi="Book Antiqua" w:cs="Times New Roman"/>
          <w:sz w:val="24"/>
          <w:szCs w:val="24"/>
        </w:rPr>
        <w:t>little evidence to support universal dental clearance before TJA</w:t>
      </w:r>
      <w:r w:rsidR="00D675E4" w:rsidRPr="00907C84">
        <w:rPr>
          <w:rFonts w:ascii="Book Antiqua" w:hAnsi="Book Antiqua" w:cs="Times New Roman"/>
          <w:sz w:val="24"/>
          <w:szCs w:val="24"/>
        </w:rPr>
        <w:t>, even for higher risk patients</w:t>
      </w:r>
      <w:r w:rsidR="00BB61B1" w:rsidRPr="00907C84">
        <w:rPr>
          <w:rFonts w:ascii="Book Antiqua" w:hAnsi="Book Antiqua" w:cs="Times New Roman"/>
          <w:sz w:val="24"/>
          <w:szCs w:val="24"/>
        </w:rPr>
        <w:t>.</w:t>
      </w:r>
      <w:r w:rsidR="00767D54" w:rsidRPr="00907C84">
        <w:rPr>
          <w:rFonts w:ascii="Book Antiqua" w:hAnsi="Book Antiqua" w:cs="Times New Roman"/>
          <w:sz w:val="24"/>
          <w:szCs w:val="24"/>
        </w:rPr>
        <w:t xml:space="preserve"> </w:t>
      </w:r>
      <w:r w:rsidR="00EF6445" w:rsidRPr="00907C84">
        <w:rPr>
          <w:rFonts w:ascii="Book Antiqua" w:hAnsi="Book Antiqua" w:cs="Times New Roman"/>
          <w:sz w:val="24"/>
          <w:szCs w:val="24"/>
        </w:rPr>
        <w:t xml:space="preserve">There remains a need for future research to elucidate the mechanism of periprosthetic infections </w:t>
      </w:r>
      <w:r w:rsidR="00281BA7" w:rsidRPr="00907C84">
        <w:rPr>
          <w:rFonts w:ascii="Book Antiqua" w:hAnsi="Book Antiqua" w:cs="Times New Roman"/>
          <w:sz w:val="24"/>
          <w:szCs w:val="24"/>
        </w:rPr>
        <w:t>and more robust</w:t>
      </w:r>
      <w:r w:rsidR="00A123BC" w:rsidRPr="00907C84">
        <w:rPr>
          <w:rFonts w:ascii="Book Antiqua" w:hAnsi="Book Antiqua" w:cs="Times New Roman"/>
          <w:sz w:val="24"/>
          <w:szCs w:val="24"/>
        </w:rPr>
        <w:t xml:space="preserve"> analysis of </w:t>
      </w:r>
      <w:r w:rsidR="00E01116" w:rsidRPr="00907C84">
        <w:rPr>
          <w:rFonts w:ascii="Book Antiqua" w:hAnsi="Book Antiqua" w:cs="Times New Roman"/>
          <w:sz w:val="24"/>
          <w:szCs w:val="24"/>
        </w:rPr>
        <w:t xml:space="preserve">patients with high risk dental pathologies to </w:t>
      </w:r>
      <w:r w:rsidR="00EF6445" w:rsidRPr="00907C84">
        <w:rPr>
          <w:rFonts w:ascii="Book Antiqua" w:hAnsi="Book Antiqua" w:cs="Times New Roman"/>
          <w:sz w:val="24"/>
          <w:szCs w:val="24"/>
        </w:rPr>
        <w:t>help guide interventions.</w:t>
      </w:r>
    </w:p>
    <w:p w14:paraId="4C786B22" w14:textId="42B2E32C" w:rsidR="0036458C" w:rsidRPr="00907C84" w:rsidRDefault="0036458C" w:rsidP="00907C84">
      <w:pPr>
        <w:adjustRightInd w:val="0"/>
        <w:snapToGrid w:val="0"/>
        <w:spacing w:after="0" w:line="360" w:lineRule="auto"/>
        <w:jc w:val="both"/>
        <w:rPr>
          <w:rFonts w:ascii="Book Antiqua" w:hAnsi="Book Antiqua" w:cs="Times New Roman"/>
          <w:sz w:val="24"/>
          <w:szCs w:val="24"/>
        </w:rPr>
      </w:pPr>
      <w:r w:rsidRPr="00907C84">
        <w:rPr>
          <w:rFonts w:ascii="Book Antiqua" w:hAnsi="Book Antiqua" w:cs="Times New Roman"/>
          <w:sz w:val="24"/>
          <w:szCs w:val="24"/>
        </w:rPr>
        <w:br w:type="page"/>
      </w:r>
    </w:p>
    <w:p w14:paraId="434ADBE6" w14:textId="3E558112" w:rsidR="00AF1C19" w:rsidRPr="00907C84" w:rsidRDefault="00424816" w:rsidP="00907C84">
      <w:pPr>
        <w:adjustRightInd w:val="0"/>
        <w:snapToGrid w:val="0"/>
        <w:spacing w:after="0" w:line="360" w:lineRule="auto"/>
        <w:jc w:val="both"/>
        <w:rPr>
          <w:rFonts w:ascii="Book Antiqua" w:hAnsi="Book Antiqua" w:cs="Times New Roman"/>
          <w:b/>
          <w:sz w:val="24"/>
          <w:szCs w:val="24"/>
        </w:rPr>
      </w:pPr>
      <w:r w:rsidRPr="00907C84">
        <w:rPr>
          <w:rFonts w:ascii="Book Antiqua" w:hAnsi="Book Antiqua" w:cs="Times New Roman"/>
          <w:b/>
          <w:sz w:val="24"/>
          <w:szCs w:val="24"/>
        </w:rPr>
        <w:t>REFERENCES</w:t>
      </w:r>
    </w:p>
    <w:p w14:paraId="49FB8B61" w14:textId="77777777" w:rsidR="00424816" w:rsidRPr="00424816" w:rsidRDefault="00424816" w:rsidP="00424816">
      <w:pPr>
        <w:adjustRightInd w:val="0"/>
        <w:snapToGrid w:val="0"/>
        <w:spacing w:after="0" w:line="360" w:lineRule="auto"/>
        <w:jc w:val="both"/>
        <w:rPr>
          <w:rFonts w:ascii="Book Antiqua" w:eastAsia="宋体" w:hAnsi="Book Antiqua" w:cs="宋体"/>
          <w:sz w:val="24"/>
          <w:szCs w:val="24"/>
          <w:lang w:eastAsia="zh-CN"/>
        </w:rPr>
      </w:pPr>
      <w:r w:rsidRPr="00424816">
        <w:rPr>
          <w:rFonts w:ascii="Book Antiqua" w:eastAsia="宋体" w:hAnsi="Book Antiqua" w:cs="宋体"/>
          <w:sz w:val="24"/>
          <w:szCs w:val="24"/>
          <w:lang w:eastAsia="zh-CN"/>
        </w:rPr>
        <w:t xml:space="preserve">1 </w:t>
      </w:r>
      <w:proofErr w:type="spellStart"/>
      <w:r w:rsidRPr="00424816">
        <w:rPr>
          <w:rFonts w:ascii="Book Antiqua" w:eastAsia="宋体" w:hAnsi="Book Antiqua" w:cs="宋体"/>
          <w:b/>
          <w:bCs/>
          <w:sz w:val="24"/>
          <w:szCs w:val="24"/>
          <w:lang w:eastAsia="zh-CN"/>
        </w:rPr>
        <w:t>Bozic</w:t>
      </w:r>
      <w:proofErr w:type="spellEnd"/>
      <w:r w:rsidRPr="00424816">
        <w:rPr>
          <w:rFonts w:ascii="Book Antiqua" w:eastAsia="宋体" w:hAnsi="Book Antiqua" w:cs="宋体"/>
          <w:b/>
          <w:bCs/>
          <w:sz w:val="24"/>
          <w:szCs w:val="24"/>
          <w:lang w:eastAsia="zh-CN"/>
        </w:rPr>
        <w:t xml:space="preserve"> KJ</w:t>
      </w:r>
      <w:r w:rsidRPr="00424816">
        <w:rPr>
          <w:rFonts w:ascii="Book Antiqua" w:eastAsia="宋体" w:hAnsi="Book Antiqua" w:cs="宋体"/>
          <w:sz w:val="24"/>
          <w:szCs w:val="24"/>
          <w:lang w:eastAsia="zh-CN"/>
        </w:rPr>
        <w:t xml:space="preserve">, Kurtz SM, Lau E, Ong K, Chiu V, Vail TP, </w:t>
      </w:r>
      <w:proofErr w:type="spellStart"/>
      <w:r w:rsidRPr="00424816">
        <w:rPr>
          <w:rFonts w:ascii="Book Antiqua" w:eastAsia="宋体" w:hAnsi="Book Antiqua" w:cs="宋体"/>
          <w:sz w:val="24"/>
          <w:szCs w:val="24"/>
          <w:lang w:eastAsia="zh-CN"/>
        </w:rPr>
        <w:t>Rubash</w:t>
      </w:r>
      <w:proofErr w:type="spellEnd"/>
      <w:r w:rsidRPr="00424816">
        <w:rPr>
          <w:rFonts w:ascii="Book Antiqua" w:eastAsia="宋体" w:hAnsi="Book Antiqua" w:cs="宋体"/>
          <w:sz w:val="24"/>
          <w:szCs w:val="24"/>
          <w:lang w:eastAsia="zh-CN"/>
        </w:rPr>
        <w:t xml:space="preserve"> HE, Berry DJ. </w:t>
      </w:r>
      <w:proofErr w:type="gramStart"/>
      <w:r w:rsidRPr="00424816">
        <w:rPr>
          <w:rFonts w:ascii="Book Antiqua" w:eastAsia="宋体" w:hAnsi="Book Antiqua" w:cs="宋体"/>
          <w:sz w:val="24"/>
          <w:szCs w:val="24"/>
          <w:lang w:eastAsia="zh-CN"/>
        </w:rPr>
        <w:t>The epidemiology of revision total knee arthroplasty in the United States.</w:t>
      </w:r>
      <w:proofErr w:type="gramEnd"/>
      <w:r w:rsidRPr="00424816">
        <w:rPr>
          <w:rFonts w:ascii="Book Antiqua" w:eastAsia="宋体" w:hAnsi="Book Antiqua" w:cs="宋体"/>
          <w:sz w:val="24"/>
          <w:szCs w:val="24"/>
          <w:lang w:eastAsia="zh-CN"/>
        </w:rPr>
        <w:t xml:space="preserve"> </w:t>
      </w:r>
      <w:proofErr w:type="spellStart"/>
      <w:r w:rsidRPr="00424816">
        <w:rPr>
          <w:rFonts w:ascii="Book Antiqua" w:eastAsia="宋体" w:hAnsi="Book Antiqua" w:cs="宋体"/>
          <w:i/>
          <w:iCs/>
          <w:sz w:val="24"/>
          <w:szCs w:val="24"/>
          <w:lang w:eastAsia="zh-CN"/>
        </w:rPr>
        <w:t>Clin</w:t>
      </w:r>
      <w:proofErr w:type="spellEnd"/>
      <w:r w:rsidRPr="00424816">
        <w:rPr>
          <w:rFonts w:ascii="Book Antiqua" w:eastAsia="宋体" w:hAnsi="Book Antiqua" w:cs="宋体"/>
          <w:i/>
          <w:iCs/>
          <w:sz w:val="24"/>
          <w:szCs w:val="24"/>
          <w:lang w:eastAsia="zh-CN"/>
        </w:rPr>
        <w:t xml:space="preserve"> </w:t>
      </w:r>
      <w:proofErr w:type="spellStart"/>
      <w:r w:rsidRPr="00424816">
        <w:rPr>
          <w:rFonts w:ascii="Book Antiqua" w:eastAsia="宋体" w:hAnsi="Book Antiqua" w:cs="宋体"/>
          <w:i/>
          <w:iCs/>
          <w:sz w:val="24"/>
          <w:szCs w:val="24"/>
          <w:lang w:eastAsia="zh-CN"/>
        </w:rPr>
        <w:t>Orthop</w:t>
      </w:r>
      <w:proofErr w:type="spellEnd"/>
      <w:r w:rsidRPr="00424816">
        <w:rPr>
          <w:rFonts w:ascii="Book Antiqua" w:eastAsia="宋体" w:hAnsi="Book Antiqua" w:cs="宋体"/>
          <w:i/>
          <w:iCs/>
          <w:sz w:val="24"/>
          <w:szCs w:val="24"/>
          <w:lang w:eastAsia="zh-CN"/>
        </w:rPr>
        <w:t xml:space="preserve"> </w:t>
      </w:r>
      <w:proofErr w:type="spellStart"/>
      <w:r w:rsidRPr="00424816">
        <w:rPr>
          <w:rFonts w:ascii="Book Antiqua" w:eastAsia="宋体" w:hAnsi="Book Antiqua" w:cs="宋体"/>
          <w:i/>
          <w:iCs/>
          <w:sz w:val="24"/>
          <w:szCs w:val="24"/>
          <w:lang w:eastAsia="zh-CN"/>
        </w:rPr>
        <w:t>Relat</w:t>
      </w:r>
      <w:proofErr w:type="spellEnd"/>
      <w:r w:rsidRPr="00424816">
        <w:rPr>
          <w:rFonts w:ascii="Book Antiqua" w:eastAsia="宋体" w:hAnsi="Book Antiqua" w:cs="宋体"/>
          <w:i/>
          <w:iCs/>
          <w:sz w:val="24"/>
          <w:szCs w:val="24"/>
          <w:lang w:eastAsia="zh-CN"/>
        </w:rPr>
        <w:t xml:space="preserve"> Res</w:t>
      </w:r>
      <w:r w:rsidRPr="00424816">
        <w:rPr>
          <w:rFonts w:ascii="Book Antiqua" w:eastAsia="宋体" w:hAnsi="Book Antiqua" w:cs="宋体"/>
          <w:sz w:val="24"/>
          <w:szCs w:val="24"/>
          <w:lang w:eastAsia="zh-CN"/>
        </w:rPr>
        <w:t xml:space="preserve"> 2010; </w:t>
      </w:r>
      <w:r w:rsidRPr="00424816">
        <w:rPr>
          <w:rFonts w:ascii="Book Antiqua" w:eastAsia="宋体" w:hAnsi="Book Antiqua" w:cs="宋体"/>
          <w:b/>
          <w:bCs/>
          <w:sz w:val="24"/>
          <w:szCs w:val="24"/>
          <w:lang w:eastAsia="zh-CN"/>
        </w:rPr>
        <w:t>468</w:t>
      </w:r>
      <w:r w:rsidRPr="00424816">
        <w:rPr>
          <w:rFonts w:ascii="Book Antiqua" w:eastAsia="宋体" w:hAnsi="Book Antiqua" w:cs="宋体"/>
          <w:sz w:val="24"/>
          <w:szCs w:val="24"/>
          <w:lang w:eastAsia="zh-CN"/>
        </w:rPr>
        <w:t>: 45-51 [PMID: 19554385 DOI: 10.1007/s11999-009-0945-0]</w:t>
      </w:r>
    </w:p>
    <w:p w14:paraId="521EF303" w14:textId="77777777" w:rsidR="00424816" w:rsidRPr="00424816" w:rsidRDefault="00424816" w:rsidP="00424816">
      <w:pPr>
        <w:adjustRightInd w:val="0"/>
        <w:snapToGrid w:val="0"/>
        <w:spacing w:after="0" w:line="360" w:lineRule="auto"/>
        <w:jc w:val="both"/>
        <w:rPr>
          <w:rFonts w:ascii="Book Antiqua" w:eastAsia="宋体" w:hAnsi="Book Antiqua" w:cs="宋体"/>
          <w:sz w:val="24"/>
          <w:szCs w:val="24"/>
          <w:lang w:eastAsia="zh-CN"/>
        </w:rPr>
      </w:pPr>
      <w:r w:rsidRPr="00424816">
        <w:rPr>
          <w:rFonts w:ascii="Book Antiqua" w:eastAsia="宋体" w:hAnsi="Book Antiqua" w:cs="宋体"/>
          <w:sz w:val="24"/>
          <w:szCs w:val="24"/>
          <w:lang w:eastAsia="zh-CN"/>
        </w:rPr>
        <w:t xml:space="preserve">2 </w:t>
      </w:r>
      <w:r w:rsidRPr="00424816">
        <w:rPr>
          <w:rFonts w:ascii="Book Antiqua" w:eastAsia="宋体" w:hAnsi="Book Antiqua" w:cs="宋体"/>
          <w:b/>
          <w:bCs/>
          <w:sz w:val="24"/>
          <w:szCs w:val="24"/>
          <w:lang w:eastAsia="zh-CN"/>
        </w:rPr>
        <w:t>Jafari SM</w:t>
      </w:r>
      <w:r w:rsidRPr="00424816">
        <w:rPr>
          <w:rFonts w:ascii="Book Antiqua" w:eastAsia="宋体" w:hAnsi="Book Antiqua" w:cs="宋体"/>
          <w:sz w:val="24"/>
          <w:szCs w:val="24"/>
          <w:lang w:eastAsia="zh-CN"/>
        </w:rPr>
        <w:t xml:space="preserve">, Coyle C, Mortazavi SM, Sharkey PF, </w:t>
      </w:r>
      <w:proofErr w:type="spellStart"/>
      <w:r w:rsidRPr="00424816">
        <w:rPr>
          <w:rFonts w:ascii="Book Antiqua" w:eastAsia="宋体" w:hAnsi="Book Antiqua" w:cs="宋体"/>
          <w:sz w:val="24"/>
          <w:szCs w:val="24"/>
          <w:lang w:eastAsia="zh-CN"/>
        </w:rPr>
        <w:t>Parvizi</w:t>
      </w:r>
      <w:proofErr w:type="spellEnd"/>
      <w:r w:rsidRPr="00424816">
        <w:rPr>
          <w:rFonts w:ascii="Book Antiqua" w:eastAsia="宋体" w:hAnsi="Book Antiqua" w:cs="宋体"/>
          <w:sz w:val="24"/>
          <w:szCs w:val="24"/>
          <w:lang w:eastAsia="zh-CN"/>
        </w:rPr>
        <w:t xml:space="preserve"> J. Revision hip arthroplasty: infection is the most common cause of failure. </w:t>
      </w:r>
      <w:proofErr w:type="spellStart"/>
      <w:r w:rsidRPr="00424816">
        <w:rPr>
          <w:rFonts w:ascii="Book Antiqua" w:eastAsia="宋体" w:hAnsi="Book Antiqua" w:cs="宋体"/>
          <w:i/>
          <w:iCs/>
          <w:sz w:val="24"/>
          <w:szCs w:val="24"/>
          <w:lang w:eastAsia="zh-CN"/>
        </w:rPr>
        <w:t>Clin</w:t>
      </w:r>
      <w:proofErr w:type="spellEnd"/>
      <w:r w:rsidRPr="00424816">
        <w:rPr>
          <w:rFonts w:ascii="Book Antiqua" w:eastAsia="宋体" w:hAnsi="Book Antiqua" w:cs="宋体"/>
          <w:i/>
          <w:iCs/>
          <w:sz w:val="24"/>
          <w:szCs w:val="24"/>
          <w:lang w:eastAsia="zh-CN"/>
        </w:rPr>
        <w:t xml:space="preserve"> </w:t>
      </w:r>
      <w:proofErr w:type="spellStart"/>
      <w:r w:rsidRPr="00424816">
        <w:rPr>
          <w:rFonts w:ascii="Book Antiqua" w:eastAsia="宋体" w:hAnsi="Book Antiqua" w:cs="宋体"/>
          <w:i/>
          <w:iCs/>
          <w:sz w:val="24"/>
          <w:szCs w:val="24"/>
          <w:lang w:eastAsia="zh-CN"/>
        </w:rPr>
        <w:t>Orthop</w:t>
      </w:r>
      <w:proofErr w:type="spellEnd"/>
      <w:r w:rsidRPr="00424816">
        <w:rPr>
          <w:rFonts w:ascii="Book Antiqua" w:eastAsia="宋体" w:hAnsi="Book Antiqua" w:cs="宋体"/>
          <w:i/>
          <w:iCs/>
          <w:sz w:val="24"/>
          <w:szCs w:val="24"/>
          <w:lang w:eastAsia="zh-CN"/>
        </w:rPr>
        <w:t xml:space="preserve"> </w:t>
      </w:r>
      <w:proofErr w:type="spellStart"/>
      <w:r w:rsidRPr="00424816">
        <w:rPr>
          <w:rFonts w:ascii="Book Antiqua" w:eastAsia="宋体" w:hAnsi="Book Antiqua" w:cs="宋体"/>
          <w:i/>
          <w:iCs/>
          <w:sz w:val="24"/>
          <w:szCs w:val="24"/>
          <w:lang w:eastAsia="zh-CN"/>
        </w:rPr>
        <w:t>Relat</w:t>
      </w:r>
      <w:proofErr w:type="spellEnd"/>
      <w:r w:rsidRPr="00424816">
        <w:rPr>
          <w:rFonts w:ascii="Book Antiqua" w:eastAsia="宋体" w:hAnsi="Book Antiqua" w:cs="宋体"/>
          <w:i/>
          <w:iCs/>
          <w:sz w:val="24"/>
          <w:szCs w:val="24"/>
          <w:lang w:eastAsia="zh-CN"/>
        </w:rPr>
        <w:t xml:space="preserve"> Res</w:t>
      </w:r>
      <w:r w:rsidRPr="00424816">
        <w:rPr>
          <w:rFonts w:ascii="Book Antiqua" w:eastAsia="宋体" w:hAnsi="Book Antiqua" w:cs="宋体"/>
          <w:sz w:val="24"/>
          <w:szCs w:val="24"/>
          <w:lang w:eastAsia="zh-CN"/>
        </w:rPr>
        <w:t xml:space="preserve"> 2010; </w:t>
      </w:r>
      <w:r w:rsidRPr="00424816">
        <w:rPr>
          <w:rFonts w:ascii="Book Antiqua" w:eastAsia="宋体" w:hAnsi="Book Antiqua" w:cs="宋体"/>
          <w:b/>
          <w:bCs/>
          <w:sz w:val="24"/>
          <w:szCs w:val="24"/>
          <w:lang w:eastAsia="zh-CN"/>
        </w:rPr>
        <w:t>468</w:t>
      </w:r>
      <w:r w:rsidRPr="00424816">
        <w:rPr>
          <w:rFonts w:ascii="Book Antiqua" w:eastAsia="宋体" w:hAnsi="Book Antiqua" w:cs="宋体"/>
          <w:sz w:val="24"/>
          <w:szCs w:val="24"/>
          <w:lang w:eastAsia="zh-CN"/>
        </w:rPr>
        <w:t>: 2046-2051 [PMID: 20195808 DOI: 10.1007/s11999-010-1251-6]</w:t>
      </w:r>
    </w:p>
    <w:p w14:paraId="085D8DB7" w14:textId="77777777" w:rsidR="00424816" w:rsidRPr="00424816" w:rsidRDefault="00424816" w:rsidP="00424816">
      <w:pPr>
        <w:adjustRightInd w:val="0"/>
        <w:snapToGrid w:val="0"/>
        <w:spacing w:after="0" w:line="360" w:lineRule="auto"/>
        <w:jc w:val="both"/>
        <w:rPr>
          <w:rFonts w:ascii="Book Antiqua" w:eastAsia="宋体" w:hAnsi="Book Antiqua" w:cs="宋体"/>
          <w:sz w:val="24"/>
          <w:szCs w:val="24"/>
          <w:lang w:eastAsia="zh-CN"/>
        </w:rPr>
      </w:pPr>
      <w:r w:rsidRPr="00424816">
        <w:rPr>
          <w:rFonts w:ascii="Book Antiqua" w:eastAsia="宋体" w:hAnsi="Book Antiqua" w:cs="宋体"/>
          <w:sz w:val="24"/>
          <w:szCs w:val="24"/>
          <w:lang w:eastAsia="zh-CN"/>
        </w:rPr>
        <w:t xml:space="preserve">3 </w:t>
      </w:r>
      <w:r w:rsidRPr="00424816">
        <w:rPr>
          <w:rFonts w:ascii="Book Antiqua" w:eastAsia="宋体" w:hAnsi="Book Antiqua" w:cs="宋体"/>
          <w:b/>
          <w:bCs/>
          <w:sz w:val="24"/>
          <w:szCs w:val="24"/>
          <w:lang w:eastAsia="zh-CN"/>
        </w:rPr>
        <w:t>Kurtz SM</w:t>
      </w:r>
      <w:r w:rsidRPr="00424816">
        <w:rPr>
          <w:rFonts w:ascii="Book Antiqua" w:eastAsia="宋体" w:hAnsi="Book Antiqua" w:cs="宋体"/>
          <w:sz w:val="24"/>
          <w:szCs w:val="24"/>
          <w:lang w:eastAsia="zh-CN"/>
        </w:rPr>
        <w:t xml:space="preserve">, Lau E, Watson H, </w:t>
      </w:r>
      <w:proofErr w:type="spellStart"/>
      <w:r w:rsidRPr="00424816">
        <w:rPr>
          <w:rFonts w:ascii="Book Antiqua" w:eastAsia="宋体" w:hAnsi="Book Antiqua" w:cs="宋体"/>
          <w:sz w:val="24"/>
          <w:szCs w:val="24"/>
          <w:lang w:eastAsia="zh-CN"/>
        </w:rPr>
        <w:t>Schmier</w:t>
      </w:r>
      <w:proofErr w:type="spellEnd"/>
      <w:r w:rsidRPr="00424816">
        <w:rPr>
          <w:rFonts w:ascii="Book Antiqua" w:eastAsia="宋体" w:hAnsi="Book Antiqua" w:cs="宋体"/>
          <w:sz w:val="24"/>
          <w:szCs w:val="24"/>
          <w:lang w:eastAsia="zh-CN"/>
        </w:rPr>
        <w:t xml:space="preserve"> JK, </w:t>
      </w:r>
      <w:proofErr w:type="spellStart"/>
      <w:r w:rsidRPr="00424816">
        <w:rPr>
          <w:rFonts w:ascii="Book Antiqua" w:eastAsia="宋体" w:hAnsi="Book Antiqua" w:cs="宋体"/>
          <w:sz w:val="24"/>
          <w:szCs w:val="24"/>
          <w:lang w:eastAsia="zh-CN"/>
        </w:rPr>
        <w:t>Parvizi</w:t>
      </w:r>
      <w:proofErr w:type="spellEnd"/>
      <w:r w:rsidRPr="00424816">
        <w:rPr>
          <w:rFonts w:ascii="Book Antiqua" w:eastAsia="宋体" w:hAnsi="Book Antiqua" w:cs="宋体"/>
          <w:sz w:val="24"/>
          <w:szCs w:val="24"/>
          <w:lang w:eastAsia="zh-CN"/>
        </w:rPr>
        <w:t xml:space="preserve"> J. Economic burden of periprosthetic joint infection in the United States. </w:t>
      </w:r>
      <w:r w:rsidRPr="00424816">
        <w:rPr>
          <w:rFonts w:ascii="Book Antiqua" w:eastAsia="宋体" w:hAnsi="Book Antiqua" w:cs="宋体"/>
          <w:i/>
          <w:iCs/>
          <w:sz w:val="24"/>
          <w:szCs w:val="24"/>
          <w:lang w:eastAsia="zh-CN"/>
        </w:rPr>
        <w:t>J Arthroplasty</w:t>
      </w:r>
      <w:r w:rsidRPr="00424816">
        <w:rPr>
          <w:rFonts w:ascii="Book Antiqua" w:eastAsia="宋体" w:hAnsi="Book Antiqua" w:cs="宋体"/>
          <w:sz w:val="24"/>
          <w:szCs w:val="24"/>
          <w:lang w:eastAsia="zh-CN"/>
        </w:rPr>
        <w:t xml:space="preserve"> 2012; </w:t>
      </w:r>
      <w:r w:rsidRPr="00424816">
        <w:rPr>
          <w:rFonts w:ascii="Book Antiqua" w:eastAsia="宋体" w:hAnsi="Book Antiqua" w:cs="宋体"/>
          <w:b/>
          <w:bCs/>
          <w:sz w:val="24"/>
          <w:szCs w:val="24"/>
          <w:lang w:eastAsia="zh-CN"/>
        </w:rPr>
        <w:t>27</w:t>
      </w:r>
      <w:r w:rsidRPr="00424816">
        <w:rPr>
          <w:rFonts w:ascii="Book Antiqua" w:eastAsia="宋体" w:hAnsi="Book Antiqua" w:cs="宋体"/>
          <w:sz w:val="24"/>
          <w:szCs w:val="24"/>
          <w:lang w:eastAsia="zh-CN"/>
        </w:rPr>
        <w:t>: 61-5.e1 [PMID: 22554729 DOI: 10.1016/j.arth.2012.02.022]</w:t>
      </w:r>
    </w:p>
    <w:p w14:paraId="08124DDF" w14:textId="56B48830" w:rsidR="00424816" w:rsidRPr="00424816" w:rsidRDefault="00424816" w:rsidP="00424816">
      <w:pPr>
        <w:adjustRightInd w:val="0"/>
        <w:snapToGrid w:val="0"/>
        <w:spacing w:after="0" w:line="360" w:lineRule="auto"/>
        <w:jc w:val="both"/>
        <w:rPr>
          <w:rFonts w:ascii="Book Antiqua" w:eastAsia="宋体" w:hAnsi="Book Antiqua" w:cs="宋体"/>
          <w:sz w:val="24"/>
          <w:szCs w:val="24"/>
          <w:lang w:eastAsia="zh-CN"/>
        </w:rPr>
      </w:pPr>
      <w:proofErr w:type="gramStart"/>
      <w:r w:rsidRPr="00424816">
        <w:rPr>
          <w:rFonts w:ascii="Book Antiqua" w:eastAsia="宋体" w:hAnsi="Book Antiqua" w:cs="宋体"/>
          <w:sz w:val="24"/>
          <w:szCs w:val="24"/>
          <w:lang w:eastAsia="zh-CN"/>
        </w:rPr>
        <w:t xml:space="preserve">4 </w:t>
      </w:r>
      <w:r w:rsidRPr="00424816">
        <w:rPr>
          <w:rFonts w:ascii="Book Antiqua" w:eastAsia="宋体" w:hAnsi="Book Antiqua" w:cs="宋体"/>
          <w:b/>
          <w:bCs/>
          <w:sz w:val="24"/>
          <w:szCs w:val="24"/>
          <w:lang w:eastAsia="zh-CN"/>
        </w:rPr>
        <w:t>Romero J,</w:t>
      </w:r>
      <w:r w:rsidRPr="00424816">
        <w:rPr>
          <w:rFonts w:ascii="Book Antiqua" w:eastAsia="宋体" w:hAnsi="Book Antiqua" w:cs="宋体"/>
          <w:sz w:val="24"/>
          <w:szCs w:val="24"/>
          <w:lang w:eastAsia="zh-CN"/>
        </w:rPr>
        <w:t xml:space="preserve"> Jones R, Brown T. Modifiable risk factors and preoperative optimization of the primary total arthroplasty patient.</w:t>
      </w:r>
      <w:proofErr w:type="gramEnd"/>
      <w:r w:rsidRPr="00424816">
        <w:rPr>
          <w:rFonts w:ascii="Book Antiqua" w:eastAsia="宋体" w:hAnsi="Book Antiqua" w:cs="宋体"/>
          <w:sz w:val="24"/>
          <w:szCs w:val="24"/>
          <w:lang w:eastAsia="zh-CN"/>
        </w:rPr>
        <w:t xml:space="preserve"> </w:t>
      </w:r>
      <w:proofErr w:type="spellStart"/>
      <w:r w:rsidRPr="00424816">
        <w:rPr>
          <w:rFonts w:ascii="Book Antiqua" w:eastAsia="宋体" w:hAnsi="Book Antiqua" w:cs="宋体"/>
          <w:i/>
          <w:iCs/>
          <w:sz w:val="24"/>
          <w:szCs w:val="24"/>
          <w:lang w:eastAsia="zh-CN"/>
        </w:rPr>
        <w:t>Curr</w:t>
      </w:r>
      <w:proofErr w:type="spellEnd"/>
      <w:r w:rsidRPr="00424816">
        <w:rPr>
          <w:rFonts w:ascii="Book Antiqua" w:eastAsia="宋体" w:hAnsi="Book Antiqua" w:cs="宋体"/>
          <w:i/>
          <w:iCs/>
          <w:sz w:val="24"/>
          <w:szCs w:val="24"/>
          <w:lang w:eastAsia="zh-CN"/>
        </w:rPr>
        <w:t xml:space="preserve"> </w:t>
      </w:r>
      <w:proofErr w:type="spellStart"/>
      <w:r w:rsidRPr="00424816">
        <w:rPr>
          <w:rFonts w:ascii="Book Antiqua" w:eastAsia="宋体" w:hAnsi="Book Antiqua" w:cs="宋体"/>
          <w:i/>
          <w:iCs/>
          <w:sz w:val="24"/>
          <w:szCs w:val="24"/>
          <w:lang w:eastAsia="zh-CN"/>
        </w:rPr>
        <w:t>Orthop</w:t>
      </w:r>
      <w:proofErr w:type="spellEnd"/>
      <w:r w:rsidRPr="00424816">
        <w:rPr>
          <w:rFonts w:ascii="Book Antiqua" w:eastAsia="宋体" w:hAnsi="Book Antiqua" w:cs="宋体"/>
          <w:i/>
          <w:iCs/>
          <w:sz w:val="24"/>
          <w:szCs w:val="24"/>
          <w:lang w:eastAsia="zh-CN"/>
        </w:rPr>
        <w:t xml:space="preserve"> </w:t>
      </w:r>
      <w:proofErr w:type="spellStart"/>
      <w:r w:rsidRPr="00424816">
        <w:rPr>
          <w:rFonts w:ascii="Book Antiqua" w:eastAsia="宋体" w:hAnsi="Book Antiqua" w:cs="宋体"/>
          <w:i/>
          <w:iCs/>
          <w:sz w:val="24"/>
          <w:szCs w:val="24"/>
          <w:lang w:eastAsia="zh-CN"/>
        </w:rPr>
        <w:t>Pract</w:t>
      </w:r>
      <w:proofErr w:type="spellEnd"/>
      <w:r w:rsidRPr="00424816">
        <w:rPr>
          <w:rFonts w:ascii="Book Antiqua" w:eastAsia="宋体" w:hAnsi="Book Antiqua" w:cs="宋体"/>
          <w:sz w:val="24"/>
          <w:szCs w:val="24"/>
          <w:lang w:eastAsia="zh-CN"/>
        </w:rPr>
        <w:t xml:space="preserve"> </w:t>
      </w:r>
      <w:r>
        <w:rPr>
          <w:rFonts w:ascii="Book Antiqua" w:eastAsia="宋体" w:hAnsi="Book Antiqua" w:cs="宋体"/>
          <w:sz w:val="24"/>
          <w:szCs w:val="24"/>
          <w:lang w:eastAsia="zh-CN"/>
        </w:rPr>
        <w:t xml:space="preserve">2017; </w:t>
      </w:r>
      <w:r w:rsidRPr="00424816">
        <w:rPr>
          <w:rFonts w:ascii="Book Antiqua" w:eastAsia="宋体" w:hAnsi="Book Antiqua" w:cs="宋体"/>
          <w:b/>
          <w:bCs/>
          <w:sz w:val="24"/>
          <w:szCs w:val="24"/>
          <w:lang w:eastAsia="zh-CN"/>
        </w:rPr>
        <w:t>28</w:t>
      </w:r>
      <w:r w:rsidRPr="00424816">
        <w:rPr>
          <w:rFonts w:ascii="Book Antiqua" w:eastAsia="宋体" w:hAnsi="Book Antiqua" w:cs="宋体"/>
          <w:sz w:val="24"/>
          <w:szCs w:val="24"/>
          <w:lang w:eastAsia="zh-CN"/>
        </w:rPr>
        <w:t>:</w:t>
      </w:r>
      <w:r>
        <w:rPr>
          <w:rFonts w:ascii="Book Antiqua" w:eastAsia="宋体" w:hAnsi="Book Antiqua" w:cs="宋体"/>
          <w:sz w:val="24"/>
          <w:szCs w:val="24"/>
          <w:lang w:eastAsia="zh-CN"/>
        </w:rPr>
        <w:t xml:space="preserve"> </w:t>
      </w:r>
      <w:r w:rsidRPr="00424816">
        <w:rPr>
          <w:rFonts w:ascii="Book Antiqua" w:eastAsia="宋体" w:hAnsi="Book Antiqua" w:cs="宋体"/>
          <w:sz w:val="24"/>
          <w:szCs w:val="24"/>
          <w:lang w:eastAsia="zh-CN"/>
        </w:rPr>
        <w:t>272-275</w:t>
      </w:r>
      <w:r>
        <w:rPr>
          <w:rFonts w:ascii="Book Antiqua" w:eastAsia="宋体" w:hAnsi="Book Antiqua" w:cs="宋体"/>
          <w:sz w:val="24"/>
          <w:szCs w:val="24"/>
          <w:lang w:eastAsia="zh-CN"/>
        </w:rPr>
        <w:t xml:space="preserve"> [DOI: </w:t>
      </w:r>
      <w:r w:rsidRPr="00424816">
        <w:rPr>
          <w:rFonts w:ascii="Book Antiqua" w:eastAsia="宋体" w:hAnsi="Book Antiqua" w:cs="宋体"/>
          <w:sz w:val="24"/>
          <w:szCs w:val="24"/>
          <w:lang w:eastAsia="zh-CN"/>
        </w:rPr>
        <w:t>10.1097/BCO.0000000000000505</w:t>
      </w:r>
      <w:r>
        <w:rPr>
          <w:rFonts w:ascii="Book Antiqua" w:eastAsia="宋体" w:hAnsi="Book Antiqua" w:cs="宋体"/>
          <w:sz w:val="24"/>
          <w:szCs w:val="24"/>
          <w:lang w:eastAsia="zh-CN"/>
        </w:rPr>
        <w:t>]</w:t>
      </w:r>
    </w:p>
    <w:p w14:paraId="414213D1" w14:textId="77777777" w:rsidR="00424816" w:rsidRPr="00424816" w:rsidRDefault="00424816" w:rsidP="00424816">
      <w:pPr>
        <w:adjustRightInd w:val="0"/>
        <w:snapToGrid w:val="0"/>
        <w:spacing w:after="0" w:line="360" w:lineRule="auto"/>
        <w:jc w:val="both"/>
        <w:rPr>
          <w:rFonts w:ascii="Book Antiqua" w:eastAsia="宋体" w:hAnsi="Book Antiqua" w:cs="宋体"/>
          <w:sz w:val="24"/>
          <w:szCs w:val="24"/>
          <w:lang w:eastAsia="zh-CN"/>
        </w:rPr>
      </w:pPr>
      <w:proofErr w:type="gramStart"/>
      <w:r w:rsidRPr="00424816">
        <w:rPr>
          <w:rFonts w:ascii="Book Antiqua" w:eastAsia="宋体" w:hAnsi="Book Antiqua" w:cs="宋体"/>
          <w:sz w:val="24"/>
          <w:szCs w:val="24"/>
          <w:lang w:eastAsia="zh-CN"/>
        </w:rPr>
        <w:t xml:space="preserve">5 </w:t>
      </w:r>
      <w:proofErr w:type="spellStart"/>
      <w:r w:rsidRPr="00424816">
        <w:rPr>
          <w:rFonts w:ascii="Book Antiqua" w:eastAsia="宋体" w:hAnsi="Book Antiqua" w:cs="宋体"/>
          <w:b/>
          <w:bCs/>
          <w:sz w:val="24"/>
          <w:szCs w:val="24"/>
          <w:lang w:eastAsia="zh-CN"/>
        </w:rPr>
        <w:t>Alamanda</w:t>
      </w:r>
      <w:proofErr w:type="spellEnd"/>
      <w:r w:rsidRPr="00424816">
        <w:rPr>
          <w:rFonts w:ascii="Book Antiqua" w:eastAsia="宋体" w:hAnsi="Book Antiqua" w:cs="宋体"/>
          <w:b/>
          <w:bCs/>
          <w:sz w:val="24"/>
          <w:szCs w:val="24"/>
          <w:lang w:eastAsia="zh-CN"/>
        </w:rPr>
        <w:t xml:space="preserve"> VK</w:t>
      </w:r>
      <w:r w:rsidRPr="00424816">
        <w:rPr>
          <w:rFonts w:ascii="Book Antiqua" w:eastAsia="宋体" w:hAnsi="Book Antiqua" w:cs="宋体"/>
          <w:sz w:val="24"/>
          <w:szCs w:val="24"/>
          <w:lang w:eastAsia="zh-CN"/>
        </w:rPr>
        <w:t>, Springer BD. Perioperative and Modifiable Risk Factors for Periprosthetic Joint Infections (PJI) and Recommended Guidelines.</w:t>
      </w:r>
      <w:proofErr w:type="gramEnd"/>
      <w:r w:rsidRPr="00424816">
        <w:rPr>
          <w:rFonts w:ascii="Book Antiqua" w:eastAsia="宋体" w:hAnsi="Book Antiqua" w:cs="宋体"/>
          <w:sz w:val="24"/>
          <w:szCs w:val="24"/>
          <w:lang w:eastAsia="zh-CN"/>
        </w:rPr>
        <w:t xml:space="preserve"> </w:t>
      </w:r>
      <w:proofErr w:type="spellStart"/>
      <w:r w:rsidRPr="00424816">
        <w:rPr>
          <w:rFonts w:ascii="Book Antiqua" w:eastAsia="宋体" w:hAnsi="Book Antiqua" w:cs="宋体"/>
          <w:i/>
          <w:iCs/>
          <w:sz w:val="24"/>
          <w:szCs w:val="24"/>
          <w:lang w:eastAsia="zh-CN"/>
        </w:rPr>
        <w:t>Curr</w:t>
      </w:r>
      <w:proofErr w:type="spellEnd"/>
      <w:r w:rsidRPr="00424816">
        <w:rPr>
          <w:rFonts w:ascii="Book Antiqua" w:eastAsia="宋体" w:hAnsi="Book Antiqua" w:cs="宋体"/>
          <w:i/>
          <w:iCs/>
          <w:sz w:val="24"/>
          <w:szCs w:val="24"/>
          <w:lang w:eastAsia="zh-CN"/>
        </w:rPr>
        <w:t xml:space="preserve"> Rev </w:t>
      </w:r>
      <w:proofErr w:type="spellStart"/>
      <w:r w:rsidRPr="00424816">
        <w:rPr>
          <w:rFonts w:ascii="Book Antiqua" w:eastAsia="宋体" w:hAnsi="Book Antiqua" w:cs="宋体"/>
          <w:i/>
          <w:iCs/>
          <w:sz w:val="24"/>
          <w:szCs w:val="24"/>
          <w:lang w:eastAsia="zh-CN"/>
        </w:rPr>
        <w:t>Musculoskelet</w:t>
      </w:r>
      <w:proofErr w:type="spellEnd"/>
      <w:r w:rsidRPr="00424816">
        <w:rPr>
          <w:rFonts w:ascii="Book Antiqua" w:eastAsia="宋体" w:hAnsi="Book Antiqua" w:cs="宋体"/>
          <w:i/>
          <w:iCs/>
          <w:sz w:val="24"/>
          <w:szCs w:val="24"/>
          <w:lang w:eastAsia="zh-CN"/>
        </w:rPr>
        <w:t xml:space="preserve"> Med</w:t>
      </w:r>
      <w:r w:rsidRPr="00424816">
        <w:rPr>
          <w:rFonts w:ascii="Book Antiqua" w:eastAsia="宋体" w:hAnsi="Book Antiqua" w:cs="宋体"/>
          <w:sz w:val="24"/>
          <w:szCs w:val="24"/>
          <w:lang w:eastAsia="zh-CN"/>
        </w:rPr>
        <w:t xml:space="preserve"> 2018; </w:t>
      </w:r>
      <w:r w:rsidRPr="00424816">
        <w:rPr>
          <w:rFonts w:ascii="Book Antiqua" w:eastAsia="宋体" w:hAnsi="Book Antiqua" w:cs="宋体"/>
          <w:b/>
          <w:bCs/>
          <w:sz w:val="24"/>
          <w:szCs w:val="24"/>
          <w:lang w:eastAsia="zh-CN"/>
        </w:rPr>
        <w:t>11</w:t>
      </w:r>
      <w:r w:rsidRPr="00424816">
        <w:rPr>
          <w:rFonts w:ascii="Book Antiqua" w:eastAsia="宋体" w:hAnsi="Book Antiqua" w:cs="宋体"/>
          <w:sz w:val="24"/>
          <w:szCs w:val="24"/>
          <w:lang w:eastAsia="zh-CN"/>
        </w:rPr>
        <w:t>: 325-331 [PMID: 29869135 DOI: 10.1007/s12178-018-9494-z]</w:t>
      </w:r>
    </w:p>
    <w:p w14:paraId="1EFF0E6C" w14:textId="77777777" w:rsidR="00424816" w:rsidRPr="00424816" w:rsidRDefault="00424816" w:rsidP="00424816">
      <w:pPr>
        <w:adjustRightInd w:val="0"/>
        <w:snapToGrid w:val="0"/>
        <w:spacing w:after="0" w:line="360" w:lineRule="auto"/>
        <w:jc w:val="both"/>
        <w:rPr>
          <w:rFonts w:ascii="Book Antiqua" w:eastAsia="宋体" w:hAnsi="Book Antiqua" w:cs="宋体"/>
          <w:sz w:val="24"/>
          <w:szCs w:val="24"/>
          <w:lang w:eastAsia="zh-CN"/>
        </w:rPr>
      </w:pPr>
      <w:r w:rsidRPr="00424816">
        <w:rPr>
          <w:rFonts w:ascii="Book Antiqua" w:eastAsia="宋体" w:hAnsi="Book Antiqua" w:cs="宋体"/>
          <w:sz w:val="24"/>
          <w:szCs w:val="24"/>
          <w:lang w:eastAsia="zh-CN"/>
        </w:rPr>
        <w:t xml:space="preserve">6 </w:t>
      </w:r>
      <w:proofErr w:type="spellStart"/>
      <w:r w:rsidRPr="00424816">
        <w:rPr>
          <w:rFonts w:ascii="Book Antiqua" w:eastAsia="宋体" w:hAnsi="Book Antiqua" w:cs="宋体"/>
          <w:b/>
          <w:bCs/>
          <w:sz w:val="24"/>
          <w:szCs w:val="24"/>
          <w:lang w:eastAsia="zh-CN"/>
        </w:rPr>
        <w:t>Parvizi</w:t>
      </w:r>
      <w:proofErr w:type="spellEnd"/>
      <w:r w:rsidRPr="00424816">
        <w:rPr>
          <w:rFonts w:ascii="Book Antiqua" w:eastAsia="宋体" w:hAnsi="Book Antiqua" w:cs="宋体"/>
          <w:b/>
          <w:bCs/>
          <w:sz w:val="24"/>
          <w:szCs w:val="24"/>
          <w:lang w:eastAsia="zh-CN"/>
        </w:rPr>
        <w:t xml:space="preserve"> J</w:t>
      </w:r>
      <w:r w:rsidRPr="00424816">
        <w:rPr>
          <w:rFonts w:ascii="Book Antiqua" w:eastAsia="宋体" w:hAnsi="Book Antiqua" w:cs="宋体"/>
          <w:sz w:val="24"/>
          <w:szCs w:val="24"/>
          <w:lang w:eastAsia="zh-CN"/>
        </w:rPr>
        <w:t xml:space="preserve">, </w:t>
      </w:r>
      <w:proofErr w:type="spellStart"/>
      <w:r w:rsidRPr="00424816">
        <w:rPr>
          <w:rFonts w:ascii="Book Antiqua" w:eastAsia="宋体" w:hAnsi="Book Antiqua" w:cs="宋体"/>
          <w:sz w:val="24"/>
          <w:szCs w:val="24"/>
          <w:lang w:eastAsia="zh-CN"/>
        </w:rPr>
        <w:t>Shohat</w:t>
      </w:r>
      <w:proofErr w:type="spellEnd"/>
      <w:r w:rsidRPr="00424816">
        <w:rPr>
          <w:rFonts w:ascii="Book Antiqua" w:eastAsia="宋体" w:hAnsi="Book Antiqua" w:cs="宋体"/>
          <w:sz w:val="24"/>
          <w:szCs w:val="24"/>
          <w:lang w:eastAsia="zh-CN"/>
        </w:rPr>
        <w:t xml:space="preserve"> N, </w:t>
      </w:r>
      <w:proofErr w:type="spellStart"/>
      <w:r w:rsidRPr="00424816">
        <w:rPr>
          <w:rFonts w:ascii="Book Antiqua" w:eastAsia="宋体" w:hAnsi="Book Antiqua" w:cs="宋体"/>
          <w:sz w:val="24"/>
          <w:szCs w:val="24"/>
          <w:lang w:eastAsia="zh-CN"/>
        </w:rPr>
        <w:t>Gehrke</w:t>
      </w:r>
      <w:proofErr w:type="spellEnd"/>
      <w:r w:rsidRPr="00424816">
        <w:rPr>
          <w:rFonts w:ascii="Book Antiqua" w:eastAsia="宋体" w:hAnsi="Book Antiqua" w:cs="宋体"/>
          <w:sz w:val="24"/>
          <w:szCs w:val="24"/>
          <w:lang w:eastAsia="zh-CN"/>
        </w:rPr>
        <w:t xml:space="preserve"> T. Prevention of periprosthetic joint infection: new guidelines. </w:t>
      </w:r>
      <w:r w:rsidRPr="00424816">
        <w:rPr>
          <w:rFonts w:ascii="Book Antiqua" w:eastAsia="宋体" w:hAnsi="Book Antiqua" w:cs="宋体"/>
          <w:i/>
          <w:iCs/>
          <w:sz w:val="24"/>
          <w:szCs w:val="24"/>
          <w:lang w:eastAsia="zh-CN"/>
        </w:rPr>
        <w:t>Bone Joint J</w:t>
      </w:r>
      <w:r w:rsidRPr="00424816">
        <w:rPr>
          <w:rFonts w:ascii="Book Antiqua" w:eastAsia="宋体" w:hAnsi="Book Antiqua" w:cs="宋体"/>
          <w:sz w:val="24"/>
          <w:szCs w:val="24"/>
          <w:lang w:eastAsia="zh-CN"/>
        </w:rPr>
        <w:t xml:space="preserve"> 2017; </w:t>
      </w:r>
      <w:r w:rsidRPr="00424816">
        <w:rPr>
          <w:rFonts w:ascii="Book Antiqua" w:eastAsia="宋体" w:hAnsi="Book Antiqua" w:cs="宋体"/>
          <w:b/>
          <w:bCs/>
          <w:sz w:val="24"/>
          <w:szCs w:val="24"/>
          <w:lang w:eastAsia="zh-CN"/>
        </w:rPr>
        <w:t>99-B</w:t>
      </w:r>
      <w:r w:rsidRPr="00424816">
        <w:rPr>
          <w:rFonts w:ascii="Book Antiqua" w:eastAsia="宋体" w:hAnsi="Book Antiqua" w:cs="宋体"/>
          <w:sz w:val="24"/>
          <w:szCs w:val="24"/>
          <w:lang w:eastAsia="zh-CN"/>
        </w:rPr>
        <w:t>: 3-10 [PMID: 28363888 DOI: 10.1302/0301-620X.99B4.BJJ-2016-1212.R1]</w:t>
      </w:r>
    </w:p>
    <w:p w14:paraId="39D90260" w14:textId="77777777" w:rsidR="00424816" w:rsidRPr="00424816" w:rsidRDefault="00424816" w:rsidP="00424816">
      <w:pPr>
        <w:adjustRightInd w:val="0"/>
        <w:snapToGrid w:val="0"/>
        <w:spacing w:after="0" w:line="360" w:lineRule="auto"/>
        <w:jc w:val="both"/>
        <w:rPr>
          <w:rFonts w:ascii="Book Antiqua" w:eastAsia="宋体" w:hAnsi="Book Antiqua" w:cs="宋体"/>
          <w:sz w:val="24"/>
          <w:szCs w:val="24"/>
          <w:lang w:eastAsia="zh-CN"/>
        </w:rPr>
      </w:pPr>
      <w:r w:rsidRPr="00424816">
        <w:rPr>
          <w:rFonts w:ascii="Book Antiqua" w:eastAsia="宋体" w:hAnsi="Book Antiqua" w:cs="宋体"/>
          <w:sz w:val="24"/>
          <w:szCs w:val="24"/>
          <w:lang w:eastAsia="zh-CN"/>
        </w:rPr>
        <w:t xml:space="preserve">7 </w:t>
      </w:r>
      <w:proofErr w:type="spellStart"/>
      <w:r w:rsidRPr="00424816">
        <w:rPr>
          <w:rFonts w:ascii="Book Antiqua" w:eastAsia="宋体" w:hAnsi="Book Antiqua" w:cs="宋体"/>
          <w:b/>
          <w:bCs/>
          <w:sz w:val="24"/>
          <w:szCs w:val="24"/>
          <w:lang w:eastAsia="zh-CN"/>
        </w:rPr>
        <w:t>Parvizi</w:t>
      </w:r>
      <w:proofErr w:type="spellEnd"/>
      <w:r w:rsidRPr="00424816">
        <w:rPr>
          <w:rFonts w:ascii="Book Antiqua" w:eastAsia="宋体" w:hAnsi="Book Antiqua" w:cs="宋体"/>
          <w:b/>
          <w:bCs/>
          <w:sz w:val="24"/>
          <w:szCs w:val="24"/>
          <w:lang w:eastAsia="zh-CN"/>
        </w:rPr>
        <w:t xml:space="preserve"> J</w:t>
      </w:r>
      <w:r w:rsidRPr="00424816">
        <w:rPr>
          <w:rFonts w:ascii="Book Antiqua" w:eastAsia="宋体" w:hAnsi="Book Antiqua" w:cs="宋体"/>
          <w:sz w:val="24"/>
          <w:szCs w:val="24"/>
          <w:lang w:eastAsia="zh-CN"/>
        </w:rPr>
        <w:t xml:space="preserve">, Tan TL, Goswami K, Higuera C, Della Valle C, Chen AF, </w:t>
      </w:r>
      <w:proofErr w:type="spellStart"/>
      <w:r w:rsidRPr="00424816">
        <w:rPr>
          <w:rFonts w:ascii="Book Antiqua" w:eastAsia="宋体" w:hAnsi="Book Antiqua" w:cs="宋体"/>
          <w:sz w:val="24"/>
          <w:szCs w:val="24"/>
          <w:lang w:eastAsia="zh-CN"/>
        </w:rPr>
        <w:t>Shohat</w:t>
      </w:r>
      <w:proofErr w:type="spellEnd"/>
      <w:r w:rsidRPr="00424816">
        <w:rPr>
          <w:rFonts w:ascii="Book Antiqua" w:eastAsia="宋体" w:hAnsi="Book Antiqua" w:cs="宋体"/>
          <w:sz w:val="24"/>
          <w:szCs w:val="24"/>
          <w:lang w:eastAsia="zh-CN"/>
        </w:rPr>
        <w:t xml:space="preserve"> N. The 2018 Definition of Periprosthetic Hip and Knee Infection: </w:t>
      </w:r>
      <w:proofErr w:type="gramStart"/>
      <w:r w:rsidRPr="00424816">
        <w:rPr>
          <w:rFonts w:ascii="Book Antiqua" w:eastAsia="宋体" w:hAnsi="Book Antiqua" w:cs="宋体"/>
          <w:sz w:val="24"/>
          <w:szCs w:val="24"/>
          <w:lang w:eastAsia="zh-CN"/>
        </w:rPr>
        <w:t>An Evidence-Based and Validated Criteria</w:t>
      </w:r>
      <w:proofErr w:type="gramEnd"/>
      <w:r w:rsidRPr="00424816">
        <w:rPr>
          <w:rFonts w:ascii="Book Antiqua" w:eastAsia="宋体" w:hAnsi="Book Antiqua" w:cs="宋体"/>
          <w:sz w:val="24"/>
          <w:szCs w:val="24"/>
          <w:lang w:eastAsia="zh-CN"/>
        </w:rPr>
        <w:t xml:space="preserve">. </w:t>
      </w:r>
      <w:r w:rsidRPr="00424816">
        <w:rPr>
          <w:rFonts w:ascii="Book Antiqua" w:eastAsia="宋体" w:hAnsi="Book Antiqua" w:cs="宋体"/>
          <w:i/>
          <w:iCs/>
          <w:sz w:val="24"/>
          <w:szCs w:val="24"/>
          <w:lang w:eastAsia="zh-CN"/>
        </w:rPr>
        <w:t>J Arthroplasty</w:t>
      </w:r>
      <w:r w:rsidRPr="00424816">
        <w:rPr>
          <w:rFonts w:ascii="Book Antiqua" w:eastAsia="宋体" w:hAnsi="Book Antiqua" w:cs="宋体"/>
          <w:sz w:val="24"/>
          <w:szCs w:val="24"/>
          <w:lang w:eastAsia="zh-CN"/>
        </w:rPr>
        <w:t xml:space="preserve"> 2018; </w:t>
      </w:r>
      <w:r w:rsidRPr="00424816">
        <w:rPr>
          <w:rFonts w:ascii="Book Antiqua" w:eastAsia="宋体" w:hAnsi="Book Antiqua" w:cs="宋体"/>
          <w:b/>
          <w:bCs/>
          <w:sz w:val="24"/>
          <w:szCs w:val="24"/>
          <w:lang w:eastAsia="zh-CN"/>
        </w:rPr>
        <w:t>33</w:t>
      </w:r>
      <w:r w:rsidRPr="00424816">
        <w:rPr>
          <w:rFonts w:ascii="Book Antiqua" w:eastAsia="宋体" w:hAnsi="Book Antiqua" w:cs="宋体"/>
          <w:sz w:val="24"/>
          <w:szCs w:val="24"/>
          <w:lang w:eastAsia="zh-CN"/>
        </w:rPr>
        <w:t>: 1309-1314.e2 [PMID: 29551303 DOI: 10.1016/j.arth.2018.02.078]</w:t>
      </w:r>
    </w:p>
    <w:p w14:paraId="553CFF1B" w14:textId="77777777" w:rsidR="00424816" w:rsidRPr="00424816" w:rsidRDefault="00424816" w:rsidP="00424816">
      <w:pPr>
        <w:adjustRightInd w:val="0"/>
        <w:snapToGrid w:val="0"/>
        <w:spacing w:after="0" w:line="360" w:lineRule="auto"/>
        <w:jc w:val="both"/>
        <w:rPr>
          <w:rFonts w:ascii="Book Antiqua" w:eastAsia="宋体" w:hAnsi="Book Antiqua" w:cs="宋体"/>
          <w:sz w:val="24"/>
          <w:szCs w:val="24"/>
          <w:lang w:eastAsia="zh-CN"/>
        </w:rPr>
      </w:pPr>
      <w:r w:rsidRPr="00424816">
        <w:rPr>
          <w:rFonts w:ascii="Book Antiqua" w:eastAsia="宋体" w:hAnsi="Book Antiqua" w:cs="宋体"/>
          <w:sz w:val="24"/>
          <w:szCs w:val="24"/>
          <w:lang w:eastAsia="zh-CN"/>
        </w:rPr>
        <w:t xml:space="preserve">8 </w:t>
      </w:r>
      <w:r w:rsidRPr="00424816">
        <w:rPr>
          <w:rFonts w:ascii="Book Antiqua" w:eastAsia="宋体" w:hAnsi="Book Antiqua" w:cs="宋体"/>
          <w:b/>
          <w:bCs/>
          <w:sz w:val="24"/>
          <w:szCs w:val="24"/>
          <w:lang w:eastAsia="zh-CN"/>
        </w:rPr>
        <w:t>Ares O</w:t>
      </w:r>
      <w:r w:rsidRPr="00424816">
        <w:rPr>
          <w:rFonts w:ascii="Book Antiqua" w:eastAsia="宋体" w:hAnsi="Book Antiqua" w:cs="宋体"/>
          <w:sz w:val="24"/>
          <w:szCs w:val="24"/>
          <w:lang w:eastAsia="zh-CN"/>
        </w:rPr>
        <w:t xml:space="preserve">, Arnold WV, Atilla B, Kumar Bari A, Battenberg A, </w:t>
      </w:r>
      <w:proofErr w:type="spellStart"/>
      <w:r w:rsidRPr="00424816">
        <w:rPr>
          <w:rFonts w:ascii="Book Antiqua" w:eastAsia="宋体" w:hAnsi="Book Antiqua" w:cs="宋体"/>
          <w:sz w:val="24"/>
          <w:szCs w:val="24"/>
          <w:lang w:eastAsia="zh-CN"/>
        </w:rPr>
        <w:t>Belzino</w:t>
      </w:r>
      <w:proofErr w:type="spellEnd"/>
      <w:r w:rsidRPr="00424816">
        <w:rPr>
          <w:rFonts w:ascii="Book Antiqua" w:eastAsia="宋体" w:hAnsi="Book Antiqua" w:cs="宋体"/>
          <w:sz w:val="24"/>
          <w:szCs w:val="24"/>
          <w:lang w:eastAsia="zh-CN"/>
        </w:rPr>
        <w:t xml:space="preserve"> M, </w:t>
      </w:r>
      <w:proofErr w:type="spellStart"/>
      <w:r w:rsidRPr="00424816">
        <w:rPr>
          <w:rFonts w:ascii="Book Antiqua" w:eastAsia="宋体" w:hAnsi="Book Antiqua" w:cs="宋体"/>
          <w:sz w:val="24"/>
          <w:szCs w:val="24"/>
          <w:lang w:eastAsia="zh-CN"/>
        </w:rPr>
        <w:t>Bhoite</w:t>
      </w:r>
      <w:proofErr w:type="spellEnd"/>
      <w:r w:rsidRPr="00424816">
        <w:rPr>
          <w:rFonts w:ascii="Book Antiqua" w:eastAsia="宋体" w:hAnsi="Book Antiqua" w:cs="宋体"/>
          <w:sz w:val="24"/>
          <w:szCs w:val="24"/>
          <w:lang w:eastAsia="zh-CN"/>
        </w:rPr>
        <w:t xml:space="preserve"> S, </w:t>
      </w:r>
      <w:proofErr w:type="spellStart"/>
      <w:r w:rsidRPr="00424816">
        <w:rPr>
          <w:rFonts w:ascii="Book Antiqua" w:eastAsia="宋体" w:hAnsi="Book Antiqua" w:cs="宋体"/>
          <w:sz w:val="24"/>
          <w:szCs w:val="24"/>
          <w:lang w:eastAsia="zh-CN"/>
        </w:rPr>
        <w:t>Clauss</w:t>
      </w:r>
      <w:proofErr w:type="spellEnd"/>
      <w:r w:rsidRPr="00424816">
        <w:rPr>
          <w:rFonts w:ascii="Book Antiqua" w:eastAsia="宋体" w:hAnsi="Book Antiqua" w:cs="宋体"/>
          <w:sz w:val="24"/>
          <w:szCs w:val="24"/>
          <w:lang w:eastAsia="zh-CN"/>
        </w:rPr>
        <w:t xml:space="preserve"> M, </w:t>
      </w:r>
      <w:proofErr w:type="spellStart"/>
      <w:r w:rsidRPr="00424816">
        <w:rPr>
          <w:rFonts w:ascii="Book Antiqua" w:eastAsia="宋体" w:hAnsi="Book Antiqua" w:cs="宋体"/>
          <w:sz w:val="24"/>
          <w:szCs w:val="24"/>
          <w:lang w:eastAsia="zh-CN"/>
        </w:rPr>
        <w:t>Egoavil</w:t>
      </w:r>
      <w:proofErr w:type="spellEnd"/>
      <w:r w:rsidRPr="00424816">
        <w:rPr>
          <w:rFonts w:ascii="Book Antiqua" w:eastAsia="宋体" w:hAnsi="Book Antiqua" w:cs="宋体"/>
          <w:sz w:val="24"/>
          <w:szCs w:val="24"/>
          <w:lang w:eastAsia="zh-CN"/>
        </w:rPr>
        <w:t xml:space="preserve"> M, </w:t>
      </w:r>
      <w:proofErr w:type="spellStart"/>
      <w:r w:rsidRPr="00424816">
        <w:rPr>
          <w:rFonts w:ascii="Book Antiqua" w:eastAsia="宋体" w:hAnsi="Book Antiqua" w:cs="宋体"/>
          <w:sz w:val="24"/>
          <w:szCs w:val="24"/>
          <w:lang w:eastAsia="zh-CN"/>
        </w:rPr>
        <w:t>Ferrand</w:t>
      </w:r>
      <w:proofErr w:type="spellEnd"/>
      <w:r w:rsidRPr="00424816">
        <w:rPr>
          <w:rFonts w:ascii="Book Antiqua" w:eastAsia="宋体" w:hAnsi="Book Antiqua" w:cs="宋体"/>
          <w:sz w:val="24"/>
          <w:szCs w:val="24"/>
          <w:lang w:eastAsia="zh-CN"/>
        </w:rPr>
        <w:t xml:space="preserve"> ML, </w:t>
      </w:r>
      <w:proofErr w:type="spellStart"/>
      <w:r w:rsidRPr="00424816">
        <w:rPr>
          <w:rFonts w:ascii="Book Antiqua" w:eastAsia="宋体" w:hAnsi="Book Antiqua" w:cs="宋体"/>
          <w:sz w:val="24"/>
          <w:szCs w:val="24"/>
          <w:lang w:eastAsia="zh-CN"/>
        </w:rPr>
        <w:t>Greenky</w:t>
      </w:r>
      <w:proofErr w:type="spellEnd"/>
      <w:r w:rsidRPr="00424816">
        <w:rPr>
          <w:rFonts w:ascii="Book Antiqua" w:eastAsia="宋体" w:hAnsi="Book Antiqua" w:cs="宋体"/>
          <w:sz w:val="24"/>
          <w:szCs w:val="24"/>
          <w:lang w:eastAsia="zh-CN"/>
        </w:rPr>
        <w:t xml:space="preserve"> M, </w:t>
      </w:r>
      <w:proofErr w:type="spellStart"/>
      <w:r w:rsidRPr="00424816">
        <w:rPr>
          <w:rFonts w:ascii="Book Antiqua" w:eastAsia="宋体" w:hAnsi="Book Antiqua" w:cs="宋体"/>
          <w:sz w:val="24"/>
          <w:szCs w:val="24"/>
          <w:lang w:eastAsia="zh-CN"/>
        </w:rPr>
        <w:t>Sarango</w:t>
      </w:r>
      <w:proofErr w:type="spellEnd"/>
      <w:r w:rsidRPr="00424816">
        <w:rPr>
          <w:rFonts w:ascii="Book Antiqua" w:eastAsia="宋体" w:hAnsi="Book Antiqua" w:cs="宋体"/>
          <w:sz w:val="24"/>
          <w:szCs w:val="24"/>
          <w:lang w:eastAsia="zh-CN"/>
        </w:rPr>
        <w:t xml:space="preserve"> J, </w:t>
      </w:r>
      <w:proofErr w:type="spellStart"/>
      <w:r w:rsidRPr="00424816">
        <w:rPr>
          <w:rFonts w:ascii="Book Antiqua" w:eastAsia="宋体" w:hAnsi="Book Antiqua" w:cs="宋体"/>
          <w:sz w:val="24"/>
          <w:szCs w:val="24"/>
          <w:lang w:eastAsia="zh-CN"/>
        </w:rPr>
        <w:t>Komnos</w:t>
      </w:r>
      <w:proofErr w:type="spellEnd"/>
      <w:r w:rsidRPr="00424816">
        <w:rPr>
          <w:rFonts w:ascii="Book Antiqua" w:eastAsia="宋体" w:hAnsi="Book Antiqua" w:cs="宋体"/>
          <w:sz w:val="24"/>
          <w:szCs w:val="24"/>
          <w:lang w:eastAsia="zh-CN"/>
        </w:rPr>
        <w:t xml:space="preserve"> G, Koo KH, Lee YK, Leibnitz M, Luis E, </w:t>
      </w:r>
      <w:proofErr w:type="spellStart"/>
      <w:r w:rsidRPr="00424816">
        <w:rPr>
          <w:rFonts w:ascii="Book Antiqua" w:eastAsia="宋体" w:hAnsi="Book Antiqua" w:cs="宋体"/>
          <w:sz w:val="24"/>
          <w:szCs w:val="24"/>
          <w:lang w:eastAsia="zh-CN"/>
        </w:rPr>
        <w:t>Naneti</w:t>
      </w:r>
      <w:proofErr w:type="spellEnd"/>
      <w:r w:rsidRPr="00424816">
        <w:rPr>
          <w:rFonts w:ascii="Book Antiqua" w:eastAsia="宋体" w:hAnsi="Book Antiqua" w:cs="宋体"/>
          <w:sz w:val="24"/>
          <w:szCs w:val="24"/>
          <w:lang w:eastAsia="zh-CN"/>
        </w:rPr>
        <w:t xml:space="preserve"> G, </w:t>
      </w:r>
      <w:proofErr w:type="spellStart"/>
      <w:r w:rsidRPr="00424816">
        <w:rPr>
          <w:rFonts w:ascii="Book Antiqua" w:eastAsia="宋体" w:hAnsi="Book Antiqua" w:cs="宋体"/>
          <w:sz w:val="24"/>
          <w:szCs w:val="24"/>
          <w:lang w:eastAsia="zh-CN"/>
        </w:rPr>
        <w:t>Ottolenghi</w:t>
      </w:r>
      <w:proofErr w:type="spellEnd"/>
      <w:r w:rsidRPr="00424816">
        <w:rPr>
          <w:rFonts w:ascii="Book Antiqua" w:eastAsia="宋体" w:hAnsi="Book Antiqua" w:cs="宋体"/>
          <w:sz w:val="24"/>
          <w:szCs w:val="24"/>
          <w:lang w:eastAsia="zh-CN"/>
        </w:rPr>
        <w:t xml:space="preserve"> J, Poojary A, Shen H, Sousa R, Thomas P, Volodymyr F, Wang Q. General Assembly, Prevention, Host Related Local: Proceedings of International Consensus on Orthopedic Infections. </w:t>
      </w:r>
      <w:r w:rsidRPr="00424816">
        <w:rPr>
          <w:rFonts w:ascii="Book Antiqua" w:eastAsia="宋体" w:hAnsi="Book Antiqua" w:cs="宋体"/>
          <w:i/>
          <w:iCs/>
          <w:sz w:val="24"/>
          <w:szCs w:val="24"/>
          <w:lang w:eastAsia="zh-CN"/>
        </w:rPr>
        <w:t>J Arthroplasty</w:t>
      </w:r>
      <w:r w:rsidRPr="00424816">
        <w:rPr>
          <w:rFonts w:ascii="Book Antiqua" w:eastAsia="宋体" w:hAnsi="Book Antiqua" w:cs="宋体"/>
          <w:sz w:val="24"/>
          <w:szCs w:val="24"/>
          <w:lang w:eastAsia="zh-CN"/>
        </w:rPr>
        <w:t xml:space="preserve"> 2019; </w:t>
      </w:r>
      <w:r w:rsidRPr="00424816">
        <w:rPr>
          <w:rFonts w:ascii="Book Antiqua" w:eastAsia="宋体" w:hAnsi="Book Antiqua" w:cs="宋体"/>
          <w:b/>
          <w:bCs/>
          <w:sz w:val="24"/>
          <w:szCs w:val="24"/>
          <w:lang w:eastAsia="zh-CN"/>
        </w:rPr>
        <w:t>34</w:t>
      </w:r>
      <w:r w:rsidRPr="00424816">
        <w:rPr>
          <w:rFonts w:ascii="Book Antiqua" w:eastAsia="宋体" w:hAnsi="Book Antiqua" w:cs="宋体"/>
          <w:sz w:val="24"/>
          <w:szCs w:val="24"/>
          <w:lang w:eastAsia="zh-CN"/>
        </w:rPr>
        <w:t>: S3-S12 [PMID: 30352771 DOI: 10.1016/j.arth.2018.09.049]</w:t>
      </w:r>
    </w:p>
    <w:p w14:paraId="20138DAC" w14:textId="77777777" w:rsidR="00424816" w:rsidRPr="00424816" w:rsidRDefault="00424816" w:rsidP="00424816">
      <w:pPr>
        <w:adjustRightInd w:val="0"/>
        <w:snapToGrid w:val="0"/>
        <w:spacing w:after="0" w:line="360" w:lineRule="auto"/>
        <w:jc w:val="both"/>
        <w:rPr>
          <w:rFonts w:ascii="Book Antiqua" w:eastAsia="宋体" w:hAnsi="Book Antiqua" w:cs="宋体"/>
          <w:sz w:val="24"/>
          <w:szCs w:val="24"/>
          <w:lang w:eastAsia="zh-CN"/>
        </w:rPr>
      </w:pPr>
      <w:r w:rsidRPr="00424816">
        <w:rPr>
          <w:rFonts w:ascii="Book Antiqua" w:eastAsia="宋体" w:hAnsi="Book Antiqua" w:cs="宋体"/>
          <w:sz w:val="24"/>
          <w:szCs w:val="24"/>
          <w:lang w:eastAsia="zh-CN"/>
        </w:rPr>
        <w:t xml:space="preserve">9 </w:t>
      </w:r>
      <w:proofErr w:type="spellStart"/>
      <w:r w:rsidRPr="00424816">
        <w:rPr>
          <w:rFonts w:ascii="Book Antiqua" w:eastAsia="宋体" w:hAnsi="Book Antiqua" w:cs="宋体"/>
          <w:b/>
          <w:bCs/>
          <w:sz w:val="24"/>
          <w:szCs w:val="24"/>
          <w:lang w:eastAsia="zh-CN"/>
        </w:rPr>
        <w:t>Maharaj</w:t>
      </w:r>
      <w:proofErr w:type="spellEnd"/>
      <w:r w:rsidRPr="00424816">
        <w:rPr>
          <w:rFonts w:ascii="Book Antiqua" w:eastAsia="宋体" w:hAnsi="Book Antiqua" w:cs="宋体"/>
          <w:b/>
          <w:bCs/>
          <w:sz w:val="24"/>
          <w:szCs w:val="24"/>
          <w:lang w:eastAsia="zh-CN"/>
        </w:rPr>
        <w:t xml:space="preserve"> B</w:t>
      </w:r>
      <w:r w:rsidRPr="00424816">
        <w:rPr>
          <w:rFonts w:ascii="Book Antiqua" w:eastAsia="宋体" w:hAnsi="Book Antiqua" w:cs="宋体"/>
          <w:sz w:val="24"/>
          <w:szCs w:val="24"/>
          <w:lang w:eastAsia="zh-CN"/>
        </w:rPr>
        <w:t xml:space="preserve">, </w:t>
      </w:r>
      <w:proofErr w:type="spellStart"/>
      <w:r w:rsidRPr="00424816">
        <w:rPr>
          <w:rFonts w:ascii="Book Antiqua" w:eastAsia="宋体" w:hAnsi="Book Antiqua" w:cs="宋体"/>
          <w:sz w:val="24"/>
          <w:szCs w:val="24"/>
          <w:lang w:eastAsia="zh-CN"/>
        </w:rPr>
        <w:t>Coovadia</w:t>
      </w:r>
      <w:proofErr w:type="spellEnd"/>
      <w:r w:rsidRPr="00424816">
        <w:rPr>
          <w:rFonts w:ascii="Book Antiqua" w:eastAsia="宋体" w:hAnsi="Book Antiqua" w:cs="宋体"/>
          <w:sz w:val="24"/>
          <w:szCs w:val="24"/>
          <w:lang w:eastAsia="zh-CN"/>
        </w:rPr>
        <w:t xml:space="preserve"> Y, </w:t>
      </w:r>
      <w:proofErr w:type="spellStart"/>
      <w:r w:rsidRPr="00424816">
        <w:rPr>
          <w:rFonts w:ascii="Book Antiqua" w:eastAsia="宋体" w:hAnsi="Book Antiqua" w:cs="宋体"/>
          <w:sz w:val="24"/>
          <w:szCs w:val="24"/>
          <w:lang w:eastAsia="zh-CN"/>
        </w:rPr>
        <w:t>Vayej</w:t>
      </w:r>
      <w:proofErr w:type="spellEnd"/>
      <w:r w:rsidRPr="00424816">
        <w:rPr>
          <w:rFonts w:ascii="Book Antiqua" w:eastAsia="宋体" w:hAnsi="Book Antiqua" w:cs="宋体"/>
          <w:sz w:val="24"/>
          <w:szCs w:val="24"/>
          <w:lang w:eastAsia="zh-CN"/>
        </w:rPr>
        <w:t xml:space="preserve"> AC. An investigation of the frequency of </w:t>
      </w:r>
      <w:proofErr w:type="spellStart"/>
      <w:r w:rsidRPr="00424816">
        <w:rPr>
          <w:rFonts w:ascii="Book Antiqua" w:eastAsia="宋体" w:hAnsi="Book Antiqua" w:cs="宋体"/>
          <w:sz w:val="24"/>
          <w:szCs w:val="24"/>
          <w:lang w:eastAsia="zh-CN"/>
        </w:rPr>
        <w:t>bacteraemia</w:t>
      </w:r>
      <w:proofErr w:type="spellEnd"/>
      <w:r w:rsidRPr="00424816">
        <w:rPr>
          <w:rFonts w:ascii="Book Antiqua" w:eastAsia="宋体" w:hAnsi="Book Antiqua" w:cs="宋体"/>
          <w:sz w:val="24"/>
          <w:szCs w:val="24"/>
          <w:lang w:eastAsia="zh-CN"/>
        </w:rPr>
        <w:t xml:space="preserve"> following dental extraction, tooth brushing and chewing. </w:t>
      </w:r>
      <w:proofErr w:type="spellStart"/>
      <w:r w:rsidRPr="00424816">
        <w:rPr>
          <w:rFonts w:ascii="Book Antiqua" w:eastAsia="宋体" w:hAnsi="Book Antiqua" w:cs="宋体"/>
          <w:i/>
          <w:iCs/>
          <w:sz w:val="24"/>
          <w:szCs w:val="24"/>
          <w:lang w:eastAsia="zh-CN"/>
        </w:rPr>
        <w:t>Cardiovasc</w:t>
      </w:r>
      <w:proofErr w:type="spellEnd"/>
      <w:r w:rsidRPr="00424816">
        <w:rPr>
          <w:rFonts w:ascii="Book Antiqua" w:eastAsia="宋体" w:hAnsi="Book Antiqua" w:cs="宋体"/>
          <w:i/>
          <w:iCs/>
          <w:sz w:val="24"/>
          <w:szCs w:val="24"/>
          <w:lang w:eastAsia="zh-CN"/>
        </w:rPr>
        <w:t xml:space="preserve"> J </w:t>
      </w:r>
      <w:proofErr w:type="spellStart"/>
      <w:r w:rsidRPr="00424816">
        <w:rPr>
          <w:rFonts w:ascii="Book Antiqua" w:eastAsia="宋体" w:hAnsi="Book Antiqua" w:cs="宋体"/>
          <w:i/>
          <w:iCs/>
          <w:sz w:val="24"/>
          <w:szCs w:val="24"/>
          <w:lang w:eastAsia="zh-CN"/>
        </w:rPr>
        <w:t>Afr</w:t>
      </w:r>
      <w:proofErr w:type="spellEnd"/>
      <w:r w:rsidRPr="00424816">
        <w:rPr>
          <w:rFonts w:ascii="Book Antiqua" w:eastAsia="宋体" w:hAnsi="Book Antiqua" w:cs="宋体"/>
          <w:sz w:val="24"/>
          <w:szCs w:val="24"/>
          <w:lang w:eastAsia="zh-CN"/>
        </w:rPr>
        <w:t xml:space="preserve"> 2012; </w:t>
      </w:r>
      <w:r w:rsidRPr="00424816">
        <w:rPr>
          <w:rFonts w:ascii="Book Antiqua" w:eastAsia="宋体" w:hAnsi="Book Antiqua" w:cs="宋体"/>
          <w:b/>
          <w:bCs/>
          <w:sz w:val="24"/>
          <w:szCs w:val="24"/>
          <w:lang w:eastAsia="zh-CN"/>
        </w:rPr>
        <w:t>23</w:t>
      </w:r>
      <w:r w:rsidRPr="00424816">
        <w:rPr>
          <w:rFonts w:ascii="Book Antiqua" w:eastAsia="宋体" w:hAnsi="Book Antiqua" w:cs="宋体"/>
          <w:sz w:val="24"/>
          <w:szCs w:val="24"/>
          <w:lang w:eastAsia="zh-CN"/>
        </w:rPr>
        <w:t>: 340-344 [PMID: 22836157 DOI: 10.5830/CVJA-2012-016]</w:t>
      </w:r>
    </w:p>
    <w:p w14:paraId="292EB150" w14:textId="77777777" w:rsidR="00424816" w:rsidRPr="00424816" w:rsidRDefault="00424816" w:rsidP="00424816">
      <w:pPr>
        <w:adjustRightInd w:val="0"/>
        <w:snapToGrid w:val="0"/>
        <w:spacing w:after="0" w:line="360" w:lineRule="auto"/>
        <w:jc w:val="both"/>
        <w:rPr>
          <w:rFonts w:ascii="Book Antiqua" w:eastAsia="宋体" w:hAnsi="Book Antiqua" w:cs="宋体"/>
          <w:sz w:val="24"/>
          <w:szCs w:val="24"/>
          <w:lang w:eastAsia="zh-CN"/>
        </w:rPr>
      </w:pPr>
      <w:r w:rsidRPr="00424816">
        <w:rPr>
          <w:rFonts w:ascii="Book Antiqua" w:eastAsia="宋体" w:hAnsi="Book Antiqua" w:cs="宋体"/>
          <w:sz w:val="24"/>
          <w:szCs w:val="24"/>
          <w:lang w:eastAsia="zh-CN"/>
        </w:rPr>
        <w:t xml:space="preserve">10 </w:t>
      </w:r>
      <w:proofErr w:type="spellStart"/>
      <w:r w:rsidRPr="00424816">
        <w:rPr>
          <w:rFonts w:ascii="Book Antiqua" w:eastAsia="宋体" w:hAnsi="Book Antiqua" w:cs="宋体"/>
          <w:b/>
          <w:bCs/>
          <w:sz w:val="24"/>
          <w:szCs w:val="24"/>
          <w:lang w:eastAsia="zh-CN"/>
        </w:rPr>
        <w:t>Forner</w:t>
      </w:r>
      <w:proofErr w:type="spellEnd"/>
      <w:r w:rsidRPr="00424816">
        <w:rPr>
          <w:rFonts w:ascii="Book Antiqua" w:eastAsia="宋体" w:hAnsi="Book Antiqua" w:cs="宋体"/>
          <w:b/>
          <w:bCs/>
          <w:sz w:val="24"/>
          <w:szCs w:val="24"/>
          <w:lang w:eastAsia="zh-CN"/>
        </w:rPr>
        <w:t xml:space="preserve"> L</w:t>
      </w:r>
      <w:r w:rsidRPr="00424816">
        <w:rPr>
          <w:rFonts w:ascii="Book Antiqua" w:eastAsia="宋体" w:hAnsi="Book Antiqua" w:cs="宋体"/>
          <w:sz w:val="24"/>
          <w:szCs w:val="24"/>
          <w:lang w:eastAsia="zh-CN"/>
        </w:rPr>
        <w:t xml:space="preserve">, Larsen T, Kilian M, </w:t>
      </w:r>
      <w:proofErr w:type="spellStart"/>
      <w:r w:rsidRPr="00424816">
        <w:rPr>
          <w:rFonts w:ascii="Book Antiqua" w:eastAsia="宋体" w:hAnsi="Book Antiqua" w:cs="宋体"/>
          <w:sz w:val="24"/>
          <w:szCs w:val="24"/>
          <w:lang w:eastAsia="zh-CN"/>
        </w:rPr>
        <w:t>Holmstrup</w:t>
      </w:r>
      <w:proofErr w:type="spellEnd"/>
      <w:r w:rsidRPr="00424816">
        <w:rPr>
          <w:rFonts w:ascii="Book Antiqua" w:eastAsia="宋体" w:hAnsi="Book Antiqua" w:cs="宋体"/>
          <w:sz w:val="24"/>
          <w:szCs w:val="24"/>
          <w:lang w:eastAsia="zh-CN"/>
        </w:rPr>
        <w:t xml:space="preserve"> P. Incidence of bacteremia after chewing, tooth brushing and scaling in individuals with periodontal inflammation. </w:t>
      </w:r>
      <w:r w:rsidRPr="00424816">
        <w:rPr>
          <w:rFonts w:ascii="Book Antiqua" w:eastAsia="宋体" w:hAnsi="Book Antiqua" w:cs="宋体"/>
          <w:i/>
          <w:iCs/>
          <w:sz w:val="24"/>
          <w:szCs w:val="24"/>
          <w:lang w:eastAsia="zh-CN"/>
        </w:rPr>
        <w:t xml:space="preserve">J </w:t>
      </w:r>
      <w:proofErr w:type="spellStart"/>
      <w:r w:rsidRPr="00424816">
        <w:rPr>
          <w:rFonts w:ascii="Book Antiqua" w:eastAsia="宋体" w:hAnsi="Book Antiqua" w:cs="宋体"/>
          <w:i/>
          <w:iCs/>
          <w:sz w:val="24"/>
          <w:szCs w:val="24"/>
          <w:lang w:eastAsia="zh-CN"/>
        </w:rPr>
        <w:t>Clin</w:t>
      </w:r>
      <w:proofErr w:type="spellEnd"/>
      <w:r w:rsidRPr="00424816">
        <w:rPr>
          <w:rFonts w:ascii="Book Antiqua" w:eastAsia="宋体" w:hAnsi="Book Antiqua" w:cs="宋体"/>
          <w:i/>
          <w:iCs/>
          <w:sz w:val="24"/>
          <w:szCs w:val="24"/>
          <w:lang w:eastAsia="zh-CN"/>
        </w:rPr>
        <w:t xml:space="preserve"> </w:t>
      </w:r>
      <w:proofErr w:type="spellStart"/>
      <w:r w:rsidRPr="00424816">
        <w:rPr>
          <w:rFonts w:ascii="Book Antiqua" w:eastAsia="宋体" w:hAnsi="Book Antiqua" w:cs="宋体"/>
          <w:i/>
          <w:iCs/>
          <w:sz w:val="24"/>
          <w:szCs w:val="24"/>
          <w:lang w:eastAsia="zh-CN"/>
        </w:rPr>
        <w:t>Periodontol</w:t>
      </w:r>
      <w:proofErr w:type="spellEnd"/>
      <w:r w:rsidRPr="00424816">
        <w:rPr>
          <w:rFonts w:ascii="Book Antiqua" w:eastAsia="宋体" w:hAnsi="Book Antiqua" w:cs="宋体"/>
          <w:sz w:val="24"/>
          <w:szCs w:val="24"/>
          <w:lang w:eastAsia="zh-CN"/>
        </w:rPr>
        <w:t xml:space="preserve"> 2006; </w:t>
      </w:r>
      <w:r w:rsidRPr="00424816">
        <w:rPr>
          <w:rFonts w:ascii="Book Antiqua" w:eastAsia="宋体" w:hAnsi="Book Antiqua" w:cs="宋体"/>
          <w:b/>
          <w:bCs/>
          <w:sz w:val="24"/>
          <w:szCs w:val="24"/>
          <w:lang w:eastAsia="zh-CN"/>
        </w:rPr>
        <w:t>33</w:t>
      </w:r>
      <w:r w:rsidRPr="00424816">
        <w:rPr>
          <w:rFonts w:ascii="Book Antiqua" w:eastAsia="宋体" w:hAnsi="Book Antiqua" w:cs="宋体"/>
          <w:sz w:val="24"/>
          <w:szCs w:val="24"/>
          <w:lang w:eastAsia="zh-CN"/>
        </w:rPr>
        <w:t>: 401-407 [PMID: 16677328 DOI: 10.1111/j.1600-051X.2006.00924.x]</w:t>
      </w:r>
    </w:p>
    <w:p w14:paraId="7F551BE1" w14:textId="77777777" w:rsidR="00424816" w:rsidRPr="00424816" w:rsidRDefault="00424816" w:rsidP="00424816">
      <w:pPr>
        <w:adjustRightInd w:val="0"/>
        <w:snapToGrid w:val="0"/>
        <w:spacing w:after="0" w:line="360" w:lineRule="auto"/>
        <w:jc w:val="both"/>
        <w:rPr>
          <w:rFonts w:ascii="Book Antiqua" w:eastAsia="宋体" w:hAnsi="Book Antiqua" w:cs="宋体"/>
          <w:sz w:val="24"/>
          <w:szCs w:val="24"/>
          <w:lang w:eastAsia="zh-CN"/>
        </w:rPr>
      </w:pPr>
      <w:proofErr w:type="gramStart"/>
      <w:r w:rsidRPr="00424816">
        <w:rPr>
          <w:rFonts w:ascii="Book Antiqua" w:eastAsia="宋体" w:hAnsi="Book Antiqua" w:cs="宋体"/>
          <w:sz w:val="24"/>
          <w:szCs w:val="24"/>
          <w:lang w:eastAsia="zh-CN"/>
        </w:rPr>
        <w:t xml:space="preserve">11 </w:t>
      </w:r>
      <w:r w:rsidRPr="00424816">
        <w:rPr>
          <w:rFonts w:ascii="Book Antiqua" w:eastAsia="宋体" w:hAnsi="Book Antiqua" w:cs="宋体"/>
          <w:b/>
          <w:bCs/>
          <w:sz w:val="24"/>
          <w:szCs w:val="24"/>
          <w:lang w:eastAsia="zh-CN"/>
        </w:rPr>
        <w:t>Downs SH</w:t>
      </w:r>
      <w:r w:rsidRPr="00424816">
        <w:rPr>
          <w:rFonts w:ascii="Book Antiqua" w:eastAsia="宋体" w:hAnsi="Book Antiqua" w:cs="宋体"/>
          <w:sz w:val="24"/>
          <w:szCs w:val="24"/>
          <w:lang w:eastAsia="zh-CN"/>
        </w:rPr>
        <w:t>, Black N.</w:t>
      </w:r>
      <w:proofErr w:type="gramEnd"/>
      <w:r w:rsidRPr="00424816">
        <w:rPr>
          <w:rFonts w:ascii="Book Antiqua" w:eastAsia="宋体" w:hAnsi="Book Antiqua" w:cs="宋体"/>
          <w:sz w:val="24"/>
          <w:szCs w:val="24"/>
          <w:lang w:eastAsia="zh-CN"/>
        </w:rPr>
        <w:t xml:space="preserve"> </w:t>
      </w:r>
      <w:proofErr w:type="gramStart"/>
      <w:r w:rsidRPr="00424816">
        <w:rPr>
          <w:rFonts w:ascii="Book Antiqua" w:eastAsia="宋体" w:hAnsi="Book Antiqua" w:cs="宋体"/>
          <w:sz w:val="24"/>
          <w:szCs w:val="24"/>
          <w:lang w:eastAsia="zh-CN"/>
        </w:rPr>
        <w:t xml:space="preserve">The feasibility of creating a checklist for the assessment of the methodological quality both of </w:t>
      </w:r>
      <w:proofErr w:type="spellStart"/>
      <w:r w:rsidRPr="00424816">
        <w:rPr>
          <w:rFonts w:ascii="Book Antiqua" w:eastAsia="宋体" w:hAnsi="Book Antiqua" w:cs="宋体"/>
          <w:sz w:val="24"/>
          <w:szCs w:val="24"/>
          <w:lang w:eastAsia="zh-CN"/>
        </w:rPr>
        <w:t>randomised</w:t>
      </w:r>
      <w:proofErr w:type="spellEnd"/>
      <w:r w:rsidRPr="00424816">
        <w:rPr>
          <w:rFonts w:ascii="Book Antiqua" w:eastAsia="宋体" w:hAnsi="Book Antiqua" w:cs="宋体"/>
          <w:sz w:val="24"/>
          <w:szCs w:val="24"/>
          <w:lang w:eastAsia="zh-CN"/>
        </w:rPr>
        <w:t xml:space="preserve"> and non-</w:t>
      </w:r>
      <w:proofErr w:type="spellStart"/>
      <w:r w:rsidRPr="00424816">
        <w:rPr>
          <w:rFonts w:ascii="Book Antiqua" w:eastAsia="宋体" w:hAnsi="Book Antiqua" w:cs="宋体"/>
          <w:sz w:val="24"/>
          <w:szCs w:val="24"/>
          <w:lang w:eastAsia="zh-CN"/>
        </w:rPr>
        <w:t>randomised</w:t>
      </w:r>
      <w:proofErr w:type="spellEnd"/>
      <w:r w:rsidRPr="00424816">
        <w:rPr>
          <w:rFonts w:ascii="Book Antiqua" w:eastAsia="宋体" w:hAnsi="Book Antiqua" w:cs="宋体"/>
          <w:sz w:val="24"/>
          <w:szCs w:val="24"/>
          <w:lang w:eastAsia="zh-CN"/>
        </w:rPr>
        <w:t xml:space="preserve"> studies of health care interventions.</w:t>
      </w:r>
      <w:proofErr w:type="gramEnd"/>
      <w:r w:rsidRPr="00424816">
        <w:rPr>
          <w:rFonts w:ascii="Book Antiqua" w:eastAsia="宋体" w:hAnsi="Book Antiqua" w:cs="宋体"/>
          <w:sz w:val="24"/>
          <w:szCs w:val="24"/>
          <w:lang w:eastAsia="zh-CN"/>
        </w:rPr>
        <w:t xml:space="preserve"> </w:t>
      </w:r>
      <w:r w:rsidRPr="00424816">
        <w:rPr>
          <w:rFonts w:ascii="Book Antiqua" w:eastAsia="宋体" w:hAnsi="Book Antiqua" w:cs="宋体"/>
          <w:i/>
          <w:iCs/>
          <w:sz w:val="24"/>
          <w:szCs w:val="24"/>
          <w:lang w:eastAsia="zh-CN"/>
        </w:rPr>
        <w:t>J Epidemiol Community Health</w:t>
      </w:r>
      <w:r w:rsidRPr="00424816">
        <w:rPr>
          <w:rFonts w:ascii="Book Antiqua" w:eastAsia="宋体" w:hAnsi="Book Antiqua" w:cs="宋体"/>
          <w:sz w:val="24"/>
          <w:szCs w:val="24"/>
          <w:lang w:eastAsia="zh-CN"/>
        </w:rPr>
        <w:t xml:space="preserve"> 1998; </w:t>
      </w:r>
      <w:r w:rsidRPr="00424816">
        <w:rPr>
          <w:rFonts w:ascii="Book Antiqua" w:eastAsia="宋体" w:hAnsi="Book Antiqua" w:cs="宋体"/>
          <w:b/>
          <w:bCs/>
          <w:sz w:val="24"/>
          <w:szCs w:val="24"/>
          <w:lang w:eastAsia="zh-CN"/>
        </w:rPr>
        <w:t>52</w:t>
      </w:r>
      <w:r w:rsidRPr="00424816">
        <w:rPr>
          <w:rFonts w:ascii="Book Antiqua" w:eastAsia="宋体" w:hAnsi="Book Antiqua" w:cs="宋体"/>
          <w:sz w:val="24"/>
          <w:szCs w:val="24"/>
          <w:lang w:eastAsia="zh-CN"/>
        </w:rPr>
        <w:t>: 377-384 [PMID: 9764259 DOI: 10.1136/jech.52.6.377]</w:t>
      </w:r>
    </w:p>
    <w:p w14:paraId="7F1B946D" w14:textId="77777777" w:rsidR="00424816" w:rsidRPr="00424816" w:rsidRDefault="00424816" w:rsidP="00424816">
      <w:pPr>
        <w:adjustRightInd w:val="0"/>
        <w:snapToGrid w:val="0"/>
        <w:spacing w:after="0" w:line="360" w:lineRule="auto"/>
        <w:jc w:val="both"/>
        <w:rPr>
          <w:rFonts w:ascii="Book Antiqua" w:eastAsia="宋体" w:hAnsi="Book Antiqua" w:cs="宋体"/>
          <w:sz w:val="24"/>
          <w:szCs w:val="24"/>
          <w:lang w:eastAsia="zh-CN"/>
        </w:rPr>
      </w:pPr>
      <w:r w:rsidRPr="00424816">
        <w:rPr>
          <w:rFonts w:ascii="Book Antiqua" w:eastAsia="宋体" w:hAnsi="Book Antiqua" w:cs="宋体"/>
          <w:sz w:val="24"/>
          <w:szCs w:val="24"/>
          <w:lang w:eastAsia="zh-CN"/>
        </w:rPr>
        <w:t xml:space="preserve">12 </w:t>
      </w:r>
      <w:proofErr w:type="spellStart"/>
      <w:r w:rsidRPr="00424816">
        <w:rPr>
          <w:rFonts w:ascii="Book Antiqua" w:eastAsia="宋体" w:hAnsi="Book Antiqua" w:cs="宋体"/>
          <w:b/>
          <w:bCs/>
          <w:sz w:val="24"/>
          <w:szCs w:val="24"/>
          <w:lang w:eastAsia="zh-CN"/>
        </w:rPr>
        <w:t>Adamkiewicz</w:t>
      </w:r>
      <w:proofErr w:type="spellEnd"/>
      <w:r w:rsidRPr="00424816">
        <w:rPr>
          <w:rFonts w:ascii="Book Antiqua" w:eastAsia="宋体" w:hAnsi="Book Antiqua" w:cs="宋体"/>
          <w:b/>
          <w:bCs/>
          <w:sz w:val="24"/>
          <w:szCs w:val="24"/>
          <w:lang w:eastAsia="zh-CN"/>
        </w:rPr>
        <w:t xml:space="preserve"> K</w:t>
      </w:r>
      <w:r w:rsidRPr="00424816">
        <w:rPr>
          <w:rFonts w:ascii="Book Antiqua" w:eastAsia="宋体" w:hAnsi="Book Antiqua" w:cs="宋体"/>
          <w:sz w:val="24"/>
          <w:szCs w:val="24"/>
          <w:lang w:eastAsia="zh-CN"/>
        </w:rPr>
        <w:t xml:space="preserve">, </w:t>
      </w:r>
      <w:proofErr w:type="spellStart"/>
      <w:r w:rsidRPr="00424816">
        <w:rPr>
          <w:rFonts w:ascii="Book Antiqua" w:eastAsia="宋体" w:hAnsi="Book Antiqua" w:cs="宋体"/>
          <w:sz w:val="24"/>
          <w:szCs w:val="24"/>
          <w:lang w:eastAsia="zh-CN"/>
        </w:rPr>
        <w:t>Płatek</w:t>
      </w:r>
      <w:proofErr w:type="spellEnd"/>
      <w:r w:rsidRPr="00424816">
        <w:rPr>
          <w:rFonts w:ascii="Book Antiqua" w:eastAsia="宋体" w:hAnsi="Book Antiqua" w:cs="宋体"/>
          <w:sz w:val="24"/>
          <w:szCs w:val="24"/>
          <w:lang w:eastAsia="zh-CN"/>
        </w:rPr>
        <w:t xml:space="preserve"> AE, </w:t>
      </w:r>
      <w:proofErr w:type="spellStart"/>
      <w:r w:rsidRPr="00424816">
        <w:rPr>
          <w:rFonts w:ascii="Book Antiqua" w:eastAsia="宋体" w:hAnsi="Book Antiqua" w:cs="宋体"/>
          <w:sz w:val="24"/>
          <w:szCs w:val="24"/>
          <w:lang w:eastAsia="zh-CN"/>
        </w:rPr>
        <w:t>Łęgosz</w:t>
      </w:r>
      <w:proofErr w:type="spellEnd"/>
      <w:r w:rsidRPr="00424816">
        <w:rPr>
          <w:rFonts w:ascii="Book Antiqua" w:eastAsia="宋体" w:hAnsi="Book Antiqua" w:cs="宋体"/>
          <w:sz w:val="24"/>
          <w:szCs w:val="24"/>
          <w:lang w:eastAsia="zh-CN"/>
        </w:rPr>
        <w:t xml:space="preserve"> P, </w:t>
      </w:r>
      <w:proofErr w:type="spellStart"/>
      <w:r w:rsidRPr="00424816">
        <w:rPr>
          <w:rFonts w:ascii="Book Antiqua" w:eastAsia="宋体" w:hAnsi="Book Antiqua" w:cs="宋体"/>
          <w:sz w:val="24"/>
          <w:szCs w:val="24"/>
          <w:lang w:eastAsia="zh-CN"/>
        </w:rPr>
        <w:t>Czerniuk</w:t>
      </w:r>
      <w:proofErr w:type="spellEnd"/>
      <w:r w:rsidRPr="00424816">
        <w:rPr>
          <w:rFonts w:ascii="Book Antiqua" w:eastAsia="宋体" w:hAnsi="Book Antiqua" w:cs="宋体"/>
          <w:sz w:val="24"/>
          <w:szCs w:val="24"/>
          <w:lang w:eastAsia="zh-CN"/>
        </w:rPr>
        <w:t xml:space="preserve"> MR, </w:t>
      </w:r>
      <w:proofErr w:type="spellStart"/>
      <w:r w:rsidRPr="00424816">
        <w:rPr>
          <w:rFonts w:ascii="Book Antiqua" w:eastAsia="宋体" w:hAnsi="Book Antiqua" w:cs="宋体"/>
          <w:sz w:val="24"/>
          <w:szCs w:val="24"/>
          <w:lang w:eastAsia="zh-CN"/>
        </w:rPr>
        <w:t>Małdyk</w:t>
      </w:r>
      <w:proofErr w:type="spellEnd"/>
      <w:r w:rsidRPr="00424816">
        <w:rPr>
          <w:rFonts w:ascii="Book Antiqua" w:eastAsia="宋体" w:hAnsi="Book Antiqua" w:cs="宋体"/>
          <w:sz w:val="24"/>
          <w:szCs w:val="24"/>
          <w:lang w:eastAsia="zh-CN"/>
        </w:rPr>
        <w:t xml:space="preserve"> P, </w:t>
      </w:r>
      <w:proofErr w:type="spellStart"/>
      <w:r w:rsidRPr="00424816">
        <w:rPr>
          <w:rFonts w:ascii="Book Antiqua" w:eastAsia="宋体" w:hAnsi="Book Antiqua" w:cs="宋体"/>
          <w:sz w:val="24"/>
          <w:szCs w:val="24"/>
          <w:lang w:eastAsia="zh-CN"/>
        </w:rPr>
        <w:t>Szymański</w:t>
      </w:r>
      <w:proofErr w:type="spellEnd"/>
      <w:r w:rsidRPr="00424816">
        <w:rPr>
          <w:rFonts w:ascii="Book Antiqua" w:eastAsia="宋体" w:hAnsi="Book Antiqua" w:cs="宋体"/>
          <w:sz w:val="24"/>
          <w:szCs w:val="24"/>
          <w:lang w:eastAsia="zh-CN"/>
        </w:rPr>
        <w:t xml:space="preserve"> FM. Evaluation of the prevalence of periodontal disease as a non-classical risk factor in the group of patients undergoing hip and/or knee arthroplasty. </w:t>
      </w:r>
      <w:proofErr w:type="spellStart"/>
      <w:r w:rsidRPr="00424816">
        <w:rPr>
          <w:rFonts w:ascii="Book Antiqua" w:eastAsia="宋体" w:hAnsi="Book Antiqua" w:cs="宋体"/>
          <w:i/>
          <w:iCs/>
          <w:sz w:val="24"/>
          <w:szCs w:val="24"/>
          <w:lang w:eastAsia="zh-CN"/>
        </w:rPr>
        <w:t>Kardiol</w:t>
      </w:r>
      <w:proofErr w:type="spellEnd"/>
      <w:r w:rsidRPr="00424816">
        <w:rPr>
          <w:rFonts w:ascii="Book Antiqua" w:eastAsia="宋体" w:hAnsi="Book Antiqua" w:cs="宋体"/>
          <w:i/>
          <w:iCs/>
          <w:sz w:val="24"/>
          <w:szCs w:val="24"/>
          <w:lang w:eastAsia="zh-CN"/>
        </w:rPr>
        <w:t xml:space="preserve"> Pol</w:t>
      </w:r>
      <w:r w:rsidRPr="00424816">
        <w:rPr>
          <w:rFonts w:ascii="Book Antiqua" w:eastAsia="宋体" w:hAnsi="Book Antiqua" w:cs="宋体"/>
          <w:sz w:val="24"/>
          <w:szCs w:val="24"/>
          <w:lang w:eastAsia="zh-CN"/>
        </w:rPr>
        <w:t xml:space="preserve"> 2018; </w:t>
      </w:r>
      <w:r w:rsidRPr="00424816">
        <w:rPr>
          <w:rFonts w:ascii="Book Antiqua" w:eastAsia="宋体" w:hAnsi="Book Antiqua" w:cs="宋体"/>
          <w:b/>
          <w:bCs/>
          <w:sz w:val="24"/>
          <w:szCs w:val="24"/>
          <w:lang w:eastAsia="zh-CN"/>
        </w:rPr>
        <w:t>76</w:t>
      </w:r>
      <w:r w:rsidRPr="00424816">
        <w:rPr>
          <w:rFonts w:ascii="Book Antiqua" w:eastAsia="宋体" w:hAnsi="Book Antiqua" w:cs="宋体"/>
          <w:sz w:val="24"/>
          <w:szCs w:val="24"/>
          <w:lang w:eastAsia="zh-CN"/>
        </w:rPr>
        <w:t>: 633-636 [PMID: 29297186 DOI: 10.5603/KP.a2017.0263]</w:t>
      </w:r>
    </w:p>
    <w:p w14:paraId="601A0604" w14:textId="77777777" w:rsidR="00424816" w:rsidRPr="00424816" w:rsidRDefault="00424816" w:rsidP="00424816">
      <w:pPr>
        <w:adjustRightInd w:val="0"/>
        <w:snapToGrid w:val="0"/>
        <w:spacing w:after="0" w:line="360" w:lineRule="auto"/>
        <w:jc w:val="both"/>
        <w:rPr>
          <w:rFonts w:ascii="Book Antiqua" w:eastAsia="宋体" w:hAnsi="Book Antiqua" w:cs="宋体"/>
          <w:sz w:val="24"/>
          <w:szCs w:val="24"/>
          <w:lang w:eastAsia="zh-CN"/>
        </w:rPr>
      </w:pPr>
      <w:proofErr w:type="gramStart"/>
      <w:r w:rsidRPr="00424816">
        <w:rPr>
          <w:rFonts w:ascii="Book Antiqua" w:eastAsia="宋体" w:hAnsi="Book Antiqua" w:cs="宋体"/>
          <w:sz w:val="24"/>
          <w:szCs w:val="24"/>
          <w:lang w:eastAsia="zh-CN"/>
        </w:rPr>
        <w:t xml:space="preserve">13 </w:t>
      </w:r>
      <w:proofErr w:type="spellStart"/>
      <w:r w:rsidRPr="00424816">
        <w:rPr>
          <w:rFonts w:ascii="Book Antiqua" w:eastAsia="宋体" w:hAnsi="Book Antiqua" w:cs="宋体"/>
          <w:b/>
          <w:bCs/>
          <w:sz w:val="24"/>
          <w:szCs w:val="24"/>
          <w:lang w:eastAsia="zh-CN"/>
        </w:rPr>
        <w:t>Tokarski</w:t>
      </w:r>
      <w:proofErr w:type="spellEnd"/>
      <w:r w:rsidRPr="00424816">
        <w:rPr>
          <w:rFonts w:ascii="Book Antiqua" w:eastAsia="宋体" w:hAnsi="Book Antiqua" w:cs="宋体"/>
          <w:b/>
          <w:bCs/>
          <w:sz w:val="24"/>
          <w:szCs w:val="24"/>
          <w:lang w:eastAsia="zh-CN"/>
        </w:rPr>
        <w:t xml:space="preserve"> AT</w:t>
      </w:r>
      <w:r w:rsidRPr="00424816">
        <w:rPr>
          <w:rFonts w:ascii="Book Antiqua" w:eastAsia="宋体" w:hAnsi="Book Antiqua" w:cs="宋体"/>
          <w:sz w:val="24"/>
          <w:szCs w:val="24"/>
          <w:lang w:eastAsia="zh-CN"/>
        </w:rPr>
        <w:t xml:space="preserve">, Patel RG, </w:t>
      </w:r>
      <w:proofErr w:type="spellStart"/>
      <w:r w:rsidRPr="00424816">
        <w:rPr>
          <w:rFonts w:ascii="Book Antiqua" w:eastAsia="宋体" w:hAnsi="Book Antiqua" w:cs="宋体"/>
          <w:sz w:val="24"/>
          <w:szCs w:val="24"/>
          <w:lang w:eastAsia="zh-CN"/>
        </w:rPr>
        <w:t>Parvizi</w:t>
      </w:r>
      <w:proofErr w:type="spellEnd"/>
      <w:r w:rsidRPr="00424816">
        <w:rPr>
          <w:rFonts w:ascii="Book Antiqua" w:eastAsia="宋体" w:hAnsi="Book Antiqua" w:cs="宋体"/>
          <w:sz w:val="24"/>
          <w:szCs w:val="24"/>
          <w:lang w:eastAsia="zh-CN"/>
        </w:rPr>
        <w:t xml:space="preserve"> J, </w:t>
      </w:r>
      <w:proofErr w:type="spellStart"/>
      <w:r w:rsidRPr="00424816">
        <w:rPr>
          <w:rFonts w:ascii="Book Antiqua" w:eastAsia="宋体" w:hAnsi="Book Antiqua" w:cs="宋体"/>
          <w:sz w:val="24"/>
          <w:szCs w:val="24"/>
          <w:lang w:eastAsia="zh-CN"/>
        </w:rPr>
        <w:t>Deirmengian</w:t>
      </w:r>
      <w:proofErr w:type="spellEnd"/>
      <w:r w:rsidRPr="00424816">
        <w:rPr>
          <w:rFonts w:ascii="Book Antiqua" w:eastAsia="宋体" w:hAnsi="Book Antiqua" w:cs="宋体"/>
          <w:sz w:val="24"/>
          <w:szCs w:val="24"/>
          <w:lang w:eastAsia="zh-CN"/>
        </w:rPr>
        <w:t xml:space="preserve"> GK.</w:t>
      </w:r>
      <w:proofErr w:type="gramEnd"/>
      <w:r w:rsidRPr="00424816">
        <w:rPr>
          <w:rFonts w:ascii="Book Antiqua" w:eastAsia="宋体" w:hAnsi="Book Antiqua" w:cs="宋体"/>
          <w:sz w:val="24"/>
          <w:szCs w:val="24"/>
          <w:lang w:eastAsia="zh-CN"/>
        </w:rPr>
        <w:t xml:space="preserve"> Dental clearance prior to elective arthroplasty may not be needed for everyone. </w:t>
      </w:r>
      <w:r w:rsidRPr="00424816">
        <w:rPr>
          <w:rFonts w:ascii="Book Antiqua" w:eastAsia="宋体" w:hAnsi="Book Antiqua" w:cs="宋体"/>
          <w:i/>
          <w:iCs/>
          <w:sz w:val="24"/>
          <w:szCs w:val="24"/>
          <w:lang w:eastAsia="zh-CN"/>
        </w:rPr>
        <w:t>J Arthroplasty</w:t>
      </w:r>
      <w:r w:rsidRPr="00424816">
        <w:rPr>
          <w:rFonts w:ascii="Book Antiqua" w:eastAsia="宋体" w:hAnsi="Book Antiqua" w:cs="宋体"/>
          <w:sz w:val="24"/>
          <w:szCs w:val="24"/>
          <w:lang w:eastAsia="zh-CN"/>
        </w:rPr>
        <w:t xml:space="preserve"> 2014; </w:t>
      </w:r>
      <w:r w:rsidRPr="00424816">
        <w:rPr>
          <w:rFonts w:ascii="Book Antiqua" w:eastAsia="宋体" w:hAnsi="Book Antiqua" w:cs="宋体"/>
          <w:b/>
          <w:bCs/>
          <w:sz w:val="24"/>
          <w:szCs w:val="24"/>
          <w:lang w:eastAsia="zh-CN"/>
        </w:rPr>
        <w:t>29</w:t>
      </w:r>
      <w:r w:rsidRPr="00424816">
        <w:rPr>
          <w:rFonts w:ascii="Book Antiqua" w:eastAsia="宋体" w:hAnsi="Book Antiqua" w:cs="宋体"/>
          <w:sz w:val="24"/>
          <w:szCs w:val="24"/>
          <w:lang w:eastAsia="zh-CN"/>
        </w:rPr>
        <w:t>: 1729-1732 [PMID: 24851786 DOI: 10.1016/j.arth.2014.04.018]</w:t>
      </w:r>
    </w:p>
    <w:p w14:paraId="6165C15C" w14:textId="1C8B7B31" w:rsidR="00424816" w:rsidRPr="00424816" w:rsidRDefault="00424816" w:rsidP="00424816">
      <w:pPr>
        <w:adjustRightInd w:val="0"/>
        <w:snapToGrid w:val="0"/>
        <w:spacing w:after="0" w:line="360" w:lineRule="auto"/>
        <w:jc w:val="both"/>
        <w:rPr>
          <w:rFonts w:ascii="Book Antiqua" w:eastAsia="宋体" w:hAnsi="Book Antiqua" w:cs="宋体"/>
          <w:sz w:val="24"/>
          <w:szCs w:val="24"/>
          <w:lang w:eastAsia="zh-CN"/>
        </w:rPr>
      </w:pPr>
      <w:r w:rsidRPr="00424816">
        <w:rPr>
          <w:rFonts w:ascii="Book Antiqua" w:eastAsia="宋体" w:hAnsi="Book Antiqua" w:cs="宋体"/>
          <w:sz w:val="24"/>
          <w:szCs w:val="24"/>
          <w:lang w:eastAsia="zh-CN"/>
        </w:rPr>
        <w:t xml:space="preserve">14 </w:t>
      </w:r>
      <w:proofErr w:type="spellStart"/>
      <w:r w:rsidRPr="00424816">
        <w:rPr>
          <w:rFonts w:ascii="Book Antiqua" w:eastAsia="宋体" w:hAnsi="Book Antiqua" w:cs="宋体"/>
          <w:b/>
          <w:bCs/>
          <w:sz w:val="24"/>
          <w:szCs w:val="24"/>
          <w:lang w:eastAsia="zh-CN"/>
        </w:rPr>
        <w:t>Vuorinen</w:t>
      </w:r>
      <w:proofErr w:type="spellEnd"/>
      <w:r w:rsidRPr="00424816">
        <w:rPr>
          <w:rFonts w:ascii="Book Antiqua" w:eastAsia="宋体" w:hAnsi="Book Antiqua" w:cs="宋体"/>
          <w:b/>
          <w:bCs/>
          <w:sz w:val="24"/>
          <w:szCs w:val="24"/>
          <w:lang w:eastAsia="zh-CN"/>
        </w:rPr>
        <w:t xml:space="preserve"> M</w:t>
      </w:r>
      <w:r w:rsidRPr="00424816">
        <w:rPr>
          <w:rFonts w:ascii="Book Antiqua" w:eastAsia="宋体" w:hAnsi="Book Antiqua" w:cs="宋体"/>
          <w:sz w:val="24"/>
          <w:szCs w:val="24"/>
          <w:lang w:eastAsia="zh-CN"/>
        </w:rPr>
        <w:t xml:space="preserve">, </w:t>
      </w:r>
      <w:proofErr w:type="spellStart"/>
      <w:r w:rsidRPr="00424816">
        <w:rPr>
          <w:rFonts w:ascii="Book Antiqua" w:eastAsia="宋体" w:hAnsi="Book Antiqua" w:cs="宋体"/>
          <w:sz w:val="24"/>
          <w:szCs w:val="24"/>
          <w:lang w:eastAsia="zh-CN"/>
        </w:rPr>
        <w:t>Mäkinen</w:t>
      </w:r>
      <w:proofErr w:type="spellEnd"/>
      <w:r w:rsidRPr="00424816">
        <w:rPr>
          <w:rFonts w:ascii="Book Antiqua" w:eastAsia="宋体" w:hAnsi="Book Antiqua" w:cs="宋体"/>
          <w:sz w:val="24"/>
          <w:szCs w:val="24"/>
          <w:lang w:eastAsia="zh-CN"/>
        </w:rPr>
        <w:t xml:space="preserve"> T, </w:t>
      </w:r>
      <w:proofErr w:type="spellStart"/>
      <w:r w:rsidRPr="00424816">
        <w:rPr>
          <w:rFonts w:ascii="Book Antiqua" w:eastAsia="宋体" w:hAnsi="Book Antiqua" w:cs="宋体"/>
          <w:sz w:val="24"/>
          <w:szCs w:val="24"/>
          <w:lang w:eastAsia="zh-CN"/>
        </w:rPr>
        <w:t>Rantasalo</w:t>
      </w:r>
      <w:proofErr w:type="spellEnd"/>
      <w:r w:rsidRPr="00424816">
        <w:rPr>
          <w:rFonts w:ascii="Book Antiqua" w:eastAsia="宋体" w:hAnsi="Book Antiqua" w:cs="宋体"/>
          <w:sz w:val="24"/>
          <w:szCs w:val="24"/>
          <w:lang w:eastAsia="zh-CN"/>
        </w:rPr>
        <w:t xml:space="preserve"> M, </w:t>
      </w:r>
      <w:proofErr w:type="spellStart"/>
      <w:r w:rsidRPr="00424816">
        <w:rPr>
          <w:rFonts w:ascii="Book Antiqua" w:eastAsia="宋体" w:hAnsi="Book Antiqua" w:cs="宋体"/>
          <w:sz w:val="24"/>
          <w:szCs w:val="24"/>
          <w:lang w:eastAsia="zh-CN"/>
        </w:rPr>
        <w:t>Leskinen</w:t>
      </w:r>
      <w:proofErr w:type="spellEnd"/>
      <w:r w:rsidRPr="00424816">
        <w:rPr>
          <w:rFonts w:ascii="Book Antiqua" w:eastAsia="宋体" w:hAnsi="Book Antiqua" w:cs="宋体"/>
          <w:sz w:val="24"/>
          <w:szCs w:val="24"/>
          <w:lang w:eastAsia="zh-CN"/>
        </w:rPr>
        <w:t xml:space="preserve"> J, </w:t>
      </w:r>
      <w:proofErr w:type="spellStart"/>
      <w:r w:rsidRPr="00424816">
        <w:rPr>
          <w:rFonts w:ascii="Book Antiqua" w:eastAsia="宋体" w:hAnsi="Book Antiqua" w:cs="宋体"/>
          <w:sz w:val="24"/>
          <w:szCs w:val="24"/>
          <w:lang w:eastAsia="zh-CN"/>
        </w:rPr>
        <w:t>Välimaa</w:t>
      </w:r>
      <w:proofErr w:type="spellEnd"/>
      <w:r w:rsidRPr="00424816">
        <w:rPr>
          <w:rFonts w:ascii="Book Antiqua" w:eastAsia="宋体" w:hAnsi="Book Antiqua" w:cs="宋体"/>
          <w:sz w:val="24"/>
          <w:szCs w:val="24"/>
          <w:lang w:eastAsia="zh-CN"/>
        </w:rPr>
        <w:t xml:space="preserve"> H, </w:t>
      </w:r>
      <w:proofErr w:type="spellStart"/>
      <w:r w:rsidRPr="00424816">
        <w:rPr>
          <w:rFonts w:ascii="Book Antiqua" w:eastAsia="宋体" w:hAnsi="Book Antiqua" w:cs="宋体"/>
          <w:sz w:val="24"/>
          <w:szCs w:val="24"/>
          <w:lang w:eastAsia="zh-CN"/>
        </w:rPr>
        <w:t>Huotari</w:t>
      </w:r>
      <w:proofErr w:type="spellEnd"/>
      <w:r w:rsidRPr="00424816">
        <w:rPr>
          <w:rFonts w:ascii="Book Antiqua" w:eastAsia="宋体" w:hAnsi="Book Antiqua" w:cs="宋体"/>
          <w:sz w:val="24"/>
          <w:szCs w:val="24"/>
          <w:lang w:eastAsia="zh-CN"/>
        </w:rPr>
        <w:t xml:space="preserve"> K. Incidence and Risk Factors for Dental Pathology in Patients Planned for Elective Total Hip or Knee Arthroplasty. </w:t>
      </w:r>
      <w:proofErr w:type="spellStart"/>
      <w:r w:rsidRPr="00424816">
        <w:rPr>
          <w:rFonts w:ascii="Book Antiqua" w:eastAsia="宋体" w:hAnsi="Book Antiqua" w:cs="宋体"/>
          <w:i/>
          <w:iCs/>
          <w:sz w:val="24"/>
          <w:szCs w:val="24"/>
          <w:lang w:eastAsia="zh-CN"/>
        </w:rPr>
        <w:t>Scand</w:t>
      </w:r>
      <w:proofErr w:type="spellEnd"/>
      <w:r w:rsidRPr="00424816">
        <w:rPr>
          <w:rFonts w:ascii="Book Antiqua" w:eastAsia="宋体" w:hAnsi="Book Antiqua" w:cs="宋体"/>
          <w:i/>
          <w:iCs/>
          <w:sz w:val="24"/>
          <w:szCs w:val="24"/>
          <w:lang w:eastAsia="zh-CN"/>
        </w:rPr>
        <w:t xml:space="preserve"> J </w:t>
      </w:r>
      <w:proofErr w:type="spellStart"/>
      <w:r w:rsidRPr="00424816">
        <w:rPr>
          <w:rFonts w:ascii="Book Antiqua" w:eastAsia="宋体" w:hAnsi="Book Antiqua" w:cs="宋体"/>
          <w:i/>
          <w:iCs/>
          <w:sz w:val="24"/>
          <w:szCs w:val="24"/>
          <w:lang w:eastAsia="zh-CN"/>
        </w:rPr>
        <w:t>Surg</w:t>
      </w:r>
      <w:proofErr w:type="spellEnd"/>
      <w:r w:rsidRPr="00424816">
        <w:rPr>
          <w:rFonts w:ascii="Book Antiqua" w:eastAsia="宋体" w:hAnsi="Book Antiqua" w:cs="宋体"/>
          <w:sz w:val="24"/>
          <w:szCs w:val="24"/>
          <w:lang w:eastAsia="zh-CN"/>
        </w:rPr>
        <w:t xml:space="preserve"> 2018; 1457496918816911 [PMID: 30501477 DOI: 10.1177/1457496918816911]</w:t>
      </w:r>
    </w:p>
    <w:p w14:paraId="17B7D492" w14:textId="70485E11" w:rsidR="00424816" w:rsidRPr="00424816" w:rsidRDefault="00424816" w:rsidP="00424816">
      <w:pPr>
        <w:adjustRightInd w:val="0"/>
        <w:snapToGrid w:val="0"/>
        <w:spacing w:after="0" w:line="360" w:lineRule="auto"/>
        <w:jc w:val="both"/>
        <w:rPr>
          <w:rFonts w:ascii="Book Antiqua" w:eastAsia="宋体" w:hAnsi="Book Antiqua" w:cs="宋体"/>
          <w:sz w:val="24"/>
          <w:szCs w:val="24"/>
          <w:lang w:eastAsia="zh-CN"/>
        </w:rPr>
      </w:pPr>
      <w:r w:rsidRPr="00424816">
        <w:rPr>
          <w:rFonts w:ascii="Book Antiqua" w:eastAsia="宋体" w:hAnsi="Book Antiqua" w:cs="宋体"/>
          <w:sz w:val="24"/>
          <w:szCs w:val="24"/>
          <w:lang w:eastAsia="zh-CN"/>
        </w:rPr>
        <w:t xml:space="preserve">15 </w:t>
      </w:r>
      <w:r w:rsidRPr="00424816">
        <w:rPr>
          <w:rFonts w:ascii="Book Antiqua" w:eastAsia="宋体" w:hAnsi="Book Antiqua" w:cs="宋体"/>
          <w:b/>
          <w:bCs/>
          <w:sz w:val="24"/>
          <w:szCs w:val="24"/>
          <w:lang w:eastAsia="zh-CN"/>
        </w:rPr>
        <w:t>Wood T</w:t>
      </w:r>
      <w:r w:rsidR="000D49F7">
        <w:rPr>
          <w:rFonts w:ascii="Book Antiqua" w:eastAsia="宋体" w:hAnsi="Book Antiqua" w:cs="宋体"/>
          <w:b/>
          <w:bCs/>
          <w:sz w:val="24"/>
          <w:szCs w:val="24"/>
          <w:lang w:eastAsia="zh-CN"/>
        </w:rPr>
        <w:t>J</w:t>
      </w:r>
      <w:r w:rsidRPr="00424816">
        <w:rPr>
          <w:rFonts w:ascii="Book Antiqua" w:eastAsia="宋体" w:hAnsi="Book Antiqua" w:cs="宋体"/>
          <w:sz w:val="24"/>
          <w:szCs w:val="24"/>
          <w:lang w:eastAsia="zh-CN"/>
        </w:rPr>
        <w:t xml:space="preserve">, </w:t>
      </w:r>
      <w:proofErr w:type="spellStart"/>
      <w:r w:rsidRPr="00424816">
        <w:rPr>
          <w:rFonts w:ascii="Book Antiqua" w:eastAsia="宋体" w:hAnsi="Book Antiqua" w:cs="宋体"/>
          <w:sz w:val="24"/>
          <w:szCs w:val="24"/>
          <w:lang w:eastAsia="zh-CN"/>
        </w:rPr>
        <w:t>Petruccelli</w:t>
      </w:r>
      <w:proofErr w:type="spellEnd"/>
      <w:r w:rsidRPr="00424816">
        <w:rPr>
          <w:rFonts w:ascii="Book Antiqua" w:eastAsia="宋体" w:hAnsi="Book Antiqua" w:cs="宋体"/>
          <w:sz w:val="24"/>
          <w:szCs w:val="24"/>
          <w:lang w:eastAsia="zh-CN"/>
        </w:rPr>
        <w:t xml:space="preserve"> D, </w:t>
      </w:r>
      <w:proofErr w:type="spellStart"/>
      <w:r w:rsidRPr="00424816">
        <w:rPr>
          <w:rFonts w:ascii="Book Antiqua" w:eastAsia="宋体" w:hAnsi="Book Antiqua" w:cs="宋体"/>
          <w:sz w:val="24"/>
          <w:szCs w:val="24"/>
          <w:lang w:eastAsia="zh-CN"/>
        </w:rPr>
        <w:t>Piccirillo</w:t>
      </w:r>
      <w:proofErr w:type="spellEnd"/>
      <w:r w:rsidRPr="00424816">
        <w:rPr>
          <w:rFonts w:ascii="Book Antiqua" w:eastAsia="宋体" w:hAnsi="Book Antiqua" w:cs="宋体"/>
          <w:sz w:val="24"/>
          <w:szCs w:val="24"/>
          <w:lang w:eastAsia="zh-CN"/>
        </w:rPr>
        <w:t xml:space="preserve"> L,</w:t>
      </w:r>
      <w:r w:rsidR="000D49F7">
        <w:rPr>
          <w:rFonts w:ascii="Book Antiqua" w:eastAsia="宋体" w:hAnsi="Book Antiqua" w:cs="宋体"/>
          <w:sz w:val="24"/>
          <w:szCs w:val="24"/>
          <w:lang w:eastAsia="zh-CN"/>
        </w:rPr>
        <w:t xml:space="preserve"> </w:t>
      </w:r>
      <w:proofErr w:type="spellStart"/>
      <w:r w:rsidR="000D49F7">
        <w:rPr>
          <w:rFonts w:ascii="Book Antiqua" w:eastAsia="宋体" w:hAnsi="Book Antiqua" w:cs="宋体"/>
          <w:sz w:val="24"/>
          <w:szCs w:val="24"/>
          <w:lang w:eastAsia="zh-CN"/>
        </w:rPr>
        <w:t>Staibano</w:t>
      </w:r>
      <w:proofErr w:type="spellEnd"/>
      <w:r w:rsidR="000D49F7">
        <w:rPr>
          <w:rFonts w:ascii="Book Antiqua" w:eastAsia="宋体" w:hAnsi="Book Antiqua" w:cs="宋体"/>
          <w:sz w:val="24"/>
          <w:szCs w:val="24"/>
          <w:lang w:eastAsia="zh-CN"/>
        </w:rPr>
        <w:t xml:space="preserve"> P, Winemaker M, de Beer J,</w:t>
      </w:r>
      <w:r w:rsidRPr="00424816">
        <w:rPr>
          <w:rFonts w:ascii="Book Antiqua" w:eastAsia="宋体" w:hAnsi="Book Antiqua" w:cs="宋体"/>
          <w:sz w:val="24"/>
          <w:szCs w:val="24"/>
          <w:lang w:eastAsia="zh-CN"/>
        </w:rPr>
        <w:t xml:space="preserve"> Dental hygiene in maintaining a healthy joint replacement: a survey of Canadian total joint replacement patients. </w:t>
      </w:r>
      <w:proofErr w:type="spellStart"/>
      <w:r w:rsidRPr="00424816">
        <w:rPr>
          <w:rFonts w:ascii="Book Antiqua" w:eastAsia="宋体" w:hAnsi="Book Antiqua" w:cs="宋体"/>
          <w:i/>
          <w:iCs/>
          <w:sz w:val="24"/>
          <w:szCs w:val="24"/>
          <w:lang w:eastAsia="zh-CN"/>
        </w:rPr>
        <w:t>Curr</w:t>
      </w:r>
      <w:proofErr w:type="spellEnd"/>
      <w:r w:rsidRPr="00424816">
        <w:rPr>
          <w:rFonts w:ascii="Book Antiqua" w:eastAsia="宋体" w:hAnsi="Book Antiqua" w:cs="宋体"/>
          <w:i/>
          <w:iCs/>
          <w:sz w:val="24"/>
          <w:szCs w:val="24"/>
          <w:lang w:eastAsia="zh-CN"/>
        </w:rPr>
        <w:t xml:space="preserve"> </w:t>
      </w:r>
      <w:proofErr w:type="spellStart"/>
      <w:r w:rsidRPr="00424816">
        <w:rPr>
          <w:rFonts w:ascii="Book Antiqua" w:eastAsia="宋体" w:hAnsi="Book Antiqua" w:cs="宋体"/>
          <w:i/>
          <w:iCs/>
          <w:sz w:val="24"/>
          <w:szCs w:val="24"/>
          <w:lang w:eastAsia="zh-CN"/>
        </w:rPr>
        <w:t>Orthop</w:t>
      </w:r>
      <w:proofErr w:type="spellEnd"/>
      <w:r w:rsidRPr="00424816">
        <w:rPr>
          <w:rFonts w:ascii="Book Antiqua" w:eastAsia="宋体" w:hAnsi="Book Antiqua" w:cs="宋体"/>
          <w:i/>
          <w:iCs/>
          <w:sz w:val="24"/>
          <w:szCs w:val="24"/>
          <w:lang w:eastAsia="zh-CN"/>
        </w:rPr>
        <w:t xml:space="preserve"> </w:t>
      </w:r>
      <w:proofErr w:type="spellStart"/>
      <w:r w:rsidRPr="00424816">
        <w:rPr>
          <w:rFonts w:ascii="Book Antiqua" w:eastAsia="宋体" w:hAnsi="Book Antiqua" w:cs="宋体"/>
          <w:i/>
          <w:iCs/>
          <w:sz w:val="24"/>
          <w:szCs w:val="24"/>
          <w:lang w:eastAsia="zh-CN"/>
        </w:rPr>
        <w:t>Pract</w:t>
      </w:r>
      <w:proofErr w:type="spellEnd"/>
      <w:r w:rsidRPr="00424816">
        <w:rPr>
          <w:rFonts w:ascii="Book Antiqua" w:eastAsia="宋体" w:hAnsi="Book Antiqua" w:cs="宋体"/>
          <w:sz w:val="24"/>
          <w:szCs w:val="24"/>
          <w:lang w:eastAsia="zh-CN"/>
        </w:rPr>
        <w:t xml:space="preserve"> 2016; </w:t>
      </w:r>
      <w:r w:rsidRPr="00424816">
        <w:rPr>
          <w:rFonts w:ascii="Book Antiqua" w:eastAsia="宋体" w:hAnsi="Book Antiqua" w:cs="宋体"/>
          <w:b/>
          <w:bCs/>
          <w:sz w:val="24"/>
          <w:szCs w:val="24"/>
          <w:lang w:eastAsia="zh-CN"/>
        </w:rPr>
        <w:t>27</w:t>
      </w:r>
      <w:r w:rsidRPr="00424816">
        <w:rPr>
          <w:rFonts w:ascii="Book Antiqua" w:eastAsia="宋体" w:hAnsi="Book Antiqua" w:cs="宋体"/>
          <w:sz w:val="24"/>
          <w:szCs w:val="24"/>
          <w:lang w:eastAsia="zh-CN"/>
        </w:rPr>
        <w:t>:</w:t>
      </w:r>
      <w:r w:rsidR="000D49F7">
        <w:rPr>
          <w:rFonts w:ascii="Book Antiqua" w:eastAsia="宋体" w:hAnsi="Book Antiqua" w:cs="宋体"/>
          <w:sz w:val="24"/>
          <w:szCs w:val="24"/>
          <w:lang w:eastAsia="zh-CN"/>
        </w:rPr>
        <w:t xml:space="preserve"> </w:t>
      </w:r>
      <w:r w:rsidRPr="00424816">
        <w:rPr>
          <w:rFonts w:ascii="Book Antiqua" w:eastAsia="宋体" w:hAnsi="Book Antiqua" w:cs="宋体"/>
          <w:sz w:val="24"/>
          <w:szCs w:val="24"/>
          <w:lang w:eastAsia="zh-CN"/>
        </w:rPr>
        <w:t>515-519</w:t>
      </w:r>
      <w:r w:rsidR="000D49F7">
        <w:rPr>
          <w:rFonts w:ascii="Book Antiqua" w:eastAsia="宋体" w:hAnsi="Book Antiqua" w:cs="宋体"/>
          <w:sz w:val="24"/>
          <w:szCs w:val="24"/>
          <w:lang w:eastAsia="zh-CN"/>
        </w:rPr>
        <w:t xml:space="preserve"> </w:t>
      </w:r>
      <w:r w:rsidR="000D49F7">
        <w:rPr>
          <w:rFonts w:ascii="Book Antiqua" w:eastAsia="宋体" w:hAnsi="Book Antiqua" w:cs="宋体" w:hint="eastAsia"/>
          <w:sz w:val="24"/>
          <w:szCs w:val="24"/>
          <w:lang w:eastAsia="zh-CN"/>
        </w:rPr>
        <w:t>[</w:t>
      </w:r>
      <w:r w:rsidR="000D49F7">
        <w:rPr>
          <w:rFonts w:ascii="Book Antiqua" w:eastAsia="宋体" w:hAnsi="Book Antiqua" w:cs="宋体"/>
          <w:sz w:val="24"/>
          <w:szCs w:val="24"/>
          <w:lang w:eastAsia="zh-CN"/>
        </w:rPr>
        <w:t xml:space="preserve">DOI: </w:t>
      </w:r>
      <w:r w:rsidR="000D49F7" w:rsidRPr="000D49F7">
        <w:rPr>
          <w:rFonts w:ascii="Book Antiqua" w:eastAsia="宋体" w:hAnsi="Book Antiqua" w:cs="宋体"/>
          <w:sz w:val="24"/>
          <w:szCs w:val="24"/>
          <w:lang w:eastAsia="zh-CN"/>
        </w:rPr>
        <w:t>10.1097/BCO.0000000000000410</w:t>
      </w:r>
      <w:r w:rsidR="000D49F7">
        <w:rPr>
          <w:rFonts w:ascii="Book Antiqua" w:eastAsia="宋体" w:hAnsi="Book Antiqua" w:cs="宋体"/>
          <w:sz w:val="24"/>
          <w:szCs w:val="24"/>
          <w:lang w:eastAsia="zh-CN"/>
        </w:rPr>
        <w:t>]</w:t>
      </w:r>
    </w:p>
    <w:p w14:paraId="026298F8" w14:textId="77777777" w:rsidR="00424816" w:rsidRPr="00424816" w:rsidRDefault="00424816" w:rsidP="00424816">
      <w:pPr>
        <w:adjustRightInd w:val="0"/>
        <w:snapToGrid w:val="0"/>
        <w:spacing w:after="0" w:line="360" w:lineRule="auto"/>
        <w:jc w:val="both"/>
        <w:rPr>
          <w:rFonts w:ascii="Book Antiqua" w:eastAsia="宋体" w:hAnsi="Book Antiqua" w:cs="宋体"/>
          <w:sz w:val="24"/>
          <w:szCs w:val="24"/>
          <w:lang w:eastAsia="zh-CN"/>
        </w:rPr>
      </w:pPr>
      <w:proofErr w:type="gramStart"/>
      <w:r w:rsidRPr="00424816">
        <w:rPr>
          <w:rFonts w:ascii="Book Antiqua" w:eastAsia="宋体" w:hAnsi="Book Antiqua" w:cs="宋体"/>
          <w:sz w:val="24"/>
          <w:szCs w:val="24"/>
          <w:lang w:eastAsia="zh-CN"/>
        </w:rPr>
        <w:t xml:space="preserve">16 </w:t>
      </w:r>
      <w:r w:rsidRPr="00424816">
        <w:rPr>
          <w:rFonts w:ascii="Book Antiqua" w:eastAsia="宋体" w:hAnsi="Book Antiqua" w:cs="宋体"/>
          <w:b/>
          <w:bCs/>
          <w:sz w:val="24"/>
          <w:szCs w:val="24"/>
          <w:lang w:eastAsia="zh-CN"/>
        </w:rPr>
        <w:t>Barrington JW</w:t>
      </w:r>
      <w:r w:rsidRPr="00424816">
        <w:rPr>
          <w:rFonts w:ascii="Book Antiqua" w:eastAsia="宋体" w:hAnsi="Book Antiqua" w:cs="宋体"/>
          <w:sz w:val="24"/>
          <w:szCs w:val="24"/>
          <w:lang w:eastAsia="zh-CN"/>
        </w:rPr>
        <w:t>, Barrington TA.</w:t>
      </w:r>
      <w:proofErr w:type="gramEnd"/>
      <w:r w:rsidRPr="00424816">
        <w:rPr>
          <w:rFonts w:ascii="Book Antiqua" w:eastAsia="宋体" w:hAnsi="Book Antiqua" w:cs="宋体"/>
          <w:sz w:val="24"/>
          <w:szCs w:val="24"/>
          <w:lang w:eastAsia="zh-CN"/>
        </w:rPr>
        <w:t xml:space="preserve"> What is the true incidence of dental pathology in the total joint arthroplasty population? </w:t>
      </w:r>
      <w:r w:rsidRPr="00424816">
        <w:rPr>
          <w:rFonts w:ascii="Book Antiqua" w:eastAsia="宋体" w:hAnsi="Book Antiqua" w:cs="宋体"/>
          <w:i/>
          <w:iCs/>
          <w:sz w:val="24"/>
          <w:szCs w:val="24"/>
          <w:lang w:eastAsia="zh-CN"/>
        </w:rPr>
        <w:t>J Arthroplasty</w:t>
      </w:r>
      <w:r w:rsidRPr="00424816">
        <w:rPr>
          <w:rFonts w:ascii="Book Antiqua" w:eastAsia="宋体" w:hAnsi="Book Antiqua" w:cs="宋体"/>
          <w:sz w:val="24"/>
          <w:szCs w:val="24"/>
          <w:lang w:eastAsia="zh-CN"/>
        </w:rPr>
        <w:t xml:space="preserve"> 2011; </w:t>
      </w:r>
      <w:r w:rsidRPr="00424816">
        <w:rPr>
          <w:rFonts w:ascii="Book Antiqua" w:eastAsia="宋体" w:hAnsi="Book Antiqua" w:cs="宋体"/>
          <w:b/>
          <w:bCs/>
          <w:sz w:val="24"/>
          <w:szCs w:val="24"/>
          <w:lang w:eastAsia="zh-CN"/>
        </w:rPr>
        <w:t>26</w:t>
      </w:r>
      <w:r w:rsidRPr="00424816">
        <w:rPr>
          <w:rFonts w:ascii="Book Antiqua" w:eastAsia="宋体" w:hAnsi="Book Antiqua" w:cs="宋体"/>
          <w:sz w:val="24"/>
          <w:szCs w:val="24"/>
          <w:lang w:eastAsia="zh-CN"/>
        </w:rPr>
        <w:t>: 88-91 [PMID: 21723698 DOI: 10.1016/j.arth.2011.03.036]</w:t>
      </w:r>
    </w:p>
    <w:p w14:paraId="1B9310DA" w14:textId="77777777" w:rsidR="00424816" w:rsidRPr="00424816" w:rsidRDefault="00424816" w:rsidP="00424816">
      <w:pPr>
        <w:adjustRightInd w:val="0"/>
        <w:snapToGrid w:val="0"/>
        <w:spacing w:after="0" w:line="360" w:lineRule="auto"/>
        <w:jc w:val="both"/>
        <w:rPr>
          <w:rFonts w:ascii="Book Antiqua" w:eastAsia="宋体" w:hAnsi="Book Antiqua" w:cs="宋体"/>
          <w:sz w:val="24"/>
          <w:szCs w:val="24"/>
          <w:lang w:eastAsia="zh-CN"/>
        </w:rPr>
      </w:pPr>
      <w:r w:rsidRPr="00424816">
        <w:rPr>
          <w:rFonts w:ascii="Book Antiqua" w:eastAsia="宋体" w:hAnsi="Book Antiqua" w:cs="宋体"/>
          <w:sz w:val="24"/>
          <w:szCs w:val="24"/>
          <w:lang w:eastAsia="zh-CN"/>
        </w:rPr>
        <w:t xml:space="preserve">17 </w:t>
      </w:r>
      <w:r w:rsidRPr="00424816">
        <w:rPr>
          <w:rFonts w:ascii="Book Antiqua" w:eastAsia="宋体" w:hAnsi="Book Antiqua" w:cs="宋体"/>
          <w:b/>
          <w:bCs/>
          <w:sz w:val="24"/>
          <w:szCs w:val="24"/>
          <w:lang w:eastAsia="zh-CN"/>
        </w:rPr>
        <w:t>Lampley A</w:t>
      </w:r>
      <w:r w:rsidRPr="00424816">
        <w:rPr>
          <w:rFonts w:ascii="Book Antiqua" w:eastAsia="宋体" w:hAnsi="Book Antiqua" w:cs="宋体"/>
          <w:sz w:val="24"/>
          <w:szCs w:val="24"/>
          <w:lang w:eastAsia="zh-CN"/>
        </w:rPr>
        <w:t xml:space="preserve">, Huang RC, </w:t>
      </w:r>
      <w:proofErr w:type="gramStart"/>
      <w:r w:rsidRPr="00424816">
        <w:rPr>
          <w:rFonts w:ascii="Book Antiqua" w:eastAsia="宋体" w:hAnsi="Book Antiqua" w:cs="宋体"/>
          <w:sz w:val="24"/>
          <w:szCs w:val="24"/>
          <w:lang w:eastAsia="zh-CN"/>
        </w:rPr>
        <w:t>Arnold</w:t>
      </w:r>
      <w:proofErr w:type="gramEnd"/>
      <w:r w:rsidRPr="00424816">
        <w:rPr>
          <w:rFonts w:ascii="Book Antiqua" w:eastAsia="宋体" w:hAnsi="Book Antiqua" w:cs="宋体"/>
          <w:sz w:val="24"/>
          <w:szCs w:val="24"/>
          <w:lang w:eastAsia="zh-CN"/>
        </w:rPr>
        <w:t xml:space="preserve"> WV, </w:t>
      </w:r>
      <w:proofErr w:type="spellStart"/>
      <w:r w:rsidRPr="00424816">
        <w:rPr>
          <w:rFonts w:ascii="Book Antiqua" w:eastAsia="宋体" w:hAnsi="Book Antiqua" w:cs="宋体"/>
          <w:sz w:val="24"/>
          <w:szCs w:val="24"/>
          <w:lang w:eastAsia="zh-CN"/>
        </w:rPr>
        <w:t>Parvizi</w:t>
      </w:r>
      <w:proofErr w:type="spellEnd"/>
      <w:r w:rsidRPr="00424816">
        <w:rPr>
          <w:rFonts w:ascii="Book Antiqua" w:eastAsia="宋体" w:hAnsi="Book Antiqua" w:cs="宋体"/>
          <w:sz w:val="24"/>
          <w:szCs w:val="24"/>
          <w:lang w:eastAsia="zh-CN"/>
        </w:rPr>
        <w:t xml:space="preserve"> J. Total joint arthroplasty: should patients have preoperative dental clearance? </w:t>
      </w:r>
      <w:r w:rsidRPr="00424816">
        <w:rPr>
          <w:rFonts w:ascii="Book Antiqua" w:eastAsia="宋体" w:hAnsi="Book Antiqua" w:cs="宋体"/>
          <w:i/>
          <w:iCs/>
          <w:sz w:val="24"/>
          <w:szCs w:val="24"/>
          <w:lang w:eastAsia="zh-CN"/>
        </w:rPr>
        <w:t>J Arthroplasty</w:t>
      </w:r>
      <w:r w:rsidRPr="00424816">
        <w:rPr>
          <w:rFonts w:ascii="Book Antiqua" w:eastAsia="宋体" w:hAnsi="Book Antiqua" w:cs="宋体"/>
          <w:sz w:val="24"/>
          <w:szCs w:val="24"/>
          <w:lang w:eastAsia="zh-CN"/>
        </w:rPr>
        <w:t xml:space="preserve"> 2014; </w:t>
      </w:r>
      <w:r w:rsidRPr="00424816">
        <w:rPr>
          <w:rFonts w:ascii="Book Antiqua" w:eastAsia="宋体" w:hAnsi="Book Antiqua" w:cs="宋体"/>
          <w:b/>
          <w:bCs/>
          <w:sz w:val="24"/>
          <w:szCs w:val="24"/>
          <w:lang w:eastAsia="zh-CN"/>
        </w:rPr>
        <w:t>29</w:t>
      </w:r>
      <w:r w:rsidRPr="00424816">
        <w:rPr>
          <w:rFonts w:ascii="Book Antiqua" w:eastAsia="宋体" w:hAnsi="Book Antiqua" w:cs="宋体"/>
          <w:sz w:val="24"/>
          <w:szCs w:val="24"/>
          <w:lang w:eastAsia="zh-CN"/>
        </w:rPr>
        <w:t>: 1087-1090 [PMID: 24418769 DOI: 10.1016/j.arth.2013.11.019]</w:t>
      </w:r>
    </w:p>
    <w:p w14:paraId="73FA3BDC" w14:textId="77777777" w:rsidR="00424816" w:rsidRPr="00424816" w:rsidRDefault="00424816" w:rsidP="00424816">
      <w:pPr>
        <w:adjustRightInd w:val="0"/>
        <w:snapToGrid w:val="0"/>
        <w:spacing w:after="0" w:line="360" w:lineRule="auto"/>
        <w:jc w:val="both"/>
        <w:rPr>
          <w:rFonts w:ascii="Book Antiqua" w:eastAsia="宋体" w:hAnsi="Book Antiqua" w:cs="宋体"/>
          <w:sz w:val="24"/>
          <w:szCs w:val="24"/>
          <w:lang w:eastAsia="zh-CN"/>
        </w:rPr>
      </w:pPr>
      <w:r w:rsidRPr="00424816">
        <w:rPr>
          <w:rFonts w:ascii="Book Antiqua" w:eastAsia="宋体" w:hAnsi="Book Antiqua" w:cs="宋体"/>
          <w:sz w:val="24"/>
          <w:szCs w:val="24"/>
          <w:lang w:eastAsia="zh-CN"/>
        </w:rPr>
        <w:t xml:space="preserve">18 </w:t>
      </w:r>
      <w:r w:rsidRPr="00424816">
        <w:rPr>
          <w:rFonts w:ascii="Book Antiqua" w:eastAsia="宋体" w:hAnsi="Book Antiqua" w:cs="宋体"/>
          <w:b/>
          <w:bCs/>
          <w:sz w:val="24"/>
          <w:szCs w:val="24"/>
          <w:lang w:eastAsia="zh-CN"/>
        </w:rPr>
        <w:t>Tai TW</w:t>
      </w:r>
      <w:r w:rsidRPr="00424816">
        <w:rPr>
          <w:rFonts w:ascii="Book Antiqua" w:eastAsia="宋体" w:hAnsi="Book Antiqua" w:cs="宋体"/>
          <w:sz w:val="24"/>
          <w:szCs w:val="24"/>
          <w:lang w:eastAsia="zh-CN"/>
        </w:rPr>
        <w:t xml:space="preserve">, Lin TC, Ho CJ, Kao Yang YH, Yang CY. Frequent Dental Scaling Is Associated with a Reduced Risk of Periprosthetic Infection following Total Knee Arthroplasty: A Nationwide Population-Based Nested Case-Control Study. </w:t>
      </w:r>
      <w:proofErr w:type="spellStart"/>
      <w:r w:rsidRPr="00424816">
        <w:rPr>
          <w:rFonts w:ascii="Book Antiqua" w:eastAsia="宋体" w:hAnsi="Book Antiqua" w:cs="宋体"/>
          <w:i/>
          <w:iCs/>
          <w:sz w:val="24"/>
          <w:szCs w:val="24"/>
          <w:lang w:eastAsia="zh-CN"/>
        </w:rPr>
        <w:t>PLoS</w:t>
      </w:r>
      <w:proofErr w:type="spellEnd"/>
      <w:r w:rsidRPr="00424816">
        <w:rPr>
          <w:rFonts w:ascii="Book Antiqua" w:eastAsia="宋体" w:hAnsi="Book Antiqua" w:cs="宋体"/>
          <w:i/>
          <w:iCs/>
          <w:sz w:val="24"/>
          <w:szCs w:val="24"/>
          <w:lang w:eastAsia="zh-CN"/>
        </w:rPr>
        <w:t xml:space="preserve"> One</w:t>
      </w:r>
      <w:r w:rsidRPr="00424816">
        <w:rPr>
          <w:rFonts w:ascii="Book Antiqua" w:eastAsia="宋体" w:hAnsi="Book Antiqua" w:cs="宋体"/>
          <w:sz w:val="24"/>
          <w:szCs w:val="24"/>
          <w:lang w:eastAsia="zh-CN"/>
        </w:rPr>
        <w:t xml:space="preserve"> 2016; </w:t>
      </w:r>
      <w:r w:rsidRPr="00424816">
        <w:rPr>
          <w:rFonts w:ascii="Book Antiqua" w:eastAsia="宋体" w:hAnsi="Book Antiqua" w:cs="宋体"/>
          <w:b/>
          <w:bCs/>
          <w:sz w:val="24"/>
          <w:szCs w:val="24"/>
          <w:lang w:eastAsia="zh-CN"/>
        </w:rPr>
        <w:t>11</w:t>
      </w:r>
      <w:r w:rsidRPr="00424816">
        <w:rPr>
          <w:rFonts w:ascii="Book Antiqua" w:eastAsia="宋体" w:hAnsi="Book Antiqua" w:cs="宋体"/>
          <w:sz w:val="24"/>
          <w:szCs w:val="24"/>
          <w:lang w:eastAsia="zh-CN"/>
        </w:rPr>
        <w:t>: e0158096 [PMID: 27336912 DOI: 10.1371/journal.pone.0158096]</w:t>
      </w:r>
    </w:p>
    <w:p w14:paraId="61D74E65" w14:textId="77777777" w:rsidR="00424816" w:rsidRPr="00424816" w:rsidRDefault="00424816" w:rsidP="00424816">
      <w:pPr>
        <w:adjustRightInd w:val="0"/>
        <w:snapToGrid w:val="0"/>
        <w:spacing w:after="0" w:line="360" w:lineRule="auto"/>
        <w:jc w:val="both"/>
        <w:rPr>
          <w:rFonts w:ascii="Book Antiqua" w:eastAsia="宋体" w:hAnsi="Book Antiqua" w:cs="宋体"/>
          <w:sz w:val="24"/>
          <w:szCs w:val="24"/>
          <w:lang w:eastAsia="zh-CN"/>
        </w:rPr>
      </w:pPr>
      <w:proofErr w:type="gramStart"/>
      <w:r w:rsidRPr="00424816">
        <w:rPr>
          <w:rFonts w:ascii="Book Antiqua" w:eastAsia="宋体" w:hAnsi="Book Antiqua" w:cs="宋体"/>
          <w:sz w:val="24"/>
          <w:szCs w:val="24"/>
          <w:lang w:eastAsia="zh-CN"/>
        </w:rPr>
        <w:t xml:space="preserve">19 </w:t>
      </w:r>
      <w:proofErr w:type="spellStart"/>
      <w:r w:rsidRPr="00424816">
        <w:rPr>
          <w:rFonts w:ascii="Book Antiqua" w:eastAsia="宋体" w:hAnsi="Book Antiqua" w:cs="宋体"/>
          <w:b/>
          <w:bCs/>
          <w:sz w:val="24"/>
          <w:szCs w:val="24"/>
          <w:lang w:eastAsia="zh-CN"/>
        </w:rPr>
        <w:t>Sonn</w:t>
      </w:r>
      <w:proofErr w:type="spellEnd"/>
      <w:r w:rsidRPr="00424816">
        <w:rPr>
          <w:rFonts w:ascii="Book Antiqua" w:eastAsia="宋体" w:hAnsi="Book Antiqua" w:cs="宋体"/>
          <w:b/>
          <w:bCs/>
          <w:sz w:val="24"/>
          <w:szCs w:val="24"/>
          <w:lang w:eastAsia="zh-CN"/>
        </w:rPr>
        <w:t xml:space="preserve"> KA</w:t>
      </w:r>
      <w:r w:rsidRPr="00424816">
        <w:rPr>
          <w:rFonts w:ascii="Book Antiqua" w:eastAsia="宋体" w:hAnsi="Book Antiqua" w:cs="宋体"/>
          <w:sz w:val="24"/>
          <w:szCs w:val="24"/>
          <w:lang w:eastAsia="zh-CN"/>
        </w:rPr>
        <w:t xml:space="preserve">, Larsen CG, Adams W, Brown NM, </w:t>
      </w:r>
      <w:proofErr w:type="spellStart"/>
      <w:r w:rsidRPr="00424816">
        <w:rPr>
          <w:rFonts w:ascii="Book Antiqua" w:eastAsia="宋体" w:hAnsi="Book Antiqua" w:cs="宋体"/>
          <w:sz w:val="24"/>
          <w:szCs w:val="24"/>
          <w:lang w:eastAsia="zh-CN"/>
        </w:rPr>
        <w:t>McAsey</w:t>
      </w:r>
      <w:proofErr w:type="spellEnd"/>
      <w:r w:rsidRPr="00424816">
        <w:rPr>
          <w:rFonts w:ascii="Book Antiqua" w:eastAsia="宋体" w:hAnsi="Book Antiqua" w:cs="宋体"/>
          <w:sz w:val="24"/>
          <w:szCs w:val="24"/>
          <w:lang w:eastAsia="zh-CN"/>
        </w:rPr>
        <w:t xml:space="preserve"> CJ.</w:t>
      </w:r>
      <w:proofErr w:type="gramEnd"/>
      <w:r w:rsidRPr="00424816">
        <w:rPr>
          <w:rFonts w:ascii="Book Antiqua" w:eastAsia="宋体" w:hAnsi="Book Antiqua" w:cs="宋体"/>
          <w:sz w:val="24"/>
          <w:szCs w:val="24"/>
          <w:lang w:eastAsia="zh-CN"/>
        </w:rPr>
        <w:t xml:space="preserve"> Effect of Preoperative Dental Extraction on Postoperative Complications </w:t>
      </w:r>
      <w:proofErr w:type="gramStart"/>
      <w:r w:rsidRPr="00424816">
        <w:rPr>
          <w:rFonts w:ascii="Book Antiqua" w:eastAsia="宋体" w:hAnsi="Book Antiqua" w:cs="宋体"/>
          <w:sz w:val="24"/>
          <w:szCs w:val="24"/>
          <w:lang w:eastAsia="zh-CN"/>
        </w:rPr>
        <w:t>After</w:t>
      </w:r>
      <w:proofErr w:type="gramEnd"/>
      <w:r w:rsidRPr="00424816">
        <w:rPr>
          <w:rFonts w:ascii="Book Antiqua" w:eastAsia="宋体" w:hAnsi="Book Antiqua" w:cs="宋体"/>
          <w:sz w:val="24"/>
          <w:szCs w:val="24"/>
          <w:lang w:eastAsia="zh-CN"/>
        </w:rPr>
        <w:t xml:space="preserve"> Total Joint Arthroplasty. </w:t>
      </w:r>
      <w:r w:rsidRPr="00424816">
        <w:rPr>
          <w:rFonts w:ascii="Book Antiqua" w:eastAsia="宋体" w:hAnsi="Book Antiqua" w:cs="宋体"/>
          <w:i/>
          <w:iCs/>
          <w:sz w:val="24"/>
          <w:szCs w:val="24"/>
          <w:lang w:eastAsia="zh-CN"/>
        </w:rPr>
        <w:t>J Arthroplasty</w:t>
      </w:r>
      <w:r w:rsidRPr="00424816">
        <w:rPr>
          <w:rFonts w:ascii="Book Antiqua" w:eastAsia="宋体" w:hAnsi="Book Antiqua" w:cs="宋体"/>
          <w:sz w:val="24"/>
          <w:szCs w:val="24"/>
          <w:lang w:eastAsia="zh-CN"/>
        </w:rPr>
        <w:t xml:space="preserve"> 2019; </w:t>
      </w:r>
      <w:r w:rsidRPr="00424816">
        <w:rPr>
          <w:rFonts w:ascii="Book Antiqua" w:eastAsia="宋体" w:hAnsi="Book Antiqua" w:cs="宋体"/>
          <w:b/>
          <w:bCs/>
          <w:sz w:val="24"/>
          <w:szCs w:val="24"/>
          <w:lang w:eastAsia="zh-CN"/>
        </w:rPr>
        <w:t>34</w:t>
      </w:r>
      <w:r w:rsidRPr="00424816">
        <w:rPr>
          <w:rFonts w:ascii="Book Antiqua" w:eastAsia="宋体" w:hAnsi="Book Antiqua" w:cs="宋体"/>
          <w:sz w:val="24"/>
          <w:szCs w:val="24"/>
          <w:lang w:eastAsia="zh-CN"/>
        </w:rPr>
        <w:t>: 2080-2084 [PMID: 31138503 DOI: 10.1016/j.arth.2019.04.056]</w:t>
      </w:r>
    </w:p>
    <w:p w14:paraId="1BE7730D" w14:textId="77777777" w:rsidR="00424816" w:rsidRPr="00D60EB8" w:rsidRDefault="00424816" w:rsidP="00424816">
      <w:pPr>
        <w:adjustRightInd w:val="0"/>
        <w:snapToGrid w:val="0"/>
        <w:spacing w:after="0" w:line="360" w:lineRule="auto"/>
        <w:jc w:val="both"/>
        <w:rPr>
          <w:rFonts w:ascii="Book Antiqua" w:eastAsia="宋体" w:hAnsi="Book Antiqua" w:cs="宋体"/>
          <w:sz w:val="24"/>
          <w:szCs w:val="24"/>
          <w:lang w:eastAsia="zh-CN"/>
        </w:rPr>
      </w:pPr>
      <w:r w:rsidRPr="00424816">
        <w:rPr>
          <w:rFonts w:ascii="Book Antiqua" w:eastAsia="宋体" w:hAnsi="Book Antiqua" w:cs="宋体"/>
          <w:sz w:val="24"/>
          <w:szCs w:val="24"/>
          <w:lang w:eastAsia="zh-CN"/>
        </w:rPr>
        <w:t xml:space="preserve">20 </w:t>
      </w:r>
      <w:proofErr w:type="spellStart"/>
      <w:r w:rsidRPr="00424816">
        <w:rPr>
          <w:rFonts w:ascii="Book Antiqua" w:eastAsia="宋体" w:hAnsi="Book Antiqua" w:cs="宋体"/>
          <w:b/>
          <w:bCs/>
          <w:sz w:val="24"/>
          <w:szCs w:val="24"/>
          <w:lang w:eastAsia="zh-CN"/>
        </w:rPr>
        <w:t>Konopka</w:t>
      </w:r>
      <w:proofErr w:type="spellEnd"/>
      <w:r w:rsidRPr="00424816">
        <w:rPr>
          <w:rFonts w:ascii="Book Antiqua" w:eastAsia="宋体" w:hAnsi="Book Antiqua" w:cs="宋体"/>
          <w:b/>
          <w:bCs/>
          <w:sz w:val="24"/>
          <w:szCs w:val="24"/>
          <w:lang w:eastAsia="zh-CN"/>
        </w:rPr>
        <w:t xml:space="preserve"> T</w:t>
      </w:r>
      <w:r w:rsidRPr="00424816">
        <w:rPr>
          <w:rFonts w:ascii="Book Antiqua" w:eastAsia="宋体" w:hAnsi="Book Antiqua" w:cs="宋体"/>
          <w:sz w:val="24"/>
          <w:szCs w:val="24"/>
          <w:lang w:eastAsia="zh-CN"/>
        </w:rPr>
        <w:t xml:space="preserve">, </w:t>
      </w:r>
      <w:proofErr w:type="spellStart"/>
      <w:r w:rsidRPr="00424816">
        <w:rPr>
          <w:rFonts w:ascii="Book Antiqua" w:eastAsia="宋体" w:hAnsi="Book Antiqua" w:cs="宋体"/>
          <w:sz w:val="24"/>
          <w:szCs w:val="24"/>
          <w:lang w:eastAsia="zh-CN"/>
        </w:rPr>
        <w:t>Dembowska</w:t>
      </w:r>
      <w:proofErr w:type="spellEnd"/>
      <w:r w:rsidRPr="00424816">
        <w:rPr>
          <w:rFonts w:ascii="Book Antiqua" w:eastAsia="宋体" w:hAnsi="Book Antiqua" w:cs="宋体"/>
          <w:sz w:val="24"/>
          <w:szCs w:val="24"/>
          <w:lang w:eastAsia="zh-CN"/>
        </w:rPr>
        <w:t xml:space="preserve"> E, </w:t>
      </w:r>
      <w:proofErr w:type="spellStart"/>
      <w:r w:rsidRPr="00424816">
        <w:rPr>
          <w:rFonts w:ascii="Book Antiqua" w:eastAsia="宋体" w:hAnsi="Book Antiqua" w:cs="宋体"/>
          <w:sz w:val="24"/>
          <w:szCs w:val="24"/>
          <w:lang w:eastAsia="zh-CN"/>
        </w:rPr>
        <w:t>Pietruska</w:t>
      </w:r>
      <w:proofErr w:type="spellEnd"/>
      <w:r w:rsidRPr="00424816">
        <w:rPr>
          <w:rFonts w:ascii="Book Antiqua" w:eastAsia="宋体" w:hAnsi="Book Antiqua" w:cs="宋体"/>
          <w:sz w:val="24"/>
          <w:szCs w:val="24"/>
          <w:lang w:eastAsia="zh-CN"/>
        </w:rPr>
        <w:t xml:space="preserve"> M, </w:t>
      </w:r>
      <w:proofErr w:type="spellStart"/>
      <w:r w:rsidRPr="00424816">
        <w:rPr>
          <w:rFonts w:ascii="Book Antiqua" w:eastAsia="宋体" w:hAnsi="Book Antiqua" w:cs="宋体"/>
          <w:sz w:val="24"/>
          <w:szCs w:val="24"/>
          <w:lang w:eastAsia="zh-CN"/>
        </w:rPr>
        <w:t>Dymalski</w:t>
      </w:r>
      <w:proofErr w:type="spellEnd"/>
      <w:r w:rsidRPr="00424816">
        <w:rPr>
          <w:rFonts w:ascii="Book Antiqua" w:eastAsia="宋体" w:hAnsi="Book Antiqua" w:cs="宋体"/>
          <w:sz w:val="24"/>
          <w:szCs w:val="24"/>
          <w:lang w:eastAsia="zh-CN"/>
        </w:rPr>
        <w:t xml:space="preserve"> P, </w:t>
      </w:r>
      <w:proofErr w:type="spellStart"/>
      <w:r w:rsidRPr="00424816">
        <w:rPr>
          <w:rFonts w:ascii="Book Antiqua" w:eastAsia="宋体" w:hAnsi="Book Antiqua" w:cs="宋体"/>
          <w:sz w:val="24"/>
          <w:szCs w:val="24"/>
          <w:lang w:eastAsia="zh-CN"/>
        </w:rPr>
        <w:t>Górska</w:t>
      </w:r>
      <w:proofErr w:type="spellEnd"/>
      <w:r w:rsidRPr="00424816">
        <w:rPr>
          <w:rFonts w:ascii="Book Antiqua" w:eastAsia="宋体" w:hAnsi="Book Antiqua" w:cs="宋体"/>
          <w:sz w:val="24"/>
          <w:szCs w:val="24"/>
          <w:lang w:eastAsia="zh-CN"/>
        </w:rPr>
        <w:t xml:space="preserve"> R. Periodontal status and selected parameters of oral condition of Poles aged 65 to 74 years. </w:t>
      </w:r>
      <w:proofErr w:type="spellStart"/>
      <w:r w:rsidRPr="00424816">
        <w:rPr>
          <w:rFonts w:ascii="Book Antiqua" w:eastAsia="宋体" w:hAnsi="Book Antiqua" w:cs="宋体"/>
          <w:i/>
          <w:iCs/>
          <w:sz w:val="24"/>
          <w:szCs w:val="24"/>
          <w:lang w:eastAsia="zh-CN"/>
        </w:rPr>
        <w:t>Przegl</w:t>
      </w:r>
      <w:proofErr w:type="spellEnd"/>
      <w:r w:rsidRPr="00424816">
        <w:rPr>
          <w:rFonts w:ascii="Book Antiqua" w:eastAsia="宋体" w:hAnsi="Book Antiqua" w:cs="宋体"/>
          <w:i/>
          <w:iCs/>
          <w:sz w:val="24"/>
          <w:szCs w:val="24"/>
          <w:lang w:eastAsia="zh-CN"/>
        </w:rPr>
        <w:t xml:space="preserve"> </w:t>
      </w:r>
      <w:proofErr w:type="spellStart"/>
      <w:r w:rsidRPr="00424816">
        <w:rPr>
          <w:rFonts w:ascii="Book Antiqua" w:eastAsia="宋体" w:hAnsi="Book Antiqua" w:cs="宋体"/>
          <w:i/>
          <w:iCs/>
          <w:sz w:val="24"/>
          <w:szCs w:val="24"/>
          <w:lang w:eastAsia="zh-CN"/>
        </w:rPr>
        <w:t>Epidemiol</w:t>
      </w:r>
      <w:proofErr w:type="spellEnd"/>
      <w:r w:rsidRPr="00424816">
        <w:rPr>
          <w:rFonts w:ascii="Book Antiqua" w:eastAsia="宋体" w:hAnsi="Book Antiqua" w:cs="宋体"/>
          <w:sz w:val="24"/>
          <w:szCs w:val="24"/>
          <w:lang w:eastAsia="zh-CN"/>
        </w:rPr>
        <w:t xml:space="preserve"> </w:t>
      </w:r>
      <w:r w:rsidRPr="00D60EB8">
        <w:rPr>
          <w:rFonts w:ascii="Book Antiqua" w:eastAsia="宋体" w:hAnsi="Book Antiqua" w:cs="宋体"/>
          <w:sz w:val="24"/>
          <w:szCs w:val="24"/>
          <w:lang w:eastAsia="zh-CN"/>
        </w:rPr>
        <w:t xml:space="preserve">2015; </w:t>
      </w:r>
      <w:r w:rsidRPr="00D60EB8">
        <w:rPr>
          <w:rFonts w:ascii="Book Antiqua" w:eastAsia="宋体" w:hAnsi="Book Antiqua" w:cs="宋体"/>
          <w:b/>
          <w:bCs/>
          <w:sz w:val="24"/>
          <w:szCs w:val="24"/>
          <w:lang w:eastAsia="zh-CN"/>
        </w:rPr>
        <w:t>69</w:t>
      </w:r>
      <w:r w:rsidRPr="00D60EB8">
        <w:rPr>
          <w:rFonts w:ascii="Book Antiqua" w:eastAsia="宋体" w:hAnsi="Book Antiqua" w:cs="宋体"/>
          <w:sz w:val="24"/>
          <w:szCs w:val="24"/>
          <w:lang w:eastAsia="zh-CN"/>
        </w:rPr>
        <w:t>: 537-542, 643-647 [PMID: 26519852]</w:t>
      </w:r>
    </w:p>
    <w:p w14:paraId="193584F4" w14:textId="7A54B85E" w:rsidR="00424816" w:rsidRPr="00424816" w:rsidRDefault="00424816" w:rsidP="00424816">
      <w:pPr>
        <w:adjustRightInd w:val="0"/>
        <w:snapToGrid w:val="0"/>
        <w:spacing w:after="0" w:line="360" w:lineRule="auto"/>
        <w:jc w:val="both"/>
        <w:rPr>
          <w:rFonts w:ascii="Book Antiqua" w:eastAsia="宋体" w:hAnsi="Book Antiqua" w:cs="宋体"/>
          <w:sz w:val="24"/>
          <w:szCs w:val="24"/>
          <w:lang w:eastAsia="zh-CN"/>
        </w:rPr>
      </w:pPr>
      <w:r w:rsidRPr="00D60EB8">
        <w:rPr>
          <w:rFonts w:ascii="Book Antiqua" w:eastAsia="宋体" w:hAnsi="Book Antiqua" w:cs="宋体"/>
          <w:sz w:val="24"/>
          <w:szCs w:val="24"/>
          <w:lang w:eastAsia="zh-CN"/>
        </w:rPr>
        <w:t xml:space="preserve">21 </w:t>
      </w:r>
      <w:proofErr w:type="spellStart"/>
      <w:r w:rsidRPr="00D60EB8">
        <w:rPr>
          <w:rFonts w:ascii="Book Antiqua" w:eastAsia="宋体" w:hAnsi="Book Antiqua" w:cs="宋体"/>
          <w:b/>
          <w:bCs/>
          <w:sz w:val="24"/>
          <w:szCs w:val="24"/>
          <w:lang w:eastAsia="zh-CN"/>
        </w:rPr>
        <w:t>Suominen-Taipale</w:t>
      </w:r>
      <w:proofErr w:type="spellEnd"/>
      <w:r w:rsidRPr="00D60EB8">
        <w:rPr>
          <w:rFonts w:ascii="Book Antiqua" w:eastAsia="宋体" w:hAnsi="Book Antiqua" w:cs="宋体"/>
          <w:b/>
          <w:bCs/>
          <w:sz w:val="24"/>
          <w:szCs w:val="24"/>
          <w:lang w:eastAsia="zh-CN"/>
        </w:rPr>
        <w:t xml:space="preserve"> L</w:t>
      </w:r>
      <w:r w:rsidRPr="00D60EB8">
        <w:rPr>
          <w:rFonts w:ascii="Book Antiqua" w:eastAsia="宋体" w:hAnsi="Book Antiqua" w:cs="宋体"/>
          <w:sz w:val="24"/>
          <w:szCs w:val="24"/>
          <w:lang w:eastAsia="zh-CN"/>
        </w:rPr>
        <w:t xml:space="preserve">, </w:t>
      </w:r>
      <w:proofErr w:type="spellStart"/>
      <w:r w:rsidRPr="00D60EB8">
        <w:rPr>
          <w:rFonts w:ascii="Book Antiqua" w:eastAsia="宋体" w:hAnsi="Book Antiqua" w:cs="宋体"/>
          <w:sz w:val="24"/>
          <w:szCs w:val="24"/>
          <w:lang w:eastAsia="zh-CN"/>
        </w:rPr>
        <w:t>Nordblad</w:t>
      </w:r>
      <w:proofErr w:type="spellEnd"/>
      <w:r w:rsidRPr="00D60EB8">
        <w:rPr>
          <w:rFonts w:ascii="Book Antiqua" w:eastAsia="宋体" w:hAnsi="Book Antiqua" w:cs="宋体"/>
          <w:sz w:val="24"/>
          <w:szCs w:val="24"/>
          <w:lang w:eastAsia="zh-CN"/>
        </w:rPr>
        <w:t xml:space="preserve"> A, </w:t>
      </w:r>
      <w:proofErr w:type="spellStart"/>
      <w:r w:rsidRPr="00D60EB8">
        <w:rPr>
          <w:rFonts w:ascii="Book Antiqua" w:eastAsia="宋体" w:hAnsi="Book Antiqua" w:cs="宋体"/>
          <w:sz w:val="24"/>
          <w:szCs w:val="24"/>
          <w:lang w:eastAsia="zh-CN"/>
        </w:rPr>
        <w:t>Vehkalahti</w:t>
      </w:r>
      <w:proofErr w:type="spellEnd"/>
      <w:r w:rsidRPr="00D60EB8">
        <w:rPr>
          <w:rFonts w:ascii="Book Antiqua" w:eastAsia="宋体" w:hAnsi="Book Antiqua" w:cs="宋体"/>
          <w:sz w:val="24"/>
          <w:szCs w:val="24"/>
          <w:lang w:eastAsia="zh-CN"/>
        </w:rPr>
        <w:t xml:space="preserve"> M</w:t>
      </w:r>
      <w:r w:rsidR="0094134F" w:rsidRPr="00D60EB8">
        <w:rPr>
          <w:rFonts w:ascii="Book Antiqua" w:eastAsia="宋体" w:hAnsi="Book Antiqua" w:cs="宋体"/>
          <w:sz w:val="24"/>
          <w:szCs w:val="24"/>
          <w:lang w:eastAsia="zh-CN"/>
        </w:rPr>
        <w:t xml:space="preserve">, </w:t>
      </w:r>
      <w:proofErr w:type="spellStart"/>
      <w:r w:rsidR="0094134F" w:rsidRPr="00D60EB8">
        <w:rPr>
          <w:rFonts w:ascii="Book Antiqua" w:eastAsia="宋体" w:hAnsi="Book Antiqua" w:cs="宋体"/>
          <w:sz w:val="24"/>
          <w:szCs w:val="24"/>
          <w:lang w:eastAsia="zh-CN"/>
        </w:rPr>
        <w:t>Aromaa</w:t>
      </w:r>
      <w:proofErr w:type="spellEnd"/>
      <w:r w:rsidR="0094134F" w:rsidRPr="00D60EB8">
        <w:rPr>
          <w:rFonts w:ascii="Book Antiqua" w:eastAsia="宋体" w:hAnsi="Book Antiqua" w:cs="宋体"/>
          <w:sz w:val="24"/>
          <w:szCs w:val="24"/>
          <w:lang w:eastAsia="zh-CN"/>
        </w:rPr>
        <w:t xml:space="preserve"> A.</w:t>
      </w:r>
      <w:r w:rsidRPr="00D60EB8">
        <w:rPr>
          <w:rFonts w:ascii="Book Antiqua" w:eastAsia="宋体" w:hAnsi="Book Antiqua" w:cs="宋体"/>
          <w:sz w:val="24"/>
          <w:szCs w:val="24"/>
          <w:lang w:eastAsia="zh-CN"/>
        </w:rPr>
        <w:t xml:space="preserve"> Oral health in the Finnish adult population: Health 2000 survey. </w:t>
      </w:r>
      <w:proofErr w:type="gramStart"/>
      <w:r w:rsidRPr="00D60EB8">
        <w:rPr>
          <w:rFonts w:ascii="Book Antiqua" w:eastAsia="宋体" w:hAnsi="Book Antiqua" w:cs="宋体"/>
          <w:sz w:val="24"/>
          <w:szCs w:val="24"/>
          <w:lang w:eastAsia="zh-CN"/>
        </w:rPr>
        <w:t>Publications of the National Public Health Institute</w:t>
      </w:r>
      <w:r w:rsidR="00824F19" w:rsidRPr="00D60EB8">
        <w:rPr>
          <w:rFonts w:ascii="Book Antiqua" w:eastAsia="宋体" w:hAnsi="Book Antiqua" w:cs="宋体"/>
          <w:sz w:val="24"/>
          <w:szCs w:val="24"/>
          <w:lang w:eastAsia="zh-CN"/>
        </w:rPr>
        <w:t>.</w:t>
      </w:r>
      <w:proofErr w:type="gramEnd"/>
      <w:r w:rsidR="00824F19" w:rsidRPr="00D60EB8">
        <w:rPr>
          <w:rFonts w:ascii="Book Antiqua" w:eastAsia="宋体" w:hAnsi="Book Antiqua" w:cs="宋体"/>
          <w:sz w:val="24"/>
          <w:szCs w:val="24"/>
          <w:lang w:eastAsia="zh-CN"/>
        </w:rPr>
        <w:t xml:space="preserve"> </w:t>
      </w:r>
      <w:r w:rsidR="00D60EB8" w:rsidRPr="00D60EB8">
        <w:rPr>
          <w:rFonts w:ascii="Book Antiqua" w:eastAsia="宋体" w:hAnsi="Book Antiqua" w:cs="宋体"/>
          <w:sz w:val="24"/>
          <w:szCs w:val="24"/>
          <w:lang w:eastAsia="zh-CN"/>
        </w:rPr>
        <w:t xml:space="preserve">Helsinki: </w:t>
      </w:r>
      <w:proofErr w:type="spellStart"/>
      <w:r w:rsidR="00D60EB8" w:rsidRPr="00D60EB8">
        <w:rPr>
          <w:rFonts w:ascii="Book Antiqua" w:eastAsia="宋体" w:hAnsi="Book Antiqua" w:cs="宋体"/>
          <w:sz w:val="24"/>
          <w:szCs w:val="24"/>
          <w:lang w:eastAsia="zh-CN"/>
        </w:rPr>
        <w:t>Kansanterveyslaitos</w:t>
      </w:r>
      <w:proofErr w:type="spellEnd"/>
      <w:r w:rsidR="00D60EB8" w:rsidRPr="00D60EB8">
        <w:rPr>
          <w:rFonts w:ascii="Book Antiqua" w:eastAsia="宋体" w:hAnsi="Book Antiqua" w:cs="宋体"/>
          <w:sz w:val="24"/>
          <w:szCs w:val="24"/>
          <w:lang w:eastAsia="zh-CN"/>
        </w:rPr>
        <w:t>; 2008</w:t>
      </w:r>
    </w:p>
    <w:p w14:paraId="353A4634" w14:textId="77777777" w:rsidR="00424816" w:rsidRPr="00424816" w:rsidRDefault="00424816" w:rsidP="00424816">
      <w:pPr>
        <w:adjustRightInd w:val="0"/>
        <w:snapToGrid w:val="0"/>
        <w:spacing w:after="0" w:line="360" w:lineRule="auto"/>
        <w:jc w:val="both"/>
        <w:rPr>
          <w:rFonts w:ascii="Book Antiqua" w:eastAsia="宋体" w:hAnsi="Book Antiqua" w:cs="宋体"/>
          <w:sz w:val="24"/>
          <w:szCs w:val="24"/>
          <w:lang w:eastAsia="zh-CN"/>
        </w:rPr>
      </w:pPr>
      <w:r w:rsidRPr="00424816">
        <w:rPr>
          <w:rFonts w:ascii="Book Antiqua" w:eastAsia="宋体" w:hAnsi="Book Antiqua" w:cs="宋体"/>
          <w:sz w:val="24"/>
          <w:szCs w:val="24"/>
          <w:lang w:eastAsia="zh-CN"/>
        </w:rPr>
        <w:t xml:space="preserve">22 </w:t>
      </w:r>
      <w:r w:rsidRPr="00424816">
        <w:rPr>
          <w:rFonts w:ascii="Book Antiqua" w:eastAsia="宋体" w:hAnsi="Book Antiqua" w:cs="宋体"/>
          <w:b/>
          <w:bCs/>
          <w:sz w:val="24"/>
          <w:szCs w:val="24"/>
          <w:lang w:eastAsia="zh-CN"/>
        </w:rPr>
        <w:t>Young H</w:t>
      </w:r>
      <w:r w:rsidRPr="00424816">
        <w:rPr>
          <w:rFonts w:ascii="Book Antiqua" w:eastAsia="宋体" w:hAnsi="Book Antiqua" w:cs="宋体"/>
          <w:sz w:val="24"/>
          <w:szCs w:val="24"/>
          <w:lang w:eastAsia="zh-CN"/>
        </w:rPr>
        <w:t xml:space="preserve">, Hirsh J, </w:t>
      </w:r>
      <w:proofErr w:type="spellStart"/>
      <w:r w:rsidRPr="00424816">
        <w:rPr>
          <w:rFonts w:ascii="Book Antiqua" w:eastAsia="宋体" w:hAnsi="Book Antiqua" w:cs="宋体"/>
          <w:sz w:val="24"/>
          <w:szCs w:val="24"/>
          <w:lang w:eastAsia="zh-CN"/>
        </w:rPr>
        <w:t>Hammerberg</w:t>
      </w:r>
      <w:proofErr w:type="spellEnd"/>
      <w:r w:rsidRPr="00424816">
        <w:rPr>
          <w:rFonts w:ascii="Book Antiqua" w:eastAsia="宋体" w:hAnsi="Book Antiqua" w:cs="宋体"/>
          <w:sz w:val="24"/>
          <w:szCs w:val="24"/>
          <w:lang w:eastAsia="zh-CN"/>
        </w:rPr>
        <w:t xml:space="preserve"> EM, Price CS. Dental disease and periprosthetic joint infection. </w:t>
      </w:r>
      <w:r w:rsidRPr="00424816">
        <w:rPr>
          <w:rFonts w:ascii="Book Antiqua" w:eastAsia="宋体" w:hAnsi="Book Antiqua" w:cs="宋体"/>
          <w:i/>
          <w:iCs/>
          <w:sz w:val="24"/>
          <w:szCs w:val="24"/>
          <w:lang w:eastAsia="zh-CN"/>
        </w:rPr>
        <w:t>J Bone Joint Surg Am</w:t>
      </w:r>
      <w:r w:rsidRPr="00424816">
        <w:rPr>
          <w:rFonts w:ascii="Book Antiqua" w:eastAsia="宋体" w:hAnsi="Book Antiqua" w:cs="宋体"/>
          <w:sz w:val="24"/>
          <w:szCs w:val="24"/>
          <w:lang w:eastAsia="zh-CN"/>
        </w:rPr>
        <w:t xml:space="preserve"> 2014; </w:t>
      </w:r>
      <w:r w:rsidRPr="00424816">
        <w:rPr>
          <w:rFonts w:ascii="Book Antiqua" w:eastAsia="宋体" w:hAnsi="Book Antiqua" w:cs="宋体"/>
          <w:b/>
          <w:bCs/>
          <w:sz w:val="24"/>
          <w:szCs w:val="24"/>
          <w:lang w:eastAsia="zh-CN"/>
        </w:rPr>
        <w:t>96</w:t>
      </w:r>
      <w:r w:rsidRPr="00424816">
        <w:rPr>
          <w:rFonts w:ascii="Book Antiqua" w:eastAsia="宋体" w:hAnsi="Book Antiqua" w:cs="宋体"/>
          <w:sz w:val="24"/>
          <w:szCs w:val="24"/>
          <w:lang w:eastAsia="zh-CN"/>
        </w:rPr>
        <w:t>: 162-168 [PMID: 24430417 DOI: 10.2106/JBJS.L.01379]</w:t>
      </w:r>
    </w:p>
    <w:p w14:paraId="17A41043" w14:textId="77777777" w:rsidR="00424816" w:rsidRPr="00424816" w:rsidRDefault="00424816" w:rsidP="00424816">
      <w:pPr>
        <w:adjustRightInd w:val="0"/>
        <w:snapToGrid w:val="0"/>
        <w:spacing w:after="0" w:line="360" w:lineRule="auto"/>
        <w:jc w:val="both"/>
        <w:rPr>
          <w:rFonts w:ascii="Book Antiqua" w:eastAsia="宋体" w:hAnsi="Book Antiqua" w:cs="宋体"/>
          <w:sz w:val="24"/>
          <w:szCs w:val="24"/>
          <w:lang w:eastAsia="zh-CN"/>
        </w:rPr>
      </w:pPr>
      <w:r w:rsidRPr="00424816">
        <w:rPr>
          <w:rFonts w:ascii="Book Antiqua" w:eastAsia="宋体" w:hAnsi="Book Antiqua" w:cs="宋体"/>
          <w:sz w:val="24"/>
          <w:szCs w:val="24"/>
          <w:lang w:eastAsia="zh-CN"/>
        </w:rPr>
        <w:t xml:space="preserve">23 </w:t>
      </w:r>
      <w:r w:rsidRPr="00424816">
        <w:rPr>
          <w:rFonts w:ascii="Book Antiqua" w:eastAsia="宋体" w:hAnsi="Book Antiqua" w:cs="宋体"/>
          <w:b/>
          <w:bCs/>
          <w:sz w:val="24"/>
          <w:szCs w:val="24"/>
          <w:lang w:eastAsia="zh-CN"/>
        </w:rPr>
        <w:t>Watters W 3rd</w:t>
      </w:r>
      <w:r w:rsidRPr="00424816">
        <w:rPr>
          <w:rFonts w:ascii="Book Antiqua" w:eastAsia="宋体" w:hAnsi="Book Antiqua" w:cs="宋体"/>
          <w:sz w:val="24"/>
          <w:szCs w:val="24"/>
          <w:lang w:eastAsia="zh-CN"/>
        </w:rPr>
        <w:t xml:space="preserve">, </w:t>
      </w:r>
      <w:proofErr w:type="spellStart"/>
      <w:r w:rsidRPr="00424816">
        <w:rPr>
          <w:rFonts w:ascii="Book Antiqua" w:eastAsia="宋体" w:hAnsi="Book Antiqua" w:cs="宋体"/>
          <w:sz w:val="24"/>
          <w:szCs w:val="24"/>
          <w:lang w:eastAsia="zh-CN"/>
        </w:rPr>
        <w:t>Rethman</w:t>
      </w:r>
      <w:proofErr w:type="spellEnd"/>
      <w:r w:rsidRPr="00424816">
        <w:rPr>
          <w:rFonts w:ascii="Book Antiqua" w:eastAsia="宋体" w:hAnsi="Book Antiqua" w:cs="宋体"/>
          <w:sz w:val="24"/>
          <w:szCs w:val="24"/>
          <w:lang w:eastAsia="zh-CN"/>
        </w:rPr>
        <w:t xml:space="preserve"> MP, Hanson NB, </w:t>
      </w:r>
      <w:proofErr w:type="spellStart"/>
      <w:r w:rsidRPr="00424816">
        <w:rPr>
          <w:rFonts w:ascii="Book Antiqua" w:eastAsia="宋体" w:hAnsi="Book Antiqua" w:cs="宋体"/>
          <w:sz w:val="24"/>
          <w:szCs w:val="24"/>
          <w:lang w:eastAsia="zh-CN"/>
        </w:rPr>
        <w:t>Abt</w:t>
      </w:r>
      <w:proofErr w:type="spellEnd"/>
      <w:r w:rsidRPr="00424816">
        <w:rPr>
          <w:rFonts w:ascii="Book Antiqua" w:eastAsia="宋体" w:hAnsi="Book Antiqua" w:cs="宋体"/>
          <w:sz w:val="24"/>
          <w:szCs w:val="24"/>
          <w:lang w:eastAsia="zh-CN"/>
        </w:rPr>
        <w:t xml:space="preserve"> E, Anderson PA, Carroll KC, Futrell HC, Garvin K, Glenn SO, </w:t>
      </w:r>
      <w:proofErr w:type="spellStart"/>
      <w:r w:rsidRPr="00424816">
        <w:rPr>
          <w:rFonts w:ascii="Book Antiqua" w:eastAsia="宋体" w:hAnsi="Book Antiqua" w:cs="宋体"/>
          <w:sz w:val="24"/>
          <w:szCs w:val="24"/>
          <w:lang w:eastAsia="zh-CN"/>
        </w:rPr>
        <w:t>Hellstein</w:t>
      </w:r>
      <w:proofErr w:type="spellEnd"/>
      <w:r w:rsidRPr="00424816">
        <w:rPr>
          <w:rFonts w:ascii="Book Antiqua" w:eastAsia="宋体" w:hAnsi="Book Antiqua" w:cs="宋体"/>
          <w:sz w:val="24"/>
          <w:szCs w:val="24"/>
          <w:lang w:eastAsia="zh-CN"/>
        </w:rPr>
        <w:t xml:space="preserve"> J, Hewlett A, </w:t>
      </w:r>
      <w:proofErr w:type="spellStart"/>
      <w:r w:rsidRPr="00424816">
        <w:rPr>
          <w:rFonts w:ascii="Book Antiqua" w:eastAsia="宋体" w:hAnsi="Book Antiqua" w:cs="宋体"/>
          <w:sz w:val="24"/>
          <w:szCs w:val="24"/>
          <w:lang w:eastAsia="zh-CN"/>
        </w:rPr>
        <w:t>Kolessar</w:t>
      </w:r>
      <w:proofErr w:type="spellEnd"/>
      <w:r w:rsidRPr="00424816">
        <w:rPr>
          <w:rFonts w:ascii="Book Antiqua" w:eastAsia="宋体" w:hAnsi="Book Antiqua" w:cs="宋体"/>
          <w:sz w:val="24"/>
          <w:szCs w:val="24"/>
          <w:lang w:eastAsia="zh-CN"/>
        </w:rPr>
        <w:t xml:space="preserve"> D, </w:t>
      </w:r>
      <w:proofErr w:type="spellStart"/>
      <w:r w:rsidRPr="00424816">
        <w:rPr>
          <w:rFonts w:ascii="Book Antiqua" w:eastAsia="宋体" w:hAnsi="Book Antiqua" w:cs="宋体"/>
          <w:sz w:val="24"/>
          <w:szCs w:val="24"/>
          <w:lang w:eastAsia="zh-CN"/>
        </w:rPr>
        <w:t>Moucha</w:t>
      </w:r>
      <w:proofErr w:type="spellEnd"/>
      <w:r w:rsidRPr="00424816">
        <w:rPr>
          <w:rFonts w:ascii="Book Antiqua" w:eastAsia="宋体" w:hAnsi="Book Antiqua" w:cs="宋体"/>
          <w:sz w:val="24"/>
          <w:szCs w:val="24"/>
          <w:lang w:eastAsia="zh-CN"/>
        </w:rPr>
        <w:t xml:space="preserve"> C, O'Donnell RJ, O'Toole JE, </w:t>
      </w:r>
      <w:proofErr w:type="spellStart"/>
      <w:r w:rsidRPr="00424816">
        <w:rPr>
          <w:rFonts w:ascii="Book Antiqua" w:eastAsia="宋体" w:hAnsi="Book Antiqua" w:cs="宋体"/>
          <w:sz w:val="24"/>
          <w:szCs w:val="24"/>
          <w:lang w:eastAsia="zh-CN"/>
        </w:rPr>
        <w:t>Osmon</w:t>
      </w:r>
      <w:proofErr w:type="spellEnd"/>
      <w:r w:rsidRPr="00424816">
        <w:rPr>
          <w:rFonts w:ascii="Book Antiqua" w:eastAsia="宋体" w:hAnsi="Book Antiqua" w:cs="宋体"/>
          <w:sz w:val="24"/>
          <w:szCs w:val="24"/>
          <w:lang w:eastAsia="zh-CN"/>
        </w:rPr>
        <w:t xml:space="preserve"> DR, Evans RP, Rinella A, Steinberg MJ, Goldberg M, </w:t>
      </w:r>
      <w:proofErr w:type="spellStart"/>
      <w:r w:rsidRPr="00424816">
        <w:rPr>
          <w:rFonts w:ascii="Book Antiqua" w:eastAsia="宋体" w:hAnsi="Book Antiqua" w:cs="宋体"/>
          <w:sz w:val="24"/>
          <w:szCs w:val="24"/>
          <w:lang w:eastAsia="zh-CN"/>
        </w:rPr>
        <w:t>Ristic</w:t>
      </w:r>
      <w:proofErr w:type="spellEnd"/>
      <w:r w:rsidRPr="00424816">
        <w:rPr>
          <w:rFonts w:ascii="Book Antiqua" w:eastAsia="宋体" w:hAnsi="Book Antiqua" w:cs="宋体"/>
          <w:sz w:val="24"/>
          <w:szCs w:val="24"/>
          <w:lang w:eastAsia="zh-CN"/>
        </w:rPr>
        <w:t xml:space="preserve"> H, Boyer K, </w:t>
      </w:r>
      <w:proofErr w:type="spellStart"/>
      <w:r w:rsidRPr="00424816">
        <w:rPr>
          <w:rFonts w:ascii="Book Antiqua" w:eastAsia="宋体" w:hAnsi="Book Antiqua" w:cs="宋体"/>
          <w:sz w:val="24"/>
          <w:szCs w:val="24"/>
          <w:lang w:eastAsia="zh-CN"/>
        </w:rPr>
        <w:t>Sluka</w:t>
      </w:r>
      <w:proofErr w:type="spellEnd"/>
      <w:r w:rsidRPr="00424816">
        <w:rPr>
          <w:rFonts w:ascii="Book Antiqua" w:eastAsia="宋体" w:hAnsi="Book Antiqua" w:cs="宋体"/>
          <w:sz w:val="24"/>
          <w:szCs w:val="24"/>
          <w:lang w:eastAsia="zh-CN"/>
        </w:rPr>
        <w:t xml:space="preserve"> P, Martin WR 3rd, Cummins DS, Song S, </w:t>
      </w:r>
      <w:proofErr w:type="spellStart"/>
      <w:r w:rsidRPr="00424816">
        <w:rPr>
          <w:rFonts w:ascii="Book Antiqua" w:eastAsia="宋体" w:hAnsi="Book Antiqua" w:cs="宋体"/>
          <w:sz w:val="24"/>
          <w:szCs w:val="24"/>
          <w:lang w:eastAsia="zh-CN"/>
        </w:rPr>
        <w:t>Woznica</w:t>
      </w:r>
      <w:proofErr w:type="spellEnd"/>
      <w:r w:rsidRPr="00424816">
        <w:rPr>
          <w:rFonts w:ascii="Book Antiqua" w:eastAsia="宋体" w:hAnsi="Book Antiqua" w:cs="宋体"/>
          <w:sz w:val="24"/>
          <w:szCs w:val="24"/>
          <w:lang w:eastAsia="zh-CN"/>
        </w:rPr>
        <w:t xml:space="preserve"> A, Gross L; American Academy of Orthopedic Surgeons; American Dental Association. </w:t>
      </w:r>
      <w:proofErr w:type="gramStart"/>
      <w:r w:rsidRPr="00424816">
        <w:rPr>
          <w:rFonts w:ascii="Book Antiqua" w:eastAsia="宋体" w:hAnsi="Book Antiqua" w:cs="宋体"/>
          <w:sz w:val="24"/>
          <w:szCs w:val="24"/>
          <w:lang w:eastAsia="zh-CN"/>
        </w:rPr>
        <w:t xml:space="preserve">Prevention of </w:t>
      </w:r>
      <w:proofErr w:type="spellStart"/>
      <w:r w:rsidRPr="00424816">
        <w:rPr>
          <w:rFonts w:ascii="Book Antiqua" w:eastAsia="宋体" w:hAnsi="Book Antiqua" w:cs="宋体"/>
          <w:sz w:val="24"/>
          <w:szCs w:val="24"/>
          <w:lang w:eastAsia="zh-CN"/>
        </w:rPr>
        <w:t>Orthopaedic</w:t>
      </w:r>
      <w:proofErr w:type="spellEnd"/>
      <w:r w:rsidRPr="00424816">
        <w:rPr>
          <w:rFonts w:ascii="Book Antiqua" w:eastAsia="宋体" w:hAnsi="Book Antiqua" w:cs="宋体"/>
          <w:sz w:val="24"/>
          <w:szCs w:val="24"/>
          <w:lang w:eastAsia="zh-CN"/>
        </w:rPr>
        <w:t xml:space="preserve"> Implant Infection in Patients Undergoing Dental Procedures.</w:t>
      </w:r>
      <w:proofErr w:type="gramEnd"/>
      <w:r w:rsidRPr="00424816">
        <w:rPr>
          <w:rFonts w:ascii="Book Antiqua" w:eastAsia="宋体" w:hAnsi="Book Antiqua" w:cs="宋体"/>
          <w:sz w:val="24"/>
          <w:szCs w:val="24"/>
          <w:lang w:eastAsia="zh-CN"/>
        </w:rPr>
        <w:t xml:space="preserve"> </w:t>
      </w:r>
      <w:r w:rsidRPr="00424816">
        <w:rPr>
          <w:rFonts w:ascii="Book Antiqua" w:eastAsia="宋体" w:hAnsi="Book Antiqua" w:cs="宋体"/>
          <w:i/>
          <w:iCs/>
          <w:sz w:val="24"/>
          <w:szCs w:val="24"/>
          <w:lang w:eastAsia="zh-CN"/>
        </w:rPr>
        <w:t xml:space="preserve">J Am </w:t>
      </w:r>
      <w:proofErr w:type="spellStart"/>
      <w:r w:rsidRPr="00424816">
        <w:rPr>
          <w:rFonts w:ascii="Book Antiqua" w:eastAsia="宋体" w:hAnsi="Book Antiqua" w:cs="宋体"/>
          <w:i/>
          <w:iCs/>
          <w:sz w:val="24"/>
          <w:szCs w:val="24"/>
          <w:lang w:eastAsia="zh-CN"/>
        </w:rPr>
        <w:t>Acad</w:t>
      </w:r>
      <w:proofErr w:type="spellEnd"/>
      <w:r w:rsidRPr="00424816">
        <w:rPr>
          <w:rFonts w:ascii="Book Antiqua" w:eastAsia="宋体" w:hAnsi="Book Antiqua" w:cs="宋体"/>
          <w:i/>
          <w:iCs/>
          <w:sz w:val="24"/>
          <w:szCs w:val="24"/>
          <w:lang w:eastAsia="zh-CN"/>
        </w:rPr>
        <w:t xml:space="preserve"> </w:t>
      </w:r>
      <w:proofErr w:type="spellStart"/>
      <w:r w:rsidRPr="00424816">
        <w:rPr>
          <w:rFonts w:ascii="Book Antiqua" w:eastAsia="宋体" w:hAnsi="Book Antiqua" w:cs="宋体"/>
          <w:i/>
          <w:iCs/>
          <w:sz w:val="24"/>
          <w:szCs w:val="24"/>
          <w:lang w:eastAsia="zh-CN"/>
        </w:rPr>
        <w:t>Orthop</w:t>
      </w:r>
      <w:proofErr w:type="spellEnd"/>
      <w:r w:rsidRPr="00424816">
        <w:rPr>
          <w:rFonts w:ascii="Book Antiqua" w:eastAsia="宋体" w:hAnsi="Book Antiqua" w:cs="宋体"/>
          <w:i/>
          <w:iCs/>
          <w:sz w:val="24"/>
          <w:szCs w:val="24"/>
          <w:lang w:eastAsia="zh-CN"/>
        </w:rPr>
        <w:t xml:space="preserve"> </w:t>
      </w:r>
      <w:proofErr w:type="spellStart"/>
      <w:r w:rsidRPr="00424816">
        <w:rPr>
          <w:rFonts w:ascii="Book Antiqua" w:eastAsia="宋体" w:hAnsi="Book Antiqua" w:cs="宋体"/>
          <w:i/>
          <w:iCs/>
          <w:sz w:val="24"/>
          <w:szCs w:val="24"/>
          <w:lang w:eastAsia="zh-CN"/>
        </w:rPr>
        <w:t>Surg</w:t>
      </w:r>
      <w:proofErr w:type="spellEnd"/>
      <w:r w:rsidRPr="00424816">
        <w:rPr>
          <w:rFonts w:ascii="Book Antiqua" w:eastAsia="宋体" w:hAnsi="Book Antiqua" w:cs="宋体"/>
          <w:sz w:val="24"/>
          <w:szCs w:val="24"/>
          <w:lang w:eastAsia="zh-CN"/>
        </w:rPr>
        <w:t xml:space="preserve"> 2013; </w:t>
      </w:r>
      <w:r w:rsidRPr="00424816">
        <w:rPr>
          <w:rFonts w:ascii="Book Antiqua" w:eastAsia="宋体" w:hAnsi="Book Antiqua" w:cs="宋体"/>
          <w:b/>
          <w:bCs/>
          <w:sz w:val="24"/>
          <w:szCs w:val="24"/>
          <w:lang w:eastAsia="zh-CN"/>
        </w:rPr>
        <w:t>21</w:t>
      </w:r>
      <w:r w:rsidRPr="00424816">
        <w:rPr>
          <w:rFonts w:ascii="Book Antiqua" w:eastAsia="宋体" w:hAnsi="Book Antiqua" w:cs="宋体"/>
          <w:sz w:val="24"/>
          <w:szCs w:val="24"/>
          <w:lang w:eastAsia="zh-CN"/>
        </w:rPr>
        <w:t>: 180-189 [PMID: 23457068 DOI: 10.5435/JAAOS-21-03-180]</w:t>
      </w:r>
    </w:p>
    <w:p w14:paraId="0C1085E0" w14:textId="77777777" w:rsidR="00424816" w:rsidRPr="00424816" w:rsidRDefault="00424816" w:rsidP="00424816">
      <w:pPr>
        <w:adjustRightInd w:val="0"/>
        <w:snapToGrid w:val="0"/>
        <w:spacing w:after="0" w:line="360" w:lineRule="auto"/>
        <w:jc w:val="both"/>
        <w:rPr>
          <w:rFonts w:ascii="Book Antiqua" w:eastAsia="宋体" w:hAnsi="Book Antiqua" w:cs="宋体"/>
          <w:sz w:val="24"/>
          <w:szCs w:val="24"/>
          <w:lang w:eastAsia="zh-CN"/>
        </w:rPr>
      </w:pPr>
      <w:r w:rsidRPr="00424816">
        <w:rPr>
          <w:rFonts w:ascii="Book Antiqua" w:eastAsia="宋体" w:hAnsi="Book Antiqua" w:cs="宋体"/>
          <w:sz w:val="24"/>
          <w:szCs w:val="24"/>
          <w:lang w:eastAsia="zh-CN"/>
        </w:rPr>
        <w:t xml:space="preserve">24 </w:t>
      </w:r>
      <w:r w:rsidRPr="00424816">
        <w:rPr>
          <w:rFonts w:ascii="Book Antiqua" w:eastAsia="宋体" w:hAnsi="Book Antiqua" w:cs="宋体"/>
          <w:b/>
          <w:bCs/>
          <w:sz w:val="24"/>
          <w:szCs w:val="24"/>
          <w:lang w:eastAsia="zh-CN"/>
        </w:rPr>
        <w:t>Sollecito TP</w:t>
      </w:r>
      <w:r w:rsidRPr="00424816">
        <w:rPr>
          <w:rFonts w:ascii="Book Antiqua" w:eastAsia="宋体" w:hAnsi="Book Antiqua" w:cs="宋体"/>
          <w:sz w:val="24"/>
          <w:szCs w:val="24"/>
          <w:lang w:eastAsia="zh-CN"/>
        </w:rPr>
        <w:t xml:space="preserve">, </w:t>
      </w:r>
      <w:proofErr w:type="spellStart"/>
      <w:r w:rsidRPr="00424816">
        <w:rPr>
          <w:rFonts w:ascii="Book Antiqua" w:eastAsia="宋体" w:hAnsi="Book Antiqua" w:cs="宋体"/>
          <w:sz w:val="24"/>
          <w:szCs w:val="24"/>
          <w:lang w:eastAsia="zh-CN"/>
        </w:rPr>
        <w:t>Abt</w:t>
      </w:r>
      <w:proofErr w:type="spellEnd"/>
      <w:r w:rsidRPr="00424816">
        <w:rPr>
          <w:rFonts w:ascii="Book Antiqua" w:eastAsia="宋体" w:hAnsi="Book Antiqua" w:cs="宋体"/>
          <w:sz w:val="24"/>
          <w:szCs w:val="24"/>
          <w:lang w:eastAsia="zh-CN"/>
        </w:rPr>
        <w:t xml:space="preserve"> E, Lockhart PB, Truelove E, </w:t>
      </w:r>
      <w:proofErr w:type="spellStart"/>
      <w:r w:rsidRPr="00424816">
        <w:rPr>
          <w:rFonts w:ascii="Book Antiqua" w:eastAsia="宋体" w:hAnsi="Book Antiqua" w:cs="宋体"/>
          <w:sz w:val="24"/>
          <w:szCs w:val="24"/>
          <w:lang w:eastAsia="zh-CN"/>
        </w:rPr>
        <w:t>Paumier</w:t>
      </w:r>
      <w:proofErr w:type="spellEnd"/>
      <w:r w:rsidRPr="00424816">
        <w:rPr>
          <w:rFonts w:ascii="Book Antiqua" w:eastAsia="宋体" w:hAnsi="Book Antiqua" w:cs="宋体"/>
          <w:sz w:val="24"/>
          <w:szCs w:val="24"/>
          <w:lang w:eastAsia="zh-CN"/>
        </w:rPr>
        <w:t xml:space="preserve"> TM, Tracy SL, </w:t>
      </w:r>
      <w:proofErr w:type="spellStart"/>
      <w:r w:rsidRPr="00424816">
        <w:rPr>
          <w:rFonts w:ascii="Book Antiqua" w:eastAsia="宋体" w:hAnsi="Book Antiqua" w:cs="宋体"/>
          <w:sz w:val="24"/>
          <w:szCs w:val="24"/>
          <w:lang w:eastAsia="zh-CN"/>
        </w:rPr>
        <w:t>Tampi</w:t>
      </w:r>
      <w:proofErr w:type="spellEnd"/>
      <w:r w:rsidRPr="00424816">
        <w:rPr>
          <w:rFonts w:ascii="Book Antiqua" w:eastAsia="宋体" w:hAnsi="Book Antiqua" w:cs="宋体"/>
          <w:sz w:val="24"/>
          <w:szCs w:val="24"/>
          <w:lang w:eastAsia="zh-CN"/>
        </w:rPr>
        <w:t xml:space="preserve"> M, </w:t>
      </w:r>
      <w:proofErr w:type="spellStart"/>
      <w:r w:rsidRPr="00424816">
        <w:rPr>
          <w:rFonts w:ascii="Book Antiqua" w:eastAsia="宋体" w:hAnsi="Book Antiqua" w:cs="宋体"/>
          <w:sz w:val="24"/>
          <w:szCs w:val="24"/>
          <w:lang w:eastAsia="zh-CN"/>
        </w:rPr>
        <w:t>Beltrán</w:t>
      </w:r>
      <w:proofErr w:type="spellEnd"/>
      <w:r w:rsidRPr="00424816">
        <w:rPr>
          <w:rFonts w:ascii="Book Antiqua" w:eastAsia="宋体" w:hAnsi="Book Antiqua" w:cs="宋体"/>
          <w:sz w:val="24"/>
          <w:szCs w:val="24"/>
          <w:lang w:eastAsia="zh-CN"/>
        </w:rPr>
        <w:t xml:space="preserve">-Aguilar ED, </w:t>
      </w:r>
      <w:proofErr w:type="spellStart"/>
      <w:r w:rsidRPr="00424816">
        <w:rPr>
          <w:rFonts w:ascii="Book Antiqua" w:eastAsia="宋体" w:hAnsi="Book Antiqua" w:cs="宋体"/>
          <w:sz w:val="24"/>
          <w:szCs w:val="24"/>
          <w:lang w:eastAsia="zh-CN"/>
        </w:rPr>
        <w:t>Frantsve</w:t>
      </w:r>
      <w:proofErr w:type="spellEnd"/>
      <w:r w:rsidRPr="00424816">
        <w:rPr>
          <w:rFonts w:ascii="Book Antiqua" w:eastAsia="宋体" w:hAnsi="Book Antiqua" w:cs="宋体"/>
          <w:sz w:val="24"/>
          <w:szCs w:val="24"/>
          <w:lang w:eastAsia="zh-CN"/>
        </w:rPr>
        <w:t xml:space="preserve">-Hawley J. The use of prophylactic antibiotics prior to dental procedures in patients with prosthetic joints: Evidence-based clinical practice guideline for dental practitioners--a report of the American Dental Association Council on Scientific Affairs. </w:t>
      </w:r>
      <w:r w:rsidRPr="00424816">
        <w:rPr>
          <w:rFonts w:ascii="Book Antiqua" w:eastAsia="宋体" w:hAnsi="Book Antiqua" w:cs="宋体"/>
          <w:i/>
          <w:iCs/>
          <w:sz w:val="24"/>
          <w:szCs w:val="24"/>
          <w:lang w:eastAsia="zh-CN"/>
        </w:rPr>
        <w:t>J Am Dent Assoc</w:t>
      </w:r>
      <w:r w:rsidRPr="00424816">
        <w:rPr>
          <w:rFonts w:ascii="Book Antiqua" w:eastAsia="宋体" w:hAnsi="Book Antiqua" w:cs="宋体"/>
          <w:sz w:val="24"/>
          <w:szCs w:val="24"/>
          <w:lang w:eastAsia="zh-CN"/>
        </w:rPr>
        <w:t xml:space="preserve"> 2015; </w:t>
      </w:r>
      <w:r w:rsidRPr="00424816">
        <w:rPr>
          <w:rFonts w:ascii="Book Antiqua" w:eastAsia="宋体" w:hAnsi="Book Antiqua" w:cs="宋体"/>
          <w:b/>
          <w:bCs/>
          <w:sz w:val="24"/>
          <w:szCs w:val="24"/>
          <w:lang w:eastAsia="zh-CN"/>
        </w:rPr>
        <w:t>146</w:t>
      </w:r>
      <w:r w:rsidRPr="00424816">
        <w:rPr>
          <w:rFonts w:ascii="Book Antiqua" w:eastAsia="宋体" w:hAnsi="Book Antiqua" w:cs="宋体"/>
          <w:sz w:val="24"/>
          <w:szCs w:val="24"/>
          <w:lang w:eastAsia="zh-CN"/>
        </w:rPr>
        <w:t>: 11-16.e8 [PMID: 25569493 DOI: 10.1016/j.adaj.2014.11.012]</w:t>
      </w:r>
    </w:p>
    <w:p w14:paraId="70ECAA4E" w14:textId="77777777" w:rsidR="00424816" w:rsidRPr="00424816" w:rsidRDefault="00424816" w:rsidP="00424816">
      <w:pPr>
        <w:adjustRightInd w:val="0"/>
        <w:snapToGrid w:val="0"/>
        <w:spacing w:after="0" w:line="360" w:lineRule="auto"/>
        <w:jc w:val="both"/>
        <w:rPr>
          <w:rFonts w:ascii="Book Antiqua" w:eastAsia="宋体" w:hAnsi="Book Antiqua" w:cs="宋体"/>
          <w:sz w:val="24"/>
          <w:szCs w:val="24"/>
          <w:lang w:eastAsia="zh-CN"/>
        </w:rPr>
      </w:pPr>
      <w:proofErr w:type="gramStart"/>
      <w:r w:rsidRPr="00424816">
        <w:rPr>
          <w:rFonts w:ascii="Book Antiqua" w:eastAsia="宋体" w:hAnsi="Book Antiqua" w:cs="宋体"/>
          <w:sz w:val="24"/>
          <w:szCs w:val="24"/>
          <w:lang w:eastAsia="zh-CN"/>
        </w:rPr>
        <w:t xml:space="preserve">25 </w:t>
      </w:r>
      <w:proofErr w:type="spellStart"/>
      <w:r w:rsidRPr="00424816">
        <w:rPr>
          <w:rFonts w:ascii="Book Antiqua" w:eastAsia="宋体" w:hAnsi="Book Antiqua" w:cs="宋体"/>
          <w:b/>
          <w:bCs/>
          <w:sz w:val="24"/>
          <w:szCs w:val="24"/>
          <w:lang w:eastAsia="zh-CN"/>
        </w:rPr>
        <w:t>DeFroda</w:t>
      </w:r>
      <w:proofErr w:type="spellEnd"/>
      <w:r w:rsidRPr="00424816">
        <w:rPr>
          <w:rFonts w:ascii="Book Antiqua" w:eastAsia="宋体" w:hAnsi="Book Antiqua" w:cs="宋体"/>
          <w:b/>
          <w:bCs/>
          <w:sz w:val="24"/>
          <w:szCs w:val="24"/>
          <w:lang w:eastAsia="zh-CN"/>
        </w:rPr>
        <w:t xml:space="preserve"> SF</w:t>
      </w:r>
      <w:r w:rsidRPr="00424816">
        <w:rPr>
          <w:rFonts w:ascii="Book Antiqua" w:eastAsia="宋体" w:hAnsi="Book Antiqua" w:cs="宋体"/>
          <w:sz w:val="24"/>
          <w:szCs w:val="24"/>
          <w:lang w:eastAsia="zh-CN"/>
        </w:rPr>
        <w:t xml:space="preserve">, </w:t>
      </w:r>
      <w:proofErr w:type="spellStart"/>
      <w:r w:rsidRPr="00424816">
        <w:rPr>
          <w:rFonts w:ascii="Book Antiqua" w:eastAsia="宋体" w:hAnsi="Book Antiqua" w:cs="宋体"/>
          <w:sz w:val="24"/>
          <w:szCs w:val="24"/>
          <w:lang w:eastAsia="zh-CN"/>
        </w:rPr>
        <w:t>Lamin</w:t>
      </w:r>
      <w:proofErr w:type="spellEnd"/>
      <w:r w:rsidRPr="00424816">
        <w:rPr>
          <w:rFonts w:ascii="Book Antiqua" w:eastAsia="宋体" w:hAnsi="Book Antiqua" w:cs="宋体"/>
          <w:sz w:val="24"/>
          <w:szCs w:val="24"/>
          <w:lang w:eastAsia="zh-CN"/>
        </w:rPr>
        <w:t xml:space="preserve"> E, Gil JA, Sindhu K, </w:t>
      </w:r>
      <w:proofErr w:type="spellStart"/>
      <w:r w:rsidRPr="00424816">
        <w:rPr>
          <w:rFonts w:ascii="Book Antiqua" w:eastAsia="宋体" w:hAnsi="Book Antiqua" w:cs="宋体"/>
          <w:sz w:val="24"/>
          <w:szCs w:val="24"/>
          <w:lang w:eastAsia="zh-CN"/>
        </w:rPr>
        <w:t>Ritterman</w:t>
      </w:r>
      <w:proofErr w:type="spellEnd"/>
      <w:r w:rsidRPr="00424816">
        <w:rPr>
          <w:rFonts w:ascii="Book Antiqua" w:eastAsia="宋体" w:hAnsi="Book Antiqua" w:cs="宋体"/>
          <w:sz w:val="24"/>
          <w:szCs w:val="24"/>
          <w:lang w:eastAsia="zh-CN"/>
        </w:rPr>
        <w:t xml:space="preserve"> S. Antibiotic Prophylaxis for Patients with a History of Total Joint Replacement.</w:t>
      </w:r>
      <w:proofErr w:type="gramEnd"/>
      <w:r w:rsidRPr="00424816">
        <w:rPr>
          <w:rFonts w:ascii="Book Antiqua" w:eastAsia="宋体" w:hAnsi="Book Antiqua" w:cs="宋体"/>
          <w:sz w:val="24"/>
          <w:szCs w:val="24"/>
          <w:lang w:eastAsia="zh-CN"/>
        </w:rPr>
        <w:t xml:space="preserve"> </w:t>
      </w:r>
      <w:r w:rsidRPr="00424816">
        <w:rPr>
          <w:rFonts w:ascii="Book Antiqua" w:eastAsia="宋体" w:hAnsi="Book Antiqua" w:cs="宋体"/>
          <w:i/>
          <w:iCs/>
          <w:sz w:val="24"/>
          <w:szCs w:val="24"/>
          <w:lang w:eastAsia="zh-CN"/>
        </w:rPr>
        <w:t xml:space="preserve">J Am Board </w:t>
      </w:r>
      <w:proofErr w:type="gramStart"/>
      <w:r w:rsidRPr="00424816">
        <w:rPr>
          <w:rFonts w:ascii="Book Antiqua" w:eastAsia="宋体" w:hAnsi="Book Antiqua" w:cs="宋体"/>
          <w:i/>
          <w:iCs/>
          <w:sz w:val="24"/>
          <w:szCs w:val="24"/>
          <w:lang w:eastAsia="zh-CN"/>
        </w:rPr>
        <w:t>Fam</w:t>
      </w:r>
      <w:proofErr w:type="gramEnd"/>
      <w:r w:rsidRPr="00424816">
        <w:rPr>
          <w:rFonts w:ascii="Book Antiqua" w:eastAsia="宋体" w:hAnsi="Book Antiqua" w:cs="宋体"/>
          <w:i/>
          <w:iCs/>
          <w:sz w:val="24"/>
          <w:szCs w:val="24"/>
          <w:lang w:eastAsia="zh-CN"/>
        </w:rPr>
        <w:t xml:space="preserve"> Med</w:t>
      </w:r>
      <w:r w:rsidRPr="00424816">
        <w:rPr>
          <w:rFonts w:ascii="Book Antiqua" w:eastAsia="宋体" w:hAnsi="Book Antiqua" w:cs="宋体"/>
          <w:sz w:val="24"/>
          <w:szCs w:val="24"/>
          <w:lang w:eastAsia="zh-CN"/>
        </w:rPr>
        <w:t xml:space="preserve"> 2016; </w:t>
      </w:r>
      <w:r w:rsidRPr="00424816">
        <w:rPr>
          <w:rFonts w:ascii="Book Antiqua" w:eastAsia="宋体" w:hAnsi="Book Antiqua" w:cs="宋体"/>
          <w:b/>
          <w:bCs/>
          <w:sz w:val="24"/>
          <w:szCs w:val="24"/>
          <w:lang w:eastAsia="zh-CN"/>
        </w:rPr>
        <w:t>29</w:t>
      </w:r>
      <w:r w:rsidRPr="00424816">
        <w:rPr>
          <w:rFonts w:ascii="Book Antiqua" w:eastAsia="宋体" w:hAnsi="Book Antiqua" w:cs="宋体"/>
          <w:sz w:val="24"/>
          <w:szCs w:val="24"/>
          <w:lang w:eastAsia="zh-CN"/>
        </w:rPr>
        <w:t>: 500-507 [PMID: 27390382 DOI: 10.3122/jabfm.2016.04.150386]</w:t>
      </w:r>
    </w:p>
    <w:p w14:paraId="424E5A90" w14:textId="6D484032" w:rsidR="00424816" w:rsidRDefault="00424816" w:rsidP="00424816">
      <w:pPr>
        <w:adjustRightInd w:val="0"/>
        <w:snapToGrid w:val="0"/>
        <w:spacing w:after="0" w:line="360" w:lineRule="auto"/>
        <w:jc w:val="both"/>
        <w:rPr>
          <w:rFonts w:ascii="Book Antiqua" w:eastAsia="宋体" w:hAnsi="Book Antiqua" w:cs="宋体"/>
          <w:sz w:val="24"/>
          <w:szCs w:val="24"/>
          <w:lang w:eastAsia="zh-CN"/>
        </w:rPr>
      </w:pPr>
      <w:r w:rsidRPr="00424816">
        <w:rPr>
          <w:rFonts w:ascii="Book Antiqua" w:eastAsia="宋体" w:hAnsi="Book Antiqua" w:cs="宋体"/>
          <w:sz w:val="24"/>
          <w:szCs w:val="24"/>
          <w:lang w:eastAsia="zh-CN"/>
        </w:rPr>
        <w:t xml:space="preserve">26 </w:t>
      </w:r>
      <w:r w:rsidRPr="00424816">
        <w:rPr>
          <w:rFonts w:ascii="Book Antiqua" w:eastAsia="宋体" w:hAnsi="Book Antiqua" w:cs="宋体"/>
          <w:b/>
          <w:bCs/>
          <w:sz w:val="24"/>
          <w:szCs w:val="24"/>
          <w:lang w:eastAsia="zh-CN"/>
        </w:rPr>
        <w:t>Choi BC</w:t>
      </w:r>
      <w:r w:rsidRPr="00424816">
        <w:rPr>
          <w:rFonts w:ascii="Book Antiqua" w:eastAsia="宋体" w:hAnsi="Book Antiqua" w:cs="宋体"/>
          <w:sz w:val="24"/>
          <w:szCs w:val="24"/>
          <w:lang w:eastAsia="zh-CN"/>
        </w:rPr>
        <w:t xml:space="preserve">, Pak AW. </w:t>
      </w:r>
      <w:proofErr w:type="gramStart"/>
      <w:r w:rsidRPr="00424816">
        <w:rPr>
          <w:rFonts w:ascii="Book Antiqua" w:eastAsia="宋体" w:hAnsi="Book Antiqua" w:cs="宋体"/>
          <w:sz w:val="24"/>
          <w:szCs w:val="24"/>
          <w:lang w:eastAsia="zh-CN"/>
        </w:rPr>
        <w:t>A catalog of biases in questionnaires.</w:t>
      </w:r>
      <w:proofErr w:type="gramEnd"/>
      <w:r w:rsidRPr="00424816">
        <w:rPr>
          <w:rFonts w:ascii="Book Antiqua" w:eastAsia="宋体" w:hAnsi="Book Antiqua" w:cs="宋体"/>
          <w:sz w:val="24"/>
          <w:szCs w:val="24"/>
          <w:lang w:eastAsia="zh-CN"/>
        </w:rPr>
        <w:t xml:space="preserve"> </w:t>
      </w:r>
      <w:proofErr w:type="spellStart"/>
      <w:r w:rsidRPr="00424816">
        <w:rPr>
          <w:rFonts w:ascii="Book Antiqua" w:eastAsia="宋体" w:hAnsi="Book Antiqua" w:cs="宋体"/>
          <w:i/>
          <w:iCs/>
          <w:sz w:val="24"/>
          <w:szCs w:val="24"/>
          <w:lang w:eastAsia="zh-CN"/>
        </w:rPr>
        <w:t>Prev</w:t>
      </w:r>
      <w:proofErr w:type="spellEnd"/>
      <w:r w:rsidRPr="00424816">
        <w:rPr>
          <w:rFonts w:ascii="Book Antiqua" w:eastAsia="宋体" w:hAnsi="Book Antiqua" w:cs="宋体"/>
          <w:i/>
          <w:iCs/>
          <w:sz w:val="24"/>
          <w:szCs w:val="24"/>
          <w:lang w:eastAsia="zh-CN"/>
        </w:rPr>
        <w:t xml:space="preserve"> Chronic Dis</w:t>
      </w:r>
      <w:r w:rsidRPr="00424816">
        <w:rPr>
          <w:rFonts w:ascii="Book Antiqua" w:eastAsia="宋体" w:hAnsi="Book Antiqua" w:cs="宋体"/>
          <w:sz w:val="24"/>
          <w:szCs w:val="24"/>
          <w:lang w:eastAsia="zh-CN"/>
        </w:rPr>
        <w:t xml:space="preserve"> 2005; </w:t>
      </w:r>
      <w:r w:rsidRPr="00424816">
        <w:rPr>
          <w:rFonts w:ascii="Book Antiqua" w:eastAsia="宋体" w:hAnsi="Book Antiqua" w:cs="宋体"/>
          <w:b/>
          <w:bCs/>
          <w:sz w:val="24"/>
          <w:szCs w:val="24"/>
          <w:lang w:eastAsia="zh-CN"/>
        </w:rPr>
        <w:t>2</w:t>
      </w:r>
      <w:r w:rsidRPr="00424816">
        <w:rPr>
          <w:rFonts w:ascii="Book Antiqua" w:eastAsia="宋体" w:hAnsi="Book Antiqua" w:cs="宋体"/>
          <w:sz w:val="24"/>
          <w:szCs w:val="24"/>
          <w:lang w:eastAsia="zh-CN"/>
        </w:rPr>
        <w:t>: A13 [PMID: 15670466]</w:t>
      </w:r>
    </w:p>
    <w:p w14:paraId="07D3B17C" w14:textId="5F4C8423" w:rsidR="00BC081A" w:rsidRDefault="00BC081A" w:rsidP="00424816">
      <w:pPr>
        <w:adjustRightInd w:val="0"/>
        <w:snapToGrid w:val="0"/>
        <w:spacing w:after="0" w:line="360" w:lineRule="auto"/>
        <w:jc w:val="both"/>
        <w:rPr>
          <w:rFonts w:ascii="Book Antiqua" w:eastAsia="宋体" w:hAnsi="Book Antiqua" w:cs="宋体"/>
          <w:sz w:val="24"/>
          <w:szCs w:val="24"/>
          <w:lang w:eastAsia="zh-CN"/>
        </w:rPr>
      </w:pPr>
    </w:p>
    <w:p w14:paraId="59D68C79" w14:textId="513B6404" w:rsidR="00BC081A" w:rsidRPr="00BC081A" w:rsidRDefault="00BC081A" w:rsidP="00BC081A">
      <w:pPr>
        <w:wordWrap w:val="0"/>
        <w:snapToGrid w:val="0"/>
        <w:spacing w:after="0" w:line="360" w:lineRule="auto"/>
        <w:jc w:val="right"/>
        <w:rPr>
          <w:rFonts w:ascii="Book Antiqua" w:eastAsia="宋体" w:hAnsi="Book Antiqua" w:cs="Times New Roman"/>
          <w:b/>
          <w:bCs/>
          <w:sz w:val="24"/>
          <w:szCs w:val="24"/>
          <w:lang w:eastAsia="zh-CN"/>
        </w:rPr>
      </w:pPr>
      <w:bookmarkStart w:id="115" w:name="OLE_LINK148"/>
      <w:bookmarkStart w:id="116" w:name="OLE_LINK320"/>
      <w:bookmarkStart w:id="117" w:name="OLE_LINK387"/>
      <w:bookmarkStart w:id="118" w:name="OLE_LINK254"/>
      <w:bookmarkStart w:id="119" w:name="OLE_LINK149"/>
      <w:bookmarkStart w:id="120" w:name="OLE_LINK225"/>
      <w:bookmarkStart w:id="121" w:name="OLE_LINK207"/>
      <w:bookmarkStart w:id="122" w:name="OLE_LINK226"/>
      <w:bookmarkStart w:id="123" w:name="OLE_LINK212"/>
      <w:bookmarkStart w:id="124" w:name="OLE_LINK250"/>
      <w:bookmarkStart w:id="125" w:name="OLE_LINK281"/>
      <w:bookmarkStart w:id="126" w:name="OLE_LINK282"/>
      <w:bookmarkStart w:id="127" w:name="OLE_LINK313"/>
      <w:bookmarkStart w:id="128" w:name="OLE_LINK304"/>
      <w:bookmarkStart w:id="129" w:name="OLE_LINK321"/>
      <w:bookmarkStart w:id="130" w:name="OLE_LINK385"/>
      <w:bookmarkStart w:id="131" w:name="OLE_LINK400"/>
      <w:bookmarkStart w:id="132" w:name="OLE_LINK346"/>
      <w:bookmarkStart w:id="133" w:name="OLE_LINK371"/>
      <w:bookmarkStart w:id="134" w:name="OLE_LINK334"/>
      <w:bookmarkStart w:id="135" w:name="OLE_LINK1830"/>
      <w:bookmarkStart w:id="136" w:name="OLE_LINK457"/>
      <w:bookmarkStart w:id="137" w:name="OLE_LINK288"/>
      <w:bookmarkStart w:id="138" w:name="OLE_LINK384"/>
      <w:bookmarkStart w:id="139" w:name="OLE_LINK379"/>
      <w:bookmarkStart w:id="140" w:name="OLE_LINK303"/>
      <w:bookmarkStart w:id="141" w:name="OLE_LINK450"/>
      <w:bookmarkStart w:id="142" w:name="OLE_LINK489"/>
      <w:bookmarkStart w:id="143" w:name="OLE_LINK535"/>
      <w:bookmarkStart w:id="144" w:name="OLE_LINK648"/>
      <w:bookmarkStart w:id="145" w:name="OLE_LINK686"/>
      <w:bookmarkStart w:id="146" w:name="OLE_LINK471"/>
      <w:bookmarkStart w:id="147" w:name="OLE_LINK462"/>
      <w:bookmarkStart w:id="148" w:name="OLE_LINK519"/>
      <w:bookmarkStart w:id="149" w:name="OLE_LINK575"/>
      <w:bookmarkStart w:id="150" w:name="OLE_LINK491"/>
      <w:bookmarkStart w:id="151" w:name="OLE_LINK532"/>
      <w:bookmarkStart w:id="152" w:name="OLE_LINK572"/>
      <w:bookmarkStart w:id="153" w:name="OLE_LINK574"/>
      <w:bookmarkStart w:id="154" w:name="OLE_LINK480"/>
      <w:bookmarkStart w:id="155" w:name="OLE_LINK567"/>
      <w:bookmarkStart w:id="156" w:name="OLE_LINK2700"/>
      <w:bookmarkStart w:id="157" w:name="OLE_LINK581"/>
      <w:bookmarkStart w:id="158" w:name="OLE_LINK639"/>
      <w:bookmarkStart w:id="159" w:name="OLE_LINK688"/>
      <w:bookmarkStart w:id="160" w:name="OLE_LINK722"/>
      <w:bookmarkStart w:id="161" w:name="OLE_LINK542"/>
      <w:bookmarkStart w:id="162" w:name="OLE_LINK589"/>
      <w:bookmarkStart w:id="163" w:name="OLE_LINK582"/>
      <w:bookmarkStart w:id="164" w:name="OLE_LINK640"/>
      <w:bookmarkStart w:id="165" w:name="OLE_LINK714"/>
      <w:bookmarkStart w:id="166" w:name="OLE_LINK593"/>
      <w:bookmarkStart w:id="167" w:name="OLE_LINK716"/>
      <w:bookmarkStart w:id="168" w:name="OLE_LINK770"/>
      <w:bookmarkStart w:id="169" w:name="OLE_LINK801"/>
      <w:bookmarkStart w:id="170" w:name="OLE_LINK660"/>
      <w:bookmarkStart w:id="171" w:name="OLE_LINK781"/>
      <w:bookmarkStart w:id="172" w:name="OLE_LINK833"/>
      <w:bookmarkStart w:id="173" w:name="OLE_LINK642"/>
      <w:bookmarkStart w:id="174" w:name="OLE_LINK700"/>
      <w:bookmarkStart w:id="175" w:name="OLE_LINK792"/>
      <w:bookmarkStart w:id="176" w:name="OLE_LINK2882"/>
      <w:bookmarkStart w:id="177" w:name="OLE_LINK836"/>
      <w:bookmarkStart w:id="178" w:name="OLE_LINK889"/>
      <w:bookmarkStart w:id="179" w:name="OLE_LINK782"/>
      <w:bookmarkStart w:id="180" w:name="OLE_LINK826"/>
      <w:bookmarkStart w:id="181" w:name="OLE_LINK865"/>
      <w:bookmarkStart w:id="182" w:name="OLE_LINK856"/>
      <w:bookmarkStart w:id="183" w:name="OLE_LINK908"/>
      <w:bookmarkStart w:id="184" w:name="OLE_LINK980"/>
      <w:bookmarkStart w:id="185" w:name="OLE_LINK1018"/>
      <w:bookmarkStart w:id="186" w:name="OLE_LINK1049"/>
      <w:bookmarkStart w:id="187" w:name="OLE_LINK1076"/>
      <w:bookmarkStart w:id="188" w:name="OLE_LINK1106"/>
      <w:bookmarkStart w:id="189" w:name="OLE_LINK891"/>
      <w:bookmarkStart w:id="190" w:name="OLE_LINK943"/>
      <w:bookmarkStart w:id="191" w:name="OLE_LINK981"/>
      <w:bookmarkStart w:id="192" w:name="OLE_LINK1030"/>
      <w:bookmarkStart w:id="193" w:name="OLE_LINK847"/>
      <w:bookmarkStart w:id="194" w:name="OLE_LINK909"/>
      <w:bookmarkStart w:id="195" w:name="OLE_LINK906"/>
      <w:bookmarkStart w:id="196" w:name="OLE_LINK992"/>
      <w:bookmarkStart w:id="197" w:name="OLE_LINK993"/>
      <w:bookmarkStart w:id="198" w:name="OLE_LINK1052"/>
      <w:bookmarkStart w:id="199" w:name="OLE_LINK946"/>
      <w:bookmarkStart w:id="200" w:name="OLE_LINK911"/>
      <w:bookmarkStart w:id="201" w:name="OLE_LINK930"/>
      <w:bookmarkStart w:id="202" w:name="OLE_LINK1059"/>
      <w:bookmarkStart w:id="203" w:name="OLE_LINK1174"/>
      <w:bookmarkStart w:id="204" w:name="OLE_LINK1137"/>
      <w:bookmarkStart w:id="205" w:name="OLE_LINK1167"/>
      <w:bookmarkStart w:id="206" w:name="OLE_LINK1200"/>
      <w:bookmarkStart w:id="207" w:name="OLE_LINK1241"/>
      <w:bookmarkStart w:id="208" w:name="OLE_LINK1288"/>
      <w:bookmarkStart w:id="209" w:name="OLE_LINK1056"/>
      <w:bookmarkStart w:id="210" w:name="OLE_LINK1158"/>
      <w:bookmarkStart w:id="211" w:name="OLE_LINK1175"/>
      <w:bookmarkStart w:id="212" w:name="OLE_LINK1074"/>
      <w:bookmarkStart w:id="213" w:name="OLE_LINK1169"/>
      <w:bookmarkStart w:id="214" w:name="OLE_LINK386"/>
      <w:bookmarkStart w:id="215" w:name="OLE_LINK33"/>
      <w:bookmarkStart w:id="216" w:name="OLE_LINK34"/>
      <w:bookmarkStart w:id="217" w:name="OLE_LINK599"/>
      <w:bookmarkStart w:id="218" w:name="OLE_LINK87"/>
      <w:r w:rsidRPr="00BC081A">
        <w:rPr>
          <w:rFonts w:ascii="Book Antiqua" w:eastAsia="宋体" w:hAnsi="Book Antiqua" w:cs="Times New Roman"/>
          <w:b/>
          <w:bCs/>
          <w:sz w:val="24"/>
          <w:szCs w:val="24"/>
          <w:lang w:eastAsia="zh-CN"/>
        </w:rPr>
        <w:t>P-Reviewer:</w:t>
      </w:r>
      <w:r w:rsidRPr="00BC081A">
        <w:rPr>
          <w:rFonts w:ascii="Book Antiqua" w:eastAsia="宋体" w:hAnsi="Book Antiqua" w:cs="Times New Roman" w:hint="eastAsia"/>
          <w:b/>
          <w:bCs/>
          <w:sz w:val="24"/>
          <w:szCs w:val="24"/>
          <w:lang w:eastAsia="zh-CN"/>
        </w:rPr>
        <w:t xml:space="preserve"> </w:t>
      </w:r>
      <w:proofErr w:type="spellStart"/>
      <w:r w:rsidR="002C198D" w:rsidRPr="00BC081A">
        <w:rPr>
          <w:rFonts w:ascii="Book Antiqua" w:eastAsia="宋体" w:hAnsi="Book Antiqua" w:cs="Times New Roman"/>
          <w:bCs/>
          <w:sz w:val="24"/>
          <w:szCs w:val="24"/>
          <w:lang w:eastAsia="zh-CN"/>
        </w:rPr>
        <w:t>Fenichel</w:t>
      </w:r>
      <w:proofErr w:type="spellEnd"/>
      <w:r w:rsidR="002C198D">
        <w:rPr>
          <w:rFonts w:ascii="Book Antiqua" w:eastAsia="宋体" w:hAnsi="Book Antiqua" w:cs="Times New Roman"/>
          <w:bCs/>
          <w:sz w:val="24"/>
          <w:szCs w:val="24"/>
          <w:lang w:eastAsia="zh-CN"/>
        </w:rPr>
        <w:t xml:space="preserve"> I, </w:t>
      </w:r>
      <w:proofErr w:type="spellStart"/>
      <w:r w:rsidRPr="00BC081A">
        <w:rPr>
          <w:rFonts w:ascii="Book Antiqua" w:eastAsia="宋体" w:hAnsi="Book Antiqua" w:cs="Times New Roman"/>
          <w:bCs/>
          <w:sz w:val="24"/>
          <w:szCs w:val="24"/>
          <w:lang w:eastAsia="zh-CN"/>
        </w:rPr>
        <w:t>Pavone</w:t>
      </w:r>
      <w:proofErr w:type="spellEnd"/>
      <w:r>
        <w:rPr>
          <w:rFonts w:ascii="Book Antiqua" w:eastAsia="宋体" w:hAnsi="Book Antiqua" w:cs="Times New Roman"/>
          <w:bCs/>
          <w:sz w:val="24"/>
          <w:szCs w:val="24"/>
          <w:lang w:eastAsia="zh-CN"/>
        </w:rPr>
        <w:t xml:space="preserve"> P</w:t>
      </w:r>
      <w:r w:rsidR="006C73B6">
        <w:rPr>
          <w:rFonts w:ascii="Book Antiqua" w:eastAsia="宋体" w:hAnsi="Book Antiqua" w:cs="Times New Roman"/>
          <w:bCs/>
          <w:sz w:val="24"/>
          <w:szCs w:val="24"/>
          <w:lang w:eastAsia="zh-CN"/>
        </w:rPr>
        <w:t xml:space="preserve">, </w:t>
      </w:r>
      <w:r w:rsidR="006C73B6">
        <w:rPr>
          <w:rFonts w:ascii="Book Antiqua" w:hAnsi="Book Antiqua"/>
          <w:sz w:val="24"/>
          <w:szCs w:val="24"/>
        </w:rPr>
        <w:t>Peng BG</w:t>
      </w:r>
    </w:p>
    <w:p w14:paraId="16D7E0B7" w14:textId="102326B8" w:rsidR="00BC081A" w:rsidRPr="00BC081A" w:rsidRDefault="00BC081A" w:rsidP="008B74BD">
      <w:pPr>
        <w:wordWrap w:val="0"/>
        <w:snapToGrid w:val="0"/>
        <w:spacing w:after="0" w:line="360" w:lineRule="auto"/>
        <w:jc w:val="right"/>
        <w:rPr>
          <w:rFonts w:ascii="Book Antiqua" w:eastAsia="宋体" w:hAnsi="Book Antiqua" w:cs="Times New Roman"/>
          <w:sz w:val="24"/>
          <w:szCs w:val="24"/>
          <w:lang w:eastAsia="zh-CN"/>
        </w:rPr>
      </w:pPr>
      <w:r w:rsidRPr="00BC081A">
        <w:rPr>
          <w:rFonts w:ascii="Book Antiqua" w:eastAsia="宋体" w:hAnsi="Book Antiqua" w:cs="Times New Roman"/>
          <w:b/>
          <w:bCs/>
          <w:sz w:val="24"/>
          <w:szCs w:val="24"/>
          <w:lang w:eastAsia="zh-CN"/>
        </w:rPr>
        <w:t>S-Editor:</w:t>
      </w:r>
      <w:r w:rsidRPr="00BC081A">
        <w:rPr>
          <w:rFonts w:ascii="Book Antiqua" w:eastAsia="宋体" w:hAnsi="Book Antiqua" w:cs="Times New Roman" w:hint="eastAsia"/>
          <w:sz w:val="24"/>
          <w:szCs w:val="24"/>
          <w:lang w:eastAsia="zh-CN"/>
        </w:rPr>
        <w:t xml:space="preserve"> </w:t>
      </w:r>
      <w:r w:rsidRPr="00BC081A">
        <w:rPr>
          <w:rFonts w:ascii="Book Antiqua" w:eastAsia="宋体" w:hAnsi="Book Antiqua" w:cs="Times New Roman"/>
          <w:sz w:val="24"/>
          <w:szCs w:val="24"/>
          <w:lang w:eastAsia="zh-CN"/>
        </w:rPr>
        <w:t>T</w:t>
      </w:r>
      <w:r w:rsidRPr="00BC081A">
        <w:rPr>
          <w:rFonts w:ascii="Book Antiqua" w:eastAsia="宋体" w:hAnsi="Book Antiqua" w:cs="Times New Roman" w:hint="eastAsia"/>
          <w:sz w:val="24"/>
          <w:szCs w:val="24"/>
          <w:lang w:eastAsia="zh-CN"/>
        </w:rPr>
        <w:t>ang</w:t>
      </w:r>
      <w:r w:rsidRPr="00BC081A">
        <w:rPr>
          <w:rFonts w:ascii="Book Antiqua" w:eastAsia="宋体" w:hAnsi="Book Antiqua" w:cs="Times New Roman"/>
          <w:sz w:val="24"/>
          <w:szCs w:val="24"/>
          <w:lang w:eastAsia="zh-CN"/>
        </w:rPr>
        <w:t xml:space="preserve"> JZ</w:t>
      </w:r>
      <w:r w:rsidRPr="00BC081A">
        <w:rPr>
          <w:rFonts w:ascii="Book Antiqua" w:eastAsia="宋体" w:hAnsi="Book Antiqua" w:cs="Times New Roman" w:hint="eastAsia"/>
          <w:sz w:val="24"/>
          <w:szCs w:val="24"/>
          <w:lang w:eastAsia="zh-CN"/>
        </w:rPr>
        <w:t xml:space="preserve"> </w:t>
      </w:r>
      <w:r w:rsidRPr="00BC081A">
        <w:rPr>
          <w:rFonts w:ascii="Book Antiqua" w:eastAsia="宋体" w:hAnsi="Book Antiqua" w:cs="Times New Roman"/>
          <w:b/>
          <w:bCs/>
          <w:sz w:val="24"/>
          <w:szCs w:val="24"/>
          <w:lang w:eastAsia="zh-CN"/>
        </w:rPr>
        <w:t>L-Editor:</w:t>
      </w:r>
      <w:r w:rsidRPr="00BC081A">
        <w:rPr>
          <w:rFonts w:ascii="Book Antiqua" w:eastAsia="宋体" w:hAnsi="Book Antiqua" w:cs="Times New Roman"/>
          <w:sz w:val="24"/>
          <w:szCs w:val="24"/>
          <w:lang w:eastAsia="zh-CN"/>
        </w:rPr>
        <w:t xml:space="preserve"> </w:t>
      </w:r>
      <w:r w:rsidR="008B74BD">
        <w:rPr>
          <w:rFonts w:ascii="Book Antiqua" w:eastAsia="宋体" w:hAnsi="Book Antiqua" w:cs="Times New Roman" w:hint="eastAsia"/>
          <w:sz w:val="24"/>
          <w:szCs w:val="24"/>
          <w:lang w:eastAsia="zh-CN"/>
        </w:rPr>
        <w:t xml:space="preserve">A </w:t>
      </w:r>
      <w:r w:rsidRPr="00BC081A">
        <w:rPr>
          <w:rFonts w:ascii="Book Antiqua" w:eastAsia="宋体" w:hAnsi="Book Antiqua" w:cs="Times New Roman"/>
          <w:b/>
          <w:bCs/>
          <w:sz w:val="24"/>
          <w:szCs w:val="24"/>
          <w:lang w:eastAsia="zh-CN"/>
        </w:rPr>
        <w:t>E-Editor:</w:t>
      </w:r>
      <w:r w:rsidR="008B74BD" w:rsidRPr="008B74BD">
        <w:rPr>
          <w:rFonts w:ascii="Book Antiqua" w:eastAsia="宋体" w:hAnsi="Book Antiqua" w:cs="Times New Roman" w:hint="eastAsia"/>
          <w:bCs/>
          <w:sz w:val="24"/>
          <w:szCs w:val="24"/>
          <w:lang w:eastAsia="zh-CN"/>
        </w:rPr>
        <w:t xml:space="preserve"> Liu MY</w:t>
      </w:r>
    </w:p>
    <w:p w14:paraId="72D48F63" w14:textId="01ADFDAF" w:rsidR="00BC081A" w:rsidRPr="00BC081A" w:rsidRDefault="00BC081A" w:rsidP="00BC081A">
      <w:pPr>
        <w:shd w:val="clear" w:color="auto" w:fill="FFFFFF"/>
        <w:snapToGrid w:val="0"/>
        <w:spacing w:after="0" w:line="360" w:lineRule="auto"/>
        <w:jc w:val="both"/>
        <w:rPr>
          <w:rFonts w:ascii="Book Antiqua" w:eastAsia="宋体" w:hAnsi="Book Antiqua" w:cs="Helvetica"/>
          <w:b/>
          <w:sz w:val="24"/>
          <w:szCs w:val="24"/>
          <w:lang w:eastAsia="zh-CN"/>
        </w:rPr>
      </w:pPr>
      <w:bookmarkStart w:id="219" w:name="OLE_LINK880"/>
      <w:bookmarkStart w:id="220" w:name="OLE_LINK881"/>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r w:rsidRPr="00BC081A">
        <w:rPr>
          <w:rFonts w:ascii="Book Antiqua" w:eastAsia="宋体" w:hAnsi="Book Antiqua" w:cs="Helvetica"/>
          <w:b/>
          <w:sz w:val="24"/>
          <w:szCs w:val="24"/>
          <w:lang w:eastAsia="zh-CN"/>
        </w:rPr>
        <w:t xml:space="preserve">Specialty type: </w:t>
      </w:r>
      <w:r w:rsidRPr="00BC081A">
        <w:rPr>
          <w:rFonts w:ascii="Book Antiqua" w:eastAsia="宋体" w:hAnsi="Book Antiqua" w:cs="Helvetica"/>
          <w:sz w:val="24"/>
          <w:szCs w:val="24"/>
          <w:lang w:eastAsia="zh-CN"/>
        </w:rPr>
        <w:t>Orthopedics</w:t>
      </w:r>
    </w:p>
    <w:p w14:paraId="5F8DD108" w14:textId="70466ED9" w:rsidR="00BC081A" w:rsidRPr="00BC081A" w:rsidRDefault="00BC081A" w:rsidP="00BC081A">
      <w:pPr>
        <w:shd w:val="clear" w:color="auto" w:fill="FFFFFF"/>
        <w:snapToGrid w:val="0"/>
        <w:spacing w:after="0" w:line="360" w:lineRule="auto"/>
        <w:jc w:val="both"/>
        <w:rPr>
          <w:rFonts w:ascii="Book Antiqua" w:eastAsia="宋体" w:hAnsi="Book Antiqua" w:cs="Helvetica"/>
          <w:b/>
          <w:sz w:val="24"/>
          <w:szCs w:val="24"/>
          <w:lang w:eastAsia="zh-CN"/>
        </w:rPr>
      </w:pPr>
      <w:r w:rsidRPr="00BC081A">
        <w:rPr>
          <w:rFonts w:ascii="Book Antiqua" w:eastAsia="宋体" w:hAnsi="Book Antiqua" w:cs="Helvetica"/>
          <w:b/>
          <w:sz w:val="24"/>
          <w:szCs w:val="24"/>
          <w:lang w:eastAsia="zh-CN"/>
        </w:rPr>
        <w:t xml:space="preserve">Country of origin: </w:t>
      </w:r>
      <w:r w:rsidRPr="00BC081A">
        <w:rPr>
          <w:rFonts w:ascii="Book Antiqua" w:eastAsia="宋体" w:hAnsi="Book Antiqua" w:cs="Helvetica"/>
          <w:sz w:val="24"/>
          <w:szCs w:val="24"/>
          <w:lang w:eastAsia="zh-CN"/>
        </w:rPr>
        <w:t>United States</w:t>
      </w:r>
    </w:p>
    <w:p w14:paraId="5E991AB6" w14:textId="77777777" w:rsidR="00BC081A" w:rsidRPr="00BC081A" w:rsidRDefault="00BC081A" w:rsidP="00BC081A">
      <w:pPr>
        <w:shd w:val="clear" w:color="auto" w:fill="FFFFFF"/>
        <w:snapToGrid w:val="0"/>
        <w:spacing w:after="0" w:line="360" w:lineRule="auto"/>
        <w:jc w:val="both"/>
        <w:rPr>
          <w:rFonts w:ascii="Book Antiqua" w:eastAsia="宋体" w:hAnsi="Book Antiqua" w:cs="Helvetica"/>
          <w:b/>
          <w:sz w:val="24"/>
          <w:szCs w:val="24"/>
          <w:lang w:eastAsia="zh-CN"/>
        </w:rPr>
      </w:pPr>
      <w:r w:rsidRPr="00BC081A">
        <w:rPr>
          <w:rFonts w:ascii="Book Antiqua" w:eastAsia="宋体" w:hAnsi="Book Antiqua" w:cs="Helvetica"/>
          <w:b/>
          <w:sz w:val="24"/>
          <w:szCs w:val="24"/>
          <w:lang w:eastAsia="zh-CN"/>
        </w:rPr>
        <w:t>Peer-review report classification</w:t>
      </w:r>
    </w:p>
    <w:p w14:paraId="32A2AD28" w14:textId="77777777" w:rsidR="00BC081A" w:rsidRPr="00BC081A" w:rsidRDefault="00BC081A" w:rsidP="00BC081A">
      <w:pPr>
        <w:shd w:val="clear" w:color="auto" w:fill="FFFFFF"/>
        <w:snapToGrid w:val="0"/>
        <w:spacing w:after="0" w:line="360" w:lineRule="auto"/>
        <w:jc w:val="both"/>
        <w:rPr>
          <w:rFonts w:ascii="Book Antiqua" w:eastAsia="宋体" w:hAnsi="Book Antiqua" w:cs="Helvetica"/>
          <w:sz w:val="24"/>
          <w:szCs w:val="24"/>
          <w:lang w:eastAsia="zh-CN"/>
        </w:rPr>
      </w:pPr>
      <w:r w:rsidRPr="00BC081A">
        <w:rPr>
          <w:rFonts w:ascii="Book Antiqua" w:eastAsia="宋体" w:hAnsi="Book Antiqua" w:cs="Helvetica"/>
          <w:sz w:val="24"/>
          <w:szCs w:val="24"/>
          <w:lang w:eastAsia="zh-CN"/>
        </w:rPr>
        <w:t xml:space="preserve">Grade </w:t>
      </w:r>
      <w:proofErr w:type="gramStart"/>
      <w:r w:rsidRPr="00BC081A">
        <w:rPr>
          <w:rFonts w:ascii="Book Antiqua" w:eastAsia="宋体" w:hAnsi="Book Antiqua" w:cs="Helvetica"/>
          <w:sz w:val="24"/>
          <w:szCs w:val="24"/>
          <w:lang w:eastAsia="zh-CN"/>
        </w:rPr>
        <w:t>A</w:t>
      </w:r>
      <w:proofErr w:type="gramEnd"/>
      <w:r w:rsidRPr="00BC081A">
        <w:rPr>
          <w:rFonts w:ascii="Book Antiqua" w:eastAsia="宋体" w:hAnsi="Book Antiqua" w:cs="Helvetica"/>
          <w:sz w:val="24"/>
          <w:szCs w:val="24"/>
          <w:lang w:eastAsia="zh-CN"/>
        </w:rPr>
        <w:t xml:space="preserve"> (Excellent): </w:t>
      </w:r>
      <w:r w:rsidRPr="00BC081A">
        <w:rPr>
          <w:rFonts w:ascii="Book Antiqua" w:eastAsia="宋体" w:hAnsi="Book Antiqua" w:cs="Helvetica" w:hint="eastAsia"/>
          <w:sz w:val="24"/>
          <w:szCs w:val="24"/>
          <w:lang w:eastAsia="zh-CN"/>
        </w:rPr>
        <w:t>0</w:t>
      </w:r>
    </w:p>
    <w:p w14:paraId="25D9A6BB" w14:textId="24EC10EA" w:rsidR="00BC081A" w:rsidRPr="00BC081A" w:rsidRDefault="00BC081A" w:rsidP="00BC081A">
      <w:pPr>
        <w:shd w:val="clear" w:color="auto" w:fill="FFFFFF"/>
        <w:snapToGrid w:val="0"/>
        <w:spacing w:after="0" w:line="360" w:lineRule="auto"/>
        <w:jc w:val="both"/>
        <w:rPr>
          <w:rFonts w:ascii="Book Antiqua" w:eastAsia="宋体" w:hAnsi="Book Antiqua" w:cs="Helvetica"/>
          <w:sz w:val="24"/>
          <w:szCs w:val="24"/>
          <w:lang w:eastAsia="zh-CN"/>
        </w:rPr>
      </w:pPr>
      <w:r w:rsidRPr="00BC081A">
        <w:rPr>
          <w:rFonts w:ascii="Book Antiqua" w:eastAsia="宋体" w:hAnsi="Book Antiqua" w:cs="Helvetica"/>
          <w:sz w:val="24"/>
          <w:szCs w:val="24"/>
          <w:lang w:eastAsia="zh-CN"/>
        </w:rPr>
        <w:t xml:space="preserve">Grade B (Very good): </w:t>
      </w:r>
      <w:r w:rsidRPr="00BC081A">
        <w:rPr>
          <w:rFonts w:ascii="Book Antiqua" w:eastAsia="宋体" w:hAnsi="Book Antiqua" w:cs="Helvetica" w:hint="eastAsia"/>
          <w:sz w:val="24"/>
          <w:szCs w:val="24"/>
          <w:lang w:eastAsia="zh-CN"/>
        </w:rPr>
        <w:t>B</w:t>
      </w:r>
      <w:r w:rsidR="006C73B6">
        <w:rPr>
          <w:rFonts w:ascii="Book Antiqua" w:eastAsia="宋体" w:hAnsi="Book Antiqua" w:cs="Helvetica"/>
          <w:sz w:val="24"/>
          <w:szCs w:val="24"/>
          <w:lang w:eastAsia="zh-CN"/>
        </w:rPr>
        <w:t>, B</w:t>
      </w:r>
    </w:p>
    <w:p w14:paraId="29DE2D8D" w14:textId="6B88995E" w:rsidR="00BC081A" w:rsidRPr="00BC081A" w:rsidRDefault="00BC081A" w:rsidP="00BC081A">
      <w:pPr>
        <w:shd w:val="clear" w:color="auto" w:fill="FFFFFF"/>
        <w:snapToGrid w:val="0"/>
        <w:spacing w:after="0" w:line="360" w:lineRule="auto"/>
        <w:jc w:val="both"/>
        <w:rPr>
          <w:rFonts w:ascii="Book Antiqua" w:eastAsia="宋体" w:hAnsi="Book Antiqua" w:cs="Helvetica"/>
          <w:sz w:val="24"/>
          <w:szCs w:val="24"/>
          <w:lang w:eastAsia="zh-CN"/>
        </w:rPr>
      </w:pPr>
      <w:r w:rsidRPr="00BC081A">
        <w:rPr>
          <w:rFonts w:ascii="Book Antiqua" w:eastAsia="宋体" w:hAnsi="Book Antiqua" w:cs="Helvetica"/>
          <w:sz w:val="24"/>
          <w:szCs w:val="24"/>
          <w:lang w:eastAsia="zh-CN"/>
        </w:rPr>
        <w:t xml:space="preserve">Grade C (Good): </w:t>
      </w:r>
      <w:r w:rsidRPr="00BC081A">
        <w:rPr>
          <w:rFonts w:ascii="Book Antiqua" w:eastAsia="宋体" w:hAnsi="Book Antiqua" w:cs="Helvetica" w:hint="eastAsia"/>
          <w:sz w:val="24"/>
          <w:szCs w:val="24"/>
          <w:lang w:eastAsia="zh-CN"/>
        </w:rPr>
        <w:t>C</w:t>
      </w:r>
    </w:p>
    <w:p w14:paraId="4B8636FD" w14:textId="77777777" w:rsidR="00BC081A" w:rsidRPr="00BC081A" w:rsidRDefault="00BC081A" w:rsidP="00BC081A">
      <w:pPr>
        <w:shd w:val="clear" w:color="auto" w:fill="FFFFFF"/>
        <w:snapToGrid w:val="0"/>
        <w:spacing w:after="0" w:line="360" w:lineRule="auto"/>
        <w:jc w:val="both"/>
        <w:rPr>
          <w:rFonts w:ascii="Book Antiqua" w:eastAsia="宋体" w:hAnsi="Book Antiqua" w:cs="Helvetica"/>
          <w:sz w:val="24"/>
          <w:szCs w:val="24"/>
          <w:lang w:eastAsia="zh-CN"/>
        </w:rPr>
      </w:pPr>
      <w:r w:rsidRPr="00BC081A">
        <w:rPr>
          <w:rFonts w:ascii="Book Antiqua" w:eastAsia="宋体" w:hAnsi="Book Antiqua" w:cs="Helvetica"/>
          <w:sz w:val="24"/>
          <w:szCs w:val="24"/>
          <w:lang w:eastAsia="zh-CN"/>
        </w:rPr>
        <w:t xml:space="preserve">Grade D (Fair): </w:t>
      </w:r>
      <w:r w:rsidRPr="00BC081A">
        <w:rPr>
          <w:rFonts w:ascii="Book Antiqua" w:eastAsia="宋体" w:hAnsi="Book Antiqua" w:cs="Helvetica" w:hint="eastAsia"/>
          <w:sz w:val="24"/>
          <w:szCs w:val="24"/>
          <w:lang w:eastAsia="zh-CN"/>
        </w:rPr>
        <w:t>0</w:t>
      </w:r>
    </w:p>
    <w:p w14:paraId="76F86DA9" w14:textId="77777777" w:rsidR="00BC081A" w:rsidRPr="00BC081A" w:rsidRDefault="00BC081A" w:rsidP="00BC081A">
      <w:pPr>
        <w:snapToGrid w:val="0"/>
        <w:spacing w:after="0" w:line="360" w:lineRule="auto"/>
        <w:jc w:val="both"/>
        <w:rPr>
          <w:rFonts w:ascii="Book Antiqua" w:eastAsia="宋体" w:hAnsi="Book Antiqua" w:cs="Times New Roman"/>
          <w:b/>
          <w:iCs/>
          <w:sz w:val="24"/>
          <w:szCs w:val="24"/>
          <w:lang w:eastAsia="zh-CN"/>
        </w:rPr>
      </w:pPr>
      <w:r w:rsidRPr="00BC081A">
        <w:rPr>
          <w:rFonts w:ascii="Book Antiqua" w:eastAsia="宋体" w:hAnsi="Book Antiqua" w:cs="Helvetica"/>
          <w:sz w:val="24"/>
          <w:szCs w:val="24"/>
          <w:lang w:eastAsia="zh-CN"/>
        </w:rPr>
        <w:t xml:space="preserve">Grade E (Poor): </w:t>
      </w:r>
      <w:r w:rsidRPr="00BC081A">
        <w:rPr>
          <w:rFonts w:ascii="Book Antiqua" w:eastAsia="宋体" w:hAnsi="Book Antiqua" w:cs="Helvetica" w:hint="eastAsia"/>
          <w:sz w:val="24"/>
          <w:szCs w:val="24"/>
          <w:lang w:eastAsia="zh-CN"/>
        </w:rPr>
        <w:t>0</w:t>
      </w:r>
      <w:bookmarkEnd w:id="214"/>
      <w:bookmarkEnd w:id="219"/>
      <w:bookmarkEnd w:id="220"/>
    </w:p>
    <w:bookmarkEnd w:id="215"/>
    <w:bookmarkEnd w:id="216"/>
    <w:bookmarkEnd w:id="217"/>
    <w:bookmarkEnd w:id="218"/>
    <w:p w14:paraId="1576255C" w14:textId="77777777" w:rsidR="00BC081A" w:rsidRPr="00424816" w:rsidRDefault="00BC081A" w:rsidP="00424816">
      <w:pPr>
        <w:adjustRightInd w:val="0"/>
        <w:snapToGrid w:val="0"/>
        <w:spacing w:after="0" w:line="360" w:lineRule="auto"/>
        <w:jc w:val="both"/>
        <w:rPr>
          <w:rFonts w:ascii="Book Antiqua" w:eastAsia="宋体" w:hAnsi="Book Antiqua" w:cs="宋体"/>
          <w:sz w:val="24"/>
          <w:szCs w:val="24"/>
          <w:lang w:eastAsia="zh-CN"/>
        </w:rPr>
      </w:pPr>
    </w:p>
    <w:p w14:paraId="32B7B4FB" w14:textId="77777777" w:rsidR="006826F0" w:rsidRDefault="006826F0">
      <w:pPr>
        <w:rPr>
          <w:rFonts w:ascii="Book Antiqua" w:hAnsi="Book Antiqua" w:cs="Times New Roman"/>
          <w:sz w:val="24"/>
          <w:szCs w:val="24"/>
        </w:rPr>
      </w:pPr>
      <w:r>
        <w:rPr>
          <w:rFonts w:ascii="Book Antiqua" w:hAnsi="Book Antiqua" w:cs="Times New Roman"/>
          <w:sz w:val="24"/>
          <w:szCs w:val="24"/>
        </w:rPr>
        <w:br w:type="page"/>
      </w:r>
    </w:p>
    <w:p w14:paraId="736C4A5C" w14:textId="624A153C" w:rsidR="007226E0" w:rsidRDefault="004B5A59" w:rsidP="006826F0">
      <w:pPr>
        <w:adjustRightInd w:val="0"/>
        <w:snapToGrid w:val="0"/>
        <w:spacing w:after="0" w:line="360" w:lineRule="auto"/>
        <w:jc w:val="both"/>
        <w:rPr>
          <w:rFonts w:ascii="Book Antiqua" w:hAnsi="Book Antiqua" w:cs="Times New Roman"/>
          <w:sz w:val="24"/>
          <w:szCs w:val="24"/>
        </w:rPr>
      </w:pPr>
      <w:r w:rsidRPr="004B5A59">
        <w:rPr>
          <w:noProof/>
          <w:lang w:eastAsia="zh-CN"/>
        </w:rPr>
        <w:drawing>
          <wp:inline distT="0" distB="0" distL="0" distR="0" wp14:anchorId="4F1D83F3" wp14:editId="6FEDE13F">
            <wp:extent cx="5943600" cy="5765165"/>
            <wp:effectExtent l="0" t="0" r="0"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5765165"/>
                    </a:xfrm>
                    <a:prstGeom prst="rect">
                      <a:avLst/>
                    </a:prstGeom>
                  </pic:spPr>
                </pic:pic>
              </a:graphicData>
            </a:graphic>
          </wp:inline>
        </w:drawing>
      </w:r>
    </w:p>
    <w:p w14:paraId="230EBC89" w14:textId="35014022" w:rsidR="006826F0" w:rsidRPr="00C07A76" w:rsidRDefault="006826F0" w:rsidP="00C07A76">
      <w:pPr>
        <w:adjustRightInd w:val="0"/>
        <w:snapToGrid w:val="0"/>
        <w:spacing w:after="0" w:line="360" w:lineRule="auto"/>
        <w:jc w:val="both"/>
        <w:rPr>
          <w:rFonts w:ascii="Book Antiqua" w:hAnsi="Book Antiqua"/>
          <w:b/>
          <w:bCs/>
          <w:sz w:val="24"/>
          <w:szCs w:val="24"/>
        </w:rPr>
      </w:pPr>
      <w:r w:rsidRPr="00C07A76">
        <w:rPr>
          <w:rFonts w:ascii="Book Antiqua" w:hAnsi="Book Antiqua"/>
          <w:b/>
          <w:bCs/>
          <w:sz w:val="24"/>
          <w:szCs w:val="24"/>
        </w:rPr>
        <w:t>Figure 1 Workflow of Pub</w:t>
      </w:r>
      <w:r w:rsidR="009A4DFE" w:rsidRPr="00C07A76">
        <w:rPr>
          <w:rFonts w:ascii="Book Antiqua" w:hAnsi="Book Antiqua"/>
          <w:b/>
          <w:bCs/>
          <w:sz w:val="24"/>
          <w:szCs w:val="24"/>
        </w:rPr>
        <w:t>M</w:t>
      </w:r>
      <w:r w:rsidRPr="00C07A76">
        <w:rPr>
          <w:rFonts w:ascii="Book Antiqua" w:hAnsi="Book Antiqua"/>
          <w:b/>
          <w:bCs/>
          <w:sz w:val="24"/>
          <w:szCs w:val="24"/>
        </w:rPr>
        <w:t xml:space="preserve">ed and </w:t>
      </w:r>
      <w:r w:rsidR="00C07A76" w:rsidRPr="00C07A76">
        <w:rPr>
          <w:rFonts w:ascii="Book Antiqua" w:hAnsi="Book Antiqua"/>
          <w:b/>
          <w:bCs/>
          <w:sz w:val="24"/>
          <w:szCs w:val="24"/>
        </w:rPr>
        <w:t>Scopus</w:t>
      </w:r>
      <w:r w:rsidRPr="00C07A76">
        <w:rPr>
          <w:rFonts w:ascii="Book Antiqua" w:hAnsi="Book Antiqua"/>
          <w:b/>
          <w:bCs/>
          <w:sz w:val="24"/>
          <w:szCs w:val="24"/>
        </w:rPr>
        <w:t xml:space="preserve"> database query</w:t>
      </w:r>
      <w:r w:rsidR="00B1176C">
        <w:rPr>
          <w:rFonts w:ascii="Book Antiqua" w:hAnsi="Book Antiqua"/>
          <w:b/>
          <w:bCs/>
          <w:sz w:val="24"/>
          <w:szCs w:val="24"/>
        </w:rPr>
        <w:t>.</w:t>
      </w:r>
    </w:p>
    <w:p w14:paraId="07638D18" w14:textId="59E3A78E" w:rsidR="00E6372C" w:rsidRDefault="00E6372C">
      <w:pPr>
        <w:rPr>
          <w:rFonts w:ascii="Book Antiqua" w:eastAsia="Calibri" w:hAnsi="Book Antiqua" w:cs="Times New Roman"/>
          <w:sz w:val="24"/>
          <w:szCs w:val="24"/>
        </w:rPr>
      </w:pPr>
      <w:r>
        <w:rPr>
          <w:rFonts w:ascii="Book Antiqua" w:eastAsia="Calibri" w:hAnsi="Book Antiqua" w:cs="Times New Roman"/>
          <w:sz w:val="24"/>
          <w:szCs w:val="24"/>
        </w:rPr>
        <w:br w:type="page"/>
      </w:r>
    </w:p>
    <w:p w14:paraId="0D9FD5B8" w14:textId="3BBE39BC" w:rsidR="006826F0" w:rsidRPr="00E6372C" w:rsidRDefault="00E6372C" w:rsidP="00E6372C">
      <w:pPr>
        <w:adjustRightInd w:val="0"/>
        <w:snapToGrid w:val="0"/>
        <w:spacing w:after="0" w:line="360" w:lineRule="auto"/>
        <w:jc w:val="both"/>
        <w:rPr>
          <w:b/>
          <w:bCs/>
        </w:rPr>
      </w:pPr>
      <w:r w:rsidRPr="00E6372C">
        <w:rPr>
          <w:rFonts w:ascii="Book Antiqua" w:eastAsia="Times New Roman" w:hAnsi="Book Antiqua" w:cs="Times New Roman"/>
          <w:b/>
          <w:bCs/>
          <w:color w:val="000000"/>
          <w:sz w:val="24"/>
          <w:szCs w:val="24"/>
        </w:rPr>
        <w:t>Table 1 PubMed</w:t>
      </w:r>
      <w:r w:rsidR="00C07A76">
        <w:rPr>
          <w:rFonts w:ascii="Book Antiqua" w:eastAsia="Times New Roman" w:hAnsi="Book Antiqua" w:cs="Times New Roman"/>
          <w:b/>
          <w:bCs/>
          <w:color w:val="000000"/>
          <w:sz w:val="24"/>
          <w:szCs w:val="24"/>
        </w:rPr>
        <w:t xml:space="preserve"> and </w:t>
      </w:r>
      <w:r w:rsidR="00C07A76" w:rsidRPr="00E6372C">
        <w:rPr>
          <w:rFonts w:ascii="Book Antiqua" w:eastAsia="Times New Roman" w:hAnsi="Book Antiqua" w:cs="Times New Roman"/>
          <w:b/>
          <w:bCs/>
          <w:color w:val="000000"/>
          <w:sz w:val="24"/>
          <w:szCs w:val="24"/>
        </w:rPr>
        <w:t>Scopus</w:t>
      </w:r>
      <w:r w:rsidRPr="00E6372C">
        <w:rPr>
          <w:rFonts w:ascii="Book Antiqua" w:eastAsia="Times New Roman" w:hAnsi="Book Antiqua" w:cs="Times New Roman"/>
          <w:b/>
          <w:bCs/>
          <w:color w:val="000000"/>
          <w:sz w:val="24"/>
          <w:szCs w:val="24"/>
        </w:rPr>
        <w:t xml:space="preserve"> search results</w:t>
      </w:r>
    </w:p>
    <w:tbl>
      <w:tblPr>
        <w:tblW w:w="6295" w:type="dxa"/>
        <w:tblBorders>
          <w:top w:val="single" w:sz="4" w:space="0" w:color="auto"/>
          <w:bottom w:val="single" w:sz="4" w:space="0" w:color="auto"/>
        </w:tblBorders>
        <w:tblLayout w:type="fixed"/>
        <w:tblLook w:val="04A0" w:firstRow="1" w:lastRow="0" w:firstColumn="1" w:lastColumn="0" w:noHBand="0" w:noVBand="1"/>
      </w:tblPr>
      <w:tblGrid>
        <w:gridCol w:w="5125"/>
        <w:gridCol w:w="1170"/>
      </w:tblGrid>
      <w:tr w:rsidR="006826F0" w:rsidRPr="00907C84" w14:paraId="46CCD108" w14:textId="77777777" w:rsidTr="00C07A76">
        <w:trPr>
          <w:trHeight w:val="287"/>
        </w:trPr>
        <w:tc>
          <w:tcPr>
            <w:tcW w:w="5125" w:type="dxa"/>
            <w:tcBorders>
              <w:top w:val="single" w:sz="4" w:space="0" w:color="auto"/>
              <w:bottom w:val="single" w:sz="4" w:space="0" w:color="auto"/>
            </w:tcBorders>
            <w:vAlign w:val="bottom"/>
          </w:tcPr>
          <w:p w14:paraId="2AF587A6" w14:textId="77777777" w:rsidR="006826F0" w:rsidRPr="00E6372C" w:rsidRDefault="006826F0" w:rsidP="00E6372C">
            <w:pPr>
              <w:adjustRightInd w:val="0"/>
              <w:snapToGrid w:val="0"/>
              <w:spacing w:after="0" w:line="360" w:lineRule="auto"/>
              <w:jc w:val="both"/>
              <w:rPr>
                <w:rFonts w:ascii="Book Antiqua" w:eastAsia="Times New Roman" w:hAnsi="Book Antiqua" w:cs="Times New Roman"/>
                <w:b/>
                <w:bCs/>
                <w:color w:val="000000"/>
                <w:sz w:val="24"/>
                <w:szCs w:val="24"/>
              </w:rPr>
            </w:pPr>
            <w:r w:rsidRPr="00E6372C">
              <w:rPr>
                <w:rFonts w:ascii="Book Antiqua" w:eastAsia="Times New Roman" w:hAnsi="Book Antiqua" w:cs="Times New Roman"/>
                <w:b/>
                <w:bCs/>
                <w:color w:val="000000"/>
                <w:sz w:val="24"/>
                <w:szCs w:val="24"/>
              </w:rPr>
              <w:t>Search</w:t>
            </w:r>
          </w:p>
        </w:tc>
        <w:tc>
          <w:tcPr>
            <w:tcW w:w="1170" w:type="dxa"/>
            <w:tcBorders>
              <w:top w:val="single" w:sz="4" w:space="0" w:color="auto"/>
              <w:bottom w:val="single" w:sz="4" w:space="0" w:color="auto"/>
            </w:tcBorders>
            <w:vAlign w:val="bottom"/>
          </w:tcPr>
          <w:p w14:paraId="2861B0EA" w14:textId="77777777" w:rsidR="006826F0" w:rsidRPr="00E6372C" w:rsidRDefault="006826F0" w:rsidP="00E6372C">
            <w:pPr>
              <w:adjustRightInd w:val="0"/>
              <w:snapToGrid w:val="0"/>
              <w:spacing w:after="0" w:line="360" w:lineRule="auto"/>
              <w:jc w:val="center"/>
              <w:rPr>
                <w:rFonts w:ascii="Book Antiqua" w:eastAsia="Times New Roman" w:hAnsi="Book Antiqua" w:cs="Times New Roman"/>
                <w:b/>
                <w:bCs/>
                <w:color w:val="000000"/>
                <w:sz w:val="24"/>
                <w:szCs w:val="24"/>
              </w:rPr>
            </w:pPr>
            <w:r w:rsidRPr="00E6372C">
              <w:rPr>
                <w:rFonts w:ascii="Book Antiqua" w:eastAsia="Times New Roman" w:hAnsi="Book Antiqua" w:cs="Times New Roman"/>
                <w:b/>
                <w:bCs/>
                <w:color w:val="000000"/>
                <w:sz w:val="24"/>
                <w:szCs w:val="24"/>
              </w:rPr>
              <w:t>Hits</w:t>
            </w:r>
          </w:p>
        </w:tc>
      </w:tr>
      <w:tr w:rsidR="00C07A76" w:rsidRPr="00907C84" w14:paraId="718904F0" w14:textId="77777777" w:rsidTr="00C07A76">
        <w:trPr>
          <w:trHeight w:val="260"/>
        </w:trPr>
        <w:tc>
          <w:tcPr>
            <w:tcW w:w="5125" w:type="dxa"/>
            <w:tcBorders>
              <w:top w:val="single" w:sz="4" w:space="0" w:color="auto"/>
              <w:bottom w:val="nil"/>
            </w:tcBorders>
            <w:noWrap/>
            <w:vAlign w:val="bottom"/>
          </w:tcPr>
          <w:p w14:paraId="426EDCC7" w14:textId="333DEAB3" w:rsidR="00C07A76" w:rsidRPr="00C07A76" w:rsidRDefault="00C07A76" w:rsidP="00E6372C">
            <w:pPr>
              <w:adjustRightInd w:val="0"/>
              <w:snapToGrid w:val="0"/>
              <w:spacing w:after="0" w:line="360" w:lineRule="auto"/>
              <w:jc w:val="both"/>
              <w:rPr>
                <w:rFonts w:ascii="Book Antiqua" w:hAnsi="Book Antiqua" w:cs="Times New Roman"/>
                <w:color w:val="000000"/>
                <w:sz w:val="24"/>
                <w:szCs w:val="24"/>
              </w:rPr>
            </w:pPr>
            <w:r w:rsidRPr="00C07A76">
              <w:rPr>
                <w:rFonts w:ascii="Book Antiqua" w:eastAsia="Times New Roman" w:hAnsi="Book Antiqua" w:cs="Times New Roman"/>
                <w:color w:val="000000"/>
                <w:sz w:val="24"/>
                <w:szCs w:val="24"/>
              </w:rPr>
              <w:t>PubMed search results</w:t>
            </w:r>
          </w:p>
        </w:tc>
        <w:tc>
          <w:tcPr>
            <w:tcW w:w="1170" w:type="dxa"/>
            <w:tcBorders>
              <w:top w:val="single" w:sz="4" w:space="0" w:color="auto"/>
              <w:bottom w:val="nil"/>
            </w:tcBorders>
            <w:noWrap/>
            <w:vAlign w:val="bottom"/>
          </w:tcPr>
          <w:p w14:paraId="321883E7" w14:textId="77777777" w:rsidR="00C07A76" w:rsidRPr="00907C84" w:rsidRDefault="00C07A76" w:rsidP="00E6372C">
            <w:pPr>
              <w:adjustRightInd w:val="0"/>
              <w:snapToGrid w:val="0"/>
              <w:spacing w:after="0" w:line="360" w:lineRule="auto"/>
              <w:jc w:val="center"/>
              <w:rPr>
                <w:rFonts w:ascii="Book Antiqua" w:eastAsia="Times New Roman" w:hAnsi="Book Antiqua" w:cs="Times New Roman"/>
                <w:color w:val="000000"/>
                <w:sz w:val="24"/>
                <w:szCs w:val="24"/>
              </w:rPr>
            </w:pPr>
          </w:p>
        </w:tc>
      </w:tr>
      <w:tr w:rsidR="006826F0" w:rsidRPr="00907C84" w14:paraId="1FF4FF47" w14:textId="77777777" w:rsidTr="00C07A76">
        <w:trPr>
          <w:trHeight w:val="260"/>
        </w:trPr>
        <w:tc>
          <w:tcPr>
            <w:tcW w:w="5125" w:type="dxa"/>
            <w:tcBorders>
              <w:top w:val="nil"/>
            </w:tcBorders>
            <w:noWrap/>
            <w:vAlign w:val="bottom"/>
          </w:tcPr>
          <w:p w14:paraId="3A7BF972" w14:textId="47E5B7D5" w:rsidR="006826F0" w:rsidRPr="00907C84" w:rsidRDefault="006826F0" w:rsidP="00C07A76">
            <w:pPr>
              <w:adjustRightInd w:val="0"/>
              <w:snapToGrid w:val="0"/>
              <w:spacing w:after="0" w:line="360" w:lineRule="auto"/>
              <w:ind w:leftChars="50" w:left="110"/>
              <w:jc w:val="both"/>
              <w:rPr>
                <w:rFonts w:ascii="Book Antiqua" w:hAnsi="Book Antiqua" w:cs="Times New Roman"/>
                <w:color w:val="000000"/>
                <w:sz w:val="24"/>
                <w:szCs w:val="24"/>
              </w:rPr>
            </w:pPr>
            <w:r w:rsidRPr="00907C84">
              <w:rPr>
                <w:rFonts w:ascii="Book Antiqua" w:hAnsi="Book Antiqua" w:cs="Times New Roman"/>
                <w:color w:val="000000"/>
                <w:sz w:val="24"/>
                <w:szCs w:val="24"/>
              </w:rPr>
              <w:t xml:space="preserve">Arthroplasty </w:t>
            </w:r>
            <w:r w:rsidR="00E6372C" w:rsidRPr="00907C84">
              <w:rPr>
                <w:rFonts w:ascii="Book Antiqua" w:hAnsi="Book Antiqua" w:cs="Times New Roman"/>
                <w:color w:val="000000"/>
                <w:sz w:val="24"/>
                <w:szCs w:val="24"/>
              </w:rPr>
              <w:t>and dental and clearance</w:t>
            </w:r>
          </w:p>
        </w:tc>
        <w:tc>
          <w:tcPr>
            <w:tcW w:w="1170" w:type="dxa"/>
            <w:tcBorders>
              <w:top w:val="nil"/>
            </w:tcBorders>
            <w:noWrap/>
            <w:vAlign w:val="bottom"/>
          </w:tcPr>
          <w:p w14:paraId="411D6693" w14:textId="77777777" w:rsidR="006826F0" w:rsidRPr="00907C84" w:rsidRDefault="006826F0" w:rsidP="00E6372C">
            <w:pPr>
              <w:adjustRightInd w:val="0"/>
              <w:snapToGrid w:val="0"/>
              <w:spacing w:after="0" w:line="360" w:lineRule="auto"/>
              <w:jc w:val="center"/>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5</w:t>
            </w:r>
          </w:p>
        </w:tc>
      </w:tr>
      <w:tr w:rsidR="006826F0" w:rsidRPr="00907C84" w14:paraId="2AC36334" w14:textId="77777777" w:rsidTr="00C07A76">
        <w:trPr>
          <w:trHeight w:val="341"/>
        </w:trPr>
        <w:tc>
          <w:tcPr>
            <w:tcW w:w="5125" w:type="dxa"/>
            <w:noWrap/>
            <w:vAlign w:val="bottom"/>
          </w:tcPr>
          <w:p w14:paraId="14F21386" w14:textId="76778B4F" w:rsidR="006826F0" w:rsidRPr="00907C84" w:rsidRDefault="006826F0" w:rsidP="00C07A76">
            <w:pPr>
              <w:adjustRightInd w:val="0"/>
              <w:snapToGrid w:val="0"/>
              <w:spacing w:after="0" w:line="360" w:lineRule="auto"/>
              <w:ind w:leftChars="50" w:left="110"/>
              <w:jc w:val="both"/>
              <w:rPr>
                <w:rFonts w:ascii="Book Antiqua" w:eastAsia="Times New Roman" w:hAnsi="Book Antiqua" w:cs="Times New Roman"/>
                <w:color w:val="000000"/>
                <w:sz w:val="24"/>
                <w:szCs w:val="24"/>
              </w:rPr>
            </w:pPr>
            <w:r w:rsidRPr="00907C84">
              <w:rPr>
                <w:rFonts w:ascii="Book Antiqua" w:hAnsi="Book Antiqua" w:cs="Times New Roman"/>
                <w:color w:val="000000"/>
                <w:sz w:val="24"/>
                <w:szCs w:val="24"/>
              </w:rPr>
              <w:t xml:space="preserve">Arthroplasty </w:t>
            </w:r>
            <w:r w:rsidR="00E6372C" w:rsidRPr="00907C84">
              <w:rPr>
                <w:rFonts w:ascii="Book Antiqua" w:hAnsi="Book Antiqua" w:cs="Times New Roman"/>
                <w:color w:val="000000"/>
                <w:sz w:val="24"/>
                <w:szCs w:val="24"/>
              </w:rPr>
              <w:t>and dental and hygiene</w:t>
            </w:r>
          </w:p>
        </w:tc>
        <w:tc>
          <w:tcPr>
            <w:tcW w:w="1170" w:type="dxa"/>
            <w:noWrap/>
            <w:vAlign w:val="bottom"/>
          </w:tcPr>
          <w:p w14:paraId="25E3AF28" w14:textId="77777777" w:rsidR="006826F0" w:rsidRPr="00907C84" w:rsidRDefault="006826F0" w:rsidP="00E6372C">
            <w:pPr>
              <w:adjustRightInd w:val="0"/>
              <w:snapToGrid w:val="0"/>
              <w:spacing w:after="0" w:line="360" w:lineRule="auto"/>
              <w:jc w:val="center"/>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21</w:t>
            </w:r>
          </w:p>
        </w:tc>
      </w:tr>
      <w:tr w:rsidR="006826F0" w:rsidRPr="00907C84" w14:paraId="63AF665A" w14:textId="77777777" w:rsidTr="00C07A76">
        <w:trPr>
          <w:trHeight w:val="295"/>
        </w:trPr>
        <w:tc>
          <w:tcPr>
            <w:tcW w:w="5125" w:type="dxa"/>
            <w:noWrap/>
            <w:vAlign w:val="bottom"/>
          </w:tcPr>
          <w:p w14:paraId="24C19B48" w14:textId="77777777" w:rsidR="006826F0" w:rsidRPr="00907C84" w:rsidRDefault="006826F0" w:rsidP="00C07A76">
            <w:pPr>
              <w:adjustRightInd w:val="0"/>
              <w:snapToGrid w:val="0"/>
              <w:spacing w:after="0" w:line="360" w:lineRule="auto"/>
              <w:ind w:leftChars="50" w:left="110"/>
              <w:jc w:val="both"/>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Sourced from citations</w:t>
            </w:r>
          </w:p>
        </w:tc>
        <w:tc>
          <w:tcPr>
            <w:tcW w:w="1170" w:type="dxa"/>
            <w:noWrap/>
            <w:vAlign w:val="bottom"/>
          </w:tcPr>
          <w:p w14:paraId="326EE762" w14:textId="77777777" w:rsidR="006826F0" w:rsidRPr="00907C84" w:rsidRDefault="006826F0" w:rsidP="00E6372C">
            <w:pPr>
              <w:adjustRightInd w:val="0"/>
              <w:snapToGrid w:val="0"/>
              <w:spacing w:after="0" w:line="360" w:lineRule="auto"/>
              <w:jc w:val="center"/>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0</w:t>
            </w:r>
          </w:p>
        </w:tc>
      </w:tr>
      <w:tr w:rsidR="00C07A76" w:rsidRPr="00907C84" w14:paraId="76FE4747" w14:textId="77777777" w:rsidTr="00C07A76">
        <w:trPr>
          <w:trHeight w:val="295"/>
        </w:trPr>
        <w:tc>
          <w:tcPr>
            <w:tcW w:w="5125" w:type="dxa"/>
            <w:noWrap/>
            <w:vAlign w:val="bottom"/>
          </w:tcPr>
          <w:p w14:paraId="5DAFAC2E" w14:textId="11163E0E" w:rsidR="00C07A76" w:rsidRPr="00C07A76" w:rsidRDefault="00C07A76" w:rsidP="00C07A76">
            <w:pPr>
              <w:adjustRightInd w:val="0"/>
              <w:snapToGrid w:val="0"/>
              <w:spacing w:after="0" w:line="360" w:lineRule="auto"/>
              <w:jc w:val="both"/>
              <w:rPr>
                <w:rFonts w:ascii="Book Antiqua" w:eastAsia="Times New Roman" w:hAnsi="Book Antiqua" w:cs="Times New Roman"/>
                <w:color w:val="000000"/>
                <w:sz w:val="24"/>
                <w:szCs w:val="24"/>
              </w:rPr>
            </w:pPr>
            <w:r w:rsidRPr="00C07A76">
              <w:rPr>
                <w:rFonts w:ascii="Book Antiqua" w:eastAsia="Times New Roman" w:hAnsi="Book Antiqua" w:cs="Times New Roman"/>
                <w:color w:val="000000"/>
                <w:sz w:val="24"/>
                <w:szCs w:val="24"/>
              </w:rPr>
              <w:t>Scopus search results</w:t>
            </w:r>
          </w:p>
        </w:tc>
        <w:tc>
          <w:tcPr>
            <w:tcW w:w="1170" w:type="dxa"/>
            <w:noWrap/>
            <w:vAlign w:val="bottom"/>
          </w:tcPr>
          <w:p w14:paraId="376D4BB6" w14:textId="77777777" w:rsidR="00C07A76" w:rsidRPr="00907C84" w:rsidRDefault="00C07A76" w:rsidP="00E6372C">
            <w:pPr>
              <w:adjustRightInd w:val="0"/>
              <w:snapToGrid w:val="0"/>
              <w:spacing w:after="0" w:line="360" w:lineRule="auto"/>
              <w:jc w:val="center"/>
              <w:rPr>
                <w:rFonts w:ascii="Book Antiqua" w:eastAsia="Times New Roman" w:hAnsi="Book Antiqua" w:cs="Times New Roman"/>
                <w:color w:val="000000"/>
                <w:sz w:val="24"/>
                <w:szCs w:val="24"/>
              </w:rPr>
            </w:pPr>
          </w:p>
        </w:tc>
      </w:tr>
      <w:tr w:rsidR="00C07A76" w:rsidRPr="00907C84" w14:paraId="72CDC0DB" w14:textId="77777777" w:rsidTr="00C07A76">
        <w:trPr>
          <w:trHeight w:val="295"/>
        </w:trPr>
        <w:tc>
          <w:tcPr>
            <w:tcW w:w="5125" w:type="dxa"/>
            <w:noWrap/>
            <w:vAlign w:val="bottom"/>
          </w:tcPr>
          <w:p w14:paraId="70EAB9FA" w14:textId="1773BD80" w:rsidR="00C07A76" w:rsidRPr="00C07A76" w:rsidRDefault="00C07A76" w:rsidP="00C07A76">
            <w:pPr>
              <w:adjustRightInd w:val="0"/>
              <w:snapToGrid w:val="0"/>
              <w:spacing w:after="0" w:line="360" w:lineRule="auto"/>
              <w:ind w:leftChars="50" w:left="110"/>
              <w:jc w:val="both"/>
              <w:rPr>
                <w:rFonts w:ascii="Book Antiqua" w:eastAsia="Times New Roman" w:hAnsi="Book Antiqua" w:cs="Times New Roman"/>
                <w:color w:val="000000"/>
                <w:sz w:val="24"/>
                <w:szCs w:val="24"/>
              </w:rPr>
            </w:pPr>
            <w:r w:rsidRPr="00907C84">
              <w:rPr>
                <w:rFonts w:ascii="Book Antiqua" w:hAnsi="Book Antiqua" w:cs="Times New Roman"/>
                <w:color w:val="000000"/>
                <w:sz w:val="24"/>
                <w:szCs w:val="24"/>
              </w:rPr>
              <w:t>Arthroplasty and dental and clearance</w:t>
            </w:r>
          </w:p>
        </w:tc>
        <w:tc>
          <w:tcPr>
            <w:tcW w:w="1170" w:type="dxa"/>
            <w:noWrap/>
            <w:vAlign w:val="bottom"/>
          </w:tcPr>
          <w:p w14:paraId="77EDA487" w14:textId="59545E32" w:rsidR="00C07A76" w:rsidRPr="00C07A76" w:rsidRDefault="00C07A76" w:rsidP="00E6372C">
            <w:pPr>
              <w:adjustRightInd w:val="0"/>
              <w:snapToGrid w:val="0"/>
              <w:spacing w:after="0" w:line="360" w:lineRule="auto"/>
              <w:jc w:val="center"/>
              <w:rPr>
                <w:rFonts w:ascii="Book Antiqua" w:hAnsi="Book Antiqua" w:cs="Times New Roman"/>
                <w:color w:val="000000"/>
                <w:sz w:val="24"/>
                <w:szCs w:val="24"/>
                <w:lang w:eastAsia="zh-CN"/>
              </w:rPr>
            </w:pPr>
            <w:r>
              <w:rPr>
                <w:rFonts w:ascii="Book Antiqua" w:hAnsi="Book Antiqua" w:cs="Times New Roman" w:hint="eastAsia"/>
                <w:color w:val="000000"/>
                <w:sz w:val="24"/>
                <w:szCs w:val="24"/>
                <w:lang w:eastAsia="zh-CN"/>
              </w:rPr>
              <w:t>5</w:t>
            </w:r>
          </w:p>
        </w:tc>
      </w:tr>
      <w:tr w:rsidR="00C07A76" w:rsidRPr="00907C84" w14:paraId="63240FDD" w14:textId="77777777" w:rsidTr="00C07A76">
        <w:trPr>
          <w:trHeight w:val="295"/>
        </w:trPr>
        <w:tc>
          <w:tcPr>
            <w:tcW w:w="5125" w:type="dxa"/>
            <w:noWrap/>
            <w:vAlign w:val="bottom"/>
          </w:tcPr>
          <w:p w14:paraId="1815A2AA" w14:textId="05F8A958" w:rsidR="00C07A76" w:rsidRPr="00C07A76" w:rsidRDefault="00C07A76" w:rsidP="00C07A76">
            <w:pPr>
              <w:adjustRightInd w:val="0"/>
              <w:snapToGrid w:val="0"/>
              <w:spacing w:after="0" w:line="360" w:lineRule="auto"/>
              <w:ind w:leftChars="50" w:left="110"/>
              <w:jc w:val="both"/>
              <w:rPr>
                <w:rFonts w:ascii="Book Antiqua" w:eastAsia="Times New Roman" w:hAnsi="Book Antiqua" w:cs="Times New Roman"/>
                <w:color w:val="000000"/>
                <w:sz w:val="24"/>
                <w:szCs w:val="24"/>
              </w:rPr>
            </w:pPr>
            <w:r w:rsidRPr="00907C84">
              <w:rPr>
                <w:rFonts w:ascii="Book Antiqua" w:hAnsi="Book Antiqua" w:cs="Times New Roman"/>
                <w:color w:val="000000"/>
                <w:sz w:val="24"/>
                <w:szCs w:val="24"/>
              </w:rPr>
              <w:t>Arthroplasty and dental and hygiene</w:t>
            </w:r>
          </w:p>
        </w:tc>
        <w:tc>
          <w:tcPr>
            <w:tcW w:w="1170" w:type="dxa"/>
            <w:noWrap/>
            <w:vAlign w:val="bottom"/>
          </w:tcPr>
          <w:p w14:paraId="110E0D62" w14:textId="0971AC82" w:rsidR="00C07A76" w:rsidRPr="00C07A76" w:rsidRDefault="00C07A76" w:rsidP="00E6372C">
            <w:pPr>
              <w:adjustRightInd w:val="0"/>
              <w:snapToGrid w:val="0"/>
              <w:spacing w:after="0" w:line="360" w:lineRule="auto"/>
              <w:jc w:val="center"/>
              <w:rPr>
                <w:rFonts w:ascii="Book Antiqua" w:hAnsi="Book Antiqua" w:cs="Times New Roman"/>
                <w:color w:val="000000"/>
                <w:sz w:val="24"/>
                <w:szCs w:val="24"/>
                <w:lang w:eastAsia="zh-CN"/>
              </w:rPr>
            </w:pPr>
            <w:r>
              <w:rPr>
                <w:rFonts w:ascii="Book Antiqua" w:hAnsi="Book Antiqua" w:cs="Times New Roman" w:hint="eastAsia"/>
                <w:color w:val="000000"/>
                <w:sz w:val="24"/>
                <w:szCs w:val="24"/>
                <w:lang w:eastAsia="zh-CN"/>
              </w:rPr>
              <w:t>1</w:t>
            </w:r>
            <w:r>
              <w:rPr>
                <w:rFonts w:ascii="Book Antiqua" w:hAnsi="Book Antiqua" w:cs="Times New Roman"/>
                <w:color w:val="000000"/>
                <w:sz w:val="24"/>
                <w:szCs w:val="24"/>
                <w:lang w:eastAsia="zh-CN"/>
              </w:rPr>
              <w:t>8</w:t>
            </w:r>
          </w:p>
        </w:tc>
      </w:tr>
      <w:tr w:rsidR="00C07A76" w:rsidRPr="00907C84" w14:paraId="3DECD23D" w14:textId="77777777" w:rsidTr="00C07A76">
        <w:trPr>
          <w:trHeight w:val="295"/>
        </w:trPr>
        <w:tc>
          <w:tcPr>
            <w:tcW w:w="5125" w:type="dxa"/>
            <w:noWrap/>
            <w:vAlign w:val="bottom"/>
          </w:tcPr>
          <w:p w14:paraId="5886D461" w14:textId="414A4560" w:rsidR="00C07A76" w:rsidRPr="00907C84" w:rsidRDefault="00C07A76" w:rsidP="00C07A76">
            <w:pPr>
              <w:adjustRightInd w:val="0"/>
              <w:snapToGrid w:val="0"/>
              <w:spacing w:after="0" w:line="360" w:lineRule="auto"/>
              <w:ind w:leftChars="50" w:left="110"/>
              <w:jc w:val="both"/>
              <w:rPr>
                <w:rFonts w:ascii="Book Antiqua" w:hAnsi="Book Antiqua" w:cs="Times New Roman"/>
                <w:color w:val="000000"/>
                <w:sz w:val="24"/>
                <w:szCs w:val="24"/>
              </w:rPr>
            </w:pPr>
            <w:r w:rsidRPr="00907C84">
              <w:rPr>
                <w:rFonts w:ascii="Book Antiqua" w:eastAsia="Times New Roman" w:hAnsi="Book Antiqua" w:cs="Times New Roman"/>
                <w:color w:val="000000"/>
                <w:sz w:val="24"/>
                <w:szCs w:val="24"/>
              </w:rPr>
              <w:t>Sourced from citations</w:t>
            </w:r>
          </w:p>
        </w:tc>
        <w:tc>
          <w:tcPr>
            <w:tcW w:w="1170" w:type="dxa"/>
            <w:noWrap/>
            <w:vAlign w:val="bottom"/>
          </w:tcPr>
          <w:p w14:paraId="478E6CB2" w14:textId="68F3A4C8" w:rsidR="00C07A76" w:rsidRPr="00C07A76" w:rsidRDefault="00C07A76" w:rsidP="00E6372C">
            <w:pPr>
              <w:adjustRightInd w:val="0"/>
              <w:snapToGrid w:val="0"/>
              <w:spacing w:after="0" w:line="360" w:lineRule="auto"/>
              <w:jc w:val="center"/>
              <w:rPr>
                <w:rFonts w:ascii="Book Antiqua" w:hAnsi="Book Antiqua" w:cs="Times New Roman"/>
                <w:color w:val="000000"/>
                <w:sz w:val="24"/>
                <w:szCs w:val="24"/>
                <w:lang w:eastAsia="zh-CN"/>
              </w:rPr>
            </w:pPr>
            <w:r>
              <w:rPr>
                <w:rFonts w:ascii="Book Antiqua" w:hAnsi="Book Antiqua" w:cs="Times New Roman" w:hint="eastAsia"/>
                <w:color w:val="000000"/>
                <w:sz w:val="24"/>
                <w:szCs w:val="24"/>
                <w:lang w:eastAsia="zh-CN"/>
              </w:rPr>
              <w:t>1</w:t>
            </w:r>
          </w:p>
        </w:tc>
      </w:tr>
    </w:tbl>
    <w:p w14:paraId="45248D2B" w14:textId="77777777" w:rsidR="00E6372C" w:rsidRDefault="00E6372C">
      <w:pPr>
        <w:rPr>
          <w:rFonts w:ascii="Book Antiqua" w:hAnsi="Book Antiqua" w:cs="Times New Roman"/>
          <w:sz w:val="24"/>
          <w:szCs w:val="24"/>
        </w:rPr>
      </w:pPr>
      <w:r>
        <w:rPr>
          <w:rFonts w:ascii="Book Antiqua" w:hAnsi="Book Antiqua" w:cs="Times New Roman"/>
          <w:sz w:val="24"/>
          <w:szCs w:val="24"/>
        </w:rPr>
        <w:br w:type="page"/>
      </w:r>
    </w:p>
    <w:p w14:paraId="58454034" w14:textId="0D532B05" w:rsidR="00E6372C" w:rsidRPr="00E6372C" w:rsidRDefault="00E6372C" w:rsidP="00E6372C">
      <w:pPr>
        <w:adjustRightInd w:val="0"/>
        <w:snapToGrid w:val="0"/>
        <w:spacing w:after="0" w:line="360" w:lineRule="auto"/>
        <w:jc w:val="both"/>
        <w:rPr>
          <w:rFonts w:ascii="Book Antiqua" w:hAnsi="Book Antiqua" w:cs="Times New Roman"/>
          <w:b/>
          <w:bCs/>
          <w:sz w:val="24"/>
          <w:szCs w:val="24"/>
        </w:rPr>
      </w:pPr>
      <w:r w:rsidRPr="00E6372C">
        <w:rPr>
          <w:rFonts w:ascii="Book Antiqua" w:hAnsi="Book Antiqua" w:cs="Times New Roman"/>
          <w:b/>
          <w:bCs/>
          <w:sz w:val="24"/>
          <w:szCs w:val="24"/>
        </w:rPr>
        <w:t>Table 2 Quality assessment based on downs and black questionnaire</w:t>
      </w:r>
    </w:p>
    <w:tbl>
      <w:tblPr>
        <w:tblStyle w:val="a3"/>
        <w:tblW w:w="9350" w:type="dxa"/>
        <w:tblBorders>
          <w:left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846"/>
        <w:gridCol w:w="1318"/>
        <w:gridCol w:w="1147"/>
        <w:gridCol w:w="1196"/>
        <w:gridCol w:w="900"/>
        <w:gridCol w:w="1295"/>
        <w:gridCol w:w="1127"/>
        <w:gridCol w:w="681"/>
        <w:gridCol w:w="840"/>
      </w:tblGrid>
      <w:tr w:rsidR="00E6372C" w:rsidRPr="00907C84" w14:paraId="61B0EBFA" w14:textId="77777777" w:rsidTr="00E6372C">
        <w:tc>
          <w:tcPr>
            <w:tcW w:w="846" w:type="dxa"/>
            <w:tcBorders>
              <w:top w:val="single" w:sz="4" w:space="0" w:color="auto"/>
              <w:bottom w:val="single" w:sz="4" w:space="0" w:color="auto"/>
            </w:tcBorders>
            <w:shd w:val="clear" w:color="auto" w:fill="FFFFFF" w:themeFill="background1"/>
            <w:vAlign w:val="center"/>
          </w:tcPr>
          <w:p w14:paraId="1FDCD237" w14:textId="77777777" w:rsidR="006826F0" w:rsidRPr="00E6372C" w:rsidRDefault="006826F0" w:rsidP="00E6372C">
            <w:pPr>
              <w:adjustRightInd w:val="0"/>
              <w:snapToGrid w:val="0"/>
              <w:spacing w:line="360" w:lineRule="auto"/>
              <w:jc w:val="both"/>
              <w:rPr>
                <w:rFonts w:ascii="Book Antiqua" w:eastAsia="Times New Roman" w:hAnsi="Book Antiqua" w:cs="Times New Roman"/>
                <w:b/>
                <w:bCs/>
                <w:color w:val="000000"/>
                <w:sz w:val="24"/>
                <w:szCs w:val="24"/>
              </w:rPr>
            </w:pPr>
          </w:p>
          <w:p w14:paraId="75795C6C" w14:textId="77777777" w:rsidR="006826F0" w:rsidRPr="00E6372C" w:rsidRDefault="006826F0" w:rsidP="00E6372C">
            <w:pPr>
              <w:adjustRightInd w:val="0"/>
              <w:snapToGrid w:val="0"/>
              <w:spacing w:line="360" w:lineRule="auto"/>
              <w:jc w:val="both"/>
              <w:rPr>
                <w:rFonts w:ascii="Book Antiqua" w:eastAsia="Times New Roman" w:hAnsi="Book Antiqua" w:cs="Times New Roman"/>
                <w:b/>
                <w:bCs/>
                <w:color w:val="000000"/>
                <w:sz w:val="24"/>
                <w:szCs w:val="24"/>
              </w:rPr>
            </w:pPr>
          </w:p>
        </w:tc>
        <w:tc>
          <w:tcPr>
            <w:tcW w:w="1318" w:type="dxa"/>
            <w:tcBorders>
              <w:top w:val="single" w:sz="4" w:space="0" w:color="auto"/>
              <w:bottom w:val="single" w:sz="4" w:space="0" w:color="auto"/>
            </w:tcBorders>
            <w:shd w:val="clear" w:color="auto" w:fill="FFFFFF" w:themeFill="background1"/>
            <w:vAlign w:val="center"/>
          </w:tcPr>
          <w:p w14:paraId="4BDB9046" w14:textId="7C54942F" w:rsidR="006826F0" w:rsidRPr="00E6372C" w:rsidRDefault="006826F0" w:rsidP="00E6372C">
            <w:pPr>
              <w:adjustRightInd w:val="0"/>
              <w:snapToGrid w:val="0"/>
              <w:spacing w:line="360" w:lineRule="auto"/>
              <w:jc w:val="center"/>
              <w:rPr>
                <w:rFonts w:ascii="Book Antiqua" w:eastAsia="Times New Roman" w:hAnsi="Book Antiqua" w:cs="Times New Roman"/>
                <w:b/>
                <w:bCs/>
                <w:color w:val="000000"/>
                <w:sz w:val="24"/>
                <w:szCs w:val="24"/>
              </w:rPr>
            </w:pPr>
            <w:proofErr w:type="spellStart"/>
            <w:r w:rsidRPr="00E6372C">
              <w:rPr>
                <w:rFonts w:ascii="Book Antiqua" w:eastAsia="Times New Roman" w:hAnsi="Book Antiqua" w:cs="Times New Roman"/>
                <w:b/>
                <w:bCs/>
                <w:color w:val="000000"/>
                <w:sz w:val="24"/>
                <w:szCs w:val="24"/>
              </w:rPr>
              <w:t>Adamkiewicz</w:t>
            </w:r>
            <w:proofErr w:type="spellEnd"/>
            <w:r w:rsidR="002F254B">
              <w:rPr>
                <w:rFonts w:ascii="Book Antiqua" w:eastAsia="Times New Roman" w:hAnsi="Book Antiqua" w:cs="Times New Roman"/>
                <w:b/>
                <w:bCs/>
                <w:color w:val="000000"/>
                <w:sz w:val="24"/>
                <w:szCs w:val="24"/>
              </w:rPr>
              <w:t xml:space="preserve"> </w:t>
            </w:r>
            <w:r w:rsidR="002F254B" w:rsidRPr="002F254B">
              <w:rPr>
                <w:rFonts w:ascii="Book Antiqua" w:eastAsia="Times New Roman" w:hAnsi="Book Antiqua" w:cs="Times New Roman"/>
                <w:b/>
                <w:bCs/>
                <w:i/>
                <w:iCs/>
                <w:color w:val="000000"/>
                <w:sz w:val="24"/>
                <w:szCs w:val="24"/>
              </w:rPr>
              <w:t>et al</w:t>
            </w:r>
            <w:r w:rsidR="00E6372C" w:rsidRPr="00E6372C">
              <w:rPr>
                <w:rFonts w:ascii="Book Antiqua" w:eastAsia="Times New Roman" w:hAnsi="Book Antiqua" w:cs="Times New Roman"/>
                <w:b/>
                <w:bCs/>
                <w:color w:val="000000"/>
                <w:sz w:val="24"/>
                <w:szCs w:val="24"/>
                <w:vertAlign w:val="superscript"/>
              </w:rPr>
              <w:t>[</w:t>
            </w:r>
            <w:r w:rsidRPr="00E6372C">
              <w:rPr>
                <w:rFonts w:ascii="Book Antiqua" w:eastAsia="Times New Roman" w:hAnsi="Book Antiqua" w:cs="Times New Roman"/>
                <w:b/>
                <w:bCs/>
                <w:color w:val="000000"/>
                <w:sz w:val="24"/>
                <w:szCs w:val="24"/>
                <w:vertAlign w:val="superscript"/>
              </w:rPr>
              <w:t>12</w:t>
            </w:r>
            <w:r w:rsidR="00E6372C">
              <w:rPr>
                <w:rFonts w:ascii="Book Antiqua" w:eastAsia="Times New Roman" w:hAnsi="Book Antiqua" w:cs="Times New Roman"/>
                <w:b/>
                <w:bCs/>
                <w:color w:val="000000"/>
                <w:sz w:val="24"/>
                <w:szCs w:val="24"/>
                <w:vertAlign w:val="superscript"/>
              </w:rPr>
              <w:t>]</w:t>
            </w:r>
          </w:p>
        </w:tc>
        <w:tc>
          <w:tcPr>
            <w:tcW w:w="1147" w:type="dxa"/>
            <w:tcBorders>
              <w:top w:val="single" w:sz="4" w:space="0" w:color="auto"/>
              <w:bottom w:val="single" w:sz="4" w:space="0" w:color="auto"/>
            </w:tcBorders>
            <w:shd w:val="clear" w:color="auto" w:fill="FFFFFF" w:themeFill="background1"/>
            <w:vAlign w:val="center"/>
          </w:tcPr>
          <w:p w14:paraId="413A9CC7" w14:textId="1EAB307B" w:rsidR="006826F0" w:rsidRPr="00E6372C" w:rsidRDefault="006826F0" w:rsidP="00E6372C">
            <w:pPr>
              <w:adjustRightInd w:val="0"/>
              <w:snapToGrid w:val="0"/>
              <w:spacing w:line="360" w:lineRule="auto"/>
              <w:jc w:val="center"/>
              <w:rPr>
                <w:rFonts w:ascii="Book Antiqua" w:eastAsia="Times New Roman" w:hAnsi="Book Antiqua" w:cs="Times New Roman"/>
                <w:b/>
                <w:bCs/>
                <w:color w:val="000000"/>
                <w:sz w:val="24"/>
                <w:szCs w:val="24"/>
                <w:vertAlign w:val="superscript"/>
              </w:rPr>
            </w:pPr>
            <w:proofErr w:type="spellStart"/>
            <w:r w:rsidRPr="00E6372C">
              <w:rPr>
                <w:rFonts w:ascii="Book Antiqua" w:eastAsia="Times New Roman" w:hAnsi="Book Antiqua" w:cs="Times New Roman"/>
                <w:b/>
                <w:bCs/>
                <w:color w:val="000000"/>
                <w:sz w:val="24"/>
                <w:szCs w:val="24"/>
              </w:rPr>
              <w:t>Tokarski</w:t>
            </w:r>
            <w:proofErr w:type="spellEnd"/>
            <w:r w:rsidR="002F254B">
              <w:rPr>
                <w:rFonts w:ascii="Book Antiqua" w:eastAsia="Times New Roman" w:hAnsi="Book Antiqua" w:cs="Times New Roman"/>
                <w:b/>
                <w:bCs/>
                <w:color w:val="000000"/>
                <w:sz w:val="24"/>
                <w:szCs w:val="24"/>
              </w:rPr>
              <w:t xml:space="preserve"> </w:t>
            </w:r>
            <w:r w:rsidR="002F254B" w:rsidRPr="002F254B">
              <w:rPr>
                <w:rFonts w:ascii="Book Antiqua" w:eastAsia="Times New Roman" w:hAnsi="Book Antiqua" w:cs="Times New Roman"/>
                <w:b/>
                <w:bCs/>
                <w:i/>
                <w:iCs/>
                <w:color w:val="000000"/>
                <w:sz w:val="24"/>
                <w:szCs w:val="24"/>
              </w:rPr>
              <w:t>et al</w:t>
            </w:r>
            <w:r w:rsidR="00E6372C" w:rsidRPr="00E6372C">
              <w:rPr>
                <w:rFonts w:ascii="Book Antiqua" w:eastAsia="Times New Roman" w:hAnsi="Book Antiqua" w:cs="Times New Roman"/>
                <w:b/>
                <w:bCs/>
                <w:color w:val="000000"/>
                <w:sz w:val="24"/>
                <w:szCs w:val="24"/>
                <w:vertAlign w:val="superscript"/>
              </w:rPr>
              <w:t>[</w:t>
            </w:r>
            <w:r w:rsidRPr="00E6372C">
              <w:rPr>
                <w:rFonts w:ascii="Book Antiqua" w:eastAsia="Times New Roman" w:hAnsi="Book Antiqua" w:cs="Times New Roman"/>
                <w:b/>
                <w:bCs/>
                <w:color w:val="000000"/>
                <w:sz w:val="24"/>
                <w:szCs w:val="24"/>
                <w:vertAlign w:val="superscript"/>
              </w:rPr>
              <w:t>13</w:t>
            </w:r>
            <w:r w:rsidR="00E6372C">
              <w:rPr>
                <w:rFonts w:ascii="Book Antiqua" w:eastAsia="Times New Roman" w:hAnsi="Book Antiqua" w:cs="Times New Roman"/>
                <w:b/>
                <w:bCs/>
                <w:color w:val="000000"/>
                <w:sz w:val="24"/>
                <w:szCs w:val="24"/>
                <w:vertAlign w:val="superscript"/>
              </w:rPr>
              <w:t>]</w:t>
            </w:r>
          </w:p>
        </w:tc>
        <w:tc>
          <w:tcPr>
            <w:tcW w:w="1196" w:type="dxa"/>
            <w:tcBorders>
              <w:top w:val="single" w:sz="4" w:space="0" w:color="auto"/>
              <w:bottom w:val="single" w:sz="4" w:space="0" w:color="auto"/>
            </w:tcBorders>
            <w:shd w:val="clear" w:color="auto" w:fill="FFFFFF" w:themeFill="background1"/>
            <w:vAlign w:val="center"/>
          </w:tcPr>
          <w:p w14:paraId="009D65D9" w14:textId="6639314A" w:rsidR="006826F0" w:rsidRPr="00E6372C" w:rsidRDefault="006826F0" w:rsidP="00E6372C">
            <w:pPr>
              <w:adjustRightInd w:val="0"/>
              <w:snapToGrid w:val="0"/>
              <w:spacing w:line="360" w:lineRule="auto"/>
              <w:jc w:val="center"/>
              <w:rPr>
                <w:rFonts w:ascii="Book Antiqua" w:eastAsia="Times New Roman" w:hAnsi="Book Antiqua" w:cs="Times New Roman"/>
                <w:b/>
                <w:bCs/>
                <w:color w:val="000000"/>
                <w:sz w:val="24"/>
                <w:szCs w:val="24"/>
              </w:rPr>
            </w:pPr>
            <w:proofErr w:type="spellStart"/>
            <w:r w:rsidRPr="00E6372C">
              <w:rPr>
                <w:rFonts w:ascii="Book Antiqua" w:eastAsia="Times New Roman" w:hAnsi="Book Antiqua" w:cs="Times New Roman"/>
                <w:b/>
                <w:bCs/>
                <w:color w:val="000000"/>
                <w:sz w:val="24"/>
                <w:szCs w:val="24"/>
              </w:rPr>
              <w:t>Vuorinen</w:t>
            </w:r>
            <w:proofErr w:type="spellEnd"/>
            <w:r w:rsidR="002F254B">
              <w:rPr>
                <w:rFonts w:ascii="Book Antiqua" w:eastAsia="Times New Roman" w:hAnsi="Book Antiqua" w:cs="Times New Roman"/>
                <w:b/>
                <w:bCs/>
                <w:color w:val="000000"/>
                <w:sz w:val="24"/>
                <w:szCs w:val="24"/>
              </w:rPr>
              <w:t xml:space="preserve"> </w:t>
            </w:r>
            <w:r w:rsidR="002F254B" w:rsidRPr="002F254B">
              <w:rPr>
                <w:rFonts w:ascii="Book Antiqua" w:eastAsia="Times New Roman" w:hAnsi="Book Antiqua" w:cs="Times New Roman"/>
                <w:b/>
                <w:bCs/>
                <w:i/>
                <w:iCs/>
                <w:color w:val="000000"/>
                <w:sz w:val="24"/>
                <w:szCs w:val="24"/>
              </w:rPr>
              <w:t>et al</w:t>
            </w:r>
            <w:r w:rsidR="00E6372C" w:rsidRPr="00E6372C">
              <w:rPr>
                <w:rFonts w:ascii="Book Antiqua" w:eastAsia="Times New Roman" w:hAnsi="Book Antiqua" w:cs="Times New Roman"/>
                <w:b/>
                <w:bCs/>
                <w:color w:val="000000"/>
                <w:sz w:val="24"/>
                <w:szCs w:val="24"/>
                <w:vertAlign w:val="superscript"/>
              </w:rPr>
              <w:t>[</w:t>
            </w:r>
            <w:r w:rsidRPr="00E6372C">
              <w:rPr>
                <w:rFonts w:ascii="Book Antiqua" w:eastAsia="Times New Roman" w:hAnsi="Book Antiqua" w:cs="Times New Roman"/>
                <w:b/>
                <w:bCs/>
                <w:color w:val="000000"/>
                <w:sz w:val="24"/>
                <w:szCs w:val="24"/>
                <w:vertAlign w:val="superscript"/>
              </w:rPr>
              <w:t>14</w:t>
            </w:r>
            <w:r w:rsidR="00E6372C">
              <w:rPr>
                <w:rFonts w:ascii="Book Antiqua" w:eastAsia="Times New Roman" w:hAnsi="Book Antiqua" w:cs="Times New Roman"/>
                <w:b/>
                <w:bCs/>
                <w:color w:val="000000"/>
                <w:sz w:val="24"/>
                <w:szCs w:val="24"/>
                <w:vertAlign w:val="superscript"/>
              </w:rPr>
              <w:t>]</w:t>
            </w:r>
          </w:p>
        </w:tc>
        <w:tc>
          <w:tcPr>
            <w:tcW w:w="900" w:type="dxa"/>
            <w:tcBorders>
              <w:top w:val="single" w:sz="4" w:space="0" w:color="auto"/>
              <w:bottom w:val="single" w:sz="4" w:space="0" w:color="auto"/>
            </w:tcBorders>
            <w:shd w:val="clear" w:color="auto" w:fill="FFFFFF" w:themeFill="background1"/>
            <w:vAlign w:val="center"/>
          </w:tcPr>
          <w:p w14:paraId="3158EA5C" w14:textId="16EEB446" w:rsidR="006826F0" w:rsidRPr="00E6372C" w:rsidRDefault="006826F0" w:rsidP="00E6372C">
            <w:pPr>
              <w:adjustRightInd w:val="0"/>
              <w:snapToGrid w:val="0"/>
              <w:spacing w:line="360" w:lineRule="auto"/>
              <w:jc w:val="center"/>
              <w:rPr>
                <w:rFonts w:ascii="Book Antiqua" w:eastAsia="Times New Roman" w:hAnsi="Book Antiqua" w:cs="Times New Roman"/>
                <w:b/>
                <w:bCs/>
                <w:color w:val="000000"/>
                <w:sz w:val="24"/>
                <w:szCs w:val="24"/>
                <w:vertAlign w:val="superscript"/>
              </w:rPr>
            </w:pPr>
            <w:r w:rsidRPr="00E6372C">
              <w:rPr>
                <w:rFonts w:ascii="Book Antiqua" w:eastAsia="Times New Roman" w:hAnsi="Book Antiqua" w:cs="Times New Roman"/>
                <w:b/>
                <w:bCs/>
                <w:color w:val="000000"/>
                <w:sz w:val="24"/>
                <w:szCs w:val="24"/>
              </w:rPr>
              <w:t>Wood</w:t>
            </w:r>
            <w:r w:rsidR="002F254B" w:rsidRPr="002F254B">
              <w:rPr>
                <w:rFonts w:ascii="Book Antiqua" w:eastAsia="Times New Roman" w:hAnsi="Book Antiqua" w:cs="Times New Roman"/>
                <w:b/>
                <w:bCs/>
                <w:i/>
                <w:iCs/>
                <w:color w:val="000000"/>
                <w:sz w:val="24"/>
                <w:szCs w:val="24"/>
              </w:rPr>
              <w:t xml:space="preserve"> et al</w:t>
            </w:r>
            <w:r w:rsidR="00E6372C" w:rsidRPr="00E6372C">
              <w:rPr>
                <w:rFonts w:ascii="Book Antiqua" w:eastAsia="Times New Roman" w:hAnsi="Book Antiqua" w:cs="Times New Roman"/>
                <w:b/>
                <w:bCs/>
                <w:color w:val="000000"/>
                <w:sz w:val="24"/>
                <w:szCs w:val="24"/>
                <w:vertAlign w:val="superscript"/>
              </w:rPr>
              <w:t>[</w:t>
            </w:r>
            <w:r w:rsidRPr="00E6372C">
              <w:rPr>
                <w:rFonts w:ascii="Book Antiqua" w:eastAsia="Times New Roman" w:hAnsi="Book Antiqua" w:cs="Times New Roman"/>
                <w:b/>
                <w:bCs/>
                <w:color w:val="000000"/>
                <w:sz w:val="24"/>
                <w:szCs w:val="24"/>
                <w:vertAlign w:val="superscript"/>
              </w:rPr>
              <w:t>15</w:t>
            </w:r>
            <w:r w:rsidR="00E6372C">
              <w:rPr>
                <w:rFonts w:ascii="Book Antiqua" w:eastAsia="Times New Roman" w:hAnsi="Book Antiqua" w:cs="Times New Roman"/>
                <w:b/>
                <w:bCs/>
                <w:color w:val="000000"/>
                <w:sz w:val="24"/>
                <w:szCs w:val="24"/>
                <w:vertAlign w:val="superscript"/>
              </w:rPr>
              <w:t>]</w:t>
            </w:r>
          </w:p>
        </w:tc>
        <w:tc>
          <w:tcPr>
            <w:tcW w:w="1295" w:type="dxa"/>
            <w:tcBorders>
              <w:top w:val="single" w:sz="4" w:space="0" w:color="auto"/>
              <w:bottom w:val="single" w:sz="4" w:space="0" w:color="auto"/>
            </w:tcBorders>
            <w:shd w:val="clear" w:color="auto" w:fill="FFFFFF" w:themeFill="background1"/>
            <w:vAlign w:val="center"/>
          </w:tcPr>
          <w:p w14:paraId="3B238B90" w14:textId="25CC7FBF" w:rsidR="006826F0" w:rsidRPr="00E6372C" w:rsidRDefault="006826F0" w:rsidP="00E6372C">
            <w:pPr>
              <w:adjustRightInd w:val="0"/>
              <w:snapToGrid w:val="0"/>
              <w:spacing w:line="360" w:lineRule="auto"/>
              <w:jc w:val="center"/>
              <w:rPr>
                <w:rFonts w:ascii="Book Antiqua" w:eastAsia="Times New Roman" w:hAnsi="Book Antiqua" w:cs="Times New Roman"/>
                <w:b/>
                <w:bCs/>
                <w:color w:val="000000"/>
                <w:sz w:val="24"/>
                <w:szCs w:val="24"/>
                <w:vertAlign w:val="superscript"/>
              </w:rPr>
            </w:pPr>
            <w:r w:rsidRPr="00E6372C">
              <w:rPr>
                <w:rFonts w:ascii="Book Antiqua" w:eastAsia="Times New Roman" w:hAnsi="Book Antiqua" w:cs="Times New Roman"/>
                <w:b/>
                <w:bCs/>
                <w:color w:val="000000"/>
                <w:sz w:val="24"/>
                <w:szCs w:val="24"/>
              </w:rPr>
              <w:t>Barrington</w:t>
            </w:r>
            <w:r w:rsidR="002F254B">
              <w:rPr>
                <w:rFonts w:ascii="Book Antiqua" w:eastAsia="Times New Roman" w:hAnsi="Book Antiqua" w:cs="Times New Roman"/>
                <w:b/>
                <w:bCs/>
                <w:color w:val="000000"/>
                <w:sz w:val="24"/>
                <w:szCs w:val="24"/>
              </w:rPr>
              <w:t xml:space="preserve"> </w:t>
            </w:r>
            <w:r w:rsidR="002F254B" w:rsidRPr="002F254B">
              <w:rPr>
                <w:rFonts w:ascii="Book Antiqua" w:eastAsia="Times New Roman" w:hAnsi="Book Antiqua" w:cs="Times New Roman"/>
                <w:b/>
                <w:bCs/>
                <w:i/>
                <w:iCs/>
                <w:color w:val="000000"/>
                <w:sz w:val="24"/>
                <w:szCs w:val="24"/>
              </w:rPr>
              <w:t>et al</w:t>
            </w:r>
            <w:r w:rsidR="00E6372C" w:rsidRPr="00E6372C">
              <w:rPr>
                <w:rFonts w:ascii="Book Antiqua" w:eastAsia="Times New Roman" w:hAnsi="Book Antiqua" w:cs="Times New Roman"/>
                <w:b/>
                <w:bCs/>
                <w:color w:val="000000"/>
                <w:sz w:val="24"/>
                <w:szCs w:val="24"/>
                <w:vertAlign w:val="superscript"/>
              </w:rPr>
              <w:t>[</w:t>
            </w:r>
            <w:r w:rsidRPr="00E6372C">
              <w:rPr>
                <w:rFonts w:ascii="Book Antiqua" w:eastAsia="Times New Roman" w:hAnsi="Book Antiqua" w:cs="Times New Roman"/>
                <w:b/>
                <w:bCs/>
                <w:color w:val="000000"/>
                <w:sz w:val="24"/>
                <w:szCs w:val="24"/>
                <w:vertAlign w:val="superscript"/>
              </w:rPr>
              <w:t>16</w:t>
            </w:r>
            <w:r w:rsidR="00E6372C">
              <w:rPr>
                <w:rFonts w:ascii="Book Antiqua" w:eastAsia="Times New Roman" w:hAnsi="Book Antiqua" w:cs="Times New Roman"/>
                <w:b/>
                <w:bCs/>
                <w:color w:val="000000"/>
                <w:sz w:val="24"/>
                <w:szCs w:val="24"/>
                <w:vertAlign w:val="superscript"/>
              </w:rPr>
              <w:t>]</w:t>
            </w:r>
          </w:p>
        </w:tc>
        <w:tc>
          <w:tcPr>
            <w:tcW w:w="1127" w:type="dxa"/>
            <w:tcBorders>
              <w:top w:val="single" w:sz="4" w:space="0" w:color="auto"/>
              <w:bottom w:val="single" w:sz="4" w:space="0" w:color="auto"/>
            </w:tcBorders>
            <w:shd w:val="clear" w:color="auto" w:fill="FFFFFF" w:themeFill="background1"/>
            <w:vAlign w:val="center"/>
          </w:tcPr>
          <w:p w14:paraId="5DADE4DF" w14:textId="5235F77F" w:rsidR="006826F0" w:rsidRPr="00E6372C" w:rsidDel="0033707C" w:rsidRDefault="006826F0" w:rsidP="00E6372C">
            <w:pPr>
              <w:adjustRightInd w:val="0"/>
              <w:snapToGrid w:val="0"/>
              <w:spacing w:line="360" w:lineRule="auto"/>
              <w:jc w:val="center"/>
              <w:rPr>
                <w:rFonts w:ascii="Book Antiqua" w:eastAsia="Times New Roman" w:hAnsi="Book Antiqua" w:cs="Times New Roman"/>
                <w:b/>
                <w:bCs/>
                <w:color w:val="000000"/>
                <w:sz w:val="24"/>
                <w:szCs w:val="24"/>
              </w:rPr>
            </w:pPr>
            <w:r w:rsidRPr="00E6372C">
              <w:rPr>
                <w:rFonts w:ascii="Book Antiqua" w:eastAsia="Times New Roman" w:hAnsi="Book Antiqua" w:cs="Times New Roman"/>
                <w:b/>
                <w:bCs/>
                <w:color w:val="000000"/>
                <w:sz w:val="24"/>
                <w:szCs w:val="24"/>
              </w:rPr>
              <w:t>Lampley</w:t>
            </w:r>
            <w:r w:rsidR="002F254B">
              <w:rPr>
                <w:rFonts w:ascii="Book Antiqua" w:eastAsia="Times New Roman" w:hAnsi="Book Antiqua" w:cs="Times New Roman"/>
                <w:b/>
                <w:bCs/>
                <w:color w:val="000000"/>
                <w:sz w:val="24"/>
                <w:szCs w:val="24"/>
              </w:rPr>
              <w:t xml:space="preserve"> </w:t>
            </w:r>
            <w:r w:rsidR="002F254B" w:rsidRPr="002F254B">
              <w:rPr>
                <w:rFonts w:ascii="Book Antiqua" w:eastAsia="Times New Roman" w:hAnsi="Book Antiqua" w:cs="Times New Roman"/>
                <w:b/>
                <w:bCs/>
                <w:i/>
                <w:iCs/>
                <w:color w:val="000000"/>
                <w:sz w:val="24"/>
                <w:szCs w:val="24"/>
              </w:rPr>
              <w:t>et al</w:t>
            </w:r>
            <w:r w:rsidR="00E6372C" w:rsidRPr="00E6372C">
              <w:rPr>
                <w:rFonts w:ascii="Book Antiqua" w:eastAsia="Times New Roman" w:hAnsi="Book Antiqua" w:cs="Times New Roman"/>
                <w:b/>
                <w:bCs/>
                <w:color w:val="000000"/>
                <w:sz w:val="24"/>
                <w:szCs w:val="24"/>
                <w:vertAlign w:val="superscript"/>
              </w:rPr>
              <w:t>[</w:t>
            </w:r>
            <w:r w:rsidRPr="00E6372C">
              <w:rPr>
                <w:rFonts w:ascii="Book Antiqua" w:eastAsia="Times New Roman" w:hAnsi="Book Antiqua" w:cs="Times New Roman"/>
                <w:b/>
                <w:bCs/>
                <w:color w:val="000000"/>
                <w:sz w:val="24"/>
                <w:szCs w:val="24"/>
                <w:vertAlign w:val="superscript"/>
              </w:rPr>
              <w:t>17</w:t>
            </w:r>
            <w:r w:rsidR="00E6372C">
              <w:rPr>
                <w:rFonts w:ascii="Book Antiqua" w:eastAsia="Times New Roman" w:hAnsi="Book Antiqua" w:cs="Times New Roman"/>
                <w:b/>
                <w:bCs/>
                <w:color w:val="000000"/>
                <w:sz w:val="24"/>
                <w:szCs w:val="24"/>
                <w:vertAlign w:val="superscript"/>
              </w:rPr>
              <w:t>]</w:t>
            </w:r>
          </w:p>
        </w:tc>
        <w:tc>
          <w:tcPr>
            <w:tcW w:w="681" w:type="dxa"/>
            <w:tcBorders>
              <w:top w:val="single" w:sz="4" w:space="0" w:color="auto"/>
              <w:bottom w:val="single" w:sz="4" w:space="0" w:color="auto"/>
            </w:tcBorders>
            <w:shd w:val="clear" w:color="auto" w:fill="FFFFFF" w:themeFill="background1"/>
            <w:vAlign w:val="center"/>
          </w:tcPr>
          <w:p w14:paraId="7332212A" w14:textId="56A189A5" w:rsidR="006826F0" w:rsidRPr="00E6372C" w:rsidRDefault="006826F0" w:rsidP="00E6372C">
            <w:pPr>
              <w:adjustRightInd w:val="0"/>
              <w:snapToGrid w:val="0"/>
              <w:spacing w:line="360" w:lineRule="auto"/>
              <w:jc w:val="center"/>
              <w:rPr>
                <w:rFonts w:ascii="Book Antiqua" w:eastAsia="Times New Roman" w:hAnsi="Book Antiqua" w:cs="Times New Roman"/>
                <w:b/>
                <w:bCs/>
                <w:color w:val="000000"/>
                <w:sz w:val="24"/>
                <w:szCs w:val="24"/>
                <w:vertAlign w:val="superscript"/>
              </w:rPr>
            </w:pPr>
            <w:r w:rsidRPr="00E6372C">
              <w:rPr>
                <w:rFonts w:ascii="Book Antiqua" w:eastAsia="Times New Roman" w:hAnsi="Book Antiqua" w:cs="Times New Roman"/>
                <w:b/>
                <w:bCs/>
                <w:color w:val="000000"/>
                <w:sz w:val="24"/>
                <w:szCs w:val="24"/>
              </w:rPr>
              <w:t>Tai</w:t>
            </w:r>
            <w:r w:rsidR="002F254B">
              <w:rPr>
                <w:rFonts w:ascii="Book Antiqua" w:eastAsia="Times New Roman" w:hAnsi="Book Antiqua" w:cs="Times New Roman"/>
                <w:b/>
                <w:bCs/>
                <w:color w:val="000000"/>
                <w:sz w:val="24"/>
                <w:szCs w:val="24"/>
              </w:rPr>
              <w:t xml:space="preserve"> </w:t>
            </w:r>
            <w:r w:rsidR="002F254B" w:rsidRPr="002F254B">
              <w:rPr>
                <w:rFonts w:ascii="Book Antiqua" w:eastAsia="Times New Roman" w:hAnsi="Book Antiqua" w:cs="Times New Roman"/>
                <w:b/>
                <w:bCs/>
                <w:i/>
                <w:iCs/>
                <w:color w:val="000000"/>
                <w:sz w:val="24"/>
                <w:szCs w:val="24"/>
              </w:rPr>
              <w:t>et al</w:t>
            </w:r>
            <w:r w:rsidR="00E6372C" w:rsidRPr="00E6372C">
              <w:rPr>
                <w:rFonts w:ascii="Book Antiqua" w:eastAsia="Times New Roman" w:hAnsi="Book Antiqua" w:cs="Times New Roman"/>
                <w:b/>
                <w:bCs/>
                <w:color w:val="000000"/>
                <w:sz w:val="24"/>
                <w:szCs w:val="24"/>
                <w:vertAlign w:val="superscript"/>
              </w:rPr>
              <w:t>[</w:t>
            </w:r>
            <w:r w:rsidRPr="00E6372C">
              <w:rPr>
                <w:rFonts w:ascii="Book Antiqua" w:eastAsia="Times New Roman" w:hAnsi="Book Antiqua" w:cs="Times New Roman"/>
                <w:b/>
                <w:bCs/>
                <w:color w:val="000000"/>
                <w:sz w:val="24"/>
                <w:szCs w:val="24"/>
                <w:vertAlign w:val="superscript"/>
              </w:rPr>
              <w:t>18</w:t>
            </w:r>
            <w:r w:rsidR="00E6372C">
              <w:rPr>
                <w:rFonts w:ascii="Book Antiqua" w:eastAsia="Times New Roman" w:hAnsi="Book Antiqua" w:cs="Times New Roman"/>
                <w:b/>
                <w:bCs/>
                <w:color w:val="000000"/>
                <w:sz w:val="24"/>
                <w:szCs w:val="24"/>
                <w:vertAlign w:val="superscript"/>
              </w:rPr>
              <w:t>]</w:t>
            </w:r>
          </w:p>
        </w:tc>
        <w:tc>
          <w:tcPr>
            <w:tcW w:w="840" w:type="dxa"/>
            <w:tcBorders>
              <w:top w:val="single" w:sz="4" w:space="0" w:color="auto"/>
              <w:bottom w:val="single" w:sz="4" w:space="0" w:color="auto"/>
            </w:tcBorders>
            <w:shd w:val="clear" w:color="auto" w:fill="FFFFFF" w:themeFill="background1"/>
            <w:vAlign w:val="center"/>
          </w:tcPr>
          <w:p w14:paraId="652F4683" w14:textId="51BEA8E8" w:rsidR="006826F0" w:rsidRPr="00E6372C" w:rsidRDefault="006826F0" w:rsidP="00E6372C">
            <w:pPr>
              <w:adjustRightInd w:val="0"/>
              <w:snapToGrid w:val="0"/>
              <w:spacing w:line="360" w:lineRule="auto"/>
              <w:jc w:val="center"/>
              <w:rPr>
                <w:rFonts w:ascii="Book Antiqua" w:eastAsia="Times New Roman" w:hAnsi="Book Antiqua" w:cs="Times New Roman"/>
                <w:b/>
                <w:bCs/>
                <w:color w:val="000000"/>
                <w:sz w:val="24"/>
                <w:szCs w:val="24"/>
                <w:vertAlign w:val="superscript"/>
              </w:rPr>
            </w:pPr>
            <w:proofErr w:type="spellStart"/>
            <w:r w:rsidRPr="00E6372C">
              <w:rPr>
                <w:rFonts w:ascii="Book Antiqua" w:eastAsia="Times New Roman" w:hAnsi="Book Antiqua" w:cs="Times New Roman"/>
                <w:b/>
                <w:bCs/>
                <w:color w:val="000000"/>
                <w:sz w:val="24"/>
                <w:szCs w:val="24"/>
              </w:rPr>
              <w:t>Sonn</w:t>
            </w:r>
            <w:proofErr w:type="spellEnd"/>
            <w:r w:rsidR="002F254B">
              <w:rPr>
                <w:rFonts w:ascii="Book Antiqua" w:eastAsia="Times New Roman" w:hAnsi="Book Antiqua" w:cs="Times New Roman"/>
                <w:b/>
                <w:bCs/>
                <w:color w:val="000000"/>
                <w:sz w:val="24"/>
                <w:szCs w:val="24"/>
              </w:rPr>
              <w:t xml:space="preserve"> </w:t>
            </w:r>
            <w:r w:rsidR="002F254B" w:rsidRPr="002F254B">
              <w:rPr>
                <w:rFonts w:ascii="Book Antiqua" w:eastAsia="Times New Roman" w:hAnsi="Book Antiqua" w:cs="Times New Roman"/>
                <w:b/>
                <w:bCs/>
                <w:i/>
                <w:iCs/>
                <w:color w:val="000000"/>
                <w:sz w:val="24"/>
                <w:szCs w:val="24"/>
              </w:rPr>
              <w:t>et al</w:t>
            </w:r>
            <w:r w:rsidR="00E6372C" w:rsidRPr="00E6372C">
              <w:rPr>
                <w:rFonts w:ascii="Book Antiqua" w:eastAsia="Times New Roman" w:hAnsi="Book Antiqua" w:cs="Times New Roman"/>
                <w:b/>
                <w:bCs/>
                <w:color w:val="000000"/>
                <w:sz w:val="24"/>
                <w:szCs w:val="24"/>
                <w:vertAlign w:val="superscript"/>
              </w:rPr>
              <w:t>[</w:t>
            </w:r>
            <w:r w:rsidRPr="00E6372C">
              <w:rPr>
                <w:rFonts w:ascii="Book Antiqua" w:eastAsia="Times New Roman" w:hAnsi="Book Antiqua" w:cs="Times New Roman"/>
                <w:b/>
                <w:bCs/>
                <w:color w:val="000000"/>
                <w:sz w:val="24"/>
                <w:szCs w:val="24"/>
                <w:vertAlign w:val="superscript"/>
              </w:rPr>
              <w:t>19</w:t>
            </w:r>
            <w:r w:rsidR="00E6372C">
              <w:rPr>
                <w:rFonts w:ascii="Book Antiqua" w:eastAsia="Times New Roman" w:hAnsi="Book Antiqua" w:cs="Times New Roman"/>
                <w:b/>
                <w:bCs/>
                <w:color w:val="000000"/>
                <w:sz w:val="24"/>
                <w:szCs w:val="24"/>
                <w:vertAlign w:val="superscript"/>
              </w:rPr>
              <w:t>]</w:t>
            </w:r>
          </w:p>
        </w:tc>
      </w:tr>
      <w:tr w:rsidR="00E6372C" w:rsidRPr="00907C84" w14:paraId="144E8812" w14:textId="77777777" w:rsidTr="00E6372C">
        <w:tc>
          <w:tcPr>
            <w:tcW w:w="846" w:type="dxa"/>
            <w:tcBorders>
              <w:top w:val="single" w:sz="4" w:space="0" w:color="auto"/>
            </w:tcBorders>
            <w:shd w:val="clear" w:color="auto" w:fill="FFFFFF" w:themeFill="background1"/>
            <w:vAlign w:val="center"/>
          </w:tcPr>
          <w:p w14:paraId="5B59AE3C" w14:textId="77777777" w:rsidR="006826F0" w:rsidRPr="00907C84" w:rsidRDefault="006826F0" w:rsidP="00E6372C">
            <w:pPr>
              <w:adjustRightInd w:val="0"/>
              <w:snapToGrid w:val="0"/>
              <w:spacing w:line="360" w:lineRule="auto"/>
              <w:jc w:val="both"/>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Q1</w:t>
            </w:r>
          </w:p>
        </w:tc>
        <w:tc>
          <w:tcPr>
            <w:tcW w:w="1318" w:type="dxa"/>
            <w:tcBorders>
              <w:top w:val="single" w:sz="4" w:space="0" w:color="auto"/>
            </w:tcBorders>
            <w:shd w:val="clear" w:color="auto" w:fill="FFFFFF" w:themeFill="background1"/>
            <w:vAlign w:val="center"/>
          </w:tcPr>
          <w:p w14:paraId="1A7E1A87" w14:textId="77777777" w:rsidR="006826F0" w:rsidRPr="00907C84" w:rsidRDefault="006826F0" w:rsidP="00E6372C">
            <w:pPr>
              <w:adjustRightInd w:val="0"/>
              <w:snapToGrid w:val="0"/>
              <w:spacing w:line="360" w:lineRule="auto"/>
              <w:jc w:val="center"/>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1</w:t>
            </w:r>
          </w:p>
        </w:tc>
        <w:tc>
          <w:tcPr>
            <w:tcW w:w="1147" w:type="dxa"/>
            <w:tcBorders>
              <w:top w:val="single" w:sz="4" w:space="0" w:color="auto"/>
            </w:tcBorders>
            <w:shd w:val="clear" w:color="auto" w:fill="FFFFFF" w:themeFill="background1"/>
            <w:vAlign w:val="center"/>
          </w:tcPr>
          <w:p w14:paraId="72CC61A4" w14:textId="77777777" w:rsidR="006826F0" w:rsidRPr="00907C84" w:rsidRDefault="006826F0" w:rsidP="00E6372C">
            <w:pPr>
              <w:adjustRightInd w:val="0"/>
              <w:snapToGrid w:val="0"/>
              <w:spacing w:line="360" w:lineRule="auto"/>
              <w:jc w:val="center"/>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1</w:t>
            </w:r>
          </w:p>
        </w:tc>
        <w:tc>
          <w:tcPr>
            <w:tcW w:w="1196" w:type="dxa"/>
            <w:tcBorders>
              <w:top w:val="single" w:sz="4" w:space="0" w:color="auto"/>
            </w:tcBorders>
            <w:shd w:val="clear" w:color="auto" w:fill="FFFFFF" w:themeFill="background1"/>
            <w:vAlign w:val="center"/>
          </w:tcPr>
          <w:p w14:paraId="25CABE0D" w14:textId="77777777" w:rsidR="006826F0" w:rsidRPr="00907C84" w:rsidRDefault="006826F0" w:rsidP="00E6372C">
            <w:pPr>
              <w:adjustRightInd w:val="0"/>
              <w:snapToGrid w:val="0"/>
              <w:spacing w:line="360" w:lineRule="auto"/>
              <w:jc w:val="center"/>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1</w:t>
            </w:r>
          </w:p>
        </w:tc>
        <w:tc>
          <w:tcPr>
            <w:tcW w:w="900" w:type="dxa"/>
            <w:tcBorders>
              <w:top w:val="single" w:sz="4" w:space="0" w:color="auto"/>
            </w:tcBorders>
            <w:shd w:val="clear" w:color="auto" w:fill="FFFFFF" w:themeFill="background1"/>
            <w:vAlign w:val="center"/>
          </w:tcPr>
          <w:p w14:paraId="6DE9BABB" w14:textId="77777777" w:rsidR="006826F0" w:rsidRPr="00907C84" w:rsidRDefault="006826F0" w:rsidP="00E6372C">
            <w:pPr>
              <w:adjustRightInd w:val="0"/>
              <w:snapToGrid w:val="0"/>
              <w:spacing w:line="360" w:lineRule="auto"/>
              <w:jc w:val="center"/>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1</w:t>
            </w:r>
          </w:p>
        </w:tc>
        <w:tc>
          <w:tcPr>
            <w:tcW w:w="1295" w:type="dxa"/>
            <w:tcBorders>
              <w:top w:val="single" w:sz="4" w:space="0" w:color="auto"/>
            </w:tcBorders>
            <w:shd w:val="clear" w:color="auto" w:fill="FFFFFF" w:themeFill="background1"/>
            <w:vAlign w:val="center"/>
          </w:tcPr>
          <w:p w14:paraId="3AAD991C" w14:textId="77777777" w:rsidR="006826F0" w:rsidRPr="00907C84" w:rsidRDefault="006826F0" w:rsidP="00E6372C">
            <w:pPr>
              <w:adjustRightInd w:val="0"/>
              <w:snapToGrid w:val="0"/>
              <w:spacing w:line="360" w:lineRule="auto"/>
              <w:jc w:val="center"/>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1</w:t>
            </w:r>
          </w:p>
        </w:tc>
        <w:tc>
          <w:tcPr>
            <w:tcW w:w="1127" w:type="dxa"/>
            <w:tcBorders>
              <w:top w:val="single" w:sz="4" w:space="0" w:color="auto"/>
            </w:tcBorders>
            <w:shd w:val="clear" w:color="auto" w:fill="FFFFFF" w:themeFill="background1"/>
            <w:vAlign w:val="center"/>
          </w:tcPr>
          <w:p w14:paraId="30D7A6B5" w14:textId="77777777" w:rsidR="006826F0" w:rsidRPr="00907C84" w:rsidDel="0033707C" w:rsidRDefault="006826F0" w:rsidP="00E6372C">
            <w:pPr>
              <w:adjustRightInd w:val="0"/>
              <w:snapToGrid w:val="0"/>
              <w:spacing w:line="360" w:lineRule="auto"/>
              <w:jc w:val="center"/>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1</w:t>
            </w:r>
          </w:p>
        </w:tc>
        <w:tc>
          <w:tcPr>
            <w:tcW w:w="681" w:type="dxa"/>
            <w:tcBorders>
              <w:top w:val="single" w:sz="4" w:space="0" w:color="auto"/>
            </w:tcBorders>
            <w:shd w:val="clear" w:color="auto" w:fill="FFFFFF" w:themeFill="background1"/>
            <w:vAlign w:val="center"/>
          </w:tcPr>
          <w:p w14:paraId="5C2337EE" w14:textId="77777777" w:rsidR="006826F0" w:rsidRPr="00907C84" w:rsidRDefault="006826F0" w:rsidP="00E6372C">
            <w:pPr>
              <w:adjustRightInd w:val="0"/>
              <w:snapToGrid w:val="0"/>
              <w:spacing w:line="360" w:lineRule="auto"/>
              <w:jc w:val="center"/>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1</w:t>
            </w:r>
          </w:p>
        </w:tc>
        <w:tc>
          <w:tcPr>
            <w:tcW w:w="840" w:type="dxa"/>
            <w:tcBorders>
              <w:top w:val="single" w:sz="4" w:space="0" w:color="auto"/>
            </w:tcBorders>
            <w:shd w:val="clear" w:color="auto" w:fill="FFFFFF" w:themeFill="background1"/>
            <w:vAlign w:val="center"/>
          </w:tcPr>
          <w:p w14:paraId="4E259EEB" w14:textId="77777777" w:rsidR="006826F0" w:rsidRPr="00907C84" w:rsidRDefault="006826F0" w:rsidP="00E6372C">
            <w:pPr>
              <w:adjustRightInd w:val="0"/>
              <w:snapToGrid w:val="0"/>
              <w:spacing w:line="360" w:lineRule="auto"/>
              <w:jc w:val="center"/>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1</w:t>
            </w:r>
          </w:p>
        </w:tc>
      </w:tr>
      <w:tr w:rsidR="00E6372C" w:rsidRPr="00907C84" w14:paraId="022BAC5F" w14:textId="77777777" w:rsidTr="00E6372C">
        <w:tc>
          <w:tcPr>
            <w:tcW w:w="846" w:type="dxa"/>
            <w:shd w:val="clear" w:color="auto" w:fill="FFFFFF" w:themeFill="background1"/>
            <w:vAlign w:val="center"/>
          </w:tcPr>
          <w:p w14:paraId="23C6E731" w14:textId="77777777" w:rsidR="006826F0" w:rsidRPr="00907C84" w:rsidRDefault="006826F0" w:rsidP="00E6372C">
            <w:pPr>
              <w:adjustRightInd w:val="0"/>
              <w:snapToGrid w:val="0"/>
              <w:spacing w:line="360" w:lineRule="auto"/>
              <w:jc w:val="both"/>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Q2</w:t>
            </w:r>
          </w:p>
        </w:tc>
        <w:tc>
          <w:tcPr>
            <w:tcW w:w="1318" w:type="dxa"/>
            <w:shd w:val="clear" w:color="auto" w:fill="FFFFFF" w:themeFill="background1"/>
            <w:vAlign w:val="center"/>
          </w:tcPr>
          <w:p w14:paraId="20A015AC" w14:textId="77777777" w:rsidR="006826F0" w:rsidRPr="00907C84" w:rsidRDefault="006826F0" w:rsidP="00E6372C">
            <w:pPr>
              <w:adjustRightInd w:val="0"/>
              <w:snapToGrid w:val="0"/>
              <w:spacing w:line="360" w:lineRule="auto"/>
              <w:jc w:val="center"/>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1</w:t>
            </w:r>
          </w:p>
        </w:tc>
        <w:tc>
          <w:tcPr>
            <w:tcW w:w="1147" w:type="dxa"/>
            <w:shd w:val="clear" w:color="auto" w:fill="FFFFFF" w:themeFill="background1"/>
            <w:vAlign w:val="center"/>
          </w:tcPr>
          <w:p w14:paraId="386C3D47" w14:textId="77777777" w:rsidR="006826F0" w:rsidRPr="00907C84" w:rsidRDefault="006826F0" w:rsidP="00E6372C">
            <w:pPr>
              <w:adjustRightInd w:val="0"/>
              <w:snapToGrid w:val="0"/>
              <w:spacing w:line="360" w:lineRule="auto"/>
              <w:jc w:val="center"/>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1</w:t>
            </w:r>
          </w:p>
        </w:tc>
        <w:tc>
          <w:tcPr>
            <w:tcW w:w="1196" w:type="dxa"/>
            <w:shd w:val="clear" w:color="auto" w:fill="FFFFFF" w:themeFill="background1"/>
            <w:vAlign w:val="center"/>
          </w:tcPr>
          <w:p w14:paraId="2B77A5CF" w14:textId="77777777" w:rsidR="006826F0" w:rsidRPr="00907C84" w:rsidRDefault="006826F0" w:rsidP="00E6372C">
            <w:pPr>
              <w:adjustRightInd w:val="0"/>
              <w:snapToGrid w:val="0"/>
              <w:spacing w:line="360" w:lineRule="auto"/>
              <w:jc w:val="center"/>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1</w:t>
            </w:r>
          </w:p>
        </w:tc>
        <w:tc>
          <w:tcPr>
            <w:tcW w:w="900" w:type="dxa"/>
            <w:shd w:val="clear" w:color="auto" w:fill="FFFFFF" w:themeFill="background1"/>
            <w:vAlign w:val="center"/>
          </w:tcPr>
          <w:p w14:paraId="2820C7F3" w14:textId="77777777" w:rsidR="006826F0" w:rsidRPr="00907C84" w:rsidRDefault="006826F0" w:rsidP="00E6372C">
            <w:pPr>
              <w:adjustRightInd w:val="0"/>
              <w:snapToGrid w:val="0"/>
              <w:spacing w:line="360" w:lineRule="auto"/>
              <w:jc w:val="center"/>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1</w:t>
            </w:r>
          </w:p>
        </w:tc>
        <w:tc>
          <w:tcPr>
            <w:tcW w:w="1295" w:type="dxa"/>
            <w:shd w:val="clear" w:color="auto" w:fill="FFFFFF" w:themeFill="background1"/>
            <w:vAlign w:val="center"/>
          </w:tcPr>
          <w:p w14:paraId="0CA36F46" w14:textId="77777777" w:rsidR="006826F0" w:rsidRPr="00907C84" w:rsidRDefault="006826F0" w:rsidP="00E6372C">
            <w:pPr>
              <w:adjustRightInd w:val="0"/>
              <w:snapToGrid w:val="0"/>
              <w:spacing w:line="360" w:lineRule="auto"/>
              <w:jc w:val="center"/>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0</w:t>
            </w:r>
          </w:p>
        </w:tc>
        <w:tc>
          <w:tcPr>
            <w:tcW w:w="1127" w:type="dxa"/>
            <w:shd w:val="clear" w:color="auto" w:fill="FFFFFF" w:themeFill="background1"/>
            <w:vAlign w:val="center"/>
          </w:tcPr>
          <w:p w14:paraId="74F09A88" w14:textId="77777777" w:rsidR="006826F0" w:rsidRPr="00907C84" w:rsidDel="0033707C" w:rsidRDefault="006826F0" w:rsidP="00E6372C">
            <w:pPr>
              <w:adjustRightInd w:val="0"/>
              <w:snapToGrid w:val="0"/>
              <w:spacing w:line="360" w:lineRule="auto"/>
              <w:jc w:val="center"/>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1</w:t>
            </w:r>
          </w:p>
        </w:tc>
        <w:tc>
          <w:tcPr>
            <w:tcW w:w="681" w:type="dxa"/>
            <w:shd w:val="clear" w:color="auto" w:fill="FFFFFF" w:themeFill="background1"/>
            <w:vAlign w:val="center"/>
          </w:tcPr>
          <w:p w14:paraId="4D6545E5" w14:textId="77777777" w:rsidR="006826F0" w:rsidRPr="00907C84" w:rsidRDefault="006826F0" w:rsidP="00E6372C">
            <w:pPr>
              <w:adjustRightInd w:val="0"/>
              <w:snapToGrid w:val="0"/>
              <w:spacing w:line="360" w:lineRule="auto"/>
              <w:jc w:val="center"/>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1</w:t>
            </w:r>
          </w:p>
        </w:tc>
        <w:tc>
          <w:tcPr>
            <w:tcW w:w="840" w:type="dxa"/>
            <w:shd w:val="clear" w:color="auto" w:fill="FFFFFF" w:themeFill="background1"/>
            <w:vAlign w:val="center"/>
          </w:tcPr>
          <w:p w14:paraId="41375103" w14:textId="77777777" w:rsidR="006826F0" w:rsidRPr="00907C84" w:rsidRDefault="006826F0" w:rsidP="00E6372C">
            <w:pPr>
              <w:adjustRightInd w:val="0"/>
              <w:snapToGrid w:val="0"/>
              <w:spacing w:line="360" w:lineRule="auto"/>
              <w:jc w:val="center"/>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1</w:t>
            </w:r>
          </w:p>
        </w:tc>
      </w:tr>
      <w:tr w:rsidR="00E6372C" w:rsidRPr="00907C84" w14:paraId="15E0C89C" w14:textId="77777777" w:rsidTr="00E6372C">
        <w:tc>
          <w:tcPr>
            <w:tcW w:w="846" w:type="dxa"/>
            <w:shd w:val="clear" w:color="auto" w:fill="FFFFFF" w:themeFill="background1"/>
            <w:vAlign w:val="center"/>
          </w:tcPr>
          <w:p w14:paraId="6080688A" w14:textId="77777777" w:rsidR="006826F0" w:rsidRPr="00907C84" w:rsidRDefault="006826F0" w:rsidP="00E6372C">
            <w:pPr>
              <w:adjustRightInd w:val="0"/>
              <w:snapToGrid w:val="0"/>
              <w:spacing w:line="360" w:lineRule="auto"/>
              <w:jc w:val="both"/>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Q3</w:t>
            </w:r>
          </w:p>
        </w:tc>
        <w:tc>
          <w:tcPr>
            <w:tcW w:w="1318" w:type="dxa"/>
            <w:shd w:val="clear" w:color="auto" w:fill="FFFFFF" w:themeFill="background1"/>
            <w:vAlign w:val="center"/>
          </w:tcPr>
          <w:p w14:paraId="39376089" w14:textId="77777777" w:rsidR="006826F0" w:rsidRPr="00907C84" w:rsidRDefault="006826F0" w:rsidP="00E6372C">
            <w:pPr>
              <w:adjustRightInd w:val="0"/>
              <w:snapToGrid w:val="0"/>
              <w:spacing w:line="360" w:lineRule="auto"/>
              <w:jc w:val="center"/>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1</w:t>
            </w:r>
          </w:p>
        </w:tc>
        <w:tc>
          <w:tcPr>
            <w:tcW w:w="1147" w:type="dxa"/>
            <w:shd w:val="clear" w:color="auto" w:fill="FFFFFF" w:themeFill="background1"/>
            <w:vAlign w:val="center"/>
          </w:tcPr>
          <w:p w14:paraId="1C7F2F8E" w14:textId="77777777" w:rsidR="006826F0" w:rsidRPr="00907C84" w:rsidRDefault="006826F0" w:rsidP="00E6372C">
            <w:pPr>
              <w:adjustRightInd w:val="0"/>
              <w:snapToGrid w:val="0"/>
              <w:spacing w:line="360" w:lineRule="auto"/>
              <w:jc w:val="center"/>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1</w:t>
            </w:r>
          </w:p>
        </w:tc>
        <w:tc>
          <w:tcPr>
            <w:tcW w:w="1196" w:type="dxa"/>
            <w:shd w:val="clear" w:color="auto" w:fill="FFFFFF" w:themeFill="background1"/>
            <w:vAlign w:val="center"/>
          </w:tcPr>
          <w:p w14:paraId="56500E83" w14:textId="77777777" w:rsidR="006826F0" w:rsidRPr="00907C84" w:rsidRDefault="006826F0" w:rsidP="00E6372C">
            <w:pPr>
              <w:adjustRightInd w:val="0"/>
              <w:snapToGrid w:val="0"/>
              <w:spacing w:line="360" w:lineRule="auto"/>
              <w:jc w:val="center"/>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1</w:t>
            </w:r>
          </w:p>
        </w:tc>
        <w:tc>
          <w:tcPr>
            <w:tcW w:w="900" w:type="dxa"/>
            <w:shd w:val="clear" w:color="auto" w:fill="FFFFFF" w:themeFill="background1"/>
            <w:vAlign w:val="center"/>
          </w:tcPr>
          <w:p w14:paraId="58498CB5" w14:textId="77777777" w:rsidR="006826F0" w:rsidRPr="00907C84" w:rsidRDefault="006826F0" w:rsidP="00E6372C">
            <w:pPr>
              <w:adjustRightInd w:val="0"/>
              <w:snapToGrid w:val="0"/>
              <w:spacing w:line="360" w:lineRule="auto"/>
              <w:jc w:val="center"/>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1</w:t>
            </w:r>
          </w:p>
        </w:tc>
        <w:tc>
          <w:tcPr>
            <w:tcW w:w="1295" w:type="dxa"/>
            <w:shd w:val="clear" w:color="auto" w:fill="FFFFFF" w:themeFill="background1"/>
            <w:vAlign w:val="center"/>
          </w:tcPr>
          <w:p w14:paraId="18A7E2C8" w14:textId="77777777" w:rsidR="006826F0" w:rsidRPr="00907C84" w:rsidRDefault="006826F0" w:rsidP="00E6372C">
            <w:pPr>
              <w:adjustRightInd w:val="0"/>
              <w:snapToGrid w:val="0"/>
              <w:spacing w:line="360" w:lineRule="auto"/>
              <w:jc w:val="center"/>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0</w:t>
            </w:r>
          </w:p>
        </w:tc>
        <w:tc>
          <w:tcPr>
            <w:tcW w:w="1127" w:type="dxa"/>
            <w:shd w:val="clear" w:color="auto" w:fill="FFFFFF" w:themeFill="background1"/>
            <w:vAlign w:val="center"/>
          </w:tcPr>
          <w:p w14:paraId="7BB3E320" w14:textId="77777777" w:rsidR="006826F0" w:rsidRPr="00907C84" w:rsidDel="0033707C" w:rsidRDefault="006826F0" w:rsidP="00E6372C">
            <w:pPr>
              <w:adjustRightInd w:val="0"/>
              <w:snapToGrid w:val="0"/>
              <w:spacing w:line="360" w:lineRule="auto"/>
              <w:jc w:val="center"/>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1</w:t>
            </w:r>
          </w:p>
        </w:tc>
        <w:tc>
          <w:tcPr>
            <w:tcW w:w="681" w:type="dxa"/>
            <w:shd w:val="clear" w:color="auto" w:fill="FFFFFF" w:themeFill="background1"/>
            <w:vAlign w:val="center"/>
          </w:tcPr>
          <w:p w14:paraId="3F1D45FA" w14:textId="77777777" w:rsidR="006826F0" w:rsidRPr="00907C84" w:rsidRDefault="006826F0" w:rsidP="00E6372C">
            <w:pPr>
              <w:adjustRightInd w:val="0"/>
              <w:snapToGrid w:val="0"/>
              <w:spacing w:line="360" w:lineRule="auto"/>
              <w:jc w:val="center"/>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1</w:t>
            </w:r>
          </w:p>
        </w:tc>
        <w:tc>
          <w:tcPr>
            <w:tcW w:w="840" w:type="dxa"/>
            <w:shd w:val="clear" w:color="auto" w:fill="FFFFFF" w:themeFill="background1"/>
            <w:vAlign w:val="center"/>
          </w:tcPr>
          <w:p w14:paraId="61124B54" w14:textId="77777777" w:rsidR="006826F0" w:rsidRPr="00907C84" w:rsidRDefault="006826F0" w:rsidP="00E6372C">
            <w:pPr>
              <w:adjustRightInd w:val="0"/>
              <w:snapToGrid w:val="0"/>
              <w:spacing w:line="360" w:lineRule="auto"/>
              <w:jc w:val="center"/>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1</w:t>
            </w:r>
          </w:p>
        </w:tc>
      </w:tr>
      <w:tr w:rsidR="00E6372C" w:rsidRPr="00907C84" w14:paraId="08CAA2E5" w14:textId="77777777" w:rsidTr="00E6372C">
        <w:tc>
          <w:tcPr>
            <w:tcW w:w="846" w:type="dxa"/>
            <w:shd w:val="clear" w:color="auto" w:fill="FFFFFF" w:themeFill="background1"/>
            <w:vAlign w:val="center"/>
          </w:tcPr>
          <w:p w14:paraId="6B7CBC25" w14:textId="77777777" w:rsidR="006826F0" w:rsidRPr="00907C84" w:rsidRDefault="006826F0" w:rsidP="00E6372C">
            <w:pPr>
              <w:adjustRightInd w:val="0"/>
              <w:snapToGrid w:val="0"/>
              <w:spacing w:line="360" w:lineRule="auto"/>
              <w:jc w:val="both"/>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Q4</w:t>
            </w:r>
          </w:p>
        </w:tc>
        <w:tc>
          <w:tcPr>
            <w:tcW w:w="1318" w:type="dxa"/>
            <w:shd w:val="clear" w:color="auto" w:fill="FFFFFF" w:themeFill="background1"/>
            <w:vAlign w:val="center"/>
          </w:tcPr>
          <w:p w14:paraId="2B4ACF7A" w14:textId="77777777" w:rsidR="006826F0" w:rsidRPr="00907C84" w:rsidRDefault="006826F0" w:rsidP="00E6372C">
            <w:pPr>
              <w:adjustRightInd w:val="0"/>
              <w:snapToGrid w:val="0"/>
              <w:spacing w:line="360" w:lineRule="auto"/>
              <w:jc w:val="center"/>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1</w:t>
            </w:r>
          </w:p>
        </w:tc>
        <w:tc>
          <w:tcPr>
            <w:tcW w:w="1147" w:type="dxa"/>
            <w:shd w:val="clear" w:color="auto" w:fill="FFFFFF" w:themeFill="background1"/>
            <w:vAlign w:val="center"/>
          </w:tcPr>
          <w:p w14:paraId="700654DB" w14:textId="77777777" w:rsidR="006826F0" w:rsidRPr="00907C84" w:rsidRDefault="006826F0" w:rsidP="00E6372C">
            <w:pPr>
              <w:adjustRightInd w:val="0"/>
              <w:snapToGrid w:val="0"/>
              <w:spacing w:line="360" w:lineRule="auto"/>
              <w:jc w:val="center"/>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1</w:t>
            </w:r>
          </w:p>
        </w:tc>
        <w:tc>
          <w:tcPr>
            <w:tcW w:w="1196" w:type="dxa"/>
            <w:shd w:val="clear" w:color="auto" w:fill="FFFFFF" w:themeFill="background1"/>
            <w:vAlign w:val="center"/>
          </w:tcPr>
          <w:p w14:paraId="3DF25816" w14:textId="77777777" w:rsidR="006826F0" w:rsidRPr="00907C84" w:rsidRDefault="006826F0" w:rsidP="00E6372C">
            <w:pPr>
              <w:adjustRightInd w:val="0"/>
              <w:snapToGrid w:val="0"/>
              <w:spacing w:line="360" w:lineRule="auto"/>
              <w:jc w:val="center"/>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1</w:t>
            </w:r>
          </w:p>
        </w:tc>
        <w:tc>
          <w:tcPr>
            <w:tcW w:w="900" w:type="dxa"/>
            <w:shd w:val="clear" w:color="auto" w:fill="FFFFFF" w:themeFill="background1"/>
            <w:vAlign w:val="center"/>
          </w:tcPr>
          <w:p w14:paraId="152A07A8" w14:textId="77777777" w:rsidR="006826F0" w:rsidRPr="00907C84" w:rsidRDefault="006826F0" w:rsidP="00E6372C">
            <w:pPr>
              <w:adjustRightInd w:val="0"/>
              <w:snapToGrid w:val="0"/>
              <w:spacing w:line="360" w:lineRule="auto"/>
              <w:jc w:val="center"/>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1</w:t>
            </w:r>
          </w:p>
        </w:tc>
        <w:tc>
          <w:tcPr>
            <w:tcW w:w="1295" w:type="dxa"/>
            <w:shd w:val="clear" w:color="auto" w:fill="FFFFFF" w:themeFill="background1"/>
            <w:vAlign w:val="center"/>
          </w:tcPr>
          <w:p w14:paraId="08746C56" w14:textId="77777777" w:rsidR="006826F0" w:rsidRPr="00907C84" w:rsidRDefault="006826F0" w:rsidP="00E6372C">
            <w:pPr>
              <w:adjustRightInd w:val="0"/>
              <w:snapToGrid w:val="0"/>
              <w:spacing w:line="360" w:lineRule="auto"/>
              <w:jc w:val="center"/>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1</w:t>
            </w:r>
          </w:p>
        </w:tc>
        <w:tc>
          <w:tcPr>
            <w:tcW w:w="1127" w:type="dxa"/>
            <w:shd w:val="clear" w:color="auto" w:fill="FFFFFF" w:themeFill="background1"/>
            <w:vAlign w:val="center"/>
          </w:tcPr>
          <w:p w14:paraId="756CCA79" w14:textId="77777777" w:rsidR="006826F0" w:rsidRPr="00907C84" w:rsidDel="0033707C" w:rsidRDefault="006826F0" w:rsidP="00E6372C">
            <w:pPr>
              <w:adjustRightInd w:val="0"/>
              <w:snapToGrid w:val="0"/>
              <w:spacing w:line="360" w:lineRule="auto"/>
              <w:jc w:val="center"/>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1</w:t>
            </w:r>
          </w:p>
        </w:tc>
        <w:tc>
          <w:tcPr>
            <w:tcW w:w="681" w:type="dxa"/>
            <w:shd w:val="clear" w:color="auto" w:fill="FFFFFF" w:themeFill="background1"/>
            <w:vAlign w:val="center"/>
          </w:tcPr>
          <w:p w14:paraId="69A07CBD" w14:textId="77777777" w:rsidR="006826F0" w:rsidRPr="00907C84" w:rsidRDefault="006826F0" w:rsidP="00E6372C">
            <w:pPr>
              <w:adjustRightInd w:val="0"/>
              <w:snapToGrid w:val="0"/>
              <w:spacing w:line="360" w:lineRule="auto"/>
              <w:jc w:val="center"/>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1</w:t>
            </w:r>
          </w:p>
        </w:tc>
        <w:tc>
          <w:tcPr>
            <w:tcW w:w="840" w:type="dxa"/>
            <w:shd w:val="clear" w:color="auto" w:fill="FFFFFF" w:themeFill="background1"/>
            <w:vAlign w:val="center"/>
          </w:tcPr>
          <w:p w14:paraId="4CDE575F" w14:textId="77777777" w:rsidR="006826F0" w:rsidRPr="00907C84" w:rsidRDefault="006826F0" w:rsidP="00E6372C">
            <w:pPr>
              <w:adjustRightInd w:val="0"/>
              <w:snapToGrid w:val="0"/>
              <w:spacing w:line="360" w:lineRule="auto"/>
              <w:jc w:val="center"/>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1</w:t>
            </w:r>
          </w:p>
        </w:tc>
      </w:tr>
      <w:tr w:rsidR="00E6372C" w:rsidRPr="00907C84" w14:paraId="73D85C90" w14:textId="77777777" w:rsidTr="00E6372C">
        <w:tc>
          <w:tcPr>
            <w:tcW w:w="846" w:type="dxa"/>
            <w:shd w:val="clear" w:color="auto" w:fill="FFFFFF" w:themeFill="background1"/>
            <w:vAlign w:val="center"/>
          </w:tcPr>
          <w:p w14:paraId="60D7D453" w14:textId="77777777" w:rsidR="006826F0" w:rsidRPr="00907C84" w:rsidRDefault="006826F0" w:rsidP="00E6372C">
            <w:pPr>
              <w:adjustRightInd w:val="0"/>
              <w:snapToGrid w:val="0"/>
              <w:spacing w:line="360" w:lineRule="auto"/>
              <w:jc w:val="both"/>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Q5</w:t>
            </w:r>
          </w:p>
        </w:tc>
        <w:tc>
          <w:tcPr>
            <w:tcW w:w="1318" w:type="dxa"/>
            <w:shd w:val="clear" w:color="auto" w:fill="FFFFFF" w:themeFill="background1"/>
            <w:vAlign w:val="center"/>
          </w:tcPr>
          <w:p w14:paraId="52F969A4" w14:textId="77777777" w:rsidR="006826F0" w:rsidRPr="00907C84" w:rsidRDefault="006826F0" w:rsidP="00E6372C">
            <w:pPr>
              <w:adjustRightInd w:val="0"/>
              <w:snapToGrid w:val="0"/>
              <w:spacing w:line="360" w:lineRule="auto"/>
              <w:jc w:val="center"/>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1</w:t>
            </w:r>
          </w:p>
        </w:tc>
        <w:tc>
          <w:tcPr>
            <w:tcW w:w="1147" w:type="dxa"/>
            <w:shd w:val="clear" w:color="auto" w:fill="FFFFFF" w:themeFill="background1"/>
            <w:vAlign w:val="center"/>
          </w:tcPr>
          <w:p w14:paraId="45568B39" w14:textId="77777777" w:rsidR="006826F0" w:rsidRPr="00907C84" w:rsidRDefault="006826F0" w:rsidP="00E6372C">
            <w:pPr>
              <w:adjustRightInd w:val="0"/>
              <w:snapToGrid w:val="0"/>
              <w:spacing w:line="360" w:lineRule="auto"/>
              <w:jc w:val="center"/>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2</w:t>
            </w:r>
          </w:p>
        </w:tc>
        <w:tc>
          <w:tcPr>
            <w:tcW w:w="1196" w:type="dxa"/>
            <w:shd w:val="clear" w:color="auto" w:fill="FFFFFF" w:themeFill="background1"/>
            <w:vAlign w:val="center"/>
          </w:tcPr>
          <w:p w14:paraId="2427F0F6" w14:textId="77777777" w:rsidR="006826F0" w:rsidRPr="00907C84" w:rsidRDefault="006826F0" w:rsidP="00E6372C">
            <w:pPr>
              <w:adjustRightInd w:val="0"/>
              <w:snapToGrid w:val="0"/>
              <w:spacing w:line="360" w:lineRule="auto"/>
              <w:jc w:val="center"/>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2</w:t>
            </w:r>
          </w:p>
        </w:tc>
        <w:tc>
          <w:tcPr>
            <w:tcW w:w="900" w:type="dxa"/>
            <w:shd w:val="clear" w:color="auto" w:fill="FFFFFF" w:themeFill="background1"/>
            <w:vAlign w:val="center"/>
          </w:tcPr>
          <w:p w14:paraId="2B53CC62" w14:textId="77777777" w:rsidR="006826F0" w:rsidRPr="00907C84" w:rsidRDefault="006826F0" w:rsidP="00E6372C">
            <w:pPr>
              <w:adjustRightInd w:val="0"/>
              <w:snapToGrid w:val="0"/>
              <w:spacing w:line="360" w:lineRule="auto"/>
              <w:jc w:val="center"/>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2</w:t>
            </w:r>
          </w:p>
        </w:tc>
        <w:tc>
          <w:tcPr>
            <w:tcW w:w="1295" w:type="dxa"/>
            <w:shd w:val="clear" w:color="auto" w:fill="FFFFFF" w:themeFill="background1"/>
            <w:vAlign w:val="center"/>
          </w:tcPr>
          <w:p w14:paraId="48D49C39" w14:textId="77777777" w:rsidR="006826F0" w:rsidRPr="00907C84" w:rsidRDefault="006826F0" w:rsidP="00E6372C">
            <w:pPr>
              <w:adjustRightInd w:val="0"/>
              <w:snapToGrid w:val="0"/>
              <w:spacing w:line="360" w:lineRule="auto"/>
              <w:jc w:val="center"/>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1</w:t>
            </w:r>
          </w:p>
        </w:tc>
        <w:tc>
          <w:tcPr>
            <w:tcW w:w="1127" w:type="dxa"/>
            <w:shd w:val="clear" w:color="auto" w:fill="FFFFFF" w:themeFill="background1"/>
            <w:vAlign w:val="center"/>
          </w:tcPr>
          <w:p w14:paraId="1F7A21A2" w14:textId="77777777" w:rsidR="006826F0" w:rsidRPr="00907C84" w:rsidDel="0033707C" w:rsidRDefault="006826F0" w:rsidP="00E6372C">
            <w:pPr>
              <w:adjustRightInd w:val="0"/>
              <w:snapToGrid w:val="0"/>
              <w:spacing w:line="360" w:lineRule="auto"/>
              <w:jc w:val="center"/>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1</w:t>
            </w:r>
          </w:p>
        </w:tc>
        <w:tc>
          <w:tcPr>
            <w:tcW w:w="681" w:type="dxa"/>
            <w:shd w:val="clear" w:color="auto" w:fill="FFFFFF" w:themeFill="background1"/>
            <w:vAlign w:val="center"/>
          </w:tcPr>
          <w:p w14:paraId="2B68FF0C" w14:textId="77777777" w:rsidR="006826F0" w:rsidRPr="00907C84" w:rsidRDefault="006826F0" w:rsidP="00E6372C">
            <w:pPr>
              <w:adjustRightInd w:val="0"/>
              <w:snapToGrid w:val="0"/>
              <w:spacing w:line="360" w:lineRule="auto"/>
              <w:jc w:val="center"/>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2</w:t>
            </w:r>
          </w:p>
        </w:tc>
        <w:tc>
          <w:tcPr>
            <w:tcW w:w="840" w:type="dxa"/>
            <w:shd w:val="clear" w:color="auto" w:fill="FFFFFF" w:themeFill="background1"/>
            <w:vAlign w:val="center"/>
          </w:tcPr>
          <w:p w14:paraId="760D35DD" w14:textId="77777777" w:rsidR="006826F0" w:rsidRPr="00907C84" w:rsidRDefault="006826F0" w:rsidP="00E6372C">
            <w:pPr>
              <w:adjustRightInd w:val="0"/>
              <w:snapToGrid w:val="0"/>
              <w:spacing w:line="360" w:lineRule="auto"/>
              <w:jc w:val="center"/>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1</w:t>
            </w:r>
          </w:p>
        </w:tc>
      </w:tr>
      <w:tr w:rsidR="00E6372C" w:rsidRPr="00907C84" w14:paraId="65F1F2F9" w14:textId="77777777" w:rsidTr="00E6372C">
        <w:tc>
          <w:tcPr>
            <w:tcW w:w="846" w:type="dxa"/>
            <w:shd w:val="clear" w:color="auto" w:fill="FFFFFF" w:themeFill="background1"/>
            <w:vAlign w:val="center"/>
          </w:tcPr>
          <w:p w14:paraId="4E63F520" w14:textId="77777777" w:rsidR="006826F0" w:rsidRPr="00907C84" w:rsidRDefault="006826F0" w:rsidP="00E6372C">
            <w:pPr>
              <w:adjustRightInd w:val="0"/>
              <w:snapToGrid w:val="0"/>
              <w:spacing w:line="360" w:lineRule="auto"/>
              <w:jc w:val="both"/>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Q6</w:t>
            </w:r>
          </w:p>
        </w:tc>
        <w:tc>
          <w:tcPr>
            <w:tcW w:w="1318" w:type="dxa"/>
            <w:shd w:val="clear" w:color="auto" w:fill="FFFFFF" w:themeFill="background1"/>
            <w:vAlign w:val="center"/>
          </w:tcPr>
          <w:p w14:paraId="6BBFAD5B" w14:textId="77777777" w:rsidR="006826F0" w:rsidRPr="00907C84" w:rsidRDefault="006826F0" w:rsidP="00E6372C">
            <w:pPr>
              <w:adjustRightInd w:val="0"/>
              <w:snapToGrid w:val="0"/>
              <w:spacing w:line="360" w:lineRule="auto"/>
              <w:jc w:val="center"/>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1</w:t>
            </w:r>
          </w:p>
        </w:tc>
        <w:tc>
          <w:tcPr>
            <w:tcW w:w="1147" w:type="dxa"/>
            <w:shd w:val="clear" w:color="auto" w:fill="FFFFFF" w:themeFill="background1"/>
            <w:vAlign w:val="center"/>
          </w:tcPr>
          <w:p w14:paraId="336A6901" w14:textId="77777777" w:rsidR="006826F0" w:rsidRPr="00907C84" w:rsidRDefault="006826F0" w:rsidP="00E6372C">
            <w:pPr>
              <w:adjustRightInd w:val="0"/>
              <w:snapToGrid w:val="0"/>
              <w:spacing w:line="360" w:lineRule="auto"/>
              <w:jc w:val="center"/>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1</w:t>
            </w:r>
          </w:p>
        </w:tc>
        <w:tc>
          <w:tcPr>
            <w:tcW w:w="1196" w:type="dxa"/>
            <w:shd w:val="clear" w:color="auto" w:fill="FFFFFF" w:themeFill="background1"/>
            <w:vAlign w:val="center"/>
          </w:tcPr>
          <w:p w14:paraId="144B2967" w14:textId="77777777" w:rsidR="006826F0" w:rsidRPr="00907C84" w:rsidRDefault="006826F0" w:rsidP="00E6372C">
            <w:pPr>
              <w:adjustRightInd w:val="0"/>
              <w:snapToGrid w:val="0"/>
              <w:spacing w:line="360" w:lineRule="auto"/>
              <w:jc w:val="center"/>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1</w:t>
            </w:r>
          </w:p>
        </w:tc>
        <w:tc>
          <w:tcPr>
            <w:tcW w:w="900" w:type="dxa"/>
            <w:shd w:val="clear" w:color="auto" w:fill="FFFFFF" w:themeFill="background1"/>
            <w:vAlign w:val="center"/>
          </w:tcPr>
          <w:p w14:paraId="22800653" w14:textId="77777777" w:rsidR="006826F0" w:rsidRPr="00907C84" w:rsidRDefault="006826F0" w:rsidP="00E6372C">
            <w:pPr>
              <w:adjustRightInd w:val="0"/>
              <w:snapToGrid w:val="0"/>
              <w:spacing w:line="360" w:lineRule="auto"/>
              <w:jc w:val="center"/>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1</w:t>
            </w:r>
          </w:p>
        </w:tc>
        <w:tc>
          <w:tcPr>
            <w:tcW w:w="1295" w:type="dxa"/>
            <w:shd w:val="clear" w:color="auto" w:fill="FFFFFF" w:themeFill="background1"/>
            <w:vAlign w:val="center"/>
          </w:tcPr>
          <w:p w14:paraId="247F5095" w14:textId="77777777" w:rsidR="006826F0" w:rsidRPr="00907C84" w:rsidRDefault="006826F0" w:rsidP="00E6372C">
            <w:pPr>
              <w:adjustRightInd w:val="0"/>
              <w:snapToGrid w:val="0"/>
              <w:spacing w:line="360" w:lineRule="auto"/>
              <w:jc w:val="center"/>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1</w:t>
            </w:r>
          </w:p>
        </w:tc>
        <w:tc>
          <w:tcPr>
            <w:tcW w:w="1127" w:type="dxa"/>
            <w:shd w:val="clear" w:color="auto" w:fill="FFFFFF" w:themeFill="background1"/>
            <w:vAlign w:val="center"/>
          </w:tcPr>
          <w:p w14:paraId="434320F9" w14:textId="77777777" w:rsidR="006826F0" w:rsidRPr="00907C84" w:rsidDel="0033707C" w:rsidRDefault="006826F0" w:rsidP="00E6372C">
            <w:pPr>
              <w:adjustRightInd w:val="0"/>
              <w:snapToGrid w:val="0"/>
              <w:spacing w:line="360" w:lineRule="auto"/>
              <w:jc w:val="center"/>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1</w:t>
            </w:r>
          </w:p>
        </w:tc>
        <w:tc>
          <w:tcPr>
            <w:tcW w:w="681" w:type="dxa"/>
            <w:shd w:val="clear" w:color="auto" w:fill="FFFFFF" w:themeFill="background1"/>
            <w:vAlign w:val="center"/>
          </w:tcPr>
          <w:p w14:paraId="0154B6D2" w14:textId="77777777" w:rsidR="006826F0" w:rsidRPr="00907C84" w:rsidRDefault="006826F0" w:rsidP="00E6372C">
            <w:pPr>
              <w:adjustRightInd w:val="0"/>
              <w:snapToGrid w:val="0"/>
              <w:spacing w:line="360" w:lineRule="auto"/>
              <w:jc w:val="center"/>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1</w:t>
            </w:r>
          </w:p>
        </w:tc>
        <w:tc>
          <w:tcPr>
            <w:tcW w:w="840" w:type="dxa"/>
            <w:shd w:val="clear" w:color="auto" w:fill="FFFFFF" w:themeFill="background1"/>
            <w:vAlign w:val="center"/>
          </w:tcPr>
          <w:p w14:paraId="29F638E8" w14:textId="77777777" w:rsidR="006826F0" w:rsidRPr="00907C84" w:rsidRDefault="006826F0" w:rsidP="00E6372C">
            <w:pPr>
              <w:adjustRightInd w:val="0"/>
              <w:snapToGrid w:val="0"/>
              <w:spacing w:line="360" w:lineRule="auto"/>
              <w:jc w:val="center"/>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1</w:t>
            </w:r>
          </w:p>
        </w:tc>
      </w:tr>
      <w:tr w:rsidR="00E6372C" w:rsidRPr="00907C84" w14:paraId="5F77C2AA" w14:textId="77777777" w:rsidTr="00E6372C">
        <w:tc>
          <w:tcPr>
            <w:tcW w:w="846" w:type="dxa"/>
            <w:shd w:val="clear" w:color="auto" w:fill="FFFFFF" w:themeFill="background1"/>
            <w:vAlign w:val="center"/>
          </w:tcPr>
          <w:p w14:paraId="0E0325DF" w14:textId="77777777" w:rsidR="006826F0" w:rsidRPr="00907C84" w:rsidRDefault="006826F0" w:rsidP="00E6372C">
            <w:pPr>
              <w:adjustRightInd w:val="0"/>
              <w:snapToGrid w:val="0"/>
              <w:spacing w:line="360" w:lineRule="auto"/>
              <w:jc w:val="both"/>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Q7</w:t>
            </w:r>
          </w:p>
        </w:tc>
        <w:tc>
          <w:tcPr>
            <w:tcW w:w="1318" w:type="dxa"/>
            <w:shd w:val="clear" w:color="auto" w:fill="FFFFFF" w:themeFill="background1"/>
            <w:vAlign w:val="center"/>
          </w:tcPr>
          <w:p w14:paraId="29D08AEB" w14:textId="77777777" w:rsidR="006826F0" w:rsidRPr="00907C84" w:rsidRDefault="006826F0" w:rsidP="00E6372C">
            <w:pPr>
              <w:adjustRightInd w:val="0"/>
              <w:snapToGrid w:val="0"/>
              <w:spacing w:line="360" w:lineRule="auto"/>
              <w:jc w:val="center"/>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1</w:t>
            </w:r>
          </w:p>
        </w:tc>
        <w:tc>
          <w:tcPr>
            <w:tcW w:w="1147" w:type="dxa"/>
            <w:shd w:val="clear" w:color="auto" w:fill="FFFFFF" w:themeFill="background1"/>
            <w:vAlign w:val="center"/>
          </w:tcPr>
          <w:p w14:paraId="406E27F9" w14:textId="77777777" w:rsidR="006826F0" w:rsidRPr="00907C84" w:rsidRDefault="006826F0" w:rsidP="00E6372C">
            <w:pPr>
              <w:adjustRightInd w:val="0"/>
              <w:snapToGrid w:val="0"/>
              <w:spacing w:line="360" w:lineRule="auto"/>
              <w:jc w:val="center"/>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1</w:t>
            </w:r>
          </w:p>
        </w:tc>
        <w:tc>
          <w:tcPr>
            <w:tcW w:w="1196" w:type="dxa"/>
            <w:shd w:val="clear" w:color="auto" w:fill="FFFFFF" w:themeFill="background1"/>
            <w:vAlign w:val="center"/>
          </w:tcPr>
          <w:p w14:paraId="5D0043B0" w14:textId="77777777" w:rsidR="006826F0" w:rsidRPr="00907C84" w:rsidRDefault="006826F0" w:rsidP="00E6372C">
            <w:pPr>
              <w:adjustRightInd w:val="0"/>
              <w:snapToGrid w:val="0"/>
              <w:spacing w:line="360" w:lineRule="auto"/>
              <w:jc w:val="center"/>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1</w:t>
            </w:r>
          </w:p>
        </w:tc>
        <w:tc>
          <w:tcPr>
            <w:tcW w:w="900" w:type="dxa"/>
            <w:shd w:val="clear" w:color="auto" w:fill="FFFFFF" w:themeFill="background1"/>
            <w:vAlign w:val="center"/>
          </w:tcPr>
          <w:p w14:paraId="6E3194AC" w14:textId="77777777" w:rsidR="006826F0" w:rsidRPr="00907C84" w:rsidRDefault="006826F0" w:rsidP="00E6372C">
            <w:pPr>
              <w:adjustRightInd w:val="0"/>
              <w:snapToGrid w:val="0"/>
              <w:spacing w:line="360" w:lineRule="auto"/>
              <w:jc w:val="center"/>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0</w:t>
            </w:r>
          </w:p>
        </w:tc>
        <w:tc>
          <w:tcPr>
            <w:tcW w:w="1295" w:type="dxa"/>
            <w:shd w:val="clear" w:color="auto" w:fill="FFFFFF" w:themeFill="background1"/>
            <w:vAlign w:val="center"/>
          </w:tcPr>
          <w:p w14:paraId="7F216D3D" w14:textId="77777777" w:rsidR="006826F0" w:rsidRPr="00907C84" w:rsidRDefault="006826F0" w:rsidP="00E6372C">
            <w:pPr>
              <w:adjustRightInd w:val="0"/>
              <w:snapToGrid w:val="0"/>
              <w:spacing w:line="360" w:lineRule="auto"/>
              <w:jc w:val="center"/>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0</w:t>
            </w:r>
          </w:p>
        </w:tc>
        <w:tc>
          <w:tcPr>
            <w:tcW w:w="1127" w:type="dxa"/>
            <w:shd w:val="clear" w:color="auto" w:fill="FFFFFF" w:themeFill="background1"/>
            <w:vAlign w:val="center"/>
          </w:tcPr>
          <w:p w14:paraId="4068A696" w14:textId="77777777" w:rsidR="006826F0" w:rsidRPr="00907C84" w:rsidDel="0033707C" w:rsidRDefault="006826F0" w:rsidP="00E6372C">
            <w:pPr>
              <w:adjustRightInd w:val="0"/>
              <w:snapToGrid w:val="0"/>
              <w:spacing w:line="360" w:lineRule="auto"/>
              <w:jc w:val="center"/>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1</w:t>
            </w:r>
          </w:p>
        </w:tc>
        <w:tc>
          <w:tcPr>
            <w:tcW w:w="681" w:type="dxa"/>
            <w:shd w:val="clear" w:color="auto" w:fill="FFFFFF" w:themeFill="background1"/>
            <w:vAlign w:val="center"/>
          </w:tcPr>
          <w:p w14:paraId="09CB91DA" w14:textId="77777777" w:rsidR="006826F0" w:rsidRPr="00907C84" w:rsidRDefault="006826F0" w:rsidP="00E6372C">
            <w:pPr>
              <w:adjustRightInd w:val="0"/>
              <w:snapToGrid w:val="0"/>
              <w:spacing w:line="360" w:lineRule="auto"/>
              <w:jc w:val="center"/>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1</w:t>
            </w:r>
          </w:p>
        </w:tc>
        <w:tc>
          <w:tcPr>
            <w:tcW w:w="840" w:type="dxa"/>
            <w:shd w:val="clear" w:color="auto" w:fill="FFFFFF" w:themeFill="background1"/>
            <w:vAlign w:val="center"/>
          </w:tcPr>
          <w:p w14:paraId="61A70500" w14:textId="77777777" w:rsidR="006826F0" w:rsidRPr="00907C84" w:rsidRDefault="006826F0" w:rsidP="00E6372C">
            <w:pPr>
              <w:adjustRightInd w:val="0"/>
              <w:snapToGrid w:val="0"/>
              <w:spacing w:line="360" w:lineRule="auto"/>
              <w:jc w:val="center"/>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1</w:t>
            </w:r>
          </w:p>
        </w:tc>
      </w:tr>
      <w:tr w:rsidR="00E6372C" w:rsidRPr="00907C84" w14:paraId="6E5301F8" w14:textId="77777777" w:rsidTr="00E6372C">
        <w:tc>
          <w:tcPr>
            <w:tcW w:w="846" w:type="dxa"/>
            <w:shd w:val="clear" w:color="auto" w:fill="FFFFFF" w:themeFill="background1"/>
            <w:vAlign w:val="center"/>
          </w:tcPr>
          <w:p w14:paraId="1073E2A8" w14:textId="77777777" w:rsidR="006826F0" w:rsidRPr="00907C84" w:rsidRDefault="006826F0" w:rsidP="00E6372C">
            <w:pPr>
              <w:adjustRightInd w:val="0"/>
              <w:snapToGrid w:val="0"/>
              <w:spacing w:line="360" w:lineRule="auto"/>
              <w:jc w:val="both"/>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Q8</w:t>
            </w:r>
          </w:p>
        </w:tc>
        <w:tc>
          <w:tcPr>
            <w:tcW w:w="1318" w:type="dxa"/>
            <w:shd w:val="clear" w:color="auto" w:fill="FFFFFF" w:themeFill="background1"/>
            <w:vAlign w:val="center"/>
          </w:tcPr>
          <w:p w14:paraId="48CAF3EA" w14:textId="77777777" w:rsidR="006826F0" w:rsidRPr="00907C84" w:rsidRDefault="006826F0" w:rsidP="00E6372C">
            <w:pPr>
              <w:adjustRightInd w:val="0"/>
              <w:snapToGrid w:val="0"/>
              <w:spacing w:line="360" w:lineRule="auto"/>
              <w:jc w:val="center"/>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1</w:t>
            </w:r>
          </w:p>
        </w:tc>
        <w:tc>
          <w:tcPr>
            <w:tcW w:w="1147" w:type="dxa"/>
            <w:shd w:val="clear" w:color="auto" w:fill="FFFFFF" w:themeFill="background1"/>
            <w:vAlign w:val="center"/>
          </w:tcPr>
          <w:p w14:paraId="2CFC2A48" w14:textId="77777777" w:rsidR="006826F0" w:rsidRPr="00907C84" w:rsidRDefault="006826F0" w:rsidP="00E6372C">
            <w:pPr>
              <w:adjustRightInd w:val="0"/>
              <w:snapToGrid w:val="0"/>
              <w:spacing w:line="360" w:lineRule="auto"/>
              <w:jc w:val="center"/>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1</w:t>
            </w:r>
          </w:p>
        </w:tc>
        <w:tc>
          <w:tcPr>
            <w:tcW w:w="1196" w:type="dxa"/>
            <w:shd w:val="clear" w:color="auto" w:fill="FFFFFF" w:themeFill="background1"/>
            <w:vAlign w:val="center"/>
          </w:tcPr>
          <w:p w14:paraId="60EED090" w14:textId="77777777" w:rsidR="006826F0" w:rsidRPr="00907C84" w:rsidRDefault="006826F0" w:rsidP="00E6372C">
            <w:pPr>
              <w:adjustRightInd w:val="0"/>
              <w:snapToGrid w:val="0"/>
              <w:spacing w:line="360" w:lineRule="auto"/>
              <w:jc w:val="center"/>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1</w:t>
            </w:r>
          </w:p>
        </w:tc>
        <w:tc>
          <w:tcPr>
            <w:tcW w:w="900" w:type="dxa"/>
            <w:shd w:val="clear" w:color="auto" w:fill="FFFFFF" w:themeFill="background1"/>
            <w:vAlign w:val="center"/>
          </w:tcPr>
          <w:p w14:paraId="44C41E4C" w14:textId="77777777" w:rsidR="006826F0" w:rsidRPr="00907C84" w:rsidRDefault="006826F0" w:rsidP="00E6372C">
            <w:pPr>
              <w:adjustRightInd w:val="0"/>
              <w:snapToGrid w:val="0"/>
              <w:spacing w:line="360" w:lineRule="auto"/>
              <w:jc w:val="center"/>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1</w:t>
            </w:r>
          </w:p>
        </w:tc>
        <w:tc>
          <w:tcPr>
            <w:tcW w:w="1295" w:type="dxa"/>
            <w:shd w:val="clear" w:color="auto" w:fill="FFFFFF" w:themeFill="background1"/>
            <w:vAlign w:val="center"/>
          </w:tcPr>
          <w:p w14:paraId="32CB185C" w14:textId="77777777" w:rsidR="006826F0" w:rsidRPr="00907C84" w:rsidRDefault="006826F0" w:rsidP="00E6372C">
            <w:pPr>
              <w:adjustRightInd w:val="0"/>
              <w:snapToGrid w:val="0"/>
              <w:spacing w:line="360" w:lineRule="auto"/>
              <w:jc w:val="center"/>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0</w:t>
            </w:r>
          </w:p>
        </w:tc>
        <w:tc>
          <w:tcPr>
            <w:tcW w:w="1127" w:type="dxa"/>
            <w:shd w:val="clear" w:color="auto" w:fill="FFFFFF" w:themeFill="background1"/>
            <w:vAlign w:val="center"/>
          </w:tcPr>
          <w:p w14:paraId="34725797" w14:textId="77777777" w:rsidR="006826F0" w:rsidRPr="00907C84" w:rsidDel="0033707C" w:rsidRDefault="006826F0" w:rsidP="00E6372C">
            <w:pPr>
              <w:adjustRightInd w:val="0"/>
              <w:snapToGrid w:val="0"/>
              <w:spacing w:line="360" w:lineRule="auto"/>
              <w:jc w:val="center"/>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1</w:t>
            </w:r>
          </w:p>
        </w:tc>
        <w:tc>
          <w:tcPr>
            <w:tcW w:w="681" w:type="dxa"/>
            <w:shd w:val="clear" w:color="auto" w:fill="FFFFFF" w:themeFill="background1"/>
            <w:vAlign w:val="center"/>
          </w:tcPr>
          <w:p w14:paraId="2197115A" w14:textId="77777777" w:rsidR="006826F0" w:rsidRPr="00907C84" w:rsidRDefault="006826F0" w:rsidP="00E6372C">
            <w:pPr>
              <w:adjustRightInd w:val="0"/>
              <w:snapToGrid w:val="0"/>
              <w:spacing w:line="360" w:lineRule="auto"/>
              <w:jc w:val="center"/>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1</w:t>
            </w:r>
          </w:p>
        </w:tc>
        <w:tc>
          <w:tcPr>
            <w:tcW w:w="840" w:type="dxa"/>
            <w:shd w:val="clear" w:color="auto" w:fill="FFFFFF" w:themeFill="background1"/>
            <w:vAlign w:val="center"/>
          </w:tcPr>
          <w:p w14:paraId="3B8166D6" w14:textId="77777777" w:rsidR="006826F0" w:rsidRPr="00907C84" w:rsidRDefault="006826F0" w:rsidP="00E6372C">
            <w:pPr>
              <w:adjustRightInd w:val="0"/>
              <w:snapToGrid w:val="0"/>
              <w:spacing w:line="360" w:lineRule="auto"/>
              <w:jc w:val="center"/>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1</w:t>
            </w:r>
          </w:p>
        </w:tc>
      </w:tr>
      <w:tr w:rsidR="00E6372C" w:rsidRPr="00907C84" w14:paraId="23CD301F" w14:textId="77777777" w:rsidTr="00E6372C">
        <w:tc>
          <w:tcPr>
            <w:tcW w:w="846" w:type="dxa"/>
            <w:shd w:val="clear" w:color="auto" w:fill="FFFFFF" w:themeFill="background1"/>
            <w:vAlign w:val="center"/>
          </w:tcPr>
          <w:p w14:paraId="017F8C52" w14:textId="77777777" w:rsidR="006826F0" w:rsidRPr="00907C84" w:rsidRDefault="006826F0" w:rsidP="00E6372C">
            <w:pPr>
              <w:adjustRightInd w:val="0"/>
              <w:snapToGrid w:val="0"/>
              <w:spacing w:line="360" w:lineRule="auto"/>
              <w:jc w:val="both"/>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Q9</w:t>
            </w:r>
          </w:p>
        </w:tc>
        <w:tc>
          <w:tcPr>
            <w:tcW w:w="1318" w:type="dxa"/>
            <w:shd w:val="clear" w:color="auto" w:fill="FFFFFF" w:themeFill="background1"/>
            <w:vAlign w:val="center"/>
          </w:tcPr>
          <w:p w14:paraId="1536D7C5" w14:textId="77777777" w:rsidR="006826F0" w:rsidRPr="00907C84" w:rsidRDefault="006826F0" w:rsidP="00E6372C">
            <w:pPr>
              <w:adjustRightInd w:val="0"/>
              <w:snapToGrid w:val="0"/>
              <w:spacing w:line="360" w:lineRule="auto"/>
              <w:jc w:val="center"/>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1</w:t>
            </w:r>
          </w:p>
        </w:tc>
        <w:tc>
          <w:tcPr>
            <w:tcW w:w="1147" w:type="dxa"/>
            <w:shd w:val="clear" w:color="auto" w:fill="FFFFFF" w:themeFill="background1"/>
            <w:vAlign w:val="center"/>
          </w:tcPr>
          <w:p w14:paraId="740059F6" w14:textId="77777777" w:rsidR="006826F0" w:rsidRPr="00907C84" w:rsidRDefault="006826F0" w:rsidP="00E6372C">
            <w:pPr>
              <w:adjustRightInd w:val="0"/>
              <w:snapToGrid w:val="0"/>
              <w:spacing w:line="360" w:lineRule="auto"/>
              <w:jc w:val="center"/>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1</w:t>
            </w:r>
          </w:p>
        </w:tc>
        <w:tc>
          <w:tcPr>
            <w:tcW w:w="1196" w:type="dxa"/>
            <w:shd w:val="clear" w:color="auto" w:fill="FFFFFF" w:themeFill="background1"/>
            <w:vAlign w:val="center"/>
          </w:tcPr>
          <w:p w14:paraId="4C881CF4" w14:textId="77777777" w:rsidR="006826F0" w:rsidRPr="00907C84" w:rsidRDefault="006826F0" w:rsidP="00E6372C">
            <w:pPr>
              <w:adjustRightInd w:val="0"/>
              <w:snapToGrid w:val="0"/>
              <w:spacing w:line="360" w:lineRule="auto"/>
              <w:jc w:val="center"/>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1</w:t>
            </w:r>
          </w:p>
        </w:tc>
        <w:tc>
          <w:tcPr>
            <w:tcW w:w="900" w:type="dxa"/>
            <w:shd w:val="clear" w:color="auto" w:fill="FFFFFF" w:themeFill="background1"/>
            <w:vAlign w:val="center"/>
          </w:tcPr>
          <w:p w14:paraId="1CCB9223" w14:textId="77777777" w:rsidR="006826F0" w:rsidRPr="00907C84" w:rsidRDefault="006826F0" w:rsidP="00E6372C">
            <w:pPr>
              <w:adjustRightInd w:val="0"/>
              <w:snapToGrid w:val="0"/>
              <w:spacing w:line="360" w:lineRule="auto"/>
              <w:jc w:val="center"/>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1</w:t>
            </w:r>
          </w:p>
        </w:tc>
        <w:tc>
          <w:tcPr>
            <w:tcW w:w="1295" w:type="dxa"/>
            <w:shd w:val="clear" w:color="auto" w:fill="FFFFFF" w:themeFill="background1"/>
            <w:vAlign w:val="center"/>
          </w:tcPr>
          <w:p w14:paraId="48B205DB" w14:textId="77777777" w:rsidR="006826F0" w:rsidRPr="00907C84" w:rsidRDefault="006826F0" w:rsidP="00E6372C">
            <w:pPr>
              <w:adjustRightInd w:val="0"/>
              <w:snapToGrid w:val="0"/>
              <w:spacing w:line="360" w:lineRule="auto"/>
              <w:jc w:val="center"/>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1</w:t>
            </w:r>
          </w:p>
        </w:tc>
        <w:tc>
          <w:tcPr>
            <w:tcW w:w="1127" w:type="dxa"/>
            <w:shd w:val="clear" w:color="auto" w:fill="FFFFFF" w:themeFill="background1"/>
            <w:vAlign w:val="center"/>
          </w:tcPr>
          <w:p w14:paraId="709784C9" w14:textId="77777777" w:rsidR="006826F0" w:rsidRPr="00907C84" w:rsidDel="0033707C" w:rsidRDefault="006826F0" w:rsidP="00E6372C">
            <w:pPr>
              <w:adjustRightInd w:val="0"/>
              <w:snapToGrid w:val="0"/>
              <w:spacing w:line="360" w:lineRule="auto"/>
              <w:jc w:val="center"/>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1</w:t>
            </w:r>
          </w:p>
        </w:tc>
        <w:tc>
          <w:tcPr>
            <w:tcW w:w="681" w:type="dxa"/>
            <w:shd w:val="clear" w:color="auto" w:fill="FFFFFF" w:themeFill="background1"/>
            <w:vAlign w:val="center"/>
          </w:tcPr>
          <w:p w14:paraId="7FCE183D" w14:textId="77777777" w:rsidR="006826F0" w:rsidRPr="00907C84" w:rsidRDefault="006826F0" w:rsidP="00E6372C">
            <w:pPr>
              <w:adjustRightInd w:val="0"/>
              <w:snapToGrid w:val="0"/>
              <w:spacing w:line="360" w:lineRule="auto"/>
              <w:jc w:val="center"/>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1</w:t>
            </w:r>
          </w:p>
        </w:tc>
        <w:tc>
          <w:tcPr>
            <w:tcW w:w="840" w:type="dxa"/>
            <w:shd w:val="clear" w:color="auto" w:fill="FFFFFF" w:themeFill="background1"/>
            <w:vAlign w:val="center"/>
          </w:tcPr>
          <w:p w14:paraId="2084DADE" w14:textId="77777777" w:rsidR="006826F0" w:rsidRPr="00907C84" w:rsidRDefault="006826F0" w:rsidP="00E6372C">
            <w:pPr>
              <w:adjustRightInd w:val="0"/>
              <w:snapToGrid w:val="0"/>
              <w:spacing w:line="360" w:lineRule="auto"/>
              <w:jc w:val="center"/>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1</w:t>
            </w:r>
          </w:p>
        </w:tc>
      </w:tr>
      <w:tr w:rsidR="00E6372C" w:rsidRPr="00907C84" w14:paraId="6DD1C273" w14:textId="77777777" w:rsidTr="00E6372C">
        <w:tc>
          <w:tcPr>
            <w:tcW w:w="846" w:type="dxa"/>
            <w:shd w:val="clear" w:color="auto" w:fill="FFFFFF" w:themeFill="background1"/>
            <w:vAlign w:val="center"/>
          </w:tcPr>
          <w:p w14:paraId="11BBD4F4" w14:textId="77777777" w:rsidR="006826F0" w:rsidRPr="00907C84" w:rsidRDefault="006826F0" w:rsidP="00E6372C">
            <w:pPr>
              <w:adjustRightInd w:val="0"/>
              <w:snapToGrid w:val="0"/>
              <w:spacing w:line="360" w:lineRule="auto"/>
              <w:jc w:val="both"/>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Q10</w:t>
            </w:r>
          </w:p>
        </w:tc>
        <w:tc>
          <w:tcPr>
            <w:tcW w:w="1318" w:type="dxa"/>
            <w:shd w:val="clear" w:color="auto" w:fill="FFFFFF" w:themeFill="background1"/>
            <w:vAlign w:val="center"/>
          </w:tcPr>
          <w:p w14:paraId="6DE55740" w14:textId="77777777" w:rsidR="006826F0" w:rsidRPr="00907C84" w:rsidRDefault="006826F0" w:rsidP="00E6372C">
            <w:pPr>
              <w:adjustRightInd w:val="0"/>
              <w:snapToGrid w:val="0"/>
              <w:spacing w:line="360" w:lineRule="auto"/>
              <w:jc w:val="center"/>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1</w:t>
            </w:r>
          </w:p>
        </w:tc>
        <w:tc>
          <w:tcPr>
            <w:tcW w:w="1147" w:type="dxa"/>
            <w:shd w:val="clear" w:color="auto" w:fill="FFFFFF" w:themeFill="background1"/>
            <w:vAlign w:val="center"/>
          </w:tcPr>
          <w:p w14:paraId="12511E73" w14:textId="77777777" w:rsidR="006826F0" w:rsidRPr="00907C84" w:rsidRDefault="006826F0" w:rsidP="00E6372C">
            <w:pPr>
              <w:adjustRightInd w:val="0"/>
              <w:snapToGrid w:val="0"/>
              <w:spacing w:line="360" w:lineRule="auto"/>
              <w:jc w:val="center"/>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1</w:t>
            </w:r>
          </w:p>
        </w:tc>
        <w:tc>
          <w:tcPr>
            <w:tcW w:w="1196" w:type="dxa"/>
            <w:shd w:val="clear" w:color="auto" w:fill="FFFFFF" w:themeFill="background1"/>
            <w:vAlign w:val="center"/>
          </w:tcPr>
          <w:p w14:paraId="4D09E058" w14:textId="77777777" w:rsidR="006826F0" w:rsidRPr="00907C84" w:rsidRDefault="006826F0" w:rsidP="00E6372C">
            <w:pPr>
              <w:adjustRightInd w:val="0"/>
              <w:snapToGrid w:val="0"/>
              <w:spacing w:line="360" w:lineRule="auto"/>
              <w:jc w:val="center"/>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1</w:t>
            </w:r>
          </w:p>
        </w:tc>
        <w:tc>
          <w:tcPr>
            <w:tcW w:w="900" w:type="dxa"/>
            <w:shd w:val="clear" w:color="auto" w:fill="FFFFFF" w:themeFill="background1"/>
            <w:vAlign w:val="center"/>
          </w:tcPr>
          <w:p w14:paraId="0EF05D26" w14:textId="77777777" w:rsidR="006826F0" w:rsidRPr="00907C84" w:rsidRDefault="006826F0" w:rsidP="00E6372C">
            <w:pPr>
              <w:adjustRightInd w:val="0"/>
              <w:snapToGrid w:val="0"/>
              <w:spacing w:line="360" w:lineRule="auto"/>
              <w:jc w:val="center"/>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0</w:t>
            </w:r>
          </w:p>
        </w:tc>
        <w:tc>
          <w:tcPr>
            <w:tcW w:w="1295" w:type="dxa"/>
            <w:shd w:val="clear" w:color="auto" w:fill="FFFFFF" w:themeFill="background1"/>
            <w:vAlign w:val="center"/>
          </w:tcPr>
          <w:p w14:paraId="363231BA" w14:textId="77777777" w:rsidR="006826F0" w:rsidRPr="00907C84" w:rsidRDefault="006826F0" w:rsidP="00E6372C">
            <w:pPr>
              <w:adjustRightInd w:val="0"/>
              <w:snapToGrid w:val="0"/>
              <w:spacing w:line="360" w:lineRule="auto"/>
              <w:jc w:val="center"/>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0</w:t>
            </w:r>
          </w:p>
        </w:tc>
        <w:tc>
          <w:tcPr>
            <w:tcW w:w="1127" w:type="dxa"/>
            <w:shd w:val="clear" w:color="auto" w:fill="FFFFFF" w:themeFill="background1"/>
            <w:vAlign w:val="center"/>
          </w:tcPr>
          <w:p w14:paraId="3EAA8BE1" w14:textId="77777777" w:rsidR="006826F0" w:rsidRPr="00907C84" w:rsidDel="0033707C" w:rsidRDefault="006826F0" w:rsidP="00E6372C">
            <w:pPr>
              <w:adjustRightInd w:val="0"/>
              <w:snapToGrid w:val="0"/>
              <w:spacing w:line="360" w:lineRule="auto"/>
              <w:jc w:val="center"/>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1</w:t>
            </w:r>
          </w:p>
        </w:tc>
        <w:tc>
          <w:tcPr>
            <w:tcW w:w="681" w:type="dxa"/>
            <w:shd w:val="clear" w:color="auto" w:fill="FFFFFF" w:themeFill="background1"/>
            <w:vAlign w:val="center"/>
          </w:tcPr>
          <w:p w14:paraId="2FC51260" w14:textId="77777777" w:rsidR="006826F0" w:rsidRPr="00907C84" w:rsidRDefault="006826F0" w:rsidP="00E6372C">
            <w:pPr>
              <w:adjustRightInd w:val="0"/>
              <w:snapToGrid w:val="0"/>
              <w:spacing w:line="360" w:lineRule="auto"/>
              <w:jc w:val="center"/>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1</w:t>
            </w:r>
          </w:p>
        </w:tc>
        <w:tc>
          <w:tcPr>
            <w:tcW w:w="840" w:type="dxa"/>
            <w:shd w:val="clear" w:color="auto" w:fill="FFFFFF" w:themeFill="background1"/>
            <w:vAlign w:val="center"/>
          </w:tcPr>
          <w:p w14:paraId="365ECC56" w14:textId="77777777" w:rsidR="006826F0" w:rsidRPr="00907C84" w:rsidRDefault="006826F0" w:rsidP="00E6372C">
            <w:pPr>
              <w:adjustRightInd w:val="0"/>
              <w:snapToGrid w:val="0"/>
              <w:spacing w:line="360" w:lineRule="auto"/>
              <w:jc w:val="center"/>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1</w:t>
            </w:r>
          </w:p>
        </w:tc>
      </w:tr>
      <w:tr w:rsidR="00E6372C" w:rsidRPr="00907C84" w14:paraId="0A0F8681" w14:textId="77777777" w:rsidTr="00E6372C">
        <w:tc>
          <w:tcPr>
            <w:tcW w:w="846" w:type="dxa"/>
            <w:shd w:val="clear" w:color="auto" w:fill="FFFFFF" w:themeFill="background1"/>
            <w:vAlign w:val="center"/>
          </w:tcPr>
          <w:p w14:paraId="231DB35C" w14:textId="77777777" w:rsidR="006826F0" w:rsidRPr="00907C84" w:rsidRDefault="006826F0" w:rsidP="00E6372C">
            <w:pPr>
              <w:adjustRightInd w:val="0"/>
              <w:snapToGrid w:val="0"/>
              <w:spacing w:line="360" w:lineRule="auto"/>
              <w:jc w:val="both"/>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Q11</w:t>
            </w:r>
          </w:p>
        </w:tc>
        <w:tc>
          <w:tcPr>
            <w:tcW w:w="1318" w:type="dxa"/>
            <w:shd w:val="clear" w:color="auto" w:fill="FFFFFF" w:themeFill="background1"/>
            <w:vAlign w:val="center"/>
          </w:tcPr>
          <w:p w14:paraId="45769462" w14:textId="77777777" w:rsidR="006826F0" w:rsidRPr="00907C84" w:rsidRDefault="006826F0" w:rsidP="00E6372C">
            <w:pPr>
              <w:adjustRightInd w:val="0"/>
              <w:snapToGrid w:val="0"/>
              <w:spacing w:line="360" w:lineRule="auto"/>
              <w:jc w:val="center"/>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1</w:t>
            </w:r>
          </w:p>
        </w:tc>
        <w:tc>
          <w:tcPr>
            <w:tcW w:w="1147" w:type="dxa"/>
            <w:shd w:val="clear" w:color="auto" w:fill="FFFFFF" w:themeFill="background1"/>
            <w:vAlign w:val="center"/>
          </w:tcPr>
          <w:p w14:paraId="712743C6" w14:textId="77777777" w:rsidR="006826F0" w:rsidRPr="00907C84" w:rsidRDefault="006826F0" w:rsidP="00E6372C">
            <w:pPr>
              <w:adjustRightInd w:val="0"/>
              <w:snapToGrid w:val="0"/>
              <w:spacing w:line="360" w:lineRule="auto"/>
              <w:jc w:val="center"/>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1</w:t>
            </w:r>
          </w:p>
        </w:tc>
        <w:tc>
          <w:tcPr>
            <w:tcW w:w="1196" w:type="dxa"/>
            <w:shd w:val="clear" w:color="auto" w:fill="FFFFFF" w:themeFill="background1"/>
            <w:vAlign w:val="center"/>
          </w:tcPr>
          <w:p w14:paraId="0A5FEA69" w14:textId="77777777" w:rsidR="006826F0" w:rsidRPr="00907C84" w:rsidRDefault="006826F0" w:rsidP="00E6372C">
            <w:pPr>
              <w:adjustRightInd w:val="0"/>
              <w:snapToGrid w:val="0"/>
              <w:spacing w:line="360" w:lineRule="auto"/>
              <w:jc w:val="center"/>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1</w:t>
            </w:r>
          </w:p>
        </w:tc>
        <w:tc>
          <w:tcPr>
            <w:tcW w:w="900" w:type="dxa"/>
            <w:shd w:val="clear" w:color="auto" w:fill="FFFFFF" w:themeFill="background1"/>
            <w:vAlign w:val="center"/>
          </w:tcPr>
          <w:p w14:paraId="1CB06BC7" w14:textId="77777777" w:rsidR="006826F0" w:rsidRPr="00907C84" w:rsidRDefault="006826F0" w:rsidP="00E6372C">
            <w:pPr>
              <w:adjustRightInd w:val="0"/>
              <w:snapToGrid w:val="0"/>
              <w:spacing w:line="360" w:lineRule="auto"/>
              <w:jc w:val="center"/>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1</w:t>
            </w:r>
          </w:p>
        </w:tc>
        <w:tc>
          <w:tcPr>
            <w:tcW w:w="1295" w:type="dxa"/>
            <w:shd w:val="clear" w:color="auto" w:fill="FFFFFF" w:themeFill="background1"/>
            <w:vAlign w:val="center"/>
          </w:tcPr>
          <w:p w14:paraId="37237C86" w14:textId="77777777" w:rsidR="006826F0" w:rsidRPr="00907C84" w:rsidRDefault="006826F0" w:rsidP="00E6372C">
            <w:pPr>
              <w:adjustRightInd w:val="0"/>
              <w:snapToGrid w:val="0"/>
              <w:spacing w:line="360" w:lineRule="auto"/>
              <w:jc w:val="center"/>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1</w:t>
            </w:r>
          </w:p>
        </w:tc>
        <w:tc>
          <w:tcPr>
            <w:tcW w:w="1127" w:type="dxa"/>
            <w:shd w:val="clear" w:color="auto" w:fill="FFFFFF" w:themeFill="background1"/>
            <w:vAlign w:val="center"/>
          </w:tcPr>
          <w:p w14:paraId="676CE23D" w14:textId="77777777" w:rsidR="006826F0" w:rsidRPr="00907C84" w:rsidDel="0033707C" w:rsidRDefault="006826F0" w:rsidP="00E6372C">
            <w:pPr>
              <w:adjustRightInd w:val="0"/>
              <w:snapToGrid w:val="0"/>
              <w:spacing w:line="360" w:lineRule="auto"/>
              <w:jc w:val="center"/>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1</w:t>
            </w:r>
          </w:p>
        </w:tc>
        <w:tc>
          <w:tcPr>
            <w:tcW w:w="681" w:type="dxa"/>
            <w:shd w:val="clear" w:color="auto" w:fill="FFFFFF" w:themeFill="background1"/>
            <w:vAlign w:val="center"/>
          </w:tcPr>
          <w:p w14:paraId="57303BE4" w14:textId="77777777" w:rsidR="006826F0" w:rsidRPr="00907C84" w:rsidRDefault="006826F0" w:rsidP="00E6372C">
            <w:pPr>
              <w:adjustRightInd w:val="0"/>
              <w:snapToGrid w:val="0"/>
              <w:spacing w:line="360" w:lineRule="auto"/>
              <w:jc w:val="center"/>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1</w:t>
            </w:r>
          </w:p>
        </w:tc>
        <w:tc>
          <w:tcPr>
            <w:tcW w:w="840" w:type="dxa"/>
            <w:shd w:val="clear" w:color="auto" w:fill="FFFFFF" w:themeFill="background1"/>
            <w:vAlign w:val="center"/>
          </w:tcPr>
          <w:p w14:paraId="70766BB9" w14:textId="77777777" w:rsidR="006826F0" w:rsidRPr="00907C84" w:rsidRDefault="006826F0" w:rsidP="00E6372C">
            <w:pPr>
              <w:adjustRightInd w:val="0"/>
              <w:snapToGrid w:val="0"/>
              <w:spacing w:line="360" w:lineRule="auto"/>
              <w:jc w:val="center"/>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1</w:t>
            </w:r>
          </w:p>
        </w:tc>
      </w:tr>
      <w:tr w:rsidR="00E6372C" w:rsidRPr="00907C84" w14:paraId="3F1C606F" w14:textId="77777777" w:rsidTr="00E6372C">
        <w:tc>
          <w:tcPr>
            <w:tcW w:w="846" w:type="dxa"/>
            <w:shd w:val="clear" w:color="auto" w:fill="FFFFFF" w:themeFill="background1"/>
            <w:vAlign w:val="center"/>
          </w:tcPr>
          <w:p w14:paraId="10A7C4BA" w14:textId="77777777" w:rsidR="006826F0" w:rsidRPr="00907C84" w:rsidRDefault="006826F0" w:rsidP="00E6372C">
            <w:pPr>
              <w:adjustRightInd w:val="0"/>
              <w:snapToGrid w:val="0"/>
              <w:spacing w:line="360" w:lineRule="auto"/>
              <w:jc w:val="both"/>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Q12</w:t>
            </w:r>
          </w:p>
        </w:tc>
        <w:tc>
          <w:tcPr>
            <w:tcW w:w="1318" w:type="dxa"/>
            <w:shd w:val="clear" w:color="auto" w:fill="FFFFFF" w:themeFill="background1"/>
            <w:vAlign w:val="center"/>
          </w:tcPr>
          <w:p w14:paraId="0F32E073" w14:textId="77777777" w:rsidR="006826F0" w:rsidRPr="00907C84" w:rsidRDefault="006826F0" w:rsidP="00E6372C">
            <w:pPr>
              <w:adjustRightInd w:val="0"/>
              <w:snapToGrid w:val="0"/>
              <w:spacing w:line="360" w:lineRule="auto"/>
              <w:jc w:val="center"/>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1</w:t>
            </w:r>
          </w:p>
        </w:tc>
        <w:tc>
          <w:tcPr>
            <w:tcW w:w="1147" w:type="dxa"/>
            <w:shd w:val="clear" w:color="auto" w:fill="FFFFFF" w:themeFill="background1"/>
            <w:vAlign w:val="center"/>
          </w:tcPr>
          <w:p w14:paraId="2DD95D31" w14:textId="77777777" w:rsidR="006826F0" w:rsidRPr="00907C84" w:rsidRDefault="006826F0" w:rsidP="00E6372C">
            <w:pPr>
              <w:adjustRightInd w:val="0"/>
              <w:snapToGrid w:val="0"/>
              <w:spacing w:line="360" w:lineRule="auto"/>
              <w:jc w:val="center"/>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0</w:t>
            </w:r>
          </w:p>
        </w:tc>
        <w:tc>
          <w:tcPr>
            <w:tcW w:w="1196" w:type="dxa"/>
            <w:shd w:val="clear" w:color="auto" w:fill="FFFFFF" w:themeFill="background1"/>
            <w:vAlign w:val="center"/>
          </w:tcPr>
          <w:p w14:paraId="06D8EA3C" w14:textId="77777777" w:rsidR="006826F0" w:rsidRPr="00907C84" w:rsidRDefault="006826F0" w:rsidP="00E6372C">
            <w:pPr>
              <w:adjustRightInd w:val="0"/>
              <w:snapToGrid w:val="0"/>
              <w:spacing w:line="360" w:lineRule="auto"/>
              <w:jc w:val="center"/>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0</w:t>
            </w:r>
          </w:p>
        </w:tc>
        <w:tc>
          <w:tcPr>
            <w:tcW w:w="900" w:type="dxa"/>
            <w:shd w:val="clear" w:color="auto" w:fill="FFFFFF" w:themeFill="background1"/>
            <w:vAlign w:val="center"/>
          </w:tcPr>
          <w:p w14:paraId="4A9EB392" w14:textId="77777777" w:rsidR="006826F0" w:rsidRPr="00907C84" w:rsidRDefault="006826F0" w:rsidP="00E6372C">
            <w:pPr>
              <w:adjustRightInd w:val="0"/>
              <w:snapToGrid w:val="0"/>
              <w:spacing w:line="360" w:lineRule="auto"/>
              <w:jc w:val="center"/>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0</w:t>
            </w:r>
          </w:p>
        </w:tc>
        <w:tc>
          <w:tcPr>
            <w:tcW w:w="1295" w:type="dxa"/>
            <w:shd w:val="clear" w:color="auto" w:fill="FFFFFF" w:themeFill="background1"/>
            <w:vAlign w:val="center"/>
          </w:tcPr>
          <w:p w14:paraId="455BD596" w14:textId="77777777" w:rsidR="006826F0" w:rsidRPr="00907C84" w:rsidRDefault="006826F0" w:rsidP="00E6372C">
            <w:pPr>
              <w:adjustRightInd w:val="0"/>
              <w:snapToGrid w:val="0"/>
              <w:spacing w:line="360" w:lineRule="auto"/>
              <w:jc w:val="center"/>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1</w:t>
            </w:r>
          </w:p>
        </w:tc>
        <w:tc>
          <w:tcPr>
            <w:tcW w:w="1127" w:type="dxa"/>
            <w:shd w:val="clear" w:color="auto" w:fill="FFFFFF" w:themeFill="background1"/>
            <w:vAlign w:val="center"/>
          </w:tcPr>
          <w:p w14:paraId="6F1DA465" w14:textId="77777777" w:rsidR="006826F0" w:rsidRPr="00907C84" w:rsidDel="0033707C" w:rsidRDefault="006826F0" w:rsidP="00E6372C">
            <w:pPr>
              <w:adjustRightInd w:val="0"/>
              <w:snapToGrid w:val="0"/>
              <w:spacing w:line="360" w:lineRule="auto"/>
              <w:jc w:val="center"/>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0</w:t>
            </w:r>
          </w:p>
        </w:tc>
        <w:tc>
          <w:tcPr>
            <w:tcW w:w="681" w:type="dxa"/>
            <w:shd w:val="clear" w:color="auto" w:fill="FFFFFF" w:themeFill="background1"/>
            <w:vAlign w:val="center"/>
          </w:tcPr>
          <w:p w14:paraId="5F38ACC7" w14:textId="77777777" w:rsidR="006826F0" w:rsidRPr="00907C84" w:rsidRDefault="006826F0" w:rsidP="00E6372C">
            <w:pPr>
              <w:adjustRightInd w:val="0"/>
              <w:snapToGrid w:val="0"/>
              <w:spacing w:line="360" w:lineRule="auto"/>
              <w:jc w:val="center"/>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1</w:t>
            </w:r>
          </w:p>
        </w:tc>
        <w:tc>
          <w:tcPr>
            <w:tcW w:w="840" w:type="dxa"/>
            <w:shd w:val="clear" w:color="auto" w:fill="FFFFFF" w:themeFill="background1"/>
            <w:vAlign w:val="center"/>
          </w:tcPr>
          <w:p w14:paraId="1C493253" w14:textId="77777777" w:rsidR="006826F0" w:rsidRPr="00907C84" w:rsidRDefault="006826F0" w:rsidP="00E6372C">
            <w:pPr>
              <w:adjustRightInd w:val="0"/>
              <w:snapToGrid w:val="0"/>
              <w:spacing w:line="360" w:lineRule="auto"/>
              <w:jc w:val="center"/>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1</w:t>
            </w:r>
          </w:p>
        </w:tc>
      </w:tr>
      <w:tr w:rsidR="00E6372C" w:rsidRPr="00907C84" w14:paraId="7E5A3C78" w14:textId="77777777" w:rsidTr="00E6372C">
        <w:tc>
          <w:tcPr>
            <w:tcW w:w="846" w:type="dxa"/>
            <w:shd w:val="clear" w:color="auto" w:fill="FFFFFF" w:themeFill="background1"/>
            <w:vAlign w:val="center"/>
          </w:tcPr>
          <w:p w14:paraId="3EAC6AB3" w14:textId="77777777" w:rsidR="006826F0" w:rsidRPr="00907C84" w:rsidRDefault="006826F0" w:rsidP="00E6372C">
            <w:pPr>
              <w:adjustRightInd w:val="0"/>
              <w:snapToGrid w:val="0"/>
              <w:spacing w:line="360" w:lineRule="auto"/>
              <w:jc w:val="both"/>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Q13</w:t>
            </w:r>
          </w:p>
        </w:tc>
        <w:tc>
          <w:tcPr>
            <w:tcW w:w="1318" w:type="dxa"/>
            <w:shd w:val="clear" w:color="auto" w:fill="FFFFFF" w:themeFill="background1"/>
            <w:vAlign w:val="center"/>
          </w:tcPr>
          <w:p w14:paraId="77862FD6" w14:textId="77777777" w:rsidR="006826F0" w:rsidRPr="00907C84" w:rsidRDefault="006826F0" w:rsidP="00E6372C">
            <w:pPr>
              <w:adjustRightInd w:val="0"/>
              <w:snapToGrid w:val="0"/>
              <w:spacing w:line="360" w:lineRule="auto"/>
              <w:jc w:val="center"/>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1</w:t>
            </w:r>
          </w:p>
        </w:tc>
        <w:tc>
          <w:tcPr>
            <w:tcW w:w="1147" w:type="dxa"/>
            <w:shd w:val="clear" w:color="auto" w:fill="FFFFFF" w:themeFill="background1"/>
            <w:vAlign w:val="center"/>
          </w:tcPr>
          <w:p w14:paraId="71E62AA3" w14:textId="77777777" w:rsidR="006826F0" w:rsidRPr="00907C84" w:rsidRDefault="006826F0" w:rsidP="00E6372C">
            <w:pPr>
              <w:adjustRightInd w:val="0"/>
              <w:snapToGrid w:val="0"/>
              <w:spacing w:line="360" w:lineRule="auto"/>
              <w:jc w:val="center"/>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1</w:t>
            </w:r>
          </w:p>
        </w:tc>
        <w:tc>
          <w:tcPr>
            <w:tcW w:w="1196" w:type="dxa"/>
            <w:shd w:val="clear" w:color="auto" w:fill="FFFFFF" w:themeFill="background1"/>
            <w:vAlign w:val="center"/>
          </w:tcPr>
          <w:p w14:paraId="25FE9FD6" w14:textId="77777777" w:rsidR="006826F0" w:rsidRPr="00907C84" w:rsidRDefault="006826F0" w:rsidP="00E6372C">
            <w:pPr>
              <w:adjustRightInd w:val="0"/>
              <w:snapToGrid w:val="0"/>
              <w:spacing w:line="360" w:lineRule="auto"/>
              <w:jc w:val="center"/>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1</w:t>
            </w:r>
          </w:p>
        </w:tc>
        <w:tc>
          <w:tcPr>
            <w:tcW w:w="900" w:type="dxa"/>
            <w:shd w:val="clear" w:color="auto" w:fill="FFFFFF" w:themeFill="background1"/>
            <w:vAlign w:val="center"/>
          </w:tcPr>
          <w:p w14:paraId="34468885" w14:textId="77777777" w:rsidR="006826F0" w:rsidRPr="00907C84" w:rsidRDefault="006826F0" w:rsidP="00E6372C">
            <w:pPr>
              <w:adjustRightInd w:val="0"/>
              <w:snapToGrid w:val="0"/>
              <w:spacing w:line="360" w:lineRule="auto"/>
              <w:jc w:val="center"/>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1</w:t>
            </w:r>
          </w:p>
        </w:tc>
        <w:tc>
          <w:tcPr>
            <w:tcW w:w="1295" w:type="dxa"/>
            <w:shd w:val="clear" w:color="auto" w:fill="FFFFFF" w:themeFill="background1"/>
            <w:vAlign w:val="center"/>
          </w:tcPr>
          <w:p w14:paraId="10F01D80" w14:textId="77777777" w:rsidR="006826F0" w:rsidRPr="00907C84" w:rsidRDefault="006826F0" w:rsidP="00E6372C">
            <w:pPr>
              <w:adjustRightInd w:val="0"/>
              <w:snapToGrid w:val="0"/>
              <w:spacing w:line="360" w:lineRule="auto"/>
              <w:jc w:val="center"/>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1</w:t>
            </w:r>
          </w:p>
        </w:tc>
        <w:tc>
          <w:tcPr>
            <w:tcW w:w="1127" w:type="dxa"/>
            <w:shd w:val="clear" w:color="auto" w:fill="FFFFFF" w:themeFill="background1"/>
            <w:vAlign w:val="center"/>
          </w:tcPr>
          <w:p w14:paraId="66A88067" w14:textId="77777777" w:rsidR="006826F0" w:rsidRPr="00907C84" w:rsidDel="0033707C" w:rsidRDefault="006826F0" w:rsidP="00E6372C">
            <w:pPr>
              <w:adjustRightInd w:val="0"/>
              <w:snapToGrid w:val="0"/>
              <w:spacing w:line="360" w:lineRule="auto"/>
              <w:jc w:val="center"/>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1</w:t>
            </w:r>
          </w:p>
        </w:tc>
        <w:tc>
          <w:tcPr>
            <w:tcW w:w="681" w:type="dxa"/>
            <w:shd w:val="clear" w:color="auto" w:fill="FFFFFF" w:themeFill="background1"/>
            <w:vAlign w:val="center"/>
          </w:tcPr>
          <w:p w14:paraId="6952E581" w14:textId="77777777" w:rsidR="006826F0" w:rsidRPr="00907C84" w:rsidRDefault="006826F0" w:rsidP="00E6372C">
            <w:pPr>
              <w:adjustRightInd w:val="0"/>
              <w:snapToGrid w:val="0"/>
              <w:spacing w:line="360" w:lineRule="auto"/>
              <w:jc w:val="center"/>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1</w:t>
            </w:r>
          </w:p>
        </w:tc>
        <w:tc>
          <w:tcPr>
            <w:tcW w:w="840" w:type="dxa"/>
            <w:shd w:val="clear" w:color="auto" w:fill="FFFFFF" w:themeFill="background1"/>
            <w:vAlign w:val="center"/>
          </w:tcPr>
          <w:p w14:paraId="2C3B69E5" w14:textId="77777777" w:rsidR="006826F0" w:rsidRPr="00907C84" w:rsidRDefault="006826F0" w:rsidP="00E6372C">
            <w:pPr>
              <w:adjustRightInd w:val="0"/>
              <w:snapToGrid w:val="0"/>
              <w:spacing w:line="360" w:lineRule="auto"/>
              <w:jc w:val="center"/>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1</w:t>
            </w:r>
          </w:p>
        </w:tc>
      </w:tr>
      <w:tr w:rsidR="00E6372C" w:rsidRPr="00907C84" w14:paraId="4768DD50" w14:textId="77777777" w:rsidTr="00E6372C">
        <w:tc>
          <w:tcPr>
            <w:tcW w:w="846" w:type="dxa"/>
            <w:shd w:val="clear" w:color="auto" w:fill="FFFFFF" w:themeFill="background1"/>
            <w:vAlign w:val="center"/>
          </w:tcPr>
          <w:p w14:paraId="66CED655" w14:textId="77777777" w:rsidR="006826F0" w:rsidRPr="00907C84" w:rsidRDefault="006826F0" w:rsidP="00E6372C">
            <w:pPr>
              <w:adjustRightInd w:val="0"/>
              <w:snapToGrid w:val="0"/>
              <w:spacing w:line="360" w:lineRule="auto"/>
              <w:jc w:val="both"/>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Q14</w:t>
            </w:r>
          </w:p>
        </w:tc>
        <w:tc>
          <w:tcPr>
            <w:tcW w:w="1318" w:type="dxa"/>
            <w:shd w:val="clear" w:color="auto" w:fill="FFFFFF" w:themeFill="background1"/>
            <w:vAlign w:val="center"/>
          </w:tcPr>
          <w:p w14:paraId="280155C5" w14:textId="77777777" w:rsidR="006826F0" w:rsidRPr="00907C84" w:rsidRDefault="006826F0" w:rsidP="00E6372C">
            <w:pPr>
              <w:adjustRightInd w:val="0"/>
              <w:snapToGrid w:val="0"/>
              <w:spacing w:line="360" w:lineRule="auto"/>
              <w:jc w:val="center"/>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0</w:t>
            </w:r>
          </w:p>
        </w:tc>
        <w:tc>
          <w:tcPr>
            <w:tcW w:w="1147" w:type="dxa"/>
            <w:shd w:val="clear" w:color="auto" w:fill="FFFFFF" w:themeFill="background1"/>
            <w:vAlign w:val="center"/>
          </w:tcPr>
          <w:p w14:paraId="564426B4" w14:textId="77777777" w:rsidR="006826F0" w:rsidRPr="00907C84" w:rsidRDefault="006826F0" w:rsidP="00E6372C">
            <w:pPr>
              <w:adjustRightInd w:val="0"/>
              <w:snapToGrid w:val="0"/>
              <w:spacing w:line="360" w:lineRule="auto"/>
              <w:jc w:val="center"/>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0</w:t>
            </w:r>
          </w:p>
        </w:tc>
        <w:tc>
          <w:tcPr>
            <w:tcW w:w="1196" w:type="dxa"/>
            <w:shd w:val="clear" w:color="auto" w:fill="FFFFFF" w:themeFill="background1"/>
            <w:vAlign w:val="center"/>
          </w:tcPr>
          <w:p w14:paraId="0F8DB3D1" w14:textId="77777777" w:rsidR="006826F0" w:rsidRPr="00907C84" w:rsidRDefault="006826F0" w:rsidP="00E6372C">
            <w:pPr>
              <w:adjustRightInd w:val="0"/>
              <w:snapToGrid w:val="0"/>
              <w:spacing w:line="360" w:lineRule="auto"/>
              <w:jc w:val="center"/>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0</w:t>
            </w:r>
          </w:p>
        </w:tc>
        <w:tc>
          <w:tcPr>
            <w:tcW w:w="900" w:type="dxa"/>
            <w:shd w:val="clear" w:color="auto" w:fill="FFFFFF" w:themeFill="background1"/>
            <w:vAlign w:val="center"/>
          </w:tcPr>
          <w:p w14:paraId="4A380608" w14:textId="77777777" w:rsidR="006826F0" w:rsidRPr="00907C84" w:rsidRDefault="006826F0" w:rsidP="00E6372C">
            <w:pPr>
              <w:adjustRightInd w:val="0"/>
              <w:snapToGrid w:val="0"/>
              <w:spacing w:line="360" w:lineRule="auto"/>
              <w:jc w:val="center"/>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0</w:t>
            </w:r>
          </w:p>
        </w:tc>
        <w:tc>
          <w:tcPr>
            <w:tcW w:w="1295" w:type="dxa"/>
            <w:shd w:val="clear" w:color="auto" w:fill="FFFFFF" w:themeFill="background1"/>
            <w:vAlign w:val="center"/>
          </w:tcPr>
          <w:p w14:paraId="624C4815" w14:textId="77777777" w:rsidR="006826F0" w:rsidRPr="00907C84" w:rsidRDefault="006826F0" w:rsidP="00E6372C">
            <w:pPr>
              <w:adjustRightInd w:val="0"/>
              <w:snapToGrid w:val="0"/>
              <w:spacing w:line="360" w:lineRule="auto"/>
              <w:jc w:val="center"/>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0</w:t>
            </w:r>
          </w:p>
        </w:tc>
        <w:tc>
          <w:tcPr>
            <w:tcW w:w="1127" w:type="dxa"/>
            <w:shd w:val="clear" w:color="auto" w:fill="FFFFFF" w:themeFill="background1"/>
            <w:vAlign w:val="center"/>
          </w:tcPr>
          <w:p w14:paraId="23762C0A" w14:textId="77777777" w:rsidR="006826F0" w:rsidRPr="00907C84" w:rsidDel="0033707C" w:rsidRDefault="006826F0" w:rsidP="00E6372C">
            <w:pPr>
              <w:adjustRightInd w:val="0"/>
              <w:snapToGrid w:val="0"/>
              <w:spacing w:line="360" w:lineRule="auto"/>
              <w:jc w:val="center"/>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0</w:t>
            </w:r>
          </w:p>
        </w:tc>
        <w:tc>
          <w:tcPr>
            <w:tcW w:w="681" w:type="dxa"/>
            <w:shd w:val="clear" w:color="auto" w:fill="FFFFFF" w:themeFill="background1"/>
            <w:vAlign w:val="center"/>
          </w:tcPr>
          <w:p w14:paraId="07845061" w14:textId="77777777" w:rsidR="006826F0" w:rsidRPr="00907C84" w:rsidRDefault="006826F0" w:rsidP="00E6372C">
            <w:pPr>
              <w:adjustRightInd w:val="0"/>
              <w:snapToGrid w:val="0"/>
              <w:spacing w:line="360" w:lineRule="auto"/>
              <w:jc w:val="center"/>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0</w:t>
            </w:r>
          </w:p>
        </w:tc>
        <w:tc>
          <w:tcPr>
            <w:tcW w:w="840" w:type="dxa"/>
            <w:shd w:val="clear" w:color="auto" w:fill="FFFFFF" w:themeFill="background1"/>
            <w:vAlign w:val="center"/>
          </w:tcPr>
          <w:p w14:paraId="7A0C5D6B" w14:textId="77777777" w:rsidR="006826F0" w:rsidRPr="00907C84" w:rsidRDefault="006826F0" w:rsidP="00E6372C">
            <w:pPr>
              <w:adjustRightInd w:val="0"/>
              <w:snapToGrid w:val="0"/>
              <w:spacing w:line="360" w:lineRule="auto"/>
              <w:jc w:val="center"/>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0</w:t>
            </w:r>
          </w:p>
        </w:tc>
      </w:tr>
      <w:tr w:rsidR="00E6372C" w:rsidRPr="00907C84" w14:paraId="527FCF8D" w14:textId="77777777" w:rsidTr="00E6372C">
        <w:tc>
          <w:tcPr>
            <w:tcW w:w="846" w:type="dxa"/>
            <w:shd w:val="clear" w:color="auto" w:fill="FFFFFF" w:themeFill="background1"/>
            <w:vAlign w:val="center"/>
          </w:tcPr>
          <w:p w14:paraId="1CFF2141" w14:textId="77777777" w:rsidR="006826F0" w:rsidRPr="00907C84" w:rsidRDefault="006826F0" w:rsidP="00E6372C">
            <w:pPr>
              <w:adjustRightInd w:val="0"/>
              <w:snapToGrid w:val="0"/>
              <w:spacing w:line="360" w:lineRule="auto"/>
              <w:jc w:val="both"/>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Q15</w:t>
            </w:r>
          </w:p>
        </w:tc>
        <w:tc>
          <w:tcPr>
            <w:tcW w:w="1318" w:type="dxa"/>
            <w:shd w:val="clear" w:color="auto" w:fill="FFFFFF" w:themeFill="background1"/>
            <w:vAlign w:val="center"/>
          </w:tcPr>
          <w:p w14:paraId="02AB7044" w14:textId="77777777" w:rsidR="006826F0" w:rsidRPr="00907C84" w:rsidRDefault="006826F0" w:rsidP="00E6372C">
            <w:pPr>
              <w:adjustRightInd w:val="0"/>
              <w:snapToGrid w:val="0"/>
              <w:spacing w:line="360" w:lineRule="auto"/>
              <w:jc w:val="center"/>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0</w:t>
            </w:r>
          </w:p>
        </w:tc>
        <w:tc>
          <w:tcPr>
            <w:tcW w:w="1147" w:type="dxa"/>
            <w:shd w:val="clear" w:color="auto" w:fill="FFFFFF" w:themeFill="background1"/>
            <w:vAlign w:val="center"/>
          </w:tcPr>
          <w:p w14:paraId="05FE9648" w14:textId="77777777" w:rsidR="006826F0" w:rsidRPr="00907C84" w:rsidRDefault="006826F0" w:rsidP="00E6372C">
            <w:pPr>
              <w:adjustRightInd w:val="0"/>
              <w:snapToGrid w:val="0"/>
              <w:spacing w:line="360" w:lineRule="auto"/>
              <w:jc w:val="center"/>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0</w:t>
            </w:r>
          </w:p>
        </w:tc>
        <w:tc>
          <w:tcPr>
            <w:tcW w:w="1196" w:type="dxa"/>
            <w:shd w:val="clear" w:color="auto" w:fill="FFFFFF" w:themeFill="background1"/>
            <w:vAlign w:val="center"/>
          </w:tcPr>
          <w:p w14:paraId="12D7F6C4" w14:textId="77777777" w:rsidR="006826F0" w:rsidRPr="00907C84" w:rsidRDefault="006826F0" w:rsidP="00E6372C">
            <w:pPr>
              <w:adjustRightInd w:val="0"/>
              <w:snapToGrid w:val="0"/>
              <w:spacing w:line="360" w:lineRule="auto"/>
              <w:jc w:val="center"/>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0</w:t>
            </w:r>
          </w:p>
        </w:tc>
        <w:tc>
          <w:tcPr>
            <w:tcW w:w="900" w:type="dxa"/>
            <w:shd w:val="clear" w:color="auto" w:fill="FFFFFF" w:themeFill="background1"/>
            <w:vAlign w:val="center"/>
          </w:tcPr>
          <w:p w14:paraId="022286ED" w14:textId="77777777" w:rsidR="006826F0" w:rsidRPr="00907C84" w:rsidRDefault="006826F0" w:rsidP="00E6372C">
            <w:pPr>
              <w:adjustRightInd w:val="0"/>
              <w:snapToGrid w:val="0"/>
              <w:spacing w:line="360" w:lineRule="auto"/>
              <w:jc w:val="center"/>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0</w:t>
            </w:r>
          </w:p>
        </w:tc>
        <w:tc>
          <w:tcPr>
            <w:tcW w:w="1295" w:type="dxa"/>
            <w:shd w:val="clear" w:color="auto" w:fill="FFFFFF" w:themeFill="background1"/>
            <w:vAlign w:val="center"/>
          </w:tcPr>
          <w:p w14:paraId="019EF281" w14:textId="77777777" w:rsidR="006826F0" w:rsidRPr="00907C84" w:rsidRDefault="006826F0" w:rsidP="00E6372C">
            <w:pPr>
              <w:adjustRightInd w:val="0"/>
              <w:snapToGrid w:val="0"/>
              <w:spacing w:line="360" w:lineRule="auto"/>
              <w:jc w:val="center"/>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0</w:t>
            </w:r>
          </w:p>
        </w:tc>
        <w:tc>
          <w:tcPr>
            <w:tcW w:w="1127" w:type="dxa"/>
            <w:shd w:val="clear" w:color="auto" w:fill="FFFFFF" w:themeFill="background1"/>
            <w:vAlign w:val="center"/>
          </w:tcPr>
          <w:p w14:paraId="49C9E3C4" w14:textId="77777777" w:rsidR="006826F0" w:rsidRPr="00907C84" w:rsidDel="0033707C" w:rsidRDefault="006826F0" w:rsidP="00E6372C">
            <w:pPr>
              <w:adjustRightInd w:val="0"/>
              <w:snapToGrid w:val="0"/>
              <w:spacing w:line="360" w:lineRule="auto"/>
              <w:jc w:val="center"/>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0</w:t>
            </w:r>
          </w:p>
        </w:tc>
        <w:tc>
          <w:tcPr>
            <w:tcW w:w="681" w:type="dxa"/>
            <w:shd w:val="clear" w:color="auto" w:fill="FFFFFF" w:themeFill="background1"/>
            <w:vAlign w:val="center"/>
          </w:tcPr>
          <w:p w14:paraId="6133C56D" w14:textId="77777777" w:rsidR="006826F0" w:rsidRPr="00907C84" w:rsidRDefault="006826F0" w:rsidP="00E6372C">
            <w:pPr>
              <w:adjustRightInd w:val="0"/>
              <w:snapToGrid w:val="0"/>
              <w:spacing w:line="360" w:lineRule="auto"/>
              <w:jc w:val="center"/>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0</w:t>
            </w:r>
          </w:p>
        </w:tc>
        <w:tc>
          <w:tcPr>
            <w:tcW w:w="840" w:type="dxa"/>
            <w:shd w:val="clear" w:color="auto" w:fill="FFFFFF" w:themeFill="background1"/>
            <w:vAlign w:val="center"/>
          </w:tcPr>
          <w:p w14:paraId="1A29D93E" w14:textId="77777777" w:rsidR="006826F0" w:rsidRPr="00907C84" w:rsidRDefault="006826F0" w:rsidP="00E6372C">
            <w:pPr>
              <w:adjustRightInd w:val="0"/>
              <w:snapToGrid w:val="0"/>
              <w:spacing w:line="360" w:lineRule="auto"/>
              <w:jc w:val="center"/>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0</w:t>
            </w:r>
          </w:p>
        </w:tc>
      </w:tr>
      <w:tr w:rsidR="00E6372C" w:rsidRPr="00907C84" w14:paraId="451FD78E" w14:textId="77777777" w:rsidTr="00E6372C">
        <w:tc>
          <w:tcPr>
            <w:tcW w:w="846" w:type="dxa"/>
            <w:shd w:val="clear" w:color="auto" w:fill="FFFFFF" w:themeFill="background1"/>
            <w:vAlign w:val="center"/>
          </w:tcPr>
          <w:p w14:paraId="0C4A3EA0" w14:textId="77777777" w:rsidR="006826F0" w:rsidRPr="00907C84" w:rsidRDefault="006826F0" w:rsidP="00E6372C">
            <w:pPr>
              <w:adjustRightInd w:val="0"/>
              <w:snapToGrid w:val="0"/>
              <w:spacing w:line="360" w:lineRule="auto"/>
              <w:jc w:val="both"/>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Q16</w:t>
            </w:r>
          </w:p>
        </w:tc>
        <w:tc>
          <w:tcPr>
            <w:tcW w:w="1318" w:type="dxa"/>
            <w:shd w:val="clear" w:color="auto" w:fill="FFFFFF" w:themeFill="background1"/>
            <w:vAlign w:val="center"/>
          </w:tcPr>
          <w:p w14:paraId="175130E8" w14:textId="77777777" w:rsidR="006826F0" w:rsidRPr="00907C84" w:rsidRDefault="006826F0" w:rsidP="00E6372C">
            <w:pPr>
              <w:adjustRightInd w:val="0"/>
              <w:snapToGrid w:val="0"/>
              <w:spacing w:line="360" w:lineRule="auto"/>
              <w:jc w:val="center"/>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1</w:t>
            </w:r>
          </w:p>
        </w:tc>
        <w:tc>
          <w:tcPr>
            <w:tcW w:w="1147" w:type="dxa"/>
            <w:shd w:val="clear" w:color="auto" w:fill="FFFFFF" w:themeFill="background1"/>
            <w:vAlign w:val="center"/>
          </w:tcPr>
          <w:p w14:paraId="20CDF146" w14:textId="77777777" w:rsidR="006826F0" w:rsidRPr="00907C84" w:rsidRDefault="006826F0" w:rsidP="00E6372C">
            <w:pPr>
              <w:adjustRightInd w:val="0"/>
              <w:snapToGrid w:val="0"/>
              <w:spacing w:line="360" w:lineRule="auto"/>
              <w:jc w:val="center"/>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1</w:t>
            </w:r>
          </w:p>
        </w:tc>
        <w:tc>
          <w:tcPr>
            <w:tcW w:w="1196" w:type="dxa"/>
            <w:shd w:val="clear" w:color="auto" w:fill="FFFFFF" w:themeFill="background1"/>
            <w:vAlign w:val="center"/>
          </w:tcPr>
          <w:p w14:paraId="17ADDEBA" w14:textId="77777777" w:rsidR="006826F0" w:rsidRPr="00907C84" w:rsidRDefault="006826F0" w:rsidP="00E6372C">
            <w:pPr>
              <w:adjustRightInd w:val="0"/>
              <w:snapToGrid w:val="0"/>
              <w:spacing w:line="360" w:lineRule="auto"/>
              <w:jc w:val="center"/>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1</w:t>
            </w:r>
          </w:p>
        </w:tc>
        <w:tc>
          <w:tcPr>
            <w:tcW w:w="900" w:type="dxa"/>
            <w:shd w:val="clear" w:color="auto" w:fill="FFFFFF" w:themeFill="background1"/>
            <w:vAlign w:val="center"/>
          </w:tcPr>
          <w:p w14:paraId="04464650" w14:textId="77777777" w:rsidR="006826F0" w:rsidRPr="00907C84" w:rsidRDefault="006826F0" w:rsidP="00E6372C">
            <w:pPr>
              <w:adjustRightInd w:val="0"/>
              <w:snapToGrid w:val="0"/>
              <w:spacing w:line="360" w:lineRule="auto"/>
              <w:jc w:val="center"/>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1</w:t>
            </w:r>
          </w:p>
        </w:tc>
        <w:tc>
          <w:tcPr>
            <w:tcW w:w="1295" w:type="dxa"/>
            <w:shd w:val="clear" w:color="auto" w:fill="FFFFFF" w:themeFill="background1"/>
            <w:vAlign w:val="center"/>
          </w:tcPr>
          <w:p w14:paraId="17041C25" w14:textId="77777777" w:rsidR="006826F0" w:rsidRPr="00907C84" w:rsidRDefault="006826F0" w:rsidP="00E6372C">
            <w:pPr>
              <w:adjustRightInd w:val="0"/>
              <w:snapToGrid w:val="0"/>
              <w:spacing w:line="360" w:lineRule="auto"/>
              <w:jc w:val="center"/>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1</w:t>
            </w:r>
          </w:p>
        </w:tc>
        <w:tc>
          <w:tcPr>
            <w:tcW w:w="1127" w:type="dxa"/>
            <w:shd w:val="clear" w:color="auto" w:fill="FFFFFF" w:themeFill="background1"/>
            <w:vAlign w:val="center"/>
          </w:tcPr>
          <w:p w14:paraId="13B869F2" w14:textId="77777777" w:rsidR="006826F0" w:rsidRPr="00907C84" w:rsidDel="0033707C" w:rsidRDefault="006826F0" w:rsidP="00E6372C">
            <w:pPr>
              <w:adjustRightInd w:val="0"/>
              <w:snapToGrid w:val="0"/>
              <w:spacing w:line="360" w:lineRule="auto"/>
              <w:jc w:val="center"/>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1</w:t>
            </w:r>
          </w:p>
        </w:tc>
        <w:tc>
          <w:tcPr>
            <w:tcW w:w="681" w:type="dxa"/>
            <w:shd w:val="clear" w:color="auto" w:fill="FFFFFF" w:themeFill="background1"/>
            <w:vAlign w:val="center"/>
          </w:tcPr>
          <w:p w14:paraId="24C52CBA" w14:textId="77777777" w:rsidR="006826F0" w:rsidRPr="00907C84" w:rsidRDefault="006826F0" w:rsidP="00E6372C">
            <w:pPr>
              <w:adjustRightInd w:val="0"/>
              <w:snapToGrid w:val="0"/>
              <w:spacing w:line="360" w:lineRule="auto"/>
              <w:jc w:val="center"/>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1</w:t>
            </w:r>
          </w:p>
        </w:tc>
        <w:tc>
          <w:tcPr>
            <w:tcW w:w="840" w:type="dxa"/>
            <w:shd w:val="clear" w:color="auto" w:fill="FFFFFF" w:themeFill="background1"/>
            <w:vAlign w:val="center"/>
          </w:tcPr>
          <w:p w14:paraId="3B519DCF" w14:textId="77777777" w:rsidR="006826F0" w:rsidRPr="00907C84" w:rsidRDefault="006826F0" w:rsidP="00E6372C">
            <w:pPr>
              <w:adjustRightInd w:val="0"/>
              <w:snapToGrid w:val="0"/>
              <w:spacing w:line="360" w:lineRule="auto"/>
              <w:jc w:val="center"/>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1</w:t>
            </w:r>
          </w:p>
        </w:tc>
      </w:tr>
      <w:tr w:rsidR="00E6372C" w:rsidRPr="00907C84" w14:paraId="06DA3B82" w14:textId="77777777" w:rsidTr="00E6372C">
        <w:tc>
          <w:tcPr>
            <w:tcW w:w="846" w:type="dxa"/>
            <w:shd w:val="clear" w:color="auto" w:fill="FFFFFF" w:themeFill="background1"/>
            <w:vAlign w:val="center"/>
          </w:tcPr>
          <w:p w14:paraId="719D35C1" w14:textId="77777777" w:rsidR="006826F0" w:rsidRPr="00907C84" w:rsidRDefault="006826F0" w:rsidP="00E6372C">
            <w:pPr>
              <w:adjustRightInd w:val="0"/>
              <w:snapToGrid w:val="0"/>
              <w:spacing w:line="360" w:lineRule="auto"/>
              <w:jc w:val="both"/>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Q17</w:t>
            </w:r>
          </w:p>
        </w:tc>
        <w:tc>
          <w:tcPr>
            <w:tcW w:w="1318" w:type="dxa"/>
            <w:shd w:val="clear" w:color="auto" w:fill="FFFFFF" w:themeFill="background1"/>
            <w:vAlign w:val="center"/>
          </w:tcPr>
          <w:p w14:paraId="37241EC8" w14:textId="77777777" w:rsidR="006826F0" w:rsidRPr="00907C84" w:rsidRDefault="006826F0" w:rsidP="00E6372C">
            <w:pPr>
              <w:adjustRightInd w:val="0"/>
              <w:snapToGrid w:val="0"/>
              <w:spacing w:line="360" w:lineRule="auto"/>
              <w:jc w:val="center"/>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1</w:t>
            </w:r>
          </w:p>
        </w:tc>
        <w:tc>
          <w:tcPr>
            <w:tcW w:w="1147" w:type="dxa"/>
            <w:shd w:val="clear" w:color="auto" w:fill="FFFFFF" w:themeFill="background1"/>
            <w:vAlign w:val="center"/>
          </w:tcPr>
          <w:p w14:paraId="7FBDA742" w14:textId="77777777" w:rsidR="006826F0" w:rsidRPr="00907C84" w:rsidRDefault="006826F0" w:rsidP="00E6372C">
            <w:pPr>
              <w:adjustRightInd w:val="0"/>
              <w:snapToGrid w:val="0"/>
              <w:spacing w:line="360" w:lineRule="auto"/>
              <w:jc w:val="center"/>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1</w:t>
            </w:r>
          </w:p>
        </w:tc>
        <w:tc>
          <w:tcPr>
            <w:tcW w:w="1196" w:type="dxa"/>
            <w:shd w:val="clear" w:color="auto" w:fill="FFFFFF" w:themeFill="background1"/>
            <w:vAlign w:val="center"/>
          </w:tcPr>
          <w:p w14:paraId="29C68F8E" w14:textId="77777777" w:rsidR="006826F0" w:rsidRPr="00907C84" w:rsidRDefault="006826F0" w:rsidP="00E6372C">
            <w:pPr>
              <w:adjustRightInd w:val="0"/>
              <w:snapToGrid w:val="0"/>
              <w:spacing w:line="360" w:lineRule="auto"/>
              <w:jc w:val="center"/>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1</w:t>
            </w:r>
          </w:p>
        </w:tc>
        <w:tc>
          <w:tcPr>
            <w:tcW w:w="900" w:type="dxa"/>
            <w:shd w:val="clear" w:color="auto" w:fill="FFFFFF" w:themeFill="background1"/>
            <w:vAlign w:val="center"/>
          </w:tcPr>
          <w:p w14:paraId="417E08BD" w14:textId="77777777" w:rsidR="006826F0" w:rsidRPr="00907C84" w:rsidRDefault="006826F0" w:rsidP="00E6372C">
            <w:pPr>
              <w:adjustRightInd w:val="0"/>
              <w:snapToGrid w:val="0"/>
              <w:spacing w:line="360" w:lineRule="auto"/>
              <w:jc w:val="center"/>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1</w:t>
            </w:r>
          </w:p>
        </w:tc>
        <w:tc>
          <w:tcPr>
            <w:tcW w:w="1295" w:type="dxa"/>
            <w:shd w:val="clear" w:color="auto" w:fill="FFFFFF" w:themeFill="background1"/>
            <w:vAlign w:val="center"/>
          </w:tcPr>
          <w:p w14:paraId="1B21FF72" w14:textId="77777777" w:rsidR="006826F0" w:rsidRPr="00907C84" w:rsidRDefault="006826F0" w:rsidP="00E6372C">
            <w:pPr>
              <w:adjustRightInd w:val="0"/>
              <w:snapToGrid w:val="0"/>
              <w:spacing w:line="360" w:lineRule="auto"/>
              <w:jc w:val="center"/>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1</w:t>
            </w:r>
          </w:p>
        </w:tc>
        <w:tc>
          <w:tcPr>
            <w:tcW w:w="1127" w:type="dxa"/>
            <w:shd w:val="clear" w:color="auto" w:fill="FFFFFF" w:themeFill="background1"/>
            <w:vAlign w:val="center"/>
          </w:tcPr>
          <w:p w14:paraId="02518884" w14:textId="77777777" w:rsidR="006826F0" w:rsidRPr="00907C84" w:rsidDel="0033707C" w:rsidRDefault="006826F0" w:rsidP="00E6372C">
            <w:pPr>
              <w:adjustRightInd w:val="0"/>
              <w:snapToGrid w:val="0"/>
              <w:spacing w:line="360" w:lineRule="auto"/>
              <w:jc w:val="center"/>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1</w:t>
            </w:r>
          </w:p>
        </w:tc>
        <w:tc>
          <w:tcPr>
            <w:tcW w:w="681" w:type="dxa"/>
            <w:shd w:val="clear" w:color="auto" w:fill="FFFFFF" w:themeFill="background1"/>
            <w:vAlign w:val="center"/>
          </w:tcPr>
          <w:p w14:paraId="0CEEEA1A" w14:textId="77777777" w:rsidR="006826F0" w:rsidRPr="00907C84" w:rsidRDefault="006826F0" w:rsidP="00E6372C">
            <w:pPr>
              <w:adjustRightInd w:val="0"/>
              <w:snapToGrid w:val="0"/>
              <w:spacing w:line="360" w:lineRule="auto"/>
              <w:jc w:val="center"/>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1</w:t>
            </w:r>
          </w:p>
        </w:tc>
        <w:tc>
          <w:tcPr>
            <w:tcW w:w="840" w:type="dxa"/>
            <w:shd w:val="clear" w:color="auto" w:fill="FFFFFF" w:themeFill="background1"/>
            <w:vAlign w:val="center"/>
          </w:tcPr>
          <w:p w14:paraId="44979920" w14:textId="77777777" w:rsidR="006826F0" w:rsidRPr="00907C84" w:rsidRDefault="006826F0" w:rsidP="00E6372C">
            <w:pPr>
              <w:adjustRightInd w:val="0"/>
              <w:snapToGrid w:val="0"/>
              <w:spacing w:line="360" w:lineRule="auto"/>
              <w:jc w:val="center"/>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1</w:t>
            </w:r>
          </w:p>
        </w:tc>
      </w:tr>
      <w:tr w:rsidR="00E6372C" w:rsidRPr="00907C84" w14:paraId="179E73AA" w14:textId="77777777" w:rsidTr="00E6372C">
        <w:tc>
          <w:tcPr>
            <w:tcW w:w="846" w:type="dxa"/>
            <w:shd w:val="clear" w:color="auto" w:fill="FFFFFF" w:themeFill="background1"/>
            <w:vAlign w:val="center"/>
          </w:tcPr>
          <w:p w14:paraId="7D299B14" w14:textId="77777777" w:rsidR="006826F0" w:rsidRPr="00907C84" w:rsidRDefault="006826F0" w:rsidP="00E6372C">
            <w:pPr>
              <w:adjustRightInd w:val="0"/>
              <w:snapToGrid w:val="0"/>
              <w:spacing w:line="360" w:lineRule="auto"/>
              <w:jc w:val="both"/>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Q18</w:t>
            </w:r>
          </w:p>
        </w:tc>
        <w:tc>
          <w:tcPr>
            <w:tcW w:w="1318" w:type="dxa"/>
            <w:shd w:val="clear" w:color="auto" w:fill="FFFFFF" w:themeFill="background1"/>
            <w:vAlign w:val="center"/>
          </w:tcPr>
          <w:p w14:paraId="402F3897" w14:textId="77777777" w:rsidR="006826F0" w:rsidRPr="00907C84" w:rsidRDefault="006826F0" w:rsidP="00E6372C">
            <w:pPr>
              <w:adjustRightInd w:val="0"/>
              <w:snapToGrid w:val="0"/>
              <w:spacing w:line="360" w:lineRule="auto"/>
              <w:jc w:val="center"/>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1</w:t>
            </w:r>
          </w:p>
        </w:tc>
        <w:tc>
          <w:tcPr>
            <w:tcW w:w="1147" w:type="dxa"/>
            <w:shd w:val="clear" w:color="auto" w:fill="FFFFFF" w:themeFill="background1"/>
            <w:vAlign w:val="center"/>
          </w:tcPr>
          <w:p w14:paraId="6E9AC91A" w14:textId="77777777" w:rsidR="006826F0" w:rsidRPr="00907C84" w:rsidRDefault="006826F0" w:rsidP="00E6372C">
            <w:pPr>
              <w:adjustRightInd w:val="0"/>
              <w:snapToGrid w:val="0"/>
              <w:spacing w:line="360" w:lineRule="auto"/>
              <w:jc w:val="center"/>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1</w:t>
            </w:r>
          </w:p>
        </w:tc>
        <w:tc>
          <w:tcPr>
            <w:tcW w:w="1196" w:type="dxa"/>
            <w:shd w:val="clear" w:color="auto" w:fill="FFFFFF" w:themeFill="background1"/>
            <w:vAlign w:val="center"/>
          </w:tcPr>
          <w:p w14:paraId="4321D8E4" w14:textId="77777777" w:rsidR="006826F0" w:rsidRPr="00907C84" w:rsidRDefault="006826F0" w:rsidP="00E6372C">
            <w:pPr>
              <w:adjustRightInd w:val="0"/>
              <w:snapToGrid w:val="0"/>
              <w:spacing w:line="360" w:lineRule="auto"/>
              <w:jc w:val="center"/>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1</w:t>
            </w:r>
          </w:p>
        </w:tc>
        <w:tc>
          <w:tcPr>
            <w:tcW w:w="900" w:type="dxa"/>
            <w:shd w:val="clear" w:color="auto" w:fill="FFFFFF" w:themeFill="background1"/>
            <w:vAlign w:val="center"/>
          </w:tcPr>
          <w:p w14:paraId="048A72C8" w14:textId="77777777" w:rsidR="006826F0" w:rsidRPr="00907C84" w:rsidRDefault="006826F0" w:rsidP="00E6372C">
            <w:pPr>
              <w:adjustRightInd w:val="0"/>
              <w:snapToGrid w:val="0"/>
              <w:spacing w:line="360" w:lineRule="auto"/>
              <w:jc w:val="center"/>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0</w:t>
            </w:r>
          </w:p>
        </w:tc>
        <w:tc>
          <w:tcPr>
            <w:tcW w:w="1295" w:type="dxa"/>
            <w:shd w:val="clear" w:color="auto" w:fill="FFFFFF" w:themeFill="background1"/>
            <w:vAlign w:val="center"/>
          </w:tcPr>
          <w:p w14:paraId="4E620EDD" w14:textId="77777777" w:rsidR="006826F0" w:rsidRPr="00907C84" w:rsidRDefault="006826F0" w:rsidP="00E6372C">
            <w:pPr>
              <w:adjustRightInd w:val="0"/>
              <w:snapToGrid w:val="0"/>
              <w:spacing w:line="360" w:lineRule="auto"/>
              <w:jc w:val="center"/>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0</w:t>
            </w:r>
          </w:p>
        </w:tc>
        <w:tc>
          <w:tcPr>
            <w:tcW w:w="1127" w:type="dxa"/>
            <w:shd w:val="clear" w:color="auto" w:fill="FFFFFF" w:themeFill="background1"/>
            <w:vAlign w:val="center"/>
          </w:tcPr>
          <w:p w14:paraId="22E11492" w14:textId="77777777" w:rsidR="006826F0" w:rsidRPr="00907C84" w:rsidDel="0033707C" w:rsidRDefault="006826F0" w:rsidP="00E6372C">
            <w:pPr>
              <w:adjustRightInd w:val="0"/>
              <w:snapToGrid w:val="0"/>
              <w:spacing w:line="360" w:lineRule="auto"/>
              <w:jc w:val="center"/>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1</w:t>
            </w:r>
          </w:p>
        </w:tc>
        <w:tc>
          <w:tcPr>
            <w:tcW w:w="681" w:type="dxa"/>
            <w:shd w:val="clear" w:color="auto" w:fill="FFFFFF" w:themeFill="background1"/>
            <w:vAlign w:val="center"/>
          </w:tcPr>
          <w:p w14:paraId="2FDEE82D" w14:textId="77777777" w:rsidR="006826F0" w:rsidRPr="00907C84" w:rsidRDefault="006826F0" w:rsidP="00E6372C">
            <w:pPr>
              <w:adjustRightInd w:val="0"/>
              <w:snapToGrid w:val="0"/>
              <w:spacing w:line="360" w:lineRule="auto"/>
              <w:jc w:val="center"/>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1</w:t>
            </w:r>
          </w:p>
        </w:tc>
        <w:tc>
          <w:tcPr>
            <w:tcW w:w="840" w:type="dxa"/>
            <w:shd w:val="clear" w:color="auto" w:fill="FFFFFF" w:themeFill="background1"/>
            <w:vAlign w:val="center"/>
          </w:tcPr>
          <w:p w14:paraId="157DD699" w14:textId="77777777" w:rsidR="006826F0" w:rsidRPr="00907C84" w:rsidRDefault="006826F0" w:rsidP="00E6372C">
            <w:pPr>
              <w:adjustRightInd w:val="0"/>
              <w:snapToGrid w:val="0"/>
              <w:spacing w:line="360" w:lineRule="auto"/>
              <w:jc w:val="center"/>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1</w:t>
            </w:r>
          </w:p>
        </w:tc>
      </w:tr>
      <w:tr w:rsidR="00E6372C" w:rsidRPr="00907C84" w14:paraId="21F8E1FC" w14:textId="77777777" w:rsidTr="00E6372C">
        <w:tc>
          <w:tcPr>
            <w:tcW w:w="846" w:type="dxa"/>
            <w:shd w:val="clear" w:color="auto" w:fill="FFFFFF" w:themeFill="background1"/>
            <w:vAlign w:val="center"/>
          </w:tcPr>
          <w:p w14:paraId="34C8108F" w14:textId="77777777" w:rsidR="006826F0" w:rsidRPr="00907C84" w:rsidRDefault="006826F0" w:rsidP="00E6372C">
            <w:pPr>
              <w:adjustRightInd w:val="0"/>
              <w:snapToGrid w:val="0"/>
              <w:spacing w:line="360" w:lineRule="auto"/>
              <w:jc w:val="both"/>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Q19</w:t>
            </w:r>
          </w:p>
        </w:tc>
        <w:tc>
          <w:tcPr>
            <w:tcW w:w="1318" w:type="dxa"/>
            <w:shd w:val="clear" w:color="auto" w:fill="FFFFFF" w:themeFill="background1"/>
            <w:vAlign w:val="center"/>
          </w:tcPr>
          <w:p w14:paraId="7A300295" w14:textId="77777777" w:rsidR="006826F0" w:rsidRPr="00907C84" w:rsidRDefault="006826F0" w:rsidP="00E6372C">
            <w:pPr>
              <w:adjustRightInd w:val="0"/>
              <w:snapToGrid w:val="0"/>
              <w:spacing w:line="360" w:lineRule="auto"/>
              <w:jc w:val="center"/>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1</w:t>
            </w:r>
          </w:p>
        </w:tc>
        <w:tc>
          <w:tcPr>
            <w:tcW w:w="1147" w:type="dxa"/>
            <w:shd w:val="clear" w:color="auto" w:fill="FFFFFF" w:themeFill="background1"/>
            <w:vAlign w:val="center"/>
          </w:tcPr>
          <w:p w14:paraId="1EDFF6A8" w14:textId="77777777" w:rsidR="006826F0" w:rsidRPr="00907C84" w:rsidRDefault="006826F0" w:rsidP="00E6372C">
            <w:pPr>
              <w:adjustRightInd w:val="0"/>
              <w:snapToGrid w:val="0"/>
              <w:spacing w:line="360" w:lineRule="auto"/>
              <w:jc w:val="center"/>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1</w:t>
            </w:r>
          </w:p>
        </w:tc>
        <w:tc>
          <w:tcPr>
            <w:tcW w:w="1196" w:type="dxa"/>
            <w:shd w:val="clear" w:color="auto" w:fill="FFFFFF" w:themeFill="background1"/>
            <w:vAlign w:val="center"/>
          </w:tcPr>
          <w:p w14:paraId="11064D7F" w14:textId="77777777" w:rsidR="006826F0" w:rsidRPr="00907C84" w:rsidRDefault="006826F0" w:rsidP="00E6372C">
            <w:pPr>
              <w:adjustRightInd w:val="0"/>
              <w:snapToGrid w:val="0"/>
              <w:spacing w:line="360" w:lineRule="auto"/>
              <w:jc w:val="center"/>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1</w:t>
            </w:r>
          </w:p>
        </w:tc>
        <w:tc>
          <w:tcPr>
            <w:tcW w:w="900" w:type="dxa"/>
            <w:shd w:val="clear" w:color="auto" w:fill="FFFFFF" w:themeFill="background1"/>
            <w:vAlign w:val="center"/>
          </w:tcPr>
          <w:p w14:paraId="39D7B909" w14:textId="77777777" w:rsidR="006826F0" w:rsidRPr="00907C84" w:rsidRDefault="006826F0" w:rsidP="00E6372C">
            <w:pPr>
              <w:adjustRightInd w:val="0"/>
              <w:snapToGrid w:val="0"/>
              <w:spacing w:line="360" w:lineRule="auto"/>
              <w:jc w:val="center"/>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1</w:t>
            </w:r>
          </w:p>
        </w:tc>
        <w:tc>
          <w:tcPr>
            <w:tcW w:w="1295" w:type="dxa"/>
            <w:shd w:val="clear" w:color="auto" w:fill="FFFFFF" w:themeFill="background1"/>
            <w:vAlign w:val="center"/>
          </w:tcPr>
          <w:p w14:paraId="23E25514" w14:textId="77777777" w:rsidR="006826F0" w:rsidRPr="00907C84" w:rsidRDefault="006826F0" w:rsidP="00E6372C">
            <w:pPr>
              <w:adjustRightInd w:val="0"/>
              <w:snapToGrid w:val="0"/>
              <w:spacing w:line="360" w:lineRule="auto"/>
              <w:jc w:val="center"/>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1</w:t>
            </w:r>
          </w:p>
        </w:tc>
        <w:tc>
          <w:tcPr>
            <w:tcW w:w="1127" w:type="dxa"/>
            <w:shd w:val="clear" w:color="auto" w:fill="FFFFFF" w:themeFill="background1"/>
            <w:vAlign w:val="center"/>
          </w:tcPr>
          <w:p w14:paraId="3CE6ACB1" w14:textId="77777777" w:rsidR="006826F0" w:rsidRPr="00907C84" w:rsidDel="0033707C" w:rsidRDefault="006826F0" w:rsidP="00E6372C">
            <w:pPr>
              <w:adjustRightInd w:val="0"/>
              <w:snapToGrid w:val="0"/>
              <w:spacing w:line="360" w:lineRule="auto"/>
              <w:jc w:val="center"/>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1</w:t>
            </w:r>
          </w:p>
        </w:tc>
        <w:tc>
          <w:tcPr>
            <w:tcW w:w="681" w:type="dxa"/>
            <w:shd w:val="clear" w:color="auto" w:fill="FFFFFF" w:themeFill="background1"/>
            <w:vAlign w:val="center"/>
          </w:tcPr>
          <w:p w14:paraId="787BE6A0" w14:textId="77777777" w:rsidR="006826F0" w:rsidRPr="00907C84" w:rsidRDefault="006826F0" w:rsidP="00E6372C">
            <w:pPr>
              <w:adjustRightInd w:val="0"/>
              <w:snapToGrid w:val="0"/>
              <w:spacing w:line="360" w:lineRule="auto"/>
              <w:jc w:val="center"/>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1</w:t>
            </w:r>
          </w:p>
        </w:tc>
        <w:tc>
          <w:tcPr>
            <w:tcW w:w="840" w:type="dxa"/>
            <w:shd w:val="clear" w:color="auto" w:fill="FFFFFF" w:themeFill="background1"/>
            <w:vAlign w:val="center"/>
          </w:tcPr>
          <w:p w14:paraId="444B90A5" w14:textId="77777777" w:rsidR="006826F0" w:rsidRPr="00907C84" w:rsidRDefault="006826F0" w:rsidP="00E6372C">
            <w:pPr>
              <w:adjustRightInd w:val="0"/>
              <w:snapToGrid w:val="0"/>
              <w:spacing w:line="360" w:lineRule="auto"/>
              <w:jc w:val="center"/>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1</w:t>
            </w:r>
          </w:p>
        </w:tc>
      </w:tr>
      <w:tr w:rsidR="00E6372C" w:rsidRPr="00907C84" w14:paraId="2320E676" w14:textId="77777777" w:rsidTr="00E6372C">
        <w:tc>
          <w:tcPr>
            <w:tcW w:w="846" w:type="dxa"/>
            <w:shd w:val="clear" w:color="auto" w:fill="FFFFFF" w:themeFill="background1"/>
            <w:vAlign w:val="center"/>
          </w:tcPr>
          <w:p w14:paraId="6402446E" w14:textId="77777777" w:rsidR="006826F0" w:rsidRPr="00907C84" w:rsidRDefault="006826F0" w:rsidP="00E6372C">
            <w:pPr>
              <w:adjustRightInd w:val="0"/>
              <w:snapToGrid w:val="0"/>
              <w:spacing w:line="360" w:lineRule="auto"/>
              <w:jc w:val="both"/>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Q20</w:t>
            </w:r>
          </w:p>
        </w:tc>
        <w:tc>
          <w:tcPr>
            <w:tcW w:w="1318" w:type="dxa"/>
            <w:shd w:val="clear" w:color="auto" w:fill="FFFFFF" w:themeFill="background1"/>
            <w:vAlign w:val="center"/>
          </w:tcPr>
          <w:p w14:paraId="46081F87" w14:textId="77777777" w:rsidR="006826F0" w:rsidRPr="00907C84" w:rsidRDefault="006826F0" w:rsidP="00E6372C">
            <w:pPr>
              <w:adjustRightInd w:val="0"/>
              <w:snapToGrid w:val="0"/>
              <w:spacing w:line="360" w:lineRule="auto"/>
              <w:jc w:val="center"/>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1</w:t>
            </w:r>
          </w:p>
        </w:tc>
        <w:tc>
          <w:tcPr>
            <w:tcW w:w="1147" w:type="dxa"/>
            <w:shd w:val="clear" w:color="auto" w:fill="FFFFFF" w:themeFill="background1"/>
            <w:vAlign w:val="center"/>
          </w:tcPr>
          <w:p w14:paraId="40AE69A4" w14:textId="77777777" w:rsidR="006826F0" w:rsidRPr="00907C84" w:rsidRDefault="006826F0" w:rsidP="00E6372C">
            <w:pPr>
              <w:adjustRightInd w:val="0"/>
              <w:snapToGrid w:val="0"/>
              <w:spacing w:line="360" w:lineRule="auto"/>
              <w:jc w:val="center"/>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1</w:t>
            </w:r>
          </w:p>
        </w:tc>
        <w:tc>
          <w:tcPr>
            <w:tcW w:w="1196" w:type="dxa"/>
            <w:shd w:val="clear" w:color="auto" w:fill="FFFFFF" w:themeFill="background1"/>
            <w:vAlign w:val="center"/>
          </w:tcPr>
          <w:p w14:paraId="7E178C1F" w14:textId="77777777" w:rsidR="006826F0" w:rsidRPr="00907C84" w:rsidRDefault="006826F0" w:rsidP="00E6372C">
            <w:pPr>
              <w:adjustRightInd w:val="0"/>
              <w:snapToGrid w:val="0"/>
              <w:spacing w:line="360" w:lineRule="auto"/>
              <w:jc w:val="center"/>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1</w:t>
            </w:r>
          </w:p>
        </w:tc>
        <w:tc>
          <w:tcPr>
            <w:tcW w:w="900" w:type="dxa"/>
            <w:shd w:val="clear" w:color="auto" w:fill="FFFFFF" w:themeFill="background1"/>
            <w:vAlign w:val="center"/>
          </w:tcPr>
          <w:p w14:paraId="68676F67" w14:textId="77777777" w:rsidR="006826F0" w:rsidRPr="00907C84" w:rsidRDefault="006826F0" w:rsidP="00E6372C">
            <w:pPr>
              <w:adjustRightInd w:val="0"/>
              <w:snapToGrid w:val="0"/>
              <w:spacing w:line="360" w:lineRule="auto"/>
              <w:jc w:val="center"/>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1</w:t>
            </w:r>
          </w:p>
        </w:tc>
        <w:tc>
          <w:tcPr>
            <w:tcW w:w="1295" w:type="dxa"/>
            <w:shd w:val="clear" w:color="auto" w:fill="FFFFFF" w:themeFill="background1"/>
            <w:vAlign w:val="center"/>
          </w:tcPr>
          <w:p w14:paraId="6329C338" w14:textId="77777777" w:rsidR="006826F0" w:rsidRPr="00907C84" w:rsidRDefault="006826F0" w:rsidP="00E6372C">
            <w:pPr>
              <w:adjustRightInd w:val="0"/>
              <w:snapToGrid w:val="0"/>
              <w:spacing w:line="360" w:lineRule="auto"/>
              <w:jc w:val="center"/>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1</w:t>
            </w:r>
          </w:p>
        </w:tc>
        <w:tc>
          <w:tcPr>
            <w:tcW w:w="1127" w:type="dxa"/>
            <w:shd w:val="clear" w:color="auto" w:fill="FFFFFF" w:themeFill="background1"/>
            <w:vAlign w:val="center"/>
          </w:tcPr>
          <w:p w14:paraId="54331E66" w14:textId="77777777" w:rsidR="006826F0" w:rsidRPr="00907C84" w:rsidDel="0033707C" w:rsidRDefault="006826F0" w:rsidP="00E6372C">
            <w:pPr>
              <w:adjustRightInd w:val="0"/>
              <w:snapToGrid w:val="0"/>
              <w:spacing w:line="360" w:lineRule="auto"/>
              <w:jc w:val="center"/>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1</w:t>
            </w:r>
          </w:p>
        </w:tc>
        <w:tc>
          <w:tcPr>
            <w:tcW w:w="681" w:type="dxa"/>
            <w:shd w:val="clear" w:color="auto" w:fill="FFFFFF" w:themeFill="background1"/>
            <w:vAlign w:val="center"/>
          </w:tcPr>
          <w:p w14:paraId="48220DD7" w14:textId="77777777" w:rsidR="006826F0" w:rsidRPr="00907C84" w:rsidRDefault="006826F0" w:rsidP="00E6372C">
            <w:pPr>
              <w:adjustRightInd w:val="0"/>
              <w:snapToGrid w:val="0"/>
              <w:spacing w:line="360" w:lineRule="auto"/>
              <w:jc w:val="center"/>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1</w:t>
            </w:r>
          </w:p>
        </w:tc>
        <w:tc>
          <w:tcPr>
            <w:tcW w:w="840" w:type="dxa"/>
            <w:shd w:val="clear" w:color="auto" w:fill="FFFFFF" w:themeFill="background1"/>
            <w:vAlign w:val="center"/>
          </w:tcPr>
          <w:p w14:paraId="5D79C254" w14:textId="77777777" w:rsidR="006826F0" w:rsidRPr="00907C84" w:rsidRDefault="006826F0" w:rsidP="00E6372C">
            <w:pPr>
              <w:adjustRightInd w:val="0"/>
              <w:snapToGrid w:val="0"/>
              <w:spacing w:line="360" w:lineRule="auto"/>
              <w:jc w:val="center"/>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1</w:t>
            </w:r>
          </w:p>
        </w:tc>
      </w:tr>
      <w:tr w:rsidR="00E6372C" w:rsidRPr="00907C84" w14:paraId="0897F9C0" w14:textId="77777777" w:rsidTr="00E6372C">
        <w:tc>
          <w:tcPr>
            <w:tcW w:w="846" w:type="dxa"/>
            <w:shd w:val="clear" w:color="auto" w:fill="FFFFFF" w:themeFill="background1"/>
            <w:vAlign w:val="center"/>
          </w:tcPr>
          <w:p w14:paraId="4035FD75" w14:textId="77777777" w:rsidR="006826F0" w:rsidRPr="00907C84" w:rsidRDefault="006826F0" w:rsidP="00E6372C">
            <w:pPr>
              <w:adjustRightInd w:val="0"/>
              <w:snapToGrid w:val="0"/>
              <w:spacing w:line="360" w:lineRule="auto"/>
              <w:jc w:val="both"/>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Q21</w:t>
            </w:r>
          </w:p>
        </w:tc>
        <w:tc>
          <w:tcPr>
            <w:tcW w:w="1318" w:type="dxa"/>
            <w:shd w:val="clear" w:color="auto" w:fill="FFFFFF" w:themeFill="background1"/>
            <w:vAlign w:val="center"/>
          </w:tcPr>
          <w:p w14:paraId="72493B01" w14:textId="77777777" w:rsidR="006826F0" w:rsidRPr="00907C84" w:rsidRDefault="006826F0" w:rsidP="00E6372C">
            <w:pPr>
              <w:adjustRightInd w:val="0"/>
              <w:snapToGrid w:val="0"/>
              <w:spacing w:line="360" w:lineRule="auto"/>
              <w:jc w:val="center"/>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1</w:t>
            </w:r>
          </w:p>
        </w:tc>
        <w:tc>
          <w:tcPr>
            <w:tcW w:w="1147" w:type="dxa"/>
            <w:shd w:val="clear" w:color="auto" w:fill="FFFFFF" w:themeFill="background1"/>
            <w:vAlign w:val="center"/>
          </w:tcPr>
          <w:p w14:paraId="7E699CD5" w14:textId="77777777" w:rsidR="006826F0" w:rsidRPr="00907C84" w:rsidRDefault="006826F0" w:rsidP="00E6372C">
            <w:pPr>
              <w:adjustRightInd w:val="0"/>
              <w:snapToGrid w:val="0"/>
              <w:spacing w:line="360" w:lineRule="auto"/>
              <w:jc w:val="center"/>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1</w:t>
            </w:r>
          </w:p>
        </w:tc>
        <w:tc>
          <w:tcPr>
            <w:tcW w:w="1196" w:type="dxa"/>
            <w:shd w:val="clear" w:color="auto" w:fill="FFFFFF" w:themeFill="background1"/>
            <w:vAlign w:val="center"/>
          </w:tcPr>
          <w:p w14:paraId="34B280CE" w14:textId="77777777" w:rsidR="006826F0" w:rsidRPr="00907C84" w:rsidRDefault="006826F0" w:rsidP="00E6372C">
            <w:pPr>
              <w:adjustRightInd w:val="0"/>
              <w:snapToGrid w:val="0"/>
              <w:spacing w:line="360" w:lineRule="auto"/>
              <w:jc w:val="center"/>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1</w:t>
            </w:r>
          </w:p>
        </w:tc>
        <w:tc>
          <w:tcPr>
            <w:tcW w:w="900" w:type="dxa"/>
            <w:shd w:val="clear" w:color="auto" w:fill="FFFFFF" w:themeFill="background1"/>
            <w:vAlign w:val="center"/>
          </w:tcPr>
          <w:p w14:paraId="3F042831" w14:textId="77777777" w:rsidR="006826F0" w:rsidRPr="00907C84" w:rsidRDefault="006826F0" w:rsidP="00E6372C">
            <w:pPr>
              <w:adjustRightInd w:val="0"/>
              <w:snapToGrid w:val="0"/>
              <w:spacing w:line="360" w:lineRule="auto"/>
              <w:jc w:val="center"/>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1</w:t>
            </w:r>
          </w:p>
        </w:tc>
        <w:tc>
          <w:tcPr>
            <w:tcW w:w="1295" w:type="dxa"/>
            <w:shd w:val="clear" w:color="auto" w:fill="FFFFFF" w:themeFill="background1"/>
            <w:vAlign w:val="center"/>
          </w:tcPr>
          <w:p w14:paraId="1D86B2F9" w14:textId="77777777" w:rsidR="006826F0" w:rsidRPr="00907C84" w:rsidRDefault="006826F0" w:rsidP="00E6372C">
            <w:pPr>
              <w:adjustRightInd w:val="0"/>
              <w:snapToGrid w:val="0"/>
              <w:spacing w:line="360" w:lineRule="auto"/>
              <w:jc w:val="center"/>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1</w:t>
            </w:r>
          </w:p>
        </w:tc>
        <w:tc>
          <w:tcPr>
            <w:tcW w:w="1127" w:type="dxa"/>
            <w:shd w:val="clear" w:color="auto" w:fill="FFFFFF" w:themeFill="background1"/>
            <w:vAlign w:val="center"/>
          </w:tcPr>
          <w:p w14:paraId="538CC5C2" w14:textId="77777777" w:rsidR="006826F0" w:rsidRPr="00907C84" w:rsidDel="0033707C" w:rsidRDefault="006826F0" w:rsidP="00E6372C">
            <w:pPr>
              <w:adjustRightInd w:val="0"/>
              <w:snapToGrid w:val="0"/>
              <w:spacing w:line="360" w:lineRule="auto"/>
              <w:jc w:val="center"/>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1</w:t>
            </w:r>
          </w:p>
        </w:tc>
        <w:tc>
          <w:tcPr>
            <w:tcW w:w="681" w:type="dxa"/>
            <w:shd w:val="clear" w:color="auto" w:fill="FFFFFF" w:themeFill="background1"/>
            <w:vAlign w:val="center"/>
          </w:tcPr>
          <w:p w14:paraId="5A8B925E" w14:textId="77777777" w:rsidR="006826F0" w:rsidRPr="00907C84" w:rsidRDefault="006826F0" w:rsidP="00E6372C">
            <w:pPr>
              <w:adjustRightInd w:val="0"/>
              <w:snapToGrid w:val="0"/>
              <w:spacing w:line="360" w:lineRule="auto"/>
              <w:jc w:val="center"/>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1</w:t>
            </w:r>
          </w:p>
        </w:tc>
        <w:tc>
          <w:tcPr>
            <w:tcW w:w="840" w:type="dxa"/>
            <w:shd w:val="clear" w:color="auto" w:fill="FFFFFF" w:themeFill="background1"/>
            <w:vAlign w:val="center"/>
          </w:tcPr>
          <w:p w14:paraId="377B19C2" w14:textId="77777777" w:rsidR="006826F0" w:rsidRPr="00907C84" w:rsidRDefault="006826F0" w:rsidP="00E6372C">
            <w:pPr>
              <w:adjustRightInd w:val="0"/>
              <w:snapToGrid w:val="0"/>
              <w:spacing w:line="360" w:lineRule="auto"/>
              <w:jc w:val="center"/>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1</w:t>
            </w:r>
          </w:p>
        </w:tc>
      </w:tr>
      <w:tr w:rsidR="00E6372C" w:rsidRPr="00907C84" w14:paraId="64175A2E" w14:textId="77777777" w:rsidTr="00E6372C">
        <w:tc>
          <w:tcPr>
            <w:tcW w:w="846" w:type="dxa"/>
            <w:shd w:val="clear" w:color="auto" w:fill="FFFFFF" w:themeFill="background1"/>
            <w:vAlign w:val="center"/>
          </w:tcPr>
          <w:p w14:paraId="4954FF29" w14:textId="77777777" w:rsidR="006826F0" w:rsidRPr="00907C84" w:rsidRDefault="006826F0" w:rsidP="00E6372C">
            <w:pPr>
              <w:adjustRightInd w:val="0"/>
              <w:snapToGrid w:val="0"/>
              <w:spacing w:line="360" w:lineRule="auto"/>
              <w:jc w:val="both"/>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Q22</w:t>
            </w:r>
          </w:p>
        </w:tc>
        <w:tc>
          <w:tcPr>
            <w:tcW w:w="1318" w:type="dxa"/>
            <w:shd w:val="clear" w:color="auto" w:fill="FFFFFF" w:themeFill="background1"/>
            <w:vAlign w:val="center"/>
          </w:tcPr>
          <w:p w14:paraId="5CCD9B83" w14:textId="77777777" w:rsidR="006826F0" w:rsidRPr="00907C84" w:rsidRDefault="006826F0" w:rsidP="00E6372C">
            <w:pPr>
              <w:adjustRightInd w:val="0"/>
              <w:snapToGrid w:val="0"/>
              <w:spacing w:line="360" w:lineRule="auto"/>
              <w:jc w:val="center"/>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1</w:t>
            </w:r>
          </w:p>
        </w:tc>
        <w:tc>
          <w:tcPr>
            <w:tcW w:w="1147" w:type="dxa"/>
            <w:shd w:val="clear" w:color="auto" w:fill="FFFFFF" w:themeFill="background1"/>
            <w:vAlign w:val="center"/>
          </w:tcPr>
          <w:p w14:paraId="56D3E5B4" w14:textId="77777777" w:rsidR="006826F0" w:rsidRPr="00907C84" w:rsidRDefault="006826F0" w:rsidP="00E6372C">
            <w:pPr>
              <w:adjustRightInd w:val="0"/>
              <w:snapToGrid w:val="0"/>
              <w:spacing w:line="360" w:lineRule="auto"/>
              <w:jc w:val="center"/>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1</w:t>
            </w:r>
          </w:p>
        </w:tc>
        <w:tc>
          <w:tcPr>
            <w:tcW w:w="1196" w:type="dxa"/>
            <w:shd w:val="clear" w:color="auto" w:fill="FFFFFF" w:themeFill="background1"/>
            <w:vAlign w:val="center"/>
          </w:tcPr>
          <w:p w14:paraId="1A200090" w14:textId="77777777" w:rsidR="006826F0" w:rsidRPr="00907C84" w:rsidRDefault="006826F0" w:rsidP="00E6372C">
            <w:pPr>
              <w:adjustRightInd w:val="0"/>
              <w:snapToGrid w:val="0"/>
              <w:spacing w:line="360" w:lineRule="auto"/>
              <w:jc w:val="center"/>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1</w:t>
            </w:r>
          </w:p>
        </w:tc>
        <w:tc>
          <w:tcPr>
            <w:tcW w:w="900" w:type="dxa"/>
            <w:shd w:val="clear" w:color="auto" w:fill="FFFFFF" w:themeFill="background1"/>
            <w:vAlign w:val="center"/>
          </w:tcPr>
          <w:p w14:paraId="58C24371" w14:textId="77777777" w:rsidR="006826F0" w:rsidRPr="00907C84" w:rsidRDefault="006826F0" w:rsidP="00E6372C">
            <w:pPr>
              <w:adjustRightInd w:val="0"/>
              <w:snapToGrid w:val="0"/>
              <w:spacing w:line="360" w:lineRule="auto"/>
              <w:jc w:val="center"/>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1</w:t>
            </w:r>
          </w:p>
        </w:tc>
        <w:tc>
          <w:tcPr>
            <w:tcW w:w="1295" w:type="dxa"/>
            <w:shd w:val="clear" w:color="auto" w:fill="FFFFFF" w:themeFill="background1"/>
            <w:vAlign w:val="center"/>
          </w:tcPr>
          <w:p w14:paraId="2FA2298F" w14:textId="77777777" w:rsidR="006826F0" w:rsidRPr="00907C84" w:rsidRDefault="006826F0" w:rsidP="00E6372C">
            <w:pPr>
              <w:adjustRightInd w:val="0"/>
              <w:snapToGrid w:val="0"/>
              <w:spacing w:line="360" w:lineRule="auto"/>
              <w:jc w:val="center"/>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1</w:t>
            </w:r>
          </w:p>
        </w:tc>
        <w:tc>
          <w:tcPr>
            <w:tcW w:w="1127" w:type="dxa"/>
            <w:shd w:val="clear" w:color="auto" w:fill="FFFFFF" w:themeFill="background1"/>
            <w:vAlign w:val="center"/>
          </w:tcPr>
          <w:p w14:paraId="7B210ED0" w14:textId="77777777" w:rsidR="006826F0" w:rsidRPr="00907C84" w:rsidDel="0033707C" w:rsidRDefault="006826F0" w:rsidP="00E6372C">
            <w:pPr>
              <w:adjustRightInd w:val="0"/>
              <w:snapToGrid w:val="0"/>
              <w:spacing w:line="360" w:lineRule="auto"/>
              <w:jc w:val="center"/>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1</w:t>
            </w:r>
          </w:p>
        </w:tc>
        <w:tc>
          <w:tcPr>
            <w:tcW w:w="681" w:type="dxa"/>
            <w:shd w:val="clear" w:color="auto" w:fill="FFFFFF" w:themeFill="background1"/>
            <w:vAlign w:val="center"/>
          </w:tcPr>
          <w:p w14:paraId="3E4246C9" w14:textId="77777777" w:rsidR="006826F0" w:rsidRPr="00907C84" w:rsidRDefault="006826F0" w:rsidP="00E6372C">
            <w:pPr>
              <w:adjustRightInd w:val="0"/>
              <w:snapToGrid w:val="0"/>
              <w:spacing w:line="360" w:lineRule="auto"/>
              <w:jc w:val="center"/>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1</w:t>
            </w:r>
          </w:p>
        </w:tc>
        <w:tc>
          <w:tcPr>
            <w:tcW w:w="840" w:type="dxa"/>
            <w:shd w:val="clear" w:color="auto" w:fill="FFFFFF" w:themeFill="background1"/>
            <w:vAlign w:val="center"/>
          </w:tcPr>
          <w:p w14:paraId="0FA2655D" w14:textId="77777777" w:rsidR="006826F0" w:rsidRPr="00907C84" w:rsidRDefault="006826F0" w:rsidP="00E6372C">
            <w:pPr>
              <w:adjustRightInd w:val="0"/>
              <w:snapToGrid w:val="0"/>
              <w:spacing w:line="360" w:lineRule="auto"/>
              <w:jc w:val="center"/>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1</w:t>
            </w:r>
          </w:p>
        </w:tc>
      </w:tr>
      <w:tr w:rsidR="00E6372C" w:rsidRPr="00907C84" w14:paraId="14D0EAE1" w14:textId="77777777" w:rsidTr="00E6372C">
        <w:tc>
          <w:tcPr>
            <w:tcW w:w="846" w:type="dxa"/>
            <w:shd w:val="clear" w:color="auto" w:fill="FFFFFF" w:themeFill="background1"/>
            <w:vAlign w:val="center"/>
          </w:tcPr>
          <w:p w14:paraId="6EEB75CB" w14:textId="77777777" w:rsidR="006826F0" w:rsidRPr="00907C84" w:rsidRDefault="006826F0" w:rsidP="00E6372C">
            <w:pPr>
              <w:adjustRightInd w:val="0"/>
              <w:snapToGrid w:val="0"/>
              <w:spacing w:line="360" w:lineRule="auto"/>
              <w:jc w:val="both"/>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Q23</w:t>
            </w:r>
          </w:p>
        </w:tc>
        <w:tc>
          <w:tcPr>
            <w:tcW w:w="1318" w:type="dxa"/>
            <w:shd w:val="clear" w:color="auto" w:fill="FFFFFF" w:themeFill="background1"/>
            <w:vAlign w:val="center"/>
          </w:tcPr>
          <w:p w14:paraId="5A12D9D7" w14:textId="77777777" w:rsidR="006826F0" w:rsidRPr="00907C84" w:rsidRDefault="006826F0" w:rsidP="00E6372C">
            <w:pPr>
              <w:adjustRightInd w:val="0"/>
              <w:snapToGrid w:val="0"/>
              <w:spacing w:line="360" w:lineRule="auto"/>
              <w:jc w:val="center"/>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0</w:t>
            </w:r>
          </w:p>
        </w:tc>
        <w:tc>
          <w:tcPr>
            <w:tcW w:w="1147" w:type="dxa"/>
            <w:shd w:val="clear" w:color="auto" w:fill="FFFFFF" w:themeFill="background1"/>
            <w:vAlign w:val="center"/>
          </w:tcPr>
          <w:p w14:paraId="203BF8EE" w14:textId="77777777" w:rsidR="006826F0" w:rsidRPr="00907C84" w:rsidRDefault="006826F0" w:rsidP="00E6372C">
            <w:pPr>
              <w:adjustRightInd w:val="0"/>
              <w:snapToGrid w:val="0"/>
              <w:spacing w:line="360" w:lineRule="auto"/>
              <w:jc w:val="center"/>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0</w:t>
            </w:r>
          </w:p>
        </w:tc>
        <w:tc>
          <w:tcPr>
            <w:tcW w:w="1196" w:type="dxa"/>
            <w:shd w:val="clear" w:color="auto" w:fill="FFFFFF" w:themeFill="background1"/>
            <w:vAlign w:val="center"/>
          </w:tcPr>
          <w:p w14:paraId="37C9848C" w14:textId="77777777" w:rsidR="006826F0" w:rsidRPr="00907C84" w:rsidRDefault="006826F0" w:rsidP="00E6372C">
            <w:pPr>
              <w:adjustRightInd w:val="0"/>
              <w:snapToGrid w:val="0"/>
              <w:spacing w:line="360" w:lineRule="auto"/>
              <w:jc w:val="center"/>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0</w:t>
            </w:r>
          </w:p>
        </w:tc>
        <w:tc>
          <w:tcPr>
            <w:tcW w:w="900" w:type="dxa"/>
            <w:shd w:val="clear" w:color="auto" w:fill="FFFFFF" w:themeFill="background1"/>
            <w:vAlign w:val="center"/>
          </w:tcPr>
          <w:p w14:paraId="48EED0A4" w14:textId="77777777" w:rsidR="006826F0" w:rsidRPr="00907C84" w:rsidRDefault="006826F0" w:rsidP="00E6372C">
            <w:pPr>
              <w:adjustRightInd w:val="0"/>
              <w:snapToGrid w:val="0"/>
              <w:spacing w:line="360" w:lineRule="auto"/>
              <w:jc w:val="center"/>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0</w:t>
            </w:r>
          </w:p>
        </w:tc>
        <w:tc>
          <w:tcPr>
            <w:tcW w:w="1295" w:type="dxa"/>
            <w:shd w:val="clear" w:color="auto" w:fill="FFFFFF" w:themeFill="background1"/>
            <w:vAlign w:val="center"/>
          </w:tcPr>
          <w:p w14:paraId="0CC6FEFE" w14:textId="77777777" w:rsidR="006826F0" w:rsidRPr="00907C84" w:rsidRDefault="006826F0" w:rsidP="00E6372C">
            <w:pPr>
              <w:adjustRightInd w:val="0"/>
              <w:snapToGrid w:val="0"/>
              <w:spacing w:line="360" w:lineRule="auto"/>
              <w:jc w:val="center"/>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0</w:t>
            </w:r>
          </w:p>
        </w:tc>
        <w:tc>
          <w:tcPr>
            <w:tcW w:w="1127" w:type="dxa"/>
            <w:shd w:val="clear" w:color="auto" w:fill="FFFFFF" w:themeFill="background1"/>
            <w:vAlign w:val="center"/>
          </w:tcPr>
          <w:p w14:paraId="493120D4" w14:textId="77777777" w:rsidR="006826F0" w:rsidRPr="00907C84" w:rsidDel="0033707C" w:rsidRDefault="006826F0" w:rsidP="00E6372C">
            <w:pPr>
              <w:adjustRightInd w:val="0"/>
              <w:snapToGrid w:val="0"/>
              <w:spacing w:line="360" w:lineRule="auto"/>
              <w:jc w:val="center"/>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0</w:t>
            </w:r>
          </w:p>
        </w:tc>
        <w:tc>
          <w:tcPr>
            <w:tcW w:w="681" w:type="dxa"/>
            <w:shd w:val="clear" w:color="auto" w:fill="FFFFFF" w:themeFill="background1"/>
            <w:vAlign w:val="center"/>
          </w:tcPr>
          <w:p w14:paraId="7CC53496" w14:textId="77777777" w:rsidR="006826F0" w:rsidRPr="00907C84" w:rsidRDefault="006826F0" w:rsidP="00E6372C">
            <w:pPr>
              <w:adjustRightInd w:val="0"/>
              <w:snapToGrid w:val="0"/>
              <w:spacing w:line="360" w:lineRule="auto"/>
              <w:jc w:val="center"/>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0</w:t>
            </w:r>
          </w:p>
        </w:tc>
        <w:tc>
          <w:tcPr>
            <w:tcW w:w="840" w:type="dxa"/>
            <w:shd w:val="clear" w:color="auto" w:fill="FFFFFF" w:themeFill="background1"/>
            <w:vAlign w:val="center"/>
          </w:tcPr>
          <w:p w14:paraId="347F5AF3" w14:textId="77777777" w:rsidR="006826F0" w:rsidRPr="00907C84" w:rsidRDefault="006826F0" w:rsidP="00E6372C">
            <w:pPr>
              <w:adjustRightInd w:val="0"/>
              <w:snapToGrid w:val="0"/>
              <w:spacing w:line="360" w:lineRule="auto"/>
              <w:jc w:val="center"/>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0</w:t>
            </w:r>
          </w:p>
        </w:tc>
      </w:tr>
      <w:tr w:rsidR="00E6372C" w:rsidRPr="00907C84" w14:paraId="5BB37017" w14:textId="77777777" w:rsidTr="00E6372C">
        <w:tc>
          <w:tcPr>
            <w:tcW w:w="846" w:type="dxa"/>
            <w:shd w:val="clear" w:color="auto" w:fill="FFFFFF" w:themeFill="background1"/>
            <w:vAlign w:val="center"/>
          </w:tcPr>
          <w:p w14:paraId="2DCF81F8" w14:textId="77777777" w:rsidR="006826F0" w:rsidRPr="00907C84" w:rsidRDefault="006826F0" w:rsidP="00E6372C">
            <w:pPr>
              <w:adjustRightInd w:val="0"/>
              <w:snapToGrid w:val="0"/>
              <w:spacing w:line="360" w:lineRule="auto"/>
              <w:jc w:val="both"/>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Q24</w:t>
            </w:r>
          </w:p>
        </w:tc>
        <w:tc>
          <w:tcPr>
            <w:tcW w:w="1318" w:type="dxa"/>
            <w:shd w:val="clear" w:color="auto" w:fill="FFFFFF" w:themeFill="background1"/>
            <w:vAlign w:val="center"/>
          </w:tcPr>
          <w:p w14:paraId="0CB9E4D5" w14:textId="77777777" w:rsidR="006826F0" w:rsidRPr="00907C84" w:rsidRDefault="006826F0" w:rsidP="00E6372C">
            <w:pPr>
              <w:adjustRightInd w:val="0"/>
              <w:snapToGrid w:val="0"/>
              <w:spacing w:line="360" w:lineRule="auto"/>
              <w:jc w:val="center"/>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0</w:t>
            </w:r>
          </w:p>
        </w:tc>
        <w:tc>
          <w:tcPr>
            <w:tcW w:w="1147" w:type="dxa"/>
            <w:shd w:val="clear" w:color="auto" w:fill="FFFFFF" w:themeFill="background1"/>
            <w:vAlign w:val="center"/>
          </w:tcPr>
          <w:p w14:paraId="528C7BC5" w14:textId="77777777" w:rsidR="006826F0" w:rsidRPr="00907C84" w:rsidRDefault="006826F0" w:rsidP="00E6372C">
            <w:pPr>
              <w:adjustRightInd w:val="0"/>
              <w:snapToGrid w:val="0"/>
              <w:spacing w:line="360" w:lineRule="auto"/>
              <w:jc w:val="center"/>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0</w:t>
            </w:r>
          </w:p>
        </w:tc>
        <w:tc>
          <w:tcPr>
            <w:tcW w:w="1196" w:type="dxa"/>
            <w:shd w:val="clear" w:color="auto" w:fill="FFFFFF" w:themeFill="background1"/>
            <w:vAlign w:val="center"/>
          </w:tcPr>
          <w:p w14:paraId="72751DD7" w14:textId="77777777" w:rsidR="006826F0" w:rsidRPr="00907C84" w:rsidRDefault="006826F0" w:rsidP="00E6372C">
            <w:pPr>
              <w:adjustRightInd w:val="0"/>
              <w:snapToGrid w:val="0"/>
              <w:spacing w:line="360" w:lineRule="auto"/>
              <w:jc w:val="center"/>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0</w:t>
            </w:r>
          </w:p>
        </w:tc>
        <w:tc>
          <w:tcPr>
            <w:tcW w:w="900" w:type="dxa"/>
            <w:shd w:val="clear" w:color="auto" w:fill="FFFFFF" w:themeFill="background1"/>
            <w:vAlign w:val="center"/>
          </w:tcPr>
          <w:p w14:paraId="1206A2D1" w14:textId="77777777" w:rsidR="006826F0" w:rsidRPr="00907C84" w:rsidRDefault="006826F0" w:rsidP="00E6372C">
            <w:pPr>
              <w:adjustRightInd w:val="0"/>
              <w:snapToGrid w:val="0"/>
              <w:spacing w:line="360" w:lineRule="auto"/>
              <w:jc w:val="center"/>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0</w:t>
            </w:r>
          </w:p>
        </w:tc>
        <w:tc>
          <w:tcPr>
            <w:tcW w:w="1295" w:type="dxa"/>
            <w:shd w:val="clear" w:color="auto" w:fill="FFFFFF" w:themeFill="background1"/>
            <w:vAlign w:val="center"/>
          </w:tcPr>
          <w:p w14:paraId="23A0DA02" w14:textId="77777777" w:rsidR="006826F0" w:rsidRPr="00907C84" w:rsidRDefault="006826F0" w:rsidP="00E6372C">
            <w:pPr>
              <w:adjustRightInd w:val="0"/>
              <w:snapToGrid w:val="0"/>
              <w:spacing w:line="360" w:lineRule="auto"/>
              <w:jc w:val="center"/>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0</w:t>
            </w:r>
          </w:p>
        </w:tc>
        <w:tc>
          <w:tcPr>
            <w:tcW w:w="1127" w:type="dxa"/>
            <w:shd w:val="clear" w:color="auto" w:fill="FFFFFF" w:themeFill="background1"/>
            <w:vAlign w:val="center"/>
          </w:tcPr>
          <w:p w14:paraId="6CD84D66" w14:textId="77777777" w:rsidR="006826F0" w:rsidRPr="00907C84" w:rsidDel="0033707C" w:rsidRDefault="006826F0" w:rsidP="00E6372C">
            <w:pPr>
              <w:adjustRightInd w:val="0"/>
              <w:snapToGrid w:val="0"/>
              <w:spacing w:line="360" w:lineRule="auto"/>
              <w:jc w:val="center"/>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0</w:t>
            </w:r>
          </w:p>
        </w:tc>
        <w:tc>
          <w:tcPr>
            <w:tcW w:w="681" w:type="dxa"/>
            <w:shd w:val="clear" w:color="auto" w:fill="FFFFFF" w:themeFill="background1"/>
            <w:vAlign w:val="center"/>
          </w:tcPr>
          <w:p w14:paraId="411E379E" w14:textId="77777777" w:rsidR="006826F0" w:rsidRPr="00907C84" w:rsidRDefault="006826F0" w:rsidP="00E6372C">
            <w:pPr>
              <w:adjustRightInd w:val="0"/>
              <w:snapToGrid w:val="0"/>
              <w:spacing w:line="360" w:lineRule="auto"/>
              <w:jc w:val="center"/>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0</w:t>
            </w:r>
          </w:p>
        </w:tc>
        <w:tc>
          <w:tcPr>
            <w:tcW w:w="840" w:type="dxa"/>
            <w:shd w:val="clear" w:color="auto" w:fill="FFFFFF" w:themeFill="background1"/>
            <w:vAlign w:val="center"/>
          </w:tcPr>
          <w:p w14:paraId="3F488217" w14:textId="77777777" w:rsidR="006826F0" w:rsidRPr="00907C84" w:rsidRDefault="006826F0" w:rsidP="00E6372C">
            <w:pPr>
              <w:adjustRightInd w:val="0"/>
              <w:snapToGrid w:val="0"/>
              <w:spacing w:line="360" w:lineRule="auto"/>
              <w:jc w:val="center"/>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0</w:t>
            </w:r>
          </w:p>
        </w:tc>
      </w:tr>
      <w:tr w:rsidR="00E6372C" w:rsidRPr="00907C84" w14:paraId="212B3A89" w14:textId="77777777" w:rsidTr="00E6372C">
        <w:tc>
          <w:tcPr>
            <w:tcW w:w="846" w:type="dxa"/>
            <w:shd w:val="clear" w:color="auto" w:fill="FFFFFF" w:themeFill="background1"/>
            <w:vAlign w:val="center"/>
          </w:tcPr>
          <w:p w14:paraId="0DE003FE" w14:textId="77777777" w:rsidR="006826F0" w:rsidRPr="00907C84" w:rsidRDefault="006826F0" w:rsidP="00E6372C">
            <w:pPr>
              <w:adjustRightInd w:val="0"/>
              <w:snapToGrid w:val="0"/>
              <w:spacing w:line="360" w:lineRule="auto"/>
              <w:jc w:val="both"/>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Q25</w:t>
            </w:r>
          </w:p>
        </w:tc>
        <w:tc>
          <w:tcPr>
            <w:tcW w:w="1318" w:type="dxa"/>
            <w:shd w:val="clear" w:color="auto" w:fill="FFFFFF" w:themeFill="background1"/>
            <w:vAlign w:val="center"/>
          </w:tcPr>
          <w:p w14:paraId="6605CE62" w14:textId="77777777" w:rsidR="006826F0" w:rsidRPr="00907C84" w:rsidRDefault="006826F0" w:rsidP="00E6372C">
            <w:pPr>
              <w:adjustRightInd w:val="0"/>
              <w:snapToGrid w:val="0"/>
              <w:spacing w:line="360" w:lineRule="auto"/>
              <w:jc w:val="center"/>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0</w:t>
            </w:r>
          </w:p>
        </w:tc>
        <w:tc>
          <w:tcPr>
            <w:tcW w:w="1147" w:type="dxa"/>
            <w:shd w:val="clear" w:color="auto" w:fill="FFFFFF" w:themeFill="background1"/>
            <w:vAlign w:val="center"/>
          </w:tcPr>
          <w:p w14:paraId="07CB7EC4" w14:textId="77777777" w:rsidR="006826F0" w:rsidRPr="00907C84" w:rsidRDefault="006826F0" w:rsidP="00E6372C">
            <w:pPr>
              <w:adjustRightInd w:val="0"/>
              <w:snapToGrid w:val="0"/>
              <w:spacing w:line="360" w:lineRule="auto"/>
              <w:jc w:val="center"/>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1</w:t>
            </w:r>
          </w:p>
        </w:tc>
        <w:tc>
          <w:tcPr>
            <w:tcW w:w="1196" w:type="dxa"/>
            <w:shd w:val="clear" w:color="auto" w:fill="FFFFFF" w:themeFill="background1"/>
            <w:vAlign w:val="center"/>
          </w:tcPr>
          <w:p w14:paraId="24CACDAB" w14:textId="77777777" w:rsidR="006826F0" w:rsidRPr="00907C84" w:rsidRDefault="006826F0" w:rsidP="00E6372C">
            <w:pPr>
              <w:adjustRightInd w:val="0"/>
              <w:snapToGrid w:val="0"/>
              <w:spacing w:line="360" w:lineRule="auto"/>
              <w:jc w:val="center"/>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1</w:t>
            </w:r>
          </w:p>
        </w:tc>
        <w:tc>
          <w:tcPr>
            <w:tcW w:w="900" w:type="dxa"/>
            <w:shd w:val="clear" w:color="auto" w:fill="FFFFFF" w:themeFill="background1"/>
            <w:vAlign w:val="center"/>
          </w:tcPr>
          <w:p w14:paraId="1340CFE6" w14:textId="77777777" w:rsidR="006826F0" w:rsidRPr="00907C84" w:rsidRDefault="006826F0" w:rsidP="00E6372C">
            <w:pPr>
              <w:adjustRightInd w:val="0"/>
              <w:snapToGrid w:val="0"/>
              <w:spacing w:line="360" w:lineRule="auto"/>
              <w:jc w:val="center"/>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1</w:t>
            </w:r>
          </w:p>
        </w:tc>
        <w:tc>
          <w:tcPr>
            <w:tcW w:w="1295" w:type="dxa"/>
            <w:shd w:val="clear" w:color="auto" w:fill="FFFFFF" w:themeFill="background1"/>
            <w:vAlign w:val="center"/>
          </w:tcPr>
          <w:p w14:paraId="38745590" w14:textId="77777777" w:rsidR="006826F0" w:rsidRPr="00907C84" w:rsidRDefault="006826F0" w:rsidP="00E6372C">
            <w:pPr>
              <w:adjustRightInd w:val="0"/>
              <w:snapToGrid w:val="0"/>
              <w:spacing w:line="360" w:lineRule="auto"/>
              <w:jc w:val="center"/>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0</w:t>
            </w:r>
          </w:p>
        </w:tc>
        <w:tc>
          <w:tcPr>
            <w:tcW w:w="1127" w:type="dxa"/>
            <w:shd w:val="clear" w:color="auto" w:fill="FFFFFF" w:themeFill="background1"/>
            <w:vAlign w:val="center"/>
          </w:tcPr>
          <w:p w14:paraId="62035931" w14:textId="77777777" w:rsidR="006826F0" w:rsidRPr="00907C84" w:rsidDel="0033707C" w:rsidRDefault="006826F0" w:rsidP="00E6372C">
            <w:pPr>
              <w:adjustRightInd w:val="0"/>
              <w:snapToGrid w:val="0"/>
              <w:spacing w:line="360" w:lineRule="auto"/>
              <w:jc w:val="center"/>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0</w:t>
            </w:r>
          </w:p>
        </w:tc>
        <w:tc>
          <w:tcPr>
            <w:tcW w:w="681" w:type="dxa"/>
            <w:shd w:val="clear" w:color="auto" w:fill="FFFFFF" w:themeFill="background1"/>
            <w:vAlign w:val="center"/>
          </w:tcPr>
          <w:p w14:paraId="35818B83" w14:textId="77777777" w:rsidR="006826F0" w:rsidRPr="00907C84" w:rsidRDefault="006826F0" w:rsidP="00E6372C">
            <w:pPr>
              <w:adjustRightInd w:val="0"/>
              <w:snapToGrid w:val="0"/>
              <w:spacing w:line="360" w:lineRule="auto"/>
              <w:jc w:val="center"/>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1</w:t>
            </w:r>
          </w:p>
        </w:tc>
        <w:tc>
          <w:tcPr>
            <w:tcW w:w="840" w:type="dxa"/>
            <w:shd w:val="clear" w:color="auto" w:fill="FFFFFF" w:themeFill="background1"/>
            <w:vAlign w:val="center"/>
          </w:tcPr>
          <w:p w14:paraId="45D1EAD8" w14:textId="77777777" w:rsidR="006826F0" w:rsidRPr="00907C84" w:rsidRDefault="006826F0" w:rsidP="00E6372C">
            <w:pPr>
              <w:adjustRightInd w:val="0"/>
              <w:snapToGrid w:val="0"/>
              <w:spacing w:line="360" w:lineRule="auto"/>
              <w:jc w:val="center"/>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1</w:t>
            </w:r>
          </w:p>
        </w:tc>
      </w:tr>
      <w:tr w:rsidR="00E6372C" w:rsidRPr="00907C84" w14:paraId="0D393D43" w14:textId="77777777" w:rsidTr="00E6372C">
        <w:tc>
          <w:tcPr>
            <w:tcW w:w="846" w:type="dxa"/>
            <w:shd w:val="clear" w:color="auto" w:fill="FFFFFF" w:themeFill="background1"/>
            <w:vAlign w:val="center"/>
          </w:tcPr>
          <w:p w14:paraId="127159FC" w14:textId="77777777" w:rsidR="006826F0" w:rsidRPr="00907C84" w:rsidRDefault="006826F0" w:rsidP="00E6372C">
            <w:pPr>
              <w:adjustRightInd w:val="0"/>
              <w:snapToGrid w:val="0"/>
              <w:spacing w:line="360" w:lineRule="auto"/>
              <w:jc w:val="both"/>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Q26</w:t>
            </w:r>
          </w:p>
        </w:tc>
        <w:tc>
          <w:tcPr>
            <w:tcW w:w="1318" w:type="dxa"/>
            <w:shd w:val="clear" w:color="auto" w:fill="FFFFFF" w:themeFill="background1"/>
            <w:vAlign w:val="center"/>
          </w:tcPr>
          <w:p w14:paraId="2195E593" w14:textId="77777777" w:rsidR="006826F0" w:rsidRPr="00907C84" w:rsidRDefault="006826F0" w:rsidP="00E6372C">
            <w:pPr>
              <w:adjustRightInd w:val="0"/>
              <w:snapToGrid w:val="0"/>
              <w:spacing w:line="360" w:lineRule="auto"/>
              <w:jc w:val="center"/>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1</w:t>
            </w:r>
          </w:p>
        </w:tc>
        <w:tc>
          <w:tcPr>
            <w:tcW w:w="1147" w:type="dxa"/>
            <w:shd w:val="clear" w:color="auto" w:fill="FFFFFF" w:themeFill="background1"/>
            <w:vAlign w:val="center"/>
          </w:tcPr>
          <w:p w14:paraId="0E9507C1" w14:textId="77777777" w:rsidR="006826F0" w:rsidRPr="00907C84" w:rsidRDefault="006826F0" w:rsidP="00E6372C">
            <w:pPr>
              <w:adjustRightInd w:val="0"/>
              <w:snapToGrid w:val="0"/>
              <w:spacing w:line="360" w:lineRule="auto"/>
              <w:jc w:val="center"/>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1</w:t>
            </w:r>
          </w:p>
        </w:tc>
        <w:tc>
          <w:tcPr>
            <w:tcW w:w="1196" w:type="dxa"/>
            <w:shd w:val="clear" w:color="auto" w:fill="FFFFFF" w:themeFill="background1"/>
            <w:vAlign w:val="center"/>
          </w:tcPr>
          <w:p w14:paraId="0657384E" w14:textId="77777777" w:rsidR="006826F0" w:rsidRPr="00907C84" w:rsidRDefault="006826F0" w:rsidP="00E6372C">
            <w:pPr>
              <w:adjustRightInd w:val="0"/>
              <w:snapToGrid w:val="0"/>
              <w:spacing w:line="360" w:lineRule="auto"/>
              <w:jc w:val="center"/>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1</w:t>
            </w:r>
          </w:p>
        </w:tc>
        <w:tc>
          <w:tcPr>
            <w:tcW w:w="900" w:type="dxa"/>
            <w:shd w:val="clear" w:color="auto" w:fill="FFFFFF" w:themeFill="background1"/>
            <w:vAlign w:val="center"/>
          </w:tcPr>
          <w:p w14:paraId="5B17BCDC" w14:textId="77777777" w:rsidR="006826F0" w:rsidRPr="00907C84" w:rsidRDefault="006826F0" w:rsidP="00E6372C">
            <w:pPr>
              <w:adjustRightInd w:val="0"/>
              <w:snapToGrid w:val="0"/>
              <w:spacing w:line="360" w:lineRule="auto"/>
              <w:jc w:val="center"/>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1</w:t>
            </w:r>
          </w:p>
        </w:tc>
        <w:tc>
          <w:tcPr>
            <w:tcW w:w="1295" w:type="dxa"/>
            <w:shd w:val="clear" w:color="auto" w:fill="FFFFFF" w:themeFill="background1"/>
            <w:vAlign w:val="center"/>
          </w:tcPr>
          <w:p w14:paraId="38B52A6D" w14:textId="77777777" w:rsidR="006826F0" w:rsidRPr="00907C84" w:rsidRDefault="006826F0" w:rsidP="00E6372C">
            <w:pPr>
              <w:adjustRightInd w:val="0"/>
              <w:snapToGrid w:val="0"/>
              <w:spacing w:line="360" w:lineRule="auto"/>
              <w:jc w:val="center"/>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1</w:t>
            </w:r>
          </w:p>
        </w:tc>
        <w:tc>
          <w:tcPr>
            <w:tcW w:w="1127" w:type="dxa"/>
            <w:shd w:val="clear" w:color="auto" w:fill="FFFFFF" w:themeFill="background1"/>
            <w:vAlign w:val="center"/>
          </w:tcPr>
          <w:p w14:paraId="19295DA9" w14:textId="77777777" w:rsidR="006826F0" w:rsidRPr="00907C84" w:rsidDel="0033707C" w:rsidRDefault="006826F0" w:rsidP="00E6372C">
            <w:pPr>
              <w:adjustRightInd w:val="0"/>
              <w:snapToGrid w:val="0"/>
              <w:spacing w:line="360" w:lineRule="auto"/>
              <w:jc w:val="center"/>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1</w:t>
            </w:r>
          </w:p>
        </w:tc>
        <w:tc>
          <w:tcPr>
            <w:tcW w:w="681" w:type="dxa"/>
            <w:shd w:val="clear" w:color="auto" w:fill="FFFFFF" w:themeFill="background1"/>
            <w:vAlign w:val="center"/>
          </w:tcPr>
          <w:p w14:paraId="62FAC980" w14:textId="77777777" w:rsidR="006826F0" w:rsidRPr="00907C84" w:rsidRDefault="006826F0" w:rsidP="00E6372C">
            <w:pPr>
              <w:adjustRightInd w:val="0"/>
              <w:snapToGrid w:val="0"/>
              <w:spacing w:line="360" w:lineRule="auto"/>
              <w:jc w:val="center"/>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1</w:t>
            </w:r>
          </w:p>
        </w:tc>
        <w:tc>
          <w:tcPr>
            <w:tcW w:w="840" w:type="dxa"/>
            <w:shd w:val="clear" w:color="auto" w:fill="FFFFFF" w:themeFill="background1"/>
            <w:vAlign w:val="center"/>
          </w:tcPr>
          <w:p w14:paraId="4A111AAD" w14:textId="77777777" w:rsidR="006826F0" w:rsidRPr="00907C84" w:rsidRDefault="006826F0" w:rsidP="00E6372C">
            <w:pPr>
              <w:adjustRightInd w:val="0"/>
              <w:snapToGrid w:val="0"/>
              <w:spacing w:line="360" w:lineRule="auto"/>
              <w:jc w:val="center"/>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1</w:t>
            </w:r>
          </w:p>
        </w:tc>
      </w:tr>
      <w:tr w:rsidR="00E6372C" w:rsidRPr="00907C84" w14:paraId="64BB908D" w14:textId="77777777" w:rsidTr="00E6372C">
        <w:tc>
          <w:tcPr>
            <w:tcW w:w="846" w:type="dxa"/>
            <w:shd w:val="clear" w:color="auto" w:fill="FFFFFF" w:themeFill="background1"/>
            <w:vAlign w:val="center"/>
          </w:tcPr>
          <w:p w14:paraId="67EFE1B8" w14:textId="77777777" w:rsidR="006826F0" w:rsidRPr="00907C84" w:rsidRDefault="006826F0" w:rsidP="00E6372C">
            <w:pPr>
              <w:adjustRightInd w:val="0"/>
              <w:snapToGrid w:val="0"/>
              <w:spacing w:line="360" w:lineRule="auto"/>
              <w:jc w:val="both"/>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Q27</w:t>
            </w:r>
          </w:p>
        </w:tc>
        <w:tc>
          <w:tcPr>
            <w:tcW w:w="1318" w:type="dxa"/>
            <w:shd w:val="clear" w:color="auto" w:fill="FFFFFF" w:themeFill="background1"/>
            <w:vAlign w:val="center"/>
          </w:tcPr>
          <w:p w14:paraId="78B33A63" w14:textId="77777777" w:rsidR="006826F0" w:rsidRPr="00907C84" w:rsidRDefault="006826F0" w:rsidP="00E6372C">
            <w:pPr>
              <w:adjustRightInd w:val="0"/>
              <w:snapToGrid w:val="0"/>
              <w:spacing w:line="360" w:lineRule="auto"/>
              <w:jc w:val="center"/>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0</w:t>
            </w:r>
          </w:p>
        </w:tc>
        <w:tc>
          <w:tcPr>
            <w:tcW w:w="1147" w:type="dxa"/>
            <w:shd w:val="clear" w:color="auto" w:fill="FFFFFF" w:themeFill="background1"/>
            <w:vAlign w:val="center"/>
          </w:tcPr>
          <w:p w14:paraId="0ED3F369" w14:textId="77777777" w:rsidR="006826F0" w:rsidRPr="00907C84" w:rsidRDefault="006826F0" w:rsidP="00E6372C">
            <w:pPr>
              <w:adjustRightInd w:val="0"/>
              <w:snapToGrid w:val="0"/>
              <w:spacing w:line="360" w:lineRule="auto"/>
              <w:jc w:val="center"/>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0</w:t>
            </w:r>
          </w:p>
        </w:tc>
        <w:tc>
          <w:tcPr>
            <w:tcW w:w="1196" w:type="dxa"/>
            <w:shd w:val="clear" w:color="auto" w:fill="FFFFFF" w:themeFill="background1"/>
            <w:vAlign w:val="center"/>
          </w:tcPr>
          <w:p w14:paraId="742DB7F7" w14:textId="77777777" w:rsidR="006826F0" w:rsidRPr="00907C84" w:rsidRDefault="006826F0" w:rsidP="00E6372C">
            <w:pPr>
              <w:adjustRightInd w:val="0"/>
              <w:snapToGrid w:val="0"/>
              <w:spacing w:line="360" w:lineRule="auto"/>
              <w:jc w:val="center"/>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0</w:t>
            </w:r>
          </w:p>
        </w:tc>
        <w:tc>
          <w:tcPr>
            <w:tcW w:w="900" w:type="dxa"/>
            <w:shd w:val="clear" w:color="auto" w:fill="FFFFFF" w:themeFill="background1"/>
            <w:vAlign w:val="center"/>
          </w:tcPr>
          <w:p w14:paraId="18F7811C" w14:textId="77777777" w:rsidR="006826F0" w:rsidRPr="00907C84" w:rsidRDefault="006826F0" w:rsidP="00E6372C">
            <w:pPr>
              <w:adjustRightInd w:val="0"/>
              <w:snapToGrid w:val="0"/>
              <w:spacing w:line="360" w:lineRule="auto"/>
              <w:jc w:val="center"/>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0</w:t>
            </w:r>
          </w:p>
        </w:tc>
        <w:tc>
          <w:tcPr>
            <w:tcW w:w="1295" w:type="dxa"/>
            <w:shd w:val="clear" w:color="auto" w:fill="FFFFFF" w:themeFill="background1"/>
            <w:vAlign w:val="center"/>
          </w:tcPr>
          <w:p w14:paraId="6A20C4BE" w14:textId="77777777" w:rsidR="006826F0" w:rsidRPr="00907C84" w:rsidRDefault="006826F0" w:rsidP="00E6372C">
            <w:pPr>
              <w:adjustRightInd w:val="0"/>
              <w:snapToGrid w:val="0"/>
              <w:spacing w:line="360" w:lineRule="auto"/>
              <w:jc w:val="center"/>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0</w:t>
            </w:r>
          </w:p>
        </w:tc>
        <w:tc>
          <w:tcPr>
            <w:tcW w:w="1127" w:type="dxa"/>
            <w:shd w:val="clear" w:color="auto" w:fill="FFFFFF" w:themeFill="background1"/>
            <w:vAlign w:val="center"/>
          </w:tcPr>
          <w:p w14:paraId="0628A85C" w14:textId="77777777" w:rsidR="006826F0" w:rsidRPr="00907C84" w:rsidDel="0033707C" w:rsidRDefault="006826F0" w:rsidP="00E6372C">
            <w:pPr>
              <w:adjustRightInd w:val="0"/>
              <w:snapToGrid w:val="0"/>
              <w:spacing w:line="360" w:lineRule="auto"/>
              <w:jc w:val="center"/>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0</w:t>
            </w:r>
          </w:p>
        </w:tc>
        <w:tc>
          <w:tcPr>
            <w:tcW w:w="681" w:type="dxa"/>
            <w:shd w:val="clear" w:color="auto" w:fill="FFFFFF" w:themeFill="background1"/>
            <w:vAlign w:val="center"/>
          </w:tcPr>
          <w:p w14:paraId="60CF8426" w14:textId="77777777" w:rsidR="006826F0" w:rsidRPr="00907C84" w:rsidRDefault="006826F0" w:rsidP="00E6372C">
            <w:pPr>
              <w:adjustRightInd w:val="0"/>
              <w:snapToGrid w:val="0"/>
              <w:spacing w:line="360" w:lineRule="auto"/>
              <w:jc w:val="center"/>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0</w:t>
            </w:r>
          </w:p>
        </w:tc>
        <w:tc>
          <w:tcPr>
            <w:tcW w:w="840" w:type="dxa"/>
            <w:shd w:val="clear" w:color="auto" w:fill="FFFFFF" w:themeFill="background1"/>
            <w:vAlign w:val="center"/>
          </w:tcPr>
          <w:p w14:paraId="140D7E86" w14:textId="77777777" w:rsidR="006826F0" w:rsidRPr="00907C84" w:rsidRDefault="006826F0" w:rsidP="00E6372C">
            <w:pPr>
              <w:adjustRightInd w:val="0"/>
              <w:snapToGrid w:val="0"/>
              <w:spacing w:line="360" w:lineRule="auto"/>
              <w:jc w:val="center"/>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0</w:t>
            </w:r>
          </w:p>
        </w:tc>
      </w:tr>
      <w:tr w:rsidR="00E6372C" w:rsidRPr="00907C84" w14:paraId="1F1E29BD" w14:textId="77777777" w:rsidTr="00E6372C">
        <w:tc>
          <w:tcPr>
            <w:tcW w:w="846" w:type="dxa"/>
            <w:shd w:val="clear" w:color="auto" w:fill="FFFFFF" w:themeFill="background1"/>
            <w:vAlign w:val="center"/>
          </w:tcPr>
          <w:p w14:paraId="0AA56211" w14:textId="77777777" w:rsidR="006826F0" w:rsidRPr="00907C84" w:rsidRDefault="006826F0" w:rsidP="00E6372C">
            <w:pPr>
              <w:adjustRightInd w:val="0"/>
              <w:snapToGrid w:val="0"/>
              <w:spacing w:line="360" w:lineRule="auto"/>
              <w:jc w:val="both"/>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Total</w:t>
            </w:r>
          </w:p>
        </w:tc>
        <w:tc>
          <w:tcPr>
            <w:tcW w:w="1318" w:type="dxa"/>
            <w:shd w:val="clear" w:color="auto" w:fill="FFFFFF" w:themeFill="background1"/>
            <w:vAlign w:val="center"/>
          </w:tcPr>
          <w:p w14:paraId="05AFEEC9" w14:textId="77777777" w:rsidR="006826F0" w:rsidRPr="00907C84" w:rsidRDefault="006826F0" w:rsidP="00E6372C">
            <w:pPr>
              <w:adjustRightInd w:val="0"/>
              <w:snapToGrid w:val="0"/>
              <w:spacing w:line="360" w:lineRule="auto"/>
              <w:jc w:val="center"/>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21</w:t>
            </w:r>
          </w:p>
        </w:tc>
        <w:tc>
          <w:tcPr>
            <w:tcW w:w="1147" w:type="dxa"/>
            <w:shd w:val="clear" w:color="auto" w:fill="FFFFFF" w:themeFill="background1"/>
            <w:vAlign w:val="center"/>
          </w:tcPr>
          <w:p w14:paraId="496848DF" w14:textId="77777777" w:rsidR="006826F0" w:rsidRPr="00907C84" w:rsidRDefault="006826F0" w:rsidP="00E6372C">
            <w:pPr>
              <w:adjustRightInd w:val="0"/>
              <w:snapToGrid w:val="0"/>
              <w:spacing w:line="360" w:lineRule="auto"/>
              <w:jc w:val="center"/>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22</w:t>
            </w:r>
          </w:p>
        </w:tc>
        <w:tc>
          <w:tcPr>
            <w:tcW w:w="1196" w:type="dxa"/>
            <w:shd w:val="clear" w:color="auto" w:fill="FFFFFF" w:themeFill="background1"/>
            <w:vAlign w:val="center"/>
          </w:tcPr>
          <w:p w14:paraId="40C0612A" w14:textId="77777777" w:rsidR="006826F0" w:rsidRPr="00907C84" w:rsidRDefault="006826F0" w:rsidP="00E6372C">
            <w:pPr>
              <w:adjustRightInd w:val="0"/>
              <w:snapToGrid w:val="0"/>
              <w:spacing w:line="360" w:lineRule="auto"/>
              <w:jc w:val="center"/>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22</w:t>
            </w:r>
          </w:p>
        </w:tc>
        <w:tc>
          <w:tcPr>
            <w:tcW w:w="900" w:type="dxa"/>
            <w:shd w:val="clear" w:color="auto" w:fill="FFFFFF" w:themeFill="background1"/>
            <w:vAlign w:val="center"/>
          </w:tcPr>
          <w:p w14:paraId="2F5C4D0B" w14:textId="77777777" w:rsidR="006826F0" w:rsidRPr="00907C84" w:rsidRDefault="006826F0" w:rsidP="00E6372C">
            <w:pPr>
              <w:adjustRightInd w:val="0"/>
              <w:snapToGrid w:val="0"/>
              <w:spacing w:line="360" w:lineRule="auto"/>
              <w:jc w:val="center"/>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19</w:t>
            </w:r>
          </w:p>
        </w:tc>
        <w:tc>
          <w:tcPr>
            <w:tcW w:w="1295" w:type="dxa"/>
            <w:shd w:val="clear" w:color="auto" w:fill="FFFFFF" w:themeFill="background1"/>
            <w:vAlign w:val="center"/>
          </w:tcPr>
          <w:p w14:paraId="03046F19" w14:textId="77777777" w:rsidR="006826F0" w:rsidRPr="00907C84" w:rsidRDefault="006826F0" w:rsidP="00E6372C">
            <w:pPr>
              <w:adjustRightInd w:val="0"/>
              <w:snapToGrid w:val="0"/>
              <w:spacing w:line="360" w:lineRule="auto"/>
              <w:jc w:val="center"/>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15</w:t>
            </w:r>
          </w:p>
        </w:tc>
        <w:tc>
          <w:tcPr>
            <w:tcW w:w="1127" w:type="dxa"/>
            <w:shd w:val="clear" w:color="auto" w:fill="FFFFFF" w:themeFill="background1"/>
            <w:vAlign w:val="center"/>
          </w:tcPr>
          <w:p w14:paraId="5C26CC3A" w14:textId="77777777" w:rsidR="006826F0" w:rsidRPr="00907C84" w:rsidDel="0033707C" w:rsidRDefault="006826F0" w:rsidP="00E6372C">
            <w:pPr>
              <w:adjustRightInd w:val="0"/>
              <w:snapToGrid w:val="0"/>
              <w:spacing w:line="360" w:lineRule="auto"/>
              <w:jc w:val="center"/>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20</w:t>
            </w:r>
          </w:p>
        </w:tc>
        <w:tc>
          <w:tcPr>
            <w:tcW w:w="681" w:type="dxa"/>
            <w:shd w:val="clear" w:color="auto" w:fill="FFFFFF" w:themeFill="background1"/>
            <w:vAlign w:val="center"/>
          </w:tcPr>
          <w:p w14:paraId="5775A51D" w14:textId="77777777" w:rsidR="006826F0" w:rsidRPr="00907C84" w:rsidRDefault="006826F0" w:rsidP="00E6372C">
            <w:pPr>
              <w:adjustRightInd w:val="0"/>
              <w:snapToGrid w:val="0"/>
              <w:spacing w:line="360" w:lineRule="auto"/>
              <w:jc w:val="center"/>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23</w:t>
            </w:r>
          </w:p>
        </w:tc>
        <w:tc>
          <w:tcPr>
            <w:tcW w:w="840" w:type="dxa"/>
            <w:shd w:val="clear" w:color="auto" w:fill="FFFFFF" w:themeFill="background1"/>
            <w:vAlign w:val="center"/>
          </w:tcPr>
          <w:p w14:paraId="574C246C" w14:textId="77777777" w:rsidR="006826F0" w:rsidRPr="00907C84" w:rsidRDefault="006826F0" w:rsidP="00E6372C">
            <w:pPr>
              <w:adjustRightInd w:val="0"/>
              <w:snapToGrid w:val="0"/>
              <w:spacing w:line="360" w:lineRule="auto"/>
              <w:jc w:val="center"/>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22</w:t>
            </w:r>
          </w:p>
        </w:tc>
      </w:tr>
    </w:tbl>
    <w:p w14:paraId="25E3666B" w14:textId="4556E737" w:rsidR="006826F0" w:rsidRDefault="006826F0">
      <w:pPr>
        <w:rPr>
          <w:rFonts w:ascii="Book Antiqua" w:hAnsi="Book Antiqua" w:cs="Times New Roman"/>
          <w:sz w:val="24"/>
          <w:szCs w:val="24"/>
        </w:rPr>
      </w:pPr>
      <w:r>
        <w:rPr>
          <w:rFonts w:ascii="Book Antiqua" w:hAnsi="Book Antiqua" w:cs="Times New Roman"/>
          <w:sz w:val="24"/>
          <w:szCs w:val="24"/>
        </w:rPr>
        <w:br w:type="page"/>
      </w:r>
    </w:p>
    <w:p w14:paraId="31F10691" w14:textId="50B70C7B" w:rsidR="00E6372C" w:rsidRPr="00E6372C" w:rsidRDefault="00E6372C" w:rsidP="00E6372C">
      <w:pPr>
        <w:adjustRightInd w:val="0"/>
        <w:snapToGrid w:val="0"/>
        <w:spacing w:after="0" w:line="360" w:lineRule="auto"/>
        <w:jc w:val="both"/>
        <w:rPr>
          <w:rFonts w:ascii="Book Antiqua" w:hAnsi="Book Antiqua" w:cs="Times New Roman"/>
          <w:b/>
          <w:bCs/>
          <w:sz w:val="24"/>
          <w:szCs w:val="24"/>
        </w:rPr>
      </w:pPr>
      <w:r w:rsidRPr="00E6372C">
        <w:rPr>
          <w:rFonts w:ascii="Book Antiqua" w:hAnsi="Book Antiqua" w:cs="Times New Roman"/>
          <w:b/>
          <w:bCs/>
          <w:sz w:val="24"/>
          <w:szCs w:val="24"/>
        </w:rPr>
        <w:t>Table 3 Risk factors and epidemiology of total joint arthroplasty</w:t>
      </w:r>
      <w:r w:rsidR="00F87412">
        <w:rPr>
          <w:rFonts w:ascii="Book Antiqua" w:hAnsi="Book Antiqua" w:cs="Times New Roman"/>
          <w:b/>
          <w:bCs/>
          <w:sz w:val="24"/>
          <w:szCs w:val="24"/>
        </w:rPr>
        <w:t xml:space="preserve"> </w:t>
      </w:r>
      <w:r w:rsidRPr="00E6372C">
        <w:rPr>
          <w:rFonts w:ascii="Book Antiqua" w:hAnsi="Book Antiqua" w:cs="Times New Roman"/>
          <w:b/>
          <w:bCs/>
          <w:sz w:val="24"/>
          <w:szCs w:val="24"/>
        </w:rPr>
        <w:t>patients</w:t>
      </w:r>
    </w:p>
    <w:tbl>
      <w:tblPr>
        <w:tblW w:w="8995" w:type="dxa"/>
        <w:tblBorders>
          <w:top w:val="single" w:sz="4" w:space="0" w:color="auto"/>
          <w:bottom w:val="single" w:sz="4" w:space="0" w:color="auto"/>
        </w:tblBorders>
        <w:shd w:val="clear" w:color="auto" w:fill="FFFFFF" w:themeFill="background1"/>
        <w:tblLayout w:type="fixed"/>
        <w:tblLook w:val="04A0" w:firstRow="1" w:lastRow="0" w:firstColumn="1" w:lastColumn="0" w:noHBand="0" w:noVBand="1"/>
      </w:tblPr>
      <w:tblGrid>
        <w:gridCol w:w="1165"/>
        <w:gridCol w:w="1350"/>
        <w:gridCol w:w="540"/>
        <w:gridCol w:w="1800"/>
        <w:gridCol w:w="2160"/>
        <w:gridCol w:w="1980"/>
      </w:tblGrid>
      <w:tr w:rsidR="006826F0" w:rsidRPr="00907C84" w14:paraId="5D3A6B08" w14:textId="77777777" w:rsidTr="004B5A59">
        <w:trPr>
          <w:trHeight w:val="576"/>
        </w:trPr>
        <w:tc>
          <w:tcPr>
            <w:tcW w:w="1165" w:type="dxa"/>
            <w:tcBorders>
              <w:top w:val="single" w:sz="4" w:space="0" w:color="auto"/>
              <w:bottom w:val="single" w:sz="4" w:space="0" w:color="auto"/>
            </w:tcBorders>
            <w:shd w:val="clear" w:color="auto" w:fill="FFFFFF" w:themeFill="background1"/>
            <w:vAlign w:val="center"/>
            <w:hideMark/>
          </w:tcPr>
          <w:p w14:paraId="1D05F9AC" w14:textId="77777777" w:rsidR="006826F0" w:rsidRPr="00E6372C" w:rsidRDefault="006826F0" w:rsidP="00E6372C">
            <w:pPr>
              <w:adjustRightInd w:val="0"/>
              <w:snapToGrid w:val="0"/>
              <w:spacing w:after="0" w:line="360" w:lineRule="auto"/>
              <w:jc w:val="both"/>
              <w:rPr>
                <w:rFonts w:ascii="Book Antiqua" w:eastAsia="Times New Roman" w:hAnsi="Book Antiqua" w:cs="Times New Roman"/>
                <w:b/>
                <w:bCs/>
                <w:color w:val="000000"/>
                <w:sz w:val="24"/>
                <w:szCs w:val="24"/>
              </w:rPr>
            </w:pPr>
            <w:r w:rsidRPr="00E6372C">
              <w:rPr>
                <w:rFonts w:ascii="Book Antiqua" w:eastAsia="Times New Roman" w:hAnsi="Book Antiqua" w:cs="Times New Roman"/>
                <w:b/>
                <w:bCs/>
                <w:color w:val="000000"/>
                <w:sz w:val="24"/>
                <w:szCs w:val="24"/>
              </w:rPr>
              <w:t>Author</w:t>
            </w:r>
          </w:p>
        </w:tc>
        <w:tc>
          <w:tcPr>
            <w:tcW w:w="1350" w:type="dxa"/>
            <w:tcBorders>
              <w:top w:val="single" w:sz="4" w:space="0" w:color="auto"/>
              <w:bottom w:val="single" w:sz="4" w:space="0" w:color="auto"/>
            </w:tcBorders>
            <w:shd w:val="clear" w:color="auto" w:fill="FFFFFF" w:themeFill="background1"/>
            <w:vAlign w:val="center"/>
            <w:hideMark/>
          </w:tcPr>
          <w:p w14:paraId="0947F123" w14:textId="77777777" w:rsidR="006826F0" w:rsidRPr="00E6372C" w:rsidRDefault="006826F0" w:rsidP="00E6372C">
            <w:pPr>
              <w:adjustRightInd w:val="0"/>
              <w:snapToGrid w:val="0"/>
              <w:spacing w:after="0" w:line="360" w:lineRule="auto"/>
              <w:jc w:val="center"/>
              <w:rPr>
                <w:rFonts w:ascii="Book Antiqua" w:eastAsia="Times New Roman" w:hAnsi="Book Antiqua" w:cs="Times New Roman"/>
                <w:b/>
                <w:bCs/>
                <w:color w:val="000000"/>
                <w:sz w:val="24"/>
                <w:szCs w:val="24"/>
              </w:rPr>
            </w:pPr>
            <w:r w:rsidRPr="00E6372C">
              <w:rPr>
                <w:rFonts w:ascii="Book Antiqua" w:eastAsia="Times New Roman" w:hAnsi="Book Antiqua" w:cs="Times New Roman"/>
                <w:b/>
                <w:bCs/>
                <w:color w:val="000000"/>
                <w:sz w:val="24"/>
                <w:szCs w:val="24"/>
              </w:rPr>
              <w:t>Model</w:t>
            </w:r>
          </w:p>
        </w:tc>
        <w:tc>
          <w:tcPr>
            <w:tcW w:w="540" w:type="dxa"/>
            <w:tcBorders>
              <w:top w:val="single" w:sz="4" w:space="0" w:color="auto"/>
              <w:bottom w:val="single" w:sz="4" w:space="0" w:color="auto"/>
            </w:tcBorders>
            <w:shd w:val="clear" w:color="auto" w:fill="FFFFFF" w:themeFill="background1"/>
            <w:vAlign w:val="center"/>
            <w:hideMark/>
          </w:tcPr>
          <w:p w14:paraId="27FA814A" w14:textId="5C287C41" w:rsidR="006826F0" w:rsidRPr="00E6372C" w:rsidRDefault="00E6372C" w:rsidP="00E6372C">
            <w:pPr>
              <w:adjustRightInd w:val="0"/>
              <w:snapToGrid w:val="0"/>
              <w:spacing w:after="0" w:line="360" w:lineRule="auto"/>
              <w:jc w:val="center"/>
              <w:rPr>
                <w:rFonts w:ascii="Book Antiqua" w:eastAsia="Times New Roman" w:hAnsi="Book Antiqua" w:cs="Times New Roman"/>
                <w:b/>
                <w:bCs/>
                <w:i/>
                <w:iCs/>
                <w:color w:val="000000"/>
                <w:sz w:val="24"/>
                <w:szCs w:val="24"/>
              </w:rPr>
            </w:pPr>
            <w:r w:rsidRPr="00E6372C">
              <w:rPr>
                <w:rFonts w:ascii="Book Antiqua" w:eastAsia="Times New Roman" w:hAnsi="Book Antiqua" w:cs="Times New Roman"/>
                <w:b/>
                <w:bCs/>
                <w:i/>
                <w:iCs/>
                <w:color w:val="000000"/>
                <w:sz w:val="24"/>
                <w:szCs w:val="24"/>
              </w:rPr>
              <w:t>n</w:t>
            </w:r>
          </w:p>
        </w:tc>
        <w:tc>
          <w:tcPr>
            <w:tcW w:w="1800" w:type="dxa"/>
            <w:tcBorders>
              <w:top w:val="single" w:sz="4" w:space="0" w:color="auto"/>
              <w:bottom w:val="single" w:sz="4" w:space="0" w:color="auto"/>
            </w:tcBorders>
            <w:shd w:val="clear" w:color="auto" w:fill="FFFFFF" w:themeFill="background1"/>
            <w:vAlign w:val="center"/>
            <w:hideMark/>
          </w:tcPr>
          <w:p w14:paraId="503EC8DA" w14:textId="77777777" w:rsidR="006826F0" w:rsidRPr="00E6372C" w:rsidRDefault="006826F0" w:rsidP="00E6372C">
            <w:pPr>
              <w:adjustRightInd w:val="0"/>
              <w:snapToGrid w:val="0"/>
              <w:spacing w:after="0" w:line="360" w:lineRule="auto"/>
              <w:jc w:val="center"/>
              <w:rPr>
                <w:rFonts w:ascii="Book Antiqua" w:eastAsia="Times New Roman" w:hAnsi="Book Antiqua" w:cs="Times New Roman"/>
                <w:b/>
                <w:bCs/>
                <w:color w:val="000000"/>
                <w:sz w:val="24"/>
                <w:szCs w:val="24"/>
              </w:rPr>
            </w:pPr>
            <w:r w:rsidRPr="00E6372C">
              <w:rPr>
                <w:rFonts w:ascii="Book Antiqua" w:eastAsia="Times New Roman" w:hAnsi="Book Antiqua" w:cs="Times New Roman"/>
                <w:b/>
                <w:bCs/>
                <w:color w:val="000000"/>
                <w:sz w:val="24"/>
                <w:szCs w:val="24"/>
              </w:rPr>
              <w:t>Methods</w:t>
            </w:r>
          </w:p>
        </w:tc>
        <w:tc>
          <w:tcPr>
            <w:tcW w:w="2160" w:type="dxa"/>
            <w:tcBorders>
              <w:top w:val="single" w:sz="4" w:space="0" w:color="auto"/>
              <w:bottom w:val="single" w:sz="4" w:space="0" w:color="auto"/>
            </w:tcBorders>
            <w:shd w:val="clear" w:color="auto" w:fill="FFFFFF" w:themeFill="background1"/>
            <w:vAlign w:val="center"/>
            <w:hideMark/>
          </w:tcPr>
          <w:p w14:paraId="13AC2C4A" w14:textId="77777777" w:rsidR="006826F0" w:rsidRPr="00E6372C" w:rsidRDefault="006826F0" w:rsidP="00E6372C">
            <w:pPr>
              <w:adjustRightInd w:val="0"/>
              <w:snapToGrid w:val="0"/>
              <w:spacing w:after="0" w:line="360" w:lineRule="auto"/>
              <w:jc w:val="center"/>
              <w:rPr>
                <w:rFonts w:ascii="Book Antiqua" w:eastAsia="Times New Roman" w:hAnsi="Book Antiqua" w:cs="Times New Roman"/>
                <w:b/>
                <w:bCs/>
                <w:color w:val="000000"/>
                <w:sz w:val="24"/>
                <w:szCs w:val="24"/>
              </w:rPr>
            </w:pPr>
            <w:r w:rsidRPr="00E6372C">
              <w:rPr>
                <w:rFonts w:ascii="Book Antiqua" w:eastAsia="Times New Roman" w:hAnsi="Book Antiqua" w:cs="Times New Roman"/>
                <w:b/>
                <w:bCs/>
                <w:color w:val="000000"/>
                <w:sz w:val="24"/>
                <w:szCs w:val="24"/>
              </w:rPr>
              <w:t>Results</w:t>
            </w:r>
          </w:p>
        </w:tc>
        <w:tc>
          <w:tcPr>
            <w:tcW w:w="1980" w:type="dxa"/>
            <w:tcBorders>
              <w:top w:val="single" w:sz="4" w:space="0" w:color="auto"/>
              <w:bottom w:val="single" w:sz="4" w:space="0" w:color="auto"/>
            </w:tcBorders>
            <w:shd w:val="clear" w:color="auto" w:fill="FFFFFF" w:themeFill="background1"/>
            <w:vAlign w:val="center"/>
          </w:tcPr>
          <w:p w14:paraId="4F2BC53C" w14:textId="77777777" w:rsidR="006826F0" w:rsidRPr="00E6372C" w:rsidRDefault="006826F0" w:rsidP="00E6372C">
            <w:pPr>
              <w:adjustRightInd w:val="0"/>
              <w:snapToGrid w:val="0"/>
              <w:spacing w:after="0" w:line="360" w:lineRule="auto"/>
              <w:jc w:val="center"/>
              <w:rPr>
                <w:rFonts w:ascii="Book Antiqua" w:eastAsia="Times New Roman" w:hAnsi="Book Antiqua" w:cs="Times New Roman"/>
                <w:b/>
                <w:bCs/>
                <w:color w:val="000000"/>
                <w:sz w:val="24"/>
                <w:szCs w:val="24"/>
              </w:rPr>
            </w:pPr>
            <w:r w:rsidRPr="00E6372C">
              <w:rPr>
                <w:rFonts w:ascii="Book Antiqua" w:eastAsia="Times New Roman" w:hAnsi="Book Antiqua" w:cs="Times New Roman"/>
                <w:b/>
                <w:bCs/>
                <w:color w:val="000000"/>
                <w:sz w:val="24"/>
                <w:szCs w:val="24"/>
              </w:rPr>
              <w:t>Conclusion</w:t>
            </w:r>
          </w:p>
        </w:tc>
      </w:tr>
      <w:tr w:rsidR="006826F0" w:rsidRPr="00907C84" w14:paraId="547AAD51" w14:textId="77777777" w:rsidTr="004B5A59">
        <w:trPr>
          <w:trHeight w:val="1235"/>
        </w:trPr>
        <w:tc>
          <w:tcPr>
            <w:tcW w:w="1165" w:type="dxa"/>
            <w:tcBorders>
              <w:top w:val="single" w:sz="4" w:space="0" w:color="auto"/>
            </w:tcBorders>
            <w:shd w:val="clear" w:color="auto" w:fill="FFFFFF" w:themeFill="background1"/>
          </w:tcPr>
          <w:p w14:paraId="252902C0" w14:textId="2BB45574" w:rsidR="006826F0" w:rsidRPr="00907C84" w:rsidRDefault="006826F0" w:rsidP="00E6372C">
            <w:pPr>
              <w:adjustRightInd w:val="0"/>
              <w:snapToGrid w:val="0"/>
              <w:spacing w:after="0" w:line="360" w:lineRule="auto"/>
              <w:jc w:val="both"/>
              <w:rPr>
                <w:rFonts w:ascii="Book Antiqua" w:hAnsi="Book Antiqua" w:cs="Times New Roman"/>
                <w:color w:val="000000"/>
                <w:sz w:val="24"/>
                <w:szCs w:val="24"/>
              </w:rPr>
            </w:pPr>
            <w:proofErr w:type="spellStart"/>
            <w:r w:rsidRPr="00907C84">
              <w:rPr>
                <w:rFonts w:ascii="Book Antiqua" w:hAnsi="Book Antiqua" w:cs="Times New Roman"/>
                <w:color w:val="000000"/>
                <w:sz w:val="24"/>
                <w:szCs w:val="24"/>
              </w:rPr>
              <w:t>Adamkiewicz</w:t>
            </w:r>
            <w:proofErr w:type="spellEnd"/>
            <w:r w:rsidRPr="00907C84">
              <w:rPr>
                <w:rFonts w:ascii="Book Antiqua" w:hAnsi="Book Antiqua" w:cs="Times New Roman"/>
                <w:color w:val="000000"/>
                <w:sz w:val="24"/>
                <w:szCs w:val="24"/>
              </w:rPr>
              <w:t xml:space="preserve"> </w:t>
            </w:r>
            <w:r w:rsidR="00E8220F" w:rsidRPr="00E8220F">
              <w:rPr>
                <w:rFonts w:ascii="Book Antiqua" w:hAnsi="Book Antiqua" w:cs="Times New Roman"/>
                <w:i/>
                <w:color w:val="000000"/>
                <w:sz w:val="24"/>
                <w:szCs w:val="24"/>
              </w:rPr>
              <w:t>et al</w:t>
            </w:r>
            <w:r w:rsidR="00E6372C" w:rsidRPr="00E6372C">
              <w:rPr>
                <w:rFonts w:ascii="Book Antiqua" w:hAnsi="Book Antiqua" w:cs="Times New Roman"/>
                <w:iCs/>
                <w:color w:val="000000"/>
                <w:sz w:val="24"/>
                <w:szCs w:val="24"/>
                <w:vertAlign w:val="superscript"/>
              </w:rPr>
              <w:t>[12]</w:t>
            </w:r>
          </w:p>
        </w:tc>
        <w:tc>
          <w:tcPr>
            <w:tcW w:w="1350" w:type="dxa"/>
            <w:tcBorders>
              <w:top w:val="single" w:sz="4" w:space="0" w:color="auto"/>
            </w:tcBorders>
            <w:shd w:val="clear" w:color="auto" w:fill="FFFFFF" w:themeFill="background1"/>
          </w:tcPr>
          <w:p w14:paraId="315B485B" w14:textId="77777777" w:rsidR="006826F0" w:rsidRPr="00907C84" w:rsidRDefault="006826F0" w:rsidP="00E6372C">
            <w:pPr>
              <w:adjustRightInd w:val="0"/>
              <w:snapToGrid w:val="0"/>
              <w:spacing w:after="0" w:line="360" w:lineRule="auto"/>
              <w:jc w:val="center"/>
              <w:rPr>
                <w:rFonts w:ascii="Book Antiqua" w:hAnsi="Book Antiqua" w:cs="Times New Roman"/>
                <w:color w:val="000000"/>
                <w:sz w:val="24"/>
                <w:szCs w:val="24"/>
              </w:rPr>
            </w:pPr>
            <w:r w:rsidRPr="00907C84">
              <w:rPr>
                <w:rFonts w:ascii="Book Antiqua" w:hAnsi="Book Antiqua" w:cs="Times New Roman"/>
                <w:color w:val="000000"/>
                <w:sz w:val="24"/>
                <w:szCs w:val="24"/>
              </w:rPr>
              <w:t>Patients at a tertiary University Hospital in Poland</w:t>
            </w:r>
          </w:p>
        </w:tc>
        <w:tc>
          <w:tcPr>
            <w:tcW w:w="540" w:type="dxa"/>
            <w:tcBorders>
              <w:top w:val="single" w:sz="4" w:space="0" w:color="auto"/>
            </w:tcBorders>
            <w:shd w:val="clear" w:color="auto" w:fill="FFFFFF" w:themeFill="background1"/>
          </w:tcPr>
          <w:p w14:paraId="15F3A546" w14:textId="77777777" w:rsidR="006826F0" w:rsidRPr="00907C84" w:rsidRDefault="006826F0" w:rsidP="00E6372C">
            <w:pPr>
              <w:adjustRightInd w:val="0"/>
              <w:snapToGrid w:val="0"/>
              <w:spacing w:after="0" w:line="360" w:lineRule="auto"/>
              <w:jc w:val="center"/>
              <w:rPr>
                <w:rFonts w:ascii="Book Antiqua" w:hAnsi="Book Antiqua" w:cs="Times New Roman"/>
                <w:color w:val="000000"/>
                <w:sz w:val="24"/>
                <w:szCs w:val="24"/>
              </w:rPr>
            </w:pPr>
            <w:r w:rsidRPr="00907C84">
              <w:rPr>
                <w:rFonts w:ascii="Book Antiqua" w:hAnsi="Book Antiqua" w:cs="Times New Roman"/>
                <w:color w:val="000000"/>
                <w:sz w:val="24"/>
                <w:szCs w:val="24"/>
              </w:rPr>
              <w:t>228</w:t>
            </w:r>
          </w:p>
        </w:tc>
        <w:tc>
          <w:tcPr>
            <w:tcW w:w="1800" w:type="dxa"/>
            <w:tcBorders>
              <w:top w:val="single" w:sz="4" w:space="0" w:color="auto"/>
            </w:tcBorders>
            <w:shd w:val="clear" w:color="auto" w:fill="FFFFFF" w:themeFill="background1"/>
          </w:tcPr>
          <w:p w14:paraId="3F183C95" w14:textId="77777777" w:rsidR="006826F0" w:rsidRPr="00907C84" w:rsidRDefault="006826F0" w:rsidP="00E6372C">
            <w:pPr>
              <w:adjustRightInd w:val="0"/>
              <w:snapToGrid w:val="0"/>
              <w:spacing w:after="0" w:line="360" w:lineRule="auto"/>
              <w:jc w:val="center"/>
              <w:rPr>
                <w:rFonts w:ascii="Book Antiqua" w:eastAsia="Times New Roman" w:hAnsi="Book Antiqua" w:cs="Times New Roman"/>
                <w:color w:val="000000"/>
                <w:sz w:val="24"/>
                <w:szCs w:val="24"/>
              </w:rPr>
            </w:pPr>
            <w:r w:rsidRPr="00907C84">
              <w:rPr>
                <w:rFonts w:ascii="Book Antiqua" w:hAnsi="Book Antiqua" w:cs="Times New Roman"/>
                <w:color w:val="000000"/>
                <w:sz w:val="24"/>
                <w:szCs w:val="24"/>
              </w:rPr>
              <w:t>Patients admitted for elective TJA received dental evaluation along with standard preoperative workup.</w:t>
            </w:r>
          </w:p>
        </w:tc>
        <w:tc>
          <w:tcPr>
            <w:tcW w:w="2160" w:type="dxa"/>
            <w:tcBorders>
              <w:top w:val="single" w:sz="4" w:space="0" w:color="auto"/>
            </w:tcBorders>
            <w:shd w:val="clear" w:color="auto" w:fill="FFFFFF" w:themeFill="background1"/>
          </w:tcPr>
          <w:p w14:paraId="1FD8E4EA" w14:textId="77777777" w:rsidR="006826F0" w:rsidRPr="00907C84" w:rsidRDefault="006826F0" w:rsidP="00E6372C">
            <w:pPr>
              <w:adjustRightInd w:val="0"/>
              <w:snapToGrid w:val="0"/>
              <w:spacing w:after="0" w:line="360" w:lineRule="auto"/>
              <w:jc w:val="center"/>
              <w:rPr>
                <w:rFonts w:ascii="Book Antiqua" w:hAnsi="Book Antiqua" w:cs="Times New Roman"/>
                <w:color w:val="000000"/>
                <w:sz w:val="24"/>
                <w:szCs w:val="24"/>
              </w:rPr>
            </w:pPr>
            <w:r w:rsidRPr="00907C84">
              <w:rPr>
                <w:rFonts w:ascii="Book Antiqua" w:hAnsi="Book Antiqua" w:cs="Times New Roman"/>
                <w:color w:val="000000"/>
                <w:sz w:val="24"/>
                <w:szCs w:val="24"/>
              </w:rPr>
              <w:t>Clinically significant periodontal disease was detected in 28.5% of patients.</w:t>
            </w:r>
          </w:p>
        </w:tc>
        <w:tc>
          <w:tcPr>
            <w:tcW w:w="1980" w:type="dxa"/>
            <w:tcBorders>
              <w:top w:val="single" w:sz="4" w:space="0" w:color="auto"/>
            </w:tcBorders>
            <w:shd w:val="clear" w:color="auto" w:fill="FFFFFF" w:themeFill="background1"/>
          </w:tcPr>
          <w:p w14:paraId="5ED2B51B" w14:textId="77777777" w:rsidR="006826F0" w:rsidRPr="00907C84" w:rsidRDefault="006826F0" w:rsidP="00E6372C">
            <w:pPr>
              <w:adjustRightInd w:val="0"/>
              <w:snapToGrid w:val="0"/>
              <w:spacing w:after="0" w:line="360" w:lineRule="auto"/>
              <w:jc w:val="center"/>
              <w:rPr>
                <w:rFonts w:ascii="Book Antiqua" w:hAnsi="Book Antiqua" w:cs="Times New Roman"/>
                <w:color w:val="000000"/>
                <w:sz w:val="24"/>
                <w:szCs w:val="24"/>
              </w:rPr>
            </w:pPr>
            <w:r w:rsidRPr="00907C84">
              <w:rPr>
                <w:rFonts w:ascii="Book Antiqua" w:hAnsi="Book Antiqua" w:cs="Times New Roman"/>
                <w:color w:val="000000"/>
                <w:sz w:val="24"/>
                <w:szCs w:val="24"/>
              </w:rPr>
              <w:t>Periodontal disease is prevalent in patients undergoing TJA.</w:t>
            </w:r>
          </w:p>
        </w:tc>
      </w:tr>
      <w:tr w:rsidR="006826F0" w:rsidRPr="00907C84" w14:paraId="5D26981C" w14:textId="77777777" w:rsidTr="004B5A59">
        <w:trPr>
          <w:trHeight w:val="1043"/>
        </w:trPr>
        <w:tc>
          <w:tcPr>
            <w:tcW w:w="1165" w:type="dxa"/>
            <w:shd w:val="clear" w:color="auto" w:fill="FFFFFF" w:themeFill="background1"/>
          </w:tcPr>
          <w:p w14:paraId="0157D478" w14:textId="5241B1A9" w:rsidR="006826F0" w:rsidRPr="00907C84" w:rsidRDefault="006826F0" w:rsidP="00E6372C">
            <w:pPr>
              <w:adjustRightInd w:val="0"/>
              <w:snapToGrid w:val="0"/>
              <w:spacing w:after="0" w:line="360" w:lineRule="auto"/>
              <w:jc w:val="both"/>
              <w:rPr>
                <w:rFonts w:ascii="Book Antiqua" w:eastAsia="Times New Roman" w:hAnsi="Book Antiqua" w:cs="Times New Roman"/>
                <w:color w:val="000000"/>
                <w:sz w:val="24"/>
                <w:szCs w:val="24"/>
              </w:rPr>
            </w:pPr>
            <w:proofErr w:type="spellStart"/>
            <w:r w:rsidRPr="00907C84">
              <w:rPr>
                <w:rFonts w:ascii="Book Antiqua" w:hAnsi="Book Antiqua" w:cs="Times New Roman"/>
                <w:color w:val="000000"/>
                <w:sz w:val="24"/>
                <w:szCs w:val="24"/>
              </w:rPr>
              <w:t>Tokarski</w:t>
            </w:r>
            <w:proofErr w:type="spellEnd"/>
            <w:r w:rsidRPr="00907C84">
              <w:rPr>
                <w:rFonts w:ascii="Book Antiqua" w:hAnsi="Book Antiqua" w:cs="Times New Roman"/>
                <w:color w:val="000000"/>
                <w:sz w:val="24"/>
                <w:szCs w:val="24"/>
              </w:rPr>
              <w:t xml:space="preserve"> </w:t>
            </w:r>
            <w:r w:rsidR="00E8220F" w:rsidRPr="00E8220F">
              <w:rPr>
                <w:rFonts w:ascii="Book Antiqua" w:hAnsi="Book Antiqua" w:cs="Times New Roman"/>
                <w:i/>
                <w:color w:val="000000"/>
                <w:sz w:val="24"/>
                <w:szCs w:val="24"/>
              </w:rPr>
              <w:t>et al</w:t>
            </w:r>
            <w:r w:rsidR="00E6372C" w:rsidRPr="00F87412">
              <w:rPr>
                <w:rFonts w:ascii="Book Antiqua" w:hAnsi="Book Antiqua" w:cs="Times New Roman"/>
                <w:iCs/>
                <w:color w:val="000000"/>
                <w:sz w:val="24"/>
                <w:szCs w:val="24"/>
                <w:vertAlign w:val="superscript"/>
              </w:rPr>
              <w:t>[13]</w:t>
            </w:r>
          </w:p>
        </w:tc>
        <w:tc>
          <w:tcPr>
            <w:tcW w:w="1350" w:type="dxa"/>
            <w:shd w:val="clear" w:color="auto" w:fill="FFFFFF" w:themeFill="background1"/>
          </w:tcPr>
          <w:p w14:paraId="217EC37B" w14:textId="77777777" w:rsidR="006826F0" w:rsidRPr="00907C84" w:rsidRDefault="006826F0" w:rsidP="00E6372C">
            <w:pPr>
              <w:adjustRightInd w:val="0"/>
              <w:snapToGrid w:val="0"/>
              <w:spacing w:after="0" w:line="360" w:lineRule="auto"/>
              <w:jc w:val="center"/>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Patients at a tertiary care center in the United States</w:t>
            </w:r>
          </w:p>
        </w:tc>
        <w:tc>
          <w:tcPr>
            <w:tcW w:w="540" w:type="dxa"/>
            <w:shd w:val="clear" w:color="auto" w:fill="FFFFFF" w:themeFill="background1"/>
          </w:tcPr>
          <w:p w14:paraId="171E0EE4" w14:textId="77777777" w:rsidR="006826F0" w:rsidRPr="00907C84" w:rsidRDefault="006826F0" w:rsidP="00E6372C">
            <w:pPr>
              <w:adjustRightInd w:val="0"/>
              <w:snapToGrid w:val="0"/>
              <w:spacing w:after="0" w:line="360" w:lineRule="auto"/>
              <w:jc w:val="center"/>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300</w:t>
            </w:r>
          </w:p>
        </w:tc>
        <w:tc>
          <w:tcPr>
            <w:tcW w:w="1800" w:type="dxa"/>
            <w:shd w:val="clear" w:color="auto" w:fill="FFFFFF" w:themeFill="background1"/>
          </w:tcPr>
          <w:p w14:paraId="772E118F" w14:textId="77777777" w:rsidR="006826F0" w:rsidRPr="00907C84" w:rsidRDefault="006826F0" w:rsidP="00E6372C">
            <w:pPr>
              <w:adjustRightInd w:val="0"/>
              <w:snapToGrid w:val="0"/>
              <w:spacing w:after="0" w:line="360" w:lineRule="auto"/>
              <w:jc w:val="center"/>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Patients answered a dental hygiene questionnaire then received dental evaluations and necessary interventions.</w:t>
            </w:r>
          </w:p>
        </w:tc>
        <w:tc>
          <w:tcPr>
            <w:tcW w:w="2160" w:type="dxa"/>
            <w:shd w:val="clear" w:color="auto" w:fill="FFFFFF" w:themeFill="background1"/>
          </w:tcPr>
          <w:p w14:paraId="3D64A382" w14:textId="77777777" w:rsidR="006826F0" w:rsidRPr="00907C84" w:rsidRDefault="006826F0" w:rsidP="00E6372C">
            <w:pPr>
              <w:adjustRightInd w:val="0"/>
              <w:snapToGrid w:val="0"/>
              <w:spacing w:after="0" w:line="360" w:lineRule="auto"/>
              <w:jc w:val="center"/>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 xml:space="preserve">12% failed dental clearance. Patients with one or more of: </w:t>
            </w:r>
            <w:bookmarkStart w:id="221" w:name="_Hlk2716414"/>
            <w:r w:rsidRPr="00907C84">
              <w:rPr>
                <w:rFonts w:ascii="Book Antiqua" w:eastAsia="Times New Roman" w:hAnsi="Book Antiqua" w:cs="Times New Roman"/>
                <w:color w:val="000000"/>
                <w:sz w:val="24"/>
                <w:szCs w:val="24"/>
              </w:rPr>
              <w:t>narcotic use, tobacco use, or last dentist visit over one year ago</w:t>
            </w:r>
            <w:bookmarkEnd w:id="221"/>
            <w:r w:rsidRPr="00907C84">
              <w:rPr>
                <w:rFonts w:ascii="Book Antiqua" w:eastAsia="Times New Roman" w:hAnsi="Book Antiqua" w:cs="Times New Roman"/>
                <w:color w:val="000000"/>
                <w:sz w:val="24"/>
                <w:szCs w:val="24"/>
              </w:rPr>
              <w:t>, had a 22% risk of failure compared to 6% for patients with no risk factors.</w:t>
            </w:r>
          </w:p>
        </w:tc>
        <w:tc>
          <w:tcPr>
            <w:tcW w:w="1980" w:type="dxa"/>
            <w:shd w:val="clear" w:color="auto" w:fill="FFFFFF" w:themeFill="background1"/>
          </w:tcPr>
          <w:p w14:paraId="58E17A88" w14:textId="77777777" w:rsidR="006826F0" w:rsidRPr="00907C84" w:rsidRDefault="006826F0" w:rsidP="00E6372C">
            <w:pPr>
              <w:adjustRightInd w:val="0"/>
              <w:snapToGrid w:val="0"/>
              <w:spacing w:after="0" w:line="360" w:lineRule="auto"/>
              <w:jc w:val="center"/>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It may be reasonable to only screen high risk patients for dental pathology.</w:t>
            </w:r>
          </w:p>
        </w:tc>
      </w:tr>
      <w:tr w:rsidR="006826F0" w:rsidRPr="00907C84" w14:paraId="4EB9B1A4" w14:textId="77777777" w:rsidTr="004B5A59">
        <w:trPr>
          <w:trHeight w:val="809"/>
        </w:trPr>
        <w:tc>
          <w:tcPr>
            <w:tcW w:w="1165" w:type="dxa"/>
            <w:shd w:val="clear" w:color="auto" w:fill="FFFFFF" w:themeFill="background1"/>
          </w:tcPr>
          <w:p w14:paraId="2CA648CF" w14:textId="12FE88AA" w:rsidR="006826F0" w:rsidRPr="00907C84" w:rsidRDefault="006826F0" w:rsidP="00E6372C">
            <w:pPr>
              <w:adjustRightInd w:val="0"/>
              <w:snapToGrid w:val="0"/>
              <w:spacing w:after="0" w:line="360" w:lineRule="auto"/>
              <w:jc w:val="both"/>
              <w:rPr>
                <w:rFonts w:ascii="Book Antiqua" w:eastAsia="Times New Roman" w:hAnsi="Book Antiqua" w:cs="Times New Roman"/>
                <w:color w:val="000000"/>
                <w:sz w:val="24"/>
                <w:szCs w:val="24"/>
              </w:rPr>
            </w:pPr>
            <w:proofErr w:type="spellStart"/>
            <w:r w:rsidRPr="00907C84">
              <w:rPr>
                <w:rFonts w:ascii="Book Antiqua" w:eastAsia="Times New Roman" w:hAnsi="Book Antiqua" w:cs="Times New Roman"/>
                <w:color w:val="000000"/>
                <w:sz w:val="24"/>
                <w:szCs w:val="24"/>
              </w:rPr>
              <w:t>Vuorinen</w:t>
            </w:r>
            <w:proofErr w:type="spellEnd"/>
            <w:r w:rsidRPr="00907C84">
              <w:rPr>
                <w:rFonts w:ascii="Book Antiqua" w:eastAsia="Times New Roman" w:hAnsi="Book Antiqua" w:cs="Times New Roman"/>
                <w:color w:val="000000"/>
                <w:sz w:val="24"/>
                <w:szCs w:val="24"/>
              </w:rPr>
              <w:t xml:space="preserve"> </w:t>
            </w:r>
            <w:r w:rsidR="00E8220F" w:rsidRPr="00E8220F">
              <w:rPr>
                <w:rFonts w:ascii="Book Antiqua" w:eastAsia="Times New Roman" w:hAnsi="Book Antiqua" w:cs="Times New Roman"/>
                <w:i/>
                <w:color w:val="000000"/>
                <w:sz w:val="24"/>
                <w:szCs w:val="24"/>
              </w:rPr>
              <w:t>et al</w:t>
            </w:r>
            <w:r w:rsidR="00F87412" w:rsidRPr="00F87412">
              <w:rPr>
                <w:rFonts w:ascii="Book Antiqua" w:eastAsia="Times New Roman" w:hAnsi="Book Antiqua" w:cs="Times New Roman"/>
                <w:iCs/>
                <w:color w:val="000000"/>
                <w:sz w:val="24"/>
                <w:szCs w:val="24"/>
                <w:vertAlign w:val="superscript"/>
              </w:rPr>
              <w:t>[14]</w:t>
            </w:r>
          </w:p>
        </w:tc>
        <w:tc>
          <w:tcPr>
            <w:tcW w:w="1350" w:type="dxa"/>
            <w:shd w:val="clear" w:color="auto" w:fill="FFFFFF" w:themeFill="background1"/>
          </w:tcPr>
          <w:p w14:paraId="0243F07D" w14:textId="77777777" w:rsidR="006826F0" w:rsidRPr="00907C84" w:rsidRDefault="006826F0" w:rsidP="00E6372C">
            <w:pPr>
              <w:adjustRightInd w:val="0"/>
              <w:snapToGrid w:val="0"/>
              <w:spacing w:after="0" w:line="360" w:lineRule="auto"/>
              <w:jc w:val="center"/>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Patients at a public, tertiary care hospital in Finland</w:t>
            </w:r>
          </w:p>
        </w:tc>
        <w:tc>
          <w:tcPr>
            <w:tcW w:w="540" w:type="dxa"/>
            <w:shd w:val="clear" w:color="auto" w:fill="FFFFFF" w:themeFill="background1"/>
          </w:tcPr>
          <w:p w14:paraId="036DA33C" w14:textId="77777777" w:rsidR="006826F0" w:rsidRPr="00907C84" w:rsidRDefault="006826F0" w:rsidP="00E6372C">
            <w:pPr>
              <w:adjustRightInd w:val="0"/>
              <w:snapToGrid w:val="0"/>
              <w:spacing w:after="0" w:line="360" w:lineRule="auto"/>
              <w:jc w:val="center"/>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731</w:t>
            </w:r>
          </w:p>
        </w:tc>
        <w:tc>
          <w:tcPr>
            <w:tcW w:w="1800" w:type="dxa"/>
            <w:shd w:val="clear" w:color="auto" w:fill="FFFFFF" w:themeFill="background1"/>
          </w:tcPr>
          <w:p w14:paraId="201BF4A4" w14:textId="77777777" w:rsidR="006826F0" w:rsidRPr="00907C84" w:rsidRDefault="006826F0" w:rsidP="00E6372C">
            <w:pPr>
              <w:adjustRightInd w:val="0"/>
              <w:snapToGrid w:val="0"/>
              <w:spacing w:after="0" w:line="360" w:lineRule="auto"/>
              <w:jc w:val="center"/>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Patients filled out a prospective dental health questionnaire and underwent a dental examination and necessary interventions.</w:t>
            </w:r>
          </w:p>
        </w:tc>
        <w:tc>
          <w:tcPr>
            <w:tcW w:w="2160" w:type="dxa"/>
            <w:shd w:val="clear" w:color="auto" w:fill="FFFFFF" w:themeFill="background1"/>
          </w:tcPr>
          <w:p w14:paraId="6B84F8C1" w14:textId="77777777" w:rsidR="006826F0" w:rsidRPr="00907C84" w:rsidRDefault="006826F0" w:rsidP="00E6372C">
            <w:pPr>
              <w:adjustRightInd w:val="0"/>
              <w:snapToGrid w:val="0"/>
              <w:spacing w:after="0" w:line="360" w:lineRule="auto"/>
              <w:jc w:val="center"/>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29.4% of patients failed dental clearance. 5.1% of patients had severe periodontitis. Tobacco use and root canal were risk factors. Regular dental examination was a preventive factor.</w:t>
            </w:r>
          </w:p>
        </w:tc>
        <w:tc>
          <w:tcPr>
            <w:tcW w:w="1980" w:type="dxa"/>
            <w:shd w:val="clear" w:color="auto" w:fill="FFFFFF" w:themeFill="background1"/>
          </w:tcPr>
          <w:p w14:paraId="6747F61D" w14:textId="77777777" w:rsidR="006826F0" w:rsidRPr="00907C84" w:rsidRDefault="006826F0" w:rsidP="00E6372C">
            <w:pPr>
              <w:adjustRightInd w:val="0"/>
              <w:snapToGrid w:val="0"/>
              <w:spacing w:after="0" w:line="360" w:lineRule="auto"/>
              <w:jc w:val="center"/>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The inspection and treatment of dental pathology is important prior to elective TJA.</w:t>
            </w:r>
          </w:p>
        </w:tc>
      </w:tr>
      <w:tr w:rsidR="006826F0" w:rsidRPr="00907C84" w14:paraId="51E68F23" w14:textId="77777777" w:rsidTr="004B5A59">
        <w:trPr>
          <w:trHeight w:val="1025"/>
        </w:trPr>
        <w:tc>
          <w:tcPr>
            <w:tcW w:w="1165" w:type="dxa"/>
            <w:shd w:val="clear" w:color="auto" w:fill="FFFFFF" w:themeFill="background1"/>
          </w:tcPr>
          <w:p w14:paraId="44E0CB20" w14:textId="5339DCBB" w:rsidR="006826F0" w:rsidRPr="00907C84" w:rsidRDefault="006826F0" w:rsidP="00E6372C">
            <w:pPr>
              <w:adjustRightInd w:val="0"/>
              <w:snapToGrid w:val="0"/>
              <w:spacing w:after="0" w:line="360" w:lineRule="auto"/>
              <w:jc w:val="both"/>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 xml:space="preserve">Wood </w:t>
            </w:r>
            <w:r w:rsidR="00E8220F" w:rsidRPr="00E8220F">
              <w:rPr>
                <w:rFonts w:ascii="Book Antiqua" w:eastAsia="Times New Roman" w:hAnsi="Book Antiqua" w:cs="Times New Roman"/>
                <w:i/>
                <w:color w:val="000000"/>
                <w:sz w:val="24"/>
                <w:szCs w:val="24"/>
              </w:rPr>
              <w:t>et al</w:t>
            </w:r>
            <w:r w:rsidR="00F87412" w:rsidRPr="00F87412">
              <w:rPr>
                <w:rFonts w:ascii="Book Antiqua" w:eastAsia="Times New Roman" w:hAnsi="Book Antiqua" w:cs="Times New Roman"/>
                <w:iCs/>
                <w:color w:val="000000"/>
                <w:sz w:val="24"/>
                <w:szCs w:val="24"/>
                <w:vertAlign w:val="superscript"/>
              </w:rPr>
              <w:t>[15]</w:t>
            </w:r>
          </w:p>
        </w:tc>
        <w:tc>
          <w:tcPr>
            <w:tcW w:w="1350" w:type="dxa"/>
            <w:shd w:val="clear" w:color="auto" w:fill="FFFFFF" w:themeFill="background1"/>
          </w:tcPr>
          <w:p w14:paraId="7EDD6FB3" w14:textId="77777777" w:rsidR="006826F0" w:rsidRPr="00907C84" w:rsidRDefault="006826F0" w:rsidP="00E6372C">
            <w:pPr>
              <w:adjustRightInd w:val="0"/>
              <w:snapToGrid w:val="0"/>
              <w:spacing w:after="0" w:line="360" w:lineRule="auto"/>
              <w:jc w:val="center"/>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Patients at a large academic center in Canada</w:t>
            </w:r>
          </w:p>
        </w:tc>
        <w:tc>
          <w:tcPr>
            <w:tcW w:w="540" w:type="dxa"/>
            <w:shd w:val="clear" w:color="auto" w:fill="FFFFFF" w:themeFill="background1"/>
          </w:tcPr>
          <w:p w14:paraId="10132782" w14:textId="77777777" w:rsidR="006826F0" w:rsidRPr="00907C84" w:rsidRDefault="006826F0" w:rsidP="00E6372C">
            <w:pPr>
              <w:adjustRightInd w:val="0"/>
              <w:snapToGrid w:val="0"/>
              <w:spacing w:after="0" w:line="360" w:lineRule="auto"/>
              <w:jc w:val="center"/>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453</w:t>
            </w:r>
          </w:p>
        </w:tc>
        <w:tc>
          <w:tcPr>
            <w:tcW w:w="1800" w:type="dxa"/>
            <w:shd w:val="clear" w:color="auto" w:fill="FFFFFF" w:themeFill="background1"/>
          </w:tcPr>
          <w:p w14:paraId="49DF54E8" w14:textId="3DBADF51" w:rsidR="006826F0" w:rsidRPr="00907C84" w:rsidRDefault="006826F0" w:rsidP="00E6372C">
            <w:pPr>
              <w:adjustRightInd w:val="0"/>
              <w:snapToGrid w:val="0"/>
              <w:spacing w:after="0" w:line="360" w:lineRule="auto"/>
              <w:jc w:val="center"/>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 xml:space="preserve">Patients answered a dental hygiene survey at their 6 </w:t>
            </w:r>
            <w:proofErr w:type="spellStart"/>
            <w:r w:rsidRPr="00907C84">
              <w:rPr>
                <w:rFonts w:ascii="Book Antiqua" w:eastAsia="Times New Roman" w:hAnsi="Book Antiqua" w:cs="Times New Roman"/>
                <w:color w:val="000000"/>
                <w:sz w:val="24"/>
                <w:szCs w:val="24"/>
              </w:rPr>
              <w:t>wk</w:t>
            </w:r>
            <w:proofErr w:type="spellEnd"/>
            <w:r w:rsidRPr="00907C84">
              <w:rPr>
                <w:rFonts w:ascii="Book Antiqua" w:eastAsia="Times New Roman" w:hAnsi="Book Antiqua" w:cs="Times New Roman"/>
                <w:color w:val="000000"/>
                <w:sz w:val="24"/>
                <w:szCs w:val="24"/>
              </w:rPr>
              <w:t xml:space="preserve"> post-operative appointment.</w:t>
            </w:r>
          </w:p>
        </w:tc>
        <w:tc>
          <w:tcPr>
            <w:tcW w:w="2160" w:type="dxa"/>
            <w:shd w:val="clear" w:color="auto" w:fill="FFFFFF" w:themeFill="background1"/>
          </w:tcPr>
          <w:p w14:paraId="17C92858" w14:textId="5565226C" w:rsidR="006826F0" w:rsidRPr="00907C84" w:rsidRDefault="006826F0" w:rsidP="00E6372C">
            <w:pPr>
              <w:adjustRightInd w:val="0"/>
              <w:snapToGrid w:val="0"/>
              <w:spacing w:after="0" w:line="360" w:lineRule="auto"/>
              <w:jc w:val="center"/>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 xml:space="preserve">76% of patients had a cleaning within 12 </w:t>
            </w:r>
            <w:r w:rsidR="00E8220F">
              <w:rPr>
                <w:rFonts w:ascii="Book Antiqua" w:eastAsia="Times New Roman" w:hAnsi="Book Antiqua" w:cs="Times New Roman"/>
                <w:color w:val="000000"/>
                <w:sz w:val="24"/>
                <w:szCs w:val="24"/>
              </w:rPr>
              <w:t>mo</w:t>
            </w:r>
            <w:r w:rsidRPr="00907C84">
              <w:rPr>
                <w:rFonts w:ascii="Book Antiqua" w:eastAsia="Times New Roman" w:hAnsi="Book Antiqua" w:cs="Times New Roman"/>
                <w:color w:val="000000"/>
                <w:sz w:val="24"/>
                <w:szCs w:val="24"/>
              </w:rPr>
              <w:t xml:space="preserve">. 5% did not visit a dentist. 49% were informed of the impact of dental hygiene in reducing </w:t>
            </w:r>
            <w:r w:rsidR="00F87412" w:rsidRPr="00907C84">
              <w:rPr>
                <w:rFonts w:ascii="Book Antiqua" w:eastAsia="Times New Roman" w:hAnsi="Book Antiqua" w:cs="Times New Roman"/>
                <w:color w:val="000000"/>
                <w:sz w:val="24"/>
                <w:szCs w:val="24"/>
              </w:rPr>
              <w:t>PJI</w:t>
            </w:r>
            <w:r w:rsidRPr="00907C84">
              <w:rPr>
                <w:rFonts w:ascii="Book Antiqua" w:eastAsia="Times New Roman" w:hAnsi="Book Antiqua" w:cs="Times New Roman"/>
                <w:color w:val="000000"/>
                <w:sz w:val="24"/>
                <w:szCs w:val="24"/>
              </w:rPr>
              <w:t>.</w:t>
            </w:r>
          </w:p>
        </w:tc>
        <w:tc>
          <w:tcPr>
            <w:tcW w:w="1980" w:type="dxa"/>
            <w:shd w:val="clear" w:color="auto" w:fill="FFFFFF" w:themeFill="background1"/>
          </w:tcPr>
          <w:p w14:paraId="1B1D6634" w14:textId="77777777" w:rsidR="006826F0" w:rsidRPr="00907C84" w:rsidRDefault="006826F0" w:rsidP="00E6372C">
            <w:pPr>
              <w:adjustRightInd w:val="0"/>
              <w:snapToGrid w:val="0"/>
              <w:spacing w:after="0" w:line="360" w:lineRule="auto"/>
              <w:jc w:val="center"/>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Patients generally have good oral hygiene, but patient education is inconsistent.</w:t>
            </w:r>
          </w:p>
        </w:tc>
      </w:tr>
    </w:tbl>
    <w:p w14:paraId="6548016E" w14:textId="1F4F555C" w:rsidR="00F87412" w:rsidRDefault="00F87412">
      <w:pPr>
        <w:rPr>
          <w:rFonts w:ascii="Book Antiqua" w:hAnsi="Book Antiqua" w:cs="Times New Roman"/>
          <w:sz w:val="24"/>
          <w:szCs w:val="24"/>
        </w:rPr>
      </w:pPr>
      <w:r w:rsidRPr="00907C84">
        <w:rPr>
          <w:rFonts w:ascii="Book Antiqua" w:eastAsia="Times New Roman" w:hAnsi="Book Antiqua" w:cs="Times New Roman"/>
          <w:color w:val="000000"/>
          <w:sz w:val="24"/>
          <w:szCs w:val="24"/>
        </w:rPr>
        <w:t>PJI</w:t>
      </w:r>
      <w:r>
        <w:rPr>
          <w:rFonts w:ascii="Book Antiqua" w:eastAsia="Times New Roman" w:hAnsi="Book Antiqua" w:cs="Times New Roman"/>
          <w:color w:val="000000"/>
          <w:sz w:val="24"/>
          <w:szCs w:val="24"/>
        </w:rPr>
        <w:t xml:space="preserve">: </w:t>
      </w:r>
      <w:r w:rsidRPr="00907C84">
        <w:rPr>
          <w:rFonts w:ascii="Book Antiqua" w:hAnsi="Book Antiqua" w:cs="Times New Roman"/>
          <w:sz w:val="24"/>
          <w:szCs w:val="24"/>
        </w:rPr>
        <w:t>Periprosthetic joint infection</w:t>
      </w:r>
      <w:r>
        <w:rPr>
          <w:rFonts w:ascii="Book Antiqua" w:hAnsi="Book Antiqua" w:cs="Times New Roman"/>
          <w:sz w:val="24"/>
          <w:szCs w:val="24"/>
        </w:rPr>
        <w:t xml:space="preserve">; </w:t>
      </w:r>
      <w:r w:rsidRPr="00907C84">
        <w:rPr>
          <w:rFonts w:ascii="Book Antiqua" w:eastAsia="Times New Roman" w:hAnsi="Book Antiqua" w:cs="Times New Roman"/>
          <w:color w:val="000000"/>
          <w:sz w:val="24"/>
          <w:szCs w:val="24"/>
        </w:rPr>
        <w:t>TJA</w:t>
      </w:r>
      <w:r>
        <w:rPr>
          <w:rFonts w:ascii="Book Antiqua" w:eastAsia="Times New Roman" w:hAnsi="Book Antiqua" w:cs="Times New Roman"/>
          <w:color w:val="000000"/>
          <w:sz w:val="24"/>
          <w:szCs w:val="24"/>
        </w:rPr>
        <w:t xml:space="preserve">: </w:t>
      </w:r>
      <w:r w:rsidRPr="00907C84">
        <w:rPr>
          <w:rFonts w:ascii="Book Antiqua" w:hAnsi="Book Antiqua" w:cs="Times New Roman"/>
          <w:sz w:val="24"/>
          <w:szCs w:val="24"/>
        </w:rPr>
        <w:t>Total joint arthroplasty</w:t>
      </w:r>
      <w:r>
        <w:rPr>
          <w:rFonts w:ascii="Book Antiqua" w:hAnsi="Book Antiqua" w:cs="Times New Roman"/>
          <w:sz w:val="24"/>
          <w:szCs w:val="24"/>
        </w:rPr>
        <w:t>.</w:t>
      </w:r>
    </w:p>
    <w:p w14:paraId="3F0A3960" w14:textId="77777777" w:rsidR="00F87412" w:rsidRDefault="00F87412">
      <w:pPr>
        <w:rPr>
          <w:rFonts w:ascii="Book Antiqua" w:hAnsi="Book Antiqua" w:cs="Times New Roman"/>
          <w:sz w:val="24"/>
          <w:szCs w:val="24"/>
        </w:rPr>
      </w:pPr>
    </w:p>
    <w:p w14:paraId="1DD55AB8" w14:textId="166BC250" w:rsidR="006826F0" w:rsidRDefault="006826F0">
      <w:pPr>
        <w:rPr>
          <w:rFonts w:ascii="Book Antiqua" w:hAnsi="Book Antiqua" w:cs="Times New Roman"/>
          <w:sz w:val="24"/>
          <w:szCs w:val="24"/>
        </w:rPr>
      </w:pPr>
      <w:r>
        <w:rPr>
          <w:rFonts w:ascii="Book Antiqua" w:hAnsi="Book Antiqua" w:cs="Times New Roman"/>
          <w:sz w:val="24"/>
          <w:szCs w:val="24"/>
        </w:rPr>
        <w:br w:type="page"/>
      </w:r>
    </w:p>
    <w:p w14:paraId="797F3214" w14:textId="6F9F6E6C" w:rsidR="00F87412" w:rsidRPr="00F87412" w:rsidRDefault="00F87412" w:rsidP="00F87412">
      <w:pPr>
        <w:adjustRightInd w:val="0"/>
        <w:snapToGrid w:val="0"/>
        <w:spacing w:after="0" w:line="360" w:lineRule="auto"/>
        <w:jc w:val="both"/>
        <w:rPr>
          <w:rFonts w:ascii="Book Antiqua" w:hAnsi="Book Antiqua" w:cs="Times New Roman"/>
          <w:b/>
          <w:bCs/>
          <w:sz w:val="24"/>
          <w:szCs w:val="24"/>
        </w:rPr>
      </w:pPr>
      <w:r w:rsidRPr="00F87412">
        <w:rPr>
          <w:rFonts w:ascii="Book Antiqua" w:hAnsi="Book Antiqua" w:cs="Times New Roman"/>
          <w:b/>
          <w:bCs/>
          <w:sz w:val="24"/>
          <w:szCs w:val="24"/>
        </w:rPr>
        <w:t>Table 4 Impact of dental clearance on infection</w:t>
      </w:r>
    </w:p>
    <w:tbl>
      <w:tblPr>
        <w:tblW w:w="8995" w:type="dxa"/>
        <w:tblBorders>
          <w:top w:val="single" w:sz="4" w:space="0" w:color="auto"/>
          <w:bottom w:val="single" w:sz="4" w:space="0" w:color="auto"/>
        </w:tblBorders>
        <w:shd w:val="clear" w:color="auto" w:fill="FFFFFF" w:themeFill="background1"/>
        <w:tblLayout w:type="fixed"/>
        <w:tblLook w:val="04A0" w:firstRow="1" w:lastRow="0" w:firstColumn="1" w:lastColumn="0" w:noHBand="0" w:noVBand="1"/>
      </w:tblPr>
      <w:tblGrid>
        <w:gridCol w:w="1075"/>
        <w:gridCol w:w="1530"/>
        <w:gridCol w:w="630"/>
        <w:gridCol w:w="1710"/>
        <w:gridCol w:w="1890"/>
        <w:gridCol w:w="2160"/>
      </w:tblGrid>
      <w:tr w:rsidR="006826F0" w:rsidRPr="00907C84" w14:paraId="198F5BBE" w14:textId="77777777" w:rsidTr="00F87412">
        <w:trPr>
          <w:trHeight w:val="576"/>
        </w:trPr>
        <w:tc>
          <w:tcPr>
            <w:tcW w:w="1075" w:type="dxa"/>
            <w:tcBorders>
              <w:top w:val="single" w:sz="4" w:space="0" w:color="auto"/>
              <w:bottom w:val="single" w:sz="4" w:space="0" w:color="auto"/>
            </w:tcBorders>
            <w:shd w:val="clear" w:color="auto" w:fill="FFFFFF" w:themeFill="background1"/>
            <w:vAlign w:val="center"/>
            <w:hideMark/>
          </w:tcPr>
          <w:p w14:paraId="470EDC42" w14:textId="77777777" w:rsidR="006826F0" w:rsidRPr="00F87412" w:rsidRDefault="006826F0" w:rsidP="00E6372C">
            <w:pPr>
              <w:adjustRightInd w:val="0"/>
              <w:snapToGrid w:val="0"/>
              <w:spacing w:after="0" w:line="360" w:lineRule="auto"/>
              <w:jc w:val="both"/>
              <w:rPr>
                <w:rFonts w:ascii="Book Antiqua" w:eastAsia="Times New Roman" w:hAnsi="Book Antiqua" w:cs="Times New Roman"/>
                <w:b/>
                <w:bCs/>
                <w:color w:val="000000"/>
                <w:sz w:val="24"/>
                <w:szCs w:val="24"/>
              </w:rPr>
            </w:pPr>
            <w:r w:rsidRPr="00F87412">
              <w:rPr>
                <w:rFonts w:ascii="Book Antiqua" w:eastAsia="Times New Roman" w:hAnsi="Book Antiqua" w:cs="Times New Roman"/>
                <w:b/>
                <w:bCs/>
                <w:color w:val="000000"/>
                <w:sz w:val="24"/>
                <w:szCs w:val="24"/>
              </w:rPr>
              <w:t>Author</w:t>
            </w:r>
          </w:p>
        </w:tc>
        <w:tc>
          <w:tcPr>
            <w:tcW w:w="1530" w:type="dxa"/>
            <w:tcBorders>
              <w:top w:val="single" w:sz="4" w:space="0" w:color="auto"/>
              <w:bottom w:val="single" w:sz="4" w:space="0" w:color="auto"/>
            </w:tcBorders>
            <w:shd w:val="clear" w:color="auto" w:fill="FFFFFF" w:themeFill="background1"/>
            <w:vAlign w:val="center"/>
            <w:hideMark/>
          </w:tcPr>
          <w:p w14:paraId="2024A120" w14:textId="77777777" w:rsidR="006826F0" w:rsidRPr="00F87412" w:rsidRDefault="006826F0" w:rsidP="00F87412">
            <w:pPr>
              <w:adjustRightInd w:val="0"/>
              <w:snapToGrid w:val="0"/>
              <w:spacing w:after="0" w:line="360" w:lineRule="auto"/>
              <w:jc w:val="center"/>
              <w:rPr>
                <w:rFonts w:ascii="Book Antiqua" w:eastAsia="Times New Roman" w:hAnsi="Book Antiqua" w:cs="Times New Roman"/>
                <w:b/>
                <w:bCs/>
                <w:color w:val="000000"/>
                <w:sz w:val="24"/>
                <w:szCs w:val="24"/>
              </w:rPr>
            </w:pPr>
            <w:r w:rsidRPr="00F87412">
              <w:rPr>
                <w:rFonts w:ascii="Book Antiqua" w:eastAsia="Times New Roman" w:hAnsi="Book Antiqua" w:cs="Times New Roman"/>
                <w:b/>
                <w:bCs/>
                <w:color w:val="000000"/>
                <w:sz w:val="24"/>
                <w:szCs w:val="24"/>
              </w:rPr>
              <w:t>Model</w:t>
            </w:r>
          </w:p>
        </w:tc>
        <w:tc>
          <w:tcPr>
            <w:tcW w:w="630" w:type="dxa"/>
            <w:tcBorders>
              <w:top w:val="single" w:sz="4" w:space="0" w:color="auto"/>
              <w:bottom w:val="single" w:sz="4" w:space="0" w:color="auto"/>
            </w:tcBorders>
            <w:shd w:val="clear" w:color="auto" w:fill="FFFFFF" w:themeFill="background1"/>
            <w:vAlign w:val="center"/>
            <w:hideMark/>
          </w:tcPr>
          <w:p w14:paraId="3846179A" w14:textId="76325BDA" w:rsidR="006826F0" w:rsidRPr="00B27072" w:rsidRDefault="00B27072" w:rsidP="00F87412">
            <w:pPr>
              <w:adjustRightInd w:val="0"/>
              <w:snapToGrid w:val="0"/>
              <w:spacing w:after="0" w:line="360" w:lineRule="auto"/>
              <w:jc w:val="center"/>
              <w:rPr>
                <w:rFonts w:ascii="Book Antiqua" w:eastAsia="Times New Roman" w:hAnsi="Book Antiqua" w:cs="Times New Roman"/>
                <w:b/>
                <w:bCs/>
                <w:i/>
                <w:iCs/>
                <w:color w:val="000000"/>
                <w:sz w:val="24"/>
                <w:szCs w:val="24"/>
              </w:rPr>
            </w:pPr>
            <w:r w:rsidRPr="00B27072">
              <w:rPr>
                <w:rFonts w:ascii="Book Antiqua" w:eastAsia="Times New Roman" w:hAnsi="Book Antiqua" w:cs="Times New Roman"/>
                <w:b/>
                <w:bCs/>
                <w:i/>
                <w:iCs/>
                <w:color w:val="000000"/>
                <w:sz w:val="24"/>
                <w:szCs w:val="24"/>
              </w:rPr>
              <w:t>n</w:t>
            </w:r>
          </w:p>
        </w:tc>
        <w:tc>
          <w:tcPr>
            <w:tcW w:w="1710" w:type="dxa"/>
            <w:tcBorders>
              <w:top w:val="single" w:sz="4" w:space="0" w:color="auto"/>
              <w:bottom w:val="single" w:sz="4" w:space="0" w:color="auto"/>
            </w:tcBorders>
            <w:shd w:val="clear" w:color="auto" w:fill="FFFFFF" w:themeFill="background1"/>
            <w:vAlign w:val="center"/>
            <w:hideMark/>
          </w:tcPr>
          <w:p w14:paraId="740433A7" w14:textId="77777777" w:rsidR="006826F0" w:rsidRPr="00F87412" w:rsidRDefault="006826F0" w:rsidP="00F87412">
            <w:pPr>
              <w:adjustRightInd w:val="0"/>
              <w:snapToGrid w:val="0"/>
              <w:spacing w:after="0" w:line="360" w:lineRule="auto"/>
              <w:jc w:val="center"/>
              <w:rPr>
                <w:rFonts w:ascii="Book Antiqua" w:eastAsia="Times New Roman" w:hAnsi="Book Antiqua" w:cs="Times New Roman"/>
                <w:b/>
                <w:bCs/>
                <w:color w:val="000000"/>
                <w:sz w:val="24"/>
                <w:szCs w:val="24"/>
              </w:rPr>
            </w:pPr>
            <w:r w:rsidRPr="00F87412">
              <w:rPr>
                <w:rFonts w:ascii="Book Antiqua" w:eastAsia="Times New Roman" w:hAnsi="Book Antiqua" w:cs="Times New Roman"/>
                <w:b/>
                <w:bCs/>
                <w:color w:val="000000"/>
                <w:sz w:val="24"/>
                <w:szCs w:val="24"/>
              </w:rPr>
              <w:t>Methods</w:t>
            </w:r>
          </w:p>
        </w:tc>
        <w:tc>
          <w:tcPr>
            <w:tcW w:w="1890" w:type="dxa"/>
            <w:tcBorders>
              <w:top w:val="single" w:sz="4" w:space="0" w:color="auto"/>
              <w:bottom w:val="single" w:sz="4" w:space="0" w:color="auto"/>
            </w:tcBorders>
            <w:shd w:val="clear" w:color="auto" w:fill="FFFFFF" w:themeFill="background1"/>
            <w:vAlign w:val="center"/>
            <w:hideMark/>
          </w:tcPr>
          <w:p w14:paraId="603E7D29" w14:textId="77777777" w:rsidR="006826F0" w:rsidRPr="00F87412" w:rsidRDefault="006826F0" w:rsidP="00F87412">
            <w:pPr>
              <w:adjustRightInd w:val="0"/>
              <w:snapToGrid w:val="0"/>
              <w:spacing w:after="0" w:line="360" w:lineRule="auto"/>
              <w:jc w:val="center"/>
              <w:rPr>
                <w:rFonts w:ascii="Book Antiqua" w:eastAsia="Times New Roman" w:hAnsi="Book Antiqua" w:cs="Times New Roman"/>
                <w:b/>
                <w:bCs/>
                <w:color w:val="000000"/>
                <w:sz w:val="24"/>
                <w:szCs w:val="24"/>
              </w:rPr>
            </w:pPr>
            <w:r w:rsidRPr="00F87412">
              <w:rPr>
                <w:rFonts w:ascii="Book Antiqua" w:eastAsia="Times New Roman" w:hAnsi="Book Antiqua" w:cs="Times New Roman"/>
                <w:b/>
                <w:bCs/>
                <w:color w:val="000000"/>
                <w:sz w:val="24"/>
                <w:szCs w:val="24"/>
              </w:rPr>
              <w:t>Results</w:t>
            </w:r>
          </w:p>
        </w:tc>
        <w:tc>
          <w:tcPr>
            <w:tcW w:w="2160" w:type="dxa"/>
            <w:tcBorders>
              <w:top w:val="single" w:sz="4" w:space="0" w:color="auto"/>
              <w:bottom w:val="single" w:sz="4" w:space="0" w:color="auto"/>
            </w:tcBorders>
            <w:shd w:val="clear" w:color="auto" w:fill="FFFFFF" w:themeFill="background1"/>
            <w:vAlign w:val="center"/>
          </w:tcPr>
          <w:p w14:paraId="3ABA5659" w14:textId="11F06B94" w:rsidR="006826F0" w:rsidRPr="00F87412" w:rsidRDefault="006826F0" w:rsidP="00F87412">
            <w:pPr>
              <w:adjustRightInd w:val="0"/>
              <w:snapToGrid w:val="0"/>
              <w:spacing w:after="0" w:line="360" w:lineRule="auto"/>
              <w:jc w:val="center"/>
              <w:rPr>
                <w:rFonts w:ascii="Book Antiqua" w:hAnsi="Book Antiqua" w:cs="Times New Roman"/>
                <w:b/>
                <w:bCs/>
                <w:color w:val="000000"/>
                <w:sz w:val="24"/>
                <w:szCs w:val="24"/>
              </w:rPr>
            </w:pPr>
            <w:r w:rsidRPr="00F87412">
              <w:rPr>
                <w:rFonts w:ascii="Book Antiqua" w:hAnsi="Book Antiqua" w:cs="Times New Roman"/>
                <w:b/>
                <w:bCs/>
                <w:color w:val="000000"/>
                <w:sz w:val="24"/>
                <w:szCs w:val="24"/>
              </w:rPr>
              <w:t>Impact of clearance</w:t>
            </w:r>
          </w:p>
        </w:tc>
      </w:tr>
      <w:tr w:rsidR="006826F0" w:rsidRPr="00907C84" w14:paraId="36A39FEF" w14:textId="77777777" w:rsidTr="00F87412">
        <w:trPr>
          <w:trHeight w:val="1235"/>
        </w:trPr>
        <w:tc>
          <w:tcPr>
            <w:tcW w:w="1075" w:type="dxa"/>
            <w:tcBorders>
              <w:top w:val="single" w:sz="4" w:space="0" w:color="auto"/>
            </w:tcBorders>
            <w:shd w:val="clear" w:color="auto" w:fill="FFFFFF" w:themeFill="background1"/>
            <w:vAlign w:val="center"/>
          </w:tcPr>
          <w:p w14:paraId="2BBF3F79" w14:textId="4D8124F4" w:rsidR="006826F0" w:rsidRPr="00907C84" w:rsidRDefault="006826F0" w:rsidP="00E6372C">
            <w:pPr>
              <w:adjustRightInd w:val="0"/>
              <w:snapToGrid w:val="0"/>
              <w:spacing w:after="0" w:line="360" w:lineRule="auto"/>
              <w:jc w:val="both"/>
              <w:rPr>
                <w:rFonts w:ascii="Book Antiqua" w:hAnsi="Book Antiqua" w:cs="Times New Roman"/>
                <w:color w:val="000000"/>
                <w:sz w:val="24"/>
                <w:szCs w:val="24"/>
              </w:rPr>
            </w:pPr>
            <w:r w:rsidRPr="00907C84">
              <w:rPr>
                <w:rFonts w:ascii="Book Antiqua" w:hAnsi="Book Antiqua" w:cs="Times New Roman"/>
                <w:color w:val="000000"/>
                <w:sz w:val="24"/>
                <w:szCs w:val="24"/>
              </w:rPr>
              <w:t xml:space="preserve">Barrington </w:t>
            </w:r>
            <w:r w:rsidR="00F87412" w:rsidRPr="00F87412">
              <w:rPr>
                <w:rFonts w:ascii="Book Antiqua" w:hAnsi="Book Antiqua" w:cs="Times New Roman"/>
                <w:i/>
                <w:iCs/>
                <w:color w:val="000000"/>
                <w:sz w:val="24"/>
                <w:szCs w:val="24"/>
              </w:rPr>
              <w:t>et al</w:t>
            </w:r>
            <w:r w:rsidR="00F87412" w:rsidRPr="00F87412">
              <w:rPr>
                <w:rFonts w:ascii="Book Antiqua" w:hAnsi="Book Antiqua" w:cs="Times New Roman"/>
                <w:color w:val="000000"/>
                <w:sz w:val="24"/>
                <w:szCs w:val="24"/>
                <w:vertAlign w:val="superscript"/>
              </w:rPr>
              <w:t>[16]</w:t>
            </w:r>
          </w:p>
        </w:tc>
        <w:tc>
          <w:tcPr>
            <w:tcW w:w="1530" w:type="dxa"/>
            <w:tcBorders>
              <w:top w:val="single" w:sz="4" w:space="0" w:color="auto"/>
            </w:tcBorders>
            <w:shd w:val="clear" w:color="auto" w:fill="FFFFFF" w:themeFill="background1"/>
            <w:vAlign w:val="center"/>
          </w:tcPr>
          <w:p w14:paraId="62F2C851" w14:textId="77777777" w:rsidR="006826F0" w:rsidRPr="00907C84" w:rsidRDefault="006826F0" w:rsidP="00F87412">
            <w:pPr>
              <w:adjustRightInd w:val="0"/>
              <w:snapToGrid w:val="0"/>
              <w:spacing w:after="0" w:line="360" w:lineRule="auto"/>
              <w:jc w:val="center"/>
              <w:rPr>
                <w:rFonts w:ascii="Book Antiqua" w:hAnsi="Book Antiqua" w:cs="Times New Roman"/>
                <w:color w:val="000000"/>
                <w:sz w:val="24"/>
                <w:szCs w:val="24"/>
              </w:rPr>
            </w:pPr>
            <w:r w:rsidRPr="00907C84">
              <w:rPr>
                <w:rFonts w:ascii="Book Antiqua" w:hAnsi="Book Antiqua" w:cs="Times New Roman"/>
                <w:color w:val="000000"/>
                <w:sz w:val="24"/>
                <w:szCs w:val="24"/>
              </w:rPr>
              <w:t>Patients at a metropolitan, tertiary arthroplasty practice in the United States</w:t>
            </w:r>
          </w:p>
        </w:tc>
        <w:tc>
          <w:tcPr>
            <w:tcW w:w="630" w:type="dxa"/>
            <w:tcBorders>
              <w:top w:val="single" w:sz="4" w:space="0" w:color="auto"/>
            </w:tcBorders>
            <w:shd w:val="clear" w:color="auto" w:fill="FFFFFF" w:themeFill="background1"/>
            <w:vAlign w:val="center"/>
          </w:tcPr>
          <w:p w14:paraId="16FBB095" w14:textId="77777777" w:rsidR="006826F0" w:rsidRPr="00907C84" w:rsidRDefault="006826F0" w:rsidP="00F87412">
            <w:pPr>
              <w:adjustRightInd w:val="0"/>
              <w:snapToGrid w:val="0"/>
              <w:spacing w:after="0" w:line="360" w:lineRule="auto"/>
              <w:jc w:val="center"/>
              <w:rPr>
                <w:rFonts w:ascii="Book Antiqua" w:hAnsi="Book Antiqua" w:cs="Times New Roman"/>
                <w:color w:val="000000"/>
                <w:sz w:val="24"/>
                <w:szCs w:val="24"/>
              </w:rPr>
            </w:pPr>
            <w:r w:rsidRPr="00907C84">
              <w:rPr>
                <w:rFonts w:ascii="Book Antiqua" w:hAnsi="Book Antiqua" w:cs="Times New Roman"/>
                <w:color w:val="000000"/>
                <w:sz w:val="24"/>
                <w:szCs w:val="24"/>
              </w:rPr>
              <w:t>100</w:t>
            </w:r>
          </w:p>
        </w:tc>
        <w:tc>
          <w:tcPr>
            <w:tcW w:w="1710" w:type="dxa"/>
            <w:tcBorders>
              <w:top w:val="single" w:sz="4" w:space="0" w:color="auto"/>
            </w:tcBorders>
            <w:shd w:val="clear" w:color="auto" w:fill="FFFFFF" w:themeFill="background1"/>
            <w:vAlign w:val="center"/>
          </w:tcPr>
          <w:p w14:paraId="50B1FFD9" w14:textId="77777777" w:rsidR="006826F0" w:rsidRPr="00907C84" w:rsidRDefault="006826F0" w:rsidP="00F87412">
            <w:pPr>
              <w:adjustRightInd w:val="0"/>
              <w:snapToGrid w:val="0"/>
              <w:spacing w:after="0" w:line="360" w:lineRule="auto"/>
              <w:jc w:val="center"/>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Patients obtained dental clearance, cleaning, and dental interventions. On POD 1 or POD 2, patients were interviewed.</w:t>
            </w:r>
          </w:p>
        </w:tc>
        <w:tc>
          <w:tcPr>
            <w:tcW w:w="1890" w:type="dxa"/>
            <w:tcBorders>
              <w:top w:val="single" w:sz="4" w:space="0" w:color="auto"/>
            </w:tcBorders>
            <w:shd w:val="clear" w:color="auto" w:fill="FFFFFF" w:themeFill="background1"/>
            <w:vAlign w:val="center"/>
          </w:tcPr>
          <w:p w14:paraId="57B0F8C1" w14:textId="77777777" w:rsidR="006826F0" w:rsidRPr="00907C84" w:rsidRDefault="006826F0" w:rsidP="00F87412">
            <w:pPr>
              <w:adjustRightInd w:val="0"/>
              <w:snapToGrid w:val="0"/>
              <w:spacing w:after="0" w:line="360" w:lineRule="auto"/>
              <w:jc w:val="center"/>
              <w:rPr>
                <w:rFonts w:ascii="Book Antiqua" w:hAnsi="Book Antiqua" w:cs="Times New Roman"/>
                <w:color w:val="000000"/>
                <w:sz w:val="24"/>
                <w:szCs w:val="24"/>
              </w:rPr>
            </w:pPr>
            <w:r w:rsidRPr="00907C84">
              <w:rPr>
                <w:rFonts w:ascii="Book Antiqua" w:hAnsi="Book Antiqua" w:cs="Times New Roman"/>
                <w:color w:val="000000"/>
                <w:sz w:val="24"/>
                <w:szCs w:val="24"/>
              </w:rPr>
              <w:t xml:space="preserve">23% were not cleared due to dental decay and were treated. There were no periprosthetic infections within 90 </w:t>
            </w:r>
            <w:r>
              <w:rPr>
                <w:rFonts w:ascii="Book Antiqua" w:hAnsi="Book Antiqua" w:cs="Times New Roman"/>
                <w:color w:val="000000"/>
                <w:sz w:val="24"/>
                <w:szCs w:val="24"/>
              </w:rPr>
              <w:t>d</w:t>
            </w:r>
            <w:r w:rsidRPr="00907C84">
              <w:rPr>
                <w:rFonts w:ascii="Book Antiqua" w:hAnsi="Book Antiqua" w:cs="Times New Roman"/>
                <w:color w:val="000000"/>
                <w:sz w:val="24"/>
                <w:szCs w:val="24"/>
              </w:rPr>
              <w:t>. One in four patients had dental pathology.</w:t>
            </w:r>
          </w:p>
        </w:tc>
        <w:tc>
          <w:tcPr>
            <w:tcW w:w="2160" w:type="dxa"/>
            <w:tcBorders>
              <w:top w:val="single" w:sz="4" w:space="0" w:color="auto"/>
            </w:tcBorders>
            <w:shd w:val="clear" w:color="auto" w:fill="FFFFFF" w:themeFill="background1"/>
            <w:vAlign w:val="center"/>
          </w:tcPr>
          <w:p w14:paraId="3B43E48C" w14:textId="525C14F4" w:rsidR="006826F0" w:rsidRPr="00907C84" w:rsidRDefault="006826F0" w:rsidP="00F87412">
            <w:pPr>
              <w:adjustRightInd w:val="0"/>
              <w:snapToGrid w:val="0"/>
              <w:spacing w:after="0" w:line="360" w:lineRule="auto"/>
              <w:jc w:val="center"/>
              <w:rPr>
                <w:rFonts w:ascii="Book Antiqua" w:hAnsi="Book Antiqua" w:cs="Times New Roman"/>
                <w:color w:val="000000"/>
                <w:sz w:val="24"/>
                <w:szCs w:val="24"/>
              </w:rPr>
            </w:pPr>
            <w:r w:rsidRPr="00907C84">
              <w:rPr>
                <w:rFonts w:ascii="Book Antiqua" w:hAnsi="Book Antiqua" w:cs="Times New Roman"/>
                <w:color w:val="000000"/>
                <w:sz w:val="24"/>
                <w:szCs w:val="24"/>
              </w:rPr>
              <w:t>It is difficult to draw a definitive conclusion.</w:t>
            </w:r>
          </w:p>
        </w:tc>
      </w:tr>
      <w:tr w:rsidR="006826F0" w:rsidRPr="00907C84" w14:paraId="0CC23917" w14:textId="77777777" w:rsidTr="00F87412">
        <w:trPr>
          <w:trHeight w:val="1043"/>
        </w:trPr>
        <w:tc>
          <w:tcPr>
            <w:tcW w:w="1075" w:type="dxa"/>
            <w:shd w:val="clear" w:color="auto" w:fill="FFFFFF" w:themeFill="background1"/>
            <w:vAlign w:val="center"/>
          </w:tcPr>
          <w:p w14:paraId="3E3B5BD5" w14:textId="50B0E486" w:rsidR="006826F0" w:rsidRPr="00907C84" w:rsidRDefault="006826F0" w:rsidP="00E6372C">
            <w:pPr>
              <w:adjustRightInd w:val="0"/>
              <w:snapToGrid w:val="0"/>
              <w:spacing w:after="0" w:line="360" w:lineRule="auto"/>
              <w:jc w:val="both"/>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 xml:space="preserve">Lampley </w:t>
            </w:r>
            <w:r w:rsidR="00E8220F" w:rsidRPr="00E8220F">
              <w:rPr>
                <w:rFonts w:ascii="Book Antiqua" w:eastAsia="Times New Roman" w:hAnsi="Book Antiqua" w:cs="Times New Roman"/>
                <w:i/>
                <w:color w:val="000000"/>
                <w:sz w:val="24"/>
                <w:szCs w:val="24"/>
              </w:rPr>
              <w:t>et al</w:t>
            </w:r>
            <w:r w:rsidR="00F87412" w:rsidRPr="00F87412">
              <w:rPr>
                <w:rFonts w:ascii="Book Antiqua" w:eastAsia="Times New Roman" w:hAnsi="Book Antiqua" w:cs="Times New Roman"/>
                <w:iCs/>
                <w:color w:val="000000"/>
                <w:sz w:val="24"/>
                <w:szCs w:val="24"/>
                <w:vertAlign w:val="superscript"/>
              </w:rPr>
              <w:t>[17]</w:t>
            </w:r>
          </w:p>
        </w:tc>
        <w:tc>
          <w:tcPr>
            <w:tcW w:w="1530" w:type="dxa"/>
            <w:shd w:val="clear" w:color="auto" w:fill="FFFFFF" w:themeFill="background1"/>
            <w:vAlign w:val="center"/>
          </w:tcPr>
          <w:p w14:paraId="063EC337" w14:textId="319CA7E3" w:rsidR="006826F0" w:rsidRPr="00907C84" w:rsidRDefault="006826F0" w:rsidP="00F87412">
            <w:pPr>
              <w:adjustRightInd w:val="0"/>
              <w:snapToGrid w:val="0"/>
              <w:spacing w:after="0" w:line="360" w:lineRule="auto"/>
              <w:jc w:val="center"/>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Elective TJA and hip fracture patients in a tertiary arthroplasty practice in the United States</w:t>
            </w:r>
          </w:p>
        </w:tc>
        <w:tc>
          <w:tcPr>
            <w:tcW w:w="630" w:type="dxa"/>
            <w:shd w:val="clear" w:color="auto" w:fill="FFFFFF" w:themeFill="background1"/>
            <w:vAlign w:val="center"/>
          </w:tcPr>
          <w:p w14:paraId="30D3B760" w14:textId="77777777" w:rsidR="006826F0" w:rsidRPr="00907C84" w:rsidRDefault="006826F0" w:rsidP="00F87412">
            <w:pPr>
              <w:adjustRightInd w:val="0"/>
              <w:snapToGrid w:val="0"/>
              <w:spacing w:after="0" w:line="360" w:lineRule="auto"/>
              <w:jc w:val="center"/>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519</w:t>
            </w:r>
          </w:p>
        </w:tc>
        <w:tc>
          <w:tcPr>
            <w:tcW w:w="1710" w:type="dxa"/>
            <w:shd w:val="clear" w:color="auto" w:fill="FFFFFF" w:themeFill="background1"/>
            <w:vAlign w:val="center"/>
          </w:tcPr>
          <w:p w14:paraId="452E9FA9" w14:textId="77777777" w:rsidR="006826F0" w:rsidRPr="00907C84" w:rsidRDefault="006826F0" w:rsidP="00F87412">
            <w:pPr>
              <w:adjustRightInd w:val="0"/>
              <w:snapToGrid w:val="0"/>
              <w:spacing w:after="0" w:line="360" w:lineRule="auto"/>
              <w:jc w:val="center"/>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Patients obtained dental clearance, cleaning, and interventions. On POD 1 or POD 2, patients were interviewed.</w:t>
            </w:r>
          </w:p>
        </w:tc>
        <w:tc>
          <w:tcPr>
            <w:tcW w:w="1890" w:type="dxa"/>
            <w:shd w:val="clear" w:color="auto" w:fill="FFFFFF" w:themeFill="background1"/>
            <w:vAlign w:val="center"/>
          </w:tcPr>
          <w:p w14:paraId="28B002AB" w14:textId="77777777" w:rsidR="006826F0" w:rsidRPr="00907C84" w:rsidRDefault="006826F0" w:rsidP="00F87412">
            <w:pPr>
              <w:adjustRightInd w:val="0"/>
              <w:snapToGrid w:val="0"/>
              <w:spacing w:after="0" w:line="360" w:lineRule="auto"/>
              <w:jc w:val="center"/>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Early postoperative infection rate was significantly lower in the clearance group. Only one infection had a possible dental source.</w:t>
            </w:r>
          </w:p>
        </w:tc>
        <w:tc>
          <w:tcPr>
            <w:tcW w:w="2160" w:type="dxa"/>
            <w:shd w:val="clear" w:color="auto" w:fill="FFFFFF" w:themeFill="background1"/>
            <w:vAlign w:val="center"/>
          </w:tcPr>
          <w:p w14:paraId="03631FA9" w14:textId="77777777" w:rsidR="006826F0" w:rsidRPr="00907C84" w:rsidRDefault="006826F0" w:rsidP="00F87412">
            <w:pPr>
              <w:adjustRightInd w:val="0"/>
              <w:snapToGrid w:val="0"/>
              <w:spacing w:after="0" w:line="360" w:lineRule="auto"/>
              <w:jc w:val="center"/>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Dental clearance and interventions did not reduce early postoperative infection.</w:t>
            </w:r>
          </w:p>
        </w:tc>
      </w:tr>
      <w:tr w:rsidR="006826F0" w:rsidRPr="00907C84" w14:paraId="537A7EAA" w14:textId="77777777" w:rsidTr="00F87412">
        <w:trPr>
          <w:trHeight w:val="809"/>
        </w:trPr>
        <w:tc>
          <w:tcPr>
            <w:tcW w:w="1075" w:type="dxa"/>
            <w:shd w:val="clear" w:color="auto" w:fill="FFFFFF" w:themeFill="background1"/>
            <w:vAlign w:val="center"/>
          </w:tcPr>
          <w:p w14:paraId="1214DEA8" w14:textId="47C4CAB4" w:rsidR="006826F0" w:rsidRPr="00907C84" w:rsidRDefault="006826F0" w:rsidP="00E6372C">
            <w:pPr>
              <w:adjustRightInd w:val="0"/>
              <w:snapToGrid w:val="0"/>
              <w:spacing w:after="0" w:line="360" w:lineRule="auto"/>
              <w:jc w:val="both"/>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 xml:space="preserve">Tai </w:t>
            </w:r>
            <w:r w:rsidR="00E8220F" w:rsidRPr="00E8220F">
              <w:rPr>
                <w:rFonts w:ascii="Book Antiqua" w:eastAsia="Times New Roman" w:hAnsi="Book Antiqua" w:cs="Times New Roman"/>
                <w:i/>
                <w:color w:val="000000"/>
                <w:sz w:val="24"/>
                <w:szCs w:val="24"/>
              </w:rPr>
              <w:t>et al</w:t>
            </w:r>
            <w:r w:rsidR="00F87412" w:rsidRPr="00F87412">
              <w:rPr>
                <w:rFonts w:ascii="Book Antiqua" w:eastAsia="Times New Roman" w:hAnsi="Book Antiqua" w:cs="Times New Roman"/>
                <w:color w:val="000000"/>
                <w:sz w:val="24"/>
                <w:szCs w:val="24"/>
                <w:vertAlign w:val="superscript"/>
              </w:rPr>
              <w:t>[18]</w:t>
            </w:r>
          </w:p>
        </w:tc>
        <w:tc>
          <w:tcPr>
            <w:tcW w:w="1530" w:type="dxa"/>
            <w:shd w:val="clear" w:color="auto" w:fill="FFFFFF" w:themeFill="background1"/>
            <w:vAlign w:val="center"/>
          </w:tcPr>
          <w:p w14:paraId="45AE8875" w14:textId="77777777" w:rsidR="006826F0" w:rsidRPr="00907C84" w:rsidRDefault="006826F0" w:rsidP="00F87412">
            <w:pPr>
              <w:adjustRightInd w:val="0"/>
              <w:snapToGrid w:val="0"/>
              <w:spacing w:after="0" w:line="360" w:lineRule="auto"/>
              <w:jc w:val="center"/>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Patients s/p resection arthroplasty and uninfected TKA controls from the Taiwanese NHIRD</w:t>
            </w:r>
          </w:p>
        </w:tc>
        <w:tc>
          <w:tcPr>
            <w:tcW w:w="630" w:type="dxa"/>
            <w:shd w:val="clear" w:color="auto" w:fill="FFFFFF" w:themeFill="background1"/>
            <w:vAlign w:val="center"/>
          </w:tcPr>
          <w:p w14:paraId="53B5B789" w14:textId="77777777" w:rsidR="006826F0" w:rsidRPr="00907C84" w:rsidRDefault="006826F0" w:rsidP="00F87412">
            <w:pPr>
              <w:adjustRightInd w:val="0"/>
              <w:snapToGrid w:val="0"/>
              <w:spacing w:after="0" w:line="360" w:lineRule="auto"/>
              <w:jc w:val="center"/>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6295</w:t>
            </w:r>
          </w:p>
        </w:tc>
        <w:tc>
          <w:tcPr>
            <w:tcW w:w="1710" w:type="dxa"/>
            <w:shd w:val="clear" w:color="auto" w:fill="FFFFFF" w:themeFill="background1"/>
            <w:vAlign w:val="center"/>
          </w:tcPr>
          <w:p w14:paraId="7D4EE419" w14:textId="77777777" w:rsidR="006826F0" w:rsidRPr="00907C84" w:rsidRDefault="006826F0" w:rsidP="00F87412">
            <w:pPr>
              <w:adjustRightInd w:val="0"/>
              <w:snapToGrid w:val="0"/>
              <w:spacing w:after="0" w:line="360" w:lineRule="auto"/>
              <w:jc w:val="center"/>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Patients with removal of infected TKA were matched with TKA patients without infections from the NHIRD and retrospectively analyzed.</w:t>
            </w:r>
          </w:p>
        </w:tc>
        <w:tc>
          <w:tcPr>
            <w:tcW w:w="1890" w:type="dxa"/>
            <w:shd w:val="clear" w:color="auto" w:fill="FFFFFF" w:themeFill="background1"/>
            <w:vAlign w:val="center"/>
          </w:tcPr>
          <w:p w14:paraId="56919169" w14:textId="77777777" w:rsidR="006826F0" w:rsidRPr="00907C84" w:rsidRDefault="006826F0" w:rsidP="00F87412">
            <w:pPr>
              <w:adjustRightInd w:val="0"/>
              <w:snapToGrid w:val="0"/>
              <w:spacing w:after="0" w:line="360" w:lineRule="auto"/>
              <w:jc w:val="center"/>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Compared to patients who did not receive scaling, those who received scaling once and 5-6 times in the previous three years had 20% and 31% less risk of TKA infection, respectively.</w:t>
            </w:r>
          </w:p>
        </w:tc>
        <w:tc>
          <w:tcPr>
            <w:tcW w:w="2160" w:type="dxa"/>
            <w:shd w:val="clear" w:color="auto" w:fill="FFFFFF" w:themeFill="background1"/>
            <w:vAlign w:val="center"/>
          </w:tcPr>
          <w:p w14:paraId="29844C93" w14:textId="77777777" w:rsidR="006826F0" w:rsidRPr="00907C84" w:rsidRDefault="006826F0" w:rsidP="00F87412">
            <w:pPr>
              <w:adjustRightInd w:val="0"/>
              <w:snapToGrid w:val="0"/>
              <w:spacing w:after="0" w:line="360" w:lineRule="auto"/>
              <w:jc w:val="center"/>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Dental scaling was associated with lower risk of infection.</w:t>
            </w:r>
          </w:p>
        </w:tc>
      </w:tr>
      <w:tr w:rsidR="006826F0" w:rsidRPr="00907C84" w14:paraId="1ECC6B08" w14:textId="77777777" w:rsidTr="00F87412">
        <w:trPr>
          <w:trHeight w:val="809"/>
        </w:trPr>
        <w:tc>
          <w:tcPr>
            <w:tcW w:w="1075" w:type="dxa"/>
            <w:shd w:val="clear" w:color="auto" w:fill="FFFFFF" w:themeFill="background1"/>
            <w:vAlign w:val="center"/>
          </w:tcPr>
          <w:p w14:paraId="1D5A22BE" w14:textId="7365FF2F" w:rsidR="006826F0" w:rsidRPr="00907C84" w:rsidRDefault="006826F0" w:rsidP="00E6372C">
            <w:pPr>
              <w:adjustRightInd w:val="0"/>
              <w:snapToGrid w:val="0"/>
              <w:spacing w:after="0" w:line="360" w:lineRule="auto"/>
              <w:jc w:val="both"/>
              <w:rPr>
                <w:rFonts w:ascii="Book Antiqua" w:eastAsia="Times New Roman" w:hAnsi="Book Antiqua" w:cs="Times New Roman"/>
                <w:color w:val="000000"/>
                <w:sz w:val="24"/>
                <w:szCs w:val="24"/>
              </w:rPr>
            </w:pPr>
            <w:proofErr w:type="spellStart"/>
            <w:r w:rsidRPr="00907C84">
              <w:rPr>
                <w:rFonts w:ascii="Book Antiqua" w:eastAsia="Times New Roman" w:hAnsi="Book Antiqua" w:cs="Times New Roman"/>
                <w:color w:val="000000"/>
                <w:sz w:val="24"/>
                <w:szCs w:val="24"/>
              </w:rPr>
              <w:t>Sonn</w:t>
            </w:r>
            <w:proofErr w:type="spellEnd"/>
            <w:r w:rsidRPr="00907C84">
              <w:rPr>
                <w:rFonts w:ascii="Book Antiqua" w:eastAsia="Times New Roman" w:hAnsi="Book Antiqua" w:cs="Times New Roman"/>
                <w:color w:val="000000"/>
                <w:sz w:val="24"/>
                <w:szCs w:val="24"/>
              </w:rPr>
              <w:t xml:space="preserve"> </w:t>
            </w:r>
            <w:r w:rsidR="00E8220F" w:rsidRPr="00E8220F">
              <w:rPr>
                <w:rFonts w:ascii="Book Antiqua" w:eastAsia="Times New Roman" w:hAnsi="Book Antiqua" w:cs="Times New Roman"/>
                <w:i/>
                <w:color w:val="000000"/>
                <w:sz w:val="24"/>
                <w:szCs w:val="24"/>
              </w:rPr>
              <w:t>et al</w:t>
            </w:r>
            <w:r w:rsidR="00F87412" w:rsidRPr="00F87412">
              <w:rPr>
                <w:rFonts w:ascii="Book Antiqua" w:eastAsia="Times New Roman" w:hAnsi="Book Antiqua" w:cs="Times New Roman"/>
                <w:iCs/>
                <w:color w:val="000000"/>
                <w:sz w:val="24"/>
                <w:szCs w:val="24"/>
                <w:vertAlign w:val="superscript"/>
              </w:rPr>
              <w:t>[19]</w:t>
            </w:r>
          </w:p>
        </w:tc>
        <w:tc>
          <w:tcPr>
            <w:tcW w:w="1530" w:type="dxa"/>
            <w:shd w:val="clear" w:color="auto" w:fill="FFFFFF" w:themeFill="background1"/>
            <w:vAlign w:val="center"/>
          </w:tcPr>
          <w:p w14:paraId="25F3847A" w14:textId="77777777" w:rsidR="006826F0" w:rsidRPr="00907C84" w:rsidRDefault="006826F0" w:rsidP="00F87412">
            <w:pPr>
              <w:adjustRightInd w:val="0"/>
              <w:snapToGrid w:val="0"/>
              <w:spacing w:after="0" w:line="360" w:lineRule="auto"/>
              <w:jc w:val="center"/>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Elective TJA patients at an unspecified location</w:t>
            </w:r>
          </w:p>
        </w:tc>
        <w:tc>
          <w:tcPr>
            <w:tcW w:w="630" w:type="dxa"/>
            <w:shd w:val="clear" w:color="auto" w:fill="FFFFFF" w:themeFill="background1"/>
            <w:vAlign w:val="center"/>
          </w:tcPr>
          <w:p w14:paraId="0A2E11AB" w14:textId="77777777" w:rsidR="006826F0" w:rsidRPr="00907C84" w:rsidRDefault="006826F0" w:rsidP="00F87412">
            <w:pPr>
              <w:adjustRightInd w:val="0"/>
              <w:snapToGrid w:val="0"/>
              <w:spacing w:after="0" w:line="360" w:lineRule="auto"/>
              <w:jc w:val="center"/>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2457</w:t>
            </w:r>
          </w:p>
        </w:tc>
        <w:tc>
          <w:tcPr>
            <w:tcW w:w="1710" w:type="dxa"/>
            <w:shd w:val="clear" w:color="auto" w:fill="FFFFFF" w:themeFill="background1"/>
            <w:vAlign w:val="center"/>
          </w:tcPr>
          <w:p w14:paraId="24687C54" w14:textId="77777777" w:rsidR="006826F0" w:rsidRPr="00907C84" w:rsidRDefault="006826F0" w:rsidP="00F87412">
            <w:pPr>
              <w:adjustRightInd w:val="0"/>
              <w:snapToGrid w:val="0"/>
              <w:spacing w:after="0" w:line="360" w:lineRule="auto"/>
              <w:jc w:val="center"/>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 xml:space="preserve">The data </w:t>
            </w:r>
            <w:proofErr w:type="gramStart"/>
            <w:r w:rsidRPr="00907C84">
              <w:rPr>
                <w:rFonts w:ascii="Book Antiqua" w:eastAsia="Times New Roman" w:hAnsi="Book Antiqua" w:cs="Times New Roman"/>
                <w:color w:val="000000"/>
                <w:sz w:val="24"/>
                <w:szCs w:val="24"/>
              </w:rPr>
              <w:t>for a consecutive TJA patients</w:t>
            </w:r>
            <w:proofErr w:type="gramEnd"/>
            <w:r w:rsidRPr="00907C84">
              <w:rPr>
                <w:rFonts w:ascii="Book Antiqua" w:eastAsia="Times New Roman" w:hAnsi="Book Antiqua" w:cs="Times New Roman"/>
                <w:color w:val="000000"/>
                <w:sz w:val="24"/>
                <w:szCs w:val="24"/>
              </w:rPr>
              <w:t xml:space="preserve"> was retrospectively analyzed.</w:t>
            </w:r>
          </w:p>
        </w:tc>
        <w:tc>
          <w:tcPr>
            <w:tcW w:w="1890" w:type="dxa"/>
            <w:shd w:val="clear" w:color="auto" w:fill="FFFFFF" w:themeFill="background1"/>
            <w:vAlign w:val="center"/>
          </w:tcPr>
          <w:p w14:paraId="577666A0" w14:textId="77777777" w:rsidR="006826F0" w:rsidRPr="00907C84" w:rsidRDefault="006826F0" w:rsidP="00F87412">
            <w:pPr>
              <w:adjustRightInd w:val="0"/>
              <w:snapToGrid w:val="0"/>
              <w:spacing w:after="0" w:line="360" w:lineRule="auto"/>
              <w:jc w:val="center"/>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There were no significant associations between complication and dental evaluation or extraction.</w:t>
            </w:r>
          </w:p>
        </w:tc>
        <w:tc>
          <w:tcPr>
            <w:tcW w:w="2160" w:type="dxa"/>
            <w:shd w:val="clear" w:color="auto" w:fill="FFFFFF" w:themeFill="background1"/>
            <w:vAlign w:val="center"/>
          </w:tcPr>
          <w:p w14:paraId="744BE63B" w14:textId="61E181BC" w:rsidR="006826F0" w:rsidRPr="00907C84" w:rsidRDefault="006826F0" w:rsidP="00F87412">
            <w:pPr>
              <w:adjustRightInd w:val="0"/>
              <w:snapToGrid w:val="0"/>
              <w:spacing w:after="0" w:line="360" w:lineRule="auto"/>
              <w:jc w:val="center"/>
              <w:rPr>
                <w:rFonts w:ascii="Book Antiqua" w:eastAsia="Times New Roman" w:hAnsi="Book Antiqua" w:cs="Times New Roman"/>
                <w:color w:val="000000"/>
                <w:sz w:val="24"/>
                <w:szCs w:val="24"/>
              </w:rPr>
            </w:pPr>
            <w:r w:rsidRPr="00907C84">
              <w:rPr>
                <w:rFonts w:ascii="Book Antiqua" w:eastAsia="Times New Roman" w:hAnsi="Book Antiqua" w:cs="Times New Roman"/>
                <w:color w:val="000000"/>
                <w:sz w:val="24"/>
                <w:szCs w:val="24"/>
              </w:rPr>
              <w:t>Dental evaluation +/- extraction did not improve complication rates.</w:t>
            </w:r>
          </w:p>
        </w:tc>
      </w:tr>
    </w:tbl>
    <w:p w14:paraId="4005DA18" w14:textId="62953A74" w:rsidR="006826F0" w:rsidRPr="00907C84" w:rsidRDefault="00F87412" w:rsidP="006826F0">
      <w:pPr>
        <w:adjustRightInd w:val="0"/>
        <w:snapToGrid w:val="0"/>
        <w:spacing w:after="0" w:line="360" w:lineRule="auto"/>
        <w:jc w:val="both"/>
        <w:rPr>
          <w:rFonts w:ascii="Book Antiqua" w:hAnsi="Book Antiqua" w:cs="Times New Roman"/>
          <w:sz w:val="24"/>
          <w:szCs w:val="24"/>
        </w:rPr>
      </w:pPr>
      <w:r w:rsidRPr="00907C84">
        <w:rPr>
          <w:rFonts w:ascii="Book Antiqua" w:hAnsi="Book Antiqua" w:cs="Times New Roman"/>
          <w:sz w:val="24"/>
          <w:szCs w:val="24"/>
        </w:rPr>
        <w:t>POD</w:t>
      </w:r>
      <w:r>
        <w:rPr>
          <w:rFonts w:ascii="Book Antiqua" w:hAnsi="Book Antiqua" w:cs="Times New Roman"/>
          <w:sz w:val="24"/>
          <w:szCs w:val="24"/>
        </w:rPr>
        <w:t xml:space="preserve">: </w:t>
      </w:r>
      <w:r w:rsidRPr="00907C84">
        <w:rPr>
          <w:rFonts w:ascii="Book Antiqua" w:hAnsi="Book Antiqua" w:cs="Times New Roman"/>
          <w:sz w:val="24"/>
          <w:szCs w:val="24"/>
        </w:rPr>
        <w:t>Post op day</w:t>
      </w:r>
      <w:r>
        <w:rPr>
          <w:rFonts w:ascii="Book Antiqua" w:hAnsi="Book Antiqua" w:cs="Times New Roman"/>
          <w:sz w:val="24"/>
          <w:szCs w:val="24"/>
        </w:rPr>
        <w:t>;</w:t>
      </w:r>
      <w:r w:rsidRPr="00907C84">
        <w:rPr>
          <w:rFonts w:ascii="Book Antiqua" w:hAnsi="Book Antiqua" w:cs="Times New Roman"/>
          <w:sz w:val="24"/>
          <w:szCs w:val="24"/>
        </w:rPr>
        <w:t xml:space="preserve"> NHIRD</w:t>
      </w:r>
      <w:r>
        <w:rPr>
          <w:rFonts w:ascii="Book Antiqua" w:hAnsi="Book Antiqua" w:cs="Times New Roman"/>
          <w:sz w:val="24"/>
          <w:szCs w:val="24"/>
        </w:rPr>
        <w:t xml:space="preserve">: </w:t>
      </w:r>
      <w:r w:rsidRPr="00907C84">
        <w:rPr>
          <w:rFonts w:ascii="Book Antiqua" w:hAnsi="Book Antiqua" w:cs="Times New Roman"/>
          <w:sz w:val="24"/>
          <w:szCs w:val="24"/>
        </w:rPr>
        <w:t>National health insurance research database</w:t>
      </w:r>
      <w:r>
        <w:rPr>
          <w:rFonts w:ascii="Book Antiqua" w:hAnsi="Book Antiqua" w:cs="Times New Roman"/>
          <w:sz w:val="24"/>
          <w:szCs w:val="24"/>
        </w:rPr>
        <w:t xml:space="preserve">; TKA: </w:t>
      </w:r>
      <w:r w:rsidRPr="00907C84">
        <w:rPr>
          <w:rFonts w:ascii="Book Antiqua" w:hAnsi="Book Antiqua" w:cs="Times New Roman"/>
          <w:sz w:val="24"/>
          <w:szCs w:val="24"/>
        </w:rPr>
        <w:t>Total knee arthroplasty</w:t>
      </w:r>
      <w:r>
        <w:rPr>
          <w:rFonts w:ascii="Book Antiqua" w:hAnsi="Book Antiqua" w:cs="Times New Roman"/>
          <w:sz w:val="24"/>
          <w:szCs w:val="24"/>
        </w:rPr>
        <w:t xml:space="preserve">; </w:t>
      </w:r>
      <w:r w:rsidRPr="00907C84">
        <w:rPr>
          <w:rFonts w:ascii="Book Antiqua" w:eastAsia="Times New Roman" w:hAnsi="Book Antiqua" w:cs="Times New Roman"/>
          <w:color w:val="000000"/>
          <w:sz w:val="24"/>
          <w:szCs w:val="24"/>
        </w:rPr>
        <w:t>TJA</w:t>
      </w:r>
      <w:r>
        <w:rPr>
          <w:rFonts w:ascii="Book Antiqua" w:eastAsia="Times New Roman" w:hAnsi="Book Antiqua" w:cs="Times New Roman"/>
          <w:color w:val="000000"/>
          <w:sz w:val="24"/>
          <w:szCs w:val="24"/>
        </w:rPr>
        <w:t xml:space="preserve">: </w:t>
      </w:r>
      <w:r w:rsidRPr="00907C84">
        <w:rPr>
          <w:rFonts w:ascii="Book Antiqua" w:hAnsi="Book Antiqua" w:cs="Times New Roman"/>
          <w:sz w:val="24"/>
          <w:szCs w:val="24"/>
        </w:rPr>
        <w:t>Total joint arthroplasty</w:t>
      </w:r>
      <w:r>
        <w:rPr>
          <w:rFonts w:ascii="Book Antiqua" w:hAnsi="Book Antiqua" w:cs="Times New Roman"/>
          <w:sz w:val="24"/>
          <w:szCs w:val="24"/>
        </w:rPr>
        <w:t>.</w:t>
      </w:r>
    </w:p>
    <w:sectPr w:rsidR="006826F0" w:rsidRPr="00907C84" w:rsidSect="00DA3915">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93CBC2" w14:textId="77777777" w:rsidR="00E31EFD" w:rsidRDefault="00E31EFD" w:rsidP="007507E5">
      <w:pPr>
        <w:spacing w:after="0" w:line="240" w:lineRule="auto"/>
      </w:pPr>
      <w:r>
        <w:separator/>
      </w:r>
    </w:p>
  </w:endnote>
  <w:endnote w:type="continuationSeparator" w:id="0">
    <w:p w14:paraId="60B78C65" w14:textId="77777777" w:rsidR="00E31EFD" w:rsidRDefault="00E31EFD" w:rsidP="007507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B951F1" w14:textId="4649BCC0" w:rsidR="009075F4" w:rsidRDefault="009075F4">
    <w:pPr>
      <w:pStyle w:val="a8"/>
      <w:jc w:val="right"/>
    </w:pPr>
  </w:p>
  <w:p w14:paraId="03CE9E73" w14:textId="77777777" w:rsidR="009075F4" w:rsidRDefault="009075F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DEDEE3" w14:textId="77777777" w:rsidR="00E31EFD" w:rsidRDefault="00E31EFD" w:rsidP="007507E5">
      <w:pPr>
        <w:spacing w:after="0" w:line="240" w:lineRule="auto"/>
      </w:pPr>
      <w:r>
        <w:separator/>
      </w:r>
    </w:p>
  </w:footnote>
  <w:footnote w:type="continuationSeparator" w:id="0">
    <w:p w14:paraId="2BFA5C33" w14:textId="77777777" w:rsidR="00E31EFD" w:rsidRDefault="00E31EFD" w:rsidP="007507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C4075"/>
    <w:multiLevelType w:val="hybridMultilevel"/>
    <w:tmpl w:val="A106F528"/>
    <w:lvl w:ilvl="0" w:tplc="82C892C0">
      <w:start w:val="1"/>
      <w:numFmt w:val="decimal"/>
      <w:lvlText w:val="%1"/>
      <w:lvlJc w:val="left"/>
      <w:pPr>
        <w:ind w:left="360" w:hanging="360"/>
      </w:pPr>
      <w:rPr>
        <w:rFonts w:ascii="Book Antiqua" w:eastAsiaTheme="minorEastAsia" w:hAnsi="Book Antiqua" w:cs="Times New Roman"/>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3924CCE"/>
    <w:multiLevelType w:val="hybridMultilevel"/>
    <w:tmpl w:val="0D7A6E28"/>
    <w:lvl w:ilvl="0" w:tplc="E1C6186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F865EE"/>
    <w:multiLevelType w:val="hybridMultilevel"/>
    <w:tmpl w:val="E4E84DF0"/>
    <w:lvl w:ilvl="0" w:tplc="F9ACCC3E">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38D32C3"/>
    <w:multiLevelType w:val="hybridMultilevel"/>
    <w:tmpl w:val="4A0CFBA2"/>
    <w:lvl w:ilvl="0" w:tplc="246EFDB8">
      <w:start w:val="1"/>
      <w:numFmt w:val="decimal"/>
      <w:lvlText w:val="%1."/>
      <w:lvlJc w:val="left"/>
      <w:pPr>
        <w:tabs>
          <w:tab w:val="num" w:pos="720"/>
        </w:tabs>
        <w:ind w:left="720" w:hanging="360"/>
      </w:pPr>
    </w:lvl>
    <w:lvl w:ilvl="1" w:tplc="0186D46E" w:tentative="1">
      <w:start w:val="1"/>
      <w:numFmt w:val="decimal"/>
      <w:lvlText w:val="%2."/>
      <w:lvlJc w:val="left"/>
      <w:pPr>
        <w:tabs>
          <w:tab w:val="num" w:pos="1440"/>
        </w:tabs>
        <w:ind w:left="1440" w:hanging="360"/>
      </w:pPr>
    </w:lvl>
    <w:lvl w:ilvl="2" w:tplc="02689F5E" w:tentative="1">
      <w:start w:val="1"/>
      <w:numFmt w:val="decimal"/>
      <w:lvlText w:val="%3."/>
      <w:lvlJc w:val="left"/>
      <w:pPr>
        <w:tabs>
          <w:tab w:val="num" w:pos="2160"/>
        </w:tabs>
        <w:ind w:left="2160" w:hanging="360"/>
      </w:pPr>
    </w:lvl>
    <w:lvl w:ilvl="3" w:tplc="4B521A2A" w:tentative="1">
      <w:start w:val="1"/>
      <w:numFmt w:val="decimal"/>
      <w:lvlText w:val="%4."/>
      <w:lvlJc w:val="left"/>
      <w:pPr>
        <w:tabs>
          <w:tab w:val="num" w:pos="2880"/>
        </w:tabs>
        <w:ind w:left="2880" w:hanging="360"/>
      </w:pPr>
    </w:lvl>
    <w:lvl w:ilvl="4" w:tplc="27401672" w:tentative="1">
      <w:start w:val="1"/>
      <w:numFmt w:val="decimal"/>
      <w:lvlText w:val="%5."/>
      <w:lvlJc w:val="left"/>
      <w:pPr>
        <w:tabs>
          <w:tab w:val="num" w:pos="3600"/>
        </w:tabs>
        <w:ind w:left="3600" w:hanging="360"/>
      </w:pPr>
    </w:lvl>
    <w:lvl w:ilvl="5" w:tplc="5CB05A12" w:tentative="1">
      <w:start w:val="1"/>
      <w:numFmt w:val="decimal"/>
      <w:lvlText w:val="%6."/>
      <w:lvlJc w:val="left"/>
      <w:pPr>
        <w:tabs>
          <w:tab w:val="num" w:pos="4320"/>
        </w:tabs>
        <w:ind w:left="4320" w:hanging="360"/>
      </w:pPr>
    </w:lvl>
    <w:lvl w:ilvl="6" w:tplc="F4028D68" w:tentative="1">
      <w:start w:val="1"/>
      <w:numFmt w:val="decimal"/>
      <w:lvlText w:val="%7."/>
      <w:lvlJc w:val="left"/>
      <w:pPr>
        <w:tabs>
          <w:tab w:val="num" w:pos="5040"/>
        </w:tabs>
        <w:ind w:left="5040" w:hanging="360"/>
      </w:pPr>
    </w:lvl>
    <w:lvl w:ilvl="7" w:tplc="797AA6F4" w:tentative="1">
      <w:start w:val="1"/>
      <w:numFmt w:val="decimal"/>
      <w:lvlText w:val="%8."/>
      <w:lvlJc w:val="left"/>
      <w:pPr>
        <w:tabs>
          <w:tab w:val="num" w:pos="5760"/>
        </w:tabs>
        <w:ind w:left="5760" w:hanging="360"/>
      </w:pPr>
    </w:lvl>
    <w:lvl w:ilvl="8" w:tplc="70C24582"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3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444"/>
    <w:rsid w:val="00002658"/>
    <w:rsid w:val="00002CAA"/>
    <w:rsid w:val="000145E9"/>
    <w:rsid w:val="000437B8"/>
    <w:rsid w:val="00055B1B"/>
    <w:rsid w:val="0005674E"/>
    <w:rsid w:val="0006031A"/>
    <w:rsid w:val="00063EF1"/>
    <w:rsid w:val="0006525C"/>
    <w:rsid w:val="00075210"/>
    <w:rsid w:val="00085B74"/>
    <w:rsid w:val="00092EEC"/>
    <w:rsid w:val="000A0015"/>
    <w:rsid w:val="000A39BF"/>
    <w:rsid w:val="000A42DF"/>
    <w:rsid w:val="000D49F7"/>
    <w:rsid w:val="000D58BC"/>
    <w:rsid w:val="000D7DF7"/>
    <w:rsid w:val="000E022F"/>
    <w:rsid w:val="0010023D"/>
    <w:rsid w:val="00102120"/>
    <w:rsid w:val="0012263A"/>
    <w:rsid w:val="00122C3B"/>
    <w:rsid w:val="00127445"/>
    <w:rsid w:val="00130CBA"/>
    <w:rsid w:val="00132352"/>
    <w:rsid w:val="0013546D"/>
    <w:rsid w:val="0014191D"/>
    <w:rsid w:val="00143AD4"/>
    <w:rsid w:val="0014493B"/>
    <w:rsid w:val="00145DBB"/>
    <w:rsid w:val="00147719"/>
    <w:rsid w:val="00152FA5"/>
    <w:rsid w:val="0017580C"/>
    <w:rsid w:val="001815D0"/>
    <w:rsid w:val="0018540F"/>
    <w:rsid w:val="00187138"/>
    <w:rsid w:val="001B1283"/>
    <w:rsid w:val="001B3490"/>
    <w:rsid w:val="001B4804"/>
    <w:rsid w:val="001B6F49"/>
    <w:rsid w:val="001C2B8A"/>
    <w:rsid w:val="001C57F7"/>
    <w:rsid w:val="001C7C58"/>
    <w:rsid w:val="001D0FBC"/>
    <w:rsid w:val="001D510E"/>
    <w:rsid w:val="001D77C3"/>
    <w:rsid w:val="001D7CE1"/>
    <w:rsid w:val="001E0204"/>
    <w:rsid w:val="001E1076"/>
    <w:rsid w:val="00210B95"/>
    <w:rsid w:val="002321E9"/>
    <w:rsid w:val="0024051D"/>
    <w:rsid w:val="00241344"/>
    <w:rsid w:val="00242D0B"/>
    <w:rsid w:val="00245296"/>
    <w:rsid w:val="0024641A"/>
    <w:rsid w:val="002500C9"/>
    <w:rsid w:val="00253A2F"/>
    <w:rsid w:val="00263D21"/>
    <w:rsid w:val="00265D56"/>
    <w:rsid w:val="002724D5"/>
    <w:rsid w:val="00277A47"/>
    <w:rsid w:val="00281BA7"/>
    <w:rsid w:val="00284FE2"/>
    <w:rsid w:val="0028653D"/>
    <w:rsid w:val="00287BAB"/>
    <w:rsid w:val="00290763"/>
    <w:rsid w:val="00294330"/>
    <w:rsid w:val="002A2EC0"/>
    <w:rsid w:val="002B00D9"/>
    <w:rsid w:val="002B6BD5"/>
    <w:rsid w:val="002C198D"/>
    <w:rsid w:val="002C5AD7"/>
    <w:rsid w:val="002E46DE"/>
    <w:rsid w:val="002E49CE"/>
    <w:rsid w:val="002F254B"/>
    <w:rsid w:val="002F4FC1"/>
    <w:rsid w:val="0030402A"/>
    <w:rsid w:val="003057B0"/>
    <w:rsid w:val="0032019A"/>
    <w:rsid w:val="00327EE5"/>
    <w:rsid w:val="00337A07"/>
    <w:rsid w:val="003539B1"/>
    <w:rsid w:val="00361EC6"/>
    <w:rsid w:val="00363D31"/>
    <w:rsid w:val="0036458C"/>
    <w:rsid w:val="00365054"/>
    <w:rsid w:val="00385414"/>
    <w:rsid w:val="003915E4"/>
    <w:rsid w:val="00393E54"/>
    <w:rsid w:val="00394E9D"/>
    <w:rsid w:val="00397C46"/>
    <w:rsid w:val="003B0EF6"/>
    <w:rsid w:val="003B16E9"/>
    <w:rsid w:val="003B737C"/>
    <w:rsid w:val="003D3478"/>
    <w:rsid w:val="003D5DC6"/>
    <w:rsid w:val="003D7031"/>
    <w:rsid w:val="003E6BA8"/>
    <w:rsid w:val="003F2911"/>
    <w:rsid w:val="00415BF0"/>
    <w:rsid w:val="00422EA6"/>
    <w:rsid w:val="00424816"/>
    <w:rsid w:val="00424E0F"/>
    <w:rsid w:val="00425E07"/>
    <w:rsid w:val="004364B3"/>
    <w:rsid w:val="0046038B"/>
    <w:rsid w:val="0046131E"/>
    <w:rsid w:val="00465CAB"/>
    <w:rsid w:val="0047093A"/>
    <w:rsid w:val="0048467F"/>
    <w:rsid w:val="004905E0"/>
    <w:rsid w:val="00496A6B"/>
    <w:rsid w:val="00497912"/>
    <w:rsid w:val="004A03DE"/>
    <w:rsid w:val="004A6A33"/>
    <w:rsid w:val="004B5A59"/>
    <w:rsid w:val="004C0A9D"/>
    <w:rsid w:val="004C4375"/>
    <w:rsid w:val="004D1674"/>
    <w:rsid w:val="004E3331"/>
    <w:rsid w:val="004F4658"/>
    <w:rsid w:val="00502B1D"/>
    <w:rsid w:val="00512846"/>
    <w:rsid w:val="00520D9E"/>
    <w:rsid w:val="00533803"/>
    <w:rsid w:val="005347E3"/>
    <w:rsid w:val="00534D35"/>
    <w:rsid w:val="00545A12"/>
    <w:rsid w:val="005778C4"/>
    <w:rsid w:val="0058378E"/>
    <w:rsid w:val="005873D5"/>
    <w:rsid w:val="00590BDC"/>
    <w:rsid w:val="0059529C"/>
    <w:rsid w:val="005A1B9C"/>
    <w:rsid w:val="005A34C4"/>
    <w:rsid w:val="005A4FD6"/>
    <w:rsid w:val="005B17AF"/>
    <w:rsid w:val="005B358D"/>
    <w:rsid w:val="005E5416"/>
    <w:rsid w:val="005E6A3A"/>
    <w:rsid w:val="005F4647"/>
    <w:rsid w:val="005F6C0F"/>
    <w:rsid w:val="00616A48"/>
    <w:rsid w:val="00617A18"/>
    <w:rsid w:val="0062386C"/>
    <w:rsid w:val="00660915"/>
    <w:rsid w:val="006625A8"/>
    <w:rsid w:val="0066659E"/>
    <w:rsid w:val="00667A9E"/>
    <w:rsid w:val="006707A7"/>
    <w:rsid w:val="00675C01"/>
    <w:rsid w:val="006826F0"/>
    <w:rsid w:val="006828E5"/>
    <w:rsid w:val="00687CFA"/>
    <w:rsid w:val="00692594"/>
    <w:rsid w:val="006A1857"/>
    <w:rsid w:val="006C73B6"/>
    <w:rsid w:val="006C76E7"/>
    <w:rsid w:val="006D43E5"/>
    <w:rsid w:val="006E6444"/>
    <w:rsid w:val="006F1EA8"/>
    <w:rsid w:val="006F2AC8"/>
    <w:rsid w:val="00706E33"/>
    <w:rsid w:val="00707D8A"/>
    <w:rsid w:val="007115C2"/>
    <w:rsid w:val="00714904"/>
    <w:rsid w:val="00717DF2"/>
    <w:rsid w:val="007226E0"/>
    <w:rsid w:val="00730768"/>
    <w:rsid w:val="0073360B"/>
    <w:rsid w:val="00735664"/>
    <w:rsid w:val="00747761"/>
    <w:rsid w:val="007507E5"/>
    <w:rsid w:val="00754D77"/>
    <w:rsid w:val="007633D9"/>
    <w:rsid w:val="00767D54"/>
    <w:rsid w:val="00770DD2"/>
    <w:rsid w:val="007735FA"/>
    <w:rsid w:val="007743BE"/>
    <w:rsid w:val="0079655F"/>
    <w:rsid w:val="00796DE0"/>
    <w:rsid w:val="007A4896"/>
    <w:rsid w:val="007A68E4"/>
    <w:rsid w:val="007B07EA"/>
    <w:rsid w:val="007B2BA6"/>
    <w:rsid w:val="007B588F"/>
    <w:rsid w:val="007C207D"/>
    <w:rsid w:val="007D125B"/>
    <w:rsid w:val="007D3A45"/>
    <w:rsid w:val="007D4686"/>
    <w:rsid w:val="007E18B4"/>
    <w:rsid w:val="007E1F7A"/>
    <w:rsid w:val="007E39ED"/>
    <w:rsid w:val="007E497C"/>
    <w:rsid w:val="007F08F1"/>
    <w:rsid w:val="007F23A2"/>
    <w:rsid w:val="0080261D"/>
    <w:rsid w:val="00804065"/>
    <w:rsid w:val="00804AA5"/>
    <w:rsid w:val="00813384"/>
    <w:rsid w:val="00814B11"/>
    <w:rsid w:val="00820EE7"/>
    <w:rsid w:val="00822499"/>
    <w:rsid w:val="00822517"/>
    <w:rsid w:val="00824F19"/>
    <w:rsid w:val="0082571F"/>
    <w:rsid w:val="00825C30"/>
    <w:rsid w:val="00826ABE"/>
    <w:rsid w:val="00833F07"/>
    <w:rsid w:val="00850341"/>
    <w:rsid w:val="00855C1A"/>
    <w:rsid w:val="00857B4B"/>
    <w:rsid w:val="00857D77"/>
    <w:rsid w:val="00864BFB"/>
    <w:rsid w:val="0087287D"/>
    <w:rsid w:val="00884BCC"/>
    <w:rsid w:val="008969B8"/>
    <w:rsid w:val="008A0CD6"/>
    <w:rsid w:val="008A3D84"/>
    <w:rsid w:val="008A76D3"/>
    <w:rsid w:val="008B13F1"/>
    <w:rsid w:val="008B74BD"/>
    <w:rsid w:val="008D4D42"/>
    <w:rsid w:val="008D4E55"/>
    <w:rsid w:val="008F2AC7"/>
    <w:rsid w:val="008F6507"/>
    <w:rsid w:val="009075F4"/>
    <w:rsid w:val="00907C84"/>
    <w:rsid w:val="0091522F"/>
    <w:rsid w:val="00923CDA"/>
    <w:rsid w:val="00925202"/>
    <w:rsid w:val="00926F07"/>
    <w:rsid w:val="00927772"/>
    <w:rsid w:val="00935313"/>
    <w:rsid w:val="00937E3D"/>
    <w:rsid w:val="0094134F"/>
    <w:rsid w:val="009521B3"/>
    <w:rsid w:val="00954893"/>
    <w:rsid w:val="0097580B"/>
    <w:rsid w:val="00984CCA"/>
    <w:rsid w:val="00991DD1"/>
    <w:rsid w:val="009944C3"/>
    <w:rsid w:val="00996D71"/>
    <w:rsid w:val="009A4DFE"/>
    <w:rsid w:val="009B2B95"/>
    <w:rsid w:val="009C2B85"/>
    <w:rsid w:val="009C4C96"/>
    <w:rsid w:val="009D1526"/>
    <w:rsid w:val="009D763C"/>
    <w:rsid w:val="009E4F26"/>
    <w:rsid w:val="009F0C76"/>
    <w:rsid w:val="00A05DAE"/>
    <w:rsid w:val="00A1110D"/>
    <w:rsid w:val="00A123BC"/>
    <w:rsid w:val="00A22EE8"/>
    <w:rsid w:val="00A336DA"/>
    <w:rsid w:val="00A34B80"/>
    <w:rsid w:val="00A353CA"/>
    <w:rsid w:val="00A57B8B"/>
    <w:rsid w:val="00A57F35"/>
    <w:rsid w:val="00A67228"/>
    <w:rsid w:val="00A707A7"/>
    <w:rsid w:val="00A71FAE"/>
    <w:rsid w:val="00A75ED3"/>
    <w:rsid w:val="00A768D3"/>
    <w:rsid w:val="00AA323A"/>
    <w:rsid w:val="00AB2C19"/>
    <w:rsid w:val="00AC1BA0"/>
    <w:rsid w:val="00AC296F"/>
    <w:rsid w:val="00AC56FD"/>
    <w:rsid w:val="00AD0E95"/>
    <w:rsid w:val="00AD1945"/>
    <w:rsid w:val="00AD3F5C"/>
    <w:rsid w:val="00AD5B4E"/>
    <w:rsid w:val="00AE6FB5"/>
    <w:rsid w:val="00AF1C19"/>
    <w:rsid w:val="00AF689D"/>
    <w:rsid w:val="00AF734A"/>
    <w:rsid w:val="00B0187A"/>
    <w:rsid w:val="00B01E9E"/>
    <w:rsid w:val="00B02F5C"/>
    <w:rsid w:val="00B1176C"/>
    <w:rsid w:val="00B26BF4"/>
    <w:rsid w:val="00B27072"/>
    <w:rsid w:val="00B2789C"/>
    <w:rsid w:val="00B30E26"/>
    <w:rsid w:val="00B37B28"/>
    <w:rsid w:val="00B5250E"/>
    <w:rsid w:val="00B7080C"/>
    <w:rsid w:val="00B70997"/>
    <w:rsid w:val="00B72796"/>
    <w:rsid w:val="00B74516"/>
    <w:rsid w:val="00B75484"/>
    <w:rsid w:val="00B774E9"/>
    <w:rsid w:val="00B90958"/>
    <w:rsid w:val="00BB2092"/>
    <w:rsid w:val="00BB3D66"/>
    <w:rsid w:val="00BB49D8"/>
    <w:rsid w:val="00BB61B1"/>
    <w:rsid w:val="00BC081A"/>
    <w:rsid w:val="00BC452E"/>
    <w:rsid w:val="00BC61A2"/>
    <w:rsid w:val="00BC6F2B"/>
    <w:rsid w:val="00BD0911"/>
    <w:rsid w:val="00BE120F"/>
    <w:rsid w:val="00BE3AB6"/>
    <w:rsid w:val="00BE45E1"/>
    <w:rsid w:val="00BF4730"/>
    <w:rsid w:val="00BF60F6"/>
    <w:rsid w:val="00C02203"/>
    <w:rsid w:val="00C07A76"/>
    <w:rsid w:val="00C106A0"/>
    <w:rsid w:val="00C13D37"/>
    <w:rsid w:val="00C2701A"/>
    <w:rsid w:val="00C27255"/>
    <w:rsid w:val="00C34DCF"/>
    <w:rsid w:val="00C355C6"/>
    <w:rsid w:val="00C36247"/>
    <w:rsid w:val="00C42766"/>
    <w:rsid w:val="00C60958"/>
    <w:rsid w:val="00C61DAF"/>
    <w:rsid w:val="00C6760C"/>
    <w:rsid w:val="00C80B75"/>
    <w:rsid w:val="00C82145"/>
    <w:rsid w:val="00C85E80"/>
    <w:rsid w:val="00CB3271"/>
    <w:rsid w:val="00CC00E1"/>
    <w:rsid w:val="00CC5C06"/>
    <w:rsid w:val="00CD0F3E"/>
    <w:rsid w:val="00CD1B5D"/>
    <w:rsid w:val="00CD429F"/>
    <w:rsid w:val="00CD4503"/>
    <w:rsid w:val="00CD5553"/>
    <w:rsid w:val="00CD5890"/>
    <w:rsid w:val="00CD601C"/>
    <w:rsid w:val="00CE0B9E"/>
    <w:rsid w:val="00CE306D"/>
    <w:rsid w:val="00CE3B3B"/>
    <w:rsid w:val="00CE4D97"/>
    <w:rsid w:val="00CF147F"/>
    <w:rsid w:val="00CF6FB5"/>
    <w:rsid w:val="00CF7698"/>
    <w:rsid w:val="00D004BD"/>
    <w:rsid w:val="00D14BB5"/>
    <w:rsid w:val="00D22D24"/>
    <w:rsid w:val="00D30369"/>
    <w:rsid w:val="00D4152A"/>
    <w:rsid w:val="00D41A8A"/>
    <w:rsid w:val="00D60EB8"/>
    <w:rsid w:val="00D675E4"/>
    <w:rsid w:val="00D72913"/>
    <w:rsid w:val="00D74492"/>
    <w:rsid w:val="00D7467C"/>
    <w:rsid w:val="00D7628E"/>
    <w:rsid w:val="00D76FEC"/>
    <w:rsid w:val="00D9281F"/>
    <w:rsid w:val="00DA3915"/>
    <w:rsid w:val="00DB1098"/>
    <w:rsid w:val="00DB239C"/>
    <w:rsid w:val="00DB6A91"/>
    <w:rsid w:val="00DD5063"/>
    <w:rsid w:val="00DD570E"/>
    <w:rsid w:val="00DE1BAE"/>
    <w:rsid w:val="00DE25C7"/>
    <w:rsid w:val="00DE45E9"/>
    <w:rsid w:val="00DF113A"/>
    <w:rsid w:val="00E01116"/>
    <w:rsid w:val="00E053DA"/>
    <w:rsid w:val="00E14276"/>
    <w:rsid w:val="00E31EFD"/>
    <w:rsid w:val="00E32850"/>
    <w:rsid w:val="00E4110E"/>
    <w:rsid w:val="00E43DFD"/>
    <w:rsid w:val="00E44244"/>
    <w:rsid w:val="00E50444"/>
    <w:rsid w:val="00E50C75"/>
    <w:rsid w:val="00E5253D"/>
    <w:rsid w:val="00E52CB1"/>
    <w:rsid w:val="00E53BB0"/>
    <w:rsid w:val="00E568F8"/>
    <w:rsid w:val="00E612AE"/>
    <w:rsid w:val="00E6372C"/>
    <w:rsid w:val="00E72F86"/>
    <w:rsid w:val="00E73AD5"/>
    <w:rsid w:val="00E8220F"/>
    <w:rsid w:val="00E832C8"/>
    <w:rsid w:val="00E836C4"/>
    <w:rsid w:val="00E90804"/>
    <w:rsid w:val="00E96C49"/>
    <w:rsid w:val="00EA4B0A"/>
    <w:rsid w:val="00EB0675"/>
    <w:rsid w:val="00ED31AA"/>
    <w:rsid w:val="00EE0233"/>
    <w:rsid w:val="00EE263E"/>
    <w:rsid w:val="00EE6527"/>
    <w:rsid w:val="00EF6445"/>
    <w:rsid w:val="00EF7BFE"/>
    <w:rsid w:val="00F06A19"/>
    <w:rsid w:val="00F06EF9"/>
    <w:rsid w:val="00F1280C"/>
    <w:rsid w:val="00F317FE"/>
    <w:rsid w:val="00F32B7E"/>
    <w:rsid w:val="00F356A2"/>
    <w:rsid w:val="00F4248A"/>
    <w:rsid w:val="00F42F20"/>
    <w:rsid w:val="00F47356"/>
    <w:rsid w:val="00F51913"/>
    <w:rsid w:val="00F54D19"/>
    <w:rsid w:val="00F6322B"/>
    <w:rsid w:val="00F63AD1"/>
    <w:rsid w:val="00F83349"/>
    <w:rsid w:val="00F83F81"/>
    <w:rsid w:val="00F84668"/>
    <w:rsid w:val="00F87412"/>
    <w:rsid w:val="00F87B47"/>
    <w:rsid w:val="00F967FE"/>
    <w:rsid w:val="00FA50A9"/>
    <w:rsid w:val="00FB0FA7"/>
    <w:rsid w:val="00FB5B2E"/>
    <w:rsid w:val="00FC386A"/>
    <w:rsid w:val="00FD29F6"/>
    <w:rsid w:val="00FE2395"/>
    <w:rsid w:val="00FE24AD"/>
    <w:rsid w:val="00FF028A"/>
    <w:rsid w:val="00FF19CC"/>
    <w:rsid w:val="00FF2439"/>
    <w:rsid w:val="00FF35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FC9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C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504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E504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E50444"/>
  </w:style>
  <w:style w:type="character" w:styleId="a5">
    <w:name w:val="line number"/>
    <w:basedOn w:val="a0"/>
    <w:uiPriority w:val="99"/>
    <w:semiHidden/>
    <w:unhideWhenUsed/>
    <w:rsid w:val="00FE2395"/>
  </w:style>
  <w:style w:type="paragraph" w:styleId="a6">
    <w:name w:val="Balloon Text"/>
    <w:basedOn w:val="a"/>
    <w:link w:val="Char"/>
    <w:uiPriority w:val="99"/>
    <w:semiHidden/>
    <w:unhideWhenUsed/>
    <w:rsid w:val="009521B3"/>
    <w:pPr>
      <w:spacing w:after="0" w:line="240" w:lineRule="auto"/>
    </w:pPr>
    <w:rPr>
      <w:rFonts w:ascii="Segoe UI" w:hAnsi="Segoe UI" w:cs="Segoe UI"/>
      <w:sz w:val="18"/>
      <w:szCs w:val="18"/>
    </w:rPr>
  </w:style>
  <w:style w:type="character" w:customStyle="1" w:styleId="Char">
    <w:name w:val="批注框文本 Char"/>
    <w:basedOn w:val="a0"/>
    <w:link w:val="a6"/>
    <w:uiPriority w:val="99"/>
    <w:semiHidden/>
    <w:rsid w:val="009521B3"/>
    <w:rPr>
      <w:rFonts w:ascii="Segoe UI" w:hAnsi="Segoe UI" w:cs="Segoe UI"/>
      <w:sz w:val="18"/>
      <w:szCs w:val="18"/>
    </w:rPr>
  </w:style>
  <w:style w:type="paragraph" w:styleId="a7">
    <w:name w:val="header"/>
    <w:basedOn w:val="a"/>
    <w:link w:val="Char0"/>
    <w:uiPriority w:val="99"/>
    <w:unhideWhenUsed/>
    <w:rsid w:val="007507E5"/>
    <w:pPr>
      <w:tabs>
        <w:tab w:val="center" w:pos="4680"/>
        <w:tab w:val="right" w:pos="9360"/>
      </w:tabs>
      <w:spacing w:after="0" w:line="240" w:lineRule="auto"/>
    </w:pPr>
  </w:style>
  <w:style w:type="character" w:customStyle="1" w:styleId="Char0">
    <w:name w:val="页眉 Char"/>
    <w:basedOn w:val="a0"/>
    <w:link w:val="a7"/>
    <w:uiPriority w:val="99"/>
    <w:rsid w:val="007507E5"/>
  </w:style>
  <w:style w:type="paragraph" w:styleId="a8">
    <w:name w:val="footer"/>
    <w:basedOn w:val="a"/>
    <w:link w:val="Char1"/>
    <w:uiPriority w:val="99"/>
    <w:unhideWhenUsed/>
    <w:rsid w:val="007507E5"/>
    <w:pPr>
      <w:tabs>
        <w:tab w:val="center" w:pos="4680"/>
        <w:tab w:val="right" w:pos="9360"/>
      </w:tabs>
      <w:spacing w:after="0" w:line="240" w:lineRule="auto"/>
    </w:pPr>
  </w:style>
  <w:style w:type="character" w:customStyle="1" w:styleId="Char1">
    <w:name w:val="页脚 Char"/>
    <w:basedOn w:val="a0"/>
    <w:link w:val="a8"/>
    <w:uiPriority w:val="99"/>
    <w:rsid w:val="007507E5"/>
  </w:style>
  <w:style w:type="character" w:styleId="a9">
    <w:name w:val="Hyperlink"/>
    <w:basedOn w:val="a0"/>
    <w:uiPriority w:val="99"/>
    <w:unhideWhenUsed/>
    <w:rsid w:val="00CD0F3E"/>
    <w:rPr>
      <w:color w:val="0563C1" w:themeColor="hyperlink"/>
      <w:u w:val="single"/>
    </w:rPr>
  </w:style>
  <w:style w:type="character" w:customStyle="1" w:styleId="UnresolvedMention">
    <w:name w:val="Unresolved Mention"/>
    <w:basedOn w:val="a0"/>
    <w:uiPriority w:val="99"/>
    <w:semiHidden/>
    <w:unhideWhenUsed/>
    <w:rsid w:val="00CD0F3E"/>
    <w:rPr>
      <w:color w:val="605E5C"/>
      <w:shd w:val="clear" w:color="auto" w:fill="E1DFDD"/>
    </w:rPr>
  </w:style>
  <w:style w:type="paragraph" w:styleId="aa">
    <w:name w:val="annotation text"/>
    <w:basedOn w:val="a"/>
    <w:link w:val="Char2"/>
    <w:uiPriority w:val="99"/>
    <w:semiHidden/>
    <w:unhideWhenUsed/>
    <w:rsid w:val="00152FA5"/>
  </w:style>
  <w:style w:type="character" w:customStyle="1" w:styleId="Char2">
    <w:name w:val="批注文字 Char"/>
    <w:basedOn w:val="a0"/>
    <w:link w:val="aa"/>
    <w:uiPriority w:val="99"/>
    <w:semiHidden/>
    <w:rsid w:val="00152FA5"/>
  </w:style>
  <w:style w:type="character" w:styleId="ab">
    <w:name w:val="annotation reference"/>
    <w:uiPriority w:val="99"/>
    <w:semiHidden/>
    <w:unhideWhenUsed/>
    <w:rsid w:val="00152FA5"/>
    <w:rPr>
      <w:sz w:val="21"/>
      <w:szCs w:val="21"/>
    </w:rPr>
  </w:style>
  <w:style w:type="paragraph" w:customStyle="1" w:styleId="p1">
    <w:name w:val="p1"/>
    <w:basedOn w:val="a"/>
    <w:rsid w:val="00152FA5"/>
    <w:pPr>
      <w:spacing w:after="0" w:line="240" w:lineRule="auto"/>
    </w:pPr>
    <w:rPr>
      <w:rFonts w:ascii="Helvetica" w:hAnsi="Helvetica" w:cs="Times New Roman"/>
      <w:sz w:val="18"/>
      <w:szCs w:val="18"/>
      <w:lang w:eastAsia="zh-CN"/>
    </w:rPr>
  </w:style>
  <w:style w:type="paragraph" w:styleId="ac">
    <w:name w:val="annotation subject"/>
    <w:basedOn w:val="aa"/>
    <w:next w:val="aa"/>
    <w:link w:val="Char3"/>
    <w:uiPriority w:val="99"/>
    <w:semiHidden/>
    <w:unhideWhenUsed/>
    <w:rsid w:val="00152FA5"/>
    <w:rPr>
      <w:b/>
      <w:bCs/>
    </w:rPr>
  </w:style>
  <w:style w:type="character" w:customStyle="1" w:styleId="Char3">
    <w:name w:val="批注主题 Char"/>
    <w:basedOn w:val="Char2"/>
    <w:link w:val="ac"/>
    <w:uiPriority w:val="99"/>
    <w:semiHidden/>
    <w:rsid w:val="00152FA5"/>
    <w:rPr>
      <w:b/>
      <w:bCs/>
    </w:rPr>
  </w:style>
  <w:style w:type="paragraph" w:styleId="ad">
    <w:name w:val="List Paragraph"/>
    <w:basedOn w:val="a"/>
    <w:uiPriority w:val="34"/>
    <w:qFormat/>
    <w:rsid w:val="00152FA5"/>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C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504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E504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E50444"/>
  </w:style>
  <w:style w:type="character" w:styleId="a5">
    <w:name w:val="line number"/>
    <w:basedOn w:val="a0"/>
    <w:uiPriority w:val="99"/>
    <w:semiHidden/>
    <w:unhideWhenUsed/>
    <w:rsid w:val="00FE2395"/>
  </w:style>
  <w:style w:type="paragraph" w:styleId="a6">
    <w:name w:val="Balloon Text"/>
    <w:basedOn w:val="a"/>
    <w:link w:val="Char"/>
    <w:uiPriority w:val="99"/>
    <w:semiHidden/>
    <w:unhideWhenUsed/>
    <w:rsid w:val="009521B3"/>
    <w:pPr>
      <w:spacing w:after="0" w:line="240" w:lineRule="auto"/>
    </w:pPr>
    <w:rPr>
      <w:rFonts w:ascii="Segoe UI" w:hAnsi="Segoe UI" w:cs="Segoe UI"/>
      <w:sz w:val="18"/>
      <w:szCs w:val="18"/>
    </w:rPr>
  </w:style>
  <w:style w:type="character" w:customStyle="1" w:styleId="Char">
    <w:name w:val="批注框文本 Char"/>
    <w:basedOn w:val="a0"/>
    <w:link w:val="a6"/>
    <w:uiPriority w:val="99"/>
    <w:semiHidden/>
    <w:rsid w:val="009521B3"/>
    <w:rPr>
      <w:rFonts w:ascii="Segoe UI" w:hAnsi="Segoe UI" w:cs="Segoe UI"/>
      <w:sz w:val="18"/>
      <w:szCs w:val="18"/>
    </w:rPr>
  </w:style>
  <w:style w:type="paragraph" w:styleId="a7">
    <w:name w:val="header"/>
    <w:basedOn w:val="a"/>
    <w:link w:val="Char0"/>
    <w:uiPriority w:val="99"/>
    <w:unhideWhenUsed/>
    <w:rsid w:val="007507E5"/>
    <w:pPr>
      <w:tabs>
        <w:tab w:val="center" w:pos="4680"/>
        <w:tab w:val="right" w:pos="9360"/>
      </w:tabs>
      <w:spacing w:after="0" w:line="240" w:lineRule="auto"/>
    </w:pPr>
  </w:style>
  <w:style w:type="character" w:customStyle="1" w:styleId="Char0">
    <w:name w:val="页眉 Char"/>
    <w:basedOn w:val="a0"/>
    <w:link w:val="a7"/>
    <w:uiPriority w:val="99"/>
    <w:rsid w:val="007507E5"/>
  </w:style>
  <w:style w:type="paragraph" w:styleId="a8">
    <w:name w:val="footer"/>
    <w:basedOn w:val="a"/>
    <w:link w:val="Char1"/>
    <w:uiPriority w:val="99"/>
    <w:unhideWhenUsed/>
    <w:rsid w:val="007507E5"/>
    <w:pPr>
      <w:tabs>
        <w:tab w:val="center" w:pos="4680"/>
        <w:tab w:val="right" w:pos="9360"/>
      </w:tabs>
      <w:spacing w:after="0" w:line="240" w:lineRule="auto"/>
    </w:pPr>
  </w:style>
  <w:style w:type="character" w:customStyle="1" w:styleId="Char1">
    <w:name w:val="页脚 Char"/>
    <w:basedOn w:val="a0"/>
    <w:link w:val="a8"/>
    <w:uiPriority w:val="99"/>
    <w:rsid w:val="007507E5"/>
  </w:style>
  <w:style w:type="character" w:styleId="a9">
    <w:name w:val="Hyperlink"/>
    <w:basedOn w:val="a0"/>
    <w:uiPriority w:val="99"/>
    <w:unhideWhenUsed/>
    <w:rsid w:val="00CD0F3E"/>
    <w:rPr>
      <w:color w:val="0563C1" w:themeColor="hyperlink"/>
      <w:u w:val="single"/>
    </w:rPr>
  </w:style>
  <w:style w:type="character" w:customStyle="1" w:styleId="UnresolvedMention">
    <w:name w:val="Unresolved Mention"/>
    <w:basedOn w:val="a0"/>
    <w:uiPriority w:val="99"/>
    <w:semiHidden/>
    <w:unhideWhenUsed/>
    <w:rsid w:val="00CD0F3E"/>
    <w:rPr>
      <w:color w:val="605E5C"/>
      <w:shd w:val="clear" w:color="auto" w:fill="E1DFDD"/>
    </w:rPr>
  </w:style>
  <w:style w:type="paragraph" w:styleId="aa">
    <w:name w:val="annotation text"/>
    <w:basedOn w:val="a"/>
    <w:link w:val="Char2"/>
    <w:uiPriority w:val="99"/>
    <w:semiHidden/>
    <w:unhideWhenUsed/>
    <w:rsid w:val="00152FA5"/>
  </w:style>
  <w:style w:type="character" w:customStyle="1" w:styleId="Char2">
    <w:name w:val="批注文字 Char"/>
    <w:basedOn w:val="a0"/>
    <w:link w:val="aa"/>
    <w:uiPriority w:val="99"/>
    <w:semiHidden/>
    <w:rsid w:val="00152FA5"/>
  </w:style>
  <w:style w:type="character" w:styleId="ab">
    <w:name w:val="annotation reference"/>
    <w:uiPriority w:val="99"/>
    <w:semiHidden/>
    <w:unhideWhenUsed/>
    <w:rsid w:val="00152FA5"/>
    <w:rPr>
      <w:sz w:val="21"/>
      <w:szCs w:val="21"/>
    </w:rPr>
  </w:style>
  <w:style w:type="paragraph" w:customStyle="1" w:styleId="p1">
    <w:name w:val="p1"/>
    <w:basedOn w:val="a"/>
    <w:rsid w:val="00152FA5"/>
    <w:pPr>
      <w:spacing w:after="0" w:line="240" w:lineRule="auto"/>
    </w:pPr>
    <w:rPr>
      <w:rFonts w:ascii="Helvetica" w:hAnsi="Helvetica" w:cs="Times New Roman"/>
      <w:sz w:val="18"/>
      <w:szCs w:val="18"/>
      <w:lang w:eastAsia="zh-CN"/>
    </w:rPr>
  </w:style>
  <w:style w:type="paragraph" w:styleId="ac">
    <w:name w:val="annotation subject"/>
    <w:basedOn w:val="aa"/>
    <w:next w:val="aa"/>
    <w:link w:val="Char3"/>
    <w:uiPriority w:val="99"/>
    <w:semiHidden/>
    <w:unhideWhenUsed/>
    <w:rsid w:val="00152FA5"/>
    <w:rPr>
      <w:b/>
      <w:bCs/>
    </w:rPr>
  </w:style>
  <w:style w:type="character" w:customStyle="1" w:styleId="Char3">
    <w:name w:val="批注主题 Char"/>
    <w:basedOn w:val="Char2"/>
    <w:link w:val="ac"/>
    <w:uiPriority w:val="99"/>
    <w:semiHidden/>
    <w:rsid w:val="00152FA5"/>
    <w:rPr>
      <w:b/>
      <w:bCs/>
    </w:rPr>
  </w:style>
  <w:style w:type="paragraph" w:styleId="ad">
    <w:name w:val="List Paragraph"/>
    <w:basedOn w:val="a"/>
    <w:uiPriority w:val="34"/>
    <w:qFormat/>
    <w:rsid w:val="00152FA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6852">
      <w:bodyDiv w:val="1"/>
      <w:marLeft w:val="0"/>
      <w:marRight w:val="0"/>
      <w:marTop w:val="0"/>
      <w:marBottom w:val="0"/>
      <w:divBdr>
        <w:top w:val="none" w:sz="0" w:space="0" w:color="auto"/>
        <w:left w:val="none" w:sz="0" w:space="0" w:color="auto"/>
        <w:bottom w:val="none" w:sz="0" w:space="0" w:color="auto"/>
        <w:right w:val="none" w:sz="0" w:space="0" w:color="auto"/>
      </w:divBdr>
    </w:div>
    <w:div w:id="235942654">
      <w:bodyDiv w:val="1"/>
      <w:marLeft w:val="0"/>
      <w:marRight w:val="0"/>
      <w:marTop w:val="0"/>
      <w:marBottom w:val="0"/>
      <w:divBdr>
        <w:top w:val="none" w:sz="0" w:space="0" w:color="auto"/>
        <w:left w:val="none" w:sz="0" w:space="0" w:color="auto"/>
        <w:bottom w:val="none" w:sz="0" w:space="0" w:color="auto"/>
        <w:right w:val="none" w:sz="0" w:space="0" w:color="auto"/>
      </w:divBdr>
    </w:div>
    <w:div w:id="349793225">
      <w:bodyDiv w:val="1"/>
      <w:marLeft w:val="0"/>
      <w:marRight w:val="0"/>
      <w:marTop w:val="0"/>
      <w:marBottom w:val="0"/>
      <w:divBdr>
        <w:top w:val="none" w:sz="0" w:space="0" w:color="auto"/>
        <w:left w:val="none" w:sz="0" w:space="0" w:color="auto"/>
        <w:bottom w:val="none" w:sz="0" w:space="0" w:color="auto"/>
        <w:right w:val="none" w:sz="0" w:space="0" w:color="auto"/>
      </w:divBdr>
    </w:div>
    <w:div w:id="564534444">
      <w:bodyDiv w:val="1"/>
      <w:marLeft w:val="0"/>
      <w:marRight w:val="0"/>
      <w:marTop w:val="0"/>
      <w:marBottom w:val="0"/>
      <w:divBdr>
        <w:top w:val="none" w:sz="0" w:space="0" w:color="auto"/>
        <w:left w:val="none" w:sz="0" w:space="0" w:color="auto"/>
        <w:bottom w:val="none" w:sz="0" w:space="0" w:color="auto"/>
        <w:right w:val="none" w:sz="0" w:space="0" w:color="auto"/>
      </w:divBdr>
    </w:div>
    <w:div w:id="674572824">
      <w:bodyDiv w:val="1"/>
      <w:marLeft w:val="0"/>
      <w:marRight w:val="0"/>
      <w:marTop w:val="0"/>
      <w:marBottom w:val="0"/>
      <w:divBdr>
        <w:top w:val="none" w:sz="0" w:space="0" w:color="auto"/>
        <w:left w:val="none" w:sz="0" w:space="0" w:color="auto"/>
        <w:bottom w:val="none" w:sz="0" w:space="0" w:color="auto"/>
        <w:right w:val="none" w:sz="0" w:space="0" w:color="auto"/>
      </w:divBdr>
    </w:div>
    <w:div w:id="775515074">
      <w:bodyDiv w:val="1"/>
      <w:marLeft w:val="0"/>
      <w:marRight w:val="0"/>
      <w:marTop w:val="0"/>
      <w:marBottom w:val="0"/>
      <w:divBdr>
        <w:top w:val="none" w:sz="0" w:space="0" w:color="auto"/>
        <w:left w:val="none" w:sz="0" w:space="0" w:color="auto"/>
        <w:bottom w:val="none" w:sz="0" w:space="0" w:color="auto"/>
        <w:right w:val="none" w:sz="0" w:space="0" w:color="auto"/>
      </w:divBdr>
    </w:div>
    <w:div w:id="821393068">
      <w:bodyDiv w:val="1"/>
      <w:marLeft w:val="0"/>
      <w:marRight w:val="0"/>
      <w:marTop w:val="0"/>
      <w:marBottom w:val="0"/>
      <w:divBdr>
        <w:top w:val="none" w:sz="0" w:space="0" w:color="auto"/>
        <w:left w:val="none" w:sz="0" w:space="0" w:color="auto"/>
        <w:bottom w:val="none" w:sz="0" w:space="0" w:color="auto"/>
        <w:right w:val="none" w:sz="0" w:space="0" w:color="auto"/>
      </w:divBdr>
    </w:div>
    <w:div w:id="867987929">
      <w:bodyDiv w:val="1"/>
      <w:marLeft w:val="0"/>
      <w:marRight w:val="0"/>
      <w:marTop w:val="0"/>
      <w:marBottom w:val="0"/>
      <w:divBdr>
        <w:top w:val="none" w:sz="0" w:space="0" w:color="auto"/>
        <w:left w:val="none" w:sz="0" w:space="0" w:color="auto"/>
        <w:bottom w:val="none" w:sz="0" w:space="0" w:color="auto"/>
        <w:right w:val="none" w:sz="0" w:space="0" w:color="auto"/>
      </w:divBdr>
    </w:div>
    <w:div w:id="943462249">
      <w:bodyDiv w:val="1"/>
      <w:marLeft w:val="0"/>
      <w:marRight w:val="0"/>
      <w:marTop w:val="0"/>
      <w:marBottom w:val="0"/>
      <w:divBdr>
        <w:top w:val="none" w:sz="0" w:space="0" w:color="auto"/>
        <w:left w:val="none" w:sz="0" w:space="0" w:color="auto"/>
        <w:bottom w:val="none" w:sz="0" w:space="0" w:color="auto"/>
        <w:right w:val="none" w:sz="0" w:space="0" w:color="auto"/>
      </w:divBdr>
    </w:div>
    <w:div w:id="994911814">
      <w:bodyDiv w:val="1"/>
      <w:marLeft w:val="0"/>
      <w:marRight w:val="0"/>
      <w:marTop w:val="0"/>
      <w:marBottom w:val="0"/>
      <w:divBdr>
        <w:top w:val="none" w:sz="0" w:space="0" w:color="auto"/>
        <w:left w:val="none" w:sz="0" w:space="0" w:color="auto"/>
        <w:bottom w:val="none" w:sz="0" w:space="0" w:color="auto"/>
        <w:right w:val="none" w:sz="0" w:space="0" w:color="auto"/>
      </w:divBdr>
    </w:div>
    <w:div w:id="1016034841">
      <w:bodyDiv w:val="1"/>
      <w:marLeft w:val="0"/>
      <w:marRight w:val="0"/>
      <w:marTop w:val="0"/>
      <w:marBottom w:val="0"/>
      <w:divBdr>
        <w:top w:val="none" w:sz="0" w:space="0" w:color="auto"/>
        <w:left w:val="none" w:sz="0" w:space="0" w:color="auto"/>
        <w:bottom w:val="none" w:sz="0" w:space="0" w:color="auto"/>
        <w:right w:val="none" w:sz="0" w:space="0" w:color="auto"/>
      </w:divBdr>
    </w:div>
    <w:div w:id="1113867222">
      <w:bodyDiv w:val="1"/>
      <w:marLeft w:val="0"/>
      <w:marRight w:val="0"/>
      <w:marTop w:val="0"/>
      <w:marBottom w:val="0"/>
      <w:divBdr>
        <w:top w:val="none" w:sz="0" w:space="0" w:color="auto"/>
        <w:left w:val="none" w:sz="0" w:space="0" w:color="auto"/>
        <w:bottom w:val="none" w:sz="0" w:space="0" w:color="auto"/>
        <w:right w:val="none" w:sz="0" w:space="0" w:color="auto"/>
      </w:divBdr>
    </w:div>
    <w:div w:id="1401252315">
      <w:bodyDiv w:val="1"/>
      <w:marLeft w:val="0"/>
      <w:marRight w:val="0"/>
      <w:marTop w:val="0"/>
      <w:marBottom w:val="0"/>
      <w:divBdr>
        <w:top w:val="none" w:sz="0" w:space="0" w:color="auto"/>
        <w:left w:val="none" w:sz="0" w:space="0" w:color="auto"/>
        <w:bottom w:val="none" w:sz="0" w:space="0" w:color="auto"/>
        <w:right w:val="none" w:sz="0" w:space="0" w:color="auto"/>
      </w:divBdr>
      <w:divsChild>
        <w:div w:id="1165585391">
          <w:marLeft w:val="0"/>
          <w:marRight w:val="0"/>
          <w:marTop w:val="0"/>
          <w:marBottom w:val="0"/>
          <w:divBdr>
            <w:top w:val="none" w:sz="0" w:space="0" w:color="auto"/>
            <w:left w:val="none" w:sz="0" w:space="0" w:color="auto"/>
            <w:bottom w:val="none" w:sz="0" w:space="0" w:color="auto"/>
            <w:right w:val="none" w:sz="0" w:space="0" w:color="auto"/>
          </w:divBdr>
          <w:divsChild>
            <w:div w:id="40017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3066">
      <w:bodyDiv w:val="1"/>
      <w:marLeft w:val="0"/>
      <w:marRight w:val="0"/>
      <w:marTop w:val="0"/>
      <w:marBottom w:val="0"/>
      <w:divBdr>
        <w:top w:val="none" w:sz="0" w:space="0" w:color="auto"/>
        <w:left w:val="none" w:sz="0" w:space="0" w:color="auto"/>
        <w:bottom w:val="none" w:sz="0" w:space="0" w:color="auto"/>
        <w:right w:val="none" w:sz="0" w:space="0" w:color="auto"/>
      </w:divBdr>
    </w:div>
    <w:div w:id="1917090436">
      <w:bodyDiv w:val="1"/>
      <w:marLeft w:val="0"/>
      <w:marRight w:val="0"/>
      <w:marTop w:val="0"/>
      <w:marBottom w:val="0"/>
      <w:divBdr>
        <w:top w:val="none" w:sz="0" w:space="0" w:color="auto"/>
        <w:left w:val="none" w:sz="0" w:space="0" w:color="auto"/>
        <w:bottom w:val="none" w:sz="0" w:space="0" w:color="auto"/>
        <w:right w:val="none" w:sz="0" w:space="0" w:color="auto"/>
      </w:divBdr>
    </w:div>
    <w:div w:id="1960405151">
      <w:bodyDiv w:val="1"/>
      <w:marLeft w:val="0"/>
      <w:marRight w:val="0"/>
      <w:marTop w:val="0"/>
      <w:marBottom w:val="0"/>
      <w:divBdr>
        <w:top w:val="none" w:sz="0" w:space="0" w:color="auto"/>
        <w:left w:val="none" w:sz="0" w:space="0" w:color="auto"/>
        <w:bottom w:val="none" w:sz="0" w:space="0" w:color="auto"/>
        <w:right w:val="none" w:sz="0" w:space="0" w:color="auto"/>
      </w:divBdr>
    </w:div>
    <w:div w:id="1989699372">
      <w:bodyDiv w:val="1"/>
      <w:marLeft w:val="0"/>
      <w:marRight w:val="0"/>
      <w:marTop w:val="0"/>
      <w:marBottom w:val="0"/>
      <w:divBdr>
        <w:top w:val="none" w:sz="0" w:space="0" w:color="auto"/>
        <w:left w:val="none" w:sz="0" w:space="0" w:color="auto"/>
        <w:bottom w:val="none" w:sz="0" w:space="0" w:color="auto"/>
        <w:right w:val="none" w:sz="0" w:space="0" w:color="auto"/>
      </w:divBdr>
    </w:div>
    <w:div w:id="2048874829">
      <w:bodyDiv w:val="1"/>
      <w:marLeft w:val="0"/>
      <w:marRight w:val="0"/>
      <w:marTop w:val="0"/>
      <w:marBottom w:val="0"/>
      <w:divBdr>
        <w:top w:val="none" w:sz="0" w:space="0" w:color="auto"/>
        <w:left w:val="none" w:sz="0" w:space="0" w:color="auto"/>
        <w:bottom w:val="none" w:sz="0" w:space="0" w:color="auto"/>
        <w:right w:val="none" w:sz="0" w:space="0" w:color="auto"/>
      </w:divBdr>
    </w:div>
    <w:div w:id="2087413909">
      <w:bodyDiv w:val="1"/>
      <w:marLeft w:val="0"/>
      <w:marRight w:val="0"/>
      <w:marTop w:val="0"/>
      <w:marBottom w:val="0"/>
      <w:divBdr>
        <w:top w:val="none" w:sz="0" w:space="0" w:color="auto"/>
        <w:left w:val="none" w:sz="0" w:space="0" w:color="auto"/>
        <w:bottom w:val="none" w:sz="0" w:space="0" w:color="auto"/>
        <w:right w:val="none" w:sz="0" w:space="0" w:color="auto"/>
      </w:divBdr>
    </w:div>
    <w:div w:id="211644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6AB6B-1086-4B7D-A660-DEF84C6A7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14</Pages>
  <Words>4894</Words>
  <Characters>27897</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Frey</dc:creator>
  <cp:keywords/>
  <dc:description/>
  <cp:lastModifiedBy>1678909943@qq.com</cp:lastModifiedBy>
  <cp:revision>5</cp:revision>
  <cp:lastPrinted>2019-05-15T18:32:00Z</cp:lastPrinted>
  <dcterms:created xsi:type="dcterms:W3CDTF">2019-09-22T18:23:00Z</dcterms:created>
  <dcterms:modified xsi:type="dcterms:W3CDTF">2019-12-05T07:15:00Z</dcterms:modified>
</cp:coreProperties>
</file>