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D45465" w14:textId="4E90DB35" w:rsidR="00D27DAE" w:rsidRPr="00D47E4E" w:rsidRDefault="00D27DAE" w:rsidP="00FA5FC9">
      <w:pPr>
        <w:adjustRightInd w:val="0"/>
        <w:snapToGrid w:val="0"/>
        <w:spacing w:line="360" w:lineRule="auto"/>
        <w:jc w:val="both"/>
        <w:rPr>
          <w:rFonts w:ascii="Book Antiqua" w:hAnsi="Book Antiqua"/>
          <w:i/>
        </w:rPr>
      </w:pPr>
      <w:r w:rsidRPr="00D47E4E">
        <w:rPr>
          <w:rFonts w:ascii="Book Antiqua" w:hAnsi="Book Antiqua"/>
          <w:b/>
          <w:lang w:val="vi-VN"/>
        </w:rPr>
        <w:t>Name of</w:t>
      </w:r>
      <w:r w:rsidR="00FC5C16" w:rsidRPr="00D47E4E">
        <w:rPr>
          <w:rFonts w:ascii="Book Antiqua" w:hAnsi="Book Antiqua"/>
          <w:b/>
          <w:lang w:val="vi-VN"/>
        </w:rPr>
        <w:t xml:space="preserve"> J</w:t>
      </w:r>
      <w:r w:rsidRPr="00D47E4E">
        <w:rPr>
          <w:rFonts w:ascii="Book Antiqua" w:hAnsi="Book Antiqua"/>
          <w:b/>
          <w:lang w:val="vi-VN"/>
        </w:rPr>
        <w:t xml:space="preserve">ournal: </w:t>
      </w:r>
      <w:r w:rsidRPr="00D47E4E">
        <w:rPr>
          <w:rFonts w:ascii="Book Antiqua" w:hAnsi="Book Antiqua"/>
          <w:i/>
          <w:lang w:val="vi-VN"/>
        </w:rPr>
        <w:t xml:space="preserve">World Journal of </w:t>
      </w:r>
      <w:r w:rsidR="004F11A8" w:rsidRPr="00D47E4E">
        <w:rPr>
          <w:rFonts w:ascii="Book Antiqua" w:hAnsi="Book Antiqua"/>
          <w:i/>
        </w:rPr>
        <w:t>Gastroenterology</w:t>
      </w:r>
    </w:p>
    <w:p w14:paraId="55AAD284" w14:textId="3ADBBB65" w:rsidR="00C823D3" w:rsidRPr="00D47E4E" w:rsidRDefault="00C823D3"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Manuscript NO: </w:t>
      </w:r>
      <w:r w:rsidRPr="00D47E4E">
        <w:rPr>
          <w:rFonts w:ascii="Book Antiqua" w:hAnsi="Book Antiqua"/>
          <w:bCs/>
          <w:lang w:val="vi-VN"/>
        </w:rPr>
        <w:t>50533</w:t>
      </w:r>
    </w:p>
    <w:p w14:paraId="4102D56D" w14:textId="634C8288" w:rsidR="00D27DAE" w:rsidRPr="00D47E4E" w:rsidRDefault="00D27DAE"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Manuscript type: </w:t>
      </w:r>
      <w:r w:rsidRPr="00D47E4E">
        <w:rPr>
          <w:rFonts w:ascii="Book Antiqua" w:hAnsi="Book Antiqua"/>
          <w:lang w:val="vi-VN"/>
        </w:rPr>
        <w:t>CASE REPORT</w:t>
      </w:r>
    </w:p>
    <w:p w14:paraId="0B1BC85E" w14:textId="77777777" w:rsidR="007970F4" w:rsidRPr="00D47E4E" w:rsidRDefault="007970F4" w:rsidP="00FA5FC9">
      <w:pPr>
        <w:adjustRightInd w:val="0"/>
        <w:snapToGrid w:val="0"/>
        <w:spacing w:line="360" w:lineRule="auto"/>
        <w:jc w:val="both"/>
        <w:rPr>
          <w:rFonts w:ascii="Book Antiqua" w:hAnsi="Book Antiqua"/>
          <w:b/>
          <w:lang w:val="vi-VN"/>
        </w:rPr>
      </w:pPr>
    </w:p>
    <w:p w14:paraId="29FF14F9" w14:textId="1A7B6EEA" w:rsidR="00A83BFD" w:rsidRPr="00D47E4E" w:rsidRDefault="00AB0D1A" w:rsidP="00FA5FC9">
      <w:pPr>
        <w:adjustRightInd w:val="0"/>
        <w:snapToGrid w:val="0"/>
        <w:spacing w:line="360" w:lineRule="auto"/>
        <w:jc w:val="both"/>
        <w:rPr>
          <w:rFonts w:ascii="Book Antiqua" w:hAnsi="Book Antiqua"/>
          <w:b/>
        </w:rPr>
      </w:pPr>
      <w:r w:rsidRPr="00D47E4E">
        <w:rPr>
          <w:rFonts w:ascii="Book Antiqua" w:hAnsi="Book Antiqua"/>
          <w:b/>
        </w:rPr>
        <w:t>Unexpected metastasis of intraductal papillary neoplasm of the bile</w:t>
      </w:r>
      <w:r w:rsidR="00EC0BFC" w:rsidRPr="00D47E4E">
        <w:rPr>
          <w:rFonts w:ascii="Book Antiqua" w:hAnsi="Book Antiqua"/>
          <w:b/>
        </w:rPr>
        <w:t xml:space="preserve"> </w:t>
      </w:r>
      <w:r w:rsidRPr="00D47E4E">
        <w:rPr>
          <w:rFonts w:ascii="Book Antiqua" w:hAnsi="Book Antiqua"/>
          <w:b/>
        </w:rPr>
        <w:t xml:space="preserve">duct without </w:t>
      </w:r>
      <w:r w:rsidR="00503C81" w:rsidRPr="00D47E4E">
        <w:rPr>
          <w:rFonts w:ascii="Book Antiqua" w:hAnsi="Book Antiqua"/>
          <w:b/>
        </w:rPr>
        <w:t xml:space="preserve">an </w:t>
      </w:r>
      <w:r w:rsidRPr="00D47E4E">
        <w:rPr>
          <w:rFonts w:ascii="Book Antiqua" w:hAnsi="Book Antiqua"/>
          <w:b/>
        </w:rPr>
        <w:t>invasive component to the brain and lung</w:t>
      </w:r>
      <w:r w:rsidR="00503C81" w:rsidRPr="00D47E4E">
        <w:rPr>
          <w:rFonts w:ascii="Book Antiqua" w:hAnsi="Book Antiqua"/>
          <w:b/>
        </w:rPr>
        <w:t>s</w:t>
      </w:r>
      <w:r w:rsidR="00601F11" w:rsidRPr="00D47E4E">
        <w:rPr>
          <w:rFonts w:ascii="Book Antiqua" w:hAnsi="Book Antiqua"/>
          <w:b/>
        </w:rPr>
        <w:t xml:space="preserve">: </w:t>
      </w:r>
      <w:r w:rsidR="00A901A6" w:rsidRPr="00D47E4E">
        <w:rPr>
          <w:rFonts w:ascii="Book Antiqua" w:hAnsi="Book Antiqua"/>
          <w:b/>
        </w:rPr>
        <w:t>A</w:t>
      </w:r>
      <w:r w:rsidR="00601F11" w:rsidRPr="00D47E4E">
        <w:rPr>
          <w:rFonts w:ascii="Book Antiqua" w:hAnsi="Book Antiqua"/>
          <w:b/>
        </w:rPr>
        <w:t xml:space="preserve"> case report</w:t>
      </w:r>
    </w:p>
    <w:p w14:paraId="5FC0C938" w14:textId="77777777" w:rsidR="007970F4" w:rsidRPr="00D47E4E" w:rsidRDefault="007970F4" w:rsidP="00FA5FC9">
      <w:pPr>
        <w:adjustRightInd w:val="0"/>
        <w:snapToGrid w:val="0"/>
        <w:spacing w:line="360" w:lineRule="auto"/>
        <w:jc w:val="both"/>
        <w:rPr>
          <w:rFonts w:ascii="Book Antiqua" w:hAnsi="Book Antiqua"/>
          <w:b/>
          <w:lang w:val="vi-VN"/>
        </w:rPr>
      </w:pPr>
    </w:p>
    <w:p w14:paraId="2927E91B" w14:textId="01F45B64" w:rsidR="00D27DAE" w:rsidRPr="00D47E4E" w:rsidRDefault="00D27DAE" w:rsidP="00FA5FC9">
      <w:pPr>
        <w:adjustRightInd w:val="0"/>
        <w:snapToGrid w:val="0"/>
        <w:spacing w:line="360" w:lineRule="auto"/>
        <w:jc w:val="both"/>
        <w:rPr>
          <w:rFonts w:ascii="Book Antiqua" w:hAnsi="Book Antiqua"/>
          <w:lang w:val="vi-VN"/>
        </w:rPr>
      </w:pPr>
      <w:r w:rsidRPr="00D47E4E">
        <w:rPr>
          <w:rFonts w:ascii="Book Antiqua" w:hAnsi="Book Antiqua"/>
          <w:lang w:val="vi-VN"/>
        </w:rPr>
        <w:t xml:space="preserve">Nam NH </w:t>
      </w:r>
      <w:r w:rsidRPr="00D47E4E">
        <w:rPr>
          <w:rFonts w:ascii="Book Antiqua" w:hAnsi="Book Antiqua"/>
          <w:i/>
          <w:lang w:val="vi-VN"/>
        </w:rPr>
        <w:t xml:space="preserve">et al. </w:t>
      </w:r>
      <w:r w:rsidRPr="00D47E4E">
        <w:rPr>
          <w:rFonts w:ascii="Book Antiqua" w:hAnsi="Book Antiqua"/>
        </w:rPr>
        <w:t>Unexpected metastasis of intraductal papillary neoplasm of the bile duct</w:t>
      </w:r>
    </w:p>
    <w:p w14:paraId="3D2D4A6A" w14:textId="77777777" w:rsidR="00A83BFD" w:rsidRPr="00D47E4E" w:rsidRDefault="00A83BFD" w:rsidP="00FA5FC9">
      <w:pPr>
        <w:adjustRightInd w:val="0"/>
        <w:snapToGrid w:val="0"/>
        <w:spacing w:line="360" w:lineRule="auto"/>
        <w:jc w:val="both"/>
        <w:rPr>
          <w:rFonts w:ascii="Book Antiqua" w:hAnsi="Book Antiqua"/>
          <w:b/>
        </w:rPr>
      </w:pPr>
    </w:p>
    <w:p w14:paraId="1EAA3CFC" w14:textId="0C5AB9F6" w:rsidR="0028772E" w:rsidRPr="00D47E4E" w:rsidRDefault="00EB7E37" w:rsidP="00FA5FC9">
      <w:pPr>
        <w:adjustRightInd w:val="0"/>
        <w:snapToGrid w:val="0"/>
        <w:spacing w:line="360" w:lineRule="auto"/>
        <w:jc w:val="both"/>
        <w:rPr>
          <w:rFonts w:ascii="Book Antiqua" w:hAnsi="Book Antiqua"/>
          <w:vertAlign w:val="superscript"/>
        </w:rPr>
      </w:pPr>
      <w:r w:rsidRPr="00D47E4E">
        <w:rPr>
          <w:rFonts w:ascii="Book Antiqua" w:hAnsi="Book Antiqua"/>
        </w:rPr>
        <w:t xml:space="preserve">Nguyen Hai Nam, </w:t>
      </w:r>
      <w:proofErr w:type="spellStart"/>
      <w:r w:rsidRPr="00D47E4E">
        <w:rPr>
          <w:rFonts w:ascii="Book Antiqua" w:hAnsi="Book Antiqua"/>
        </w:rPr>
        <w:t>Kojiro</w:t>
      </w:r>
      <w:proofErr w:type="spellEnd"/>
      <w:r w:rsidRPr="00D47E4E">
        <w:rPr>
          <w:rFonts w:ascii="Book Antiqua" w:hAnsi="Book Antiqua"/>
        </w:rPr>
        <w:t xml:space="preserve"> </w:t>
      </w:r>
      <w:proofErr w:type="spellStart"/>
      <w:r w:rsidRPr="00D47E4E">
        <w:rPr>
          <w:rFonts w:ascii="Book Antiqua" w:hAnsi="Book Antiqua"/>
        </w:rPr>
        <w:t>Taura</w:t>
      </w:r>
      <w:proofErr w:type="spellEnd"/>
      <w:r w:rsidRPr="00D47E4E">
        <w:rPr>
          <w:rFonts w:ascii="Book Antiqua" w:hAnsi="Book Antiqua"/>
        </w:rPr>
        <w:t>, Masashi Kanai</w:t>
      </w:r>
      <w:r w:rsidR="00334B09" w:rsidRPr="00D47E4E">
        <w:rPr>
          <w:rFonts w:ascii="Book Antiqua" w:hAnsi="Book Antiqua"/>
        </w:rPr>
        <w:t>, Keita Fukuyama</w:t>
      </w:r>
      <w:r w:rsidR="00623DCD" w:rsidRPr="00D47E4E">
        <w:rPr>
          <w:rFonts w:ascii="Book Antiqua" w:hAnsi="Book Antiqua"/>
        </w:rPr>
        <w:t xml:space="preserve">, </w:t>
      </w:r>
      <w:proofErr w:type="spellStart"/>
      <w:r w:rsidR="00623DCD" w:rsidRPr="00D47E4E">
        <w:rPr>
          <w:rFonts w:ascii="Book Antiqua" w:hAnsi="Book Antiqua"/>
        </w:rPr>
        <w:t>Norimitsu</w:t>
      </w:r>
      <w:proofErr w:type="spellEnd"/>
      <w:r w:rsidR="00623DCD" w:rsidRPr="00D47E4E">
        <w:rPr>
          <w:rFonts w:ascii="Book Antiqua" w:hAnsi="Book Antiqua"/>
        </w:rPr>
        <w:t xml:space="preserve"> </w:t>
      </w:r>
      <w:proofErr w:type="spellStart"/>
      <w:r w:rsidR="00623DCD" w:rsidRPr="00D47E4E">
        <w:rPr>
          <w:rFonts w:ascii="Book Antiqua" w:hAnsi="Book Antiqua"/>
        </w:rPr>
        <w:t>Uza</w:t>
      </w:r>
      <w:proofErr w:type="spellEnd"/>
      <w:r w:rsidR="00623DCD" w:rsidRPr="00D47E4E">
        <w:rPr>
          <w:rFonts w:ascii="Book Antiqua" w:hAnsi="Book Antiqua"/>
        </w:rPr>
        <w:t xml:space="preserve">, </w:t>
      </w:r>
      <w:proofErr w:type="spellStart"/>
      <w:r w:rsidR="00623DCD" w:rsidRPr="00D47E4E">
        <w:rPr>
          <w:rFonts w:ascii="Book Antiqua" w:hAnsi="Book Antiqua"/>
        </w:rPr>
        <w:t>Hirona</w:t>
      </w:r>
      <w:proofErr w:type="spellEnd"/>
      <w:r w:rsidR="00623DCD" w:rsidRPr="00D47E4E">
        <w:rPr>
          <w:rFonts w:ascii="Book Antiqua" w:hAnsi="Book Antiqua"/>
        </w:rPr>
        <w:t xml:space="preserve"> Maeda, </w:t>
      </w:r>
      <w:proofErr w:type="spellStart"/>
      <w:r w:rsidR="00623DCD" w:rsidRPr="00D47E4E">
        <w:rPr>
          <w:rFonts w:ascii="Book Antiqua" w:hAnsi="Book Antiqua"/>
        </w:rPr>
        <w:t>Yojiro</w:t>
      </w:r>
      <w:proofErr w:type="spellEnd"/>
      <w:r w:rsidR="00623DCD" w:rsidRPr="00D47E4E">
        <w:rPr>
          <w:rFonts w:ascii="Book Antiqua" w:hAnsi="Book Antiqua"/>
        </w:rPr>
        <w:t xml:space="preserve"> Yutaka</w:t>
      </w:r>
      <w:r w:rsidR="00EE2A78" w:rsidRPr="00D47E4E">
        <w:rPr>
          <w:rFonts w:ascii="Book Antiqua" w:hAnsi="Book Antiqua"/>
        </w:rPr>
        <w:t xml:space="preserve">, </w:t>
      </w:r>
      <w:proofErr w:type="spellStart"/>
      <w:r w:rsidR="00EE2A78" w:rsidRPr="00D47E4E">
        <w:rPr>
          <w:rFonts w:ascii="Book Antiqua" w:hAnsi="Book Antiqua"/>
        </w:rPr>
        <w:t>Toyofumi</w:t>
      </w:r>
      <w:proofErr w:type="spellEnd"/>
      <w:r w:rsidR="00EE2A78" w:rsidRPr="00D47E4E">
        <w:rPr>
          <w:rFonts w:ascii="Book Antiqua" w:hAnsi="Book Antiqua"/>
        </w:rPr>
        <w:t xml:space="preserve"> F Chen-Yoshikawa</w:t>
      </w:r>
      <w:r w:rsidR="00623DCD" w:rsidRPr="00D47E4E">
        <w:rPr>
          <w:rFonts w:ascii="Book Antiqua" w:hAnsi="Book Antiqua"/>
        </w:rPr>
        <w:t>, Manabu Muto</w:t>
      </w:r>
      <w:r w:rsidRPr="00D47E4E">
        <w:rPr>
          <w:rFonts w:ascii="Book Antiqua" w:hAnsi="Book Antiqua"/>
        </w:rPr>
        <w:t xml:space="preserve">, Shinji </w:t>
      </w:r>
      <w:proofErr w:type="spellStart"/>
      <w:r w:rsidRPr="00D47E4E">
        <w:rPr>
          <w:rFonts w:ascii="Book Antiqua" w:hAnsi="Book Antiqua"/>
        </w:rPr>
        <w:t>Uemoto</w:t>
      </w:r>
      <w:proofErr w:type="spellEnd"/>
    </w:p>
    <w:p w14:paraId="584F99E1" w14:textId="1662A9FA" w:rsidR="008D0897" w:rsidRPr="00D47E4E" w:rsidRDefault="008D0897" w:rsidP="00FA5FC9">
      <w:pPr>
        <w:adjustRightInd w:val="0"/>
        <w:snapToGrid w:val="0"/>
        <w:spacing w:line="360" w:lineRule="auto"/>
        <w:jc w:val="both"/>
        <w:rPr>
          <w:rFonts w:ascii="Book Antiqua" w:hAnsi="Book Antiqua"/>
          <w:vertAlign w:val="superscript"/>
        </w:rPr>
      </w:pPr>
    </w:p>
    <w:p w14:paraId="03F256BC" w14:textId="5248E547" w:rsidR="00AB0D1A"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t xml:space="preserve">Nguyen Hai Nam, </w:t>
      </w:r>
      <w:proofErr w:type="spellStart"/>
      <w:r w:rsidRPr="00D47E4E">
        <w:rPr>
          <w:rFonts w:ascii="Book Antiqua" w:hAnsi="Book Antiqua"/>
          <w:b/>
        </w:rPr>
        <w:t>Kojiro</w:t>
      </w:r>
      <w:proofErr w:type="spellEnd"/>
      <w:r w:rsidRPr="00D47E4E">
        <w:rPr>
          <w:rFonts w:ascii="Book Antiqua" w:hAnsi="Book Antiqua"/>
          <w:b/>
        </w:rPr>
        <w:t xml:space="preserve"> </w:t>
      </w:r>
      <w:proofErr w:type="spellStart"/>
      <w:r w:rsidRPr="00D47E4E">
        <w:rPr>
          <w:rFonts w:ascii="Book Antiqua" w:hAnsi="Book Antiqua"/>
          <w:b/>
        </w:rPr>
        <w:t>Taura</w:t>
      </w:r>
      <w:proofErr w:type="spellEnd"/>
      <w:r w:rsidRPr="00D47E4E">
        <w:rPr>
          <w:rFonts w:ascii="Book Antiqua" w:hAnsi="Book Antiqua"/>
          <w:b/>
        </w:rPr>
        <w:t xml:space="preserve">, Shinji </w:t>
      </w:r>
      <w:proofErr w:type="spellStart"/>
      <w:r w:rsidRPr="00D47E4E">
        <w:rPr>
          <w:rFonts w:ascii="Book Antiqua" w:hAnsi="Book Antiqua"/>
          <w:b/>
        </w:rPr>
        <w:t>Uemoto</w:t>
      </w:r>
      <w:proofErr w:type="spellEnd"/>
      <w:r w:rsidRPr="00D47E4E">
        <w:rPr>
          <w:rFonts w:ascii="Book Antiqua" w:hAnsi="Book Antiqua"/>
          <w:b/>
          <w:lang w:val="vi-VN"/>
        </w:rPr>
        <w:t xml:space="preserve">, </w:t>
      </w:r>
      <w:r w:rsidR="00EB7E37" w:rsidRPr="00D47E4E">
        <w:rPr>
          <w:rFonts w:ascii="Book Antiqua" w:hAnsi="Book Antiqua"/>
        </w:rPr>
        <w:t xml:space="preserve">Division of </w:t>
      </w:r>
      <w:r w:rsidR="00740E82" w:rsidRPr="00D47E4E">
        <w:rPr>
          <w:rFonts w:ascii="Book Antiqua" w:hAnsi="Book Antiqua"/>
        </w:rPr>
        <w:t>Hepato-Biliary-</w:t>
      </w:r>
      <w:r w:rsidR="00EB7E37" w:rsidRPr="00D47E4E">
        <w:rPr>
          <w:rFonts w:ascii="Book Antiqua" w:hAnsi="Book Antiqua"/>
        </w:rPr>
        <w:t>Pancreatic Surgery and Transplantation, Department of Surgery, Graduate School of Medicine, Kyoto University, Kyoto</w:t>
      </w:r>
      <w:r w:rsidR="00A901A6" w:rsidRPr="00D47E4E">
        <w:rPr>
          <w:rFonts w:ascii="Book Antiqua" w:hAnsi="Book Antiqua"/>
        </w:rPr>
        <w:t xml:space="preserve"> 606-8501</w:t>
      </w:r>
      <w:r w:rsidR="00EB7E37" w:rsidRPr="00D47E4E">
        <w:rPr>
          <w:rFonts w:ascii="Book Antiqua" w:hAnsi="Book Antiqua"/>
        </w:rPr>
        <w:t>, Japan</w:t>
      </w:r>
    </w:p>
    <w:p w14:paraId="5418D507" w14:textId="77777777" w:rsidR="007970F4" w:rsidRPr="00D47E4E" w:rsidRDefault="007970F4" w:rsidP="00FA5FC9">
      <w:pPr>
        <w:adjustRightInd w:val="0"/>
        <w:snapToGrid w:val="0"/>
        <w:spacing w:line="360" w:lineRule="auto"/>
        <w:jc w:val="both"/>
        <w:rPr>
          <w:rFonts w:ascii="Book Antiqua" w:hAnsi="Book Antiqua"/>
          <w:b/>
          <w:vertAlign w:val="superscript"/>
        </w:rPr>
      </w:pPr>
    </w:p>
    <w:p w14:paraId="02F60CD8" w14:textId="33EE2687" w:rsidR="00AB0D1A"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t xml:space="preserve">Masashi Kanai, Keita </w:t>
      </w:r>
      <w:proofErr w:type="spellStart"/>
      <w:r w:rsidRPr="00D47E4E">
        <w:rPr>
          <w:rFonts w:ascii="Book Antiqua" w:hAnsi="Book Antiqua"/>
          <w:b/>
        </w:rPr>
        <w:t>Fukuyam</w:t>
      </w:r>
      <w:proofErr w:type="spellEnd"/>
      <w:r w:rsidRPr="00D47E4E">
        <w:rPr>
          <w:rFonts w:ascii="Book Antiqua" w:hAnsi="Book Antiqua"/>
          <w:b/>
          <w:lang w:val="vi-VN"/>
        </w:rPr>
        <w:t>a</w:t>
      </w:r>
      <w:r w:rsidRPr="00D47E4E">
        <w:rPr>
          <w:rFonts w:ascii="Book Antiqua" w:hAnsi="Book Antiqua"/>
          <w:b/>
          <w:bCs/>
          <w:lang w:val="vi-VN"/>
        </w:rPr>
        <w:t>,</w:t>
      </w:r>
      <w:r w:rsidRPr="00D47E4E">
        <w:rPr>
          <w:rFonts w:ascii="Book Antiqua" w:hAnsi="Book Antiqua"/>
          <w:lang w:val="vi-VN"/>
        </w:rPr>
        <w:t xml:space="preserve"> </w:t>
      </w:r>
      <w:r w:rsidR="001D0DDE" w:rsidRPr="00D47E4E">
        <w:rPr>
          <w:rFonts w:ascii="Book Antiqua" w:hAnsi="Book Antiqua"/>
        </w:rPr>
        <w:t>Department of Clinical Oncology, Pharmacogenomics, and Palliative Medicine, Graduate School of Medicine, Kyoto University, Kyoto</w:t>
      </w:r>
      <w:r w:rsidR="00A901A6" w:rsidRPr="00D47E4E">
        <w:rPr>
          <w:rFonts w:ascii="Book Antiqua" w:hAnsi="Book Antiqua"/>
        </w:rPr>
        <w:t xml:space="preserve"> 606-8507</w:t>
      </w:r>
      <w:r w:rsidR="001D0DDE" w:rsidRPr="00D47E4E">
        <w:rPr>
          <w:rFonts w:ascii="Book Antiqua" w:hAnsi="Book Antiqua"/>
        </w:rPr>
        <w:t>, Japan</w:t>
      </w:r>
    </w:p>
    <w:p w14:paraId="3F7ECC5A" w14:textId="77777777" w:rsidR="007970F4" w:rsidRPr="00D47E4E" w:rsidRDefault="007970F4" w:rsidP="00FA5FC9">
      <w:pPr>
        <w:adjustRightInd w:val="0"/>
        <w:snapToGrid w:val="0"/>
        <w:spacing w:line="360" w:lineRule="auto"/>
        <w:jc w:val="both"/>
        <w:rPr>
          <w:rFonts w:ascii="Book Antiqua" w:hAnsi="Book Antiqua"/>
          <w:b/>
        </w:rPr>
      </w:pPr>
    </w:p>
    <w:p w14:paraId="582B5444" w14:textId="35D8553D" w:rsidR="00623DCD"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Norimitsu</w:t>
      </w:r>
      <w:proofErr w:type="spellEnd"/>
      <w:r w:rsidRPr="00D47E4E">
        <w:rPr>
          <w:rFonts w:ascii="Book Antiqua" w:hAnsi="Book Antiqua"/>
          <w:b/>
        </w:rPr>
        <w:t xml:space="preserve"> </w:t>
      </w:r>
      <w:proofErr w:type="spellStart"/>
      <w:r w:rsidRPr="00D47E4E">
        <w:rPr>
          <w:rFonts w:ascii="Book Antiqua" w:hAnsi="Book Antiqua"/>
          <w:b/>
        </w:rPr>
        <w:t>Uza</w:t>
      </w:r>
      <w:proofErr w:type="spellEnd"/>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Gastroenterology and Hepatology,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078124DE" w14:textId="77777777" w:rsidR="007970F4" w:rsidRPr="00D47E4E" w:rsidRDefault="007970F4" w:rsidP="00FA5FC9">
      <w:pPr>
        <w:adjustRightInd w:val="0"/>
        <w:snapToGrid w:val="0"/>
        <w:spacing w:line="360" w:lineRule="auto"/>
        <w:jc w:val="both"/>
        <w:rPr>
          <w:rFonts w:ascii="Book Antiqua" w:hAnsi="Book Antiqua"/>
        </w:rPr>
      </w:pPr>
    </w:p>
    <w:p w14:paraId="39702B1B" w14:textId="086C8DC5" w:rsidR="00906AC7"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Hirona</w:t>
      </w:r>
      <w:proofErr w:type="spellEnd"/>
      <w:r w:rsidRPr="00D47E4E">
        <w:rPr>
          <w:rFonts w:ascii="Book Antiqua" w:hAnsi="Book Antiqua"/>
          <w:b/>
        </w:rPr>
        <w:t xml:space="preserve"> Maeda, </w:t>
      </w:r>
      <w:r w:rsidR="00EB7E37" w:rsidRPr="00D47E4E">
        <w:rPr>
          <w:rFonts w:ascii="Book Antiqua" w:hAnsi="Book Antiqua"/>
        </w:rPr>
        <w:t>Department of Diagnostic Pathology, Kyoto University Hospital, Kyoto</w:t>
      </w:r>
      <w:r w:rsidR="00A901A6" w:rsidRPr="00D47E4E">
        <w:rPr>
          <w:rFonts w:ascii="Book Antiqua" w:hAnsi="Book Antiqua"/>
        </w:rPr>
        <w:t xml:space="preserve"> 606-8507</w:t>
      </w:r>
      <w:r w:rsidR="00EB7E37" w:rsidRPr="00D47E4E">
        <w:rPr>
          <w:rFonts w:ascii="Book Antiqua" w:hAnsi="Book Antiqua"/>
        </w:rPr>
        <w:t>, Japan</w:t>
      </w:r>
    </w:p>
    <w:p w14:paraId="318557BF" w14:textId="77777777" w:rsidR="007970F4" w:rsidRPr="00D47E4E" w:rsidRDefault="007970F4" w:rsidP="00FA5FC9">
      <w:pPr>
        <w:adjustRightInd w:val="0"/>
        <w:snapToGrid w:val="0"/>
        <w:spacing w:line="360" w:lineRule="auto"/>
        <w:jc w:val="both"/>
        <w:rPr>
          <w:rFonts w:ascii="Book Antiqua" w:hAnsi="Book Antiqua"/>
        </w:rPr>
      </w:pPr>
    </w:p>
    <w:p w14:paraId="412F0BB9" w14:textId="0CB7F632" w:rsidR="000A3B70" w:rsidRPr="00D47E4E" w:rsidRDefault="007970F4" w:rsidP="00FA5FC9">
      <w:pPr>
        <w:adjustRightInd w:val="0"/>
        <w:snapToGrid w:val="0"/>
        <w:spacing w:line="360" w:lineRule="auto"/>
        <w:jc w:val="both"/>
        <w:rPr>
          <w:rFonts w:ascii="Book Antiqua" w:hAnsi="Book Antiqua"/>
        </w:rPr>
      </w:pPr>
      <w:proofErr w:type="spellStart"/>
      <w:r w:rsidRPr="00D47E4E">
        <w:rPr>
          <w:rFonts w:ascii="Book Antiqua" w:hAnsi="Book Antiqua"/>
          <w:b/>
        </w:rPr>
        <w:t>Yojiro</w:t>
      </w:r>
      <w:proofErr w:type="spellEnd"/>
      <w:r w:rsidRPr="00D47E4E">
        <w:rPr>
          <w:rFonts w:ascii="Book Antiqua" w:hAnsi="Book Antiqua"/>
          <w:b/>
        </w:rPr>
        <w:t xml:space="preserve"> Yutaka, </w:t>
      </w:r>
      <w:proofErr w:type="spellStart"/>
      <w:r w:rsidRPr="00D47E4E">
        <w:rPr>
          <w:rFonts w:ascii="Book Antiqua" w:hAnsi="Book Antiqua"/>
          <w:b/>
        </w:rPr>
        <w:t>Toyofumi</w:t>
      </w:r>
      <w:proofErr w:type="spellEnd"/>
      <w:r w:rsidRPr="00D47E4E">
        <w:rPr>
          <w:rFonts w:ascii="Book Antiqua" w:hAnsi="Book Antiqua"/>
          <w:b/>
        </w:rPr>
        <w:t xml:space="preserve"> F Chen-</w:t>
      </w:r>
      <w:proofErr w:type="spellStart"/>
      <w:r w:rsidRPr="00D47E4E">
        <w:rPr>
          <w:rFonts w:ascii="Book Antiqua" w:hAnsi="Book Antiqua"/>
          <w:b/>
        </w:rPr>
        <w:t>Yoshikaw</w:t>
      </w:r>
      <w:proofErr w:type="spellEnd"/>
      <w:r w:rsidRPr="00D47E4E">
        <w:rPr>
          <w:rFonts w:ascii="Book Antiqua" w:hAnsi="Book Antiqua"/>
          <w:b/>
          <w:lang w:val="vi-VN"/>
        </w:rPr>
        <w:t>a</w:t>
      </w:r>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Thoracic</w:t>
      </w:r>
      <w:r w:rsidR="00EB7E37" w:rsidRPr="00D47E4E">
        <w:rPr>
          <w:rFonts w:ascii="Book Antiqua" w:hAnsi="Book Antiqua"/>
          <w:vertAlign w:val="superscript"/>
        </w:rPr>
        <w:t>.</w:t>
      </w:r>
      <w:r w:rsidR="00EB7E37" w:rsidRPr="00D47E4E">
        <w:rPr>
          <w:rFonts w:ascii="Book Antiqua" w:hAnsi="Book Antiqua"/>
        </w:rPr>
        <w:t xml:space="preserve"> Surgery,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059D4857" w14:textId="77777777" w:rsidR="007970F4" w:rsidRPr="00D47E4E" w:rsidRDefault="007970F4" w:rsidP="00FA5FC9">
      <w:pPr>
        <w:adjustRightInd w:val="0"/>
        <w:snapToGrid w:val="0"/>
        <w:spacing w:line="360" w:lineRule="auto"/>
        <w:jc w:val="both"/>
        <w:rPr>
          <w:rFonts w:ascii="Book Antiqua" w:hAnsi="Book Antiqua"/>
        </w:rPr>
      </w:pPr>
    </w:p>
    <w:p w14:paraId="2B908319" w14:textId="7316F579" w:rsidR="00EE2A78" w:rsidRPr="00D47E4E" w:rsidRDefault="007970F4" w:rsidP="00FA5FC9">
      <w:pPr>
        <w:adjustRightInd w:val="0"/>
        <w:snapToGrid w:val="0"/>
        <w:spacing w:line="360" w:lineRule="auto"/>
        <w:jc w:val="both"/>
        <w:rPr>
          <w:rFonts w:ascii="Book Antiqua" w:hAnsi="Book Antiqua"/>
        </w:rPr>
      </w:pPr>
      <w:r w:rsidRPr="00D47E4E">
        <w:rPr>
          <w:rFonts w:ascii="Book Antiqua" w:hAnsi="Book Antiqua"/>
          <w:b/>
        </w:rPr>
        <w:lastRenderedPageBreak/>
        <w:t>Manabu Muto</w:t>
      </w:r>
      <w:r w:rsidRPr="00D47E4E">
        <w:rPr>
          <w:rFonts w:ascii="Book Antiqua" w:hAnsi="Book Antiqua"/>
          <w:b/>
          <w:bCs/>
          <w:lang w:val="vi-VN"/>
        </w:rPr>
        <w:t>,</w:t>
      </w:r>
      <w:r w:rsidRPr="00D47E4E">
        <w:rPr>
          <w:rFonts w:ascii="Book Antiqua" w:hAnsi="Book Antiqua"/>
          <w:lang w:val="vi-VN"/>
        </w:rPr>
        <w:t xml:space="preserve"> </w:t>
      </w:r>
      <w:r w:rsidR="00EB7E37" w:rsidRPr="00D47E4E">
        <w:rPr>
          <w:rFonts w:ascii="Book Antiqua" w:hAnsi="Book Antiqua"/>
        </w:rPr>
        <w:t>Department of Therapeutic Oncology, Graduate School of Medicine, Kyoto University, Kyoto</w:t>
      </w:r>
      <w:r w:rsidR="00A901A6" w:rsidRPr="00D47E4E">
        <w:rPr>
          <w:rFonts w:ascii="Book Antiqua" w:hAnsi="Book Antiqua"/>
        </w:rPr>
        <w:t xml:space="preserve"> 606-8507</w:t>
      </w:r>
      <w:r w:rsidR="00EB7E37" w:rsidRPr="00D47E4E">
        <w:rPr>
          <w:rFonts w:ascii="Book Antiqua" w:hAnsi="Book Antiqua"/>
        </w:rPr>
        <w:t>, Japan</w:t>
      </w:r>
    </w:p>
    <w:p w14:paraId="5756682B" w14:textId="28E7236C" w:rsidR="000F727A" w:rsidRPr="00D47E4E" w:rsidRDefault="000F727A" w:rsidP="00FA5FC9">
      <w:pPr>
        <w:adjustRightInd w:val="0"/>
        <w:snapToGrid w:val="0"/>
        <w:spacing w:line="360" w:lineRule="auto"/>
        <w:jc w:val="both"/>
        <w:rPr>
          <w:rFonts w:ascii="Book Antiqua" w:hAnsi="Book Antiqua"/>
          <w:lang w:val="vi-VN"/>
        </w:rPr>
      </w:pPr>
    </w:p>
    <w:p w14:paraId="179DA00D" w14:textId="4F560761" w:rsidR="00AB0D1A" w:rsidRPr="00D47E4E" w:rsidRDefault="000F727A"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 xml:space="preserve">Author contributions: </w:t>
      </w:r>
      <w:r w:rsidRPr="00D47E4E">
        <w:rPr>
          <w:rFonts w:ascii="Book Antiqua" w:hAnsi="Book Antiqua"/>
        </w:rPr>
        <w:t>Nam</w:t>
      </w:r>
      <w:r w:rsidRPr="00D47E4E">
        <w:rPr>
          <w:rFonts w:ascii="Book Antiqua" w:hAnsi="Book Antiqua"/>
          <w:lang w:val="vi-VN"/>
        </w:rPr>
        <w:t xml:space="preserve"> NH and Taura K</w:t>
      </w:r>
      <w:r w:rsidRPr="00D47E4E">
        <w:rPr>
          <w:rFonts w:ascii="Book Antiqua" w:hAnsi="Book Antiqua"/>
        </w:rPr>
        <w:t xml:space="preserve"> designed this report</w:t>
      </w:r>
      <w:r w:rsidRPr="00D47E4E">
        <w:rPr>
          <w:rFonts w:ascii="Book Antiqua" w:hAnsi="Book Antiqua"/>
          <w:lang w:val="vi-VN"/>
        </w:rPr>
        <w:t xml:space="preserve">, </w:t>
      </w:r>
      <w:r w:rsidRPr="00D47E4E">
        <w:rPr>
          <w:rFonts w:ascii="Book Antiqua" w:hAnsi="Book Antiqua"/>
        </w:rPr>
        <w:t>reviewed the literature and contributed to manuscript drafting</w:t>
      </w:r>
      <w:r w:rsidR="00614841" w:rsidRPr="00D47E4E">
        <w:rPr>
          <w:rFonts w:ascii="Book Antiqua" w:eastAsia="宋体" w:hAnsi="Book Antiqua" w:cs="宋体"/>
          <w:lang w:val="vi-VN" w:eastAsia="zh-CN"/>
        </w:rPr>
        <w:t>;</w:t>
      </w:r>
      <w:r w:rsidR="00DE1E05" w:rsidRPr="00D47E4E">
        <w:rPr>
          <w:rFonts w:ascii="Book Antiqua" w:hAnsi="Book Antiqua"/>
          <w:lang w:val="vi-VN"/>
        </w:rPr>
        <w:t xml:space="preserve"> </w:t>
      </w:r>
      <w:proofErr w:type="spellStart"/>
      <w:r w:rsidRPr="00D47E4E">
        <w:rPr>
          <w:rFonts w:ascii="Book Antiqua" w:hAnsi="Book Antiqua"/>
        </w:rPr>
        <w:t>Taura</w:t>
      </w:r>
      <w:proofErr w:type="spellEnd"/>
      <w:r w:rsidRPr="00D47E4E">
        <w:rPr>
          <w:rFonts w:ascii="Book Antiqua" w:hAnsi="Book Antiqua"/>
        </w:rPr>
        <w:t xml:space="preserve"> </w:t>
      </w:r>
      <w:r w:rsidRPr="00D47E4E">
        <w:rPr>
          <w:rFonts w:ascii="Book Antiqua" w:hAnsi="Book Antiqua"/>
          <w:lang w:val="vi-VN"/>
        </w:rPr>
        <w:t xml:space="preserve">K and Uemoto S </w:t>
      </w:r>
      <w:r w:rsidRPr="00D47E4E">
        <w:rPr>
          <w:rFonts w:ascii="Book Antiqua" w:hAnsi="Book Antiqua"/>
        </w:rPr>
        <w:t>were the patient’s HPB</w:t>
      </w:r>
      <w:r w:rsidRPr="00D47E4E">
        <w:rPr>
          <w:rFonts w:ascii="Book Antiqua" w:hAnsi="Book Antiqua"/>
          <w:lang w:val="vi-VN"/>
        </w:rPr>
        <w:t xml:space="preserve"> </w:t>
      </w:r>
      <w:r w:rsidRPr="00D47E4E">
        <w:rPr>
          <w:rFonts w:ascii="Book Antiqua" w:hAnsi="Book Antiqua"/>
        </w:rPr>
        <w:t>surgeons</w:t>
      </w:r>
      <w:r w:rsidR="00614841" w:rsidRPr="00D47E4E">
        <w:rPr>
          <w:rFonts w:ascii="Book Antiqua" w:hAnsi="Book Antiqua"/>
          <w:lang w:val="vi-VN"/>
        </w:rPr>
        <w:t>;</w:t>
      </w:r>
      <w:r w:rsidR="00DE1E05" w:rsidRPr="00D47E4E">
        <w:rPr>
          <w:rFonts w:ascii="Book Antiqua" w:hAnsi="Book Antiqua"/>
          <w:lang w:val="vi-VN"/>
        </w:rPr>
        <w:t xml:space="preserve"> </w:t>
      </w:r>
      <w:r w:rsidR="007F5BB5" w:rsidRPr="00D47E4E">
        <w:rPr>
          <w:rFonts w:ascii="Book Antiqua" w:hAnsi="Book Antiqua"/>
        </w:rPr>
        <w:t>Maeda</w:t>
      </w:r>
      <w:r w:rsidR="007F5BB5" w:rsidRPr="00D47E4E">
        <w:rPr>
          <w:rFonts w:ascii="Book Antiqua" w:hAnsi="Book Antiqua"/>
          <w:lang w:val="vi-VN"/>
        </w:rPr>
        <w:t xml:space="preserve"> H performed the pathological examination</w:t>
      </w:r>
      <w:r w:rsidR="00614841" w:rsidRPr="00D47E4E">
        <w:rPr>
          <w:rFonts w:ascii="Book Antiqua" w:hAnsi="Book Antiqua"/>
          <w:lang w:val="vi-VN"/>
        </w:rPr>
        <w:t>;</w:t>
      </w:r>
      <w:r w:rsidR="007F5BB5" w:rsidRPr="00D47E4E">
        <w:rPr>
          <w:rFonts w:ascii="Book Antiqua" w:hAnsi="Book Antiqua"/>
          <w:lang w:val="vi-VN"/>
        </w:rPr>
        <w:t xml:space="preserve"> </w:t>
      </w:r>
      <w:r w:rsidR="007F5BB5" w:rsidRPr="00D47E4E">
        <w:rPr>
          <w:rFonts w:ascii="Book Antiqua" w:hAnsi="Book Antiqua"/>
        </w:rPr>
        <w:t xml:space="preserve">Yutaka </w:t>
      </w:r>
      <w:r w:rsidR="007F5BB5" w:rsidRPr="00D47E4E">
        <w:rPr>
          <w:rFonts w:ascii="Book Antiqua" w:hAnsi="Book Antiqua"/>
          <w:lang w:val="vi-VN"/>
        </w:rPr>
        <w:t xml:space="preserve">Y and </w:t>
      </w:r>
      <w:r w:rsidR="00D36BD7" w:rsidRPr="00D47E4E">
        <w:rPr>
          <w:rFonts w:ascii="Book Antiqua" w:hAnsi="Book Antiqua"/>
        </w:rPr>
        <w:t>Chen-Yoshikawa</w:t>
      </w:r>
      <w:r w:rsidR="007F5BB5" w:rsidRPr="00D47E4E">
        <w:rPr>
          <w:rFonts w:ascii="Book Antiqua" w:hAnsi="Book Antiqua"/>
          <w:lang w:val="vi-VN"/>
        </w:rPr>
        <w:t xml:space="preserve"> TF </w:t>
      </w:r>
      <w:r w:rsidR="007F5BB5" w:rsidRPr="00D47E4E">
        <w:rPr>
          <w:rFonts w:ascii="Book Antiqua" w:hAnsi="Book Antiqua"/>
        </w:rPr>
        <w:t>were the patient’s thoracic</w:t>
      </w:r>
      <w:r w:rsidR="007F5BB5" w:rsidRPr="00D47E4E">
        <w:rPr>
          <w:rFonts w:ascii="Book Antiqua" w:hAnsi="Book Antiqua"/>
          <w:lang w:val="vi-VN"/>
        </w:rPr>
        <w:t xml:space="preserve"> </w:t>
      </w:r>
      <w:r w:rsidR="007F5BB5" w:rsidRPr="00D47E4E">
        <w:rPr>
          <w:rFonts w:ascii="Book Antiqua" w:hAnsi="Book Antiqua"/>
        </w:rPr>
        <w:t>surgeons</w:t>
      </w:r>
      <w:r w:rsidR="00614841" w:rsidRPr="00D47E4E">
        <w:rPr>
          <w:rFonts w:ascii="Book Antiqua" w:hAnsi="Book Antiqua"/>
          <w:lang w:val="vi-VN"/>
        </w:rPr>
        <w:t>;</w:t>
      </w:r>
      <w:r w:rsidR="007F5BB5" w:rsidRPr="00D47E4E">
        <w:rPr>
          <w:rFonts w:ascii="Book Antiqua" w:hAnsi="Book Antiqua"/>
          <w:lang w:val="vi-VN"/>
        </w:rPr>
        <w:t xml:space="preserve"> </w:t>
      </w:r>
      <w:r w:rsidRPr="00D47E4E">
        <w:rPr>
          <w:rFonts w:ascii="Book Antiqua" w:hAnsi="Book Antiqua"/>
        </w:rPr>
        <w:t>Kanai</w:t>
      </w:r>
      <w:r w:rsidRPr="00D47E4E">
        <w:rPr>
          <w:rFonts w:ascii="Book Antiqua" w:hAnsi="Book Antiqua"/>
          <w:lang w:val="vi-VN"/>
        </w:rPr>
        <w:t xml:space="preserve"> M</w:t>
      </w:r>
      <w:r w:rsidR="00DE1E05" w:rsidRPr="00D47E4E">
        <w:rPr>
          <w:rFonts w:ascii="Book Antiqua" w:hAnsi="Book Antiqua"/>
          <w:lang w:val="vi-VN"/>
        </w:rPr>
        <w:t xml:space="preserve">, </w:t>
      </w:r>
      <w:proofErr w:type="spellStart"/>
      <w:r w:rsidRPr="00D47E4E">
        <w:rPr>
          <w:rFonts w:ascii="Book Antiqua" w:hAnsi="Book Antiqua"/>
        </w:rPr>
        <w:t>Fukuyam</w:t>
      </w:r>
      <w:proofErr w:type="spellEnd"/>
      <w:r w:rsidRPr="00D47E4E">
        <w:rPr>
          <w:rFonts w:ascii="Book Antiqua" w:hAnsi="Book Antiqua"/>
          <w:lang w:val="vi-VN"/>
        </w:rPr>
        <w:t>a K</w:t>
      </w:r>
      <w:r w:rsidR="00DE1E05" w:rsidRPr="00D47E4E">
        <w:rPr>
          <w:rFonts w:ascii="Book Antiqua" w:hAnsi="Book Antiqua"/>
          <w:lang w:val="vi-VN"/>
        </w:rPr>
        <w:t>,</w:t>
      </w:r>
      <w:r w:rsidRPr="00D47E4E">
        <w:rPr>
          <w:rFonts w:ascii="Book Antiqua" w:hAnsi="Book Antiqua"/>
          <w:lang w:val="vi-VN"/>
        </w:rPr>
        <w:t xml:space="preserve"> </w:t>
      </w:r>
      <w:r w:rsidR="00DE1E05" w:rsidRPr="00D47E4E">
        <w:rPr>
          <w:rFonts w:ascii="Book Antiqua" w:hAnsi="Book Antiqua"/>
        </w:rPr>
        <w:t>Muto</w:t>
      </w:r>
      <w:r w:rsidR="00DE1E05" w:rsidRPr="00D47E4E">
        <w:rPr>
          <w:rFonts w:ascii="Book Antiqua" w:hAnsi="Book Antiqua"/>
          <w:lang w:val="vi-VN"/>
        </w:rPr>
        <w:t xml:space="preserve"> M</w:t>
      </w:r>
      <w:r w:rsidR="00DE1E05" w:rsidRPr="00D47E4E">
        <w:rPr>
          <w:rFonts w:ascii="Book Antiqua" w:hAnsi="Book Antiqua"/>
        </w:rPr>
        <w:t xml:space="preserve"> </w:t>
      </w:r>
      <w:r w:rsidRPr="00D47E4E">
        <w:rPr>
          <w:rFonts w:ascii="Book Antiqua" w:hAnsi="Book Antiqua"/>
        </w:rPr>
        <w:t>performed</w:t>
      </w:r>
      <w:r w:rsidRPr="00D47E4E">
        <w:rPr>
          <w:rFonts w:ascii="Book Antiqua" w:hAnsi="Book Antiqua"/>
          <w:lang w:val="vi-VN"/>
        </w:rPr>
        <w:t xml:space="preserve"> the </w:t>
      </w:r>
      <w:r w:rsidRPr="00D47E4E">
        <w:rPr>
          <w:rFonts w:ascii="Book Antiqua" w:hAnsi="Book Antiqua"/>
        </w:rPr>
        <w:t>genomic profiling analysis using whole exome sequencing</w:t>
      </w:r>
      <w:r w:rsidR="00614841" w:rsidRPr="00D47E4E">
        <w:rPr>
          <w:rFonts w:ascii="Book Antiqua" w:hAnsi="Book Antiqua"/>
          <w:lang w:val="vi-VN"/>
        </w:rPr>
        <w:t>;</w:t>
      </w:r>
      <w:r w:rsidR="00DE1E05" w:rsidRPr="00D47E4E">
        <w:rPr>
          <w:rFonts w:ascii="Book Antiqua" w:hAnsi="Book Antiqua"/>
          <w:lang w:val="vi-VN"/>
        </w:rPr>
        <w:t xml:space="preserve"> </w:t>
      </w:r>
      <w:r w:rsidR="00DE1E05" w:rsidRPr="00D47E4E">
        <w:rPr>
          <w:rFonts w:ascii="Book Antiqua" w:hAnsi="Book Antiqua"/>
        </w:rPr>
        <w:t>Nam</w:t>
      </w:r>
      <w:r w:rsidR="00DE1E05" w:rsidRPr="00D47E4E">
        <w:rPr>
          <w:rFonts w:ascii="Book Antiqua" w:hAnsi="Book Antiqua"/>
          <w:lang w:val="vi-VN"/>
        </w:rPr>
        <w:t xml:space="preserve"> NH, Taura K and Uza N </w:t>
      </w:r>
      <w:r w:rsidRPr="00D47E4E">
        <w:rPr>
          <w:rFonts w:ascii="Book Antiqua" w:hAnsi="Book Antiqua"/>
        </w:rPr>
        <w:t>were responsible for the revision of the manuscript for important intellectual content; all authors issued final approval for the version to be submitted.</w:t>
      </w:r>
    </w:p>
    <w:p w14:paraId="6FA2FAF5" w14:textId="0F831E44" w:rsidR="007F5BB5" w:rsidRPr="00D47E4E" w:rsidRDefault="007F5BB5" w:rsidP="00FA5FC9">
      <w:pPr>
        <w:adjustRightInd w:val="0"/>
        <w:snapToGrid w:val="0"/>
        <w:spacing w:line="360" w:lineRule="auto"/>
        <w:jc w:val="both"/>
        <w:rPr>
          <w:rFonts w:ascii="Book Antiqua" w:hAnsi="Book Antiqua"/>
        </w:rPr>
      </w:pPr>
    </w:p>
    <w:p w14:paraId="6B466D72" w14:textId="2DF2810E" w:rsidR="007F5BB5" w:rsidRPr="00D47E4E" w:rsidRDefault="00EB7E37" w:rsidP="00FA5FC9">
      <w:pPr>
        <w:adjustRightInd w:val="0"/>
        <w:snapToGrid w:val="0"/>
        <w:spacing w:line="360" w:lineRule="auto"/>
        <w:jc w:val="both"/>
        <w:rPr>
          <w:rFonts w:ascii="Book Antiqua" w:hAnsi="Book Antiqua"/>
          <w:lang w:val="vi-VN"/>
        </w:rPr>
      </w:pPr>
      <w:r w:rsidRPr="00D47E4E">
        <w:rPr>
          <w:rFonts w:ascii="Book Antiqua" w:hAnsi="Book Antiqua"/>
          <w:b/>
        </w:rPr>
        <w:t>Corresponding author:</w:t>
      </w:r>
      <w:r w:rsidR="007F5BB5" w:rsidRPr="00D47E4E">
        <w:rPr>
          <w:rFonts w:ascii="Book Antiqua" w:hAnsi="Book Antiqua"/>
          <w:b/>
          <w:lang w:val="vi-VN"/>
        </w:rPr>
        <w:t xml:space="preserve"> </w:t>
      </w:r>
      <w:proofErr w:type="spellStart"/>
      <w:r w:rsidRPr="00D47E4E">
        <w:rPr>
          <w:rFonts w:ascii="Book Antiqua" w:hAnsi="Book Antiqua"/>
          <w:b/>
        </w:rPr>
        <w:t>Kojiro</w:t>
      </w:r>
      <w:proofErr w:type="spellEnd"/>
      <w:r w:rsidRPr="00D47E4E">
        <w:rPr>
          <w:rFonts w:ascii="Book Antiqua" w:hAnsi="Book Antiqua"/>
          <w:b/>
        </w:rPr>
        <w:t xml:space="preserve"> </w:t>
      </w:r>
      <w:proofErr w:type="spellStart"/>
      <w:r w:rsidRPr="00D47E4E">
        <w:rPr>
          <w:rFonts w:ascii="Book Antiqua" w:hAnsi="Book Antiqua"/>
          <w:b/>
        </w:rPr>
        <w:t>Taura</w:t>
      </w:r>
      <w:proofErr w:type="spellEnd"/>
      <w:r w:rsidRPr="00D47E4E">
        <w:rPr>
          <w:rFonts w:ascii="Book Antiqua" w:hAnsi="Book Antiqua"/>
          <w:b/>
        </w:rPr>
        <w:t>,</w:t>
      </w:r>
      <w:r w:rsidR="00614841" w:rsidRPr="00D47E4E">
        <w:rPr>
          <w:rFonts w:ascii="Book Antiqua" w:hAnsi="Book Antiqua"/>
        </w:rPr>
        <w:t xml:space="preserve"> </w:t>
      </w:r>
      <w:r w:rsidR="00614841" w:rsidRPr="00D47E4E">
        <w:rPr>
          <w:rFonts w:ascii="Book Antiqua" w:hAnsi="Book Antiqua"/>
          <w:b/>
        </w:rPr>
        <w:t>MD, PhD, Associate Professor, Doctor, Surgeon, Surgical Oncologist,</w:t>
      </w:r>
      <w:r w:rsidR="007F5BB5" w:rsidRPr="00D47E4E">
        <w:rPr>
          <w:rFonts w:ascii="Book Antiqua" w:hAnsi="Book Antiqua"/>
          <w:b/>
          <w:lang w:val="vi-VN"/>
        </w:rPr>
        <w:t xml:space="preserve"> </w:t>
      </w:r>
      <w:r w:rsidR="00A90907" w:rsidRPr="00D47E4E">
        <w:rPr>
          <w:rFonts w:ascii="Book Antiqua" w:hAnsi="Book Antiqua"/>
        </w:rPr>
        <w:t xml:space="preserve">Division of Hepato-Biliary-Pancreatic Surgery and Transplantation, </w:t>
      </w:r>
      <w:r w:rsidR="007F5BB5" w:rsidRPr="00D47E4E">
        <w:rPr>
          <w:rFonts w:ascii="Book Antiqua" w:hAnsi="Book Antiqua"/>
        </w:rPr>
        <w:t>Department of Surgery,</w:t>
      </w:r>
      <w:r w:rsidR="007F5BB5" w:rsidRPr="00D47E4E">
        <w:rPr>
          <w:rFonts w:ascii="Book Antiqua" w:hAnsi="Book Antiqua"/>
          <w:lang w:val="vi-VN"/>
        </w:rPr>
        <w:t xml:space="preserve"> </w:t>
      </w:r>
      <w:r w:rsidR="00623DCD" w:rsidRPr="00D47E4E">
        <w:rPr>
          <w:rFonts w:ascii="Book Antiqua" w:hAnsi="Book Antiqua"/>
        </w:rPr>
        <w:t>Graduate School of Medicine, Kyoto University</w:t>
      </w:r>
      <w:r w:rsidR="007F5BB5" w:rsidRPr="00D47E4E">
        <w:rPr>
          <w:rFonts w:ascii="Book Antiqua" w:hAnsi="Book Antiqua"/>
          <w:lang w:val="vi-VN"/>
        </w:rPr>
        <w:t xml:space="preserve">, </w:t>
      </w:r>
      <w:r w:rsidR="00623DCD" w:rsidRPr="00D47E4E">
        <w:rPr>
          <w:rFonts w:ascii="Book Antiqua" w:hAnsi="Book Antiqua"/>
        </w:rPr>
        <w:t>54 Kawahara-</w:t>
      </w:r>
      <w:proofErr w:type="spellStart"/>
      <w:r w:rsidR="00623DCD" w:rsidRPr="00D47E4E">
        <w:rPr>
          <w:rFonts w:ascii="Book Antiqua" w:hAnsi="Book Antiqua"/>
        </w:rPr>
        <w:t>cho</w:t>
      </w:r>
      <w:proofErr w:type="spellEnd"/>
      <w:r w:rsidR="00623DCD" w:rsidRPr="00D47E4E">
        <w:rPr>
          <w:rFonts w:ascii="Book Antiqua" w:hAnsi="Book Antiqua"/>
        </w:rPr>
        <w:t xml:space="preserve">, </w:t>
      </w:r>
      <w:proofErr w:type="spellStart"/>
      <w:r w:rsidR="00623DCD" w:rsidRPr="00D47E4E">
        <w:rPr>
          <w:rFonts w:ascii="Book Antiqua" w:hAnsi="Book Antiqua"/>
        </w:rPr>
        <w:t>Shogoin</w:t>
      </w:r>
      <w:proofErr w:type="spellEnd"/>
      <w:r w:rsidR="00623DCD" w:rsidRPr="00D47E4E">
        <w:rPr>
          <w:rFonts w:ascii="Book Antiqua" w:hAnsi="Book Antiqua"/>
        </w:rPr>
        <w:t>, Sakyo-</w:t>
      </w:r>
      <w:proofErr w:type="spellStart"/>
      <w:r w:rsidR="00623DCD" w:rsidRPr="00D47E4E">
        <w:rPr>
          <w:rFonts w:ascii="Book Antiqua" w:hAnsi="Book Antiqua"/>
        </w:rPr>
        <w:t>ku</w:t>
      </w:r>
      <w:proofErr w:type="spellEnd"/>
      <w:r w:rsidR="00623DCD" w:rsidRPr="00D47E4E">
        <w:rPr>
          <w:rFonts w:ascii="Book Antiqua" w:hAnsi="Book Antiqua"/>
        </w:rPr>
        <w:t xml:space="preserve">, </w:t>
      </w:r>
      <w:r w:rsidRPr="00D47E4E">
        <w:rPr>
          <w:rFonts w:ascii="Book Antiqua" w:hAnsi="Book Antiqua"/>
        </w:rPr>
        <w:t>Kyoto 606-8507, Japan.</w:t>
      </w:r>
      <w:r w:rsidR="00614841" w:rsidRPr="00D47E4E">
        <w:rPr>
          <w:rFonts w:ascii="Book Antiqua" w:eastAsia="等线" w:hAnsi="Book Antiqua"/>
          <w:b/>
          <w:lang w:val="vi-VN" w:eastAsia="zh-CN"/>
        </w:rPr>
        <w:t xml:space="preserve"> </w:t>
      </w:r>
      <w:r w:rsidR="00685C8D" w:rsidRPr="00D47E4E">
        <w:rPr>
          <w:rFonts w:ascii="Book Antiqua" w:hAnsi="Book Antiqua"/>
          <w:lang w:val="vi-VN"/>
        </w:rPr>
        <w:t>ktaura@kuhp.kyoto-u.ac.jp</w:t>
      </w:r>
    </w:p>
    <w:p w14:paraId="47F9E1A8" w14:textId="77777777" w:rsidR="00685C8D" w:rsidRPr="00D47E4E" w:rsidRDefault="00685C8D" w:rsidP="00FA5FC9">
      <w:pPr>
        <w:adjustRightInd w:val="0"/>
        <w:snapToGrid w:val="0"/>
        <w:spacing w:line="360" w:lineRule="auto"/>
        <w:jc w:val="both"/>
        <w:rPr>
          <w:rStyle w:val="a5"/>
          <w:rFonts w:ascii="Book Antiqua" w:eastAsiaTheme="minorEastAsia" w:hAnsi="Book Antiqua"/>
          <w:b/>
          <w:color w:val="auto"/>
          <w:u w:val="none"/>
          <w:lang w:val="vi-VN"/>
        </w:rPr>
      </w:pPr>
    </w:p>
    <w:p w14:paraId="71F33380" w14:textId="1B6D85E8" w:rsidR="007048DF" w:rsidRPr="00D47E4E" w:rsidRDefault="007048DF" w:rsidP="00FA5FC9">
      <w:pPr>
        <w:adjustRightInd w:val="0"/>
        <w:snapToGrid w:val="0"/>
        <w:spacing w:line="360" w:lineRule="auto"/>
        <w:jc w:val="both"/>
        <w:rPr>
          <w:rFonts w:ascii="Book Antiqua" w:hAnsi="Book Antiqua"/>
          <w:lang w:val="vi-VN"/>
        </w:rPr>
      </w:pPr>
      <w:r w:rsidRPr="00D47E4E">
        <w:rPr>
          <w:rFonts w:ascii="Book Antiqua" w:hAnsi="Book Antiqua"/>
          <w:b/>
        </w:rPr>
        <w:t>Received</w:t>
      </w:r>
      <w:r w:rsidRPr="00D47E4E">
        <w:rPr>
          <w:rFonts w:ascii="Book Antiqua" w:hAnsi="Book Antiqua"/>
          <w:b/>
          <w:lang w:val="vi-VN"/>
        </w:rPr>
        <w:t>:</w:t>
      </w:r>
      <w:r w:rsidRPr="00D47E4E">
        <w:rPr>
          <w:rFonts w:ascii="Book Antiqua" w:hAnsi="Book Antiqua"/>
          <w:lang w:val="vi-VN"/>
        </w:rPr>
        <w:t xml:space="preserve"> </w:t>
      </w:r>
      <w:r w:rsidR="00685C8D" w:rsidRPr="00D47E4E">
        <w:rPr>
          <w:rFonts w:ascii="Book Antiqua" w:hAnsi="Book Antiqua"/>
          <w:lang w:val="vi-VN"/>
        </w:rPr>
        <w:t>October</w:t>
      </w:r>
      <w:r w:rsidRPr="00D47E4E">
        <w:rPr>
          <w:rFonts w:ascii="Book Antiqua" w:hAnsi="Book Antiqua"/>
          <w:lang w:val="vi-VN"/>
        </w:rPr>
        <w:t xml:space="preserve"> </w:t>
      </w:r>
      <w:r w:rsidR="00685C8D" w:rsidRPr="00D47E4E">
        <w:rPr>
          <w:rFonts w:ascii="Book Antiqua" w:hAnsi="Book Antiqua"/>
          <w:lang w:val="vi-VN"/>
        </w:rPr>
        <w:t>13</w:t>
      </w:r>
      <w:r w:rsidRPr="00D47E4E">
        <w:rPr>
          <w:rFonts w:ascii="Book Antiqua" w:hAnsi="Book Antiqua"/>
          <w:lang w:val="vi-VN"/>
        </w:rPr>
        <w:t>, 2019</w:t>
      </w:r>
    </w:p>
    <w:p w14:paraId="7DB91BA9" w14:textId="2834B5A6" w:rsidR="007048DF" w:rsidRPr="00D47E4E" w:rsidRDefault="007048DF" w:rsidP="00FA5FC9">
      <w:pPr>
        <w:adjustRightInd w:val="0"/>
        <w:snapToGrid w:val="0"/>
        <w:spacing w:line="360" w:lineRule="auto"/>
        <w:jc w:val="both"/>
        <w:rPr>
          <w:rFonts w:ascii="Book Antiqua" w:hAnsi="Book Antiqua"/>
          <w:lang w:val="vi-VN"/>
        </w:rPr>
      </w:pPr>
      <w:r w:rsidRPr="00D47E4E">
        <w:rPr>
          <w:rFonts w:ascii="Book Antiqua" w:hAnsi="Book Antiqua"/>
          <w:b/>
          <w:lang w:val="vi-VN"/>
        </w:rPr>
        <w:t>Revised:</w:t>
      </w:r>
      <w:r w:rsidRPr="00D47E4E">
        <w:rPr>
          <w:rFonts w:ascii="Book Antiqua" w:hAnsi="Book Antiqua"/>
          <w:lang w:val="vi-VN"/>
        </w:rPr>
        <w:t xml:space="preserve"> December 1</w:t>
      </w:r>
      <w:r w:rsidR="00685C8D" w:rsidRPr="00D47E4E">
        <w:rPr>
          <w:rFonts w:ascii="Book Antiqua" w:hAnsi="Book Antiqua"/>
          <w:lang w:val="vi-VN"/>
        </w:rPr>
        <w:t>3</w:t>
      </w:r>
      <w:r w:rsidRPr="00D47E4E">
        <w:rPr>
          <w:rFonts w:ascii="Book Antiqua" w:hAnsi="Book Antiqua"/>
          <w:lang w:val="vi-VN"/>
        </w:rPr>
        <w:t>, 2019</w:t>
      </w:r>
    </w:p>
    <w:p w14:paraId="57B6EAE4" w14:textId="28ABD797" w:rsidR="007048DF" w:rsidRPr="00D47E4E" w:rsidRDefault="007048DF"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Accepted:</w:t>
      </w:r>
      <w:r w:rsidR="008C4277" w:rsidRPr="008C4277">
        <w:t xml:space="preserve"> </w:t>
      </w:r>
      <w:r w:rsidR="008C4277" w:rsidRPr="008C4277">
        <w:rPr>
          <w:rFonts w:ascii="Book Antiqua" w:hAnsi="Book Antiqua"/>
          <w:lang w:val="vi-VN"/>
        </w:rPr>
        <w:t>December 22, 2019</w:t>
      </w:r>
    </w:p>
    <w:p w14:paraId="739733A1" w14:textId="4666B4D8" w:rsidR="007048DF" w:rsidRPr="00D47E4E" w:rsidRDefault="007048DF"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t>Published online:</w:t>
      </w:r>
    </w:p>
    <w:p w14:paraId="580FFAF5" w14:textId="55570D67" w:rsidR="00F91F6A" w:rsidRPr="00D47E4E" w:rsidRDefault="00EB7E37" w:rsidP="00FA5FC9">
      <w:pPr>
        <w:adjustRightInd w:val="0"/>
        <w:snapToGrid w:val="0"/>
        <w:spacing w:line="360" w:lineRule="auto"/>
        <w:jc w:val="both"/>
        <w:rPr>
          <w:rFonts w:ascii="Book Antiqua" w:hAnsi="Book Antiqua"/>
          <w:b/>
          <w:lang w:val="vi-VN"/>
        </w:rPr>
      </w:pPr>
      <w:r w:rsidRPr="00D47E4E">
        <w:rPr>
          <w:rFonts w:ascii="Book Antiqua" w:hAnsi="Book Antiqua"/>
          <w:b/>
          <w:lang w:val="vi-VN"/>
        </w:rPr>
        <w:br w:type="page"/>
      </w:r>
    </w:p>
    <w:p w14:paraId="5A0BB000" w14:textId="58CC861F" w:rsidR="00F92001" w:rsidRPr="00D47E4E" w:rsidRDefault="00EB7E37" w:rsidP="00FA5FC9">
      <w:pPr>
        <w:adjustRightInd w:val="0"/>
        <w:snapToGrid w:val="0"/>
        <w:spacing w:line="360" w:lineRule="auto"/>
        <w:jc w:val="both"/>
        <w:outlineLvl w:val="0"/>
        <w:rPr>
          <w:rFonts w:ascii="Book Antiqua" w:hAnsi="Book Antiqua"/>
          <w:b/>
          <w:lang w:val="vi-VN"/>
        </w:rPr>
      </w:pPr>
      <w:r w:rsidRPr="00D47E4E">
        <w:rPr>
          <w:rFonts w:ascii="Book Antiqua" w:hAnsi="Book Antiqua"/>
          <w:b/>
        </w:rPr>
        <w:lastRenderedPageBreak/>
        <w:t>Abstract</w:t>
      </w:r>
    </w:p>
    <w:p w14:paraId="1FF7A801" w14:textId="1EEB01A2"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BACKGROUND</w:t>
      </w:r>
    </w:p>
    <w:p w14:paraId="38AA57A1" w14:textId="48FA8B86" w:rsidR="00C05B52" w:rsidRPr="00D47E4E" w:rsidRDefault="00C05B52"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Despite an expanding number of studies on </w:t>
      </w:r>
      <w:r w:rsidR="005F7082" w:rsidRPr="00D47E4E">
        <w:rPr>
          <w:rFonts w:ascii="Book Antiqua" w:hAnsi="Book Antiqua"/>
        </w:rPr>
        <w:t xml:space="preserve">intraductal papillary neoplasm of the bile duct </w:t>
      </w:r>
      <w:r w:rsidR="005F7082" w:rsidRPr="00D47E4E">
        <w:rPr>
          <w:rFonts w:ascii="Book Antiqua" w:hAnsi="Book Antiqua"/>
          <w:lang w:val="vi-VN"/>
        </w:rPr>
        <w:t>(</w:t>
      </w:r>
      <w:r w:rsidRPr="00D47E4E">
        <w:rPr>
          <w:rFonts w:ascii="Book Antiqua" w:hAnsi="Book Antiqua"/>
        </w:rPr>
        <w:t>IPNB</w:t>
      </w:r>
      <w:r w:rsidR="005F7082" w:rsidRPr="00D47E4E">
        <w:rPr>
          <w:rFonts w:ascii="Book Antiqua" w:hAnsi="Book Antiqua"/>
          <w:lang w:val="vi-VN"/>
        </w:rPr>
        <w:t>)</w:t>
      </w:r>
      <w:r w:rsidRPr="00D47E4E">
        <w:rPr>
          <w:rFonts w:ascii="Book Antiqua" w:hAnsi="Book Antiqua"/>
        </w:rPr>
        <w:t xml:space="preserve">, distant metastasis remains </w:t>
      </w:r>
      <w:r w:rsidR="00512F1E" w:rsidRPr="00D47E4E">
        <w:rPr>
          <w:rFonts w:ascii="Book Antiqua" w:hAnsi="Book Antiqua"/>
        </w:rPr>
        <w:t>unexplained</w:t>
      </w:r>
      <w:r w:rsidRPr="00D47E4E">
        <w:rPr>
          <w:rFonts w:ascii="Book Antiqua" w:hAnsi="Book Antiqua"/>
        </w:rPr>
        <w:t xml:space="preserve"> especially in cases of carcinoma </w:t>
      </w:r>
      <w:r w:rsidR="00111120" w:rsidRPr="00D47E4E">
        <w:rPr>
          <w:rFonts w:ascii="Book Antiqua" w:hAnsi="Book Antiqua"/>
          <w:i/>
          <w:iCs/>
        </w:rPr>
        <w:t>in situ</w:t>
      </w:r>
      <w:r w:rsidRPr="00D47E4E">
        <w:rPr>
          <w:rFonts w:ascii="Book Antiqua" w:hAnsi="Book Antiqua"/>
        </w:rPr>
        <w:t xml:space="preserve">. In the present study, we report a rare and </w:t>
      </w:r>
      <w:r w:rsidR="00512F1E" w:rsidRPr="00D47E4E">
        <w:rPr>
          <w:rFonts w:ascii="Book Antiqua" w:hAnsi="Book Antiqua"/>
        </w:rPr>
        <w:t xml:space="preserve">interesting </w:t>
      </w:r>
      <w:r w:rsidRPr="00D47E4E">
        <w:rPr>
          <w:rFonts w:ascii="Book Antiqua" w:hAnsi="Book Antiqua"/>
        </w:rPr>
        <w:t>case of IPNB without invasive components that</w:t>
      </w:r>
      <w:r w:rsidR="00512F1E" w:rsidRPr="00D47E4E">
        <w:rPr>
          <w:rFonts w:ascii="Book Antiqua" w:hAnsi="Book Antiqua"/>
        </w:rPr>
        <w:t xml:space="preserve"> later</w:t>
      </w:r>
      <w:r w:rsidRPr="00D47E4E">
        <w:rPr>
          <w:rFonts w:ascii="Book Antiqua" w:hAnsi="Book Antiqua"/>
        </w:rPr>
        <w:t xml:space="preserve"> metastasized to lungs and brain.</w:t>
      </w:r>
    </w:p>
    <w:p w14:paraId="7B8EA39F" w14:textId="77777777" w:rsidR="00C05B52" w:rsidRPr="00D47E4E" w:rsidRDefault="00C05B52" w:rsidP="00FA5FC9">
      <w:pPr>
        <w:adjustRightInd w:val="0"/>
        <w:snapToGrid w:val="0"/>
        <w:spacing w:line="360" w:lineRule="auto"/>
        <w:jc w:val="both"/>
        <w:outlineLvl w:val="0"/>
        <w:rPr>
          <w:rFonts w:ascii="Book Antiqua" w:hAnsi="Book Antiqua"/>
          <w:lang w:val="vi-VN"/>
        </w:rPr>
      </w:pPr>
    </w:p>
    <w:p w14:paraId="0241FA8E" w14:textId="14B9C33B"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CASE SUMMARY</w:t>
      </w:r>
    </w:p>
    <w:p w14:paraId="358359F8" w14:textId="00B8AFE8" w:rsidR="00C05B52" w:rsidRPr="00D47E4E" w:rsidRDefault="00C05B52"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A 69-year-old male was referred to our hospital due to suspected cholangiocarcinoma. Laboratory tests on admission reported a mild elevation of alkaline phosphatase, γ-glutamyl transpeptidase, and total bilirubin in serum. Endoscopic retrograde cholangiography revealed a ﬁlling defect in the common bile duct (CBD) extending to the left hepatic duct. </w:t>
      </w:r>
      <w:proofErr w:type="spellStart"/>
      <w:r w:rsidRPr="00D47E4E">
        <w:rPr>
          <w:rFonts w:ascii="Book Antiqua" w:hAnsi="Book Antiqua"/>
        </w:rPr>
        <w:t>Peroral</w:t>
      </w:r>
      <w:proofErr w:type="spellEnd"/>
      <w:r w:rsidRPr="00D47E4E">
        <w:rPr>
          <w:rFonts w:ascii="Book Antiqua" w:hAnsi="Book Antiqua"/>
        </w:rPr>
        <w:t xml:space="preserve"> </w:t>
      </w:r>
      <w:proofErr w:type="spellStart"/>
      <w:r w:rsidRPr="00D47E4E">
        <w:rPr>
          <w:rFonts w:ascii="Book Antiqua" w:hAnsi="Book Antiqua"/>
        </w:rPr>
        <w:t>cholangioscopy</w:t>
      </w:r>
      <w:proofErr w:type="spellEnd"/>
      <w:r w:rsidRPr="00D47E4E">
        <w:rPr>
          <w:rFonts w:ascii="Book Antiqua" w:hAnsi="Book Antiqua"/>
        </w:rPr>
        <w:t xml:space="preserve"> delineated a tumor in the CBD that had a papillary pattern. Multidetector computed tomography and </w:t>
      </w:r>
      <w:r w:rsidRPr="00D47E4E">
        <w:rPr>
          <w:rStyle w:val="a9"/>
          <w:rFonts w:ascii="Book Antiqua" w:hAnsi="Book Antiqua"/>
          <w:bCs/>
          <w:i w:val="0"/>
        </w:rPr>
        <w:t>magnetic resonance cholangiopancreatography</w:t>
      </w:r>
      <w:r w:rsidRPr="00D47E4E">
        <w:rPr>
          <w:rStyle w:val="apple-converted-space"/>
          <w:rFonts w:ascii="Book Antiqua" w:hAnsi="Book Antiqua"/>
          <w:shd w:val="clear" w:color="auto" w:fill="FFFFFF"/>
        </w:rPr>
        <w:t> </w:t>
      </w:r>
      <w:r w:rsidRPr="00D47E4E">
        <w:rPr>
          <w:rFonts w:ascii="Book Antiqua" w:hAnsi="Book Antiqua"/>
        </w:rPr>
        <w:t xml:space="preserve">detected </w:t>
      </w:r>
      <w:r w:rsidR="00512F1E" w:rsidRPr="00D47E4E">
        <w:rPr>
          <w:rFonts w:ascii="Book Antiqua" w:hAnsi="Book Antiqua"/>
        </w:rPr>
        <w:t xml:space="preserve">partial blockage </w:t>
      </w:r>
      <w:proofErr w:type="spellStart"/>
      <w:r w:rsidR="00512F1E" w:rsidRPr="00D47E4E">
        <w:rPr>
          <w:rFonts w:ascii="Book Antiqua" w:hAnsi="Book Antiqua"/>
        </w:rPr>
        <w:t>ot</w:t>
      </w:r>
      <w:proofErr w:type="spellEnd"/>
      <w:r w:rsidR="00512F1E" w:rsidRPr="00D47E4E">
        <w:rPr>
          <w:rFonts w:ascii="Book Antiqua" w:hAnsi="Book Antiqua"/>
        </w:rPr>
        <w:t xml:space="preserve"> interlude </w:t>
      </w:r>
      <w:r w:rsidRPr="00D47E4E">
        <w:rPr>
          <w:rFonts w:ascii="Book Antiqua" w:hAnsi="Book Antiqua"/>
        </w:rPr>
        <w:t xml:space="preserve">in the CBD </w:t>
      </w:r>
      <w:r w:rsidR="00512F1E" w:rsidRPr="00D47E4E">
        <w:rPr>
          <w:rFonts w:ascii="Book Antiqua" w:hAnsi="Book Antiqua"/>
        </w:rPr>
        <w:t xml:space="preserve">leading to </w:t>
      </w:r>
      <w:r w:rsidRPr="00D47E4E">
        <w:rPr>
          <w:rFonts w:ascii="Book Antiqua" w:hAnsi="Book Antiqua"/>
        </w:rPr>
        <w:t xml:space="preserve">cholestasis without evidence of metastasis. Therefore, a diagnosis of IPNB cT1N0M0 was established. Left hepatectomy with bile duct reconstruction was performed. Pathological examination confirmed an intraepithelial neoplasia pattern without an invasive component and an R0 resection achievement. The patient was monitored carefully by regular examinations. However, at 32 </w:t>
      </w:r>
      <w:proofErr w:type="spellStart"/>
      <w:r w:rsidR="00685C8D" w:rsidRPr="00D47E4E">
        <w:rPr>
          <w:rFonts w:ascii="Book Antiqua" w:hAnsi="Book Antiqua"/>
        </w:rPr>
        <w:t>mo</w:t>
      </w:r>
      <w:proofErr w:type="spellEnd"/>
      <w:r w:rsidRPr="00D47E4E">
        <w:rPr>
          <w:rFonts w:ascii="Book Antiqua" w:hAnsi="Book Antiqua"/>
        </w:rPr>
        <w:t xml:space="preserve"> after the operation, a 26 mm tumor in the lungs and a 12 mm lesion in the brain were detected following a suspicious elevated CA 19-9 level. Video-assisted thoracoscopic surgery of left upper lobectomy and stereotactic radiotherapy are indicated. In addition to histopathological results, a genomic profiling analysis using </w:t>
      </w:r>
      <w:r w:rsidR="003D675F" w:rsidRPr="00D47E4E">
        <w:rPr>
          <w:rFonts w:ascii="Book Antiqua" w:hAnsi="Book Antiqua"/>
        </w:rPr>
        <w:t xml:space="preserve">whole exome sequencing </w:t>
      </w:r>
      <w:r w:rsidRPr="00D47E4E">
        <w:rPr>
          <w:rFonts w:ascii="Book Antiqua" w:hAnsi="Book Antiqua"/>
        </w:rPr>
        <w:t>subsequently confirmed lung metastasis originating from bile duct cancer.</w:t>
      </w:r>
    </w:p>
    <w:p w14:paraId="59AD2058" w14:textId="77777777" w:rsidR="00C05B52" w:rsidRPr="00D47E4E" w:rsidRDefault="00C05B52" w:rsidP="00FA5FC9">
      <w:pPr>
        <w:adjustRightInd w:val="0"/>
        <w:snapToGrid w:val="0"/>
        <w:spacing w:line="360" w:lineRule="auto"/>
        <w:jc w:val="both"/>
        <w:outlineLvl w:val="0"/>
        <w:rPr>
          <w:rFonts w:ascii="Book Antiqua" w:hAnsi="Book Antiqua"/>
          <w:lang w:val="vi-VN"/>
        </w:rPr>
      </w:pPr>
    </w:p>
    <w:p w14:paraId="36C38349" w14:textId="466E9896" w:rsidR="00C05B52" w:rsidRPr="00D47E4E" w:rsidRDefault="00C05B52" w:rsidP="00FA5FC9">
      <w:pPr>
        <w:adjustRightInd w:val="0"/>
        <w:snapToGrid w:val="0"/>
        <w:spacing w:line="360" w:lineRule="auto"/>
        <w:jc w:val="both"/>
        <w:outlineLvl w:val="0"/>
        <w:rPr>
          <w:rFonts w:ascii="Book Antiqua" w:hAnsi="Book Antiqua"/>
          <w:bCs/>
          <w:lang w:val="vi-VN"/>
        </w:rPr>
      </w:pPr>
      <w:r w:rsidRPr="00D47E4E">
        <w:rPr>
          <w:rFonts w:ascii="Book Antiqua" w:hAnsi="Book Antiqua"/>
          <w:bCs/>
          <w:lang w:val="vi-VN"/>
        </w:rPr>
        <w:t>CONCLUSION</w:t>
      </w:r>
    </w:p>
    <w:p w14:paraId="1BE0995F" w14:textId="42598E66" w:rsidR="005F7082" w:rsidRPr="00D47E4E" w:rsidRDefault="005F7082" w:rsidP="00FA5FC9">
      <w:pPr>
        <w:adjustRightInd w:val="0"/>
        <w:snapToGrid w:val="0"/>
        <w:spacing w:line="360" w:lineRule="auto"/>
        <w:jc w:val="both"/>
        <w:outlineLvl w:val="0"/>
        <w:rPr>
          <w:rFonts w:ascii="Book Antiqua" w:hAnsi="Book Antiqua"/>
          <w:lang w:val="vi-VN"/>
        </w:rPr>
      </w:pPr>
      <w:r w:rsidRPr="00D47E4E">
        <w:rPr>
          <w:rFonts w:ascii="Book Antiqua" w:hAnsi="Book Antiqua"/>
          <w:lang w:val="vi-VN"/>
        </w:rPr>
        <w:t xml:space="preserve">This case highlights </w:t>
      </w:r>
      <w:r w:rsidR="00D27DAE" w:rsidRPr="00D47E4E">
        <w:rPr>
          <w:rFonts w:ascii="Book Antiqua" w:hAnsi="Book Antiqua"/>
          <w:lang w:val="vi-VN"/>
        </w:rPr>
        <w:t xml:space="preserve">the important role of </w:t>
      </w:r>
      <w:r w:rsidR="00D27DAE" w:rsidRPr="00D47E4E">
        <w:rPr>
          <w:rFonts w:ascii="Book Antiqua" w:hAnsi="Book Antiqua"/>
        </w:rPr>
        <w:t>genomic profiling analysis using</w:t>
      </w:r>
      <w:r w:rsidR="00D27DAE" w:rsidRPr="00D47E4E">
        <w:rPr>
          <w:rFonts w:ascii="Book Antiqua" w:hAnsi="Book Antiqua"/>
          <w:lang w:val="vi-VN"/>
        </w:rPr>
        <w:t xml:space="preserve"> </w:t>
      </w:r>
      <w:r w:rsidR="007A649D" w:rsidRPr="00D47E4E">
        <w:rPr>
          <w:rFonts w:ascii="Book Antiqua" w:hAnsi="Book Antiqua"/>
        </w:rPr>
        <w:t>whole exome sequencing</w:t>
      </w:r>
      <w:r w:rsidR="007A649D" w:rsidRPr="00D47E4E">
        <w:rPr>
          <w:rFonts w:ascii="Book Antiqua" w:hAnsi="Book Antiqua"/>
          <w:lang w:val="vi-VN"/>
        </w:rPr>
        <w:t xml:space="preserve"> </w:t>
      </w:r>
      <w:r w:rsidR="00D27DAE" w:rsidRPr="00D47E4E">
        <w:rPr>
          <w:rFonts w:ascii="Book Antiqua" w:hAnsi="Book Antiqua"/>
          <w:lang w:val="vi-VN"/>
        </w:rPr>
        <w:t>in identifying the origin of metastasis</w:t>
      </w:r>
      <w:r w:rsidR="00512F1E" w:rsidRPr="00D47E4E">
        <w:rPr>
          <w:rFonts w:ascii="Book Antiqua" w:hAnsi="Book Antiqua"/>
          <w:lang w:val="en-GB"/>
        </w:rPr>
        <w:t xml:space="preserve"> in patients with IPNB</w:t>
      </w:r>
      <w:r w:rsidR="00D27DAE" w:rsidRPr="00D47E4E">
        <w:rPr>
          <w:rFonts w:ascii="Book Antiqua" w:hAnsi="Book Antiqua"/>
          <w:lang w:val="vi-VN"/>
        </w:rPr>
        <w:t>.</w:t>
      </w:r>
    </w:p>
    <w:p w14:paraId="09072FDA" w14:textId="77777777" w:rsidR="0034176C" w:rsidRPr="00D47E4E" w:rsidRDefault="0034176C" w:rsidP="00FA5FC9">
      <w:pPr>
        <w:adjustRightInd w:val="0"/>
        <w:snapToGrid w:val="0"/>
        <w:spacing w:line="360" w:lineRule="auto"/>
        <w:jc w:val="both"/>
        <w:rPr>
          <w:rFonts w:ascii="Book Antiqua" w:hAnsi="Book Antiqua"/>
        </w:rPr>
      </w:pPr>
    </w:p>
    <w:p w14:paraId="3BDCC083" w14:textId="3CE8B8D0" w:rsidR="00F92001" w:rsidRPr="00D47E4E" w:rsidRDefault="00EB7E37" w:rsidP="00FA5FC9">
      <w:pPr>
        <w:adjustRightInd w:val="0"/>
        <w:snapToGrid w:val="0"/>
        <w:spacing w:line="360" w:lineRule="auto"/>
        <w:jc w:val="both"/>
        <w:rPr>
          <w:rFonts w:ascii="Book Antiqua" w:hAnsi="Book Antiqua"/>
          <w:lang w:val="vi-VN"/>
        </w:rPr>
      </w:pPr>
      <w:r w:rsidRPr="00D47E4E">
        <w:rPr>
          <w:rFonts w:ascii="Book Antiqua" w:hAnsi="Book Antiqua"/>
          <w:b/>
        </w:rPr>
        <w:lastRenderedPageBreak/>
        <w:t>Key word</w:t>
      </w:r>
      <w:r w:rsidR="00F17281" w:rsidRPr="00D47E4E">
        <w:rPr>
          <w:rFonts w:ascii="Book Antiqua" w:hAnsi="Book Antiqua"/>
          <w:b/>
        </w:rPr>
        <w:t>s</w:t>
      </w:r>
      <w:r w:rsidRPr="00D47E4E">
        <w:rPr>
          <w:rFonts w:ascii="Book Antiqua" w:hAnsi="Book Antiqua"/>
          <w:b/>
        </w:rPr>
        <w:t>:</w:t>
      </w:r>
      <w:r w:rsidRPr="00D47E4E">
        <w:rPr>
          <w:rFonts w:ascii="Book Antiqua" w:hAnsi="Book Antiqua"/>
        </w:rPr>
        <w:t xml:space="preserve"> </w:t>
      </w:r>
      <w:r w:rsidR="00C26CE1" w:rsidRPr="00D47E4E">
        <w:rPr>
          <w:rFonts w:ascii="Book Antiqua" w:hAnsi="Book Antiqua"/>
        </w:rPr>
        <w:t>I</w:t>
      </w:r>
      <w:r w:rsidRPr="00D47E4E">
        <w:rPr>
          <w:rFonts w:ascii="Book Antiqua" w:hAnsi="Book Antiqua"/>
        </w:rPr>
        <w:t>ntraductal papillary neoplasm of the bile duct</w:t>
      </w:r>
      <w:r w:rsidR="00C05B52" w:rsidRPr="00D47E4E">
        <w:rPr>
          <w:rFonts w:ascii="Book Antiqua" w:hAnsi="Book Antiqua"/>
          <w:lang w:val="vi-VN"/>
        </w:rPr>
        <w:t>;</w:t>
      </w:r>
      <w:r w:rsidRPr="00D47E4E">
        <w:rPr>
          <w:rFonts w:ascii="Book Antiqua" w:hAnsi="Book Antiqua"/>
        </w:rPr>
        <w:t xml:space="preserve"> </w:t>
      </w:r>
      <w:r w:rsidR="00C26CE1" w:rsidRPr="00D47E4E">
        <w:rPr>
          <w:rFonts w:ascii="Book Antiqua" w:hAnsi="Book Antiqua"/>
        </w:rPr>
        <w:t>D</w:t>
      </w:r>
      <w:r w:rsidRPr="00D47E4E">
        <w:rPr>
          <w:rFonts w:ascii="Book Antiqua" w:hAnsi="Book Antiqua"/>
        </w:rPr>
        <w:t>istant metastasis</w:t>
      </w:r>
      <w:r w:rsidR="00C05B52" w:rsidRPr="00D47E4E">
        <w:rPr>
          <w:rFonts w:ascii="Book Antiqua" w:hAnsi="Book Antiqua"/>
          <w:lang w:val="vi-VN"/>
        </w:rPr>
        <w:t>;</w:t>
      </w:r>
      <w:r w:rsidRPr="00D47E4E">
        <w:rPr>
          <w:rFonts w:ascii="Book Antiqua" w:hAnsi="Book Antiqua"/>
        </w:rPr>
        <w:t xml:space="preserve"> </w:t>
      </w:r>
      <w:r w:rsidR="00C26CE1" w:rsidRPr="00D47E4E">
        <w:rPr>
          <w:rFonts w:ascii="Book Antiqua" w:hAnsi="Book Antiqua"/>
        </w:rPr>
        <w:t>I</w:t>
      </w:r>
      <w:r w:rsidRPr="00D47E4E">
        <w:rPr>
          <w:rFonts w:ascii="Book Antiqua" w:hAnsi="Book Antiqua"/>
        </w:rPr>
        <w:t>nvasive component</w:t>
      </w:r>
      <w:r w:rsidR="00C05B52" w:rsidRPr="00D47E4E">
        <w:rPr>
          <w:rFonts w:ascii="Book Antiqua" w:hAnsi="Book Antiqua"/>
          <w:lang w:val="vi-VN"/>
        </w:rPr>
        <w:t xml:space="preserve">; </w:t>
      </w:r>
      <w:r w:rsidR="00C26CE1" w:rsidRPr="00D47E4E">
        <w:rPr>
          <w:rFonts w:ascii="Book Antiqua" w:hAnsi="Book Antiqua"/>
        </w:rPr>
        <w:t>W</w:t>
      </w:r>
      <w:r w:rsidR="00B81D59" w:rsidRPr="00D47E4E">
        <w:rPr>
          <w:rFonts w:ascii="Book Antiqua" w:hAnsi="Book Antiqua"/>
        </w:rPr>
        <w:t>hole exome sequencing</w:t>
      </w:r>
      <w:r w:rsidR="00C05B52" w:rsidRPr="00D47E4E">
        <w:rPr>
          <w:rFonts w:ascii="Book Antiqua" w:hAnsi="Book Antiqua"/>
          <w:lang w:val="vi-VN"/>
        </w:rPr>
        <w:t xml:space="preserve">; </w:t>
      </w:r>
      <w:r w:rsidR="00D61CDD" w:rsidRPr="00D47E4E">
        <w:rPr>
          <w:rFonts w:ascii="Book Antiqua" w:hAnsi="Book Antiqua"/>
        </w:rPr>
        <w:t>CA 19-9</w:t>
      </w:r>
      <w:r w:rsidR="00D61CDD" w:rsidRPr="00D47E4E">
        <w:rPr>
          <w:rFonts w:ascii="Book Antiqua" w:hAnsi="Book Antiqua"/>
          <w:lang w:val="vi-VN"/>
        </w:rPr>
        <w:t>;</w:t>
      </w:r>
      <w:r w:rsidR="00D61CDD" w:rsidRPr="00D47E4E">
        <w:rPr>
          <w:rFonts w:ascii="Book Antiqua" w:hAnsi="Book Antiqua"/>
        </w:rPr>
        <w:t xml:space="preserve"> </w:t>
      </w:r>
      <w:r w:rsidR="00C26CE1" w:rsidRPr="00D47E4E">
        <w:rPr>
          <w:rFonts w:ascii="Book Antiqua" w:hAnsi="Book Antiqua"/>
        </w:rPr>
        <w:t>C</w:t>
      </w:r>
      <w:r w:rsidR="00C05B52" w:rsidRPr="00D47E4E">
        <w:rPr>
          <w:rFonts w:ascii="Book Antiqua" w:hAnsi="Book Antiqua"/>
          <w:lang w:val="vi-VN"/>
        </w:rPr>
        <w:t>ase report</w:t>
      </w:r>
    </w:p>
    <w:p w14:paraId="4706CD24" w14:textId="77777777" w:rsidR="00685C8D" w:rsidRPr="00D47E4E" w:rsidRDefault="00685C8D" w:rsidP="00FA5FC9">
      <w:pPr>
        <w:adjustRightInd w:val="0"/>
        <w:snapToGrid w:val="0"/>
        <w:spacing w:line="360" w:lineRule="auto"/>
        <w:jc w:val="both"/>
        <w:rPr>
          <w:rFonts w:ascii="Book Antiqua" w:hAnsi="Book Antiqua"/>
          <w:lang w:val="vi-VN"/>
        </w:rPr>
      </w:pPr>
    </w:p>
    <w:p w14:paraId="1A7D0A9D" w14:textId="2529CA41" w:rsidR="00685C8D" w:rsidRPr="00D47E4E" w:rsidRDefault="00685C8D" w:rsidP="00FA5FC9">
      <w:pPr>
        <w:adjustRightInd w:val="0"/>
        <w:snapToGrid w:val="0"/>
        <w:spacing w:line="360" w:lineRule="auto"/>
        <w:jc w:val="both"/>
        <w:rPr>
          <w:rFonts w:ascii="Book Antiqua" w:eastAsiaTheme="minorEastAsia" w:hAnsi="Book Antiqua"/>
          <w:b/>
        </w:rPr>
      </w:pPr>
      <w:r w:rsidRPr="00D47E4E">
        <w:rPr>
          <w:rFonts w:ascii="Book Antiqua" w:hAnsi="Book Antiqua"/>
          <w:lang w:val="vi-VN"/>
        </w:rPr>
        <w:t xml:space="preserve">Nam NH, Taura K, Kanai M, Fukuyama K, Uza N, Maeda H, Yutaka Y, Chen-Yoshikawa TF, Muto M, Uemoto S. </w:t>
      </w:r>
      <w:r w:rsidRPr="00D47E4E">
        <w:rPr>
          <w:rFonts w:ascii="Book Antiqua" w:hAnsi="Book Antiqua"/>
          <w:bCs/>
        </w:rPr>
        <w:t xml:space="preserve">Unexpected metastasis of intraductal papillary neoplasm of the bile duct without an invasive component to the brain and lungs: A case report. </w:t>
      </w:r>
      <w:r w:rsidRPr="00D47E4E">
        <w:rPr>
          <w:rFonts w:ascii="Book Antiqua" w:hAnsi="Book Antiqua"/>
          <w:bCs/>
          <w:i/>
          <w:iCs/>
        </w:rPr>
        <w:t xml:space="preserve">World J Gastroenterol </w:t>
      </w:r>
      <w:r w:rsidRPr="00D47E4E">
        <w:rPr>
          <w:rFonts w:ascii="Book Antiqua" w:hAnsi="Book Antiqua"/>
          <w:bCs/>
        </w:rPr>
        <w:t>2019; In press</w:t>
      </w:r>
    </w:p>
    <w:p w14:paraId="555ED25C" w14:textId="77777777" w:rsidR="00963707" w:rsidRPr="00D47E4E" w:rsidRDefault="00963707" w:rsidP="00FA5FC9">
      <w:pPr>
        <w:adjustRightInd w:val="0"/>
        <w:snapToGrid w:val="0"/>
        <w:spacing w:line="360" w:lineRule="auto"/>
        <w:jc w:val="both"/>
        <w:rPr>
          <w:rFonts w:ascii="Book Antiqua" w:hAnsi="Book Antiqua"/>
          <w:lang w:val="vi-VN"/>
        </w:rPr>
      </w:pPr>
    </w:p>
    <w:p w14:paraId="133596C2" w14:textId="2D0220BA" w:rsidR="00716B73" w:rsidRPr="00D47E4E" w:rsidRDefault="004552C7" w:rsidP="00FA5FC9">
      <w:pPr>
        <w:adjustRightInd w:val="0"/>
        <w:snapToGrid w:val="0"/>
        <w:spacing w:line="360" w:lineRule="auto"/>
        <w:jc w:val="both"/>
        <w:rPr>
          <w:rFonts w:ascii="Book Antiqua" w:eastAsiaTheme="minorEastAsia" w:hAnsi="Book Antiqua"/>
        </w:rPr>
      </w:pPr>
      <w:r w:rsidRPr="00D47E4E">
        <w:rPr>
          <w:rFonts w:ascii="Book Antiqua" w:hAnsi="Book Antiqua"/>
          <w:b/>
        </w:rPr>
        <w:t>Core tip:</w:t>
      </w:r>
      <w:r w:rsidR="0021099A" w:rsidRPr="00D47E4E">
        <w:rPr>
          <w:rFonts w:ascii="Book Antiqua" w:hAnsi="Book Antiqua"/>
        </w:rPr>
        <w:t xml:space="preserve"> </w:t>
      </w:r>
      <w:r w:rsidR="00EB7E37" w:rsidRPr="00D47E4E">
        <w:rPr>
          <w:rFonts w:ascii="Book Antiqua" w:hAnsi="Book Antiqua"/>
        </w:rPr>
        <w:t>An</w:t>
      </w:r>
      <w:r w:rsidR="0021099A" w:rsidRPr="00D47E4E">
        <w:rPr>
          <w:rFonts w:ascii="Book Antiqua" w:hAnsi="Book Antiqua"/>
        </w:rPr>
        <w:t xml:space="preserve"> intraductal papillary neoplasm of the bile duct without </w:t>
      </w:r>
      <w:r w:rsidR="00EB7E37" w:rsidRPr="00D47E4E">
        <w:rPr>
          <w:rFonts w:ascii="Book Antiqua" w:hAnsi="Book Antiqua"/>
        </w:rPr>
        <w:t xml:space="preserve">an </w:t>
      </w:r>
      <w:r w:rsidR="0021099A" w:rsidRPr="00D47E4E">
        <w:rPr>
          <w:rFonts w:ascii="Book Antiqua" w:hAnsi="Book Antiqua"/>
        </w:rPr>
        <w:t xml:space="preserve">invasive component has unexpectedly metastasized to the brain and </w:t>
      </w:r>
      <w:r w:rsidR="00F17281" w:rsidRPr="00D47E4E">
        <w:rPr>
          <w:rFonts w:ascii="Book Antiqua" w:hAnsi="Book Antiqua"/>
        </w:rPr>
        <w:t>lungs</w:t>
      </w:r>
      <w:r w:rsidR="008D0897" w:rsidRPr="00D47E4E">
        <w:rPr>
          <w:rFonts w:ascii="Book Antiqua" w:hAnsi="Book Antiqua"/>
        </w:rPr>
        <w:t>.</w:t>
      </w:r>
      <w:r w:rsidR="00EB7E37" w:rsidRPr="00D47E4E">
        <w:rPr>
          <w:rFonts w:ascii="Book Antiqua" w:hAnsi="Book Antiqua"/>
        </w:rPr>
        <w:t xml:space="preserve"> In addition to</w:t>
      </w:r>
      <w:r w:rsidR="00A21434" w:rsidRPr="00D47E4E">
        <w:rPr>
          <w:rFonts w:ascii="Book Antiqua" w:hAnsi="Book Antiqua"/>
        </w:rPr>
        <w:t xml:space="preserve"> histopathological results, </w:t>
      </w:r>
      <w:r w:rsidR="00F17281" w:rsidRPr="00D47E4E">
        <w:rPr>
          <w:rFonts w:ascii="Book Antiqua" w:hAnsi="Book Antiqua"/>
        </w:rPr>
        <w:t xml:space="preserve">a </w:t>
      </w:r>
      <w:r w:rsidR="00A21434" w:rsidRPr="00D47E4E">
        <w:rPr>
          <w:rFonts w:ascii="Book Antiqua" w:hAnsi="Book Antiqua"/>
        </w:rPr>
        <w:t xml:space="preserve">genomic </w:t>
      </w:r>
      <w:r w:rsidR="00F17281" w:rsidRPr="00D47E4E">
        <w:rPr>
          <w:rFonts w:ascii="Book Antiqua" w:hAnsi="Book Antiqua"/>
        </w:rPr>
        <w:t xml:space="preserve">profiling </w:t>
      </w:r>
      <w:r w:rsidR="00A21434" w:rsidRPr="00D47E4E">
        <w:rPr>
          <w:rFonts w:ascii="Book Antiqua" w:hAnsi="Book Antiqua"/>
        </w:rPr>
        <w:t xml:space="preserve">analysis using whole exome sequencing subsequently confirmed lung metastasis originating from bile duct cancer by detecting </w:t>
      </w:r>
      <w:r w:rsidR="00E51EEC" w:rsidRPr="00D47E4E">
        <w:rPr>
          <w:rFonts w:ascii="Book Antiqua" w:eastAsiaTheme="minorEastAsia" w:hAnsi="Book Antiqua"/>
        </w:rPr>
        <w:t xml:space="preserve">100 </w:t>
      </w:r>
      <w:r w:rsidR="00CB6389" w:rsidRPr="00D47E4E">
        <w:rPr>
          <w:rFonts w:ascii="Book Antiqua" w:eastAsiaTheme="minorEastAsia" w:hAnsi="Book Antiqua"/>
        </w:rPr>
        <w:t>single nucleotide variants</w:t>
      </w:r>
      <w:r w:rsidR="00E51EEC" w:rsidRPr="00D47E4E">
        <w:rPr>
          <w:rFonts w:ascii="Book Antiqua" w:eastAsiaTheme="minorEastAsia" w:hAnsi="Book Antiqua"/>
        </w:rPr>
        <w:t xml:space="preserve"> and 168 </w:t>
      </w:r>
      <w:r w:rsidR="00CB6389" w:rsidRPr="00D47E4E">
        <w:rPr>
          <w:rFonts w:ascii="Book Antiqua" w:eastAsiaTheme="minorEastAsia" w:hAnsi="Book Antiqua"/>
        </w:rPr>
        <w:t>insertion/deletions</w:t>
      </w:r>
      <w:r w:rsidR="00E51EEC" w:rsidRPr="00D47E4E">
        <w:rPr>
          <w:rFonts w:ascii="Book Antiqua" w:eastAsiaTheme="minorEastAsia" w:hAnsi="Book Antiqua"/>
        </w:rPr>
        <w:t>.</w:t>
      </w:r>
    </w:p>
    <w:p w14:paraId="39E2EB08" w14:textId="77777777" w:rsidR="006E73A8" w:rsidRPr="00D47E4E" w:rsidRDefault="006E73A8" w:rsidP="00FA5FC9">
      <w:pPr>
        <w:adjustRightInd w:val="0"/>
        <w:snapToGrid w:val="0"/>
        <w:spacing w:line="360" w:lineRule="auto"/>
        <w:jc w:val="both"/>
        <w:rPr>
          <w:rFonts w:ascii="Book Antiqua" w:eastAsiaTheme="minorEastAsia" w:hAnsi="Book Antiqua"/>
        </w:rPr>
      </w:pPr>
    </w:p>
    <w:p w14:paraId="3B736F96" w14:textId="392673CF" w:rsidR="006E73A8" w:rsidRPr="00D47E4E" w:rsidRDefault="006E73A8" w:rsidP="00FA5FC9">
      <w:pPr>
        <w:adjustRightInd w:val="0"/>
        <w:snapToGrid w:val="0"/>
        <w:spacing w:line="360" w:lineRule="auto"/>
        <w:jc w:val="both"/>
        <w:rPr>
          <w:rFonts w:ascii="Book Antiqua" w:hAnsi="Book Antiqua"/>
        </w:rPr>
        <w:sectPr w:rsidR="006E73A8" w:rsidRPr="00D47E4E" w:rsidSect="002B6E87">
          <w:pgSz w:w="11900" w:h="16840"/>
          <w:pgMar w:top="1440" w:right="1440" w:bottom="1440" w:left="1440" w:header="708" w:footer="708" w:gutter="0"/>
          <w:cols w:space="708"/>
          <w:docGrid w:linePitch="360"/>
        </w:sectPr>
      </w:pPr>
    </w:p>
    <w:p w14:paraId="0EC51E2F" w14:textId="372AF880" w:rsidR="006751AF" w:rsidRPr="00D47E4E" w:rsidRDefault="00EB7E3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lastRenderedPageBreak/>
        <w:t>I</w:t>
      </w:r>
      <w:r w:rsidR="004552C7" w:rsidRPr="00D47E4E">
        <w:rPr>
          <w:rFonts w:ascii="Book Antiqua" w:hAnsi="Book Antiqua"/>
          <w:b/>
          <w:u w:val="single"/>
        </w:rPr>
        <w:t>NTRODUCTION</w:t>
      </w:r>
    </w:p>
    <w:p w14:paraId="3B23BB1B" w14:textId="48089819" w:rsidR="006751AF" w:rsidRPr="00D47E4E" w:rsidRDefault="00EB7E37" w:rsidP="00FA5FC9">
      <w:pPr>
        <w:adjustRightInd w:val="0"/>
        <w:snapToGrid w:val="0"/>
        <w:spacing w:line="360" w:lineRule="auto"/>
        <w:jc w:val="both"/>
        <w:rPr>
          <w:rFonts w:ascii="Book Antiqua" w:hAnsi="Book Antiqua"/>
        </w:rPr>
      </w:pPr>
      <w:r w:rsidRPr="00D47E4E">
        <w:rPr>
          <w:rFonts w:ascii="Book Antiqua" w:hAnsi="Book Antiqua"/>
        </w:rPr>
        <w:t xml:space="preserve">Intraductal papillary neoplasm of the bile duct (IPNB) </w:t>
      </w:r>
      <w:r w:rsidR="00F17281" w:rsidRPr="00D47E4E">
        <w:rPr>
          <w:rFonts w:ascii="Book Antiqua" w:hAnsi="Book Antiqua"/>
        </w:rPr>
        <w:t xml:space="preserve">has </w:t>
      </w:r>
      <w:r w:rsidRPr="00D47E4E">
        <w:rPr>
          <w:rFonts w:ascii="Book Antiqua" w:hAnsi="Book Antiqua"/>
        </w:rPr>
        <w:t xml:space="preserve">recently </w:t>
      </w:r>
      <w:r w:rsidR="00F17281" w:rsidRPr="00D47E4E">
        <w:rPr>
          <w:rFonts w:ascii="Book Antiqua" w:hAnsi="Book Antiqua"/>
        </w:rPr>
        <w:t xml:space="preserve">obtained </w:t>
      </w:r>
      <w:r w:rsidRPr="00D47E4E">
        <w:rPr>
          <w:rFonts w:ascii="Book Antiqua" w:hAnsi="Book Antiqua"/>
        </w:rPr>
        <w:t>interest in the field of hepato-biliary-pancreatic surgery. This rare lesion is predominant in Asian countries</w:t>
      </w:r>
      <w:r w:rsidR="00F17281" w:rsidRPr="00D47E4E">
        <w:rPr>
          <w:rFonts w:ascii="Book Antiqua" w:hAnsi="Book Antiqua"/>
        </w:rPr>
        <w:t>,</w:t>
      </w:r>
      <w:r w:rsidRPr="00D47E4E">
        <w:rPr>
          <w:rFonts w:ascii="Book Antiqua" w:hAnsi="Book Antiqua"/>
        </w:rPr>
        <w:t xml:space="preserve"> such as Japan, Taiwan and Korea, where </w:t>
      </w:r>
      <w:proofErr w:type="spellStart"/>
      <w:r w:rsidRPr="00D47E4E">
        <w:rPr>
          <w:rFonts w:ascii="Book Antiqua" w:hAnsi="Book Antiqua"/>
        </w:rPr>
        <w:t>hepatolithiasis</w:t>
      </w:r>
      <w:proofErr w:type="spellEnd"/>
      <w:r w:rsidRPr="00D47E4E">
        <w:rPr>
          <w:rFonts w:ascii="Book Antiqua" w:hAnsi="Book Antiqua"/>
        </w:rPr>
        <w:t xml:space="preserve"> and </w:t>
      </w:r>
      <w:proofErr w:type="spellStart"/>
      <w:r w:rsidRPr="00D47E4E">
        <w:rPr>
          <w:rFonts w:ascii="Book Antiqua" w:hAnsi="Book Antiqua"/>
        </w:rPr>
        <w:t>clonorchiasis</w:t>
      </w:r>
      <w:proofErr w:type="spellEnd"/>
      <w:r w:rsidRPr="00D47E4E">
        <w:rPr>
          <w:rFonts w:ascii="Book Antiqua" w:hAnsi="Book Antiqua"/>
        </w:rPr>
        <w:t xml:space="preserve"> are endemic</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{"citationID":"QqvTnSng","properties":{"formattedCitation":"\\super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1</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Since IPNB was recognized as a distinct pathological entity by the World Health Organization in</w:t>
      </w:r>
      <w:r w:rsidR="00F17281" w:rsidRPr="00D47E4E">
        <w:rPr>
          <w:rFonts w:ascii="Book Antiqua" w:hAnsi="Book Antiqua"/>
        </w:rPr>
        <w:t xml:space="preserve"> the</w:t>
      </w:r>
      <w:r w:rsidRPr="00D47E4E">
        <w:rPr>
          <w:rFonts w:ascii="Book Antiqua" w:hAnsi="Book Antiqua"/>
        </w:rPr>
        <w:t xml:space="preserve"> 2010 Classification of Tumors of the Digestive System</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{"citationID":"jbpcsS1f","properties":{"formattedCitation":"\\super 2\\nosupersub{}","plainCitation":"2","noteIndex":0},"citationItems":[{"id":1687,"uris":["http://zotero.org/users/5691970/items/UGIJ4VAE"],"uri":["http://zotero.org/users/5691970/items/UGIJ4VAE"],"itemData":{"id":1687,"type":"book","title":"WHO classification of tumours of the digestive system","collection-title":"World Health Organization classification of tumours, 4th edition ; third","publisher":"Lyon : IARC Press, 2010, 417 p. : ill.","author":[{"family":"Bosman, F T","given":""}]}}],"schema":"https://github.com/citation-style-language/schema/raw/master/csl-citation.json"}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2</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xml:space="preserve">, </w:t>
      </w:r>
      <w:r w:rsidR="00F17281" w:rsidRPr="00D47E4E">
        <w:rPr>
          <w:rFonts w:ascii="Book Antiqua" w:hAnsi="Book Antiqua"/>
        </w:rPr>
        <w:t xml:space="preserve">this condition </w:t>
      </w:r>
      <w:r w:rsidRPr="00D47E4E">
        <w:rPr>
          <w:rFonts w:ascii="Book Antiqua" w:hAnsi="Book Antiqua"/>
        </w:rPr>
        <w:t xml:space="preserve">has been identified by </w:t>
      </w:r>
      <w:r w:rsidR="00F17281" w:rsidRPr="00D47E4E">
        <w:rPr>
          <w:rFonts w:ascii="Book Antiqua" w:hAnsi="Book Antiqua"/>
        </w:rPr>
        <w:t xml:space="preserve">the predominance of </w:t>
      </w:r>
      <w:r w:rsidRPr="00D47E4E">
        <w:rPr>
          <w:rFonts w:ascii="Book Antiqua" w:hAnsi="Book Antiqua"/>
        </w:rPr>
        <w:t xml:space="preserve">biliary neoplasms accompanied by papillary or villous proliferation inside a dilated bile duct, with or without macroscopically visible mucin secretion. In reference to </w:t>
      </w:r>
      <w:proofErr w:type="spellStart"/>
      <w:r w:rsidRPr="00D47E4E">
        <w:rPr>
          <w:rFonts w:ascii="Book Antiqua" w:hAnsi="Book Antiqua"/>
        </w:rPr>
        <w:t>histomorphology</w:t>
      </w:r>
      <w:proofErr w:type="spellEnd"/>
      <w:r w:rsidRPr="00D47E4E">
        <w:rPr>
          <w:rFonts w:ascii="Book Antiqua" w:hAnsi="Book Antiqua"/>
        </w:rPr>
        <w:t xml:space="preserve"> and </w:t>
      </w:r>
      <w:r w:rsidR="00F17281" w:rsidRPr="00D47E4E">
        <w:rPr>
          <w:rFonts w:ascii="Book Antiqua" w:hAnsi="Book Antiqua"/>
        </w:rPr>
        <w:t xml:space="preserve">the </w:t>
      </w:r>
      <w:proofErr w:type="spellStart"/>
      <w:r w:rsidRPr="00D47E4E">
        <w:rPr>
          <w:rFonts w:ascii="Book Antiqua" w:hAnsi="Book Antiqua"/>
        </w:rPr>
        <w:t>immunophenotypical</w:t>
      </w:r>
      <w:proofErr w:type="spellEnd"/>
      <w:r w:rsidRPr="00D47E4E">
        <w:rPr>
          <w:rFonts w:ascii="Book Antiqua" w:hAnsi="Book Antiqua"/>
        </w:rPr>
        <w:t xml:space="preserve"> profile, four phenotypes of epithelium have been categorized, including pancreaticobiliary, intestinal, gastric and </w:t>
      </w:r>
      <w:proofErr w:type="spellStart"/>
      <w:r w:rsidRPr="00D47E4E">
        <w:rPr>
          <w:rFonts w:ascii="Book Antiqua" w:hAnsi="Book Antiqua"/>
        </w:rPr>
        <w:t>oncocytic</w:t>
      </w:r>
      <w:proofErr w:type="spellEnd"/>
      <w:r w:rsidRPr="00D47E4E">
        <w:rPr>
          <w:rFonts w:ascii="Book Antiqua" w:hAnsi="Book Antiqua"/>
        </w:rPr>
        <w:t xml:space="preserve"> types</w:t>
      </w:r>
      <w:r w:rsidR="00A50A22" w:rsidRPr="00D47E4E">
        <w:rPr>
          <w:rFonts w:ascii="Book Antiqua" w:hAnsi="Book Antiqua"/>
          <w:vertAlign w:val="superscript"/>
          <w:lang w:val="vi-VN"/>
        </w:rPr>
        <w:t>[</w:t>
      </w:r>
      <w:r w:rsidR="00AD39B2" w:rsidRPr="00D47E4E">
        <w:rPr>
          <w:rFonts w:ascii="Book Antiqua" w:hAnsi="Book Antiqua"/>
          <w:vertAlign w:val="superscript"/>
        </w:rPr>
        <w:fldChar w:fldCharType="begin"/>
      </w:r>
      <w:r w:rsidR="00AD39B2" w:rsidRPr="00D47E4E">
        <w:rPr>
          <w:rFonts w:ascii="Book Antiqua" w:hAnsi="Book Antiqua"/>
          <w:vertAlign w:val="superscript"/>
        </w:rPr>
        <w:instrText xml:space="preserve"> ADDIN ZOTERO_ITEM CSL_CITATION {"citationID":"3yzrMQjc","properties":{"formattedCitation":"\\super 3\\nosupersub{}","plainCitation":"3","noteIndex":0},"citationItems":[{"id":1688,"uris":["http://zotero.org/users/5691970/items/HRDEHSNQ"],"uri":["http://zotero.org/users/5691970/items/HRDEHSNQ"],"itemData":{"id":1688,"type":"article-journal","title":"The clinicopathological features of biliary intraductal papillary neoplasms according to the location of tumors","container-title":"Journal of Gastroenterology and Hepatology","page":"725-730","volume":"25","issue":"4","abstract":"Abstract Background and Aim:? In this study, we analyzed the clinical and pathological features of biliary intraductal papillary neoplasms (IPN-B) according to the location of the tumors. Methods:? A total of 55 patients with IPN-B were analyzed. We divided them into three groups: common bile duct (CBD), hilar, and intrahepatic duct (IHD) groups. The clinical and laboratory findings, cell types, depth of invasion, malignancy, existence of stones, lymph node metastasis, recurrence, and survival rate were analyzed. Results:? There was no difference in the depth of invasion, lymph node metastasis, and coexistence of stones between the three groups. There were four different cell types; the intestinal cell type was the most common type in each group. The gastric cell type was prevalent in the IHD and hilar groups (58.3% and 33.3%, respectively). Invasive colloid carcinoma mainly showed the intestinal cell type, and tubular carcinoma showed the pancreaticobiliary cell type. There was a trend that malignancy was more prevalent in the CBD group (94.1%) than in the hilar group (64.3%) and IHD group (79.2%), but there was no statistically significant difference. There was no difference in the recurrence rate and the 3-year survival rate between the three groups. Conclusion:? IPN-B showed no difference in the malignancy and survival rates according to the location of the tumors. Because IPN-B show good prognosis after surgery, aggressive surgical resection for the treatment of IPN-B is recommended.","DOI":"10.1111/j.1440-1746.2009.06104.x","ISSN":"0815-9319","journalAbbreviation":"Journal of Gastroenterology and Hepatology","author":[{"family":"Choi","given":"Sung Chul"},{"family":"Lee","given":"Jong Kyun"},{"family":"Jung","given":"Jae Hong"},{"family":"Lee","given":"Jae Seung"},{"family":"Lee","given":"Kwang Hyuck"},{"family":"Lee","given":"Kyu Taek"},{"family":"Rhee","given":"Jong Chul"},{"family":"Jang","given":"Kee-Taek"},{"family":"Choi","given":"Seong Ho"},{"family":"Heo","given":"Jin Seok"},{"family":"Choi","given":"Dong Wook"},{"family":"Lim","given":"Jae Hoon"}],"issued":{"date-parts":[["2010",4,1]]}}}],"schema":"https://github.com/citation-style-language/schema/raw/master/csl-citation.json"} </w:instrText>
      </w:r>
      <w:r w:rsidR="00AD39B2" w:rsidRPr="00D47E4E">
        <w:rPr>
          <w:rFonts w:ascii="Book Antiqua" w:hAnsi="Book Antiqua"/>
          <w:vertAlign w:val="superscript"/>
        </w:rPr>
        <w:fldChar w:fldCharType="separate"/>
      </w:r>
      <w:r w:rsidR="00AD39B2" w:rsidRPr="00D47E4E">
        <w:rPr>
          <w:rFonts w:ascii="Book Antiqua" w:hAnsi="Book Antiqua"/>
          <w:vertAlign w:val="superscript"/>
        </w:rPr>
        <w:t>3</w:t>
      </w:r>
      <w:r w:rsidR="00AD39B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xml:space="preserve">. </w:t>
      </w:r>
      <w:r w:rsidR="00CF04CB" w:rsidRPr="00D47E4E">
        <w:rPr>
          <w:rFonts w:ascii="Book Antiqua" w:hAnsi="Book Antiqua"/>
        </w:rPr>
        <w:t xml:space="preserve">From </w:t>
      </w:r>
      <w:r w:rsidRPr="00D47E4E">
        <w:rPr>
          <w:rFonts w:ascii="Book Antiqua" w:hAnsi="Book Antiqua"/>
        </w:rPr>
        <w:t xml:space="preserve">a </w:t>
      </w:r>
      <w:r w:rsidR="00CF04CB" w:rsidRPr="00D47E4E">
        <w:rPr>
          <w:rFonts w:ascii="Book Antiqua" w:hAnsi="Book Antiqua"/>
        </w:rPr>
        <w:t>systematic review and meta-analysis</w:t>
      </w:r>
      <w:r w:rsidRPr="00D47E4E">
        <w:rPr>
          <w:rFonts w:ascii="Book Antiqua" w:hAnsi="Book Antiqua"/>
        </w:rPr>
        <w:t xml:space="preserve">, </w:t>
      </w:r>
      <w:r w:rsidRPr="00D47E4E">
        <w:rPr>
          <w:rFonts w:ascii="Book Antiqua" w:hAnsi="Book Antiqua"/>
          <w:shd w:val="clear" w:color="auto" w:fill="FFFFFF"/>
        </w:rPr>
        <w:t xml:space="preserve">Gordon </w:t>
      </w:r>
      <w:r w:rsidR="00111120" w:rsidRPr="00D47E4E">
        <w:rPr>
          <w:rFonts w:ascii="Book Antiqua" w:hAnsi="Book Antiqua"/>
          <w:i/>
          <w:iCs/>
          <w:shd w:val="clear" w:color="auto" w:fill="FFFFFF"/>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{"citationID":"T084RNdn","properties":{"formattedCitation":"\\super 4\\nosupersub{}","plainCitation":"4","noteIndex":0},"citationItems":[{"id":1690,"uris":["http://zotero.org/users/5691970/items/S34FA976"],"uri":["http://zotero.org/users/5691970/items/S34FA976"],"itemData":{"id":1690,"type":"article-journal","title":"Systematic Review and Meta-analysis of Current Experience in Treating IPNB: Clinical and Pathological Correlates.","container-title":"Annals of surgery","page":"656-663","volume":"263","issue":"4","abstract":"OBJECTIVE: To systematically review studies reporting clinicopathological features of intraductal papillary neoplasm of the bile duct (IPNB) to provide evidence-based guidance for management. BACKGROUND: IPNB is a rare tumor type. Management decisions are currently based upon anecdotal evidence and small case series. To data, there has been no systematic review of IPNB literature. METHODS: MEDLINE, EMBASE, and the Cochrane Database of Systematic Reviews were searched and data were extracted from relevant studies. Meta-analysis was used to pool study estimates. Evidence of association was determined by comparing pooled crude odds ratios (OR) derived from abstracted data. RESULTS: Fifty-seven retrospective case series were included. At least 43% of 476 specimens contained invasive disease. Invasive tumors were found at significantly higher frequency in pancreaticobiliary than intestinal, gastric or oncocytic-type IPNB [pooled OR 2.5, 95% confidence interval (CI) 1.5-4.2, P &lt; 0.001]. A significantly higher proportion of pancreaticobiliary tumors compared with intestinal tumors expressed","DOI":"10.1097/SLA.0000000000001426","ISSN":"1528-1140 0003-4932","note":"PMID: 26501712","journalAbbreviation":"Ann Surg","language":"eng","author":[{"family":"Gordon-Weeks","given":"Alex N."},{"family":"Jones","given":"Keaton"},{"family":"Harriss","given":"Elinor"},{"family":"Smith","given":"Adrian"},{"family":"Silva","given":"Michael"}],"issued":{"date-parts":[["2016",4]]}}}],"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4</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Pr="00D47E4E">
        <w:rPr>
          <w:rFonts w:ascii="Book Antiqua" w:hAnsi="Book Antiqua"/>
          <w:shd w:val="clear" w:color="auto" w:fill="FFFFFF"/>
        </w:rPr>
        <w:t xml:space="preserve"> </w:t>
      </w:r>
      <w:r w:rsidR="00EF289C" w:rsidRPr="00D47E4E">
        <w:rPr>
          <w:rFonts w:ascii="Book Antiqua" w:hAnsi="Book Antiqua"/>
          <w:shd w:val="clear" w:color="auto" w:fill="FFFFFF"/>
        </w:rPr>
        <w:t>identified an</w:t>
      </w:r>
      <w:r w:rsidRPr="00D47E4E">
        <w:rPr>
          <w:rFonts w:ascii="Book Antiqua" w:hAnsi="Book Antiqua"/>
        </w:rPr>
        <w:t xml:space="preserve"> </w:t>
      </w:r>
      <w:r w:rsidRPr="00D47E4E">
        <w:rPr>
          <w:rFonts w:ascii="Book Antiqua" w:hAnsi="Book Antiqua"/>
          <w:shd w:val="clear" w:color="auto" w:fill="FFFFFF"/>
        </w:rPr>
        <w:t xml:space="preserve">invasive component in 43% of 476 patients, suggesting </w:t>
      </w:r>
      <w:r w:rsidRPr="00D47E4E">
        <w:rPr>
          <w:rFonts w:ascii="Book Antiqua" w:hAnsi="Book Antiqua"/>
        </w:rPr>
        <w:t xml:space="preserve">a high potential for malignancy. Despite an expanding number of studies on IPNB, distant metastasis remains a mysterious question, especially in cases of carcinoma </w:t>
      </w:r>
      <w:r w:rsidR="00111120" w:rsidRPr="00D47E4E">
        <w:rPr>
          <w:rFonts w:ascii="Book Antiqua" w:hAnsi="Book Antiqua"/>
          <w:i/>
          <w:iCs/>
        </w:rPr>
        <w:t>in situ</w:t>
      </w:r>
      <w:r w:rsidRPr="00D47E4E">
        <w:rPr>
          <w:rFonts w:ascii="Book Antiqua" w:hAnsi="Book Antiqua"/>
        </w:rPr>
        <w:t xml:space="preserve">. In the present study, we report a rare and </w:t>
      </w:r>
      <w:r w:rsidR="00512F1E" w:rsidRPr="00D47E4E">
        <w:rPr>
          <w:rFonts w:ascii="Book Antiqua" w:hAnsi="Book Antiqua"/>
        </w:rPr>
        <w:t xml:space="preserve">interesting </w:t>
      </w:r>
      <w:r w:rsidRPr="00D47E4E">
        <w:rPr>
          <w:rFonts w:ascii="Book Antiqua" w:hAnsi="Book Antiqua"/>
        </w:rPr>
        <w:t xml:space="preserve">case of IPNB without invasive components </w:t>
      </w:r>
      <w:r w:rsidR="00EF289C" w:rsidRPr="00D47E4E">
        <w:rPr>
          <w:rFonts w:ascii="Book Antiqua" w:hAnsi="Book Antiqua"/>
        </w:rPr>
        <w:t xml:space="preserve">that </w:t>
      </w:r>
      <w:r w:rsidRPr="00D47E4E">
        <w:rPr>
          <w:rFonts w:ascii="Book Antiqua" w:hAnsi="Book Antiqua"/>
        </w:rPr>
        <w:t>metastasized to the lung</w:t>
      </w:r>
      <w:r w:rsidR="00EF289C" w:rsidRPr="00D47E4E">
        <w:rPr>
          <w:rFonts w:ascii="Book Antiqua" w:hAnsi="Book Antiqua"/>
        </w:rPr>
        <w:t>s</w:t>
      </w:r>
      <w:r w:rsidRPr="00D47E4E">
        <w:rPr>
          <w:rFonts w:ascii="Book Antiqua" w:hAnsi="Book Antiqua"/>
        </w:rPr>
        <w:t xml:space="preserve"> and brain.</w:t>
      </w:r>
    </w:p>
    <w:p w14:paraId="6D859483" w14:textId="77777777" w:rsidR="004C288A" w:rsidRPr="00D47E4E" w:rsidRDefault="004C288A" w:rsidP="00FA5FC9">
      <w:pPr>
        <w:adjustRightInd w:val="0"/>
        <w:snapToGrid w:val="0"/>
        <w:spacing w:line="360" w:lineRule="auto"/>
        <w:jc w:val="both"/>
        <w:rPr>
          <w:rFonts w:ascii="Book Antiqua" w:hAnsi="Book Antiqua"/>
        </w:rPr>
      </w:pPr>
    </w:p>
    <w:p w14:paraId="48039E7A" w14:textId="1DAD2D66" w:rsidR="00C62647" w:rsidRPr="00D47E4E" w:rsidRDefault="00D95300"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CASE PRESENTATION</w:t>
      </w:r>
    </w:p>
    <w:p w14:paraId="3414D89E" w14:textId="17B3560F"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Chief complaints</w:t>
      </w:r>
    </w:p>
    <w:p w14:paraId="544E8C6A" w14:textId="0CBFDA5E"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t>A 69-year-old male with a body mass index of 21.5 kg/m</w:t>
      </w:r>
      <w:r w:rsidRPr="00D47E4E">
        <w:rPr>
          <w:rFonts w:ascii="Book Antiqua" w:hAnsi="Book Antiqua"/>
          <w:vertAlign w:val="superscript"/>
        </w:rPr>
        <w:t>2</w:t>
      </w:r>
      <w:r w:rsidRPr="00D47E4E">
        <w:rPr>
          <w:rFonts w:ascii="Book Antiqua" w:hAnsi="Book Antiqua"/>
        </w:rPr>
        <w:t xml:space="preserve"> was referred to our hospital due to jaundice for a suspected cholangiocarcinoma.</w:t>
      </w:r>
    </w:p>
    <w:p w14:paraId="3C78E406" w14:textId="77777777" w:rsidR="00C62647" w:rsidRPr="00D47E4E" w:rsidRDefault="00C62647" w:rsidP="00FA5FC9">
      <w:pPr>
        <w:adjustRightInd w:val="0"/>
        <w:snapToGrid w:val="0"/>
        <w:spacing w:line="360" w:lineRule="auto"/>
        <w:jc w:val="both"/>
        <w:outlineLvl w:val="0"/>
        <w:rPr>
          <w:rFonts w:ascii="Book Antiqua" w:hAnsi="Book Antiqua"/>
          <w:b/>
          <w:i/>
        </w:rPr>
      </w:pPr>
    </w:p>
    <w:p w14:paraId="765259BB" w14:textId="55F9332C"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History of present illness</w:t>
      </w:r>
    </w:p>
    <w:p w14:paraId="27A7B192" w14:textId="04D0978B"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t>His past medical and surgical history was unremarkable, except for diabetes type 2 and hypertension; both conditions were controlled with medications, including metformin 500 mg twice a day, glimepiride 1 mg twice a day, nifedipine CR 20 mg daily, valsartan 80 mg daily and enalapril 5 mg daily.</w:t>
      </w:r>
    </w:p>
    <w:p w14:paraId="51526F69" w14:textId="77777777" w:rsidR="00C62647" w:rsidRPr="00D47E4E" w:rsidRDefault="00C62647" w:rsidP="00FA5FC9">
      <w:pPr>
        <w:adjustRightInd w:val="0"/>
        <w:snapToGrid w:val="0"/>
        <w:spacing w:line="360" w:lineRule="auto"/>
        <w:jc w:val="both"/>
        <w:outlineLvl w:val="0"/>
        <w:rPr>
          <w:rFonts w:ascii="Book Antiqua" w:hAnsi="Book Antiqua"/>
          <w:b/>
          <w:i/>
        </w:rPr>
      </w:pPr>
    </w:p>
    <w:p w14:paraId="1932E8CA" w14:textId="341A9C34"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History of past illness</w:t>
      </w:r>
    </w:p>
    <w:p w14:paraId="53B148E0" w14:textId="53034396" w:rsidR="00C62647" w:rsidRPr="00D47E4E" w:rsidRDefault="00C62647" w:rsidP="00FA5FC9">
      <w:pPr>
        <w:adjustRightInd w:val="0"/>
        <w:snapToGrid w:val="0"/>
        <w:spacing w:line="360" w:lineRule="auto"/>
        <w:jc w:val="both"/>
        <w:outlineLvl w:val="0"/>
        <w:rPr>
          <w:rFonts w:ascii="Book Antiqua" w:hAnsi="Book Antiqua"/>
        </w:rPr>
      </w:pPr>
      <w:r w:rsidRPr="00D47E4E">
        <w:rPr>
          <w:rFonts w:ascii="Book Antiqua" w:hAnsi="Book Antiqua"/>
        </w:rPr>
        <w:lastRenderedPageBreak/>
        <w:t>His social history was significant for smoking 20 cigarettes per day for 46 years and the frequent intake of alcohol at approximately 360-540 m</w:t>
      </w:r>
      <w:r w:rsidR="006E73A8" w:rsidRPr="00D47E4E">
        <w:rPr>
          <w:rFonts w:ascii="Book Antiqua" w:hAnsi="Book Antiqua"/>
        </w:rPr>
        <w:t>L</w:t>
      </w:r>
      <w:r w:rsidRPr="00D47E4E">
        <w:rPr>
          <w:rFonts w:ascii="Book Antiqua" w:hAnsi="Book Antiqua"/>
        </w:rPr>
        <w:t xml:space="preserve"> a day.</w:t>
      </w:r>
    </w:p>
    <w:p w14:paraId="722B1D75" w14:textId="77777777" w:rsidR="00C62647" w:rsidRPr="00D47E4E" w:rsidRDefault="00C62647" w:rsidP="00FA5FC9">
      <w:pPr>
        <w:adjustRightInd w:val="0"/>
        <w:snapToGrid w:val="0"/>
        <w:spacing w:line="360" w:lineRule="auto"/>
        <w:jc w:val="both"/>
        <w:outlineLvl w:val="0"/>
        <w:rPr>
          <w:rFonts w:ascii="Book Antiqua" w:hAnsi="Book Antiqua"/>
          <w:b/>
          <w:i/>
        </w:rPr>
      </w:pPr>
    </w:p>
    <w:p w14:paraId="2E16A333" w14:textId="7B16173F"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Family history</w:t>
      </w:r>
    </w:p>
    <w:p w14:paraId="003B54AB" w14:textId="77777777" w:rsidR="00F763A8" w:rsidRPr="00D47E4E" w:rsidRDefault="00C62647" w:rsidP="00FA5FC9">
      <w:pPr>
        <w:adjustRightInd w:val="0"/>
        <w:snapToGrid w:val="0"/>
        <w:spacing w:line="360" w:lineRule="auto"/>
        <w:jc w:val="both"/>
        <w:rPr>
          <w:rFonts w:ascii="Book Antiqua" w:hAnsi="Book Antiqua"/>
        </w:rPr>
      </w:pPr>
      <w:r w:rsidRPr="00D47E4E">
        <w:rPr>
          <w:rFonts w:ascii="Book Antiqua" w:hAnsi="Book Antiqua"/>
        </w:rPr>
        <w:t>Family history was notable for a father diagnosed with esophageal cancer, a mother with uterine cancer and an elderly brother with duodenal cancer and leukemia.</w:t>
      </w:r>
    </w:p>
    <w:p w14:paraId="4DBBF41F" w14:textId="77777777" w:rsidR="00F763A8" w:rsidRPr="00D47E4E" w:rsidRDefault="00F763A8" w:rsidP="00FA5FC9">
      <w:pPr>
        <w:adjustRightInd w:val="0"/>
        <w:snapToGrid w:val="0"/>
        <w:spacing w:line="360" w:lineRule="auto"/>
        <w:jc w:val="both"/>
        <w:rPr>
          <w:rFonts w:ascii="Book Antiqua" w:hAnsi="Book Antiqua"/>
        </w:rPr>
      </w:pPr>
    </w:p>
    <w:p w14:paraId="5E15AB0D" w14:textId="7F2BC89C" w:rsidR="00F763A8" w:rsidRPr="00D47E4E" w:rsidRDefault="00C62647" w:rsidP="00FA5FC9">
      <w:pPr>
        <w:adjustRightInd w:val="0"/>
        <w:snapToGrid w:val="0"/>
        <w:spacing w:line="360" w:lineRule="auto"/>
        <w:jc w:val="both"/>
        <w:rPr>
          <w:rFonts w:ascii="Book Antiqua" w:hAnsi="Book Antiqua"/>
        </w:rPr>
      </w:pPr>
      <w:r w:rsidRPr="00D47E4E">
        <w:rPr>
          <w:rFonts w:ascii="Book Antiqua" w:hAnsi="Book Antiqua"/>
          <w:b/>
          <w:i/>
        </w:rPr>
        <w:t>Physical examination upon admissio</w:t>
      </w:r>
      <w:r w:rsidR="00F763A8" w:rsidRPr="00D47E4E">
        <w:rPr>
          <w:rFonts w:ascii="Book Antiqua" w:hAnsi="Book Antiqua"/>
          <w:b/>
          <w:i/>
        </w:rPr>
        <w:t>n</w:t>
      </w:r>
    </w:p>
    <w:p w14:paraId="16BED175" w14:textId="752FCE24"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On examination, the patient had icteric sclera and pale conjunctiva. His vital signs were stable, and physical examination did not reveal any extraordinary signs.</w:t>
      </w:r>
    </w:p>
    <w:p w14:paraId="4604295F" w14:textId="77777777" w:rsidR="00F763A8" w:rsidRPr="00D47E4E" w:rsidRDefault="00F763A8" w:rsidP="00FA5FC9">
      <w:pPr>
        <w:adjustRightInd w:val="0"/>
        <w:snapToGrid w:val="0"/>
        <w:spacing w:line="360" w:lineRule="auto"/>
        <w:jc w:val="both"/>
        <w:outlineLvl w:val="0"/>
        <w:rPr>
          <w:rFonts w:ascii="Book Antiqua" w:hAnsi="Book Antiqua"/>
          <w:b/>
          <w:i/>
        </w:rPr>
      </w:pPr>
    </w:p>
    <w:p w14:paraId="366FED5D" w14:textId="77777777" w:rsidR="00F763A8"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 xml:space="preserve">Laboratory examinations </w:t>
      </w:r>
    </w:p>
    <w:p w14:paraId="5FFE9214" w14:textId="3F19CF73" w:rsidR="00F763A8" w:rsidRPr="00D47E4E" w:rsidRDefault="00F763A8" w:rsidP="00FA5FC9">
      <w:pPr>
        <w:adjustRightInd w:val="0"/>
        <w:snapToGrid w:val="0"/>
        <w:spacing w:line="360" w:lineRule="auto"/>
        <w:jc w:val="both"/>
        <w:rPr>
          <w:rFonts w:ascii="Book Antiqua" w:hAnsi="Book Antiqua"/>
        </w:rPr>
      </w:pPr>
      <w:r w:rsidRPr="00D47E4E">
        <w:rPr>
          <w:rFonts w:ascii="Book Antiqua" w:hAnsi="Book Antiqua"/>
        </w:rPr>
        <w:t xml:space="preserve">Laboratory tests on admission were within the normal range, except for a mild elevation in the levels of </w:t>
      </w:r>
      <w:r w:rsidR="003D675F" w:rsidRPr="00D47E4E">
        <w:rPr>
          <w:rFonts w:ascii="Book Antiqua" w:hAnsi="Book Antiqua"/>
        </w:rPr>
        <w:t>alkaline phosphatase</w:t>
      </w:r>
      <w:r w:rsidRPr="00D47E4E">
        <w:rPr>
          <w:rFonts w:ascii="Book Antiqua" w:hAnsi="Book Antiqua"/>
        </w:rPr>
        <w:t xml:space="preserve"> (507 IU/</w:t>
      </w:r>
      <w:r w:rsidR="006E73A8" w:rsidRPr="00D47E4E">
        <w:rPr>
          <w:rFonts w:ascii="Book Antiqua" w:hAnsi="Book Antiqua"/>
        </w:rPr>
        <w:t>L</w:t>
      </w:r>
      <w:r w:rsidRPr="00D47E4E">
        <w:rPr>
          <w:rFonts w:ascii="Book Antiqua" w:hAnsi="Book Antiqua"/>
        </w:rPr>
        <w:t>; normal range, &lt;</w:t>
      </w:r>
      <w:r w:rsidR="006E73A8" w:rsidRPr="00D47E4E">
        <w:rPr>
          <w:rFonts w:ascii="Book Antiqua" w:hAnsi="Book Antiqua"/>
        </w:rPr>
        <w:t xml:space="preserve"> </w:t>
      </w:r>
      <w:r w:rsidRPr="00D47E4E">
        <w:rPr>
          <w:rFonts w:ascii="Book Antiqua" w:hAnsi="Book Antiqua"/>
        </w:rPr>
        <w:t>359 IU/</w:t>
      </w:r>
      <w:r w:rsidR="006E73A8" w:rsidRPr="00D47E4E">
        <w:rPr>
          <w:rFonts w:ascii="Book Antiqua" w:hAnsi="Book Antiqua"/>
        </w:rPr>
        <w:t>L</w:t>
      </w:r>
      <w:r w:rsidRPr="00D47E4E">
        <w:rPr>
          <w:rFonts w:ascii="Book Antiqua" w:hAnsi="Book Antiqua"/>
        </w:rPr>
        <w:t>), γ-glutamyl transpeptidase (199 IU/</w:t>
      </w:r>
      <w:r w:rsidR="006E73A8" w:rsidRPr="00D47E4E">
        <w:rPr>
          <w:rFonts w:ascii="Book Antiqua" w:hAnsi="Book Antiqua"/>
        </w:rPr>
        <w:t>L</w:t>
      </w:r>
      <w:r w:rsidRPr="00D47E4E">
        <w:rPr>
          <w:rFonts w:ascii="Book Antiqua" w:hAnsi="Book Antiqua"/>
        </w:rPr>
        <w:t>; normal range, &lt;</w:t>
      </w:r>
      <w:r w:rsidR="006E73A8" w:rsidRPr="00D47E4E">
        <w:rPr>
          <w:rFonts w:ascii="Book Antiqua" w:hAnsi="Book Antiqua"/>
        </w:rPr>
        <w:t xml:space="preserve"> </w:t>
      </w:r>
      <w:r w:rsidRPr="00D47E4E">
        <w:rPr>
          <w:rFonts w:ascii="Book Antiqua" w:hAnsi="Book Antiqua"/>
        </w:rPr>
        <w:t>47 IU/</w:t>
      </w:r>
      <w:r w:rsidR="006E73A8" w:rsidRPr="00D47E4E">
        <w:rPr>
          <w:rFonts w:ascii="Book Antiqua" w:hAnsi="Book Antiqua"/>
        </w:rPr>
        <w:t>L</w:t>
      </w:r>
      <w:r w:rsidRPr="00D47E4E">
        <w:rPr>
          <w:rFonts w:ascii="Book Antiqua" w:hAnsi="Book Antiqua"/>
        </w:rPr>
        <w:t>) and total serum bilirubin (1.4 mg/dL normal range, &lt;</w:t>
      </w:r>
      <w:r w:rsidR="006E73A8" w:rsidRPr="00D47E4E">
        <w:rPr>
          <w:rFonts w:ascii="Book Antiqua" w:hAnsi="Book Antiqua"/>
        </w:rPr>
        <w:t xml:space="preserve"> </w:t>
      </w:r>
      <w:r w:rsidRPr="00D47E4E">
        <w:rPr>
          <w:rFonts w:ascii="Book Antiqua" w:hAnsi="Book Antiqua"/>
        </w:rPr>
        <w:t xml:space="preserve">1 mg/dL). </w:t>
      </w:r>
      <w:r w:rsidR="00742FDC" w:rsidRPr="00742FDC">
        <w:rPr>
          <w:rFonts w:ascii="Book Antiqua" w:hAnsi="Book Antiqua"/>
        </w:rPr>
        <w:t>Carcinoembryonic antigen</w:t>
      </w:r>
      <w:r w:rsidRPr="00D47E4E">
        <w:rPr>
          <w:rFonts w:ascii="Book Antiqua" w:hAnsi="Book Antiqua"/>
        </w:rPr>
        <w:t xml:space="preserve"> and CA 19-9 were within the normal range (2.7 </w:t>
      </w:r>
      <w:r w:rsidRPr="00D47E4E">
        <w:rPr>
          <w:rFonts w:ascii="Book Antiqua" w:hAnsi="Book Antiqua"/>
          <w:shd w:val="clear" w:color="auto" w:fill="FFFFFF"/>
        </w:rPr>
        <w:t xml:space="preserve">ng/mL, </w:t>
      </w:r>
      <w:r w:rsidRPr="00D47E4E">
        <w:rPr>
          <w:rFonts w:ascii="Book Antiqua" w:hAnsi="Book Antiqua"/>
        </w:rPr>
        <w:t>13.6 U/mL, respectively). Serology was negative for hepatitis B and C infections.</w:t>
      </w:r>
    </w:p>
    <w:p w14:paraId="1E064307" w14:textId="77777777" w:rsidR="00F763A8" w:rsidRPr="00D47E4E" w:rsidRDefault="00F763A8" w:rsidP="00FA5FC9">
      <w:pPr>
        <w:adjustRightInd w:val="0"/>
        <w:snapToGrid w:val="0"/>
        <w:spacing w:line="360" w:lineRule="auto"/>
        <w:jc w:val="both"/>
        <w:outlineLvl w:val="0"/>
        <w:rPr>
          <w:rFonts w:ascii="Book Antiqua" w:hAnsi="Book Antiqua"/>
          <w:b/>
          <w:i/>
        </w:rPr>
      </w:pPr>
    </w:p>
    <w:p w14:paraId="2CA0A1EE" w14:textId="10401B7B" w:rsidR="00C62647" w:rsidRPr="00D47E4E" w:rsidRDefault="00C62647" w:rsidP="00FA5FC9">
      <w:pPr>
        <w:adjustRightInd w:val="0"/>
        <w:snapToGrid w:val="0"/>
        <w:spacing w:line="360" w:lineRule="auto"/>
        <w:jc w:val="both"/>
        <w:outlineLvl w:val="0"/>
        <w:rPr>
          <w:rFonts w:ascii="Book Antiqua" w:hAnsi="Book Antiqua"/>
          <w:b/>
          <w:i/>
        </w:rPr>
      </w:pPr>
      <w:r w:rsidRPr="00D47E4E">
        <w:rPr>
          <w:rFonts w:ascii="Book Antiqua" w:hAnsi="Book Antiqua"/>
          <w:b/>
          <w:i/>
        </w:rPr>
        <w:t>Imaging examinations</w:t>
      </w:r>
    </w:p>
    <w:p w14:paraId="066AFF2D" w14:textId="388F4D63" w:rsidR="00F763A8" w:rsidRPr="00D47E4E" w:rsidRDefault="00F763A8" w:rsidP="00FA5FC9">
      <w:pPr>
        <w:adjustRightInd w:val="0"/>
        <w:snapToGrid w:val="0"/>
        <w:spacing w:line="360" w:lineRule="auto"/>
        <w:jc w:val="both"/>
        <w:outlineLvl w:val="0"/>
        <w:rPr>
          <w:rFonts w:ascii="Book Antiqua" w:hAnsi="Book Antiqua"/>
          <w:b/>
          <w:i/>
        </w:rPr>
      </w:pPr>
      <w:r w:rsidRPr="00D47E4E">
        <w:rPr>
          <w:rFonts w:ascii="Book Antiqua" w:hAnsi="Book Antiqua"/>
        </w:rPr>
        <w:t xml:space="preserve">Endoscopic ultrasonography detected a solid lesion filling the intrapancreatic </w:t>
      </w:r>
      <w:r w:rsidR="003D675F" w:rsidRPr="00D47E4E">
        <w:rPr>
          <w:rFonts w:ascii="Book Antiqua" w:hAnsi="Book Antiqua"/>
        </w:rPr>
        <w:t>CBD</w:t>
      </w:r>
      <w:r w:rsidRPr="00D47E4E">
        <w:rPr>
          <w:rFonts w:ascii="Book Antiqua" w:hAnsi="Book Antiqua"/>
        </w:rPr>
        <w:t xml:space="preserve"> to the main biliary. There was no evidence of extension outside of the bile duct wall, and invasion into the right hepatic artery was not observed. In addition, multilocular and unilateral cystic lesions of the pancreas, which had a maximum diameter of 13.1 mm, were found. Endoscopic retrograde cholangiography revealed bilateral intrahepatic biliary tree dilatation with a ﬁlling defect in the upper and middle bile duct, which extended partly to the left hepatic duct. Intraductal </w:t>
      </w:r>
      <w:r w:rsidRPr="00D47E4E">
        <w:rPr>
          <w:rFonts w:ascii="Book Antiqua" w:hAnsi="Book Antiqua"/>
          <w:shd w:val="clear" w:color="auto" w:fill="FFFFFF"/>
        </w:rPr>
        <w:t>ultrasonography confirmed</w:t>
      </w:r>
      <w:r w:rsidRPr="00D47E4E">
        <w:rPr>
          <w:rFonts w:ascii="Book Antiqua" w:hAnsi="Book Antiqua"/>
        </w:rPr>
        <w:t xml:space="preserve"> that</w:t>
      </w:r>
      <w:r w:rsidRPr="00D47E4E">
        <w:rPr>
          <w:rFonts w:ascii="Book Antiqua" w:hAnsi="Book Antiqua"/>
          <w:shd w:val="clear" w:color="auto" w:fill="FFFFFF"/>
        </w:rPr>
        <w:t xml:space="preserve"> there was no extended lesion </w:t>
      </w:r>
      <w:r w:rsidRPr="00D47E4E">
        <w:rPr>
          <w:rFonts w:ascii="Book Antiqua" w:hAnsi="Book Antiqua"/>
        </w:rPr>
        <w:t>in</w:t>
      </w:r>
      <w:r w:rsidRPr="00D47E4E">
        <w:rPr>
          <w:rFonts w:ascii="Book Antiqua" w:hAnsi="Book Antiqua"/>
          <w:shd w:val="clear" w:color="auto" w:fill="FFFFFF"/>
        </w:rPr>
        <w:t xml:space="preserve"> the right bile duct.</w:t>
      </w:r>
      <w:r w:rsidRPr="00D47E4E">
        <w:rPr>
          <w:rFonts w:ascii="Book Antiqua" w:hAnsi="Book Antiqua"/>
        </w:rPr>
        <w:t xml:space="preserve"> </w:t>
      </w:r>
      <w:r w:rsidRPr="00D47E4E">
        <w:rPr>
          <w:rFonts w:ascii="Book Antiqua" w:hAnsi="Book Antiqua"/>
          <w:shd w:val="clear" w:color="auto" w:fill="FFFFFF"/>
        </w:rPr>
        <w:t xml:space="preserve">Tumor and adjacent tissue </w:t>
      </w:r>
      <w:r w:rsidRPr="00D47E4E">
        <w:rPr>
          <w:rFonts w:ascii="Book Antiqua" w:hAnsi="Book Antiqua"/>
        </w:rPr>
        <w:t xml:space="preserve">biopsies were performed, and a 5 Fr </w:t>
      </w:r>
      <w:r w:rsidRPr="00D47E4E">
        <w:rPr>
          <w:rStyle w:val="a9"/>
          <w:rFonts w:ascii="Book Antiqua" w:hAnsi="Book Antiqua"/>
          <w:bCs/>
          <w:i w:val="0"/>
          <w:iCs w:val="0"/>
        </w:rPr>
        <w:t xml:space="preserve">endoscopic </w:t>
      </w:r>
      <w:proofErr w:type="spellStart"/>
      <w:r w:rsidRPr="00D47E4E">
        <w:rPr>
          <w:rStyle w:val="a9"/>
          <w:rFonts w:ascii="Book Antiqua" w:hAnsi="Book Antiqua"/>
          <w:bCs/>
          <w:i w:val="0"/>
          <w:iCs w:val="0"/>
        </w:rPr>
        <w:t>nasobiliary</w:t>
      </w:r>
      <w:proofErr w:type="spellEnd"/>
      <w:r w:rsidR="000352D4" w:rsidRPr="00D47E4E">
        <w:rPr>
          <w:rStyle w:val="apple-converted-space"/>
          <w:rFonts w:ascii="Book Antiqua" w:hAnsi="Book Antiqua"/>
          <w:shd w:val="clear" w:color="auto" w:fill="FFFFFF"/>
        </w:rPr>
        <w:t xml:space="preserve"> </w:t>
      </w:r>
      <w:r w:rsidRPr="00D47E4E">
        <w:rPr>
          <w:rFonts w:ascii="Book Antiqua" w:hAnsi="Book Antiqua"/>
          <w:shd w:val="clear" w:color="auto" w:fill="FFFFFF"/>
        </w:rPr>
        <w:t xml:space="preserve">drainage ENBD was placed to facilitate biliary drainage. Pathological results endorsed IPNB with high grade and intestinal type neoplasia. In addition, </w:t>
      </w:r>
      <w:r w:rsidRPr="00D47E4E">
        <w:rPr>
          <w:rFonts w:ascii="Book Antiqua" w:hAnsi="Book Antiqua"/>
        </w:rPr>
        <w:t xml:space="preserve">images obtained from </w:t>
      </w:r>
      <w:proofErr w:type="spellStart"/>
      <w:r w:rsidRPr="00D47E4E">
        <w:rPr>
          <w:rFonts w:ascii="Book Antiqua" w:hAnsi="Book Antiqua"/>
        </w:rPr>
        <w:t>peroral</w:t>
      </w:r>
      <w:proofErr w:type="spellEnd"/>
      <w:r w:rsidRPr="00D47E4E">
        <w:rPr>
          <w:rFonts w:ascii="Book Antiqua" w:hAnsi="Book Antiqua"/>
        </w:rPr>
        <w:t xml:space="preserve"> </w:t>
      </w:r>
      <w:proofErr w:type="spellStart"/>
      <w:r w:rsidRPr="00D47E4E">
        <w:rPr>
          <w:rFonts w:ascii="Book Antiqua" w:hAnsi="Book Antiqua"/>
        </w:rPr>
        <w:t>cholangioscopy</w:t>
      </w:r>
      <w:proofErr w:type="spellEnd"/>
      <w:r w:rsidRPr="00D47E4E">
        <w:rPr>
          <w:rFonts w:ascii="Book Antiqua" w:hAnsi="Book Antiqua"/>
        </w:rPr>
        <w:t xml:space="preserve"> </w:t>
      </w:r>
      <w:r w:rsidRPr="00D47E4E">
        <w:rPr>
          <w:rFonts w:ascii="Book Antiqua" w:hAnsi="Book Antiqua"/>
        </w:rPr>
        <w:lastRenderedPageBreak/>
        <w:t xml:space="preserve">POCS delineated a tumor with a papillary pattern located at the </w:t>
      </w:r>
      <w:r w:rsidR="003D675F" w:rsidRPr="00D47E4E">
        <w:rPr>
          <w:rFonts w:ascii="Book Antiqua" w:hAnsi="Book Antiqua"/>
        </w:rPr>
        <w:t>CBD</w:t>
      </w:r>
      <w:r w:rsidRPr="00D47E4E">
        <w:rPr>
          <w:rFonts w:ascii="Book Antiqua" w:hAnsi="Book Antiqua"/>
        </w:rPr>
        <w:t xml:space="preserve"> to the left hepatic duct (Fig</w:t>
      </w:r>
      <w:r w:rsidR="0049210F" w:rsidRPr="00D47E4E">
        <w:rPr>
          <w:rFonts w:ascii="Book Antiqua" w:hAnsi="Book Antiqua"/>
        </w:rPr>
        <w:t>ure</w:t>
      </w:r>
      <w:r w:rsidRPr="00D47E4E">
        <w:rPr>
          <w:rFonts w:ascii="Book Antiqua" w:hAnsi="Book Antiqua"/>
        </w:rPr>
        <w:t xml:space="preserve"> 1). Multidetector computed tomography detected an interruption for a long segment of CBD causing biliary occlusion, which resulted in bilateral intrahepatic biliary tree dilatation with no intrahepatic lesion. The tumor was predominantly extended into the left hepatic duct. An enlargement of the pancreatic duct suggested the extension of injury into the intrapancreatic CBD. Traces of metastasis, such as lymph node growth, ascites, lung mass or pleural effusion, have not been reported. Three-dimensional liver surgery simulation demonstrated that the right hepatic artery and right portal vein were not in contact with the tumor. </w:t>
      </w:r>
      <w:proofErr w:type="spellStart"/>
      <w:r w:rsidR="00512F1E" w:rsidRPr="00D47E4E">
        <w:rPr>
          <w:rStyle w:val="a9"/>
          <w:rFonts w:ascii="Book Antiqua" w:hAnsi="Book Antiqua"/>
          <w:bCs/>
          <w:i w:val="0"/>
          <w:iCs w:val="0"/>
        </w:rPr>
        <w:t>M</w:t>
      </w:r>
      <w:r w:rsidRPr="00D47E4E">
        <w:rPr>
          <w:rStyle w:val="a9"/>
          <w:rFonts w:ascii="Book Antiqua" w:hAnsi="Book Antiqua"/>
          <w:bCs/>
          <w:i w:val="0"/>
          <w:iCs w:val="0"/>
        </w:rPr>
        <w:t>magnetic</w:t>
      </w:r>
      <w:proofErr w:type="spellEnd"/>
      <w:r w:rsidRPr="00D47E4E">
        <w:rPr>
          <w:rStyle w:val="a9"/>
          <w:rFonts w:ascii="Book Antiqua" w:hAnsi="Book Antiqua"/>
          <w:bCs/>
          <w:i w:val="0"/>
          <w:iCs w:val="0"/>
        </w:rPr>
        <w:t xml:space="preserve"> resonance </w:t>
      </w:r>
      <w:proofErr w:type="spellStart"/>
      <w:r w:rsidRPr="00D47E4E">
        <w:rPr>
          <w:rStyle w:val="a9"/>
          <w:rFonts w:ascii="Book Antiqua" w:hAnsi="Book Antiqua"/>
          <w:bCs/>
          <w:i w:val="0"/>
          <w:iCs w:val="0"/>
        </w:rPr>
        <w:t>cholangiopancreatography</w:t>
      </w:r>
      <w:proofErr w:type="spellEnd"/>
      <w:r w:rsidRPr="00D47E4E">
        <w:rPr>
          <w:rFonts w:ascii="Book Antiqua" w:hAnsi="Book Antiqua"/>
        </w:rPr>
        <w:t xml:space="preserve"> confirmed these findings (Fig</w:t>
      </w:r>
      <w:r w:rsidR="0049210F" w:rsidRPr="00D47E4E">
        <w:rPr>
          <w:rFonts w:ascii="Book Antiqua" w:hAnsi="Book Antiqua"/>
        </w:rPr>
        <w:t>ure</w:t>
      </w:r>
      <w:r w:rsidRPr="00D47E4E">
        <w:rPr>
          <w:rFonts w:ascii="Book Antiqua" w:hAnsi="Book Antiqua"/>
        </w:rPr>
        <w:t xml:space="preserve"> 2).</w:t>
      </w:r>
    </w:p>
    <w:p w14:paraId="5C947CFC" w14:textId="77777777" w:rsidR="00E32030" w:rsidRPr="00D47E4E" w:rsidRDefault="00E32030" w:rsidP="00FA5FC9">
      <w:pPr>
        <w:adjustRightInd w:val="0"/>
        <w:snapToGrid w:val="0"/>
        <w:spacing w:line="360" w:lineRule="auto"/>
        <w:jc w:val="both"/>
        <w:rPr>
          <w:rFonts w:ascii="Book Antiqua" w:eastAsiaTheme="minorEastAsia" w:hAnsi="Book Antiqua"/>
          <w:b/>
        </w:rPr>
      </w:pPr>
    </w:p>
    <w:p w14:paraId="54F21348" w14:textId="2860FF7A" w:rsidR="00C62647" w:rsidRPr="00D47E4E" w:rsidRDefault="000352D4" w:rsidP="00FA5FC9">
      <w:pPr>
        <w:adjustRightInd w:val="0"/>
        <w:snapToGrid w:val="0"/>
        <w:spacing w:line="360" w:lineRule="auto"/>
        <w:jc w:val="both"/>
        <w:outlineLvl w:val="0"/>
        <w:rPr>
          <w:rFonts w:ascii="Book Antiqua" w:hAnsi="Book Antiqua"/>
          <w:b/>
          <w:i/>
          <w:iCs/>
        </w:rPr>
      </w:pPr>
      <w:r w:rsidRPr="00D47E4E">
        <w:rPr>
          <w:rFonts w:ascii="Book Antiqua" w:hAnsi="Book Antiqua"/>
          <w:b/>
          <w:i/>
          <w:iCs/>
        </w:rPr>
        <w:t>Initial diagnosis</w:t>
      </w:r>
    </w:p>
    <w:p w14:paraId="78D87212" w14:textId="41AD6A9B"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Therefore, an initial diagnosis of IPNB cT1N0M0 was established with good prognosis.</w:t>
      </w:r>
    </w:p>
    <w:p w14:paraId="34DF9D7E" w14:textId="77777777" w:rsidR="00E32030" w:rsidRPr="00D47E4E" w:rsidRDefault="00E32030" w:rsidP="00FA5FC9">
      <w:pPr>
        <w:adjustRightInd w:val="0"/>
        <w:snapToGrid w:val="0"/>
        <w:spacing w:line="360" w:lineRule="auto"/>
        <w:jc w:val="both"/>
        <w:outlineLvl w:val="0"/>
        <w:rPr>
          <w:rFonts w:ascii="Book Antiqua" w:hAnsi="Book Antiqua"/>
        </w:rPr>
      </w:pPr>
    </w:p>
    <w:p w14:paraId="6249FF3C" w14:textId="77777777" w:rsidR="00E32030" w:rsidRPr="00D47E4E" w:rsidRDefault="00E32030"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FINAL DIAGNOSIS</w:t>
      </w:r>
    </w:p>
    <w:p w14:paraId="4BD190D0" w14:textId="6532F97B" w:rsidR="00E32030" w:rsidRPr="00D47E4E" w:rsidRDefault="00E32030"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The final diagnosis of the presented case is metastasis of </w:t>
      </w:r>
      <w:r w:rsidR="003D675F" w:rsidRPr="00D47E4E">
        <w:rPr>
          <w:rFonts w:ascii="Book Antiqua" w:hAnsi="Book Antiqua"/>
        </w:rPr>
        <w:t>IPNB</w:t>
      </w:r>
      <w:r w:rsidRPr="00D47E4E">
        <w:rPr>
          <w:rFonts w:ascii="Book Antiqua" w:hAnsi="Book Antiqua"/>
        </w:rPr>
        <w:t xml:space="preserve"> without an invasive component to the brain and lungs.</w:t>
      </w:r>
    </w:p>
    <w:p w14:paraId="3AA50675" w14:textId="77777777" w:rsidR="00F763A8" w:rsidRPr="00D47E4E" w:rsidRDefault="00F763A8" w:rsidP="00FA5FC9">
      <w:pPr>
        <w:adjustRightInd w:val="0"/>
        <w:snapToGrid w:val="0"/>
        <w:spacing w:line="360" w:lineRule="auto"/>
        <w:jc w:val="both"/>
        <w:outlineLvl w:val="0"/>
        <w:rPr>
          <w:rFonts w:ascii="Book Antiqua" w:eastAsiaTheme="minorEastAsia" w:hAnsi="Book Antiqua"/>
          <w:b/>
          <w:u w:val="single"/>
        </w:rPr>
      </w:pPr>
    </w:p>
    <w:p w14:paraId="05E13243" w14:textId="67F58507" w:rsidR="00C62647" w:rsidRPr="00D47E4E" w:rsidRDefault="00C6264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TREATMENT</w:t>
      </w:r>
    </w:p>
    <w:p w14:paraId="50FD452B" w14:textId="24EAF24D" w:rsidR="00F763A8" w:rsidRPr="00D47E4E" w:rsidRDefault="00F763A8" w:rsidP="00FA5FC9">
      <w:pPr>
        <w:adjustRightInd w:val="0"/>
        <w:snapToGrid w:val="0"/>
        <w:spacing w:line="360" w:lineRule="auto"/>
        <w:jc w:val="both"/>
        <w:outlineLvl w:val="0"/>
        <w:rPr>
          <w:rFonts w:ascii="Book Antiqua" w:hAnsi="Book Antiqua"/>
        </w:rPr>
      </w:pPr>
      <w:r w:rsidRPr="00D47E4E">
        <w:rPr>
          <w:rFonts w:ascii="Book Antiqua" w:hAnsi="Book Antiqua"/>
        </w:rPr>
        <w:t xml:space="preserve">The remnant liver was estimated at 63.1% of its original size after left </w:t>
      </w:r>
      <w:proofErr w:type="spellStart"/>
      <w:r w:rsidRPr="00D47E4E">
        <w:rPr>
          <w:rFonts w:ascii="Book Antiqua" w:hAnsi="Book Antiqua"/>
        </w:rPr>
        <w:t>hemihepatectomy</w:t>
      </w:r>
      <w:proofErr w:type="spellEnd"/>
      <w:r w:rsidRPr="00D47E4E">
        <w:rPr>
          <w:rFonts w:ascii="Book Antiqua" w:hAnsi="Book Antiqua"/>
        </w:rPr>
        <w:t>, including the caudate lobe, extrahepatic bile duct resection with Roux-en-Y hepaticojejunostomy and regional lymph node dissection. During the operation, the tumor was not exposed to the serosa, and severe diffuse liver steatosis, including a small amount of ascites, was reported. Rapid ascites cytology, para aortic lymph node</w:t>
      </w:r>
      <w:r w:rsidR="000352D4" w:rsidRPr="00D47E4E">
        <w:rPr>
          <w:rFonts w:ascii="Book Antiqua" w:hAnsi="Book Antiqua"/>
        </w:rPr>
        <w:t>,</w:t>
      </w:r>
      <w:r w:rsidRPr="00D47E4E">
        <w:rPr>
          <w:rFonts w:ascii="Book Antiqua" w:hAnsi="Book Antiqua"/>
        </w:rPr>
        <w:t xml:space="preserve"> and stumps of bile duct in frozen section were intraoperatively negative for cancer. The duration of the operation was 647 min, with blood loss amounting to 360 g without blood transfusion. Intraoperative cholangiography confirmed no evidence of bile leakage.</w:t>
      </w:r>
    </w:p>
    <w:p w14:paraId="26612D3D" w14:textId="77777777" w:rsidR="00F763A8" w:rsidRPr="00D47E4E" w:rsidRDefault="00F763A8" w:rsidP="00FA5FC9">
      <w:pPr>
        <w:adjustRightInd w:val="0"/>
        <w:snapToGrid w:val="0"/>
        <w:spacing w:line="360" w:lineRule="auto"/>
        <w:jc w:val="both"/>
        <w:outlineLvl w:val="0"/>
        <w:rPr>
          <w:rFonts w:ascii="Book Antiqua" w:hAnsi="Book Antiqua"/>
          <w:b/>
        </w:rPr>
      </w:pPr>
    </w:p>
    <w:p w14:paraId="6E6A2088" w14:textId="7911404B" w:rsidR="00C62647" w:rsidRPr="00D47E4E" w:rsidRDefault="00C6264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OUTCOME AND FOLLOW-UP</w:t>
      </w:r>
    </w:p>
    <w:p w14:paraId="7CF3BE0D" w14:textId="042CA523" w:rsidR="002B2B4E" w:rsidRPr="00D47E4E" w:rsidRDefault="00F763A8" w:rsidP="00FA5FC9">
      <w:pPr>
        <w:adjustRightInd w:val="0"/>
        <w:snapToGrid w:val="0"/>
        <w:spacing w:line="360" w:lineRule="auto"/>
        <w:jc w:val="both"/>
        <w:rPr>
          <w:rFonts w:ascii="Book Antiqua" w:eastAsiaTheme="minorEastAsia" w:hAnsi="Book Antiqua"/>
        </w:rPr>
      </w:pPr>
      <w:r w:rsidRPr="00D47E4E">
        <w:rPr>
          <w:rFonts w:ascii="Book Antiqua" w:hAnsi="Book Antiqua"/>
        </w:rPr>
        <w:lastRenderedPageBreak/>
        <w:t>Macroscopic examination of the resected specimen revealed a papillary tumor measuring 22</w:t>
      </w:r>
      <w:r w:rsidR="000739A3" w:rsidRPr="00D47E4E">
        <w:rPr>
          <w:rFonts w:ascii="Book Antiqua" w:hAnsi="Book Antiqua"/>
        </w:rPr>
        <w:t xml:space="preserve"> mm × </w:t>
      </w:r>
      <w:r w:rsidRPr="00D47E4E">
        <w:rPr>
          <w:rFonts w:ascii="Book Antiqua" w:hAnsi="Book Antiqua"/>
        </w:rPr>
        <w:t>10 mm expanding the CBD and the left hepatic bile duct (Fig</w:t>
      </w:r>
      <w:r w:rsidR="0049210F" w:rsidRPr="00D47E4E">
        <w:rPr>
          <w:rFonts w:ascii="Book Antiqua" w:hAnsi="Book Antiqua"/>
        </w:rPr>
        <w:t>ure</w:t>
      </w:r>
      <w:r w:rsidRPr="00D47E4E">
        <w:rPr>
          <w:rFonts w:ascii="Book Antiqua" w:hAnsi="Book Antiqua"/>
        </w:rPr>
        <w:t xml:space="preserve"> 3). Microscopic findings showed the papillary neoplasm confined within the bile duct. The intraductal neoplastic growth was a cribriform and tubular pattern and showed no infiltration into the basal ductal wall. The neoplastic epithelial cells revealed nuclear atypia and stratification. Histological examination confirmed the diagnosis of IPNB with high-grade intraepithelial neoplasia (carcinoma </w:t>
      </w:r>
      <w:r w:rsidR="00111120" w:rsidRPr="00D47E4E">
        <w:rPr>
          <w:rFonts w:ascii="Book Antiqua" w:hAnsi="Book Antiqua"/>
          <w:i/>
          <w:iCs/>
        </w:rPr>
        <w:t>in situ</w:t>
      </w:r>
      <w:r w:rsidRPr="00D47E4E">
        <w:rPr>
          <w:rFonts w:ascii="Book Antiqua" w:hAnsi="Book Antiqua"/>
        </w:rPr>
        <w:t>) and no regional lymph node metastases (</w:t>
      </w:r>
      <w:proofErr w:type="spellStart"/>
      <w:r w:rsidRPr="00D47E4E">
        <w:rPr>
          <w:rFonts w:ascii="Book Antiqua" w:hAnsi="Book Antiqua"/>
        </w:rPr>
        <w:t>pTis</w:t>
      </w:r>
      <w:proofErr w:type="spellEnd"/>
      <w:r w:rsidRPr="00D47E4E">
        <w:rPr>
          <w:rFonts w:ascii="Book Antiqua" w:hAnsi="Book Antiqua"/>
        </w:rPr>
        <w:t xml:space="preserve"> pN0) (Fig</w:t>
      </w:r>
      <w:r w:rsidR="0049210F" w:rsidRPr="00D47E4E">
        <w:rPr>
          <w:rFonts w:ascii="Book Antiqua" w:hAnsi="Book Antiqua"/>
        </w:rPr>
        <w:t>ure</w:t>
      </w:r>
      <w:r w:rsidRPr="00D47E4E">
        <w:rPr>
          <w:rFonts w:ascii="Book Antiqua" w:hAnsi="Book Antiqua"/>
        </w:rPr>
        <w:t xml:space="preserve"> 4). Immunohistochemical staining showed that the tumor cells were positive for CK7, CK20 and CDX2. The surgical margin was negative, and no malignant findings were observed in the gallbladder.</w:t>
      </w:r>
    </w:p>
    <w:p w14:paraId="1CF63043" w14:textId="186E7E1D" w:rsidR="003B2C49" w:rsidRPr="00D47E4E" w:rsidRDefault="00F763A8" w:rsidP="00471CD2">
      <w:pPr>
        <w:adjustRightInd w:val="0"/>
        <w:snapToGrid w:val="0"/>
        <w:spacing w:line="360" w:lineRule="auto"/>
        <w:ind w:firstLineChars="100" w:firstLine="240"/>
        <w:jc w:val="both"/>
        <w:rPr>
          <w:rFonts w:ascii="Book Antiqua" w:eastAsiaTheme="minorEastAsia" w:hAnsi="Book Antiqua"/>
          <w:shd w:val="clear" w:color="auto" w:fill="EFF2F7"/>
        </w:rPr>
      </w:pPr>
      <w:r w:rsidRPr="00D47E4E">
        <w:rPr>
          <w:rFonts w:ascii="Book Antiqua" w:hAnsi="Book Antiqua"/>
        </w:rPr>
        <w:t xml:space="preserve">The postoperative course showed a high-grade fever caused by acute cholangitis, which was successfully treated by the intravenous administration of teicoplanin and </w:t>
      </w:r>
      <w:r w:rsidRPr="00D47E4E">
        <w:rPr>
          <w:rStyle w:val="a9"/>
          <w:rFonts w:ascii="Book Antiqua" w:hAnsi="Book Antiqua"/>
          <w:bCs/>
          <w:i w:val="0"/>
          <w:iCs w:val="0"/>
        </w:rPr>
        <w:t>piperacillin</w:t>
      </w:r>
      <w:r w:rsidRPr="00D47E4E">
        <w:rPr>
          <w:rFonts w:ascii="Book Antiqua" w:hAnsi="Book Antiqua"/>
          <w:shd w:val="clear" w:color="auto" w:fill="FFFFFF"/>
        </w:rPr>
        <w:t>/</w:t>
      </w:r>
      <w:r w:rsidRPr="00D47E4E">
        <w:rPr>
          <w:rStyle w:val="a9"/>
          <w:rFonts w:ascii="Book Antiqua" w:hAnsi="Book Antiqua"/>
          <w:bCs/>
          <w:i w:val="0"/>
          <w:iCs w:val="0"/>
        </w:rPr>
        <w:t>tazobactam</w:t>
      </w:r>
      <w:r w:rsidRPr="00D47E4E">
        <w:rPr>
          <w:rStyle w:val="a9"/>
          <w:rFonts w:ascii="Book Antiqua" w:hAnsi="Book Antiqua"/>
          <w:bCs/>
          <w:i w:val="0"/>
        </w:rPr>
        <w:t xml:space="preserve"> for </w:t>
      </w:r>
      <w:r w:rsidR="003E5C93" w:rsidRPr="00D47E4E">
        <w:rPr>
          <w:rStyle w:val="a9"/>
          <w:rFonts w:ascii="Book Antiqua" w:hAnsi="Book Antiqua"/>
          <w:bCs/>
          <w:i w:val="0"/>
        </w:rPr>
        <w:t>6</w:t>
      </w:r>
      <w:r w:rsidRPr="00D47E4E">
        <w:rPr>
          <w:rStyle w:val="a9"/>
          <w:rFonts w:ascii="Book Antiqua" w:hAnsi="Book Antiqua"/>
          <w:bCs/>
          <w:i w:val="0"/>
        </w:rPr>
        <w:t xml:space="preserve"> d and was classified as </w:t>
      </w:r>
      <w:proofErr w:type="spellStart"/>
      <w:r w:rsidRPr="00D47E4E">
        <w:rPr>
          <w:rFonts w:ascii="Book Antiqua" w:hAnsi="Book Antiqua"/>
          <w:shd w:val="clear" w:color="auto" w:fill="FFFFFF"/>
        </w:rPr>
        <w:t>Clavien-Dindo</w:t>
      </w:r>
      <w:proofErr w:type="spellEnd"/>
      <w:r w:rsidRPr="00D47E4E">
        <w:rPr>
          <w:rFonts w:ascii="Book Antiqua" w:hAnsi="Book Antiqua"/>
          <w:shd w:val="clear" w:color="auto" w:fill="FFFFFF"/>
        </w:rPr>
        <w:t xml:space="preserve"> complication grade II</w:t>
      </w:r>
      <w:r w:rsidRPr="00D47E4E">
        <w:rPr>
          <w:rStyle w:val="a9"/>
          <w:rFonts w:ascii="Book Antiqua" w:hAnsi="Book Antiqua"/>
          <w:bCs/>
          <w:i w:val="0"/>
          <w:iCs w:val="0"/>
        </w:rPr>
        <w:t>.</w:t>
      </w:r>
      <w:r w:rsidRPr="00D47E4E">
        <w:rPr>
          <w:rFonts w:ascii="Book Antiqua" w:hAnsi="Book Antiqua"/>
        </w:rPr>
        <w:t xml:space="preserve"> Glycemia and blood pressure were effectively controlled during the perioperative time by insulin therapy and antihypertensive drugs. The patient was discharged at 31 d after surgery. The patient did not receive further supportive treatment and was monitored at regular intervals through clinical examination, biochemical investigations and imaging diagnosis. Unfortunately, at 32 </w:t>
      </w:r>
      <w:proofErr w:type="spellStart"/>
      <w:r w:rsidR="00685C8D" w:rsidRPr="00D47E4E">
        <w:rPr>
          <w:rFonts w:ascii="Book Antiqua" w:hAnsi="Book Antiqua"/>
        </w:rPr>
        <w:t>mo</w:t>
      </w:r>
      <w:proofErr w:type="spellEnd"/>
      <w:r w:rsidRPr="00D47E4E">
        <w:rPr>
          <w:rFonts w:ascii="Book Antiqua" w:hAnsi="Book Antiqua"/>
        </w:rPr>
        <w:t xml:space="preserve"> after the operation, a 26 mm tumor in the left upper lobe lung field was detected following a suspicious elevation of CA 19-9 (Fig</w:t>
      </w:r>
      <w:r w:rsidR="003B2C49" w:rsidRPr="00D47E4E">
        <w:rPr>
          <w:rFonts w:ascii="Book Antiqua" w:hAnsi="Book Antiqua"/>
        </w:rPr>
        <w:t>ure</w:t>
      </w:r>
      <w:r w:rsidRPr="00D47E4E">
        <w:rPr>
          <w:rFonts w:ascii="Book Antiqua" w:hAnsi="Book Antiqua"/>
        </w:rPr>
        <w:t xml:space="preserve"> 5), and a suspected metastasis 12 mm brain tumor in the right frontal lobe was determined (Fig</w:t>
      </w:r>
      <w:r w:rsidR="003B2C49" w:rsidRPr="00D47E4E">
        <w:rPr>
          <w:rFonts w:ascii="Book Antiqua" w:hAnsi="Book Antiqua"/>
        </w:rPr>
        <w:t>ure</w:t>
      </w:r>
      <w:r w:rsidRPr="00D47E4E">
        <w:rPr>
          <w:rFonts w:ascii="Book Antiqua" w:hAnsi="Book Antiqua"/>
        </w:rPr>
        <w:t xml:space="preserve"> 6). The initial diagnosis was confidently proposed as primary lung cancer with brain metastasis (cT1bN0M1b). Lung tumor markers, such as </w:t>
      </w:r>
      <w:r w:rsidRPr="00D47E4E">
        <w:rPr>
          <w:rStyle w:val="a9"/>
          <w:rFonts w:ascii="Book Antiqua" w:hAnsi="Book Antiqua"/>
          <w:bCs/>
          <w:i w:val="0"/>
          <w:iCs w:val="0"/>
        </w:rPr>
        <w:t>squamous cell carcinoma</w:t>
      </w:r>
      <w:r w:rsidR="003E5C93" w:rsidRPr="00D47E4E">
        <w:rPr>
          <w:rStyle w:val="apple-converted-space"/>
          <w:rFonts w:ascii="Book Antiqua" w:hAnsi="Book Antiqua"/>
          <w:shd w:val="clear" w:color="auto" w:fill="FFFFFF"/>
        </w:rPr>
        <w:t xml:space="preserve"> </w:t>
      </w:r>
      <w:r w:rsidRPr="00D47E4E">
        <w:rPr>
          <w:rFonts w:ascii="Book Antiqua" w:hAnsi="Book Antiqua"/>
          <w:shd w:val="clear" w:color="auto" w:fill="FFFFFF"/>
        </w:rPr>
        <w:t xml:space="preserve">antigen, </w:t>
      </w:r>
      <w:r w:rsidRPr="00D47E4E">
        <w:rPr>
          <w:rFonts w:ascii="Book Antiqua" w:hAnsi="Book Antiqua"/>
        </w:rPr>
        <w:t>neuron</w:t>
      </w:r>
      <w:r w:rsidRPr="00D47E4E">
        <w:rPr>
          <w:rFonts w:ascii="Book Antiqua" w:hAnsi="Book Antiqua"/>
          <w:shd w:val="clear" w:color="auto" w:fill="FFFFFF"/>
        </w:rPr>
        <w:t xml:space="preserve">-specific enolase, </w:t>
      </w:r>
      <w:proofErr w:type="spellStart"/>
      <w:r w:rsidRPr="00D47E4E">
        <w:rPr>
          <w:rFonts w:ascii="Book Antiqua" w:hAnsi="Book Antiqua"/>
          <w:shd w:val="clear" w:color="auto" w:fill="FFFFFF"/>
        </w:rPr>
        <w:t>sialyl</w:t>
      </w:r>
      <w:proofErr w:type="spellEnd"/>
      <w:r w:rsidRPr="00D47E4E">
        <w:rPr>
          <w:rFonts w:ascii="Book Antiqua" w:hAnsi="Book Antiqua"/>
          <w:shd w:val="clear" w:color="auto" w:fill="FFFFFF"/>
        </w:rPr>
        <w:t xml:space="preserve"> stage-specific embryonic antigen-I and </w:t>
      </w:r>
      <w:r w:rsidRPr="00D47E4E">
        <w:rPr>
          <w:rFonts w:ascii="Book Antiqua" w:hAnsi="Book Antiqua"/>
        </w:rPr>
        <w:t xml:space="preserve">cytokeratin 19 fragment (CYFRA 21-1), were within the normal range. </w:t>
      </w:r>
    </w:p>
    <w:p w14:paraId="327AD804" w14:textId="3852F07A" w:rsidR="003B2C49" w:rsidRPr="00D47E4E" w:rsidRDefault="00F763A8"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t xml:space="preserve">Video-assisted thoracoscopic surgery of the left upper lobectomy and stereotactic radiotherapy for brain tumor given as dose of 44.2 </w:t>
      </w:r>
      <w:proofErr w:type="spellStart"/>
      <w:r w:rsidRPr="00D47E4E">
        <w:rPr>
          <w:rFonts w:ascii="Book Antiqua" w:hAnsi="Book Antiqua"/>
        </w:rPr>
        <w:t>Gy</w:t>
      </w:r>
      <w:proofErr w:type="spellEnd"/>
      <w:r w:rsidRPr="00D47E4E">
        <w:rPr>
          <w:rFonts w:ascii="Book Antiqua" w:hAnsi="Book Antiqua"/>
        </w:rPr>
        <w:t xml:space="preserve"> in 13 fractions are indicated. The postoperative course was uneventful, and he was discharged on postoperative day 10. The gross findings of the lung tumor revealed well-circumscribed yellowish-white nodules located in the peripheral lung (Fig</w:t>
      </w:r>
      <w:r w:rsidR="003B2C49" w:rsidRPr="00D47E4E">
        <w:rPr>
          <w:rFonts w:ascii="Book Antiqua" w:hAnsi="Book Antiqua"/>
        </w:rPr>
        <w:t>ure</w:t>
      </w:r>
      <w:r w:rsidRPr="00D47E4E">
        <w:rPr>
          <w:rFonts w:ascii="Book Antiqua" w:hAnsi="Book Antiqua"/>
        </w:rPr>
        <w:t xml:space="preserve"> 7). Histopathological examination showed a well-demarcated nodule with marked necrosis in the center of </w:t>
      </w:r>
      <w:r w:rsidRPr="00D47E4E">
        <w:rPr>
          <w:rFonts w:ascii="Book Antiqua" w:hAnsi="Book Antiqua"/>
        </w:rPr>
        <w:lastRenderedPageBreak/>
        <w:t>the tumor (Fig</w:t>
      </w:r>
      <w:r w:rsidR="003B2C49" w:rsidRPr="00D47E4E">
        <w:rPr>
          <w:rFonts w:ascii="Book Antiqua" w:hAnsi="Book Antiqua"/>
        </w:rPr>
        <w:t>ure</w:t>
      </w:r>
      <w:r w:rsidRPr="00D47E4E">
        <w:rPr>
          <w:rFonts w:ascii="Book Antiqua" w:hAnsi="Book Antiqua"/>
        </w:rPr>
        <w:t xml:space="preserve"> 8). At the high power field, the tumor exhibited a cribriform pattern consisting of eosinophilic, tall, columnar cells with nuclear </w:t>
      </w:r>
      <w:proofErr w:type="spellStart"/>
      <w:r w:rsidRPr="00D47E4E">
        <w:rPr>
          <w:rFonts w:ascii="Book Antiqua" w:hAnsi="Book Antiqua"/>
        </w:rPr>
        <w:t>pseudostratification</w:t>
      </w:r>
      <w:proofErr w:type="spellEnd"/>
      <w:r w:rsidRPr="00D47E4E">
        <w:rPr>
          <w:rFonts w:ascii="Book Antiqua" w:hAnsi="Book Antiqua"/>
        </w:rPr>
        <w:t xml:space="preserve">. </w:t>
      </w:r>
      <w:proofErr w:type="spellStart"/>
      <w:r w:rsidRPr="00D47E4E">
        <w:rPr>
          <w:rFonts w:ascii="Book Antiqua" w:hAnsi="Book Antiqua"/>
        </w:rPr>
        <w:t>Immunohistological</w:t>
      </w:r>
      <w:proofErr w:type="spellEnd"/>
      <w:r w:rsidRPr="00D47E4E">
        <w:rPr>
          <w:rFonts w:ascii="Book Antiqua" w:hAnsi="Book Antiqua"/>
        </w:rPr>
        <w:t xml:space="preserve"> staining showed that the tumor cells were positive for CK7, CK20 and CDX2 and negative for TTF-1, which was the same profile as the primary bile duct lesion. The lung tumor was diagnosed as metastatic adenocarcinoma of a bile duct origin. Subsequently, a genomic profiling analysis using whole exome sequencing (WES) with paired tissue and blood samples </w:t>
      </w:r>
      <w:r w:rsidRPr="00D47E4E">
        <w:rPr>
          <w:rFonts w:ascii="Book Antiqua" w:eastAsiaTheme="minorEastAsia" w:hAnsi="Book Antiqua"/>
        </w:rPr>
        <w:t>was performed (Riken Genesis Co., LTD., Tokyo, Japan)</w:t>
      </w:r>
      <w:r w:rsidRPr="00D47E4E">
        <w:rPr>
          <w:rFonts w:ascii="Book Antiqua" w:eastAsia="Yu Mincho" w:hAnsi="Book Antiqua"/>
        </w:rPr>
        <w:t xml:space="preserve"> </w:t>
      </w:r>
      <w:r w:rsidRPr="00D47E4E">
        <w:rPr>
          <w:rFonts w:ascii="Book Antiqua" w:eastAsiaTheme="minorEastAsia" w:hAnsi="Book Antiqua"/>
        </w:rPr>
        <w:t xml:space="preserve">to investigate common variants between two specimens. We obtained informed consent from the patient for undergoing WES tests. A comparison between primary and lung metastatic </w:t>
      </w:r>
      <w:r w:rsidRPr="00D47E4E">
        <w:rPr>
          <w:rFonts w:ascii="Book Antiqua" w:eastAsia="Yu Mincho" w:hAnsi="Book Antiqua"/>
        </w:rPr>
        <w:t>tumors</w:t>
      </w:r>
      <w:r w:rsidRPr="00D47E4E">
        <w:rPr>
          <w:rFonts w:ascii="Book Antiqua" w:eastAsiaTheme="minorEastAsia" w:hAnsi="Book Antiqua"/>
        </w:rPr>
        <w:t xml:space="preserve"> revealed 100 somatic single nucleotide variants (SNVs) and 168 insertion/deletions (</w:t>
      </w:r>
      <w:proofErr w:type="spellStart"/>
      <w:r w:rsidRPr="00D47E4E">
        <w:rPr>
          <w:rFonts w:ascii="Book Antiqua" w:eastAsiaTheme="minorEastAsia" w:hAnsi="Book Antiqua"/>
        </w:rPr>
        <w:t>InDels</w:t>
      </w:r>
      <w:proofErr w:type="spellEnd"/>
      <w:r w:rsidRPr="00D47E4E">
        <w:rPr>
          <w:rFonts w:ascii="Book Antiqua" w:eastAsiaTheme="minorEastAsia" w:hAnsi="Book Antiqua"/>
        </w:rPr>
        <w:t>) that were common in the two tumors (Supplementary table 1).</w:t>
      </w:r>
      <w:r w:rsidRPr="00D47E4E">
        <w:rPr>
          <w:rFonts w:ascii="Book Antiqua" w:hAnsi="Book Antiqua"/>
        </w:rPr>
        <w:t xml:space="preserve"> We annotated the variants detected by WES using </w:t>
      </w:r>
      <w:proofErr w:type="spellStart"/>
      <w:r w:rsidRPr="00D47E4E">
        <w:rPr>
          <w:rFonts w:ascii="Book Antiqua" w:hAnsi="Book Antiqua"/>
        </w:rPr>
        <w:t>SnpEff</w:t>
      </w:r>
      <w:proofErr w:type="spellEnd"/>
      <w:r w:rsidRPr="00D47E4E">
        <w:rPr>
          <w:rFonts w:ascii="Book Antiqua" w:hAnsi="Book Antiqua"/>
        </w:rPr>
        <w:t xml:space="preserve"> (</w:t>
      </w:r>
      <w:hyperlink r:id="rId6" w:history="1">
        <w:r w:rsidRPr="00D47E4E">
          <w:rPr>
            <w:rStyle w:val="a5"/>
            <w:rFonts w:ascii="Book Antiqua" w:hAnsi="Book Antiqua"/>
            <w:color w:val="auto"/>
          </w:rPr>
          <w:t>http://snpeff.sourceforge.net/SnpEff.html</w:t>
        </w:r>
      </w:hyperlink>
      <w:r w:rsidRPr="00D47E4E">
        <w:rPr>
          <w:rFonts w:ascii="Book Antiqua" w:hAnsi="Book Antiqua"/>
        </w:rPr>
        <w:t>)</w:t>
      </w:r>
      <w:r w:rsidR="00A50A22" w:rsidRPr="00D47E4E">
        <w:rPr>
          <w:rFonts w:ascii="Book Antiqua" w:hAnsi="Book Antiqua"/>
          <w:vertAlign w:val="superscript"/>
          <w:lang w:val="vi-VN"/>
        </w:rPr>
        <w:t>[</w:t>
      </w:r>
      <w:r w:rsidRPr="00D47E4E">
        <w:rPr>
          <w:rFonts w:ascii="Book Antiqua" w:hAnsi="Book Antiqua"/>
          <w:vertAlign w:val="superscript"/>
        </w:rPr>
        <w:fldChar w:fldCharType="begin"/>
      </w:r>
      <w:r w:rsidRPr="00D47E4E">
        <w:rPr>
          <w:rFonts w:ascii="Book Antiqua" w:hAnsi="Book Antiqua"/>
          <w:vertAlign w:val="superscript"/>
        </w:rPr>
        <w:instrText xml:space="preserve"> ADDIN ZOTERO_ITEM CSL_CITATION {"citationID":"i0W7tcCP","properties":{"formattedCitation":"\\super 5\\nosupersub{}","plainCitation":"5","noteIndex":0},"citationItems":[{"id":1732,"uris":["http://zotero.org/users/5691970/items/3WIGEUB3"],"uri":["http://zotero.org/users/5691970/items/3WIGEUB3"],"itemData":{"id":1732,"type":"article-journal","title":"A program for annotating and predicting the effects of single nucleotide polymorphisms, SnpEff: SNPs in the genome of Drosophila melanogaster strain w1118; iso-2; iso-3","container-title":"Fly","page":"80-92","volume":"6","issue":"2","archive":"PubMed","archive_location":"22728672","abstract":"We describe a new computer program, SnpEff, for rapidly categorizing the effects of variants in genome sequences. Once a genome is sequenced, SnpEff annotates variants based on their genomic locations and predicts coding effects. Annotated genomic locations include intronic, untranslated region, upstream, downstream, splice site, or intergenic regions. Coding effects such as synonymous or non-synonymous amino acid replacement, start codon gains or losses, stop codon gains or losses, or frame shifts can be predicted. Here the use of SnpEff is illustrated by annotating ~356,660 candidate SNPs in ~117 Mb unique sequences, representing a substitution rate of ~1/305 nucleotides, between the Drosophila melanogaster w(1118); iso-2; iso-3 strain and the reference y(1); cn(1) bw(1) sp(1) strain. We show that ~15,842 SNPs are synonymous and ~4,467 SNPs are non-synonymous (N/S ~0.28). The remaining SNPs are in other categories, such as stop codon gains (38 SNPs), stop codon losses (8 SNPs), and start codon gains (297 SNPs) in the 5'UTR. We found, as expected, that the SNP frequency is proportional to the recombination frequency (i.e., highest in the middle of chromosome arms). We also found that start-gain or stop-lost SNPs in Drosophila melanogaster often result in additions of N-terminal or C-terminal amino acids that are conserved in other Drosophila species. It appears that the 5' and 3' UTRs are reservoirs for genetic variations that changes the termini of proteins during evolution of the Drosophila genus. As genome sequencing is becoming inexpensive and routine, SnpEff enables rapid analyses of whole-genome sequencing data to be performed by an individual laboratory.","DOI":"10.4161/fly.19695","ISSN":"1933-6942","journalAbbreviation":"Fly (Austin)","language":"eng","author":[{"family":"Cingolani","given":"Pablo"},{"family":"Platts","given":"Adrian"},{"family":"Wang","given":"Le Lily"},{"family":"Coon","given":"Melissa"},{"family":"Nguyen","given":"Tung"},{"family":"Wang","given":"Luan"},{"family":"Land","given":"Susan J"},{"family":"Lu","given":"Xiangyi"},{"family":"Ruden","given":"Douglas M"}],"issued":{"date-parts":[["2012"]]}}}],"schema":"https://github.com/citation-style-language/schema/raw/master/csl-citation.json"} </w:instrText>
      </w:r>
      <w:r w:rsidRPr="00D47E4E">
        <w:rPr>
          <w:rFonts w:ascii="Book Antiqua" w:hAnsi="Book Antiqua"/>
          <w:vertAlign w:val="superscript"/>
        </w:rPr>
        <w:fldChar w:fldCharType="separate"/>
      </w:r>
      <w:r w:rsidRPr="00D47E4E">
        <w:rPr>
          <w:rFonts w:ascii="Book Antiqua" w:hAnsi="Book Antiqua"/>
          <w:vertAlign w:val="superscript"/>
        </w:rPr>
        <w:t>5</w:t>
      </w:r>
      <w:r w:rsidRPr="00D47E4E">
        <w:rPr>
          <w:rFonts w:ascii="Book Antiqua" w:hAnsi="Book Antiqua"/>
          <w:vertAlign w:val="superscript"/>
        </w:rPr>
        <w:fldChar w:fldCharType="end"/>
      </w:r>
      <w:r w:rsidR="00A50A22" w:rsidRPr="00D47E4E">
        <w:rPr>
          <w:rFonts w:ascii="Book Antiqua" w:hAnsi="Book Antiqua"/>
          <w:vertAlign w:val="superscript"/>
          <w:lang w:val="vi-VN"/>
        </w:rPr>
        <w:t>]</w:t>
      </w:r>
      <w:r w:rsidRPr="00D47E4E">
        <w:rPr>
          <w:rFonts w:ascii="Book Antiqua" w:hAnsi="Book Antiqua"/>
        </w:rPr>
        <w:t>. This result confirmed lung metastasis originating from bile duct cancer. The patient currently remains in a stable condition without recurrence and continues to receive treatment with S-1.</w:t>
      </w:r>
    </w:p>
    <w:p w14:paraId="275F870F" w14:textId="16CD09EB" w:rsidR="009568A4" w:rsidRPr="00D47E4E" w:rsidRDefault="009568A4" w:rsidP="00FA5FC9">
      <w:pPr>
        <w:adjustRightInd w:val="0"/>
        <w:snapToGrid w:val="0"/>
        <w:spacing w:line="360" w:lineRule="auto"/>
        <w:jc w:val="both"/>
        <w:rPr>
          <w:rFonts w:ascii="Book Antiqua" w:hAnsi="Book Antiqua"/>
        </w:rPr>
      </w:pPr>
    </w:p>
    <w:p w14:paraId="1E6B9224" w14:textId="5FC83006" w:rsidR="006751AF" w:rsidRPr="00D47E4E" w:rsidRDefault="00F763A8"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DISCUSSION</w:t>
      </w:r>
    </w:p>
    <w:p w14:paraId="1967C366" w14:textId="7FC82BF3" w:rsidR="00EF387A" w:rsidRPr="00D47E4E" w:rsidRDefault="004A63C6" w:rsidP="00FA5FC9">
      <w:pPr>
        <w:adjustRightInd w:val="0"/>
        <w:snapToGrid w:val="0"/>
        <w:spacing w:line="360" w:lineRule="auto"/>
        <w:jc w:val="both"/>
        <w:rPr>
          <w:rFonts w:ascii="Book Antiqua" w:hAnsi="Book Antiqua"/>
          <w:lang w:val="vi-VN"/>
        </w:rPr>
      </w:pPr>
      <w:r w:rsidRPr="00D47E4E">
        <w:rPr>
          <w:rFonts w:ascii="Book Antiqua" w:hAnsi="Book Antiqua"/>
        </w:rPr>
        <w:t>Distant metastasis after an antecedent diagnosis of high</w:t>
      </w:r>
      <w:r w:rsidR="00A50A22" w:rsidRPr="00D47E4E">
        <w:rPr>
          <w:rFonts w:ascii="Book Antiqua" w:hAnsi="Book Antiqua"/>
          <w:lang w:val="vi-VN"/>
        </w:rPr>
        <w:t xml:space="preserve"> </w:t>
      </w:r>
      <w:r w:rsidRPr="00D47E4E">
        <w:rPr>
          <w:rFonts w:ascii="Book Antiqua" w:hAnsi="Book Antiqua"/>
        </w:rPr>
        <w:t xml:space="preserve">grade intraepithelial neoplasm </w:t>
      </w:r>
      <w:r w:rsidR="00EB7E37" w:rsidRPr="00D47E4E">
        <w:rPr>
          <w:rFonts w:ascii="Book Antiqua" w:hAnsi="Book Antiqua"/>
        </w:rPr>
        <w:t>is</w:t>
      </w:r>
      <w:r w:rsidRPr="00D47E4E">
        <w:rPr>
          <w:rFonts w:ascii="Book Antiqua" w:hAnsi="Book Antiqua"/>
        </w:rPr>
        <w:t xml:space="preserve"> extraordinarily illogical and </w:t>
      </w:r>
      <w:r w:rsidR="000D17D6" w:rsidRPr="00D47E4E">
        <w:rPr>
          <w:rFonts w:ascii="Book Antiqua" w:hAnsi="Book Antiqua"/>
        </w:rPr>
        <w:t>infrequent</w:t>
      </w:r>
      <w:r w:rsidR="00EB7E37" w:rsidRPr="00D47E4E">
        <w:rPr>
          <w:rFonts w:ascii="Book Antiqua" w:hAnsi="Book Antiqua"/>
        </w:rPr>
        <w:t xml:space="preserve"> IPNB is a rare tumor characterized by a lesion protruding into the biliary lumen, which might cause cholestasis. According to the degree of dysplasia and depth of invasion, IPNB is classified into four stages: (stage 1) IPNB with low-to-intermediate grade dysplasia, (stage 2) IPNB with high-grade dysplasia, (stage 3) intraductal growth-type cholangiocarcinoma, </w:t>
      </w:r>
      <w:r w:rsidR="00471CD2" w:rsidRPr="00D47E4E">
        <w:rPr>
          <w:rFonts w:ascii="Book Antiqua" w:hAnsi="Book Antiqua"/>
        </w:rPr>
        <w:t>American Joint Committee on Cancer</w:t>
      </w:r>
      <w:r w:rsidR="00EB7E37" w:rsidRPr="00D47E4E">
        <w:rPr>
          <w:rFonts w:ascii="Book Antiqua" w:hAnsi="Book Antiqua"/>
        </w:rPr>
        <w:t xml:space="preserve"> stage T1 and (stage 4) intraductal growth-type cholangiocarcinoma, </w:t>
      </w:r>
      <w:r w:rsidR="00471CD2" w:rsidRPr="00D47E4E">
        <w:rPr>
          <w:rFonts w:ascii="Book Antiqua" w:hAnsi="Book Antiqua"/>
        </w:rPr>
        <w:t>American Joint Committee on Cancer</w:t>
      </w:r>
      <w:r w:rsidR="00EB7E37" w:rsidRPr="00D47E4E">
        <w:rPr>
          <w:rFonts w:ascii="Book Antiqua" w:hAnsi="Book Antiqua"/>
        </w:rPr>
        <w:t xml:space="preserve"> stage T2 or higher</w:t>
      </w:r>
      <w:r w:rsidR="00FA5FC9" w:rsidRPr="00D47E4E">
        <w:rPr>
          <w:rFonts w:ascii="Book Antiqua" w:hAnsi="Book Antiqua"/>
          <w:vertAlign w:val="superscript"/>
        </w:rPr>
        <w:t>[</w:t>
      </w:r>
      <w:r w:rsidR="00AC6491" w:rsidRPr="00D47E4E">
        <w:rPr>
          <w:rFonts w:ascii="Book Antiqua" w:hAnsi="Book Antiqua"/>
          <w:vertAlign w:val="superscript"/>
        </w:rPr>
        <w:fldChar w:fldCharType="begin"/>
      </w:r>
      <w:r w:rsidR="00AC6491" w:rsidRPr="00D47E4E">
        <w:rPr>
          <w:rFonts w:ascii="Book Antiqua" w:hAnsi="Book Antiqua"/>
          <w:vertAlign w:val="superscript"/>
        </w:rPr>
        <w:instrText xml:space="preserve"> ADDIN ZOTERO_ITEM CSL_CITATION {"citationID":"xz5aaBf0","properties":{"formattedCitation":"\\super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AC6491" w:rsidRPr="00D47E4E">
        <w:rPr>
          <w:rFonts w:ascii="Book Antiqua" w:hAnsi="Book Antiqua"/>
          <w:vertAlign w:val="superscript"/>
        </w:rPr>
        <w:fldChar w:fldCharType="separate"/>
      </w:r>
      <w:r w:rsidR="00AC6491" w:rsidRPr="00D47E4E">
        <w:rPr>
          <w:rFonts w:ascii="Book Antiqua" w:hAnsi="Book Antiqua"/>
          <w:vertAlign w:val="superscript"/>
        </w:rPr>
        <w:t>1</w:t>
      </w:r>
      <w:r w:rsidR="00AC6491" w:rsidRPr="00D47E4E">
        <w:rPr>
          <w:rFonts w:ascii="Book Antiqua" w:hAnsi="Book Antiqua"/>
          <w:vertAlign w:val="superscript"/>
        </w:rPr>
        <w:fldChar w:fldCharType="end"/>
      </w:r>
      <w:r w:rsidR="00FA5FC9" w:rsidRPr="00D47E4E">
        <w:rPr>
          <w:rFonts w:ascii="Book Antiqua" w:hAnsi="Book Antiqua"/>
          <w:vertAlign w:val="superscript"/>
        </w:rPr>
        <w:t>]</w:t>
      </w:r>
      <w:r w:rsidR="00981B3E" w:rsidRPr="00D47E4E">
        <w:rPr>
          <w:rFonts w:ascii="Book Antiqua" w:hAnsi="Book Antiqua"/>
        </w:rPr>
        <w:t>. As without</w:t>
      </w:r>
      <w:r w:rsidR="00EB7E37" w:rsidRPr="00D47E4E">
        <w:rPr>
          <w:rFonts w:ascii="Book Antiqua" w:hAnsi="Book Antiqua"/>
        </w:rPr>
        <w:t xml:space="preserve"> an</w:t>
      </w:r>
      <w:r w:rsidR="00981B3E" w:rsidRPr="00D47E4E">
        <w:rPr>
          <w:rFonts w:ascii="Book Antiqua" w:hAnsi="Book Antiqua"/>
        </w:rPr>
        <w:t xml:space="preserve"> invasive component and evidence of metastasis, our present case was defined as </w:t>
      </w:r>
      <w:r w:rsidR="00EB7E37" w:rsidRPr="00D47E4E">
        <w:rPr>
          <w:rFonts w:ascii="Book Antiqua" w:hAnsi="Book Antiqua"/>
        </w:rPr>
        <w:t xml:space="preserve">an </w:t>
      </w:r>
      <w:r w:rsidR="00981B3E" w:rsidRPr="00D47E4E">
        <w:rPr>
          <w:rFonts w:ascii="Book Antiqua" w:hAnsi="Book Antiqua"/>
        </w:rPr>
        <w:t>early stage of IPNB</w:t>
      </w:r>
      <w:r w:rsidR="00EB7E37" w:rsidRPr="00D47E4E">
        <w:rPr>
          <w:rFonts w:ascii="Book Antiqua" w:hAnsi="Book Antiqua"/>
        </w:rPr>
        <w:t>,</w:t>
      </w:r>
      <w:r w:rsidR="00981B3E" w:rsidRPr="00D47E4E">
        <w:rPr>
          <w:rFonts w:ascii="Book Antiqua" w:hAnsi="Book Antiqua"/>
        </w:rPr>
        <w:t xml:space="preserve"> which has a good prognostic </w:t>
      </w:r>
      <w:r w:rsidR="00EB7E37" w:rsidRPr="00D47E4E">
        <w:rPr>
          <w:rFonts w:ascii="Book Antiqua" w:hAnsi="Book Antiqua"/>
        </w:rPr>
        <w:t xml:space="preserve">value </w:t>
      </w:r>
      <w:r w:rsidR="00981B3E" w:rsidRPr="00D47E4E">
        <w:rPr>
          <w:rFonts w:ascii="Book Antiqua" w:hAnsi="Book Antiqua"/>
        </w:rPr>
        <w:t>through radical resection. Regrettably, after more than two years of careful follow</w:t>
      </w:r>
      <w:r w:rsidR="00EB7E37" w:rsidRPr="00D47E4E">
        <w:rPr>
          <w:rFonts w:ascii="Book Antiqua" w:hAnsi="Book Antiqua"/>
        </w:rPr>
        <w:t>-</w:t>
      </w:r>
      <w:r w:rsidR="00981B3E" w:rsidRPr="00D47E4E">
        <w:rPr>
          <w:rFonts w:ascii="Book Antiqua" w:hAnsi="Book Antiqua"/>
        </w:rPr>
        <w:t>up, distant metastasis was revealed without primary site recurrence and</w:t>
      </w:r>
      <w:r w:rsidR="00EB7E37" w:rsidRPr="00D47E4E">
        <w:rPr>
          <w:rFonts w:ascii="Book Antiqua" w:hAnsi="Book Antiqua"/>
        </w:rPr>
        <w:t xml:space="preserve"> accompanied by an</w:t>
      </w:r>
      <w:r w:rsidR="00981B3E" w:rsidRPr="00D47E4E">
        <w:rPr>
          <w:rFonts w:ascii="Book Antiqua" w:hAnsi="Book Antiqua"/>
        </w:rPr>
        <w:t xml:space="preserve"> incomprehensible malignancy mechanism. Thus, two potential </w:t>
      </w:r>
      <w:r w:rsidR="00EB7E37" w:rsidRPr="00D47E4E">
        <w:rPr>
          <w:rFonts w:ascii="Book Antiqua" w:hAnsi="Book Antiqua"/>
        </w:rPr>
        <w:t>hypotheses</w:t>
      </w:r>
      <w:r w:rsidR="00981B3E" w:rsidRPr="00D47E4E">
        <w:rPr>
          <w:rFonts w:ascii="Book Antiqua" w:hAnsi="Book Antiqua"/>
        </w:rPr>
        <w:t xml:space="preserve"> were proposed: </w:t>
      </w:r>
      <w:r w:rsidR="00FA5FC9" w:rsidRPr="00D47E4E">
        <w:rPr>
          <w:rFonts w:ascii="Book Antiqua" w:hAnsi="Book Antiqua"/>
        </w:rPr>
        <w:t>(</w:t>
      </w:r>
      <w:r w:rsidR="00981B3E" w:rsidRPr="00D47E4E">
        <w:rPr>
          <w:rFonts w:ascii="Book Antiqua" w:hAnsi="Book Antiqua"/>
        </w:rPr>
        <w:t xml:space="preserve">1) pulmonary enteric adenocarcinoma, a very rare type </w:t>
      </w:r>
      <w:r w:rsidR="00981B3E" w:rsidRPr="00D47E4E">
        <w:rPr>
          <w:rFonts w:ascii="Book Antiqua" w:hAnsi="Book Antiqua"/>
        </w:rPr>
        <w:lastRenderedPageBreak/>
        <w:t xml:space="preserve">of primary lung cancer </w:t>
      </w:r>
      <w:r w:rsidR="00EB7E37" w:rsidRPr="00D47E4E">
        <w:rPr>
          <w:rFonts w:ascii="Book Antiqua" w:hAnsi="Book Antiqua"/>
        </w:rPr>
        <w:t>that</w:t>
      </w:r>
      <w:r w:rsidR="00981B3E" w:rsidRPr="00D47E4E">
        <w:rPr>
          <w:rFonts w:ascii="Book Antiqua" w:hAnsi="Book Antiqua"/>
        </w:rPr>
        <w:t xml:space="preserve"> shares some identical components with colorectal carcinoma and is difficult to discriminate from </w:t>
      </w:r>
      <w:r w:rsidR="008538D3" w:rsidRPr="00D47E4E">
        <w:rPr>
          <w:rFonts w:ascii="Book Antiqua" w:hAnsi="Book Antiqua"/>
        </w:rPr>
        <w:t xml:space="preserve">the </w:t>
      </w:r>
      <w:r w:rsidR="00981B3E" w:rsidRPr="00D47E4E">
        <w:rPr>
          <w:rFonts w:ascii="Book Antiqua" w:hAnsi="Book Antiqua"/>
        </w:rPr>
        <w:t>metastasis of intestinal adenocarcinoma</w:t>
      </w:r>
      <w:r w:rsidR="008538D3" w:rsidRPr="00D47E4E">
        <w:rPr>
          <w:rFonts w:ascii="Book Antiqua" w:hAnsi="Book Antiqua"/>
        </w:rPr>
        <w:t>,</w:t>
      </w:r>
      <w:r w:rsidR="00981B3E" w:rsidRPr="00D47E4E">
        <w:rPr>
          <w:rFonts w:ascii="Book Antiqua" w:hAnsi="Book Antiqua"/>
        </w:rPr>
        <w:t xml:space="preserve"> even with immunohistochemical staining</w:t>
      </w:r>
      <w:r w:rsidR="00FA5FC9" w:rsidRPr="00D47E4E">
        <w:rPr>
          <w:rFonts w:ascii="Book Antiqua" w:hAnsi="Book Antiqua"/>
        </w:rPr>
        <w:t>;</w:t>
      </w:r>
      <w:r w:rsidR="00981B3E" w:rsidRPr="00D47E4E">
        <w:rPr>
          <w:rFonts w:ascii="Book Antiqua" w:hAnsi="Book Antiqua"/>
        </w:rPr>
        <w:t xml:space="preserve"> and </w:t>
      </w:r>
      <w:r w:rsidR="00FA5FC9" w:rsidRPr="00D47E4E">
        <w:rPr>
          <w:rFonts w:ascii="Book Antiqua" w:hAnsi="Book Antiqua"/>
        </w:rPr>
        <w:t>(</w:t>
      </w:r>
      <w:r w:rsidR="00981B3E" w:rsidRPr="00D47E4E">
        <w:rPr>
          <w:rFonts w:ascii="Book Antiqua" w:hAnsi="Book Antiqua"/>
        </w:rPr>
        <w:t xml:space="preserve">2) escape of </w:t>
      </w:r>
      <w:r w:rsidR="00EB7E37" w:rsidRPr="00D47E4E">
        <w:rPr>
          <w:rFonts w:ascii="Book Antiqua" w:hAnsi="Book Antiqua"/>
        </w:rPr>
        <w:t xml:space="preserve">the </w:t>
      </w:r>
      <w:r w:rsidR="00981B3E" w:rsidRPr="00D47E4E">
        <w:rPr>
          <w:rFonts w:ascii="Book Antiqua" w:hAnsi="Book Antiqua"/>
        </w:rPr>
        <w:t xml:space="preserve">invasive components from </w:t>
      </w:r>
      <w:r w:rsidR="008538D3" w:rsidRPr="00D47E4E">
        <w:rPr>
          <w:rFonts w:ascii="Book Antiqua" w:hAnsi="Book Antiqua"/>
        </w:rPr>
        <w:t xml:space="preserve">the observation of the </w:t>
      </w:r>
      <w:r w:rsidR="00981B3E" w:rsidRPr="00D47E4E">
        <w:rPr>
          <w:rFonts w:ascii="Book Antiqua" w:hAnsi="Book Antiqua"/>
        </w:rPr>
        <w:t>pathologist</w:t>
      </w:r>
      <w:r w:rsidR="00A123B3" w:rsidRPr="00D47E4E">
        <w:rPr>
          <w:rFonts w:ascii="Book Antiqua" w:hAnsi="Book Antiqua"/>
        </w:rPr>
        <w:t xml:space="preserve"> </w:t>
      </w:r>
      <w:r w:rsidR="00981B3E" w:rsidRPr="00D47E4E">
        <w:rPr>
          <w:rFonts w:ascii="Book Antiqua" w:hAnsi="Book Antiqua"/>
        </w:rPr>
        <w:t>due to intervals between the adjacent s</w:t>
      </w:r>
      <w:r w:rsidR="00CF6D3F" w:rsidRPr="00D47E4E">
        <w:rPr>
          <w:rFonts w:ascii="Book Antiqua" w:hAnsi="Book Antiqua"/>
        </w:rPr>
        <w:t>lices</w:t>
      </w:r>
      <w:r w:rsidR="00981B3E" w:rsidRPr="00D47E4E">
        <w:rPr>
          <w:rFonts w:ascii="Book Antiqua" w:hAnsi="Book Antiqua"/>
        </w:rPr>
        <w:t xml:space="preserve">. In the second supposition, even </w:t>
      </w:r>
      <w:r w:rsidR="00EB7E37" w:rsidRPr="00D47E4E">
        <w:rPr>
          <w:rFonts w:ascii="Book Antiqua" w:hAnsi="Book Antiqua"/>
        </w:rPr>
        <w:t xml:space="preserve">if </w:t>
      </w:r>
      <w:r w:rsidR="00981B3E" w:rsidRPr="00D47E4E">
        <w:rPr>
          <w:rFonts w:ascii="Book Antiqua" w:hAnsi="Book Antiqua"/>
        </w:rPr>
        <w:t xml:space="preserve">it </w:t>
      </w:r>
      <w:r w:rsidR="00EB7E37" w:rsidRPr="00D47E4E">
        <w:rPr>
          <w:rFonts w:ascii="Book Antiqua" w:hAnsi="Book Antiqua"/>
        </w:rPr>
        <w:t>occurs</w:t>
      </w:r>
      <w:r w:rsidR="00981B3E" w:rsidRPr="00D47E4E">
        <w:rPr>
          <w:rFonts w:ascii="Book Antiqua" w:hAnsi="Book Antiqua"/>
        </w:rPr>
        <w:t xml:space="preserve">, the dimension of </w:t>
      </w:r>
      <w:r w:rsidR="00EB7E37" w:rsidRPr="00D47E4E">
        <w:rPr>
          <w:rFonts w:ascii="Book Antiqua" w:hAnsi="Book Antiqua"/>
        </w:rPr>
        <w:t xml:space="preserve">the </w:t>
      </w:r>
      <w:r w:rsidR="00981B3E" w:rsidRPr="00D47E4E">
        <w:rPr>
          <w:rFonts w:ascii="Book Antiqua" w:hAnsi="Book Antiqua"/>
        </w:rPr>
        <w:t xml:space="preserve">lesion should be restricted and smaller than the intervals between the adjacent </w:t>
      </w:r>
      <w:r w:rsidR="00CF6D3F" w:rsidRPr="00D47E4E">
        <w:rPr>
          <w:rFonts w:ascii="Book Antiqua" w:hAnsi="Book Antiqua"/>
        </w:rPr>
        <w:t>slices</w:t>
      </w:r>
      <w:r w:rsidR="00981B3E" w:rsidRPr="00D47E4E">
        <w:rPr>
          <w:rFonts w:ascii="Book Antiqua" w:hAnsi="Book Antiqua"/>
        </w:rPr>
        <w:t xml:space="preserve"> (usually 3-4 mm).</w:t>
      </w:r>
      <w:r w:rsidR="000E43E1" w:rsidRPr="00D47E4E">
        <w:rPr>
          <w:rFonts w:ascii="Book Antiqua" w:hAnsi="Book Antiqua"/>
        </w:rPr>
        <w:t xml:space="preserve"> </w:t>
      </w:r>
      <w:r w:rsidR="009D59B5" w:rsidRPr="00D47E4E">
        <w:rPr>
          <w:rFonts w:ascii="Book Antiqua" w:hAnsi="Book Antiqua"/>
          <w:lang w:val="vi-VN"/>
        </w:rPr>
        <w:t>Another situation that could have happened is</w:t>
      </w:r>
      <w:r w:rsidR="00FA5FC9" w:rsidRPr="00D47E4E">
        <w:rPr>
          <w:rFonts w:ascii="Book Antiqua" w:hAnsi="Book Antiqua"/>
          <w:lang w:val="vi-VN"/>
        </w:rPr>
        <w:t xml:space="preserve"> </w:t>
      </w:r>
      <w:r w:rsidR="009D59B5" w:rsidRPr="00D47E4E">
        <w:rPr>
          <w:rFonts w:ascii="Book Antiqua" w:hAnsi="Book Antiqua"/>
        </w:rPr>
        <w:t>that</w:t>
      </w:r>
      <w:r w:rsidR="00FA5FC9" w:rsidRPr="00D47E4E">
        <w:rPr>
          <w:rFonts w:ascii="Book Antiqua" w:hAnsi="Book Antiqua"/>
        </w:rPr>
        <w:t xml:space="preserve"> </w:t>
      </w:r>
      <w:r w:rsidR="009D59B5" w:rsidRPr="00D47E4E">
        <w:rPr>
          <w:rFonts w:ascii="Book Antiqua" w:hAnsi="Book Antiqua"/>
          <w:lang w:val="vi-VN"/>
        </w:rPr>
        <w:t>a skip lesion</w:t>
      </w:r>
      <w:r w:rsidR="00FA5FC9" w:rsidRPr="00D47E4E">
        <w:rPr>
          <w:rFonts w:ascii="Book Antiqua" w:hAnsi="Book Antiqua"/>
          <w:lang w:val="vi-VN"/>
        </w:rPr>
        <w:t xml:space="preserve"> </w:t>
      </w:r>
      <w:r w:rsidR="009D59B5" w:rsidRPr="00D47E4E">
        <w:rPr>
          <w:rFonts w:ascii="Book Antiqua" w:hAnsi="Book Antiqua"/>
        </w:rPr>
        <w:t>escaping</w:t>
      </w:r>
      <w:r w:rsidR="00FA5FC9" w:rsidRPr="00D47E4E">
        <w:rPr>
          <w:rFonts w:ascii="Book Antiqua" w:hAnsi="Book Antiqua"/>
          <w:lang w:val="vi-VN"/>
        </w:rPr>
        <w:t xml:space="preserve"> </w:t>
      </w:r>
      <w:r w:rsidR="009D59B5" w:rsidRPr="00D47E4E">
        <w:rPr>
          <w:rFonts w:ascii="Book Antiqua" w:hAnsi="Book Antiqua"/>
          <w:lang w:val="vi-VN"/>
        </w:rPr>
        <w:t>from</w:t>
      </w:r>
      <w:r w:rsidR="00FA5FC9" w:rsidRPr="00D47E4E">
        <w:rPr>
          <w:rFonts w:ascii="Book Antiqua" w:hAnsi="Book Antiqua"/>
          <w:lang w:val="vi-VN"/>
        </w:rPr>
        <w:t xml:space="preserve"> </w:t>
      </w:r>
      <w:r w:rsidR="009D59B5" w:rsidRPr="00D47E4E">
        <w:rPr>
          <w:rFonts w:ascii="Book Antiqua" w:hAnsi="Book Antiqua"/>
        </w:rPr>
        <w:t>our observation</w:t>
      </w:r>
      <w:r w:rsidR="00FA5FC9" w:rsidRPr="00D47E4E">
        <w:rPr>
          <w:rFonts w:ascii="Book Antiqua" w:hAnsi="Book Antiqua"/>
        </w:rPr>
        <w:t xml:space="preserve"> </w:t>
      </w:r>
      <w:r w:rsidR="009D59B5" w:rsidRPr="00D47E4E">
        <w:rPr>
          <w:rFonts w:ascii="Book Antiqua" w:hAnsi="Book Antiqua"/>
          <w:lang w:val="vi-VN"/>
        </w:rPr>
        <w:t>metastasized to the lungs and brain.</w:t>
      </w:r>
      <w:r w:rsidR="00FA5FC9" w:rsidRPr="00D47E4E">
        <w:rPr>
          <w:rFonts w:ascii="Book Antiqua" w:hAnsi="Book Antiqua"/>
          <w:lang w:val="vi-VN"/>
        </w:rPr>
        <w:t xml:space="preserve"> </w:t>
      </w:r>
      <w:r w:rsidR="009D59B5" w:rsidRPr="00D47E4E">
        <w:rPr>
          <w:rFonts w:ascii="Book Antiqua" w:hAnsi="Book Antiqua"/>
        </w:rPr>
        <w:t>However, this scenario also appears unlikely as</w:t>
      </w:r>
      <w:r w:rsidR="00FA5FC9" w:rsidRPr="00D47E4E">
        <w:rPr>
          <w:rFonts w:ascii="Book Antiqua" w:hAnsi="Book Antiqua"/>
        </w:rPr>
        <w:t xml:space="preserve"> </w:t>
      </w:r>
      <w:r w:rsidR="009D59B5" w:rsidRPr="00D47E4E">
        <w:rPr>
          <w:rFonts w:ascii="Book Antiqua" w:hAnsi="Book Antiqua"/>
          <w:lang w:val="vi-VN"/>
        </w:rPr>
        <w:t>the skip lesion</w:t>
      </w:r>
      <w:r w:rsidR="00FA5FC9" w:rsidRPr="00D47E4E">
        <w:rPr>
          <w:rFonts w:ascii="Book Antiqua" w:hAnsi="Book Antiqua"/>
          <w:lang w:val="vi-VN"/>
        </w:rPr>
        <w:t xml:space="preserve"> </w:t>
      </w:r>
      <w:r w:rsidR="009D59B5" w:rsidRPr="00D47E4E">
        <w:rPr>
          <w:rFonts w:ascii="Book Antiqua" w:hAnsi="Book Antiqua"/>
        </w:rPr>
        <w:t>should</w:t>
      </w:r>
      <w:r w:rsidR="00FA5FC9" w:rsidRPr="00D47E4E">
        <w:rPr>
          <w:rFonts w:ascii="Book Antiqua" w:hAnsi="Book Antiqua"/>
          <w:lang w:val="vi-VN"/>
        </w:rPr>
        <w:t xml:space="preserve"> </w:t>
      </w:r>
      <w:r w:rsidR="009D59B5" w:rsidRPr="00D47E4E">
        <w:rPr>
          <w:rFonts w:ascii="Book Antiqua" w:hAnsi="Book Antiqua"/>
          <w:lang w:val="vi-VN"/>
        </w:rPr>
        <w:t>have</w:t>
      </w:r>
      <w:r w:rsidR="00FA5FC9" w:rsidRPr="00D47E4E">
        <w:rPr>
          <w:rFonts w:ascii="Book Antiqua" w:hAnsi="Book Antiqua"/>
          <w:lang w:val="vi-VN"/>
        </w:rPr>
        <w:t xml:space="preserve"> </w:t>
      </w:r>
      <w:r w:rsidR="009D59B5" w:rsidRPr="00D47E4E">
        <w:rPr>
          <w:rFonts w:ascii="Book Antiqua" w:hAnsi="Book Antiqua"/>
        </w:rPr>
        <w:t>developed</w:t>
      </w:r>
      <w:r w:rsidR="00FA5FC9" w:rsidRPr="00D47E4E">
        <w:rPr>
          <w:rFonts w:ascii="Book Antiqua" w:hAnsi="Book Antiqua"/>
        </w:rPr>
        <w:t xml:space="preserve"> </w:t>
      </w:r>
      <w:r w:rsidR="009D59B5" w:rsidRPr="00D47E4E">
        <w:rPr>
          <w:rFonts w:ascii="Book Antiqua" w:hAnsi="Book Antiqua"/>
          <w:lang w:val="vi-VN"/>
        </w:rPr>
        <w:t>unobstrusively in small dimension</w:t>
      </w:r>
      <w:r w:rsidR="00FA5FC9" w:rsidRPr="00D47E4E">
        <w:rPr>
          <w:rFonts w:ascii="Book Antiqua" w:hAnsi="Book Antiqua"/>
          <w:lang w:val="vi-VN"/>
        </w:rPr>
        <w:t xml:space="preserve"> </w:t>
      </w:r>
      <w:r w:rsidR="009D59B5" w:rsidRPr="00D47E4E">
        <w:rPr>
          <w:rFonts w:ascii="Book Antiqua" w:hAnsi="Book Antiqua"/>
        </w:rPr>
        <w:t>enough to escape</w:t>
      </w:r>
      <w:r w:rsidR="00FA5FC9" w:rsidRPr="00D47E4E">
        <w:rPr>
          <w:rFonts w:ascii="Book Antiqua" w:hAnsi="Book Antiqua"/>
          <w:lang w:val="vi-VN"/>
        </w:rPr>
        <w:t xml:space="preserve"> </w:t>
      </w:r>
      <w:r w:rsidR="009D59B5" w:rsidRPr="00D47E4E">
        <w:rPr>
          <w:rFonts w:ascii="Book Antiqua" w:hAnsi="Book Antiqua"/>
          <w:lang w:val="vi-VN"/>
        </w:rPr>
        <w:t>from</w:t>
      </w:r>
      <w:r w:rsidR="00FA5FC9" w:rsidRPr="00D47E4E">
        <w:rPr>
          <w:rFonts w:ascii="Book Antiqua" w:hAnsi="Book Antiqua"/>
          <w:lang w:val="vi-VN"/>
        </w:rPr>
        <w:t xml:space="preserve"> </w:t>
      </w:r>
      <w:r w:rsidR="009D59B5" w:rsidRPr="00D47E4E">
        <w:rPr>
          <w:rFonts w:ascii="Book Antiqua" w:hAnsi="Book Antiqua"/>
        </w:rPr>
        <w:t>our observation and should have rarely metastasized</w:t>
      </w:r>
      <w:r w:rsidR="009D59B5" w:rsidRPr="00D47E4E">
        <w:rPr>
          <w:rFonts w:ascii="Book Antiqua" w:hAnsi="Book Antiqua"/>
          <w:lang w:val="vi-VN"/>
        </w:rPr>
        <w:t>.</w:t>
      </w:r>
    </w:p>
    <w:p w14:paraId="5DC63943" w14:textId="27CB1990" w:rsidR="006751AF" w:rsidRPr="00D47E4E" w:rsidRDefault="008538D3"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t xml:space="preserve">This study </w:t>
      </w:r>
      <w:r w:rsidR="00EB7E37" w:rsidRPr="00D47E4E">
        <w:rPr>
          <w:rFonts w:ascii="Book Antiqua" w:hAnsi="Book Antiqua"/>
        </w:rPr>
        <w:t xml:space="preserve">is </w:t>
      </w:r>
      <w:r w:rsidRPr="00D47E4E">
        <w:rPr>
          <w:rFonts w:ascii="Book Antiqua" w:hAnsi="Book Antiqua"/>
        </w:rPr>
        <w:t xml:space="preserve">a </w:t>
      </w:r>
      <w:r w:rsidR="00EB7E37" w:rsidRPr="00D47E4E">
        <w:rPr>
          <w:rFonts w:ascii="Book Antiqua" w:hAnsi="Book Antiqua"/>
        </w:rPr>
        <w:t xml:space="preserve">very rare report of IPNB </w:t>
      </w:r>
      <w:r w:rsidRPr="00D47E4E">
        <w:rPr>
          <w:rFonts w:ascii="Book Antiqua" w:hAnsi="Book Antiqua"/>
        </w:rPr>
        <w:t>with</w:t>
      </w:r>
      <w:r w:rsidR="009D59B5" w:rsidRPr="00D47E4E">
        <w:rPr>
          <w:rFonts w:ascii="Book Antiqua" w:hAnsi="Book Antiqua"/>
        </w:rPr>
        <w:t>out</w:t>
      </w:r>
      <w:r w:rsidRPr="00D47E4E">
        <w:rPr>
          <w:rFonts w:ascii="Book Antiqua" w:hAnsi="Book Antiqua"/>
        </w:rPr>
        <w:t xml:space="preserve"> </w:t>
      </w:r>
      <w:r w:rsidR="00EB7E37" w:rsidRPr="00D47E4E">
        <w:rPr>
          <w:rFonts w:ascii="Book Antiqua" w:hAnsi="Book Antiqua"/>
        </w:rPr>
        <w:t xml:space="preserve">locoregional lymph node metastasis </w:t>
      </w:r>
      <w:r w:rsidRPr="00D47E4E">
        <w:rPr>
          <w:rFonts w:ascii="Book Antiqua" w:hAnsi="Book Antiqua"/>
        </w:rPr>
        <w:t>and</w:t>
      </w:r>
      <w:r w:rsidR="00EB7E37" w:rsidRPr="00D47E4E">
        <w:rPr>
          <w:rFonts w:ascii="Book Antiqua" w:hAnsi="Book Antiqua"/>
        </w:rPr>
        <w:t xml:space="preserve"> extension to distant organs. In retrieving the current literature, a unique case report by Yoshida </w:t>
      </w:r>
      <w:r w:rsidR="00111120" w:rsidRPr="00D47E4E">
        <w:rPr>
          <w:rFonts w:ascii="Book Antiqua" w:hAnsi="Book Antiqua"/>
          <w:i/>
          <w:iCs/>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{"citationID":"a49C0dfT","properties":{"formattedCitation":"\\super 6\\nosupersub{}","plainCitation":"6","noteIndex":0},"citationItems":[{"id":1691,"uris":["http://zotero.org/users/5691970/items/UQR432VS"],"uri":["http://zotero.org/users/5691970/items/UQR432VS"],"itemData":{"id":1691,"type":"article-journal","title":"Advanced Intraductal Papillary Neoplasm of Bile Duct (IPNB) in a young female with metastases to lymph nodes and ovary","journalAbbreviation":"Tando. 2012;26(2):231-6.","author":[{"family":"Yoshida Y","given":""},{"family":"Ajiki T","given":""},{"family":"Ueno K","given":""},{"family":"Ohtsubo I","given":""},{"family":"Murakami S","given":""},{"family":"Shinozaki K","given":""}]}}],"schema":"https://github.com/citation-style-language/schema/raw/master/csl-citation.json"}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6</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00EB7E37" w:rsidRPr="00D47E4E">
        <w:rPr>
          <w:rFonts w:ascii="Book Antiqua" w:hAnsi="Book Antiqua"/>
        </w:rPr>
        <w:t xml:space="preserve"> delineated an advanced stage of IPNB with metastases to the ovary and lymph nodes</w:t>
      </w:r>
      <w:r w:rsidR="004572E9" w:rsidRPr="00D47E4E">
        <w:rPr>
          <w:rFonts w:ascii="Book Antiqua" w:hAnsi="Book Antiqua"/>
        </w:rPr>
        <w:t xml:space="preserve">. Basically, IPNB was considered less malignant </w:t>
      </w:r>
      <w:r w:rsidR="00EB7E37" w:rsidRPr="00D47E4E">
        <w:rPr>
          <w:rFonts w:ascii="Book Antiqua" w:hAnsi="Book Antiqua"/>
        </w:rPr>
        <w:t xml:space="preserve">than </w:t>
      </w:r>
      <w:r w:rsidR="004572E9" w:rsidRPr="00D47E4E">
        <w:rPr>
          <w:rFonts w:ascii="Book Antiqua" w:hAnsi="Book Antiqua"/>
        </w:rPr>
        <w:t>conventional bile duct cholangiocarcinoma</w:t>
      </w:r>
      <w:r w:rsidR="00FA5FC9" w:rsidRPr="00D47E4E">
        <w:rPr>
          <w:rFonts w:ascii="Book Antiqua" w:hAnsi="Book Antiqua"/>
          <w:vertAlign w:val="superscript"/>
        </w:rPr>
        <w:t>[</w:t>
      </w:r>
      <w:r w:rsidR="00FA5FC9" w:rsidRPr="00D47E4E">
        <w:rPr>
          <w:rFonts w:ascii="Book Antiqua" w:hAnsi="Book Antiqua"/>
          <w:vertAlign w:val="superscript"/>
        </w:rPr>
        <w:fldChar w:fldCharType="begin"/>
      </w:r>
      <w:r w:rsidR="00FA5FC9" w:rsidRPr="00D47E4E">
        <w:rPr>
          <w:rFonts w:ascii="Book Antiqua" w:hAnsi="Book Antiqua"/>
          <w:vertAlign w:val="superscript"/>
        </w:rPr>
        <w:instrText xml:space="preserve"> ADDIN ZOTERO_ITEM CSL_CITATION {"citationID":"xlxvchld","properties":{"formattedCitation":"\\super 1\\nosupersub{}","plainCitation":"1","noteIndex":0},"citationItems":[{"id":1685,"uris":["http://zotero.org/users/5691970/items/UGC2CSCU"],"uri":["http://zotero.org/users/5691970/items/UGC2CSCU"],"itemData":{"id":1685,"type":"article-journal","title":"Intraductal papillary neoplasm of the bile duct","container-title":"World journal of gastroenterology","page":"8595-8604","volume":"19","issue":"46","archive":"PubMed","archive_location":"24379576","abstract":"Intraductal papillary neoplasm of the bile duct (IPNB) is a variant of bile duct carcinoma that is characterized by intraductal growth and better outcomes compared with common cholangiocarcinoma. IPNBs are mainly found in patients from Far Eastern areas, where hepatolithiasis and clonorchiasis are endemic. According to the immunohistochemical profiles of the mucin core proteins, IPNBs are classified into four types: pancreaticobiliary, intestinal, gastric, and oncocytic. Approximately 40%-80% of IPNBs contain a component of invasive carcinoma or tubular or mucinous adenocarcinoma, suggesting that IPNB is a disease with high potential for malignancy. It is difficult to make an accurate preoperative diagnosis because of IPNB's low incidence and the lack of specificity in its clinical manifestation. The most common abnormal preoperative imaging findings of IPNB are intraductal masses and the involvement of bile duct dilation. Simultaneous proximal and distal bile duct dilation can be detected in some cases, which has diagnostic significance. Cholangiography and cholangioscopy are needed to confirm the pathology and demonstrate the extent of the lesions. However, pathologic diagnosis by biopsy cannot reflect the actual stage in many cases because different foci may be of different stages and because mixed pathologic findings may exist in the same lesion. Surgical resection is the major treatment. Systematic cholangioscopy with staged biopsies and frozen sections is recommended during resection to ensure that no minor tumors are left and that curative resection is achieved. Staging, histologic subtype, curative resection and lymph node metastasis are factors affecting long-term survival.","DOI":"10.3748/wjg.v19.i46.8595","ISSN":"2219-2840","journalAbbreviation":"World J Gastroenterol","language":"eng","author":[{"family":"Wan","given":"Xue-Shuai"},{"family":"Xu","given":"Yi-Yao"},{"family":"Qian","given":"Jun-Yan"},{"family":"Yang","given":"Xiao-Bo"},{"family":"Wang","given":"An-Qiang"},{"family":"He","given":"Lian"},{"family":"Zhao","given":"Hai-Tao"},{"family":"Sang","given":"Xin-Ting"}],"issued":{"date-parts":[["2013",12,14]]}}}],"schema":"https://github.com/citation-style-language/schema/raw/master/csl-citation.json"} </w:instrText>
      </w:r>
      <w:r w:rsidR="00FA5FC9" w:rsidRPr="00D47E4E">
        <w:rPr>
          <w:rFonts w:ascii="Book Antiqua" w:hAnsi="Book Antiqua"/>
          <w:vertAlign w:val="superscript"/>
        </w:rPr>
        <w:fldChar w:fldCharType="separate"/>
      </w:r>
      <w:r w:rsidR="00FA5FC9" w:rsidRPr="00D47E4E">
        <w:rPr>
          <w:rFonts w:ascii="Book Antiqua" w:hAnsi="Book Antiqua"/>
          <w:vertAlign w:val="superscript"/>
        </w:rPr>
        <w:t>1</w:t>
      </w:r>
      <w:r w:rsidR="00FA5FC9" w:rsidRPr="00D47E4E">
        <w:rPr>
          <w:rFonts w:ascii="Book Antiqua" w:hAnsi="Book Antiqua"/>
          <w:vertAlign w:val="superscript"/>
        </w:rPr>
        <w:fldChar w:fldCharType="end"/>
      </w:r>
      <w:r w:rsidR="00FA5FC9" w:rsidRPr="00D47E4E">
        <w:rPr>
          <w:rFonts w:ascii="Book Antiqua" w:hAnsi="Book Antiqua"/>
          <w:vertAlign w:val="superscript"/>
        </w:rPr>
        <w:t>]</w:t>
      </w:r>
      <w:r w:rsidR="00EB7E37" w:rsidRPr="00D47E4E">
        <w:rPr>
          <w:rFonts w:ascii="Book Antiqua" w:hAnsi="Book Antiqua"/>
        </w:rPr>
        <w:t>. Far fewer lymph node metastases were identified in patients with IPNB than in those with cholangiocarcinoma</w:t>
      </w:r>
      <w:r w:rsidR="00A50A22" w:rsidRPr="00D47E4E">
        <w:rPr>
          <w:rFonts w:ascii="Book Antiqua" w:hAnsi="Book Antiqua"/>
          <w:vertAlign w:val="superscript"/>
          <w:lang w:val="vi-VN"/>
        </w:rPr>
        <w:t>[</w:t>
      </w:r>
      <w:r w:rsidR="00D977A2" w:rsidRPr="00D47E4E">
        <w:rPr>
          <w:rFonts w:ascii="Book Antiqua" w:hAnsi="Book Antiqua"/>
          <w:vertAlign w:val="superscript"/>
        </w:rPr>
        <w:fldChar w:fldCharType="begin"/>
      </w:r>
      <w:r w:rsidR="00F02B60" w:rsidRPr="00D47E4E">
        <w:rPr>
          <w:rFonts w:ascii="Book Antiqua" w:hAnsi="Book Antiqua"/>
          <w:vertAlign w:val="superscript"/>
        </w:rPr>
        <w:instrText xml:space="preserve"> ADDIN ZOTERO_ITEM CSL_CITATION {"citationID":"McU9P1mk","properties":{"formattedCitation":"\\super 7\\nosupersub{}","plainCitation":"7","noteIndex":0},"citationItems":[{"id":1692,"uris":["http://zotero.org/users/5691970/items/983MQ452"],"uri":["http://zotero.org/users/5691970/items/983MQ452"],"itemData":{"id":1692,"type":"article-journal","title":"Cholangiographic spectrum of intraductal papillary mucinous neoplasm of the bile ducts","container-title":"Annals of surgery","page":"248-253","volume":"244","issue":"2","archive":"PubMed","archive_location":"16858187","abstract":"OBJECTIVE: To propose a cholangiographic classification for intraductal growth type intrahepatic cholangiocarcinoma (IG-ICC) and its precursor, collectively termed intraductal papillary mucinous neoplasm of the bile ducts (IPMN-B). SUMMARY BACKGROUND DATA: For the extensive clinicopathologic variations of IPMN-B, a detailed characterization of cholangiography for IPMN-B is beneficial for determining the optimal therapeutic strategy. METHODS: A total of 124 patients with cholangiography-available and pathologically proven IPMN-B were retrospectively studied. Numbers of IPMN-B type 1, type 2, type 3, and type 4 were 33, 17, 15, and 59, respectively. A cholangiographic classification was proposed based on the presence of hepatolithiasis, mucobilia, neoplasia localization, and concomitant malignancies. The demographics, histologic grading, management, and survival were also analyzed. RESULTS: All 33 IPMN-B type 1 and 12 of 17 IPMN-B type 2 displayed cholangiographic pattern IA demonstrating hepatolithiasis-related biliary stricture. The remaining 5 IPMN-B type 2 displayed cholangiographic pattern IB or IC, which demonstrated mucobilia without discernible neoplasia. Seven of 15 IPMN-B type 3 and 52 of the 59 IPMN-B type 4 displayed cholangiographic pattern IIA or IIB, which demonstrated overt intraductal neoplasia. Seven IPMN-B type 3 or 4 displayed cholangiographic pattern IIIA or IIIB, which demonstrated IPMN-B and concomitant malignancies. For those presenting with cholangiographic pattern IA, IC, IIA, IIB, and IIIA, straightforward hepatectomies for the diseased lobes were performed. For those with pattern IB, surgical resections were performed only when there was emergence of mucin-producing neoplasia. For those with IIIB, the concomitant malignancies were considered inoperable. No disease-related death occurred in IPMN-B type 1and 2. The mean survival rates of IPMN-B type 3 and type 4 were 55.5 +/- 17.1 months and 36.9 +/- 6.3 months, respectively. CONCLUSION: The presented cholangiographic classification facilitates the management for IPMN-B. Significant survival discrepancy at the various stages warrants a more aggressive surgical strategy.","DOI":"10.1097/01.sla.0000217636.40050.54","ISSN":"0003-4932","journalAbbreviation":"Ann Surg","language":"eng","author":[{"family":"Yeh","given":"Ta-Sen"},{"family":"Tseng","given":"Jeng-Hwei"},{"family":"Chiu","given":"Cheng-Tang"},{"family":"Liu","given":"Nai-Jen"},{"family":"Chen","given":"Tse-Ching"},{"family":"Jan","given":"Yi-Yin"},{"family":"Chen","given":"Miin-Fu"}],"issued":{"date-parts":[["2006",8]]}}}],"schema":"https://github.com/citation-style-language/schema/raw/master/csl-citation.json"} </w:instrText>
      </w:r>
      <w:r w:rsidR="00D977A2" w:rsidRPr="00D47E4E">
        <w:rPr>
          <w:rFonts w:ascii="Book Antiqua" w:hAnsi="Book Antiqua"/>
          <w:vertAlign w:val="superscript"/>
        </w:rPr>
        <w:fldChar w:fldCharType="separate"/>
      </w:r>
      <w:r w:rsidR="00F02B60" w:rsidRPr="00D47E4E">
        <w:rPr>
          <w:rFonts w:ascii="Book Antiqua" w:hAnsi="Book Antiqua"/>
          <w:vertAlign w:val="superscript"/>
        </w:rPr>
        <w:t>7</w:t>
      </w:r>
      <w:r w:rsidR="00D977A2" w:rsidRPr="00D47E4E">
        <w:rPr>
          <w:rFonts w:ascii="Book Antiqua" w:hAnsi="Book Antiqua"/>
          <w:vertAlign w:val="superscript"/>
        </w:rPr>
        <w:fldChar w:fldCharType="end"/>
      </w:r>
      <w:r w:rsidR="00A50A22" w:rsidRPr="00D47E4E">
        <w:rPr>
          <w:rFonts w:ascii="Book Antiqua" w:hAnsi="Book Antiqua"/>
          <w:vertAlign w:val="superscript"/>
          <w:lang w:val="vi-VN"/>
        </w:rPr>
        <w:t>]</w:t>
      </w:r>
      <w:r w:rsidR="00EB7E37" w:rsidRPr="00D47E4E">
        <w:rPr>
          <w:rFonts w:ascii="Book Antiqua" w:hAnsi="Book Antiqua"/>
        </w:rPr>
        <w:t xml:space="preserve">. Strikingly, a single center retrospective study </w:t>
      </w:r>
      <w:r w:rsidR="00695097" w:rsidRPr="00D47E4E">
        <w:rPr>
          <w:rFonts w:ascii="Book Antiqua" w:hAnsi="Book Antiqua"/>
        </w:rPr>
        <w:t xml:space="preserve">over </w:t>
      </w:r>
      <w:r w:rsidR="00EB7E37" w:rsidRPr="00D47E4E">
        <w:rPr>
          <w:rFonts w:ascii="Book Antiqua" w:hAnsi="Book Antiqua"/>
        </w:rPr>
        <w:t xml:space="preserve">16 years </w:t>
      </w:r>
      <w:r w:rsidR="00695097" w:rsidRPr="00D47E4E">
        <w:rPr>
          <w:rFonts w:ascii="Book Antiqua" w:hAnsi="Book Antiqua"/>
        </w:rPr>
        <w:t xml:space="preserve">by </w:t>
      </w:r>
      <w:r w:rsidR="00EB7E37" w:rsidRPr="00D47E4E">
        <w:rPr>
          <w:rFonts w:ascii="Book Antiqua" w:hAnsi="Book Antiqua"/>
        </w:rPr>
        <w:t xml:space="preserve">Wu </w:t>
      </w:r>
      <w:r w:rsidR="00EB7E37" w:rsidRPr="00D47E4E">
        <w:rPr>
          <w:rFonts w:ascii="Book Antiqua" w:hAnsi="Book Antiqua"/>
          <w:i/>
          <w:iCs/>
        </w:rPr>
        <w:t>et al</w:t>
      </w:r>
      <w:r w:rsidR="00FA5FC9" w:rsidRPr="00D47E4E">
        <w:rPr>
          <w:rFonts w:ascii="Book Antiqua" w:hAnsi="Book Antiqua"/>
          <w:vertAlign w:val="superscript"/>
          <w:lang w:val="vi-VN"/>
        </w:rPr>
        <w:t>[</w:t>
      </w:r>
      <w:r w:rsidR="00FA5FC9" w:rsidRPr="00D47E4E">
        <w:rPr>
          <w:rFonts w:ascii="Book Antiqua" w:hAnsi="Book Antiqua"/>
          <w:vertAlign w:val="superscript"/>
        </w:rPr>
        <w:fldChar w:fldCharType="begin"/>
      </w:r>
      <w:r w:rsidR="00FA5FC9" w:rsidRPr="00D47E4E">
        <w:rPr>
          <w:rFonts w:ascii="Book Antiqua" w:hAnsi="Book Antiqua"/>
          <w:vertAlign w:val="superscript"/>
        </w:rPr>
        <w:instrText xml:space="preserve"> ADDIN ZOTERO_ITEM CSL_CITATION {"citationID":"JbCUKo22","properties":{"formattedCitation":"\\super 8\\nosupersub{}","plainCitation":"8","noteIndex":0},"citationItems":[{"id":1694,"uris":["http://zotero.org/users/5691970/items/67Z22NPI"],"uri":["http://zotero.org/users/5691970/items/67Z22NPI"],"itemData":{"id":1694,"type":"article-journal","title":"Intraductal papillary neoplasm of the bile duct: a single-center retrospective study","container-title":"Journal of International Medical Research","page":"4258-4268","volume":"46","issue":"10","abstract":"ObjectiveIntraductal papillary neoplasm of the bile duct (IPNB) has been increasingly recognized and reported. However, its clinical features are still controversial because of its low incidence. In the present study, we investigated the characteristics of IPNB.MethodsIn total, 28 patients with IPNB were treated at our institution from January 2000 to December 2016. Clinical data were collected and a retrospective accurate database was constructed. Demographic characteristics, perioperative management, and prognosis were retrospectively analyzed.ResultsAbdominal discomfort was the most common symptom. Preoperative imaging revealed biliary tract dilatation in 23 patients. Left lateral or left hepatic lobectomy was the most frequently performed surgical procedure. Histological analysis revealed malignancy in 17 patients. Eighty-eight lymph nodes were swept from the patients with malignant disease, but only three were metastatic. Twenty-one patients were followed up for 3 to 60 months (mean, 29.4?±?18.2 months). Seven patients died during the follow-up period. Patients with benign tumors had significantly greater disease-free survival.ConclusionsIPNB is a rare biliary disease that occurs mainly in patients of advanced age. The most common symptom is abdominal discomfort. Lymphatic metastasis is uncommon. Patients with benign tumors may have a better prognosis than those with malignant tumors.","DOI":"10.1177/0300060518792800","ISSN":"0300-0605","journalAbbreviation":"J Int Med Res","author":[{"family":"Wu","given":"Xin"},{"family":"Li","given":"Binglu"},{"family":"Zheng","given":"Chaoji"},{"family":"Chang","given":"Xiaoyan"},{"family":"Zhang","given":"Taiping"},{"family":"He","given":"Xiaodong"},{"family":"Zhao","given":"Yupei"}],"issued":{"date-parts":[["2018",8,15]]}}}],"schema":"https://github.com/citation-style-language/schema/raw/master/csl-citation.json"} </w:instrText>
      </w:r>
      <w:r w:rsidR="00FA5FC9" w:rsidRPr="00D47E4E">
        <w:rPr>
          <w:rFonts w:ascii="Book Antiqua" w:hAnsi="Book Antiqua"/>
          <w:vertAlign w:val="superscript"/>
        </w:rPr>
        <w:fldChar w:fldCharType="separate"/>
      </w:r>
      <w:r w:rsidR="00FA5FC9" w:rsidRPr="00D47E4E">
        <w:rPr>
          <w:rFonts w:ascii="Book Antiqua" w:hAnsi="Book Antiqua"/>
          <w:vertAlign w:val="superscript"/>
        </w:rPr>
        <w:t>8</w:t>
      </w:r>
      <w:r w:rsidR="00FA5FC9" w:rsidRPr="00D47E4E">
        <w:rPr>
          <w:rFonts w:ascii="Book Antiqua" w:hAnsi="Book Antiqua"/>
          <w:vertAlign w:val="superscript"/>
        </w:rPr>
        <w:fldChar w:fldCharType="end"/>
      </w:r>
      <w:r w:rsidR="00FA5FC9" w:rsidRPr="00D47E4E">
        <w:rPr>
          <w:rFonts w:ascii="Book Antiqua" w:hAnsi="Book Antiqua"/>
          <w:vertAlign w:val="superscript"/>
          <w:lang w:val="vi-VN"/>
        </w:rPr>
        <w:t>]</w:t>
      </w:r>
      <w:r w:rsidR="00EB7E37" w:rsidRPr="00D47E4E">
        <w:rPr>
          <w:rFonts w:ascii="Book Antiqua" w:hAnsi="Book Antiqua"/>
        </w:rPr>
        <w:t xml:space="preserve"> revealed only three metastatic lymph nodes in one patient among 88 harvested lymph nodes in a series of 28 patients with IPNB. Fundamentally, the detention of neoplastic cells by </w:t>
      </w:r>
      <w:r w:rsidR="00695097" w:rsidRPr="00D47E4E">
        <w:rPr>
          <w:rFonts w:ascii="Book Antiqua" w:hAnsi="Book Antiqua"/>
        </w:rPr>
        <w:t xml:space="preserve">the </w:t>
      </w:r>
      <w:r w:rsidR="00EB7E37" w:rsidRPr="00D47E4E">
        <w:rPr>
          <w:rFonts w:ascii="Book Antiqua" w:hAnsi="Book Antiqua"/>
        </w:rPr>
        <w:t xml:space="preserve">entire basal lamina layer prevents the risk of metastasis. Despite </w:t>
      </w:r>
      <w:r w:rsidR="00695097" w:rsidRPr="00D47E4E">
        <w:rPr>
          <w:rFonts w:ascii="Book Antiqua" w:hAnsi="Book Antiqua"/>
        </w:rPr>
        <w:t>a</w:t>
      </w:r>
      <w:r w:rsidR="00EB7E37" w:rsidRPr="00D47E4E">
        <w:rPr>
          <w:rFonts w:ascii="Book Antiqua" w:hAnsi="Book Antiqua"/>
        </w:rPr>
        <w:t xml:space="preserve"> favorable prognosis, such as R0 resection achievement, </w:t>
      </w:r>
      <w:r w:rsidR="00695097" w:rsidRPr="00D47E4E">
        <w:rPr>
          <w:rFonts w:ascii="Book Antiqua" w:hAnsi="Book Antiqua"/>
        </w:rPr>
        <w:t xml:space="preserve">an </w:t>
      </w:r>
      <w:r w:rsidR="00EB7E37" w:rsidRPr="00D47E4E">
        <w:rPr>
          <w:rFonts w:ascii="Book Antiqua" w:hAnsi="Book Antiqua"/>
        </w:rPr>
        <w:t xml:space="preserve">intraepithelial neoplasia pattern without </w:t>
      </w:r>
      <w:r w:rsidR="00695097" w:rsidRPr="00D47E4E">
        <w:rPr>
          <w:rFonts w:ascii="Book Antiqua" w:hAnsi="Book Antiqua"/>
        </w:rPr>
        <w:t xml:space="preserve">an </w:t>
      </w:r>
      <w:r w:rsidR="00EB7E37" w:rsidRPr="00D47E4E">
        <w:rPr>
          <w:rFonts w:ascii="Book Antiqua" w:hAnsi="Book Antiqua"/>
        </w:rPr>
        <w:t xml:space="preserve">invasive component, no evidence of extended metastasis, negative metastatic lymph node and </w:t>
      </w:r>
      <w:r w:rsidR="00695097" w:rsidRPr="00D47E4E">
        <w:rPr>
          <w:rFonts w:ascii="Book Antiqua" w:hAnsi="Book Antiqua"/>
        </w:rPr>
        <w:t xml:space="preserve">ascites </w:t>
      </w:r>
      <w:r w:rsidR="00EB7E37" w:rsidRPr="00D47E4E">
        <w:rPr>
          <w:rFonts w:ascii="Book Antiqua" w:hAnsi="Book Antiqua"/>
        </w:rPr>
        <w:t xml:space="preserve">cytology, our patient suffered </w:t>
      </w:r>
      <w:r w:rsidR="00156759" w:rsidRPr="00D47E4E">
        <w:rPr>
          <w:rFonts w:ascii="Book Antiqua" w:hAnsi="Book Antiqua"/>
        </w:rPr>
        <w:t xml:space="preserve">from </w:t>
      </w:r>
      <w:r w:rsidR="00F215BB" w:rsidRPr="00D47E4E">
        <w:rPr>
          <w:rFonts w:ascii="Book Antiqua" w:hAnsi="Book Antiqua"/>
        </w:rPr>
        <w:t>an unpredictable metastasis to the lung</w:t>
      </w:r>
      <w:r w:rsidR="00695097" w:rsidRPr="00D47E4E">
        <w:rPr>
          <w:rFonts w:ascii="Book Antiqua" w:hAnsi="Book Antiqua"/>
        </w:rPr>
        <w:t>s</w:t>
      </w:r>
      <w:r w:rsidR="00F215BB" w:rsidRPr="00D47E4E">
        <w:rPr>
          <w:rFonts w:ascii="Book Antiqua" w:hAnsi="Book Antiqua"/>
        </w:rPr>
        <w:t xml:space="preserve"> and brain. This phenomenon seems to imply </w:t>
      </w:r>
      <w:r w:rsidR="00EB7E37" w:rsidRPr="00D47E4E">
        <w:rPr>
          <w:rFonts w:ascii="Book Antiqua" w:hAnsi="Book Antiqua"/>
        </w:rPr>
        <w:t>a</w:t>
      </w:r>
      <w:r w:rsidR="00F215BB" w:rsidRPr="00D47E4E">
        <w:rPr>
          <w:rFonts w:ascii="Book Antiqua" w:hAnsi="Book Antiqua"/>
        </w:rPr>
        <w:t xml:space="preserve"> complex mechanism</w:t>
      </w:r>
      <w:r w:rsidR="00EB7E37" w:rsidRPr="00D47E4E">
        <w:rPr>
          <w:rFonts w:ascii="Book Antiqua" w:hAnsi="Book Antiqua"/>
        </w:rPr>
        <w:t xml:space="preserve"> that defies a</w:t>
      </w:r>
      <w:r w:rsidR="00F215BB" w:rsidRPr="00D47E4E">
        <w:rPr>
          <w:rFonts w:ascii="Book Antiqua" w:hAnsi="Book Antiqua"/>
        </w:rPr>
        <w:t xml:space="preserve"> simple explanation. Lymphatic permeation, blood circulation, perineural invasion and intestinal subtype may somehow </w:t>
      </w:r>
      <w:r w:rsidR="00695097" w:rsidRPr="00D47E4E">
        <w:rPr>
          <w:rFonts w:ascii="Book Antiqua" w:hAnsi="Book Antiqua"/>
        </w:rPr>
        <w:t xml:space="preserve">suggest </w:t>
      </w:r>
      <w:r w:rsidR="00F215BB" w:rsidRPr="00D47E4E">
        <w:rPr>
          <w:rFonts w:ascii="Book Antiqua" w:hAnsi="Book Antiqua"/>
        </w:rPr>
        <w:t xml:space="preserve">an answer. Using WES, </w:t>
      </w:r>
      <w:r w:rsidR="00695097" w:rsidRPr="00D47E4E">
        <w:rPr>
          <w:rFonts w:ascii="Book Antiqua" w:hAnsi="Book Antiqua"/>
        </w:rPr>
        <w:t xml:space="preserve">the </w:t>
      </w:r>
      <w:r w:rsidR="00F215BB" w:rsidRPr="00D47E4E">
        <w:rPr>
          <w:rFonts w:ascii="Book Antiqua" w:hAnsi="Book Antiqua"/>
        </w:rPr>
        <w:t xml:space="preserve">detection of shared </w:t>
      </w:r>
      <w:r w:rsidR="005138E0" w:rsidRPr="00D47E4E">
        <w:rPr>
          <w:rFonts w:ascii="Book Antiqua" w:eastAsiaTheme="minorEastAsia" w:hAnsi="Book Antiqua"/>
        </w:rPr>
        <w:t>100</w:t>
      </w:r>
      <w:r w:rsidR="00F215BB" w:rsidRPr="00D47E4E">
        <w:rPr>
          <w:rFonts w:ascii="Book Antiqua" w:eastAsiaTheme="minorEastAsia" w:hAnsi="Book Antiqua"/>
        </w:rPr>
        <w:t xml:space="preserve"> somatic </w:t>
      </w:r>
      <w:r w:rsidR="005138E0" w:rsidRPr="00D47E4E">
        <w:rPr>
          <w:rFonts w:ascii="Book Antiqua" w:eastAsiaTheme="minorEastAsia" w:hAnsi="Book Antiqua"/>
        </w:rPr>
        <w:t>SNV</w:t>
      </w:r>
      <w:r w:rsidR="00154F33" w:rsidRPr="00D47E4E">
        <w:rPr>
          <w:rFonts w:ascii="Book Antiqua" w:eastAsiaTheme="minorEastAsia" w:hAnsi="Book Antiqua"/>
        </w:rPr>
        <w:t>s</w:t>
      </w:r>
      <w:r w:rsidR="005138E0" w:rsidRPr="00D47E4E">
        <w:rPr>
          <w:rFonts w:ascii="Book Antiqua" w:eastAsiaTheme="minorEastAsia" w:hAnsi="Book Antiqua"/>
        </w:rPr>
        <w:t xml:space="preserve"> and 168 </w:t>
      </w:r>
      <w:proofErr w:type="spellStart"/>
      <w:r w:rsidR="005138E0" w:rsidRPr="00D47E4E">
        <w:rPr>
          <w:rFonts w:ascii="Book Antiqua" w:eastAsiaTheme="minorEastAsia" w:hAnsi="Book Antiqua"/>
        </w:rPr>
        <w:t>InDel</w:t>
      </w:r>
      <w:r w:rsidR="00F215BB" w:rsidRPr="00D47E4E">
        <w:rPr>
          <w:rFonts w:ascii="Book Antiqua" w:eastAsiaTheme="minorEastAsia" w:hAnsi="Book Antiqua"/>
        </w:rPr>
        <w:t>s</w:t>
      </w:r>
      <w:proofErr w:type="spellEnd"/>
      <w:r w:rsidR="00F215BB" w:rsidRPr="00D47E4E">
        <w:rPr>
          <w:rFonts w:ascii="Book Antiqua" w:eastAsiaTheme="minorEastAsia" w:hAnsi="Book Antiqua"/>
        </w:rPr>
        <w:t xml:space="preserve"> </w:t>
      </w:r>
      <w:r w:rsidR="00E22251" w:rsidRPr="00D47E4E">
        <w:rPr>
          <w:rFonts w:ascii="Book Antiqua" w:hAnsi="Book Antiqua"/>
        </w:rPr>
        <w:t xml:space="preserve">confirmed </w:t>
      </w:r>
      <w:r w:rsidR="00EB7E37" w:rsidRPr="00D47E4E">
        <w:rPr>
          <w:rFonts w:ascii="Book Antiqua" w:hAnsi="Book Antiqua"/>
        </w:rPr>
        <w:t xml:space="preserve">the diagnosis of metastatic lung tumor from IPNB. Thus, </w:t>
      </w:r>
      <w:r w:rsidR="000D17D6" w:rsidRPr="00D47E4E">
        <w:rPr>
          <w:rFonts w:ascii="Book Antiqua" w:hAnsi="Book Antiqua"/>
        </w:rPr>
        <w:t>all physicians</w:t>
      </w:r>
      <w:r w:rsidR="00EB7E37" w:rsidRPr="00D47E4E">
        <w:rPr>
          <w:rFonts w:ascii="Book Antiqua" w:hAnsi="Book Antiqua"/>
        </w:rPr>
        <w:t xml:space="preserve"> </w:t>
      </w:r>
      <w:r w:rsidR="00695097" w:rsidRPr="00D47E4E">
        <w:rPr>
          <w:rFonts w:ascii="Book Antiqua" w:hAnsi="Book Antiqua"/>
        </w:rPr>
        <w:t xml:space="preserve">are forewarned </w:t>
      </w:r>
      <w:r w:rsidR="00EB7E37" w:rsidRPr="00D47E4E">
        <w:rPr>
          <w:rFonts w:ascii="Book Antiqua" w:hAnsi="Book Antiqua"/>
        </w:rPr>
        <w:t>to engage in extensive research toward cancer metastasis.</w:t>
      </w:r>
    </w:p>
    <w:p w14:paraId="43259A99" w14:textId="09214A71" w:rsidR="006751AF" w:rsidRPr="00D47E4E" w:rsidRDefault="00EB7E37" w:rsidP="00FA5FC9">
      <w:pPr>
        <w:adjustRightInd w:val="0"/>
        <w:snapToGrid w:val="0"/>
        <w:spacing w:line="360" w:lineRule="auto"/>
        <w:ind w:firstLineChars="100" w:firstLine="240"/>
        <w:jc w:val="both"/>
        <w:rPr>
          <w:rFonts w:ascii="Book Antiqua" w:hAnsi="Book Antiqua"/>
        </w:rPr>
      </w:pPr>
      <w:r w:rsidRPr="00D47E4E">
        <w:rPr>
          <w:rFonts w:ascii="Book Antiqua" w:hAnsi="Book Antiqua"/>
        </w:rPr>
        <w:lastRenderedPageBreak/>
        <w:t xml:space="preserve">Another important clinical implication of this study was the association between </w:t>
      </w:r>
      <w:r w:rsidR="00695097" w:rsidRPr="00D47E4E">
        <w:rPr>
          <w:rFonts w:ascii="Book Antiqua" w:hAnsi="Book Antiqua"/>
        </w:rPr>
        <w:t>variations</w:t>
      </w:r>
      <w:r w:rsidRPr="00D47E4E">
        <w:rPr>
          <w:rFonts w:ascii="Book Antiqua" w:hAnsi="Book Antiqua"/>
        </w:rPr>
        <w:t xml:space="preserve"> </w:t>
      </w:r>
      <w:r w:rsidR="00695097" w:rsidRPr="00D47E4E">
        <w:rPr>
          <w:rFonts w:ascii="Book Antiqua" w:hAnsi="Book Antiqua"/>
        </w:rPr>
        <w:t xml:space="preserve">in the </w:t>
      </w:r>
      <w:r w:rsidRPr="00D47E4E">
        <w:rPr>
          <w:rFonts w:ascii="Book Antiqua" w:hAnsi="Book Antiqua"/>
        </w:rPr>
        <w:t xml:space="preserve">CA 19-9 level and metastasis. At the time of lung and brain metastasis detection, the CA 19-9 level was four-fold higher than the baseline value. </w:t>
      </w:r>
      <w:r w:rsidR="00695097" w:rsidRPr="00D47E4E">
        <w:rPr>
          <w:rFonts w:ascii="Book Antiqua" w:hAnsi="Book Antiqua"/>
        </w:rPr>
        <w:t>Subsequently</w:t>
      </w:r>
      <w:r w:rsidRPr="00D47E4E">
        <w:rPr>
          <w:rFonts w:ascii="Book Antiqua" w:hAnsi="Book Antiqua"/>
        </w:rPr>
        <w:t xml:space="preserve">, in performing VATS lobectomy and SRT, </w:t>
      </w:r>
      <w:r w:rsidR="00695097" w:rsidRPr="00D47E4E">
        <w:rPr>
          <w:rFonts w:ascii="Book Antiqua" w:hAnsi="Book Antiqua"/>
        </w:rPr>
        <w:t>CA 19-9 level returned</w:t>
      </w:r>
      <w:r w:rsidRPr="00D47E4E">
        <w:rPr>
          <w:rFonts w:ascii="Book Antiqua" w:hAnsi="Book Antiqua"/>
        </w:rPr>
        <w:t xml:space="preserve"> to the normal range. </w:t>
      </w:r>
      <w:proofErr w:type="spellStart"/>
      <w:r w:rsidRPr="00D47E4E">
        <w:rPr>
          <w:rFonts w:ascii="Book Antiqua" w:hAnsi="Book Antiqua"/>
        </w:rPr>
        <w:t>Luvira</w:t>
      </w:r>
      <w:proofErr w:type="spellEnd"/>
      <w:r w:rsidRPr="00D47E4E">
        <w:rPr>
          <w:rFonts w:ascii="Book Antiqua" w:hAnsi="Book Antiqua"/>
        </w:rPr>
        <w:t xml:space="preserve"> V </w:t>
      </w:r>
      <w:r w:rsidR="00111120" w:rsidRPr="00D47E4E">
        <w:rPr>
          <w:rFonts w:ascii="Book Antiqua" w:hAnsi="Book Antiqua"/>
          <w:i/>
          <w:iCs/>
        </w:rPr>
        <w:t>et al</w:t>
      </w:r>
      <w:r w:rsidR="00111120" w:rsidRPr="00D47E4E">
        <w:rPr>
          <w:rFonts w:ascii="Book Antiqua" w:hAnsi="Book Antiqua"/>
          <w:vertAlign w:val="superscript"/>
          <w:lang w:val="vi-VN"/>
        </w:rPr>
        <w:t>[</w:t>
      </w:r>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{"citationID":"PV0oH1j0","properties":{"formattedCitation":"\\super 9\\nosupersub{}","plainCitation":"9","noteIndex":0},"citationItems":[{"id":1696,"uris":["http://zotero.org/users/5691970/items/V3PLI9QH"],"uri":["http://zotero.org/users/5691970/items/V3PLI9QH"],"itemData":{"id":1696,"type":"article-journal","title":"Long-term outcome of surgical resection for intraductal papillary neoplasm of the bile duct","container-title":"Journal of Gastroenterology and Hepatology","page":"527-533","volume":"32","issue":"2","abstract":"Abstract Background and Aims Intraductal papillary neoplasm of the bile duct (IPNB) is a specific type of bile duct tumor. Studies about the surgical outcomes for IPNB are few; therefore, we investigated the survival of patients who underwent curative surgical resection of IPNB. Methods We retrospectively reviewed the medical and pathological records of 148 IPNB patients who underwent curative-intent hepatic resection between January 2005 and December 2011, to examine the prognosis of IPNB. All demographic and operative parameters were analyzed the effect on survival of patients. Results The median survival of IPNB patients was 1326?days with a respective 1, 3, and 5?year overall survival of 83.6% (95%CI: 76.5?88.7), 64.4% (95%CI: 56.0?71.6), and 47% (95%CI: 38.4?55.7). The level of invasiveness of IPNB predicted survival very well. For malignant IPNB, univariate analysis showed that serum CA19-9 level, lymph node metastasis, and completeness of resection were significant prognostic factors. Lymph node metastasis and completeness of resection were found in multivariate analysis to be significantly related to survival of the patients. Conclusions The level of invasiveness and lymph node status were found to be associated with patient survival, as was adequacy of surgery. We recommend R0 resection be attempted for patients with IPNB.","DOI":"10.1111/jgh.13481","ISSN":"0815-9319","journalAbbreviation":"Journal of Gastroenterology and Hepatology","author":[{"family":"Luvira","given":"Vor"},{"family":"Pugkhem","given":"Ake"},{"family":"Bhudhisawasdi","given":"Vajarabhongsa"},{"family":"Pairojkul","given":"Chawalit"},{"family":"Sathitkarnmanee","given":"Egapong"},{"family":"Luvira","given":"Varisara"},{"family":"Kamsa-ard","given":"Supot"}],"issued":{"date-parts":[["2017",2,1]]}}}],"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9</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r w:rsidRPr="00D47E4E">
        <w:rPr>
          <w:rFonts w:ascii="Book Antiqua" w:hAnsi="Book Antiqua"/>
        </w:rPr>
        <w:t xml:space="preserve"> found that </w:t>
      </w:r>
      <w:r w:rsidR="00695097" w:rsidRPr="00D47E4E">
        <w:rPr>
          <w:rFonts w:ascii="Book Antiqua" w:hAnsi="Book Antiqua"/>
        </w:rPr>
        <w:t xml:space="preserve">the </w:t>
      </w:r>
      <w:r w:rsidRPr="00D47E4E">
        <w:rPr>
          <w:rFonts w:ascii="Book Antiqua" w:hAnsi="Book Antiqua"/>
        </w:rPr>
        <w:t xml:space="preserve">serum CA 19-9 level was a significant prognostic factor for malignant IPNB. In addition, </w:t>
      </w:r>
      <w:r w:rsidRPr="00D47E4E">
        <w:rPr>
          <w:rFonts w:ascii="Book Antiqua" w:hAnsi="Book Antiqua"/>
          <w:shd w:val="clear" w:color="auto" w:fill="FFFFFF"/>
        </w:rPr>
        <w:t>Yeh</w:t>
      </w:r>
      <w:r w:rsidR="00740E82" w:rsidRPr="00D47E4E">
        <w:rPr>
          <w:rFonts w:ascii="Book Antiqua" w:hAnsi="Book Antiqua"/>
          <w:shd w:val="clear" w:color="auto" w:fill="FFFFFF"/>
        </w:rPr>
        <w:t xml:space="preserve"> </w:t>
      </w:r>
      <w:r w:rsidR="00111120" w:rsidRPr="00D47E4E">
        <w:rPr>
          <w:rFonts w:ascii="Book Antiqua" w:hAnsi="Book Antiqua"/>
          <w:i/>
          <w:iCs/>
          <w:shd w:val="clear" w:color="auto" w:fill="FFFFFF"/>
        </w:rPr>
        <w:t>et al</w:t>
      </w:r>
      <w:r w:rsidR="00111120" w:rsidRPr="00D47E4E">
        <w:rPr>
          <w:rFonts w:ascii="Book Antiqua" w:hAnsi="Book Antiqua"/>
          <w:shd w:val="clear" w:color="auto" w:fill="FFFFFF"/>
          <w:vertAlign w:val="superscript"/>
          <w:lang w:val="vi-VN"/>
        </w:rPr>
        <w:t>[</w:t>
      </w:r>
      <w:r w:rsidR="00111120" w:rsidRPr="00D47E4E">
        <w:rPr>
          <w:rFonts w:ascii="Book Antiqua" w:hAnsi="Book Antiqua"/>
          <w:shd w:val="clear" w:color="auto" w:fill="FFFFFF"/>
          <w:vertAlign w:val="superscript"/>
        </w:rPr>
        <w:fldChar w:fldCharType="begin"/>
      </w:r>
      <w:r w:rsidR="00111120" w:rsidRPr="00D47E4E">
        <w:rPr>
          <w:rFonts w:ascii="Book Antiqua" w:hAnsi="Book Antiqua"/>
          <w:shd w:val="clear" w:color="auto" w:fill="FFFFFF"/>
          <w:vertAlign w:val="superscript"/>
        </w:rPr>
        <w:instrText xml:space="preserve"> ADDIN ZOTERO_ITEM CSL_CITATION {"citationID":"Fo8hrj4G","properties":{"formattedCitation":"\\super 10\\nosupersub{}","plainCitation":"10","noteIndex":0},"citationItems":[{"id":1698,"uris":["http://zotero.org/users/5691970/items/2UTKN69R"],"uri":["http://zotero.org/users/5691970/items/2UTKN69R"],"itemData":{"id":1698,"type":"article-journal","title":"Characterization of intrahepatic cholangiocarcinoma of the intraductal growth-type and its precursor lesions","container-title":"Hepatology","page":"657-664","volume":"42","issue":"3","abstract":"Abstract A cohort of patients with intraductal growth-type intrahepatic cholangiocarcinoma (IG-ICC) and its precursor lesions, collectively termed intraductal papillary neoplasm of the liver (IPNL), was characterized with respect to demographics, clinical manifestations, perioperative management, long-term survival, and molecular features associated with carcinogenesis. A total of 122 patients with IPNL types 1 through 4, 108 patients with non?IG-ICC and 210 patients with hepatolithiasis alone were studied. Expression of CDX2, TFF1, MUC1, MUC2, MUC5AC, EGFR, and p53 was determined by using immunohistochemistry. Females predominated in those with hepatolithiasis alone and IPNL. The mean age of patients with hepatolithiasis alone was 6 to 8 years younger than that of those with IPNL. The association with hepatolithiasis in patients with IPNL types 1 and 2, IPNL types 3 and 4, and non?IG-ICC was 100%, 79%, and 64%, respectively. Mucobilia, anemia, and elevated serum carcinoembryonic antigen levels were helpful in distinguishing IG-ICC and its precursor lesions. The mean survival of patients with IPNL type 3, IPNL type 4, and non?IG-ICC was 55.5 months, 36.9 months, and 15.8 months, respectively. The incidence of expression of CDX2 and TFF1 was maximal in IPNL type 3. Expression and cellular distribution of MUC2 and CDX2 were similar. MUC5AC was strongly expressed in all patients with IPNL; EGFR and p53 were rarely expressed in patients with IPNL. In conclusion, hepatolithiasis appears to be a precipitating factor in the development of IPNL. Signs of mucobilia were specific for the diagnosis of IPNL. Expression of CDX2 and MUC2 are helpful in differentiating IPNL and non?IG-ICC. Significant differences in survival associated with the various lesions studied warrants a more aggressive surgical strategy in their management. (HEPATOLOGY 2005;42:657?664.)","DOI":"10.1002/hep.20837","ISSN":"0270-9139","journalAbbreviation":"Hepatology","author":[{"family":"Yeh","given":"Ta-Sen"},{"family":"Tseng","given":"Jeng-Hwei"},{"family":"Chen","given":"Tse-Ching"},{"family":"Liu","given":"Nai-Jen"},{"family":"Chiu","given":"Cheng-Tang"},{"family":"Jan","given":"Yi-Yin"},{"family":"Chen","given":"Miin-Fu"}],"issued":{"date-parts":[["2005",9,1]]}}}],"schema":"https://github.com/citation-style-language/schema/raw/master/csl-citation.json"} </w:instrText>
      </w:r>
      <w:r w:rsidR="00111120" w:rsidRPr="00D47E4E">
        <w:rPr>
          <w:rFonts w:ascii="Book Antiqua" w:hAnsi="Book Antiqua"/>
          <w:shd w:val="clear" w:color="auto" w:fill="FFFFFF"/>
          <w:vertAlign w:val="superscript"/>
        </w:rPr>
        <w:fldChar w:fldCharType="separate"/>
      </w:r>
      <w:r w:rsidR="00111120" w:rsidRPr="00D47E4E">
        <w:rPr>
          <w:rFonts w:ascii="Book Antiqua" w:hAnsi="Book Antiqua"/>
          <w:vertAlign w:val="superscript"/>
        </w:rPr>
        <w:t>10</w:t>
      </w:r>
      <w:r w:rsidR="00111120" w:rsidRPr="00D47E4E">
        <w:rPr>
          <w:rFonts w:ascii="Book Antiqua" w:hAnsi="Book Antiqua"/>
          <w:shd w:val="clear" w:color="auto" w:fill="FFFFFF"/>
          <w:vertAlign w:val="superscript"/>
        </w:rPr>
        <w:fldChar w:fldCharType="end"/>
      </w:r>
      <w:r w:rsidR="00111120" w:rsidRPr="00D47E4E">
        <w:rPr>
          <w:rFonts w:ascii="Book Antiqua" w:hAnsi="Book Antiqua"/>
          <w:shd w:val="clear" w:color="auto" w:fill="FFFFFF"/>
          <w:vertAlign w:val="superscript"/>
          <w:lang w:val="vi-VN"/>
        </w:rPr>
        <w:t>]</w:t>
      </w:r>
      <w:r w:rsidR="00740E82" w:rsidRPr="00D47E4E">
        <w:rPr>
          <w:rFonts w:ascii="Book Antiqua" w:hAnsi="Book Antiqua"/>
          <w:shd w:val="clear" w:color="auto" w:fill="FFFFFF"/>
        </w:rPr>
        <w:t xml:space="preserve"> </w:t>
      </w:r>
      <w:r w:rsidR="00695097" w:rsidRPr="00D47E4E">
        <w:rPr>
          <w:rFonts w:ascii="Book Antiqua" w:hAnsi="Book Antiqua"/>
          <w:shd w:val="clear" w:color="auto" w:fill="FFFFFF"/>
        </w:rPr>
        <w:t xml:space="preserve">observed </w:t>
      </w:r>
      <w:r w:rsidRPr="00D47E4E">
        <w:rPr>
          <w:rFonts w:ascii="Book Antiqua" w:hAnsi="Book Antiqua"/>
          <w:shd w:val="clear" w:color="auto" w:fill="FFFFFF"/>
        </w:rPr>
        <w:t>an enhanced serum CA</w:t>
      </w:r>
      <w:r w:rsidR="00A123B3" w:rsidRPr="00D47E4E">
        <w:rPr>
          <w:rFonts w:ascii="Book Antiqua" w:hAnsi="Book Antiqua"/>
          <w:shd w:val="clear" w:color="auto" w:fill="FFFFFF"/>
        </w:rPr>
        <w:t xml:space="preserve"> </w:t>
      </w:r>
      <w:r w:rsidRPr="00D47E4E">
        <w:rPr>
          <w:rFonts w:ascii="Book Antiqua" w:hAnsi="Book Antiqua"/>
          <w:shd w:val="clear" w:color="auto" w:fill="FFFFFF"/>
        </w:rPr>
        <w:t xml:space="preserve">19-9 level in 35% of benign lesions, whereas </w:t>
      </w:r>
      <w:r w:rsidR="00695097" w:rsidRPr="00D47E4E">
        <w:rPr>
          <w:rFonts w:ascii="Book Antiqua" w:hAnsi="Book Antiqua"/>
          <w:shd w:val="clear" w:color="auto" w:fill="FFFFFF"/>
        </w:rPr>
        <w:t xml:space="preserve">that </w:t>
      </w:r>
      <w:r w:rsidRPr="00D47E4E">
        <w:rPr>
          <w:rFonts w:ascii="Book Antiqua" w:hAnsi="Book Antiqua"/>
          <w:shd w:val="clear" w:color="auto" w:fill="FFFFFF"/>
        </w:rPr>
        <w:t>in malignant lesions was 61</w:t>
      </w:r>
      <w:r w:rsidR="00FD1985" w:rsidRPr="00D47E4E">
        <w:rPr>
          <w:rFonts w:ascii="Book Antiqua" w:hAnsi="Book Antiqua"/>
          <w:shd w:val="clear" w:color="auto" w:fill="FFFFFF"/>
        </w:rPr>
        <w:t>%</w:t>
      </w:r>
      <w:r w:rsidRPr="00D47E4E">
        <w:rPr>
          <w:rFonts w:ascii="Book Antiqua" w:hAnsi="Book Antiqua"/>
          <w:shd w:val="clear" w:color="auto" w:fill="FFFFFF"/>
        </w:rPr>
        <w:t xml:space="preserve">. Furthermore, Lee </w:t>
      </w:r>
      <w:r w:rsidR="00111120" w:rsidRPr="00D47E4E">
        <w:rPr>
          <w:rFonts w:ascii="Book Antiqua" w:hAnsi="Book Antiqua"/>
          <w:i/>
          <w:iCs/>
          <w:shd w:val="clear" w:color="auto" w:fill="FFFFFF"/>
        </w:rPr>
        <w:t>et al</w:t>
      </w:r>
      <w:r w:rsidR="00111120" w:rsidRPr="00D47E4E">
        <w:rPr>
          <w:rFonts w:ascii="Book Antiqua" w:hAnsi="Book Antiqua"/>
          <w:shd w:val="clear" w:color="auto" w:fill="FFFFFF"/>
          <w:vertAlign w:val="superscript"/>
          <w:lang w:val="vi-VN"/>
        </w:rPr>
        <w:t>[</w:t>
      </w:r>
      <w:bookmarkStart w:id="0" w:name="_GoBack"/>
      <w:r w:rsidR="00111120" w:rsidRPr="00D47E4E">
        <w:rPr>
          <w:rFonts w:ascii="Book Antiqua" w:hAnsi="Book Antiqua"/>
          <w:vertAlign w:val="superscript"/>
        </w:rPr>
        <w:fldChar w:fldCharType="begin"/>
      </w:r>
      <w:r w:rsidR="00111120" w:rsidRPr="00D47E4E">
        <w:rPr>
          <w:rFonts w:ascii="Book Antiqua" w:hAnsi="Book Antiqua"/>
          <w:vertAlign w:val="superscript"/>
        </w:rPr>
        <w:instrText xml:space="preserve"> ADDIN ZOTERO_ITEM CSL_CITATION {"citationID":"jEolml49","properties":{"formattedCitation":"\\super 11\\nosupersub{}","plainCitation":"11","noteIndex":0},"citationItems":[{"id":1700,"uris":["http://zotero.org/users/5691970/items/ZSVYYJES"],"uri":["http://zotero.org/users/5691970/items/ZSVYYJES"],"itemData":{"id":1700,"type":"article-journal","title":"Clinicopathologic review of 58 patients with biliary papillomatosis","container-title":"Cancer","page":"783-793","volume":"100","issue":"4","abstract":"Abstract BACKGROUND Biliary papillomatosis (BP) is a rare disease that is characterized by multiple numerous papillary adenomas in the biliary tree. The clinical features and outcome, however, are not well known. The authors retrospectively analyzed their clinicopathologic features and long-term follow-up results. METHODS Between March 1995 and January 2003, 58 patients were diagnosed with BP by cholangioscopic and histologic findings at a tertiary referral center, Asan Medical Center (University of Ulsan College of Medicine, Seoul, Korea). The authors retrospectively reviewed the medical records to obtain demographic, radiologic, cholangioscopic, and pathologic data. RESULTS The common clinical manifestations at the presentation of patients were repeated episodes of abdominal pain, jaundice, and acute cholangitis. Acute cholangitis was more common in patients with mucin-hypersecreting BP (MBP), whereas patients with nonmucin-producing BP (NMBP) were more asymptomatic (P &lt; 0.05). Papillary adenocarcinoma and mucinous carcinoma were detected in 48 patients (83%) with papillary adenomas. Overall survival rates of NMBP and MBP were 89% and 69% at 1 year, 57% and 37% at 3 years, and 52% and 19% at 5 years, respectively. The mean survival period of NMBP and MBP was 52.27 ± 6.72 months and 30.84 ± 8.36 months, respectively. CONCLUSIONS BP should be regarded as a premalignant disease with high malignant potential. The pathogenesis of progression from benign to malignant disease may follow the adenomacarcinoma sequence. Although clinical presentations were somewhat different for patients with NMBP and MBP, the long-term survival rate was similar. Cancer 2004;100:783?93. ? 2004 American Cancer Society.","DOI":"10.1002/cncr.20031","ISSN":"0008-543X","journalAbbreviation":"Cancer","author":[{"family":"Lee","given":"Sang Soo"},{"family":"Kim","given":"Myung-Hwan"},{"family":"Lee","given":"Sung Koo"},{"family":"Jang","given":"Se Jin"},{"family":"Song","given":"Moon-Hee"},{"family":"Kim","given":"Kyu-Pyo"},{"family":"Kim","given":"Hong Ja"},{"family":"Seo","given":"Dong-Wan"},{"family":"Song","given":"Dong Eun"},{"family":"Yu","given":"Eunsil"},{"family":"Lee","given":"Seung-Gyu"},{"family":"Min","given":"Young Il"}],"issued":{"date-parts":[["2004",2,15]]}}}],"schema":"https://github.com/citation-style-language/schema/raw/master/csl-citation.json"} </w:instrText>
      </w:r>
      <w:r w:rsidR="00111120" w:rsidRPr="00D47E4E">
        <w:rPr>
          <w:rFonts w:ascii="Book Antiqua" w:hAnsi="Book Antiqua"/>
          <w:vertAlign w:val="superscript"/>
        </w:rPr>
        <w:fldChar w:fldCharType="separate"/>
      </w:r>
      <w:r w:rsidR="00111120" w:rsidRPr="00D47E4E">
        <w:rPr>
          <w:rFonts w:ascii="Book Antiqua" w:hAnsi="Book Antiqua"/>
          <w:vertAlign w:val="superscript"/>
        </w:rPr>
        <w:t>11</w:t>
      </w:r>
      <w:r w:rsidR="00111120" w:rsidRPr="00D47E4E">
        <w:rPr>
          <w:rFonts w:ascii="Book Antiqua" w:hAnsi="Book Antiqua"/>
          <w:vertAlign w:val="superscript"/>
        </w:rPr>
        <w:fldChar w:fldCharType="end"/>
      </w:r>
      <w:r w:rsidR="00111120" w:rsidRPr="00D47E4E">
        <w:rPr>
          <w:rFonts w:ascii="Book Antiqua" w:hAnsi="Book Antiqua"/>
          <w:vertAlign w:val="superscript"/>
          <w:lang w:val="vi-VN"/>
        </w:rPr>
        <w:t>]</w:t>
      </w:r>
      <w:bookmarkEnd w:id="0"/>
      <w:r w:rsidRPr="00D47E4E">
        <w:rPr>
          <w:rFonts w:ascii="Book Antiqua" w:hAnsi="Book Antiqua"/>
          <w:shd w:val="clear" w:color="auto" w:fill="FFFFFF"/>
        </w:rPr>
        <w:t xml:space="preserve"> demonstrated a higher mean CA 19-9 level in IPNB with mucin hypersecretion</w:t>
      </w:r>
      <w:r w:rsidR="00A50A22" w:rsidRPr="00D47E4E">
        <w:rPr>
          <w:rFonts w:ascii="Book Antiqua" w:hAnsi="Book Antiqua"/>
          <w:lang w:val="vi-VN"/>
        </w:rPr>
        <w:t>.</w:t>
      </w:r>
      <w:r w:rsidRPr="00D47E4E">
        <w:rPr>
          <w:rFonts w:ascii="Book Antiqua" w:hAnsi="Book Antiqua"/>
        </w:rPr>
        <w:t xml:space="preserve"> Thus, CA 19-9 screening during follow-up should be valuable for the detection of extended lesions.</w:t>
      </w:r>
    </w:p>
    <w:p w14:paraId="5C423223" w14:textId="77777777" w:rsidR="003B2C49" w:rsidRPr="00D47E4E" w:rsidRDefault="003B2C49" w:rsidP="00FA5FC9">
      <w:pPr>
        <w:adjustRightInd w:val="0"/>
        <w:snapToGrid w:val="0"/>
        <w:spacing w:line="360" w:lineRule="auto"/>
        <w:jc w:val="both"/>
        <w:rPr>
          <w:rFonts w:ascii="Book Antiqua" w:hAnsi="Book Antiqua"/>
        </w:rPr>
      </w:pPr>
    </w:p>
    <w:p w14:paraId="14A8BD18" w14:textId="2B29830C" w:rsidR="006751AF" w:rsidRPr="00D47E4E" w:rsidRDefault="00EB7E37" w:rsidP="00FA5FC9">
      <w:pPr>
        <w:adjustRightInd w:val="0"/>
        <w:snapToGrid w:val="0"/>
        <w:spacing w:line="360" w:lineRule="auto"/>
        <w:jc w:val="both"/>
        <w:outlineLvl w:val="0"/>
        <w:rPr>
          <w:rFonts w:ascii="Book Antiqua" w:hAnsi="Book Antiqua"/>
          <w:b/>
          <w:u w:val="single"/>
        </w:rPr>
      </w:pPr>
      <w:r w:rsidRPr="00D47E4E">
        <w:rPr>
          <w:rFonts w:ascii="Book Antiqua" w:hAnsi="Book Antiqua"/>
          <w:b/>
          <w:u w:val="single"/>
        </w:rPr>
        <w:t>C</w:t>
      </w:r>
      <w:r w:rsidR="001A0B16" w:rsidRPr="00D47E4E">
        <w:rPr>
          <w:rFonts w:ascii="Book Antiqua" w:hAnsi="Book Antiqua"/>
          <w:b/>
          <w:u w:val="single"/>
        </w:rPr>
        <w:t>ONCLUSION</w:t>
      </w:r>
    </w:p>
    <w:p w14:paraId="286B0F92" w14:textId="7AE7D126" w:rsidR="002B6E87" w:rsidRPr="00D47E4E" w:rsidRDefault="00EB7E37" w:rsidP="00FA5FC9">
      <w:pPr>
        <w:adjustRightInd w:val="0"/>
        <w:snapToGrid w:val="0"/>
        <w:spacing w:line="360" w:lineRule="auto"/>
        <w:jc w:val="both"/>
        <w:rPr>
          <w:rFonts w:ascii="Book Antiqua" w:hAnsi="Book Antiqua"/>
        </w:rPr>
      </w:pPr>
      <w:r w:rsidRPr="00D47E4E">
        <w:rPr>
          <w:rFonts w:ascii="Book Antiqua" w:hAnsi="Book Antiqua"/>
        </w:rPr>
        <w:t>In conclusion, we report a distant and simultaneous metastasis (brain and lung</w:t>
      </w:r>
      <w:r w:rsidR="00695097" w:rsidRPr="00D47E4E">
        <w:rPr>
          <w:rFonts w:ascii="Book Antiqua" w:hAnsi="Book Antiqua"/>
        </w:rPr>
        <w:t>s</w:t>
      </w:r>
      <w:r w:rsidRPr="00D47E4E">
        <w:rPr>
          <w:rFonts w:ascii="Book Antiqua" w:hAnsi="Book Antiqua"/>
        </w:rPr>
        <w:t>) of an</w:t>
      </w:r>
      <w:r w:rsidR="00FD1985" w:rsidRPr="00D47E4E">
        <w:rPr>
          <w:rFonts w:ascii="Book Antiqua" w:hAnsi="Book Antiqua"/>
        </w:rPr>
        <w:t xml:space="preserve"> extrahepatic</w:t>
      </w:r>
      <w:r w:rsidRPr="00D47E4E">
        <w:rPr>
          <w:rFonts w:ascii="Book Antiqua" w:hAnsi="Book Antiqua"/>
        </w:rPr>
        <w:t xml:space="preserve"> IPNB case, which was diagnosed as high grade intraepithelial neoplasia (</w:t>
      </w:r>
      <w:r w:rsidR="00695097" w:rsidRPr="00D47E4E">
        <w:rPr>
          <w:rFonts w:ascii="Book Antiqua" w:hAnsi="Book Antiqua"/>
        </w:rPr>
        <w:t>T1N0M</w:t>
      </w:r>
      <w:r w:rsidR="0049737C" w:rsidRPr="00D47E4E">
        <w:rPr>
          <w:rFonts w:ascii="Book Antiqua" w:hAnsi="Book Antiqua"/>
        </w:rPr>
        <w:t>0</w:t>
      </w:r>
      <w:r w:rsidRPr="00D47E4E">
        <w:rPr>
          <w:rFonts w:ascii="Book Antiqua" w:hAnsi="Book Antiqua"/>
        </w:rPr>
        <w:t xml:space="preserve">) and was rigorously treated with curative resection (R0 resection without malignant lymph node). Regardless of the rarity of this lesion, our case report raises the following question: </w:t>
      </w:r>
      <w:r w:rsidR="00D6596B" w:rsidRPr="00D47E4E">
        <w:rPr>
          <w:rFonts w:ascii="Book Antiqua" w:hAnsi="Book Antiqua"/>
        </w:rPr>
        <w:t>W</w:t>
      </w:r>
      <w:r w:rsidRPr="00D47E4E">
        <w:rPr>
          <w:rFonts w:ascii="Book Antiqua" w:hAnsi="Book Antiqua"/>
        </w:rPr>
        <w:t xml:space="preserve">hat is the actual mechanism of distant metastasis in the early stage of IPNB without an invasive component? Further studies should be performed to elucidate this </w:t>
      </w:r>
      <w:r w:rsidR="000D17D6" w:rsidRPr="00D47E4E">
        <w:rPr>
          <w:rFonts w:ascii="Book Antiqua" w:hAnsi="Book Antiqua"/>
        </w:rPr>
        <w:t xml:space="preserve">unusual </w:t>
      </w:r>
      <w:r w:rsidRPr="00D47E4E">
        <w:rPr>
          <w:rFonts w:ascii="Book Antiqua" w:hAnsi="Book Antiqua"/>
        </w:rPr>
        <w:t>phenomenon.</w:t>
      </w:r>
    </w:p>
    <w:p w14:paraId="1237EFAB" w14:textId="77777777" w:rsidR="00DA28E3" w:rsidRPr="00D47E4E" w:rsidRDefault="00DA28E3" w:rsidP="00FA5FC9">
      <w:pPr>
        <w:adjustRightInd w:val="0"/>
        <w:snapToGrid w:val="0"/>
        <w:spacing w:line="360" w:lineRule="auto"/>
        <w:jc w:val="both"/>
        <w:rPr>
          <w:rFonts w:ascii="Book Antiqua" w:hAnsi="Book Antiqua"/>
        </w:rPr>
      </w:pPr>
    </w:p>
    <w:p w14:paraId="6BC52CD3" w14:textId="580D530D" w:rsidR="005C2F4D" w:rsidRPr="00D47E4E" w:rsidRDefault="001A0B16" w:rsidP="00FA5FC9">
      <w:pPr>
        <w:adjustRightInd w:val="0"/>
        <w:snapToGrid w:val="0"/>
        <w:spacing w:line="360" w:lineRule="auto"/>
        <w:jc w:val="both"/>
        <w:rPr>
          <w:rFonts w:ascii="Book Antiqua" w:hAnsi="Book Antiqua"/>
          <w:b/>
        </w:rPr>
      </w:pPr>
      <w:r w:rsidRPr="00D47E4E">
        <w:rPr>
          <w:rFonts w:ascii="Book Antiqua" w:hAnsi="Book Antiqua"/>
          <w:b/>
        </w:rPr>
        <w:t>REFERENCES</w:t>
      </w:r>
    </w:p>
    <w:p w14:paraId="3955495E"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1 </w:t>
      </w:r>
      <w:r w:rsidRPr="003566D8">
        <w:rPr>
          <w:rFonts w:ascii="Book Antiqua" w:hAnsi="Book Antiqua"/>
          <w:b/>
          <w:bCs/>
          <w:lang w:eastAsia="en-US"/>
        </w:rPr>
        <w:t>Wan XS</w:t>
      </w:r>
      <w:r w:rsidRPr="003566D8">
        <w:rPr>
          <w:rFonts w:ascii="Book Antiqua" w:hAnsi="Book Antiqua"/>
          <w:lang w:eastAsia="en-US"/>
        </w:rPr>
        <w:t xml:space="preserve">, Xu YY, Qian JY, Yang XB, Wang AQ, He L, Zhao HT, Sang XT. Intraductal papillary neoplasm of the bile duct. </w:t>
      </w:r>
      <w:r w:rsidRPr="003566D8">
        <w:rPr>
          <w:rFonts w:ascii="Book Antiqua" w:hAnsi="Book Antiqua"/>
          <w:i/>
          <w:iCs/>
          <w:lang w:eastAsia="en-US"/>
        </w:rPr>
        <w:t>World J Gastroenterol</w:t>
      </w:r>
      <w:r w:rsidRPr="003566D8">
        <w:rPr>
          <w:rFonts w:ascii="Book Antiqua" w:hAnsi="Book Antiqua"/>
          <w:lang w:eastAsia="en-US"/>
        </w:rPr>
        <w:t xml:space="preserve"> 2013; </w:t>
      </w:r>
      <w:r w:rsidRPr="003566D8">
        <w:rPr>
          <w:rFonts w:ascii="Book Antiqua" w:hAnsi="Book Antiqua"/>
          <w:b/>
          <w:bCs/>
          <w:lang w:eastAsia="en-US"/>
        </w:rPr>
        <w:t>19</w:t>
      </w:r>
      <w:r w:rsidRPr="003566D8">
        <w:rPr>
          <w:rFonts w:ascii="Book Antiqua" w:hAnsi="Book Antiqua"/>
          <w:lang w:eastAsia="en-US"/>
        </w:rPr>
        <w:t>: 8595-8604 [PMID: 24379576 DOI: 10.3748/wjg.v19.i46.8595]</w:t>
      </w:r>
    </w:p>
    <w:p w14:paraId="17EC609C"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2 </w:t>
      </w:r>
      <w:r w:rsidRPr="003566D8">
        <w:rPr>
          <w:rFonts w:ascii="Book Antiqua" w:hAnsi="Book Antiqua"/>
          <w:b/>
          <w:bCs/>
          <w:lang w:eastAsia="en-US"/>
        </w:rPr>
        <w:t>Bosman FT</w:t>
      </w:r>
      <w:r w:rsidRPr="003566D8">
        <w:rPr>
          <w:rFonts w:ascii="Book Antiqua" w:hAnsi="Book Antiqua"/>
          <w:lang w:eastAsia="en-US"/>
        </w:rPr>
        <w:t xml:space="preserve">, </w:t>
      </w:r>
      <w:proofErr w:type="spellStart"/>
      <w:r w:rsidRPr="003566D8">
        <w:rPr>
          <w:rFonts w:ascii="Book Antiqua" w:hAnsi="Book Antiqua"/>
          <w:lang w:eastAsia="en-US"/>
        </w:rPr>
        <w:t>Carneiro</w:t>
      </w:r>
      <w:proofErr w:type="spellEnd"/>
      <w:r w:rsidRPr="003566D8">
        <w:rPr>
          <w:rFonts w:ascii="Book Antiqua" w:hAnsi="Book Antiqua"/>
          <w:lang w:eastAsia="en-US"/>
        </w:rPr>
        <w:t xml:space="preserve"> F, </w:t>
      </w:r>
      <w:proofErr w:type="spellStart"/>
      <w:r w:rsidRPr="003566D8">
        <w:rPr>
          <w:rFonts w:ascii="Book Antiqua" w:hAnsi="Book Antiqua"/>
          <w:lang w:eastAsia="en-US"/>
        </w:rPr>
        <w:t>Hruban</w:t>
      </w:r>
      <w:proofErr w:type="spellEnd"/>
      <w:r w:rsidRPr="003566D8">
        <w:rPr>
          <w:rFonts w:ascii="Book Antiqua" w:hAnsi="Book Antiqua"/>
          <w:lang w:eastAsia="en-US"/>
        </w:rPr>
        <w:t xml:space="preserve"> RH, </w:t>
      </w:r>
      <w:proofErr w:type="spellStart"/>
      <w:r w:rsidRPr="003566D8">
        <w:rPr>
          <w:rFonts w:ascii="Book Antiqua" w:hAnsi="Book Antiqua"/>
          <w:lang w:eastAsia="en-US"/>
        </w:rPr>
        <w:t>Theise</w:t>
      </w:r>
      <w:proofErr w:type="spellEnd"/>
      <w:r w:rsidRPr="003566D8">
        <w:rPr>
          <w:rFonts w:ascii="Book Antiqua" w:hAnsi="Book Antiqua"/>
          <w:lang w:eastAsia="en-US"/>
        </w:rPr>
        <w:t xml:space="preserve"> ND. WHO Classification of </w:t>
      </w:r>
      <w:proofErr w:type="spellStart"/>
      <w:r w:rsidRPr="003566D8">
        <w:rPr>
          <w:rFonts w:ascii="Book Antiqua" w:hAnsi="Book Antiqua"/>
          <w:lang w:eastAsia="en-US"/>
        </w:rPr>
        <w:t>Tumours</w:t>
      </w:r>
      <w:proofErr w:type="spellEnd"/>
      <w:r w:rsidRPr="003566D8">
        <w:rPr>
          <w:rFonts w:ascii="Book Antiqua" w:hAnsi="Book Antiqua"/>
          <w:lang w:eastAsia="en-US"/>
        </w:rPr>
        <w:t xml:space="preserve"> of the Digestive System. Lyon: IARC Press, 2010: 417</w:t>
      </w:r>
    </w:p>
    <w:p w14:paraId="624302C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3 </w:t>
      </w:r>
      <w:r w:rsidRPr="003566D8">
        <w:rPr>
          <w:rFonts w:ascii="Book Antiqua" w:hAnsi="Book Antiqua"/>
          <w:b/>
          <w:bCs/>
          <w:lang w:eastAsia="en-US"/>
        </w:rPr>
        <w:t>Choi SC</w:t>
      </w:r>
      <w:r w:rsidRPr="003566D8">
        <w:rPr>
          <w:rFonts w:ascii="Book Antiqua" w:hAnsi="Book Antiqua"/>
          <w:lang w:eastAsia="en-US"/>
        </w:rPr>
        <w:t xml:space="preserve">, Lee JK, Jung JH, Lee JS, Lee KH, Lee KT, Rhee JC, Jang KT, Choi SH, </w:t>
      </w:r>
      <w:proofErr w:type="spellStart"/>
      <w:r w:rsidRPr="003566D8">
        <w:rPr>
          <w:rFonts w:ascii="Book Antiqua" w:hAnsi="Book Antiqua"/>
          <w:lang w:eastAsia="en-US"/>
        </w:rPr>
        <w:t>Heo</w:t>
      </w:r>
      <w:proofErr w:type="spellEnd"/>
      <w:r w:rsidRPr="003566D8">
        <w:rPr>
          <w:rFonts w:ascii="Book Antiqua" w:hAnsi="Book Antiqua"/>
          <w:lang w:eastAsia="en-US"/>
        </w:rPr>
        <w:t xml:space="preserve"> JS, Choi DW, Lim JH. The clinicopathological features of biliary intraductal papillary neoplasms according to the location of tumors. </w:t>
      </w:r>
      <w:r w:rsidRPr="003566D8">
        <w:rPr>
          <w:rFonts w:ascii="Book Antiqua" w:hAnsi="Book Antiqua"/>
          <w:i/>
          <w:iCs/>
          <w:lang w:eastAsia="en-US"/>
        </w:rPr>
        <w:t xml:space="preserve">J </w:t>
      </w:r>
      <w:proofErr w:type="spellStart"/>
      <w:r w:rsidRPr="003566D8">
        <w:rPr>
          <w:rFonts w:ascii="Book Antiqua" w:hAnsi="Book Antiqua"/>
          <w:i/>
          <w:iCs/>
          <w:lang w:eastAsia="en-US"/>
        </w:rPr>
        <w:t>Gastroenterol</w:t>
      </w:r>
      <w:proofErr w:type="spellEnd"/>
      <w:r w:rsidRPr="003566D8">
        <w:rPr>
          <w:rFonts w:ascii="Book Antiqua" w:hAnsi="Book Antiqua"/>
          <w:i/>
          <w:iCs/>
          <w:lang w:eastAsia="en-US"/>
        </w:rPr>
        <w:t xml:space="preserve"> </w:t>
      </w:r>
      <w:proofErr w:type="spellStart"/>
      <w:r w:rsidRPr="003566D8">
        <w:rPr>
          <w:rFonts w:ascii="Book Antiqua" w:hAnsi="Book Antiqua"/>
          <w:i/>
          <w:iCs/>
          <w:lang w:eastAsia="en-US"/>
        </w:rPr>
        <w:t>Hepatol</w:t>
      </w:r>
      <w:proofErr w:type="spellEnd"/>
      <w:r w:rsidRPr="003566D8">
        <w:rPr>
          <w:rFonts w:ascii="Book Antiqua" w:hAnsi="Book Antiqua"/>
          <w:lang w:eastAsia="en-US"/>
        </w:rPr>
        <w:t xml:space="preserve"> 2010; </w:t>
      </w:r>
      <w:r w:rsidRPr="003566D8">
        <w:rPr>
          <w:rFonts w:ascii="Book Antiqua" w:hAnsi="Book Antiqua"/>
          <w:b/>
          <w:bCs/>
          <w:lang w:eastAsia="en-US"/>
        </w:rPr>
        <w:t>25</w:t>
      </w:r>
      <w:r w:rsidRPr="003566D8">
        <w:rPr>
          <w:rFonts w:ascii="Book Antiqua" w:hAnsi="Book Antiqua"/>
          <w:lang w:eastAsia="en-US"/>
        </w:rPr>
        <w:t>: 725-730 [PMID: 20492329 DOI: 10.1111/j.1440-1746.2009.06104.x]</w:t>
      </w:r>
    </w:p>
    <w:p w14:paraId="3FCDAE4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lastRenderedPageBreak/>
        <w:t xml:space="preserve">4 </w:t>
      </w:r>
      <w:r w:rsidRPr="003566D8">
        <w:rPr>
          <w:rFonts w:ascii="Book Antiqua" w:hAnsi="Book Antiqua"/>
          <w:b/>
          <w:bCs/>
          <w:lang w:eastAsia="en-US"/>
        </w:rPr>
        <w:t>Gordon-Weeks AN</w:t>
      </w:r>
      <w:r w:rsidRPr="003566D8">
        <w:rPr>
          <w:rFonts w:ascii="Book Antiqua" w:hAnsi="Book Antiqua"/>
          <w:lang w:eastAsia="en-US"/>
        </w:rPr>
        <w:t xml:space="preserve">, Jones K, </w:t>
      </w:r>
      <w:proofErr w:type="spellStart"/>
      <w:r w:rsidRPr="003566D8">
        <w:rPr>
          <w:rFonts w:ascii="Book Antiqua" w:hAnsi="Book Antiqua"/>
          <w:lang w:eastAsia="en-US"/>
        </w:rPr>
        <w:t>Harriss</w:t>
      </w:r>
      <w:proofErr w:type="spellEnd"/>
      <w:r w:rsidRPr="003566D8">
        <w:rPr>
          <w:rFonts w:ascii="Book Antiqua" w:hAnsi="Book Antiqua"/>
          <w:lang w:eastAsia="en-US"/>
        </w:rPr>
        <w:t xml:space="preserve"> E, Smith A, Silva M. Systematic Review and Meta-analysis of Current Experience in Treating IPNB: Clinical and Pathological Correlates. </w:t>
      </w:r>
      <w:r w:rsidRPr="003566D8">
        <w:rPr>
          <w:rFonts w:ascii="Book Antiqua" w:hAnsi="Book Antiqua"/>
          <w:i/>
          <w:iCs/>
          <w:lang w:eastAsia="en-US"/>
        </w:rPr>
        <w:t>Ann Surg</w:t>
      </w:r>
      <w:r w:rsidRPr="003566D8">
        <w:rPr>
          <w:rFonts w:ascii="Book Antiqua" w:hAnsi="Book Antiqua"/>
          <w:lang w:eastAsia="en-US"/>
        </w:rPr>
        <w:t xml:space="preserve"> 2016; </w:t>
      </w:r>
      <w:r w:rsidRPr="003566D8">
        <w:rPr>
          <w:rFonts w:ascii="Book Antiqua" w:hAnsi="Book Antiqua"/>
          <w:b/>
          <w:bCs/>
          <w:lang w:eastAsia="en-US"/>
        </w:rPr>
        <w:t>263</w:t>
      </w:r>
      <w:r w:rsidRPr="003566D8">
        <w:rPr>
          <w:rFonts w:ascii="Book Antiqua" w:hAnsi="Book Antiqua"/>
          <w:lang w:eastAsia="en-US"/>
        </w:rPr>
        <w:t>: 656-663 [PMID: 26501712 DOI: 10.1097/SLA.0000000000001426]</w:t>
      </w:r>
    </w:p>
    <w:p w14:paraId="50A2F563"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5 </w:t>
      </w:r>
      <w:proofErr w:type="spellStart"/>
      <w:r w:rsidRPr="003566D8">
        <w:rPr>
          <w:rFonts w:ascii="Book Antiqua" w:hAnsi="Book Antiqua"/>
          <w:b/>
          <w:bCs/>
          <w:lang w:eastAsia="en-US"/>
        </w:rPr>
        <w:t>Cingolani</w:t>
      </w:r>
      <w:proofErr w:type="spellEnd"/>
      <w:r w:rsidRPr="003566D8">
        <w:rPr>
          <w:rFonts w:ascii="Book Antiqua" w:hAnsi="Book Antiqua"/>
          <w:b/>
          <w:bCs/>
          <w:lang w:eastAsia="en-US"/>
        </w:rPr>
        <w:t xml:space="preserve"> P</w:t>
      </w:r>
      <w:r w:rsidRPr="003566D8">
        <w:rPr>
          <w:rFonts w:ascii="Book Antiqua" w:hAnsi="Book Antiqua"/>
          <w:lang w:eastAsia="en-US"/>
        </w:rPr>
        <w:t xml:space="preserve">, </w:t>
      </w:r>
      <w:proofErr w:type="spellStart"/>
      <w:r w:rsidRPr="003566D8">
        <w:rPr>
          <w:rFonts w:ascii="Book Antiqua" w:hAnsi="Book Antiqua"/>
          <w:lang w:eastAsia="en-US"/>
        </w:rPr>
        <w:t>Platts</w:t>
      </w:r>
      <w:proofErr w:type="spellEnd"/>
      <w:r w:rsidRPr="003566D8">
        <w:rPr>
          <w:rFonts w:ascii="Book Antiqua" w:hAnsi="Book Antiqua"/>
          <w:lang w:eastAsia="en-US"/>
        </w:rPr>
        <w:t xml:space="preserve"> A, Wang le L, Coon M, Nguyen T, Wang L, Land SJ, Lu X, </w:t>
      </w:r>
      <w:proofErr w:type="spellStart"/>
      <w:r w:rsidRPr="003566D8">
        <w:rPr>
          <w:rFonts w:ascii="Book Antiqua" w:hAnsi="Book Antiqua"/>
          <w:lang w:eastAsia="en-US"/>
        </w:rPr>
        <w:t>Ruden</w:t>
      </w:r>
      <w:proofErr w:type="spellEnd"/>
      <w:r w:rsidRPr="003566D8">
        <w:rPr>
          <w:rFonts w:ascii="Book Antiqua" w:hAnsi="Book Antiqua"/>
          <w:lang w:eastAsia="en-US"/>
        </w:rPr>
        <w:t xml:space="preserve"> DM. A program for annotating and predicting the effects of single nucleotide polymorphisms, </w:t>
      </w:r>
      <w:proofErr w:type="spellStart"/>
      <w:r w:rsidRPr="003566D8">
        <w:rPr>
          <w:rFonts w:ascii="Book Antiqua" w:hAnsi="Book Antiqua"/>
          <w:lang w:eastAsia="en-US"/>
        </w:rPr>
        <w:t>SnpEff</w:t>
      </w:r>
      <w:proofErr w:type="spellEnd"/>
      <w:r w:rsidRPr="003566D8">
        <w:rPr>
          <w:rFonts w:ascii="Book Antiqua" w:hAnsi="Book Antiqua"/>
          <w:lang w:eastAsia="en-US"/>
        </w:rPr>
        <w:t xml:space="preserve">: SNPs in the genome of Drosophila melanogaster strain w1118; iso-2; iso-3. </w:t>
      </w:r>
      <w:r w:rsidRPr="003566D8">
        <w:rPr>
          <w:rFonts w:ascii="Book Antiqua" w:hAnsi="Book Antiqua"/>
          <w:i/>
          <w:iCs/>
          <w:lang w:eastAsia="en-US"/>
        </w:rPr>
        <w:t>Fly (Austin)</w:t>
      </w:r>
      <w:r w:rsidRPr="003566D8">
        <w:rPr>
          <w:rFonts w:ascii="Book Antiqua" w:hAnsi="Book Antiqua"/>
          <w:lang w:eastAsia="en-US"/>
        </w:rPr>
        <w:t xml:space="preserve"> 2012; </w:t>
      </w:r>
      <w:r w:rsidRPr="003566D8">
        <w:rPr>
          <w:rFonts w:ascii="Book Antiqua" w:hAnsi="Book Antiqua"/>
          <w:b/>
          <w:bCs/>
          <w:lang w:eastAsia="en-US"/>
        </w:rPr>
        <w:t>6</w:t>
      </w:r>
      <w:r w:rsidRPr="003566D8">
        <w:rPr>
          <w:rFonts w:ascii="Book Antiqua" w:hAnsi="Book Antiqua"/>
          <w:lang w:eastAsia="en-US"/>
        </w:rPr>
        <w:t>: 80-92 [PMID: 22728672 DOI: 10.4161/fly.19695]</w:t>
      </w:r>
    </w:p>
    <w:p w14:paraId="16ACC7E2"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6 </w:t>
      </w:r>
      <w:r w:rsidRPr="003566D8">
        <w:rPr>
          <w:rFonts w:ascii="Book Antiqua" w:hAnsi="Book Antiqua"/>
          <w:b/>
          <w:bCs/>
          <w:lang w:eastAsia="en-US"/>
        </w:rPr>
        <w:t>Yoshida Y</w:t>
      </w:r>
      <w:r w:rsidRPr="003566D8">
        <w:rPr>
          <w:rFonts w:ascii="Book Antiqua" w:hAnsi="Book Antiqua"/>
          <w:lang w:eastAsia="en-US"/>
        </w:rPr>
        <w:t xml:space="preserve">, </w:t>
      </w:r>
      <w:proofErr w:type="spellStart"/>
      <w:r w:rsidRPr="003566D8">
        <w:rPr>
          <w:rFonts w:ascii="Book Antiqua" w:hAnsi="Book Antiqua"/>
          <w:lang w:eastAsia="en-US"/>
        </w:rPr>
        <w:t>Ajiki</w:t>
      </w:r>
      <w:proofErr w:type="spellEnd"/>
      <w:r w:rsidRPr="003566D8">
        <w:rPr>
          <w:rFonts w:ascii="Book Antiqua" w:hAnsi="Book Antiqua"/>
          <w:lang w:eastAsia="en-US"/>
        </w:rPr>
        <w:t xml:space="preserve"> T, Ueno K, </w:t>
      </w:r>
      <w:proofErr w:type="spellStart"/>
      <w:r w:rsidRPr="003566D8">
        <w:rPr>
          <w:rFonts w:ascii="Book Antiqua" w:hAnsi="Book Antiqua"/>
          <w:lang w:eastAsia="en-US"/>
        </w:rPr>
        <w:t>Ohtsubo</w:t>
      </w:r>
      <w:proofErr w:type="spellEnd"/>
      <w:r w:rsidRPr="003566D8">
        <w:rPr>
          <w:rFonts w:ascii="Book Antiqua" w:hAnsi="Book Antiqua"/>
          <w:lang w:eastAsia="en-US"/>
        </w:rPr>
        <w:t xml:space="preserve"> I, Murakami S, Shinozaki K. Advanced Intraductal Papillary Neoplasm of Bile Duct (IPNB) in a young female with metastases to lymph nodes and ovary. </w:t>
      </w:r>
      <w:proofErr w:type="spellStart"/>
      <w:r w:rsidRPr="003566D8">
        <w:rPr>
          <w:rFonts w:ascii="Book Antiqua" w:hAnsi="Book Antiqua"/>
          <w:lang w:eastAsia="en-US"/>
        </w:rPr>
        <w:t>Tando</w:t>
      </w:r>
      <w:proofErr w:type="spellEnd"/>
      <w:r w:rsidRPr="003566D8">
        <w:rPr>
          <w:rFonts w:ascii="Book Antiqua" w:hAnsi="Book Antiqua"/>
          <w:lang w:eastAsia="en-US"/>
        </w:rPr>
        <w:t xml:space="preserve"> 2012; </w:t>
      </w:r>
      <w:r w:rsidRPr="003566D8">
        <w:rPr>
          <w:rFonts w:ascii="Book Antiqua" w:hAnsi="Book Antiqua"/>
          <w:b/>
          <w:bCs/>
          <w:lang w:eastAsia="en-US"/>
        </w:rPr>
        <w:t>26</w:t>
      </w:r>
      <w:r w:rsidRPr="003566D8">
        <w:rPr>
          <w:rFonts w:ascii="Book Antiqua" w:hAnsi="Book Antiqua"/>
          <w:lang w:eastAsia="en-US"/>
        </w:rPr>
        <w:t>: 231-236 [DOI: 10.11210/tando.26.231]</w:t>
      </w:r>
    </w:p>
    <w:p w14:paraId="7D7CF8AC"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7 </w:t>
      </w:r>
      <w:r w:rsidRPr="003566D8">
        <w:rPr>
          <w:rFonts w:ascii="Book Antiqua" w:hAnsi="Book Antiqua"/>
          <w:b/>
          <w:bCs/>
          <w:lang w:eastAsia="en-US"/>
        </w:rPr>
        <w:t>Yeh TS</w:t>
      </w:r>
      <w:r w:rsidRPr="003566D8">
        <w:rPr>
          <w:rFonts w:ascii="Book Antiqua" w:hAnsi="Book Antiqua"/>
          <w:lang w:eastAsia="en-US"/>
        </w:rPr>
        <w:t xml:space="preserve">, Tseng JH, Chiu CT, Liu NJ, Chen TC, Jan YY, Chen MF. </w:t>
      </w:r>
      <w:proofErr w:type="spellStart"/>
      <w:r w:rsidRPr="003566D8">
        <w:rPr>
          <w:rFonts w:ascii="Book Antiqua" w:hAnsi="Book Antiqua"/>
          <w:lang w:eastAsia="en-US"/>
        </w:rPr>
        <w:t>Cholangiographic</w:t>
      </w:r>
      <w:proofErr w:type="spellEnd"/>
      <w:r w:rsidRPr="003566D8">
        <w:rPr>
          <w:rFonts w:ascii="Book Antiqua" w:hAnsi="Book Antiqua"/>
          <w:lang w:eastAsia="en-US"/>
        </w:rPr>
        <w:t xml:space="preserve"> spectrum of </w:t>
      </w:r>
      <w:proofErr w:type="spellStart"/>
      <w:r w:rsidRPr="003566D8">
        <w:rPr>
          <w:rFonts w:ascii="Book Antiqua" w:hAnsi="Book Antiqua"/>
          <w:lang w:eastAsia="en-US"/>
        </w:rPr>
        <w:t>intraductal</w:t>
      </w:r>
      <w:proofErr w:type="spellEnd"/>
      <w:r w:rsidRPr="003566D8">
        <w:rPr>
          <w:rFonts w:ascii="Book Antiqua" w:hAnsi="Book Antiqua"/>
          <w:lang w:eastAsia="en-US"/>
        </w:rPr>
        <w:t xml:space="preserve"> papillary mucinous neoplasm of the bile ducts. </w:t>
      </w:r>
      <w:r w:rsidRPr="003566D8">
        <w:rPr>
          <w:rFonts w:ascii="Book Antiqua" w:hAnsi="Book Antiqua"/>
          <w:i/>
          <w:iCs/>
          <w:lang w:eastAsia="en-US"/>
        </w:rPr>
        <w:t>Ann Surg</w:t>
      </w:r>
      <w:r w:rsidRPr="003566D8">
        <w:rPr>
          <w:rFonts w:ascii="Book Antiqua" w:hAnsi="Book Antiqua"/>
          <w:lang w:eastAsia="en-US"/>
        </w:rPr>
        <w:t xml:space="preserve"> 2006; </w:t>
      </w:r>
      <w:r w:rsidRPr="003566D8">
        <w:rPr>
          <w:rFonts w:ascii="Book Antiqua" w:hAnsi="Book Antiqua"/>
          <w:b/>
          <w:bCs/>
          <w:lang w:eastAsia="en-US"/>
        </w:rPr>
        <w:t>244</w:t>
      </w:r>
      <w:r w:rsidRPr="003566D8">
        <w:rPr>
          <w:rFonts w:ascii="Book Antiqua" w:hAnsi="Book Antiqua"/>
          <w:lang w:eastAsia="en-US"/>
        </w:rPr>
        <w:t>: 248-253 [PMID: 16858187 DOI: 10.1097/01.sla.0000217636.40050.54]</w:t>
      </w:r>
    </w:p>
    <w:p w14:paraId="3E5CDAF1"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8 </w:t>
      </w:r>
      <w:r w:rsidRPr="003566D8">
        <w:rPr>
          <w:rFonts w:ascii="Book Antiqua" w:hAnsi="Book Antiqua"/>
          <w:b/>
          <w:bCs/>
          <w:lang w:eastAsia="en-US"/>
        </w:rPr>
        <w:t>Wu X</w:t>
      </w:r>
      <w:r w:rsidRPr="003566D8">
        <w:rPr>
          <w:rFonts w:ascii="Book Antiqua" w:hAnsi="Book Antiqua"/>
          <w:lang w:eastAsia="en-US"/>
        </w:rPr>
        <w:t xml:space="preserve">, Li B, Zheng C, Chang X, Zhang T, He X, Zhao Y. Intraductal papillary neoplasm of the bile duct: a single-center retrospective study. </w:t>
      </w:r>
      <w:r w:rsidRPr="003566D8">
        <w:rPr>
          <w:rFonts w:ascii="Book Antiqua" w:hAnsi="Book Antiqua"/>
          <w:i/>
          <w:iCs/>
          <w:lang w:eastAsia="en-US"/>
        </w:rPr>
        <w:t>J Int Med Res</w:t>
      </w:r>
      <w:r w:rsidRPr="003566D8">
        <w:rPr>
          <w:rFonts w:ascii="Book Antiqua" w:hAnsi="Book Antiqua"/>
          <w:lang w:eastAsia="en-US"/>
        </w:rPr>
        <w:t xml:space="preserve"> 2018; </w:t>
      </w:r>
      <w:r w:rsidRPr="003566D8">
        <w:rPr>
          <w:rFonts w:ascii="Book Antiqua" w:hAnsi="Book Antiqua"/>
          <w:b/>
          <w:bCs/>
          <w:lang w:eastAsia="en-US"/>
        </w:rPr>
        <w:t>46</w:t>
      </w:r>
      <w:r w:rsidRPr="003566D8">
        <w:rPr>
          <w:rFonts w:ascii="Book Antiqua" w:hAnsi="Book Antiqua"/>
          <w:lang w:eastAsia="en-US"/>
        </w:rPr>
        <w:t>: 4258-4268 [PMID: 30111208 DOI: 10.1177/0300060518792800]</w:t>
      </w:r>
    </w:p>
    <w:p w14:paraId="0B481E27"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9 </w:t>
      </w:r>
      <w:proofErr w:type="spellStart"/>
      <w:r w:rsidRPr="003566D8">
        <w:rPr>
          <w:rFonts w:ascii="Book Antiqua" w:hAnsi="Book Antiqua"/>
          <w:b/>
          <w:bCs/>
          <w:lang w:eastAsia="en-US"/>
        </w:rPr>
        <w:t>Luvira</w:t>
      </w:r>
      <w:proofErr w:type="spellEnd"/>
      <w:r w:rsidRPr="003566D8">
        <w:rPr>
          <w:rFonts w:ascii="Book Antiqua" w:hAnsi="Book Antiqua"/>
          <w:b/>
          <w:bCs/>
          <w:lang w:eastAsia="en-US"/>
        </w:rPr>
        <w:t xml:space="preserve"> V</w:t>
      </w:r>
      <w:r w:rsidRPr="003566D8">
        <w:rPr>
          <w:rFonts w:ascii="Book Antiqua" w:hAnsi="Book Antiqua"/>
          <w:lang w:eastAsia="en-US"/>
        </w:rPr>
        <w:t xml:space="preserve">, </w:t>
      </w:r>
      <w:proofErr w:type="spellStart"/>
      <w:r w:rsidRPr="003566D8">
        <w:rPr>
          <w:rFonts w:ascii="Book Antiqua" w:hAnsi="Book Antiqua"/>
          <w:lang w:eastAsia="en-US"/>
        </w:rPr>
        <w:t>Pugkhem</w:t>
      </w:r>
      <w:proofErr w:type="spellEnd"/>
      <w:r w:rsidRPr="003566D8">
        <w:rPr>
          <w:rFonts w:ascii="Book Antiqua" w:hAnsi="Book Antiqua"/>
          <w:lang w:eastAsia="en-US"/>
        </w:rPr>
        <w:t xml:space="preserve"> A, </w:t>
      </w:r>
      <w:proofErr w:type="spellStart"/>
      <w:r w:rsidRPr="003566D8">
        <w:rPr>
          <w:rFonts w:ascii="Book Antiqua" w:hAnsi="Book Antiqua"/>
          <w:lang w:eastAsia="en-US"/>
        </w:rPr>
        <w:t>Bhudhisawasdi</w:t>
      </w:r>
      <w:proofErr w:type="spellEnd"/>
      <w:r w:rsidRPr="003566D8">
        <w:rPr>
          <w:rFonts w:ascii="Book Antiqua" w:hAnsi="Book Antiqua"/>
          <w:lang w:eastAsia="en-US"/>
        </w:rPr>
        <w:t xml:space="preserve"> V, </w:t>
      </w:r>
      <w:proofErr w:type="spellStart"/>
      <w:r w:rsidRPr="003566D8">
        <w:rPr>
          <w:rFonts w:ascii="Book Antiqua" w:hAnsi="Book Antiqua"/>
          <w:lang w:eastAsia="en-US"/>
        </w:rPr>
        <w:t>Pairojkul</w:t>
      </w:r>
      <w:proofErr w:type="spellEnd"/>
      <w:r w:rsidRPr="003566D8">
        <w:rPr>
          <w:rFonts w:ascii="Book Antiqua" w:hAnsi="Book Antiqua"/>
          <w:lang w:eastAsia="en-US"/>
        </w:rPr>
        <w:t xml:space="preserve"> C, </w:t>
      </w:r>
      <w:proofErr w:type="spellStart"/>
      <w:r w:rsidRPr="003566D8">
        <w:rPr>
          <w:rFonts w:ascii="Book Antiqua" w:hAnsi="Book Antiqua"/>
          <w:lang w:eastAsia="en-US"/>
        </w:rPr>
        <w:t>Sathitkarnmanee</w:t>
      </w:r>
      <w:proofErr w:type="spellEnd"/>
      <w:r w:rsidRPr="003566D8">
        <w:rPr>
          <w:rFonts w:ascii="Book Antiqua" w:hAnsi="Book Antiqua"/>
          <w:lang w:eastAsia="en-US"/>
        </w:rPr>
        <w:t xml:space="preserve"> E, </w:t>
      </w:r>
      <w:proofErr w:type="spellStart"/>
      <w:r w:rsidRPr="003566D8">
        <w:rPr>
          <w:rFonts w:ascii="Book Antiqua" w:hAnsi="Book Antiqua"/>
          <w:lang w:eastAsia="en-US"/>
        </w:rPr>
        <w:t>Luvira</w:t>
      </w:r>
      <w:proofErr w:type="spellEnd"/>
      <w:r w:rsidRPr="003566D8">
        <w:rPr>
          <w:rFonts w:ascii="Book Antiqua" w:hAnsi="Book Antiqua"/>
          <w:lang w:eastAsia="en-US"/>
        </w:rPr>
        <w:t xml:space="preserve"> V, Kamsa-</w:t>
      </w:r>
      <w:proofErr w:type="spellStart"/>
      <w:r w:rsidRPr="003566D8">
        <w:rPr>
          <w:rFonts w:ascii="Book Antiqua" w:hAnsi="Book Antiqua"/>
          <w:lang w:eastAsia="en-US"/>
        </w:rPr>
        <w:t>Ard</w:t>
      </w:r>
      <w:proofErr w:type="spellEnd"/>
      <w:r w:rsidRPr="003566D8">
        <w:rPr>
          <w:rFonts w:ascii="Book Antiqua" w:hAnsi="Book Antiqua"/>
          <w:lang w:eastAsia="en-US"/>
        </w:rPr>
        <w:t xml:space="preserve"> S. Long-term outcome of surgical resection for intraductal papillary neoplasm of the bile duct. </w:t>
      </w:r>
      <w:r w:rsidRPr="003566D8">
        <w:rPr>
          <w:rFonts w:ascii="Book Antiqua" w:hAnsi="Book Antiqua"/>
          <w:i/>
          <w:iCs/>
          <w:lang w:eastAsia="en-US"/>
        </w:rPr>
        <w:t xml:space="preserve">J </w:t>
      </w:r>
      <w:proofErr w:type="spellStart"/>
      <w:r w:rsidRPr="003566D8">
        <w:rPr>
          <w:rFonts w:ascii="Book Antiqua" w:hAnsi="Book Antiqua"/>
          <w:i/>
          <w:iCs/>
          <w:lang w:eastAsia="en-US"/>
        </w:rPr>
        <w:t>Gastroenterol</w:t>
      </w:r>
      <w:proofErr w:type="spellEnd"/>
      <w:r w:rsidRPr="003566D8">
        <w:rPr>
          <w:rFonts w:ascii="Book Antiqua" w:hAnsi="Book Antiqua"/>
          <w:i/>
          <w:iCs/>
          <w:lang w:eastAsia="en-US"/>
        </w:rPr>
        <w:t xml:space="preserve"> </w:t>
      </w:r>
      <w:proofErr w:type="spellStart"/>
      <w:r w:rsidRPr="003566D8">
        <w:rPr>
          <w:rFonts w:ascii="Book Antiqua" w:hAnsi="Book Antiqua"/>
          <w:i/>
          <w:iCs/>
          <w:lang w:eastAsia="en-US"/>
        </w:rPr>
        <w:t>Hepatol</w:t>
      </w:r>
      <w:proofErr w:type="spellEnd"/>
      <w:r w:rsidRPr="003566D8">
        <w:rPr>
          <w:rFonts w:ascii="Book Antiqua" w:hAnsi="Book Antiqua"/>
          <w:lang w:eastAsia="en-US"/>
        </w:rPr>
        <w:t xml:space="preserve"> 2017; </w:t>
      </w:r>
      <w:r w:rsidRPr="003566D8">
        <w:rPr>
          <w:rFonts w:ascii="Book Antiqua" w:hAnsi="Book Antiqua"/>
          <w:b/>
          <w:bCs/>
          <w:lang w:eastAsia="en-US"/>
        </w:rPr>
        <w:t>32</w:t>
      </w:r>
      <w:r w:rsidRPr="003566D8">
        <w:rPr>
          <w:rFonts w:ascii="Book Antiqua" w:hAnsi="Book Antiqua"/>
          <w:lang w:eastAsia="en-US"/>
        </w:rPr>
        <w:t>: 527-533 [PMID: 27356284 DOI: 10.1111/jgh.13481]</w:t>
      </w:r>
    </w:p>
    <w:p w14:paraId="68B98666" w14:textId="77777777" w:rsidR="003566D8" w:rsidRPr="003566D8" w:rsidRDefault="003566D8" w:rsidP="003566D8">
      <w:pPr>
        <w:adjustRightInd w:val="0"/>
        <w:snapToGrid w:val="0"/>
        <w:spacing w:line="360" w:lineRule="auto"/>
        <w:jc w:val="both"/>
        <w:rPr>
          <w:rFonts w:ascii="Book Antiqua" w:hAnsi="Book Antiqua"/>
          <w:lang w:eastAsia="en-US"/>
        </w:rPr>
      </w:pPr>
      <w:r w:rsidRPr="003566D8">
        <w:rPr>
          <w:rFonts w:ascii="Book Antiqua" w:hAnsi="Book Antiqua"/>
          <w:lang w:eastAsia="en-US"/>
        </w:rPr>
        <w:t xml:space="preserve">10 </w:t>
      </w:r>
      <w:r w:rsidRPr="003566D8">
        <w:rPr>
          <w:rFonts w:ascii="Book Antiqua" w:hAnsi="Book Antiqua"/>
          <w:b/>
          <w:bCs/>
          <w:lang w:eastAsia="en-US"/>
        </w:rPr>
        <w:t>Yeh TS</w:t>
      </w:r>
      <w:r w:rsidRPr="003566D8">
        <w:rPr>
          <w:rFonts w:ascii="Book Antiqua" w:hAnsi="Book Antiqua"/>
          <w:lang w:eastAsia="en-US"/>
        </w:rPr>
        <w:t xml:space="preserve">, Tseng JH, Chen TC, Liu NJ, Chiu CT, Jan YY, Chen MF. Characterization of intrahepatic cholangiocarcinoma of the intraductal growth-type and its precursor lesions. </w:t>
      </w:r>
      <w:r w:rsidRPr="003566D8">
        <w:rPr>
          <w:rFonts w:ascii="Book Antiqua" w:hAnsi="Book Antiqua"/>
          <w:i/>
          <w:iCs/>
          <w:lang w:eastAsia="en-US"/>
        </w:rPr>
        <w:t>Hepatology</w:t>
      </w:r>
      <w:r w:rsidRPr="003566D8">
        <w:rPr>
          <w:rFonts w:ascii="Book Antiqua" w:hAnsi="Book Antiqua"/>
          <w:lang w:eastAsia="en-US"/>
        </w:rPr>
        <w:t xml:space="preserve"> 2005; </w:t>
      </w:r>
      <w:r w:rsidRPr="003566D8">
        <w:rPr>
          <w:rFonts w:ascii="Book Antiqua" w:hAnsi="Book Antiqua"/>
          <w:b/>
          <w:bCs/>
          <w:lang w:eastAsia="en-US"/>
        </w:rPr>
        <w:t>42</w:t>
      </w:r>
      <w:r w:rsidRPr="003566D8">
        <w:rPr>
          <w:rFonts w:ascii="Book Antiqua" w:hAnsi="Book Antiqua"/>
          <w:lang w:eastAsia="en-US"/>
        </w:rPr>
        <w:t>: 657-664 [PMID: 16116640 DOI: 10.1002/hep.20837]</w:t>
      </w:r>
    </w:p>
    <w:p w14:paraId="32C7C947" w14:textId="4D1BACBD" w:rsidR="00BC6454" w:rsidRPr="00D47E4E" w:rsidRDefault="003566D8" w:rsidP="00FA5FC9">
      <w:pPr>
        <w:adjustRightInd w:val="0"/>
        <w:snapToGrid w:val="0"/>
        <w:spacing w:line="360" w:lineRule="auto"/>
        <w:jc w:val="both"/>
        <w:rPr>
          <w:rFonts w:ascii="Book Antiqua" w:hAnsi="Book Antiqua"/>
        </w:rPr>
      </w:pPr>
      <w:r w:rsidRPr="003566D8">
        <w:rPr>
          <w:rFonts w:ascii="Book Antiqua" w:hAnsi="Book Antiqua"/>
          <w:lang w:eastAsia="en-US"/>
        </w:rPr>
        <w:t xml:space="preserve">11 </w:t>
      </w:r>
      <w:r w:rsidRPr="003566D8">
        <w:rPr>
          <w:rFonts w:ascii="Book Antiqua" w:hAnsi="Book Antiqua"/>
          <w:b/>
          <w:bCs/>
          <w:lang w:eastAsia="en-US"/>
        </w:rPr>
        <w:t>Lee SS</w:t>
      </w:r>
      <w:r w:rsidRPr="003566D8">
        <w:rPr>
          <w:rFonts w:ascii="Book Antiqua" w:hAnsi="Book Antiqua"/>
          <w:lang w:eastAsia="en-US"/>
        </w:rPr>
        <w:t xml:space="preserve">, Kim MH, Lee SK, Jang SJ, Song MH, Kim KP, Kim HJ, </w:t>
      </w:r>
      <w:proofErr w:type="spellStart"/>
      <w:r w:rsidRPr="003566D8">
        <w:rPr>
          <w:rFonts w:ascii="Book Antiqua" w:hAnsi="Book Antiqua"/>
          <w:lang w:eastAsia="en-US"/>
        </w:rPr>
        <w:t>Seo</w:t>
      </w:r>
      <w:proofErr w:type="spellEnd"/>
      <w:r w:rsidRPr="003566D8">
        <w:rPr>
          <w:rFonts w:ascii="Book Antiqua" w:hAnsi="Book Antiqua"/>
          <w:lang w:eastAsia="en-US"/>
        </w:rPr>
        <w:t xml:space="preserve"> DW, Song DE, Yu E, Lee SG, Min YI. Clinicopathologic review of 58 patients with biliary papillomatosis. </w:t>
      </w:r>
      <w:r w:rsidRPr="003566D8">
        <w:rPr>
          <w:rFonts w:ascii="Book Antiqua" w:hAnsi="Book Antiqua"/>
          <w:i/>
          <w:iCs/>
          <w:lang w:eastAsia="en-US"/>
        </w:rPr>
        <w:t>Cancer</w:t>
      </w:r>
      <w:r w:rsidRPr="003566D8">
        <w:rPr>
          <w:rFonts w:ascii="Book Antiqua" w:hAnsi="Book Antiqua"/>
          <w:lang w:eastAsia="en-US"/>
        </w:rPr>
        <w:t xml:space="preserve"> 2004; </w:t>
      </w:r>
      <w:r w:rsidRPr="003566D8">
        <w:rPr>
          <w:rFonts w:ascii="Book Antiqua" w:hAnsi="Book Antiqua"/>
          <w:b/>
          <w:bCs/>
          <w:lang w:eastAsia="en-US"/>
        </w:rPr>
        <w:t>100</w:t>
      </w:r>
      <w:r w:rsidRPr="003566D8">
        <w:rPr>
          <w:rFonts w:ascii="Book Antiqua" w:hAnsi="Book Antiqua"/>
          <w:lang w:eastAsia="en-US"/>
        </w:rPr>
        <w:t>: 783-793 [PMID: 14770435 DOI: 10.1002/cncr.20031]</w:t>
      </w:r>
      <w:r w:rsidR="00BC6454" w:rsidRPr="00D47E4E">
        <w:rPr>
          <w:rFonts w:ascii="Book Antiqua" w:hAnsi="Book Antiqua"/>
        </w:rPr>
        <w:br w:type="page"/>
      </w:r>
    </w:p>
    <w:p w14:paraId="0ACED260" w14:textId="3751EB69" w:rsidR="00446915" w:rsidRPr="00D47E4E" w:rsidRDefault="00446915" w:rsidP="00FA5FC9">
      <w:pPr>
        <w:pStyle w:val="a8"/>
        <w:adjustRightInd w:val="0"/>
        <w:snapToGrid w:val="0"/>
        <w:spacing w:before="0" w:beforeAutospacing="0" w:after="0" w:afterAutospacing="0" w:line="360" w:lineRule="auto"/>
        <w:jc w:val="both"/>
        <w:rPr>
          <w:rFonts w:ascii="Book Antiqua" w:hAnsi="Book Antiqua"/>
          <w:b/>
          <w:bCs/>
          <w:lang w:val="vi-VN"/>
        </w:rPr>
      </w:pPr>
      <w:r w:rsidRPr="00D47E4E">
        <w:rPr>
          <w:rFonts w:ascii="Book Antiqua" w:hAnsi="Book Antiqua"/>
          <w:b/>
          <w:bCs/>
        </w:rPr>
        <w:lastRenderedPageBreak/>
        <w:t>Footnotes</w:t>
      </w:r>
    </w:p>
    <w:p w14:paraId="5CC0E326" w14:textId="2EE531A4" w:rsidR="00446915" w:rsidRPr="00D47E4E" w:rsidRDefault="00446915" w:rsidP="00FA5FC9">
      <w:pPr>
        <w:pStyle w:val="a8"/>
        <w:adjustRightInd w:val="0"/>
        <w:snapToGrid w:val="0"/>
        <w:spacing w:before="0" w:beforeAutospacing="0" w:after="0" w:afterAutospacing="0" w:line="360" w:lineRule="auto"/>
        <w:jc w:val="both"/>
        <w:rPr>
          <w:rFonts w:ascii="Book Antiqua" w:hAnsi="Book Antiqua"/>
          <w:bCs/>
          <w:lang w:val="vi-VN"/>
        </w:rPr>
      </w:pPr>
      <w:r w:rsidRPr="00D47E4E">
        <w:rPr>
          <w:rFonts w:ascii="Book Antiqua" w:hAnsi="Book Antiqua"/>
          <w:b/>
          <w:bCs/>
          <w:lang w:val="vi-VN"/>
        </w:rPr>
        <w:t xml:space="preserve">Informed consent statement: </w:t>
      </w:r>
      <w:r w:rsidRPr="00D47E4E">
        <w:rPr>
          <w:rFonts w:ascii="Book Antiqua" w:hAnsi="Book Antiqua"/>
          <w:bCs/>
          <w:lang w:val="vi-VN"/>
        </w:rPr>
        <w:t>Informed written consent was obtained from the patient for publication of this report and any accompanying images.</w:t>
      </w:r>
    </w:p>
    <w:p w14:paraId="29AE248A" w14:textId="77777777" w:rsidR="00446915" w:rsidRPr="00D47E4E" w:rsidRDefault="00446915" w:rsidP="00FA5FC9">
      <w:pPr>
        <w:pStyle w:val="a8"/>
        <w:adjustRightInd w:val="0"/>
        <w:snapToGrid w:val="0"/>
        <w:spacing w:before="0" w:beforeAutospacing="0" w:after="0" w:afterAutospacing="0" w:line="360" w:lineRule="auto"/>
        <w:jc w:val="both"/>
        <w:rPr>
          <w:rFonts w:ascii="Book Antiqua" w:hAnsi="Book Antiqua"/>
          <w:b/>
          <w:bCs/>
          <w:lang w:val="vi-VN"/>
        </w:rPr>
      </w:pPr>
    </w:p>
    <w:p w14:paraId="69E9E99D" w14:textId="0B77B7B2" w:rsidR="00BC6454" w:rsidRPr="00D47E4E" w:rsidRDefault="00BC6454" w:rsidP="00FA5FC9">
      <w:pPr>
        <w:pStyle w:val="a8"/>
        <w:adjustRightInd w:val="0"/>
        <w:snapToGrid w:val="0"/>
        <w:spacing w:before="0" w:beforeAutospacing="0" w:after="0" w:afterAutospacing="0" w:line="360" w:lineRule="auto"/>
        <w:jc w:val="both"/>
        <w:rPr>
          <w:rFonts w:ascii="Book Antiqua" w:hAnsi="Book Antiqua"/>
        </w:rPr>
      </w:pPr>
      <w:r w:rsidRPr="00D47E4E">
        <w:rPr>
          <w:rFonts w:ascii="Book Antiqua" w:hAnsi="Book Antiqua"/>
          <w:b/>
          <w:bCs/>
        </w:rPr>
        <w:t xml:space="preserve">Conflict-of-interest statement: </w:t>
      </w:r>
      <w:r w:rsidRPr="00D47E4E">
        <w:rPr>
          <w:rFonts w:ascii="Book Antiqua" w:hAnsi="Book Antiqua"/>
        </w:rPr>
        <w:t>The authors declare that they have no conflict of interest.</w:t>
      </w:r>
    </w:p>
    <w:p w14:paraId="4DB413A9" w14:textId="77777777" w:rsidR="00BC6454" w:rsidRPr="00D47E4E" w:rsidRDefault="00BC6454" w:rsidP="00FA5FC9">
      <w:pPr>
        <w:pStyle w:val="a8"/>
        <w:adjustRightInd w:val="0"/>
        <w:snapToGrid w:val="0"/>
        <w:spacing w:before="0" w:beforeAutospacing="0" w:after="0" w:afterAutospacing="0" w:line="360" w:lineRule="auto"/>
        <w:jc w:val="both"/>
        <w:rPr>
          <w:rFonts w:ascii="Book Antiqua" w:hAnsi="Book Antiqua"/>
        </w:rPr>
      </w:pPr>
    </w:p>
    <w:p w14:paraId="1EC688FD" w14:textId="65842B0B" w:rsidR="00BC6454" w:rsidRPr="00D47E4E" w:rsidRDefault="00BC6454" w:rsidP="00FA5FC9">
      <w:pPr>
        <w:adjustRightInd w:val="0"/>
        <w:snapToGrid w:val="0"/>
        <w:spacing w:line="360" w:lineRule="auto"/>
        <w:jc w:val="both"/>
        <w:rPr>
          <w:rFonts w:ascii="Book Antiqua" w:hAnsi="Book Antiqua"/>
          <w:lang w:val="vi-VN"/>
        </w:rPr>
      </w:pPr>
      <w:r w:rsidRPr="00D47E4E">
        <w:rPr>
          <w:rFonts w:ascii="Book Antiqua" w:hAnsi="Book Antiqua"/>
          <w:b/>
        </w:rPr>
        <w:t>CARE Checklist (2016) statement:</w:t>
      </w:r>
      <w:r w:rsidRPr="00D47E4E">
        <w:rPr>
          <w:rFonts w:ascii="Book Antiqua" w:hAnsi="Book Antiqua"/>
        </w:rPr>
        <w:t xml:space="preserve"> </w:t>
      </w:r>
      <w:r w:rsidR="00446915" w:rsidRPr="00D47E4E">
        <w:rPr>
          <w:rFonts w:ascii="Book Antiqua" w:hAnsi="Book Antiqua"/>
        </w:rPr>
        <w:t>The</w:t>
      </w:r>
      <w:r w:rsidR="00446915" w:rsidRPr="00D47E4E">
        <w:rPr>
          <w:rFonts w:ascii="Book Antiqua" w:hAnsi="Book Antiqua"/>
          <w:lang w:val="vi-VN"/>
        </w:rPr>
        <w:t xml:space="preserve"> authors have read the CARE Checklist </w:t>
      </w:r>
      <w:r w:rsidR="00AC1E3E" w:rsidRPr="00D47E4E">
        <w:rPr>
          <w:rFonts w:ascii="Book Antiqua" w:hAnsi="Book Antiqua"/>
          <w:lang w:val="vi-VN"/>
        </w:rPr>
        <w:t xml:space="preserve">(2016), </w:t>
      </w:r>
      <w:r w:rsidR="00446915" w:rsidRPr="00D47E4E">
        <w:rPr>
          <w:rFonts w:ascii="Book Antiqua" w:hAnsi="Book Antiqua"/>
          <w:lang w:val="vi-VN"/>
        </w:rPr>
        <w:t>and the manuscript</w:t>
      </w:r>
      <w:r w:rsidRPr="00D47E4E">
        <w:rPr>
          <w:rFonts w:ascii="Book Antiqua" w:hAnsi="Book Antiqua"/>
        </w:rPr>
        <w:t xml:space="preserve"> was </w:t>
      </w:r>
      <w:r w:rsidR="00446915" w:rsidRPr="00D47E4E">
        <w:rPr>
          <w:rFonts w:ascii="Book Antiqua" w:hAnsi="Book Antiqua"/>
        </w:rPr>
        <w:t>prepared</w:t>
      </w:r>
      <w:r w:rsidR="00446915" w:rsidRPr="00D47E4E">
        <w:rPr>
          <w:rFonts w:ascii="Book Antiqua" w:hAnsi="Book Antiqua"/>
          <w:lang w:val="vi-VN"/>
        </w:rPr>
        <w:t xml:space="preserve"> and revised according to</w:t>
      </w:r>
      <w:r w:rsidRPr="00D47E4E">
        <w:rPr>
          <w:rFonts w:ascii="Book Antiqua" w:hAnsi="Book Antiqua"/>
        </w:rPr>
        <w:t xml:space="preserve"> the CARE </w:t>
      </w:r>
      <w:r w:rsidR="00446915" w:rsidRPr="00D47E4E">
        <w:rPr>
          <w:rFonts w:ascii="Book Antiqua" w:hAnsi="Book Antiqua"/>
        </w:rPr>
        <w:t>Checklist</w:t>
      </w:r>
      <w:r w:rsidR="00446915" w:rsidRPr="00D47E4E">
        <w:rPr>
          <w:rFonts w:ascii="Book Antiqua" w:hAnsi="Book Antiqua"/>
          <w:lang w:val="vi-VN"/>
        </w:rPr>
        <w:t xml:space="preserve"> </w:t>
      </w:r>
      <w:r w:rsidRPr="00D47E4E">
        <w:rPr>
          <w:rFonts w:ascii="Book Antiqua" w:hAnsi="Book Antiqua"/>
        </w:rPr>
        <w:t>(201</w:t>
      </w:r>
      <w:r w:rsidRPr="00D47E4E">
        <w:rPr>
          <w:rFonts w:ascii="Book Antiqua" w:hAnsi="Book Antiqua"/>
          <w:lang w:val="vi-VN"/>
        </w:rPr>
        <w:t>6</w:t>
      </w:r>
      <w:r w:rsidRPr="00D47E4E">
        <w:rPr>
          <w:rFonts w:ascii="Book Antiqua" w:hAnsi="Book Antiqua"/>
        </w:rPr>
        <w:t>)</w:t>
      </w:r>
      <w:r w:rsidR="00446915" w:rsidRPr="00D47E4E">
        <w:rPr>
          <w:rFonts w:ascii="Book Antiqua" w:hAnsi="Book Antiqua"/>
          <w:lang w:val="vi-VN"/>
        </w:rPr>
        <w:t>.</w:t>
      </w:r>
    </w:p>
    <w:p w14:paraId="70490E2B" w14:textId="77777777" w:rsidR="00AC1E3E" w:rsidRPr="00D47E4E" w:rsidRDefault="00AC1E3E" w:rsidP="00FA5FC9">
      <w:pPr>
        <w:adjustRightInd w:val="0"/>
        <w:snapToGrid w:val="0"/>
        <w:spacing w:line="360" w:lineRule="auto"/>
        <w:jc w:val="both"/>
        <w:rPr>
          <w:rFonts w:ascii="Book Antiqua" w:hAnsi="Book Antiqua"/>
        </w:rPr>
      </w:pPr>
    </w:p>
    <w:p w14:paraId="7953F214" w14:textId="77777777" w:rsidR="003566D8" w:rsidRPr="003566D8" w:rsidRDefault="003566D8" w:rsidP="003566D8">
      <w:pPr>
        <w:adjustRightInd w:val="0"/>
        <w:snapToGrid w:val="0"/>
        <w:spacing w:line="360" w:lineRule="auto"/>
        <w:jc w:val="both"/>
        <w:rPr>
          <w:rFonts w:ascii="Book Antiqua" w:eastAsia="宋体" w:hAnsi="Book Antiqua"/>
          <w:lang w:val="en-GB" w:eastAsia="en-US"/>
        </w:rPr>
      </w:pPr>
      <w:r w:rsidRPr="003566D8">
        <w:rPr>
          <w:rFonts w:ascii="Book Antiqua" w:eastAsia="宋体" w:hAnsi="Book Antiqua"/>
          <w:b/>
          <w:lang w:val="en-GB" w:eastAsia="en-US"/>
        </w:rPr>
        <w:t xml:space="preserve">Open-Access: </w:t>
      </w:r>
      <w:r w:rsidRPr="003566D8">
        <w:rPr>
          <w:rFonts w:ascii="Book Antiqua" w:eastAsia="宋体" w:hAnsi="Book Antiqua"/>
          <w:lang w:val="en-GB" w:eastAsia="en-US"/>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3566D8">
          <w:rPr>
            <w:rFonts w:ascii="Book Antiqua" w:eastAsia="宋体" w:hAnsi="Book Antiqua"/>
            <w:lang w:val="en-GB" w:eastAsia="en-US"/>
          </w:rPr>
          <w:t>http://creativecommons.org/licenses/by-nc/4.0/</w:t>
        </w:r>
      </w:hyperlink>
    </w:p>
    <w:p w14:paraId="28C0037A" w14:textId="77777777" w:rsidR="00AC1E3E" w:rsidRPr="00D47E4E" w:rsidRDefault="00AC1E3E" w:rsidP="00FA5FC9">
      <w:pPr>
        <w:pStyle w:val="Default"/>
        <w:snapToGrid w:val="0"/>
        <w:spacing w:line="360" w:lineRule="auto"/>
        <w:jc w:val="both"/>
        <w:rPr>
          <w:color w:val="auto"/>
        </w:rPr>
      </w:pPr>
    </w:p>
    <w:p w14:paraId="3DEBFC09" w14:textId="5B351A8B" w:rsidR="00AC1E3E" w:rsidRPr="00D47E4E" w:rsidRDefault="00AC1E3E" w:rsidP="00FA5FC9">
      <w:pPr>
        <w:pStyle w:val="Default"/>
        <w:snapToGrid w:val="0"/>
        <w:spacing w:line="360" w:lineRule="auto"/>
        <w:jc w:val="both"/>
        <w:rPr>
          <w:color w:val="auto"/>
        </w:rPr>
      </w:pPr>
      <w:r w:rsidRPr="00D47E4E">
        <w:rPr>
          <w:b/>
          <w:bCs/>
          <w:color w:val="auto"/>
        </w:rPr>
        <w:t>Manuscript source:</w:t>
      </w:r>
      <w:r w:rsidRPr="00D47E4E">
        <w:rPr>
          <w:bCs/>
          <w:color w:val="auto"/>
        </w:rPr>
        <w:t xml:space="preserve"> </w:t>
      </w:r>
      <w:r w:rsidR="00B1029A" w:rsidRPr="00D47E4E">
        <w:rPr>
          <w:bCs/>
          <w:color w:val="auto"/>
        </w:rPr>
        <w:t>Unsolicited</w:t>
      </w:r>
      <w:r w:rsidRPr="00D47E4E">
        <w:rPr>
          <w:color w:val="auto"/>
        </w:rPr>
        <w:t xml:space="preserve"> manuscript </w:t>
      </w:r>
    </w:p>
    <w:p w14:paraId="44C91BB0" w14:textId="77777777" w:rsidR="00AC1E3E" w:rsidRPr="00D47E4E" w:rsidRDefault="00AC1E3E" w:rsidP="00FA5FC9">
      <w:pPr>
        <w:pStyle w:val="Default"/>
        <w:snapToGrid w:val="0"/>
        <w:spacing w:line="360" w:lineRule="auto"/>
        <w:jc w:val="both"/>
        <w:rPr>
          <w:b/>
          <w:color w:val="auto"/>
        </w:rPr>
      </w:pPr>
    </w:p>
    <w:p w14:paraId="6612077D" w14:textId="328F2D36" w:rsidR="00AC1E3E" w:rsidRPr="00D47E4E" w:rsidRDefault="00AC1E3E" w:rsidP="00FA5FC9">
      <w:pPr>
        <w:pStyle w:val="Default"/>
        <w:snapToGrid w:val="0"/>
        <w:spacing w:line="360" w:lineRule="auto"/>
        <w:jc w:val="both"/>
        <w:rPr>
          <w:color w:val="auto"/>
        </w:rPr>
      </w:pPr>
      <w:r w:rsidRPr="00D47E4E">
        <w:rPr>
          <w:b/>
          <w:bCs/>
          <w:color w:val="auto"/>
        </w:rPr>
        <w:t>Peer-review started:</w:t>
      </w:r>
      <w:r w:rsidRPr="00D47E4E">
        <w:rPr>
          <w:bCs/>
          <w:color w:val="auto"/>
        </w:rPr>
        <w:t xml:space="preserve"> </w:t>
      </w:r>
      <w:r w:rsidRPr="00D47E4E">
        <w:rPr>
          <w:color w:val="auto"/>
        </w:rPr>
        <w:t>October 13, 201</w:t>
      </w:r>
      <w:r w:rsidR="00837274" w:rsidRPr="00D47E4E">
        <w:rPr>
          <w:color w:val="auto"/>
        </w:rPr>
        <w:t>9</w:t>
      </w:r>
      <w:r w:rsidRPr="00D47E4E">
        <w:rPr>
          <w:color w:val="auto"/>
        </w:rPr>
        <w:t xml:space="preserve"> </w:t>
      </w:r>
    </w:p>
    <w:p w14:paraId="5CB63467" w14:textId="6CCCB467" w:rsidR="00AC1E3E" w:rsidRPr="00D47E4E" w:rsidRDefault="00AC1E3E" w:rsidP="00FA5FC9">
      <w:pPr>
        <w:pStyle w:val="Default"/>
        <w:snapToGrid w:val="0"/>
        <w:spacing w:line="360" w:lineRule="auto"/>
        <w:jc w:val="both"/>
        <w:rPr>
          <w:color w:val="auto"/>
        </w:rPr>
      </w:pPr>
      <w:r w:rsidRPr="00D47E4E">
        <w:rPr>
          <w:b/>
          <w:bCs/>
          <w:color w:val="auto"/>
        </w:rPr>
        <w:t>First decision:</w:t>
      </w:r>
      <w:r w:rsidRPr="00D47E4E">
        <w:rPr>
          <w:bCs/>
          <w:color w:val="auto"/>
        </w:rPr>
        <w:t xml:space="preserve"> December</w:t>
      </w:r>
      <w:r w:rsidRPr="00D47E4E">
        <w:rPr>
          <w:color w:val="auto"/>
        </w:rPr>
        <w:t xml:space="preserve"> </w:t>
      </w:r>
      <w:r w:rsidR="00837274" w:rsidRPr="00D47E4E">
        <w:rPr>
          <w:color w:val="auto"/>
        </w:rPr>
        <w:t>5</w:t>
      </w:r>
      <w:r w:rsidRPr="00D47E4E">
        <w:rPr>
          <w:color w:val="auto"/>
        </w:rPr>
        <w:t>, 201</w:t>
      </w:r>
      <w:r w:rsidR="00837274" w:rsidRPr="00D47E4E">
        <w:rPr>
          <w:color w:val="auto"/>
        </w:rPr>
        <w:t>9</w:t>
      </w:r>
      <w:r w:rsidRPr="00D47E4E">
        <w:rPr>
          <w:color w:val="auto"/>
        </w:rPr>
        <w:t xml:space="preserve"> </w:t>
      </w:r>
    </w:p>
    <w:p w14:paraId="55054622" w14:textId="5FAADC61" w:rsidR="00AC1E3E" w:rsidRPr="00D47E4E" w:rsidRDefault="00AC1E3E" w:rsidP="00FA5FC9">
      <w:pPr>
        <w:pStyle w:val="Default"/>
        <w:snapToGrid w:val="0"/>
        <w:spacing w:line="360" w:lineRule="auto"/>
        <w:jc w:val="both"/>
        <w:rPr>
          <w:b/>
          <w:bCs/>
          <w:color w:val="auto"/>
        </w:rPr>
      </w:pPr>
      <w:r w:rsidRPr="00D47E4E">
        <w:rPr>
          <w:b/>
          <w:bCs/>
          <w:color w:val="auto"/>
        </w:rPr>
        <w:t xml:space="preserve">Article in press: </w:t>
      </w:r>
    </w:p>
    <w:p w14:paraId="38D56628" w14:textId="77777777" w:rsidR="00AC1E3E" w:rsidRPr="00D47E4E" w:rsidRDefault="00AC1E3E" w:rsidP="00FA5FC9">
      <w:pPr>
        <w:pStyle w:val="Default"/>
        <w:snapToGrid w:val="0"/>
        <w:spacing w:line="360" w:lineRule="auto"/>
        <w:jc w:val="both"/>
        <w:rPr>
          <w:b/>
          <w:color w:val="auto"/>
        </w:rPr>
      </w:pPr>
    </w:p>
    <w:p w14:paraId="466063B6" w14:textId="32039F52" w:rsidR="00AC1E3E" w:rsidRPr="00D47E4E" w:rsidRDefault="00AC1E3E" w:rsidP="00FA5FC9">
      <w:pPr>
        <w:pStyle w:val="Default"/>
        <w:snapToGrid w:val="0"/>
        <w:spacing w:line="360" w:lineRule="auto"/>
        <w:jc w:val="both"/>
        <w:rPr>
          <w:color w:val="auto"/>
        </w:rPr>
      </w:pPr>
      <w:r w:rsidRPr="00D47E4E">
        <w:rPr>
          <w:b/>
          <w:bCs/>
          <w:color w:val="auto"/>
        </w:rPr>
        <w:t>Specialty type:</w:t>
      </w:r>
      <w:r w:rsidRPr="00D47E4E">
        <w:rPr>
          <w:bCs/>
          <w:color w:val="auto"/>
        </w:rPr>
        <w:t xml:space="preserve"> </w:t>
      </w:r>
      <w:r w:rsidR="003C3218" w:rsidRPr="00D47E4E">
        <w:rPr>
          <w:color w:val="auto"/>
        </w:rPr>
        <w:t>Gastroenterology and hepatology</w:t>
      </w:r>
      <w:r w:rsidRPr="00D47E4E">
        <w:rPr>
          <w:color w:val="auto"/>
        </w:rPr>
        <w:t xml:space="preserve"> </w:t>
      </w:r>
    </w:p>
    <w:p w14:paraId="7ADE2364" w14:textId="007EFDF6" w:rsidR="00AC1E3E" w:rsidRPr="00D47E4E" w:rsidRDefault="00AC1E3E" w:rsidP="00FA5FC9">
      <w:pPr>
        <w:pStyle w:val="Default"/>
        <w:snapToGrid w:val="0"/>
        <w:spacing w:line="360" w:lineRule="auto"/>
        <w:jc w:val="both"/>
        <w:rPr>
          <w:color w:val="auto"/>
        </w:rPr>
      </w:pPr>
      <w:r w:rsidRPr="00D47E4E">
        <w:rPr>
          <w:b/>
          <w:bCs/>
          <w:color w:val="auto"/>
        </w:rPr>
        <w:t>Country of origin:</w:t>
      </w:r>
      <w:r w:rsidRPr="00D47E4E">
        <w:rPr>
          <w:bCs/>
          <w:color w:val="auto"/>
        </w:rPr>
        <w:t xml:space="preserve"> Japan</w:t>
      </w:r>
      <w:r w:rsidRPr="00D47E4E">
        <w:rPr>
          <w:color w:val="auto"/>
        </w:rPr>
        <w:t xml:space="preserve"> </w:t>
      </w:r>
    </w:p>
    <w:p w14:paraId="4476B554" w14:textId="61ED71C3" w:rsidR="00AC1E3E" w:rsidRPr="00D47E4E" w:rsidRDefault="00AC1E3E" w:rsidP="00FA5FC9">
      <w:pPr>
        <w:pStyle w:val="Default"/>
        <w:snapToGrid w:val="0"/>
        <w:spacing w:line="360" w:lineRule="auto"/>
        <w:jc w:val="both"/>
        <w:rPr>
          <w:b/>
          <w:color w:val="auto"/>
          <w:lang w:val="vi-VN"/>
        </w:rPr>
      </w:pPr>
      <w:r w:rsidRPr="00D47E4E">
        <w:rPr>
          <w:b/>
          <w:color w:val="auto"/>
        </w:rPr>
        <w:t>Peer</w:t>
      </w:r>
      <w:r w:rsidRPr="00D47E4E">
        <w:rPr>
          <w:b/>
          <w:color w:val="auto"/>
          <w:lang w:val="vi-VN"/>
        </w:rPr>
        <w:t>-review report classification</w:t>
      </w:r>
    </w:p>
    <w:p w14:paraId="6D321EED" w14:textId="4DD97679" w:rsidR="00AC1E3E" w:rsidRPr="00D47E4E" w:rsidRDefault="00AC1E3E" w:rsidP="00FA5FC9">
      <w:pPr>
        <w:pStyle w:val="Default"/>
        <w:snapToGrid w:val="0"/>
        <w:spacing w:line="360" w:lineRule="auto"/>
        <w:jc w:val="both"/>
        <w:rPr>
          <w:color w:val="auto"/>
          <w:lang w:val="vi-VN"/>
        </w:rPr>
      </w:pPr>
      <w:r w:rsidRPr="00D47E4E">
        <w:rPr>
          <w:color w:val="auto"/>
          <w:lang w:val="vi-VN"/>
        </w:rPr>
        <w:t>Grade</w:t>
      </w:r>
      <w:r w:rsidR="00B1029A" w:rsidRPr="00D47E4E">
        <w:rPr>
          <w:color w:val="auto"/>
          <w:lang w:val="vi-VN"/>
        </w:rPr>
        <w:t xml:space="preserve"> A (Excellent): 0</w:t>
      </w:r>
    </w:p>
    <w:p w14:paraId="5BD9FF97" w14:textId="0C42910E" w:rsidR="00B1029A" w:rsidRPr="00D47E4E" w:rsidRDefault="00B1029A" w:rsidP="00FA5FC9">
      <w:pPr>
        <w:pStyle w:val="Default"/>
        <w:snapToGrid w:val="0"/>
        <w:spacing w:line="360" w:lineRule="auto"/>
        <w:jc w:val="both"/>
        <w:rPr>
          <w:color w:val="auto"/>
          <w:lang w:val="vi-VN"/>
        </w:rPr>
      </w:pPr>
      <w:r w:rsidRPr="00D47E4E">
        <w:rPr>
          <w:color w:val="auto"/>
          <w:lang w:val="vi-VN"/>
        </w:rPr>
        <w:t>Grade B (Very good): B</w:t>
      </w:r>
    </w:p>
    <w:p w14:paraId="69A9A003" w14:textId="38BC78EB" w:rsidR="00B1029A" w:rsidRPr="00D47E4E" w:rsidRDefault="00B1029A" w:rsidP="00FA5FC9">
      <w:pPr>
        <w:pStyle w:val="Default"/>
        <w:snapToGrid w:val="0"/>
        <w:spacing w:line="360" w:lineRule="auto"/>
        <w:jc w:val="both"/>
        <w:rPr>
          <w:color w:val="auto"/>
          <w:lang w:val="vi-VN"/>
        </w:rPr>
      </w:pPr>
      <w:r w:rsidRPr="00D47E4E">
        <w:rPr>
          <w:color w:val="auto"/>
          <w:lang w:val="vi-VN"/>
        </w:rPr>
        <w:t>Grade C (Good): 0</w:t>
      </w:r>
    </w:p>
    <w:p w14:paraId="0F5BBBC2" w14:textId="3B91799A" w:rsidR="00B1029A" w:rsidRPr="00D47E4E" w:rsidRDefault="00B1029A" w:rsidP="00FA5FC9">
      <w:pPr>
        <w:pStyle w:val="Default"/>
        <w:snapToGrid w:val="0"/>
        <w:spacing w:line="360" w:lineRule="auto"/>
        <w:jc w:val="both"/>
        <w:rPr>
          <w:color w:val="auto"/>
          <w:lang w:val="vi-VN"/>
        </w:rPr>
      </w:pPr>
      <w:r w:rsidRPr="00D47E4E">
        <w:rPr>
          <w:color w:val="auto"/>
          <w:lang w:val="vi-VN"/>
        </w:rPr>
        <w:t>Grade D (Fair): 0</w:t>
      </w:r>
    </w:p>
    <w:p w14:paraId="4D3EACC9" w14:textId="56F2CB55" w:rsidR="00B1029A" w:rsidRPr="00D47E4E" w:rsidRDefault="00B1029A" w:rsidP="00FA5FC9">
      <w:pPr>
        <w:pStyle w:val="Default"/>
        <w:snapToGrid w:val="0"/>
        <w:spacing w:line="360" w:lineRule="auto"/>
        <w:jc w:val="both"/>
        <w:rPr>
          <w:color w:val="auto"/>
          <w:lang w:val="vi-VN"/>
        </w:rPr>
      </w:pPr>
      <w:r w:rsidRPr="00D47E4E">
        <w:rPr>
          <w:color w:val="auto"/>
          <w:lang w:val="vi-VN"/>
        </w:rPr>
        <w:lastRenderedPageBreak/>
        <w:t>Grade E (Poor): 0</w:t>
      </w:r>
    </w:p>
    <w:p w14:paraId="44954B8C" w14:textId="42736359" w:rsidR="00AC1E3E" w:rsidRPr="00D47E4E" w:rsidRDefault="00AC1E3E" w:rsidP="00FA5FC9">
      <w:pPr>
        <w:adjustRightInd w:val="0"/>
        <w:snapToGrid w:val="0"/>
        <w:spacing w:line="360" w:lineRule="auto"/>
        <w:jc w:val="both"/>
        <w:rPr>
          <w:rFonts w:ascii="Book Antiqua" w:hAnsi="Book Antiqua"/>
          <w:lang w:val="vi-VN"/>
        </w:rPr>
      </w:pPr>
    </w:p>
    <w:p w14:paraId="5FB726B8" w14:textId="21C4C021" w:rsidR="000352D4" w:rsidRPr="00D47E4E" w:rsidRDefault="00B1029A" w:rsidP="00FA5FC9">
      <w:pPr>
        <w:adjustRightInd w:val="0"/>
        <w:snapToGrid w:val="0"/>
        <w:spacing w:line="360" w:lineRule="auto"/>
        <w:jc w:val="both"/>
        <w:rPr>
          <w:rFonts w:ascii="Book Antiqua" w:hAnsi="Book Antiqua"/>
          <w:b/>
          <w:bCs/>
        </w:rPr>
      </w:pPr>
      <w:r w:rsidRPr="00D47E4E">
        <w:rPr>
          <w:rFonts w:ascii="Book Antiqua" w:hAnsi="Book Antiqua"/>
          <w:b/>
          <w:bCs/>
        </w:rPr>
        <w:t xml:space="preserve">P-Reviewer: </w:t>
      </w:r>
      <w:r w:rsidR="003C3218" w:rsidRPr="00D47E4E">
        <w:rPr>
          <w:rFonts w:ascii="Book Antiqua" w:hAnsi="Book Antiqua"/>
        </w:rPr>
        <w:t>Viswanath Y</w:t>
      </w:r>
      <w:r w:rsidR="003C3218" w:rsidRPr="00D47E4E">
        <w:rPr>
          <w:rFonts w:ascii="Book Antiqua" w:hAnsi="Book Antiqua"/>
          <w:b/>
          <w:bCs/>
        </w:rPr>
        <w:t xml:space="preserve"> </w:t>
      </w:r>
      <w:r w:rsidRPr="00D47E4E">
        <w:rPr>
          <w:rFonts w:ascii="Book Antiqua" w:hAnsi="Book Antiqua"/>
          <w:b/>
          <w:bCs/>
        </w:rPr>
        <w:t xml:space="preserve">S-Editor: </w:t>
      </w:r>
      <w:r w:rsidR="003C3218" w:rsidRPr="00D47E4E">
        <w:rPr>
          <w:rFonts w:ascii="Book Antiqua" w:hAnsi="Book Antiqua"/>
        </w:rPr>
        <w:t xml:space="preserve">Tang JZ </w:t>
      </w:r>
      <w:r w:rsidRPr="00D47E4E">
        <w:rPr>
          <w:rFonts w:ascii="Book Antiqua" w:hAnsi="Book Antiqua"/>
          <w:b/>
          <w:bCs/>
        </w:rPr>
        <w:t>L-Editor: E-Editor:</w:t>
      </w:r>
    </w:p>
    <w:p w14:paraId="1E469B0B" w14:textId="77777777" w:rsidR="000352D4" w:rsidRPr="00D47E4E" w:rsidRDefault="000352D4" w:rsidP="00FA5FC9">
      <w:pPr>
        <w:rPr>
          <w:rFonts w:ascii="Book Antiqua" w:hAnsi="Book Antiqua"/>
          <w:b/>
          <w:bCs/>
        </w:rPr>
      </w:pPr>
      <w:r w:rsidRPr="00D47E4E">
        <w:rPr>
          <w:rFonts w:ascii="Book Antiqua" w:hAnsi="Book Antiqua"/>
          <w:b/>
          <w:bCs/>
        </w:rPr>
        <w:br w:type="page"/>
      </w:r>
    </w:p>
    <w:p w14:paraId="3165970F" w14:textId="75384D9B" w:rsidR="00B1029A" w:rsidRPr="00D47E4E" w:rsidRDefault="00B1029A" w:rsidP="00FA5FC9">
      <w:pPr>
        <w:adjustRightInd w:val="0"/>
        <w:snapToGrid w:val="0"/>
        <w:spacing w:line="360" w:lineRule="auto"/>
        <w:jc w:val="both"/>
        <w:rPr>
          <w:rFonts w:ascii="Book Antiqua" w:eastAsiaTheme="minorEastAsia" w:hAnsi="Book Antiqua"/>
        </w:rPr>
      </w:pPr>
    </w:p>
    <w:p w14:paraId="11DF8D50" w14:textId="2813A64B" w:rsidR="000352D4" w:rsidRPr="00D47E4E" w:rsidRDefault="00187B62" w:rsidP="00FA5FC9">
      <w:pPr>
        <w:adjustRightInd w:val="0"/>
        <w:snapToGrid w:val="0"/>
        <w:spacing w:line="360" w:lineRule="auto"/>
        <w:jc w:val="both"/>
        <w:rPr>
          <w:rFonts w:ascii="Book Antiqua" w:hAnsi="Book Antiqua"/>
        </w:rPr>
      </w:pPr>
      <w:r>
        <w:rPr>
          <w:noProof/>
          <w:lang w:eastAsia="zh-CN"/>
        </w:rPr>
        <w:drawing>
          <wp:inline distT="0" distB="0" distL="0" distR="0" wp14:anchorId="14DF62D7" wp14:editId="423E31E2">
            <wp:extent cx="3270282" cy="3182112"/>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271413" cy="3183212"/>
                    </a:xfrm>
                    <a:prstGeom prst="rect">
                      <a:avLst/>
                    </a:prstGeom>
                  </pic:spPr>
                </pic:pic>
              </a:graphicData>
            </a:graphic>
          </wp:inline>
        </w:drawing>
      </w:r>
    </w:p>
    <w:p w14:paraId="483CE56B" w14:textId="2318E28D" w:rsidR="000352D4" w:rsidRPr="00D47E4E" w:rsidRDefault="000352D4" w:rsidP="00FA5FC9">
      <w:pPr>
        <w:adjustRightInd w:val="0"/>
        <w:snapToGrid w:val="0"/>
        <w:spacing w:line="360" w:lineRule="auto"/>
        <w:jc w:val="both"/>
        <w:rPr>
          <w:rFonts w:ascii="Book Antiqua" w:hAnsi="Book Antiqua"/>
          <w:b/>
        </w:rPr>
      </w:pPr>
      <w:r w:rsidRPr="00D47E4E">
        <w:rPr>
          <w:rFonts w:ascii="Book Antiqua" w:hAnsi="Book Antiqua"/>
          <w:b/>
        </w:rPr>
        <w:t xml:space="preserve">Figure 1 </w:t>
      </w:r>
      <w:proofErr w:type="spellStart"/>
      <w:r w:rsidRPr="00D47E4E">
        <w:rPr>
          <w:rFonts w:ascii="Book Antiqua" w:hAnsi="Book Antiqua"/>
          <w:b/>
        </w:rPr>
        <w:t>Peroral</w:t>
      </w:r>
      <w:proofErr w:type="spellEnd"/>
      <w:r w:rsidRPr="00D47E4E">
        <w:rPr>
          <w:rFonts w:ascii="Book Antiqua" w:hAnsi="Book Antiqua"/>
          <w:b/>
        </w:rPr>
        <w:t xml:space="preserve"> </w:t>
      </w:r>
      <w:proofErr w:type="spellStart"/>
      <w:r w:rsidRPr="00D47E4E">
        <w:rPr>
          <w:rFonts w:ascii="Book Antiqua" w:hAnsi="Book Antiqua"/>
          <w:b/>
        </w:rPr>
        <w:t>cholangioscopy</w:t>
      </w:r>
      <w:proofErr w:type="spellEnd"/>
      <w:r w:rsidRPr="00D47E4E">
        <w:rPr>
          <w:rFonts w:ascii="Book Antiqua" w:hAnsi="Book Antiqua"/>
          <w:b/>
        </w:rPr>
        <w:t xml:space="preserve"> findings: </w:t>
      </w:r>
      <w:r w:rsidR="005A0BF3" w:rsidRPr="00D47E4E">
        <w:rPr>
          <w:rFonts w:ascii="Book Antiqua" w:hAnsi="Book Antiqua"/>
          <w:b/>
        </w:rPr>
        <w:t>B</w:t>
      </w:r>
      <w:r w:rsidRPr="00D47E4E">
        <w:rPr>
          <w:rFonts w:ascii="Book Antiqua" w:hAnsi="Book Antiqua"/>
          <w:b/>
        </w:rPr>
        <w:t xml:space="preserve">iliary papillomatosis in the </w:t>
      </w:r>
      <w:r w:rsidR="005A0BF3" w:rsidRPr="00D47E4E">
        <w:rPr>
          <w:rFonts w:ascii="Book Antiqua" w:hAnsi="Book Antiqua"/>
          <w:b/>
        </w:rPr>
        <w:t>common bile duct</w:t>
      </w:r>
      <w:r w:rsidRPr="00D47E4E">
        <w:rPr>
          <w:rFonts w:ascii="Book Antiqua" w:hAnsi="Book Antiqua"/>
          <w:b/>
        </w:rPr>
        <w:t>.</w:t>
      </w:r>
      <w:r w:rsidR="00471CD2" w:rsidRPr="00D47E4E">
        <w:rPr>
          <w:rFonts w:ascii="Book Antiqua" w:hAnsi="Book Antiqua"/>
          <w:b/>
        </w:rPr>
        <w:t xml:space="preserve"> </w:t>
      </w:r>
    </w:p>
    <w:p w14:paraId="12C2AE3B" w14:textId="77777777" w:rsidR="000352D4" w:rsidRPr="00D47E4E" w:rsidRDefault="000352D4" w:rsidP="00FA5FC9">
      <w:pPr>
        <w:rPr>
          <w:rFonts w:ascii="Book Antiqua" w:hAnsi="Book Antiqua"/>
          <w:b/>
        </w:rPr>
      </w:pPr>
      <w:r w:rsidRPr="00D47E4E">
        <w:rPr>
          <w:rFonts w:ascii="Book Antiqua" w:hAnsi="Book Antiqua"/>
          <w:b/>
        </w:rPr>
        <w:br w:type="page"/>
      </w:r>
    </w:p>
    <w:p w14:paraId="402F078B" w14:textId="030971A0" w:rsidR="000352D4" w:rsidRPr="00D47E4E" w:rsidRDefault="00187B62" w:rsidP="00FA5FC9">
      <w:pPr>
        <w:adjustRightInd w:val="0"/>
        <w:snapToGrid w:val="0"/>
        <w:spacing w:line="360" w:lineRule="auto"/>
        <w:jc w:val="both"/>
        <w:outlineLvl w:val="0"/>
        <w:rPr>
          <w:rFonts w:ascii="Book Antiqua" w:hAnsi="Book Antiqua"/>
          <w:b/>
          <w:i/>
        </w:rPr>
      </w:pPr>
      <w:r>
        <w:rPr>
          <w:noProof/>
          <w:lang w:eastAsia="zh-CN"/>
        </w:rPr>
        <w:lastRenderedPageBreak/>
        <w:drawing>
          <wp:inline distT="0" distB="0" distL="0" distR="0" wp14:anchorId="1C58C697" wp14:editId="6B1033E5">
            <wp:extent cx="2223146" cy="1741018"/>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224369" cy="1741976"/>
                    </a:xfrm>
                    <a:prstGeom prst="rect">
                      <a:avLst/>
                    </a:prstGeom>
                  </pic:spPr>
                </pic:pic>
              </a:graphicData>
            </a:graphic>
          </wp:inline>
        </w:drawing>
      </w:r>
    </w:p>
    <w:p w14:paraId="674138BC" w14:textId="77777777" w:rsidR="000352D4" w:rsidRPr="00D47E4E" w:rsidRDefault="000352D4" w:rsidP="00FA5FC9">
      <w:pPr>
        <w:adjustRightInd w:val="0"/>
        <w:snapToGrid w:val="0"/>
        <w:spacing w:line="360" w:lineRule="auto"/>
        <w:jc w:val="both"/>
        <w:rPr>
          <w:rFonts w:ascii="Book Antiqua" w:hAnsi="Book Antiqua"/>
          <w:b/>
        </w:rPr>
      </w:pPr>
      <w:r w:rsidRPr="00D47E4E">
        <w:rPr>
          <w:rFonts w:ascii="Book Antiqua" w:hAnsi="Book Antiqua"/>
          <w:b/>
        </w:rPr>
        <w:t>Figure 2 Magnetic resonance imaging revealed extensively dilated bile ducts due to an intraluminal lesion located in the common bile duct.</w:t>
      </w:r>
    </w:p>
    <w:p w14:paraId="0C061791" w14:textId="7EBE08A7" w:rsidR="000352D4" w:rsidRPr="00D47E4E" w:rsidRDefault="000352D4" w:rsidP="00FA5FC9">
      <w:pPr>
        <w:rPr>
          <w:rFonts w:ascii="Book Antiqua" w:eastAsia="等线" w:hAnsi="Book Antiqua"/>
          <w:lang w:eastAsia="zh-CN"/>
        </w:rPr>
      </w:pPr>
      <w:r w:rsidRPr="00D47E4E">
        <w:rPr>
          <w:rFonts w:ascii="Book Antiqua" w:eastAsia="等线" w:hAnsi="Book Antiqua"/>
          <w:lang w:eastAsia="zh-CN"/>
        </w:rPr>
        <w:br w:type="page"/>
      </w:r>
    </w:p>
    <w:p w14:paraId="56B2E214" w14:textId="232F2CDE" w:rsidR="000739A3" w:rsidRPr="00D47E4E" w:rsidRDefault="00187B62" w:rsidP="00FA5FC9">
      <w:pPr>
        <w:adjustRightInd w:val="0"/>
        <w:snapToGrid w:val="0"/>
        <w:spacing w:line="360" w:lineRule="auto"/>
        <w:jc w:val="both"/>
        <w:rPr>
          <w:rFonts w:ascii="Book Antiqua" w:hAnsi="Book Antiqua"/>
        </w:rPr>
      </w:pPr>
      <w:r>
        <w:rPr>
          <w:noProof/>
          <w:lang w:eastAsia="zh-CN"/>
        </w:rPr>
        <w:lastRenderedPageBreak/>
        <w:drawing>
          <wp:inline distT="0" distB="0" distL="0" distR="0" wp14:anchorId="63D916F7" wp14:editId="1A52E52A">
            <wp:extent cx="3390476" cy="2142857"/>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390476" cy="2142857"/>
                    </a:xfrm>
                    <a:prstGeom prst="rect">
                      <a:avLst/>
                    </a:prstGeom>
                  </pic:spPr>
                </pic:pic>
              </a:graphicData>
            </a:graphic>
          </wp:inline>
        </w:drawing>
      </w:r>
    </w:p>
    <w:p w14:paraId="27980F48" w14:textId="77777777" w:rsidR="000739A3" w:rsidRPr="00D47E4E" w:rsidRDefault="000739A3" w:rsidP="00FA5FC9">
      <w:pPr>
        <w:adjustRightInd w:val="0"/>
        <w:snapToGrid w:val="0"/>
        <w:spacing w:line="360" w:lineRule="auto"/>
        <w:jc w:val="both"/>
        <w:rPr>
          <w:rFonts w:ascii="Book Antiqua" w:hAnsi="Book Antiqua"/>
          <w:b/>
        </w:rPr>
      </w:pPr>
      <w:r w:rsidRPr="00D47E4E">
        <w:rPr>
          <w:rFonts w:ascii="Book Antiqua" w:hAnsi="Book Antiqua"/>
          <w:b/>
        </w:rPr>
        <w:t>Figure 3 Macroscopic ﬁndings showed a papillary tumor of the bile duct (arrowhead).</w:t>
      </w:r>
    </w:p>
    <w:p w14:paraId="6AEB0F32" w14:textId="4D68DF5E" w:rsidR="000739A3" w:rsidRPr="00D47E4E" w:rsidRDefault="000739A3" w:rsidP="00FA5FC9">
      <w:pPr>
        <w:rPr>
          <w:rFonts w:ascii="Book Antiqua" w:eastAsia="等线" w:hAnsi="Book Antiqua"/>
          <w:lang w:eastAsia="zh-CN"/>
        </w:rPr>
      </w:pPr>
      <w:r w:rsidRPr="00D47E4E">
        <w:rPr>
          <w:rFonts w:ascii="Book Antiqua" w:eastAsia="等线" w:hAnsi="Book Antiqua"/>
          <w:lang w:eastAsia="zh-CN"/>
        </w:rPr>
        <w:br w:type="page"/>
      </w:r>
    </w:p>
    <w:p w14:paraId="26971EBD" w14:textId="1B1B4CD1" w:rsidR="000739A3" w:rsidRPr="00D47E4E" w:rsidRDefault="005A0BF3" w:rsidP="00FA5FC9">
      <w:pPr>
        <w:adjustRightInd w:val="0"/>
        <w:snapToGrid w:val="0"/>
        <w:spacing w:line="360" w:lineRule="auto"/>
        <w:jc w:val="both"/>
        <w:rPr>
          <w:rFonts w:ascii="Book Antiqua" w:hAnsi="Book Antiqua"/>
          <w:b/>
        </w:rPr>
      </w:pPr>
      <w:r w:rsidRPr="00D47E4E">
        <w:rPr>
          <w:rFonts w:ascii="Book Antiqua" w:hAnsi="Book Antiqua"/>
          <w:noProof/>
          <w:lang w:eastAsia="zh-CN"/>
        </w:rPr>
        <w:lastRenderedPageBreak/>
        <w:drawing>
          <wp:inline distT="0" distB="0" distL="0" distR="0" wp14:anchorId="015EA5C0" wp14:editId="5C108C56">
            <wp:extent cx="5727700" cy="274891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2748915"/>
                    </a:xfrm>
                    <a:prstGeom prst="rect">
                      <a:avLst/>
                    </a:prstGeom>
                  </pic:spPr>
                </pic:pic>
              </a:graphicData>
            </a:graphic>
          </wp:inline>
        </w:drawing>
      </w:r>
    </w:p>
    <w:p w14:paraId="0E82F7FA" w14:textId="722FEC08" w:rsidR="000739A3" w:rsidRPr="00D47E4E" w:rsidRDefault="000739A3" w:rsidP="00FA5FC9">
      <w:pPr>
        <w:adjustRightInd w:val="0"/>
        <w:snapToGrid w:val="0"/>
        <w:spacing w:line="360" w:lineRule="auto"/>
        <w:jc w:val="both"/>
        <w:rPr>
          <w:rFonts w:ascii="Book Antiqua" w:hAnsi="Book Antiqua"/>
          <w:bCs/>
        </w:rPr>
      </w:pPr>
      <w:r w:rsidRPr="00D47E4E">
        <w:rPr>
          <w:rFonts w:ascii="Book Antiqua" w:hAnsi="Book Antiqua"/>
          <w:b/>
        </w:rPr>
        <w:t xml:space="preserve">Figure 4 Microscopic ﬁndings of the bile duct tumor. </w:t>
      </w:r>
      <w:r w:rsidR="00D6376F" w:rsidRPr="00D47E4E">
        <w:rPr>
          <w:rFonts w:ascii="Book Antiqua" w:hAnsi="Book Antiqua"/>
          <w:bCs/>
        </w:rPr>
        <w:t xml:space="preserve">A: </w:t>
      </w:r>
      <w:r w:rsidRPr="00D47E4E">
        <w:rPr>
          <w:rFonts w:ascii="Book Antiqua" w:hAnsi="Book Antiqua"/>
          <w:bCs/>
        </w:rPr>
        <w:t>The tumor showed the intraductal papillary proliferation of columnar cells with a high nuclear/cytoplasmic ratio</w:t>
      </w:r>
      <w:r w:rsidR="00D6376F" w:rsidRPr="00D47E4E">
        <w:rPr>
          <w:rFonts w:ascii="Book Antiqua" w:hAnsi="Book Antiqua"/>
          <w:bCs/>
        </w:rPr>
        <w:t xml:space="preserve">; B: </w:t>
      </w:r>
      <w:r w:rsidRPr="00D47E4E">
        <w:rPr>
          <w:rFonts w:ascii="Book Antiqua" w:hAnsi="Book Antiqua"/>
          <w:bCs/>
        </w:rPr>
        <w:t xml:space="preserve">These neoplastic cells were entirely confined within the duct, and no invasion was identified (A: magnification </w:t>
      </w:r>
      <w:r w:rsidR="0023688E" w:rsidRPr="00D47E4E">
        <w:rPr>
          <w:rFonts w:ascii="Book Antiqua" w:hAnsi="Book Antiqua"/>
          <w:bCs/>
        </w:rPr>
        <w:t xml:space="preserve">× </w:t>
      </w:r>
      <w:r w:rsidRPr="00D47E4E">
        <w:rPr>
          <w:rFonts w:ascii="Book Antiqua" w:hAnsi="Book Antiqua"/>
          <w:bCs/>
        </w:rPr>
        <w:t xml:space="preserve">20, B: magnification </w:t>
      </w:r>
      <w:r w:rsidR="0023688E" w:rsidRPr="00D47E4E">
        <w:rPr>
          <w:rFonts w:ascii="Book Antiqua" w:hAnsi="Book Antiqua"/>
          <w:bCs/>
        </w:rPr>
        <w:t xml:space="preserve">× </w:t>
      </w:r>
      <w:r w:rsidRPr="00D47E4E">
        <w:rPr>
          <w:rFonts w:ascii="Book Antiqua" w:hAnsi="Book Antiqua"/>
          <w:bCs/>
        </w:rPr>
        <w:t>400)</w:t>
      </w:r>
      <w:r w:rsidR="00D6376F" w:rsidRPr="00D47E4E">
        <w:rPr>
          <w:rFonts w:ascii="Book Antiqua" w:hAnsi="Book Antiqua"/>
          <w:bCs/>
        </w:rPr>
        <w:t>;</w:t>
      </w:r>
      <w:r w:rsidRPr="00D47E4E">
        <w:rPr>
          <w:rFonts w:ascii="Book Antiqua" w:hAnsi="Book Antiqua"/>
          <w:bCs/>
        </w:rPr>
        <w:t xml:space="preserve"> </w:t>
      </w:r>
      <w:r w:rsidR="00D6376F" w:rsidRPr="00D47E4E">
        <w:rPr>
          <w:rFonts w:ascii="Book Antiqua" w:hAnsi="Book Antiqua"/>
          <w:bCs/>
        </w:rPr>
        <w:t xml:space="preserve">C-F: </w:t>
      </w:r>
      <w:proofErr w:type="spellStart"/>
      <w:r w:rsidRPr="00D47E4E">
        <w:rPr>
          <w:rFonts w:ascii="Book Antiqua" w:hAnsi="Book Antiqua"/>
          <w:bCs/>
        </w:rPr>
        <w:t>Immunohistological</w:t>
      </w:r>
      <w:proofErr w:type="spellEnd"/>
      <w:r w:rsidRPr="00D47E4E">
        <w:rPr>
          <w:rFonts w:ascii="Book Antiqua" w:hAnsi="Book Antiqua"/>
          <w:bCs/>
        </w:rPr>
        <w:t xml:space="preserve"> staining showed that the tumor cells were positive for CDX2</w:t>
      </w:r>
      <w:r w:rsidR="00D6376F" w:rsidRPr="00D47E4E">
        <w:rPr>
          <w:rFonts w:ascii="Book Antiqua" w:hAnsi="Book Antiqua"/>
          <w:bCs/>
        </w:rPr>
        <w:t>, CK7, CK20, and Ki67.</w:t>
      </w:r>
    </w:p>
    <w:p w14:paraId="307DB68C" w14:textId="35FE8EAC"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731BB3C5" w14:textId="77777777" w:rsidR="003E5C93" w:rsidRPr="00D47E4E" w:rsidRDefault="003E5C93" w:rsidP="00FA5FC9">
      <w:pPr>
        <w:adjustRightInd w:val="0"/>
        <w:snapToGrid w:val="0"/>
        <w:spacing w:line="360" w:lineRule="auto"/>
        <w:jc w:val="both"/>
        <w:rPr>
          <w:rFonts w:ascii="Book Antiqua" w:hAnsi="Book Antiqua"/>
        </w:rPr>
      </w:pPr>
      <w:r w:rsidRPr="00D47E4E">
        <w:rPr>
          <w:rFonts w:ascii="Book Antiqua" w:hAnsi="Book Antiqua"/>
          <w:noProof/>
          <w:lang w:eastAsia="zh-CN"/>
        </w:rPr>
        <w:lastRenderedPageBreak/>
        <w:drawing>
          <wp:inline distT="0" distB="0" distL="0" distR="0" wp14:anchorId="04788A0D" wp14:editId="1F54C042">
            <wp:extent cx="5727700" cy="25292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2529205"/>
                    </a:xfrm>
                    <a:prstGeom prst="rect">
                      <a:avLst/>
                    </a:prstGeom>
                  </pic:spPr>
                </pic:pic>
              </a:graphicData>
            </a:graphic>
          </wp:inline>
        </w:drawing>
      </w:r>
    </w:p>
    <w:p w14:paraId="52403686" w14:textId="13926D45" w:rsidR="003E5C93" w:rsidRPr="00D47E4E" w:rsidRDefault="003E5C93" w:rsidP="00FA5FC9">
      <w:pPr>
        <w:adjustRightInd w:val="0"/>
        <w:snapToGrid w:val="0"/>
        <w:spacing w:line="360" w:lineRule="auto"/>
        <w:jc w:val="both"/>
        <w:rPr>
          <w:rFonts w:ascii="Book Antiqua" w:hAnsi="Book Antiqua"/>
          <w:b/>
        </w:rPr>
      </w:pPr>
      <w:r w:rsidRPr="00D47E4E">
        <w:rPr>
          <w:rFonts w:ascii="Book Antiqua" w:hAnsi="Book Antiqua"/>
          <w:b/>
        </w:rPr>
        <w:t>Figure 5 Variation in the CA 19-9 level in correlation with clinical events.</w:t>
      </w:r>
      <w:r w:rsidR="00D6376F" w:rsidRPr="00D47E4E">
        <w:rPr>
          <w:rFonts w:ascii="Book Antiqua" w:eastAsia="等线" w:hAnsi="Book Antiqua"/>
          <w:b/>
          <w:lang w:eastAsia="zh-CN"/>
        </w:rPr>
        <w:t xml:space="preserve"> </w:t>
      </w:r>
      <w:r w:rsidRPr="00D47E4E">
        <w:rPr>
          <w:rFonts w:ascii="Book Antiqua" w:hAnsi="Book Antiqua"/>
          <w:bCs/>
        </w:rPr>
        <w:t xml:space="preserve">Time A (2015 December): </w:t>
      </w:r>
      <w:r w:rsidR="00923A97" w:rsidRPr="00D47E4E">
        <w:rPr>
          <w:rFonts w:ascii="Book Antiqua" w:hAnsi="Book Antiqua"/>
          <w:bCs/>
        </w:rPr>
        <w:t>D</w:t>
      </w:r>
      <w:r w:rsidRPr="00D47E4E">
        <w:rPr>
          <w:rFonts w:ascii="Book Antiqua" w:hAnsi="Book Antiqua"/>
          <w:bCs/>
        </w:rPr>
        <w:t xml:space="preserve">iagnosis of </w:t>
      </w:r>
      <w:r w:rsidR="003D675F" w:rsidRPr="00D47E4E">
        <w:rPr>
          <w:rFonts w:ascii="Book Antiqua" w:hAnsi="Book Antiqua"/>
          <w:bCs/>
        </w:rPr>
        <w:t>intraductal papillary neoplasm of the bile duct</w:t>
      </w:r>
      <w:r w:rsidRPr="00D47E4E">
        <w:rPr>
          <w:rFonts w:ascii="Book Antiqua" w:hAnsi="Book Antiqua"/>
          <w:bCs/>
        </w:rPr>
        <w:t xml:space="preserve"> T1N0M0</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 xml:space="preserve">Time B (2016 January): </w:t>
      </w:r>
      <w:r w:rsidR="00923A97" w:rsidRPr="00D47E4E">
        <w:rPr>
          <w:rFonts w:ascii="Book Antiqua" w:hAnsi="Book Antiqua"/>
          <w:bCs/>
        </w:rPr>
        <w:t>G</w:t>
      </w:r>
      <w:r w:rsidRPr="00D47E4E">
        <w:rPr>
          <w:rFonts w:ascii="Book Antiqua" w:hAnsi="Book Antiqua"/>
          <w:bCs/>
        </w:rPr>
        <w:t>ood prognosis with satisfactory postoperative pathological findings, such as high-grade intraepithelial neoplasia pattern without an invasive component, R0 resection, no extended metastasis, lymph node (-) and ascites cytology (-)</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 xml:space="preserve">Time C (2018 September): </w:t>
      </w:r>
      <w:r w:rsidR="00923A97" w:rsidRPr="00D47E4E">
        <w:rPr>
          <w:rFonts w:ascii="Book Antiqua" w:hAnsi="Book Antiqua"/>
          <w:bCs/>
        </w:rPr>
        <w:t>D</w:t>
      </w:r>
      <w:r w:rsidRPr="00D47E4E">
        <w:rPr>
          <w:rFonts w:ascii="Book Antiqua" w:hAnsi="Book Antiqua"/>
          <w:bCs/>
        </w:rPr>
        <w:t>etection of suspected metastatic adenocarcinoma of bile duct origin with a 26 mm lung tumor, a 12 mm brain tumor and a 4-fold higher level of CA 19-9</w:t>
      </w:r>
      <w:r w:rsidR="00D6376F" w:rsidRPr="00D47E4E">
        <w:rPr>
          <w:rFonts w:ascii="Book Antiqua" w:hAnsi="Book Antiqua"/>
          <w:bCs/>
        </w:rPr>
        <w:t>;</w:t>
      </w:r>
      <w:r w:rsidR="00D6376F" w:rsidRPr="00D47E4E">
        <w:rPr>
          <w:rFonts w:ascii="Book Antiqua" w:eastAsia="等线" w:hAnsi="Book Antiqua"/>
          <w:bCs/>
          <w:lang w:eastAsia="zh-CN"/>
        </w:rPr>
        <w:t xml:space="preserve"> </w:t>
      </w:r>
      <w:r w:rsidRPr="00D47E4E">
        <w:rPr>
          <w:rFonts w:ascii="Book Antiqua" w:hAnsi="Book Antiqua"/>
          <w:bCs/>
        </w:rPr>
        <w:t>Time D (2018 November): VATS lobectomy and SRT for brain tumor</w:t>
      </w:r>
      <w:r w:rsidR="00D6376F" w:rsidRPr="00D47E4E">
        <w:rPr>
          <w:rFonts w:ascii="Book Antiqua" w:hAnsi="Book Antiqua"/>
          <w:bCs/>
        </w:rPr>
        <w:t>;</w:t>
      </w:r>
      <w:r w:rsidR="00D6376F" w:rsidRPr="00D47E4E">
        <w:rPr>
          <w:rFonts w:ascii="Book Antiqua" w:eastAsia="等线" w:hAnsi="Book Antiqua"/>
          <w:bCs/>
          <w:lang w:eastAsia="zh-CN"/>
        </w:rPr>
        <w:t xml:space="preserve"> and </w:t>
      </w:r>
      <w:r w:rsidRPr="00D47E4E">
        <w:rPr>
          <w:rFonts w:ascii="Book Antiqua" w:hAnsi="Book Antiqua"/>
          <w:bCs/>
        </w:rPr>
        <w:t xml:space="preserve">Time E (2019 January): </w:t>
      </w:r>
      <w:r w:rsidR="00923A97" w:rsidRPr="00D47E4E">
        <w:rPr>
          <w:rFonts w:ascii="Book Antiqua" w:hAnsi="Book Antiqua"/>
          <w:bCs/>
        </w:rPr>
        <w:t>S</w:t>
      </w:r>
      <w:r w:rsidRPr="00D47E4E">
        <w:rPr>
          <w:rFonts w:ascii="Book Antiqua" w:hAnsi="Book Antiqua"/>
          <w:bCs/>
        </w:rPr>
        <w:t>table condition with normal level of CA 19-9</w:t>
      </w:r>
      <w:r w:rsidR="00D6376F" w:rsidRPr="00D47E4E">
        <w:rPr>
          <w:rFonts w:ascii="Book Antiqua" w:hAnsi="Book Antiqua"/>
          <w:bCs/>
        </w:rPr>
        <w:t>.</w:t>
      </w:r>
    </w:p>
    <w:p w14:paraId="26039945" w14:textId="11606BE9" w:rsidR="003E5C93" w:rsidRPr="00D47E4E" w:rsidRDefault="003E5C93" w:rsidP="00FA5FC9">
      <w:pPr>
        <w:rPr>
          <w:rFonts w:ascii="Book Antiqua" w:eastAsia="等线" w:hAnsi="Book Antiqua"/>
          <w:bCs/>
          <w:lang w:eastAsia="zh-CN"/>
        </w:rPr>
      </w:pPr>
      <w:r w:rsidRPr="00D47E4E">
        <w:rPr>
          <w:rFonts w:ascii="Book Antiqua" w:eastAsia="等线" w:hAnsi="Book Antiqua"/>
          <w:bCs/>
          <w:lang w:eastAsia="zh-CN"/>
        </w:rPr>
        <w:br w:type="page"/>
      </w:r>
    </w:p>
    <w:p w14:paraId="5B8B8DED" w14:textId="55F3E1CC" w:rsidR="003E5C93" w:rsidRPr="00D47E4E" w:rsidRDefault="003E5C93" w:rsidP="00FA5FC9">
      <w:pPr>
        <w:adjustRightInd w:val="0"/>
        <w:snapToGrid w:val="0"/>
        <w:spacing w:line="360" w:lineRule="auto"/>
        <w:jc w:val="both"/>
        <w:rPr>
          <w:rFonts w:ascii="Book Antiqua" w:hAnsi="Book Antiqua"/>
          <w:b/>
        </w:rPr>
      </w:pPr>
      <w:r w:rsidRPr="00D47E4E">
        <w:rPr>
          <w:rFonts w:ascii="Book Antiqua" w:hAnsi="Book Antiqua"/>
          <w:b/>
          <w:noProof/>
          <w:lang w:eastAsia="zh-CN"/>
        </w:rPr>
        <w:lastRenderedPageBreak/>
        <w:drawing>
          <wp:inline distT="0" distB="0" distL="0" distR="0" wp14:anchorId="13D0B330" wp14:editId="4876F61A">
            <wp:extent cx="5727700" cy="32219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r w:rsidRPr="00D47E4E">
        <w:rPr>
          <w:rFonts w:ascii="Book Antiqua" w:hAnsi="Book Antiqua"/>
          <w:b/>
        </w:rPr>
        <w:t xml:space="preserve">Figure 6 </w:t>
      </w:r>
      <w:r w:rsidR="00D6376F" w:rsidRPr="00D47E4E">
        <w:rPr>
          <w:rFonts w:ascii="Book Antiqua" w:hAnsi="Book Antiqua"/>
          <w:b/>
        </w:rPr>
        <w:t>Magnetic resonance imaging</w:t>
      </w:r>
      <w:r w:rsidRPr="00D47E4E">
        <w:rPr>
          <w:rFonts w:ascii="Book Antiqua" w:hAnsi="Book Antiqua"/>
          <w:b/>
        </w:rPr>
        <w:t xml:space="preserve"> of a metastatic lung tumor in the left upper lobe (left side) and suspected metastatic brain tumor on the right frontal lobe (right side).</w:t>
      </w:r>
    </w:p>
    <w:p w14:paraId="45AEBCBE" w14:textId="0213BFEB"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69078EE2" w14:textId="77777777" w:rsidR="003E5C93" w:rsidRPr="00D47E4E" w:rsidRDefault="003E5C93" w:rsidP="00FA5FC9">
      <w:pPr>
        <w:adjustRightInd w:val="0"/>
        <w:snapToGrid w:val="0"/>
        <w:spacing w:line="360" w:lineRule="auto"/>
        <w:jc w:val="both"/>
        <w:rPr>
          <w:rFonts w:ascii="Book Antiqua" w:hAnsi="Book Antiqua"/>
        </w:rPr>
      </w:pPr>
      <w:r w:rsidRPr="00D47E4E">
        <w:rPr>
          <w:rFonts w:ascii="Book Antiqua" w:hAnsi="Book Antiqua"/>
          <w:noProof/>
          <w:lang w:eastAsia="zh-CN"/>
        </w:rPr>
        <w:lastRenderedPageBreak/>
        <w:drawing>
          <wp:inline distT="0" distB="0" distL="0" distR="0" wp14:anchorId="6C5C0B91" wp14:editId="2234AAD2">
            <wp:extent cx="3048000" cy="243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48000" cy="2438400"/>
                    </a:xfrm>
                    <a:prstGeom prst="rect">
                      <a:avLst/>
                    </a:prstGeom>
                  </pic:spPr>
                </pic:pic>
              </a:graphicData>
            </a:graphic>
          </wp:inline>
        </w:drawing>
      </w:r>
    </w:p>
    <w:p w14:paraId="62017115" w14:textId="082A3ADC" w:rsidR="003E5C93" w:rsidRPr="00D47E4E" w:rsidRDefault="003E5C93" w:rsidP="00FA5FC9">
      <w:pPr>
        <w:tabs>
          <w:tab w:val="left" w:pos="6056"/>
        </w:tabs>
        <w:adjustRightInd w:val="0"/>
        <w:snapToGrid w:val="0"/>
        <w:spacing w:line="360" w:lineRule="auto"/>
        <w:jc w:val="both"/>
        <w:rPr>
          <w:rFonts w:ascii="Book Antiqua" w:hAnsi="Book Antiqua"/>
          <w:b/>
        </w:rPr>
      </w:pPr>
      <w:r w:rsidRPr="00D47E4E">
        <w:rPr>
          <w:rFonts w:ascii="Book Antiqua" w:hAnsi="Book Antiqua"/>
          <w:b/>
        </w:rPr>
        <w:t>Figure 7 Macroscopic ﬁndings of lung-resected specimens.</w:t>
      </w:r>
    </w:p>
    <w:p w14:paraId="2396BE19" w14:textId="5989F88E" w:rsidR="003E5C93" w:rsidRPr="00D47E4E" w:rsidRDefault="003E5C93" w:rsidP="00FA5FC9">
      <w:pPr>
        <w:rPr>
          <w:rFonts w:ascii="Book Antiqua" w:eastAsia="等线" w:hAnsi="Book Antiqua"/>
          <w:lang w:eastAsia="zh-CN"/>
        </w:rPr>
      </w:pPr>
      <w:r w:rsidRPr="00D47E4E">
        <w:rPr>
          <w:rFonts w:ascii="Book Antiqua" w:eastAsia="等线" w:hAnsi="Book Antiqua"/>
          <w:lang w:eastAsia="zh-CN"/>
        </w:rPr>
        <w:br w:type="page"/>
      </w:r>
    </w:p>
    <w:p w14:paraId="1458C383" w14:textId="541F92BE" w:rsidR="003E5C93" w:rsidRPr="00D47E4E" w:rsidRDefault="00D6376F" w:rsidP="00D6376F">
      <w:pPr>
        <w:adjustRightInd w:val="0"/>
        <w:snapToGrid w:val="0"/>
        <w:spacing w:line="360" w:lineRule="auto"/>
        <w:jc w:val="both"/>
        <w:rPr>
          <w:rFonts w:ascii="Book Antiqua" w:eastAsia="等线" w:hAnsi="Book Antiqua"/>
          <w:lang w:eastAsia="zh-CN"/>
        </w:rPr>
      </w:pPr>
      <w:r w:rsidRPr="00D47E4E">
        <w:rPr>
          <w:rFonts w:ascii="Book Antiqua" w:hAnsi="Book Antiqua"/>
          <w:noProof/>
          <w:lang w:eastAsia="zh-CN"/>
        </w:rPr>
        <w:lastRenderedPageBreak/>
        <w:drawing>
          <wp:inline distT="0" distB="0" distL="0" distR="0" wp14:anchorId="575685D4" wp14:editId="648B6E9E">
            <wp:extent cx="5727700" cy="2727325"/>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727325"/>
                    </a:xfrm>
                    <a:prstGeom prst="rect">
                      <a:avLst/>
                    </a:prstGeom>
                  </pic:spPr>
                </pic:pic>
              </a:graphicData>
            </a:graphic>
          </wp:inline>
        </w:drawing>
      </w:r>
    </w:p>
    <w:p w14:paraId="2C5131FD" w14:textId="5C4E9D48" w:rsidR="003E5C93" w:rsidRPr="00D47E4E" w:rsidRDefault="003E5C93" w:rsidP="00FA5FC9">
      <w:pPr>
        <w:adjustRightInd w:val="0"/>
        <w:snapToGrid w:val="0"/>
        <w:spacing w:line="360" w:lineRule="auto"/>
        <w:jc w:val="both"/>
        <w:rPr>
          <w:rFonts w:ascii="Book Antiqua" w:hAnsi="Book Antiqua"/>
          <w:bCs/>
        </w:rPr>
      </w:pPr>
      <w:r w:rsidRPr="00D47E4E">
        <w:rPr>
          <w:rFonts w:ascii="Book Antiqua" w:hAnsi="Book Antiqua"/>
          <w:b/>
        </w:rPr>
        <w:t xml:space="preserve">Figure 8 Microscopic images of lung metastasis. </w:t>
      </w:r>
      <w:r w:rsidR="007665DD" w:rsidRPr="00D47E4E">
        <w:rPr>
          <w:rFonts w:ascii="Book Antiqua" w:hAnsi="Book Antiqua"/>
          <w:bCs/>
        </w:rPr>
        <w:t xml:space="preserve">A </w:t>
      </w:r>
      <w:r w:rsidR="007665DD" w:rsidRPr="00D47E4E">
        <w:rPr>
          <w:rFonts w:ascii="Book Antiqua" w:eastAsia="等线" w:hAnsi="Book Antiqua"/>
          <w:bCs/>
          <w:lang w:eastAsia="zh-CN"/>
        </w:rPr>
        <w:t>and</w:t>
      </w:r>
      <w:r w:rsidR="007665DD" w:rsidRPr="00D47E4E">
        <w:rPr>
          <w:rFonts w:ascii="Book Antiqua" w:hAnsi="Book Antiqua"/>
          <w:bCs/>
        </w:rPr>
        <w:t xml:space="preserve"> B</w:t>
      </w:r>
      <w:r w:rsidR="007665DD" w:rsidRPr="00D47E4E">
        <w:rPr>
          <w:rFonts w:ascii="Book Antiqua" w:eastAsia="宋体" w:hAnsi="Book Antiqua" w:cs="宋体"/>
          <w:bCs/>
          <w:lang w:eastAsia="zh-CN"/>
        </w:rPr>
        <w:t xml:space="preserve">: </w:t>
      </w:r>
      <w:r w:rsidRPr="00D47E4E">
        <w:rPr>
          <w:rFonts w:ascii="Book Antiqua" w:hAnsi="Book Antiqua"/>
          <w:bCs/>
        </w:rPr>
        <w:t xml:space="preserve">Histologic appearance showed a well-demarcated nodule with marked necrosis in the center of the tumor (A: magnification </w:t>
      </w:r>
      <w:r w:rsidR="007665DD" w:rsidRPr="00D47E4E">
        <w:rPr>
          <w:rFonts w:ascii="Book Antiqua" w:hAnsi="Book Antiqua"/>
          <w:bCs/>
        </w:rPr>
        <w:t>×</w:t>
      </w:r>
      <w:r w:rsidRPr="00D47E4E">
        <w:rPr>
          <w:rFonts w:ascii="Book Antiqua" w:hAnsi="Book Antiqua"/>
          <w:bCs/>
        </w:rPr>
        <w:t xml:space="preserve"> 20, B: magnification </w:t>
      </w:r>
      <w:r w:rsidR="007665DD" w:rsidRPr="00D47E4E">
        <w:rPr>
          <w:rFonts w:ascii="Book Antiqua" w:hAnsi="Book Antiqua"/>
          <w:bCs/>
        </w:rPr>
        <w:t>×</w:t>
      </w:r>
      <w:r w:rsidRPr="00D47E4E">
        <w:rPr>
          <w:rFonts w:ascii="Book Antiqua" w:hAnsi="Book Antiqua"/>
          <w:bCs/>
        </w:rPr>
        <w:t xml:space="preserve"> 400). At high power magnification, there were eosinophilic, tall, columnar cells with nuclear </w:t>
      </w:r>
      <w:proofErr w:type="spellStart"/>
      <w:r w:rsidRPr="00D47E4E">
        <w:rPr>
          <w:rFonts w:ascii="Book Antiqua" w:hAnsi="Book Antiqua"/>
          <w:bCs/>
        </w:rPr>
        <w:t>pseudostratification</w:t>
      </w:r>
      <w:proofErr w:type="spellEnd"/>
      <w:r w:rsidR="007665DD" w:rsidRPr="00D47E4E">
        <w:rPr>
          <w:rFonts w:ascii="Book Antiqua" w:hAnsi="Book Antiqua"/>
          <w:bCs/>
        </w:rPr>
        <w:t>.</w:t>
      </w:r>
      <w:r w:rsidRPr="00D47E4E">
        <w:rPr>
          <w:rFonts w:ascii="Book Antiqua" w:hAnsi="Book Antiqua"/>
          <w:bCs/>
        </w:rPr>
        <w:t xml:space="preserve"> </w:t>
      </w:r>
      <w:r w:rsidR="007665DD" w:rsidRPr="00D47E4E">
        <w:rPr>
          <w:rFonts w:ascii="Book Antiqua" w:hAnsi="Book Antiqua"/>
          <w:bCs/>
        </w:rPr>
        <w:t xml:space="preserve">C-E: </w:t>
      </w:r>
      <w:proofErr w:type="spellStart"/>
      <w:r w:rsidRPr="00D47E4E">
        <w:rPr>
          <w:rFonts w:ascii="Book Antiqua" w:hAnsi="Book Antiqua"/>
          <w:bCs/>
        </w:rPr>
        <w:t>Immunohistological</w:t>
      </w:r>
      <w:proofErr w:type="spellEnd"/>
      <w:r w:rsidRPr="00D47E4E">
        <w:rPr>
          <w:rFonts w:ascii="Book Antiqua" w:hAnsi="Book Antiqua"/>
          <w:bCs/>
        </w:rPr>
        <w:t xml:space="preserve"> staining showed that the tumor cells were positive for CK7 (Panel C), CK20 (Panel D) and CDX2 (Panel E)</w:t>
      </w:r>
      <w:r w:rsidR="007665DD" w:rsidRPr="00D47E4E">
        <w:rPr>
          <w:rFonts w:ascii="Book Antiqua" w:hAnsi="Book Antiqua"/>
          <w:bCs/>
        </w:rPr>
        <w:t>;</w:t>
      </w:r>
      <w:r w:rsidRPr="00D47E4E">
        <w:rPr>
          <w:rFonts w:ascii="Book Antiqua" w:hAnsi="Book Antiqua"/>
          <w:bCs/>
        </w:rPr>
        <w:t xml:space="preserve"> </w:t>
      </w:r>
      <w:r w:rsidR="007665DD" w:rsidRPr="00D47E4E">
        <w:rPr>
          <w:rFonts w:ascii="Book Antiqua" w:hAnsi="Book Antiqua"/>
          <w:bCs/>
        </w:rPr>
        <w:t xml:space="preserve">F: </w:t>
      </w:r>
      <w:proofErr w:type="spellStart"/>
      <w:r w:rsidR="007665DD" w:rsidRPr="00D47E4E">
        <w:rPr>
          <w:rFonts w:ascii="Book Antiqua" w:hAnsi="Book Antiqua"/>
          <w:bCs/>
        </w:rPr>
        <w:t>Immunohistological</w:t>
      </w:r>
      <w:proofErr w:type="spellEnd"/>
      <w:r w:rsidR="007665DD" w:rsidRPr="00D47E4E">
        <w:rPr>
          <w:rFonts w:ascii="Book Antiqua" w:hAnsi="Book Antiqua"/>
          <w:bCs/>
        </w:rPr>
        <w:t xml:space="preserve"> staining showed that the tumor cells were </w:t>
      </w:r>
      <w:r w:rsidRPr="00D47E4E">
        <w:rPr>
          <w:rFonts w:ascii="Book Antiqua" w:hAnsi="Book Antiqua"/>
          <w:bCs/>
        </w:rPr>
        <w:t>negative for TTF-1.</w:t>
      </w:r>
    </w:p>
    <w:p w14:paraId="5B191DA0" w14:textId="77777777" w:rsidR="003E5C93" w:rsidRPr="00D47E4E" w:rsidRDefault="003E5C93" w:rsidP="00FA5FC9">
      <w:pPr>
        <w:adjustRightInd w:val="0"/>
        <w:snapToGrid w:val="0"/>
        <w:spacing w:line="360" w:lineRule="auto"/>
        <w:jc w:val="both"/>
        <w:rPr>
          <w:rFonts w:ascii="Book Antiqua" w:eastAsia="等线" w:hAnsi="Book Antiqua"/>
          <w:lang w:eastAsia="zh-CN"/>
        </w:rPr>
      </w:pPr>
    </w:p>
    <w:sectPr w:rsidR="003E5C93" w:rsidRPr="00D47E4E" w:rsidSect="002B6E87">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B46C4D"/>
    <w:multiLevelType w:val="multilevel"/>
    <w:tmpl w:val="3108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E9B3338"/>
    <w:multiLevelType w:val="multilevel"/>
    <w:tmpl w:val="04D241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1E8351D"/>
    <w:multiLevelType w:val="hybridMultilevel"/>
    <w:tmpl w:val="F6DCD7E0"/>
    <w:lvl w:ilvl="0" w:tplc="D1D8DF26">
      <w:start w:val="1"/>
      <w:numFmt w:val="decimal"/>
      <w:lvlText w:val="%1."/>
      <w:lvlJc w:val="left"/>
      <w:pPr>
        <w:ind w:left="720" w:hanging="360"/>
      </w:pPr>
      <w:rPr>
        <w:rFonts w:hint="default"/>
      </w:rPr>
    </w:lvl>
    <w:lvl w:ilvl="1" w:tplc="335CDDAC" w:tentative="1">
      <w:start w:val="1"/>
      <w:numFmt w:val="lowerLetter"/>
      <w:lvlText w:val="%2."/>
      <w:lvlJc w:val="left"/>
      <w:pPr>
        <w:ind w:left="1440" w:hanging="360"/>
      </w:pPr>
    </w:lvl>
    <w:lvl w:ilvl="2" w:tplc="93FE0364" w:tentative="1">
      <w:start w:val="1"/>
      <w:numFmt w:val="lowerRoman"/>
      <w:lvlText w:val="%3."/>
      <w:lvlJc w:val="right"/>
      <w:pPr>
        <w:ind w:left="2160" w:hanging="180"/>
      </w:pPr>
    </w:lvl>
    <w:lvl w:ilvl="3" w:tplc="935E1276" w:tentative="1">
      <w:start w:val="1"/>
      <w:numFmt w:val="decimal"/>
      <w:lvlText w:val="%4."/>
      <w:lvlJc w:val="left"/>
      <w:pPr>
        <w:ind w:left="2880" w:hanging="360"/>
      </w:pPr>
    </w:lvl>
    <w:lvl w:ilvl="4" w:tplc="AA865270" w:tentative="1">
      <w:start w:val="1"/>
      <w:numFmt w:val="lowerLetter"/>
      <w:lvlText w:val="%5."/>
      <w:lvlJc w:val="left"/>
      <w:pPr>
        <w:ind w:left="3600" w:hanging="360"/>
      </w:pPr>
    </w:lvl>
    <w:lvl w:ilvl="5" w:tplc="2B42E326" w:tentative="1">
      <w:start w:val="1"/>
      <w:numFmt w:val="lowerRoman"/>
      <w:lvlText w:val="%6."/>
      <w:lvlJc w:val="right"/>
      <w:pPr>
        <w:ind w:left="4320" w:hanging="180"/>
      </w:pPr>
    </w:lvl>
    <w:lvl w:ilvl="6" w:tplc="CFC8D20E" w:tentative="1">
      <w:start w:val="1"/>
      <w:numFmt w:val="decimal"/>
      <w:lvlText w:val="%7."/>
      <w:lvlJc w:val="left"/>
      <w:pPr>
        <w:ind w:left="5040" w:hanging="360"/>
      </w:pPr>
    </w:lvl>
    <w:lvl w:ilvl="7" w:tplc="DEBC5C24" w:tentative="1">
      <w:start w:val="1"/>
      <w:numFmt w:val="lowerLetter"/>
      <w:lvlText w:val="%8."/>
      <w:lvlJc w:val="left"/>
      <w:pPr>
        <w:ind w:left="5760" w:hanging="360"/>
      </w:pPr>
    </w:lvl>
    <w:lvl w:ilvl="8" w:tplc="573E7168" w:tentative="1">
      <w:start w:val="1"/>
      <w:numFmt w:val="lowerRoman"/>
      <w:lvlText w:val="%9."/>
      <w:lvlJc w:val="right"/>
      <w:pPr>
        <w:ind w:left="6480" w:hanging="180"/>
      </w:pPr>
    </w:lvl>
  </w:abstractNum>
  <w:abstractNum w:abstractNumId="3" w15:restartNumberingAfterBreak="0">
    <w:nsid w:val="462A0323"/>
    <w:multiLevelType w:val="hybridMultilevel"/>
    <w:tmpl w:val="F9002CFA"/>
    <w:lvl w:ilvl="0" w:tplc="1E6C5BE8">
      <w:numFmt w:val="bullet"/>
      <w:lvlText w:val="-"/>
      <w:lvlJc w:val="left"/>
      <w:pPr>
        <w:ind w:left="720" w:hanging="360"/>
      </w:pPr>
      <w:rPr>
        <w:rFonts w:ascii="Times New Roman" w:eastAsia="Times New Roman" w:hAnsi="Times New Roman" w:cs="Times New Roman" w:hint="default"/>
      </w:rPr>
    </w:lvl>
    <w:lvl w:ilvl="1" w:tplc="70E80FE0">
      <w:start w:val="1"/>
      <w:numFmt w:val="bullet"/>
      <w:lvlText w:val="o"/>
      <w:lvlJc w:val="left"/>
      <w:pPr>
        <w:ind w:left="1440" w:hanging="360"/>
      </w:pPr>
      <w:rPr>
        <w:rFonts w:ascii="Courier New" w:hAnsi="Courier New" w:cs="Courier New" w:hint="default"/>
      </w:rPr>
    </w:lvl>
    <w:lvl w:ilvl="2" w:tplc="4732A930" w:tentative="1">
      <w:start w:val="1"/>
      <w:numFmt w:val="bullet"/>
      <w:lvlText w:val=""/>
      <w:lvlJc w:val="left"/>
      <w:pPr>
        <w:ind w:left="2160" w:hanging="360"/>
      </w:pPr>
      <w:rPr>
        <w:rFonts w:ascii="Wingdings" w:hAnsi="Wingdings" w:hint="default"/>
      </w:rPr>
    </w:lvl>
    <w:lvl w:ilvl="3" w:tplc="3F90E3D6" w:tentative="1">
      <w:start w:val="1"/>
      <w:numFmt w:val="bullet"/>
      <w:lvlText w:val=""/>
      <w:lvlJc w:val="left"/>
      <w:pPr>
        <w:ind w:left="2880" w:hanging="360"/>
      </w:pPr>
      <w:rPr>
        <w:rFonts w:ascii="Symbol" w:hAnsi="Symbol" w:hint="default"/>
      </w:rPr>
    </w:lvl>
    <w:lvl w:ilvl="4" w:tplc="102001C0" w:tentative="1">
      <w:start w:val="1"/>
      <w:numFmt w:val="bullet"/>
      <w:lvlText w:val="o"/>
      <w:lvlJc w:val="left"/>
      <w:pPr>
        <w:ind w:left="3600" w:hanging="360"/>
      </w:pPr>
      <w:rPr>
        <w:rFonts w:ascii="Courier New" w:hAnsi="Courier New" w:cs="Courier New" w:hint="default"/>
      </w:rPr>
    </w:lvl>
    <w:lvl w:ilvl="5" w:tplc="81529722" w:tentative="1">
      <w:start w:val="1"/>
      <w:numFmt w:val="bullet"/>
      <w:lvlText w:val=""/>
      <w:lvlJc w:val="left"/>
      <w:pPr>
        <w:ind w:left="4320" w:hanging="360"/>
      </w:pPr>
      <w:rPr>
        <w:rFonts w:ascii="Wingdings" w:hAnsi="Wingdings" w:hint="default"/>
      </w:rPr>
    </w:lvl>
    <w:lvl w:ilvl="6" w:tplc="77D823E2" w:tentative="1">
      <w:start w:val="1"/>
      <w:numFmt w:val="bullet"/>
      <w:lvlText w:val=""/>
      <w:lvlJc w:val="left"/>
      <w:pPr>
        <w:ind w:left="5040" w:hanging="360"/>
      </w:pPr>
      <w:rPr>
        <w:rFonts w:ascii="Symbol" w:hAnsi="Symbol" w:hint="default"/>
      </w:rPr>
    </w:lvl>
    <w:lvl w:ilvl="7" w:tplc="1DFEF0AA" w:tentative="1">
      <w:start w:val="1"/>
      <w:numFmt w:val="bullet"/>
      <w:lvlText w:val="o"/>
      <w:lvlJc w:val="left"/>
      <w:pPr>
        <w:ind w:left="5760" w:hanging="360"/>
      </w:pPr>
      <w:rPr>
        <w:rFonts w:ascii="Courier New" w:hAnsi="Courier New" w:cs="Courier New" w:hint="default"/>
      </w:rPr>
    </w:lvl>
    <w:lvl w:ilvl="8" w:tplc="3F1C685A" w:tentative="1">
      <w:start w:val="1"/>
      <w:numFmt w:val="bullet"/>
      <w:lvlText w:val=""/>
      <w:lvlJc w:val="left"/>
      <w:pPr>
        <w:ind w:left="6480" w:hanging="360"/>
      </w:pPr>
      <w:rPr>
        <w:rFonts w:ascii="Wingdings" w:hAnsi="Wingdings" w:hint="default"/>
      </w:rPr>
    </w:lvl>
  </w:abstractNum>
  <w:abstractNum w:abstractNumId="4" w15:restartNumberingAfterBreak="0">
    <w:nsid w:val="476F2B41"/>
    <w:multiLevelType w:val="hybridMultilevel"/>
    <w:tmpl w:val="F6DCD7E0"/>
    <w:lvl w:ilvl="0" w:tplc="88F0C776">
      <w:start w:val="1"/>
      <w:numFmt w:val="decimal"/>
      <w:lvlText w:val="%1."/>
      <w:lvlJc w:val="left"/>
      <w:pPr>
        <w:ind w:left="720" w:hanging="360"/>
      </w:pPr>
      <w:rPr>
        <w:rFonts w:hint="default"/>
      </w:rPr>
    </w:lvl>
    <w:lvl w:ilvl="1" w:tplc="823A67C8" w:tentative="1">
      <w:start w:val="1"/>
      <w:numFmt w:val="lowerLetter"/>
      <w:lvlText w:val="%2."/>
      <w:lvlJc w:val="left"/>
      <w:pPr>
        <w:ind w:left="1440" w:hanging="360"/>
      </w:pPr>
    </w:lvl>
    <w:lvl w:ilvl="2" w:tplc="F1920B12" w:tentative="1">
      <w:start w:val="1"/>
      <w:numFmt w:val="lowerRoman"/>
      <w:lvlText w:val="%3."/>
      <w:lvlJc w:val="right"/>
      <w:pPr>
        <w:ind w:left="2160" w:hanging="180"/>
      </w:pPr>
    </w:lvl>
    <w:lvl w:ilvl="3" w:tplc="3334CEF2" w:tentative="1">
      <w:start w:val="1"/>
      <w:numFmt w:val="decimal"/>
      <w:lvlText w:val="%4."/>
      <w:lvlJc w:val="left"/>
      <w:pPr>
        <w:ind w:left="2880" w:hanging="360"/>
      </w:pPr>
    </w:lvl>
    <w:lvl w:ilvl="4" w:tplc="D1A8B650" w:tentative="1">
      <w:start w:val="1"/>
      <w:numFmt w:val="lowerLetter"/>
      <w:lvlText w:val="%5."/>
      <w:lvlJc w:val="left"/>
      <w:pPr>
        <w:ind w:left="3600" w:hanging="360"/>
      </w:pPr>
    </w:lvl>
    <w:lvl w:ilvl="5" w:tplc="BC6853EC" w:tentative="1">
      <w:start w:val="1"/>
      <w:numFmt w:val="lowerRoman"/>
      <w:lvlText w:val="%6."/>
      <w:lvlJc w:val="right"/>
      <w:pPr>
        <w:ind w:left="4320" w:hanging="180"/>
      </w:pPr>
    </w:lvl>
    <w:lvl w:ilvl="6" w:tplc="E312B0DA" w:tentative="1">
      <w:start w:val="1"/>
      <w:numFmt w:val="decimal"/>
      <w:lvlText w:val="%7."/>
      <w:lvlJc w:val="left"/>
      <w:pPr>
        <w:ind w:left="5040" w:hanging="360"/>
      </w:pPr>
    </w:lvl>
    <w:lvl w:ilvl="7" w:tplc="50A64538" w:tentative="1">
      <w:start w:val="1"/>
      <w:numFmt w:val="lowerLetter"/>
      <w:lvlText w:val="%8."/>
      <w:lvlJc w:val="left"/>
      <w:pPr>
        <w:ind w:left="5760" w:hanging="360"/>
      </w:pPr>
    </w:lvl>
    <w:lvl w:ilvl="8" w:tplc="F5DA67AA" w:tentative="1">
      <w:start w:val="1"/>
      <w:numFmt w:val="lowerRoman"/>
      <w:lvlText w:val="%9."/>
      <w:lvlJc w:val="right"/>
      <w:pPr>
        <w:ind w:left="6480" w:hanging="180"/>
      </w:pPr>
    </w:lvl>
  </w:abstractNum>
  <w:abstractNum w:abstractNumId="5" w15:restartNumberingAfterBreak="0">
    <w:nsid w:val="5E19251F"/>
    <w:multiLevelType w:val="hybridMultilevel"/>
    <w:tmpl w:val="F6DCD7E0"/>
    <w:lvl w:ilvl="0" w:tplc="B2E6A3F0">
      <w:start w:val="1"/>
      <w:numFmt w:val="decimal"/>
      <w:lvlText w:val="%1."/>
      <w:lvlJc w:val="left"/>
      <w:pPr>
        <w:ind w:left="720" w:hanging="360"/>
      </w:pPr>
      <w:rPr>
        <w:rFonts w:hint="default"/>
      </w:rPr>
    </w:lvl>
    <w:lvl w:ilvl="1" w:tplc="9A94ADF4" w:tentative="1">
      <w:start w:val="1"/>
      <w:numFmt w:val="lowerLetter"/>
      <w:lvlText w:val="%2."/>
      <w:lvlJc w:val="left"/>
      <w:pPr>
        <w:ind w:left="1440" w:hanging="360"/>
      </w:pPr>
    </w:lvl>
    <w:lvl w:ilvl="2" w:tplc="FB0451F8" w:tentative="1">
      <w:start w:val="1"/>
      <w:numFmt w:val="lowerRoman"/>
      <w:lvlText w:val="%3."/>
      <w:lvlJc w:val="right"/>
      <w:pPr>
        <w:ind w:left="2160" w:hanging="180"/>
      </w:pPr>
    </w:lvl>
    <w:lvl w:ilvl="3" w:tplc="27F43E02" w:tentative="1">
      <w:start w:val="1"/>
      <w:numFmt w:val="decimal"/>
      <w:lvlText w:val="%4."/>
      <w:lvlJc w:val="left"/>
      <w:pPr>
        <w:ind w:left="2880" w:hanging="360"/>
      </w:pPr>
    </w:lvl>
    <w:lvl w:ilvl="4" w:tplc="56465782" w:tentative="1">
      <w:start w:val="1"/>
      <w:numFmt w:val="lowerLetter"/>
      <w:lvlText w:val="%5."/>
      <w:lvlJc w:val="left"/>
      <w:pPr>
        <w:ind w:left="3600" w:hanging="360"/>
      </w:pPr>
    </w:lvl>
    <w:lvl w:ilvl="5" w:tplc="AE4E854C" w:tentative="1">
      <w:start w:val="1"/>
      <w:numFmt w:val="lowerRoman"/>
      <w:lvlText w:val="%6."/>
      <w:lvlJc w:val="right"/>
      <w:pPr>
        <w:ind w:left="4320" w:hanging="180"/>
      </w:pPr>
    </w:lvl>
    <w:lvl w:ilvl="6" w:tplc="3B022192" w:tentative="1">
      <w:start w:val="1"/>
      <w:numFmt w:val="decimal"/>
      <w:lvlText w:val="%7."/>
      <w:lvlJc w:val="left"/>
      <w:pPr>
        <w:ind w:left="5040" w:hanging="360"/>
      </w:pPr>
    </w:lvl>
    <w:lvl w:ilvl="7" w:tplc="618A7C78" w:tentative="1">
      <w:start w:val="1"/>
      <w:numFmt w:val="lowerLetter"/>
      <w:lvlText w:val="%8."/>
      <w:lvlJc w:val="left"/>
      <w:pPr>
        <w:ind w:left="5760" w:hanging="360"/>
      </w:pPr>
    </w:lvl>
    <w:lvl w:ilvl="8" w:tplc="93FCB6D4" w:tentative="1">
      <w:start w:val="1"/>
      <w:numFmt w:val="lowerRoman"/>
      <w:lvlText w:val="%9."/>
      <w:lvlJc w:val="right"/>
      <w:pPr>
        <w:ind w:left="6480" w:hanging="180"/>
      </w:pPr>
    </w:lvl>
  </w:abstractNum>
  <w:abstractNum w:abstractNumId="6" w15:restartNumberingAfterBreak="0">
    <w:nsid w:val="78F81326"/>
    <w:multiLevelType w:val="hybridMultilevel"/>
    <w:tmpl w:val="F6DCD7E0"/>
    <w:lvl w:ilvl="0" w:tplc="A78644F8">
      <w:start w:val="1"/>
      <w:numFmt w:val="decimal"/>
      <w:lvlText w:val="%1."/>
      <w:lvlJc w:val="left"/>
      <w:pPr>
        <w:ind w:left="720" w:hanging="360"/>
      </w:pPr>
      <w:rPr>
        <w:rFonts w:hint="default"/>
      </w:rPr>
    </w:lvl>
    <w:lvl w:ilvl="1" w:tplc="583ED9F0" w:tentative="1">
      <w:start w:val="1"/>
      <w:numFmt w:val="lowerLetter"/>
      <w:lvlText w:val="%2."/>
      <w:lvlJc w:val="left"/>
      <w:pPr>
        <w:ind w:left="1440" w:hanging="360"/>
      </w:pPr>
    </w:lvl>
    <w:lvl w:ilvl="2" w:tplc="4F5A8CA8" w:tentative="1">
      <w:start w:val="1"/>
      <w:numFmt w:val="lowerRoman"/>
      <w:lvlText w:val="%3."/>
      <w:lvlJc w:val="right"/>
      <w:pPr>
        <w:ind w:left="2160" w:hanging="180"/>
      </w:pPr>
    </w:lvl>
    <w:lvl w:ilvl="3" w:tplc="A0A46204" w:tentative="1">
      <w:start w:val="1"/>
      <w:numFmt w:val="decimal"/>
      <w:lvlText w:val="%4."/>
      <w:lvlJc w:val="left"/>
      <w:pPr>
        <w:ind w:left="2880" w:hanging="360"/>
      </w:pPr>
    </w:lvl>
    <w:lvl w:ilvl="4" w:tplc="9A228E40" w:tentative="1">
      <w:start w:val="1"/>
      <w:numFmt w:val="lowerLetter"/>
      <w:lvlText w:val="%5."/>
      <w:lvlJc w:val="left"/>
      <w:pPr>
        <w:ind w:left="3600" w:hanging="360"/>
      </w:pPr>
    </w:lvl>
    <w:lvl w:ilvl="5" w:tplc="C32644E2" w:tentative="1">
      <w:start w:val="1"/>
      <w:numFmt w:val="lowerRoman"/>
      <w:lvlText w:val="%6."/>
      <w:lvlJc w:val="right"/>
      <w:pPr>
        <w:ind w:left="4320" w:hanging="180"/>
      </w:pPr>
    </w:lvl>
    <w:lvl w:ilvl="6" w:tplc="07105556" w:tentative="1">
      <w:start w:val="1"/>
      <w:numFmt w:val="decimal"/>
      <w:lvlText w:val="%7."/>
      <w:lvlJc w:val="left"/>
      <w:pPr>
        <w:ind w:left="5040" w:hanging="360"/>
      </w:pPr>
    </w:lvl>
    <w:lvl w:ilvl="7" w:tplc="14100024" w:tentative="1">
      <w:start w:val="1"/>
      <w:numFmt w:val="lowerLetter"/>
      <w:lvlText w:val="%8."/>
      <w:lvlJc w:val="left"/>
      <w:pPr>
        <w:ind w:left="5760" w:hanging="360"/>
      </w:pPr>
    </w:lvl>
    <w:lvl w:ilvl="8" w:tplc="D77EA7E4" w:tentative="1">
      <w:start w:val="1"/>
      <w:numFmt w:val="lowerRoman"/>
      <w:lvlText w:val="%9."/>
      <w:lvlJc w:val="right"/>
      <w:pPr>
        <w:ind w:left="6480" w:hanging="180"/>
      </w:pPr>
    </w:lvl>
  </w:abstractNum>
  <w:num w:numId="1">
    <w:abstractNumId w:val="3"/>
  </w:num>
  <w:num w:numId="2">
    <w:abstractNumId w:val="6"/>
  </w:num>
  <w:num w:numId="3">
    <w:abstractNumId w:val="1"/>
  </w:num>
  <w:num w:numId="4">
    <w:abstractNumId w:val="4"/>
  </w:num>
  <w:num w:numId="5">
    <w:abstractNumId w:val="2"/>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Liver Transplantation&lt;/Style&gt;&lt;LeftDelim&gt;{&lt;/LeftDelim&gt;&lt;RightDelim&gt;}&lt;/RightDelim&gt;&lt;FontName&gt;Times New Roman&lt;/FontName&gt;&lt;FontSize&gt;12&lt;/FontSize&gt;&lt;ReflistTitle&gt;Reference&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wwfszx03dd9e8e90aupwz2t5wepsvfv0pdt&quot;&gt;IPNB case report&lt;record-ids&gt;&lt;item&gt;1&lt;/item&gt;&lt;item&gt;2&lt;/item&gt;&lt;item&gt;3&lt;/item&gt;&lt;item&gt;4&lt;/item&gt;&lt;item&gt;5&lt;/item&gt;&lt;item&gt;6&lt;/item&gt;&lt;item&gt;7&lt;/item&gt;&lt;item&gt;8&lt;/item&gt;&lt;item&gt;9&lt;/item&gt;&lt;item&gt;10&lt;/item&gt;&lt;/record-ids&gt;&lt;/item&gt;&lt;/Libraries&gt;"/>
    <w:docVar w:name="MachineID" w:val="204|207|197|205|203|197|204|205|197|205|207|197|187|207|197|190|207|"/>
    <w:docVar w:name="Username" w:val="Editor"/>
  </w:docVars>
  <w:rsids>
    <w:rsidRoot w:val="00340D6A"/>
    <w:rsid w:val="0000536E"/>
    <w:rsid w:val="00005BFD"/>
    <w:rsid w:val="00006D11"/>
    <w:rsid w:val="00011484"/>
    <w:rsid w:val="000128AF"/>
    <w:rsid w:val="00017D27"/>
    <w:rsid w:val="00024162"/>
    <w:rsid w:val="000334E5"/>
    <w:rsid w:val="000352D4"/>
    <w:rsid w:val="00041BC1"/>
    <w:rsid w:val="0004288F"/>
    <w:rsid w:val="00046659"/>
    <w:rsid w:val="00047A04"/>
    <w:rsid w:val="0005229A"/>
    <w:rsid w:val="00055BE2"/>
    <w:rsid w:val="00057593"/>
    <w:rsid w:val="00057AFD"/>
    <w:rsid w:val="00061228"/>
    <w:rsid w:val="00062A21"/>
    <w:rsid w:val="00063B6B"/>
    <w:rsid w:val="00065697"/>
    <w:rsid w:val="00071027"/>
    <w:rsid w:val="00071D0E"/>
    <w:rsid w:val="000739A3"/>
    <w:rsid w:val="00073E2D"/>
    <w:rsid w:val="00074637"/>
    <w:rsid w:val="00076B1B"/>
    <w:rsid w:val="00082F94"/>
    <w:rsid w:val="00087ECB"/>
    <w:rsid w:val="00090266"/>
    <w:rsid w:val="00091036"/>
    <w:rsid w:val="00094CEC"/>
    <w:rsid w:val="00095C20"/>
    <w:rsid w:val="000975C7"/>
    <w:rsid w:val="000A3B70"/>
    <w:rsid w:val="000B3F97"/>
    <w:rsid w:val="000B58B2"/>
    <w:rsid w:val="000B6942"/>
    <w:rsid w:val="000C598C"/>
    <w:rsid w:val="000D17D6"/>
    <w:rsid w:val="000E35B0"/>
    <w:rsid w:val="000E43E1"/>
    <w:rsid w:val="000E4460"/>
    <w:rsid w:val="000E543C"/>
    <w:rsid w:val="000E778B"/>
    <w:rsid w:val="000F341B"/>
    <w:rsid w:val="000F4F48"/>
    <w:rsid w:val="000F727A"/>
    <w:rsid w:val="000F7C8B"/>
    <w:rsid w:val="00111120"/>
    <w:rsid w:val="001137D7"/>
    <w:rsid w:val="00116A60"/>
    <w:rsid w:val="00120AEF"/>
    <w:rsid w:val="0012196C"/>
    <w:rsid w:val="001252E6"/>
    <w:rsid w:val="00126C60"/>
    <w:rsid w:val="001301D9"/>
    <w:rsid w:val="00131A92"/>
    <w:rsid w:val="00131AD9"/>
    <w:rsid w:val="00131DBF"/>
    <w:rsid w:val="00133099"/>
    <w:rsid w:val="00137760"/>
    <w:rsid w:val="00141186"/>
    <w:rsid w:val="00142FE4"/>
    <w:rsid w:val="001454CC"/>
    <w:rsid w:val="0015122A"/>
    <w:rsid w:val="001517F4"/>
    <w:rsid w:val="00154F33"/>
    <w:rsid w:val="00156759"/>
    <w:rsid w:val="00163BC7"/>
    <w:rsid w:val="001645A8"/>
    <w:rsid w:val="00164F31"/>
    <w:rsid w:val="00172131"/>
    <w:rsid w:val="001721B7"/>
    <w:rsid w:val="0017772B"/>
    <w:rsid w:val="001874AE"/>
    <w:rsid w:val="001879B9"/>
    <w:rsid w:val="00187B62"/>
    <w:rsid w:val="00195CAE"/>
    <w:rsid w:val="001961F3"/>
    <w:rsid w:val="001A0B16"/>
    <w:rsid w:val="001A1753"/>
    <w:rsid w:val="001A2D17"/>
    <w:rsid w:val="001A3AD1"/>
    <w:rsid w:val="001A515C"/>
    <w:rsid w:val="001A5D0B"/>
    <w:rsid w:val="001A66A3"/>
    <w:rsid w:val="001A6850"/>
    <w:rsid w:val="001B19B6"/>
    <w:rsid w:val="001B2434"/>
    <w:rsid w:val="001B4D7F"/>
    <w:rsid w:val="001B5484"/>
    <w:rsid w:val="001C0DBE"/>
    <w:rsid w:val="001C2B2C"/>
    <w:rsid w:val="001C5B95"/>
    <w:rsid w:val="001C7707"/>
    <w:rsid w:val="001D0DDE"/>
    <w:rsid w:val="001D11E7"/>
    <w:rsid w:val="001D4AC1"/>
    <w:rsid w:val="001D74EE"/>
    <w:rsid w:val="001F3765"/>
    <w:rsid w:val="001F4626"/>
    <w:rsid w:val="002051B8"/>
    <w:rsid w:val="0021099A"/>
    <w:rsid w:val="00211CC9"/>
    <w:rsid w:val="00230A81"/>
    <w:rsid w:val="002311E5"/>
    <w:rsid w:val="0023688E"/>
    <w:rsid w:val="002407C2"/>
    <w:rsid w:val="00242764"/>
    <w:rsid w:val="00243F69"/>
    <w:rsid w:val="00252DC6"/>
    <w:rsid w:val="00254357"/>
    <w:rsid w:val="00254BB1"/>
    <w:rsid w:val="002565AB"/>
    <w:rsid w:val="0026452A"/>
    <w:rsid w:val="00265AF5"/>
    <w:rsid w:val="00266521"/>
    <w:rsid w:val="002710FE"/>
    <w:rsid w:val="002721E1"/>
    <w:rsid w:val="002767A7"/>
    <w:rsid w:val="00277881"/>
    <w:rsid w:val="00280E42"/>
    <w:rsid w:val="00282582"/>
    <w:rsid w:val="00283DDE"/>
    <w:rsid w:val="00284F46"/>
    <w:rsid w:val="0028772E"/>
    <w:rsid w:val="0029056D"/>
    <w:rsid w:val="0029454F"/>
    <w:rsid w:val="00297FD2"/>
    <w:rsid w:val="002A0EDF"/>
    <w:rsid w:val="002B0773"/>
    <w:rsid w:val="002B1C0C"/>
    <w:rsid w:val="002B2B4E"/>
    <w:rsid w:val="002B4B25"/>
    <w:rsid w:val="002B6E87"/>
    <w:rsid w:val="002C011A"/>
    <w:rsid w:val="002C5897"/>
    <w:rsid w:val="002C6503"/>
    <w:rsid w:val="002C71E1"/>
    <w:rsid w:val="002D3354"/>
    <w:rsid w:val="002E30F1"/>
    <w:rsid w:val="002E4B27"/>
    <w:rsid w:val="002E54A1"/>
    <w:rsid w:val="002E7EAE"/>
    <w:rsid w:val="002F25EA"/>
    <w:rsid w:val="002F6478"/>
    <w:rsid w:val="002F6511"/>
    <w:rsid w:val="00301C88"/>
    <w:rsid w:val="00307EDD"/>
    <w:rsid w:val="00312B55"/>
    <w:rsid w:val="00333CA0"/>
    <w:rsid w:val="00334B09"/>
    <w:rsid w:val="00335C6E"/>
    <w:rsid w:val="0034057C"/>
    <w:rsid w:val="00340D6A"/>
    <w:rsid w:val="00341578"/>
    <w:rsid w:val="0034176C"/>
    <w:rsid w:val="0034371C"/>
    <w:rsid w:val="003447D9"/>
    <w:rsid w:val="003453DA"/>
    <w:rsid w:val="003566D8"/>
    <w:rsid w:val="00356DA1"/>
    <w:rsid w:val="00360239"/>
    <w:rsid w:val="00366515"/>
    <w:rsid w:val="003725F2"/>
    <w:rsid w:val="00385708"/>
    <w:rsid w:val="00385782"/>
    <w:rsid w:val="0038605F"/>
    <w:rsid w:val="003952A8"/>
    <w:rsid w:val="003A1203"/>
    <w:rsid w:val="003A34DE"/>
    <w:rsid w:val="003B114D"/>
    <w:rsid w:val="003B2935"/>
    <w:rsid w:val="003B2C49"/>
    <w:rsid w:val="003B370B"/>
    <w:rsid w:val="003B4A9C"/>
    <w:rsid w:val="003B5636"/>
    <w:rsid w:val="003C2F8B"/>
    <w:rsid w:val="003C3218"/>
    <w:rsid w:val="003D195C"/>
    <w:rsid w:val="003D5250"/>
    <w:rsid w:val="003D675F"/>
    <w:rsid w:val="003D692A"/>
    <w:rsid w:val="003E5C93"/>
    <w:rsid w:val="003F18C7"/>
    <w:rsid w:val="003F2988"/>
    <w:rsid w:val="003F2C16"/>
    <w:rsid w:val="00402204"/>
    <w:rsid w:val="00404546"/>
    <w:rsid w:val="00410F20"/>
    <w:rsid w:val="00414B42"/>
    <w:rsid w:val="004169A1"/>
    <w:rsid w:val="00422F1F"/>
    <w:rsid w:val="004260F5"/>
    <w:rsid w:val="00430A04"/>
    <w:rsid w:val="0043336E"/>
    <w:rsid w:val="00441B93"/>
    <w:rsid w:val="00442119"/>
    <w:rsid w:val="00443D9F"/>
    <w:rsid w:val="0044479A"/>
    <w:rsid w:val="00446915"/>
    <w:rsid w:val="004478F9"/>
    <w:rsid w:val="004532D2"/>
    <w:rsid w:val="00454AA9"/>
    <w:rsid w:val="004552C7"/>
    <w:rsid w:val="004572E9"/>
    <w:rsid w:val="00457B3A"/>
    <w:rsid w:val="004615DF"/>
    <w:rsid w:val="00462C85"/>
    <w:rsid w:val="0046754B"/>
    <w:rsid w:val="004676F1"/>
    <w:rsid w:val="00471CD2"/>
    <w:rsid w:val="0047453B"/>
    <w:rsid w:val="00475842"/>
    <w:rsid w:val="004772D9"/>
    <w:rsid w:val="00477BAF"/>
    <w:rsid w:val="004817DD"/>
    <w:rsid w:val="00481FA2"/>
    <w:rsid w:val="0048351D"/>
    <w:rsid w:val="0049210F"/>
    <w:rsid w:val="00493147"/>
    <w:rsid w:val="0049737C"/>
    <w:rsid w:val="004A63C6"/>
    <w:rsid w:val="004B329E"/>
    <w:rsid w:val="004B65E7"/>
    <w:rsid w:val="004C288A"/>
    <w:rsid w:val="004C55F7"/>
    <w:rsid w:val="004C5988"/>
    <w:rsid w:val="004E2679"/>
    <w:rsid w:val="004E6D4A"/>
    <w:rsid w:val="004F11A8"/>
    <w:rsid w:val="004F55FB"/>
    <w:rsid w:val="004F5805"/>
    <w:rsid w:val="0050088F"/>
    <w:rsid w:val="00502A97"/>
    <w:rsid w:val="00503C81"/>
    <w:rsid w:val="00512F1E"/>
    <w:rsid w:val="005138E0"/>
    <w:rsid w:val="00514130"/>
    <w:rsid w:val="0051430A"/>
    <w:rsid w:val="00514476"/>
    <w:rsid w:val="005144C5"/>
    <w:rsid w:val="005163A9"/>
    <w:rsid w:val="00525626"/>
    <w:rsid w:val="00530B63"/>
    <w:rsid w:val="00531050"/>
    <w:rsid w:val="00533276"/>
    <w:rsid w:val="005344B8"/>
    <w:rsid w:val="0053523B"/>
    <w:rsid w:val="005375FC"/>
    <w:rsid w:val="005437CD"/>
    <w:rsid w:val="005444DE"/>
    <w:rsid w:val="00544C27"/>
    <w:rsid w:val="00552FCD"/>
    <w:rsid w:val="00554F52"/>
    <w:rsid w:val="0055592B"/>
    <w:rsid w:val="00561B84"/>
    <w:rsid w:val="00564244"/>
    <w:rsid w:val="00564CA2"/>
    <w:rsid w:val="005766CF"/>
    <w:rsid w:val="00581431"/>
    <w:rsid w:val="0058384B"/>
    <w:rsid w:val="005A05E1"/>
    <w:rsid w:val="005A0BF3"/>
    <w:rsid w:val="005A5A05"/>
    <w:rsid w:val="005A6AE2"/>
    <w:rsid w:val="005B46FA"/>
    <w:rsid w:val="005B70E3"/>
    <w:rsid w:val="005C1B83"/>
    <w:rsid w:val="005C2F4D"/>
    <w:rsid w:val="005C4604"/>
    <w:rsid w:val="005C6471"/>
    <w:rsid w:val="005D15F6"/>
    <w:rsid w:val="005E1C54"/>
    <w:rsid w:val="005E49AD"/>
    <w:rsid w:val="005E49C8"/>
    <w:rsid w:val="005F2EB1"/>
    <w:rsid w:val="005F682C"/>
    <w:rsid w:val="005F68EA"/>
    <w:rsid w:val="005F7082"/>
    <w:rsid w:val="005F72CD"/>
    <w:rsid w:val="00600938"/>
    <w:rsid w:val="00600EDC"/>
    <w:rsid w:val="00601F11"/>
    <w:rsid w:val="00603199"/>
    <w:rsid w:val="00614841"/>
    <w:rsid w:val="00617156"/>
    <w:rsid w:val="00623DCD"/>
    <w:rsid w:val="00627669"/>
    <w:rsid w:val="00627FF8"/>
    <w:rsid w:val="00633D24"/>
    <w:rsid w:val="006343EE"/>
    <w:rsid w:val="006365BC"/>
    <w:rsid w:val="0064456E"/>
    <w:rsid w:val="00645997"/>
    <w:rsid w:val="0065190F"/>
    <w:rsid w:val="00662269"/>
    <w:rsid w:val="006711F5"/>
    <w:rsid w:val="006751AF"/>
    <w:rsid w:val="00677232"/>
    <w:rsid w:val="00680B6F"/>
    <w:rsid w:val="006819A3"/>
    <w:rsid w:val="00684012"/>
    <w:rsid w:val="00685624"/>
    <w:rsid w:val="00685C8D"/>
    <w:rsid w:val="00686743"/>
    <w:rsid w:val="00693CF2"/>
    <w:rsid w:val="00695097"/>
    <w:rsid w:val="006A10AD"/>
    <w:rsid w:val="006A115F"/>
    <w:rsid w:val="006A4824"/>
    <w:rsid w:val="006A485C"/>
    <w:rsid w:val="006A5502"/>
    <w:rsid w:val="006A5AB1"/>
    <w:rsid w:val="006B4A0C"/>
    <w:rsid w:val="006B668A"/>
    <w:rsid w:val="006C356C"/>
    <w:rsid w:val="006C416C"/>
    <w:rsid w:val="006C6206"/>
    <w:rsid w:val="006D10B0"/>
    <w:rsid w:val="006D1CA1"/>
    <w:rsid w:val="006D39F1"/>
    <w:rsid w:val="006D7246"/>
    <w:rsid w:val="006E0FD7"/>
    <w:rsid w:val="006E44B4"/>
    <w:rsid w:val="006E6528"/>
    <w:rsid w:val="006E6E64"/>
    <w:rsid w:val="006E73A8"/>
    <w:rsid w:val="006F1B5C"/>
    <w:rsid w:val="006F5C14"/>
    <w:rsid w:val="006F6A4F"/>
    <w:rsid w:val="00702829"/>
    <w:rsid w:val="00702836"/>
    <w:rsid w:val="007048DF"/>
    <w:rsid w:val="0070654A"/>
    <w:rsid w:val="00707299"/>
    <w:rsid w:val="0070758F"/>
    <w:rsid w:val="00710693"/>
    <w:rsid w:val="007108FF"/>
    <w:rsid w:val="00711671"/>
    <w:rsid w:val="00712DF2"/>
    <w:rsid w:val="00716B73"/>
    <w:rsid w:val="007177E9"/>
    <w:rsid w:val="00721F08"/>
    <w:rsid w:val="007227D5"/>
    <w:rsid w:val="007269CA"/>
    <w:rsid w:val="00726C64"/>
    <w:rsid w:val="0073051B"/>
    <w:rsid w:val="00735169"/>
    <w:rsid w:val="00740E82"/>
    <w:rsid w:val="00742FDC"/>
    <w:rsid w:val="00747599"/>
    <w:rsid w:val="00747C31"/>
    <w:rsid w:val="007525B2"/>
    <w:rsid w:val="00752F58"/>
    <w:rsid w:val="00764672"/>
    <w:rsid w:val="007665DD"/>
    <w:rsid w:val="007675CE"/>
    <w:rsid w:val="00771F51"/>
    <w:rsid w:val="0077392C"/>
    <w:rsid w:val="00774D48"/>
    <w:rsid w:val="00774E9A"/>
    <w:rsid w:val="007751E7"/>
    <w:rsid w:val="00777110"/>
    <w:rsid w:val="007836FD"/>
    <w:rsid w:val="00791107"/>
    <w:rsid w:val="00792A45"/>
    <w:rsid w:val="00795CBB"/>
    <w:rsid w:val="007970F4"/>
    <w:rsid w:val="00797A2D"/>
    <w:rsid w:val="007A057D"/>
    <w:rsid w:val="007A489B"/>
    <w:rsid w:val="007A5B9A"/>
    <w:rsid w:val="007A649D"/>
    <w:rsid w:val="007A7D4B"/>
    <w:rsid w:val="007B451D"/>
    <w:rsid w:val="007B5A57"/>
    <w:rsid w:val="007B6288"/>
    <w:rsid w:val="007B661C"/>
    <w:rsid w:val="007C1165"/>
    <w:rsid w:val="007D7461"/>
    <w:rsid w:val="007E0B15"/>
    <w:rsid w:val="007E1ED9"/>
    <w:rsid w:val="007E2F72"/>
    <w:rsid w:val="007E2F9C"/>
    <w:rsid w:val="007E3307"/>
    <w:rsid w:val="007E3BA6"/>
    <w:rsid w:val="007E7E1D"/>
    <w:rsid w:val="007F19BF"/>
    <w:rsid w:val="007F37B8"/>
    <w:rsid w:val="007F5BB5"/>
    <w:rsid w:val="007F65F0"/>
    <w:rsid w:val="00805CB3"/>
    <w:rsid w:val="0081026A"/>
    <w:rsid w:val="00810A65"/>
    <w:rsid w:val="00812799"/>
    <w:rsid w:val="00813097"/>
    <w:rsid w:val="00826B59"/>
    <w:rsid w:val="008306BF"/>
    <w:rsid w:val="0083477E"/>
    <w:rsid w:val="00837274"/>
    <w:rsid w:val="00837F29"/>
    <w:rsid w:val="00844B78"/>
    <w:rsid w:val="00846E43"/>
    <w:rsid w:val="00852DBA"/>
    <w:rsid w:val="008538D3"/>
    <w:rsid w:val="008545D7"/>
    <w:rsid w:val="00861486"/>
    <w:rsid w:val="00865537"/>
    <w:rsid w:val="00865581"/>
    <w:rsid w:val="00873886"/>
    <w:rsid w:val="0087699C"/>
    <w:rsid w:val="00887563"/>
    <w:rsid w:val="00890895"/>
    <w:rsid w:val="00892D3F"/>
    <w:rsid w:val="008A11C5"/>
    <w:rsid w:val="008A3941"/>
    <w:rsid w:val="008A4A79"/>
    <w:rsid w:val="008A5F19"/>
    <w:rsid w:val="008B4891"/>
    <w:rsid w:val="008C3475"/>
    <w:rsid w:val="008C4277"/>
    <w:rsid w:val="008C6484"/>
    <w:rsid w:val="008D0897"/>
    <w:rsid w:val="008D4BB9"/>
    <w:rsid w:val="008F764E"/>
    <w:rsid w:val="008F7F9F"/>
    <w:rsid w:val="009000A6"/>
    <w:rsid w:val="00900BFA"/>
    <w:rsid w:val="00906AC7"/>
    <w:rsid w:val="009207A2"/>
    <w:rsid w:val="00921566"/>
    <w:rsid w:val="00921582"/>
    <w:rsid w:val="00923A97"/>
    <w:rsid w:val="009248D9"/>
    <w:rsid w:val="00933539"/>
    <w:rsid w:val="009346EF"/>
    <w:rsid w:val="00934F55"/>
    <w:rsid w:val="009354A3"/>
    <w:rsid w:val="009359E4"/>
    <w:rsid w:val="00936BC9"/>
    <w:rsid w:val="00941B55"/>
    <w:rsid w:val="0094398B"/>
    <w:rsid w:val="009479FC"/>
    <w:rsid w:val="00954AC7"/>
    <w:rsid w:val="00954BA0"/>
    <w:rsid w:val="00955834"/>
    <w:rsid w:val="00955EBF"/>
    <w:rsid w:val="009566E7"/>
    <w:rsid w:val="009568A4"/>
    <w:rsid w:val="00957F8A"/>
    <w:rsid w:val="009605B8"/>
    <w:rsid w:val="00961791"/>
    <w:rsid w:val="00963707"/>
    <w:rsid w:val="00966049"/>
    <w:rsid w:val="009717C6"/>
    <w:rsid w:val="00973ED5"/>
    <w:rsid w:val="00981B3E"/>
    <w:rsid w:val="00984948"/>
    <w:rsid w:val="00985FE1"/>
    <w:rsid w:val="00986EC8"/>
    <w:rsid w:val="00987F7B"/>
    <w:rsid w:val="00992FC2"/>
    <w:rsid w:val="009A02C2"/>
    <w:rsid w:val="009A03AE"/>
    <w:rsid w:val="009A505E"/>
    <w:rsid w:val="009A6DAE"/>
    <w:rsid w:val="009C1A54"/>
    <w:rsid w:val="009C391D"/>
    <w:rsid w:val="009C3A90"/>
    <w:rsid w:val="009D219B"/>
    <w:rsid w:val="009D4A77"/>
    <w:rsid w:val="009D59B5"/>
    <w:rsid w:val="009D6A47"/>
    <w:rsid w:val="009D7153"/>
    <w:rsid w:val="009E436A"/>
    <w:rsid w:val="009E6404"/>
    <w:rsid w:val="009F3D96"/>
    <w:rsid w:val="009F54C2"/>
    <w:rsid w:val="009F56FF"/>
    <w:rsid w:val="009F7969"/>
    <w:rsid w:val="00A0327D"/>
    <w:rsid w:val="00A055D3"/>
    <w:rsid w:val="00A123B3"/>
    <w:rsid w:val="00A21434"/>
    <w:rsid w:val="00A21AC6"/>
    <w:rsid w:val="00A25579"/>
    <w:rsid w:val="00A25BF0"/>
    <w:rsid w:val="00A4383B"/>
    <w:rsid w:val="00A44F89"/>
    <w:rsid w:val="00A452C3"/>
    <w:rsid w:val="00A50A22"/>
    <w:rsid w:val="00A526F8"/>
    <w:rsid w:val="00A53713"/>
    <w:rsid w:val="00A56C4F"/>
    <w:rsid w:val="00A65A84"/>
    <w:rsid w:val="00A6662E"/>
    <w:rsid w:val="00A67826"/>
    <w:rsid w:val="00A706A1"/>
    <w:rsid w:val="00A74517"/>
    <w:rsid w:val="00A7543D"/>
    <w:rsid w:val="00A83BFD"/>
    <w:rsid w:val="00A901A6"/>
    <w:rsid w:val="00A90907"/>
    <w:rsid w:val="00A95573"/>
    <w:rsid w:val="00AA2B00"/>
    <w:rsid w:val="00AA3676"/>
    <w:rsid w:val="00AA53B8"/>
    <w:rsid w:val="00AB0D1A"/>
    <w:rsid w:val="00AB0EC5"/>
    <w:rsid w:val="00AB3711"/>
    <w:rsid w:val="00AC056B"/>
    <w:rsid w:val="00AC1E3E"/>
    <w:rsid w:val="00AC31D5"/>
    <w:rsid w:val="00AC6018"/>
    <w:rsid w:val="00AC6491"/>
    <w:rsid w:val="00AD1E66"/>
    <w:rsid w:val="00AD34B3"/>
    <w:rsid w:val="00AD39B2"/>
    <w:rsid w:val="00AD4691"/>
    <w:rsid w:val="00AD6C4B"/>
    <w:rsid w:val="00AE328C"/>
    <w:rsid w:val="00AF04CB"/>
    <w:rsid w:val="00AF15A3"/>
    <w:rsid w:val="00AF44EF"/>
    <w:rsid w:val="00AF5422"/>
    <w:rsid w:val="00AF7202"/>
    <w:rsid w:val="00AF7D02"/>
    <w:rsid w:val="00B01FCC"/>
    <w:rsid w:val="00B02C5C"/>
    <w:rsid w:val="00B031B8"/>
    <w:rsid w:val="00B05F94"/>
    <w:rsid w:val="00B10136"/>
    <w:rsid w:val="00B1029A"/>
    <w:rsid w:val="00B11314"/>
    <w:rsid w:val="00B15178"/>
    <w:rsid w:val="00B154DE"/>
    <w:rsid w:val="00B1749C"/>
    <w:rsid w:val="00B23916"/>
    <w:rsid w:val="00B365BA"/>
    <w:rsid w:val="00B37BAB"/>
    <w:rsid w:val="00B43742"/>
    <w:rsid w:val="00B554FB"/>
    <w:rsid w:val="00B602F0"/>
    <w:rsid w:val="00B61AFF"/>
    <w:rsid w:val="00B65078"/>
    <w:rsid w:val="00B66B26"/>
    <w:rsid w:val="00B7753C"/>
    <w:rsid w:val="00B81D59"/>
    <w:rsid w:val="00B84C1E"/>
    <w:rsid w:val="00B93A12"/>
    <w:rsid w:val="00BA04AE"/>
    <w:rsid w:val="00BA159E"/>
    <w:rsid w:val="00BA17BF"/>
    <w:rsid w:val="00BB4FCF"/>
    <w:rsid w:val="00BC107B"/>
    <w:rsid w:val="00BC31DB"/>
    <w:rsid w:val="00BC490F"/>
    <w:rsid w:val="00BC6454"/>
    <w:rsid w:val="00BD1905"/>
    <w:rsid w:val="00BD3122"/>
    <w:rsid w:val="00BD47AA"/>
    <w:rsid w:val="00BD6253"/>
    <w:rsid w:val="00BD7D26"/>
    <w:rsid w:val="00BE00A2"/>
    <w:rsid w:val="00BE4B66"/>
    <w:rsid w:val="00BE5E9E"/>
    <w:rsid w:val="00BF06A6"/>
    <w:rsid w:val="00BF49AC"/>
    <w:rsid w:val="00BF5094"/>
    <w:rsid w:val="00BF7436"/>
    <w:rsid w:val="00C00431"/>
    <w:rsid w:val="00C04D76"/>
    <w:rsid w:val="00C05A21"/>
    <w:rsid w:val="00C05B52"/>
    <w:rsid w:val="00C10432"/>
    <w:rsid w:val="00C11F69"/>
    <w:rsid w:val="00C12548"/>
    <w:rsid w:val="00C134EB"/>
    <w:rsid w:val="00C13BA3"/>
    <w:rsid w:val="00C26CE1"/>
    <w:rsid w:val="00C31100"/>
    <w:rsid w:val="00C335AA"/>
    <w:rsid w:val="00C36DAC"/>
    <w:rsid w:val="00C37611"/>
    <w:rsid w:val="00C43F2A"/>
    <w:rsid w:val="00C44976"/>
    <w:rsid w:val="00C50FAF"/>
    <w:rsid w:val="00C53C0C"/>
    <w:rsid w:val="00C55333"/>
    <w:rsid w:val="00C617C5"/>
    <w:rsid w:val="00C62647"/>
    <w:rsid w:val="00C626AE"/>
    <w:rsid w:val="00C63392"/>
    <w:rsid w:val="00C666A1"/>
    <w:rsid w:val="00C76707"/>
    <w:rsid w:val="00C8050E"/>
    <w:rsid w:val="00C823D3"/>
    <w:rsid w:val="00C83219"/>
    <w:rsid w:val="00C9057D"/>
    <w:rsid w:val="00C922CD"/>
    <w:rsid w:val="00CA0ADD"/>
    <w:rsid w:val="00CA1F4B"/>
    <w:rsid w:val="00CA4DA1"/>
    <w:rsid w:val="00CB052A"/>
    <w:rsid w:val="00CB27B0"/>
    <w:rsid w:val="00CB6389"/>
    <w:rsid w:val="00CB7F17"/>
    <w:rsid w:val="00CC1C09"/>
    <w:rsid w:val="00CC3F15"/>
    <w:rsid w:val="00CC467C"/>
    <w:rsid w:val="00CC5F82"/>
    <w:rsid w:val="00CD06DF"/>
    <w:rsid w:val="00CD38E2"/>
    <w:rsid w:val="00CD5642"/>
    <w:rsid w:val="00CD63C8"/>
    <w:rsid w:val="00CF04CB"/>
    <w:rsid w:val="00CF1E2F"/>
    <w:rsid w:val="00CF4188"/>
    <w:rsid w:val="00CF6D3F"/>
    <w:rsid w:val="00CF75AF"/>
    <w:rsid w:val="00D11D1C"/>
    <w:rsid w:val="00D130B2"/>
    <w:rsid w:val="00D170AD"/>
    <w:rsid w:val="00D24B1A"/>
    <w:rsid w:val="00D275D3"/>
    <w:rsid w:val="00D27DAE"/>
    <w:rsid w:val="00D31699"/>
    <w:rsid w:val="00D32FAB"/>
    <w:rsid w:val="00D345EC"/>
    <w:rsid w:val="00D3506F"/>
    <w:rsid w:val="00D35CC0"/>
    <w:rsid w:val="00D367D3"/>
    <w:rsid w:val="00D36BD7"/>
    <w:rsid w:val="00D37360"/>
    <w:rsid w:val="00D4010E"/>
    <w:rsid w:val="00D407E3"/>
    <w:rsid w:val="00D436CE"/>
    <w:rsid w:val="00D47CB9"/>
    <w:rsid w:val="00D47E4E"/>
    <w:rsid w:val="00D54F44"/>
    <w:rsid w:val="00D55800"/>
    <w:rsid w:val="00D61B4E"/>
    <w:rsid w:val="00D61CDD"/>
    <w:rsid w:val="00D6225E"/>
    <w:rsid w:val="00D6376F"/>
    <w:rsid w:val="00D6596B"/>
    <w:rsid w:val="00D74118"/>
    <w:rsid w:val="00D74B58"/>
    <w:rsid w:val="00D75A6C"/>
    <w:rsid w:val="00D77540"/>
    <w:rsid w:val="00D861FF"/>
    <w:rsid w:val="00D87797"/>
    <w:rsid w:val="00D90353"/>
    <w:rsid w:val="00D92521"/>
    <w:rsid w:val="00D94931"/>
    <w:rsid w:val="00D952F1"/>
    <w:rsid w:val="00D95300"/>
    <w:rsid w:val="00D96EC8"/>
    <w:rsid w:val="00D977A2"/>
    <w:rsid w:val="00DA28E3"/>
    <w:rsid w:val="00DB1995"/>
    <w:rsid w:val="00DC1912"/>
    <w:rsid w:val="00DD19E2"/>
    <w:rsid w:val="00DD2734"/>
    <w:rsid w:val="00DD55B9"/>
    <w:rsid w:val="00DD56E4"/>
    <w:rsid w:val="00DE1E05"/>
    <w:rsid w:val="00DE37BB"/>
    <w:rsid w:val="00DF3078"/>
    <w:rsid w:val="00E03B8E"/>
    <w:rsid w:val="00E04CBB"/>
    <w:rsid w:val="00E06641"/>
    <w:rsid w:val="00E148A3"/>
    <w:rsid w:val="00E16CAF"/>
    <w:rsid w:val="00E17631"/>
    <w:rsid w:val="00E22251"/>
    <w:rsid w:val="00E24F5C"/>
    <w:rsid w:val="00E276F0"/>
    <w:rsid w:val="00E31455"/>
    <w:rsid w:val="00E32030"/>
    <w:rsid w:val="00E33501"/>
    <w:rsid w:val="00E344C1"/>
    <w:rsid w:val="00E35FB4"/>
    <w:rsid w:val="00E378ED"/>
    <w:rsid w:val="00E37A78"/>
    <w:rsid w:val="00E4497F"/>
    <w:rsid w:val="00E4517F"/>
    <w:rsid w:val="00E462DE"/>
    <w:rsid w:val="00E50D94"/>
    <w:rsid w:val="00E5166B"/>
    <w:rsid w:val="00E51EEC"/>
    <w:rsid w:val="00E5612F"/>
    <w:rsid w:val="00E64450"/>
    <w:rsid w:val="00E85E1A"/>
    <w:rsid w:val="00E85EAF"/>
    <w:rsid w:val="00E85F53"/>
    <w:rsid w:val="00E86E46"/>
    <w:rsid w:val="00E873CB"/>
    <w:rsid w:val="00E9372D"/>
    <w:rsid w:val="00E960F1"/>
    <w:rsid w:val="00EB7E37"/>
    <w:rsid w:val="00EC0BFC"/>
    <w:rsid w:val="00EC3DDF"/>
    <w:rsid w:val="00EC6F2F"/>
    <w:rsid w:val="00ED307F"/>
    <w:rsid w:val="00ED34C4"/>
    <w:rsid w:val="00ED6EE8"/>
    <w:rsid w:val="00EE2A78"/>
    <w:rsid w:val="00EE564D"/>
    <w:rsid w:val="00EF289C"/>
    <w:rsid w:val="00EF387A"/>
    <w:rsid w:val="00EF62F3"/>
    <w:rsid w:val="00F00425"/>
    <w:rsid w:val="00F004CB"/>
    <w:rsid w:val="00F01896"/>
    <w:rsid w:val="00F02B60"/>
    <w:rsid w:val="00F04D53"/>
    <w:rsid w:val="00F052D7"/>
    <w:rsid w:val="00F059CF"/>
    <w:rsid w:val="00F07019"/>
    <w:rsid w:val="00F13254"/>
    <w:rsid w:val="00F13B69"/>
    <w:rsid w:val="00F17281"/>
    <w:rsid w:val="00F215BB"/>
    <w:rsid w:val="00F22964"/>
    <w:rsid w:val="00F403F2"/>
    <w:rsid w:val="00F4168E"/>
    <w:rsid w:val="00F44738"/>
    <w:rsid w:val="00F4503C"/>
    <w:rsid w:val="00F464FF"/>
    <w:rsid w:val="00F5124A"/>
    <w:rsid w:val="00F5436A"/>
    <w:rsid w:val="00F54389"/>
    <w:rsid w:val="00F558ED"/>
    <w:rsid w:val="00F61E9A"/>
    <w:rsid w:val="00F6528E"/>
    <w:rsid w:val="00F73DAD"/>
    <w:rsid w:val="00F747F0"/>
    <w:rsid w:val="00F761A4"/>
    <w:rsid w:val="00F763A8"/>
    <w:rsid w:val="00F77D36"/>
    <w:rsid w:val="00F866B1"/>
    <w:rsid w:val="00F86A95"/>
    <w:rsid w:val="00F87BC6"/>
    <w:rsid w:val="00F903E8"/>
    <w:rsid w:val="00F91F6A"/>
    <w:rsid w:val="00F92001"/>
    <w:rsid w:val="00F92389"/>
    <w:rsid w:val="00FA01E0"/>
    <w:rsid w:val="00FA56C1"/>
    <w:rsid w:val="00FA5FC9"/>
    <w:rsid w:val="00FB269E"/>
    <w:rsid w:val="00FB51D3"/>
    <w:rsid w:val="00FB7C90"/>
    <w:rsid w:val="00FC4E98"/>
    <w:rsid w:val="00FC5C16"/>
    <w:rsid w:val="00FD0FEB"/>
    <w:rsid w:val="00FD1985"/>
    <w:rsid w:val="00FD7E98"/>
    <w:rsid w:val="00FE1732"/>
    <w:rsid w:val="00FE249D"/>
    <w:rsid w:val="00FE6634"/>
    <w:rsid w:val="00FF0F5D"/>
    <w:rsid w:val="00FF1300"/>
    <w:rsid w:val="00FF141D"/>
    <w:rsid w:val="00FF16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069C78"/>
  <w15:docId w15:val="{E7BA448A-4774-4E58-B145-8CFD9F5A1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6B26"/>
    <w:rPr>
      <w:rFonts w:ascii="Times New Roman" w:eastAsia="Times New Roman" w:hAnsi="Times New Roman" w:cs="Times New Roman"/>
      <w:lang w:eastAsia="ja-JP"/>
    </w:rPr>
  </w:style>
  <w:style w:type="paragraph" w:styleId="3">
    <w:name w:val="heading 3"/>
    <w:basedOn w:val="a"/>
    <w:link w:val="30"/>
    <w:uiPriority w:val="9"/>
    <w:qFormat/>
    <w:rsid w:val="00FB7C90"/>
    <w:pPr>
      <w:spacing w:before="100" w:beforeAutospacing="1" w:after="100" w:afterAutospacing="1"/>
      <w:outlineLvl w:val="2"/>
    </w:pPr>
    <w:rPr>
      <w:b/>
      <w:bCs/>
      <w:sz w:val="27"/>
      <w:szCs w:val="27"/>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1203"/>
    <w:rPr>
      <w:rFonts w:eastAsiaTheme="minorHAnsi"/>
      <w:sz w:val="18"/>
      <w:szCs w:val="18"/>
      <w:lang w:eastAsia="en-US"/>
    </w:rPr>
  </w:style>
  <w:style w:type="character" w:customStyle="1" w:styleId="a4">
    <w:name w:val="批注框文本 字符"/>
    <w:basedOn w:val="a0"/>
    <w:link w:val="a3"/>
    <w:uiPriority w:val="99"/>
    <w:semiHidden/>
    <w:rsid w:val="003A1203"/>
    <w:rPr>
      <w:rFonts w:ascii="Times New Roman" w:eastAsiaTheme="minorHAnsi" w:hAnsi="Times New Roman" w:cs="Times New Roman"/>
      <w:sz w:val="18"/>
      <w:szCs w:val="18"/>
    </w:rPr>
  </w:style>
  <w:style w:type="character" w:styleId="a5">
    <w:name w:val="Hyperlink"/>
    <w:basedOn w:val="a0"/>
    <w:uiPriority w:val="99"/>
    <w:unhideWhenUsed/>
    <w:rsid w:val="00AB0D1A"/>
    <w:rPr>
      <w:color w:val="0563C1" w:themeColor="hyperlink"/>
      <w:u w:val="single"/>
    </w:rPr>
  </w:style>
  <w:style w:type="table" w:customStyle="1" w:styleId="TableGridLight1">
    <w:name w:val="Table Grid Light1"/>
    <w:basedOn w:val="a1"/>
    <w:uiPriority w:val="40"/>
    <w:rsid w:val="00AB0D1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a6">
    <w:name w:val="Table Grid"/>
    <w:basedOn w:val="a1"/>
    <w:uiPriority w:val="39"/>
    <w:rsid w:val="003F2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Char"/>
    <w:rsid w:val="001D74EE"/>
    <w:pPr>
      <w:jc w:val="center"/>
    </w:pPr>
    <w:rPr>
      <w:lang w:eastAsia="en-US"/>
    </w:rPr>
  </w:style>
  <w:style w:type="character" w:customStyle="1" w:styleId="EndNoteBibliographyTitleChar">
    <w:name w:val="EndNote Bibliography Title Char"/>
    <w:basedOn w:val="a0"/>
    <w:link w:val="EndNoteBibliographyTitle"/>
    <w:rsid w:val="001D74EE"/>
    <w:rPr>
      <w:rFonts w:ascii="Times New Roman" w:eastAsia="Times New Roman" w:hAnsi="Times New Roman" w:cs="Times New Roman"/>
    </w:rPr>
  </w:style>
  <w:style w:type="paragraph" w:customStyle="1" w:styleId="EndNoteBibliography">
    <w:name w:val="EndNote Bibliography"/>
    <w:basedOn w:val="a"/>
    <w:link w:val="EndNoteBibliographyChar"/>
    <w:rsid w:val="001D74EE"/>
    <w:rPr>
      <w:lang w:eastAsia="en-US"/>
    </w:rPr>
  </w:style>
  <w:style w:type="character" w:customStyle="1" w:styleId="EndNoteBibliographyChar">
    <w:name w:val="EndNote Bibliography Char"/>
    <w:basedOn w:val="a0"/>
    <w:link w:val="EndNoteBibliography"/>
    <w:rsid w:val="001D74EE"/>
    <w:rPr>
      <w:rFonts w:ascii="Times New Roman" w:eastAsia="Times New Roman" w:hAnsi="Times New Roman" w:cs="Times New Roman"/>
    </w:rPr>
  </w:style>
  <w:style w:type="paragraph" w:styleId="a7">
    <w:name w:val="List Paragraph"/>
    <w:basedOn w:val="a"/>
    <w:uiPriority w:val="34"/>
    <w:qFormat/>
    <w:rsid w:val="00CC467C"/>
    <w:pPr>
      <w:ind w:left="720"/>
      <w:contextualSpacing/>
    </w:pPr>
    <w:rPr>
      <w:lang w:eastAsia="en-US"/>
    </w:rPr>
  </w:style>
  <w:style w:type="paragraph" w:styleId="a8">
    <w:name w:val="Normal (Web)"/>
    <w:basedOn w:val="a"/>
    <w:uiPriority w:val="99"/>
    <w:unhideWhenUsed/>
    <w:rsid w:val="002E54A1"/>
    <w:pPr>
      <w:spacing w:before="100" w:beforeAutospacing="1" w:after="100" w:afterAutospacing="1"/>
    </w:pPr>
  </w:style>
  <w:style w:type="character" w:styleId="a9">
    <w:name w:val="Emphasis"/>
    <w:basedOn w:val="a0"/>
    <w:uiPriority w:val="20"/>
    <w:qFormat/>
    <w:rsid w:val="00FB7C90"/>
    <w:rPr>
      <w:i/>
      <w:iCs/>
    </w:rPr>
  </w:style>
  <w:style w:type="character" w:customStyle="1" w:styleId="apple-converted-space">
    <w:name w:val="apple-converted-space"/>
    <w:basedOn w:val="a0"/>
    <w:rsid w:val="00FB7C90"/>
  </w:style>
  <w:style w:type="character" w:customStyle="1" w:styleId="30">
    <w:name w:val="标题 3 字符"/>
    <w:basedOn w:val="a0"/>
    <w:link w:val="3"/>
    <w:uiPriority w:val="9"/>
    <w:rsid w:val="00FB7C90"/>
    <w:rPr>
      <w:rFonts w:ascii="Times New Roman" w:eastAsia="Times New Roman" w:hAnsi="Times New Roman" w:cs="Times New Roman"/>
      <w:b/>
      <w:bCs/>
      <w:sz w:val="27"/>
      <w:szCs w:val="27"/>
    </w:rPr>
  </w:style>
  <w:style w:type="character" w:customStyle="1" w:styleId="ref-journal">
    <w:name w:val="ref-journal"/>
    <w:basedOn w:val="a0"/>
    <w:rsid w:val="008545D7"/>
  </w:style>
  <w:style w:type="character" w:customStyle="1" w:styleId="ref-vol">
    <w:name w:val="ref-vol"/>
    <w:basedOn w:val="a0"/>
    <w:rsid w:val="008545D7"/>
  </w:style>
  <w:style w:type="character" w:styleId="aa">
    <w:name w:val="annotation reference"/>
    <w:basedOn w:val="a0"/>
    <w:uiPriority w:val="99"/>
    <w:semiHidden/>
    <w:unhideWhenUsed/>
    <w:rsid w:val="009354A3"/>
    <w:rPr>
      <w:rFonts w:ascii="Tahoma" w:hAnsi="Tahoma" w:cs="Tahoma"/>
      <w:b w:val="0"/>
      <w:i w:val="0"/>
      <w:caps w:val="0"/>
      <w:strike w:val="0"/>
      <w:sz w:val="16"/>
      <w:szCs w:val="16"/>
      <w:u w:val="none"/>
    </w:rPr>
  </w:style>
  <w:style w:type="paragraph" w:styleId="ab">
    <w:name w:val="annotation text"/>
    <w:basedOn w:val="a"/>
    <w:link w:val="ac"/>
    <w:uiPriority w:val="99"/>
    <w:unhideWhenUsed/>
    <w:rsid w:val="009354A3"/>
    <w:rPr>
      <w:rFonts w:ascii="Tahoma" w:hAnsi="Tahoma" w:cs="Tahoma"/>
      <w:sz w:val="16"/>
      <w:szCs w:val="20"/>
      <w:lang w:eastAsia="en-US"/>
    </w:rPr>
  </w:style>
  <w:style w:type="character" w:customStyle="1" w:styleId="ac">
    <w:name w:val="批注文字 字符"/>
    <w:basedOn w:val="a0"/>
    <w:link w:val="ab"/>
    <w:uiPriority w:val="99"/>
    <w:rsid w:val="009354A3"/>
    <w:rPr>
      <w:rFonts w:ascii="Tahoma" w:eastAsia="Times New Roman" w:hAnsi="Tahoma" w:cs="Tahoma"/>
      <w:sz w:val="16"/>
      <w:szCs w:val="20"/>
    </w:rPr>
  </w:style>
  <w:style w:type="paragraph" w:styleId="ad">
    <w:name w:val="annotation subject"/>
    <w:basedOn w:val="ab"/>
    <w:next w:val="ab"/>
    <w:link w:val="ae"/>
    <w:uiPriority w:val="99"/>
    <w:semiHidden/>
    <w:unhideWhenUsed/>
    <w:rsid w:val="009354A3"/>
    <w:rPr>
      <w:b/>
      <w:bCs/>
    </w:rPr>
  </w:style>
  <w:style w:type="character" w:customStyle="1" w:styleId="ae">
    <w:name w:val="批注主题 字符"/>
    <w:basedOn w:val="ac"/>
    <w:link w:val="ad"/>
    <w:uiPriority w:val="99"/>
    <w:semiHidden/>
    <w:rsid w:val="009354A3"/>
    <w:rPr>
      <w:rFonts w:ascii="Tahoma" w:eastAsia="Times New Roman" w:hAnsi="Tahoma" w:cs="Tahoma"/>
      <w:b/>
      <w:bCs/>
      <w:sz w:val="16"/>
      <w:szCs w:val="20"/>
    </w:rPr>
  </w:style>
  <w:style w:type="paragraph" w:styleId="af">
    <w:name w:val="Revision"/>
    <w:hidden/>
    <w:uiPriority w:val="99"/>
    <w:semiHidden/>
    <w:rsid w:val="004F5805"/>
    <w:rPr>
      <w:rFonts w:ascii="Times New Roman" w:eastAsia="Times New Roman" w:hAnsi="Times New Roman" w:cs="Times New Roman"/>
    </w:rPr>
  </w:style>
  <w:style w:type="character" w:customStyle="1" w:styleId="1">
    <w:name w:val="未解決のメンション1"/>
    <w:basedOn w:val="a0"/>
    <w:uiPriority w:val="99"/>
    <w:rsid w:val="00F91F6A"/>
    <w:rPr>
      <w:color w:val="605E5C"/>
      <w:shd w:val="clear" w:color="auto" w:fill="E1DFDD"/>
    </w:rPr>
  </w:style>
  <w:style w:type="paragraph" w:styleId="HTML">
    <w:name w:val="HTML Preformatted"/>
    <w:basedOn w:val="a"/>
    <w:link w:val="HTML0"/>
    <w:uiPriority w:val="99"/>
    <w:semiHidden/>
    <w:unhideWhenUsed/>
    <w:rsid w:val="0064456E"/>
    <w:rPr>
      <w:rFonts w:ascii="Courier New" w:hAnsi="Courier New" w:cs="Courier New"/>
      <w:sz w:val="20"/>
      <w:szCs w:val="20"/>
    </w:rPr>
  </w:style>
  <w:style w:type="character" w:customStyle="1" w:styleId="HTML0">
    <w:name w:val="HTML 预设格式 字符"/>
    <w:basedOn w:val="a0"/>
    <w:link w:val="HTML"/>
    <w:uiPriority w:val="99"/>
    <w:semiHidden/>
    <w:rsid w:val="0064456E"/>
    <w:rPr>
      <w:rFonts w:ascii="Courier New" w:eastAsia="Times New Roman" w:hAnsi="Courier New" w:cs="Courier New"/>
      <w:sz w:val="20"/>
      <w:szCs w:val="20"/>
    </w:rPr>
  </w:style>
  <w:style w:type="paragraph" w:styleId="af0">
    <w:name w:val="Bibliography"/>
    <w:basedOn w:val="a"/>
    <w:next w:val="a"/>
    <w:uiPriority w:val="37"/>
    <w:unhideWhenUsed/>
    <w:rsid w:val="00E35FB4"/>
    <w:rPr>
      <w:lang w:eastAsia="en-US"/>
    </w:rPr>
  </w:style>
  <w:style w:type="paragraph" w:styleId="af1">
    <w:name w:val="header"/>
    <w:basedOn w:val="a"/>
    <w:link w:val="af2"/>
    <w:uiPriority w:val="99"/>
    <w:unhideWhenUsed/>
    <w:rsid w:val="005C4604"/>
    <w:pPr>
      <w:tabs>
        <w:tab w:val="center" w:pos="4252"/>
        <w:tab w:val="right" w:pos="8504"/>
      </w:tabs>
      <w:snapToGrid w:val="0"/>
    </w:pPr>
  </w:style>
  <w:style w:type="character" w:customStyle="1" w:styleId="af2">
    <w:name w:val="页眉 字符"/>
    <w:basedOn w:val="a0"/>
    <w:link w:val="af1"/>
    <w:uiPriority w:val="99"/>
    <w:rsid w:val="005C4604"/>
    <w:rPr>
      <w:rFonts w:ascii="Times New Roman" w:eastAsia="Times New Roman" w:hAnsi="Times New Roman" w:cs="Times New Roman"/>
      <w:lang w:eastAsia="ja-JP"/>
    </w:rPr>
  </w:style>
  <w:style w:type="paragraph" w:styleId="af3">
    <w:name w:val="footer"/>
    <w:basedOn w:val="a"/>
    <w:link w:val="af4"/>
    <w:uiPriority w:val="99"/>
    <w:unhideWhenUsed/>
    <w:rsid w:val="005C4604"/>
    <w:pPr>
      <w:tabs>
        <w:tab w:val="center" w:pos="4252"/>
        <w:tab w:val="right" w:pos="8504"/>
      </w:tabs>
      <w:snapToGrid w:val="0"/>
    </w:pPr>
  </w:style>
  <w:style w:type="character" w:customStyle="1" w:styleId="af4">
    <w:name w:val="页脚 字符"/>
    <w:basedOn w:val="a0"/>
    <w:link w:val="af3"/>
    <w:uiPriority w:val="99"/>
    <w:rsid w:val="005C4604"/>
    <w:rPr>
      <w:rFonts w:ascii="Times New Roman" w:eastAsia="Times New Roman" w:hAnsi="Times New Roman" w:cs="Times New Roman"/>
      <w:lang w:eastAsia="ja-JP"/>
    </w:rPr>
  </w:style>
  <w:style w:type="character" w:customStyle="1" w:styleId="UnresolvedMention1">
    <w:name w:val="Unresolved Mention1"/>
    <w:basedOn w:val="a0"/>
    <w:uiPriority w:val="99"/>
    <w:semiHidden/>
    <w:unhideWhenUsed/>
    <w:rsid w:val="00B01FCC"/>
    <w:rPr>
      <w:color w:val="605E5C"/>
      <w:shd w:val="clear" w:color="auto" w:fill="E1DFDD"/>
    </w:rPr>
  </w:style>
  <w:style w:type="paragraph" w:customStyle="1" w:styleId="Default">
    <w:name w:val="Default"/>
    <w:rsid w:val="00AC1E3E"/>
    <w:pPr>
      <w:autoSpaceDE w:val="0"/>
      <w:autoSpaceDN w:val="0"/>
      <w:adjustRightInd w:val="0"/>
    </w:pPr>
    <w:rPr>
      <w:rFonts w:ascii="Book Antiqua" w:hAnsi="Book Antiqua" w:cs="Book Antiqua"/>
      <w:color w:val="000000"/>
    </w:rPr>
  </w:style>
  <w:style w:type="character" w:customStyle="1" w:styleId="UnresolvedMention">
    <w:name w:val="Unresolved Mention"/>
    <w:basedOn w:val="a0"/>
    <w:uiPriority w:val="99"/>
    <w:semiHidden/>
    <w:unhideWhenUsed/>
    <w:rsid w:val="00685C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699148">
      <w:bodyDiv w:val="1"/>
      <w:marLeft w:val="0"/>
      <w:marRight w:val="0"/>
      <w:marTop w:val="0"/>
      <w:marBottom w:val="0"/>
      <w:divBdr>
        <w:top w:val="none" w:sz="0" w:space="0" w:color="auto"/>
        <w:left w:val="none" w:sz="0" w:space="0" w:color="auto"/>
        <w:bottom w:val="none" w:sz="0" w:space="0" w:color="auto"/>
        <w:right w:val="none" w:sz="0" w:space="0" w:color="auto"/>
      </w:divBdr>
    </w:div>
    <w:div w:id="182398693">
      <w:bodyDiv w:val="1"/>
      <w:marLeft w:val="0"/>
      <w:marRight w:val="0"/>
      <w:marTop w:val="0"/>
      <w:marBottom w:val="0"/>
      <w:divBdr>
        <w:top w:val="none" w:sz="0" w:space="0" w:color="auto"/>
        <w:left w:val="none" w:sz="0" w:space="0" w:color="auto"/>
        <w:bottom w:val="none" w:sz="0" w:space="0" w:color="auto"/>
        <w:right w:val="none" w:sz="0" w:space="0" w:color="auto"/>
      </w:divBdr>
      <w:divsChild>
        <w:div w:id="118451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319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324307">
      <w:bodyDiv w:val="1"/>
      <w:marLeft w:val="0"/>
      <w:marRight w:val="0"/>
      <w:marTop w:val="0"/>
      <w:marBottom w:val="0"/>
      <w:divBdr>
        <w:top w:val="none" w:sz="0" w:space="0" w:color="auto"/>
        <w:left w:val="none" w:sz="0" w:space="0" w:color="auto"/>
        <w:bottom w:val="none" w:sz="0" w:space="0" w:color="auto"/>
        <w:right w:val="none" w:sz="0" w:space="0" w:color="auto"/>
      </w:divBdr>
      <w:divsChild>
        <w:div w:id="1484545034">
          <w:marLeft w:val="0"/>
          <w:marRight w:val="0"/>
          <w:marTop w:val="0"/>
          <w:marBottom w:val="0"/>
          <w:divBdr>
            <w:top w:val="none" w:sz="0" w:space="0" w:color="auto"/>
            <w:left w:val="none" w:sz="0" w:space="0" w:color="auto"/>
            <w:bottom w:val="none" w:sz="0" w:space="0" w:color="auto"/>
            <w:right w:val="none" w:sz="0" w:space="0" w:color="auto"/>
          </w:divBdr>
          <w:divsChild>
            <w:div w:id="1240941171">
              <w:marLeft w:val="0"/>
              <w:marRight w:val="0"/>
              <w:marTop w:val="0"/>
              <w:marBottom w:val="0"/>
              <w:divBdr>
                <w:top w:val="none" w:sz="0" w:space="0" w:color="auto"/>
                <w:left w:val="none" w:sz="0" w:space="0" w:color="auto"/>
                <w:bottom w:val="none" w:sz="0" w:space="0" w:color="auto"/>
                <w:right w:val="none" w:sz="0" w:space="0" w:color="auto"/>
              </w:divBdr>
              <w:divsChild>
                <w:div w:id="1181626003">
                  <w:marLeft w:val="0"/>
                  <w:marRight w:val="0"/>
                  <w:marTop w:val="0"/>
                  <w:marBottom w:val="0"/>
                  <w:divBdr>
                    <w:top w:val="none" w:sz="0" w:space="0" w:color="auto"/>
                    <w:left w:val="none" w:sz="0" w:space="0" w:color="auto"/>
                    <w:bottom w:val="none" w:sz="0" w:space="0" w:color="auto"/>
                    <w:right w:val="none" w:sz="0" w:space="0" w:color="auto"/>
                  </w:divBdr>
                  <w:divsChild>
                    <w:div w:id="6398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71730">
      <w:bodyDiv w:val="1"/>
      <w:marLeft w:val="0"/>
      <w:marRight w:val="0"/>
      <w:marTop w:val="0"/>
      <w:marBottom w:val="0"/>
      <w:divBdr>
        <w:top w:val="none" w:sz="0" w:space="0" w:color="auto"/>
        <w:left w:val="none" w:sz="0" w:space="0" w:color="auto"/>
        <w:bottom w:val="none" w:sz="0" w:space="0" w:color="auto"/>
        <w:right w:val="none" w:sz="0" w:space="0" w:color="auto"/>
      </w:divBdr>
    </w:div>
    <w:div w:id="490171523">
      <w:bodyDiv w:val="1"/>
      <w:marLeft w:val="0"/>
      <w:marRight w:val="0"/>
      <w:marTop w:val="0"/>
      <w:marBottom w:val="0"/>
      <w:divBdr>
        <w:top w:val="none" w:sz="0" w:space="0" w:color="auto"/>
        <w:left w:val="none" w:sz="0" w:space="0" w:color="auto"/>
        <w:bottom w:val="none" w:sz="0" w:space="0" w:color="auto"/>
        <w:right w:val="none" w:sz="0" w:space="0" w:color="auto"/>
      </w:divBdr>
      <w:divsChild>
        <w:div w:id="1496411685">
          <w:marLeft w:val="0"/>
          <w:marRight w:val="0"/>
          <w:marTop w:val="0"/>
          <w:marBottom w:val="0"/>
          <w:divBdr>
            <w:top w:val="none" w:sz="0" w:space="0" w:color="auto"/>
            <w:left w:val="none" w:sz="0" w:space="0" w:color="auto"/>
            <w:bottom w:val="none" w:sz="0" w:space="0" w:color="auto"/>
            <w:right w:val="none" w:sz="0" w:space="0" w:color="auto"/>
          </w:divBdr>
          <w:divsChild>
            <w:div w:id="1316570339">
              <w:marLeft w:val="0"/>
              <w:marRight w:val="0"/>
              <w:marTop w:val="0"/>
              <w:marBottom w:val="0"/>
              <w:divBdr>
                <w:top w:val="none" w:sz="0" w:space="0" w:color="auto"/>
                <w:left w:val="none" w:sz="0" w:space="0" w:color="auto"/>
                <w:bottom w:val="none" w:sz="0" w:space="0" w:color="auto"/>
                <w:right w:val="none" w:sz="0" w:space="0" w:color="auto"/>
              </w:divBdr>
              <w:divsChild>
                <w:div w:id="507717934">
                  <w:marLeft w:val="0"/>
                  <w:marRight w:val="0"/>
                  <w:marTop w:val="0"/>
                  <w:marBottom w:val="0"/>
                  <w:divBdr>
                    <w:top w:val="none" w:sz="0" w:space="0" w:color="auto"/>
                    <w:left w:val="none" w:sz="0" w:space="0" w:color="auto"/>
                    <w:bottom w:val="none" w:sz="0" w:space="0" w:color="auto"/>
                    <w:right w:val="none" w:sz="0" w:space="0" w:color="auto"/>
                  </w:divBdr>
                  <w:divsChild>
                    <w:div w:id="190645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702496">
      <w:bodyDiv w:val="1"/>
      <w:marLeft w:val="0"/>
      <w:marRight w:val="0"/>
      <w:marTop w:val="0"/>
      <w:marBottom w:val="0"/>
      <w:divBdr>
        <w:top w:val="none" w:sz="0" w:space="0" w:color="auto"/>
        <w:left w:val="none" w:sz="0" w:space="0" w:color="auto"/>
        <w:bottom w:val="none" w:sz="0" w:space="0" w:color="auto"/>
        <w:right w:val="none" w:sz="0" w:space="0" w:color="auto"/>
      </w:divBdr>
    </w:div>
    <w:div w:id="682973268">
      <w:bodyDiv w:val="1"/>
      <w:marLeft w:val="0"/>
      <w:marRight w:val="0"/>
      <w:marTop w:val="0"/>
      <w:marBottom w:val="0"/>
      <w:divBdr>
        <w:top w:val="none" w:sz="0" w:space="0" w:color="auto"/>
        <w:left w:val="none" w:sz="0" w:space="0" w:color="auto"/>
        <w:bottom w:val="none" w:sz="0" w:space="0" w:color="auto"/>
        <w:right w:val="none" w:sz="0" w:space="0" w:color="auto"/>
      </w:divBdr>
      <w:divsChild>
        <w:div w:id="395592486">
          <w:marLeft w:val="0"/>
          <w:marRight w:val="0"/>
          <w:marTop w:val="0"/>
          <w:marBottom w:val="0"/>
          <w:divBdr>
            <w:top w:val="none" w:sz="0" w:space="0" w:color="auto"/>
            <w:left w:val="none" w:sz="0" w:space="0" w:color="auto"/>
            <w:bottom w:val="none" w:sz="0" w:space="0" w:color="auto"/>
            <w:right w:val="none" w:sz="0" w:space="0" w:color="auto"/>
          </w:divBdr>
          <w:divsChild>
            <w:div w:id="1021779827">
              <w:marLeft w:val="0"/>
              <w:marRight w:val="0"/>
              <w:marTop w:val="0"/>
              <w:marBottom w:val="0"/>
              <w:divBdr>
                <w:top w:val="none" w:sz="0" w:space="0" w:color="auto"/>
                <w:left w:val="none" w:sz="0" w:space="0" w:color="auto"/>
                <w:bottom w:val="none" w:sz="0" w:space="0" w:color="auto"/>
                <w:right w:val="none" w:sz="0" w:space="0" w:color="auto"/>
              </w:divBdr>
              <w:divsChild>
                <w:div w:id="118254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505739">
      <w:bodyDiv w:val="1"/>
      <w:marLeft w:val="0"/>
      <w:marRight w:val="0"/>
      <w:marTop w:val="0"/>
      <w:marBottom w:val="0"/>
      <w:divBdr>
        <w:top w:val="none" w:sz="0" w:space="0" w:color="auto"/>
        <w:left w:val="none" w:sz="0" w:space="0" w:color="auto"/>
        <w:bottom w:val="none" w:sz="0" w:space="0" w:color="auto"/>
        <w:right w:val="none" w:sz="0" w:space="0" w:color="auto"/>
      </w:divBdr>
      <w:divsChild>
        <w:div w:id="765003347">
          <w:marLeft w:val="0"/>
          <w:marRight w:val="0"/>
          <w:marTop w:val="0"/>
          <w:marBottom w:val="0"/>
          <w:divBdr>
            <w:top w:val="none" w:sz="0" w:space="0" w:color="auto"/>
            <w:left w:val="none" w:sz="0" w:space="0" w:color="auto"/>
            <w:bottom w:val="none" w:sz="0" w:space="0" w:color="auto"/>
            <w:right w:val="none" w:sz="0" w:space="0" w:color="auto"/>
          </w:divBdr>
        </w:div>
      </w:divsChild>
    </w:div>
    <w:div w:id="980692081">
      <w:bodyDiv w:val="1"/>
      <w:marLeft w:val="0"/>
      <w:marRight w:val="0"/>
      <w:marTop w:val="0"/>
      <w:marBottom w:val="0"/>
      <w:divBdr>
        <w:top w:val="none" w:sz="0" w:space="0" w:color="auto"/>
        <w:left w:val="none" w:sz="0" w:space="0" w:color="auto"/>
        <w:bottom w:val="none" w:sz="0" w:space="0" w:color="auto"/>
        <w:right w:val="none" w:sz="0" w:space="0" w:color="auto"/>
      </w:divBdr>
      <w:divsChild>
        <w:div w:id="2110615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5009304">
              <w:marLeft w:val="0"/>
              <w:marRight w:val="0"/>
              <w:marTop w:val="0"/>
              <w:marBottom w:val="0"/>
              <w:divBdr>
                <w:top w:val="none" w:sz="0" w:space="0" w:color="auto"/>
                <w:left w:val="none" w:sz="0" w:space="0" w:color="auto"/>
                <w:bottom w:val="none" w:sz="0" w:space="0" w:color="auto"/>
                <w:right w:val="none" w:sz="0" w:space="0" w:color="auto"/>
              </w:divBdr>
              <w:divsChild>
                <w:div w:id="877468670">
                  <w:marLeft w:val="0"/>
                  <w:marRight w:val="0"/>
                  <w:marTop w:val="0"/>
                  <w:marBottom w:val="0"/>
                  <w:divBdr>
                    <w:top w:val="none" w:sz="0" w:space="0" w:color="auto"/>
                    <w:left w:val="none" w:sz="0" w:space="0" w:color="auto"/>
                    <w:bottom w:val="none" w:sz="0" w:space="0" w:color="auto"/>
                    <w:right w:val="none" w:sz="0" w:space="0" w:color="auto"/>
                  </w:divBdr>
                  <w:divsChild>
                    <w:div w:id="54572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999943">
      <w:bodyDiv w:val="1"/>
      <w:marLeft w:val="0"/>
      <w:marRight w:val="0"/>
      <w:marTop w:val="0"/>
      <w:marBottom w:val="0"/>
      <w:divBdr>
        <w:top w:val="none" w:sz="0" w:space="0" w:color="auto"/>
        <w:left w:val="none" w:sz="0" w:space="0" w:color="auto"/>
        <w:bottom w:val="none" w:sz="0" w:space="0" w:color="auto"/>
        <w:right w:val="none" w:sz="0" w:space="0" w:color="auto"/>
      </w:divBdr>
      <w:divsChild>
        <w:div w:id="500858437">
          <w:marLeft w:val="0"/>
          <w:marRight w:val="0"/>
          <w:marTop w:val="0"/>
          <w:marBottom w:val="0"/>
          <w:divBdr>
            <w:top w:val="none" w:sz="0" w:space="0" w:color="auto"/>
            <w:left w:val="none" w:sz="0" w:space="0" w:color="auto"/>
            <w:bottom w:val="none" w:sz="0" w:space="0" w:color="auto"/>
            <w:right w:val="none" w:sz="0" w:space="0" w:color="auto"/>
          </w:divBdr>
          <w:divsChild>
            <w:div w:id="1973486683">
              <w:marLeft w:val="0"/>
              <w:marRight w:val="0"/>
              <w:marTop w:val="0"/>
              <w:marBottom w:val="0"/>
              <w:divBdr>
                <w:top w:val="none" w:sz="0" w:space="0" w:color="auto"/>
                <w:left w:val="none" w:sz="0" w:space="0" w:color="auto"/>
                <w:bottom w:val="none" w:sz="0" w:space="0" w:color="auto"/>
                <w:right w:val="none" w:sz="0" w:space="0" w:color="auto"/>
              </w:divBdr>
              <w:divsChild>
                <w:div w:id="1802070286">
                  <w:marLeft w:val="0"/>
                  <w:marRight w:val="0"/>
                  <w:marTop w:val="0"/>
                  <w:marBottom w:val="0"/>
                  <w:divBdr>
                    <w:top w:val="none" w:sz="0" w:space="0" w:color="auto"/>
                    <w:left w:val="none" w:sz="0" w:space="0" w:color="auto"/>
                    <w:bottom w:val="none" w:sz="0" w:space="0" w:color="auto"/>
                    <w:right w:val="none" w:sz="0" w:space="0" w:color="auto"/>
                  </w:divBdr>
                  <w:divsChild>
                    <w:div w:id="97690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384518">
      <w:bodyDiv w:val="1"/>
      <w:marLeft w:val="0"/>
      <w:marRight w:val="0"/>
      <w:marTop w:val="0"/>
      <w:marBottom w:val="0"/>
      <w:divBdr>
        <w:top w:val="none" w:sz="0" w:space="0" w:color="auto"/>
        <w:left w:val="none" w:sz="0" w:space="0" w:color="auto"/>
        <w:bottom w:val="none" w:sz="0" w:space="0" w:color="auto"/>
        <w:right w:val="none" w:sz="0" w:space="0" w:color="auto"/>
      </w:divBdr>
    </w:div>
    <w:div w:id="1850942258">
      <w:bodyDiv w:val="1"/>
      <w:marLeft w:val="0"/>
      <w:marRight w:val="0"/>
      <w:marTop w:val="0"/>
      <w:marBottom w:val="0"/>
      <w:divBdr>
        <w:top w:val="none" w:sz="0" w:space="0" w:color="auto"/>
        <w:left w:val="none" w:sz="0" w:space="0" w:color="auto"/>
        <w:bottom w:val="none" w:sz="0" w:space="0" w:color="auto"/>
        <w:right w:val="none" w:sz="0" w:space="0" w:color="auto"/>
      </w:divBdr>
      <w:divsChild>
        <w:div w:id="1852524191">
          <w:marLeft w:val="0"/>
          <w:marRight w:val="0"/>
          <w:marTop w:val="0"/>
          <w:marBottom w:val="0"/>
          <w:divBdr>
            <w:top w:val="none" w:sz="0" w:space="0" w:color="auto"/>
            <w:left w:val="none" w:sz="0" w:space="0" w:color="auto"/>
            <w:bottom w:val="none" w:sz="0" w:space="0" w:color="auto"/>
            <w:right w:val="none" w:sz="0" w:space="0" w:color="auto"/>
          </w:divBdr>
          <w:divsChild>
            <w:div w:id="1270698820">
              <w:marLeft w:val="0"/>
              <w:marRight w:val="0"/>
              <w:marTop w:val="0"/>
              <w:marBottom w:val="0"/>
              <w:divBdr>
                <w:top w:val="none" w:sz="0" w:space="0" w:color="auto"/>
                <w:left w:val="none" w:sz="0" w:space="0" w:color="auto"/>
                <w:bottom w:val="none" w:sz="0" w:space="0" w:color="auto"/>
                <w:right w:val="none" w:sz="0" w:space="0" w:color="auto"/>
              </w:divBdr>
              <w:divsChild>
                <w:div w:id="1582563430">
                  <w:marLeft w:val="0"/>
                  <w:marRight w:val="0"/>
                  <w:marTop w:val="0"/>
                  <w:marBottom w:val="0"/>
                  <w:divBdr>
                    <w:top w:val="none" w:sz="0" w:space="0" w:color="auto"/>
                    <w:left w:val="none" w:sz="0" w:space="0" w:color="auto"/>
                    <w:bottom w:val="none" w:sz="0" w:space="0" w:color="auto"/>
                    <w:right w:val="none" w:sz="0" w:space="0" w:color="auto"/>
                  </w:divBdr>
                  <w:divsChild>
                    <w:div w:id="194159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hyperlink" Target="http://creativecommons.org/licenses/by-nc/4.0/" TargetMode="Externa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npeff.sourceforge.net/SnpEff.html" TargetMode="Externa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42F1224-CCEA-4A29-9DF4-8470EB501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8574</Words>
  <Characters>48872</Characters>
  <Application>Microsoft Office Word</Application>
  <DocSecurity>0</DocSecurity>
  <Lines>407</Lines>
  <Paragraphs>114</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South Tees Hospitals NHS Foundation Trust</Company>
  <LinksUpToDate>false</LinksUpToDate>
  <CharactersWithSpaces>57332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Nguyễn Hải Nam</dc:creator>
  <cp:lastModifiedBy>HP</cp:lastModifiedBy>
  <cp:revision>2</cp:revision>
  <dcterms:created xsi:type="dcterms:W3CDTF">2019-12-22T09:46:00Z</dcterms:created>
  <dcterms:modified xsi:type="dcterms:W3CDTF">2019-12-22T09:46:00Z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zotero-version="5.0.69"&gt;&lt;session id="Ximvumbq"/&gt;&lt;style id="http://www.zotero.org/styles/american-medical-association" hasBibliography="1" bibliographyStyleHasBeenSet="1"/&gt;&lt;prefs&gt;&lt;pref name="fieldType" value="Field"/&gt;&lt;pref name="auto</vt:lpwstr>
  </property>
  <property fmtid="{D5CDD505-2E9C-101B-9397-08002B2CF9AE}" pid="3" name="ZOTERO_PREF_2">
    <vt:lpwstr>maticJournalAbbreviations" value="true"/&gt;&lt;/prefs&gt;&lt;/data&gt;</vt:lpwstr>
  </property>
  <property fmtid="{D5CDD505-2E9C-101B-9397-08002B2CF9AE}" pid="4" name="UseTimer">
    <vt:bool>true</vt:bool>
  </property>
  <property fmtid="{D5CDD505-2E9C-101B-9397-08002B2CF9AE}" pid="5" name="LastTick">
    <vt:r8>43663.6207638889</vt:r8>
  </property>
  <property fmtid="{D5CDD505-2E9C-101B-9397-08002B2CF9AE}" pid="6" name="EditTimer">
    <vt:i4>3090</vt:i4>
  </property>
</Properties>
</file>