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666" w14:textId="77777777" w:rsidR="00CE2497" w:rsidRPr="00E206EA" w:rsidRDefault="00CE2497" w:rsidP="00E206EA">
      <w:pPr>
        <w:adjustRightInd w:val="0"/>
        <w:snapToGrid w:val="0"/>
        <w:spacing w:line="360" w:lineRule="auto"/>
        <w:rPr>
          <w:rFonts w:ascii="Book Antiqua" w:hAnsi="Book Antiqua" w:cs="Arial"/>
          <w:b/>
          <w:color w:val="222222"/>
          <w:sz w:val="24"/>
          <w:szCs w:val="24"/>
          <w:shd w:val="clear" w:color="auto" w:fill="FFFFFF"/>
        </w:rPr>
      </w:pPr>
      <w:r w:rsidRPr="00E206EA">
        <w:rPr>
          <w:rFonts w:ascii="Book Antiqua" w:hAnsi="Book Antiqua" w:cs="Arial"/>
          <w:b/>
          <w:color w:val="222222"/>
          <w:sz w:val="24"/>
          <w:szCs w:val="24"/>
          <w:shd w:val="clear" w:color="auto" w:fill="FFFFFF"/>
        </w:rPr>
        <w:t xml:space="preserve">Name of Journal: </w:t>
      </w:r>
      <w:r w:rsidRPr="00E206EA">
        <w:rPr>
          <w:rFonts w:ascii="Book Antiqua" w:hAnsi="Book Antiqua" w:cs="Arial"/>
          <w:i/>
          <w:color w:val="222222"/>
          <w:sz w:val="24"/>
          <w:szCs w:val="24"/>
          <w:shd w:val="clear" w:color="auto" w:fill="FFFFFF"/>
        </w:rPr>
        <w:t>World Journal of Clinical Cases</w:t>
      </w:r>
    </w:p>
    <w:p w14:paraId="7A0F93D0" w14:textId="77777777" w:rsidR="00CE2497" w:rsidRPr="00E206EA" w:rsidRDefault="00CE2497" w:rsidP="00E206EA">
      <w:pPr>
        <w:adjustRightInd w:val="0"/>
        <w:snapToGrid w:val="0"/>
        <w:spacing w:line="360" w:lineRule="auto"/>
        <w:rPr>
          <w:rFonts w:ascii="Book Antiqua" w:hAnsi="Book Antiqua" w:cs="Arial"/>
          <w:b/>
          <w:color w:val="222222"/>
          <w:sz w:val="24"/>
          <w:szCs w:val="24"/>
          <w:shd w:val="clear" w:color="auto" w:fill="FFFFFF"/>
        </w:rPr>
      </w:pPr>
      <w:r w:rsidRPr="00E206EA">
        <w:rPr>
          <w:rFonts w:ascii="Book Antiqua" w:hAnsi="Book Antiqua" w:cs="Arial"/>
          <w:b/>
          <w:color w:val="222222"/>
          <w:sz w:val="24"/>
          <w:szCs w:val="24"/>
          <w:shd w:val="clear" w:color="auto" w:fill="FFFFFF"/>
        </w:rPr>
        <w:t xml:space="preserve">Manuscript NO: </w:t>
      </w:r>
      <w:r w:rsidRPr="00E206EA">
        <w:rPr>
          <w:rFonts w:ascii="Book Antiqua" w:hAnsi="Book Antiqua" w:cs="Arial"/>
          <w:color w:val="222222"/>
          <w:sz w:val="24"/>
          <w:szCs w:val="24"/>
          <w:shd w:val="clear" w:color="auto" w:fill="FFFFFF"/>
        </w:rPr>
        <w:t>50704</w:t>
      </w:r>
    </w:p>
    <w:p w14:paraId="42A68DD2" w14:textId="2E1E0163" w:rsidR="00CE2497" w:rsidRPr="00E206EA" w:rsidRDefault="00CE2497" w:rsidP="00E206EA">
      <w:pPr>
        <w:adjustRightInd w:val="0"/>
        <w:snapToGrid w:val="0"/>
        <w:spacing w:line="360" w:lineRule="auto"/>
        <w:rPr>
          <w:rFonts w:ascii="Book Antiqua" w:eastAsia="幼圆" w:hAnsi="Book Antiqua"/>
          <w:b/>
          <w:i/>
          <w:sz w:val="24"/>
          <w:szCs w:val="24"/>
        </w:rPr>
      </w:pPr>
      <w:bookmarkStart w:id="0" w:name="OLE_LINK3"/>
      <w:bookmarkStart w:id="1" w:name="OLE_LINK4"/>
      <w:r w:rsidRPr="00E206EA">
        <w:rPr>
          <w:rFonts w:ascii="Book Antiqua" w:hAnsi="Book Antiqua"/>
          <w:b/>
          <w:color w:val="000000"/>
          <w:sz w:val="24"/>
          <w:szCs w:val="24"/>
          <w:shd w:val="clear" w:color="auto" w:fill="FFFFFF"/>
        </w:rPr>
        <w:t>Manuscript</w:t>
      </w:r>
      <w:r w:rsidR="00E85B26" w:rsidRPr="00E206EA">
        <w:rPr>
          <w:rFonts w:ascii="Book Antiqua" w:hAnsi="Book Antiqua"/>
          <w:b/>
          <w:color w:val="000000"/>
          <w:sz w:val="24"/>
          <w:szCs w:val="24"/>
          <w:shd w:val="clear" w:color="auto" w:fill="FFFFFF"/>
        </w:rPr>
        <w:t xml:space="preserve"> </w:t>
      </w:r>
      <w:r w:rsidRPr="00E206EA">
        <w:rPr>
          <w:rFonts w:ascii="Book Antiqua" w:hAnsi="Book Antiqua"/>
          <w:b/>
          <w:color w:val="000000"/>
          <w:sz w:val="24"/>
          <w:szCs w:val="24"/>
          <w:shd w:val="clear" w:color="auto" w:fill="FFFFFF"/>
        </w:rPr>
        <w:t>Type</w:t>
      </w:r>
      <w:r w:rsidRPr="00E206EA">
        <w:rPr>
          <w:rFonts w:ascii="Book Antiqua" w:hAnsi="Book Antiqua"/>
          <w:b/>
          <w:color w:val="000000"/>
          <w:sz w:val="24"/>
          <w:szCs w:val="24"/>
        </w:rPr>
        <w:t>:</w:t>
      </w:r>
      <w:bookmarkEnd w:id="0"/>
      <w:bookmarkEnd w:id="1"/>
      <w:r w:rsidRPr="00E206EA">
        <w:rPr>
          <w:rFonts w:ascii="Book Antiqua" w:hAnsi="Book Antiqua" w:cs="Arial"/>
          <w:b/>
          <w:color w:val="222222"/>
          <w:sz w:val="24"/>
          <w:szCs w:val="24"/>
          <w:shd w:val="clear" w:color="auto" w:fill="FFFFFF"/>
        </w:rPr>
        <w:t xml:space="preserve"> </w:t>
      </w:r>
      <w:r w:rsidR="00E85B26" w:rsidRPr="00E206EA">
        <w:rPr>
          <w:rFonts w:ascii="Book Antiqua" w:eastAsia="幼圆" w:hAnsi="Book Antiqua"/>
          <w:sz w:val="24"/>
          <w:szCs w:val="24"/>
        </w:rPr>
        <w:t>CASE REPORT</w:t>
      </w:r>
    </w:p>
    <w:p w14:paraId="0A9B837D"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0B100FDB" w14:textId="05601E0D"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Leiomyosarcoma of the</w:t>
      </w:r>
      <w:bookmarkStart w:id="2" w:name="OLE_LINK2"/>
      <w:r w:rsidRPr="00E206EA">
        <w:rPr>
          <w:rFonts w:ascii="Book Antiqua" w:hAnsi="Book Antiqua" w:cs="Times New Roman"/>
          <w:b/>
          <w:color w:val="000000" w:themeColor="text1"/>
          <w:sz w:val="24"/>
          <w:szCs w:val="24"/>
        </w:rPr>
        <w:t xml:space="preserve"> stomach</w:t>
      </w:r>
      <w:bookmarkEnd w:id="2"/>
      <w:r w:rsidRPr="00E206EA">
        <w:rPr>
          <w:rFonts w:ascii="Book Antiqua" w:hAnsi="Book Antiqua" w:cs="Times New Roman"/>
          <w:b/>
          <w:color w:val="000000" w:themeColor="text1"/>
          <w:sz w:val="24"/>
          <w:szCs w:val="24"/>
        </w:rPr>
        <w:t xml:space="preserve">: </w:t>
      </w:r>
      <w:r w:rsidR="00E85B26" w:rsidRPr="00E206EA">
        <w:rPr>
          <w:rFonts w:ascii="Book Antiqua" w:hAnsi="Book Antiqua" w:cs="Times New Roman"/>
          <w:b/>
          <w:color w:val="000000" w:themeColor="text1"/>
          <w:sz w:val="24"/>
          <w:szCs w:val="24"/>
        </w:rPr>
        <w:t>A</w:t>
      </w:r>
      <w:r w:rsidRPr="00E206EA">
        <w:rPr>
          <w:rFonts w:ascii="Book Antiqua" w:hAnsi="Book Antiqua" w:cs="Times New Roman"/>
          <w:b/>
          <w:color w:val="000000" w:themeColor="text1"/>
          <w:sz w:val="24"/>
          <w:szCs w:val="24"/>
        </w:rPr>
        <w:t xml:space="preserve"> case </w:t>
      </w:r>
      <w:r w:rsidR="00E85B26" w:rsidRPr="00E206EA">
        <w:rPr>
          <w:rFonts w:ascii="Book Antiqua" w:hAnsi="Book Antiqua" w:cs="Times New Roman"/>
          <w:b/>
          <w:color w:val="000000" w:themeColor="text1"/>
          <w:sz w:val="24"/>
          <w:szCs w:val="24"/>
        </w:rPr>
        <w:t>report</w:t>
      </w:r>
    </w:p>
    <w:p w14:paraId="023CF5F1" w14:textId="50280DB4" w:rsidR="00CE2497" w:rsidRPr="00E206EA" w:rsidRDefault="00CE2497" w:rsidP="00E206EA">
      <w:pPr>
        <w:spacing w:line="360" w:lineRule="auto"/>
        <w:rPr>
          <w:rFonts w:ascii="Book Antiqua" w:hAnsi="Book Antiqua" w:cs="Times New Roman"/>
          <w:b/>
          <w:color w:val="000000" w:themeColor="text1"/>
          <w:sz w:val="24"/>
          <w:szCs w:val="24"/>
        </w:rPr>
      </w:pPr>
    </w:p>
    <w:p w14:paraId="2BA28AF5" w14:textId="75BE030C" w:rsidR="00E85B26" w:rsidRPr="00E206EA" w:rsidRDefault="00E85B26" w:rsidP="00E206EA">
      <w:pPr>
        <w:spacing w:line="360" w:lineRule="auto"/>
        <w:rPr>
          <w:rFonts w:ascii="Book Antiqua" w:hAnsi="Book Antiqua" w:cs="Times New Roman"/>
          <w:bCs/>
          <w:color w:val="000000" w:themeColor="text1"/>
          <w:sz w:val="24"/>
          <w:szCs w:val="24"/>
        </w:rPr>
      </w:pPr>
      <w:r w:rsidRPr="00E206EA">
        <w:rPr>
          <w:rFonts w:ascii="Book Antiqua" w:hAnsi="Book Antiqua" w:cs="Times New Roman"/>
          <w:bCs/>
          <w:color w:val="000000" w:themeColor="text1"/>
          <w:sz w:val="24"/>
          <w:szCs w:val="24"/>
        </w:rPr>
        <w:t xml:space="preserve">Kang WZ </w:t>
      </w:r>
      <w:r w:rsidRPr="00E206EA">
        <w:rPr>
          <w:rFonts w:ascii="Book Antiqua" w:hAnsi="Book Antiqua" w:cs="Times New Roman"/>
          <w:bCs/>
          <w:i/>
          <w:iCs/>
          <w:color w:val="000000" w:themeColor="text1"/>
          <w:sz w:val="24"/>
          <w:szCs w:val="24"/>
        </w:rPr>
        <w:t>et al</w:t>
      </w:r>
      <w:r w:rsidRPr="00E206EA">
        <w:rPr>
          <w:rFonts w:ascii="Book Antiqua" w:hAnsi="Book Antiqua" w:cs="Times New Roman"/>
          <w:bCs/>
          <w:color w:val="000000" w:themeColor="text1"/>
          <w:sz w:val="24"/>
          <w:szCs w:val="24"/>
        </w:rPr>
        <w:t>. Leiomyosarcoma of the stomach</w:t>
      </w:r>
    </w:p>
    <w:p w14:paraId="1587ECDB" w14:textId="77777777" w:rsidR="00E85B26" w:rsidRPr="00E206EA" w:rsidRDefault="00E85B26" w:rsidP="00E206EA">
      <w:pPr>
        <w:spacing w:line="360" w:lineRule="auto"/>
        <w:rPr>
          <w:rFonts w:ascii="Book Antiqua" w:hAnsi="Book Antiqua" w:cs="Times New Roman"/>
          <w:bCs/>
          <w:color w:val="000000" w:themeColor="text1"/>
          <w:sz w:val="24"/>
          <w:szCs w:val="24"/>
        </w:rPr>
      </w:pPr>
    </w:p>
    <w:p w14:paraId="77B3C68F" w14:textId="77777777" w:rsidR="00CE2497" w:rsidRPr="00E206EA" w:rsidRDefault="00CE2497" w:rsidP="00E206EA">
      <w:pPr>
        <w:spacing w:line="360" w:lineRule="auto"/>
        <w:rPr>
          <w:rFonts w:ascii="Book Antiqua" w:hAnsi="Book Antiqua" w:cs="Times New Roman"/>
          <w:bCs/>
          <w:color w:val="000000" w:themeColor="text1"/>
          <w:sz w:val="24"/>
          <w:szCs w:val="24"/>
        </w:rPr>
      </w:pPr>
      <w:r w:rsidRPr="00E206EA">
        <w:rPr>
          <w:rFonts w:ascii="Book Antiqua" w:hAnsi="Book Antiqua" w:cs="Times New Roman"/>
          <w:bCs/>
          <w:color w:val="000000" w:themeColor="text1"/>
          <w:sz w:val="24"/>
          <w:szCs w:val="24"/>
        </w:rPr>
        <w:t>Wen-Zhe Kang, Li-Yan Xue, Yan-Tao Tian</w:t>
      </w:r>
    </w:p>
    <w:p w14:paraId="46D55C01"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23615703" w14:textId="074DF09D"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bCs/>
          <w:color w:val="000000" w:themeColor="text1"/>
          <w:sz w:val="24"/>
          <w:szCs w:val="24"/>
        </w:rPr>
        <w:t xml:space="preserve">Wen-Zhe Kang, Yan-Tao Tian, </w:t>
      </w:r>
      <w:r w:rsidRPr="00E206EA">
        <w:rPr>
          <w:rFonts w:ascii="Book Antiqua" w:hAnsi="Book Antiqua" w:cs="Times New Roman"/>
          <w:color w:val="000000" w:themeColor="text1"/>
          <w:sz w:val="24"/>
          <w:szCs w:val="24"/>
        </w:rPr>
        <w:t>Department of Pancreatic and Gastric Surgery, National Cancer Center</w:t>
      </w:r>
      <w:r w:rsidR="002C4AC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National Clinical Research Center for Cancer</w:t>
      </w:r>
      <w:r w:rsidR="002C4AC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Cancer Hospital, Academy of Medical Sciences and Peking Union Medical College, Beijing 100021, China</w:t>
      </w:r>
    </w:p>
    <w:p w14:paraId="54145FDF" w14:textId="77777777" w:rsidR="002C4ACD" w:rsidRPr="00E206EA" w:rsidRDefault="002C4ACD" w:rsidP="00E206EA">
      <w:pPr>
        <w:spacing w:line="360" w:lineRule="auto"/>
        <w:rPr>
          <w:rFonts w:ascii="Book Antiqua" w:hAnsi="Book Antiqua" w:cs="Times New Roman"/>
          <w:color w:val="000000" w:themeColor="text1"/>
          <w:sz w:val="24"/>
          <w:szCs w:val="24"/>
        </w:rPr>
      </w:pPr>
    </w:p>
    <w:p w14:paraId="6853DC64" w14:textId="6CE8491A"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bCs/>
          <w:color w:val="000000" w:themeColor="text1"/>
          <w:sz w:val="24"/>
          <w:szCs w:val="24"/>
        </w:rPr>
        <w:t>Li-Yan Xue,</w:t>
      </w:r>
      <w:r w:rsidRPr="00E206EA">
        <w:rPr>
          <w:rFonts w:ascii="Book Antiqua" w:hAnsi="Book Antiqua" w:cs="Times New Roman"/>
          <w:color w:val="000000" w:themeColor="text1"/>
          <w:sz w:val="24"/>
          <w:szCs w:val="24"/>
        </w:rPr>
        <w:t xml:space="preserve"> Department of Pathology, National Cancer Center</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National Clinical Research Center for Cancer</w:t>
      </w:r>
      <w:r w:rsidR="002C4AC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Cancer Hospital, Chinese Academy of Medical Sciences and Peking Union Medical College, Beijing 100021, China</w:t>
      </w:r>
    </w:p>
    <w:p w14:paraId="26496C13" w14:textId="77777777" w:rsidR="002C4ACD" w:rsidRPr="00E206EA" w:rsidRDefault="002C4ACD" w:rsidP="00E206EA">
      <w:pPr>
        <w:spacing w:line="360" w:lineRule="auto"/>
        <w:rPr>
          <w:rFonts w:ascii="Book Antiqua" w:hAnsi="Book Antiqua" w:cs="Times New Roman"/>
          <w:color w:val="000000" w:themeColor="text1"/>
          <w:sz w:val="24"/>
          <w:szCs w:val="24"/>
        </w:rPr>
      </w:pPr>
    </w:p>
    <w:p w14:paraId="743AD20D" w14:textId="77ADE9A5" w:rsidR="00CE2497" w:rsidRPr="00E206EA" w:rsidRDefault="00E206EA" w:rsidP="00E206EA">
      <w:pPr>
        <w:spacing w:line="360" w:lineRule="auto"/>
        <w:rPr>
          <w:rFonts w:ascii="Book Antiqua" w:hAnsi="Book Antiqua" w:cs="Times New Roman"/>
          <w:color w:val="000000" w:themeColor="text1"/>
          <w:sz w:val="24"/>
          <w:szCs w:val="24"/>
        </w:rPr>
      </w:pPr>
      <w:bookmarkStart w:id="3" w:name="_Hlk18051152"/>
      <w:r w:rsidRPr="00E206EA">
        <w:rPr>
          <w:rFonts w:ascii="Book Antiqua" w:eastAsia="黑体" w:hAnsi="Book Antiqua"/>
          <w:b/>
          <w:sz w:val="24"/>
          <w:szCs w:val="24"/>
        </w:rPr>
        <w:t>ORCID number:</w:t>
      </w:r>
      <w:bookmarkEnd w:id="3"/>
      <w:r w:rsidRPr="00E206EA">
        <w:rPr>
          <w:rFonts w:ascii="Book Antiqua" w:eastAsia="黑体" w:hAnsi="Book Antiqua"/>
          <w:sz w:val="24"/>
          <w:szCs w:val="24"/>
          <w:lang w:val="fr-FR"/>
        </w:rPr>
        <w:t xml:space="preserve"> </w:t>
      </w:r>
      <w:r w:rsidR="00CE2497" w:rsidRPr="00E206EA">
        <w:rPr>
          <w:rFonts w:ascii="Book Antiqua" w:hAnsi="Book Antiqua" w:cs="Times New Roman"/>
          <w:color w:val="000000" w:themeColor="text1"/>
          <w:sz w:val="24"/>
          <w:szCs w:val="24"/>
        </w:rPr>
        <w:t>Wen-Zhe Kang (0000-0001-9965-8109); Li-Yan Xue (0000-0001-5185-0126);</w:t>
      </w:r>
      <w:r w:rsidR="00CE2497" w:rsidRPr="00E206EA">
        <w:rPr>
          <w:rFonts w:ascii="Book Antiqua" w:hAnsi="Book Antiqua"/>
          <w:sz w:val="24"/>
          <w:szCs w:val="24"/>
        </w:rPr>
        <w:t xml:space="preserve"> </w:t>
      </w:r>
      <w:r w:rsidR="00CE2497" w:rsidRPr="00E206EA">
        <w:rPr>
          <w:rFonts w:ascii="Book Antiqua" w:hAnsi="Book Antiqua" w:cs="Times New Roman"/>
          <w:color w:val="000000" w:themeColor="text1"/>
          <w:sz w:val="24"/>
          <w:szCs w:val="24"/>
        </w:rPr>
        <w:t>Yan-Tao Tian (0000-0001-6479-7547).</w:t>
      </w:r>
    </w:p>
    <w:p w14:paraId="0F9921E1" w14:textId="77777777" w:rsidR="00CE2497" w:rsidRPr="00E206EA" w:rsidRDefault="00CE2497" w:rsidP="00E206EA">
      <w:pPr>
        <w:spacing w:line="360" w:lineRule="auto"/>
        <w:rPr>
          <w:rFonts w:ascii="Book Antiqua" w:hAnsi="Book Antiqua" w:cs="Times New Roman"/>
          <w:color w:val="000000" w:themeColor="text1"/>
          <w:sz w:val="24"/>
          <w:szCs w:val="24"/>
        </w:rPr>
      </w:pPr>
    </w:p>
    <w:p w14:paraId="00B5709C" w14:textId="6655E76C" w:rsidR="00CE2497" w:rsidRPr="00E206EA" w:rsidRDefault="00E206EA" w:rsidP="00E206EA">
      <w:pPr>
        <w:spacing w:line="360" w:lineRule="auto"/>
        <w:rPr>
          <w:rFonts w:ascii="Book Antiqua" w:hAnsi="Book Antiqua" w:cs="Times New Roman"/>
          <w:color w:val="000000" w:themeColor="text1"/>
          <w:sz w:val="24"/>
          <w:szCs w:val="24"/>
        </w:rPr>
      </w:pPr>
      <w:bookmarkStart w:id="4" w:name="_Hlk18051168"/>
      <w:r w:rsidRPr="00E206EA">
        <w:rPr>
          <w:rFonts w:ascii="Book Antiqua" w:eastAsia="黑体" w:hAnsi="Book Antiqua"/>
          <w:b/>
          <w:sz w:val="24"/>
          <w:szCs w:val="24"/>
          <w:lang w:val="en-GB"/>
        </w:rPr>
        <w:t>Author contributions:</w:t>
      </w:r>
      <w:r w:rsidRPr="00E206EA">
        <w:rPr>
          <w:rFonts w:ascii="Book Antiqua" w:eastAsia="黑体" w:hAnsi="Book Antiqua"/>
          <w:sz w:val="24"/>
          <w:szCs w:val="24"/>
        </w:rPr>
        <w:t xml:space="preserve"> </w:t>
      </w:r>
      <w:bookmarkEnd w:id="4"/>
      <w:r w:rsidR="00CE2497" w:rsidRPr="00E206EA">
        <w:rPr>
          <w:rFonts w:ascii="Book Antiqua" w:hAnsi="Book Antiqua" w:cs="Times New Roman"/>
          <w:color w:val="000000" w:themeColor="text1"/>
          <w:sz w:val="24"/>
          <w:szCs w:val="24"/>
        </w:rPr>
        <w:t>Tian</w:t>
      </w:r>
      <w:r w:rsidR="00CE2497" w:rsidRPr="00E206EA">
        <w:rPr>
          <w:rFonts w:ascii="Book Antiqua" w:hAnsi="Book Antiqua" w:cs="Times New Roman"/>
          <w:color w:val="000000" w:themeColor="text1"/>
          <w:sz w:val="24"/>
          <w:szCs w:val="24"/>
        </w:rPr>
        <w:t xml:space="preserve"> YT</w:t>
      </w:r>
      <w:r w:rsidR="00E40386">
        <w:rPr>
          <w:rFonts w:ascii="Book Antiqua" w:hAnsi="Book Antiqua" w:cs="Times New Roman"/>
          <w:color w:val="000000" w:themeColor="text1"/>
          <w:sz w:val="24"/>
          <w:szCs w:val="24"/>
        </w:rPr>
        <w:t xml:space="preserve"> and</w:t>
      </w:r>
      <w:r w:rsidR="00E40386" w:rsidRPr="00E206EA">
        <w:rPr>
          <w:rFonts w:ascii="Book Antiqua" w:hAnsi="Book Antiqua" w:cs="Times New Roman"/>
          <w:color w:val="000000" w:themeColor="text1"/>
          <w:sz w:val="24"/>
          <w:szCs w:val="24"/>
        </w:rPr>
        <w:t xml:space="preserve"> </w:t>
      </w:r>
      <w:r w:rsidR="00CE2497" w:rsidRPr="00E206EA">
        <w:rPr>
          <w:rFonts w:ascii="Book Antiqua" w:hAnsi="Book Antiqua" w:cs="Times New Roman"/>
          <w:color w:val="000000" w:themeColor="text1"/>
          <w:sz w:val="24"/>
          <w:szCs w:val="24"/>
        </w:rPr>
        <w:t>Xue LY design</w:t>
      </w:r>
      <w:r w:rsidR="00CE2497" w:rsidRPr="00E206EA">
        <w:rPr>
          <w:rFonts w:ascii="Book Antiqua" w:hAnsi="Book Antiqua" w:cs="Times New Roman"/>
          <w:color w:val="000000" w:themeColor="text1"/>
          <w:sz w:val="24"/>
          <w:szCs w:val="24"/>
        </w:rPr>
        <w:t>ed the report; Kang WZ collected the patient’s clinical data, analyzed the d</w:t>
      </w:r>
      <w:r w:rsidR="00CE2497" w:rsidRPr="00E206EA">
        <w:rPr>
          <w:rFonts w:ascii="Book Antiqua" w:hAnsi="Book Antiqua" w:cs="Times New Roman"/>
          <w:color w:val="000000" w:themeColor="text1"/>
          <w:sz w:val="24"/>
          <w:szCs w:val="24"/>
        </w:rPr>
        <w:t>ata</w:t>
      </w:r>
      <w:r w:rsidR="00E40386">
        <w:rPr>
          <w:rFonts w:ascii="Book Antiqua" w:hAnsi="Book Antiqua" w:cs="Times New Roman"/>
          <w:color w:val="000000" w:themeColor="text1"/>
          <w:sz w:val="24"/>
          <w:szCs w:val="24"/>
        </w:rPr>
        <w:t>,</w:t>
      </w:r>
      <w:r w:rsidR="00CE2497" w:rsidRPr="00E206EA">
        <w:rPr>
          <w:rFonts w:ascii="Book Antiqua" w:hAnsi="Book Antiqua" w:cs="Times New Roman"/>
          <w:color w:val="000000" w:themeColor="text1"/>
          <w:sz w:val="24"/>
          <w:szCs w:val="24"/>
        </w:rPr>
        <w:t xml:space="preserve"> and </w:t>
      </w:r>
      <w:r w:rsidR="00CE2497" w:rsidRPr="00E206EA">
        <w:rPr>
          <w:rFonts w:ascii="Book Antiqua" w:hAnsi="Book Antiqua" w:cs="Times New Roman"/>
          <w:color w:val="000000" w:themeColor="text1"/>
          <w:sz w:val="24"/>
          <w:szCs w:val="24"/>
        </w:rPr>
        <w:t>wrote the paper.</w:t>
      </w:r>
    </w:p>
    <w:p w14:paraId="4BADC92B" w14:textId="77777777" w:rsidR="00CE2497" w:rsidRPr="00E206EA" w:rsidRDefault="00CE2497" w:rsidP="00E206EA">
      <w:pPr>
        <w:spacing w:line="360" w:lineRule="auto"/>
        <w:rPr>
          <w:rFonts w:ascii="Book Antiqua" w:hAnsi="Book Antiqua" w:cs="Times New Roman"/>
          <w:color w:val="000000" w:themeColor="text1"/>
          <w:sz w:val="24"/>
          <w:szCs w:val="24"/>
        </w:rPr>
      </w:pPr>
    </w:p>
    <w:p w14:paraId="650B4ED0" w14:textId="69C3D1AB"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color w:val="000000" w:themeColor="text1"/>
          <w:sz w:val="24"/>
          <w:szCs w:val="24"/>
        </w:rPr>
        <w:t>Supported by</w:t>
      </w:r>
      <w:r w:rsidRPr="00E206EA">
        <w:rPr>
          <w:rFonts w:ascii="Book Antiqua" w:hAnsi="Book Antiqua" w:cs="Times New Roman"/>
          <w:color w:val="000000" w:themeColor="text1"/>
          <w:sz w:val="24"/>
          <w:szCs w:val="24"/>
        </w:rPr>
        <w:t xml:space="preserve"> Beijing Municipal Science and Technology Commission, No.</w:t>
      </w:r>
      <w:r w:rsidR="002C4AC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Z161100000116045; and National Natural Science Foundation of China, No. 81772642.</w:t>
      </w:r>
    </w:p>
    <w:p w14:paraId="7DDB5ED8" w14:textId="77777777" w:rsidR="00CE2497" w:rsidRPr="00E206EA" w:rsidRDefault="00CE2497" w:rsidP="00E206EA">
      <w:pPr>
        <w:spacing w:line="360" w:lineRule="auto"/>
        <w:rPr>
          <w:rFonts w:ascii="Book Antiqua" w:hAnsi="Book Antiqua" w:cs="Times New Roman"/>
          <w:color w:val="000000" w:themeColor="text1"/>
          <w:sz w:val="24"/>
          <w:szCs w:val="24"/>
        </w:rPr>
      </w:pPr>
    </w:p>
    <w:p w14:paraId="63D28A24" w14:textId="089BFEA4" w:rsidR="00CE2497" w:rsidRPr="00E206EA" w:rsidRDefault="00E206EA" w:rsidP="00E206EA">
      <w:pPr>
        <w:spacing w:line="360" w:lineRule="auto"/>
        <w:rPr>
          <w:rFonts w:ascii="Book Antiqua" w:hAnsi="Book Antiqua" w:cs="Times New Roman"/>
          <w:color w:val="000000" w:themeColor="text1"/>
          <w:sz w:val="24"/>
          <w:szCs w:val="24"/>
        </w:rPr>
      </w:pPr>
      <w:bookmarkStart w:id="5" w:name="_Hlk18051309"/>
      <w:r w:rsidRPr="00E206EA">
        <w:rPr>
          <w:rFonts w:ascii="Book Antiqua" w:eastAsia="黑体" w:hAnsi="Book Antiqua"/>
          <w:b/>
          <w:color w:val="000000" w:themeColor="text1"/>
          <w:sz w:val="24"/>
          <w:szCs w:val="24"/>
        </w:rPr>
        <w:t>Informed consent statement</w:t>
      </w:r>
      <w:r w:rsidRPr="00E206EA">
        <w:rPr>
          <w:rFonts w:ascii="Book Antiqua" w:eastAsia="黑体" w:hAnsi="Book Antiqua"/>
          <w:color w:val="000000" w:themeColor="text1"/>
          <w:sz w:val="24"/>
          <w:szCs w:val="24"/>
        </w:rPr>
        <w:t>:</w:t>
      </w:r>
      <w:bookmarkEnd w:id="5"/>
      <w:r w:rsidRPr="00E206EA">
        <w:rPr>
          <w:rFonts w:ascii="Book Antiqua" w:eastAsia="黑体" w:hAnsi="Book Antiqua"/>
          <w:color w:val="000000"/>
          <w:sz w:val="24"/>
          <w:szCs w:val="24"/>
          <w:lang w:eastAsia="ko-KR"/>
        </w:rPr>
        <w:t xml:space="preserve"> </w:t>
      </w:r>
      <w:r w:rsidR="00CE2497" w:rsidRPr="00E206EA">
        <w:rPr>
          <w:rFonts w:ascii="Book Antiqua" w:hAnsi="Book Antiqua" w:cs="Times New Roman"/>
          <w:color w:val="000000" w:themeColor="text1"/>
          <w:sz w:val="24"/>
          <w:szCs w:val="24"/>
        </w:rPr>
        <w:t>Consent was obtain</w:t>
      </w:r>
      <w:r w:rsidR="00CE2497" w:rsidRPr="00E206EA">
        <w:rPr>
          <w:rFonts w:ascii="Book Antiqua" w:hAnsi="Book Antiqua" w:cs="Times New Roman"/>
          <w:color w:val="000000" w:themeColor="text1"/>
          <w:sz w:val="24"/>
          <w:szCs w:val="24"/>
        </w:rPr>
        <w:t xml:space="preserve">ed from </w:t>
      </w:r>
      <w:r w:rsidR="00E40386">
        <w:rPr>
          <w:rFonts w:ascii="Book Antiqua" w:hAnsi="Book Antiqua" w:cs="Times New Roman"/>
          <w:color w:val="000000" w:themeColor="text1"/>
          <w:sz w:val="24"/>
          <w:szCs w:val="24"/>
        </w:rPr>
        <w:t xml:space="preserve">the </w:t>
      </w:r>
      <w:r w:rsidR="00CE2497" w:rsidRPr="00E206EA">
        <w:rPr>
          <w:rFonts w:ascii="Book Antiqua" w:hAnsi="Book Antiqua" w:cs="Times New Roman"/>
          <w:color w:val="000000" w:themeColor="text1"/>
          <w:sz w:val="24"/>
          <w:szCs w:val="24"/>
        </w:rPr>
        <w:t>patient f</w:t>
      </w:r>
      <w:r w:rsidR="00CE2497" w:rsidRPr="00E206EA">
        <w:rPr>
          <w:rFonts w:ascii="Book Antiqua" w:hAnsi="Book Antiqua" w:cs="Times New Roman"/>
          <w:color w:val="000000" w:themeColor="text1"/>
          <w:sz w:val="24"/>
          <w:szCs w:val="24"/>
        </w:rPr>
        <w:t xml:space="preserve">or </w:t>
      </w:r>
      <w:r w:rsidR="00CE2497" w:rsidRPr="00E206EA">
        <w:rPr>
          <w:rFonts w:ascii="Book Antiqua" w:hAnsi="Book Antiqua" w:cs="Times New Roman"/>
          <w:color w:val="000000" w:themeColor="text1"/>
          <w:sz w:val="24"/>
          <w:szCs w:val="24"/>
        </w:rPr>
        <w:lastRenderedPageBreak/>
        <w:t>publication of this report and any accompanying images.</w:t>
      </w:r>
    </w:p>
    <w:p w14:paraId="1F0A62B8" w14:textId="77777777" w:rsidR="00CE2497" w:rsidRPr="00E206EA" w:rsidRDefault="00CE2497" w:rsidP="00E206EA">
      <w:pPr>
        <w:spacing w:line="360" w:lineRule="auto"/>
        <w:rPr>
          <w:rFonts w:ascii="Book Antiqua" w:hAnsi="Book Antiqua" w:cs="Times New Roman"/>
          <w:color w:val="000000" w:themeColor="text1"/>
          <w:sz w:val="24"/>
          <w:szCs w:val="24"/>
        </w:rPr>
      </w:pPr>
    </w:p>
    <w:p w14:paraId="6C79E5F0" w14:textId="2D10EADB" w:rsidR="00CE2497" w:rsidRPr="00E206EA" w:rsidRDefault="00E206EA" w:rsidP="00E206EA">
      <w:pPr>
        <w:spacing w:line="360" w:lineRule="auto"/>
        <w:rPr>
          <w:rFonts w:ascii="Book Antiqua" w:hAnsi="Book Antiqua" w:cs="Times New Roman"/>
          <w:color w:val="000000" w:themeColor="text1"/>
          <w:sz w:val="24"/>
          <w:szCs w:val="24"/>
        </w:rPr>
      </w:pPr>
      <w:bookmarkStart w:id="6" w:name="_Hlk18051318"/>
      <w:r w:rsidRPr="00E206EA">
        <w:rPr>
          <w:rFonts w:ascii="Book Antiqua" w:eastAsia="黑体" w:hAnsi="Book Antiqua" w:cs="Arial Unicode MS"/>
          <w:b/>
          <w:color w:val="000000" w:themeColor="text1"/>
          <w:sz w:val="24"/>
          <w:szCs w:val="24"/>
          <w:bdr w:val="none" w:sz="0" w:space="0" w:color="auto" w:frame="1"/>
        </w:rPr>
        <w:t>Conflict-of-interest statement</w:t>
      </w:r>
      <w:r w:rsidRPr="00E206EA">
        <w:rPr>
          <w:rFonts w:ascii="Book Antiqua" w:eastAsia="黑体" w:hAnsi="Book Antiqua"/>
          <w:b/>
          <w:color w:val="000000" w:themeColor="text1"/>
          <w:sz w:val="24"/>
          <w:szCs w:val="24"/>
        </w:rPr>
        <w:t xml:space="preserve">: </w:t>
      </w:r>
      <w:bookmarkEnd w:id="6"/>
      <w:r w:rsidR="00CE2497" w:rsidRPr="00E206EA">
        <w:rPr>
          <w:rFonts w:ascii="Book Antiqua" w:hAnsi="Book Antiqua" w:cs="Times New Roman"/>
          <w:color w:val="000000" w:themeColor="text1"/>
          <w:sz w:val="24"/>
          <w:szCs w:val="24"/>
        </w:rPr>
        <w:t>The authors declare that they have no conflicts of interest.</w:t>
      </w:r>
    </w:p>
    <w:p w14:paraId="1B7711C4" w14:textId="77777777" w:rsidR="00CE2497" w:rsidRPr="00E206EA" w:rsidRDefault="00CE2497" w:rsidP="00E206EA">
      <w:pPr>
        <w:spacing w:line="360" w:lineRule="auto"/>
        <w:rPr>
          <w:rFonts w:ascii="Book Antiqua" w:hAnsi="Book Antiqua" w:cs="Times New Roman"/>
          <w:color w:val="000000" w:themeColor="text1"/>
          <w:sz w:val="24"/>
          <w:szCs w:val="24"/>
        </w:rPr>
      </w:pPr>
    </w:p>
    <w:p w14:paraId="41F13D22" w14:textId="0B9369C1" w:rsidR="00CE2497" w:rsidRPr="00E206EA" w:rsidRDefault="00E206EA" w:rsidP="00E206EA">
      <w:pPr>
        <w:spacing w:line="360" w:lineRule="auto"/>
        <w:rPr>
          <w:rFonts w:ascii="Book Antiqua" w:hAnsi="Book Antiqua" w:cs="Times New Roman"/>
          <w:color w:val="000000" w:themeColor="text1"/>
          <w:sz w:val="24"/>
          <w:szCs w:val="24"/>
        </w:rPr>
      </w:pPr>
      <w:r w:rsidRPr="00E206EA">
        <w:rPr>
          <w:rFonts w:ascii="Book Antiqua" w:eastAsia="黑体" w:hAnsi="Book Antiqua"/>
          <w:b/>
          <w:sz w:val="24"/>
          <w:szCs w:val="24"/>
        </w:rPr>
        <w:t xml:space="preserve">CARE Checklist (2016) statement: </w:t>
      </w:r>
      <w:r w:rsidR="00CE2497" w:rsidRPr="00E206EA">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3AF6C87A" w14:textId="77777777" w:rsidR="002C4ACD" w:rsidRPr="00E206EA" w:rsidRDefault="002C4ACD" w:rsidP="00E206EA">
      <w:pPr>
        <w:spacing w:line="360" w:lineRule="auto"/>
        <w:rPr>
          <w:rFonts w:ascii="Book Antiqua" w:hAnsi="Book Antiqua" w:cs="Times New Roman"/>
          <w:color w:val="000000" w:themeColor="text1"/>
          <w:sz w:val="24"/>
          <w:szCs w:val="24"/>
        </w:rPr>
      </w:pPr>
    </w:p>
    <w:p w14:paraId="0B400AB6" w14:textId="77777777" w:rsidR="00E206EA" w:rsidRPr="00E206EA" w:rsidRDefault="00E206EA" w:rsidP="00E206EA">
      <w:pPr>
        <w:spacing w:line="360" w:lineRule="auto"/>
        <w:rPr>
          <w:rFonts w:ascii="Book Antiqua" w:eastAsia="黑体" w:hAnsi="Book Antiqua"/>
          <w:sz w:val="24"/>
          <w:szCs w:val="24"/>
        </w:rPr>
      </w:pPr>
      <w:r w:rsidRPr="00E206EA">
        <w:rPr>
          <w:rFonts w:ascii="Book Antiqua" w:eastAsia="黑体" w:hAnsi="Book Antiqua"/>
          <w:b/>
          <w:sz w:val="24"/>
          <w:szCs w:val="24"/>
        </w:rPr>
        <w:t xml:space="preserve">Open-Access: </w:t>
      </w:r>
      <w:bookmarkStart w:id="7" w:name="_Hlk18051330"/>
      <w:r w:rsidRPr="00E206EA">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32E7A868" w14:textId="77777777" w:rsidR="00E206EA" w:rsidRPr="00E206EA" w:rsidRDefault="00E206EA" w:rsidP="00E206EA">
      <w:pPr>
        <w:spacing w:line="360" w:lineRule="auto"/>
        <w:rPr>
          <w:rFonts w:ascii="Book Antiqua" w:eastAsia="黑体" w:hAnsi="Book Antiqua"/>
          <w:sz w:val="24"/>
          <w:szCs w:val="24"/>
        </w:rPr>
      </w:pPr>
    </w:p>
    <w:p w14:paraId="7C3471C6" w14:textId="77777777" w:rsidR="00E206EA" w:rsidRPr="00E206EA" w:rsidRDefault="00E206EA" w:rsidP="00E206EA">
      <w:pPr>
        <w:spacing w:line="360" w:lineRule="auto"/>
        <w:rPr>
          <w:rFonts w:ascii="Book Antiqua" w:eastAsia="黑体" w:hAnsi="Book Antiqua"/>
          <w:bCs/>
          <w:iCs/>
          <w:sz w:val="24"/>
          <w:szCs w:val="24"/>
        </w:rPr>
      </w:pPr>
      <w:r w:rsidRPr="00E206EA">
        <w:rPr>
          <w:rFonts w:ascii="Book Antiqua" w:eastAsia="黑体" w:hAnsi="Book Antiqua"/>
          <w:b/>
          <w:bCs/>
          <w:iCs/>
          <w:sz w:val="24"/>
          <w:szCs w:val="24"/>
        </w:rPr>
        <w:t>Manuscript source:</w:t>
      </w:r>
      <w:r w:rsidRPr="00E206EA">
        <w:rPr>
          <w:rFonts w:ascii="Book Antiqua" w:eastAsia="黑体" w:hAnsi="Book Antiqua"/>
          <w:bCs/>
          <w:iCs/>
          <w:sz w:val="24"/>
          <w:szCs w:val="24"/>
        </w:rPr>
        <w:t xml:space="preserve"> Unsolicited manuscript</w:t>
      </w:r>
    </w:p>
    <w:p w14:paraId="02FDAA86" w14:textId="77777777" w:rsidR="00E206EA" w:rsidRPr="00E206EA" w:rsidRDefault="00E206EA" w:rsidP="00E206EA">
      <w:pPr>
        <w:spacing w:line="360" w:lineRule="auto"/>
        <w:rPr>
          <w:rFonts w:ascii="Book Antiqua" w:eastAsia="黑体" w:hAnsi="Book Antiqua" w:cs="PMingLiU"/>
          <w:bCs/>
          <w:iCs/>
          <w:sz w:val="24"/>
          <w:szCs w:val="24"/>
        </w:rPr>
      </w:pPr>
    </w:p>
    <w:p w14:paraId="7BBAF235" w14:textId="5883983E" w:rsidR="00CE2497" w:rsidRPr="00493C1A" w:rsidRDefault="00E206EA" w:rsidP="00E206EA">
      <w:pPr>
        <w:spacing w:line="360" w:lineRule="auto"/>
        <w:rPr>
          <w:rFonts w:ascii="Book Antiqua" w:hAnsi="Book Antiqua" w:cs="Times New Roman"/>
          <w:color w:val="000000" w:themeColor="text1"/>
          <w:sz w:val="24"/>
          <w:szCs w:val="24"/>
        </w:rPr>
      </w:pPr>
      <w:r w:rsidRPr="00E206EA">
        <w:rPr>
          <w:rFonts w:ascii="Book Antiqua" w:eastAsia="黑体" w:hAnsi="Book Antiqua"/>
          <w:b/>
          <w:sz w:val="24"/>
          <w:szCs w:val="24"/>
        </w:rPr>
        <w:t xml:space="preserve">Corresponding author: </w:t>
      </w:r>
      <w:r w:rsidR="00CE2497" w:rsidRPr="00E206EA">
        <w:rPr>
          <w:rFonts w:ascii="Book Antiqua" w:hAnsi="Book Antiqua" w:cs="Times New Roman"/>
          <w:b/>
          <w:bCs/>
          <w:color w:val="000000" w:themeColor="text1"/>
          <w:sz w:val="24"/>
          <w:szCs w:val="24"/>
        </w:rPr>
        <w:t xml:space="preserve">Yan-Tao Tian, MD, Professor, </w:t>
      </w:r>
      <w:r w:rsidR="00CE2497" w:rsidRPr="00E206EA">
        <w:rPr>
          <w:rFonts w:ascii="Book Antiqua" w:hAnsi="Book Antiqua" w:cs="Times New Roman"/>
          <w:color w:val="000000" w:themeColor="text1"/>
          <w:sz w:val="24"/>
          <w:szCs w:val="24"/>
        </w:rPr>
        <w:t>Department of Pancreatic and Gastric Surgery, National Cancer Center</w:t>
      </w:r>
      <w:r w:rsidR="002C4ACD" w:rsidRPr="00E206EA">
        <w:rPr>
          <w:rFonts w:ascii="Book Antiqua" w:hAnsi="Book Antiqua" w:cs="Times New Roman"/>
          <w:color w:val="000000" w:themeColor="text1"/>
          <w:sz w:val="24"/>
          <w:szCs w:val="24"/>
        </w:rPr>
        <w:t xml:space="preserve">, </w:t>
      </w:r>
      <w:r w:rsidR="00CE2497" w:rsidRPr="00E206EA">
        <w:rPr>
          <w:rFonts w:ascii="Book Antiqua" w:hAnsi="Book Antiqua" w:cs="Times New Roman"/>
          <w:color w:val="000000" w:themeColor="text1"/>
          <w:sz w:val="24"/>
          <w:szCs w:val="24"/>
        </w:rPr>
        <w:t>National Clinical Research Center for Cancer</w:t>
      </w:r>
      <w:r w:rsidR="002C4ACD" w:rsidRPr="00E206EA">
        <w:rPr>
          <w:rFonts w:ascii="Book Antiqua" w:hAnsi="Book Antiqua" w:cs="Times New Roman"/>
          <w:color w:val="000000" w:themeColor="text1"/>
          <w:sz w:val="24"/>
          <w:szCs w:val="24"/>
        </w:rPr>
        <w:t xml:space="preserve">, </w:t>
      </w:r>
      <w:r w:rsidR="00CE2497" w:rsidRPr="00E206EA">
        <w:rPr>
          <w:rFonts w:ascii="Book Antiqua" w:hAnsi="Book Antiqua" w:cs="Times New Roman"/>
          <w:color w:val="000000" w:themeColor="text1"/>
          <w:sz w:val="24"/>
          <w:szCs w:val="24"/>
        </w:rPr>
        <w:t xml:space="preserve">Cancer Hospital, </w:t>
      </w:r>
      <w:r w:rsidR="00414BEE" w:rsidRPr="00E206EA">
        <w:rPr>
          <w:rFonts w:ascii="Book Antiqua" w:hAnsi="Book Antiqua" w:cs="Times New Roman"/>
          <w:color w:val="000000" w:themeColor="text1"/>
          <w:sz w:val="24"/>
          <w:szCs w:val="24"/>
        </w:rPr>
        <w:t>Academy of Medical Sciences and Peking Union Medical College</w:t>
      </w:r>
      <w:r w:rsidR="00CE2497" w:rsidRPr="00E206EA">
        <w:rPr>
          <w:rFonts w:ascii="Book Antiqua" w:hAnsi="Book Antiqua" w:cs="Times New Roman"/>
          <w:color w:val="000000" w:themeColor="text1"/>
          <w:sz w:val="24"/>
          <w:szCs w:val="24"/>
        </w:rPr>
        <w:t xml:space="preserve">, No. 17, Panjiayuan Nanli, Beijing 100021, China. </w:t>
      </w:r>
      <w:r w:rsidR="00CE2497" w:rsidRPr="00493C1A">
        <w:rPr>
          <w:rFonts w:ascii="Book Antiqua" w:hAnsi="Book Antiqua" w:cs="Times New Roman"/>
          <w:color w:val="000000" w:themeColor="text1"/>
          <w:sz w:val="24"/>
          <w:szCs w:val="24"/>
        </w:rPr>
        <w:t>tyt67@163.com</w:t>
      </w:r>
    </w:p>
    <w:p w14:paraId="4DEAC31B" w14:textId="77777777"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bCs/>
          <w:color w:val="000000" w:themeColor="text1"/>
          <w:sz w:val="24"/>
          <w:szCs w:val="24"/>
        </w:rPr>
        <w:t>Telephone:</w:t>
      </w:r>
      <w:r w:rsidRPr="00E206EA">
        <w:rPr>
          <w:rFonts w:ascii="Book Antiqua" w:hAnsi="Book Antiqua" w:cs="Times New Roman"/>
          <w:color w:val="000000" w:themeColor="text1"/>
          <w:sz w:val="24"/>
          <w:szCs w:val="24"/>
        </w:rPr>
        <w:t xml:space="preserve"> +86-10-87787120</w:t>
      </w:r>
    </w:p>
    <w:p w14:paraId="424BB35B" w14:textId="77777777"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bCs/>
          <w:color w:val="000000" w:themeColor="text1"/>
          <w:sz w:val="24"/>
          <w:szCs w:val="24"/>
        </w:rPr>
        <w:t>Fax:</w:t>
      </w:r>
      <w:r w:rsidRPr="00E206EA">
        <w:rPr>
          <w:rFonts w:ascii="Book Antiqua" w:hAnsi="Book Antiqua" w:cs="Times New Roman"/>
          <w:color w:val="000000" w:themeColor="text1"/>
          <w:sz w:val="24"/>
          <w:szCs w:val="24"/>
        </w:rPr>
        <w:t xml:space="preserve"> +86-10-87787120</w:t>
      </w:r>
    </w:p>
    <w:p w14:paraId="6D2C8E03"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565EBE1E" w14:textId="7CDD3BD7" w:rsidR="00E206EA" w:rsidRPr="00E206EA" w:rsidRDefault="00E206EA" w:rsidP="00E206EA">
      <w:pPr>
        <w:snapToGrid w:val="0"/>
        <w:spacing w:line="360" w:lineRule="auto"/>
        <w:rPr>
          <w:rFonts w:ascii="Book Antiqua" w:eastAsia="黑体" w:hAnsi="Book Antiqua"/>
          <w:bCs/>
          <w:sz w:val="24"/>
          <w:szCs w:val="24"/>
          <w:lang w:val="en-GB"/>
        </w:rPr>
      </w:pPr>
      <w:bookmarkStart w:id="8" w:name="_Hlk17356255"/>
      <w:r w:rsidRPr="00E206EA">
        <w:rPr>
          <w:rFonts w:ascii="Book Antiqua" w:eastAsia="黑体" w:hAnsi="Book Antiqua"/>
          <w:b/>
          <w:sz w:val="24"/>
          <w:szCs w:val="24"/>
          <w:lang w:val="en-GB"/>
        </w:rPr>
        <w:t xml:space="preserve">Received: </w:t>
      </w:r>
      <w:r w:rsidRPr="00E206EA">
        <w:rPr>
          <w:rFonts w:ascii="Book Antiqua" w:eastAsia="黑体" w:hAnsi="Book Antiqua"/>
          <w:bCs/>
          <w:sz w:val="24"/>
          <w:szCs w:val="24"/>
          <w:lang w:val="en-GB"/>
        </w:rPr>
        <w:t>August 11, 2019</w:t>
      </w:r>
    </w:p>
    <w:p w14:paraId="0BB068EE" w14:textId="4B8DD228" w:rsidR="00E206EA" w:rsidRPr="00E206EA" w:rsidRDefault="00E206EA" w:rsidP="00E206EA">
      <w:pPr>
        <w:snapToGrid w:val="0"/>
        <w:spacing w:line="360" w:lineRule="auto"/>
        <w:rPr>
          <w:rFonts w:ascii="Book Antiqua" w:eastAsia="黑体" w:hAnsi="Book Antiqua" w:cs="PMingLiU"/>
          <w:bCs/>
          <w:sz w:val="24"/>
          <w:szCs w:val="24"/>
          <w:lang w:val="en-GB"/>
        </w:rPr>
      </w:pPr>
      <w:r w:rsidRPr="00E206EA">
        <w:rPr>
          <w:rFonts w:ascii="Book Antiqua" w:eastAsia="黑体" w:hAnsi="Book Antiqua"/>
          <w:b/>
          <w:sz w:val="24"/>
          <w:szCs w:val="24"/>
          <w:lang w:val="en-GB"/>
        </w:rPr>
        <w:t xml:space="preserve">Peer-review started: </w:t>
      </w:r>
      <w:r w:rsidRPr="00E206EA">
        <w:rPr>
          <w:rFonts w:ascii="Book Antiqua" w:eastAsia="黑体" w:hAnsi="Book Antiqua"/>
          <w:bCs/>
          <w:sz w:val="24"/>
          <w:szCs w:val="24"/>
          <w:lang w:val="en-GB"/>
        </w:rPr>
        <w:t>August 11, 2019</w:t>
      </w:r>
    </w:p>
    <w:p w14:paraId="09B638BF" w14:textId="5E96E714" w:rsidR="00E206EA" w:rsidRPr="00E206EA" w:rsidRDefault="00E206EA" w:rsidP="00E206EA">
      <w:pPr>
        <w:snapToGrid w:val="0"/>
        <w:spacing w:line="360" w:lineRule="auto"/>
        <w:rPr>
          <w:rFonts w:ascii="Book Antiqua" w:eastAsia="黑体" w:hAnsi="Book Antiqua" w:cs="Times New Roman"/>
          <w:b/>
          <w:sz w:val="24"/>
          <w:szCs w:val="24"/>
          <w:lang w:val="en-GB"/>
        </w:rPr>
      </w:pPr>
      <w:r w:rsidRPr="00E206EA">
        <w:rPr>
          <w:rFonts w:ascii="Book Antiqua" w:eastAsia="黑体" w:hAnsi="Book Antiqua"/>
          <w:b/>
          <w:sz w:val="24"/>
          <w:szCs w:val="24"/>
          <w:lang w:val="en-GB"/>
        </w:rPr>
        <w:t xml:space="preserve">First decision: </w:t>
      </w:r>
      <w:r w:rsidRPr="00E206EA">
        <w:rPr>
          <w:rFonts w:ascii="Book Antiqua" w:eastAsia="黑体" w:hAnsi="Book Antiqua"/>
          <w:bCs/>
          <w:sz w:val="24"/>
          <w:szCs w:val="24"/>
          <w:lang w:val="en-GB"/>
        </w:rPr>
        <w:t>September 9, 2019</w:t>
      </w:r>
    </w:p>
    <w:p w14:paraId="2EABB966" w14:textId="5B0787A4" w:rsidR="00E206EA" w:rsidRPr="00E206EA" w:rsidRDefault="00E206EA" w:rsidP="00E206EA">
      <w:pPr>
        <w:snapToGrid w:val="0"/>
        <w:spacing w:line="360" w:lineRule="auto"/>
        <w:rPr>
          <w:rFonts w:ascii="Book Antiqua" w:eastAsia="黑体" w:hAnsi="Book Antiqua"/>
          <w:b/>
          <w:sz w:val="24"/>
          <w:szCs w:val="24"/>
          <w:lang w:val="en-GB"/>
        </w:rPr>
      </w:pPr>
      <w:r w:rsidRPr="00E206EA">
        <w:rPr>
          <w:rFonts w:ascii="Book Antiqua" w:eastAsia="黑体" w:hAnsi="Book Antiqua"/>
          <w:b/>
          <w:sz w:val="24"/>
          <w:szCs w:val="24"/>
          <w:lang w:val="en-GB"/>
        </w:rPr>
        <w:lastRenderedPageBreak/>
        <w:t xml:space="preserve">Revised: </w:t>
      </w:r>
      <w:r w:rsidRPr="00E206EA">
        <w:rPr>
          <w:rFonts w:ascii="Book Antiqua" w:eastAsia="黑体" w:hAnsi="Book Antiqua"/>
          <w:bCs/>
          <w:sz w:val="24"/>
          <w:szCs w:val="24"/>
          <w:lang w:val="en-GB"/>
        </w:rPr>
        <w:t>September 19, 2019</w:t>
      </w:r>
    </w:p>
    <w:p w14:paraId="0CF458DF" w14:textId="70C6B636" w:rsidR="00E206EA" w:rsidRPr="00E206EA" w:rsidRDefault="00E206EA" w:rsidP="00E206EA">
      <w:pPr>
        <w:snapToGrid w:val="0"/>
        <w:spacing w:line="360" w:lineRule="auto"/>
        <w:rPr>
          <w:rFonts w:ascii="Book Antiqua" w:eastAsia="黑体" w:hAnsi="Book Antiqua"/>
          <w:b/>
          <w:sz w:val="24"/>
          <w:szCs w:val="24"/>
          <w:lang w:val="en-GB"/>
        </w:rPr>
      </w:pPr>
      <w:r w:rsidRPr="00E206EA">
        <w:rPr>
          <w:rFonts w:ascii="Book Antiqua" w:eastAsia="黑体" w:hAnsi="Book Antiqua"/>
          <w:b/>
          <w:sz w:val="24"/>
          <w:szCs w:val="24"/>
          <w:lang w:val="en-GB"/>
        </w:rPr>
        <w:t>Accepted:</w:t>
      </w:r>
      <w:r w:rsidR="00B14B09" w:rsidRPr="00B14B09">
        <w:t xml:space="preserve"> </w:t>
      </w:r>
      <w:r w:rsidR="00B14B09" w:rsidRPr="00B14B09">
        <w:rPr>
          <w:rFonts w:ascii="Book Antiqua" w:eastAsia="黑体" w:hAnsi="Book Antiqua"/>
          <w:sz w:val="24"/>
          <w:szCs w:val="24"/>
          <w:lang w:val="en-GB"/>
        </w:rPr>
        <w:t>October 5, 2019</w:t>
      </w:r>
      <w:r w:rsidRPr="00B14B09">
        <w:rPr>
          <w:rFonts w:ascii="Book Antiqua" w:eastAsia="黑体" w:hAnsi="Book Antiqua"/>
          <w:sz w:val="24"/>
          <w:szCs w:val="24"/>
          <w:lang w:val="en-GB"/>
        </w:rPr>
        <w:t xml:space="preserve"> </w:t>
      </w:r>
    </w:p>
    <w:p w14:paraId="15021C2F" w14:textId="77777777" w:rsidR="00E206EA" w:rsidRPr="00E206EA" w:rsidRDefault="00E206EA" w:rsidP="00E206EA">
      <w:pPr>
        <w:snapToGrid w:val="0"/>
        <w:spacing w:line="360" w:lineRule="auto"/>
        <w:rPr>
          <w:rFonts w:ascii="Book Antiqua" w:eastAsia="黑体" w:hAnsi="Book Antiqua"/>
          <w:b/>
          <w:sz w:val="24"/>
          <w:szCs w:val="24"/>
          <w:lang w:val="en-GB"/>
        </w:rPr>
      </w:pPr>
      <w:r w:rsidRPr="00E206EA">
        <w:rPr>
          <w:rFonts w:ascii="Book Antiqua" w:eastAsia="黑体" w:hAnsi="Book Antiqua"/>
          <w:b/>
          <w:sz w:val="24"/>
          <w:szCs w:val="24"/>
          <w:lang w:val="en-GB"/>
        </w:rPr>
        <w:t>Article in press:</w:t>
      </w:r>
    </w:p>
    <w:p w14:paraId="0D000142" w14:textId="77777777" w:rsidR="00E206EA" w:rsidRPr="00E206EA" w:rsidRDefault="00E206EA" w:rsidP="00E206EA">
      <w:pPr>
        <w:snapToGrid w:val="0"/>
        <w:spacing w:line="360" w:lineRule="auto"/>
        <w:rPr>
          <w:rFonts w:ascii="Book Antiqua" w:eastAsia="黑体" w:hAnsi="Book Antiqua"/>
          <w:b/>
          <w:sz w:val="24"/>
          <w:szCs w:val="24"/>
          <w:lang w:val="en-GB"/>
        </w:rPr>
      </w:pPr>
      <w:r w:rsidRPr="00E206EA">
        <w:rPr>
          <w:rFonts w:ascii="Book Antiqua" w:eastAsia="黑体" w:hAnsi="Book Antiqua"/>
          <w:b/>
          <w:sz w:val="24"/>
          <w:szCs w:val="24"/>
          <w:lang w:val="en-GB"/>
        </w:rPr>
        <w:t>Published online:</w:t>
      </w:r>
      <w:bookmarkEnd w:id="8"/>
    </w:p>
    <w:p w14:paraId="746B0893" w14:textId="77777777" w:rsidR="00E81062" w:rsidRPr="00E206EA" w:rsidRDefault="00E81062" w:rsidP="00E206EA">
      <w:pPr>
        <w:widowControl/>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br w:type="page"/>
      </w:r>
    </w:p>
    <w:p w14:paraId="6150EEC4" w14:textId="0EE14D9C"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lastRenderedPageBreak/>
        <w:t>Abstract</w:t>
      </w:r>
    </w:p>
    <w:p w14:paraId="7AEAAA55" w14:textId="02391B43" w:rsidR="00CE2497" w:rsidRPr="00E206EA" w:rsidRDefault="00CE2497" w:rsidP="00E206EA">
      <w:pPr>
        <w:spacing w:line="360" w:lineRule="auto"/>
        <w:rPr>
          <w:rFonts w:ascii="Book Antiqua" w:hAnsi="Book Antiqua"/>
          <w:i/>
          <w:iCs/>
          <w:sz w:val="24"/>
          <w:szCs w:val="24"/>
        </w:rPr>
      </w:pPr>
      <w:r w:rsidRPr="00E206EA">
        <w:rPr>
          <w:rFonts w:ascii="Book Antiqua" w:hAnsi="Book Antiqua" w:cs="Times New Roman"/>
          <w:b/>
          <w:i/>
          <w:iCs/>
          <w:color w:val="000000" w:themeColor="text1"/>
          <w:sz w:val="24"/>
          <w:szCs w:val="24"/>
        </w:rPr>
        <w:t>BACKGROUND</w:t>
      </w:r>
    </w:p>
    <w:p w14:paraId="1795842E" w14:textId="63849C56"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Leiomyosarcoma of the stomach is extremely rare, and only 13 cases have been reported in the literature.</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Before the a</w:t>
      </w:r>
      <w:r w:rsidRPr="00E206EA">
        <w:rPr>
          <w:rFonts w:ascii="Book Antiqua" w:hAnsi="Book Antiqua" w:cs="Times New Roman"/>
          <w:color w:val="000000" w:themeColor="text1"/>
          <w:sz w:val="24"/>
          <w:szCs w:val="24"/>
        </w:rPr>
        <w:t>dvent of</w:t>
      </w:r>
      <w:r w:rsidR="00E40386">
        <w:rPr>
          <w:rFonts w:ascii="Book Antiqua" w:hAnsi="Book Antiqua" w:cs="Times New Roman"/>
          <w:color w:val="000000" w:themeColor="text1"/>
          <w:sz w:val="24"/>
          <w:szCs w:val="24"/>
        </w:rPr>
        <w:t xml:space="preserve"> i</w:t>
      </w:r>
      <w:r w:rsidR="00E40386" w:rsidRPr="00E40386">
        <w:rPr>
          <w:rFonts w:ascii="Book Antiqua" w:hAnsi="Book Antiqua" w:cs="Times New Roman"/>
          <w:color w:val="000000" w:themeColor="text1"/>
          <w:sz w:val="24"/>
          <w:szCs w:val="24"/>
        </w:rPr>
        <w:t>mmunohistochemical technique for</w:t>
      </w:r>
      <w:r w:rsidR="00E40386">
        <w:rPr>
          <w:rFonts w:ascii="Book Antiqua" w:hAnsi="Book Antiqua" w:cs="Times New Roman"/>
          <w:color w:val="000000" w:themeColor="text1"/>
          <w:sz w:val="24"/>
          <w:szCs w:val="24"/>
        </w:rPr>
        <w:t xml:space="preserve"> the detection of</w:t>
      </w:r>
      <w:r w:rsidRPr="00993F72">
        <w:rPr>
          <w:rFonts w:ascii="Book Antiqua" w:hAnsi="Book Antiqua" w:cs="Times New Roman"/>
          <w:i/>
          <w:color w:val="000000" w:themeColor="text1"/>
          <w:sz w:val="24"/>
          <w:szCs w:val="24"/>
        </w:rPr>
        <w:t xml:space="preserve"> </w:t>
      </w:r>
      <w:r w:rsidRPr="00274A16">
        <w:rPr>
          <w:rFonts w:ascii="Book Antiqua" w:hAnsi="Book Antiqua" w:cs="Times New Roman"/>
          <w:color w:val="000000" w:themeColor="text1"/>
          <w:sz w:val="24"/>
          <w:szCs w:val="24"/>
        </w:rPr>
        <w:t>KIT</w:t>
      </w:r>
      <w:r w:rsidR="00E40386">
        <w:rPr>
          <w:rFonts w:ascii="Book Antiqua" w:hAnsi="Book Antiqua" w:cs="Times New Roman"/>
          <w:color w:val="000000" w:themeColor="text1"/>
          <w:sz w:val="24"/>
          <w:szCs w:val="24"/>
        </w:rPr>
        <w:t xml:space="preserve"> protein</w:t>
      </w:r>
      <w:r w:rsidRPr="00E206EA">
        <w:rPr>
          <w:rFonts w:ascii="Book Antiqua" w:hAnsi="Book Antiqua" w:cs="Times New Roman"/>
          <w:color w:val="000000" w:themeColor="text1"/>
          <w:sz w:val="24"/>
          <w:szCs w:val="24"/>
        </w:rPr>
        <w:t xml:space="preserve">, </w:t>
      </w:r>
      <w:r w:rsidR="00230986" w:rsidRPr="00E206EA">
        <w:rPr>
          <w:rFonts w:ascii="Book Antiqua" w:hAnsi="Book Antiqua" w:cs="Times New Roman"/>
          <w:color w:val="000000" w:themeColor="text1"/>
          <w:sz w:val="24"/>
          <w:szCs w:val="24"/>
        </w:rPr>
        <w:t>gastrointestinal stromal tumors (</w:t>
      </w:r>
      <w:r w:rsidRPr="00E206EA">
        <w:rPr>
          <w:rFonts w:ascii="Book Antiqua" w:hAnsi="Book Antiqua" w:cs="Times New Roman"/>
          <w:color w:val="000000" w:themeColor="text1"/>
          <w:sz w:val="24"/>
          <w:szCs w:val="24"/>
        </w:rPr>
        <w:t>GISTs</w:t>
      </w:r>
      <w:r w:rsidR="00230986"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were </w:t>
      </w:r>
      <w:r w:rsidR="00E40386">
        <w:rPr>
          <w:rFonts w:ascii="Book Antiqua" w:hAnsi="Book Antiqua" w:cs="Times New Roman"/>
          <w:color w:val="000000" w:themeColor="text1"/>
          <w:sz w:val="24"/>
          <w:szCs w:val="24"/>
        </w:rPr>
        <w:t xml:space="preserve">often </w:t>
      </w:r>
      <w:r w:rsidRPr="00E206EA">
        <w:rPr>
          <w:rFonts w:ascii="Book Antiqua" w:hAnsi="Book Antiqua" w:cs="Times New Roman"/>
          <w:color w:val="000000" w:themeColor="text1"/>
          <w:sz w:val="24"/>
          <w:szCs w:val="24"/>
        </w:rPr>
        <w:t>misdiagnosed as leiomyom</w:t>
      </w:r>
      <w:r w:rsidRPr="00E206EA">
        <w:rPr>
          <w:rFonts w:ascii="Book Antiqua" w:hAnsi="Book Antiqua" w:cs="Times New Roman"/>
          <w:color w:val="000000" w:themeColor="text1"/>
          <w:sz w:val="24"/>
          <w:szCs w:val="24"/>
        </w:rPr>
        <w:t>as and leiomyosarcomas.</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Leiomyosarcoma rarely occurs in organs besides the uterus and is rarely located in the stomach.</w:t>
      </w:r>
    </w:p>
    <w:p w14:paraId="5DFC9194"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3D69D5CC" w14:textId="77777777" w:rsidR="00CE2497" w:rsidRPr="00E206EA" w:rsidRDefault="00CE2497" w:rsidP="00E206EA">
      <w:pPr>
        <w:spacing w:line="360" w:lineRule="auto"/>
        <w:rPr>
          <w:rFonts w:ascii="Book Antiqua" w:hAnsi="Book Antiqua" w:cs="Times New Roman"/>
          <w:b/>
          <w:i/>
          <w:iCs/>
          <w:color w:val="000000" w:themeColor="text1"/>
          <w:sz w:val="24"/>
          <w:szCs w:val="24"/>
        </w:rPr>
      </w:pPr>
      <w:bookmarkStart w:id="9" w:name="OLE_LINK8"/>
      <w:bookmarkStart w:id="10" w:name="OLE_LINK9"/>
      <w:bookmarkStart w:id="11" w:name="OLE_LINK10"/>
      <w:r w:rsidRPr="00E206EA">
        <w:rPr>
          <w:rFonts w:ascii="Book Antiqua" w:hAnsi="Book Antiqua" w:cs="Times New Roman"/>
          <w:b/>
          <w:i/>
          <w:iCs/>
          <w:color w:val="000000" w:themeColor="text1"/>
          <w:sz w:val="24"/>
          <w:szCs w:val="24"/>
        </w:rPr>
        <w:t>CASE SUMMARY</w:t>
      </w:r>
    </w:p>
    <w:p w14:paraId="32A80723" w14:textId="716E895F"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A 57-year-old woman presented with the symptom of melena over a one-month period. She had suffered weight loss, weakness, nau</w:t>
      </w:r>
      <w:r w:rsidRPr="00E206EA">
        <w:rPr>
          <w:rFonts w:ascii="Book Antiqua" w:hAnsi="Book Antiqua" w:cs="Times New Roman"/>
          <w:color w:val="000000" w:themeColor="text1"/>
          <w:sz w:val="24"/>
          <w:szCs w:val="24"/>
        </w:rPr>
        <w:t>sea</w:t>
      </w:r>
      <w:r w:rsidR="00E40386">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w:t>
      </w:r>
      <w:r w:rsidRPr="00E206EA">
        <w:rPr>
          <w:rFonts w:ascii="Book Antiqua" w:hAnsi="Book Antiqua" w:cs="Times New Roman"/>
          <w:color w:val="000000" w:themeColor="text1"/>
          <w:sz w:val="24"/>
          <w:szCs w:val="24"/>
        </w:rPr>
        <w:t xml:space="preserve">d vomiting </w:t>
      </w:r>
      <w:r w:rsidRPr="00E206EA">
        <w:rPr>
          <w:rFonts w:ascii="Book Antiqua" w:hAnsi="Book Antiqua" w:cs="Times New Roman"/>
          <w:color w:val="000000" w:themeColor="text1"/>
          <w:sz w:val="24"/>
          <w:szCs w:val="24"/>
        </w:rPr>
        <w:t xml:space="preserve">for </w:t>
      </w:r>
      <w:r w:rsidR="00E40386">
        <w:rPr>
          <w:rFonts w:ascii="Book Antiqua" w:hAnsi="Book Antiqua" w:cs="Times New Roman"/>
          <w:color w:val="000000" w:themeColor="text1"/>
          <w:sz w:val="24"/>
          <w:szCs w:val="24"/>
        </w:rPr>
        <w:t>15</w:t>
      </w:r>
      <w:r w:rsidR="00E40386"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days. At a lo</w:t>
      </w:r>
      <w:r w:rsidRPr="00E206EA">
        <w:rPr>
          <w:rFonts w:ascii="Book Antiqua" w:hAnsi="Book Antiqua" w:cs="Times New Roman"/>
          <w:color w:val="000000" w:themeColor="text1"/>
          <w:sz w:val="24"/>
          <w:szCs w:val="24"/>
        </w:rPr>
        <w:t>cal hospital, computed tomography showed a very large mass in the stomach, and the results of endoscopic examination and histopathological diagnosis were unclear. She received transfusion therapy and was transferred to our hospital.</w:t>
      </w:r>
      <w:r w:rsidR="00414BEE"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Upon arrival at our</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ho</w:t>
      </w:r>
      <w:r w:rsidR="00993F72">
        <w:rPr>
          <w:rFonts w:ascii="Book Antiqua" w:hAnsi="Book Antiqua" w:cs="Times New Roman"/>
          <w:color w:val="000000" w:themeColor="text1"/>
          <w:sz w:val="24"/>
          <w:szCs w:val="24"/>
        </w:rPr>
        <w:t>spital, the patient was anemic</w:t>
      </w:r>
      <w:r w:rsidRPr="00E206EA">
        <w:rPr>
          <w:rFonts w:ascii="Book Antiqua" w:hAnsi="Book Antiqua" w:cs="Times New Roman"/>
          <w:color w:val="000000" w:themeColor="text1"/>
          <w:sz w:val="24"/>
          <w:szCs w:val="24"/>
        </w:rPr>
        <w:t>.</w:t>
      </w:r>
      <w:r w:rsidR="007E4132" w:rsidRPr="007E4132">
        <w:t xml:space="preserve"> </w:t>
      </w:r>
      <w:r w:rsidR="007E4132">
        <w:rPr>
          <w:rFonts w:ascii="Book Antiqua" w:hAnsi="Book Antiqua" w:cs="Times New Roman"/>
          <w:color w:val="000000" w:themeColor="text1"/>
          <w:sz w:val="24"/>
          <w:szCs w:val="24"/>
        </w:rPr>
        <w:t>She denie</w:t>
      </w:r>
      <w:r w:rsidR="007E4132">
        <w:rPr>
          <w:rFonts w:ascii="Book Antiqua" w:hAnsi="Book Antiqua" w:cs="Times New Roman" w:hint="eastAsia"/>
          <w:color w:val="000000" w:themeColor="text1"/>
          <w:sz w:val="24"/>
          <w:szCs w:val="24"/>
        </w:rPr>
        <w:t>d</w:t>
      </w:r>
      <w:r w:rsidR="007E4132">
        <w:rPr>
          <w:rFonts w:ascii="Book Antiqua" w:hAnsi="Book Antiqua" w:cs="Times New Roman"/>
          <w:color w:val="000000" w:themeColor="text1"/>
          <w:sz w:val="24"/>
          <w:szCs w:val="24"/>
        </w:rPr>
        <w:t xml:space="preserve"> any family history and had</w:t>
      </w:r>
      <w:r w:rsidR="007E4132" w:rsidRPr="007E4132">
        <w:rPr>
          <w:rFonts w:ascii="Book Antiqua" w:hAnsi="Book Antiqua" w:cs="Times New Roman"/>
          <w:color w:val="000000" w:themeColor="text1"/>
          <w:sz w:val="24"/>
          <w:szCs w:val="24"/>
        </w:rPr>
        <w:t xml:space="preserve"> no specific past history</w:t>
      </w:r>
      <w:r w:rsidRPr="00E206EA">
        <w:rPr>
          <w:rFonts w:ascii="Book Antiqua" w:hAnsi="Book Antiqua" w:cs="Times New Roman"/>
          <w:color w:val="000000" w:themeColor="text1"/>
          <w:sz w:val="24"/>
          <w:szCs w:val="24"/>
        </w:rPr>
        <w:t>. No signs of pulmonary metastasis were found on chest radiographs. Magnetic resonance imaging and computed tomography confirmed a very large tumor in the stomach, and no visible signs of metastatic disease were found. On October 30, 2013, the patient underwent resection of the stomach tumor and did not undergo any adjuvant treatment. The margins were negative and she had an uneventful recovery and was discharged after 12 d. One year after surgery, the patient died at home, and the ca</w:t>
      </w:r>
      <w:r w:rsidRPr="00E206EA">
        <w:rPr>
          <w:rFonts w:ascii="Book Antiqua" w:hAnsi="Book Antiqua" w:cs="Times New Roman"/>
          <w:color w:val="000000" w:themeColor="text1"/>
          <w:sz w:val="24"/>
          <w:szCs w:val="24"/>
        </w:rPr>
        <w:t>use</w:t>
      </w:r>
      <w:r w:rsidR="00E40386">
        <w:rPr>
          <w:rFonts w:ascii="Book Antiqua" w:hAnsi="Book Antiqua" w:cs="Times New Roman"/>
          <w:color w:val="000000" w:themeColor="text1"/>
          <w:sz w:val="24"/>
          <w:szCs w:val="24"/>
        </w:rPr>
        <w:t>s</w:t>
      </w:r>
      <w:r w:rsidRPr="00E206EA">
        <w:rPr>
          <w:rFonts w:ascii="Book Antiqua" w:hAnsi="Book Antiqua" w:cs="Times New Roman"/>
          <w:color w:val="000000" w:themeColor="text1"/>
          <w:sz w:val="24"/>
          <w:szCs w:val="24"/>
        </w:rPr>
        <w:t xml:space="preserve"> of dea</w:t>
      </w:r>
      <w:r w:rsidRPr="00E206EA">
        <w:rPr>
          <w:rFonts w:ascii="Book Antiqua" w:hAnsi="Book Antiqua" w:cs="Times New Roman"/>
          <w:color w:val="000000" w:themeColor="text1"/>
          <w:sz w:val="24"/>
          <w:szCs w:val="24"/>
        </w:rPr>
        <w:t>th were gastrointestinal obstruction and malnutrition. During that time, she was treated with Chinese medicine</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but the effect was not ideal.</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Because of gastrointestinal obstruction, the patient did not receive any re-examination.</w:t>
      </w:r>
    </w:p>
    <w:p w14:paraId="7326A473" w14:textId="77777777" w:rsidR="00CE2497" w:rsidRPr="00E206EA" w:rsidRDefault="00CE2497" w:rsidP="00E206EA">
      <w:pPr>
        <w:spacing w:line="360" w:lineRule="auto"/>
        <w:rPr>
          <w:rFonts w:ascii="Book Antiqua" w:hAnsi="Book Antiqua" w:cs="Times New Roman"/>
          <w:color w:val="000000" w:themeColor="text1"/>
          <w:sz w:val="24"/>
          <w:szCs w:val="24"/>
        </w:rPr>
      </w:pPr>
    </w:p>
    <w:p w14:paraId="2C7FCEB5" w14:textId="4B973C96"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CONCLUSION</w:t>
      </w:r>
    </w:p>
    <w:p w14:paraId="3E29C434" w14:textId="77777777"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Surgical resection is the standard treatment for gastric leiomyosarcoma. The diagnosis of this tumor mainly depends on histopathological examination. This </w:t>
      </w:r>
      <w:r w:rsidRPr="00E206EA">
        <w:rPr>
          <w:rFonts w:ascii="Book Antiqua" w:hAnsi="Book Antiqua" w:cs="Times New Roman"/>
          <w:color w:val="000000" w:themeColor="text1"/>
          <w:sz w:val="24"/>
          <w:szCs w:val="24"/>
        </w:rPr>
        <w:lastRenderedPageBreak/>
        <w:t>case may suggest the aggressive behavior and poor prognosis of this tumor.</w:t>
      </w:r>
    </w:p>
    <w:p w14:paraId="6358DF8C"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bookmarkEnd w:id="9"/>
    <w:bookmarkEnd w:id="10"/>
    <w:bookmarkEnd w:id="11"/>
    <w:p w14:paraId="6384E3D6" w14:textId="59BCD53F"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b/>
          <w:color w:val="000000" w:themeColor="text1"/>
          <w:sz w:val="24"/>
          <w:szCs w:val="24"/>
        </w:rPr>
        <w:t>Key</w:t>
      </w:r>
      <w:r w:rsidR="00414BEE" w:rsidRPr="00E206EA">
        <w:rPr>
          <w:rFonts w:ascii="Book Antiqua" w:hAnsi="Book Antiqua" w:cs="Times New Roman"/>
          <w:b/>
          <w:color w:val="000000" w:themeColor="text1"/>
          <w:sz w:val="24"/>
          <w:szCs w:val="24"/>
        </w:rPr>
        <w:t xml:space="preserve"> </w:t>
      </w:r>
      <w:r w:rsidRPr="00E206EA">
        <w:rPr>
          <w:rFonts w:ascii="Book Antiqua" w:hAnsi="Book Antiqua" w:cs="Times New Roman"/>
          <w:b/>
          <w:color w:val="000000" w:themeColor="text1"/>
          <w:sz w:val="24"/>
          <w:szCs w:val="24"/>
        </w:rPr>
        <w:t>words</w:t>
      </w:r>
      <w:r w:rsidRPr="00E206EA">
        <w:rPr>
          <w:rFonts w:ascii="Book Antiqua" w:hAnsi="Book Antiqua" w:cs="Times New Roman"/>
          <w:color w:val="000000" w:themeColor="text1"/>
          <w:sz w:val="24"/>
          <w:szCs w:val="24"/>
        </w:rPr>
        <w:t>: Leiomyosarcoma</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Stomach</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Case report</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w:t>
      </w:r>
      <w:r w:rsidRPr="00405E3A">
        <w:rPr>
          <w:rFonts w:ascii="Book Antiqua" w:hAnsi="Book Antiqua" w:cs="Times New Roman"/>
          <w:i/>
          <w:iCs/>
          <w:color w:val="000000" w:themeColor="text1"/>
          <w:sz w:val="24"/>
          <w:szCs w:val="24"/>
        </w:rPr>
        <w:t>KIT</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w:t>
      </w:r>
      <w:r w:rsidR="00405E3A" w:rsidRPr="00E206EA">
        <w:rPr>
          <w:rFonts w:ascii="Book Antiqua" w:hAnsi="Book Antiqua" w:cs="Times New Roman"/>
          <w:color w:val="000000" w:themeColor="text1"/>
          <w:sz w:val="24"/>
          <w:szCs w:val="24"/>
        </w:rPr>
        <w:t>Gastrointestinal stromal tumor</w:t>
      </w:r>
      <w:r w:rsidR="002C4AC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Targeted next-generation sequencing</w:t>
      </w:r>
    </w:p>
    <w:p w14:paraId="7C256ABF"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3D79F9EE" w14:textId="77777777" w:rsidR="00E206EA" w:rsidRPr="00E206EA" w:rsidRDefault="00E206EA" w:rsidP="00E206EA">
      <w:pPr>
        <w:snapToGrid w:val="0"/>
        <w:spacing w:line="360" w:lineRule="auto"/>
        <w:rPr>
          <w:rFonts w:ascii="Book Antiqua" w:eastAsia="黑体" w:hAnsi="Book Antiqua"/>
          <w:sz w:val="24"/>
          <w:szCs w:val="24"/>
        </w:rPr>
      </w:pPr>
      <w:bookmarkStart w:id="12" w:name="OLE_LINK1060"/>
      <w:bookmarkStart w:id="13" w:name="OLE_LINK1265"/>
      <w:bookmarkStart w:id="14" w:name="OLE_LINK1125"/>
      <w:bookmarkStart w:id="15" w:name="OLE_LINK1100"/>
      <w:bookmarkStart w:id="16" w:name="OLE_LINK1348"/>
      <w:bookmarkStart w:id="17" w:name="OLE_LINK1334"/>
      <w:bookmarkStart w:id="18" w:name="OLE_LINK156"/>
      <w:bookmarkStart w:id="19" w:name="OLE_LINK1504"/>
      <w:bookmarkStart w:id="20" w:name="OLE_LINK960"/>
      <w:bookmarkStart w:id="21" w:name="OLE_LINK1516"/>
      <w:bookmarkStart w:id="22" w:name="OLE_LINK1384"/>
      <w:bookmarkStart w:id="23" w:name="OLE_LINK1086"/>
      <w:bookmarkStart w:id="24" w:name="OLE_LINK1029"/>
      <w:bookmarkStart w:id="25" w:name="OLE_LINK1219"/>
      <w:bookmarkStart w:id="26" w:name="OLE_LINK1778"/>
      <w:bookmarkStart w:id="27" w:name="OLE_LINK1061"/>
      <w:bookmarkStart w:id="28" w:name="OLE_LINK472"/>
      <w:bookmarkStart w:id="29" w:name="OLE_LINK928"/>
      <w:bookmarkStart w:id="30" w:name="OLE_LINK98"/>
      <w:bookmarkStart w:id="31" w:name="OLE_LINK247"/>
      <w:bookmarkStart w:id="32" w:name="OLE_LINK800"/>
      <w:bookmarkStart w:id="33" w:name="OLE_LINK861"/>
      <w:bookmarkStart w:id="34" w:name="OLE_LINK1193"/>
      <w:bookmarkStart w:id="35" w:name="OLE_LINK1454"/>
      <w:bookmarkStart w:id="36" w:name="OLE_LINK242"/>
      <w:bookmarkStart w:id="37" w:name="OLE_LINK651"/>
      <w:bookmarkStart w:id="38" w:name="OLE_LINK787"/>
      <w:bookmarkStart w:id="39" w:name="OLE_LINK504"/>
      <w:bookmarkStart w:id="40" w:name="OLE_LINK135"/>
      <w:bookmarkStart w:id="41" w:name="OLE_LINK196"/>
      <w:bookmarkStart w:id="42" w:name="OLE_LINK513"/>
      <w:bookmarkStart w:id="43" w:name="OLE_LINK1163"/>
      <w:bookmarkStart w:id="44" w:name="OLE_LINK672"/>
      <w:bookmarkStart w:id="45" w:name="OLE_LINK906"/>
      <w:bookmarkStart w:id="46" w:name="OLE_LINK1247"/>
      <w:bookmarkStart w:id="47" w:name="OLE_LINK758"/>
      <w:bookmarkStart w:id="48" w:name="OLE_LINK471"/>
      <w:bookmarkStart w:id="49" w:name="OLE_LINK1644"/>
      <w:bookmarkStart w:id="50" w:name="OLE_LINK474"/>
      <w:bookmarkStart w:id="51" w:name="OLE_LINK879"/>
      <w:bookmarkStart w:id="52" w:name="OLE_LINK1543"/>
      <w:bookmarkStart w:id="53" w:name="OLE_LINK1478"/>
      <w:bookmarkStart w:id="54" w:name="OLE_LINK1403"/>
      <w:bookmarkStart w:id="55" w:name="OLE_LINK1284"/>
      <w:bookmarkStart w:id="56" w:name="OLE_LINK216"/>
      <w:bookmarkStart w:id="57" w:name="OLE_LINK1373"/>
      <w:bookmarkStart w:id="58" w:name="OLE_LINK862"/>
      <w:bookmarkStart w:id="59" w:name="OLE_LINK1313"/>
      <w:bookmarkStart w:id="60" w:name="OLE_LINK1549"/>
      <w:bookmarkStart w:id="61" w:name="OLE_LINK1361"/>
      <w:bookmarkStart w:id="62" w:name="OLE_LINK1885"/>
      <w:bookmarkStart w:id="63" w:name="OLE_LINK640"/>
      <w:bookmarkStart w:id="64" w:name="OLE_LINK312"/>
      <w:bookmarkStart w:id="65" w:name="OLE_LINK1539"/>
      <w:bookmarkStart w:id="66" w:name="OLE_LINK575"/>
      <w:bookmarkStart w:id="67" w:name="OLE_LINK546"/>
      <w:bookmarkStart w:id="68" w:name="OLE_LINK652"/>
      <w:bookmarkStart w:id="69" w:name="OLE_LINK1437"/>
      <w:bookmarkStart w:id="70" w:name="OLE_LINK1480"/>
      <w:bookmarkStart w:id="71" w:name="OLE_LINK1884"/>
      <w:bookmarkStart w:id="72" w:name="OLE_LINK1186"/>
      <w:bookmarkStart w:id="73" w:name="OLE_LINK744"/>
      <w:bookmarkStart w:id="74" w:name="OLE_LINK330"/>
      <w:bookmarkStart w:id="75" w:name="OLE_LINK259"/>
      <w:bookmarkStart w:id="76" w:name="OLE_LINK982"/>
      <w:bookmarkStart w:id="77" w:name="OLE_LINK465"/>
      <w:bookmarkStart w:id="78" w:name="OLE_LINK983"/>
      <w:bookmarkStart w:id="79" w:name="OLE_LINK714"/>
      <w:bookmarkStart w:id="80" w:name="OLE_LINK325"/>
      <w:bookmarkStart w:id="81" w:name="OLE_LINK311"/>
      <w:bookmarkStart w:id="82" w:name="OLE_LINK466"/>
      <w:bookmarkStart w:id="83" w:name="OLE_LINK1538"/>
      <w:bookmarkStart w:id="84" w:name="OLE_LINK464"/>
      <w:bookmarkStart w:id="85" w:name="OLE_LINK2583"/>
      <w:bookmarkStart w:id="86" w:name="OLE_LINK2856"/>
      <w:bookmarkStart w:id="87" w:name="OLE_LINK2993"/>
      <w:bookmarkStart w:id="88" w:name="OLE_LINK2643"/>
      <w:bookmarkStart w:id="89" w:name="OLE_LINK2762"/>
      <w:bookmarkStart w:id="90" w:name="OLE_LINK2962"/>
      <w:bookmarkStart w:id="91" w:name="OLE_LINK2582"/>
      <w:bookmarkStart w:id="92" w:name="OLE_LINK2110"/>
      <w:bookmarkStart w:id="93" w:name="OLE_LINK2446"/>
      <w:bookmarkStart w:id="94" w:name="OLE_LINK2081"/>
      <w:bookmarkStart w:id="95" w:name="OLE_LINK1744"/>
      <w:bookmarkStart w:id="96" w:name="OLE_LINK2082"/>
      <w:bookmarkStart w:id="97" w:name="OLE_LINK1941"/>
      <w:bookmarkStart w:id="98" w:name="OLE_LINK2345"/>
      <w:bookmarkStart w:id="99" w:name="OLE_LINK1882"/>
      <w:bookmarkStart w:id="100" w:name="OLE_LINK1938"/>
      <w:bookmarkStart w:id="101" w:name="OLE_LINK2071"/>
      <w:bookmarkStart w:id="102" w:name="OLE_LINK1964"/>
      <w:bookmarkStart w:id="103" w:name="OLE_LINK2192"/>
      <w:bookmarkStart w:id="104" w:name="OLE_LINK2134"/>
      <w:bookmarkStart w:id="105" w:name="OLE_LINK2020"/>
      <w:bookmarkStart w:id="106" w:name="OLE_LINK1931"/>
      <w:bookmarkStart w:id="107" w:name="OLE_LINK1776"/>
      <w:bookmarkStart w:id="108" w:name="OLE_LINK2562"/>
      <w:bookmarkStart w:id="109" w:name="OLE_LINK1777"/>
      <w:bookmarkStart w:id="110" w:name="OLE_LINK2445"/>
      <w:bookmarkStart w:id="111" w:name="OLE_LINK2265"/>
      <w:bookmarkStart w:id="112" w:name="OLE_LINK1868"/>
      <w:bookmarkStart w:id="113" w:name="OLE_LINK1756"/>
      <w:bookmarkStart w:id="114" w:name="OLE_LINK1835"/>
      <w:bookmarkStart w:id="115" w:name="OLE_LINK2013"/>
      <w:bookmarkStart w:id="116" w:name="OLE_LINK1923"/>
      <w:bookmarkStart w:id="117" w:name="OLE_LINK1929"/>
      <w:bookmarkStart w:id="118" w:name="OLE_LINK1995"/>
      <w:bookmarkStart w:id="119" w:name="OLE_LINK1866"/>
      <w:bookmarkStart w:id="120" w:name="OLE_LINK1902"/>
      <w:bookmarkStart w:id="121" w:name="OLE_LINK1817"/>
      <w:bookmarkStart w:id="122" w:name="OLE_LINK1901"/>
      <w:bookmarkStart w:id="123" w:name="OLE_LINK1894"/>
      <w:bookmarkStart w:id="124" w:name="OLE_LINK2169"/>
      <w:bookmarkStart w:id="125" w:name="OLE_LINK2331"/>
      <w:bookmarkStart w:id="126" w:name="OLE_LINK2221"/>
      <w:bookmarkStart w:id="127" w:name="OLE_LINK2190"/>
      <w:bookmarkStart w:id="128" w:name="OLE_LINK2484"/>
      <w:bookmarkStart w:id="129" w:name="OLE_LINK2467"/>
      <w:bookmarkStart w:id="130" w:name="OLE_LINK2157"/>
      <w:bookmarkStart w:id="131" w:name="OLE_LINK2348"/>
      <w:bookmarkStart w:id="132" w:name="OLE_LINK2292"/>
      <w:bookmarkStart w:id="133" w:name="OLE_LINK2252"/>
      <w:bookmarkStart w:id="134" w:name="OLE_LINK2451"/>
      <w:bookmarkStart w:id="135" w:name="OLE_LINK2627"/>
      <w:bookmarkStart w:id="136" w:name="OLE_LINK2663"/>
      <w:bookmarkStart w:id="137" w:name="OLE_LINK2761"/>
      <w:bookmarkStart w:id="138" w:name="OLE_LINK2482"/>
      <w:bookmarkStart w:id="139" w:name="_Hlk17358608"/>
      <w:r w:rsidRPr="00E206EA">
        <w:rPr>
          <w:rFonts w:ascii="Book Antiqua" w:eastAsia="黑体" w:hAnsi="Book Antiqua" w:cs="Calibri"/>
          <w:b/>
          <w:sz w:val="24"/>
          <w:szCs w:val="24"/>
        </w:rPr>
        <w:t>©</w:t>
      </w:r>
      <w:r w:rsidRPr="00E206EA">
        <w:rPr>
          <w:rFonts w:ascii="Book Antiqua" w:eastAsia="黑体" w:hAnsi="Book Antiqua"/>
          <w:b/>
          <w:sz w:val="24"/>
          <w:szCs w:val="24"/>
        </w:rPr>
        <w:t xml:space="preserve"> </w:t>
      </w:r>
      <w:r w:rsidRPr="00E206EA">
        <w:rPr>
          <w:rFonts w:ascii="Book Antiqua" w:eastAsia="黑体" w:hAnsi="Book Antiqua" w:cs="AdvTimes"/>
          <w:b/>
          <w:sz w:val="24"/>
          <w:szCs w:val="24"/>
        </w:rPr>
        <w:t>The Author(s) 2019.</w:t>
      </w:r>
      <w:r w:rsidRPr="00E206EA">
        <w:rPr>
          <w:rFonts w:ascii="Book Antiqua" w:eastAsia="黑体" w:hAnsi="Book Antiqua" w:cs="AdvTimes"/>
          <w:sz w:val="24"/>
          <w:szCs w:val="24"/>
        </w:rPr>
        <w:t xml:space="preserve"> Published by </w:t>
      </w:r>
      <w:r w:rsidRPr="00E206EA">
        <w:rPr>
          <w:rFonts w:ascii="Book Antiqua" w:eastAsia="黑体" w:hAnsi="Book Antiqua" w:cs="Arial Unicode MS"/>
          <w:sz w:val="24"/>
          <w:szCs w:val="24"/>
        </w:rPr>
        <w:t>Baishideng Publishing Group Inc.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B75EA05" w14:textId="77777777" w:rsidR="00E206EA" w:rsidRPr="00E206EA" w:rsidRDefault="00E206EA" w:rsidP="00E206EA">
      <w:pPr>
        <w:snapToGrid w:val="0"/>
        <w:spacing w:line="360" w:lineRule="auto"/>
        <w:rPr>
          <w:rFonts w:ascii="Book Antiqua" w:eastAsia="黑体" w:hAnsi="Book Antiqua" w:cs="Calibri"/>
          <w:b/>
          <w:sz w:val="24"/>
          <w:szCs w:val="24"/>
        </w:rPr>
      </w:pPr>
    </w:p>
    <w:p w14:paraId="531D0B05" w14:textId="1DF47998" w:rsidR="00CE2497" w:rsidRPr="00E206EA" w:rsidRDefault="00E206EA" w:rsidP="00E206EA">
      <w:pPr>
        <w:spacing w:line="360" w:lineRule="auto"/>
        <w:rPr>
          <w:rFonts w:ascii="Book Antiqua" w:hAnsi="Book Antiqua" w:cs="Times New Roman"/>
          <w:b/>
          <w:color w:val="000000" w:themeColor="text1"/>
          <w:sz w:val="24"/>
          <w:szCs w:val="24"/>
        </w:rPr>
      </w:pPr>
      <w:r w:rsidRPr="00E206EA">
        <w:rPr>
          <w:rFonts w:ascii="Book Antiqua" w:eastAsia="黑体" w:hAnsi="Book Antiqua" w:cs="Calibri"/>
          <w:b/>
          <w:sz w:val="24"/>
          <w:szCs w:val="24"/>
        </w:rPr>
        <w:t>Core tip:</w:t>
      </w:r>
      <w:bookmarkEnd w:id="139"/>
      <w:r w:rsidR="00414BEE" w:rsidRPr="00E206EA">
        <w:rPr>
          <w:rFonts w:ascii="Book Antiqua" w:hAnsi="Book Antiqua" w:cs="Times New Roman"/>
          <w:b/>
          <w:color w:val="000000" w:themeColor="text1"/>
          <w:sz w:val="24"/>
          <w:szCs w:val="24"/>
        </w:rPr>
        <w:t xml:space="preserve"> </w:t>
      </w:r>
      <w:r w:rsidR="00CE2497" w:rsidRPr="00E206EA">
        <w:rPr>
          <w:rFonts w:ascii="Book Antiqua" w:hAnsi="Book Antiqua" w:cs="Times New Roman"/>
          <w:color w:val="000000" w:themeColor="text1"/>
          <w:sz w:val="24"/>
          <w:szCs w:val="24"/>
        </w:rPr>
        <w:t>Leiomyosarcoma of the stomach is extremely</w:t>
      </w:r>
      <w:r w:rsidR="00CE2497" w:rsidRPr="00E206EA">
        <w:rPr>
          <w:rFonts w:ascii="Book Antiqua" w:hAnsi="Book Antiqua" w:cs="Times New Roman"/>
          <w:b/>
          <w:color w:val="000000" w:themeColor="text1"/>
          <w:sz w:val="24"/>
          <w:szCs w:val="24"/>
        </w:rPr>
        <w:t xml:space="preserve"> </w:t>
      </w:r>
      <w:r w:rsidR="00CE2497" w:rsidRPr="00E206EA">
        <w:rPr>
          <w:rFonts w:ascii="Book Antiqua" w:hAnsi="Book Antiqua" w:cs="Times New Roman"/>
          <w:color w:val="000000" w:themeColor="text1"/>
          <w:sz w:val="24"/>
          <w:szCs w:val="24"/>
        </w:rPr>
        <w:t>rare, and only 13 cases have been r</w:t>
      </w:r>
      <w:r w:rsidR="00CE2497" w:rsidRPr="00E206EA">
        <w:rPr>
          <w:rFonts w:ascii="Book Antiqua" w:hAnsi="Book Antiqua" w:cs="Times New Roman"/>
          <w:color w:val="000000" w:themeColor="text1"/>
          <w:sz w:val="24"/>
          <w:szCs w:val="24"/>
        </w:rPr>
        <w:t>eported in the</w:t>
      </w:r>
      <w:r w:rsidR="00CE2497" w:rsidRPr="00E206EA">
        <w:rPr>
          <w:rFonts w:ascii="Book Antiqua" w:hAnsi="Book Antiqua" w:cs="Times New Roman"/>
          <w:b/>
          <w:color w:val="000000" w:themeColor="text1"/>
          <w:sz w:val="24"/>
          <w:szCs w:val="24"/>
        </w:rPr>
        <w:t xml:space="preserve"> </w:t>
      </w:r>
      <w:r w:rsidR="00CE2497" w:rsidRPr="00E206EA">
        <w:rPr>
          <w:rFonts w:ascii="Book Antiqua" w:hAnsi="Book Antiqua" w:cs="Times New Roman"/>
          <w:color w:val="000000" w:themeColor="text1"/>
          <w:sz w:val="24"/>
          <w:szCs w:val="24"/>
        </w:rPr>
        <w:t>literature.</w:t>
      </w:r>
      <w:r w:rsidR="00CE2497" w:rsidRPr="00E206EA">
        <w:rPr>
          <w:rFonts w:ascii="Book Antiqua" w:hAnsi="Book Antiqua"/>
          <w:sz w:val="24"/>
          <w:szCs w:val="24"/>
        </w:rPr>
        <w:t xml:space="preserve"> </w:t>
      </w:r>
      <w:r w:rsidR="00CE2497" w:rsidRPr="00E206EA">
        <w:rPr>
          <w:rFonts w:ascii="Book Antiqua" w:hAnsi="Book Antiqua" w:cs="Times New Roman"/>
          <w:color w:val="000000" w:themeColor="text1"/>
          <w:sz w:val="24"/>
          <w:szCs w:val="24"/>
        </w:rPr>
        <w:t xml:space="preserve">We herein report one case and review the </w:t>
      </w:r>
      <w:r w:rsidR="00E40386">
        <w:rPr>
          <w:rFonts w:ascii="Book Antiqua" w:hAnsi="Book Antiqua" w:cs="Times New Roman"/>
          <w:color w:val="000000" w:themeColor="text1"/>
          <w:sz w:val="24"/>
          <w:szCs w:val="24"/>
        </w:rPr>
        <w:t xml:space="preserve">relevant </w:t>
      </w:r>
      <w:r w:rsidR="00CE2497" w:rsidRPr="00E206EA">
        <w:rPr>
          <w:rFonts w:ascii="Book Antiqua" w:hAnsi="Book Antiqua" w:cs="Times New Roman"/>
          <w:color w:val="000000" w:themeColor="text1"/>
          <w:sz w:val="24"/>
          <w:szCs w:val="24"/>
        </w:rPr>
        <w:t>literature</w:t>
      </w:r>
      <w:r w:rsidR="00CE2497" w:rsidRPr="00E206EA">
        <w:rPr>
          <w:rFonts w:ascii="Book Antiqua" w:hAnsi="Book Antiqua" w:cs="Times New Roman"/>
          <w:color w:val="000000" w:themeColor="text1"/>
          <w:sz w:val="24"/>
          <w:szCs w:val="24"/>
        </w:rPr>
        <w:t>.</w:t>
      </w:r>
      <w:r w:rsidR="00CE2497" w:rsidRPr="00E206EA">
        <w:rPr>
          <w:rFonts w:ascii="Book Antiqua" w:hAnsi="Book Antiqua"/>
          <w:sz w:val="24"/>
          <w:szCs w:val="24"/>
        </w:rPr>
        <w:t xml:space="preserve"> </w:t>
      </w:r>
      <w:r w:rsidR="00CE2497" w:rsidRPr="00E206EA">
        <w:rPr>
          <w:rFonts w:ascii="Book Antiqua" w:hAnsi="Book Antiqua" w:cs="Times New Roman"/>
          <w:color w:val="000000" w:themeColor="text1"/>
          <w:sz w:val="24"/>
          <w:szCs w:val="24"/>
        </w:rPr>
        <w:t>This case might contribute to improving our understanding of the etiology, diagnosis, treatment strategies, and outcome of gastric leiomyosarcoma. This report can also serve as a reminder to gastroenterologists, surgeons, and pathologists who encounter gastric leiomyosarcoma in their clinical practice.</w:t>
      </w:r>
    </w:p>
    <w:p w14:paraId="1C3C967C"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42536718" w14:textId="1E81BDC9" w:rsidR="00E206EA" w:rsidRPr="00E206EA" w:rsidRDefault="00E206EA" w:rsidP="00E206EA">
      <w:pPr>
        <w:spacing w:line="360" w:lineRule="auto"/>
        <w:rPr>
          <w:rFonts w:ascii="Book Antiqua" w:hAnsi="Book Antiqua" w:cs="Times New Roman"/>
          <w:bCs/>
          <w:color w:val="000000" w:themeColor="text1"/>
          <w:sz w:val="24"/>
          <w:szCs w:val="24"/>
        </w:rPr>
      </w:pPr>
      <w:r w:rsidRPr="00E206EA">
        <w:rPr>
          <w:rFonts w:ascii="Book Antiqua" w:hAnsi="Book Antiqua" w:cs="Times New Roman"/>
          <w:bCs/>
          <w:color w:val="000000" w:themeColor="text1"/>
          <w:sz w:val="24"/>
          <w:szCs w:val="24"/>
        </w:rPr>
        <w:t xml:space="preserve">Kang WZ, Xue LY, Yan-Tao Tian YT. Leiomyosarcoma of the stomach: A case report. </w:t>
      </w:r>
      <w:bookmarkStart w:id="140" w:name="_Hlk18051602"/>
      <w:bookmarkStart w:id="141" w:name="_Hlk17358615"/>
      <w:r w:rsidRPr="00E206EA">
        <w:rPr>
          <w:rFonts w:ascii="Book Antiqua" w:eastAsia="黑体" w:hAnsi="Book Antiqua" w:cs="Calibri"/>
          <w:bCs/>
          <w:i/>
          <w:sz w:val="24"/>
          <w:szCs w:val="24"/>
        </w:rPr>
        <w:t>World J Clin Cases</w:t>
      </w:r>
      <w:r w:rsidRPr="00E206EA">
        <w:rPr>
          <w:rFonts w:ascii="Book Antiqua" w:eastAsia="黑体" w:hAnsi="Book Antiqua" w:cs="Calibri"/>
          <w:bCs/>
          <w:sz w:val="24"/>
          <w:szCs w:val="24"/>
        </w:rPr>
        <w:t xml:space="preserve"> 2019; </w:t>
      </w:r>
      <w:r w:rsidRPr="00E206EA">
        <w:rPr>
          <w:rFonts w:ascii="Book Antiqua" w:eastAsia="黑体" w:hAnsi="Book Antiqua"/>
          <w:bCs/>
          <w:iCs/>
          <w:sz w:val="24"/>
          <w:szCs w:val="24"/>
        </w:rPr>
        <w:t>In press</w:t>
      </w:r>
      <w:bookmarkEnd w:id="140"/>
      <w:bookmarkEnd w:id="141"/>
    </w:p>
    <w:p w14:paraId="08EB5D73" w14:textId="77777777" w:rsidR="002C4ACD" w:rsidRPr="00E206EA" w:rsidRDefault="002C4ACD" w:rsidP="00E206EA">
      <w:pPr>
        <w:widowControl/>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br w:type="page"/>
      </w:r>
    </w:p>
    <w:p w14:paraId="5B65DA74" w14:textId="7401ECEE"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lastRenderedPageBreak/>
        <w:t>INTRODUCTION</w:t>
      </w:r>
    </w:p>
    <w:p w14:paraId="0D726101" w14:textId="50D0E11F"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Leiomyosarcoma of the stomach is a malignant tumor that originates from the stomach. Leiomyosarcoma of the stomach is extremely rare, and most cases reported in the </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pre-</w:t>
      </w:r>
      <w:r w:rsidRPr="00405E3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xml:space="preserve"> era</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as leiomyosarcomas of the stomach were actually </w:t>
      </w:r>
      <w:r w:rsidR="00414BEE" w:rsidRPr="00E206EA">
        <w:rPr>
          <w:rFonts w:ascii="Book Antiqua" w:hAnsi="Book Antiqua" w:cs="Times New Roman"/>
          <w:color w:val="000000" w:themeColor="text1"/>
          <w:sz w:val="24"/>
          <w:szCs w:val="24"/>
        </w:rPr>
        <w:t>gastrointestinal stromal tumors (GISTs)</w:t>
      </w:r>
      <w:r w:rsidRPr="00E206EA">
        <w:rPr>
          <w:rFonts w:ascii="Book Antiqua" w:hAnsi="Book Antiqua" w:cs="Times New Roman"/>
          <w:color w:val="000000" w:themeColor="text1"/>
          <w:sz w:val="24"/>
          <w:szCs w:val="24"/>
        </w:rPr>
        <w:t xml:space="preserve"> of the stomach. Only 13 well-described cases of </w:t>
      </w:r>
      <w:bookmarkStart w:id="142" w:name="OLE_LINK1"/>
      <w:r w:rsidRPr="00E206EA">
        <w:rPr>
          <w:rFonts w:ascii="Book Antiqua" w:hAnsi="Book Antiqua" w:cs="Times New Roman"/>
          <w:color w:val="000000" w:themeColor="text1"/>
          <w:sz w:val="24"/>
          <w:szCs w:val="24"/>
        </w:rPr>
        <w:t xml:space="preserve">gastric leiomyosarcoma </w:t>
      </w:r>
      <w:bookmarkEnd w:id="142"/>
      <w:r w:rsidRPr="00E206EA">
        <w:rPr>
          <w:rFonts w:ascii="Book Antiqua" w:hAnsi="Book Antiqua" w:cs="Times New Roman"/>
          <w:color w:val="000000" w:themeColor="text1"/>
          <w:sz w:val="24"/>
          <w:szCs w:val="24"/>
        </w:rPr>
        <w:t>have been reporte</w:t>
      </w:r>
      <w:r w:rsidRPr="00E206EA">
        <w:rPr>
          <w:rFonts w:ascii="Book Antiqua" w:hAnsi="Book Antiqua" w:cs="Times New Roman"/>
          <w:color w:val="000000" w:themeColor="text1"/>
          <w:sz w:val="24"/>
          <w:szCs w:val="24"/>
        </w:rPr>
        <w:t xml:space="preserve">d in </w:t>
      </w:r>
      <w:r w:rsidR="00E40386">
        <w:rPr>
          <w:rFonts w:ascii="Book Antiqua" w:hAnsi="Book Antiqua" w:cs="Times New Roman"/>
          <w:color w:val="000000" w:themeColor="text1"/>
          <w:sz w:val="24"/>
          <w:szCs w:val="24"/>
        </w:rPr>
        <w:t xml:space="preserve">the </w:t>
      </w:r>
      <w:r w:rsidRPr="00E206EA">
        <w:rPr>
          <w:rFonts w:ascii="Book Antiqua" w:hAnsi="Book Antiqua" w:cs="Times New Roman"/>
          <w:color w:val="000000" w:themeColor="text1"/>
          <w:sz w:val="24"/>
          <w:szCs w:val="24"/>
        </w:rPr>
        <w:t>English language literature since the early 2000s</w:t>
      </w:r>
      <w:r w:rsidRPr="00E206EA">
        <w:rPr>
          <w:rFonts w:ascii="Book Antiqua" w:hAnsi="Book Antiqua" w:cs="Times New Roman"/>
          <w:color w:val="000000" w:themeColor="text1"/>
          <w:sz w:val="24"/>
          <w:szCs w:val="24"/>
          <w:vertAlign w:val="superscript"/>
        </w:rPr>
        <w:t>[1-13]</w:t>
      </w:r>
      <w:r w:rsidRPr="00E206EA">
        <w:rPr>
          <w:rFonts w:ascii="Book Antiqua" w:hAnsi="Book Antiqua" w:cs="Times New Roman"/>
          <w:color w:val="000000" w:themeColor="text1"/>
          <w:sz w:val="24"/>
          <w:szCs w:val="24"/>
        </w:rPr>
        <w:t>. Due to the low incidence of this tumor, clinicians still have not formed a therapeutic consensus.</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Currently, the standard treatment is surgical resection of the tumor. Herein, we report one case of gastric leiomyosarcoma. We also discuss the</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clinical features, etiology, symptoms, diagnosis, prognostic fac</w:t>
      </w:r>
      <w:r w:rsidRPr="00E206EA">
        <w:rPr>
          <w:rFonts w:ascii="Book Antiqua" w:hAnsi="Book Antiqua" w:cs="Times New Roman"/>
          <w:color w:val="000000" w:themeColor="text1"/>
          <w:sz w:val="24"/>
          <w:szCs w:val="24"/>
        </w:rPr>
        <w:t>tors</w:t>
      </w:r>
      <w:r w:rsidR="00E40386">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w:t>
      </w:r>
      <w:r w:rsidRPr="00E206EA">
        <w:rPr>
          <w:rFonts w:ascii="Book Antiqua" w:hAnsi="Book Antiqua" w:cs="Times New Roman"/>
          <w:color w:val="000000" w:themeColor="text1"/>
          <w:sz w:val="24"/>
          <w:szCs w:val="24"/>
        </w:rPr>
        <w:t>d treatment strategies of gastric leiomyosarcoma in this report.</w:t>
      </w:r>
    </w:p>
    <w:p w14:paraId="7800223A"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382DF41F"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CASE PRESENTATION</w:t>
      </w:r>
    </w:p>
    <w:p w14:paraId="1C90045D"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Chief complaints</w:t>
      </w:r>
    </w:p>
    <w:p w14:paraId="5C042918" w14:textId="3919CEDB"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A 57-year-old woman presented with the symptom of melena and she also suffered weight loss, we</w:t>
      </w:r>
      <w:r w:rsidRPr="00E206EA">
        <w:rPr>
          <w:rFonts w:ascii="Book Antiqua" w:hAnsi="Book Antiqua" w:cs="Times New Roman"/>
          <w:color w:val="000000" w:themeColor="text1"/>
          <w:sz w:val="24"/>
          <w:szCs w:val="24"/>
        </w:rPr>
        <w:t>akness, nausea</w:t>
      </w:r>
      <w:r w:rsidR="00E40386">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and vo</w:t>
      </w:r>
      <w:r w:rsidRPr="00E206EA">
        <w:rPr>
          <w:rFonts w:ascii="Book Antiqua" w:hAnsi="Book Antiqua" w:cs="Times New Roman"/>
          <w:color w:val="000000" w:themeColor="text1"/>
          <w:sz w:val="24"/>
          <w:szCs w:val="24"/>
        </w:rPr>
        <w:t>miting.</w:t>
      </w:r>
    </w:p>
    <w:p w14:paraId="26A9583C"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49AAB975"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History of present illness</w:t>
      </w:r>
    </w:p>
    <w:p w14:paraId="3599982B" w14:textId="785955CD"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The patient presented with the symptom of melena over a one-month period. She had suffered weight loss, weakness, nau</w:t>
      </w:r>
      <w:r w:rsidRPr="00E206EA">
        <w:rPr>
          <w:rFonts w:ascii="Book Antiqua" w:hAnsi="Book Antiqua" w:cs="Times New Roman"/>
          <w:color w:val="000000" w:themeColor="text1"/>
          <w:sz w:val="24"/>
          <w:szCs w:val="24"/>
        </w:rPr>
        <w:t>sea</w:t>
      </w:r>
      <w:r w:rsidR="00E40386">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and vomiting for </w:t>
      </w:r>
      <w:r w:rsidR="00E40386">
        <w:rPr>
          <w:rFonts w:ascii="Book Antiqua" w:hAnsi="Book Antiqua" w:cs="Times New Roman"/>
          <w:color w:val="000000" w:themeColor="text1"/>
          <w:sz w:val="24"/>
          <w:szCs w:val="24"/>
        </w:rPr>
        <w:t>15</w:t>
      </w:r>
      <w:r w:rsidR="00E40386"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days.</w:t>
      </w:r>
    </w:p>
    <w:p w14:paraId="606F7B37" w14:textId="77777777" w:rsidR="00CE2497" w:rsidRPr="00E40386" w:rsidRDefault="00CE2497" w:rsidP="00E206EA">
      <w:pPr>
        <w:spacing w:line="360" w:lineRule="auto"/>
        <w:rPr>
          <w:rFonts w:ascii="Book Antiqua" w:hAnsi="Book Antiqua" w:cs="Times New Roman"/>
          <w:color w:val="000000" w:themeColor="text1"/>
          <w:sz w:val="24"/>
          <w:szCs w:val="24"/>
        </w:rPr>
      </w:pPr>
    </w:p>
    <w:p w14:paraId="2FD6E5C4"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History of past illness</w:t>
      </w:r>
    </w:p>
    <w:p w14:paraId="6239628C" w14:textId="3E179937"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The patient had </w:t>
      </w:r>
      <w:r w:rsidR="007E4132">
        <w:rPr>
          <w:rFonts w:ascii="Book Antiqua" w:hAnsi="Book Antiqua" w:cs="Times New Roman"/>
          <w:color w:val="000000" w:themeColor="text1"/>
          <w:sz w:val="24"/>
          <w:szCs w:val="24"/>
        </w:rPr>
        <w:t xml:space="preserve">no special </w:t>
      </w:r>
      <w:r w:rsidRPr="00E206EA">
        <w:rPr>
          <w:rFonts w:ascii="Book Antiqua" w:hAnsi="Book Antiqua" w:cs="Times New Roman"/>
          <w:color w:val="000000" w:themeColor="text1"/>
          <w:sz w:val="24"/>
          <w:szCs w:val="24"/>
        </w:rPr>
        <w:t>previous medical history.</w:t>
      </w:r>
    </w:p>
    <w:p w14:paraId="4E86869A"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19E69172" w14:textId="4BA4EE36"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Personal and family history</w:t>
      </w:r>
    </w:p>
    <w:p w14:paraId="22EA2DC8" w14:textId="52744815" w:rsidR="00CE2497" w:rsidRDefault="007E4132" w:rsidP="00E206EA">
      <w:pPr>
        <w:spacing w:line="360" w:lineRule="auto"/>
        <w:rPr>
          <w:rFonts w:ascii="Book Antiqua" w:hAnsi="Book Antiqua" w:cs="Times New Roman"/>
          <w:color w:val="000000" w:themeColor="text1"/>
          <w:sz w:val="24"/>
          <w:szCs w:val="24"/>
        </w:rPr>
      </w:pPr>
      <w:r w:rsidRPr="007E4132">
        <w:rPr>
          <w:rFonts w:ascii="Book Antiqua" w:hAnsi="Book Antiqua" w:cs="Times New Roman"/>
          <w:color w:val="000000" w:themeColor="text1"/>
          <w:sz w:val="24"/>
          <w:szCs w:val="24"/>
        </w:rPr>
        <w:t>Sh</w:t>
      </w:r>
      <w:r w:rsidRPr="007E4132">
        <w:rPr>
          <w:rFonts w:ascii="Book Antiqua" w:hAnsi="Book Antiqua" w:cs="Times New Roman"/>
          <w:color w:val="000000" w:themeColor="text1"/>
          <w:sz w:val="24"/>
          <w:szCs w:val="24"/>
        </w:rPr>
        <w:t xml:space="preserve">e </w:t>
      </w:r>
      <w:r w:rsidR="00E40386" w:rsidRPr="007E4132">
        <w:rPr>
          <w:rFonts w:ascii="Book Antiqua" w:hAnsi="Book Antiqua" w:cs="Times New Roman"/>
          <w:color w:val="000000" w:themeColor="text1"/>
          <w:sz w:val="24"/>
          <w:szCs w:val="24"/>
        </w:rPr>
        <w:t>denie</w:t>
      </w:r>
      <w:r w:rsidR="00E40386">
        <w:rPr>
          <w:rFonts w:ascii="Book Antiqua" w:hAnsi="Book Antiqua" w:cs="Times New Roman"/>
          <w:color w:val="000000" w:themeColor="text1"/>
          <w:sz w:val="24"/>
          <w:szCs w:val="24"/>
        </w:rPr>
        <w:t>d</w:t>
      </w:r>
      <w:r w:rsidR="00E40386" w:rsidRPr="007E4132">
        <w:rPr>
          <w:rFonts w:ascii="Book Antiqua" w:hAnsi="Book Antiqua" w:cs="Times New Roman"/>
          <w:color w:val="000000" w:themeColor="text1"/>
          <w:sz w:val="24"/>
          <w:szCs w:val="24"/>
        </w:rPr>
        <w:t xml:space="preserve"> </w:t>
      </w:r>
      <w:r w:rsidRPr="007E4132">
        <w:rPr>
          <w:rFonts w:ascii="Book Antiqua" w:hAnsi="Book Antiqua" w:cs="Times New Roman"/>
          <w:color w:val="000000" w:themeColor="text1"/>
          <w:sz w:val="24"/>
          <w:szCs w:val="24"/>
        </w:rPr>
        <w:t xml:space="preserve">any family history and </w:t>
      </w:r>
      <w:r w:rsidR="00E40386" w:rsidRPr="007E4132">
        <w:rPr>
          <w:rFonts w:ascii="Book Antiqua" w:hAnsi="Book Antiqua" w:cs="Times New Roman"/>
          <w:color w:val="000000" w:themeColor="text1"/>
          <w:sz w:val="24"/>
          <w:szCs w:val="24"/>
        </w:rPr>
        <w:t>ha</w:t>
      </w:r>
      <w:r w:rsidR="00E40386">
        <w:rPr>
          <w:rFonts w:ascii="Book Antiqua" w:hAnsi="Book Antiqua" w:cs="Times New Roman"/>
          <w:color w:val="000000" w:themeColor="text1"/>
          <w:sz w:val="24"/>
          <w:szCs w:val="24"/>
        </w:rPr>
        <w:t>d</w:t>
      </w:r>
      <w:r w:rsidR="00E40386" w:rsidRPr="007E4132">
        <w:rPr>
          <w:rFonts w:ascii="Book Antiqua" w:hAnsi="Book Antiqua" w:cs="Times New Roman"/>
          <w:color w:val="000000" w:themeColor="text1"/>
          <w:sz w:val="24"/>
          <w:szCs w:val="24"/>
        </w:rPr>
        <w:t xml:space="preserve"> </w:t>
      </w:r>
      <w:r w:rsidRPr="007E4132">
        <w:rPr>
          <w:rFonts w:ascii="Book Antiqua" w:hAnsi="Book Antiqua" w:cs="Times New Roman"/>
          <w:color w:val="000000" w:themeColor="text1"/>
          <w:sz w:val="24"/>
          <w:szCs w:val="24"/>
        </w:rPr>
        <w:t>no spec</w:t>
      </w:r>
      <w:r w:rsidRPr="007E4132">
        <w:rPr>
          <w:rFonts w:ascii="Book Antiqua" w:hAnsi="Book Antiqua" w:cs="Times New Roman"/>
          <w:color w:val="000000" w:themeColor="text1"/>
          <w:sz w:val="24"/>
          <w:szCs w:val="24"/>
        </w:rPr>
        <w:t>ific past history</w:t>
      </w:r>
      <w:r>
        <w:rPr>
          <w:rFonts w:ascii="Book Antiqua" w:hAnsi="Book Antiqua" w:cs="Times New Roman"/>
          <w:color w:val="000000" w:themeColor="text1"/>
          <w:sz w:val="24"/>
          <w:szCs w:val="24"/>
        </w:rPr>
        <w:t>.</w:t>
      </w:r>
    </w:p>
    <w:p w14:paraId="756BF7D9" w14:textId="77777777" w:rsidR="007E4132" w:rsidRPr="00E40386" w:rsidRDefault="007E4132" w:rsidP="00E206EA">
      <w:pPr>
        <w:spacing w:line="360" w:lineRule="auto"/>
        <w:rPr>
          <w:rFonts w:ascii="Book Antiqua" w:hAnsi="Book Antiqua" w:cs="Times New Roman"/>
          <w:color w:val="000000" w:themeColor="text1"/>
          <w:sz w:val="24"/>
          <w:szCs w:val="24"/>
        </w:rPr>
      </w:pPr>
    </w:p>
    <w:p w14:paraId="0CEB128C"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Physical examination upon</w:t>
      </w:r>
    </w:p>
    <w:p w14:paraId="313343E0" w14:textId="77777777" w:rsidR="00CE2497" w:rsidRPr="00E206EA" w:rsidRDefault="00CE2497" w:rsidP="00E206EA">
      <w:pPr>
        <w:autoSpaceDE w:val="0"/>
        <w:autoSpaceDN w:val="0"/>
        <w:adjustRightInd w:val="0"/>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During the physical examination, no special physical signs were found.</w:t>
      </w:r>
    </w:p>
    <w:p w14:paraId="16BFB900" w14:textId="77777777" w:rsidR="00CE2497" w:rsidRPr="00E206EA" w:rsidRDefault="00CE2497" w:rsidP="00E206EA">
      <w:pPr>
        <w:autoSpaceDE w:val="0"/>
        <w:autoSpaceDN w:val="0"/>
        <w:adjustRightInd w:val="0"/>
        <w:spacing w:line="360" w:lineRule="auto"/>
        <w:ind w:firstLineChars="150" w:firstLine="360"/>
        <w:rPr>
          <w:rFonts w:ascii="Book Antiqua" w:hAnsi="Book Antiqua" w:cs="Times New Roman"/>
          <w:color w:val="000000" w:themeColor="text1"/>
          <w:sz w:val="24"/>
          <w:szCs w:val="24"/>
        </w:rPr>
      </w:pPr>
    </w:p>
    <w:p w14:paraId="5428F98F"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Laboratory examinations</w:t>
      </w:r>
    </w:p>
    <w:p w14:paraId="42FAC482" w14:textId="51FE2A17" w:rsidR="00CE2497" w:rsidRPr="00E206EA" w:rsidRDefault="00E40386" w:rsidP="00E206EA">
      <w:pPr>
        <w:autoSpaceDE w:val="0"/>
        <w:autoSpaceDN w:val="0"/>
        <w:adjustRightIn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See </w:t>
      </w:r>
      <w:r w:rsidR="00CE2497" w:rsidRPr="00E206EA">
        <w:rPr>
          <w:rFonts w:ascii="Book Antiqua" w:hAnsi="Book Antiqua" w:cs="Times New Roman"/>
          <w:color w:val="000000" w:themeColor="text1"/>
          <w:sz w:val="24"/>
          <w:szCs w:val="24"/>
        </w:rPr>
        <w:t>Table 1</w:t>
      </w:r>
      <w:r>
        <w:rPr>
          <w:rFonts w:ascii="Book Antiqua" w:hAnsi="Book Antiqua" w:cs="Times New Roman"/>
          <w:color w:val="000000" w:themeColor="text1"/>
          <w:sz w:val="24"/>
          <w:szCs w:val="24"/>
        </w:rPr>
        <w:t xml:space="preserve"> for details</w:t>
      </w:r>
      <w:r w:rsidR="0008704D">
        <w:rPr>
          <w:rFonts w:ascii="Book Antiqua" w:hAnsi="Book Antiqua" w:cs="Times New Roman"/>
          <w:color w:val="000000" w:themeColor="text1"/>
          <w:sz w:val="24"/>
          <w:szCs w:val="24"/>
        </w:rPr>
        <w:t>.</w:t>
      </w:r>
    </w:p>
    <w:p w14:paraId="295175BC" w14:textId="77777777" w:rsidR="00CE2497" w:rsidRPr="00E206EA" w:rsidRDefault="00CE2497" w:rsidP="00E206EA">
      <w:pPr>
        <w:autoSpaceDE w:val="0"/>
        <w:autoSpaceDN w:val="0"/>
        <w:adjustRightInd w:val="0"/>
        <w:spacing w:line="360" w:lineRule="auto"/>
        <w:ind w:firstLineChars="150" w:firstLine="360"/>
        <w:rPr>
          <w:rFonts w:ascii="Book Antiqua" w:hAnsi="Book Antiqua" w:cs="Times New Roman"/>
          <w:color w:val="000000" w:themeColor="text1"/>
          <w:sz w:val="24"/>
          <w:szCs w:val="24"/>
        </w:rPr>
      </w:pPr>
    </w:p>
    <w:p w14:paraId="351E8437" w14:textId="77777777" w:rsidR="00CE2497" w:rsidRPr="00E206EA" w:rsidRDefault="00CE2497" w:rsidP="00E206EA">
      <w:pPr>
        <w:spacing w:line="360" w:lineRule="auto"/>
        <w:rPr>
          <w:rFonts w:ascii="Book Antiqua" w:hAnsi="Book Antiqua" w:cs="Times New Roman"/>
          <w:b/>
          <w:i/>
          <w:iCs/>
          <w:color w:val="000000" w:themeColor="text1"/>
          <w:sz w:val="24"/>
          <w:szCs w:val="24"/>
        </w:rPr>
      </w:pPr>
      <w:r w:rsidRPr="00E206EA">
        <w:rPr>
          <w:rFonts w:ascii="Book Antiqua" w:hAnsi="Book Antiqua" w:cs="Times New Roman"/>
          <w:b/>
          <w:i/>
          <w:iCs/>
          <w:color w:val="000000" w:themeColor="text1"/>
          <w:sz w:val="24"/>
          <w:szCs w:val="24"/>
        </w:rPr>
        <w:t>Imaging examinations</w:t>
      </w:r>
    </w:p>
    <w:p w14:paraId="6EC3006E" w14:textId="37AD9C44"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color w:val="000000" w:themeColor="text1"/>
          <w:sz w:val="24"/>
          <w:szCs w:val="24"/>
        </w:rPr>
        <w:t>At a local hospital, computed tomography showed a very large mass in the stomach.</w:t>
      </w:r>
      <w:r w:rsidRPr="00E206EA">
        <w:rPr>
          <w:rFonts w:ascii="Book Antiqua" w:hAnsi="Book Antiqua"/>
          <w:sz w:val="24"/>
          <w:szCs w:val="24"/>
        </w:rPr>
        <w:t xml:space="preserve"> </w:t>
      </w:r>
      <w:r w:rsidR="00C3113D">
        <w:rPr>
          <w:rFonts w:ascii="Book Antiqua" w:hAnsi="Book Antiqua" w:cs="Times New Roman"/>
          <w:sz w:val="24"/>
          <w:szCs w:val="24"/>
        </w:rPr>
        <w:t>M</w:t>
      </w:r>
      <w:r w:rsidRPr="00E206EA">
        <w:rPr>
          <w:rFonts w:ascii="Book Antiqua" w:hAnsi="Book Antiqua" w:cs="Times New Roman"/>
          <w:color w:val="000000" w:themeColor="text1"/>
          <w:sz w:val="24"/>
          <w:szCs w:val="24"/>
        </w:rPr>
        <w:t xml:space="preserve">agnetic resonance imaging and computed tomography </w:t>
      </w:r>
      <w:r w:rsidR="00C3113D">
        <w:rPr>
          <w:rFonts w:ascii="Book Antiqua" w:hAnsi="Book Antiqua" w:cs="Times New Roman"/>
          <w:color w:val="000000" w:themeColor="text1"/>
          <w:sz w:val="24"/>
          <w:szCs w:val="24"/>
        </w:rPr>
        <w:t xml:space="preserve">performed at our hospital </w:t>
      </w:r>
      <w:r w:rsidRPr="00E206EA">
        <w:rPr>
          <w:rFonts w:ascii="Book Antiqua" w:hAnsi="Book Antiqua" w:cs="Times New Roman"/>
          <w:color w:val="000000" w:themeColor="text1"/>
          <w:sz w:val="24"/>
          <w:szCs w:val="24"/>
        </w:rPr>
        <w:t>confirmed a</w:t>
      </w:r>
      <w:r w:rsidRPr="00E206EA">
        <w:rPr>
          <w:rFonts w:ascii="Book Antiqua" w:hAnsi="Book Antiqua" w:cs="Times New Roman"/>
          <w:color w:val="000000" w:themeColor="text1"/>
          <w:sz w:val="24"/>
          <w:szCs w:val="24"/>
        </w:rPr>
        <w:t xml:space="preserve"> very large tumor in the stomach, and no visible signs of metastatic disease were found (Figure 1).</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No signs of pulmonary metastasis were found on chest radiographs.</w:t>
      </w:r>
    </w:p>
    <w:p w14:paraId="49F45C9E"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3E91FF87"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FINAL DIAGNOSIS</w:t>
      </w:r>
    </w:p>
    <w:p w14:paraId="0204A7A0" w14:textId="391C168F"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The histopathological diagnosis was gastric leiomyosarcoma,</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high-grade (differentiation 2, necrosis 1, m</w:t>
      </w:r>
      <w:r w:rsidRPr="00E206EA">
        <w:rPr>
          <w:rFonts w:ascii="Book Antiqua" w:hAnsi="Book Antiqua" w:cs="Times New Roman"/>
          <w:color w:val="000000" w:themeColor="text1"/>
          <w:sz w:val="24"/>
          <w:szCs w:val="24"/>
        </w:rPr>
        <w:t>itosis 3</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FNCLCC grading system), measuring 13 cm × 13 cm × 5 cm (Figure 2). The tumor had invaded the mucosa to the serosa. The lymph nodes exhibited no metastasis. Immunohistochemical staining showed SMA</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(3+), desmin</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(2+), CD117</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 DOG1</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 CD34</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 S-100</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 xml:space="preserve">(-), and </w:t>
      </w:r>
      <w:r w:rsidR="00C3113D">
        <w:rPr>
          <w:rFonts w:ascii="Book Antiqua" w:hAnsi="Book Antiqua" w:cs="Times New Roman"/>
          <w:color w:val="000000" w:themeColor="text1"/>
          <w:sz w:val="24"/>
          <w:szCs w:val="24"/>
        </w:rPr>
        <w:t xml:space="preserve">a </w:t>
      </w:r>
      <w:r w:rsidRPr="00E206EA">
        <w:rPr>
          <w:rFonts w:ascii="Book Antiqua" w:hAnsi="Book Antiqua" w:cs="Times New Roman"/>
          <w:color w:val="000000" w:themeColor="text1"/>
          <w:sz w:val="24"/>
          <w:szCs w:val="24"/>
        </w:rPr>
        <w:t xml:space="preserve">Ki-67 index </w:t>
      </w:r>
      <w:r w:rsidR="00C3113D">
        <w:rPr>
          <w:rFonts w:ascii="Book Antiqua" w:hAnsi="Book Antiqua" w:cs="Times New Roman"/>
          <w:color w:val="000000" w:themeColor="text1"/>
          <w:sz w:val="24"/>
          <w:szCs w:val="24"/>
        </w:rPr>
        <w:t xml:space="preserve">of </w:t>
      </w:r>
      <w:r w:rsidRPr="00E206EA">
        <w:rPr>
          <w:rFonts w:ascii="Book Antiqua" w:hAnsi="Book Antiqua" w:cs="Times New Roman"/>
          <w:color w:val="000000" w:themeColor="text1"/>
          <w:sz w:val="24"/>
          <w:szCs w:val="24"/>
        </w:rPr>
        <w:t>50% (Figure 3). For a definitive</w:t>
      </w:r>
      <w:r w:rsidRPr="00E206EA">
        <w:rPr>
          <w:rFonts w:ascii="Book Antiqua" w:hAnsi="Book Antiqua" w:cs="Times New Roman"/>
          <w:color w:val="000000" w:themeColor="text1"/>
          <w:sz w:val="24"/>
          <w:szCs w:val="24"/>
        </w:rPr>
        <w:t xml:space="preserve"> diagnosis, we performed targeted next-generation sequencing. The genes in the panel were </w:t>
      </w:r>
      <w:r w:rsidRPr="00E206E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PDGFRA</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SDHA</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SDHB</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SDHC</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SDHD</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BRAF</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KRAS</w:t>
      </w:r>
      <w:r w:rsidRPr="00E206EA">
        <w:rPr>
          <w:rFonts w:ascii="Book Antiqua" w:hAnsi="Book Antiqua" w:cs="Times New Roman"/>
          <w:color w:val="000000" w:themeColor="text1"/>
          <w:sz w:val="24"/>
          <w:szCs w:val="24"/>
        </w:rPr>
        <w:t xml:space="preserve">, </w:t>
      </w:r>
      <w:r w:rsidR="00C3113D" w:rsidRPr="00E206EA">
        <w:rPr>
          <w:rFonts w:ascii="Book Antiqua" w:hAnsi="Book Antiqua" w:cs="Times New Roman"/>
          <w:i/>
          <w:iCs/>
          <w:color w:val="000000" w:themeColor="text1"/>
          <w:sz w:val="24"/>
          <w:szCs w:val="24"/>
        </w:rPr>
        <w:t>NRAS</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an</w:t>
      </w:r>
      <w:r w:rsidRPr="00E206EA">
        <w:rPr>
          <w:rFonts w:ascii="Book Antiqua" w:hAnsi="Book Antiqua" w:cs="Times New Roman"/>
          <w:color w:val="000000" w:themeColor="text1"/>
          <w:sz w:val="24"/>
          <w:szCs w:val="24"/>
        </w:rPr>
        <w:t xml:space="preserve">d </w:t>
      </w:r>
      <w:r w:rsidRPr="00E206EA">
        <w:rPr>
          <w:rFonts w:ascii="Book Antiqua" w:hAnsi="Book Antiqua" w:cs="Times New Roman"/>
          <w:i/>
          <w:iCs/>
          <w:color w:val="000000" w:themeColor="text1"/>
          <w:sz w:val="24"/>
          <w:szCs w:val="24"/>
        </w:rPr>
        <w:t>EGFR</w:t>
      </w:r>
      <w:r w:rsidRPr="00E206EA">
        <w:rPr>
          <w:rFonts w:ascii="Book Antiqua" w:hAnsi="Book Antiqua" w:cs="Times New Roman"/>
          <w:color w:val="000000" w:themeColor="text1"/>
          <w:sz w:val="24"/>
          <w:szCs w:val="24"/>
        </w:rPr>
        <w:t>, and no mutations were detected</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in any of the genes.</w:t>
      </w:r>
    </w:p>
    <w:p w14:paraId="079F66D7" w14:textId="77777777" w:rsidR="00CE2497" w:rsidRPr="00C3113D" w:rsidRDefault="00CE2497" w:rsidP="00E206EA">
      <w:pPr>
        <w:spacing w:line="360" w:lineRule="auto"/>
        <w:ind w:firstLineChars="150" w:firstLine="360"/>
        <w:rPr>
          <w:rFonts w:ascii="Book Antiqua" w:hAnsi="Book Antiqua" w:cs="Times New Roman"/>
          <w:color w:val="000000" w:themeColor="text1"/>
          <w:sz w:val="24"/>
          <w:szCs w:val="24"/>
        </w:rPr>
      </w:pPr>
    </w:p>
    <w:p w14:paraId="0939050D"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TREATMENT</w:t>
      </w:r>
    </w:p>
    <w:p w14:paraId="6B837E01" w14:textId="77C7B605"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On October 30, 2013, the patient underwent resection of the stomach tumor and did not undergo any adjuvant treatment. The margins were negative and</w:t>
      </w:r>
      <w:r w:rsidR="007E4132" w:rsidRPr="007E4132">
        <w:t xml:space="preserve"> </w:t>
      </w:r>
      <w:r w:rsidR="007E4132">
        <w:rPr>
          <w:rFonts w:ascii="Book Antiqua" w:hAnsi="Book Antiqua" w:cs="Times New Roman"/>
          <w:color w:val="000000" w:themeColor="text1"/>
          <w:sz w:val="24"/>
          <w:szCs w:val="24"/>
        </w:rPr>
        <w:t>t</w:t>
      </w:r>
      <w:r w:rsidR="007E4132" w:rsidRPr="007E4132">
        <w:rPr>
          <w:rFonts w:ascii="Book Antiqua" w:hAnsi="Book Antiqua" w:cs="Times New Roman"/>
          <w:color w:val="000000" w:themeColor="text1"/>
          <w:sz w:val="24"/>
          <w:szCs w:val="24"/>
        </w:rPr>
        <w:t>he patient was discharged successfully after 12 d</w:t>
      </w:r>
      <w:r w:rsidRPr="00E206EA">
        <w:rPr>
          <w:rFonts w:ascii="Book Antiqua" w:hAnsi="Book Antiqua" w:cs="Times New Roman"/>
          <w:color w:val="000000" w:themeColor="text1"/>
          <w:sz w:val="24"/>
          <w:szCs w:val="24"/>
        </w:rPr>
        <w:t>.</w:t>
      </w:r>
      <w:r w:rsidRPr="00E206EA">
        <w:rPr>
          <w:rFonts w:ascii="Book Antiqua" w:hAnsi="Book Antiqua"/>
          <w:sz w:val="24"/>
          <w:szCs w:val="24"/>
        </w:rPr>
        <w:t xml:space="preserve"> </w:t>
      </w:r>
      <w:r w:rsidR="007E4132">
        <w:rPr>
          <w:rFonts w:ascii="Book Antiqua" w:hAnsi="Book Antiqua" w:cs="Times New Roman"/>
          <w:color w:val="000000" w:themeColor="text1"/>
          <w:sz w:val="24"/>
          <w:szCs w:val="24"/>
        </w:rPr>
        <w:t>After discharge, she</w:t>
      </w:r>
      <w:r w:rsidRPr="00E206EA">
        <w:rPr>
          <w:rFonts w:ascii="Book Antiqua" w:hAnsi="Book Antiqua" w:cs="Times New Roman"/>
          <w:color w:val="000000" w:themeColor="text1"/>
          <w:sz w:val="24"/>
          <w:szCs w:val="24"/>
        </w:rPr>
        <w:t xml:space="preserve"> received Chinese medicine treatment, but the effect was not good.</w:t>
      </w:r>
    </w:p>
    <w:p w14:paraId="2E85E973" w14:textId="77777777" w:rsidR="00CE2497" w:rsidRPr="00E206EA" w:rsidRDefault="00CE2497" w:rsidP="00E206EA">
      <w:pPr>
        <w:spacing w:line="360" w:lineRule="auto"/>
        <w:ind w:firstLineChars="150" w:firstLine="361"/>
        <w:rPr>
          <w:rFonts w:ascii="Book Antiqua" w:hAnsi="Book Antiqua" w:cs="Times New Roman"/>
          <w:b/>
          <w:color w:val="000000" w:themeColor="text1"/>
          <w:sz w:val="24"/>
          <w:szCs w:val="24"/>
        </w:rPr>
      </w:pPr>
    </w:p>
    <w:p w14:paraId="6259A1BD"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OUTCOME AND FOLLOW-UP</w:t>
      </w:r>
    </w:p>
    <w:p w14:paraId="239EBC02" w14:textId="6FB284A8"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One year after surgery, the patient died at home, and t</w:t>
      </w:r>
      <w:r w:rsidRPr="00E206EA">
        <w:rPr>
          <w:rFonts w:ascii="Book Antiqua" w:hAnsi="Book Antiqua" w:cs="Times New Roman"/>
          <w:color w:val="000000" w:themeColor="text1"/>
          <w:sz w:val="24"/>
          <w:szCs w:val="24"/>
        </w:rPr>
        <w:t>he cause</w:t>
      </w:r>
      <w:r w:rsidR="00C3113D">
        <w:rPr>
          <w:rFonts w:ascii="Book Antiqua" w:hAnsi="Book Antiqua" w:cs="Times New Roman"/>
          <w:color w:val="000000" w:themeColor="text1"/>
          <w:sz w:val="24"/>
          <w:szCs w:val="24"/>
        </w:rPr>
        <w:t>s</w:t>
      </w:r>
      <w:r w:rsidRPr="00E206EA">
        <w:rPr>
          <w:rFonts w:ascii="Book Antiqua" w:hAnsi="Book Antiqua" w:cs="Times New Roman"/>
          <w:color w:val="000000" w:themeColor="text1"/>
          <w:sz w:val="24"/>
          <w:szCs w:val="24"/>
        </w:rPr>
        <w:t xml:space="preserve"> of dea</w:t>
      </w:r>
      <w:r w:rsidRPr="00E206EA">
        <w:rPr>
          <w:rFonts w:ascii="Book Antiqua" w:hAnsi="Book Antiqua" w:cs="Times New Roman"/>
          <w:color w:val="000000" w:themeColor="text1"/>
          <w:sz w:val="24"/>
          <w:szCs w:val="24"/>
        </w:rPr>
        <w:t xml:space="preserve">th were </w:t>
      </w:r>
      <w:r w:rsidRPr="00E206EA">
        <w:rPr>
          <w:rFonts w:ascii="Book Antiqua" w:hAnsi="Book Antiqua" w:cs="Times New Roman"/>
          <w:color w:val="000000" w:themeColor="text1"/>
          <w:sz w:val="24"/>
          <w:szCs w:val="24"/>
        </w:rPr>
        <w:lastRenderedPageBreak/>
        <w:t>gastrointestinal obstruction and malnutrition. During that time, she was treated with Chinese medicine</w:t>
      </w:r>
      <w:r w:rsidRPr="00E206EA">
        <w:rPr>
          <w:rFonts w:ascii="Book Antiqua" w:hAnsi="Book Antiqua"/>
          <w:sz w:val="24"/>
          <w:szCs w:val="24"/>
        </w:rPr>
        <w:t xml:space="preserve"> </w:t>
      </w:r>
      <w:r w:rsidRPr="00E206EA">
        <w:rPr>
          <w:rFonts w:ascii="Book Antiqua" w:hAnsi="Book Antiqua" w:cs="Times New Roman"/>
          <w:color w:val="000000" w:themeColor="text1"/>
          <w:sz w:val="24"/>
          <w:szCs w:val="24"/>
        </w:rPr>
        <w:t>but the effect was not ideal. Because of gastrointestinal obstruction, the patient did not receive any re-examination.</w:t>
      </w:r>
    </w:p>
    <w:p w14:paraId="1B9F653B" w14:textId="77777777" w:rsidR="00CE2497" w:rsidRPr="00E206EA" w:rsidRDefault="00CE2497" w:rsidP="00E206EA">
      <w:pPr>
        <w:spacing w:line="360" w:lineRule="auto"/>
        <w:rPr>
          <w:rFonts w:ascii="Book Antiqua" w:hAnsi="Book Antiqua" w:cs="Times New Roman"/>
          <w:b/>
          <w:color w:val="000000" w:themeColor="text1"/>
          <w:sz w:val="24"/>
          <w:szCs w:val="24"/>
        </w:rPr>
      </w:pPr>
    </w:p>
    <w:p w14:paraId="4CFB4D5E"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DISCUSSION</w:t>
      </w:r>
    </w:p>
    <w:p w14:paraId="5FD3ED2F" w14:textId="1FE54FED"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Before the adve</w:t>
      </w:r>
      <w:r w:rsidRPr="00E206EA">
        <w:rPr>
          <w:rFonts w:ascii="Book Antiqua" w:hAnsi="Book Antiqua" w:cs="Times New Roman"/>
          <w:color w:val="000000" w:themeColor="text1"/>
          <w:sz w:val="24"/>
          <w:szCs w:val="24"/>
        </w:rPr>
        <w:t>nt of immunohistochemi</w:t>
      </w:r>
      <w:r w:rsidR="00C3113D">
        <w:rPr>
          <w:rFonts w:ascii="Book Antiqua" w:hAnsi="Book Antiqua" w:cs="Times New Roman"/>
          <w:color w:val="000000" w:themeColor="text1"/>
          <w:sz w:val="24"/>
          <w:szCs w:val="24"/>
        </w:rPr>
        <w:t>cal technique for the detection of KIT</w:t>
      </w:r>
      <w:r w:rsidRPr="00E206EA">
        <w:rPr>
          <w:rFonts w:ascii="Book Antiqua" w:hAnsi="Book Antiqua" w:cs="Times New Roman"/>
          <w:color w:val="000000" w:themeColor="text1"/>
          <w:sz w:val="24"/>
          <w:szCs w:val="24"/>
        </w:rPr>
        <w:t>, GISTs were</w:t>
      </w:r>
      <w:r w:rsidR="00C3113D">
        <w:rPr>
          <w:rFonts w:ascii="Book Antiqua" w:hAnsi="Book Antiqua" w:cs="Times New Roman"/>
          <w:color w:val="000000" w:themeColor="text1"/>
          <w:sz w:val="24"/>
          <w:szCs w:val="24"/>
        </w:rPr>
        <w:t xml:space="preserve"> often</w:t>
      </w:r>
      <w:r w:rsidRPr="00E206EA">
        <w:rPr>
          <w:rFonts w:ascii="Book Antiqua" w:hAnsi="Book Antiqua" w:cs="Times New Roman"/>
          <w:color w:val="000000" w:themeColor="text1"/>
          <w:sz w:val="24"/>
          <w:szCs w:val="24"/>
        </w:rPr>
        <w:t xml:space="preserve"> misdiagnosed as leiomyomas and leiomyosarcomas. Since the establishment of </w:t>
      </w:r>
      <w:r w:rsidR="00C3113D" w:rsidRPr="00274A16">
        <w:rPr>
          <w:rFonts w:ascii="Book Antiqua" w:hAnsi="Book Antiqua" w:cs="Times New Roman"/>
          <w:iCs/>
          <w:color w:val="000000" w:themeColor="text1"/>
          <w:sz w:val="24"/>
          <w:szCs w:val="24"/>
        </w:rPr>
        <w:t>that</w:t>
      </w:r>
      <w:r w:rsidR="00C3113D">
        <w:rPr>
          <w:rFonts w:ascii="Book Antiqua" w:hAnsi="Book Antiqua" w:cs="Times New Roman"/>
          <w:i/>
          <w:iCs/>
          <w:color w:val="000000" w:themeColor="text1"/>
          <w:sz w:val="24"/>
          <w:szCs w:val="24"/>
        </w:rPr>
        <w:t xml:space="preserve"> </w:t>
      </w:r>
      <w:r w:rsidR="00C3113D">
        <w:rPr>
          <w:rFonts w:ascii="Book Antiqua" w:hAnsi="Book Antiqua" w:cs="Times New Roman"/>
          <w:color w:val="000000" w:themeColor="text1"/>
          <w:sz w:val="24"/>
          <w:szCs w:val="24"/>
        </w:rPr>
        <w:t>technique</w:t>
      </w:r>
      <w:r w:rsidRPr="00E206EA">
        <w:rPr>
          <w:rFonts w:ascii="Book Antiqua" w:hAnsi="Book Antiqua" w:cs="Times New Roman"/>
          <w:color w:val="000000" w:themeColor="text1"/>
          <w:sz w:val="24"/>
          <w:szCs w:val="24"/>
        </w:rPr>
        <w:t xml:space="preserve"> in the l</w:t>
      </w:r>
      <w:r w:rsidRPr="00E206EA">
        <w:rPr>
          <w:rFonts w:ascii="Book Antiqua" w:hAnsi="Book Antiqua" w:cs="Times New Roman"/>
          <w:color w:val="000000" w:themeColor="text1"/>
          <w:sz w:val="24"/>
          <w:szCs w:val="24"/>
        </w:rPr>
        <w:t>ate</w:t>
      </w:r>
      <w:r w:rsidRPr="00E206EA">
        <w:rPr>
          <w:rFonts w:ascii="Book Antiqua" w:hAnsi="Book Antiqua" w:cs="Times New Roman"/>
          <w:color w:val="000000" w:themeColor="text1"/>
          <w:sz w:val="24"/>
          <w:szCs w:val="24"/>
        </w:rPr>
        <w:t xml:space="preserve"> </w:t>
      </w:r>
      <w:r w:rsidRPr="00E206EA">
        <w:rPr>
          <w:rFonts w:ascii="Book Antiqua" w:eastAsia="宋体" w:hAnsi="Book Antiqua" w:cs="Times New Roman"/>
          <w:color w:val="000000"/>
          <w:sz w:val="24"/>
          <w:szCs w:val="24"/>
        </w:rPr>
        <w:t>1990s</w:t>
      </w:r>
      <w:r w:rsidRPr="00E206EA">
        <w:rPr>
          <w:rFonts w:ascii="Book Antiqua" w:hAnsi="Book Antiqua" w:cs="Times New Roman"/>
          <w:color w:val="000000" w:themeColor="text1"/>
          <w:sz w:val="24"/>
          <w:szCs w:val="24"/>
        </w:rPr>
        <w:t xml:space="preserve">, </w:t>
      </w:r>
      <w:r w:rsidR="00C3113D">
        <w:rPr>
          <w:rFonts w:ascii="Book Antiqua" w:hAnsi="Book Antiqua" w:cs="Times New Roman"/>
          <w:color w:val="000000" w:themeColor="text1"/>
          <w:sz w:val="24"/>
          <w:szCs w:val="24"/>
        </w:rPr>
        <w:t>it</w:t>
      </w:r>
      <w:r w:rsidR="00C3113D" w:rsidRPr="00E206EA">
        <w:rPr>
          <w:rFonts w:ascii="Book Antiqua" w:hAnsi="Book Antiqua" w:cs="Times New Roman"/>
          <w:color w:val="000000" w:themeColor="text1"/>
          <w:sz w:val="24"/>
          <w:szCs w:val="24"/>
        </w:rPr>
        <w:t xml:space="preserve"> ha</w:t>
      </w:r>
      <w:r w:rsidR="00C3113D">
        <w:rPr>
          <w:rFonts w:ascii="Book Antiqua" w:hAnsi="Book Antiqua" w:cs="Times New Roman"/>
          <w:color w:val="000000" w:themeColor="text1"/>
          <w:sz w:val="24"/>
          <w:szCs w:val="24"/>
        </w:rPr>
        <w:t>s been</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realized that primary gastric leiomyosarcoma is extremely rare and reportedly accounts for fewer than 1% of gastric tumors</w:t>
      </w:r>
      <w:r w:rsidRPr="00E206EA">
        <w:rPr>
          <w:rFonts w:ascii="Book Antiqua" w:hAnsi="Book Antiqua" w:cs="Times New Roman"/>
          <w:color w:val="000000" w:themeColor="text1"/>
          <w:sz w:val="24"/>
          <w:szCs w:val="24"/>
          <w:vertAlign w:val="superscript"/>
        </w:rPr>
        <w:t>[1,2]</w:t>
      </w:r>
      <w:r w:rsidRPr="00E206EA">
        <w:rPr>
          <w:rFonts w:ascii="Book Antiqua" w:hAnsi="Book Antiqua" w:cs="Times New Roman"/>
          <w:color w:val="000000" w:themeColor="text1"/>
          <w:sz w:val="24"/>
          <w:szCs w:val="24"/>
        </w:rPr>
        <w:t xml:space="preserve">. Only 13 well-described cases have been reported in </w:t>
      </w:r>
      <w:r w:rsidR="00C3113D">
        <w:rPr>
          <w:rFonts w:ascii="Book Antiqua" w:hAnsi="Book Antiqua" w:cs="Times New Roman"/>
          <w:color w:val="000000" w:themeColor="text1"/>
          <w:sz w:val="24"/>
          <w:szCs w:val="24"/>
        </w:rPr>
        <w:t xml:space="preserve">the </w:t>
      </w:r>
      <w:r w:rsidRPr="00E206EA">
        <w:rPr>
          <w:rFonts w:ascii="Book Antiqua" w:hAnsi="Book Antiqua" w:cs="Times New Roman"/>
          <w:color w:val="000000" w:themeColor="text1"/>
          <w:sz w:val="24"/>
          <w:szCs w:val="24"/>
        </w:rPr>
        <w:t>English language literature since 2007</w:t>
      </w:r>
      <w:r w:rsidRPr="00E206EA">
        <w:rPr>
          <w:rFonts w:ascii="Book Antiqua" w:hAnsi="Book Antiqua" w:cs="Times New Roman"/>
          <w:color w:val="000000" w:themeColor="text1"/>
          <w:sz w:val="24"/>
          <w:szCs w:val="24"/>
          <w:vertAlign w:val="superscript"/>
        </w:rPr>
        <w:t xml:space="preserve">[1-13] </w:t>
      </w:r>
      <w:r w:rsidRPr="00E206EA">
        <w:rPr>
          <w:rFonts w:ascii="Book Antiqua" w:hAnsi="Book Antiqua" w:cs="Times New Roman"/>
          <w:color w:val="000000" w:themeColor="text1"/>
          <w:sz w:val="24"/>
          <w:szCs w:val="24"/>
        </w:rPr>
        <w:t xml:space="preserve">(Table 2). Before our report, the largest case series of a single cohort of </w:t>
      </w:r>
      <w:r w:rsidR="00C3113D">
        <w:rPr>
          <w:rFonts w:ascii="Book Antiqua" w:hAnsi="Book Antiqua" w:cs="Times New Roman"/>
          <w:color w:val="000000" w:themeColor="text1"/>
          <w:sz w:val="24"/>
          <w:szCs w:val="24"/>
        </w:rPr>
        <w:t>nine</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patients</w:t>
      </w:r>
      <w:r w:rsidRPr="00E206EA">
        <w:rPr>
          <w:rFonts w:ascii="Book Antiqua" w:hAnsi="Book Antiqua" w:cs="Times New Roman"/>
          <w:color w:val="000000" w:themeColor="text1"/>
          <w:sz w:val="24"/>
          <w:szCs w:val="24"/>
        </w:rPr>
        <w:t xml:space="preserve"> with gastric leiomyosarcoma</w:t>
      </w:r>
      <w:r w:rsidRPr="00E206EA">
        <w:rPr>
          <w:rFonts w:ascii="Book Antiqua" w:hAnsi="Book Antiqua" w:cs="Times New Roman"/>
          <w:color w:val="000000" w:themeColor="text1"/>
          <w:sz w:val="24"/>
          <w:szCs w:val="24"/>
          <w:vertAlign w:val="superscript"/>
        </w:rPr>
        <w:t xml:space="preserve">[4] </w:t>
      </w:r>
      <w:r w:rsidRPr="00E206EA">
        <w:rPr>
          <w:rFonts w:ascii="Book Antiqua" w:hAnsi="Book Antiqua" w:cs="Times New Roman"/>
          <w:color w:val="000000" w:themeColor="text1"/>
          <w:sz w:val="24"/>
          <w:szCs w:val="24"/>
        </w:rPr>
        <w:t xml:space="preserve">was reported by Rou </w:t>
      </w:r>
      <w:r w:rsidRPr="00E206EA">
        <w:rPr>
          <w:rFonts w:ascii="Book Antiqua" w:hAnsi="Book Antiqua" w:cs="Times New Roman"/>
          <w:i/>
          <w:iCs/>
          <w:color w:val="000000" w:themeColor="text1"/>
          <w:sz w:val="24"/>
          <w:szCs w:val="24"/>
        </w:rPr>
        <w:t>et al</w:t>
      </w:r>
      <w:r w:rsidRPr="00E206EA">
        <w:rPr>
          <w:rFonts w:ascii="Book Antiqua" w:hAnsi="Book Antiqua" w:cs="Times New Roman"/>
          <w:color w:val="000000" w:themeColor="text1"/>
          <w:sz w:val="24"/>
          <w:szCs w:val="24"/>
          <w:vertAlign w:val="superscript"/>
        </w:rPr>
        <w:t>[4]</w:t>
      </w:r>
      <w:r w:rsidRPr="00E206EA">
        <w:rPr>
          <w:rFonts w:ascii="Book Antiqua" w:hAnsi="Book Antiqua" w:cs="Times New Roman"/>
          <w:color w:val="000000" w:themeColor="text1"/>
          <w:sz w:val="24"/>
          <w:szCs w:val="24"/>
        </w:rPr>
        <w:t>.</w:t>
      </w:r>
    </w:p>
    <w:p w14:paraId="603EFC57" w14:textId="3B37EF12"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The most common location for leiomyosarcoma is the retroperitoneum. In addition, large blood vessels, especially the inferior vena cava, comprise a significant proportion of the sites involved in leiomyosarcoma. In addition to these locations, leiomyosarcoma usually </w:t>
      </w:r>
      <w:r w:rsidRPr="00E206EA">
        <w:rPr>
          <w:rFonts w:ascii="Book Antiqua" w:eastAsia="宋体" w:hAnsi="Book Antiqua" w:cs="Times New Roman"/>
          <w:color w:val="000000"/>
          <w:sz w:val="24"/>
          <w:szCs w:val="24"/>
        </w:rPr>
        <w:t>appears</w:t>
      </w:r>
      <w:r w:rsidRPr="00E206EA">
        <w:rPr>
          <w:rFonts w:ascii="Book Antiqua" w:hAnsi="Book Antiqua" w:cs="Times New Roman"/>
          <w:color w:val="000000" w:themeColor="text1"/>
          <w:sz w:val="24"/>
          <w:szCs w:val="24"/>
        </w:rPr>
        <w:t xml:space="preserve"> in the lower extremity, constituting a third group that accounts for 10</w:t>
      </w:r>
      <w:r w:rsidR="002C4ACD" w:rsidRPr="00E206EA">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15% </w:t>
      </w:r>
      <w:r w:rsidRPr="00E206EA">
        <w:rPr>
          <w:rFonts w:ascii="Book Antiqua" w:eastAsia="宋体" w:hAnsi="Book Antiqua" w:cs="Times New Roman"/>
          <w:color w:val="000000"/>
          <w:sz w:val="24"/>
          <w:szCs w:val="24"/>
        </w:rPr>
        <w:t xml:space="preserve">of </w:t>
      </w:r>
      <w:r w:rsidRPr="00E206EA">
        <w:rPr>
          <w:rFonts w:ascii="Book Antiqua" w:hAnsi="Book Antiqua" w:cs="Times New Roman"/>
          <w:color w:val="000000" w:themeColor="text1"/>
          <w:sz w:val="24"/>
          <w:szCs w:val="24"/>
        </w:rPr>
        <w:t>limb sarcomas</w:t>
      </w:r>
      <w:r w:rsidRPr="00E206EA">
        <w:rPr>
          <w:rFonts w:ascii="Book Antiqua" w:hAnsi="Book Antiqua" w:cs="Times New Roman"/>
          <w:color w:val="000000" w:themeColor="text1"/>
          <w:sz w:val="24"/>
          <w:szCs w:val="24"/>
          <w:vertAlign w:val="superscript"/>
        </w:rPr>
        <w:t>[14]</w:t>
      </w:r>
      <w:r w:rsidRPr="00E206EA">
        <w:rPr>
          <w:rFonts w:ascii="Book Antiqua" w:hAnsi="Book Antiqua" w:cs="Times New Roman"/>
          <w:color w:val="000000" w:themeColor="text1"/>
          <w:sz w:val="24"/>
          <w:szCs w:val="24"/>
        </w:rPr>
        <w:t xml:space="preserve">. Leiomyosarcoma rarely occurs in organs besides </w:t>
      </w:r>
      <w:r w:rsidRPr="00E206EA">
        <w:rPr>
          <w:rFonts w:ascii="Book Antiqua" w:eastAsia="宋体" w:hAnsi="Book Antiqua" w:cs="Times New Roman"/>
          <w:color w:val="000000"/>
          <w:sz w:val="24"/>
          <w:szCs w:val="24"/>
        </w:rPr>
        <w:t xml:space="preserve">the </w:t>
      </w:r>
      <w:r w:rsidRPr="00E206EA">
        <w:rPr>
          <w:rFonts w:ascii="Book Antiqua" w:hAnsi="Book Antiqua" w:cs="Times New Roman"/>
          <w:color w:val="000000" w:themeColor="text1"/>
          <w:sz w:val="24"/>
          <w:szCs w:val="24"/>
        </w:rPr>
        <w:t>uterus and is rarely located in the stomach</w:t>
      </w:r>
      <w:r w:rsidRPr="00E206EA">
        <w:rPr>
          <w:rFonts w:ascii="Book Antiqua" w:hAnsi="Book Antiqua" w:cs="Times New Roman"/>
          <w:color w:val="000000" w:themeColor="text1"/>
          <w:sz w:val="24"/>
          <w:szCs w:val="24"/>
          <w:vertAlign w:val="superscript"/>
        </w:rPr>
        <w:t>[1]</w:t>
      </w:r>
      <w:r w:rsidRPr="00E206EA">
        <w:rPr>
          <w:rFonts w:ascii="Book Antiqua" w:hAnsi="Book Antiqua" w:cs="Times New Roman"/>
          <w:color w:val="000000" w:themeColor="text1"/>
          <w:sz w:val="24"/>
          <w:szCs w:val="24"/>
        </w:rPr>
        <w:t xml:space="preserve">. Yamamoto </w:t>
      </w:r>
      <w:r w:rsidRPr="00E206EA">
        <w:rPr>
          <w:rFonts w:ascii="Book Antiqua" w:hAnsi="Book Antiqua" w:cs="Times New Roman"/>
          <w:i/>
          <w:iCs/>
          <w:color w:val="000000" w:themeColor="text1"/>
          <w:sz w:val="24"/>
          <w:szCs w:val="24"/>
        </w:rPr>
        <w:t>et al</w:t>
      </w:r>
      <w:r w:rsidRPr="00E206EA">
        <w:rPr>
          <w:rFonts w:ascii="Book Antiqua" w:hAnsi="Book Antiqua" w:cs="Times New Roman"/>
          <w:color w:val="000000" w:themeColor="text1"/>
          <w:sz w:val="24"/>
          <w:szCs w:val="24"/>
          <w:vertAlign w:val="superscript"/>
        </w:rPr>
        <w:t>[</w:t>
      </w:r>
      <w:r w:rsidR="001626EE" w:rsidRPr="00E206EA">
        <w:rPr>
          <w:rFonts w:ascii="Book Antiqua" w:hAnsi="Book Antiqua" w:cs="Times New Roman"/>
          <w:color w:val="000000" w:themeColor="text1"/>
          <w:sz w:val="24"/>
          <w:szCs w:val="24"/>
          <w:vertAlign w:val="superscript"/>
        </w:rPr>
        <w:t>6</w:t>
      </w:r>
      <w:r w:rsidRPr="00E206EA">
        <w:rPr>
          <w:rFonts w:ascii="Book Antiqua" w:hAnsi="Book Antiqua" w:cs="Times New Roman"/>
          <w:color w:val="000000" w:themeColor="text1"/>
          <w:sz w:val="24"/>
          <w:szCs w:val="24"/>
          <w:vertAlign w:val="superscript"/>
        </w:rPr>
        <w:t>]</w:t>
      </w:r>
      <w:r w:rsidRPr="00E206EA">
        <w:rPr>
          <w:rFonts w:ascii="Book Antiqua" w:hAnsi="Book Antiqua" w:cs="Times New Roman"/>
          <w:color w:val="000000" w:themeColor="text1"/>
          <w:sz w:val="24"/>
          <w:szCs w:val="24"/>
        </w:rPr>
        <w:t xml:space="preserve"> reported that among 55 cases of gastrointestinal leiomyosarcoma</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o</w:t>
      </w:r>
      <w:r w:rsidRPr="00E206EA">
        <w:rPr>
          <w:rFonts w:ascii="Book Antiqua" w:hAnsi="Book Antiqua" w:cs="Times New Roman"/>
          <w:color w:val="000000" w:themeColor="text1"/>
          <w:sz w:val="24"/>
          <w:szCs w:val="24"/>
        </w:rPr>
        <w:t>nly four</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(7.3%) were loc</w:t>
      </w:r>
      <w:r w:rsidRPr="00E206EA">
        <w:rPr>
          <w:rFonts w:ascii="Book Antiqua" w:hAnsi="Book Antiqua" w:cs="Times New Roman"/>
          <w:color w:val="000000" w:themeColor="text1"/>
          <w:sz w:val="24"/>
          <w:szCs w:val="24"/>
        </w:rPr>
        <w:t>ated in the stomach.</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According to our statistics, 50% (5/10) of gastric liposarcomas are located in the body of the stomach. In addition, 20% (2/10) of gastric liposarcomas are located in the fundus, with one case in the antrum, one case in the cardia, and one case in the pylorus. The diameters of the tumors described in the literature vary from 1 to 18 cm</w:t>
      </w:r>
      <w:r w:rsidRPr="00E206EA">
        <w:rPr>
          <w:rFonts w:ascii="Book Antiqua" w:hAnsi="Book Antiqua" w:cs="Times New Roman"/>
          <w:color w:val="000000" w:themeColor="text1"/>
          <w:sz w:val="24"/>
          <w:szCs w:val="24"/>
          <w:vertAlign w:val="superscript"/>
        </w:rPr>
        <w:t>[1-13]</w:t>
      </w:r>
      <w:r w:rsidRPr="00E206EA">
        <w:rPr>
          <w:rFonts w:ascii="Book Antiqua" w:hAnsi="Book Antiqua" w:cs="Times New Roman"/>
          <w:color w:val="000000" w:themeColor="text1"/>
          <w:sz w:val="24"/>
          <w:szCs w:val="24"/>
        </w:rPr>
        <w:t>.</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The origin of gastric leiomyosarcoma is usually between the muscularis propria and muscularis mucosa layers</w:t>
      </w:r>
      <w:r w:rsidRPr="00E206EA">
        <w:rPr>
          <w:rFonts w:ascii="Book Antiqua" w:hAnsi="Book Antiqua" w:cs="Times New Roman"/>
          <w:color w:val="000000" w:themeColor="text1"/>
          <w:sz w:val="24"/>
          <w:szCs w:val="24"/>
          <w:vertAlign w:val="superscript"/>
        </w:rPr>
        <w:t>[2]</w:t>
      </w:r>
      <w:r w:rsidRPr="00E206EA">
        <w:rPr>
          <w:rFonts w:ascii="Book Antiqua" w:hAnsi="Book Antiqua" w:cs="Times New Roman"/>
          <w:color w:val="000000" w:themeColor="text1"/>
          <w:sz w:val="24"/>
          <w:szCs w:val="24"/>
        </w:rPr>
        <w:t xml:space="preserve">. Agaimy </w:t>
      </w:r>
      <w:r w:rsidRPr="00E206EA">
        <w:rPr>
          <w:rFonts w:ascii="Book Antiqua" w:hAnsi="Book Antiqua" w:cs="Times New Roman"/>
          <w:i/>
          <w:iCs/>
          <w:color w:val="000000" w:themeColor="text1"/>
          <w:sz w:val="24"/>
          <w:szCs w:val="24"/>
        </w:rPr>
        <w:t>et al</w:t>
      </w:r>
      <w:r w:rsidRPr="00E206EA">
        <w:rPr>
          <w:rFonts w:ascii="Book Antiqua" w:hAnsi="Book Antiqua" w:cs="Times New Roman"/>
          <w:color w:val="000000" w:themeColor="text1"/>
          <w:sz w:val="24"/>
          <w:szCs w:val="24"/>
          <w:vertAlign w:val="superscript"/>
        </w:rPr>
        <w:t>[1</w:t>
      </w:r>
      <w:r w:rsidR="001626EE" w:rsidRPr="00E206EA">
        <w:rPr>
          <w:rFonts w:ascii="Book Antiqua" w:hAnsi="Book Antiqua" w:cs="Times New Roman"/>
          <w:color w:val="000000" w:themeColor="text1"/>
          <w:sz w:val="24"/>
          <w:szCs w:val="24"/>
          <w:vertAlign w:val="superscript"/>
        </w:rPr>
        <w:t>5</w:t>
      </w:r>
      <w:r w:rsidRPr="00E206EA">
        <w:rPr>
          <w:rFonts w:ascii="Book Antiqua" w:hAnsi="Book Antiqua" w:cs="Times New Roman"/>
          <w:color w:val="000000" w:themeColor="text1"/>
          <w:sz w:val="24"/>
          <w:szCs w:val="24"/>
          <w:vertAlign w:val="superscript"/>
        </w:rPr>
        <w:t>]</w:t>
      </w:r>
      <w:r w:rsidRPr="00E206EA">
        <w:rPr>
          <w:rFonts w:ascii="Book Antiqua" w:hAnsi="Book Antiqua" w:cs="Times New Roman"/>
          <w:color w:val="000000" w:themeColor="text1"/>
          <w:sz w:val="24"/>
          <w:szCs w:val="24"/>
        </w:rPr>
        <w:t xml:space="preserve"> reported 85 cases of true smooth muscle neoplasms of the gastrointestinal tract and found that only one case of polypoid leiomyosarcoma arose from the muscularis mucosae of the stomach.</w:t>
      </w:r>
    </w:p>
    <w:p w14:paraId="6B636E65" w14:textId="6BDB5350" w:rsidR="00CE2497" w:rsidRPr="00E206EA" w:rsidRDefault="00CE2497" w:rsidP="00E206EA">
      <w:pPr>
        <w:spacing w:line="360" w:lineRule="auto"/>
        <w:ind w:firstLineChars="150" w:firstLine="360"/>
        <w:rPr>
          <w:rFonts w:ascii="Book Antiqua" w:hAnsi="Book Antiqua"/>
          <w:color w:val="000000" w:themeColor="text1"/>
          <w:sz w:val="24"/>
          <w:szCs w:val="24"/>
        </w:rPr>
      </w:pPr>
      <w:r w:rsidRPr="00E206EA">
        <w:rPr>
          <w:rFonts w:ascii="Book Antiqua" w:hAnsi="Book Antiqua" w:cs="Times New Roman"/>
          <w:color w:val="000000" w:themeColor="text1"/>
          <w:sz w:val="24"/>
          <w:szCs w:val="24"/>
        </w:rPr>
        <w:lastRenderedPageBreak/>
        <w:t>Leiomyosarcoma of</w:t>
      </w:r>
      <w:r w:rsidRPr="00E206EA">
        <w:rPr>
          <w:rFonts w:ascii="Book Antiqua" w:eastAsia="宋体" w:hAnsi="Book Antiqua" w:cs="Times New Roman"/>
          <w:color w:val="000000"/>
          <w:sz w:val="24"/>
          <w:szCs w:val="24"/>
        </w:rPr>
        <w:t xml:space="preserve"> the</w:t>
      </w:r>
      <w:r w:rsidRPr="00E206EA">
        <w:rPr>
          <w:rFonts w:ascii="Book Antiqua" w:hAnsi="Book Antiqua" w:cs="Times New Roman"/>
          <w:color w:val="000000" w:themeColor="text1"/>
          <w:sz w:val="24"/>
          <w:szCs w:val="24"/>
        </w:rPr>
        <w:t xml:space="preserve"> stomach is generally common among adults in their fifties</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men and women share the same risk of this disease</w:t>
      </w:r>
      <w:r w:rsidRPr="00E206EA">
        <w:rPr>
          <w:rFonts w:ascii="Book Antiqua" w:hAnsi="Book Antiqua" w:cs="Times New Roman"/>
          <w:color w:val="000000" w:themeColor="text1"/>
          <w:sz w:val="24"/>
          <w:szCs w:val="24"/>
          <w:vertAlign w:val="superscript"/>
        </w:rPr>
        <w:t>[9]</w:t>
      </w:r>
      <w:r w:rsidRPr="00E206EA">
        <w:rPr>
          <w:rFonts w:ascii="Book Antiqua" w:hAnsi="Book Antiqua" w:cs="Times New Roman"/>
          <w:color w:val="000000" w:themeColor="text1"/>
          <w:sz w:val="24"/>
          <w:szCs w:val="24"/>
        </w:rPr>
        <w:t>. In the literature, most patients are</w:t>
      </w:r>
      <w:r w:rsidRPr="00E206EA">
        <w:rPr>
          <w:rFonts w:ascii="Book Antiqua" w:eastAsia="宋体" w:hAnsi="Book Antiqua" w:cs="Times New Roman"/>
          <w:color w:val="000000"/>
          <w:sz w:val="24"/>
          <w:szCs w:val="24"/>
        </w:rPr>
        <w:t xml:space="preserve"> </w:t>
      </w:r>
      <w:r w:rsidRPr="00E206EA">
        <w:rPr>
          <w:rFonts w:ascii="Book Antiqua" w:hAnsi="Book Antiqua" w:cs="Times New Roman"/>
          <w:color w:val="000000" w:themeColor="text1"/>
          <w:sz w:val="24"/>
          <w:szCs w:val="24"/>
        </w:rPr>
        <w:t>50-69 years old. However, we are aw</w:t>
      </w:r>
      <w:r w:rsidRPr="00E206EA">
        <w:rPr>
          <w:rFonts w:ascii="Book Antiqua" w:hAnsi="Book Antiqua" w:cs="Times New Roman"/>
          <w:color w:val="000000" w:themeColor="text1"/>
          <w:sz w:val="24"/>
          <w:szCs w:val="24"/>
        </w:rPr>
        <w:t xml:space="preserve">are of </w:t>
      </w:r>
      <w:r w:rsidR="00C3113D">
        <w:rPr>
          <w:rFonts w:ascii="Book Antiqua" w:hAnsi="Book Antiqua" w:cs="Times New Roman"/>
          <w:color w:val="000000" w:themeColor="text1"/>
          <w:sz w:val="24"/>
          <w:szCs w:val="24"/>
        </w:rPr>
        <w:t>three</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patients under 29 years old</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which may suggest </w:t>
      </w:r>
      <w:r w:rsidRPr="00E206EA">
        <w:rPr>
          <w:rFonts w:ascii="Book Antiqua" w:eastAsia="宋体" w:hAnsi="Book Antiqua" w:cs="Times New Roman"/>
          <w:color w:val="000000"/>
          <w:sz w:val="24"/>
          <w:szCs w:val="24"/>
        </w:rPr>
        <w:t>that</w:t>
      </w:r>
      <w:r w:rsidRPr="00E206EA">
        <w:rPr>
          <w:rFonts w:ascii="Book Antiqua" w:hAnsi="Book Antiqua" w:cs="Times New Roman"/>
          <w:color w:val="000000" w:themeColor="text1"/>
          <w:sz w:val="24"/>
          <w:szCs w:val="24"/>
        </w:rPr>
        <w:t xml:space="preserve"> gastric leiomyosarcoma is not truly rare among young people.</w:t>
      </w:r>
    </w:p>
    <w:p w14:paraId="608EFBE5" w14:textId="35801F51"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The etiology of gastric leiomyosarcoma is not yet clear. Because a diagnosis of primary leiomyosarcoma of </w:t>
      </w:r>
      <w:r w:rsidRPr="00E206EA">
        <w:rPr>
          <w:rFonts w:ascii="Book Antiqua" w:eastAsia="宋体" w:hAnsi="Book Antiqua" w:cs="Times New Roman"/>
          <w:color w:val="000000"/>
          <w:sz w:val="24"/>
          <w:szCs w:val="24"/>
        </w:rPr>
        <w:t xml:space="preserve">the </w:t>
      </w:r>
      <w:r w:rsidRPr="00E206EA">
        <w:rPr>
          <w:rFonts w:ascii="Book Antiqua" w:hAnsi="Book Antiqua" w:cs="Times New Roman"/>
          <w:color w:val="000000" w:themeColor="text1"/>
          <w:sz w:val="24"/>
          <w:szCs w:val="24"/>
        </w:rPr>
        <w:t>stomach is so rare, little information is available on its clinical characteristics. The tumor usually develops within the gastric wall</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the patient may remain asymptomatic for a long time. Symptoms in patients with leiomyosarcoma of </w:t>
      </w:r>
      <w:r w:rsidRPr="00E206EA">
        <w:rPr>
          <w:rFonts w:ascii="Book Antiqua" w:eastAsia="宋体" w:hAnsi="Book Antiqua" w:cs="Times New Roman"/>
          <w:color w:val="000000"/>
          <w:sz w:val="24"/>
          <w:szCs w:val="24"/>
        </w:rPr>
        <w:t xml:space="preserve">the </w:t>
      </w:r>
      <w:r w:rsidRPr="00E206EA">
        <w:rPr>
          <w:rFonts w:ascii="Book Antiqua" w:hAnsi="Book Antiqua" w:cs="Times New Roman"/>
          <w:color w:val="000000" w:themeColor="text1"/>
          <w:sz w:val="24"/>
          <w:szCs w:val="24"/>
        </w:rPr>
        <w:t>stomach can range from weakness,</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 xml:space="preserve">epigastric distress, weight loss, </w:t>
      </w:r>
      <w:r w:rsidRPr="00E206EA">
        <w:rPr>
          <w:rFonts w:ascii="Book Antiqua" w:hAnsi="Book Antiqua" w:cs="Times New Roman"/>
          <w:color w:val="000000" w:themeColor="text1"/>
          <w:sz w:val="24"/>
          <w:szCs w:val="24"/>
        </w:rPr>
        <w:t>nausea</w:t>
      </w:r>
      <w:r w:rsidR="00C3113D">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and </w:t>
      </w:r>
      <w:r w:rsidRPr="00E206EA">
        <w:rPr>
          <w:rFonts w:ascii="Book Antiqua" w:hAnsi="Book Antiqua" w:cs="Times New Roman"/>
          <w:color w:val="000000" w:themeColor="text1"/>
          <w:sz w:val="24"/>
          <w:szCs w:val="24"/>
        </w:rPr>
        <w:t>vomiting to upper gastrointestinal tract bleeding. The kind of symptoms depends on the location and size of the tumor and the presence of ulceration. For patients with very large tumors, the main clinical sign may be the presence of a large abdominal mass of un</w:t>
      </w:r>
      <w:r w:rsidR="007E4132">
        <w:rPr>
          <w:rFonts w:ascii="Book Antiqua" w:hAnsi="Book Antiqua" w:cs="Times New Roman"/>
          <w:color w:val="000000" w:themeColor="text1"/>
          <w:sz w:val="24"/>
          <w:szCs w:val="24"/>
        </w:rPr>
        <w:t>known origin. In this case</w:t>
      </w:r>
      <w:r w:rsidRPr="00E206EA">
        <w:rPr>
          <w:rFonts w:ascii="Book Antiqua" w:hAnsi="Book Antiqua" w:cs="Times New Roman"/>
          <w:color w:val="000000" w:themeColor="text1"/>
          <w:sz w:val="24"/>
          <w:szCs w:val="24"/>
        </w:rPr>
        <w:t>, the first clinical sign was melena.</w:t>
      </w:r>
    </w:p>
    <w:p w14:paraId="68626CE9" w14:textId="4168BA12"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The diagnosis of gastric leiomyosarcomas mainly relies on pathological examination. In general, SMA, desmin, and h-caldesmon are positive in </w:t>
      </w:r>
      <w:r w:rsidRPr="00E206EA">
        <w:rPr>
          <w:rFonts w:ascii="Book Antiqua" w:eastAsia="宋体" w:hAnsi="Book Antiqua" w:cs="Times New Roman"/>
          <w:color w:val="000000"/>
          <w:sz w:val="24"/>
          <w:szCs w:val="24"/>
        </w:rPr>
        <w:t>the</w:t>
      </w:r>
      <w:r w:rsidRPr="00E206EA">
        <w:rPr>
          <w:rFonts w:ascii="Book Antiqua" w:hAnsi="Book Antiqua" w:cs="Times New Roman"/>
          <w:color w:val="000000" w:themeColor="text1"/>
          <w:sz w:val="24"/>
          <w:szCs w:val="24"/>
        </w:rPr>
        <w:t xml:space="preserve"> major</w:t>
      </w:r>
      <w:r w:rsidRPr="00E206EA">
        <w:rPr>
          <w:rFonts w:ascii="Book Antiqua" w:hAnsi="Book Antiqua" w:cs="Times New Roman"/>
          <w:color w:val="000000" w:themeColor="text1"/>
          <w:sz w:val="24"/>
          <w:szCs w:val="24"/>
        </w:rPr>
        <w:t>ity (≥70%) of leiomyosarcoma cases</w:t>
      </w:r>
      <w:r w:rsidRPr="00E206EA">
        <w:rPr>
          <w:rFonts w:ascii="Book Antiqua" w:hAnsi="Book Antiqua" w:cs="Times New Roman"/>
          <w:color w:val="000000" w:themeColor="text1"/>
          <w:sz w:val="24"/>
          <w:szCs w:val="24"/>
          <w:vertAlign w:val="superscript"/>
        </w:rPr>
        <w:t>[14]</w:t>
      </w:r>
      <w:r w:rsidRPr="00E206EA">
        <w:rPr>
          <w:rFonts w:ascii="Book Antiqua" w:hAnsi="Book Antiqua" w:cs="Times New Roman"/>
          <w:color w:val="000000" w:themeColor="text1"/>
          <w:sz w:val="24"/>
          <w:szCs w:val="24"/>
        </w:rPr>
        <w:t xml:space="preserve">, </w:t>
      </w:r>
      <w:r w:rsidR="00C3113D">
        <w:rPr>
          <w:rFonts w:ascii="Book Antiqua" w:hAnsi="Book Antiqua" w:cs="Times New Roman"/>
          <w:color w:val="000000" w:themeColor="text1"/>
          <w:sz w:val="24"/>
          <w:szCs w:val="24"/>
        </w:rPr>
        <w:t>while</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CD117 (</w:t>
      </w:r>
      <w:r w:rsidRPr="00405E3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DOG1</w:t>
      </w:r>
      <w:r w:rsidR="00C3113D">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and CD 34 are negative. DOG1 is the best marker for GIST</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there have been no gastric leiomyosarcoma cases with positive DOG1 staining</w:t>
      </w:r>
      <w:r w:rsidRPr="00E206EA">
        <w:rPr>
          <w:rFonts w:ascii="Book Antiqua" w:hAnsi="Book Antiqua" w:cs="Times New Roman"/>
          <w:color w:val="000000" w:themeColor="text1"/>
          <w:sz w:val="24"/>
          <w:szCs w:val="24"/>
          <w:vertAlign w:val="superscript"/>
        </w:rPr>
        <w:t>[2]</w:t>
      </w:r>
      <w:r w:rsidRPr="00E206EA">
        <w:rPr>
          <w:rFonts w:ascii="Book Antiqua" w:hAnsi="Book Antiqua" w:cs="Times New Roman"/>
          <w:color w:val="000000" w:themeColor="text1"/>
          <w:sz w:val="24"/>
          <w:szCs w:val="24"/>
        </w:rPr>
        <w:t xml:space="preserve">. </w:t>
      </w:r>
      <w:r w:rsidRPr="00E206EA">
        <w:rPr>
          <w:rFonts w:ascii="Book Antiqua" w:eastAsia="宋体" w:hAnsi="Book Antiqua" w:cs="Times New Roman"/>
          <w:color w:val="000000"/>
          <w:sz w:val="24"/>
          <w:szCs w:val="24"/>
        </w:rPr>
        <w:t xml:space="preserve">Considering that </w:t>
      </w:r>
      <w:r w:rsidRPr="00E206EA">
        <w:rPr>
          <w:rFonts w:ascii="Book Antiqua" w:hAnsi="Book Antiqua" w:cs="Times New Roman"/>
          <w:color w:val="000000" w:themeColor="text1"/>
          <w:sz w:val="24"/>
          <w:szCs w:val="24"/>
        </w:rPr>
        <w:t xml:space="preserve">10% of </w:t>
      </w:r>
      <w:r w:rsidRPr="00E206EA">
        <w:rPr>
          <w:rFonts w:ascii="Book Antiqua" w:eastAsia="宋体" w:hAnsi="Book Antiqua" w:cs="Times New Roman"/>
          <w:color w:val="000000"/>
          <w:sz w:val="24"/>
          <w:szCs w:val="24"/>
        </w:rPr>
        <w:t>GISTs are</w:t>
      </w:r>
      <w:r w:rsidRPr="00E206EA">
        <w:rPr>
          <w:rFonts w:ascii="Book Antiqua" w:hAnsi="Book Antiqua" w:cs="Times New Roman"/>
          <w:color w:val="000000" w:themeColor="text1"/>
          <w:sz w:val="24"/>
          <w:szCs w:val="24"/>
        </w:rPr>
        <w:t xml:space="preserve"> </w:t>
      </w:r>
      <w:r w:rsidRPr="00405E3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xml:space="preserve">-negative, gene analysis of </w:t>
      </w:r>
      <w:r w:rsidRPr="00E206E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xml:space="preserve"> or </w:t>
      </w:r>
      <w:r w:rsidRPr="00E206EA">
        <w:rPr>
          <w:rFonts w:ascii="Book Antiqua" w:hAnsi="Book Antiqua" w:cs="Times New Roman"/>
          <w:i/>
          <w:iCs/>
          <w:color w:val="000000" w:themeColor="text1"/>
          <w:sz w:val="24"/>
          <w:szCs w:val="24"/>
        </w:rPr>
        <w:t>PDGFRA</w:t>
      </w:r>
      <w:r w:rsidRPr="00E206EA">
        <w:rPr>
          <w:rFonts w:ascii="Book Antiqua" w:hAnsi="Book Antiqua" w:cs="Times New Roman"/>
          <w:color w:val="000000" w:themeColor="text1"/>
          <w:sz w:val="24"/>
          <w:szCs w:val="24"/>
        </w:rPr>
        <w:t xml:space="preserve"> leads to a conclusive diagnosis of gastric leiomyosarcoma. </w:t>
      </w:r>
      <w:r w:rsidRPr="00E206EA">
        <w:rPr>
          <w:rFonts w:ascii="Book Antiqua" w:eastAsia="宋体" w:hAnsi="Book Antiqua" w:cs="Times New Roman"/>
          <w:color w:val="000000"/>
          <w:sz w:val="24"/>
          <w:szCs w:val="24"/>
        </w:rPr>
        <w:t xml:space="preserve">To obtain </w:t>
      </w:r>
      <w:r w:rsidRPr="00E206EA">
        <w:rPr>
          <w:rFonts w:ascii="Book Antiqua" w:hAnsi="Book Antiqua" w:cs="Times New Roman"/>
          <w:color w:val="000000" w:themeColor="text1"/>
          <w:sz w:val="24"/>
          <w:szCs w:val="24"/>
        </w:rPr>
        <w:t xml:space="preserve">an accurate diagnosis, we performed targeted next-generation sequencing for </w:t>
      </w:r>
      <w:r w:rsidRPr="00E206EA">
        <w:rPr>
          <w:rFonts w:ascii="Book Antiqua" w:hAnsi="Book Antiqua" w:cs="Times New Roman"/>
          <w:i/>
          <w:iCs/>
          <w:color w:val="000000" w:themeColor="text1"/>
          <w:sz w:val="24"/>
          <w:szCs w:val="24"/>
        </w:rPr>
        <w:t>KIT</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PDGFRA</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SDHA</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SDHB</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SDHC</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SDHD</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BRAF</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KRAS</w:t>
      </w:r>
      <w:r w:rsidRPr="00E206EA">
        <w:rPr>
          <w:rFonts w:ascii="Book Antiqua" w:hAnsi="Book Antiqua" w:cs="Times New Roman"/>
          <w:color w:val="000000" w:themeColor="text1"/>
          <w:sz w:val="24"/>
          <w:szCs w:val="24"/>
        </w:rPr>
        <w:t xml:space="preserve">, </w:t>
      </w:r>
      <w:r w:rsidR="00C3113D" w:rsidRPr="00E206EA">
        <w:rPr>
          <w:rFonts w:ascii="Book Antiqua" w:hAnsi="Book Antiqua" w:cs="Times New Roman"/>
          <w:i/>
          <w:iCs/>
          <w:color w:val="000000" w:themeColor="text1"/>
          <w:sz w:val="24"/>
          <w:szCs w:val="24"/>
        </w:rPr>
        <w:t>NRAS</w:t>
      </w:r>
      <w:r w:rsidR="00C3113D">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an</w:t>
      </w:r>
      <w:r w:rsidRPr="00E206EA">
        <w:rPr>
          <w:rFonts w:ascii="Book Antiqua" w:hAnsi="Book Antiqua" w:cs="Times New Roman"/>
          <w:color w:val="000000" w:themeColor="text1"/>
          <w:sz w:val="24"/>
          <w:szCs w:val="24"/>
        </w:rPr>
        <w:t xml:space="preserve">d </w:t>
      </w:r>
      <w:r w:rsidRPr="00E206EA">
        <w:rPr>
          <w:rFonts w:ascii="Book Antiqua" w:hAnsi="Book Antiqua" w:cs="Times New Roman"/>
          <w:i/>
          <w:iCs/>
          <w:color w:val="000000" w:themeColor="text1"/>
          <w:sz w:val="24"/>
          <w:szCs w:val="24"/>
        </w:rPr>
        <w:t>EGFR</w:t>
      </w:r>
      <w:r w:rsidRPr="00E206EA">
        <w:rPr>
          <w:rFonts w:ascii="Book Antiqua" w:hAnsi="Book Antiqua" w:cs="Times New Roman"/>
          <w:color w:val="000000" w:themeColor="text1"/>
          <w:sz w:val="24"/>
          <w:szCs w:val="24"/>
        </w:rPr>
        <w:t xml:space="preserve"> in our case. Because the patient </w:t>
      </w:r>
      <w:r w:rsidRPr="00E206EA">
        <w:rPr>
          <w:rFonts w:ascii="Book Antiqua" w:eastAsia="宋体" w:hAnsi="Book Antiqua" w:cs="Times New Roman"/>
          <w:color w:val="000000"/>
          <w:sz w:val="24"/>
          <w:szCs w:val="24"/>
        </w:rPr>
        <w:t>had</w:t>
      </w:r>
      <w:r w:rsidRPr="00E206EA">
        <w:rPr>
          <w:rFonts w:ascii="Book Antiqua" w:hAnsi="Book Antiqua" w:cs="Times New Roman"/>
          <w:color w:val="000000" w:themeColor="text1"/>
          <w:sz w:val="24"/>
          <w:szCs w:val="24"/>
        </w:rPr>
        <w:t xml:space="preserve"> no neurofibromatosis or family history, tests for NF1 were</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ruled out. Computed tomography is the most informative method of examination and can also show secondary lesions in the liver, pancreas, lung, peritoneum, lymph no</w:t>
      </w:r>
      <w:r w:rsidRPr="00E206EA">
        <w:rPr>
          <w:rFonts w:ascii="Book Antiqua" w:hAnsi="Book Antiqua" w:cs="Times New Roman"/>
          <w:color w:val="000000" w:themeColor="text1"/>
          <w:sz w:val="24"/>
          <w:szCs w:val="24"/>
        </w:rPr>
        <w:t>de</w:t>
      </w:r>
      <w:r w:rsidR="00C3113D">
        <w:rPr>
          <w:rFonts w:ascii="Book Antiqua" w:hAnsi="Book Antiqua" w:cs="Times New Roman"/>
          <w:color w:val="000000" w:themeColor="text1"/>
          <w:sz w:val="24"/>
          <w:szCs w:val="24"/>
        </w:rPr>
        <w:t>s,</w:t>
      </w:r>
      <w:r w:rsidRPr="00E206EA">
        <w:rPr>
          <w:rFonts w:ascii="Book Antiqua" w:hAnsi="Book Antiqua" w:cs="Times New Roman"/>
          <w:color w:val="000000" w:themeColor="text1"/>
          <w:sz w:val="24"/>
          <w:szCs w:val="24"/>
        </w:rPr>
        <w:t xml:space="preserve"> or ot</w:t>
      </w:r>
      <w:r w:rsidRPr="00E206EA">
        <w:rPr>
          <w:rFonts w:ascii="Book Antiqua" w:hAnsi="Book Antiqua" w:cs="Times New Roman"/>
          <w:color w:val="000000" w:themeColor="text1"/>
          <w:sz w:val="24"/>
          <w:szCs w:val="24"/>
        </w:rPr>
        <w:t xml:space="preserve">her sites. In some studies, </w:t>
      </w:r>
      <w:r w:rsidRPr="00E206EA">
        <w:rPr>
          <w:rFonts w:ascii="Book Antiqua" w:eastAsia="宋体" w:hAnsi="Book Antiqua" w:cs="Times New Roman"/>
          <w:i/>
          <w:iCs/>
          <w:color w:val="000000"/>
          <w:sz w:val="24"/>
          <w:szCs w:val="24"/>
        </w:rPr>
        <w:t xml:space="preserve">in </w:t>
      </w:r>
      <w:r w:rsidRPr="00E206EA">
        <w:rPr>
          <w:rFonts w:ascii="Book Antiqua" w:hAnsi="Book Antiqua" w:cs="Times New Roman"/>
          <w:i/>
          <w:iCs/>
          <w:color w:val="000000" w:themeColor="text1"/>
          <w:sz w:val="24"/>
          <w:szCs w:val="24"/>
        </w:rPr>
        <w:t>vitro</w:t>
      </w:r>
      <w:r w:rsidRPr="00E206EA">
        <w:rPr>
          <w:rFonts w:ascii="Book Antiqua" w:hAnsi="Book Antiqua" w:cs="Times New Roman"/>
          <w:color w:val="000000" w:themeColor="text1"/>
          <w:sz w:val="24"/>
          <w:szCs w:val="24"/>
        </w:rPr>
        <w:t xml:space="preserve"> MRI of the fresh, surgically resected tumor </w:t>
      </w:r>
      <w:r w:rsidRPr="00E206EA">
        <w:rPr>
          <w:rFonts w:ascii="Book Antiqua" w:eastAsia="宋体" w:hAnsi="Book Antiqua" w:cs="Times New Roman"/>
          <w:color w:val="000000"/>
          <w:sz w:val="24"/>
          <w:szCs w:val="24"/>
        </w:rPr>
        <w:t>was</w:t>
      </w:r>
      <w:r w:rsidRPr="00E206EA">
        <w:rPr>
          <w:rFonts w:ascii="Book Antiqua" w:hAnsi="Book Antiqua" w:cs="Times New Roman"/>
          <w:color w:val="000000" w:themeColor="text1"/>
          <w:sz w:val="24"/>
          <w:szCs w:val="24"/>
        </w:rPr>
        <w:t xml:space="preserve"> performed to </w:t>
      </w:r>
      <w:r w:rsidRPr="00E206EA">
        <w:rPr>
          <w:rFonts w:ascii="Book Antiqua" w:eastAsia="宋体" w:hAnsi="Book Antiqua" w:cs="Times New Roman"/>
          <w:color w:val="000000"/>
          <w:sz w:val="24"/>
          <w:szCs w:val="24"/>
        </w:rPr>
        <w:t xml:space="preserve">clarify </w:t>
      </w:r>
      <w:r w:rsidRPr="00E206EA">
        <w:rPr>
          <w:rFonts w:ascii="Book Antiqua" w:hAnsi="Book Antiqua" w:cs="Times New Roman"/>
          <w:color w:val="000000" w:themeColor="text1"/>
          <w:sz w:val="24"/>
          <w:szCs w:val="24"/>
        </w:rPr>
        <w:t>the</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correlation between radiological and pathological</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 xml:space="preserve">features. More detailed </w:t>
      </w:r>
      <w:r w:rsidRPr="00E206EA">
        <w:rPr>
          <w:rFonts w:ascii="Book Antiqua" w:eastAsia="宋体" w:hAnsi="Book Antiqua" w:cs="Times New Roman"/>
          <w:color w:val="000000"/>
          <w:sz w:val="24"/>
          <w:szCs w:val="24"/>
        </w:rPr>
        <w:t>investigations</w:t>
      </w:r>
      <w:r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lastRenderedPageBreak/>
        <w:t xml:space="preserve">are necessary </w:t>
      </w:r>
      <w:r w:rsidRPr="00E206EA">
        <w:rPr>
          <w:rFonts w:ascii="Book Antiqua" w:eastAsia="宋体" w:hAnsi="Book Antiqua" w:cs="Times New Roman"/>
          <w:color w:val="000000"/>
          <w:sz w:val="24"/>
          <w:szCs w:val="24"/>
        </w:rPr>
        <w:t>to evaluate</w:t>
      </w:r>
      <w:r w:rsidRPr="00E206EA">
        <w:rPr>
          <w:rFonts w:ascii="Book Antiqua" w:hAnsi="Book Antiqua" w:cs="Times New Roman"/>
          <w:color w:val="000000" w:themeColor="text1"/>
          <w:sz w:val="24"/>
          <w:szCs w:val="24"/>
        </w:rPr>
        <w:t xml:space="preserve"> the clinicopathological and radiological characteristics of true gastric leiomyosarcoma</w:t>
      </w:r>
      <w:r w:rsidRPr="00E206EA">
        <w:rPr>
          <w:rFonts w:ascii="Book Antiqua" w:hAnsi="Book Antiqua" w:cs="Times New Roman"/>
          <w:color w:val="000000" w:themeColor="text1"/>
          <w:sz w:val="24"/>
          <w:szCs w:val="24"/>
          <w:vertAlign w:val="superscript"/>
        </w:rPr>
        <w:t>[10]</w:t>
      </w:r>
      <w:r w:rsidRPr="00E206EA">
        <w:rPr>
          <w:rFonts w:ascii="Book Antiqua" w:hAnsi="Book Antiqua" w:cs="Times New Roman"/>
          <w:color w:val="000000" w:themeColor="text1"/>
          <w:sz w:val="24"/>
          <w:szCs w:val="24"/>
        </w:rPr>
        <w:t>. It is difficult to make a precise judgem</w:t>
      </w:r>
      <w:r w:rsidRPr="00E206EA">
        <w:rPr>
          <w:rFonts w:ascii="Book Antiqua" w:hAnsi="Book Antiqua" w:cs="Times New Roman"/>
          <w:color w:val="000000" w:themeColor="text1"/>
          <w:sz w:val="24"/>
          <w:szCs w:val="24"/>
        </w:rPr>
        <w:t xml:space="preserve">ent </w:t>
      </w:r>
      <w:r w:rsidR="00C3113D">
        <w:rPr>
          <w:rFonts w:ascii="Book Antiqua" w:hAnsi="Book Antiqua" w:cs="Times New Roman"/>
          <w:color w:val="000000" w:themeColor="text1"/>
          <w:sz w:val="24"/>
          <w:szCs w:val="24"/>
        </w:rPr>
        <w:t>by</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endoscopy</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its diagnostic value is unclear. However, endoscopic ultrasonography is very sensitive, with a success rate of up to 97%</w:t>
      </w:r>
      <w:r w:rsidRPr="00E206EA">
        <w:rPr>
          <w:rFonts w:ascii="Book Antiqua" w:hAnsi="Book Antiqua" w:cs="Times New Roman"/>
          <w:color w:val="000000" w:themeColor="text1"/>
          <w:sz w:val="24"/>
          <w:szCs w:val="24"/>
          <w:vertAlign w:val="superscript"/>
        </w:rPr>
        <w:t>[1</w:t>
      </w:r>
      <w:r w:rsidR="001626EE" w:rsidRPr="00E206EA">
        <w:rPr>
          <w:rFonts w:ascii="Book Antiqua" w:hAnsi="Book Antiqua" w:cs="Times New Roman"/>
          <w:color w:val="000000" w:themeColor="text1"/>
          <w:sz w:val="24"/>
          <w:szCs w:val="24"/>
          <w:vertAlign w:val="superscript"/>
        </w:rPr>
        <w:t>6</w:t>
      </w:r>
      <w:r w:rsidRPr="00E206EA">
        <w:rPr>
          <w:rFonts w:ascii="Book Antiqua" w:hAnsi="Book Antiqua" w:cs="Times New Roman"/>
          <w:color w:val="000000" w:themeColor="text1"/>
          <w:sz w:val="24"/>
          <w:szCs w:val="24"/>
          <w:vertAlign w:val="superscript"/>
        </w:rPr>
        <w:t>]</w:t>
      </w:r>
      <w:r w:rsidRPr="00E206EA">
        <w:rPr>
          <w:rFonts w:ascii="Book Antiqua" w:hAnsi="Book Antiqua" w:cs="Times New Roman"/>
          <w:color w:val="000000" w:themeColor="text1"/>
          <w:sz w:val="24"/>
          <w:szCs w:val="24"/>
        </w:rPr>
        <w:t xml:space="preserve"> in the diagnosis of leiomyosarcoma of the stomach</w:t>
      </w:r>
      <w:r w:rsidRPr="00E206EA">
        <w:rPr>
          <w:rFonts w:ascii="Book Antiqua" w:hAnsi="Book Antiqua" w:cs="Times New Roman"/>
          <w:color w:val="000000" w:themeColor="text1"/>
          <w:sz w:val="24"/>
          <w:szCs w:val="24"/>
          <w:vertAlign w:val="superscript"/>
        </w:rPr>
        <w:t>[2]</w:t>
      </w:r>
      <w:r w:rsidRPr="00E206EA">
        <w:rPr>
          <w:rFonts w:ascii="Book Antiqua" w:hAnsi="Book Antiqua" w:cs="Times New Roman"/>
          <w:color w:val="000000" w:themeColor="text1"/>
          <w:sz w:val="24"/>
          <w:szCs w:val="24"/>
        </w:rPr>
        <w:t>. With the guidance of</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endoscopic ultrasonography, biopsy may be possible, and a histological examination can be performed. Although metastases to the stomach are unusual</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Mariana </w:t>
      </w:r>
      <w:r w:rsidR="001626EE" w:rsidRPr="00E206EA">
        <w:rPr>
          <w:rFonts w:ascii="Book Antiqua" w:hAnsi="Book Antiqua" w:cs="Times New Roman"/>
          <w:i/>
          <w:iCs/>
          <w:color w:val="000000" w:themeColor="text1"/>
          <w:sz w:val="24"/>
          <w:szCs w:val="24"/>
        </w:rPr>
        <w:t>et al</w:t>
      </w:r>
      <w:r w:rsidRPr="00E206EA">
        <w:rPr>
          <w:rFonts w:ascii="Book Antiqua" w:hAnsi="Book Antiqua" w:cs="Times New Roman"/>
          <w:color w:val="000000" w:themeColor="text1"/>
          <w:sz w:val="24"/>
          <w:szCs w:val="24"/>
          <w:vertAlign w:val="superscript"/>
        </w:rPr>
        <w:t>[1</w:t>
      </w:r>
      <w:r w:rsidR="001626EE" w:rsidRPr="00E206EA">
        <w:rPr>
          <w:rFonts w:ascii="Book Antiqua" w:hAnsi="Book Antiqua" w:cs="Times New Roman"/>
          <w:color w:val="000000" w:themeColor="text1"/>
          <w:sz w:val="24"/>
          <w:szCs w:val="24"/>
          <w:vertAlign w:val="superscript"/>
        </w:rPr>
        <w:t>7</w:t>
      </w:r>
      <w:r w:rsidRPr="00E206EA">
        <w:rPr>
          <w:rFonts w:ascii="Book Antiqua" w:hAnsi="Book Antiqua" w:cs="Times New Roman"/>
          <w:color w:val="000000" w:themeColor="text1"/>
          <w:sz w:val="24"/>
          <w:szCs w:val="24"/>
          <w:vertAlign w:val="superscript"/>
        </w:rPr>
        <w:t xml:space="preserve">] </w:t>
      </w:r>
      <w:r w:rsidRPr="00E206EA">
        <w:rPr>
          <w:rFonts w:ascii="Book Antiqua" w:eastAsia="宋体" w:hAnsi="Book Antiqua" w:cs="Times New Roman"/>
          <w:color w:val="000000"/>
          <w:sz w:val="24"/>
          <w:szCs w:val="24"/>
        </w:rPr>
        <w:t>reported</w:t>
      </w:r>
      <w:r w:rsidRPr="00E206EA">
        <w:rPr>
          <w:rFonts w:ascii="Book Antiqua" w:hAnsi="Book Antiqua" w:cs="Times New Roman"/>
          <w:color w:val="000000" w:themeColor="text1"/>
          <w:sz w:val="24"/>
          <w:szCs w:val="24"/>
        </w:rPr>
        <w:t xml:space="preserve"> a uterine leiomyosarcoma tumor and its metastasis to the stomach. </w:t>
      </w:r>
      <w:r w:rsidRPr="00E206EA">
        <w:rPr>
          <w:rFonts w:ascii="Book Antiqua" w:eastAsia="宋体" w:hAnsi="Book Antiqua" w:cs="Times New Roman"/>
          <w:color w:val="000000"/>
          <w:sz w:val="24"/>
          <w:szCs w:val="24"/>
        </w:rPr>
        <w:t>Thus,</w:t>
      </w:r>
      <w:r w:rsidRPr="00E206EA">
        <w:rPr>
          <w:rFonts w:ascii="Book Antiqua" w:hAnsi="Book Antiqua" w:cs="Times New Roman"/>
          <w:color w:val="000000" w:themeColor="text1"/>
          <w:sz w:val="24"/>
          <w:szCs w:val="24"/>
        </w:rPr>
        <w:t xml:space="preserve"> the antidiastole between primary gastric leiomyosarcoma and metastatic tumors can be important. The patient’s unique medical history and imageological examination can contribute to </w:t>
      </w:r>
      <w:r w:rsidRPr="00E206EA">
        <w:rPr>
          <w:rFonts w:ascii="Book Antiqua" w:eastAsia="宋体" w:hAnsi="Book Antiqua" w:cs="Times New Roman"/>
          <w:color w:val="000000"/>
          <w:sz w:val="24"/>
          <w:szCs w:val="24"/>
        </w:rPr>
        <w:t>finding</w:t>
      </w:r>
      <w:r w:rsidRPr="00E206EA">
        <w:rPr>
          <w:rFonts w:ascii="Book Antiqua" w:hAnsi="Book Antiqua" w:cs="Times New Roman"/>
          <w:color w:val="000000" w:themeColor="text1"/>
          <w:sz w:val="24"/>
          <w:szCs w:val="24"/>
        </w:rPr>
        <w:t xml:space="preserve"> the primary tumors.</w:t>
      </w:r>
    </w:p>
    <w:p w14:paraId="22F915FD" w14:textId="294EC793"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Currently, the standard treatment for gastric leiomyosarcomas is complete surgical resection of the tumor. We noticed that two patients in the literature underwent </w:t>
      </w:r>
      <w:r w:rsidR="00414BEE" w:rsidRPr="00E206EA">
        <w:rPr>
          <w:rFonts w:ascii="Book Antiqua" w:hAnsi="Book Antiqua" w:cs="Times New Roman"/>
          <w:sz w:val="24"/>
          <w:szCs w:val="24"/>
        </w:rPr>
        <w:t>endoscopic submucosal dissection</w:t>
      </w:r>
      <w:r w:rsidRPr="00E206EA">
        <w:rPr>
          <w:rFonts w:ascii="Book Antiqua" w:hAnsi="Book Antiqua" w:cs="Times New Roman"/>
          <w:color w:val="000000" w:themeColor="text1"/>
          <w:sz w:val="24"/>
          <w:szCs w:val="24"/>
        </w:rPr>
        <w:t>. Due to a lack of clinical data, the advantages and disadvantages of t</w:t>
      </w:r>
      <w:r w:rsidR="00F956E6">
        <w:rPr>
          <w:rFonts w:ascii="Book Antiqua" w:hAnsi="Book Antiqua" w:cs="Times New Roman"/>
          <w:color w:val="000000" w:themeColor="text1"/>
          <w:sz w:val="24"/>
          <w:szCs w:val="24"/>
        </w:rPr>
        <w:t>his method are unknown.</w:t>
      </w:r>
      <w:r w:rsidR="00F956E6" w:rsidRPr="00F956E6">
        <w:t xml:space="preserve"> </w:t>
      </w:r>
      <w:r w:rsidR="00F956E6" w:rsidRPr="00F956E6">
        <w:rPr>
          <w:rFonts w:ascii="Book Antiqua" w:hAnsi="Book Antiqua" w:cs="Times New Roman"/>
          <w:color w:val="000000" w:themeColor="text1"/>
          <w:sz w:val="24"/>
          <w:szCs w:val="24"/>
        </w:rPr>
        <w:t>The use of chemotherapy and radiotherapy has been rarely reported in the literature</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as leiomyosarcoma of the stomach is extremely rare worldwide. In an imageable patient-derived orthotopic xenograft model, </w:t>
      </w:r>
      <w:r w:rsidR="001626EE" w:rsidRPr="00E206EA">
        <w:rPr>
          <w:rFonts w:ascii="Book Antiqua" w:hAnsi="Book Antiqua" w:cs="Times New Roman"/>
          <w:color w:val="000000" w:themeColor="text1"/>
          <w:sz w:val="24"/>
          <w:szCs w:val="24"/>
        </w:rPr>
        <w:t>Kawaguchi</w:t>
      </w:r>
      <w:r w:rsidRPr="00E206EA">
        <w:rPr>
          <w:rFonts w:ascii="Book Antiqua" w:hAnsi="Book Antiqua" w:cs="Times New Roman"/>
          <w:color w:val="000000" w:themeColor="text1"/>
          <w:sz w:val="24"/>
          <w:szCs w:val="24"/>
        </w:rPr>
        <w:t xml:space="preserve"> </w:t>
      </w:r>
      <w:r w:rsidRPr="00E206EA">
        <w:rPr>
          <w:rFonts w:ascii="Book Antiqua" w:hAnsi="Book Antiqua" w:cs="Times New Roman"/>
          <w:i/>
          <w:iCs/>
          <w:color w:val="000000" w:themeColor="text1"/>
          <w:sz w:val="24"/>
          <w:szCs w:val="24"/>
        </w:rPr>
        <w:t>et al</w:t>
      </w:r>
      <w:r w:rsidRPr="00E206EA">
        <w:rPr>
          <w:rFonts w:ascii="Book Antiqua" w:hAnsi="Book Antiqua" w:cs="Times New Roman"/>
          <w:color w:val="000000" w:themeColor="text1"/>
          <w:sz w:val="24"/>
          <w:szCs w:val="24"/>
          <w:vertAlign w:val="superscript"/>
        </w:rPr>
        <w:t>[1</w:t>
      </w:r>
      <w:r w:rsidR="001626EE" w:rsidRPr="00E206EA">
        <w:rPr>
          <w:rFonts w:ascii="Book Antiqua" w:hAnsi="Book Antiqua" w:cs="Times New Roman"/>
          <w:color w:val="000000" w:themeColor="text1"/>
          <w:sz w:val="24"/>
          <w:szCs w:val="24"/>
          <w:vertAlign w:val="superscript"/>
        </w:rPr>
        <w:t>8</w:t>
      </w:r>
      <w:r w:rsidRPr="00E206EA">
        <w:rPr>
          <w:rFonts w:ascii="Book Antiqua" w:hAnsi="Book Antiqua" w:cs="Times New Roman"/>
          <w:color w:val="000000" w:themeColor="text1"/>
          <w:sz w:val="24"/>
          <w:szCs w:val="24"/>
          <w:vertAlign w:val="superscript"/>
        </w:rPr>
        <w:t>]</w:t>
      </w:r>
      <w:r w:rsidRPr="00E206EA">
        <w:rPr>
          <w:rFonts w:ascii="Book Antiqua" w:eastAsia="宋体" w:hAnsi="Book Antiqua" w:cs="Times New Roman"/>
          <w:color w:val="000000"/>
          <w:sz w:val="24"/>
          <w:szCs w:val="24"/>
        </w:rPr>
        <w:t xml:space="preserve"> found that a</w:t>
      </w:r>
      <w:r w:rsidRPr="00E206EA">
        <w:rPr>
          <w:rFonts w:ascii="Book Antiqua" w:hAnsi="Book Antiqua" w:cs="Times New Roman"/>
          <w:color w:val="000000" w:themeColor="text1"/>
          <w:sz w:val="24"/>
          <w:szCs w:val="24"/>
        </w:rPr>
        <w:t xml:space="preserve"> combination of gemcitabine and docetaxel caused t</w:t>
      </w:r>
      <w:r w:rsidRPr="00E206EA">
        <w:rPr>
          <w:rFonts w:ascii="Book Antiqua" w:hAnsi="Book Antiqua" w:cs="Times New Roman"/>
          <w:color w:val="000000" w:themeColor="text1"/>
          <w:sz w:val="24"/>
          <w:szCs w:val="24"/>
        </w:rPr>
        <w:t>he regress</w:t>
      </w:r>
      <w:r w:rsidR="00C3113D">
        <w:rPr>
          <w:rFonts w:ascii="Book Antiqua" w:hAnsi="Book Antiqua" w:cs="Times New Roman"/>
          <w:color w:val="000000" w:themeColor="text1"/>
          <w:sz w:val="24"/>
          <w:szCs w:val="24"/>
        </w:rPr>
        <w:t>ion</w:t>
      </w:r>
      <w:r w:rsidRPr="00E206EA">
        <w:rPr>
          <w:rFonts w:ascii="Book Antiqua" w:hAnsi="Book Antiqua" w:cs="Times New Roman"/>
          <w:color w:val="000000" w:themeColor="text1"/>
          <w:sz w:val="24"/>
          <w:szCs w:val="24"/>
        </w:rPr>
        <w:t xml:space="preserve"> of both</w:t>
      </w:r>
      <w:r w:rsidRPr="00E206EA">
        <w:rPr>
          <w:rFonts w:ascii="Book Antiqua" w:hAnsi="Book Antiqua" w:cs="Times New Roman"/>
          <w:color w:val="000000" w:themeColor="text1"/>
          <w:sz w:val="24"/>
          <w:szCs w:val="24"/>
        </w:rPr>
        <w:t xml:space="preserve"> gastric leiomyosarcoma proliferation and invasion and provided a potential therapy for gastric leiomyosarcomas.</w:t>
      </w:r>
    </w:p>
    <w:p w14:paraId="48CD619A" w14:textId="4E4B19F5"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t xml:space="preserve">The main prognostic factors for these tumors include their histopathological grade and </w:t>
      </w:r>
      <w:r w:rsidRPr="00E206EA">
        <w:rPr>
          <w:rFonts w:ascii="Book Antiqua" w:eastAsia="宋体" w:hAnsi="Book Antiqua" w:cs="Times New Roman"/>
          <w:color w:val="000000"/>
          <w:sz w:val="24"/>
          <w:szCs w:val="24"/>
        </w:rPr>
        <w:t>type,</w:t>
      </w:r>
      <w:r w:rsidRPr="00E206EA">
        <w:rPr>
          <w:rFonts w:ascii="Book Antiqua" w:eastAsia="宋体" w:hAnsi="Book Antiqua" w:cs="Times New Roman"/>
          <w:color w:val="000000"/>
          <w:sz w:val="24"/>
          <w:szCs w:val="24"/>
        </w:rPr>
        <w:t xml:space="preserve"> tumor</w:t>
      </w:r>
      <w:r w:rsidRPr="00E206EA">
        <w:rPr>
          <w:rFonts w:ascii="Book Antiqua" w:hAnsi="Book Antiqua" w:cs="Times New Roman"/>
          <w:color w:val="000000" w:themeColor="text1"/>
          <w:sz w:val="24"/>
          <w:szCs w:val="24"/>
        </w:rPr>
        <w:t xml:space="preserve"> size, evidence of synchronous metastasis</w:t>
      </w:r>
      <w:r w:rsidR="00C3113D">
        <w:rPr>
          <w:rFonts w:ascii="Book Antiqua" w:hAnsi="Book Antiqua" w:cs="Times New Roman"/>
          <w:color w:val="000000" w:themeColor="text1"/>
          <w:sz w:val="24"/>
          <w:szCs w:val="24"/>
        </w:rPr>
        <w:t>,</w:t>
      </w:r>
      <w:r w:rsidRPr="00E206EA">
        <w:rPr>
          <w:rFonts w:ascii="Book Antiqua" w:hAnsi="Book Antiqua" w:cs="Times New Roman"/>
          <w:color w:val="000000" w:themeColor="text1"/>
          <w:sz w:val="24"/>
          <w:szCs w:val="24"/>
        </w:rPr>
        <w:t xml:space="preserve"> and parieta</w:t>
      </w:r>
      <w:r w:rsidRPr="00E206EA">
        <w:rPr>
          <w:rFonts w:ascii="Book Antiqua" w:hAnsi="Book Antiqua" w:cs="Times New Roman"/>
          <w:color w:val="000000" w:themeColor="text1"/>
          <w:sz w:val="24"/>
          <w:szCs w:val="24"/>
        </w:rPr>
        <w:t>l gastric infiltration</w:t>
      </w:r>
      <w:r w:rsidRPr="00E206EA">
        <w:rPr>
          <w:rFonts w:ascii="Book Antiqua" w:hAnsi="Book Antiqua" w:cs="Times New Roman"/>
          <w:color w:val="000000" w:themeColor="text1"/>
          <w:sz w:val="24"/>
          <w:szCs w:val="24"/>
          <w:vertAlign w:val="superscript"/>
        </w:rPr>
        <w:t>[9,12]</w:t>
      </w:r>
      <w:r w:rsidRPr="00E206EA">
        <w:rPr>
          <w:rFonts w:ascii="Book Antiqua" w:hAnsi="Book Antiqua" w:cs="Times New Roman"/>
          <w:color w:val="000000" w:themeColor="text1"/>
          <w:sz w:val="24"/>
          <w:szCs w:val="24"/>
        </w:rPr>
        <w:t>.</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The 5-year survival rate for patients with leiomyosarcomas is 22%</w:t>
      </w:r>
      <w:r w:rsidRPr="00E206EA">
        <w:rPr>
          <w:rFonts w:ascii="Book Antiqua" w:hAnsi="Book Antiqua" w:cs="Times New Roman"/>
          <w:color w:val="000000" w:themeColor="text1"/>
          <w:sz w:val="24"/>
          <w:szCs w:val="24"/>
          <w:vertAlign w:val="superscript"/>
        </w:rPr>
        <w:t>[</w:t>
      </w:r>
      <w:r w:rsidR="001626EE" w:rsidRPr="00E206EA">
        <w:rPr>
          <w:rFonts w:ascii="Book Antiqua" w:hAnsi="Book Antiqua" w:cs="Times New Roman"/>
          <w:color w:val="000000" w:themeColor="text1"/>
          <w:sz w:val="24"/>
          <w:szCs w:val="24"/>
          <w:vertAlign w:val="superscript"/>
        </w:rPr>
        <w:t>19</w:t>
      </w:r>
      <w:r w:rsidRPr="00E206EA">
        <w:rPr>
          <w:rFonts w:ascii="Book Antiqua" w:hAnsi="Book Antiqua" w:cs="Times New Roman"/>
          <w:color w:val="000000" w:themeColor="text1"/>
          <w:sz w:val="24"/>
          <w:szCs w:val="24"/>
          <w:vertAlign w:val="superscript"/>
        </w:rPr>
        <w:t>]</w:t>
      </w:r>
      <w:r w:rsidRPr="00E206EA">
        <w:rPr>
          <w:rFonts w:ascii="Book Antiqua" w:hAnsi="Book Antiqua" w:cs="Times New Roman"/>
          <w:color w:val="000000" w:themeColor="text1"/>
          <w:sz w:val="24"/>
          <w:szCs w:val="24"/>
        </w:rPr>
        <w:t>. Unfortunately, there is little data on the prognosis of patients with gastric leiomyosarcomas</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more careful clinical follow-up is advised.</w:t>
      </w:r>
    </w:p>
    <w:p w14:paraId="0A2630DB"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762D0837" w14:textId="77777777" w:rsidR="00CE2497" w:rsidRPr="00E206EA" w:rsidRDefault="00CE2497" w:rsidP="00E206EA">
      <w:pPr>
        <w:spacing w:line="360" w:lineRule="auto"/>
        <w:rPr>
          <w:rFonts w:ascii="Book Antiqua" w:hAnsi="Book Antiqua" w:cs="Times New Roman"/>
          <w:b/>
          <w:color w:val="000000" w:themeColor="text1"/>
          <w:sz w:val="24"/>
          <w:szCs w:val="24"/>
        </w:rPr>
      </w:pPr>
      <w:r w:rsidRPr="00E206EA">
        <w:rPr>
          <w:rFonts w:ascii="Book Antiqua" w:hAnsi="Book Antiqua" w:cs="Times New Roman"/>
          <w:b/>
          <w:color w:val="000000" w:themeColor="text1"/>
          <w:sz w:val="24"/>
          <w:szCs w:val="24"/>
        </w:rPr>
        <w:t>CONCLUSION</w:t>
      </w:r>
    </w:p>
    <w:p w14:paraId="38A10AD6" w14:textId="326871A7" w:rsidR="00CE2497" w:rsidRPr="00E206EA" w:rsidRDefault="00CE2497" w:rsidP="00E206EA">
      <w:pPr>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lastRenderedPageBreak/>
        <w:t xml:space="preserve">Gastric leiomyosarcomas </w:t>
      </w:r>
      <w:r w:rsidRPr="00E206EA">
        <w:rPr>
          <w:rFonts w:ascii="Book Antiqua" w:eastAsia="宋体" w:hAnsi="Book Antiqua" w:cs="Times New Roman"/>
          <w:color w:val="000000"/>
          <w:sz w:val="24"/>
          <w:szCs w:val="24"/>
        </w:rPr>
        <w:t>are</w:t>
      </w:r>
      <w:r w:rsidRPr="00E206EA">
        <w:rPr>
          <w:rFonts w:ascii="Book Antiqua" w:hAnsi="Book Antiqua" w:cs="Times New Roman"/>
          <w:color w:val="000000" w:themeColor="text1"/>
          <w:sz w:val="24"/>
          <w:szCs w:val="24"/>
        </w:rPr>
        <w:t xml:space="preserve"> extremely rare</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little information is available on their clinical characteristics. </w:t>
      </w:r>
      <w:r w:rsidRPr="00E206EA">
        <w:rPr>
          <w:rFonts w:ascii="Book Antiqua" w:eastAsia="宋体" w:hAnsi="Book Antiqua" w:cs="Times New Roman"/>
          <w:color w:val="000000"/>
          <w:sz w:val="24"/>
          <w:szCs w:val="24"/>
        </w:rPr>
        <w:t>The diagnosis</w:t>
      </w:r>
      <w:r w:rsidRPr="00E206EA">
        <w:rPr>
          <w:rFonts w:ascii="Book Antiqua" w:hAnsi="Book Antiqua" w:cs="Times New Roman"/>
          <w:color w:val="000000" w:themeColor="text1"/>
          <w:sz w:val="24"/>
          <w:szCs w:val="24"/>
        </w:rPr>
        <w:t xml:space="preserve"> of this tumor mainly depends on histopathological examination. Differential diagnoses between gastric leiomyosarcomas and GISTs are important.</w:t>
      </w:r>
      <w:r w:rsidRPr="00E206EA">
        <w:rPr>
          <w:rFonts w:ascii="Book Antiqua" w:hAnsi="Book Antiqua"/>
          <w:color w:val="000000" w:themeColor="text1"/>
          <w:sz w:val="24"/>
          <w:szCs w:val="24"/>
        </w:rPr>
        <w:t xml:space="preserve"> </w:t>
      </w:r>
      <w:r w:rsidRPr="00E206EA">
        <w:rPr>
          <w:rFonts w:ascii="Book Antiqua" w:hAnsi="Book Antiqua" w:cs="Times New Roman"/>
          <w:color w:val="000000" w:themeColor="text1"/>
          <w:sz w:val="24"/>
          <w:szCs w:val="24"/>
        </w:rPr>
        <w:t>At present, surgical resection is the standard treatment for leiomyosarcoma</w:t>
      </w:r>
      <w:r w:rsidRPr="00E206EA">
        <w:rPr>
          <w:rFonts w:ascii="Book Antiqua" w:eastAsia="宋体" w:hAnsi="Book Antiqua" w:cs="Times New Roman"/>
          <w:color w:val="000000"/>
          <w:sz w:val="24"/>
          <w:szCs w:val="24"/>
        </w:rPr>
        <w:t>,</w:t>
      </w:r>
      <w:r w:rsidRPr="00E206EA">
        <w:rPr>
          <w:rFonts w:ascii="Book Antiqua" w:hAnsi="Book Antiqua" w:cs="Times New Roman"/>
          <w:color w:val="000000" w:themeColor="text1"/>
          <w:sz w:val="24"/>
          <w:szCs w:val="24"/>
        </w:rPr>
        <w:t xml:space="preserve"> and there is no therapeutic consensus. Because leiomyosarcoma is rarely </w:t>
      </w:r>
      <w:r w:rsidRPr="00E206EA">
        <w:rPr>
          <w:rFonts w:ascii="Book Antiqua" w:eastAsia="宋体" w:hAnsi="Book Antiqua" w:cs="Times New Roman"/>
          <w:color w:val="000000"/>
          <w:sz w:val="24"/>
          <w:szCs w:val="24"/>
        </w:rPr>
        <w:t>observed</w:t>
      </w:r>
      <w:r w:rsidRPr="00E206EA">
        <w:rPr>
          <w:rFonts w:ascii="Book Antiqua" w:hAnsi="Book Antiqua" w:cs="Times New Roman"/>
          <w:color w:val="000000" w:themeColor="text1"/>
          <w:sz w:val="24"/>
          <w:szCs w:val="24"/>
        </w:rPr>
        <w:t xml:space="preserve"> in the stomach, its prognosis </w:t>
      </w:r>
      <w:r w:rsidRPr="00E206EA">
        <w:rPr>
          <w:rFonts w:ascii="Book Antiqua" w:eastAsia="宋体" w:hAnsi="Book Antiqua" w:cs="Times New Roman"/>
          <w:color w:val="000000"/>
          <w:sz w:val="24"/>
          <w:szCs w:val="24"/>
        </w:rPr>
        <w:t>remains unclear</w:t>
      </w:r>
      <w:r w:rsidRPr="00E206EA">
        <w:rPr>
          <w:rFonts w:ascii="Book Antiqua" w:hAnsi="Book Antiqua" w:cs="Times New Roman"/>
          <w:color w:val="000000" w:themeColor="text1"/>
          <w:sz w:val="24"/>
          <w:szCs w:val="24"/>
        </w:rPr>
        <w:t>. Our experience suggests that th</w:t>
      </w:r>
      <w:r w:rsidRPr="00E206EA">
        <w:rPr>
          <w:rFonts w:ascii="Book Antiqua" w:hAnsi="Book Antiqua" w:cs="Times New Roman"/>
          <w:color w:val="000000" w:themeColor="text1"/>
          <w:sz w:val="24"/>
          <w:szCs w:val="24"/>
        </w:rPr>
        <w:t xml:space="preserve">e outcome </w:t>
      </w:r>
      <w:r w:rsidR="00C3113D">
        <w:rPr>
          <w:rFonts w:ascii="Book Antiqua" w:hAnsi="Book Antiqua" w:cs="Times New Roman"/>
          <w:color w:val="000000" w:themeColor="text1"/>
          <w:sz w:val="24"/>
          <w:szCs w:val="24"/>
        </w:rPr>
        <w:t>of</w:t>
      </w:r>
      <w:r w:rsidR="00C3113D" w:rsidRPr="00E206EA">
        <w:rPr>
          <w:rFonts w:ascii="Book Antiqua" w:hAnsi="Book Antiqua" w:cs="Times New Roman"/>
          <w:color w:val="000000" w:themeColor="text1"/>
          <w:sz w:val="24"/>
          <w:szCs w:val="24"/>
        </w:rPr>
        <w:t xml:space="preserve"> </w:t>
      </w:r>
      <w:r w:rsidRPr="00E206EA">
        <w:rPr>
          <w:rFonts w:ascii="Book Antiqua" w:hAnsi="Book Antiqua" w:cs="Times New Roman"/>
          <w:color w:val="000000" w:themeColor="text1"/>
          <w:sz w:val="24"/>
          <w:szCs w:val="24"/>
        </w:rPr>
        <w:t>gastric</w:t>
      </w:r>
      <w:r w:rsidRPr="00E206EA">
        <w:rPr>
          <w:rFonts w:ascii="Book Antiqua" w:hAnsi="Book Antiqua" w:cs="Times New Roman"/>
          <w:color w:val="000000" w:themeColor="text1"/>
          <w:sz w:val="24"/>
          <w:szCs w:val="24"/>
        </w:rPr>
        <w:t xml:space="preserve"> leiomyosarcoma is not optimistic.</w:t>
      </w:r>
    </w:p>
    <w:p w14:paraId="15297A1A" w14:textId="77777777" w:rsidR="00CE2497" w:rsidRPr="00E206EA" w:rsidRDefault="00CE2497" w:rsidP="00E206EA">
      <w:pPr>
        <w:spacing w:line="360" w:lineRule="auto"/>
        <w:ind w:firstLineChars="150" w:firstLine="360"/>
        <w:rPr>
          <w:rFonts w:ascii="Book Antiqua" w:hAnsi="Book Antiqua" w:cs="Times New Roman"/>
          <w:color w:val="000000" w:themeColor="text1"/>
          <w:sz w:val="24"/>
          <w:szCs w:val="24"/>
        </w:rPr>
      </w:pPr>
    </w:p>
    <w:p w14:paraId="712457F1" w14:textId="77777777" w:rsidR="00230986" w:rsidRPr="00E206EA" w:rsidRDefault="00CE2497" w:rsidP="00E206EA">
      <w:pPr>
        <w:spacing w:line="360" w:lineRule="auto"/>
        <w:rPr>
          <w:rFonts w:ascii="Book Antiqua" w:hAnsi="Book Antiqua"/>
          <w:sz w:val="24"/>
          <w:szCs w:val="24"/>
        </w:rPr>
      </w:pPr>
      <w:r w:rsidRPr="00E206EA">
        <w:rPr>
          <w:rFonts w:ascii="Book Antiqua" w:hAnsi="Book Antiqua" w:cs="Times New Roman"/>
          <w:b/>
          <w:color w:val="000000" w:themeColor="text1"/>
          <w:sz w:val="24"/>
          <w:szCs w:val="24"/>
        </w:rPr>
        <w:t>REFERENCES</w:t>
      </w:r>
      <w:r w:rsidR="001626EE" w:rsidRPr="00E206EA">
        <w:rPr>
          <w:rFonts w:ascii="Book Antiqua" w:hAnsi="Book Antiqua"/>
          <w:sz w:val="24"/>
          <w:szCs w:val="24"/>
        </w:rPr>
        <w:t xml:space="preserve"> </w:t>
      </w:r>
    </w:p>
    <w:p w14:paraId="574B967D" w14:textId="0C4C9608"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 </w:t>
      </w:r>
      <w:r w:rsidRPr="00E206EA">
        <w:rPr>
          <w:rFonts w:ascii="Book Antiqua" w:hAnsi="Book Antiqua"/>
          <w:b/>
          <w:sz w:val="24"/>
          <w:szCs w:val="24"/>
        </w:rPr>
        <w:t>Sato T</w:t>
      </w:r>
      <w:r w:rsidRPr="00E206EA">
        <w:rPr>
          <w:rFonts w:ascii="Book Antiqua" w:hAnsi="Book Antiqua"/>
          <w:sz w:val="24"/>
          <w:szCs w:val="24"/>
        </w:rPr>
        <w:t xml:space="preserve">, Akahoshi K, Tomoeda N, Kinoshita N, Kubokawa M, Yodoe K, Hiraki Y, Oya M, Yamamoto H, Ihara E. Leiomyosarcoma of the stomach treated by endoscopic submucosal dissection. </w:t>
      </w:r>
      <w:r w:rsidRPr="00E206EA">
        <w:rPr>
          <w:rFonts w:ascii="Book Antiqua" w:hAnsi="Book Antiqua"/>
          <w:i/>
          <w:sz w:val="24"/>
          <w:szCs w:val="24"/>
        </w:rPr>
        <w:t>Clin J Gastroenterol</w:t>
      </w:r>
      <w:r w:rsidRPr="00E206EA">
        <w:rPr>
          <w:rFonts w:ascii="Book Antiqua" w:hAnsi="Book Antiqua"/>
          <w:sz w:val="24"/>
          <w:szCs w:val="24"/>
        </w:rPr>
        <w:t xml:space="preserve"> 2018; </w:t>
      </w:r>
      <w:r w:rsidRPr="00E206EA">
        <w:rPr>
          <w:rFonts w:ascii="Book Antiqua" w:hAnsi="Book Antiqua"/>
          <w:b/>
          <w:sz w:val="24"/>
          <w:szCs w:val="24"/>
        </w:rPr>
        <w:t>11</w:t>
      </w:r>
      <w:r w:rsidRPr="00E206EA">
        <w:rPr>
          <w:rFonts w:ascii="Book Antiqua" w:hAnsi="Book Antiqua"/>
          <w:sz w:val="24"/>
          <w:szCs w:val="24"/>
        </w:rPr>
        <w:t>: 291-296 [PMID: 29500609 DOI: 10.1007/s12328-018-0838-4]</w:t>
      </w:r>
    </w:p>
    <w:p w14:paraId="09D91FB1"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2 </w:t>
      </w:r>
      <w:r w:rsidRPr="00E206EA">
        <w:rPr>
          <w:rFonts w:ascii="Book Antiqua" w:hAnsi="Book Antiqua"/>
          <w:b/>
          <w:sz w:val="24"/>
          <w:szCs w:val="24"/>
        </w:rPr>
        <w:t>Hasnaoui A</w:t>
      </w:r>
      <w:r w:rsidRPr="00E206EA">
        <w:rPr>
          <w:rFonts w:ascii="Book Antiqua" w:hAnsi="Book Antiqua"/>
          <w:sz w:val="24"/>
          <w:szCs w:val="24"/>
        </w:rPr>
        <w:t xml:space="preserve">, Jouini R, Haddad D, Zaafouri H, Bouhafa A, Ben Maamer A, Ben Brahim E. Gastric leiomyosarcoma and diagnostic pitfalls: a case report. </w:t>
      </w:r>
      <w:r w:rsidRPr="00E206EA">
        <w:rPr>
          <w:rFonts w:ascii="Book Antiqua" w:hAnsi="Book Antiqua"/>
          <w:i/>
          <w:sz w:val="24"/>
          <w:szCs w:val="24"/>
        </w:rPr>
        <w:t>BMC Surg</w:t>
      </w:r>
      <w:r w:rsidRPr="00E206EA">
        <w:rPr>
          <w:rFonts w:ascii="Book Antiqua" w:hAnsi="Book Antiqua"/>
          <w:sz w:val="24"/>
          <w:szCs w:val="24"/>
        </w:rPr>
        <w:t xml:space="preserve"> 2018; </w:t>
      </w:r>
      <w:r w:rsidRPr="00E206EA">
        <w:rPr>
          <w:rFonts w:ascii="Book Antiqua" w:hAnsi="Book Antiqua"/>
          <w:b/>
          <w:sz w:val="24"/>
          <w:szCs w:val="24"/>
        </w:rPr>
        <w:t>18</w:t>
      </w:r>
      <w:r w:rsidRPr="00E206EA">
        <w:rPr>
          <w:rFonts w:ascii="Book Antiqua" w:hAnsi="Book Antiqua"/>
          <w:sz w:val="24"/>
          <w:szCs w:val="24"/>
        </w:rPr>
        <w:t>: 62 [PMID: 30119659 DOI: 10.1186/s12893-018-0393-4]</w:t>
      </w:r>
    </w:p>
    <w:p w14:paraId="69A17A74"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3 </w:t>
      </w:r>
      <w:r w:rsidRPr="00E206EA">
        <w:rPr>
          <w:rFonts w:ascii="Book Antiqua" w:hAnsi="Book Antiqua"/>
          <w:b/>
          <w:sz w:val="24"/>
          <w:szCs w:val="24"/>
        </w:rPr>
        <w:t>Mehta V</w:t>
      </w:r>
      <w:r w:rsidRPr="00E206EA">
        <w:rPr>
          <w:rFonts w:ascii="Book Antiqua" w:hAnsi="Book Antiqua"/>
          <w:sz w:val="24"/>
          <w:szCs w:val="24"/>
        </w:rPr>
        <w:t xml:space="preserve">, Rajawat M, Rastogi S, Phulware RH, Mezencev R. Leiomyosarcoma of the stomach with metastasis to the liver: a case report with review of the literature. </w:t>
      </w:r>
      <w:r w:rsidRPr="00E206EA">
        <w:rPr>
          <w:rFonts w:ascii="Book Antiqua" w:hAnsi="Book Antiqua"/>
          <w:i/>
          <w:sz w:val="24"/>
          <w:szCs w:val="24"/>
        </w:rPr>
        <w:t>Future Sci OA</w:t>
      </w:r>
      <w:r w:rsidRPr="00E206EA">
        <w:rPr>
          <w:rFonts w:ascii="Book Antiqua" w:hAnsi="Book Antiqua"/>
          <w:sz w:val="24"/>
          <w:szCs w:val="24"/>
        </w:rPr>
        <w:t xml:space="preserve"> 2017; </w:t>
      </w:r>
      <w:r w:rsidRPr="00E206EA">
        <w:rPr>
          <w:rFonts w:ascii="Book Antiqua" w:hAnsi="Book Antiqua"/>
          <w:b/>
          <w:sz w:val="24"/>
          <w:szCs w:val="24"/>
        </w:rPr>
        <w:t>4</w:t>
      </w:r>
      <w:r w:rsidRPr="00E206EA">
        <w:rPr>
          <w:rFonts w:ascii="Book Antiqua" w:hAnsi="Book Antiqua"/>
          <w:sz w:val="24"/>
          <w:szCs w:val="24"/>
        </w:rPr>
        <w:t>: FSO264 [PMID: 29379638 DOI: 10.4155/fsoa-2017-0100]</w:t>
      </w:r>
    </w:p>
    <w:p w14:paraId="72E393F9"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4 </w:t>
      </w:r>
      <w:r w:rsidRPr="00E206EA">
        <w:rPr>
          <w:rFonts w:ascii="Book Antiqua" w:hAnsi="Book Antiqua"/>
          <w:b/>
          <w:sz w:val="24"/>
          <w:szCs w:val="24"/>
        </w:rPr>
        <w:t>Rou WS</w:t>
      </w:r>
      <w:r w:rsidRPr="00E206EA">
        <w:rPr>
          <w:rFonts w:ascii="Book Antiqua" w:hAnsi="Book Antiqua"/>
          <w:sz w:val="24"/>
          <w:szCs w:val="24"/>
        </w:rPr>
        <w:t xml:space="preserve">, Ju JS, Kang SH, Moon HS, Sung JK, Lee BS, Jeong HY, Song KS. [A case of gastric leiomyosarcoma with multiple metastases]. </w:t>
      </w:r>
      <w:r w:rsidRPr="00E206EA">
        <w:rPr>
          <w:rFonts w:ascii="Book Antiqua" w:hAnsi="Book Antiqua"/>
          <w:i/>
          <w:sz w:val="24"/>
          <w:szCs w:val="24"/>
        </w:rPr>
        <w:t>Korean J Gastroenterol</w:t>
      </w:r>
      <w:r w:rsidRPr="00E206EA">
        <w:rPr>
          <w:rFonts w:ascii="Book Antiqua" w:hAnsi="Book Antiqua"/>
          <w:sz w:val="24"/>
          <w:szCs w:val="24"/>
        </w:rPr>
        <w:t xml:space="preserve"> 2015; </w:t>
      </w:r>
      <w:r w:rsidRPr="00E206EA">
        <w:rPr>
          <w:rFonts w:ascii="Book Antiqua" w:hAnsi="Book Antiqua"/>
          <w:b/>
          <w:sz w:val="24"/>
          <w:szCs w:val="24"/>
        </w:rPr>
        <w:t>65</w:t>
      </w:r>
      <w:r w:rsidRPr="00E206EA">
        <w:rPr>
          <w:rFonts w:ascii="Book Antiqua" w:hAnsi="Book Antiqua"/>
          <w:sz w:val="24"/>
          <w:szCs w:val="24"/>
        </w:rPr>
        <w:t>: 112-117 [PMID: 25716714 DOI: 10.4166/kjg.2015.65.2.112]</w:t>
      </w:r>
    </w:p>
    <w:p w14:paraId="1FB09D83"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5 </w:t>
      </w:r>
      <w:r w:rsidRPr="00E206EA">
        <w:rPr>
          <w:rFonts w:ascii="Book Antiqua" w:hAnsi="Book Antiqua"/>
          <w:b/>
          <w:sz w:val="24"/>
          <w:szCs w:val="24"/>
        </w:rPr>
        <w:t>Weledji EP</w:t>
      </w:r>
      <w:r w:rsidRPr="00E206EA">
        <w:rPr>
          <w:rFonts w:ascii="Book Antiqua" w:hAnsi="Book Antiqua"/>
          <w:sz w:val="24"/>
          <w:szCs w:val="24"/>
        </w:rPr>
        <w:t xml:space="preserve">, Enoworock G, Ngowe MN. Gastric leiomyosarcoma as a rare cause of gastric outlet obstruction and perforation: a case report. </w:t>
      </w:r>
      <w:r w:rsidRPr="00E206EA">
        <w:rPr>
          <w:rFonts w:ascii="Book Antiqua" w:hAnsi="Book Antiqua"/>
          <w:i/>
          <w:sz w:val="24"/>
          <w:szCs w:val="24"/>
        </w:rPr>
        <w:t>BMC Res Notes</w:t>
      </w:r>
      <w:r w:rsidRPr="00E206EA">
        <w:rPr>
          <w:rFonts w:ascii="Book Antiqua" w:hAnsi="Book Antiqua"/>
          <w:sz w:val="24"/>
          <w:szCs w:val="24"/>
        </w:rPr>
        <w:t xml:space="preserve"> 2014; </w:t>
      </w:r>
      <w:r w:rsidRPr="00E206EA">
        <w:rPr>
          <w:rFonts w:ascii="Book Antiqua" w:hAnsi="Book Antiqua"/>
          <w:b/>
          <w:sz w:val="24"/>
          <w:szCs w:val="24"/>
        </w:rPr>
        <w:t>7</w:t>
      </w:r>
      <w:r w:rsidRPr="00E206EA">
        <w:rPr>
          <w:rFonts w:ascii="Book Antiqua" w:hAnsi="Book Antiqua"/>
          <w:sz w:val="24"/>
          <w:szCs w:val="24"/>
        </w:rPr>
        <w:t>: 479 [PMID: 25069607 DOI: 10.1186/1756-0500-7-479]</w:t>
      </w:r>
    </w:p>
    <w:p w14:paraId="55976D5A"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6 </w:t>
      </w:r>
      <w:r w:rsidRPr="00E206EA">
        <w:rPr>
          <w:rFonts w:ascii="Book Antiqua" w:hAnsi="Book Antiqua"/>
          <w:b/>
          <w:sz w:val="24"/>
          <w:szCs w:val="24"/>
        </w:rPr>
        <w:t>Yamamoto H</w:t>
      </w:r>
      <w:r w:rsidRPr="00E206EA">
        <w:rPr>
          <w:rFonts w:ascii="Book Antiqua" w:hAnsi="Book Antiqua"/>
          <w:sz w:val="24"/>
          <w:szCs w:val="24"/>
        </w:rPr>
        <w:t xml:space="preserve">, Handa M, Tobo T, Setsu N, Fujita K, Oshiro Y, Mihara Y, Yoshikawa Y, Oda Y. Clinicopathological features of primary leiomyosarcoma of the gastrointestinal tract following recognition of gastrointestinal stromal </w:t>
      </w:r>
      <w:r w:rsidRPr="00E206EA">
        <w:rPr>
          <w:rFonts w:ascii="Book Antiqua" w:hAnsi="Book Antiqua"/>
          <w:sz w:val="24"/>
          <w:szCs w:val="24"/>
        </w:rPr>
        <w:lastRenderedPageBreak/>
        <w:t xml:space="preserve">tumours. </w:t>
      </w:r>
      <w:r w:rsidRPr="00E206EA">
        <w:rPr>
          <w:rFonts w:ascii="Book Antiqua" w:hAnsi="Book Antiqua"/>
          <w:i/>
          <w:sz w:val="24"/>
          <w:szCs w:val="24"/>
        </w:rPr>
        <w:t>Histopathology</w:t>
      </w:r>
      <w:r w:rsidRPr="00E206EA">
        <w:rPr>
          <w:rFonts w:ascii="Book Antiqua" w:hAnsi="Book Antiqua"/>
          <w:sz w:val="24"/>
          <w:szCs w:val="24"/>
        </w:rPr>
        <w:t xml:space="preserve"> 2013; </w:t>
      </w:r>
      <w:r w:rsidRPr="00E206EA">
        <w:rPr>
          <w:rFonts w:ascii="Book Antiqua" w:hAnsi="Book Antiqua"/>
          <w:b/>
          <w:sz w:val="24"/>
          <w:szCs w:val="24"/>
        </w:rPr>
        <w:t>63</w:t>
      </w:r>
      <w:r w:rsidRPr="00E206EA">
        <w:rPr>
          <w:rFonts w:ascii="Book Antiqua" w:hAnsi="Book Antiqua"/>
          <w:sz w:val="24"/>
          <w:szCs w:val="24"/>
        </w:rPr>
        <w:t>: 194-207 [PMID: 23763337 DOI: 10.1111/his.12159]</w:t>
      </w:r>
    </w:p>
    <w:p w14:paraId="2D4AE977"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7 </w:t>
      </w:r>
      <w:r w:rsidRPr="00E206EA">
        <w:rPr>
          <w:rFonts w:ascii="Book Antiqua" w:hAnsi="Book Antiqua"/>
          <w:b/>
          <w:sz w:val="24"/>
          <w:szCs w:val="24"/>
        </w:rPr>
        <w:t>Damiano G</w:t>
      </w:r>
      <w:r w:rsidRPr="00E206EA">
        <w:rPr>
          <w:rFonts w:ascii="Book Antiqua" w:hAnsi="Book Antiqua"/>
          <w:sz w:val="24"/>
          <w:szCs w:val="24"/>
        </w:rPr>
        <w:t xml:space="preserve">, Di Ganci S, Palumbo VD, Spinelli G, De Luca S, Cudia B, Tomasello G, Lo Monte AI. [Gastric leiomyosarcoma: case report and review of literature]. </w:t>
      </w:r>
      <w:r w:rsidRPr="00E206EA">
        <w:rPr>
          <w:rFonts w:ascii="Book Antiqua" w:hAnsi="Book Antiqua"/>
          <w:i/>
          <w:sz w:val="24"/>
          <w:szCs w:val="24"/>
        </w:rPr>
        <w:t>Clin Ter</w:t>
      </w:r>
      <w:r w:rsidRPr="00E206EA">
        <w:rPr>
          <w:rFonts w:ascii="Book Antiqua" w:hAnsi="Book Antiqua"/>
          <w:sz w:val="24"/>
          <w:szCs w:val="24"/>
        </w:rPr>
        <w:t xml:space="preserve"> 2012; </w:t>
      </w:r>
      <w:r w:rsidRPr="00E206EA">
        <w:rPr>
          <w:rFonts w:ascii="Book Antiqua" w:hAnsi="Book Antiqua"/>
          <w:b/>
          <w:sz w:val="24"/>
          <w:szCs w:val="24"/>
        </w:rPr>
        <w:t>163</w:t>
      </w:r>
      <w:r w:rsidRPr="00E206EA">
        <w:rPr>
          <w:rFonts w:ascii="Book Antiqua" w:hAnsi="Book Antiqua"/>
          <w:sz w:val="24"/>
          <w:szCs w:val="24"/>
        </w:rPr>
        <w:t>: e181-e184 [PMID: 23007823]</w:t>
      </w:r>
    </w:p>
    <w:p w14:paraId="2DEB56EB"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8 </w:t>
      </w:r>
      <w:r w:rsidRPr="00E206EA">
        <w:rPr>
          <w:rFonts w:ascii="Book Antiqua" w:hAnsi="Book Antiqua"/>
          <w:b/>
          <w:sz w:val="24"/>
          <w:szCs w:val="24"/>
        </w:rPr>
        <w:t>Insabato L</w:t>
      </w:r>
      <w:r w:rsidRPr="00E206EA">
        <w:rPr>
          <w:rFonts w:ascii="Book Antiqua" w:hAnsi="Book Antiqua"/>
          <w:sz w:val="24"/>
          <w:szCs w:val="24"/>
        </w:rPr>
        <w:t xml:space="preserve">, Masone S, Campione S, Vigliar E, Staibano S, Tornillo L. Coexistence of primary gastric giant cell-rich leiomyosarcoma and gastrointestinal stromal tumor: report of a very rare combination and review of the literature. </w:t>
      </w:r>
      <w:r w:rsidRPr="00E206EA">
        <w:rPr>
          <w:rFonts w:ascii="Book Antiqua" w:hAnsi="Book Antiqua"/>
          <w:i/>
          <w:sz w:val="24"/>
          <w:szCs w:val="24"/>
        </w:rPr>
        <w:t>Int J Surg Pathol</w:t>
      </w:r>
      <w:r w:rsidRPr="00E206EA">
        <w:rPr>
          <w:rFonts w:ascii="Book Antiqua" w:hAnsi="Book Antiqua"/>
          <w:sz w:val="24"/>
          <w:szCs w:val="24"/>
        </w:rPr>
        <w:t xml:space="preserve"> 2012; </w:t>
      </w:r>
      <w:r w:rsidRPr="00E206EA">
        <w:rPr>
          <w:rFonts w:ascii="Book Antiqua" w:hAnsi="Book Antiqua"/>
          <w:b/>
          <w:sz w:val="24"/>
          <w:szCs w:val="24"/>
        </w:rPr>
        <w:t>20</w:t>
      </w:r>
      <w:r w:rsidRPr="00E206EA">
        <w:rPr>
          <w:rFonts w:ascii="Book Antiqua" w:hAnsi="Book Antiqua"/>
          <w:sz w:val="24"/>
          <w:szCs w:val="24"/>
        </w:rPr>
        <w:t>: 74-78 [PMID: 21742646 DOI: 10.1177/1066896911414018]</w:t>
      </w:r>
    </w:p>
    <w:p w14:paraId="3872434C"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9 </w:t>
      </w:r>
      <w:r w:rsidRPr="00E206EA">
        <w:rPr>
          <w:rFonts w:ascii="Book Antiqua" w:hAnsi="Book Antiqua"/>
          <w:b/>
          <w:sz w:val="24"/>
          <w:szCs w:val="24"/>
        </w:rPr>
        <w:t>Soufi M</w:t>
      </w:r>
      <w:r w:rsidRPr="00E206EA">
        <w:rPr>
          <w:rFonts w:ascii="Book Antiqua" w:hAnsi="Book Antiqua"/>
          <w:sz w:val="24"/>
          <w:szCs w:val="24"/>
        </w:rPr>
        <w:t xml:space="preserve">, Errougani A, Chekkof RM. Primary gastric leiomyosarcoma in young revealed by a massive hematemesis. </w:t>
      </w:r>
      <w:r w:rsidRPr="00E206EA">
        <w:rPr>
          <w:rFonts w:ascii="Book Antiqua" w:hAnsi="Book Antiqua"/>
          <w:i/>
          <w:sz w:val="24"/>
          <w:szCs w:val="24"/>
        </w:rPr>
        <w:t>J Gastrointest Cancer</w:t>
      </w:r>
      <w:r w:rsidRPr="00E206EA">
        <w:rPr>
          <w:rFonts w:ascii="Book Antiqua" w:hAnsi="Book Antiqua"/>
          <w:sz w:val="24"/>
          <w:szCs w:val="24"/>
        </w:rPr>
        <w:t xml:space="preserve"> 2009; </w:t>
      </w:r>
      <w:r w:rsidRPr="00E206EA">
        <w:rPr>
          <w:rFonts w:ascii="Book Antiqua" w:hAnsi="Book Antiqua"/>
          <w:b/>
          <w:sz w:val="24"/>
          <w:szCs w:val="24"/>
        </w:rPr>
        <w:t>40</w:t>
      </w:r>
      <w:r w:rsidRPr="00E206EA">
        <w:rPr>
          <w:rFonts w:ascii="Book Antiqua" w:hAnsi="Book Antiqua"/>
          <w:sz w:val="24"/>
          <w:szCs w:val="24"/>
        </w:rPr>
        <w:t>: 69-72 [PMID: 19728181 DOI: 10.1007/s12029-009-9080-0]</w:t>
      </w:r>
    </w:p>
    <w:p w14:paraId="128C90DB"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10 </w:t>
      </w:r>
      <w:r w:rsidRPr="00E206EA">
        <w:rPr>
          <w:rFonts w:ascii="Book Antiqua" w:hAnsi="Book Antiqua"/>
          <w:b/>
          <w:sz w:val="24"/>
          <w:szCs w:val="24"/>
        </w:rPr>
        <w:t>Masuzawa N</w:t>
      </w:r>
      <w:r w:rsidRPr="00E206EA">
        <w:rPr>
          <w:rFonts w:ascii="Book Antiqua" w:hAnsi="Book Antiqua"/>
          <w:sz w:val="24"/>
          <w:szCs w:val="24"/>
        </w:rPr>
        <w:t xml:space="preserve">, Kishimoto M, Nishimura A, Ichiba N, Aoki E, Yanagibashi K, Hirota S, Yanagisawa A. Gastric leiomyosarcoma manifesting peculiar findings: radiological-pathological correlation. </w:t>
      </w:r>
      <w:r w:rsidRPr="00E206EA">
        <w:rPr>
          <w:rFonts w:ascii="Book Antiqua" w:hAnsi="Book Antiqua"/>
          <w:i/>
          <w:sz w:val="24"/>
          <w:szCs w:val="24"/>
        </w:rPr>
        <w:t>Pathol Int</w:t>
      </w:r>
      <w:r w:rsidRPr="00E206EA">
        <w:rPr>
          <w:rFonts w:ascii="Book Antiqua" w:hAnsi="Book Antiqua"/>
          <w:sz w:val="24"/>
          <w:szCs w:val="24"/>
        </w:rPr>
        <w:t xml:space="preserve"> 2009; </w:t>
      </w:r>
      <w:r w:rsidRPr="00E206EA">
        <w:rPr>
          <w:rFonts w:ascii="Book Antiqua" w:hAnsi="Book Antiqua"/>
          <w:b/>
          <w:sz w:val="24"/>
          <w:szCs w:val="24"/>
        </w:rPr>
        <w:t>59</w:t>
      </w:r>
      <w:r w:rsidRPr="00E206EA">
        <w:rPr>
          <w:rFonts w:ascii="Book Antiqua" w:hAnsi="Book Antiqua"/>
          <w:sz w:val="24"/>
          <w:szCs w:val="24"/>
        </w:rPr>
        <w:t>: 306-311 [PMID: 19432672 DOI: 10.1111/j.1440-1827.2009.02370.x]</w:t>
      </w:r>
    </w:p>
    <w:p w14:paraId="359DD7A8"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11 </w:t>
      </w:r>
      <w:r w:rsidRPr="00E206EA">
        <w:rPr>
          <w:rFonts w:ascii="Book Antiqua" w:hAnsi="Book Antiqua"/>
          <w:b/>
          <w:sz w:val="24"/>
          <w:szCs w:val="24"/>
        </w:rPr>
        <w:t>Pauser U</w:t>
      </w:r>
      <w:r w:rsidRPr="00E206EA">
        <w:rPr>
          <w:rFonts w:ascii="Book Antiqua" w:hAnsi="Book Antiqua"/>
          <w:sz w:val="24"/>
          <w:szCs w:val="24"/>
        </w:rPr>
        <w:t xml:space="preserve">, Grimm H. Intramucosal leiomyosarcoma of the stomach following hereditary retinoblastoma in childhood - a case report and review of the literature. </w:t>
      </w:r>
      <w:r w:rsidRPr="00E206EA">
        <w:rPr>
          <w:rFonts w:ascii="Book Antiqua" w:hAnsi="Book Antiqua"/>
          <w:i/>
          <w:sz w:val="24"/>
          <w:szCs w:val="24"/>
        </w:rPr>
        <w:t>World J Surg Oncol</w:t>
      </w:r>
      <w:r w:rsidRPr="00E206EA">
        <w:rPr>
          <w:rFonts w:ascii="Book Antiqua" w:hAnsi="Book Antiqua"/>
          <w:sz w:val="24"/>
          <w:szCs w:val="24"/>
        </w:rPr>
        <w:t xml:space="preserve"> 2008; </w:t>
      </w:r>
      <w:r w:rsidRPr="00E206EA">
        <w:rPr>
          <w:rFonts w:ascii="Book Antiqua" w:hAnsi="Book Antiqua"/>
          <w:b/>
          <w:sz w:val="24"/>
          <w:szCs w:val="24"/>
        </w:rPr>
        <w:t>6</w:t>
      </w:r>
      <w:r w:rsidRPr="00E206EA">
        <w:rPr>
          <w:rFonts w:ascii="Book Antiqua" w:hAnsi="Book Antiqua"/>
          <w:sz w:val="24"/>
          <w:szCs w:val="24"/>
        </w:rPr>
        <w:t>: 131 [PMID: 19077296 DOI: 10.1186/1477-7819-6-131]</w:t>
      </w:r>
    </w:p>
    <w:p w14:paraId="0367276B"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12 </w:t>
      </w:r>
      <w:r w:rsidRPr="00E206EA">
        <w:rPr>
          <w:rFonts w:ascii="Book Antiqua" w:hAnsi="Book Antiqua"/>
          <w:b/>
          <w:sz w:val="24"/>
          <w:szCs w:val="24"/>
        </w:rPr>
        <w:t>Geraci G</w:t>
      </w:r>
      <w:r w:rsidRPr="00E206EA">
        <w:rPr>
          <w:rFonts w:ascii="Book Antiqua" w:hAnsi="Book Antiqua"/>
          <w:sz w:val="24"/>
          <w:szCs w:val="24"/>
        </w:rPr>
        <w:t xml:space="preserve">, Pisello F, Sciumè C, Li Volsi F, Platia L, Facella T, Modica G. Unusual acute onset of pedunculated extragastric leiomyosarcoma. Case report. </w:t>
      </w:r>
      <w:r w:rsidRPr="00E206EA">
        <w:rPr>
          <w:rFonts w:ascii="Book Antiqua" w:hAnsi="Book Antiqua"/>
          <w:i/>
          <w:sz w:val="24"/>
          <w:szCs w:val="24"/>
        </w:rPr>
        <w:t>G Chir</w:t>
      </w:r>
      <w:r w:rsidRPr="00E206EA">
        <w:rPr>
          <w:rFonts w:ascii="Book Antiqua" w:hAnsi="Book Antiqua"/>
          <w:sz w:val="24"/>
          <w:szCs w:val="24"/>
        </w:rPr>
        <w:t xml:space="preserve"> 2007; </w:t>
      </w:r>
      <w:r w:rsidRPr="00E206EA">
        <w:rPr>
          <w:rFonts w:ascii="Book Antiqua" w:hAnsi="Book Antiqua"/>
          <w:b/>
          <w:sz w:val="24"/>
          <w:szCs w:val="24"/>
        </w:rPr>
        <w:t>28</w:t>
      </w:r>
      <w:r w:rsidRPr="00E206EA">
        <w:rPr>
          <w:rFonts w:ascii="Book Antiqua" w:hAnsi="Book Antiqua"/>
          <w:sz w:val="24"/>
          <w:szCs w:val="24"/>
        </w:rPr>
        <w:t>: 265-269 [PMID: 17626770]</w:t>
      </w:r>
    </w:p>
    <w:p w14:paraId="275FF01E"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13 </w:t>
      </w:r>
      <w:r w:rsidRPr="00E206EA">
        <w:rPr>
          <w:rFonts w:ascii="Book Antiqua" w:hAnsi="Book Antiqua"/>
          <w:b/>
          <w:sz w:val="24"/>
          <w:szCs w:val="24"/>
        </w:rPr>
        <w:t>Insabato L</w:t>
      </w:r>
      <w:r w:rsidRPr="00E206EA">
        <w:rPr>
          <w:rFonts w:ascii="Book Antiqua" w:hAnsi="Book Antiqua"/>
          <w:sz w:val="24"/>
          <w:szCs w:val="24"/>
        </w:rPr>
        <w:t xml:space="preserve">, Di Vizio D, Ciancia G, Pettinato G, Tornillo L, Terracciano L. Malignant gastrointestinal leiomyosarcoma and gastrointestinal stromal tumor with prominent osteoclast-like giant cells. </w:t>
      </w:r>
      <w:r w:rsidRPr="00E206EA">
        <w:rPr>
          <w:rFonts w:ascii="Book Antiqua" w:hAnsi="Book Antiqua"/>
          <w:i/>
          <w:sz w:val="24"/>
          <w:szCs w:val="24"/>
        </w:rPr>
        <w:t>Arch Pathol Lab Med</w:t>
      </w:r>
      <w:r w:rsidRPr="00E206EA">
        <w:rPr>
          <w:rFonts w:ascii="Book Antiqua" w:hAnsi="Book Antiqua"/>
          <w:sz w:val="24"/>
          <w:szCs w:val="24"/>
        </w:rPr>
        <w:t xml:space="preserve"> 2004; </w:t>
      </w:r>
      <w:r w:rsidRPr="00E206EA">
        <w:rPr>
          <w:rFonts w:ascii="Book Antiqua" w:hAnsi="Book Antiqua"/>
          <w:b/>
          <w:sz w:val="24"/>
          <w:szCs w:val="24"/>
        </w:rPr>
        <w:t>128</w:t>
      </w:r>
      <w:r w:rsidRPr="00E206EA">
        <w:rPr>
          <w:rFonts w:ascii="Book Antiqua" w:hAnsi="Book Antiqua"/>
          <w:sz w:val="24"/>
          <w:szCs w:val="24"/>
        </w:rPr>
        <w:t>: 440-443 [PMID: 15043462 DOI: 10.1043/1543-2165(2004)128&lt;440:MGLAGS&gt;2.0.CO;2]</w:t>
      </w:r>
    </w:p>
    <w:p w14:paraId="268B63E0" w14:textId="6C4FFBDD"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highlight w:val="yellow"/>
        </w:rPr>
        <w:t xml:space="preserve">14 </w:t>
      </w:r>
      <w:r w:rsidRPr="00E206EA">
        <w:rPr>
          <w:rFonts w:ascii="Book Antiqua" w:hAnsi="Book Antiqua"/>
          <w:b/>
          <w:sz w:val="24"/>
          <w:szCs w:val="24"/>
          <w:highlight w:val="yellow"/>
        </w:rPr>
        <w:t>Fletcher CDM,</w:t>
      </w:r>
      <w:r w:rsidR="00AB01A8" w:rsidRPr="00E206EA">
        <w:rPr>
          <w:rFonts w:ascii="Book Antiqua" w:hAnsi="Book Antiqua"/>
          <w:sz w:val="24"/>
          <w:szCs w:val="24"/>
          <w:highlight w:val="yellow"/>
        </w:rPr>
        <w:t xml:space="preserve"> </w:t>
      </w:r>
      <w:r w:rsidRPr="00E206EA">
        <w:rPr>
          <w:rFonts w:ascii="Book Antiqua" w:hAnsi="Book Antiqua"/>
          <w:sz w:val="24"/>
          <w:szCs w:val="24"/>
          <w:highlight w:val="yellow"/>
        </w:rPr>
        <w:t xml:space="preserve">Bridge JA, Hogendoom PCW. WHO classification of </w:t>
      </w:r>
      <w:r w:rsidRPr="00E206EA">
        <w:rPr>
          <w:rFonts w:ascii="Book Antiqua" w:hAnsi="Book Antiqua"/>
          <w:sz w:val="24"/>
          <w:szCs w:val="24"/>
          <w:highlight w:val="yellow"/>
        </w:rPr>
        <w:lastRenderedPageBreak/>
        <w:t>tumours of soft tissue and bone</w:t>
      </w:r>
      <w:r w:rsidRPr="00E206EA">
        <w:rPr>
          <w:rFonts w:ascii="Book Antiqua" w:hAnsi="Book Antiqua"/>
          <w:sz w:val="24"/>
          <w:szCs w:val="24"/>
          <w:highlight w:val="yellow"/>
        </w:rPr>
        <w:t>．</w:t>
      </w:r>
      <w:r w:rsidRPr="00E206EA">
        <w:rPr>
          <w:rFonts w:ascii="Book Antiqua" w:hAnsi="Book Antiqua"/>
          <w:sz w:val="24"/>
          <w:szCs w:val="24"/>
          <w:highlight w:val="yellow"/>
        </w:rPr>
        <w:t>Lyon: IARC Press</w:t>
      </w:r>
      <w:r w:rsidR="00E206EA" w:rsidRPr="00E206EA">
        <w:rPr>
          <w:rFonts w:ascii="Book Antiqua" w:hAnsi="Book Antiqua"/>
          <w:sz w:val="24"/>
          <w:szCs w:val="24"/>
          <w:highlight w:val="yellow"/>
        </w:rPr>
        <w:t xml:space="preserve">, </w:t>
      </w:r>
      <w:r w:rsidRPr="00E206EA">
        <w:rPr>
          <w:rFonts w:ascii="Book Antiqua" w:hAnsi="Book Antiqua"/>
          <w:sz w:val="24"/>
          <w:szCs w:val="24"/>
          <w:highlight w:val="yellow"/>
        </w:rPr>
        <w:t>2013: 111-113</w:t>
      </w:r>
    </w:p>
    <w:p w14:paraId="4C834BF6"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15 </w:t>
      </w:r>
      <w:r w:rsidRPr="00E206EA">
        <w:rPr>
          <w:rFonts w:ascii="Book Antiqua" w:hAnsi="Book Antiqua"/>
          <w:b/>
          <w:sz w:val="24"/>
          <w:szCs w:val="24"/>
        </w:rPr>
        <w:t>Agaimy A</w:t>
      </w:r>
      <w:r w:rsidRPr="00E206EA">
        <w:rPr>
          <w:rFonts w:ascii="Book Antiqua" w:hAnsi="Book Antiqua"/>
          <w:sz w:val="24"/>
          <w:szCs w:val="24"/>
        </w:rPr>
        <w:t xml:space="preserve">, Wünsch PH. True smooth muscle neoplasms of the gastrointestinal tract: morphological spectrum and classification in a series of 85 cases from a single institute. </w:t>
      </w:r>
      <w:r w:rsidRPr="00E206EA">
        <w:rPr>
          <w:rFonts w:ascii="Book Antiqua" w:hAnsi="Book Antiqua"/>
          <w:i/>
          <w:sz w:val="24"/>
          <w:szCs w:val="24"/>
        </w:rPr>
        <w:t>Langenbecks Arch Surg</w:t>
      </w:r>
      <w:r w:rsidRPr="00E206EA">
        <w:rPr>
          <w:rFonts w:ascii="Book Antiqua" w:hAnsi="Book Antiqua"/>
          <w:sz w:val="24"/>
          <w:szCs w:val="24"/>
        </w:rPr>
        <w:t xml:space="preserve"> 2007; </w:t>
      </w:r>
      <w:r w:rsidRPr="00E206EA">
        <w:rPr>
          <w:rFonts w:ascii="Book Antiqua" w:hAnsi="Book Antiqua"/>
          <w:b/>
          <w:sz w:val="24"/>
          <w:szCs w:val="24"/>
        </w:rPr>
        <w:t>392</w:t>
      </w:r>
      <w:r w:rsidRPr="00E206EA">
        <w:rPr>
          <w:rFonts w:ascii="Book Antiqua" w:hAnsi="Book Antiqua"/>
          <w:sz w:val="24"/>
          <w:szCs w:val="24"/>
        </w:rPr>
        <w:t>: 75-81 [PMID: 17021790 DOI: 10.1007/s00423-006-0092-y]</w:t>
      </w:r>
    </w:p>
    <w:p w14:paraId="6405F00F"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16 </w:t>
      </w:r>
      <w:r w:rsidRPr="00E206EA">
        <w:rPr>
          <w:rFonts w:ascii="Book Antiqua" w:hAnsi="Book Antiqua"/>
          <w:b/>
          <w:sz w:val="24"/>
          <w:szCs w:val="24"/>
        </w:rPr>
        <w:t>Karila-Cohen P</w:t>
      </w:r>
      <w:r w:rsidRPr="00E206EA">
        <w:rPr>
          <w:rFonts w:ascii="Book Antiqua" w:hAnsi="Book Antiqua"/>
          <w:sz w:val="24"/>
          <w:szCs w:val="24"/>
        </w:rPr>
        <w:t xml:space="preserve">, Petit T, Kotobi H, Merran S. [Gastric leiomyosarcoma]. </w:t>
      </w:r>
      <w:r w:rsidRPr="00E206EA">
        <w:rPr>
          <w:rFonts w:ascii="Book Antiqua" w:hAnsi="Book Antiqua"/>
          <w:i/>
          <w:sz w:val="24"/>
          <w:szCs w:val="24"/>
        </w:rPr>
        <w:t>J Radiol</w:t>
      </w:r>
      <w:r w:rsidRPr="00E206EA">
        <w:rPr>
          <w:rFonts w:ascii="Book Antiqua" w:hAnsi="Book Antiqua"/>
          <w:sz w:val="24"/>
          <w:szCs w:val="24"/>
        </w:rPr>
        <w:t xml:space="preserve"> 2004; </w:t>
      </w:r>
      <w:r w:rsidRPr="00E206EA">
        <w:rPr>
          <w:rFonts w:ascii="Book Antiqua" w:hAnsi="Book Antiqua"/>
          <w:b/>
          <w:sz w:val="24"/>
          <w:szCs w:val="24"/>
        </w:rPr>
        <w:t>85</w:t>
      </w:r>
      <w:r w:rsidRPr="00E206EA">
        <w:rPr>
          <w:rFonts w:ascii="Book Antiqua" w:hAnsi="Book Antiqua"/>
          <w:sz w:val="24"/>
          <w:szCs w:val="24"/>
        </w:rPr>
        <w:t>: 1993-1997 [PMID: 15692409 DOI: 10.1016/s0221-0363(04)97771-2]</w:t>
      </w:r>
    </w:p>
    <w:p w14:paraId="52D76B88"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17 </w:t>
      </w:r>
      <w:r w:rsidRPr="00E206EA">
        <w:rPr>
          <w:rFonts w:ascii="Book Antiqua" w:hAnsi="Book Antiqua"/>
          <w:b/>
          <w:sz w:val="24"/>
          <w:szCs w:val="24"/>
        </w:rPr>
        <w:t>Costa M</w:t>
      </w:r>
      <w:r w:rsidRPr="00E206EA">
        <w:rPr>
          <w:rFonts w:ascii="Book Antiqua" w:hAnsi="Book Antiqua"/>
          <w:sz w:val="24"/>
          <w:szCs w:val="24"/>
        </w:rPr>
        <w:t xml:space="preserve">, Ivanova E, Esteves J. Upper gastrointestinal bleeding due to gastric metastasis from a primary uterine leiomyosarcoma. </w:t>
      </w:r>
      <w:r w:rsidRPr="00E206EA">
        <w:rPr>
          <w:rFonts w:ascii="Book Antiqua" w:hAnsi="Book Antiqua"/>
          <w:i/>
          <w:sz w:val="24"/>
          <w:szCs w:val="24"/>
        </w:rPr>
        <w:t>Acta Clin Belg</w:t>
      </w:r>
      <w:r w:rsidRPr="00E206EA">
        <w:rPr>
          <w:rFonts w:ascii="Book Antiqua" w:hAnsi="Book Antiqua"/>
          <w:sz w:val="24"/>
          <w:szCs w:val="24"/>
        </w:rPr>
        <w:t xml:space="preserve"> 2016; </w:t>
      </w:r>
      <w:r w:rsidRPr="00E206EA">
        <w:rPr>
          <w:rFonts w:ascii="Book Antiqua" w:hAnsi="Book Antiqua"/>
          <w:b/>
          <w:sz w:val="24"/>
          <w:szCs w:val="24"/>
        </w:rPr>
        <w:t>71</w:t>
      </w:r>
      <w:r w:rsidRPr="00E206EA">
        <w:rPr>
          <w:rFonts w:ascii="Book Antiqua" w:hAnsi="Book Antiqua"/>
          <w:sz w:val="24"/>
          <w:szCs w:val="24"/>
        </w:rPr>
        <w:t>: 271-272 [PMID: 26400663 DOI: 10.1179/2295333715Y.0000000071]</w:t>
      </w:r>
    </w:p>
    <w:p w14:paraId="2D451274"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18 </w:t>
      </w:r>
      <w:r w:rsidRPr="00E206EA">
        <w:rPr>
          <w:rFonts w:ascii="Book Antiqua" w:hAnsi="Book Antiqua"/>
          <w:b/>
          <w:sz w:val="24"/>
          <w:szCs w:val="24"/>
        </w:rPr>
        <w:t>Kawaguchi K</w:t>
      </w:r>
      <w:r w:rsidRPr="00E206EA">
        <w:rPr>
          <w:rFonts w:ascii="Book Antiqua" w:hAnsi="Book Antiqua"/>
          <w:sz w:val="24"/>
          <w:szCs w:val="24"/>
        </w:rPr>
        <w:t xml:space="preserve">, Igarashi K, Murakami T, Kiyuna T, Nelson SD, Dry SM, Li Y, Russell TA, Singh AS, Chmielowski B, Unno M, Eilber FC, Hoffman RM. Combination of gemcitabine and docetaxel regresses both gastric leiomyosarcoma proliferation and invasion in an imageable patient-derived orthotopic xenograft (iPDOX) model. </w:t>
      </w:r>
      <w:r w:rsidRPr="00E206EA">
        <w:rPr>
          <w:rFonts w:ascii="Book Antiqua" w:hAnsi="Book Antiqua"/>
          <w:i/>
          <w:sz w:val="24"/>
          <w:szCs w:val="24"/>
        </w:rPr>
        <w:t>Cell Cycle</w:t>
      </w:r>
      <w:r w:rsidRPr="00E206EA">
        <w:rPr>
          <w:rFonts w:ascii="Book Antiqua" w:hAnsi="Book Antiqua"/>
          <w:sz w:val="24"/>
          <w:szCs w:val="24"/>
        </w:rPr>
        <w:t xml:space="preserve"> 2017; </w:t>
      </w:r>
      <w:r w:rsidRPr="00E206EA">
        <w:rPr>
          <w:rFonts w:ascii="Book Antiqua" w:hAnsi="Book Antiqua"/>
          <w:b/>
          <w:sz w:val="24"/>
          <w:szCs w:val="24"/>
        </w:rPr>
        <w:t>16</w:t>
      </w:r>
      <w:r w:rsidRPr="00E206EA">
        <w:rPr>
          <w:rFonts w:ascii="Book Antiqua" w:hAnsi="Book Antiqua"/>
          <w:sz w:val="24"/>
          <w:szCs w:val="24"/>
        </w:rPr>
        <w:t>: 1063-1069 [PMID: 28426279 DOI: 10.1080/15384101.2017.1314406]</w:t>
      </w:r>
    </w:p>
    <w:p w14:paraId="4DE1C202" w14:textId="77777777" w:rsidR="001626EE" w:rsidRPr="00E206EA" w:rsidRDefault="001626EE" w:rsidP="00E206EA">
      <w:pPr>
        <w:spacing w:line="360" w:lineRule="auto"/>
        <w:rPr>
          <w:rFonts w:ascii="Book Antiqua" w:hAnsi="Book Antiqua"/>
          <w:sz w:val="24"/>
          <w:szCs w:val="24"/>
        </w:rPr>
      </w:pPr>
      <w:r w:rsidRPr="00E206EA">
        <w:rPr>
          <w:rFonts w:ascii="Book Antiqua" w:hAnsi="Book Antiqua"/>
          <w:sz w:val="24"/>
          <w:szCs w:val="24"/>
        </w:rPr>
        <w:t xml:space="preserve">19 </w:t>
      </w:r>
      <w:r w:rsidRPr="00E206EA">
        <w:rPr>
          <w:rFonts w:ascii="Book Antiqua" w:hAnsi="Book Antiqua"/>
          <w:b/>
          <w:sz w:val="24"/>
          <w:szCs w:val="24"/>
        </w:rPr>
        <w:t>Hsieh CC</w:t>
      </w:r>
      <w:r w:rsidRPr="00E206EA">
        <w:rPr>
          <w:rFonts w:ascii="Book Antiqua" w:hAnsi="Book Antiqua"/>
          <w:sz w:val="24"/>
          <w:szCs w:val="24"/>
        </w:rPr>
        <w:t xml:space="preserve">, Shih CS, Wu YC, Huang BS, Hsu WH, Huang MH, Wang LS. Leiomyosarcoma of the gastric cardia and fundus. </w:t>
      </w:r>
      <w:r w:rsidRPr="00E206EA">
        <w:rPr>
          <w:rFonts w:ascii="Book Antiqua" w:hAnsi="Book Antiqua"/>
          <w:i/>
          <w:sz w:val="24"/>
          <w:szCs w:val="24"/>
        </w:rPr>
        <w:t>Zhonghua Yi Xue Za Zhi (Taipei)</w:t>
      </w:r>
      <w:r w:rsidRPr="00E206EA">
        <w:rPr>
          <w:rFonts w:ascii="Book Antiqua" w:hAnsi="Book Antiqua"/>
          <w:sz w:val="24"/>
          <w:szCs w:val="24"/>
        </w:rPr>
        <w:t xml:space="preserve"> 1999; </w:t>
      </w:r>
      <w:r w:rsidRPr="00E206EA">
        <w:rPr>
          <w:rFonts w:ascii="Book Antiqua" w:hAnsi="Book Antiqua"/>
          <w:b/>
          <w:sz w:val="24"/>
          <w:szCs w:val="24"/>
        </w:rPr>
        <w:t>62</w:t>
      </w:r>
      <w:r w:rsidRPr="00E206EA">
        <w:rPr>
          <w:rFonts w:ascii="Book Antiqua" w:hAnsi="Book Antiqua"/>
          <w:sz w:val="24"/>
          <w:szCs w:val="24"/>
        </w:rPr>
        <w:t>: 418-424 [PMID: 10418174]</w:t>
      </w:r>
    </w:p>
    <w:p w14:paraId="7FAD3372" w14:textId="77777777" w:rsidR="00E206EA" w:rsidRPr="00E206EA" w:rsidRDefault="00E206EA" w:rsidP="00E206EA">
      <w:pPr>
        <w:widowControl/>
        <w:spacing w:line="360" w:lineRule="auto"/>
        <w:rPr>
          <w:rFonts w:ascii="Book Antiqua" w:hAnsi="Book Antiqua" w:cs="Times New Roman"/>
          <w:color w:val="000000" w:themeColor="text1"/>
          <w:sz w:val="24"/>
          <w:szCs w:val="24"/>
        </w:rPr>
      </w:pPr>
    </w:p>
    <w:p w14:paraId="7CCAC0F6" w14:textId="2771A340" w:rsidR="00E206EA" w:rsidRPr="00E206EA" w:rsidRDefault="00E206EA" w:rsidP="00274A16">
      <w:pPr>
        <w:suppressAutoHyphens/>
        <w:wordWrap w:val="0"/>
        <w:spacing w:line="360" w:lineRule="auto"/>
        <w:jc w:val="right"/>
        <w:rPr>
          <w:rFonts w:ascii="Book Antiqua" w:hAnsi="Book Antiqua" w:cs="Mangal"/>
          <w:b/>
          <w:bCs/>
          <w:sz w:val="24"/>
          <w:szCs w:val="24"/>
          <w:lang w:val="it-IT"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3"/>
      <w:bookmarkStart w:id="153" w:name="OLE_LINK1812"/>
      <w:bookmarkStart w:id="154" w:name="OLE_LINK1811"/>
      <w:bookmarkStart w:id="155" w:name="OLE_LINK1807"/>
      <w:bookmarkStart w:id="156" w:name="OLE_LINK1806"/>
      <w:bookmarkStart w:id="157" w:name="OLE_LINK1755"/>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968"/>
      <w:bookmarkStart w:id="172" w:name="OLE_LINK1072"/>
      <w:bookmarkStart w:id="173" w:name="OLE_LINK1071"/>
      <w:bookmarkStart w:id="174" w:name="OLE_LINK1044"/>
      <w:bookmarkStart w:id="175" w:name="OLE_LINK1043"/>
      <w:bookmarkStart w:id="176" w:name="OLE_LINK1042"/>
      <w:bookmarkStart w:id="177" w:name="OLE_LINK1041"/>
      <w:bookmarkStart w:id="178" w:name="OLE_LINK1040"/>
      <w:bookmarkStart w:id="179" w:name="OLE_LINK1039"/>
      <w:bookmarkStart w:id="180" w:name="OLE_LINK1038"/>
      <w:bookmarkStart w:id="181" w:name="OLE_LINK1037"/>
      <w:bookmarkStart w:id="182" w:name="OLE_LINK1036"/>
      <w:bookmarkStart w:id="183" w:name="OLE_LINK1035"/>
      <w:bookmarkStart w:id="184" w:name="OLE_LINK987"/>
      <w:bookmarkStart w:id="185" w:name="OLE_LINK947"/>
      <w:bookmarkStart w:id="186" w:name="OLE_LINK946"/>
      <w:bookmarkStart w:id="187" w:name="OLE_LINK945"/>
      <w:bookmarkStart w:id="188" w:name="OLE_LINK1127"/>
      <w:bookmarkStart w:id="189" w:name="OLE_LINK962"/>
      <w:bookmarkStart w:id="190" w:name="OLE_LINK959"/>
      <w:bookmarkStart w:id="191" w:name="OLE_LINK958"/>
      <w:bookmarkStart w:id="192" w:name="OLE_LINK1185"/>
      <w:bookmarkStart w:id="193" w:name="OLE_LINK1159"/>
      <w:bookmarkStart w:id="194" w:name="OLE_LINK1158"/>
      <w:bookmarkStart w:id="195" w:name="OLE_LINK1157"/>
      <w:bookmarkStart w:id="196" w:name="OLE_LINK1156"/>
      <w:bookmarkStart w:id="197" w:name="OLE_LINK1065"/>
      <w:bookmarkStart w:id="198" w:name="OLE_LINK1064"/>
      <w:bookmarkStart w:id="199" w:name="OLE_LINK1023"/>
      <w:bookmarkStart w:id="200" w:name="OLE_LINK1022"/>
      <w:bookmarkStart w:id="201" w:name="OLE_LINK1021"/>
      <w:bookmarkStart w:id="202" w:name="OLE_LINK2183"/>
      <w:bookmarkStart w:id="203" w:name="OLE_LINK2182"/>
      <w:bookmarkStart w:id="204" w:name="OLE_LINK2181"/>
      <w:r w:rsidRPr="00E206EA">
        <w:rPr>
          <w:rFonts w:ascii="Book Antiqua" w:eastAsia="Lucida Sans Unicode" w:hAnsi="Book Antiqua" w:cs="Arial"/>
          <w:b/>
          <w:noProof/>
          <w:sz w:val="24"/>
          <w:szCs w:val="24"/>
          <w:lang w:val="it-IT" w:eastAsia="hi-IN" w:bidi="hi-IN"/>
        </w:rPr>
        <w:t>P-Reviewer</w:t>
      </w:r>
      <w:r w:rsidRPr="00E206EA">
        <w:rPr>
          <w:rFonts w:ascii="Book Antiqua" w:hAnsi="Book Antiqua" w:cs="Arial"/>
          <w:b/>
          <w:noProof/>
          <w:sz w:val="24"/>
          <w:szCs w:val="24"/>
          <w:lang w:val="it-IT" w:bidi="hi-IN"/>
        </w:rPr>
        <w:t>:</w:t>
      </w:r>
      <w:r w:rsidRPr="00E206EA">
        <w:rPr>
          <w:rFonts w:ascii="Book Antiqua" w:hAnsi="Book Antiqua"/>
          <w:sz w:val="24"/>
          <w:szCs w:val="24"/>
        </w:rPr>
        <w:t xml:space="preserve"> Arville B, Ashley S</w:t>
      </w:r>
      <w:r w:rsidRPr="00E206EA">
        <w:rPr>
          <w:rFonts w:ascii="Book Antiqua" w:eastAsia="Lucida Sans Unicode" w:hAnsi="Book Antiqua" w:cs="Mangal"/>
          <w:bCs/>
          <w:sz w:val="24"/>
          <w:szCs w:val="24"/>
          <w:lang w:val="it-IT" w:eastAsia="hi-IN" w:bidi="hi-IN"/>
        </w:rPr>
        <w:t xml:space="preserve"> </w:t>
      </w:r>
      <w:r w:rsidRPr="00E206EA">
        <w:rPr>
          <w:rFonts w:ascii="Book Antiqua" w:eastAsia="Lucida Sans Unicode" w:hAnsi="Book Antiqua" w:cs="Mangal"/>
          <w:b/>
          <w:bCs/>
          <w:sz w:val="24"/>
          <w:szCs w:val="24"/>
          <w:lang w:val="it-IT" w:eastAsia="hi-IN" w:bidi="hi-IN"/>
        </w:rPr>
        <w:t>S-Editor</w:t>
      </w:r>
      <w:r w:rsidRPr="00E206EA">
        <w:rPr>
          <w:rFonts w:ascii="Book Antiqua" w:hAnsi="Book Antiqua" w:cs="Mangal"/>
          <w:b/>
          <w:bCs/>
          <w:sz w:val="24"/>
          <w:szCs w:val="24"/>
          <w:lang w:val="it-IT" w:bidi="hi-IN"/>
        </w:rPr>
        <w:t>:</w:t>
      </w:r>
      <w:r w:rsidRPr="00E206EA">
        <w:rPr>
          <w:rFonts w:ascii="Book Antiqua" w:eastAsia="Lucida Sans Unicode" w:hAnsi="Book Antiqua" w:cs="Mangal"/>
          <w:bCs/>
          <w:sz w:val="24"/>
          <w:szCs w:val="24"/>
          <w:lang w:val="it-IT" w:eastAsia="hi-IN" w:bidi="hi-IN"/>
        </w:rPr>
        <w:t xml:space="preserve"> </w:t>
      </w:r>
      <w:r w:rsidRPr="00E206EA">
        <w:rPr>
          <w:rFonts w:ascii="Book Antiqua" w:hAnsi="Book Antiqua" w:cs="Mangal"/>
          <w:bCs/>
          <w:sz w:val="24"/>
          <w:szCs w:val="24"/>
          <w:lang w:val="it-IT" w:bidi="hi-IN"/>
        </w:rPr>
        <w:t>Dou Y</w:t>
      </w:r>
      <w:r w:rsidRPr="00E206EA">
        <w:rPr>
          <w:rFonts w:ascii="Book Antiqua" w:eastAsia="Lucida Sans Unicode" w:hAnsi="Book Antiqua" w:cs="Mangal"/>
          <w:b/>
          <w:bCs/>
          <w:sz w:val="24"/>
          <w:szCs w:val="24"/>
          <w:lang w:val="it-IT" w:eastAsia="hi-IN" w:bidi="hi-IN"/>
        </w:rPr>
        <w:t xml:space="preserve"> L-Edi</w:t>
      </w:r>
      <w:r w:rsidRPr="00E206EA">
        <w:rPr>
          <w:rFonts w:ascii="Book Antiqua" w:eastAsia="Lucida Sans Unicode" w:hAnsi="Book Antiqua" w:cs="Mangal"/>
          <w:b/>
          <w:bCs/>
          <w:sz w:val="24"/>
          <w:szCs w:val="24"/>
          <w:lang w:val="it-IT" w:eastAsia="hi-IN" w:bidi="hi-IN"/>
        </w:rPr>
        <w:t>tor</w:t>
      </w:r>
      <w:r w:rsidRPr="00E206EA">
        <w:rPr>
          <w:rFonts w:ascii="Book Antiqua" w:hAnsi="Book Antiqua" w:cs="Mangal"/>
          <w:b/>
          <w:bCs/>
          <w:sz w:val="24"/>
          <w:szCs w:val="24"/>
          <w:lang w:val="it-IT" w:bidi="hi-IN"/>
        </w:rPr>
        <w:t>:</w:t>
      </w:r>
      <w:r w:rsidRPr="00E206EA">
        <w:rPr>
          <w:rFonts w:ascii="Book Antiqua" w:eastAsia="Lucida Sans Unicode" w:hAnsi="Book Antiqua" w:cs="Mangal"/>
          <w:b/>
          <w:bCs/>
          <w:sz w:val="24"/>
          <w:szCs w:val="24"/>
          <w:lang w:val="it-IT" w:eastAsia="hi-IN" w:bidi="hi-IN"/>
        </w:rPr>
        <w:t xml:space="preserve"> </w:t>
      </w:r>
      <w:r w:rsidR="00C3113D" w:rsidRPr="00274A16">
        <w:rPr>
          <w:rFonts w:ascii="Book Antiqua" w:eastAsia="Lucida Sans Unicode" w:hAnsi="Book Antiqua" w:cs="Mangal"/>
          <w:bCs/>
          <w:sz w:val="24"/>
          <w:szCs w:val="24"/>
          <w:lang w:val="it-IT" w:eastAsia="hi-IN" w:bidi="hi-IN"/>
        </w:rPr>
        <w:t>Wang TQ</w:t>
      </w:r>
      <w:r w:rsidR="00C3113D">
        <w:rPr>
          <w:rFonts w:ascii="Book Antiqua" w:eastAsia="Lucida Sans Unicode" w:hAnsi="Book Antiqua" w:cs="Mangal"/>
          <w:b/>
          <w:bCs/>
          <w:sz w:val="24"/>
          <w:szCs w:val="24"/>
          <w:lang w:val="it-IT" w:eastAsia="hi-IN" w:bidi="hi-IN"/>
        </w:rPr>
        <w:t xml:space="preserve"> </w:t>
      </w:r>
      <w:r w:rsidRPr="00E206EA">
        <w:rPr>
          <w:rFonts w:ascii="Book Antiqua" w:eastAsia="Lucida Sans Unicode" w:hAnsi="Book Antiqua" w:cs="Mangal"/>
          <w:b/>
          <w:bCs/>
          <w:sz w:val="24"/>
          <w:szCs w:val="24"/>
          <w:lang w:val="it-IT" w:eastAsia="hi-IN" w:bidi="hi-IN"/>
        </w:rPr>
        <w:t>E-</w:t>
      </w:r>
      <w:r w:rsidRPr="00E206EA">
        <w:rPr>
          <w:rFonts w:ascii="Book Antiqua" w:eastAsia="Lucida Sans Unicode" w:hAnsi="Book Antiqua" w:cs="Mangal"/>
          <w:b/>
          <w:bCs/>
          <w:sz w:val="24"/>
          <w:szCs w:val="24"/>
          <w:lang w:val="it-IT" w:eastAsia="hi-IN" w:bidi="hi-IN"/>
        </w:rPr>
        <w:t>Editor</w:t>
      </w:r>
      <w:r w:rsidRPr="00E206EA">
        <w:rPr>
          <w:rFonts w:ascii="Book Antiqua" w:hAnsi="Book Antiqua" w:cs="Mangal"/>
          <w:b/>
          <w:bCs/>
          <w:sz w:val="24"/>
          <w:szCs w:val="24"/>
          <w:lang w:val="it-IT" w:bidi="hi-IN"/>
        </w:rPr>
        <w:t>:</w:t>
      </w:r>
    </w:p>
    <w:p w14:paraId="0959957B" w14:textId="77777777" w:rsidR="00E206EA" w:rsidRPr="00E206EA" w:rsidRDefault="00E206EA" w:rsidP="00E206EA">
      <w:pPr>
        <w:shd w:val="clear" w:color="auto" w:fill="FFFFFF"/>
        <w:spacing w:line="360" w:lineRule="auto"/>
        <w:rPr>
          <w:rFonts w:ascii="Book Antiqua" w:hAnsi="Book Antiqua" w:cs="Helvetica"/>
          <w:b/>
          <w:sz w:val="24"/>
          <w:szCs w:val="24"/>
        </w:rPr>
      </w:pPr>
      <w:r w:rsidRPr="00E206EA">
        <w:rPr>
          <w:rFonts w:ascii="Book Antiqua" w:hAnsi="Book Antiqua" w:cs="Helvetica"/>
          <w:b/>
          <w:sz w:val="24"/>
          <w:szCs w:val="24"/>
        </w:rPr>
        <w:t xml:space="preserve">Specialty type: </w:t>
      </w:r>
      <w:r w:rsidRPr="00E206EA">
        <w:rPr>
          <w:rFonts w:ascii="Book Antiqua" w:eastAsia="微软雅黑" w:hAnsi="Book Antiqua"/>
          <w:sz w:val="24"/>
          <w:szCs w:val="24"/>
        </w:rPr>
        <w:t>Medicine, Research and Experimental</w:t>
      </w:r>
    </w:p>
    <w:p w14:paraId="4CC849C1" w14:textId="121FA122" w:rsidR="00E206EA" w:rsidRPr="00E206EA" w:rsidRDefault="00E206EA" w:rsidP="00E206EA">
      <w:pPr>
        <w:shd w:val="clear" w:color="auto" w:fill="FFFFFF"/>
        <w:spacing w:line="360" w:lineRule="auto"/>
        <w:rPr>
          <w:rFonts w:ascii="Book Antiqua" w:hAnsi="Book Antiqua" w:cs="Helvetica"/>
          <w:b/>
          <w:sz w:val="24"/>
          <w:szCs w:val="24"/>
        </w:rPr>
      </w:pPr>
      <w:r w:rsidRPr="00E206EA">
        <w:rPr>
          <w:rFonts w:ascii="Book Antiqua" w:hAnsi="Book Antiqua" w:cs="Helvetica"/>
          <w:b/>
          <w:sz w:val="24"/>
          <w:szCs w:val="24"/>
        </w:rPr>
        <w:t xml:space="preserve">Country of origin: </w:t>
      </w:r>
      <w:r w:rsidRPr="00E206EA">
        <w:rPr>
          <w:rFonts w:ascii="Book Antiqua" w:hAnsi="Book Antiqua" w:cs="Helvetica"/>
          <w:bCs/>
          <w:sz w:val="24"/>
          <w:szCs w:val="24"/>
        </w:rPr>
        <w:t>China</w:t>
      </w:r>
    </w:p>
    <w:p w14:paraId="3AC24230" w14:textId="77777777" w:rsidR="00E206EA" w:rsidRPr="00E206EA" w:rsidRDefault="00E206EA" w:rsidP="00E206EA">
      <w:pPr>
        <w:shd w:val="clear" w:color="auto" w:fill="FFFFFF"/>
        <w:spacing w:line="360" w:lineRule="auto"/>
        <w:rPr>
          <w:rFonts w:ascii="Book Antiqua" w:hAnsi="Book Antiqua" w:cs="Helvetica"/>
          <w:b/>
          <w:sz w:val="24"/>
          <w:szCs w:val="24"/>
        </w:rPr>
      </w:pPr>
      <w:r w:rsidRPr="00E206EA">
        <w:rPr>
          <w:rFonts w:ascii="Book Antiqua" w:hAnsi="Book Antiqua" w:cs="Helvetica"/>
          <w:b/>
          <w:sz w:val="24"/>
          <w:szCs w:val="24"/>
        </w:rPr>
        <w:t>Peer-review report classification</w:t>
      </w:r>
    </w:p>
    <w:p w14:paraId="4971F371" w14:textId="77777777" w:rsidR="00E206EA" w:rsidRPr="00E206EA" w:rsidRDefault="00E206EA" w:rsidP="00E206EA">
      <w:pPr>
        <w:shd w:val="clear" w:color="auto" w:fill="FFFFFF"/>
        <w:spacing w:line="360" w:lineRule="auto"/>
        <w:rPr>
          <w:rFonts w:ascii="Book Antiqua" w:hAnsi="Book Antiqua" w:cs="Helvetica"/>
          <w:sz w:val="24"/>
          <w:szCs w:val="24"/>
        </w:rPr>
      </w:pPr>
      <w:r w:rsidRPr="00E206EA">
        <w:rPr>
          <w:rFonts w:ascii="Book Antiqua" w:hAnsi="Book Antiqua" w:cs="Helvetica"/>
          <w:sz w:val="24"/>
          <w:szCs w:val="24"/>
        </w:rPr>
        <w:t>Grade A (Excellent): 0</w:t>
      </w:r>
    </w:p>
    <w:p w14:paraId="3395253F" w14:textId="6C2B68C4" w:rsidR="00E206EA" w:rsidRPr="00E206EA" w:rsidRDefault="00E206EA" w:rsidP="00E206EA">
      <w:pPr>
        <w:shd w:val="clear" w:color="auto" w:fill="FFFFFF"/>
        <w:spacing w:line="360" w:lineRule="auto"/>
        <w:rPr>
          <w:rFonts w:ascii="Book Antiqua" w:hAnsi="Book Antiqua" w:cs="Helvetica"/>
          <w:sz w:val="24"/>
          <w:szCs w:val="24"/>
        </w:rPr>
      </w:pPr>
      <w:r w:rsidRPr="00E206EA">
        <w:rPr>
          <w:rFonts w:ascii="Book Antiqua" w:hAnsi="Book Antiqua" w:cs="Helvetica"/>
          <w:sz w:val="24"/>
          <w:szCs w:val="24"/>
        </w:rPr>
        <w:t>Grade B (Very good): B, B</w:t>
      </w:r>
    </w:p>
    <w:p w14:paraId="7BC2AAA4" w14:textId="6E99CF6D" w:rsidR="00E206EA" w:rsidRPr="00E206EA" w:rsidRDefault="00E206EA" w:rsidP="00E206EA">
      <w:pPr>
        <w:shd w:val="clear" w:color="auto" w:fill="FFFFFF"/>
        <w:spacing w:line="360" w:lineRule="auto"/>
        <w:rPr>
          <w:rFonts w:ascii="Book Antiqua" w:hAnsi="Book Antiqua" w:cs="Helvetica"/>
          <w:sz w:val="24"/>
          <w:szCs w:val="24"/>
        </w:rPr>
      </w:pPr>
      <w:r w:rsidRPr="00E206EA">
        <w:rPr>
          <w:rFonts w:ascii="Book Antiqua" w:hAnsi="Book Antiqua" w:cs="Helvetica"/>
          <w:sz w:val="24"/>
          <w:szCs w:val="24"/>
        </w:rPr>
        <w:t>Grade C (Good): 0</w:t>
      </w:r>
    </w:p>
    <w:p w14:paraId="76193DBA" w14:textId="20F1A14C" w:rsidR="00E206EA" w:rsidRPr="00E206EA" w:rsidRDefault="00E206EA" w:rsidP="00E206EA">
      <w:pPr>
        <w:shd w:val="clear" w:color="auto" w:fill="FFFFFF"/>
        <w:spacing w:line="360" w:lineRule="auto"/>
        <w:rPr>
          <w:rFonts w:ascii="Book Antiqua" w:hAnsi="Book Antiqua" w:cs="Helvetica"/>
          <w:sz w:val="24"/>
          <w:szCs w:val="24"/>
        </w:rPr>
      </w:pPr>
      <w:r w:rsidRPr="00E206EA">
        <w:rPr>
          <w:rFonts w:ascii="Book Antiqua" w:hAnsi="Book Antiqua" w:cs="Helvetica"/>
          <w:sz w:val="24"/>
          <w:szCs w:val="24"/>
        </w:rPr>
        <w:t xml:space="preserve">Grade D (Fair): </w:t>
      </w:r>
      <w:bookmarkEnd w:id="143"/>
      <w:bookmarkEnd w:id="144"/>
      <w:r w:rsidRPr="00E206EA">
        <w:rPr>
          <w:rFonts w:ascii="Book Antiqua" w:hAnsi="Book Antiqua" w:cs="Helvetica"/>
          <w:sz w:val="24"/>
          <w:szCs w:val="24"/>
        </w:rPr>
        <w:t>0</w:t>
      </w:r>
    </w:p>
    <w:p w14:paraId="4161F4FE" w14:textId="77777777" w:rsidR="00E206EA" w:rsidRPr="00E206EA" w:rsidRDefault="00E206EA" w:rsidP="00E206EA">
      <w:pPr>
        <w:shd w:val="clear" w:color="auto" w:fill="FFFFFF"/>
        <w:spacing w:line="360" w:lineRule="auto"/>
        <w:rPr>
          <w:rFonts w:ascii="Book Antiqua" w:hAnsi="Book Antiqua" w:cs="Helvetica"/>
          <w:sz w:val="24"/>
          <w:szCs w:val="24"/>
          <w:lang w:val="de-DE"/>
        </w:rPr>
      </w:pPr>
      <w:r w:rsidRPr="00E206EA">
        <w:rPr>
          <w:rFonts w:ascii="Book Antiqua" w:hAnsi="Book Antiqua" w:cs="Helvetica"/>
          <w:sz w:val="24"/>
          <w:szCs w:val="24"/>
        </w:rPr>
        <w:lastRenderedPageBreak/>
        <w:t>Grade E (Poor): 0</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61BA2560" w14:textId="70797C94" w:rsidR="001626EE" w:rsidRPr="00E206EA" w:rsidRDefault="001626EE" w:rsidP="00E206EA">
      <w:pPr>
        <w:widowControl/>
        <w:spacing w:line="360" w:lineRule="auto"/>
        <w:rPr>
          <w:rFonts w:ascii="Book Antiqua" w:hAnsi="Book Antiqua" w:cs="Times New Roman"/>
          <w:color w:val="000000" w:themeColor="text1"/>
          <w:sz w:val="24"/>
          <w:szCs w:val="24"/>
        </w:rPr>
      </w:pPr>
      <w:r w:rsidRPr="00E206EA">
        <w:rPr>
          <w:rFonts w:ascii="Book Antiqua" w:hAnsi="Book Antiqua" w:cs="Times New Roman"/>
          <w:color w:val="000000" w:themeColor="text1"/>
          <w:sz w:val="24"/>
          <w:szCs w:val="24"/>
        </w:rPr>
        <w:br w:type="page"/>
      </w:r>
    </w:p>
    <w:p w14:paraId="678375BD" w14:textId="5E9D894B" w:rsidR="00E12589" w:rsidRPr="00E206EA" w:rsidRDefault="00E12589" w:rsidP="00E206EA">
      <w:pPr>
        <w:spacing w:line="360" w:lineRule="auto"/>
        <w:rPr>
          <w:rFonts w:ascii="Book Antiqua" w:hAnsi="Book Antiqua"/>
          <w:b/>
          <w:bCs/>
          <w:sz w:val="24"/>
          <w:szCs w:val="24"/>
        </w:rPr>
      </w:pPr>
      <w:r w:rsidRPr="00E206EA">
        <w:rPr>
          <w:rFonts w:ascii="Book Antiqua" w:hAnsi="Book Antiqua" w:cs="Times New Roman"/>
          <w:b/>
          <w:bCs/>
          <w:sz w:val="24"/>
          <w:szCs w:val="24"/>
        </w:rPr>
        <w:lastRenderedPageBreak/>
        <w:t>Table 1</w:t>
      </w:r>
      <w:r w:rsidR="00AB01A8" w:rsidRPr="00E206EA">
        <w:rPr>
          <w:rFonts w:ascii="Book Antiqua" w:hAnsi="Book Antiqua" w:cs="Times New Roman"/>
          <w:b/>
          <w:bCs/>
          <w:sz w:val="24"/>
          <w:szCs w:val="24"/>
        </w:rPr>
        <w:t xml:space="preserve"> </w:t>
      </w:r>
      <w:r w:rsidR="00AB01A8" w:rsidRPr="00E206EA">
        <w:rPr>
          <w:rFonts w:ascii="Book Antiqua" w:hAnsi="Book Antiqua"/>
          <w:b/>
          <w:bCs/>
          <w:sz w:val="24"/>
          <w:szCs w:val="24"/>
        </w:rPr>
        <w:t>Laboratory</w:t>
      </w:r>
      <w:r w:rsidR="00230986" w:rsidRPr="00E206EA">
        <w:rPr>
          <w:rFonts w:ascii="Book Antiqua" w:hAnsi="Book Antiqua"/>
          <w:b/>
          <w:bCs/>
          <w:sz w:val="24"/>
          <w:szCs w:val="24"/>
        </w:rPr>
        <w:t xml:space="preserve"> </w:t>
      </w:r>
      <w:r w:rsidR="00AB01A8" w:rsidRPr="00E206EA">
        <w:rPr>
          <w:rFonts w:ascii="Book Antiqua" w:hAnsi="Book Antiqua"/>
          <w:b/>
          <w:bCs/>
          <w:sz w:val="24"/>
          <w:szCs w:val="24"/>
        </w:rPr>
        <w:t>examinations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27"/>
      </w:tblGrid>
      <w:tr w:rsidR="00230986" w:rsidRPr="00E206EA" w14:paraId="0891902E" w14:textId="77777777" w:rsidTr="00E206EA">
        <w:tc>
          <w:tcPr>
            <w:tcW w:w="2263" w:type="dxa"/>
            <w:tcBorders>
              <w:top w:val="single" w:sz="4" w:space="0" w:color="auto"/>
              <w:bottom w:val="single" w:sz="4" w:space="0" w:color="auto"/>
            </w:tcBorders>
          </w:tcPr>
          <w:p w14:paraId="54A4A39F" w14:textId="6BDCD321" w:rsidR="00230986" w:rsidRPr="00E206EA" w:rsidRDefault="00230986" w:rsidP="00E206EA">
            <w:pPr>
              <w:spacing w:line="360" w:lineRule="auto"/>
              <w:rPr>
                <w:rFonts w:ascii="Book Antiqua" w:hAnsi="Book Antiqua" w:cs="Times New Roman"/>
                <w:b/>
                <w:bCs/>
                <w:sz w:val="24"/>
                <w:szCs w:val="24"/>
              </w:rPr>
            </w:pPr>
            <w:r w:rsidRPr="00E206EA">
              <w:rPr>
                <w:rFonts w:ascii="Book Antiqua" w:hAnsi="Book Antiqua" w:cs="Times New Roman"/>
                <w:b/>
                <w:bCs/>
                <w:kern w:val="0"/>
                <w:sz w:val="24"/>
                <w:szCs w:val="24"/>
              </w:rPr>
              <w:t>Test ite</w:t>
            </w:r>
            <w:r w:rsidRPr="00E206EA">
              <w:rPr>
                <w:rFonts w:ascii="Book Antiqua" w:hAnsi="Book Antiqua" w:cs="Times New Roman"/>
                <w:b/>
                <w:bCs/>
                <w:kern w:val="0"/>
                <w:sz w:val="24"/>
                <w:szCs w:val="24"/>
              </w:rPr>
              <w:t>m</w:t>
            </w:r>
          </w:p>
        </w:tc>
        <w:tc>
          <w:tcPr>
            <w:tcW w:w="2127" w:type="dxa"/>
            <w:tcBorders>
              <w:top w:val="single" w:sz="4" w:space="0" w:color="auto"/>
              <w:bottom w:val="single" w:sz="4" w:space="0" w:color="auto"/>
            </w:tcBorders>
          </w:tcPr>
          <w:p w14:paraId="4B25EA12" w14:textId="55706143" w:rsidR="00230986" w:rsidRPr="00E206EA" w:rsidRDefault="00230986" w:rsidP="00E206EA">
            <w:pPr>
              <w:spacing w:line="360" w:lineRule="auto"/>
              <w:rPr>
                <w:rFonts w:ascii="Book Antiqua" w:hAnsi="Book Antiqua" w:cs="Times New Roman"/>
                <w:b/>
                <w:bCs/>
                <w:sz w:val="24"/>
                <w:szCs w:val="24"/>
              </w:rPr>
            </w:pPr>
            <w:r w:rsidRPr="00E206EA">
              <w:rPr>
                <w:rFonts w:ascii="Book Antiqua" w:hAnsi="Book Antiqua" w:cs="Times New Roman"/>
                <w:b/>
                <w:bCs/>
                <w:sz w:val="24"/>
                <w:szCs w:val="24"/>
              </w:rPr>
              <w:t>Result</w:t>
            </w:r>
          </w:p>
        </w:tc>
      </w:tr>
      <w:tr w:rsidR="00230986" w:rsidRPr="00E206EA" w14:paraId="6D5B505C" w14:textId="77777777" w:rsidTr="00E206EA">
        <w:tc>
          <w:tcPr>
            <w:tcW w:w="2263" w:type="dxa"/>
            <w:tcBorders>
              <w:top w:val="single" w:sz="4" w:space="0" w:color="auto"/>
            </w:tcBorders>
            <w:vAlign w:val="bottom"/>
          </w:tcPr>
          <w:p w14:paraId="5354EDCE" w14:textId="2BFD988E"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WBC</w:t>
            </w:r>
          </w:p>
        </w:tc>
        <w:tc>
          <w:tcPr>
            <w:tcW w:w="2127" w:type="dxa"/>
            <w:tcBorders>
              <w:top w:val="single" w:sz="4" w:space="0" w:color="auto"/>
            </w:tcBorders>
            <w:vAlign w:val="bottom"/>
          </w:tcPr>
          <w:p w14:paraId="7C33E168" w14:textId="44070FAA"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14.61 G/L </w:t>
            </w:r>
          </w:p>
        </w:tc>
      </w:tr>
      <w:tr w:rsidR="00230986" w:rsidRPr="00E206EA" w14:paraId="1412A34D" w14:textId="77777777" w:rsidTr="00E206EA">
        <w:tc>
          <w:tcPr>
            <w:tcW w:w="2263" w:type="dxa"/>
            <w:vAlign w:val="bottom"/>
          </w:tcPr>
          <w:p w14:paraId="6326C3BE" w14:textId="3AD25C0C"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NEUT</w:t>
            </w:r>
          </w:p>
        </w:tc>
        <w:tc>
          <w:tcPr>
            <w:tcW w:w="2127" w:type="dxa"/>
            <w:vAlign w:val="bottom"/>
          </w:tcPr>
          <w:p w14:paraId="613046A2" w14:textId="785614E2"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13.24 G/L </w:t>
            </w:r>
          </w:p>
        </w:tc>
      </w:tr>
      <w:tr w:rsidR="00230986" w:rsidRPr="00E206EA" w14:paraId="2CE174D2" w14:textId="77777777" w:rsidTr="00E206EA">
        <w:tc>
          <w:tcPr>
            <w:tcW w:w="2263" w:type="dxa"/>
            <w:vAlign w:val="bottom"/>
          </w:tcPr>
          <w:p w14:paraId="2A0F6A69" w14:textId="332217BF"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HGB</w:t>
            </w:r>
          </w:p>
        </w:tc>
        <w:tc>
          <w:tcPr>
            <w:tcW w:w="2127" w:type="dxa"/>
            <w:vAlign w:val="bottom"/>
          </w:tcPr>
          <w:p w14:paraId="2C7202C8" w14:textId="608D28C6"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68 g/L </w:t>
            </w:r>
          </w:p>
        </w:tc>
      </w:tr>
      <w:tr w:rsidR="00230986" w:rsidRPr="00E206EA" w14:paraId="1AD23202" w14:textId="77777777" w:rsidTr="00E206EA">
        <w:tc>
          <w:tcPr>
            <w:tcW w:w="2263" w:type="dxa"/>
            <w:vAlign w:val="bottom"/>
          </w:tcPr>
          <w:p w14:paraId="604B5EAD" w14:textId="3DF5B6A1"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RBC</w:t>
            </w:r>
          </w:p>
        </w:tc>
        <w:tc>
          <w:tcPr>
            <w:tcW w:w="2127" w:type="dxa"/>
            <w:vAlign w:val="bottom"/>
          </w:tcPr>
          <w:p w14:paraId="467BEA24" w14:textId="291594F4"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2.51 T/L </w:t>
            </w:r>
          </w:p>
        </w:tc>
      </w:tr>
      <w:tr w:rsidR="00230986" w:rsidRPr="00E206EA" w14:paraId="145EBFD8" w14:textId="77777777" w:rsidTr="00E206EA">
        <w:tc>
          <w:tcPr>
            <w:tcW w:w="2263" w:type="dxa"/>
            <w:vAlign w:val="bottom"/>
          </w:tcPr>
          <w:p w14:paraId="0CD542C8" w14:textId="166C19D4"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PLT</w:t>
            </w:r>
          </w:p>
        </w:tc>
        <w:tc>
          <w:tcPr>
            <w:tcW w:w="2127" w:type="dxa"/>
            <w:vAlign w:val="bottom"/>
          </w:tcPr>
          <w:p w14:paraId="6C6FB424" w14:textId="6A1E833B"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379 G/L </w:t>
            </w:r>
          </w:p>
        </w:tc>
      </w:tr>
      <w:tr w:rsidR="00230986" w:rsidRPr="00E206EA" w14:paraId="5E565A59" w14:textId="77777777" w:rsidTr="00E206EA">
        <w:tc>
          <w:tcPr>
            <w:tcW w:w="2263" w:type="dxa"/>
            <w:vAlign w:val="bottom"/>
          </w:tcPr>
          <w:p w14:paraId="11F27134" w14:textId="4C279D9A"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Na</w:t>
            </w:r>
          </w:p>
        </w:tc>
        <w:tc>
          <w:tcPr>
            <w:tcW w:w="2127" w:type="dxa"/>
            <w:vAlign w:val="bottom"/>
          </w:tcPr>
          <w:p w14:paraId="1CED800E" w14:textId="416E85A5"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128.4 mmol/L </w:t>
            </w:r>
          </w:p>
        </w:tc>
      </w:tr>
      <w:tr w:rsidR="00230986" w:rsidRPr="00E206EA" w14:paraId="5336DFB9" w14:textId="77777777" w:rsidTr="00E206EA">
        <w:tc>
          <w:tcPr>
            <w:tcW w:w="2263" w:type="dxa"/>
            <w:vAlign w:val="bottom"/>
          </w:tcPr>
          <w:p w14:paraId="31D4EA31" w14:textId="26D5F0A4"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Cl</w:t>
            </w:r>
          </w:p>
        </w:tc>
        <w:tc>
          <w:tcPr>
            <w:tcW w:w="2127" w:type="dxa"/>
            <w:vAlign w:val="bottom"/>
          </w:tcPr>
          <w:p w14:paraId="502915D1" w14:textId="3BA6A057"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82.6 mmol/L </w:t>
            </w:r>
          </w:p>
        </w:tc>
      </w:tr>
      <w:tr w:rsidR="00230986" w:rsidRPr="00E206EA" w14:paraId="0BB59371" w14:textId="77777777" w:rsidTr="00E206EA">
        <w:tc>
          <w:tcPr>
            <w:tcW w:w="2263" w:type="dxa"/>
            <w:vAlign w:val="bottom"/>
          </w:tcPr>
          <w:p w14:paraId="59374BEF" w14:textId="787D994B"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Ca</w:t>
            </w:r>
          </w:p>
        </w:tc>
        <w:tc>
          <w:tcPr>
            <w:tcW w:w="2127" w:type="dxa"/>
            <w:vAlign w:val="bottom"/>
          </w:tcPr>
          <w:p w14:paraId="3968FCC3" w14:textId="4A248DE4"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2.01 mmol/L </w:t>
            </w:r>
          </w:p>
        </w:tc>
      </w:tr>
      <w:tr w:rsidR="00230986" w:rsidRPr="00E206EA" w14:paraId="03E4FB1C" w14:textId="77777777" w:rsidTr="00E206EA">
        <w:tc>
          <w:tcPr>
            <w:tcW w:w="2263" w:type="dxa"/>
            <w:vAlign w:val="bottom"/>
          </w:tcPr>
          <w:p w14:paraId="31607033" w14:textId="056ECAA9"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LDH</w:t>
            </w:r>
          </w:p>
        </w:tc>
        <w:tc>
          <w:tcPr>
            <w:tcW w:w="2127" w:type="dxa"/>
            <w:vAlign w:val="bottom"/>
          </w:tcPr>
          <w:p w14:paraId="5BBD2FF0" w14:textId="51D527B2"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303 U/L </w:t>
            </w:r>
          </w:p>
        </w:tc>
      </w:tr>
      <w:tr w:rsidR="00230986" w:rsidRPr="00E206EA" w14:paraId="1082197B" w14:textId="77777777" w:rsidTr="00E206EA">
        <w:tc>
          <w:tcPr>
            <w:tcW w:w="2263" w:type="dxa"/>
            <w:vAlign w:val="bottom"/>
          </w:tcPr>
          <w:p w14:paraId="71F52B1D" w14:textId="066164FA"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Fe</w:t>
            </w:r>
          </w:p>
        </w:tc>
        <w:tc>
          <w:tcPr>
            <w:tcW w:w="2127" w:type="dxa"/>
            <w:vAlign w:val="bottom"/>
          </w:tcPr>
          <w:p w14:paraId="6583E8AD" w14:textId="202F6DFE"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3.3 μmol/L </w:t>
            </w:r>
          </w:p>
        </w:tc>
      </w:tr>
      <w:tr w:rsidR="00230986" w:rsidRPr="00E206EA" w14:paraId="063B60AA" w14:textId="77777777" w:rsidTr="00E206EA">
        <w:tc>
          <w:tcPr>
            <w:tcW w:w="2263" w:type="dxa"/>
            <w:vAlign w:val="bottom"/>
          </w:tcPr>
          <w:p w14:paraId="0DB2708C" w14:textId="616B8B68"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TP</w:t>
            </w:r>
          </w:p>
        </w:tc>
        <w:tc>
          <w:tcPr>
            <w:tcW w:w="2127" w:type="dxa"/>
            <w:vAlign w:val="bottom"/>
          </w:tcPr>
          <w:p w14:paraId="11946D8C" w14:textId="7E2BDC70"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56.3 g/L </w:t>
            </w:r>
          </w:p>
        </w:tc>
      </w:tr>
      <w:tr w:rsidR="00230986" w:rsidRPr="00E206EA" w14:paraId="2864CBA3" w14:textId="77777777" w:rsidTr="00E206EA">
        <w:tc>
          <w:tcPr>
            <w:tcW w:w="2263" w:type="dxa"/>
            <w:vAlign w:val="bottom"/>
          </w:tcPr>
          <w:p w14:paraId="141E3DD1" w14:textId="75D004A5"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ALB</w:t>
            </w:r>
          </w:p>
        </w:tc>
        <w:tc>
          <w:tcPr>
            <w:tcW w:w="2127" w:type="dxa"/>
            <w:vAlign w:val="bottom"/>
          </w:tcPr>
          <w:p w14:paraId="67364793" w14:textId="158ADFBF"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27.3 g/L </w:t>
            </w:r>
          </w:p>
        </w:tc>
      </w:tr>
      <w:tr w:rsidR="00230986" w:rsidRPr="00E206EA" w14:paraId="23045725" w14:textId="77777777" w:rsidTr="00E206EA">
        <w:tc>
          <w:tcPr>
            <w:tcW w:w="2263" w:type="dxa"/>
            <w:vAlign w:val="bottom"/>
          </w:tcPr>
          <w:p w14:paraId="00907435" w14:textId="484F3569"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CRP</w:t>
            </w:r>
          </w:p>
        </w:tc>
        <w:tc>
          <w:tcPr>
            <w:tcW w:w="2127" w:type="dxa"/>
            <w:vAlign w:val="bottom"/>
          </w:tcPr>
          <w:p w14:paraId="40C6BB18" w14:textId="46790690" w:rsidR="00230986"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 xml:space="preserve">16.04 mg/dL </w:t>
            </w:r>
          </w:p>
        </w:tc>
      </w:tr>
    </w:tbl>
    <w:p w14:paraId="72BDC732" w14:textId="2D96DB8B" w:rsidR="00AB01A8" w:rsidRPr="00E206EA" w:rsidRDefault="00230986" w:rsidP="00E206EA">
      <w:pPr>
        <w:spacing w:line="360" w:lineRule="auto"/>
        <w:rPr>
          <w:rFonts w:ascii="Book Antiqua" w:hAnsi="Book Antiqua" w:cs="Times New Roman"/>
          <w:sz w:val="24"/>
          <w:szCs w:val="24"/>
        </w:rPr>
      </w:pPr>
      <w:r w:rsidRPr="00E206EA">
        <w:rPr>
          <w:rFonts w:ascii="Book Antiqua" w:hAnsi="Book Antiqua" w:cs="Times New Roman"/>
          <w:sz w:val="24"/>
          <w:szCs w:val="24"/>
        </w:rPr>
        <w:t>WBC: White b</w:t>
      </w:r>
      <w:r w:rsidRPr="00E206EA">
        <w:rPr>
          <w:rFonts w:ascii="Book Antiqua" w:hAnsi="Book Antiqua" w:cs="Times New Roman"/>
          <w:sz w:val="24"/>
          <w:szCs w:val="24"/>
        </w:rPr>
        <w:t>lood cell</w:t>
      </w:r>
      <w:r w:rsidR="00C3113D">
        <w:rPr>
          <w:rFonts w:ascii="Book Antiqua" w:hAnsi="Book Antiqua" w:cs="Times New Roman"/>
          <w:sz w:val="24"/>
          <w:szCs w:val="24"/>
        </w:rPr>
        <w:t>s</w:t>
      </w:r>
      <w:r w:rsidRPr="00E206EA">
        <w:rPr>
          <w:rFonts w:ascii="Book Antiqua" w:hAnsi="Book Antiqua" w:cs="Times New Roman"/>
          <w:sz w:val="24"/>
          <w:szCs w:val="24"/>
        </w:rPr>
        <w:t xml:space="preserve">; </w:t>
      </w:r>
      <w:r w:rsidR="00414BEE" w:rsidRPr="00E206EA">
        <w:rPr>
          <w:rFonts w:ascii="Book Antiqua" w:hAnsi="Book Antiqua" w:cs="Times New Roman"/>
          <w:sz w:val="24"/>
          <w:szCs w:val="24"/>
        </w:rPr>
        <w:t xml:space="preserve">HGB: </w:t>
      </w:r>
      <w:r w:rsidR="00993F72">
        <w:rPr>
          <w:rFonts w:ascii="Book Antiqua" w:hAnsi="Book Antiqua" w:cs="Times New Roman" w:hint="eastAsia"/>
          <w:sz w:val="24"/>
          <w:szCs w:val="24"/>
        </w:rPr>
        <w:t>H</w:t>
      </w:r>
      <w:r w:rsidR="00993F72" w:rsidRPr="00993F72">
        <w:rPr>
          <w:rFonts w:ascii="Book Antiqua" w:hAnsi="Book Antiqua" w:cs="Times New Roman"/>
          <w:sz w:val="24"/>
          <w:szCs w:val="24"/>
        </w:rPr>
        <w:t>emoglobin</w:t>
      </w:r>
      <w:r w:rsidR="00993F72">
        <w:rPr>
          <w:rFonts w:ascii="Book Antiqua" w:hAnsi="Book Antiqua" w:cs="Times New Roman" w:hint="eastAsia"/>
          <w:sz w:val="24"/>
          <w:szCs w:val="24"/>
        </w:rPr>
        <w:t>;</w:t>
      </w:r>
      <w:r w:rsidR="00993F72" w:rsidRPr="00993F72">
        <w:rPr>
          <w:rFonts w:ascii="Book Antiqua" w:hAnsi="Book Antiqua" w:cs="Times New Roman"/>
          <w:sz w:val="24"/>
          <w:szCs w:val="24"/>
        </w:rPr>
        <w:t xml:space="preserve"> </w:t>
      </w:r>
      <w:r w:rsidRPr="00E206EA">
        <w:rPr>
          <w:rFonts w:ascii="Book Antiqua" w:hAnsi="Book Antiqua" w:cs="Times New Roman"/>
          <w:sz w:val="24"/>
          <w:szCs w:val="24"/>
        </w:rPr>
        <w:t>NEUT:</w:t>
      </w:r>
      <w:r w:rsidR="00993F72" w:rsidRPr="00993F72">
        <w:t xml:space="preserve"> </w:t>
      </w:r>
      <w:r w:rsidR="00993F72" w:rsidRPr="00993F72">
        <w:rPr>
          <w:rFonts w:ascii="Book Antiqua" w:hAnsi="Book Antiqua" w:cs="Times New Roman"/>
          <w:sz w:val="24"/>
          <w:szCs w:val="24"/>
        </w:rPr>
        <w:t>Neutrophil</w:t>
      </w:r>
      <w:r w:rsidR="00C3113D">
        <w:rPr>
          <w:rFonts w:ascii="Book Antiqua" w:hAnsi="Book Antiqua" w:cs="Times New Roman"/>
          <w:sz w:val="24"/>
          <w:szCs w:val="24"/>
        </w:rPr>
        <w:t>s</w:t>
      </w:r>
      <w:r w:rsidR="00993F72">
        <w:rPr>
          <w:rFonts w:ascii="Book Antiqua" w:hAnsi="Book Antiqua" w:cs="Times New Roman" w:hint="eastAsia"/>
          <w:sz w:val="24"/>
          <w:szCs w:val="24"/>
        </w:rPr>
        <w:t xml:space="preserve">; </w:t>
      </w:r>
      <w:r w:rsidR="00414BEE" w:rsidRPr="00E206EA">
        <w:rPr>
          <w:rFonts w:ascii="Book Antiqua" w:hAnsi="Book Antiqua" w:cs="Times New Roman"/>
          <w:sz w:val="24"/>
          <w:szCs w:val="24"/>
        </w:rPr>
        <w:t>RBC:</w:t>
      </w:r>
      <w:r w:rsidR="001A189A" w:rsidRPr="001A189A">
        <w:t xml:space="preserve"> </w:t>
      </w:r>
      <w:r w:rsidR="001A189A">
        <w:rPr>
          <w:rFonts w:ascii="Book Antiqua" w:hAnsi="Book Antiqua" w:cs="Times New Roman" w:hint="eastAsia"/>
          <w:sz w:val="24"/>
          <w:szCs w:val="24"/>
        </w:rPr>
        <w:t>R</w:t>
      </w:r>
      <w:r w:rsidR="001A189A" w:rsidRPr="001A189A">
        <w:rPr>
          <w:rFonts w:ascii="Book Antiqua" w:hAnsi="Book Antiqua" w:cs="Times New Roman"/>
          <w:sz w:val="24"/>
          <w:szCs w:val="24"/>
        </w:rPr>
        <w:t>ed blood cell</w:t>
      </w:r>
      <w:r w:rsidR="00C3113D">
        <w:rPr>
          <w:rFonts w:ascii="Book Antiqua" w:hAnsi="Book Antiqua" w:cs="Times New Roman"/>
          <w:sz w:val="24"/>
          <w:szCs w:val="24"/>
        </w:rPr>
        <w:t>s</w:t>
      </w:r>
      <w:r w:rsidR="001A189A">
        <w:rPr>
          <w:rFonts w:ascii="Book Antiqua" w:hAnsi="Book Antiqua" w:cs="Times New Roman"/>
          <w:sz w:val="24"/>
          <w:szCs w:val="24"/>
        </w:rPr>
        <w:t>;</w:t>
      </w:r>
      <w:r w:rsidR="00414BEE" w:rsidRPr="00E206EA">
        <w:rPr>
          <w:rFonts w:ascii="Book Antiqua" w:hAnsi="Book Antiqua" w:cs="Times New Roman"/>
          <w:sz w:val="24"/>
          <w:szCs w:val="24"/>
        </w:rPr>
        <w:t xml:space="preserve"> PLT:</w:t>
      </w:r>
      <w:r w:rsidR="001A189A" w:rsidRPr="001A189A">
        <w:t xml:space="preserve"> </w:t>
      </w:r>
      <w:r w:rsidR="001A189A" w:rsidRPr="001A189A">
        <w:rPr>
          <w:rFonts w:ascii="Book Antiqua" w:hAnsi="Book Antiqua" w:cs="Times New Roman"/>
          <w:sz w:val="24"/>
          <w:szCs w:val="24"/>
        </w:rPr>
        <w:t>Platelets</w:t>
      </w:r>
      <w:r w:rsidR="001A189A">
        <w:rPr>
          <w:rFonts w:ascii="Book Antiqua" w:hAnsi="Book Antiqua" w:cs="Times New Roman"/>
          <w:sz w:val="24"/>
          <w:szCs w:val="24"/>
        </w:rPr>
        <w:t>;</w:t>
      </w:r>
      <w:r w:rsidR="00414BEE" w:rsidRPr="00E206EA">
        <w:rPr>
          <w:rFonts w:ascii="Book Antiqua" w:hAnsi="Book Antiqua" w:cs="Times New Roman"/>
          <w:sz w:val="24"/>
          <w:szCs w:val="24"/>
        </w:rPr>
        <w:t xml:space="preserve"> L</w:t>
      </w:r>
      <w:r w:rsidR="00414BEE" w:rsidRPr="00E206EA">
        <w:rPr>
          <w:rFonts w:ascii="Book Antiqua" w:hAnsi="Book Antiqua" w:cs="Times New Roman"/>
          <w:sz w:val="24"/>
          <w:szCs w:val="24"/>
        </w:rPr>
        <w:t>DH:</w:t>
      </w:r>
      <w:r w:rsidR="001A189A" w:rsidRPr="001A189A">
        <w:t xml:space="preserve"> </w:t>
      </w:r>
      <w:r w:rsidR="001A189A" w:rsidRPr="001A189A">
        <w:rPr>
          <w:rFonts w:ascii="Book Antiqua" w:hAnsi="Book Antiqua" w:cs="Times New Roman"/>
          <w:sz w:val="24"/>
          <w:szCs w:val="24"/>
        </w:rPr>
        <w:t>Lactate dehydrogenase</w:t>
      </w:r>
      <w:r w:rsidR="001A189A">
        <w:rPr>
          <w:rFonts w:ascii="Book Antiqua" w:hAnsi="Book Antiqua" w:cs="Times New Roman"/>
          <w:sz w:val="24"/>
          <w:szCs w:val="24"/>
        </w:rPr>
        <w:t>;</w:t>
      </w:r>
      <w:r w:rsidR="00414BEE" w:rsidRPr="00E206EA">
        <w:rPr>
          <w:rFonts w:ascii="Book Antiqua" w:hAnsi="Book Antiqua" w:cs="Times New Roman"/>
          <w:sz w:val="24"/>
          <w:szCs w:val="24"/>
        </w:rPr>
        <w:t xml:space="preserve"> TP:</w:t>
      </w:r>
      <w:r w:rsidR="001A189A" w:rsidRPr="001A189A">
        <w:t xml:space="preserve"> </w:t>
      </w:r>
      <w:r w:rsidR="001A189A" w:rsidRPr="001A189A">
        <w:rPr>
          <w:rFonts w:ascii="Book Antiqua" w:hAnsi="Book Antiqua" w:cs="Times New Roman"/>
          <w:sz w:val="24"/>
          <w:szCs w:val="24"/>
        </w:rPr>
        <w:t>Total protein</w:t>
      </w:r>
      <w:r w:rsidR="001A189A">
        <w:rPr>
          <w:rFonts w:ascii="Book Antiqua" w:hAnsi="Book Antiqua" w:cs="Times New Roman"/>
          <w:sz w:val="24"/>
          <w:szCs w:val="24"/>
        </w:rPr>
        <w:t>;</w:t>
      </w:r>
      <w:r w:rsidR="00414BEE" w:rsidRPr="00E206EA">
        <w:rPr>
          <w:rFonts w:ascii="Book Antiqua" w:hAnsi="Book Antiqua" w:cs="Times New Roman"/>
          <w:sz w:val="24"/>
          <w:szCs w:val="24"/>
        </w:rPr>
        <w:t xml:space="preserve"> ALB:</w:t>
      </w:r>
      <w:r w:rsidR="001A189A" w:rsidRPr="001A189A">
        <w:t xml:space="preserve"> </w:t>
      </w:r>
      <w:r w:rsidR="001A189A">
        <w:rPr>
          <w:rFonts w:ascii="Book Antiqua" w:hAnsi="Book Antiqua" w:cs="Times New Roman"/>
          <w:sz w:val="24"/>
          <w:szCs w:val="24"/>
        </w:rPr>
        <w:t>A</w:t>
      </w:r>
      <w:r w:rsidR="001A189A" w:rsidRPr="001A189A">
        <w:rPr>
          <w:rFonts w:ascii="Book Antiqua" w:hAnsi="Book Antiqua" w:cs="Times New Roman"/>
          <w:sz w:val="24"/>
          <w:szCs w:val="24"/>
        </w:rPr>
        <w:t>lbumin</w:t>
      </w:r>
      <w:r w:rsidR="001A189A">
        <w:rPr>
          <w:rFonts w:ascii="Book Antiqua" w:hAnsi="Book Antiqua" w:cs="Times New Roman"/>
          <w:sz w:val="24"/>
          <w:szCs w:val="24"/>
        </w:rPr>
        <w:t>;</w:t>
      </w:r>
      <w:r w:rsidR="00414BEE" w:rsidRPr="00E206EA">
        <w:rPr>
          <w:rFonts w:ascii="Book Antiqua" w:hAnsi="Book Antiqua" w:cs="Times New Roman"/>
          <w:sz w:val="24"/>
          <w:szCs w:val="24"/>
        </w:rPr>
        <w:t xml:space="preserve"> CRP:</w:t>
      </w:r>
      <w:r w:rsidR="001A189A">
        <w:rPr>
          <w:rFonts w:ascii="Book Antiqua" w:hAnsi="Book Antiqua" w:cs="Times New Roman"/>
          <w:sz w:val="24"/>
          <w:szCs w:val="24"/>
        </w:rPr>
        <w:t xml:space="preserve"> </w:t>
      </w:r>
      <w:r w:rsidR="001A189A" w:rsidRPr="001A189A">
        <w:rPr>
          <w:rFonts w:ascii="Book Antiqua" w:hAnsi="Book Antiqua" w:cs="Times New Roman"/>
          <w:sz w:val="24"/>
          <w:szCs w:val="24"/>
        </w:rPr>
        <w:t>C-reactive protein</w:t>
      </w:r>
      <w:r w:rsidR="00405E3A">
        <w:rPr>
          <w:rFonts w:ascii="Book Antiqua" w:hAnsi="Book Antiqua" w:cs="Times New Roman"/>
          <w:sz w:val="24"/>
          <w:szCs w:val="24"/>
        </w:rPr>
        <w:t>.</w:t>
      </w:r>
    </w:p>
    <w:p w14:paraId="26EAFB62" w14:textId="77777777" w:rsidR="00AB01A8" w:rsidRPr="00E206EA" w:rsidRDefault="00AB01A8" w:rsidP="00E206EA">
      <w:pPr>
        <w:widowControl/>
        <w:spacing w:line="360" w:lineRule="auto"/>
        <w:rPr>
          <w:rFonts w:ascii="Book Antiqua" w:hAnsi="Book Antiqua" w:cs="Times New Roman"/>
          <w:sz w:val="24"/>
          <w:szCs w:val="24"/>
        </w:rPr>
      </w:pPr>
      <w:r w:rsidRPr="00E206EA">
        <w:rPr>
          <w:rFonts w:ascii="Book Antiqua" w:hAnsi="Book Antiqua" w:cs="Times New Roman"/>
          <w:sz w:val="24"/>
          <w:szCs w:val="24"/>
        </w:rPr>
        <w:br w:type="page"/>
      </w:r>
    </w:p>
    <w:p w14:paraId="56FCB038" w14:textId="0F71255D" w:rsidR="00CE2497" w:rsidRPr="00E206EA" w:rsidRDefault="00CE2497" w:rsidP="00E206EA">
      <w:pPr>
        <w:spacing w:line="360" w:lineRule="auto"/>
        <w:rPr>
          <w:rFonts w:ascii="Book Antiqua" w:hAnsi="Book Antiqua" w:cs="Times New Roman"/>
          <w:b/>
          <w:bCs/>
          <w:sz w:val="24"/>
          <w:szCs w:val="24"/>
        </w:rPr>
      </w:pPr>
      <w:r w:rsidRPr="00E206EA">
        <w:rPr>
          <w:rFonts w:ascii="Book Antiqua" w:hAnsi="Book Antiqua" w:cs="Times New Roman"/>
          <w:b/>
          <w:bCs/>
          <w:sz w:val="24"/>
          <w:szCs w:val="24"/>
        </w:rPr>
        <w:lastRenderedPageBreak/>
        <w:t>Table 2</w:t>
      </w:r>
      <w:r w:rsidR="00414BEE" w:rsidRPr="00E206EA">
        <w:rPr>
          <w:rFonts w:ascii="Book Antiqua" w:hAnsi="Book Antiqua" w:cs="Times New Roman"/>
          <w:b/>
          <w:bCs/>
          <w:sz w:val="24"/>
          <w:szCs w:val="24"/>
        </w:rPr>
        <w:t xml:space="preserve"> Review</w:t>
      </w:r>
      <w:r w:rsidR="00414BEE" w:rsidRPr="00E206EA">
        <w:rPr>
          <w:rFonts w:ascii="Book Antiqua" w:hAnsi="Book Antiqua" w:cs="Times New Roman"/>
          <w:b/>
          <w:bCs/>
          <w:sz w:val="24"/>
          <w:szCs w:val="24"/>
        </w:rPr>
        <w:t xml:space="preserve"> of </w:t>
      </w:r>
      <w:r w:rsidR="00C3113D">
        <w:rPr>
          <w:rFonts w:ascii="Book Antiqua" w:hAnsi="Book Antiqua" w:cs="Times New Roman"/>
          <w:b/>
          <w:bCs/>
          <w:sz w:val="24"/>
          <w:szCs w:val="24"/>
        </w:rPr>
        <w:t xml:space="preserve">the </w:t>
      </w:r>
      <w:r w:rsidR="00414BEE" w:rsidRPr="00E206EA">
        <w:rPr>
          <w:rFonts w:ascii="Book Antiqua" w:hAnsi="Book Antiqua" w:cs="Times New Roman"/>
          <w:b/>
          <w:bCs/>
          <w:sz w:val="24"/>
          <w:szCs w:val="24"/>
        </w:rPr>
        <w:t>literature</w:t>
      </w:r>
    </w:p>
    <w:tbl>
      <w:tblPr>
        <w:tblpPr w:leftFromText="180" w:rightFromText="180" w:vertAnchor="text" w:horzAnchor="margin" w:tblpXSpec="center" w:tblpY="200"/>
        <w:tblW w:w="10800" w:type="dxa"/>
        <w:tblLook w:val="04A0" w:firstRow="1" w:lastRow="0" w:firstColumn="1" w:lastColumn="0" w:noHBand="0" w:noVBand="1"/>
      </w:tblPr>
      <w:tblGrid>
        <w:gridCol w:w="1896"/>
        <w:gridCol w:w="1162"/>
        <w:gridCol w:w="1163"/>
        <w:gridCol w:w="1347"/>
        <w:gridCol w:w="2597"/>
        <w:gridCol w:w="1287"/>
        <w:gridCol w:w="1434"/>
      </w:tblGrid>
      <w:tr w:rsidR="00CF68E1" w:rsidRPr="00E206EA" w14:paraId="129B5FE6" w14:textId="77777777" w:rsidTr="00CF68E1">
        <w:trPr>
          <w:trHeight w:val="278"/>
        </w:trPr>
        <w:tc>
          <w:tcPr>
            <w:tcW w:w="1896" w:type="dxa"/>
            <w:tcBorders>
              <w:top w:val="single" w:sz="4" w:space="0" w:color="auto"/>
              <w:left w:val="nil"/>
              <w:bottom w:val="single" w:sz="4" w:space="0" w:color="auto"/>
              <w:right w:val="nil"/>
            </w:tcBorders>
            <w:shd w:val="clear" w:color="auto" w:fill="auto"/>
            <w:noWrap/>
            <w:vAlign w:val="bottom"/>
            <w:hideMark/>
          </w:tcPr>
          <w:p w14:paraId="43C88D93" w14:textId="134DB799"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Pr>
                <w:rFonts w:ascii="Book Antiqua" w:eastAsia="宋体" w:hAnsi="Book Antiqua" w:cs="Times New Roman"/>
                <w:b/>
                <w:bCs/>
                <w:color w:val="000000"/>
                <w:kern w:val="0"/>
                <w:sz w:val="24"/>
                <w:szCs w:val="24"/>
              </w:rPr>
              <w:t>Ref.</w:t>
            </w:r>
          </w:p>
        </w:tc>
        <w:tc>
          <w:tcPr>
            <w:tcW w:w="1162" w:type="dxa"/>
            <w:tcBorders>
              <w:top w:val="single" w:sz="4" w:space="0" w:color="auto"/>
              <w:left w:val="nil"/>
              <w:bottom w:val="single" w:sz="4" w:space="0" w:color="auto"/>
              <w:right w:val="nil"/>
            </w:tcBorders>
            <w:shd w:val="clear" w:color="auto" w:fill="auto"/>
            <w:noWrap/>
            <w:vAlign w:val="bottom"/>
            <w:hideMark/>
          </w:tcPr>
          <w:p w14:paraId="7FEC0E66" w14:textId="77777777"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Age/Sex</w:t>
            </w:r>
          </w:p>
        </w:tc>
        <w:tc>
          <w:tcPr>
            <w:tcW w:w="1163" w:type="dxa"/>
            <w:tcBorders>
              <w:top w:val="single" w:sz="4" w:space="0" w:color="auto"/>
              <w:left w:val="nil"/>
              <w:bottom w:val="single" w:sz="4" w:space="0" w:color="auto"/>
              <w:right w:val="nil"/>
            </w:tcBorders>
            <w:shd w:val="clear" w:color="auto" w:fill="auto"/>
            <w:noWrap/>
            <w:vAlign w:val="bottom"/>
            <w:hideMark/>
          </w:tcPr>
          <w:p w14:paraId="1DF162A2" w14:textId="77777777"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Location</w:t>
            </w:r>
          </w:p>
        </w:tc>
        <w:tc>
          <w:tcPr>
            <w:tcW w:w="1347" w:type="dxa"/>
            <w:tcBorders>
              <w:top w:val="single" w:sz="4" w:space="0" w:color="auto"/>
              <w:left w:val="nil"/>
              <w:bottom w:val="single" w:sz="4" w:space="0" w:color="auto"/>
              <w:right w:val="nil"/>
            </w:tcBorders>
            <w:shd w:val="clear" w:color="auto" w:fill="auto"/>
            <w:noWrap/>
            <w:vAlign w:val="bottom"/>
            <w:hideMark/>
          </w:tcPr>
          <w:p w14:paraId="506192D4" w14:textId="00C8D27E"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Size</w:t>
            </w:r>
            <w:r w:rsidR="00844792">
              <w:rPr>
                <w:rFonts w:ascii="Book Antiqua" w:eastAsia="宋体" w:hAnsi="Book Antiqua" w:cs="Times New Roman"/>
                <w:b/>
                <w:bCs/>
                <w:color w:val="000000"/>
                <w:kern w:val="0"/>
                <w:sz w:val="24"/>
                <w:szCs w:val="24"/>
              </w:rPr>
              <w:t xml:space="preserve"> </w:t>
            </w:r>
            <w:r w:rsidRPr="00E206EA">
              <w:rPr>
                <w:rFonts w:ascii="Book Antiqua" w:eastAsia="宋体" w:hAnsi="Book Antiqua" w:cs="Times New Roman"/>
                <w:b/>
                <w:bCs/>
                <w:color w:val="000000"/>
                <w:kern w:val="0"/>
                <w:sz w:val="24"/>
                <w:szCs w:val="24"/>
              </w:rPr>
              <w:t>(cm)</w:t>
            </w:r>
          </w:p>
        </w:tc>
        <w:tc>
          <w:tcPr>
            <w:tcW w:w="2597" w:type="dxa"/>
            <w:tcBorders>
              <w:top w:val="single" w:sz="4" w:space="0" w:color="auto"/>
              <w:left w:val="nil"/>
              <w:bottom w:val="single" w:sz="4" w:space="0" w:color="auto"/>
              <w:right w:val="nil"/>
            </w:tcBorders>
            <w:shd w:val="clear" w:color="auto" w:fill="auto"/>
            <w:noWrap/>
            <w:vAlign w:val="bottom"/>
            <w:hideMark/>
          </w:tcPr>
          <w:p w14:paraId="4A4AAEC6" w14:textId="77777777"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Treatment</w:t>
            </w:r>
          </w:p>
        </w:tc>
        <w:tc>
          <w:tcPr>
            <w:tcW w:w="1201" w:type="dxa"/>
            <w:tcBorders>
              <w:top w:val="single" w:sz="4" w:space="0" w:color="auto"/>
              <w:left w:val="nil"/>
              <w:bottom w:val="single" w:sz="4" w:space="0" w:color="auto"/>
              <w:right w:val="nil"/>
            </w:tcBorders>
            <w:shd w:val="clear" w:color="auto" w:fill="auto"/>
            <w:noWrap/>
            <w:vAlign w:val="bottom"/>
            <w:hideMark/>
          </w:tcPr>
          <w:p w14:paraId="2E1FC104" w14:textId="119C936D" w:rsidR="00CF68E1" w:rsidRPr="00E206EA" w:rsidRDefault="00CF68E1" w:rsidP="00274A16">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 xml:space="preserve">R </w:t>
            </w:r>
            <w:r w:rsidR="00C3113D">
              <w:rPr>
                <w:rFonts w:ascii="Book Antiqua" w:eastAsia="宋体" w:hAnsi="Book Antiqua" w:cs="Times New Roman"/>
                <w:b/>
                <w:bCs/>
                <w:color w:val="000000"/>
                <w:kern w:val="0"/>
                <w:sz w:val="24"/>
                <w:szCs w:val="24"/>
              </w:rPr>
              <w:t>o</w:t>
            </w:r>
            <w:r w:rsidR="00C3113D" w:rsidRPr="00E206EA">
              <w:rPr>
                <w:rFonts w:ascii="Book Antiqua" w:eastAsia="宋体" w:hAnsi="Book Antiqua" w:cs="Times New Roman"/>
                <w:b/>
                <w:bCs/>
                <w:color w:val="000000"/>
                <w:kern w:val="0"/>
                <w:sz w:val="24"/>
                <w:szCs w:val="24"/>
              </w:rPr>
              <w:t xml:space="preserve">r </w:t>
            </w:r>
            <w:r w:rsidRPr="00E206EA">
              <w:rPr>
                <w:rFonts w:ascii="Book Antiqua" w:eastAsia="宋体" w:hAnsi="Book Antiqua" w:cs="Times New Roman"/>
                <w:b/>
                <w:bCs/>
                <w:color w:val="000000"/>
                <w:kern w:val="0"/>
                <w:sz w:val="24"/>
                <w:szCs w:val="24"/>
              </w:rPr>
              <w:t>M</w:t>
            </w:r>
          </w:p>
        </w:tc>
        <w:tc>
          <w:tcPr>
            <w:tcW w:w="1434" w:type="dxa"/>
            <w:tcBorders>
              <w:top w:val="single" w:sz="4" w:space="0" w:color="auto"/>
              <w:left w:val="nil"/>
              <w:bottom w:val="single" w:sz="4" w:space="0" w:color="auto"/>
              <w:right w:val="nil"/>
            </w:tcBorders>
            <w:shd w:val="clear" w:color="auto" w:fill="auto"/>
            <w:noWrap/>
            <w:vAlign w:val="bottom"/>
            <w:hideMark/>
          </w:tcPr>
          <w:p w14:paraId="133C7D30" w14:textId="77777777" w:rsidR="00CF68E1" w:rsidRPr="00E206EA" w:rsidRDefault="00CF68E1" w:rsidP="00E206EA">
            <w:pPr>
              <w:widowControl/>
              <w:spacing w:line="360" w:lineRule="auto"/>
              <w:rPr>
                <w:rFonts w:ascii="Book Antiqua" w:eastAsia="宋体" w:hAnsi="Book Antiqua" w:cs="Times New Roman"/>
                <w:b/>
                <w:bCs/>
                <w:color w:val="000000"/>
                <w:kern w:val="0"/>
                <w:sz w:val="24"/>
                <w:szCs w:val="24"/>
              </w:rPr>
            </w:pPr>
            <w:r w:rsidRPr="00E206EA">
              <w:rPr>
                <w:rFonts w:ascii="Book Antiqua" w:eastAsia="宋体" w:hAnsi="Book Antiqua" w:cs="Times New Roman"/>
                <w:b/>
                <w:bCs/>
                <w:color w:val="000000"/>
                <w:kern w:val="0"/>
                <w:sz w:val="24"/>
                <w:szCs w:val="24"/>
              </w:rPr>
              <w:t>Outcome</w:t>
            </w:r>
          </w:p>
        </w:tc>
      </w:tr>
      <w:tr w:rsidR="00CF68E1" w:rsidRPr="00E206EA" w14:paraId="75E8C22F" w14:textId="77777777" w:rsidTr="00CF68E1">
        <w:trPr>
          <w:trHeight w:val="278"/>
        </w:trPr>
        <w:tc>
          <w:tcPr>
            <w:tcW w:w="1896" w:type="dxa"/>
            <w:tcBorders>
              <w:top w:val="nil"/>
              <w:left w:val="nil"/>
              <w:bottom w:val="nil"/>
              <w:right w:val="nil"/>
            </w:tcBorders>
            <w:shd w:val="clear" w:color="auto" w:fill="auto"/>
            <w:noWrap/>
            <w:vAlign w:val="bottom"/>
            <w:hideMark/>
          </w:tcPr>
          <w:p w14:paraId="2FE3C15C" w14:textId="17AE0A9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Sato </w:t>
            </w:r>
            <w:r w:rsidRPr="00E206EA">
              <w:rPr>
                <w:rFonts w:ascii="Book Antiqua" w:eastAsia="宋体" w:hAnsi="Book Antiqua" w:cs="Times New Roman"/>
                <w:i/>
                <w:iCs/>
                <w:color w:val="000000"/>
                <w:kern w:val="0"/>
                <w:sz w:val="24"/>
                <w:szCs w:val="24"/>
              </w:rPr>
              <w:t>et al</w:t>
            </w:r>
            <w:r w:rsidRPr="00E206EA">
              <w:rPr>
                <w:rFonts w:ascii="Book Antiqua" w:eastAsia="宋体" w:hAnsi="Book Antiqua" w:cs="Times New Roman"/>
                <w:color w:val="000000"/>
                <w:kern w:val="0"/>
                <w:sz w:val="24"/>
                <w:szCs w:val="24"/>
                <w:vertAlign w:val="superscript"/>
              </w:rPr>
              <w:t>[1]</w:t>
            </w:r>
          </w:p>
        </w:tc>
        <w:tc>
          <w:tcPr>
            <w:tcW w:w="1162" w:type="dxa"/>
            <w:tcBorders>
              <w:top w:val="nil"/>
              <w:left w:val="nil"/>
              <w:bottom w:val="nil"/>
              <w:right w:val="nil"/>
            </w:tcBorders>
            <w:shd w:val="clear" w:color="auto" w:fill="auto"/>
            <w:noWrap/>
            <w:vAlign w:val="bottom"/>
            <w:hideMark/>
          </w:tcPr>
          <w:p w14:paraId="4F7DC1E9" w14:textId="360F23D6"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74/F</w:t>
            </w:r>
          </w:p>
        </w:tc>
        <w:tc>
          <w:tcPr>
            <w:tcW w:w="1163" w:type="dxa"/>
            <w:tcBorders>
              <w:top w:val="nil"/>
              <w:left w:val="nil"/>
              <w:bottom w:val="nil"/>
              <w:right w:val="nil"/>
            </w:tcBorders>
            <w:shd w:val="clear" w:color="auto" w:fill="auto"/>
            <w:noWrap/>
            <w:vAlign w:val="bottom"/>
            <w:hideMark/>
          </w:tcPr>
          <w:p w14:paraId="2684D92B" w14:textId="7797402A"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518C1213" w14:textId="685EC92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1.5</w:t>
            </w:r>
          </w:p>
        </w:tc>
        <w:tc>
          <w:tcPr>
            <w:tcW w:w="2597" w:type="dxa"/>
            <w:tcBorders>
              <w:top w:val="nil"/>
              <w:left w:val="nil"/>
              <w:bottom w:val="nil"/>
              <w:right w:val="nil"/>
            </w:tcBorders>
            <w:shd w:val="clear" w:color="auto" w:fill="auto"/>
            <w:noWrap/>
            <w:vAlign w:val="bottom"/>
            <w:hideMark/>
          </w:tcPr>
          <w:p w14:paraId="059E3960" w14:textId="1246E74C"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ESD</w:t>
            </w:r>
          </w:p>
        </w:tc>
        <w:tc>
          <w:tcPr>
            <w:tcW w:w="1201" w:type="dxa"/>
            <w:tcBorders>
              <w:top w:val="nil"/>
              <w:left w:val="nil"/>
              <w:bottom w:val="nil"/>
              <w:right w:val="nil"/>
            </w:tcBorders>
            <w:shd w:val="clear" w:color="auto" w:fill="auto"/>
            <w:noWrap/>
            <w:vAlign w:val="bottom"/>
            <w:hideMark/>
          </w:tcPr>
          <w:p w14:paraId="220BBC84" w14:textId="4524187D"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74BE6F9" w14:textId="385A198F"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WR in 36 M </w:t>
            </w:r>
          </w:p>
        </w:tc>
      </w:tr>
      <w:tr w:rsidR="00CF68E1" w:rsidRPr="00E206EA" w14:paraId="0CFAFAB1" w14:textId="77777777" w:rsidTr="00CF68E1">
        <w:trPr>
          <w:trHeight w:val="278"/>
        </w:trPr>
        <w:tc>
          <w:tcPr>
            <w:tcW w:w="1896" w:type="dxa"/>
            <w:tcBorders>
              <w:top w:val="nil"/>
              <w:left w:val="nil"/>
              <w:bottom w:val="nil"/>
              <w:right w:val="nil"/>
            </w:tcBorders>
            <w:shd w:val="clear" w:color="auto" w:fill="auto"/>
            <w:noWrap/>
            <w:vAlign w:val="bottom"/>
            <w:hideMark/>
          </w:tcPr>
          <w:p w14:paraId="129FF644" w14:textId="0AD9050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Hasnaoui </w:t>
            </w:r>
            <w:r w:rsidRPr="00E206EA">
              <w:rPr>
                <w:rFonts w:ascii="Book Antiqua" w:eastAsia="宋体" w:hAnsi="Book Antiqua" w:cs="Times New Roman"/>
                <w:i/>
                <w:iCs/>
                <w:color w:val="000000"/>
                <w:kern w:val="0"/>
                <w:sz w:val="24"/>
                <w:szCs w:val="24"/>
              </w:rPr>
              <w:t>et al</w:t>
            </w:r>
            <w:r w:rsidRPr="00E206EA">
              <w:rPr>
                <w:rFonts w:ascii="Book Antiqua" w:eastAsia="宋体" w:hAnsi="Book Antiqua" w:cs="Times New Roman"/>
                <w:color w:val="000000"/>
                <w:kern w:val="0"/>
                <w:sz w:val="24"/>
                <w:szCs w:val="24"/>
                <w:vertAlign w:val="superscript"/>
              </w:rPr>
              <w:t>[2]</w:t>
            </w:r>
          </w:p>
        </w:tc>
        <w:tc>
          <w:tcPr>
            <w:tcW w:w="1162" w:type="dxa"/>
            <w:tcBorders>
              <w:top w:val="nil"/>
              <w:left w:val="nil"/>
              <w:bottom w:val="nil"/>
              <w:right w:val="nil"/>
            </w:tcBorders>
            <w:shd w:val="clear" w:color="auto" w:fill="auto"/>
            <w:noWrap/>
            <w:vAlign w:val="bottom"/>
            <w:hideMark/>
          </w:tcPr>
          <w:p w14:paraId="1DB74FAB" w14:textId="7405A59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63/F</w:t>
            </w:r>
          </w:p>
        </w:tc>
        <w:tc>
          <w:tcPr>
            <w:tcW w:w="1163" w:type="dxa"/>
            <w:tcBorders>
              <w:top w:val="nil"/>
              <w:left w:val="nil"/>
              <w:bottom w:val="nil"/>
              <w:right w:val="nil"/>
            </w:tcBorders>
            <w:shd w:val="clear" w:color="auto" w:fill="auto"/>
            <w:noWrap/>
            <w:vAlign w:val="bottom"/>
            <w:hideMark/>
          </w:tcPr>
          <w:p w14:paraId="1C78191B" w14:textId="42A2533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Cardia</w:t>
            </w:r>
          </w:p>
        </w:tc>
        <w:tc>
          <w:tcPr>
            <w:tcW w:w="1347" w:type="dxa"/>
            <w:tcBorders>
              <w:top w:val="nil"/>
              <w:left w:val="nil"/>
              <w:bottom w:val="nil"/>
              <w:right w:val="nil"/>
            </w:tcBorders>
            <w:shd w:val="clear" w:color="auto" w:fill="auto"/>
            <w:noWrap/>
            <w:vAlign w:val="bottom"/>
            <w:hideMark/>
          </w:tcPr>
          <w:p w14:paraId="4667ED4F" w14:textId="78FC504D"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9 </w:t>
            </w:r>
          </w:p>
        </w:tc>
        <w:tc>
          <w:tcPr>
            <w:tcW w:w="2597" w:type="dxa"/>
            <w:tcBorders>
              <w:top w:val="nil"/>
              <w:left w:val="nil"/>
              <w:bottom w:val="nil"/>
              <w:right w:val="nil"/>
            </w:tcBorders>
            <w:shd w:val="clear" w:color="auto" w:fill="auto"/>
            <w:noWrap/>
            <w:vAlign w:val="bottom"/>
            <w:hideMark/>
          </w:tcPr>
          <w:p w14:paraId="1C07DB00" w14:textId="31F800E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Total gastrectomy</w:t>
            </w:r>
          </w:p>
        </w:tc>
        <w:tc>
          <w:tcPr>
            <w:tcW w:w="1201" w:type="dxa"/>
            <w:tcBorders>
              <w:top w:val="nil"/>
              <w:left w:val="nil"/>
              <w:bottom w:val="nil"/>
              <w:right w:val="nil"/>
            </w:tcBorders>
            <w:shd w:val="clear" w:color="auto" w:fill="auto"/>
            <w:noWrap/>
            <w:vAlign w:val="bottom"/>
            <w:hideMark/>
          </w:tcPr>
          <w:p w14:paraId="746946AB" w14:textId="14CC5100"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05C90CC1" w14:textId="304147F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Unk</w:t>
            </w:r>
            <w:r w:rsidRPr="00E206EA">
              <w:rPr>
                <w:rFonts w:ascii="Book Antiqua" w:eastAsia="宋体" w:hAnsi="Book Antiqua" w:cs="Times New Roman"/>
                <w:color w:val="000000"/>
                <w:kern w:val="0"/>
                <w:sz w:val="24"/>
                <w:szCs w:val="24"/>
              </w:rPr>
              <w:t>now</w:t>
            </w:r>
            <w:r w:rsidR="00292E87">
              <w:rPr>
                <w:rFonts w:ascii="Book Antiqua" w:eastAsia="宋体" w:hAnsi="Book Antiqua" w:cs="Times New Roman"/>
                <w:color w:val="000000"/>
                <w:kern w:val="0"/>
                <w:sz w:val="24"/>
                <w:szCs w:val="24"/>
              </w:rPr>
              <w:t>n</w:t>
            </w:r>
          </w:p>
        </w:tc>
      </w:tr>
      <w:tr w:rsidR="00CF68E1" w:rsidRPr="00E206EA" w14:paraId="021D1713" w14:textId="77777777" w:rsidTr="00CF68E1">
        <w:trPr>
          <w:trHeight w:val="278"/>
        </w:trPr>
        <w:tc>
          <w:tcPr>
            <w:tcW w:w="1896" w:type="dxa"/>
            <w:tcBorders>
              <w:top w:val="nil"/>
              <w:left w:val="nil"/>
              <w:bottom w:val="nil"/>
              <w:right w:val="nil"/>
            </w:tcBorders>
            <w:shd w:val="clear" w:color="auto" w:fill="auto"/>
            <w:noWrap/>
            <w:vAlign w:val="bottom"/>
          </w:tcPr>
          <w:p w14:paraId="4FFE9ABE" w14:textId="48EBAE1E" w:rsidR="00CF68E1" w:rsidRPr="00E206EA" w:rsidRDefault="00CF68E1" w:rsidP="00E206EA">
            <w:pPr>
              <w:widowControl/>
              <w:spacing w:line="360" w:lineRule="auto"/>
              <w:rPr>
                <w:rFonts w:ascii="Book Antiqua" w:eastAsia="宋体" w:hAnsi="Book Antiqua" w:cs="Times New Roman"/>
                <w:color w:val="000000"/>
                <w:kern w:val="0"/>
                <w:sz w:val="24"/>
                <w:szCs w:val="24"/>
                <w:vertAlign w:val="superscript"/>
              </w:rPr>
            </w:pPr>
            <w:r w:rsidRPr="00E206EA">
              <w:rPr>
                <w:rFonts w:ascii="Book Antiqua" w:eastAsia="宋体" w:hAnsi="Book Antiqua" w:cs="Times New Roman"/>
                <w:color w:val="000000"/>
                <w:kern w:val="0"/>
                <w:sz w:val="24"/>
                <w:szCs w:val="24"/>
              </w:rPr>
              <w:t xml:space="preserve">Mehta </w:t>
            </w:r>
            <w:r w:rsidRPr="00E206EA">
              <w:rPr>
                <w:rFonts w:ascii="Book Antiqua" w:eastAsia="宋体" w:hAnsi="Book Antiqua" w:cs="Times New Roman"/>
                <w:i/>
                <w:iCs/>
                <w:color w:val="000000"/>
                <w:kern w:val="0"/>
                <w:sz w:val="24"/>
                <w:szCs w:val="24"/>
              </w:rPr>
              <w:t>et al</w:t>
            </w:r>
            <w:r w:rsidRPr="00E206EA">
              <w:rPr>
                <w:rFonts w:ascii="Book Antiqua" w:eastAsia="宋体" w:hAnsi="Book Antiqua" w:cs="Times New Roman"/>
                <w:color w:val="000000"/>
                <w:kern w:val="0"/>
                <w:sz w:val="24"/>
                <w:szCs w:val="24"/>
                <w:vertAlign w:val="superscript"/>
              </w:rPr>
              <w:t>[3]</w:t>
            </w:r>
          </w:p>
        </w:tc>
        <w:tc>
          <w:tcPr>
            <w:tcW w:w="1162" w:type="dxa"/>
            <w:tcBorders>
              <w:top w:val="nil"/>
              <w:left w:val="nil"/>
              <w:bottom w:val="nil"/>
              <w:right w:val="nil"/>
            </w:tcBorders>
            <w:shd w:val="clear" w:color="auto" w:fill="auto"/>
            <w:noWrap/>
            <w:vAlign w:val="bottom"/>
          </w:tcPr>
          <w:p w14:paraId="75835B1D"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47/M</w:t>
            </w:r>
          </w:p>
        </w:tc>
        <w:tc>
          <w:tcPr>
            <w:tcW w:w="1163" w:type="dxa"/>
            <w:tcBorders>
              <w:top w:val="nil"/>
              <w:left w:val="nil"/>
              <w:bottom w:val="nil"/>
              <w:right w:val="nil"/>
            </w:tcBorders>
            <w:shd w:val="clear" w:color="auto" w:fill="auto"/>
            <w:noWrap/>
            <w:vAlign w:val="bottom"/>
          </w:tcPr>
          <w:p w14:paraId="4B4B5D8C"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tcPr>
          <w:p w14:paraId="2550A0FF" w14:textId="753444D1"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13 × 13 × 10</w:t>
            </w:r>
          </w:p>
        </w:tc>
        <w:tc>
          <w:tcPr>
            <w:tcW w:w="2597" w:type="dxa"/>
            <w:tcBorders>
              <w:top w:val="nil"/>
              <w:left w:val="nil"/>
              <w:bottom w:val="nil"/>
              <w:right w:val="nil"/>
            </w:tcBorders>
            <w:shd w:val="clear" w:color="auto" w:fill="auto"/>
            <w:noWrap/>
            <w:vAlign w:val="bottom"/>
          </w:tcPr>
          <w:p w14:paraId="213D2803"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Total excision of the greater curvature</w:t>
            </w:r>
          </w:p>
        </w:tc>
        <w:tc>
          <w:tcPr>
            <w:tcW w:w="1201" w:type="dxa"/>
            <w:tcBorders>
              <w:top w:val="nil"/>
              <w:left w:val="nil"/>
              <w:bottom w:val="nil"/>
              <w:right w:val="nil"/>
            </w:tcBorders>
            <w:shd w:val="clear" w:color="auto" w:fill="auto"/>
            <w:noWrap/>
            <w:vAlign w:val="bottom"/>
          </w:tcPr>
          <w:p w14:paraId="4234B89B" w14:textId="00858A31"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Yes, liver</w:t>
            </w:r>
          </w:p>
        </w:tc>
        <w:tc>
          <w:tcPr>
            <w:tcW w:w="1434" w:type="dxa"/>
            <w:tcBorders>
              <w:top w:val="nil"/>
              <w:left w:val="nil"/>
              <w:bottom w:val="nil"/>
              <w:right w:val="nil"/>
            </w:tcBorders>
            <w:shd w:val="clear" w:color="auto" w:fill="auto"/>
            <w:noWrap/>
            <w:vAlign w:val="bottom"/>
          </w:tcPr>
          <w:p w14:paraId="7B9AF104"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Alive in 35 M</w:t>
            </w:r>
          </w:p>
        </w:tc>
      </w:tr>
      <w:tr w:rsidR="00CF68E1" w:rsidRPr="00E206EA" w14:paraId="242F270A" w14:textId="77777777" w:rsidTr="00CF68E1">
        <w:trPr>
          <w:trHeight w:val="556"/>
        </w:trPr>
        <w:tc>
          <w:tcPr>
            <w:tcW w:w="1896" w:type="dxa"/>
            <w:tcBorders>
              <w:top w:val="nil"/>
              <w:left w:val="nil"/>
              <w:bottom w:val="nil"/>
              <w:right w:val="nil"/>
            </w:tcBorders>
            <w:shd w:val="clear" w:color="auto" w:fill="auto"/>
            <w:noWrap/>
            <w:vAlign w:val="bottom"/>
            <w:hideMark/>
          </w:tcPr>
          <w:p w14:paraId="0A66C566" w14:textId="026F483C"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Rou</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[4]</w:t>
            </w:r>
          </w:p>
        </w:tc>
        <w:tc>
          <w:tcPr>
            <w:tcW w:w="1162" w:type="dxa"/>
            <w:tcBorders>
              <w:top w:val="nil"/>
              <w:left w:val="nil"/>
              <w:bottom w:val="nil"/>
              <w:right w:val="nil"/>
            </w:tcBorders>
            <w:shd w:val="clear" w:color="auto" w:fill="auto"/>
            <w:noWrap/>
            <w:vAlign w:val="bottom"/>
            <w:hideMark/>
          </w:tcPr>
          <w:p w14:paraId="23AF939A" w14:textId="6716C796"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48/F</w:t>
            </w:r>
          </w:p>
        </w:tc>
        <w:tc>
          <w:tcPr>
            <w:tcW w:w="1163" w:type="dxa"/>
            <w:tcBorders>
              <w:top w:val="nil"/>
              <w:left w:val="nil"/>
              <w:bottom w:val="nil"/>
              <w:right w:val="nil"/>
            </w:tcBorders>
            <w:shd w:val="clear" w:color="auto" w:fill="auto"/>
            <w:noWrap/>
            <w:vAlign w:val="bottom"/>
            <w:hideMark/>
          </w:tcPr>
          <w:p w14:paraId="21BE419B" w14:textId="60CD5E9B"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Body </w:t>
            </w:r>
          </w:p>
        </w:tc>
        <w:tc>
          <w:tcPr>
            <w:tcW w:w="1347" w:type="dxa"/>
            <w:tcBorders>
              <w:top w:val="nil"/>
              <w:left w:val="nil"/>
              <w:bottom w:val="nil"/>
              <w:right w:val="nil"/>
            </w:tcBorders>
            <w:shd w:val="clear" w:color="auto" w:fill="auto"/>
            <w:noWrap/>
            <w:vAlign w:val="bottom"/>
            <w:hideMark/>
          </w:tcPr>
          <w:p w14:paraId="1AE795CD" w14:textId="7141024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2</w:t>
            </w:r>
          </w:p>
        </w:tc>
        <w:tc>
          <w:tcPr>
            <w:tcW w:w="2597" w:type="dxa"/>
            <w:tcBorders>
              <w:top w:val="nil"/>
              <w:left w:val="nil"/>
              <w:bottom w:val="nil"/>
              <w:right w:val="nil"/>
            </w:tcBorders>
            <w:shd w:val="clear" w:color="auto" w:fill="auto"/>
            <w:noWrap/>
            <w:vAlign w:val="bottom"/>
            <w:hideMark/>
          </w:tcPr>
          <w:p w14:paraId="416A9FAE" w14:textId="76A84F52"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Chemotherapy</w:t>
            </w:r>
          </w:p>
        </w:tc>
        <w:tc>
          <w:tcPr>
            <w:tcW w:w="1201" w:type="dxa"/>
            <w:tcBorders>
              <w:top w:val="nil"/>
              <w:left w:val="nil"/>
              <w:bottom w:val="nil"/>
              <w:right w:val="nil"/>
            </w:tcBorders>
            <w:shd w:val="clear" w:color="auto" w:fill="auto"/>
            <w:vAlign w:val="bottom"/>
            <w:hideMark/>
          </w:tcPr>
          <w:p w14:paraId="327CB79E" w14:textId="1E1321E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Yes, lung, liver, pancreas </w:t>
            </w:r>
          </w:p>
        </w:tc>
        <w:tc>
          <w:tcPr>
            <w:tcW w:w="1434" w:type="dxa"/>
            <w:tcBorders>
              <w:top w:val="nil"/>
              <w:left w:val="nil"/>
              <w:bottom w:val="nil"/>
              <w:right w:val="nil"/>
            </w:tcBorders>
            <w:shd w:val="clear" w:color="auto" w:fill="auto"/>
            <w:noWrap/>
            <w:vAlign w:val="bottom"/>
            <w:hideMark/>
          </w:tcPr>
          <w:p w14:paraId="759D0754" w14:textId="07B8A23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DOD in 12 M</w:t>
            </w:r>
          </w:p>
        </w:tc>
      </w:tr>
      <w:tr w:rsidR="00CF68E1" w:rsidRPr="00E206EA" w14:paraId="2CBE8CDF" w14:textId="77777777" w:rsidTr="00CF68E1">
        <w:trPr>
          <w:trHeight w:val="278"/>
        </w:trPr>
        <w:tc>
          <w:tcPr>
            <w:tcW w:w="1896" w:type="dxa"/>
            <w:tcBorders>
              <w:top w:val="nil"/>
              <w:left w:val="nil"/>
              <w:bottom w:val="nil"/>
              <w:right w:val="nil"/>
            </w:tcBorders>
            <w:shd w:val="clear" w:color="auto" w:fill="auto"/>
            <w:noWrap/>
            <w:vAlign w:val="bottom"/>
            <w:hideMark/>
          </w:tcPr>
          <w:p w14:paraId="608FFC52" w14:textId="6FF3B8C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Weledji</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[5]</w:t>
            </w:r>
          </w:p>
        </w:tc>
        <w:tc>
          <w:tcPr>
            <w:tcW w:w="1162" w:type="dxa"/>
            <w:tcBorders>
              <w:top w:val="nil"/>
              <w:left w:val="nil"/>
              <w:bottom w:val="nil"/>
              <w:right w:val="nil"/>
            </w:tcBorders>
            <w:shd w:val="clear" w:color="auto" w:fill="auto"/>
            <w:noWrap/>
            <w:vAlign w:val="bottom"/>
            <w:hideMark/>
          </w:tcPr>
          <w:p w14:paraId="0ECFB660" w14:textId="662CFDF0"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69/M</w:t>
            </w:r>
          </w:p>
        </w:tc>
        <w:tc>
          <w:tcPr>
            <w:tcW w:w="1163" w:type="dxa"/>
            <w:tcBorders>
              <w:top w:val="nil"/>
              <w:left w:val="nil"/>
              <w:bottom w:val="nil"/>
              <w:right w:val="nil"/>
            </w:tcBorders>
            <w:shd w:val="clear" w:color="auto" w:fill="auto"/>
            <w:noWrap/>
            <w:vAlign w:val="bottom"/>
            <w:hideMark/>
          </w:tcPr>
          <w:p w14:paraId="51943985" w14:textId="51AC2E92"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Pylorus </w:t>
            </w:r>
          </w:p>
        </w:tc>
        <w:tc>
          <w:tcPr>
            <w:tcW w:w="1347" w:type="dxa"/>
            <w:tcBorders>
              <w:top w:val="nil"/>
              <w:left w:val="nil"/>
              <w:bottom w:val="nil"/>
              <w:right w:val="nil"/>
            </w:tcBorders>
            <w:shd w:val="clear" w:color="auto" w:fill="auto"/>
            <w:noWrap/>
            <w:vAlign w:val="bottom"/>
            <w:hideMark/>
          </w:tcPr>
          <w:p w14:paraId="3E6F8972" w14:textId="66025841"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8</w:t>
            </w:r>
          </w:p>
        </w:tc>
        <w:tc>
          <w:tcPr>
            <w:tcW w:w="2597" w:type="dxa"/>
            <w:tcBorders>
              <w:top w:val="nil"/>
              <w:left w:val="nil"/>
              <w:bottom w:val="nil"/>
              <w:right w:val="nil"/>
            </w:tcBorders>
            <w:shd w:val="clear" w:color="auto" w:fill="auto"/>
            <w:noWrap/>
            <w:vAlign w:val="bottom"/>
            <w:hideMark/>
          </w:tcPr>
          <w:p w14:paraId="57F8A3FE" w14:textId="739001F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Partial gastrectomy</w:t>
            </w:r>
          </w:p>
        </w:tc>
        <w:tc>
          <w:tcPr>
            <w:tcW w:w="1201" w:type="dxa"/>
            <w:tcBorders>
              <w:top w:val="nil"/>
              <w:left w:val="nil"/>
              <w:bottom w:val="nil"/>
              <w:right w:val="nil"/>
            </w:tcBorders>
            <w:shd w:val="clear" w:color="auto" w:fill="auto"/>
            <w:noWrap/>
            <w:vAlign w:val="bottom"/>
            <w:hideMark/>
          </w:tcPr>
          <w:p w14:paraId="78B82F58" w14:textId="5372425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Unkno</w:t>
            </w:r>
            <w:r w:rsidRPr="00E206EA">
              <w:rPr>
                <w:rFonts w:ascii="Book Antiqua" w:eastAsia="宋体" w:hAnsi="Book Antiqua" w:cs="Times New Roman"/>
                <w:color w:val="000000"/>
                <w:kern w:val="0"/>
                <w:sz w:val="24"/>
                <w:szCs w:val="24"/>
              </w:rPr>
              <w:t>w</w:t>
            </w:r>
            <w:r w:rsidR="00292E87">
              <w:rPr>
                <w:rFonts w:ascii="Book Antiqua" w:eastAsia="宋体" w:hAnsi="Book Antiqua" w:cs="Times New Roman"/>
                <w:color w:val="000000"/>
                <w:kern w:val="0"/>
                <w:sz w:val="24"/>
                <w:szCs w:val="24"/>
              </w:rPr>
              <w:t>n</w:t>
            </w:r>
          </w:p>
        </w:tc>
        <w:tc>
          <w:tcPr>
            <w:tcW w:w="1434" w:type="dxa"/>
            <w:tcBorders>
              <w:top w:val="nil"/>
              <w:left w:val="nil"/>
              <w:bottom w:val="nil"/>
              <w:right w:val="nil"/>
            </w:tcBorders>
            <w:shd w:val="clear" w:color="auto" w:fill="auto"/>
            <w:noWrap/>
            <w:vAlign w:val="bottom"/>
            <w:hideMark/>
          </w:tcPr>
          <w:p w14:paraId="4CFD4EA2" w14:textId="3C6EF4F8"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DOD in 7 D</w:t>
            </w:r>
          </w:p>
        </w:tc>
      </w:tr>
      <w:tr w:rsidR="00CF68E1" w:rsidRPr="00E206EA" w14:paraId="7E4478F8" w14:textId="77777777" w:rsidTr="00CF68E1">
        <w:trPr>
          <w:trHeight w:val="278"/>
        </w:trPr>
        <w:tc>
          <w:tcPr>
            <w:tcW w:w="1896" w:type="dxa"/>
            <w:tcBorders>
              <w:top w:val="nil"/>
              <w:left w:val="nil"/>
              <w:bottom w:val="nil"/>
              <w:right w:val="nil"/>
            </w:tcBorders>
            <w:shd w:val="clear" w:color="auto" w:fill="auto"/>
            <w:noWrap/>
            <w:vAlign w:val="bottom"/>
          </w:tcPr>
          <w:p w14:paraId="1979DA7C" w14:textId="066DB801" w:rsidR="00CF68E1" w:rsidRPr="00E206EA" w:rsidRDefault="00CF68E1" w:rsidP="00E206EA">
            <w:pPr>
              <w:widowControl/>
              <w:spacing w:line="360" w:lineRule="auto"/>
              <w:rPr>
                <w:rFonts w:ascii="Book Antiqua" w:eastAsia="宋体" w:hAnsi="Book Antiqua" w:cs="Times New Roman"/>
                <w:color w:val="000000"/>
                <w:kern w:val="0"/>
                <w:sz w:val="24"/>
                <w:szCs w:val="24"/>
                <w:vertAlign w:val="superscript"/>
              </w:rPr>
            </w:pPr>
            <w:r w:rsidRPr="00E206EA">
              <w:rPr>
                <w:rFonts w:ascii="Book Antiqua" w:eastAsia="宋体" w:hAnsi="Book Antiqua" w:cs="Times New Roman"/>
                <w:color w:val="000000"/>
                <w:kern w:val="0"/>
                <w:sz w:val="24"/>
                <w:szCs w:val="24"/>
              </w:rPr>
              <w:t>Yamamoto</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[6]</w:t>
            </w:r>
          </w:p>
        </w:tc>
        <w:tc>
          <w:tcPr>
            <w:tcW w:w="1162" w:type="dxa"/>
            <w:tcBorders>
              <w:top w:val="nil"/>
              <w:left w:val="nil"/>
              <w:bottom w:val="nil"/>
              <w:right w:val="nil"/>
            </w:tcBorders>
            <w:shd w:val="clear" w:color="auto" w:fill="auto"/>
            <w:noWrap/>
            <w:vAlign w:val="bottom"/>
          </w:tcPr>
          <w:p w14:paraId="72BF9113"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51/M</w:t>
            </w:r>
          </w:p>
        </w:tc>
        <w:tc>
          <w:tcPr>
            <w:tcW w:w="1163" w:type="dxa"/>
            <w:tcBorders>
              <w:top w:val="nil"/>
              <w:left w:val="nil"/>
              <w:bottom w:val="nil"/>
              <w:right w:val="nil"/>
            </w:tcBorders>
            <w:shd w:val="clear" w:color="auto" w:fill="auto"/>
            <w:noWrap/>
            <w:vAlign w:val="bottom"/>
          </w:tcPr>
          <w:p w14:paraId="3A2D716D" w14:textId="77777777" w:rsidR="00CF68E1" w:rsidRPr="00E206EA" w:rsidRDefault="00CF68E1" w:rsidP="00E206EA">
            <w:pPr>
              <w:widowControl/>
              <w:spacing w:line="360" w:lineRule="auto"/>
              <w:ind w:firstLineChars="100" w:firstLine="240"/>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t>
            </w:r>
          </w:p>
        </w:tc>
        <w:tc>
          <w:tcPr>
            <w:tcW w:w="1347" w:type="dxa"/>
            <w:tcBorders>
              <w:top w:val="nil"/>
              <w:left w:val="nil"/>
              <w:bottom w:val="nil"/>
              <w:right w:val="nil"/>
            </w:tcBorders>
            <w:shd w:val="clear" w:color="auto" w:fill="auto"/>
            <w:noWrap/>
            <w:vAlign w:val="bottom"/>
          </w:tcPr>
          <w:p w14:paraId="7C652F3F"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2.5</w:t>
            </w:r>
          </w:p>
        </w:tc>
        <w:tc>
          <w:tcPr>
            <w:tcW w:w="2597" w:type="dxa"/>
            <w:tcBorders>
              <w:top w:val="nil"/>
              <w:left w:val="nil"/>
              <w:bottom w:val="nil"/>
              <w:right w:val="nil"/>
            </w:tcBorders>
            <w:shd w:val="clear" w:color="auto" w:fill="auto"/>
            <w:noWrap/>
            <w:vAlign w:val="bottom"/>
          </w:tcPr>
          <w:p w14:paraId="50D27D1F"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Surgery</w:t>
            </w:r>
          </w:p>
        </w:tc>
        <w:tc>
          <w:tcPr>
            <w:tcW w:w="1201" w:type="dxa"/>
            <w:tcBorders>
              <w:top w:val="nil"/>
              <w:left w:val="nil"/>
              <w:bottom w:val="nil"/>
              <w:right w:val="nil"/>
            </w:tcBorders>
            <w:shd w:val="clear" w:color="auto" w:fill="auto"/>
            <w:noWrap/>
            <w:vAlign w:val="bottom"/>
          </w:tcPr>
          <w:p w14:paraId="3616E435"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tcPr>
          <w:p w14:paraId="273D85D8"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18 M</w:t>
            </w:r>
          </w:p>
        </w:tc>
      </w:tr>
      <w:tr w:rsidR="00CF68E1" w:rsidRPr="00E206EA" w14:paraId="7695289C" w14:textId="77777777" w:rsidTr="00CF68E1">
        <w:trPr>
          <w:trHeight w:val="290"/>
        </w:trPr>
        <w:tc>
          <w:tcPr>
            <w:tcW w:w="1896" w:type="dxa"/>
            <w:tcBorders>
              <w:top w:val="nil"/>
              <w:left w:val="nil"/>
              <w:bottom w:val="nil"/>
              <w:right w:val="nil"/>
            </w:tcBorders>
            <w:shd w:val="clear" w:color="auto" w:fill="auto"/>
            <w:noWrap/>
            <w:vAlign w:val="bottom"/>
            <w:hideMark/>
          </w:tcPr>
          <w:p w14:paraId="27FE82BD" w14:textId="3051DBC0"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Damiano</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[7]</w:t>
            </w:r>
          </w:p>
        </w:tc>
        <w:tc>
          <w:tcPr>
            <w:tcW w:w="1162" w:type="dxa"/>
            <w:tcBorders>
              <w:top w:val="nil"/>
              <w:left w:val="nil"/>
              <w:bottom w:val="nil"/>
              <w:right w:val="nil"/>
            </w:tcBorders>
            <w:shd w:val="clear" w:color="auto" w:fill="auto"/>
            <w:noWrap/>
            <w:vAlign w:val="bottom"/>
            <w:hideMark/>
          </w:tcPr>
          <w:p w14:paraId="69EA55F0" w14:textId="64ABDD3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71/M</w:t>
            </w:r>
          </w:p>
        </w:tc>
        <w:tc>
          <w:tcPr>
            <w:tcW w:w="1163" w:type="dxa"/>
            <w:tcBorders>
              <w:top w:val="nil"/>
              <w:left w:val="nil"/>
              <w:bottom w:val="nil"/>
              <w:right w:val="nil"/>
            </w:tcBorders>
            <w:shd w:val="clear" w:color="auto" w:fill="auto"/>
            <w:noWrap/>
            <w:vAlign w:val="bottom"/>
            <w:hideMark/>
          </w:tcPr>
          <w:p w14:paraId="5DEFCAC0" w14:textId="477F61D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53421D89" w14:textId="103D794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9 × 8 × 3</w:t>
            </w:r>
          </w:p>
        </w:tc>
        <w:tc>
          <w:tcPr>
            <w:tcW w:w="2597" w:type="dxa"/>
            <w:tcBorders>
              <w:top w:val="nil"/>
              <w:left w:val="nil"/>
              <w:bottom w:val="nil"/>
              <w:right w:val="nil"/>
            </w:tcBorders>
            <w:shd w:val="clear" w:color="auto" w:fill="auto"/>
            <w:noWrap/>
            <w:vAlign w:val="bottom"/>
            <w:hideMark/>
          </w:tcPr>
          <w:p w14:paraId="2A73FF4A" w14:textId="39119BBA"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Atypical gastroresection</w:t>
            </w:r>
          </w:p>
        </w:tc>
        <w:tc>
          <w:tcPr>
            <w:tcW w:w="1201" w:type="dxa"/>
            <w:tcBorders>
              <w:top w:val="nil"/>
              <w:left w:val="nil"/>
              <w:bottom w:val="nil"/>
              <w:right w:val="nil"/>
            </w:tcBorders>
            <w:shd w:val="clear" w:color="auto" w:fill="auto"/>
            <w:noWrap/>
            <w:vAlign w:val="bottom"/>
            <w:hideMark/>
          </w:tcPr>
          <w:p w14:paraId="3F1590A6" w14:textId="6BC622A8"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95B172F" w14:textId="7164A08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28 M</w:t>
            </w:r>
          </w:p>
        </w:tc>
      </w:tr>
      <w:tr w:rsidR="00CF68E1" w:rsidRPr="00E206EA" w14:paraId="475644D1" w14:textId="77777777" w:rsidTr="00CF68E1">
        <w:trPr>
          <w:trHeight w:val="278"/>
        </w:trPr>
        <w:tc>
          <w:tcPr>
            <w:tcW w:w="1896" w:type="dxa"/>
            <w:tcBorders>
              <w:top w:val="nil"/>
              <w:left w:val="nil"/>
              <w:bottom w:val="nil"/>
              <w:right w:val="nil"/>
            </w:tcBorders>
            <w:shd w:val="clear" w:color="auto" w:fill="auto"/>
            <w:noWrap/>
            <w:vAlign w:val="bottom"/>
            <w:hideMark/>
          </w:tcPr>
          <w:p w14:paraId="6B3ED9AD" w14:textId="4F680FA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Insabato</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[8]</w:t>
            </w:r>
          </w:p>
        </w:tc>
        <w:tc>
          <w:tcPr>
            <w:tcW w:w="1162" w:type="dxa"/>
            <w:tcBorders>
              <w:top w:val="nil"/>
              <w:left w:val="nil"/>
              <w:bottom w:val="nil"/>
              <w:right w:val="nil"/>
            </w:tcBorders>
            <w:shd w:val="clear" w:color="auto" w:fill="auto"/>
            <w:noWrap/>
            <w:vAlign w:val="bottom"/>
            <w:hideMark/>
          </w:tcPr>
          <w:p w14:paraId="6531BBFB" w14:textId="585C36B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51/M</w:t>
            </w:r>
          </w:p>
        </w:tc>
        <w:tc>
          <w:tcPr>
            <w:tcW w:w="1163" w:type="dxa"/>
            <w:tcBorders>
              <w:top w:val="nil"/>
              <w:left w:val="nil"/>
              <w:bottom w:val="nil"/>
              <w:right w:val="nil"/>
            </w:tcBorders>
            <w:shd w:val="clear" w:color="auto" w:fill="auto"/>
            <w:noWrap/>
            <w:vAlign w:val="bottom"/>
            <w:hideMark/>
          </w:tcPr>
          <w:p w14:paraId="40056905" w14:textId="5F7C8822"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Fundus</w:t>
            </w:r>
          </w:p>
        </w:tc>
        <w:tc>
          <w:tcPr>
            <w:tcW w:w="1347" w:type="dxa"/>
            <w:tcBorders>
              <w:top w:val="nil"/>
              <w:left w:val="nil"/>
              <w:bottom w:val="nil"/>
              <w:right w:val="nil"/>
            </w:tcBorders>
            <w:shd w:val="clear" w:color="auto" w:fill="auto"/>
            <w:noWrap/>
            <w:vAlign w:val="bottom"/>
            <w:hideMark/>
          </w:tcPr>
          <w:p w14:paraId="2A9AC0AE" w14:textId="2161A960"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3</w:t>
            </w:r>
          </w:p>
        </w:tc>
        <w:tc>
          <w:tcPr>
            <w:tcW w:w="2597" w:type="dxa"/>
            <w:tcBorders>
              <w:top w:val="nil"/>
              <w:left w:val="nil"/>
              <w:bottom w:val="nil"/>
              <w:right w:val="nil"/>
            </w:tcBorders>
            <w:shd w:val="clear" w:color="auto" w:fill="auto"/>
            <w:noWrap/>
            <w:vAlign w:val="bottom"/>
            <w:hideMark/>
          </w:tcPr>
          <w:p w14:paraId="0DDEA137" w14:textId="00362AB9"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Total gastrectomy</w:t>
            </w:r>
          </w:p>
        </w:tc>
        <w:tc>
          <w:tcPr>
            <w:tcW w:w="1201" w:type="dxa"/>
            <w:tcBorders>
              <w:top w:val="nil"/>
              <w:left w:val="nil"/>
              <w:bottom w:val="nil"/>
              <w:right w:val="nil"/>
            </w:tcBorders>
            <w:shd w:val="clear" w:color="auto" w:fill="auto"/>
            <w:noWrap/>
            <w:vAlign w:val="bottom"/>
            <w:hideMark/>
          </w:tcPr>
          <w:p w14:paraId="30DB71D4" w14:textId="2B2C6811"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6DAAAA5B" w14:textId="6752DFE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10 M</w:t>
            </w:r>
          </w:p>
        </w:tc>
      </w:tr>
      <w:tr w:rsidR="00CF68E1" w:rsidRPr="00E206EA" w14:paraId="175ABF7A" w14:textId="77777777" w:rsidTr="00CF68E1">
        <w:trPr>
          <w:trHeight w:val="278"/>
        </w:trPr>
        <w:tc>
          <w:tcPr>
            <w:tcW w:w="1896" w:type="dxa"/>
            <w:tcBorders>
              <w:top w:val="nil"/>
              <w:left w:val="nil"/>
              <w:bottom w:val="nil"/>
              <w:right w:val="nil"/>
            </w:tcBorders>
            <w:shd w:val="clear" w:color="auto" w:fill="auto"/>
            <w:noWrap/>
            <w:vAlign w:val="bottom"/>
            <w:hideMark/>
          </w:tcPr>
          <w:p w14:paraId="78562A8F" w14:textId="07FB5654"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Soufi</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[9]</w:t>
            </w:r>
          </w:p>
        </w:tc>
        <w:tc>
          <w:tcPr>
            <w:tcW w:w="1162" w:type="dxa"/>
            <w:tcBorders>
              <w:top w:val="nil"/>
              <w:left w:val="nil"/>
              <w:bottom w:val="nil"/>
              <w:right w:val="nil"/>
            </w:tcBorders>
            <w:shd w:val="clear" w:color="auto" w:fill="auto"/>
            <w:noWrap/>
            <w:vAlign w:val="bottom"/>
            <w:hideMark/>
          </w:tcPr>
          <w:p w14:paraId="1CABB9E5" w14:textId="5D4C6F71"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16/F</w:t>
            </w:r>
          </w:p>
        </w:tc>
        <w:tc>
          <w:tcPr>
            <w:tcW w:w="1163" w:type="dxa"/>
            <w:tcBorders>
              <w:top w:val="nil"/>
              <w:left w:val="nil"/>
              <w:bottom w:val="nil"/>
              <w:right w:val="nil"/>
            </w:tcBorders>
            <w:shd w:val="clear" w:color="auto" w:fill="auto"/>
            <w:noWrap/>
            <w:vAlign w:val="bottom"/>
            <w:hideMark/>
          </w:tcPr>
          <w:p w14:paraId="0307491B" w14:textId="64D521BF"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Fundus</w:t>
            </w:r>
          </w:p>
        </w:tc>
        <w:tc>
          <w:tcPr>
            <w:tcW w:w="1347" w:type="dxa"/>
            <w:tcBorders>
              <w:top w:val="nil"/>
              <w:left w:val="nil"/>
              <w:bottom w:val="nil"/>
              <w:right w:val="nil"/>
            </w:tcBorders>
            <w:shd w:val="clear" w:color="auto" w:fill="auto"/>
            <w:noWrap/>
            <w:vAlign w:val="bottom"/>
            <w:hideMark/>
          </w:tcPr>
          <w:p w14:paraId="498C4C27" w14:textId="3AAB9DE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t>
            </w:r>
          </w:p>
        </w:tc>
        <w:tc>
          <w:tcPr>
            <w:tcW w:w="2597" w:type="dxa"/>
            <w:tcBorders>
              <w:top w:val="nil"/>
              <w:left w:val="nil"/>
              <w:bottom w:val="nil"/>
              <w:right w:val="nil"/>
            </w:tcBorders>
            <w:shd w:val="clear" w:color="auto" w:fill="auto"/>
            <w:noWrap/>
            <w:vAlign w:val="bottom"/>
            <w:hideMark/>
          </w:tcPr>
          <w:p w14:paraId="2652489E" w14:textId="3C861DE8"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Subtotal gastrectomy</w:t>
            </w:r>
          </w:p>
        </w:tc>
        <w:tc>
          <w:tcPr>
            <w:tcW w:w="1201" w:type="dxa"/>
            <w:tcBorders>
              <w:top w:val="nil"/>
              <w:left w:val="nil"/>
              <w:bottom w:val="nil"/>
              <w:right w:val="nil"/>
            </w:tcBorders>
            <w:shd w:val="clear" w:color="auto" w:fill="auto"/>
            <w:noWrap/>
            <w:vAlign w:val="bottom"/>
            <w:hideMark/>
          </w:tcPr>
          <w:p w14:paraId="3DB894B7" w14:textId="61A1105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6D2DF69C" w14:textId="29BD898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18 M</w:t>
            </w:r>
          </w:p>
        </w:tc>
      </w:tr>
      <w:tr w:rsidR="00CF68E1" w:rsidRPr="00E206EA" w14:paraId="69A0B185" w14:textId="77777777" w:rsidTr="00CF68E1">
        <w:trPr>
          <w:trHeight w:val="278"/>
        </w:trPr>
        <w:tc>
          <w:tcPr>
            <w:tcW w:w="1896" w:type="dxa"/>
            <w:tcBorders>
              <w:top w:val="nil"/>
              <w:left w:val="nil"/>
              <w:bottom w:val="nil"/>
              <w:right w:val="nil"/>
            </w:tcBorders>
            <w:shd w:val="clear" w:color="auto" w:fill="auto"/>
            <w:noWrap/>
            <w:vAlign w:val="bottom"/>
            <w:hideMark/>
          </w:tcPr>
          <w:p w14:paraId="6655F9BE" w14:textId="4DCCD37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Masuzawa</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[10]</w:t>
            </w:r>
          </w:p>
        </w:tc>
        <w:tc>
          <w:tcPr>
            <w:tcW w:w="1162" w:type="dxa"/>
            <w:tcBorders>
              <w:top w:val="nil"/>
              <w:left w:val="nil"/>
              <w:bottom w:val="nil"/>
              <w:right w:val="nil"/>
            </w:tcBorders>
            <w:shd w:val="clear" w:color="auto" w:fill="auto"/>
            <w:noWrap/>
            <w:vAlign w:val="bottom"/>
            <w:hideMark/>
          </w:tcPr>
          <w:p w14:paraId="0B5AE17E" w14:textId="5ADCA25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29/F</w:t>
            </w:r>
          </w:p>
        </w:tc>
        <w:tc>
          <w:tcPr>
            <w:tcW w:w="1163" w:type="dxa"/>
            <w:tcBorders>
              <w:top w:val="nil"/>
              <w:left w:val="nil"/>
              <w:bottom w:val="nil"/>
              <w:right w:val="nil"/>
            </w:tcBorders>
            <w:shd w:val="clear" w:color="auto" w:fill="auto"/>
            <w:noWrap/>
            <w:vAlign w:val="bottom"/>
            <w:hideMark/>
          </w:tcPr>
          <w:p w14:paraId="38894EBA" w14:textId="7CD90E4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069E1901" w14:textId="19D182B8"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11 × 9.7 × 3.2 </w:t>
            </w:r>
          </w:p>
        </w:tc>
        <w:tc>
          <w:tcPr>
            <w:tcW w:w="2597" w:type="dxa"/>
            <w:tcBorders>
              <w:top w:val="nil"/>
              <w:left w:val="nil"/>
              <w:bottom w:val="nil"/>
              <w:right w:val="nil"/>
            </w:tcBorders>
            <w:shd w:val="clear" w:color="auto" w:fill="auto"/>
            <w:noWrap/>
            <w:vAlign w:val="bottom"/>
            <w:hideMark/>
          </w:tcPr>
          <w:p w14:paraId="7A31F042" w14:textId="7C50A2E5"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Distal gastrectomy</w:t>
            </w:r>
          </w:p>
        </w:tc>
        <w:tc>
          <w:tcPr>
            <w:tcW w:w="1201" w:type="dxa"/>
            <w:tcBorders>
              <w:top w:val="nil"/>
              <w:left w:val="nil"/>
              <w:bottom w:val="nil"/>
              <w:right w:val="nil"/>
            </w:tcBorders>
            <w:shd w:val="clear" w:color="auto" w:fill="auto"/>
            <w:noWrap/>
            <w:vAlign w:val="bottom"/>
            <w:hideMark/>
          </w:tcPr>
          <w:p w14:paraId="68DB1D51" w14:textId="7AFCD456"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3900AAAE" w14:textId="613AD9AC"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8 M</w:t>
            </w:r>
          </w:p>
        </w:tc>
      </w:tr>
      <w:tr w:rsidR="00CF68E1" w:rsidRPr="00E206EA" w14:paraId="458E249E" w14:textId="77777777" w:rsidTr="00CF68E1">
        <w:trPr>
          <w:trHeight w:val="278"/>
        </w:trPr>
        <w:tc>
          <w:tcPr>
            <w:tcW w:w="1896" w:type="dxa"/>
            <w:tcBorders>
              <w:top w:val="nil"/>
              <w:left w:val="nil"/>
              <w:bottom w:val="nil"/>
              <w:right w:val="nil"/>
            </w:tcBorders>
            <w:shd w:val="clear" w:color="auto" w:fill="auto"/>
            <w:noWrap/>
            <w:vAlign w:val="bottom"/>
            <w:hideMark/>
          </w:tcPr>
          <w:p w14:paraId="79013D78" w14:textId="0D5AA93F"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Pauser</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[11]</w:t>
            </w:r>
          </w:p>
        </w:tc>
        <w:tc>
          <w:tcPr>
            <w:tcW w:w="1162" w:type="dxa"/>
            <w:tcBorders>
              <w:top w:val="nil"/>
              <w:left w:val="nil"/>
              <w:bottom w:val="nil"/>
              <w:right w:val="nil"/>
            </w:tcBorders>
            <w:shd w:val="clear" w:color="auto" w:fill="auto"/>
            <w:noWrap/>
            <w:vAlign w:val="bottom"/>
            <w:hideMark/>
          </w:tcPr>
          <w:p w14:paraId="3FA0258C" w14:textId="25C03C79"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37/M</w:t>
            </w:r>
          </w:p>
        </w:tc>
        <w:tc>
          <w:tcPr>
            <w:tcW w:w="1163" w:type="dxa"/>
            <w:tcBorders>
              <w:top w:val="nil"/>
              <w:left w:val="nil"/>
              <w:bottom w:val="nil"/>
              <w:right w:val="nil"/>
            </w:tcBorders>
            <w:shd w:val="clear" w:color="auto" w:fill="auto"/>
            <w:noWrap/>
            <w:vAlign w:val="bottom"/>
            <w:hideMark/>
          </w:tcPr>
          <w:p w14:paraId="7DCD368F" w14:textId="159086FE"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Antrum</w:t>
            </w:r>
          </w:p>
        </w:tc>
        <w:tc>
          <w:tcPr>
            <w:tcW w:w="1347" w:type="dxa"/>
            <w:tcBorders>
              <w:top w:val="nil"/>
              <w:left w:val="nil"/>
              <w:bottom w:val="nil"/>
              <w:right w:val="nil"/>
            </w:tcBorders>
            <w:shd w:val="clear" w:color="auto" w:fill="auto"/>
            <w:noWrap/>
            <w:vAlign w:val="bottom"/>
            <w:hideMark/>
          </w:tcPr>
          <w:p w14:paraId="44B30FD3" w14:textId="20AEA78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1</w:t>
            </w:r>
          </w:p>
        </w:tc>
        <w:tc>
          <w:tcPr>
            <w:tcW w:w="2597" w:type="dxa"/>
            <w:tcBorders>
              <w:top w:val="nil"/>
              <w:left w:val="nil"/>
              <w:bottom w:val="nil"/>
              <w:right w:val="nil"/>
            </w:tcBorders>
            <w:shd w:val="clear" w:color="auto" w:fill="auto"/>
            <w:noWrap/>
            <w:vAlign w:val="bottom"/>
            <w:hideMark/>
          </w:tcPr>
          <w:p w14:paraId="2472DF81" w14:textId="6CFE8C1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Resected endoscopically</w:t>
            </w:r>
          </w:p>
        </w:tc>
        <w:tc>
          <w:tcPr>
            <w:tcW w:w="1201" w:type="dxa"/>
            <w:tcBorders>
              <w:top w:val="nil"/>
              <w:left w:val="nil"/>
              <w:bottom w:val="nil"/>
              <w:right w:val="nil"/>
            </w:tcBorders>
            <w:shd w:val="clear" w:color="auto" w:fill="auto"/>
            <w:noWrap/>
            <w:vAlign w:val="bottom"/>
            <w:hideMark/>
          </w:tcPr>
          <w:p w14:paraId="65F52723" w14:textId="506AD550"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08EB4A4D" w14:textId="582D69A6"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WR in 36 M</w:t>
            </w:r>
          </w:p>
        </w:tc>
      </w:tr>
      <w:tr w:rsidR="00CF68E1" w:rsidRPr="00E206EA" w14:paraId="400A43AE" w14:textId="77777777" w:rsidTr="00CF68E1">
        <w:trPr>
          <w:trHeight w:val="290"/>
        </w:trPr>
        <w:tc>
          <w:tcPr>
            <w:tcW w:w="1896" w:type="dxa"/>
            <w:tcBorders>
              <w:top w:val="nil"/>
              <w:left w:val="nil"/>
              <w:bottom w:val="nil"/>
              <w:right w:val="nil"/>
            </w:tcBorders>
            <w:shd w:val="clear" w:color="auto" w:fill="auto"/>
            <w:noWrap/>
            <w:vAlign w:val="bottom"/>
            <w:hideMark/>
          </w:tcPr>
          <w:p w14:paraId="4E6AAF9F" w14:textId="77FC511A"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Geraci</w:t>
            </w:r>
            <w:r w:rsidRPr="00E206EA">
              <w:rPr>
                <w:rFonts w:ascii="Book Antiqua" w:eastAsia="宋体" w:hAnsi="Book Antiqua" w:cs="Times New Roman"/>
                <w:i/>
                <w:iCs/>
                <w:color w:val="000000"/>
                <w:kern w:val="0"/>
                <w:sz w:val="24"/>
                <w:szCs w:val="24"/>
              </w:rPr>
              <w:t xml:space="preserve"> et al</w:t>
            </w:r>
            <w:r w:rsidRPr="00E206EA">
              <w:rPr>
                <w:rFonts w:ascii="Book Antiqua" w:eastAsia="宋体" w:hAnsi="Book Antiqua" w:cs="Times New Roman"/>
                <w:color w:val="000000"/>
                <w:kern w:val="0"/>
                <w:sz w:val="24"/>
                <w:szCs w:val="24"/>
                <w:vertAlign w:val="superscript"/>
              </w:rPr>
              <w:t>[12]</w:t>
            </w:r>
          </w:p>
        </w:tc>
        <w:tc>
          <w:tcPr>
            <w:tcW w:w="1162" w:type="dxa"/>
            <w:tcBorders>
              <w:top w:val="nil"/>
              <w:left w:val="nil"/>
              <w:bottom w:val="nil"/>
              <w:right w:val="nil"/>
            </w:tcBorders>
            <w:shd w:val="clear" w:color="auto" w:fill="auto"/>
            <w:noWrap/>
            <w:vAlign w:val="bottom"/>
            <w:hideMark/>
          </w:tcPr>
          <w:p w14:paraId="6DE04EFC" w14:textId="5A43D98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25/M</w:t>
            </w:r>
          </w:p>
        </w:tc>
        <w:tc>
          <w:tcPr>
            <w:tcW w:w="1163" w:type="dxa"/>
            <w:tcBorders>
              <w:top w:val="nil"/>
              <w:left w:val="nil"/>
              <w:bottom w:val="nil"/>
              <w:right w:val="nil"/>
            </w:tcBorders>
            <w:shd w:val="clear" w:color="auto" w:fill="auto"/>
            <w:noWrap/>
            <w:vAlign w:val="bottom"/>
            <w:hideMark/>
          </w:tcPr>
          <w:p w14:paraId="51430CC9" w14:textId="64976FF3"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Body</w:t>
            </w:r>
          </w:p>
        </w:tc>
        <w:tc>
          <w:tcPr>
            <w:tcW w:w="1347" w:type="dxa"/>
            <w:tcBorders>
              <w:top w:val="nil"/>
              <w:left w:val="nil"/>
              <w:bottom w:val="nil"/>
              <w:right w:val="nil"/>
            </w:tcBorders>
            <w:shd w:val="clear" w:color="auto" w:fill="auto"/>
            <w:noWrap/>
            <w:vAlign w:val="bottom"/>
            <w:hideMark/>
          </w:tcPr>
          <w:p w14:paraId="144E62F3" w14:textId="7C02FDFF"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18 × 12 × 7 </w:t>
            </w:r>
          </w:p>
        </w:tc>
        <w:tc>
          <w:tcPr>
            <w:tcW w:w="2597" w:type="dxa"/>
            <w:tcBorders>
              <w:top w:val="nil"/>
              <w:left w:val="nil"/>
              <w:bottom w:val="nil"/>
              <w:right w:val="nil"/>
            </w:tcBorders>
            <w:shd w:val="clear" w:color="auto" w:fill="auto"/>
            <w:noWrap/>
            <w:vAlign w:val="bottom"/>
            <w:hideMark/>
          </w:tcPr>
          <w:p w14:paraId="1E36B548" w14:textId="19D7204B"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Wedge resection</w:t>
            </w:r>
          </w:p>
        </w:tc>
        <w:tc>
          <w:tcPr>
            <w:tcW w:w="1201" w:type="dxa"/>
            <w:tcBorders>
              <w:top w:val="nil"/>
              <w:left w:val="nil"/>
              <w:bottom w:val="nil"/>
              <w:right w:val="nil"/>
            </w:tcBorders>
            <w:shd w:val="clear" w:color="auto" w:fill="auto"/>
            <w:noWrap/>
            <w:vAlign w:val="bottom"/>
            <w:hideMark/>
          </w:tcPr>
          <w:p w14:paraId="33D55D0E" w14:textId="2D863176"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No</w:t>
            </w:r>
          </w:p>
        </w:tc>
        <w:tc>
          <w:tcPr>
            <w:tcW w:w="1434" w:type="dxa"/>
            <w:tcBorders>
              <w:top w:val="nil"/>
              <w:left w:val="nil"/>
              <w:bottom w:val="nil"/>
              <w:right w:val="nil"/>
            </w:tcBorders>
            <w:shd w:val="clear" w:color="auto" w:fill="auto"/>
            <w:noWrap/>
            <w:vAlign w:val="bottom"/>
            <w:hideMark/>
          </w:tcPr>
          <w:p w14:paraId="1B5FAA05" w14:textId="58F98DEB"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 xml:space="preserve">WR in 12 M </w:t>
            </w:r>
          </w:p>
        </w:tc>
      </w:tr>
      <w:tr w:rsidR="00CF68E1" w:rsidRPr="00E206EA" w14:paraId="63B4F4D0" w14:textId="77777777" w:rsidTr="00CF68E1">
        <w:trPr>
          <w:trHeight w:val="290"/>
        </w:trPr>
        <w:tc>
          <w:tcPr>
            <w:tcW w:w="1896" w:type="dxa"/>
            <w:tcBorders>
              <w:top w:val="nil"/>
              <w:left w:val="nil"/>
              <w:bottom w:val="single" w:sz="4" w:space="0" w:color="auto"/>
              <w:right w:val="nil"/>
            </w:tcBorders>
            <w:shd w:val="clear" w:color="auto" w:fill="auto"/>
            <w:noWrap/>
            <w:vAlign w:val="bottom"/>
          </w:tcPr>
          <w:p w14:paraId="15F52EC5" w14:textId="29DB39C4" w:rsidR="00CF68E1" w:rsidRPr="00E206EA" w:rsidRDefault="00CF68E1" w:rsidP="00E206EA">
            <w:pPr>
              <w:widowControl/>
              <w:spacing w:line="360" w:lineRule="auto"/>
              <w:rPr>
                <w:rFonts w:ascii="Book Antiqua" w:eastAsia="宋体" w:hAnsi="Book Antiqua" w:cs="Times New Roman"/>
                <w:color w:val="000000"/>
                <w:kern w:val="0"/>
                <w:sz w:val="24"/>
                <w:szCs w:val="24"/>
                <w:vertAlign w:val="superscript"/>
              </w:rPr>
            </w:pPr>
            <w:r w:rsidRPr="00E206EA">
              <w:rPr>
                <w:rFonts w:ascii="Book Antiqua" w:eastAsia="宋体" w:hAnsi="Book Antiqua" w:cs="Times New Roman"/>
                <w:color w:val="000000"/>
                <w:kern w:val="0"/>
                <w:sz w:val="24"/>
                <w:szCs w:val="24"/>
              </w:rPr>
              <w:t xml:space="preserve">Insabato </w:t>
            </w:r>
            <w:r w:rsidRPr="00E206EA">
              <w:rPr>
                <w:rFonts w:ascii="Book Antiqua" w:eastAsia="宋体" w:hAnsi="Book Antiqua" w:cs="Times New Roman"/>
                <w:i/>
                <w:iCs/>
                <w:color w:val="000000"/>
                <w:kern w:val="0"/>
                <w:sz w:val="24"/>
                <w:szCs w:val="24"/>
              </w:rPr>
              <w:t>et al</w:t>
            </w:r>
            <w:r w:rsidRPr="00E206EA">
              <w:rPr>
                <w:rFonts w:ascii="Book Antiqua" w:eastAsia="宋体" w:hAnsi="Book Antiqua" w:cs="Times New Roman"/>
                <w:color w:val="000000"/>
                <w:kern w:val="0"/>
                <w:sz w:val="24"/>
                <w:szCs w:val="24"/>
                <w:vertAlign w:val="superscript"/>
              </w:rPr>
              <w:t>[13]</w:t>
            </w:r>
          </w:p>
        </w:tc>
        <w:tc>
          <w:tcPr>
            <w:tcW w:w="1162" w:type="dxa"/>
            <w:tcBorders>
              <w:top w:val="nil"/>
              <w:left w:val="nil"/>
              <w:bottom w:val="single" w:sz="4" w:space="0" w:color="auto"/>
              <w:right w:val="nil"/>
            </w:tcBorders>
            <w:shd w:val="clear" w:color="auto" w:fill="auto"/>
            <w:noWrap/>
            <w:vAlign w:val="bottom"/>
          </w:tcPr>
          <w:p w14:paraId="7A1004FE"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65/M</w:t>
            </w:r>
          </w:p>
        </w:tc>
        <w:tc>
          <w:tcPr>
            <w:tcW w:w="1163" w:type="dxa"/>
            <w:tcBorders>
              <w:top w:val="nil"/>
              <w:left w:val="nil"/>
              <w:bottom w:val="single" w:sz="4" w:space="0" w:color="auto"/>
              <w:right w:val="nil"/>
            </w:tcBorders>
            <w:shd w:val="clear" w:color="auto" w:fill="auto"/>
            <w:noWrap/>
            <w:vAlign w:val="bottom"/>
          </w:tcPr>
          <w:p w14:paraId="539C84C6" w14:textId="77777777" w:rsidR="00CF68E1" w:rsidRPr="00E206EA" w:rsidRDefault="00CF68E1" w:rsidP="00E206EA">
            <w:pPr>
              <w:widowControl/>
              <w:spacing w:line="360" w:lineRule="auto"/>
              <w:ind w:firstLineChars="100" w:firstLine="240"/>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w:t>
            </w:r>
          </w:p>
        </w:tc>
        <w:tc>
          <w:tcPr>
            <w:tcW w:w="1347" w:type="dxa"/>
            <w:tcBorders>
              <w:top w:val="nil"/>
              <w:left w:val="nil"/>
              <w:bottom w:val="single" w:sz="4" w:space="0" w:color="auto"/>
              <w:right w:val="nil"/>
            </w:tcBorders>
            <w:shd w:val="clear" w:color="auto" w:fill="auto"/>
            <w:noWrap/>
            <w:vAlign w:val="bottom"/>
          </w:tcPr>
          <w:p w14:paraId="369E8D8D"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8.5</w:t>
            </w:r>
          </w:p>
        </w:tc>
        <w:tc>
          <w:tcPr>
            <w:tcW w:w="2597" w:type="dxa"/>
            <w:tcBorders>
              <w:top w:val="nil"/>
              <w:left w:val="nil"/>
              <w:bottom w:val="single" w:sz="4" w:space="0" w:color="auto"/>
              <w:right w:val="nil"/>
            </w:tcBorders>
            <w:shd w:val="clear" w:color="auto" w:fill="auto"/>
            <w:noWrap/>
            <w:vAlign w:val="bottom"/>
          </w:tcPr>
          <w:p w14:paraId="7BA92A18"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Gastrectomy</w:t>
            </w:r>
          </w:p>
        </w:tc>
        <w:tc>
          <w:tcPr>
            <w:tcW w:w="1201" w:type="dxa"/>
            <w:tcBorders>
              <w:top w:val="nil"/>
              <w:left w:val="nil"/>
              <w:bottom w:val="single" w:sz="4" w:space="0" w:color="auto"/>
              <w:right w:val="nil"/>
            </w:tcBorders>
            <w:shd w:val="clear" w:color="auto" w:fill="auto"/>
            <w:noWrap/>
            <w:vAlign w:val="bottom"/>
          </w:tcPr>
          <w:p w14:paraId="23C0CCB0" w14:textId="102435B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Yes, lung</w:t>
            </w:r>
          </w:p>
        </w:tc>
        <w:tc>
          <w:tcPr>
            <w:tcW w:w="1434" w:type="dxa"/>
            <w:tcBorders>
              <w:top w:val="nil"/>
              <w:left w:val="nil"/>
              <w:bottom w:val="single" w:sz="4" w:space="0" w:color="auto"/>
              <w:right w:val="nil"/>
            </w:tcBorders>
            <w:shd w:val="clear" w:color="auto" w:fill="auto"/>
            <w:noWrap/>
            <w:vAlign w:val="bottom"/>
          </w:tcPr>
          <w:p w14:paraId="36793A0E" w14:textId="77777777" w:rsidR="00CF68E1" w:rsidRPr="00E206EA" w:rsidRDefault="00CF68E1" w:rsidP="00E206EA">
            <w:pPr>
              <w:widowControl/>
              <w:spacing w:line="360" w:lineRule="auto"/>
              <w:rPr>
                <w:rFonts w:ascii="Book Antiqua" w:eastAsia="宋体" w:hAnsi="Book Antiqua" w:cs="Times New Roman"/>
                <w:color w:val="000000"/>
                <w:kern w:val="0"/>
                <w:sz w:val="24"/>
                <w:szCs w:val="24"/>
              </w:rPr>
            </w:pPr>
            <w:r w:rsidRPr="00E206EA">
              <w:rPr>
                <w:rFonts w:ascii="Book Antiqua" w:eastAsia="宋体" w:hAnsi="Book Antiqua" w:cs="Times New Roman"/>
                <w:color w:val="000000"/>
                <w:kern w:val="0"/>
                <w:sz w:val="24"/>
                <w:szCs w:val="24"/>
              </w:rPr>
              <w:t>DOD in 24 M</w:t>
            </w:r>
          </w:p>
        </w:tc>
      </w:tr>
    </w:tbl>
    <w:p w14:paraId="3DBDA531" w14:textId="75534F79" w:rsidR="00CE2497" w:rsidRPr="00E206EA" w:rsidRDefault="00CE2497" w:rsidP="00E206EA">
      <w:pPr>
        <w:spacing w:line="360" w:lineRule="auto"/>
        <w:rPr>
          <w:rFonts w:ascii="Book Antiqua" w:hAnsi="Book Antiqua" w:cs="Times New Roman"/>
          <w:sz w:val="24"/>
          <w:szCs w:val="24"/>
        </w:rPr>
      </w:pPr>
      <w:r w:rsidRPr="00E206EA">
        <w:rPr>
          <w:rFonts w:ascii="Book Antiqua" w:hAnsi="Book Antiqua" w:cs="Times New Roman"/>
          <w:sz w:val="24"/>
          <w:szCs w:val="24"/>
        </w:rPr>
        <w:t>DOD: Death of disease; WR: Without recurrence; R or M: Recurrence or Metastasis</w:t>
      </w:r>
      <w:r w:rsidR="00414BEE" w:rsidRPr="00E206EA">
        <w:rPr>
          <w:rFonts w:ascii="Book Antiqua" w:hAnsi="Book Antiqua" w:cs="Times New Roman"/>
          <w:sz w:val="24"/>
          <w:szCs w:val="24"/>
        </w:rPr>
        <w:t>; ESD: Endoscopic submucosal dissection.</w:t>
      </w:r>
    </w:p>
    <w:p w14:paraId="5213F1CB" w14:textId="77777777" w:rsidR="00E12589" w:rsidRPr="00E206EA" w:rsidRDefault="00E12589" w:rsidP="00E206EA">
      <w:pPr>
        <w:widowControl/>
        <w:spacing w:line="360" w:lineRule="auto"/>
        <w:rPr>
          <w:rFonts w:ascii="Book Antiqua" w:hAnsi="Book Antiqua" w:cs="Times New Roman"/>
          <w:sz w:val="24"/>
          <w:szCs w:val="24"/>
        </w:rPr>
      </w:pPr>
      <w:r w:rsidRPr="00E206EA">
        <w:rPr>
          <w:rFonts w:ascii="Book Antiqua" w:hAnsi="Book Antiqua" w:cs="Times New Roman"/>
          <w:sz w:val="24"/>
          <w:szCs w:val="24"/>
        </w:rPr>
        <w:br w:type="page"/>
      </w:r>
    </w:p>
    <w:p w14:paraId="3812F081" w14:textId="3A01A50A" w:rsidR="00E12589" w:rsidRPr="00E206EA" w:rsidRDefault="007761B7" w:rsidP="00E206EA">
      <w:pPr>
        <w:spacing w:line="360" w:lineRule="auto"/>
        <w:rPr>
          <w:rFonts w:ascii="Book Antiqua" w:hAnsi="Book Antiqua" w:cs="Times New Roman"/>
          <w:sz w:val="24"/>
          <w:szCs w:val="24"/>
        </w:rPr>
      </w:pPr>
      <w:r>
        <w:rPr>
          <w:noProof/>
        </w:rPr>
        <w:lastRenderedPageBreak/>
        <w:drawing>
          <wp:inline distT="0" distB="0" distL="0" distR="0" wp14:anchorId="6C2545C0" wp14:editId="64A87BE7">
            <wp:extent cx="5274310" cy="23920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392045"/>
                    </a:xfrm>
                    <a:prstGeom prst="rect">
                      <a:avLst/>
                    </a:prstGeom>
                  </pic:spPr>
                </pic:pic>
              </a:graphicData>
            </a:graphic>
          </wp:inline>
        </w:drawing>
      </w:r>
    </w:p>
    <w:p w14:paraId="58234428" w14:textId="515E7C4A" w:rsidR="00E12589" w:rsidRPr="00E206EA" w:rsidRDefault="00CE2497" w:rsidP="00E206EA">
      <w:pPr>
        <w:spacing w:line="360" w:lineRule="auto"/>
        <w:rPr>
          <w:rFonts w:ascii="Book Antiqua" w:hAnsi="Book Antiqua" w:cs="Times New Roman"/>
          <w:sz w:val="24"/>
          <w:szCs w:val="24"/>
        </w:rPr>
      </w:pPr>
      <w:r w:rsidRPr="00E206EA">
        <w:rPr>
          <w:rFonts w:ascii="Book Antiqua" w:hAnsi="Book Antiqua" w:cs="Times New Roman"/>
          <w:b/>
          <w:bCs/>
          <w:sz w:val="24"/>
          <w:szCs w:val="24"/>
        </w:rPr>
        <w:t>Figure 1 Magnetic resonance imaging and computed tomography confirmed a giant tumor in the stomach</w:t>
      </w:r>
      <w:r w:rsidR="00AB01A8" w:rsidRPr="00E206EA">
        <w:rPr>
          <w:rFonts w:ascii="Book Antiqua" w:hAnsi="Book Antiqua" w:cs="Times New Roman"/>
          <w:b/>
          <w:bCs/>
          <w:sz w:val="24"/>
          <w:szCs w:val="24"/>
        </w:rPr>
        <w:t xml:space="preserve"> (arrow)</w:t>
      </w:r>
      <w:r w:rsidRPr="00E206EA">
        <w:rPr>
          <w:rFonts w:ascii="Book Antiqua" w:hAnsi="Book Antiqua" w:cs="Times New Roman"/>
          <w:b/>
          <w:bCs/>
          <w:sz w:val="24"/>
          <w:szCs w:val="24"/>
        </w:rPr>
        <w:t>.</w:t>
      </w:r>
      <w:r w:rsidR="00AB01A8" w:rsidRPr="00E206EA">
        <w:rPr>
          <w:rFonts w:ascii="Book Antiqua" w:hAnsi="Book Antiqua" w:cs="Times New Roman"/>
          <w:b/>
          <w:bCs/>
          <w:sz w:val="24"/>
          <w:szCs w:val="24"/>
        </w:rPr>
        <w:t xml:space="preserve"> </w:t>
      </w:r>
      <w:r w:rsidR="00AB01A8" w:rsidRPr="00E206EA">
        <w:rPr>
          <w:rFonts w:ascii="Book Antiqua" w:hAnsi="Book Antiqua" w:cs="Times New Roman"/>
          <w:sz w:val="24"/>
          <w:szCs w:val="24"/>
        </w:rPr>
        <w:t>A: Magnetic resonance imaging; B: Computed tomography.</w:t>
      </w:r>
    </w:p>
    <w:p w14:paraId="01B9B04E" w14:textId="77777777" w:rsidR="00AB01A8" w:rsidRPr="00E206EA" w:rsidRDefault="00AB01A8" w:rsidP="00E206EA">
      <w:pPr>
        <w:widowControl/>
        <w:spacing w:line="360" w:lineRule="auto"/>
        <w:rPr>
          <w:rFonts w:ascii="Book Antiqua" w:hAnsi="Book Antiqua" w:cs="Times New Roman"/>
          <w:sz w:val="24"/>
          <w:szCs w:val="24"/>
        </w:rPr>
      </w:pPr>
      <w:r w:rsidRPr="00E206EA">
        <w:rPr>
          <w:rFonts w:ascii="Book Antiqua" w:hAnsi="Book Antiqua" w:cs="Times New Roman"/>
          <w:sz w:val="24"/>
          <w:szCs w:val="24"/>
        </w:rPr>
        <w:br w:type="page"/>
      </w:r>
    </w:p>
    <w:p w14:paraId="370A3D1F" w14:textId="04CFE101" w:rsidR="00E12589" w:rsidRPr="00E206EA" w:rsidRDefault="007761B7" w:rsidP="00E206EA">
      <w:pPr>
        <w:spacing w:line="360" w:lineRule="auto"/>
        <w:rPr>
          <w:rFonts w:ascii="Book Antiqua" w:hAnsi="Book Antiqua" w:cs="Times New Roman"/>
          <w:sz w:val="24"/>
          <w:szCs w:val="24"/>
        </w:rPr>
      </w:pPr>
      <w:r>
        <w:rPr>
          <w:noProof/>
        </w:rPr>
        <w:lastRenderedPageBreak/>
        <w:drawing>
          <wp:inline distT="0" distB="0" distL="0" distR="0" wp14:anchorId="35F785AE" wp14:editId="73D04564">
            <wp:extent cx="3676190" cy="2923809"/>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190" cy="2923809"/>
                    </a:xfrm>
                    <a:prstGeom prst="rect">
                      <a:avLst/>
                    </a:prstGeom>
                  </pic:spPr>
                </pic:pic>
              </a:graphicData>
            </a:graphic>
          </wp:inline>
        </w:drawing>
      </w:r>
    </w:p>
    <w:p w14:paraId="03208845" w14:textId="5D93AD7A" w:rsidR="00CE2497" w:rsidRPr="00E206EA" w:rsidRDefault="00CE2497" w:rsidP="00E206EA">
      <w:pPr>
        <w:spacing w:line="360" w:lineRule="auto"/>
        <w:rPr>
          <w:rFonts w:ascii="Book Antiqua" w:hAnsi="Book Antiqua" w:cs="Times New Roman"/>
          <w:sz w:val="24"/>
          <w:szCs w:val="24"/>
        </w:rPr>
      </w:pPr>
      <w:r w:rsidRPr="00E206EA">
        <w:rPr>
          <w:rFonts w:ascii="Book Antiqua" w:hAnsi="Book Antiqua" w:cs="Times New Roman"/>
          <w:b/>
          <w:bCs/>
          <w:sz w:val="24"/>
          <w:szCs w:val="24"/>
        </w:rPr>
        <w:t xml:space="preserve">Figure 2 </w:t>
      </w:r>
      <w:r w:rsidRPr="00E206EA">
        <w:rPr>
          <w:rFonts w:ascii="Book Antiqua" w:hAnsi="Book Antiqua" w:cs="Times New Roman"/>
          <w:b/>
          <w:bCs/>
          <w:sz w:val="24"/>
          <w:szCs w:val="24"/>
        </w:rPr>
        <w:t>H</w:t>
      </w:r>
      <w:r w:rsidR="00292E87">
        <w:rPr>
          <w:rFonts w:ascii="Book Antiqua" w:hAnsi="Book Antiqua" w:cs="Times New Roman"/>
          <w:b/>
          <w:bCs/>
          <w:sz w:val="24"/>
          <w:szCs w:val="24"/>
        </w:rPr>
        <w:t>istological images</w:t>
      </w:r>
      <w:r w:rsidRPr="00E206EA">
        <w:rPr>
          <w:rFonts w:ascii="Book Antiqua" w:hAnsi="Book Antiqua" w:cs="Times New Roman"/>
          <w:b/>
          <w:bCs/>
          <w:sz w:val="24"/>
          <w:szCs w:val="24"/>
        </w:rPr>
        <w:t xml:space="preserve"> showing </w:t>
      </w:r>
      <w:r w:rsidR="00292E87">
        <w:rPr>
          <w:rFonts w:ascii="Book Antiqua" w:hAnsi="Book Antiqua" w:cs="Times New Roman"/>
          <w:b/>
          <w:bCs/>
          <w:sz w:val="24"/>
          <w:szCs w:val="24"/>
        </w:rPr>
        <w:t xml:space="preserve">the </w:t>
      </w:r>
      <w:r w:rsidRPr="00E206EA">
        <w:rPr>
          <w:rFonts w:ascii="Book Antiqua" w:hAnsi="Book Antiqua" w:cs="Times New Roman"/>
          <w:b/>
          <w:bCs/>
          <w:sz w:val="24"/>
          <w:szCs w:val="24"/>
        </w:rPr>
        <w:t>gastric mucosa infiltrated by</w:t>
      </w:r>
      <w:r w:rsidR="00292E87">
        <w:rPr>
          <w:rFonts w:ascii="Book Antiqua" w:hAnsi="Book Antiqua" w:cs="Times New Roman"/>
          <w:b/>
          <w:bCs/>
          <w:sz w:val="24"/>
          <w:szCs w:val="24"/>
        </w:rPr>
        <w:t xml:space="preserve"> a</w:t>
      </w:r>
      <w:r w:rsidRPr="00E206EA">
        <w:rPr>
          <w:rFonts w:ascii="Book Antiqua" w:hAnsi="Book Antiqua" w:cs="Times New Roman"/>
          <w:b/>
          <w:bCs/>
          <w:sz w:val="24"/>
          <w:szCs w:val="24"/>
        </w:rPr>
        <w:t xml:space="preserve"> spindle cell tumor</w:t>
      </w:r>
      <w:r w:rsidR="00292E87">
        <w:rPr>
          <w:rFonts w:ascii="Book Antiqua" w:hAnsi="Book Antiqua" w:cs="Times New Roman"/>
          <w:b/>
          <w:bCs/>
          <w:sz w:val="24"/>
          <w:szCs w:val="24"/>
        </w:rPr>
        <w:t xml:space="preserve"> (HE staining)</w:t>
      </w:r>
      <w:r w:rsidRPr="00E206EA">
        <w:rPr>
          <w:rFonts w:ascii="Book Antiqua" w:hAnsi="Book Antiqua" w:cs="Times New Roman"/>
          <w:b/>
          <w:bCs/>
          <w:sz w:val="24"/>
          <w:szCs w:val="24"/>
        </w:rPr>
        <w:t>.</w:t>
      </w:r>
      <w:r w:rsidRPr="00E206EA">
        <w:rPr>
          <w:rFonts w:ascii="Book Antiqua" w:hAnsi="Book Antiqua" w:cs="Times New Roman"/>
          <w:sz w:val="24"/>
          <w:szCs w:val="24"/>
        </w:rPr>
        <w:t xml:space="preserve"> A</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×40</w:t>
      </w:r>
      <w:r w:rsidR="00E12589" w:rsidRPr="00E206EA">
        <w:rPr>
          <w:rFonts w:ascii="Book Antiqua" w:hAnsi="Book Antiqua" w:cs="Times New Roman"/>
          <w:sz w:val="24"/>
          <w:szCs w:val="24"/>
        </w:rPr>
        <w:t xml:space="preserve">; </w:t>
      </w:r>
      <w:r w:rsidRPr="00E206EA">
        <w:rPr>
          <w:rFonts w:ascii="Book Antiqua" w:hAnsi="Book Antiqua" w:cs="Times New Roman"/>
          <w:sz w:val="24"/>
          <w:szCs w:val="24"/>
        </w:rPr>
        <w:t>B</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×200; </w:t>
      </w:r>
      <w:r w:rsidR="00E12589" w:rsidRPr="00E206EA">
        <w:rPr>
          <w:rFonts w:ascii="Book Antiqua" w:hAnsi="Book Antiqua" w:cs="Times New Roman"/>
          <w:sz w:val="24"/>
          <w:szCs w:val="24"/>
        </w:rPr>
        <w:t>C</w:t>
      </w:r>
      <w:r w:rsidR="00292E87">
        <w:rPr>
          <w:rFonts w:ascii="Book Antiqua" w:hAnsi="Book Antiqua" w:cs="Times New Roman"/>
          <w:sz w:val="24"/>
          <w:szCs w:val="24"/>
        </w:rPr>
        <w:t xml:space="preserve"> and</w:t>
      </w:r>
      <w:r w:rsidR="00292E87" w:rsidRPr="00E206EA">
        <w:rPr>
          <w:rFonts w:ascii="Book Antiqua" w:hAnsi="Book Antiqua" w:cs="Times New Roman"/>
          <w:sz w:val="24"/>
          <w:szCs w:val="24"/>
        </w:rPr>
        <w:t xml:space="preserve"> </w:t>
      </w:r>
      <w:r w:rsidR="00AB01A8" w:rsidRPr="00E206EA">
        <w:rPr>
          <w:rFonts w:ascii="Book Antiqua" w:hAnsi="Book Antiqua" w:cs="Times New Roman"/>
          <w:sz w:val="24"/>
          <w:szCs w:val="24"/>
        </w:rPr>
        <w:t>D</w:t>
      </w:r>
      <w:r w:rsidR="00E12589" w:rsidRPr="00E206EA">
        <w:rPr>
          <w:rFonts w:ascii="Book Antiqua" w:hAnsi="Book Antiqua" w:cs="Times New Roman"/>
          <w:sz w:val="24"/>
          <w:szCs w:val="24"/>
        </w:rPr>
        <w:t xml:space="preserve">: </w:t>
      </w:r>
      <w:r w:rsidR="00292E87">
        <w:rPr>
          <w:rFonts w:ascii="Book Antiqua" w:hAnsi="Book Antiqua" w:cs="Times New Roman"/>
          <w:sz w:val="24"/>
          <w:szCs w:val="24"/>
        </w:rPr>
        <w:t>The</w:t>
      </w:r>
      <w:r w:rsidR="00292E87" w:rsidRPr="00E206EA">
        <w:rPr>
          <w:rFonts w:ascii="Book Antiqua" w:hAnsi="Book Antiqua" w:cs="Times New Roman"/>
          <w:sz w:val="24"/>
          <w:szCs w:val="24"/>
        </w:rPr>
        <w:t xml:space="preserve"> </w:t>
      </w:r>
      <w:r w:rsidRPr="00E206EA">
        <w:rPr>
          <w:rFonts w:ascii="Book Antiqua" w:hAnsi="Book Antiqua" w:cs="Times New Roman"/>
          <w:sz w:val="24"/>
          <w:szCs w:val="24"/>
        </w:rPr>
        <w:t>presence of tumor ne</w:t>
      </w:r>
      <w:r w:rsidR="00292E87">
        <w:rPr>
          <w:rFonts w:ascii="Book Antiqua" w:hAnsi="Book Antiqua" w:cs="Times New Roman"/>
          <w:sz w:val="24"/>
          <w:szCs w:val="24"/>
        </w:rPr>
        <w:t>c</w:t>
      </w:r>
      <w:r w:rsidRPr="00E206EA">
        <w:rPr>
          <w:rFonts w:ascii="Book Antiqua" w:hAnsi="Book Antiqua" w:cs="Times New Roman"/>
          <w:sz w:val="24"/>
          <w:szCs w:val="24"/>
        </w:rPr>
        <w:t>rosis (lower-left corner of C</w:t>
      </w:r>
      <w:r w:rsidR="00292E87">
        <w:rPr>
          <w:rFonts w:ascii="Book Antiqua" w:hAnsi="Book Antiqua" w:cs="Times New Roman"/>
          <w:sz w:val="24"/>
          <w:szCs w:val="24"/>
        </w:rPr>
        <w:t>,</w:t>
      </w:r>
      <w:r w:rsidRPr="00E206EA">
        <w:rPr>
          <w:rFonts w:ascii="Book Antiqua" w:hAnsi="Book Antiqua" w:cs="Times New Roman"/>
          <w:sz w:val="24"/>
          <w:szCs w:val="24"/>
        </w:rPr>
        <w:t xml:space="preserve"> ×40</w:t>
      </w:r>
      <w:r w:rsidR="00292E87" w:rsidRPr="00E206EA">
        <w:rPr>
          <w:rFonts w:ascii="Book Antiqua" w:hAnsi="Book Antiqua" w:cs="Times New Roman"/>
          <w:sz w:val="24"/>
          <w:szCs w:val="24"/>
        </w:rPr>
        <w:t>)</w:t>
      </w:r>
      <w:r w:rsidR="00292E87">
        <w:rPr>
          <w:rFonts w:ascii="Book Antiqua" w:hAnsi="Book Antiqua" w:cs="Times New Roman"/>
          <w:sz w:val="24"/>
          <w:szCs w:val="24"/>
        </w:rPr>
        <w:t xml:space="preserve"> </w:t>
      </w:r>
      <w:r w:rsidRPr="00E206EA">
        <w:rPr>
          <w:rFonts w:ascii="Book Antiqua" w:hAnsi="Book Antiqua" w:cs="Times New Roman"/>
          <w:sz w:val="24"/>
          <w:szCs w:val="24"/>
        </w:rPr>
        <w:t>and high mitotic activity (D</w:t>
      </w:r>
      <w:r w:rsidR="00292E87">
        <w:rPr>
          <w:rFonts w:ascii="Book Antiqua" w:hAnsi="Book Antiqua" w:cs="Times New Roman"/>
          <w:sz w:val="24"/>
          <w:szCs w:val="24"/>
        </w:rPr>
        <w:t>,</w:t>
      </w:r>
      <w:r w:rsidRPr="00E206EA">
        <w:rPr>
          <w:rFonts w:ascii="Book Antiqua" w:hAnsi="Book Antiqua" w:cs="Times New Roman"/>
          <w:sz w:val="24"/>
          <w:szCs w:val="24"/>
        </w:rPr>
        <w:t xml:space="preserve"> ×400).</w:t>
      </w:r>
    </w:p>
    <w:p w14:paraId="655C7CDA" w14:textId="3F0DA90E" w:rsidR="00CE2497" w:rsidRPr="00E206EA" w:rsidRDefault="007761B7" w:rsidP="00E206EA">
      <w:pPr>
        <w:spacing w:line="360" w:lineRule="auto"/>
        <w:rPr>
          <w:rFonts w:ascii="Book Antiqua" w:hAnsi="Book Antiqua" w:cs="Times New Roman"/>
          <w:sz w:val="24"/>
          <w:szCs w:val="24"/>
        </w:rPr>
      </w:pPr>
      <w:r>
        <w:rPr>
          <w:noProof/>
        </w:rPr>
        <w:lastRenderedPageBreak/>
        <w:drawing>
          <wp:inline distT="0" distB="0" distL="0" distR="0" wp14:anchorId="0A1B4AD1" wp14:editId="5411E767">
            <wp:extent cx="2933333" cy="5019048"/>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3333" cy="5019048"/>
                    </a:xfrm>
                    <a:prstGeom prst="rect">
                      <a:avLst/>
                    </a:prstGeom>
                  </pic:spPr>
                </pic:pic>
              </a:graphicData>
            </a:graphic>
          </wp:inline>
        </w:drawing>
      </w:r>
      <w:bookmarkStart w:id="205" w:name="_GoBack"/>
      <w:bookmarkEnd w:id="205"/>
    </w:p>
    <w:p w14:paraId="655D1B61" w14:textId="55F3349A" w:rsidR="00B500E7" w:rsidRPr="00E206EA" w:rsidRDefault="00CE2497" w:rsidP="00E206EA">
      <w:pPr>
        <w:spacing w:line="360" w:lineRule="auto"/>
        <w:rPr>
          <w:rFonts w:ascii="Book Antiqua" w:hAnsi="Book Antiqua" w:cs="Times New Roman"/>
          <w:sz w:val="24"/>
          <w:szCs w:val="24"/>
        </w:rPr>
      </w:pPr>
      <w:r w:rsidRPr="00E206EA">
        <w:rPr>
          <w:rFonts w:ascii="Book Antiqua" w:hAnsi="Book Antiqua" w:cs="Times New Roman"/>
          <w:b/>
          <w:bCs/>
          <w:sz w:val="24"/>
          <w:szCs w:val="24"/>
        </w:rPr>
        <w:t>Figure 3</w:t>
      </w:r>
      <w:r w:rsidRPr="00E206EA">
        <w:rPr>
          <w:rFonts w:ascii="Book Antiqua" w:hAnsi="Book Antiqua" w:cs="Times New Roman"/>
          <w:b/>
          <w:bCs/>
          <w:sz w:val="24"/>
          <w:szCs w:val="24"/>
        </w:rPr>
        <w:t xml:space="preserve"> </w:t>
      </w:r>
      <w:r w:rsidR="00292E87" w:rsidRPr="00E206EA">
        <w:rPr>
          <w:rFonts w:ascii="Book Antiqua" w:hAnsi="Book Antiqua" w:cs="Times New Roman"/>
          <w:b/>
          <w:bCs/>
          <w:sz w:val="24"/>
          <w:szCs w:val="24"/>
        </w:rPr>
        <w:t>Immunohistochemi</w:t>
      </w:r>
      <w:r w:rsidR="00292E87">
        <w:rPr>
          <w:rFonts w:ascii="Book Antiqua" w:hAnsi="Book Antiqua" w:cs="Times New Roman"/>
          <w:b/>
          <w:bCs/>
          <w:sz w:val="24"/>
          <w:szCs w:val="24"/>
        </w:rPr>
        <w:t>cal staining</w:t>
      </w:r>
      <w:r w:rsidR="00292E87" w:rsidRPr="00E206EA">
        <w:rPr>
          <w:rFonts w:ascii="Book Antiqua" w:hAnsi="Book Antiqua" w:cs="Times New Roman"/>
          <w:b/>
          <w:bCs/>
          <w:sz w:val="24"/>
          <w:szCs w:val="24"/>
        </w:rPr>
        <w:t xml:space="preserve"> </w:t>
      </w:r>
      <w:r w:rsidRPr="00E206EA">
        <w:rPr>
          <w:rFonts w:ascii="Book Antiqua" w:hAnsi="Book Antiqua" w:cs="Times New Roman"/>
          <w:b/>
          <w:bCs/>
          <w:sz w:val="24"/>
          <w:szCs w:val="24"/>
        </w:rPr>
        <w:t xml:space="preserve">showing the tumor cells diffusely positive for SMA and </w:t>
      </w:r>
      <w:r w:rsidR="00292E87">
        <w:rPr>
          <w:rFonts w:ascii="Book Antiqua" w:hAnsi="Book Antiqua" w:cs="Times New Roman"/>
          <w:b/>
          <w:bCs/>
          <w:sz w:val="24"/>
          <w:szCs w:val="24"/>
        </w:rPr>
        <w:t>d</w:t>
      </w:r>
      <w:r w:rsidR="00292E87" w:rsidRPr="00E206EA">
        <w:rPr>
          <w:rFonts w:ascii="Book Antiqua" w:hAnsi="Book Antiqua" w:cs="Times New Roman"/>
          <w:b/>
          <w:bCs/>
          <w:sz w:val="24"/>
          <w:szCs w:val="24"/>
        </w:rPr>
        <w:t>esmin</w:t>
      </w:r>
      <w:r w:rsidRPr="00E206EA">
        <w:rPr>
          <w:rFonts w:ascii="Book Antiqua" w:hAnsi="Book Antiqua" w:cs="Times New Roman"/>
          <w:b/>
          <w:bCs/>
          <w:sz w:val="24"/>
          <w:szCs w:val="24"/>
        </w:rPr>
        <w:t xml:space="preserve">, and negative for CD117, DOG1, CD34, </w:t>
      </w:r>
      <w:r w:rsidR="00292E87">
        <w:rPr>
          <w:rFonts w:ascii="Book Antiqua" w:hAnsi="Book Antiqua" w:cs="Times New Roman"/>
          <w:b/>
          <w:bCs/>
          <w:sz w:val="24"/>
          <w:szCs w:val="24"/>
        </w:rPr>
        <w:t xml:space="preserve">and </w:t>
      </w:r>
      <w:r w:rsidRPr="00E206EA">
        <w:rPr>
          <w:rFonts w:ascii="Book Antiqua" w:hAnsi="Book Antiqua" w:cs="Times New Roman"/>
          <w:b/>
          <w:bCs/>
          <w:sz w:val="24"/>
          <w:szCs w:val="24"/>
        </w:rPr>
        <w:t>S100</w:t>
      </w:r>
      <w:r w:rsidR="00292E87">
        <w:rPr>
          <w:rFonts w:ascii="Book Antiqua" w:hAnsi="Book Antiqua" w:cs="Times New Roman"/>
          <w:b/>
          <w:bCs/>
          <w:sz w:val="24"/>
          <w:szCs w:val="24"/>
        </w:rPr>
        <w:t>, with a</w:t>
      </w:r>
      <w:r w:rsidR="00292E87" w:rsidRPr="00E206EA">
        <w:rPr>
          <w:rFonts w:ascii="Book Antiqua" w:hAnsi="Book Antiqua" w:cs="Times New Roman"/>
          <w:b/>
          <w:bCs/>
          <w:sz w:val="24"/>
          <w:szCs w:val="24"/>
        </w:rPr>
        <w:t xml:space="preserve"> </w:t>
      </w:r>
      <w:r w:rsidRPr="00E206EA">
        <w:rPr>
          <w:rFonts w:ascii="Book Antiqua" w:hAnsi="Book Antiqua" w:cs="Times New Roman"/>
          <w:b/>
          <w:bCs/>
          <w:sz w:val="24"/>
          <w:szCs w:val="24"/>
        </w:rPr>
        <w:t>Ki-67 index</w:t>
      </w:r>
      <w:r w:rsidR="00292E87">
        <w:rPr>
          <w:rFonts w:ascii="Book Antiqua" w:hAnsi="Book Antiqua" w:cs="Times New Roman"/>
          <w:b/>
          <w:bCs/>
          <w:sz w:val="24"/>
          <w:szCs w:val="24"/>
        </w:rPr>
        <w:t xml:space="preserve"> of</w:t>
      </w:r>
      <w:r w:rsidRPr="00E206EA">
        <w:rPr>
          <w:rFonts w:ascii="Book Antiqua" w:hAnsi="Book Antiqua" w:cs="Times New Roman"/>
          <w:b/>
          <w:bCs/>
          <w:sz w:val="24"/>
          <w:szCs w:val="24"/>
        </w:rPr>
        <w:t xml:space="preserve"> 50%. </w:t>
      </w:r>
      <w:r w:rsidRPr="00E206EA">
        <w:rPr>
          <w:rFonts w:ascii="Book Antiqua" w:hAnsi="Book Antiqua" w:cs="Times New Roman"/>
          <w:sz w:val="24"/>
          <w:szCs w:val="24"/>
        </w:rPr>
        <w:t>A</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SMA (×200)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B</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Desmin (×200)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C</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CD117 (×200)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D</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DOG1 (×200)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E</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CD34 (×200)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F</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S100 (×100)</w:t>
      </w:r>
      <w:r w:rsidR="00E12589" w:rsidRPr="00E206EA">
        <w:rPr>
          <w:rFonts w:ascii="Book Antiqua" w:hAnsi="Book Antiqua" w:cs="Times New Roman"/>
          <w:sz w:val="24"/>
          <w:szCs w:val="24"/>
        </w:rPr>
        <w:t>;</w:t>
      </w:r>
      <w:r w:rsidRPr="00E206EA">
        <w:rPr>
          <w:rFonts w:ascii="Book Antiqua" w:hAnsi="Book Antiqua" w:cs="Times New Roman"/>
          <w:sz w:val="24"/>
          <w:szCs w:val="24"/>
        </w:rPr>
        <w:t xml:space="preserve"> G</w:t>
      </w:r>
      <w:r w:rsidR="00E12589" w:rsidRPr="00E206EA">
        <w:rPr>
          <w:rFonts w:ascii="Book Antiqua" w:hAnsi="Book Antiqua" w:cs="Times New Roman"/>
          <w:sz w:val="24"/>
          <w:szCs w:val="24"/>
        </w:rPr>
        <w:t xml:space="preserve">: </w:t>
      </w:r>
      <w:r w:rsidRPr="00E206EA">
        <w:rPr>
          <w:rFonts w:ascii="Book Antiqua" w:hAnsi="Book Antiqua" w:cs="Times New Roman"/>
          <w:sz w:val="24"/>
          <w:szCs w:val="24"/>
        </w:rPr>
        <w:t>Ki-67 (×200)</w:t>
      </w:r>
      <w:r w:rsidR="00E12589" w:rsidRPr="00E206EA">
        <w:rPr>
          <w:rFonts w:ascii="Book Antiqua" w:hAnsi="Book Antiqua" w:cs="Times New Roman"/>
          <w:sz w:val="24"/>
          <w:szCs w:val="24"/>
        </w:rPr>
        <w:t>.</w:t>
      </w:r>
    </w:p>
    <w:sectPr w:rsidR="00B500E7" w:rsidRPr="00E20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34CE" w14:textId="77777777" w:rsidR="00595A92" w:rsidRDefault="00595A92" w:rsidP="00CE2497">
      <w:r>
        <w:separator/>
      </w:r>
    </w:p>
  </w:endnote>
  <w:endnote w:type="continuationSeparator" w:id="0">
    <w:p w14:paraId="5AB7349B" w14:textId="77777777" w:rsidR="00595A92" w:rsidRDefault="00595A92" w:rsidP="00CE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C7A2" w14:textId="77777777" w:rsidR="00595A92" w:rsidRDefault="00595A92" w:rsidP="00CE2497">
      <w:r>
        <w:separator/>
      </w:r>
    </w:p>
  </w:footnote>
  <w:footnote w:type="continuationSeparator" w:id="0">
    <w:p w14:paraId="28A1540E" w14:textId="77777777" w:rsidR="00595A92" w:rsidRDefault="00595A92" w:rsidP="00CE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2515"/>
    <w:multiLevelType w:val="hybridMultilevel"/>
    <w:tmpl w:val="B216AC34"/>
    <w:lvl w:ilvl="0" w:tplc="D14CFEC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A0F17"/>
    <w:multiLevelType w:val="hybridMultilevel"/>
    <w:tmpl w:val="B62E8924"/>
    <w:lvl w:ilvl="0" w:tplc="7BD63446">
      <w:start w:val="1"/>
      <w:numFmt w:val="decimal"/>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06"/>
    <w:rsid w:val="0008704D"/>
    <w:rsid w:val="001626EE"/>
    <w:rsid w:val="001A189A"/>
    <w:rsid w:val="001B57BA"/>
    <w:rsid w:val="00230986"/>
    <w:rsid w:val="00231FA8"/>
    <w:rsid w:val="00274A16"/>
    <w:rsid w:val="00283A64"/>
    <w:rsid w:val="00292E87"/>
    <w:rsid w:val="002A25CD"/>
    <w:rsid w:val="002C4ACD"/>
    <w:rsid w:val="003348D9"/>
    <w:rsid w:val="003C6D79"/>
    <w:rsid w:val="003D6172"/>
    <w:rsid w:val="00405E3A"/>
    <w:rsid w:val="00414BEE"/>
    <w:rsid w:val="00456A76"/>
    <w:rsid w:val="00493C1A"/>
    <w:rsid w:val="0050545A"/>
    <w:rsid w:val="00595A92"/>
    <w:rsid w:val="007761B7"/>
    <w:rsid w:val="007E3351"/>
    <w:rsid w:val="007E4132"/>
    <w:rsid w:val="00820179"/>
    <w:rsid w:val="00844792"/>
    <w:rsid w:val="00993F72"/>
    <w:rsid w:val="00AB01A8"/>
    <w:rsid w:val="00B14B09"/>
    <w:rsid w:val="00B500E7"/>
    <w:rsid w:val="00B82319"/>
    <w:rsid w:val="00B95A9C"/>
    <w:rsid w:val="00BC64E9"/>
    <w:rsid w:val="00BC7C72"/>
    <w:rsid w:val="00C3113D"/>
    <w:rsid w:val="00CE2497"/>
    <w:rsid w:val="00CF68E1"/>
    <w:rsid w:val="00D139B3"/>
    <w:rsid w:val="00DA6F59"/>
    <w:rsid w:val="00DF5C86"/>
    <w:rsid w:val="00E12306"/>
    <w:rsid w:val="00E12589"/>
    <w:rsid w:val="00E206EA"/>
    <w:rsid w:val="00E40386"/>
    <w:rsid w:val="00E81062"/>
    <w:rsid w:val="00E85B26"/>
    <w:rsid w:val="00F9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6446"/>
  <w15:chartTrackingRefBased/>
  <w15:docId w15:val="{EF3DFDD8-335A-42AF-B6BA-DC62B641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4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497"/>
    <w:rPr>
      <w:sz w:val="18"/>
      <w:szCs w:val="18"/>
    </w:rPr>
  </w:style>
  <w:style w:type="paragraph" w:styleId="a4">
    <w:name w:val="footer"/>
    <w:basedOn w:val="a"/>
    <w:link w:val="Char0"/>
    <w:uiPriority w:val="99"/>
    <w:unhideWhenUsed/>
    <w:rsid w:val="00CE2497"/>
    <w:pPr>
      <w:tabs>
        <w:tab w:val="center" w:pos="4153"/>
        <w:tab w:val="right" w:pos="8306"/>
      </w:tabs>
      <w:snapToGrid w:val="0"/>
      <w:jc w:val="left"/>
    </w:pPr>
    <w:rPr>
      <w:sz w:val="18"/>
      <w:szCs w:val="18"/>
    </w:rPr>
  </w:style>
  <w:style w:type="character" w:customStyle="1" w:styleId="Char0">
    <w:name w:val="页脚 Char"/>
    <w:basedOn w:val="a0"/>
    <w:link w:val="a4"/>
    <w:uiPriority w:val="99"/>
    <w:rsid w:val="00CE2497"/>
    <w:rPr>
      <w:sz w:val="18"/>
      <w:szCs w:val="18"/>
    </w:rPr>
  </w:style>
  <w:style w:type="paragraph" w:styleId="a5">
    <w:name w:val="Balloon Text"/>
    <w:basedOn w:val="a"/>
    <w:link w:val="Char1"/>
    <w:uiPriority w:val="99"/>
    <w:semiHidden/>
    <w:unhideWhenUsed/>
    <w:rsid w:val="00CE2497"/>
    <w:rPr>
      <w:sz w:val="18"/>
      <w:szCs w:val="18"/>
    </w:rPr>
  </w:style>
  <w:style w:type="character" w:customStyle="1" w:styleId="Char1">
    <w:name w:val="批注框文本 Char"/>
    <w:basedOn w:val="a0"/>
    <w:link w:val="a5"/>
    <w:uiPriority w:val="99"/>
    <w:semiHidden/>
    <w:rsid w:val="00CE2497"/>
    <w:rPr>
      <w:sz w:val="18"/>
      <w:szCs w:val="18"/>
    </w:rPr>
  </w:style>
  <w:style w:type="paragraph" w:styleId="a6">
    <w:name w:val="Normal (Web)"/>
    <w:basedOn w:val="a"/>
    <w:uiPriority w:val="99"/>
    <w:semiHidden/>
    <w:unhideWhenUsed/>
    <w:rsid w:val="00CE2497"/>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E2497"/>
    <w:pPr>
      <w:ind w:firstLineChars="200" w:firstLine="420"/>
    </w:pPr>
  </w:style>
  <w:style w:type="paragraph" w:styleId="a8">
    <w:name w:val="annotation text"/>
    <w:basedOn w:val="a"/>
    <w:link w:val="Char2"/>
    <w:uiPriority w:val="99"/>
    <w:semiHidden/>
    <w:unhideWhenUsed/>
    <w:rsid w:val="00CE2497"/>
    <w:pPr>
      <w:jc w:val="left"/>
    </w:pPr>
  </w:style>
  <w:style w:type="character" w:customStyle="1" w:styleId="Char2">
    <w:name w:val="批注文字 Char"/>
    <w:basedOn w:val="a0"/>
    <w:link w:val="a8"/>
    <w:uiPriority w:val="99"/>
    <w:semiHidden/>
    <w:rsid w:val="00CE2497"/>
  </w:style>
  <w:style w:type="character" w:styleId="a9">
    <w:name w:val="annotation reference"/>
    <w:basedOn w:val="a0"/>
    <w:uiPriority w:val="99"/>
    <w:semiHidden/>
    <w:unhideWhenUsed/>
    <w:rsid w:val="00CE2497"/>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CE2497"/>
    <w:rPr>
      <w:b/>
      <w:bCs/>
    </w:rPr>
  </w:style>
  <w:style w:type="character" w:customStyle="1" w:styleId="Char3">
    <w:name w:val="批注主题 Char"/>
    <w:basedOn w:val="Char2"/>
    <w:link w:val="aa"/>
    <w:uiPriority w:val="99"/>
    <w:semiHidden/>
    <w:rsid w:val="00CE2497"/>
    <w:rPr>
      <w:b/>
      <w:bCs/>
    </w:rPr>
  </w:style>
  <w:style w:type="table" w:styleId="ab">
    <w:name w:val="Table Grid"/>
    <w:basedOn w:val="a1"/>
    <w:uiPriority w:val="39"/>
    <w:rsid w:val="0023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18988">
      <w:bodyDiv w:val="1"/>
      <w:marLeft w:val="0"/>
      <w:marRight w:val="0"/>
      <w:marTop w:val="0"/>
      <w:marBottom w:val="0"/>
      <w:divBdr>
        <w:top w:val="none" w:sz="0" w:space="0" w:color="auto"/>
        <w:left w:val="none" w:sz="0" w:space="0" w:color="auto"/>
        <w:bottom w:val="none" w:sz="0" w:space="0" w:color="auto"/>
        <w:right w:val="none" w:sz="0" w:space="0" w:color="auto"/>
      </w:divBdr>
    </w:div>
    <w:div w:id="392506836">
      <w:bodyDiv w:val="1"/>
      <w:marLeft w:val="0"/>
      <w:marRight w:val="0"/>
      <w:marTop w:val="0"/>
      <w:marBottom w:val="0"/>
      <w:divBdr>
        <w:top w:val="none" w:sz="0" w:space="0" w:color="auto"/>
        <w:left w:val="none" w:sz="0" w:space="0" w:color="auto"/>
        <w:bottom w:val="none" w:sz="0" w:space="0" w:color="auto"/>
        <w:right w:val="none" w:sz="0" w:space="0" w:color="auto"/>
      </w:divBdr>
    </w:div>
    <w:div w:id="802620461">
      <w:bodyDiv w:val="1"/>
      <w:marLeft w:val="0"/>
      <w:marRight w:val="0"/>
      <w:marTop w:val="0"/>
      <w:marBottom w:val="0"/>
      <w:divBdr>
        <w:top w:val="none" w:sz="0" w:space="0" w:color="auto"/>
        <w:left w:val="none" w:sz="0" w:space="0" w:color="auto"/>
        <w:bottom w:val="none" w:sz="0" w:space="0" w:color="auto"/>
        <w:right w:val="none" w:sz="0" w:space="0" w:color="auto"/>
      </w:divBdr>
    </w:div>
    <w:div w:id="1343164652">
      <w:bodyDiv w:val="1"/>
      <w:marLeft w:val="0"/>
      <w:marRight w:val="0"/>
      <w:marTop w:val="0"/>
      <w:marBottom w:val="0"/>
      <w:divBdr>
        <w:top w:val="none" w:sz="0" w:space="0" w:color="auto"/>
        <w:left w:val="none" w:sz="0" w:space="0" w:color="auto"/>
        <w:bottom w:val="none" w:sz="0" w:space="0" w:color="auto"/>
        <w:right w:val="none" w:sz="0" w:space="0" w:color="auto"/>
      </w:divBdr>
    </w:div>
    <w:div w:id="1918056369">
      <w:bodyDiv w:val="1"/>
      <w:marLeft w:val="0"/>
      <w:marRight w:val="0"/>
      <w:marTop w:val="0"/>
      <w:marBottom w:val="0"/>
      <w:divBdr>
        <w:top w:val="none" w:sz="0" w:space="0" w:color="auto"/>
        <w:left w:val="none" w:sz="0" w:space="0" w:color="auto"/>
        <w:bottom w:val="none" w:sz="0" w:space="0" w:color="auto"/>
        <w:right w:val="none" w:sz="0" w:space="0" w:color="auto"/>
      </w:divBdr>
    </w:div>
    <w:div w:id="21022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3303</Words>
  <Characters>18829</Characters>
  <Application>Microsoft Office Word</Application>
  <DocSecurity>0</DocSecurity>
  <Lines>156</Lines>
  <Paragraphs>44</Paragraphs>
  <ScaleCrop>false</ScaleCrop>
  <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lc888888</dc:creator>
  <cp:keywords/>
  <dc:description/>
  <cp:lastModifiedBy>Wang Tianqi</cp:lastModifiedBy>
  <cp:revision>3</cp:revision>
  <dcterms:created xsi:type="dcterms:W3CDTF">2019-10-08T06:39:00Z</dcterms:created>
  <dcterms:modified xsi:type="dcterms:W3CDTF">2019-10-08T06:44:00Z</dcterms:modified>
</cp:coreProperties>
</file>