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Book Antiqua" w:hAnsi="Book Antiqua" w:eastAsia="Times New Roman" w:cs="Book Antiqua"/>
          <w:bCs/>
          <w:i/>
          <w:iCs/>
          <w:color w:val="000000"/>
          <w:sz w:val="20"/>
          <w:szCs w:val="20"/>
        </w:rPr>
      </w:pPr>
      <w:bookmarkStart w:id="44" w:name="_GoBack"/>
      <w:bookmarkEnd w:id="44"/>
      <w:r>
        <w:rPr>
          <w:rFonts w:ascii="Book Antiqua" w:hAnsi="Book Antiqua" w:eastAsia="Times New Roman" w:cs="Book Antiqua"/>
          <w:b/>
          <w:color w:val="000000"/>
          <w:sz w:val="20"/>
          <w:szCs w:val="20"/>
        </w:rPr>
        <w:t xml:space="preserve">Name of Journal: </w:t>
      </w:r>
      <w:r>
        <w:rPr>
          <w:rFonts w:ascii="Book Antiqua" w:hAnsi="Book Antiqua" w:eastAsia="Times New Roman" w:cs="Book Antiqua"/>
          <w:bCs/>
          <w:i/>
          <w:iCs/>
          <w:color w:val="000000"/>
          <w:sz w:val="20"/>
          <w:szCs w:val="20"/>
        </w:rPr>
        <w:t>World Journal of Gastroenterology</w:t>
      </w:r>
    </w:p>
    <w:p>
      <w:pPr>
        <w:adjustRightInd w:val="0"/>
        <w:snapToGrid w:val="0"/>
        <w:spacing w:line="360" w:lineRule="auto"/>
        <w:rPr>
          <w:rFonts w:ascii="Book Antiqua" w:hAnsi="Book Antiqua" w:cs="Book Antiqua"/>
          <w:bCs/>
          <w:i/>
          <w:iCs/>
          <w:color w:val="000000"/>
          <w:sz w:val="20"/>
          <w:szCs w:val="20"/>
        </w:rPr>
      </w:pPr>
      <w:bookmarkStart w:id="0" w:name="_Hlk22139634"/>
      <w:r>
        <w:rPr>
          <w:rFonts w:ascii="Book Antiqua" w:hAnsi="Book Antiqua" w:eastAsia="Times New Roman"/>
          <w:b/>
          <w:bCs/>
          <w:color w:val="222222"/>
          <w:sz w:val="20"/>
          <w:szCs w:val="20"/>
        </w:rPr>
        <w:t>Manuscript NO</w:t>
      </w:r>
      <w:r>
        <w:rPr>
          <w:rFonts w:ascii="Book Antiqua" w:hAnsi="Book Antiqua" w:cs="Arial"/>
          <w:b/>
          <w:color w:val="000000"/>
          <w:sz w:val="20"/>
          <w:szCs w:val="20"/>
        </w:rPr>
        <w:t>:</w:t>
      </w:r>
      <w:bookmarkEnd w:id="0"/>
      <w:r>
        <w:rPr>
          <w:rFonts w:ascii="Book Antiqua" w:hAnsi="Book Antiqua" w:cs="Arial"/>
          <w:b/>
          <w:color w:val="000000"/>
          <w:sz w:val="20"/>
          <w:szCs w:val="20"/>
        </w:rPr>
        <w:t xml:space="preserve"> </w:t>
      </w:r>
      <w:r>
        <w:rPr>
          <w:rFonts w:ascii="Book Antiqua" w:hAnsi="Book Antiqua" w:cs="Arial"/>
          <w:bCs/>
          <w:color w:val="000000"/>
          <w:sz w:val="20"/>
          <w:szCs w:val="20"/>
        </w:rPr>
        <w:t>50819</w:t>
      </w:r>
    </w:p>
    <w:p>
      <w:pPr>
        <w:adjustRightInd w:val="0"/>
        <w:snapToGrid w:val="0"/>
        <w:spacing w:line="360" w:lineRule="auto"/>
        <w:rPr>
          <w:rFonts w:ascii="Book Antiqua" w:hAnsi="Book Antiqua"/>
          <w:bCs/>
          <w:sz w:val="20"/>
          <w:szCs w:val="20"/>
        </w:rPr>
      </w:pPr>
      <w:r>
        <w:rPr>
          <w:rFonts w:ascii="Book Antiqua" w:hAnsi="Book Antiqua"/>
          <w:b/>
          <w:bCs/>
          <w:sz w:val="20"/>
          <w:szCs w:val="20"/>
        </w:rPr>
        <w:t xml:space="preserve">Manuscript Type: </w:t>
      </w:r>
      <w:r>
        <w:rPr>
          <w:rFonts w:ascii="Book Antiqua" w:hAnsi="Book Antiqua"/>
          <w:sz w:val="20"/>
          <w:szCs w:val="20"/>
        </w:rPr>
        <w:t>ORIGINAL ARTICLE</w:t>
      </w:r>
    </w:p>
    <w:p>
      <w:pPr>
        <w:widowControl/>
        <w:adjustRightInd w:val="0"/>
        <w:snapToGrid w:val="0"/>
        <w:spacing w:line="360" w:lineRule="auto"/>
        <w:rPr>
          <w:rFonts w:ascii="Book Antiqua" w:hAnsi="Book Antiqua" w:cs="Book Antiqua"/>
          <w:b/>
          <w:color w:val="000000"/>
          <w:sz w:val="20"/>
          <w:szCs w:val="20"/>
        </w:rPr>
      </w:pPr>
    </w:p>
    <w:p>
      <w:pPr>
        <w:adjustRightInd w:val="0"/>
        <w:snapToGrid w:val="0"/>
        <w:spacing w:line="360" w:lineRule="auto"/>
        <w:rPr>
          <w:rFonts w:ascii="Book Antiqua" w:hAnsi="Book Antiqua"/>
          <w:b/>
          <w:i/>
          <w:iCs/>
          <w:sz w:val="20"/>
          <w:szCs w:val="20"/>
        </w:rPr>
      </w:pPr>
      <w:r>
        <w:rPr>
          <w:rFonts w:ascii="Book Antiqua" w:hAnsi="Book Antiqua"/>
          <w:b/>
          <w:i/>
          <w:iCs/>
          <w:sz w:val="20"/>
          <w:szCs w:val="20"/>
        </w:rPr>
        <w:t>Basic Study</w:t>
      </w:r>
    </w:p>
    <w:p>
      <w:pPr>
        <w:adjustRightInd w:val="0"/>
        <w:snapToGrid w:val="0"/>
        <w:spacing w:line="360" w:lineRule="auto"/>
        <w:rPr>
          <w:rFonts w:ascii="Book Antiqua" w:hAnsi="Book Antiqua" w:cs="Book Antiqua"/>
          <w:b/>
          <w:bCs/>
          <w:color w:val="C00000"/>
          <w:sz w:val="20"/>
          <w:szCs w:val="20"/>
        </w:rPr>
      </w:pPr>
      <w:bookmarkStart w:id="1" w:name="OLE_LINK6"/>
      <w:r>
        <w:rPr>
          <w:rFonts w:ascii="Book Antiqua" w:hAnsi="Book Antiqua" w:cs="Book Antiqua"/>
          <w:b/>
          <w:bCs/>
          <w:sz w:val="20"/>
          <w:szCs w:val="20"/>
        </w:rPr>
        <w:t xml:space="preserve">Characterizing the composition of intestinal microflora by </w:t>
      </w:r>
      <w:r>
        <w:rPr>
          <w:rFonts w:ascii="Book Antiqua" w:hAnsi="Book Antiqua" w:cs="Book Antiqua"/>
          <w:b/>
          <w:bCs/>
          <w:i/>
          <w:iCs/>
          <w:sz w:val="20"/>
          <w:szCs w:val="20"/>
        </w:rPr>
        <w:t>16S rRNA</w:t>
      </w:r>
      <w:r>
        <w:rPr>
          <w:rFonts w:ascii="Book Antiqua" w:hAnsi="Book Antiqua" w:cs="Book Antiqua"/>
          <w:b/>
          <w:bCs/>
          <w:sz w:val="20"/>
          <w:szCs w:val="20"/>
        </w:rPr>
        <w:t xml:space="preserve"> gene sequencing</w:t>
      </w:r>
    </w:p>
    <w:bookmarkEnd w:id="1"/>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Wang WJ </w:t>
      </w:r>
      <w:r>
        <w:rPr>
          <w:rFonts w:ascii="Book Antiqua" w:hAnsi="Book Antiqua" w:cs="Book Antiqua"/>
          <w:i/>
          <w:iCs/>
          <w:sz w:val="20"/>
          <w:szCs w:val="20"/>
        </w:rPr>
        <w:t>et al</w:t>
      </w:r>
      <w:r>
        <w:rPr>
          <w:rFonts w:ascii="Book Antiqua" w:hAnsi="Book Antiqua" w:cs="Book Antiqua"/>
          <w:sz w:val="20"/>
          <w:szCs w:val="20"/>
        </w:rPr>
        <w:t xml:space="preserve">. </w:t>
      </w:r>
      <w:bookmarkStart w:id="2" w:name="OLE_LINK32"/>
      <w:r>
        <w:rPr>
          <w:rFonts w:ascii="Book Antiqua" w:hAnsi="Book Antiqua" w:cs="Book Antiqua"/>
          <w:sz w:val="20"/>
          <w:szCs w:val="20"/>
        </w:rPr>
        <w:t>Composition of intestinal microflora</w:t>
      </w:r>
    </w:p>
    <w:bookmarkEnd w:id="2"/>
    <w:p>
      <w:pPr>
        <w:adjustRightInd w:val="0"/>
        <w:snapToGrid w:val="0"/>
        <w:spacing w:line="360" w:lineRule="auto"/>
        <w:rPr>
          <w:rFonts w:ascii="Book Antiqua" w:hAnsi="Book Antiqua" w:cs="Book Antiqua"/>
          <w:sz w:val="20"/>
          <w:szCs w:val="20"/>
        </w:rPr>
      </w:pP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Wen-Jia Wang, You-Lian Zhou, Jie He, Zhi-Qiang Feng, Long Zhang, Xiao-Bo Lai, Jun-Xiao Zhou, Hong Wang</w:t>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Wen-Jia Wang, You-Lian Zhou, Jie He, Zhi-Qiang Feng, Long Zhang, Xiao-Bo Lai, Jun-Xiao Zhou, Hong Wang,</w:t>
      </w:r>
      <w:r>
        <w:rPr>
          <w:rFonts w:ascii="Book Antiqua" w:hAnsi="Book Antiqua" w:cs="Book Antiqua"/>
          <w:sz w:val="20"/>
          <w:szCs w:val="20"/>
        </w:rPr>
        <w:t xml:space="preserve"> Department of Gastroenterology, Guangzhou Digestive Disease Center, Guangzhou First People’s Hospital, South China University of Technology, Guangzhou 510030, Guangdong Province, China</w:t>
      </w:r>
    </w:p>
    <w:p>
      <w:pPr>
        <w:adjustRightInd w:val="0"/>
        <w:snapToGrid w:val="0"/>
        <w:spacing w:line="360" w:lineRule="auto"/>
        <w:rPr>
          <w:rFonts w:ascii="Book Antiqua" w:hAnsi="Book Antiqua" w:cs="Book Antiqua"/>
          <w:bCs/>
          <w:sz w:val="20"/>
          <w:szCs w:val="20"/>
          <w:shd w:val="clear" w:color="auto" w:fill="FFFFFF"/>
        </w:rPr>
      </w:pPr>
    </w:p>
    <w:p>
      <w:pPr>
        <w:widowControl/>
        <w:adjustRightInd w:val="0"/>
        <w:snapToGrid w:val="0"/>
        <w:spacing w:line="360" w:lineRule="auto"/>
        <w:rPr>
          <w:rFonts w:ascii="Book Antiqua" w:hAnsi="Book Antiqua" w:cs="Book Antiqua"/>
          <w:color w:val="C00000"/>
          <w:sz w:val="20"/>
          <w:szCs w:val="20"/>
          <w:shd w:val="clear" w:color="FFFFFF" w:fill="D9D9D9"/>
        </w:rPr>
      </w:pPr>
      <w:r>
        <w:rPr>
          <w:rFonts w:ascii="Book Antiqua" w:hAnsi="Book Antiqua"/>
          <w:b/>
          <w:color w:val="000000"/>
          <w:sz w:val="20"/>
          <w:szCs w:val="20"/>
        </w:rPr>
        <w:t>Author contributions:</w:t>
      </w:r>
      <w:r>
        <w:rPr>
          <w:rFonts w:ascii="Book Antiqua" w:hAnsi="Book Antiqua" w:eastAsia="MS Mincho" w:cs="Book Antiqua"/>
          <w:b/>
          <w:bCs/>
          <w:color w:val="333333"/>
          <w:sz w:val="20"/>
          <w:szCs w:val="20"/>
          <w:shd w:val="clear" w:color="auto" w:fill="FFFFFF"/>
        </w:rPr>
        <w:t xml:space="preserve"> </w:t>
      </w:r>
      <w:r>
        <w:rPr>
          <w:rFonts w:ascii="Book Antiqua" w:hAnsi="Book Antiqua" w:eastAsia="Book Antiqua" w:cs="Book Antiqua"/>
          <w:color w:val="000000" w:themeColor="text1"/>
          <w:kern w:val="0"/>
          <w:sz w:val="20"/>
          <w:szCs w:val="20"/>
          <w:lang w:bidi="ar"/>
          <w14:textFill>
            <w14:solidFill>
              <w14:schemeClr w14:val="tx1"/>
            </w14:solidFill>
          </w14:textFill>
        </w:rPr>
        <w:t xml:space="preserve">Wang WJ was responsible for sequencing and </w:t>
      </w:r>
      <w:bookmarkStart w:id="3" w:name="OLE_LINK5"/>
      <w:r>
        <w:rPr>
          <w:rFonts w:ascii="Book Antiqua" w:hAnsi="Book Antiqua" w:eastAsia="Book Antiqua" w:cs="Book Antiqua"/>
          <w:color w:val="000000" w:themeColor="text1"/>
          <w:kern w:val="0"/>
          <w:sz w:val="20"/>
          <w:szCs w:val="20"/>
          <w:lang w:bidi="ar"/>
          <w14:textFill>
            <w14:solidFill>
              <w14:schemeClr w14:val="tx1"/>
            </w14:solidFill>
          </w14:textFill>
        </w:rPr>
        <w:t>data analyses</w:t>
      </w:r>
      <w:bookmarkEnd w:id="3"/>
      <w:r>
        <w:rPr>
          <w:rFonts w:ascii="Book Antiqua" w:hAnsi="Book Antiqua" w:eastAsia="Book Antiqua" w:cs="Book Antiqua"/>
          <w:color w:val="000000" w:themeColor="text1"/>
          <w:kern w:val="0"/>
          <w:sz w:val="20"/>
          <w:szCs w:val="20"/>
          <w:lang w:bidi="ar"/>
          <w14:textFill>
            <w14:solidFill>
              <w14:schemeClr w14:val="tx1"/>
            </w14:solidFill>
          </w14:textFill>
        </w:rPr>
        <w:t>;</w:t>
      </w:r>
      <w:r>
        <w:rPr>
          <w:rFonts w:ascii="Book Antiqua" w:hAnsi="Book Antiqua" w:eastAsia="宋体" w:cs="Book Antiqua"/>
          <w:color w:val="000000" w:themeColor="text1"/>
          <w:kern w:val="0"/>
          <w:sz w:val="20"/>
          <w:szCs w:val="20"/>
          <w:lang w:bidi="ar"/>
          <w14:textFill>
            <w14:solidFill>
              <w14:schemeClr w14:val="tx1"/>
            </w14:solidFill>
          </w14:textFill>
        </w:rPr>
        <w:t xml:space="preserve"> </w:t>
      </w:r>
      <w:r>
        <w:rPr>
          <w:rFonts w:ascii="Book Antiqua" w:hAnsi="Book Antiqua" w:eastAsia="Book Antiqua" w:cs="Book Antiqua"/>
          <w:color w:val="000000" w:themeColor="text1"/>
          <w:kern w:val="0"/>
          <w:sz w:val="20"/>
          <w:szCs w:val="20"/>
          <w:lang w:bidi="ar"/>
          <w14:textFill>
            <w14:solidFill>
              <w14:schemeClr w14:val="tx1"/>
            </w14:solidFill>
          </w14:textFill>
        </w:rPr>
        <w:t xml:space="preserve">Zhou YL and He J analyzed dates after sequencing; Feng ZQ, Zhang L and Lai XB collected specimens; </w:t>
      </w:r>
      <w:r>
        <w:rPr>
          <w:rFonts w:ascii="Book Antiqua" w:hAnsi="Book Antiqua" w:eastAsia="宋体" w:cs="Book Antiqua"/>
          <w:color w:val="000000" w:themeColor="text1"/>
          <w:kern w:val="0"/>
          <w:sz w:val="20"/>
          <w:szCs w:val="20"/>
          <w:lang w:bidi="ar"/>
          <w14:textFill>
            <w14:solidFill>
              <w14:schemeClr w14:val="tx1"/>
            </w14:solidFill>
          </w14:textFill>
        </w:rPr>
        <w:t xml:space="preserve">Zhou JX contributed to the article and revised it; </w:t>
      </w:r>
      <w:r>
        <w:rPr>
          <w:rFonts w:ascii="Book Antiqua" w:hAnsi="Book Antiqua" w:eastAsia="Book Antiqua" w:cs="Book Antiqua"/>
          <w:color w:val="000000" w:themeColor="text1"/>
          <w:kern w:val="0"/>
          <w:sz w:val="20"/>
          <w:szCs w:val="20"/>
          <w:lang w:bidi="ar"/>
          <w14:textFill>
            <w14:solidFill>
              <w14:schemeClr w14:val="tx1"/>
            </w14:solidFill>
          </w14:textFill>
        </w:rPr>
        <w:t>Wang H conceived the study and drafted the manuscript;</w:t>
      </w:r>
      <w:r>
        <w:rPr>
          <w:rFonts w:ascii="Book Antiqua" w:hAnsi="Book Antiqua" w:cs="Book Antiqua"/>
          <w:color w:val="000000" w:themeColor="text1"/>
          <w:sz w:val="20"/>
          <w:szCs w:val="20"/>
          <w14:textFill>
            <w14:solidFill>
              <w14:schemeClr w14:val="tx1"/>
            </w14:solidFill>
          </w14:textFill>
        </w:rPr>
        <w:t xml:space="preserve"> Both authors approved the final version of the article.</w:t>
      </w:r>
    </w:p>
    <w:p>
      <w:pPr>
        <w:widowControl/>
        <w:adjustRightInd w:val="0"/>
        <w:snapToGrid w:val="0"/>
        <w:spacing w:line="360" w:lineRule="auto"/>
        <w:rPr>
          <w:rFonts w:ascii="Book Antiqua" w:hAnsi="Book Antiqua" w:cs="Book Antiqua"/>
          <w:sz w:val="20"/>
          <w:szCs w:val="20"/>
        </w:rPr>
      </w:pPr>
    </w:p>
    <w:p>
      <w:pPr>
        <w:adjustRightInd w:val="0"/>
        <w:snapToGrid w:val="0"/>
        <w:spacing w:line="360" w:lineRule="auto"/>
        <w:rPr>
          <w:rFonts w:ascii="Book Antiqua" w:hAnsi="Book Antiqua" w:cs="Book Antiqua"/>
          <w:color w:val="000000" w:themeColor="text1"/>
          <w:sz w:val="20"/>
          <w:szCs w:val="20"/>
          <w14:textFill>
            <w14:solidFill>
              <w14:schemeClr w14:val="tx1"/>
            </w14:solidFill>
          </w14:textFill>
        </w:rPr>
      </w:pPr>
      <w:r>
        <w:rPr>
          <w:rFonts w:ascii="Book Antiqua" w:hAnsi="Book Antiqua" w:cstheme="minorHAnsi"/>
          <w:b/>
          <w:sz w:val="20"/>
          <w:szCs w:val="20"/>
        </w:rPr>
        <w:t>Supported by</w:t>
      </w:r>
      <w:r>
        <w:rPr>
          <w:rFonts w:ascii="Book Antiqua" w:hAnsi="Book Antiqua" w:eastAsia="Book Antiqua" w:cs="Book Antiqua"/>
          <w:b/>
          <w:color w:val="000000"/>
          <w:kern w:val="0"/>
          <w:sz w:val="20"/>
          <w:szCs w:val="20"/>
          <w:lang w:bidi="ar"/>
        </w:rPr>
        <w:t xml:space="preserve"> </w:t>
      </w:r>
      <w:r>
        <w:rPr>
          <w:rFonts w:ascii="Book Antiqua" w:hAnsi="Book Antiqua" w:cs="Book Antiqua"/>
          <w:sz w:val="20"/>
          <w:szCs w:val="20"/>
        </w:rPr>
        <w:t xml:space="preserve">Guangdong Provincial Department of Science and Technology, No. </w:t>
      </w:r>
      <w:r>
        <w:rPr>
          <w:rFonts w:ascii="Book Antiqua" w:hAnsi="Book Antiqua" w:cs="Book Antiqua"/>
          <w:color w:val="000000" w:themeColor="text1"/>
          <w:sz w:val="20"/>
          <w:szCs w:val="20"/>
          <w14:textFill>
            <w14:solidFill>
              <w14:schemeClr w14:val="tx1"/>
            </w14:solidFill>
          </w14:textFill>
        </w:rPr>
        <w:t xml:space="preserve">2014A020212568; National Key Clinical Specialized Special Funds Programs of China, </w:t>
      </w:r>
      <w:bookmarkStart w:id="4" w:name="OLE_LINK34"/>
      <w:bookmarkStart w:id="5" w:name="OLE_LINK33"/>
      <w:r>
        <w:rPr>
          <w:rFonts w:ascii="Book Antiqua" w:hAnsi="Book Antiqua" w:cs="Book Antiqua"/>
          <w:color w:val="000000" w:themeColor="text1"/>
          <w:sz w:val="20"/>
          <w:szCs w:val="20"/>
          <w14:textFill>
            <w14:solidFill>
              <w14:schemeClr w14:val="tx1"/>
            </w14:solidFill>
          </w14:textFill>
        </w:rPr>
        <w:t>No. 2013544</w:t>
      </w:r>
      <w:bookmarkEnd w:id="4"/>
      <w:bookmarkEnd w:id="5"/>
      <w:r>
        <w:rPr>
          <w:rFonts w:ascii="Book Antiqua" w:hAnsi="Book Antiqua" w:cs="Book Antiqua"/>
          <w:color w:val="000000" w:themeColor="text1"/>
          <w:sz w:val="20"/>
          <w:szCs w:val="20"/>
          <w14:textFill>
            <w14:solidFill>
              <w14:schemeClr w14:val="tx1"/>
            </w14:solidFill>
          </w14:textFill>
        </w:rPr>
        <w:t>.</w:t>
      </w:r>
    </w:p>
    <w:p>
      <w:pPr>
        <w:adjustRightInd w:val="0"/>
        <w:snapToGrid w:val="0"/>
        <w:spacing w:line="360" w:lineRule="auto"/>
        <w:rPr>
          <w:rFonts w:ascii="Book Antiqua" w:hAnsi="Book Antiqua" w:cs="Book Antiqua"/>
          <w:color w:val="333333"/>
          <w:sz w:val="20"/>
          <w:szCs w:val="20"/>
          <w:shd w:val="clear" w:color="auto" w:fill="FFFFFF"/>
        </w:rPr>
      </w:pPr>
    </w:p>
    <w:p>
      <w:pPr>
        <w:widowControl/>
        <w:adjustRightInd w:val="0"/>
        <w:snapToGrid w:val="0"/>
        <w:spacing w:line="360" w:lineRule="auto"/>
        <w:rPr>
          <w:rStyle w:val="12"/>
          <w:rFonts w:ascii="Book Antiqua" w:hAnsi="Book Antiqua" w:cs="Book Antiqua"/>
          <w:color w:val="000000" w:themeColor="text1"/>
          <w:sz w:val="20"/>
          <w:szCs w:val="20"/>
          <w14:textFill>
            <w14:solidFill>
              <w14:schemeClr w14:val="tx1"/>
            </w14:solidFill>
          </w14:textFill>
        </w:rPr>
      </w:pPr>
      <w:r>
        <w:rPr>
          <w:rFonts w:ascii="Book Antiqua" w:hAnsi="Book Antiqua" w:cstheme="minorHAnsi"/>
          <w:b/>
          <w:sz w:val="20"/>
          <w:szCs w:val="20"/>
        </w:rPr>
        <w:t>Corresponding author:</w:t>
      </w:r>
      <w:r>
        <w:rPr>
          <w:rFonts w:ascii="Book Antiqua" w:hAnsi="Book Antiqua" w:eastAsia="宋体" w:cs="Book Antiqua"/>
          <w:b/>
          <w:sz w:val="20"/>
          <w:szCs w:val="20"/>
        </w:rPr>
        <w:t xml:space="preserve"> </w:t>
      </w:r>
      <w:r>
        <w:rPr>
          <w:rFonts w:ascii="Book Antiqua" w:hAnsi="Book Antiqua" w:cs="Book Antiqua"/>
          <w:b/>
          <w:bCs/>
          <w:sz w:val="20"/>
          <w:szCs w:val="20"/>
        </w:rPr>
        <w:t>Hong Wang, MD, PhD, Chief Physician,</w:t>
      </w:r>
      <w:r>
        <w:rPr>
          <w:rFonts w:ascii="Book Antiqua" w:hAnsi="Book Antiqua" w:cs="Book Antiqua"/>
          <w:sz w:val="20"/>
          <w:szCs w:val="20"/>
        </w:rPr>
        <w:t xml:space="preserve"> Department of Gastroenterology, Guangzhou Digestive Disease Center, Guangzhou First People’s Hospital, South China University of Technology, No. 1 Panfu Road, Yuexiu District, Guangzhou 510030, Guangdong Province, China. wong.hong@163.com</w:t>
      </w:r>
    </w:p>
    <w:p>
      <w:pPr>
        <w:widowControl/>
        <w:adjustRightInd w:val="0"/>
        <w:snapToGrid w:val="0"/>
        <w:spacing w:line="360" w:lineRule="auto"/>
        <w:rPr>
          <w:rStyle w:val="12"/>
          <w:rFonts w:ascii="Book Antiqua" w:hAnsi="Book Antiqua" w:cs="Book Antiqua"/>
          <w:color w:val="000000" w:themeColor="text1"/>
          <w:sz w:val="20"/>
          <w:szCs w:val="20"/>
          <w14:textFill>
            <w14:solidFill>
              <w14:schemeClr w14:val="tx1"/>
            </w14:solidFill>
          </w14:textFill>
        </w:rPr>
      </w:pPr>
    </w:p>
    <w:p>
      <w:pPr>
        <w:adjustRightInd w:val="0"/>
        <w:snapToGrid w:val="0"/>
        <w:spacing w:line="360" w:lineRule="auto"/>
        <w:rPr>
          <w:rFonts w:ascii="Book Antiqua" w:hAnsi="Book Antiqua"/>
          <w:sz w:val="20"/>
          <w:szCs w:val="20"/>
        </w:rPr>
      </w:pPr>
      <w:bookmarkStart w:id="6" w:name="OLE_LINK75"/>
      <w:bookmarkStart w:id="7" w:name="OLE_LINK239"/>
      <w:bookmarkStart w:id="8" w:name="OLE_LINK269"/>
      <w:bookmarkStart w:id="9" w:name="OLE_LINK76"/>
      <w:r>
        <w:rPr>
          <w:rFonts w:ascii="Book Antiqua" w:hAnsi="Book Antiqua"/>
          <w:b/>
          <w:sz w:val="20"/>
          <w:szCs w:val="20"/>
        </w:rPr>
        <w:t xml:space="preserve">Received: </w:t>
      </w:r>
      <w:r>
        <w:rPr>
          <w:rFonts w:ascii="Book Antiqua" w:hAnsi="Book Antiqua"/>
          <w:sz w:val="20"/>
          <w:szCs w:val="20"/>
        </w:rPr>
        <w:t>August 13, 2019</w:t>
      </w:r>
    </w:p>
    <w:p>
      <w:pPr>
        <w:adjustRightInd w:val="0"/>
        <w:snapToGrid w:val="0"/>
        <w:spacing w:line="360" w:lineRule="auto"/>
        <w:rPr>
          <w:rFonts w:ascii="Book Antiqua" w:hAnsi="Book Antiqua"/>
          <w:b/>
          <w:sz w:val="20"/>
          <w:szCs w:val="20"/>
        </w:rPr>
      </w:pPr>
      <w:r>
        <w:rPr>
          <w:rFonts w:ascii="Book Antiqua" w:hAnsi="Book Antiqua"/>
          <w:b/>
          <w:sz w:val="20"/>
          <w:szCs w:val="20"/>
        </w:rPr>
        <w:t xml:space="preserve">Revised: </w:t>
      </w:r>
      <w:r>
        <w:rPr>
          <w:rFonts w:ascii="Book Antiqua" w:hAnsi="Book Antiqua"/>
          <w:sz w:val="20"/>
          <w:szCs w:val="20"/>
        </w:rPr>
        <w:t>December 25, 2019</w:t>
      </w:r>
    </w:p>
    <w:p>
      <w:pPr>
        <w:adjustRightInd w:val="0"/>
        <w:snapToGrid w:val="0"/>
        <w:spacing w:line="360" w:lineRule="auto"/>
        <w:rPr>
          <w:rFonts w:ascii="Book Antiqua" w:hAnsi="Book Antiqua"/>
          <w:color w:val="000000"/>
          <w:sz w:val="20"/>
          <w:szCs w:val="20"/>
        </w:rPr>
      </w:pPr>
      <w:r>
        <w:rPr>
          <w:rFonts w:ascii="Book Antiqua" w:hAnsi="Book Antiqua"/>
          <w:b/>
          <w:sz w:val="20"/>
          <w:szCs w:val="20"/>
        </w:rPr>
        <w:t>Accepted:</w:t>
      </w:r>
      <w:r>
        <w:rPr>
          <w:bCs/>
          <w:sz w:val="20"/>
          <w:szCs w:val="20"/>
        </w:rPr>
        <w:t xml:space="preserve"> </w:t>
      </w:r>
      <w:r>
        <w:rPr>
          <w:rFonts w:ascii="Book Antiqua" w:hAnsi="Book Antiqua"/>
          <w:bCs/>
          <w:sz w:val="20"/>
          <w:szCs w:val="20"/>
        </w:rPr>
        <w:t xml:space="preserve">January 11, 2020 </w:t>
      </w:r>
    </w:p>
    <w:p>
      <w:pPr>
        <w:adjustRightInd w:val="0"/>
        <w:snapToGrid w:val="0"/>
        <w:spacing w:line="360" w:lineRule="auto"/>
        <w:rPr>
          <w:rFonts w:ascii="Book Antiqua" w:hAnsi="Book Antiqua"/>
          <w:b/>
          <w:sz w:val="20"/>
          <w:szCs w:val="20"/>
        </w:rPr>
      </w:pPr>
      <w:r>
        <w:rPr>
          <w:rFonts w:ascii="Book Antiqua" w:hAnsi="Book Antiqua"/>
          <w:b/>
          <w:sz w:val="20"/>
          <w:szCs w:val="20"/>
        </w:rPr>
        <w:t>Published online:</w:t>
      </w:r>
      <w:bookmarkEnd w:id="6"/>
      <w:bookmarkEnd w:id="7"/>
      <w:bookmarkEnd w:id="8"/>
      <w:bookmarkEnd w:id="9"/>
    </w:p>
    <w:p>
      <w:pPr>
        <w:widowControl/>
        <w:adjustRightInd w:val="0"/>
        <w:snapToGrid w:val="0"/>
        <w:spacing w:line="360" w:lineRule="auto"/>
        <w:rPr>
          <w:rFonts w:ascii="Book Antiqua" w:hAnsi="Book Antiqua" w:cs="Book Antiqua"/>
          <w:sz w:val="20"/>
          <w:szCs w:val="20"/>
        </w:rPr>
      </w:pPr>
    </w:p>
    <w:p>
      <w:pPr>
        <w:widowControl/>
        <w:adjustRightInd w:val="0"/>
        <w:snapToGrid w:val="0"/>
        <w:spacing w:line="360" w:lineRule="auto"/>
        <w:rPr>
          <w:rFonts w:ascii="Book Antiqua" w:hAnsi="Book Antiqua" w:cs="Book Antiqua"/>
          <w:sz w:val="20"/>
          <w:szCs w:val="20"/>
        </w:rPr>
      </w:pPr>
      <w:r>
        <w:rPr>
          <w:rFonts w:ascii="Book Antiqua" w:hAnsi="Book Antiqua" w:cs="Book Antiqua"/>
          <w:sz w:val="20"/>
          <w:szCs w:val="20"/>
        </w:rPr>
        <w:br w:type="page"/>
      </w:r>
    </w:p>
    <w:p>
      <w:pPr>
        <w:adjustRightInd w:val="0"/>
        <w:snapToGrid w:val="0"/>
        <w:spacing w:line="360" w:lineRule="auto"/>
        <w:rPr>
          <w:rFonts w:ascii="Book Antiqua" w:hAnsi="Book Antiqua" w:cs="Book Antiqua"/>
          <w:b/>
          <w:color w:val="C00000"/>
          <w:sz w:val="20"/>
          <w:szCs w:val="20"/>
          <w:shd w:val="clear" w:color="FFFFFF" w:fill="D9D9D9"/>
        </w:rPr>
      </w:pPr>
      <w:r>
        <w:rPr>
          <w:rFonts w:ascii="Book Antiqua" w:hAnsi="Book Antiqua" w:cs="Book Antiqua"/>
          <w:b/>
          <w:color w:val="000000" w:themeColor="text1"/>
          <w:sz w:val="20"/>
          <w:szCs w:val="20"/>
          <w14:textFill>
            <w14:solidFill>
              <w14:schemeClr w14:val="tx1"/>
            </w14:solidFill>
          </w14:textFill>
        </w:rPr>
        <w:t>Abstract</w:t>
      </w:r>
      <w:r>
        <w:rPr>
          <w:rFonts w:ascii="Book Antiqua" w:hAnsi="Book Antiqua" w:cs="Book Antiqua"/>
          <w:b/>
          <w:color w:val="C00000"/>
          <w:sz w:val="20"/>
          <w:szCs w:val="20"/>
        </w:rPr>
        <w:t xml:space="preserve"> </w:t>
      </w:r>
    </w:p>
    <w:p>
      <w:pPr>
        <w:adjustRightInd w:val="0"/>
        <w:snapToGrid w:val="0"/>
        <w:spacing w:line="360" w:lineRule="auto"/>
        <w:rPr>
          <w:rFonts w:ascii="Book Antiqua" w:hAnsi="Book Antiqua" w:cs="Book Antiqua"/>
          <w:bCs/>
          <w:iCs/>
          <w:color w:val="000000" w:themeColor="text1"/>
          <w:sz w:val="20"/>
          <w:szCs w:val="20"/>
          <w14:textFill>
            <w14:solidFill>
              <w14:schemeClr w14:val="tx1"/>
            </w14:solidFill>
          </w14:textFill>
        </w:rPr>
      </w:pPr>
      <w:r>
        <w:rPr>
          <w:rFonts w:ascii="Book Antiqua" w:hAnsi="Book Antiqua"/>
          <w:bCs/>
          <w:iCs/>
          <w:color w:val="000000" w:themeColor="text1"/>
          <w:sz w:val="20"/>
          <w:szCs w:val="20"/>
          <w14:textFill>
            <w14:solidFill>
              <w14:schemeClr w14:val="tx1"/>
            </w14:solidFill>
          </w14:textFill>
        </w:rPr>
        <w:t>BACKGROUND</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This study determined the composition and diversity of intestinal microflora in patients with </w:t>
      </w:r>
      <w:bookmarkStart w:id="10" w:name="OLE_LINK30"/>
      <w:r>
        <w:rPr>
          <w:rFonts w:ascii="Book Antiqua" w:hAnsi="Book Antiqua" w:cs="Book Antiqua"/>
          <w:sz w:val="20"/>
          <w:szCs w:val="20"/>
        </w:rPr>
        <w:t>colorectal adenoma (CRA)</w:t>
      </w:r>
      <w:bookmarkEnd w:id="10"/>
      <w:r>
        <w:rPr>
          <w:rFonts w:ascii="Book Antiqua" w:hAnsi="Book Antiqua" w:cs="Book Antiqua"/>
          <w:sz w:val="20"/>
          <w:szCs w:val="20"/>
        </w:rPr>
        <w:t>, which may provide precedence for investigating the role of intestinal microflora in the pathogenesis of colorectal tumors, the composition of intestinal microflora closely related to CRA, and further validating the possibility of intestinal flora as a biomarker of CRA.</w:t>
      </w:r>
    </w:p>
    <w:p>
      <w:pPr>
        <w:adjustRightInd w:val="0"/>
        <w:snapToGrid w:val="0"/>
        <w:spacing w:line="360" w:lineRule="auto"/>
        <w:rPr>
          <w:rFonts w:ascii="Book Antiqua" w:hAnsi="Book Antiqua"/>
          <w:b/>
          <w:i/>
          <w:color w:val="000000" w:themeColor="text1"/>
          <w:sz w:val="20"/>
          <w:szCs w:val="20"/>
          <w14:textFill>
            <w14:solidFill>
              <w14:schemeClr w14:val="tx1"/>
            </w14:solidFill>
          </w14:textFill>
        </w:rPr>
      </w:pPr>
    </w:p>
    <w:p>
      <w:pPr>
        <w:adjustRightInd w:val="0"/>
        <w:snapToGrid w:val="0"/>
        <w:spacing w:line="360" w:lineRule="auto"/>
        <w:rPr>
          <w:rFonts w:ascii="Book Antiqua" w:hAnsi="Book Antiqua" w:cs="Book Antiqua"/>
          <w:bCs/>
          <w:iCs/>
          <w:sz w:val="20"/>
          <w:szCs w:val="20"/>
        </w:rPr>
      </w:pPr>
      <w:r>
        <w:rPr>
          <w:rFonts w:ascii="Book Antiqua" w:hAnsi="Book Antiqua"/>
          <w:bCs/>
          <w:iCs/>
          <w:color w:val="000000" w:themeColor="text1"/>
          <w:sz w:val="20"/>
          <w:szCs w:val="20"/>
          <w14:textFill>
            <w14:solidFill>
              <w14:schemeClr w14:val="tx1"/>
            </w14:solidFill>
          </w14:textFill>
        </w:rPr>
        <w:t>AIM</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To study the relationship between intestinal microflora and CRA.</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Methods</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This is a prospective control case study from October 2014 to June 2015 involving healthy volunteers and patients with advanced CRA. High-throughput sequencing and bioinformatics analysis were used to investigate the composition </w:t>
      </w:r>
      <w:r>
        <w:rPr>
          <w:rFonts w:ascii="Book Antiqua" w:hAnsi="Book Antiqua" w:cs="Book Antiqua"/>
          <w:color w:val="000000" w:themeColor="text1"/>
          <w:sz w:val="20"/>
          <w:szCs w:val="20"/>
          <w14:textFill>
            <w14:solidFill>
              <w14:schemeClr w14:val="tx1"/>
            </w14:solidFill>
          </w14:textFill>
        </w:rPr>
        <w:t xml:space="preserve">and diversity </w:t>
      </w:r>
      <w:r>
        <w:rPr>
          <w:rFonts w:ascii="Book Antiqua" w:hAnsi="Book Antiqua" w:cs="Book Antiqua"/>
          <w:sz w:val="20"/>
          <w:szCs w:val="20"/>
        </w:rPr>
        <w:t>of intestinal microflora in 36 healthy subjects and 49 patients with advanced CRA. Endpoints measured were operational taxonomic units of intestinal flora, as well as their abundance and diversity (</w:t>
      </w:r>
      <w:r>
        <w:rPr>
          <w:rFonts w:ascii="Book Antiqua" w:hAnsi="Book Antiqua"/>
          <w:sz w:val="20"/>
          <w:szCs w:val="20"/>
        </w:rPr>
        <w:t xml:space="preserve">α </w:t>
      </w:r>
      <w:r>
        <w:rPr>
          <w:rFonts w:ascii="Book Antiqua" w:hAnsi="Book Antiqua" w:cs="Book Antiqua"/>
          <w:sz w:val="20"/>
          <w:szCs w:val="20"/>
        </w:rPr>
        <w:t xml:space="preserve">and </w:t>
      </w:r>
      <w:r>
        <w:rPr>
          <w:rFonts w:ascii="Book Antiqua" w:hAnsi="Book Antiqua"/>
          <w:sz w:val="20"/>
          <w:szCs w:val="20"/>
        </w:rPr>
        <w:t xml:space="preserve">β </w:t>
      </w:r>
      <w:r>
        <w:rPr>
          <w:rFonts w:ascii="Book Antiqua" w:hAnsi="Book Antiqua" w:cs="Book Antiqua"/>
          <w:sz w:val="20"/>
          <w:szCs w:val="20"/>
        </w:rPr>
        <w:t>types).</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Results</w:t>
      </w:r>
    </w:p>
    <w:p>
      <w:pPr>
        <w:adjustRightInd w:val="0"/>
        <w:snapToGrid w:val="0"/>
        <w:spacing w:line="360" w:lineRule="auto"/>
        <w:rPr>
          <w:rFonts w:ascii="Book Antiqua" w:hAnsi="Book Antiqua" w:cs="Book Antiqua"/>
          <w:b/>
          <w:sz w:val="20"/>
          <w:szCs w:val="20"/>
        </w:rPr>
      </w:pPr>
      <w:r>
        <w:rPr>
          <w:rFonts w:ascii="Book Antiqua" w:hAnsi="Book Antiqua" w:cs="Book Antiqua"/>
          <w:bCs/>
          <w:sz w:val="20"/>
          <w:szCs w:val="20"/>
        </w:rPr>
        <w:t xml:space="preserve">In this study, the age, gender, </w:t>
      </w:r>
      <w:r>
        <w:rPr>
          <w:rFonts w:ascii="Book Antiqua" w:hAnsi="Book Antiqua" w:cs="Book Antiqua"/>
          <w:sz w:val="20"/>
          <w:szCs w:val="20"/>
        </w:rPr>
        <w:t>body mass index</w:t>
      </w:r>
      <w:r>
        <w:rPr>
          <w:rFonts w:ascii="Book Antiqua" w:hAnsi="Book Antiqua" w:cs="Book Antiqua"/>
          <w:bCs/>
          <w:sz w:val="20"/>
          <w:szCs w:val="20"/>
        </w:rPr>
        <w:t xml:space="preserve">, as well as location between controls and patients had no significant differences. The mucosa-associated gut microbiota diversity and bacterial distribution in healthy controls and colorectal adenomas were similar. The operational taxonomic unit, abundance, and </w:t>
      </w:r>
      <w:r>
        <w:rPr>
          <w:rFonts w:ascii="Book Antiqua" w:hAnsi="Book Antiqua"/>
          <w:sz w:val="20"/>
          <w:szCs w:val="20"/>
        </w:rPr>
        <w:t xml:space="preserve">α </w:t>
      </w:r>
      <w:r>
        <w:rPr>
          <w:rFonts w:ascii="Book Antiqua" w:hAnsi="Book Antiqua" w:cs="Book Antiqua"/>
          <w:bCs/>
          <w:sz w:val="20"/>
          <w:szCs w:val="20"/>
        </w:rPr>
        <w:t xml:space="preserve">and </w:t>
      </w:r>
      <w:r>
        <w:rPr>
          <w:rFonts w:ascii="Book Antiqua" w:hAnsi="Book Antiqua"/>
          <w:sz w:val="20"/>
          <w:szCs w:val="20"/>
        </w:rPr>
        <w:t xml:space="preserve">β </w:t>
      </w:r>
      <w:r>
        <w:rPr>
          <w:rFonts w:ascii="Book Antiqua" w:hAnsi="Book Antiqua" w:cs="Book Antiqua"/>
          <w:bCs/>
          <w:sz w:val="20"/>
          <w:szCs w:val="20"/>
        </w:rPr>
        <w:t xml:space="preserve">diversity were all reduced in patients with CRA compared to controls. At the phylum level, the composition of intestinal microflora was comparable between patients and controls, but the abundance of </w:t>
      </w:r>
      <w:r>
        <w:rPr>
          <w:rFonts w:ascii="Book Antiqua" w:hAnsi="Book Antiqua" w:cs="Book Antiqua"/>
          <w:bCs/>
          <w:i/>
          <w:iCs/>
          <w:sz w:val="20"/>
          <w:szCs w:val="20"/>
        </w:rPr>
        <w:t xml:space="preserve">Proteobacteria </w:t>
      </w:r>
      <w:r>
        <w:rPr>
          <w:rFonts w:ascii="Book Antiqua" w:hAnsi="Book Antiqua" w:cs="Book Antiqua"/>
          <w:bCs/>
          <w:sz w:val="20"/>
          <w:szCs w:val="20"/>
        </w:rPr>
        <w:t>was increased, and Firmicutes and Bacteroides were significantly decreased (</w:t>
      </w:r>
      <w:r>
        <w:rPr>
          <w:rFonts w:ascii="Book Antiqua" w:hAnsi="Book Antiqua" w:cs="Book Antiqua"/>
          <w:bCs/>
          <w:i/>
          <w:iCs/>
          <w:sz w:val="20"/>
          <w:szCs w:val="20"/>
        </w:rPr>
        <w:t>P</w:t>
      </w:r>
      <w:r>
        <w:rPr>
          <w:rFonts w:ascii="Book Antiqua" w:hAnsi="Book Antiqua" w:cs="Book Antiqua"/>
          <w:bCs/>
          <w:sz w:val="20"/>
          <w:szCs w:val="20"/>
        </w:rPr>
        <w:t xml:space="preserve"> &lt; 0.05). The increase in </w:t>
      </w:r>
      <w:r>
        <w:rPr>
          <w:rFonts w:ascii="Book Antiqua" w:hAnsi="Book Antiqua" w:cs="Book Antiqua"/>
          <w:bCs/>
          <w:i/>
          <w:iCs/>
          <w:sz w:val="20"/>
          <w:szCs w:val="20"/>
        </w:rPr>
        <w:t>Halomonadaceae</w:t>
      </w:r>
      <w:r>
        <w:rPr>
          <w:rFonts w:ascii="Book Antiqua" w:hAnsi="Book Antiqua" w:cs="Book Antiqua"/>
          <w:bCs/>
          <w:sz w:val="20"/>
          <w:szCs w:val="20"/>
        </w:rPr>
        <w:t xml:space="preserve"> and </w:t>
      </w:r>
      <w:r>
        <w:rPr>
          <w:rFonts w:ascii="Book Antiqua" w:hAnsi="Book Antiqua" w:cs="Book Antiqua"/>
          <w:bCs/>
          <w:i/>
          <w:iCs/>
          <w:sz w:val="20"/>
          <w:szCs w:val="20"/>
        </w:rPr>
        <w:t>Shewanella algae</w:t>
      </w:r>
      <w:r>
        <w:rPr>
          <w:rFonts w:ascii="Book Antiqua" w:hAnsi="Book Antiqua" w:cs="Book Antiqua"/>
          <w:bCs/>
          <w:sz w:val="20"/>
          <w:szCs w:val="20"/>
        </w:rPr>
        <w:t>, and reduction in Coprococcus and Bacteroides ovatus, could serve as biomarkers of CRA. High-throughput sequencing confirms the special characteristics and diversity of intestinal microflora in healthy controls and patients with CRA.</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Conclusion</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The diversity of intestinal microflora was decreased in patients with CRA. An increase in </w:t>
      </w:r>
      <w:r>
        <w:rPr>
          <w:rFonts w:ascii="Book Antiqua" w:hAnsi="Book Antiqua" w:cs="Book Antiqua"/>
          <w:i/>
          <w:iCs/>
          <w:sz w:val="20"/>
          <w:szCs w:val="20"/>
        </w:rPr>
        <w:t>Halomonadaceae</w:t>
      </w:r>
      <w:r>
        <w:rPr>
          <w:rFonts w:ascii="Book Antiqua" w:hAnsi="Book Antiqua" w:cs="Book Antiqua"/>
          <w:sz w:val="20"/>
          <w:szCs w:val="20"/>
        </w:rPr>
        <w:t xml:space="preserve"> and </w:t>
      </w:r>
      <w:r>
        <w:rPr>
          <w:rFonts w:ascii="Book Antiqua" w:hAnsi="Book Antiqua" w:cs="Book Antiqua"/>
          <w:i/>
          <w:sz w:val="20"/>
          <w:szCs w:val="20"/>
        </w:rPr>
        <w:t>Shewanella algae</w:t>
      </w:r>
      <w:r>
        <w:rPr>
          <w:rFonts w:ascii="Book Antiqua" w:hAnsi="Book Antiqua" w:cs="Book Antiqua"/>
          <w:sz w:val="20"/>
          <w:szCs w:val="20"/>
        </w:rPr>
        <w:t xml:space="preserve"> are markers of CRA.</w:t>
      </w:r>
    </w:p>
    <w:p>
      <w:pPr>
        <w:adjustRightInd w:val="0"/>
        <w:snapToGrid w:val="0"/>
        <w:spacing w:line="360" w:lineRule="auto"/>
        <w:rPr>
          <w:rFonts w:ascii="Book Antiqua" w:hAnsi="Book Antiqua" w:cs="Book Antiqua"/>
          <w:sz w:val="20"/>
          <w:szCs w:val="20"/>
        </w:rPr>
      </w:pPr>
    </w:p>
    <w:p>
      <w:pPr>
        <w:adjustRightInd w:val="0"/>
        <w:snapToGrid w:val="0"/>
        <w:spacing w:line="360" w:lineRule="auto"/>
        <w:rPr>
          <w:rFonts w:ascii="Book Antiqua" w:hAnsi="Book Antiqua" w:cs="Book Antiqua"/>
          <w:sz w:val="20"/>
          <w:szCs w:val="20"/>
        </w:rPr>
      </w:pPr>
      <w:r>
        <w:rPr>
          <w:rFonts w:ascii="Book Antiqua" w:hAnsi="Book Antiqua" w:cs="Book Antiqua"/>
          <w:b/>
          <w:color w:val="000000" w:themeColor="text1"/>
          <w:sz w:val="20"/>
          <w:szCs w:val="20"/>
          <w14:textFill>
            <w14:solidFill>
              <w14:schemeClr w14:val="tx1"/>
            </w14:solidFill>
          </w14:textFill>
        </w:rPr>
        <w:t xml:space="preserve">Key words: </w:t>
      </w:r>
      <w:r>
        <w:rPr>
          <w:rFonts w:ascii="Book Antiqua" w:hAnsi="Book Antiqua" w:cs="Book Antiqua"/>
          <w:sz w:val="20"/>
          <w:szCs w:val="20"/>
        </w:rPr>
        <w:t>16S rDNA; Intestinal microflora; Advanced colorectal adenoma; Colorectal cancer; Biomarkers</w:t>
      </w:r>
    </w:p>
    <w:p>
      <w:pPr>
        <w:adjustRightInd w:val="0"/>
        <w:snapToGrid w:val="0"/>
        <w:spacing w:line="360" w:lineRule="auto"/>
        <w:rPr>
          <w:rFonts w:ascii="Book Antiqua" w:hAnsi="Book Antiqua" w:cs="Book Antiqua"/>
          <w:sz w:val="20"/>
          <w:szCs w:val="20"/>
        </w:rPr>
      </w:pPr>
    </w:p>
    <w:p>
      <w:pPr>
        <w:adjustRightInd w:val="0"/>
        <w:snapToGrid w:val="0"/>
        <w:spacing w:line="360" w:lineRule="auto"/>
        <w:rPr>
          <w:rFonts w:ascii="Book Antiqua" w:hAnsi="Book Antiqua"/>
          <w:bCs/>
          <w:sz w:val="20"/>
          <w:szCs w:val="20"/>
        </w:rPr>
      </w:pPr>
      <w:r>
        <w:rPr>
          <w:rFonts w:ascii="Book Antiqua" w:hAnsi="Book Antiqua" w:cs="Book Antiqua"/>
          <w:sz w:val="20"/>
          <w:szCs w:val="20"/>
        </w:rPr>
        <w:t>Wang WJ, Zhou YL, He J, Feng ZQ, Zhang L, Lai XB, Zhou JX, Wang H.</w:t>
      </w:r>
      <w:r>
        <w:rPr>
          <w:rFonts w:ascii="Book Antiqua" w:hAnsi="Book Antiqua" w:cs="Book Antiqua"/>
          <w:b/>
          <w:bCs/>
          <w:sz w:val="20"/>
          <w:szCs w:val="20"/>
        </w:rPr>
        <w:t xml:space="preserve"> </w:t>
      </w:r>
      <w:r>
        <w:rPr>
          <w:rFonts w:ascii="Book Antiqua" w:hAnsi="Book Antiqua" w:cs="Book Antiqua"/>
          <w:sz w:val="20"/>
          <w:szCs w:val="20"/>
        </w:rPr>
        <w:t xml:space="preserve">Characterizing the composition of intestinal microflora by </w:t>
      </w:r>
      <w:r>
        <w:rPr>
          <w:rFonts w:ascii="Book Antiqua" w:hAnsi="Book Antiqua" w:cs="Book Antiqua"/>
          <w:i/>
          <w:iCs/>
          <w:sz w:val="20"/>
          <w:szCs w:val="20"/>
        </w:rPr>
        <w:t>16S rRNA</w:t>
      </w:r>
      <w:r>
        <w:rPr>
          <w:rFonts w:ascii="Book Antiqua" w:hAnsi="Book Antiqua" w:cs="Book Antiqua"/>
          <w:sz w:val="20"/>
          <w:szCs w:val="20"/>
        </w:rPr>
        <w:t xml:space="preserve"> gene sequencing.</w:t>
      </w:r>
      <w:r>
        <w:rPr>
          <w:rFonts w:ascii="Book Antiqua" w:hAnsi="Book Antiqua"/>
          <w:bCs/>
          <w:i/>
          <w:iCs/>
          <w:sz w:val="20"/>
          <w:szCs w:val="20"/>
        </w:rPr>
        <w:t xml:space="preserve"> World J Gastroenterol </w:t>
      </w:r>
      <w:r>
        <w:rPr>
          <w:rFonts w:ascii="Book Antiqua" w:hAnsi="Book Antiqua"/>
          <w:bCs/>
          <w:sz w:val="20"/>
          <w:szCs w:val="20"/>
        </w:rPr>
        <w:t>2020; In press</w:t>
      </w:r>
    </w:p>
    <w:p>
      <w:pPr>
        <w:adjustRightInd w:val="0"/>
        <w:snapToGrid w:val="0"/>
        <w:spacing w:line="360" w:lineRule="auto"/>
        <w:rPr>
          <w:rFonts w:ascii="Book Antiqua" w:hAnsi="Book Antiqua" w:cs="Book Antiqua"/>
          <w:color w:val="C00000"/>
          <w:sz w:val="20"/>
          <w:szCs w:val="20"/>
        </w:rPr>
      </w:pPr>
    </w:p>
    <w:p>
      <w:pPr>
        <w:adjustRightInd w:val="0"/>
        <w:snapToGrid w:val="0"/>
        <w:spacing w:line="360" w:lineRule="auto"/>
        <w:rPr>
          <w:rFonts w:ascii="Book Antiqua" w:hAnsi="Book Antiqua" w:cs="Book Antiqua"/>
          <w:sz w:val="20"/>
          <w:szCs w:val="20"/>
        </w:rPr>
      </w:pPr>
      <w:r>
        <w:rPr>
          <w:rFonts w:ascii="Book Antiqua" w:hAnsi="Book Antiqua" w:eastAsia="Book Antiqua" w:cs="Book Antiqua"/>
          <w:b/>
          <w:color w:val="000000" w:themeColor="text1"/>
          <w:kern w:val="0"/>
          <w:sz w:val="20"/>
          <w:szCs w:val="20"/>
          <w:lang w:bidi="ar"/>
          <w14:textFill>
            <w14:solidFill>
              <w14:schemeClr w14:val="tx1"/>
            </w14:solidFill>
          </w14:textFill>
        </w:rPr>
        <w:t>Core tip</w:t>
      </w:r>
      <w:r>
        <w:rPr>
          <w:rFonts w:ascii="Book Antiqua" w:hAnsi="Book Antiqua" w:eastAsia="Book Antiqua" w:cs="Book Antiqua"/>
          <w:b/>
          <w:bCs/>
          <w:color w:val="000000" w:themeColor="text1"/>
          <w:kern w:val="0"/>
          <w:sz w:val="20"/>
          <w:szCs w:val="20"/>
          <w:lang w:bidi="ar"/>
          <w14:textFill>
            <w14:solidFill>
              <w14:schemeClr w14:val="tx1"/>
            </w14:solidFill>
          </w14:textFill>
        </w:rPr>
        <w:t xml:space="preserve">: </w:t>
      </w:r>
      <w:bookmarkStart w:id="11" w:name="OLE_LINK35"/>
      <w:r>
        <w:rPr>
          <w:rFonts w:ascii="Book Antiqua" w:hAnsi="Book Antiqua" w:cs="Book Antiqua"/>
          <w:sz w:val="20"/>
          <w:szCs w:val="20"/>
        </w:rPr>
        <w:t xml:space="preserve">Colorectal adenomas (CRAs), the most important pre-cancerous lesions in colorectal cancer, have a close relationship with intestinal microflora. However, the mechanism is not clear. Early detection of CRA can effectively reduce the morbidity and mortality of colorectal cancer. This study analyzes the composition and diversity of intestinal microflora in patients with CRA through 16s rDNA gene sequencing. It was proven that the diversity of intestinal microflora in patients with CRA decreased, and that an increase in the number of </w:t>
      </w:r>
      <w:r>
        <w:rPr>
          <w:rFonts w:ascii="Book Antiqua" w:hAnsi="Book Antiqua" w:cs="Book Antiqua"/>
          <w:i/>
          <w:iCs/>
          <w:sz w:val="20"/>
          <w:szCs w:val="20"/>
        </w:rPr>
        <w:t>Halomonadaceae</w:t>
      </w:r>
      <w:r>
        <w:rPr>
          <w:rFonts w:ascii="Book Antiqua" w:hAnsi="Book Antiqua" w:cs="Book Antiqua"/>
          <w:sz w:val="20"/>
          <w:szCs w:val="20"/>
        </w:rPr>
        <w:t xml:space="preserve"> and </w:t>
      </w:r>
      <w:r>
        <w:rPr>
          <w:rFonts w:ascii="Book Antiqua" w:hAnsi="Book Antiqua" w:cs="Book Antiqua"/>
          <w:i/>
          <w:iCs/>
          <w:sz w:val="20"/>
          <w:szCs w:val="20"/>
        </w:rPr>
        <w:t>Shewanella algae</w:t>
      </w:r>
      <w:r>
        <w:rPr>
          <w:rFonts w:ascii="Book Antiqua" w:hAnsi="Book Antiqua" w:cs="Book Antiqua"/>
          <w:sz w:val="20"/>
          <w:szCs w:val="20"/>
        </w:rPr>
        <w:t xml:space="preserve"> may be biomarkers of CRA, which provides a basis for future research.</w:t>
      </w:r>
    </w:p>
    <w:bookmarkEnd w:id="11"/>
    <w:p>
      <w:pPr>
        <w:widowControl/>
        <w:adjustRightInd w:val="0"/>
        <w:snapToGrid w:val="0"/>
        <w:spacing w:line="360" w:lineRule="auto"/>
        <w:rPr>
          <w:rFonts w:ascii="Book Antiqua" w:hAnsi="Book Antiqua" w:eastAsia="Book Antiqua" w:cs="Book Antiqua"/>
          <w:b/>
          <w:bCs/>
          <w:color w:val="C00000"/>
          <w:kern w:val="0"/>
          <w:sz w:val="20"/>
          <w:szCs w:val="20"/>
          <w:lang w:bidi="ar"/>
        </w:rPr>
      </w:pPr>
      <w:r>
        <w:rPr>
          <w:rFonts w:ascii="Book Antiqua" w:hAnsi="Book Antiqua" w:eastAsia="Book Antiqua" w:cs="Book Antiqua"/>
          <w:b/>
          <w:bCs/>
          <w:color w:val="C00000"/>
          <w:kern w:val="0"/>
          <w:sz w:val="20"/>
          <w:szCs w:val="20"/>
          <w:lang w:bidi="ar"/>
        </w:rPr>
        <w:br w:type="page"/>
      </w:r>
    </w:p>
    <w:p>
      <w:pPr>
        <w:adjustRightInd w:val="0"/>
        <w:snapToGrid w:val="0"/>
        <w:spacing w:line="360" w:lineRule="auto"/>
        <w:rPr>
          <w:rFonts w:ascii="Book Antiqua" w:hAnsi="Book Antiqua" w:cstheme="minorHAnsi"/>
          <w:b/>
          <w:sz w:val="20"/>
          <w:szCs w:val="20"/>
          <w:u w:val="single"/>
        </w:rPr>
      </w:pPr>
      <w:bookmarkStart w:id="12" w:name="OLE_LINK17"/>
      <w:r>
        <w:rPr>
          <w:rFonts w:ascii="Book Antiqua" w:hAnsi="Book Antiqua" w:cstheme="minorHAnsi"/>
          <w:b/>
          <w:sz w:val="20"/>
          <w:szCs w:val="20"/>
          <w:u w:val="single"/>
        </w:rPr>
        <w:t>INTRODUCTION</w:t>
      </w:r>
    </w:p>
    <w:p>
      <w:pPr>
        <w:widowControl/>
        <w:autoSpaceDE w:val="0"/>
        <w:autoSpaceDN w:val="0"/>
        <w:adjustRightInd w:val="0"/>
        <w:snapToGrid w:val="0"/>
        <w:spacing w:line="360" w:lineRule="auto"/>
        <w:rPr>
          <w:rFonts w:ascii="Book Antiqua" w:hAnsi="Book Antiqua" w:cs="Book Antiqua"/>
          <w:sz w:val="20"/>
          <w:szCs w:val="20"/>
        </w:rPr>
      </w:pPr>
      <w:r>
        <w:rPr>
          <w:rFonts w:ascii="Book Antiqua" w:hAnsi="Book Antiqua" w:cs="Book Antiqua"/>
          <w:sz w:val="20"/>
          <w:szCs w:val="20"/>
        </w:rPr>
        <w:t>Colorectal adenoma</w:t>
      </w:r>
      <w:bookmarkEnd w:id="12"/>
      <w:r>
        <w:rPr>
          <w:rFonts w:ascii="Book Antiqua" w:hAnsi="Book Antiqua" w:cs="Book Antiqua"/>
          <w:sz w:val="20"/>
          <w:szCs w:val="20"/>
        </w:rPr>
        <w:t>s (CRAs) are the main pre-cancerous lesions in colorectal cancer (CRC). CRC is the second most common malignancy worldwide, and sporadic CRC exhibits a typical progression from adenoma to cancer. Advanced adenomas have a high risk for CRC</w:t>
      </w:r>
      <w:r>
        <w:rPr>
          <w:rFonts w:ascii="Book Antiqua" w:hAnsi="Book Antiqua" w:cs="Book Antiqua"/>
          <w:sz w:val="20"/>
          <w:szCs w:val="20"/>
          <w:vertAlign w:val="superscript"/>
        </w:rPr>
        <w:t>[1]</w:t>
      </w:r>
      <w:r>
        <w:rPr>
          <w:rFonts w:ascii="Book Antiqua" w:hAnsi="Book Antiqua" w:cs="Book Antiqua"/>
          <w:sz w:val="20"/>
          <w:szCs w:val="20"/>
        </w:rPr>
        <w:t xml:space="preserve">, and the following characteristics are indicative of </w:t>
      </w:r>
      <w:bookmarkStart w:id="13" w:name="OLE_LINK18"/>
      <w:r>
        <w:rPr>
          <w:rFonts w:ascii="Book Antiqua" w:hAnsi="Book Antiqua" w:cs="Book Antiqua"/>
          <w:sz w:val="20"/>
          <w:szCs w:val="20"/>
        </w:rPr>
        <w:t>advanced</w:t>
      </w:r>
      <w:bookmarkEnd w:id="13"/>
      <w:r>
        <w:rPr>
          <w:rFonts w:ascii="Book Antiqua" w:hAnsi="Book Antiqua" w:cs="Book Antiqua"/>
          <w:sz w:val="20"/>
          <w:szCs w:val="20"/>
        </w:rPr>
        <w:t xml:space="preserve"> CRA: diameter of the polyp or lesion is ≥ 10 mm; villous structure (accounts for &gt; 25% of the villous or mixed adenoma); and if high-grade intraepithelial neoplasia is present</w:t>
      </w:r>
      <w:r>
        <w:rPr>
          <w:rFonts w:ascii="Book Antiqua" w:hAnsi="Book Antiqua" w:cs="Book Antiqua"/>
          <w:sz w:val="20"/>
          <w:szCs w:val="20"/>
          <w:vertAlign w:val="superscript"/>
        </w:rPr>
        <w:t>[2]</w:t>
      </w:r>
      <w:r>
        <w:rPr>
          <w:rFonts w:ascii="Book Antiqua" w:hAnsi="Book Antiqua" w:cs="Book Antiqua"/>
          <w:sz w:val="20"/>
          <w:szCs w:val="20"/>
        </w:rPr>
        <w:t>. Previous studies have shown that carcinogenesis of the intestinal mucosa is not only a multi-step process and a result of accumulating multi-gene mutations, but also closely related to changes in intestinal microflora</w:t>
      </w:r>
      <w:r>
        <w:rPr>
          <w:rFonts w:ascii="Book Antiqua" w:hAnsi="Book Antiqua" w:cs="Book Antiqua"/>
          <w:sz w:val="20"/>
          <w:szCs w:val="20"/>
          <w:vertAlign w:val="superscript"/>
        </w:rPr>
        <w:t>[3]</w:t>
      </w:r>
      <w:r>
        <w:rPr>
          <w:rFonts w:ascii="Book Antiqua" w:hAnsi="Book Antiqua" w:cs="Book Antiqua"/>
          <w:sz w:val="20"/>
          <w:szCs w:val="20"/>
        </w:rPr>
        <w:t>. In the present study, 16S rDNA gene sequencing was used to analyze the composition of intestinal microflora in patients with advanced CRA, to investigate the composition of intestinal microflora, and to identify biomarkers of CRA. This knowledge may be helpful for elucidating CRC pathogenesis from a micro-ecological perspective.</w:t>
      </w:r>
    </w:p>
    <w:p>
      <w:pPr>
        <w:pStyle w:val="14"/>
        <w:adjustRightInd w:val="0"/>
        <w:snapToGrid w:val="0"/>
        <w:spacing w:line="360" w:lineRule="auto"/>
        <w:ind w:firstLine="0" w:firstLineChars="0"/>
        <w:rPr>
          <w:rFonts w:ascii="Book Antiqua" w:hAnsi="Book Antiqua" w:cs="Book Antiqua"/>
          <w:b/>
          <w:sz w:val="20"/>
          <w:szCs w:val="20"/>
        </w:rPr>
      </w:pPr>
    </w:p>
    <w:p>
      <w:pPr>
        <w:adjustRightInd w:val="0"/>
        <w:snapToGrid w:val="0"/>
        <w:spacing w:line="360" w:lineRule="auto"/>
        <w:rPr>
          <w:rFonts w:ascii="Book Antiqua" w:hAnsi="Book Antiqua" w:cstheme="minorHAnsi"/>
          <w:b/>
          <w:sz w:val="20"/>
          <w:szCs w:val="20"/>
          <w:u w:val="single"/>
        </w:rPr>
      </w:pPr>
      <w:r>
        <w:rPr>
          <w:rFonts w:ascii="Book Antiqua" w:hAnsi="Book Antiqua" w:cstheme="minorHAnsi"/>
          <w:b/>
          <w:sz w:val="20"/>
          <w:szCs w:val="20"/>
          <w:u w:val="single"/>
        </w:rPr>
        <w:t>MATERIALS AND METHODS</w:t>
      </w:r>
    </w:p>
    <w:p>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Materials</w:t>
      </w:r>
    </w:p>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Sample collection and processing: </w:t>
      </w:r>
      <w:r>
        <w:rPr>
          <w:rFonts w:ascii="Book Antiqua" w:hAnsi="Book Antiqua" w:cs="Book Antiqua"/>
          <w:sz w:val="20"/>
          <w:szCs w:val="20"/>
        </w:rPr>
        <w:t xml:space="preserve">This study was approved by the Ethics Committee of the First People’s Hospital of Guangzhou, and informed consent was obtained from all patients. </w:t>
      </w:r>
      <w:bookmarkStart w:id="14" w:name="OLE_LINK27"/>
      <w:r>
        <w:rPr>
          <w:rFonts w:ascii="Book Antiqua" w:hAnsi="Book Antiqua" w:cs="Book Antiqua"/>
          <w:sz w:val="20"/>
          <w:szCs w:val="20"/>
        </w:rPr>
        <w:t xml:space="preserve">Biopsy samples from </w:t>
      </w:r>
      <w:bookmarkStart w:id="15" w:name="OLE_LINK19"/>
      <w:r>
        <w:rPr>
          <w:rFonts w:ascii="Book Antiqua" w:hAnsi="Book Antiqua" w:cs="Book Antiqua"/>
          <w:sz w:val="20"/>
          <w:szCs w:val="20"/>
        </w:rPr>
        <w:t>advanced</w:t>
      </w:r>
      <w:bookmarkEnd w:id="15"/>
      <w:r>
        <w:rPr>
          <w:rFonts w:ascii="Book Antiqua" w:hAnsi="Book Antiqua" w:cs="Book Antiqua"/>
          <w:sz w:val="20"/>
          <w:szCs w:val="20"/>
        </w:rPr>
        <w:t xml:space="preserve"> CRA and adjacent normal mucosa were obtained from 49 patients who underwent colonoscopies at the First People’s Hospital of Guangzhou between October 2014 and June 2015. Six endoscopically-obtained biopsy samples were taken from each patient, three from </w:t>
      </w:r>
      <w:bookmarkStart w:id="16" w:name="OLE_LINK21"/>
      <w:r>
        <w:rPr>
          <w:rFonts w:ascii="Book Antiqua" w:hAnsi="Book Antiqua" w:cs="Book Antiqua"/>
          <w:sz w:val="20"/>
          <w:szCs w:val="20"/>
          <w:lang w:bidi="en-US"/>
        </w:rPr>
        <w:t>advanced CRA</w:t>
      </w:r>
      <w:bookmarkEnd w:id="16"/>
      <w:r>
        <w:rPr>
          <w:rFonts w:ascii="Book Antiqua" w:hAnsi="Book Antiqua" w:cs="Book Antiqua"/>
          <w:sz w:val="20"/>
          <w:szCs w:val="20"/>
          <w:lang w:bidi="en-US"/>
        </w:rPr>
        <w:t xml:space="preserve"> and three from </w:t>
      </w:r>
      <w:bookmarkStart w:id="17" w:name="OLE_LINK25"/>
      <w:r>
        <w:rPr>
          <w:rFonts w:ascii="Book Antiqua" w:hAnsi="Book Antiqua" w:cs="Book Antiqua"/>
          <w:sz w:val="20"/>
          <w:szCs w:val="20"/>
          <w:lang w:bidi="en-US"/>
        </w:rPr>
        <w:t>adjacent normal mucosa</w:t>
      </w:r>
      <w:bookmarkEnd w:id="17"/>
      <w:r>
        <w:rPr>
          <w:rFonts w:ascii="Book Antiqua" w:hAnsi="Book Antiqua" w:cs="Book Antiqua"/>
          <w:sz w:val="20"/>
          <w:szCs w:val="20"/>
          <w:lang w:bidi="en-US"/>
        </w:rPr>
        <w:t xml:space="preserve"> (5.0 cm beyond the CRA tissue). In addition, </w:t>
      </w:r>
      <w:bookmarkStart w:id="18" w:name="OLE_LINK7"/>
      <w:r>
        <w:rPr>
          <w:rFonts w:ascii="Book Antiqua" w:hAnsi="Book Antiqua" w:cs="Book Antiqua"/>
          <w:sz w:val="20"/>
          <w:szCs w:val="20"/>
          <w:lang w:bidi="en-US"/>
        </w:rPr>
        <w:t xml:space="preserve">normal intestinal samples were collected from 36 </w:t>
      </w:r>
      <w:bookmarkStart w:id="19" w:name="OLE_LINK23"/>
      <w:r>
        <w:rPr>
          <w:rFonts w:ascii="Book Antiqua" w:hAnsi="Book Antiqua" w:cs="Book Antiqua"/>
          <w:sz w:val="20"/>
          <w:szCs w:val="20"/>
          <w:lang w:bidi="en-US"/>
        </w:rPr>
        <w:t>healthy subjects</w:t>
      </w:r>
      <w:bookmarkEnd w:id="19"/>
      <w:r>
        <w:rPr>
          <w:rFonts w:ascii="Book Antiqua" w:hAnsi="Book Antiqua" w:cs="Book Antiqua"/>
          <w:sz w:val="20"/>
          <w:szCs w:val="20"/>
          <w:lang w:bidi="en-US"/>
        </w:rPr>
        <w:t xml:space="preserve"> as controls</w:t>
      </w:r>
      <w:bookmarkEnd w:id="18"/>
      <w:r>
        <w:rPr>
          <w:rFonts w:ascii="Book Antiqua" w:hAnsi="Book Antiqua" w:cs="Book Antiqua"/>
          <w:sz w:val="20"/>
          <w:szCs w:val="20"/>
          <w:lang w:bidi="en-US"/>
        </w:rPr>
        <w:t>. The mean diameter of advanced CRA was ≥ 1 cm, and the advanced CRA were pathologically confirmed to be advanced. T</w:t>
      </w:r>
      <w:bookmarkStart w:id="20" w:name="OLE_LINK20"/>
      <w:r>
        <w:rPr>
          <w:rFonts w:ascii="Book Antiqua" w:hAnsi="Book Antiqua" w:cs="Book Antiqua"/>
          <w:sz w:val="20"/>
          <w:szCs w:val="20"/>
          <w:lang w:bidi="en-US"/>
        </w:rPr>
        <w:t>issue</w:t>
      </w:r>
      <w:bookmarkEnd w:id="20"/>
      <w:r>
        <w:rPr>
          <w:rFonts w:ascii="Book Antiqua" w:hAnsi="Book Antiqua" w:cs="Book Antiqua"/>
          <w:sz w:val="20"/>
          <w:szCs w:val="20"/>
          <w:lang w:bidi="en-US"/>
        </w:rPr>
        <w:t>s were stored in liquid nitrogen immediately after biopsy sampling, then transferred into a refrigerator at -80 degrees Celsius within 4 h.</w:t>
      </w:r>
      <w:r>
        <w:rPr>
          <w:rFonts w:ascii="Book Antiqua" w:hAnsi="Book Antiqua" w:cs="Book Antiqua"/>
          <w:b/>
          <w:bCs/>
          <w:sz w:val="20"/>
          <w:szCs w:val="20"/>
        </w:rPr>
        <w:t xml:space="preserve"> </w:t>
      </w:r>
    </w:p>
    <w:p>
      <w:pPr>
        <w:adjustRightInd w:val="0"/>
        <w:snapToGrid w:val="0"/>
        <w:spacing w:line="360" w:lineRule="auto"/>
        <w:ind w:firstLine="200" w:firstLineChars="100"/>
        <w:rPr>
          <w:rFonts w:ascii="Book Antiqua" w:hAnsi="Book Antiqua" w:cs="Book Antiqua"/>
          <w:bCs/>
          <w:sz w:val="20"/>
          <w:szCs w:val="20"/>
        </w:rPr>
      </w:pPr>
      <w:r>
        <w:rPr>
          <w:rFonts w:ascii="Book Antiqua" w:hAnsi="Book Antiqua" w:cs="Book Antiqua"/>
          <w:bCs/>
          <w:sz w:val="20"/>
          <w:szCs w:val="20"/>
        </w:rPr>
        <w:t>I</w:t>
      </w:r>
      <w:r>
        <w:rPr>
          <w:rFonts w:ascii="Book Antiqua" w:hAnsi="Book Antiqua" w:cs="Book Antiqua"/>
          <w:bCs/>
          <w:sz w:val="20"/>
          <w:szCs w:val="20"/>
          <w:lang w:bidi="en-US"/>
        </w:rPr>
        <w:t>nclusion criteria</w:t>
      </w:r>
      <w:bookmarkEnd w:id="14"/>
      <w:r>
        <w:rPr>
          <w:rFonts w:ascii="Book Antiqua" w:hAnsi="Book Antiqua" w:cs="Book Antiqua"/>
          <w:bCs/>
          <w:sz w:val="20"/>
          <w:szCs w:val="20"/>
          <w:lang w:bidi="en-US"/>
        </w:rPr>
        <w:t>: (1)</w:t>
      </w:r>
      <w:r>
        <w:rPr>
          <w:rFonts w:ascii="Book Antiqua" w:hAnsi="Book Antiqua" w:cs="Book Antiqua"/>
          <w:bCs/>
          <w:sz w:val="20"/>
          <w:szCs w:val="20"/>
        </w:rPr>
        <w:t xml:space="preserve"> </w:t>
      </w:r>
      <w:r>
        <w:rPr>
          <w:rFonts w:ascii="Book Antiqua" w:hAnsi="Book Antiqua" w:cs="Book Antiqua"/>
          <w:sz w:val="20"/>
          <w:szCs w:val="20"/>
          <w:lang w:bidi="en-US"/>
        </w:rPr>
        <w:t>Patients in generally good condition with stable vital signs;</w:t>
      </w:r>
      <w:r>
        <w:rPr>
          <w:rFonts w:ascii="Book Antiqua" w:hAnsi="Book Antiqua" w:cs="Book Antiqua"/>
          <w:bCs/>
          <w:sz w:val="20"/>
          <w:szCs w:val="20"/>
        </w:rPr>
        <w:t xml:space="preserve"> (2) </w:t>
      </w:r>
      <w:r>
        <w:rPr>
          <w:rFonts w:ascii="Book Antiqua" w:hAnsi="Book Antiqua" w:cs="Book Antiqua"/>
          <w:sz w:val="20"/>
          <w:szCs w:val="20"/>
          <w:lang w:bidi="en-US"/>
        </w:rPr>
        <w:t>Age: 18-80 years old, no gender restrictions;</w:t>
      </w:r>
      <w:r>
        <w:rPr>
          <w:rFonts w:ascii="Book Antiqua" w:hAnsi="Book Antiqua" w:cs="Book Antiqua"/>
          <w:bCs/>
          <w:sz w:val="20"/>
          <w:szCs w:val="20"/>
        </w:rPr>
        <w:t xml:space="preserve"> </w:t>
      </w:r>
      <w:r>
        <w:rPr>
          <w:rFonts w:ascii="Book Antiqua" w:hAnsi="Book Antiqua" w:cs="Book Antiqua"/>
          <w:sz w:val="20"/>
          <w:szCs w:val="20"/>
          <w:lang w:bidi="en-US"/>
        </w:rPr>
        <w:t xml:space="preserve">(3) Pathological diagnosis of intestinal adenoma; (4) No special diet (vegetarian food, </w:t>
      </w:r>
      <w:r>
        <w:rPr>
          <w:rFonts w:ascii="Book Antiqua" w:hAnsi="Book Antiqua" w:cs="Book Antiqua"/>
          <w:i/>
          <w:iCs/>
          <w:sz w:val="20"/>
          <w:szCs w:val="20"/>
          <w:lang w:bidi="en-US"/>
        </w:rPr>
        <w:t>etc.</w:t>
      </w:r>
      <w:r>
        <w:rPr>
          <w:rFonts w:ascii="Book Antiqua" w:hAnsi="Book Antiqua" w:cs="Book Antiqua"/>
          <w:sz w:val="20"/>
          <w:szCs w:val="20"/>
          <w:lang w:bidi="en-US"/>
        </w:rPr>
        <w:t>); and (5) No diabetes, history of liver cirrhosis, chronic renal failure, drug chemotherapy or surgical treatment.</w:t>
      </w:r>
    </w:p>
    <w:p>
      <w:pPr>
        <w:adjustRightInd w:val="0"/>
        <w:snapToGrid w:val="0"/>
        <w:spacing w:line="360" w:lineRule="auto"/>
        <w:ind w:firstLine="200" w:firstLineChars="100"/>
        <w:rPr>
          <w:rFonts w:ascii="Book Antiqua" w:hAnsi="Book Antiqua" w:cs="Book Antiqua"/>
          <w:sz w:val="20"/>
          <w:szCs w:val="20"/>
          <w:lang w:bidi="en-US"/>
        </w:rPr>
      </w:pPr>
      <w:r>
        <w:rPr>
          <w:rFonts w:ascii="Book Antiqua" w:hAnsi="Book Antiqua" w:cs="Book Antiqua"/>
          <w:iCs/>
          <w:sz w:val="20"/>
          <w:szCs w:val="20"/>
          <w:lang w:bidi="en-US"/>
        </w:rPr>
        <w:t>Healthy volunteers:</w:t>
      </w:r>
      <w:r>
        <w:rPr>
          <w:rFonts w:ascii="Book Antiqua" w:hAnsi="Book Antiqua" w:cs="Book Antiqua"/>
          <w:sz w:val="20"/>
          <w:szCs w:val="20"/>
          <w:lang w:bidi="en-US"/>
        </w:rPr>
        <w:t xml:space="preserve"> Criteria 3 in the inclusion criteria was changed to: no obvious lesions were found in the colonoscopy.</w:t>
      </w:r>
    </w:p>
    <w:p>
      <w:pPr>
        <w:adjustRightInd w:val="0"/>
        <w:snapToGrid w:val="0"/>
        <w:spacing w:line="360" w:lineRule="auto"/>
        <w:ind w:firstLine="200" w:firstLineChars="100"/>
        <w:rPr>
          <w:rFonts w:ascii="Book Antiqua" w:hAnsi="Book Antiqua" w:cs="Book Antiqua"/>
          <w:bCs/>
          <w:sz w:val="20"/>
          <w:szCs w:val="20"/>
          <w:lang w:bidi="en-US"/>
        </w:rPr>
      </w:pPr>
      <w:r>
        <w:rPr>
          <w:rFonts w:ascii="Book Antiqua" w:hAnsi="Book Antiqua" w:cs="Book Antiqua"/>
          <w:bCs/>
          <w:sz w:val="20"/>
          <w:szCs w:val="20"/>
          <w:lang w:bidi="en-US"/>
        </w:rPr>
        <w:t xml:space="preserve">Exclusion criteria of research objects: </w:t>
      </w:r>
      <w:r>
        <w:rPr>
          <w:rFonts w:ascii="Book Antiqua" w:hAnsi="Book Antiqua" w:cs="Book Antiqua"/>
          <w:sz w:val="20"/>
          <w:szCs w:val="20"/>
          <w:lang w:bidi="en-US"/>
        </w:rPr>
        <w:t>(1) Antibiotics, probiotics or prebiotics (including yogurt) were used within four weeks before sampling;</w:t>
      </w:r>
      <w:r>
        <w:rPr>
          <w:rFonts w:ascii="Book Antiqua" w:hAnsi="Book Antiqua" w:cs="Book Antiqua"/>
          <w:bCs/>
          <w:sz w:val="20"/>
          <w:szCs w:val="20"/>
          <w:lang w:bidi="en-US"/>
        </w:rPr>
        <w:t xml:space="preserve"> </w:t>
      </w:r>
      <w:r>
        <w:rPr>
          <w:rFonts w:ascii="Book Antiqua" w:hAnsi="Book Antiqua" w:cs="Book Antiqua"/>
          <w:sz w:val="20"/>
          <w:szCs w:val="20"/>
          <w:lang w:bidi="en-US"/>
        </w:rPr>
        <w:t>(2) Familial or hereditary colorectal adenoma or tumor, other system or organ tumors;</w:t>
      </w:r>
      <w:r>
        <w:rPr>
          <w:rFonts w:ascii="Book Antiqua" w:hAnsi="Book Antiqua" w:cs="Book Antiqua"/>
          <w:bCs/>
          <w:sz w:val="20"/>
          <w:szCs w:val="20"/>
          <w:lang w:bidi="en-US"/>
        </w:rPr>
        <w:t xml:space="preserve"> and </w:t>
      </w:r>
      <w:r>
        <w:rPr>
          <w:rFonts w:ascii="Book Antiqua" w:hAnsi="Book Antiqua" w:cs="Book Antiqua"/>
          <w:sz w:val="20"/>
          <w:szCs w:val="20"/>
          <w:lang w:bidi="en-US"/>
        </w:rPr>
        <w:t>(3) Recent history of bleeding or taking anticoagulants.</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rPr>
        <w:t xml:space="preserve">Main reagents: </w:t>
      </w:r>
      <w:r>
        <w:rPr>
          <w:rFonts w:ascii="Book Antiqua" w:hAnsi="Book Antiqua" w:cs="Book Antiqua"/>
          <w:sz w:val="20"/>
          <w:szCs w:val="20"/>
        </w:rPr>
        <w:t xml:space="preserve">Tiangen centrifugal columnar genomic DNA extraction kit, primers for polymerase chain reaction (PCR) (Shenzhen BGI Gene Company, Shenzhen, China), and Premixtaq (version 2.0; Takara, Dalian, Liaoning, China) were used in the present study. </w:t>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cs="Book Antiqua"/>
          <w:b/>
          <w:bCs/>
          <w:i/>
          <w:iCs/>
          <w:sz w:val="20"/>
          <w:szCs w:val="20"/>
        </w:rPr>
      </w:pPr>
      <w:r>
        <w:rPr>
          <w:rFonts w:ascii="Book Antiqua" w:hAnsi="Book Antiqua" w:cs="Book Antiqua"/>
          <w:b/>
          <w:bCs/>
          <w:i/>
          <w:iCs/>
          <w:sz w:val="20"/>
          <w:szCs w:val="20"/>
        </w:rPr>
        <w:t>Extraction of total DNA</w:t>
      </w:r>
    </w:p>
    <w:p>
      <w:pPr>
        <w:adjustRightInd w:val="0"/>
        <w:snapToGrid w:val="0"/>
        <w:spacing w:line="360" w:lineRule="auto"/>
        <w:rPr>
          <w:rFonts w:ascii="Book Antiqua" w:hAnsi="Book Antiqua" w:cs="Book Antiqua"/>
          <w:sz w:val="20"/>
          <w:szCs w:val="20"/>
          <w:lang w:bidi="en-US"/>
        </w:rPr>
      </w:pPr>
      <w:r>
        <w:rPr>
          <w:rFonts w:ascii="Book Antiqua" w:hAnsi="Book Antiqua" w:cs="Book Antiqua"/>
          <w:sz w:val="20"/>
          <w:szCs w:val="20"/>
          <w:lang w:bidi="en-US"/>
        </w:rPr>
        <w:t>Mucosal tissues (0.5 cm in diameter) were mixed with 200 μL of GA buffer in a 1.5 cm centrifuge tube, followed by addition of 3 mm beads. After homogenization by vortexing at 5000-6000 rpm (g values are preferred) for 3-4 min, the cell suspension was harvested. Genomic DNA was extracted with a Tiangen centrifugal columnar genomic DNA extraction kit according to the manufacturer’s instructions. DNA concentrations were measured with a microplate reader. After 1% agarose gel electrophoresis for 40 min at 150 v, gene integrity was confirmed. DNA was then stored at -20 degrees Celsius.</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Amplification of the 16S rDNA V4 variable region by PCR</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Common primers with a barcode for the PCR of the 16S rDNA V4 variable region were as follows: 515F, GTGCCAGCMGCCGCGGTAA; 806R, GGACTACHVGGGTWTCTAAT (Shenzhen BGI Gene Company). The 20-μL mixture included 0.5 μL of forward primer, 0.5 μL of reverse primer, 1 μL of template, 10 μL of Premix Taq, and 8 μL of distilled water. PCR was performed under the following conditions: pre-denaturation at 94 degrees Celsius for 2 min; 20 cycles of denaturation at 94 degrees Celsius for 30 s; annealing at 58 degrees Celsius for 30 s; extension at 72 degrees Celsius for 1 min; and a final extension at 72 degrees Celsius for 10 min.</w:t>
      </w:r>
    </w:p>
    <w:p>
      <w:pPr>
        <w:adjustRightInd w:val="0"/>
        <w:snapToGrid w:val="0"/>
        <w:spacing w:line="360" w:lineRule="auto"/>
        <w:rPr>
          <w:rFonts w:ascii="Book Antiqua" w:hAnsi="Book Antiqua" w:cs="Book Antiqua"/>
          <w:b/>
          <w:sz w:val="20"/>
          <w:szCs w:val="20"/>
          <w:lang w:bidi="en-US"/>
        </w:rPr>
      </w:pPr>
    </w:p>
    <w:p>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High-throughput sequencing and bioinformatics analysis</w:t>
      </w:r>
    </w:p>
    <w:p>
      <w:pPr>
        <w:adjustRightInd w:val="0"/>
        <w:snapToGrid w:val="0"/>
        <w:spacing w:line="360" w:lineRule="auto"/>
        <w:rPr>
          <w:rFonts w:ascii="Book Antiqua" w:hAnsi="Book Antiqua" w:cs="Book Antiqua"/>
          <w:sz w:val="20"/>
          <w:szCs w:val="20"/>
          <w:lang w:bidi="en-US"/>
        </w:rPr>
      </w:pPr>
      <w:r>
        <w:rPr>
          <w:rFonts w:ascii="Book Antiqua" w:hAnsi="Book Antiqua" w:cs="Book Antiqua"/>
          <w:sz w:val="20"/>
          <w:szCs w:val="20"/>
          <w:lang w:bidi="en-US"/>
        </w:rPr>
        <w:t>PCR products of the 16S rDNA V4 variable region were subjected to paired-end sequencing in an Illumina platform Miseq PE 250 (Shenzhen BIG Gene Company). Tags of the variable region were obtained with Fast Length Adjustment of Short reads (FLASH; v1.2.11). The connected tags were clustered as an operational taxonomic unit (OTU) with USEARCH (v7.0.1090). Then, the species classification of the OTU was performed by OTU noting. The OTU and its abundance analysis, sample diversity analysis, principal component analysis of samples, differential analysis, and analysis of biomarkers were performed using bioinformatics analysis.</w:t>
      </w:r>
    </w:p>
    <w:p>
      <w:pPr>
        <w:adjustRightInd w:val="0"/>
        <w:snapToGrid w:val="0"/>
        <w:spacing w:line="360" w:lineRule="auto"/>
        <w:rPr>
          <w:rFonts w:ascii="Book Antiqua" w:hAnsi="Book Antiqua" w:cs="Book Antiqua"/>
          <w:b/>
          <w:sz w:val="20"/>
          <w:szCs w:val="20"/>
          <w:lang w:bidi="en-US"/>
        </w:rPr>
      </w:pPr>
    </w:p>
    <w:p>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Statistical analysis</w:t>
      </w:r>
    </w:p>
    <w:p>
      <w:pPr>
        <w:adjustRightInd w:val="0"/>
        <w:snapToGrid w:val="0"/>
        <w:spacing w:line="360" w:lineRule="auto"/>
        <w:rPr>
          <w:rFonts w:ascii="Book Antiqua" w:hAnsi="Book Antiqua" w:cs="Book Antiqua"/>
          <w:bCs/>
          <w:sz w:val="20"/>
          <w:szCs w:val="20"/>
        </w:rPr>
      </w:pPr>
      <w:r>
        <w:rPr>
          <w:rFonts w:ascii="Book Antiqua" w:hAnsi="Book Antiqua" w:cs="Book Antiqua"/>
          <w:bCs/>
          <w:sz w:val="20"/>
          <w:szCs w:val="20"/>
        </w:rPr>
        <w:t xml:space="preserve">Clinical data were analyzed with </w:t>
      </w:r>
      <w:r>
        <w:rPr>
          <w:rFonts w:ascii="Book Antiqua" w:hAnsi="Book Antiqua" w:cs="Book Antiqua"/>
          <w:color w:val="000000"/>
          <w:sz w:val="20"/>
          <w:szCs w:val="20"/>
          <w:lang w:bidi="en-US"/>
        </w:rPr>
        <w:t xml:space="preserve">IBM SPSS 21.0 version. Quantitative data with a normal distribution are expressed as the </w:t>
      </w:r>
      <w:bookmarkStart w:id="21" w:name="_Hlk29395735"/>
      <w:r>
        <w:rPr>
          <w:rFonts w:ascii="Book Antiqua" w:hAnsi="Book Antiqua" w:cs="Book Antiqua"/>
          <w:color w:val="000000"/>
          <w:sz w:val="20"/>
          <w:szCs w:val="20"/>
          <w:lang w:bidi="en-US"/>
        </w:rPr>
        <w:t xml:space="preserve">mean </w:t>
      </w:r>
      <w:r>
        <w:rPr>
          <w:rFonts w:ascii="Book Antiqua" w:hAnsi="Book Antiqua" w:cs="Book Antiqua"/>
          <w:sz w:val="20"/>
          <w:szCs w:val="20"/>
        </w:rPr>
        <w:t xml:space="preserve">± </w:t>
      </w:r>
      <w:bookmarkEnd w:id="21"/>
      <w:r>
        <w:rPr>
          <w:rFonts w:ascii="Book Antiqua" w:hAnsi="Book Antiqua" w:cs="Book Antiqua"/>
          <w:sz w:val="20"/>
          <w:szCs w:val="20"/>
        </w:rPr>
        <w:t xml:space="preserve">SD. Data with a normal distribution were compared with an independent </w:t>
      </w:r>
      <w:r>
        <w:rPr>
          <w:rFonts w:ascii="Book Antiqua" w:hAnsi="Book Antiqua" w:cs="Book Antiqua"/>
          <w:i/>
          <w:iCs/>
          <w:sz w:val="20"/>
          <w:szCs w:val="20"/>
        </w:rPr>
        <w:t>t</w:t>
      </w:r>
      <w:r>
        <w:rPr>
          <w:rFonts w:ascii="Book Antiqua" w:hAnsi="Book Antiqua" w:cs="Book Antiqua"/>
          <w:sz w:val="20"/>
          <w:szCs w:val="20"/>
        </w:rPr>
        <w:t xml:space="preserve">-test. Categorical data were compared with a </w:t>
      </w:r>
      <w:r>
        <w:rPr>
          <w:rFonts w:ascii="Book Antiqua" w:hAnsi="Book Antiqua" w:cs="Book Antiqua"/>
          <w:i/>
          <w:iCs/>
          <w:sz w:val="20"/>
          <w:szCs w:val="20"/>
        </w:rPr>
        <w:t>χ</w:t>
      </w:r>
      <w:r>
        <w:rPr>
          <w:rFonts w:ascii="Book Antiqua" w:hAnsi="Book Antiqua" w:cs="Book Antiqua"/>
          <w:sz w:val="20"/>
          <w:szCs w:val="20"/>
          <w:vertAlign w:val="superscript"/>
        </w:rPr>
        <w:t>2</w:t>
      </w:r>
      <w:r>
        <w:rPr>
          <w:rFonts w:ascii="Book Antiqua" w:hAnsi="Book Antiqua" w:cs="Book Antiqua"/>
          <w:sz w:val="20"/>
          <w:szCs w:val="20"/>
        </w:rPr>
        <w:t xml:space="preserve"> test. </w:t>
      </w:r>
      <w:r>
        <w:rPr>
          <w:rFonts w:ascii="Book Antiqua" w:hAnsi="Book Antiqua" w:cs="Book Antiqua"/>
          <w:i/>
          <w:iCs/>
          <w:sz w:val="20"/>
          <w:szCs w:val="20"/>
        </w:rPr>
        <w:t xml:space="preserve">P &lt; </w:t>
      </w:r>
      <w:r>
        <w:rPr>
          <w:rFonts w:ascii="Book Antiqua" w:hAnsi="Book Antiqua" w:cs="Book Antiqua"/>
          <w:sz w:val="20"/>
          <w:szCs w:val="20"/>
        </w:rPr>
        <w:t>0.05 was considered statistically significant.</w:t>
      </w:r>
    </w:p>
    <w:p>
      <w:pPr>
        <w:adjustRightInd w:val="0"/>
        <w:snapToGrid w:val="0"/>
        <w:spacing w:line="360" w:lineRule="auto"/>
        <w:rPr>
          <w:rFonts w:ascii="Book Antiqua" w:hAnsi="Book Antiqua" w:cs="Book Antiqua"/>
          <w:b/>
          <w:sz w:val="20"/>
          <w:szCs w:val="20"/>
          <w:u w:val="single"/>
          <w:lang w:bidi="en-US"/>
        </w:rPr>
      </w:pPr>
    </w:p>
    <w:p>
      <w:pPr>
        <w:adjustRightInd w:val="0"/>
        <w:snapToGrid w:val="0"/>
        <w:spacing w:line="360" w:lineRule="auto"/>
        <w:rPr>
          <w:rFonts w:ascii="Book Antiqua" w:hAnsi="Book Antiqua" w:cs="Book Antiqua"/>
          <w:b/>
          <w:caps/>
          <w:sz w:val="20"/>
          <w:szCs w:val="20"/>
          <w:u w:val="single"/>
          <w:lang w:bidi="en-US"/>
        </w:rPr>
      </w:pPr>
      <w:r>
        <w:rPr>
          <w:rFonts w:ascii="Book Antiqua" w:hAnsi="Book Antiqua" w:cs="Book Antiqua"/>
          <w:b/>
          <w:caps/>
          <w:sz w:val="20"/>
          <w:szCs w:val="20"/>
          <w:u w:val="single"/>
          <w:lang w:bidi="en-US"/>
        </w:rPr>
        <w:t>Results</w:t>
      </w:r>
    </w:p>
    <w:p>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Clinical characteristics at baseline</w:t>
      </w:r>
    </w:p>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Clinical characteristics were compared between controls and patients with CRA. There were no significant differences in age, gender, body mass index, or site of CRA between the two groups (</w:t>
      </w:r>
      <w:r>
        <w:rPr>
          <w:rFonts w:ascii="Book Antiqua" w:hAnsi="Book Antiqua" w:cs="Book Antiqua"/>
          <w:i/>
          <w:iCs/>
          <w:sz w:val="20"/>
          <w:szCs w:val="20"/>
        </w:rPr>
        <w:t>P</w:t>
      </w:r>
      <w:r>
        <w:rPr>
          <w:rFonts w:ascii="Book Antiqua" w:hAnsi="Book Antiqua" w:cs="Book Antiqua"/>
          <w:sz w:val="20"/>
          <w:szCs w:val="20"/>
        </w:rPr>
        <w:t xml:space="preserve"> &gt; 0.05) (Table 1).</w:t>
      </w:r>
    </w:p>
    <w:p>
      <w:pPr>
        <w:adjustRightInd w:val="0"/>
        <w:snapToGrid w:val="0"/>
        <w:spacing w:line="360" w:lineRule="auto"/>
        <w:rPr>
          <w:rFonts w:ascii="Book Antiqua" w:hAnsi="Book Antiqua" w:cs="Book Antiqua"/>
          <w:b/>
          <w:sz w:val="20"/>
          <w:szCs w:val="20"/>
          <w:lang w:bidi="en-US"/>
        </w:rPr>
      </w:pPr>
    </w:p>
    <w:p>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Bioinformatics analysis</w:t>
      </w:r>
    </w:p>
    <w:p>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OTU and its abundance:</w:t>
      </w:r>
      <w:r>
        <w:rPr>
          <w:rFonts w:ascii="Book Antiqua" w:hAnsi="Book Antiqua" w:eastAsia="Segoe UI Emoji" w:cs="Segoe UI Emoji"/>
          <w:sz w:val="20"/>
          <w:szCs w:val="20"/>
        </w:rPr>
        <w:t xml:space="preserve"> </w:t>
      </w:r>
      <w:r>
        <w:rPr>
          <w:rFonts w:ascii="Book Antiqua" w:hAnsi="Book Antiqua" w:eastAsia="宋体" w:cs="宋体"/>
          <w:sz w:val="20"/>
          <w:szCs w:val="20"/>
        </w:rPr>
        <w:t>(1)</w:t>
      </w:r>
      <w:r>
        <w:rPr>
          <w:rFonts w:ascii="Book Antiqua" w:hAnsi="Book Antiqua" w:cs="Book Antiqua"/>
          <w:b/>
          <w:bCs/>
          <w:sz w:val="20"/>
          <w:szCs w:val="20"/>
        </w:rPr>
        <w:t xml:space="preserve"> </w:t>
      </w:r>
      <w:r>
        <w:rPr>
          <w:rFonts w:ascii="Book Antiqua" w:hAnsi="Book Antiqua" w:cs="Book Antiqua"/>
          <w:bCs/>
          <w:iCs/>
          <w:sz w:val="20"/>
          <w:szCs w:val="20"/>
        </w:rPr>
        <w:t xml:space="preserve">Group 1: Normal mucosa; (2) Group 2: CRA mucosa; and (3) Group 3: Adjacent normal mucosa of CRA specimens </w:t>
      </w:r>
      <w:r>
        <w:rPr>
          <w:rFonts w:ascii="Book Antiqua" w:hAnsi="Book Antiqua" w:cs="Book Antiqua"/>
          <w:sz w:val="20"/>
          <w:szCs w:val="20"/>
        </w:rPr>
        <w:t>(Figure 1)</w:t>
      </w:r>
      <w:r>
        <w:rPr>
          <w:rFonts w:ascii="Book Antiqua" w:hAnsi="Book Antiqua" w:cs="Book Antiqua"/>
          <w:iCs/>
          <w:sz w:val="20"/>
          <w:szCs w:val="20"/>
        </w:rPr>
        <w:t>.</w:t>
      </w:r>
    </w:p>
    <w:p>
      <w:pPr>
        <w:adjustRightInd w:val="0"/>
        <w:snapToGrid w:val="0"/>
        <w:spacing w:line="360" w:lineRule="auto"/>
        <w:rPr>
          <w:rFonts w:ascii="Book Antiqua" w:hAnsi="Book Antiqua" w:cs="Book Antiqua"/>
          <w:bCs/>
          <w:i/>
          <w:sz w:val="20"/>
          <w:szCs w:val="20"/>
        </w:rPr>
      </w:pPr>
    </w:p>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Analysis of </w:t>
      </w:r>
      <w:r>
        <w:rPr>
          <w:rFonts w:ascii="Book Antiqua" w:hAnsi="Book Antiqua"/>
          <w:b/>
          <w:bCs/>
          <w:sz w:val="20"/>
          <w:szCs w:val="20"/>
        </w:rPr>
        <w:t>alpha</w:t>
      </w:r>
      <w:r>
        <w:rPr>
          <w:rFonts w:ascii="Book Antiqua" w:hAnsi="Book Antiqua" w:cs="Book Antiqua"/>
          <w:b/>
          <w:bCs/>
          <w:sz w:val="20"/>
          <w:szCs w:val="20"/>
        </w:rPr>
        <w:t xml:space="preserve"> diversity: </w:t>
      </w:r>
      <w:r>
        <w:rPr>
          <w:rFonts w:ascii="Book Antiqua" w:hAnsi="Book Antiqua" w:cs="Book Antiqua"/>
          <w:bCs/>
          <w:sz w:val="20"/>
          <w:szCs w:val="20"/>
        </w:rPr>
        <w:t xml:space="preserve">Species diversity was compared among </w:t>
      </w:r>
      <w:bookmarkStart w:id="22" w:name="OLE_LINK26"/>
      <w:r>
        <w:rPr>
          <w:rFonts w:ascii="Book Antiqua" w:hAnsi="Book Antiqua" w:cs="Book Antiqua"/>
          <w:bCs/>
          <w:sz w:val="20"/>
          <w:szCs w:val="20"/>
        </w:rPr>
        <w:t xml:space="preserve">normal mucosa (group 1), CRA mucosa (group 2), and adjacent normal mucosa of CRA </w:t>
      </w:r>
      <w:bookmarkStart w:id="23" w:name="OLE_LINK24"/>
      <w:r>
        <w:rPr>
          <w:rFonts w:ascii="Book Antiqua" w:hAnsi="Book Antiqua" w:cs="Book Antiqua"/>
          <w:bCs/>
          <w:sz w:val="20"/>
          <w:szCs w:val="20"/>
        </w:rPr>
        <w:t>specimens</w:t>
      </w:r>
      <w:bookmarkEnd w:id="23"/>
      <w:r>
        <w:rPr>
          <w:rFonts w:ascii="Book Antiqua" w:hAnsi="Book Antiqua" w:cs="Book Antiqua"/>
          <w:bCs/>
          <w:sz w:val="20"/>
          <w:szCs w:val="20"/>
        </w:rPr>
        <w:t xml:space="preserve"> (group 3)</w:t>
      </w:r>
      <w:bookmarkEnd w:id="22"/>
      <w:r>
        <w:rPr>
          <w:rFonts w:ascii="Book Antiqua" w:hAnsi="Book Antiqua" w:cs="Book Antiqua"/>
          <w:bCs/>
          <w:sz w:val="20"/>
          <w:szCs w:val="20"/>
        </w:rPr>
        <w:t>. There were significant differences in the observed OTU, Chao, the index used to estimate the number of OTU in the community (ACE), Shannon index, and Simpson diversity index among these tissues (</w:t>
      </w:r>
      <w:r>
        <w:rPr>
          <w:rFonts w:ascii="Book Antiqua" w:hAnsi="Book Antiqua" w:cs="Book Antiqua"/>
          <w:bCs/>
          <w:i/>
          <w:iCs/>
          <w:sz w:val="20"/>
          <w:szCs w:val="20"/>
        </w:rPr>
        <w:t>P</w:t>
      </w:r>
      <w:r>
        <w:rPr>
          <w:rFonts w:ascii="Book Antiqua" w:hAnsi="Book Antiqua" w:cs="Book Antiqua"/>
          <w:bCs/>
          <w:sz w:val="20"/>
          <w:szCs w:val="20"/>
        </w:rPr>
        <w:t xml:space="preserve"> &lt; 0.05). The OTU in the CRA group was significantly reduced compared with the control group, but the OTU was comparable between adjacent normal mucosa and normal mucosa specimens. This finding suggests that the species diversity of microflora was reduced in patients with CRA, and that species diversity was similar between CRA patients and controls (</w:t>
      </w:r>
      <w:bookmarkStart w:id="24" w:name="OLE_LINK1"/>
      <w:bookmarkStart w:id="25" w:name="OLE_LINK2"/>
      <w:r>
        <w:rPr>
          <w:rFonts w:ascii="Book Antiqua" w:hAnsi="Book Antiqua" w:cs="Book Antiqua"/>
          <w:bCs/>
          <w:sz w:val="20"/>
          <w:szCs w:val="20"/>
        </w:rPr>
        <w:t xml:space="preserve">Table 2 and Figure </w:t>
      </w:r>
      <w:bookmarkEnd w:id="24"/>
      <w:bookmarkEnd w:id="25"/>
      <w:r>
        <w:rPr>
          <w:rFonts w:ascii="Book Antiqua" w:hAnsi="Book Antiqua" w:cs="Book Antiqua"/>
          <w:bCs/>
          <w:sz w:val="20"/>
          <w:szCs w:val="20"/>
        </w:rPr>
        <w:t>2).</w:t>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Analysis of </w:t>
      </w:r>
      <w:r>
        <w:rPr>
          <w:rFonts w:ascii="Book Antiqua" w:hAnsi="Book Antiqua"/>
          <w:b/>
          <w:bCs/>
          <w:sz w:val="20"/>
          <w:szCs w:val="20"/>
        </w:rPr>
        <w:t>beta</w:t>
      </w:r>
      <w:r>
        <w:rPr>
          <w:rFonts w:ascii="Book Antiqua" w:hAnsi="Book Antiqua"/>
          <w:sz w:val="20"/>
          <w:szCs w:val="20"/>
        </w:rPr>
        <w:t xml:space="preserve"> </w:t>
      </w:r>
      <w:r>
        <w:rPr>
          <w:rFonts w:ascii="Book Antiqua" w:hAnsi="Book Antiqua" w:cs="Book Antiqua"/>
          <w:b/>
          <w:bCs/>
          <w:sz w:val="20"/>
          <w:szCs w:val="20"/>
        </w:rPr>
        <w:t xml:space="preserve">diversity: </w:t>
      </w:r>
      <w:r>
        <w:rPr>
          <w:rFonts w:ascii="Book Antiqua" w:hAnsi="Book Antiqua" w:cs="Book Antiqua"/>
          <w:bCs/>
          <w:sz w:val="20"/>
          <w:szCs w:val="20"/>
        </w:rPr>
        <w:t>Beta diversity reflects differences in species diversity among samples. As shown in the principal coordinates analysis figure, the distance between samples was short and aggregated in the CRA group, but the distance was relatively long and displayed a diffuse distribution (Figure 3). In the heat map figure, all samples were classified as 1 of 2 types, and 90% of the polyps were classified as the low abundance group, but samples were evenly distributed in the control group (Figure 4). Thus, the species have small differences, high similarities, and favorable clustering.</w:t>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Species noting, principal component analysis, and differential analysis:</w:t>
      </w:r>
      <w:r>
        <w:rPr>
          <w:rFonts w:ascii="Book Antiqua" w:hAnsi="Book Antiqua" w:cs="Book Antiqua"/>
          <w:sz w:val="20"/>
          <w:szCs w:val="20"/>
        </w:rPr>
        <w:t xml:space="preserve"> The </w:t>
      </w:r>
      <w:r>
        <w:rPr>
          <w:rFonts w:ascii="Book Antiqua" w:hAnsi="Book Antiqua" w:cs="Book Antiqua"/>
          <w:bCs/>
          <w:sz w:val="20"/>
          <w:szCs w:val="20"/>
        </w:rPr>
        <w:t xml:space="preserve">OTU was compared with the database, and species were noted at the phylum, class, order, family, genus, and species levels for delineation of the profiling histogram. In this study, analysis was mainly performed at the phylum, order, genus, and species levels. Results showed that the species were mainly distributed into the following seven types of phyla: </w:t>
      </w:r>
      <w:r>
        <w:rPr>
          <w:rFonts w:ascii="Book Antiqua" w:hAnsi="Book Antiqua" w:cs="Book Antiqua"/>
          <w:bCs/>
          <w:i/>
          <w:iCs/>
          <w:sz w:val="20"/>
          <w:szCs w:val="20"/>
        </w:rPr>
        <w:t>Proteobacteria</w:t>
      </w:r>
      <w:r>
        <w:rPr>
          <w:rFonts w:ascii="Book Antiqua" w:hAnsi="Book Antiqua" w:cs="Book Antiqua"/>
          <w:bCs/>
          <w:sz w:val="20"/>
          <w:szCs w:val="20"/>
        </w:rPr>
        <w:t>,</w:t>
      </w:r>
      <w:r>
        <w:rPr>
          <w:rFonts w:ascii="Book Antiqua" w:hAnsi="Book Antiqua" w:cs="Book Antiqua"/>
          <w:bCs/>
          <w:i/>
          <w:iCs/>
          <w:sz w:val="20"/>
          <w:szCs w:val="20"/>
        </w:rPr>
        <w:t xml:space="preserve"> Bacteroidetes</w:t>
      </w:r>
      <w:r>
        <w:rPr>
          <w:rFonts w:ascii="Book Antiqua" w:hAnsi="Book Antiqua" w:cs="Book Antiqua"/>
          <w:bCs/>
          <w:sz w:val="20"/>
          <w:szCs w:val="20"/>
        </w:rPr>
        <w:t>,</w:t>
      </w:r>
      <w:r>
        <w:rPr>
          <w:rFonts w:ascii="Book Antiqua" w:hAnsi="Book Antiqua" w:cs="Book Antiqua"/>
          <w:bCs/>
          <w:i/>
          <w:iCs/>
          <w:sz w:val="20"/>
          <w:szCs w:val="20"/>
        </w:rPr>
        <w:t xml:space="preserve"> Firmicutes</w:t>
      </w:r>
      <w:r>
        <w:rPr>
          <w:rFonts w:ascii="Book Antiqua" w:hAnsi="Book Antiqua" w:cs="Book Antiqua"/>
          <w:bCs/>
          <w:sz w:val="20"/>
          <w:szCs w:val="20"/>
        </w:rPr>
        <w:t>,</w:t>
      </w:r>
      <w:r>
        <w:rPr>
          <w:rFonts w:ascii="Book Antiqua" w:hAnsi="Book Antiqua" w:cs="Book Antiqua"/>
          <w:bCs/>
          <w:i/>
          <w:iCs/>
          <w:sz w:val="20"/>
          <w:szCs w:val="20"/>
        </w:rPr>
        <w:t xml:space="preserve"> Fusobacteria</w:t>
      </w:r>
      <w:r>
        <w:rPr>
          <w:rFonts w:ascii="Book Antiqua" w:hAnsi="Book Antiqua" w:cs="Book Antiqua"/>
          <w:bCs/>
          <w:sz w:val="20"/>
          <w:szCs w:val="20"/>
        </w:rPr>
        <w:t>,</w:t>
      </w:r>
      <w:r>
        <w:rPr>
          <w:rFonts w:ascii="Book Antiqua" w:hAnsi="Book Antiqua" w:cs="Book Antiqua"/>
          <w:bCs/>
          <w:i/>
          <w:iCs/>
          <w:sz w:val="20"/>
          <w:szCs w:val="20"/>
        </w:rPr>
        <w:t xml:space="preserve"> Actinobacteria</w:t>
      </w:r>
      <w:r>
        <w:rPr>
          <w:rFonts w:ascii="Book Antiqua" w:hAnsi="Book Antiqua" w:cs="Book Antiqua"/>
          <w:bCs/>
          <w:sz w:val="20"/>
          <w:szCs w:val="20"/>
        </w:rPr>
        <w:t>,</w:t>
      </w:r>
      <w:r>
        <w:rPr>
          <w:rFonts w:ascii="Book Antiqua" w:hAnsi="Book Antiqua" w:cs="Book Antiqua"/>
          <w:bCs/>
          <w:i/>
          <w:iCs/>
          <w:sz w:val="20"/>
          <w:szCs w:val="20"/>
        </w:rPr>
        <w:t xml:space="preserve"> Spirochaetes</w:t>
      </w:r>
      <w:r>
        <w:rPr>
          <w:rFonts w:ascii="Book Antiqua" w:hAnsi="Book Antiqua" w:cs="Book Antiqua"/>
          <w:bCs/>
          <w:sz w:val="20"/>
          <w:szCs w:val="20"/>
        </w:rPr>
        <w:t>,</w:t>
      </w:r>
      <w:r>
        <w:rPr>
          <w:rFonts w:ascii="Book Antiqua" w:hAnsi="Book Antiqua" w:cs="Book Antiqua"/>
          <w:bCs/>
          <w:i/>
          <w:iCs/>
          <w:sz w:val="20"/>
          <w:szCs w:val="20"/>
        </w:rPr>
        <w:t xml:space="preserve"> </w:t>
      </w:r>
      <w:r>
        <w:rPr>
          <w:rFonts w:ascii="Book Antiqua" w:hAnsi="Book Antiqua" w:cs="Book Antiqua"/>
          <w:bCs/>
          <w:sz w:val="20"/>
          <w:szCs w:val="20"/>
        </w:rPr>
        <w:t xml:space="preserve">and </w:t>
      </w:r>
      <w:r>
        <w:rPr>
          <w:rFonts w:ascii="Book Antiqua" w:hAnsi="Book Antiqua" w:cs="Book Antiqua"/>
          <w:bCs/>
          <w:i/>
          <w:iCs/>
          <w:sz w:val="20"/>
          <w:szCs w:val="20"/>
        </w:rPr>
        <w:t>Cyanobacteria.</w:t>
      </w:r>
      <w:r>
        <w:rPr>
          <w:rFonts w:ascii="Book Antiqua" w:hAnsi="Book Antiqua" w:cs="Book Antiqua"/>
          <w:bCs/>
          <w:sz w:val="20"/>
          <w:szCs w:val="20"/>
        </w:rPr>
        <w:t xml:space="preserve"> The principal component distribution is shown in Figure 5. When compared with normal mucosa, the abundance of</w:t>
      </w:r>
      <w:r>
        <w:rPr>
          <w:rFonts w:ascii="Book Antiqua" w:hAnsi="Book Antiqua" w:cs="Book Antiqua"/>
          <w:bCs/>
          <w:i/>
          <w:sz w:val="20"/>
          <w:szCs w:val="20"/>
        </w:rPr>
        <w:t xml:space="preserve"> </w:t>
      </w:r>
      <w:r>
        <w:rPr>
          <w:rFonts w:ascii="Book Antiqua" w:hAnsi="Book Antiqua" w:cs="Book Antiqua"/>
          <w:bCs/>
          <w:i/>
          <w:iCs/>
          <w:sz w:val="20"/>
          <w:szCs w:val="20"/>
        </w:rPr>
        <w:t>Proteobacteria</w:t>
      </w:r>
      <w:r>
        <w:rPr>
          <w:rFonts w:ascii="Book Antiqua" w:hAnsi="Book Antiqua" w:cs="Book Antiqua"/>
          <w:bCs/>
          <w:sz w:val="20"/>
          <w:szCs w:val="20"/>
        </w:rPr>
        <w:t xml:space="preserve"> increased from 66.0% to 77.4%, the abundance of </w:t>
      </w:r>
      <w:r>
        <w:rPr>
          <w:rFonts w:ascii="Book Antiqua" w:hAnsi="Book Antiqua" w:cs="Book Antiqua"/>
          <w:bCs/>
          <w:i/>
          <w:iCs/>
          <w:sz w:val="20"/>
          <w:szCs w:val="20"/>
        </w:rPr>
        <w:t>Firmicutes</w:t>
      </w:r>
      <w:r>
        <w:rPr>
          <w:rFonts w:ascii="Book Antiqua" w:hAnsi="Book Antiqua" w:cs="Book Antiqua"/>
          <w:bCs/>
          <w:sz w:val="20"/>
          <w:szCs w:val="20"/>
        </w:rPr>
        <w:t xml:space="preserve"> was reduced from 14.8% to 7.8%, and the abundance of </w:t>
      </w:r>
      <w:r>
        <w:rPr>
          <w:rFonts w:ascii="Book Antiqua" w:hAnsi="Book Antiqua" w:cs="Book Antiqua"/>
          <w:bCs/>
          <w:i/>
          <w:iCs/>
          <w:sz w:val="20"/>
          <w:szCs w:val="20"/>
        </w:rPr>
        <w:t>Bacteroidetes</w:t>
      </w:r>
      <w:r>
        <w:rPr>
          <w:rFonts w:ascii="Book Antiqua" w:hAnsi="Book Antiqua" w:cs="Book Antiqua"/>
          <w:bCs/>
          <w:sz w:val="20"/>
          <w:szCs w:val="20"/>
        </w:rPr>
        <w:t xml:space="preserve"> was reduced from 13.7% to 7.0% in CRA mucosa (</w:t>
      </w:r>
      <w:r>
        <w:rPr>
          <w:rFonts w:ascii="Book Antiqua" w:hAnsi="Book Antiqua" w:cs="Book Antiqua"/>
          <w:bCs/>
          <w:i/>
          <w:iCs/>
          <w:sz w:val="20"/>
          <w:szCs w:val="20"/>
        </w:rPr>
        <w:t>P</w:t>
      </w:r>
      <w:r>
        <w:rPr>
          <w:rFonts w:ascii="Book Antiqua" w:hAnsi="Book Antiqua" w:cs="Book Antiqua"/>
          <w:bCs/>
          <w:sz w:val="20"/>
          <w:szCs w:val="20"/>
        </w:rPr>
        <w:t xml:space="preserve"> &lt; 0.05).</w:t>
      </w:r>
    </w:p>
    <w:p>
      <w:pPr>
        <w:adjustRightInd w:val="0"/>
        <w:snapToGrid w:val="0"/>
        <w:spacing w:line="360" w:lineRule="auto"/>
        <w:ind w:firstLine="200" w:firstLineChars="100"/>
        <w:rPr>
          <w:rFonts w:ascii="Book Antiqua" w:hAnsi="Book Antiqua" w:cs="Book Antiqua"/>
          <w:bCs/>
          <w:sz w:val="20"/>
          <w:szCs w:val="20"/>
        </w:rPr>
      </w:pPr>
      <w:r>
        <w:rPr>
          <w:rFonts w:ascii="Book Antiqua" w:hAnsi="Book Antiqua" w:cs="Book Antiqua"/>
          <w:bCs/>
          <w:sz w:val="20"/>
          <w:szCs w:val="20"/>
        </w:rPr>
        <w:t xml:space="preserve">At the order level, microflora in the advanced CRA group mainly included </w:t>
      </w:r>
      <w:r>
        <w:rPr>
          <w:rFonts w:ascii="Book Antiqua" w:hAnsi="Book Antiqua" w:cs="Book Antiqua"/>
          <w:bCs/>
          <w:i/>
          <w:iCs/>
          <w:sz w:val="20"/>
          <w:szCs w:val="20"/>
        </w:rPr>
        <w:t>Oceanospirillales</w:t>
      </w:r>
      <w:r>
        <w:rPr>
          <w:rFonts w:ascii="Book Antiqua" w:hAnsi="Book Antiqua" w:cs="Book Antiqua"/>
          <w:bCs/>
          <w:sz w:val="20"/>
          <w:szCs w:val="20"/>
        </w:rPr>
        <w:t xml:space="preserve"> (40%) and </w:t>
      </w:r>
      <w:r>
        <w:rPr>
          <w:rFonts w:ascii="Book Antiqua" w:hAnsi="Book Antiqua" w:cs="Book Antiqua"/>
          <w:bCs/>
          <w:i/>
          <w:iCs/>
          <w:sz w:val="20"/>
          <w:szCs w:val="20"/>
        </w:rPr>
        <w:t>Alteromonadales</w:t>
      </w:r>
      <w:r>
        <w:rPr>
          <w:rFonts w:ascii="Book Antiqua" w:hAnsi="Book Antiqua" w:cs="Book Antiqua"/>
          <w:bCs/>
          <w:sz w:val="20"/>
          <w:szCs w:val="20"/>
        </w:rPr>
        <w:t xml:space="preserve"> (13%) of gamma </w:t>
      </w:r>
      <w:r>
        <w:rPr>
          <w:rFonts w:ascii="Book Antiqua" w:hAnsi="Book Antiqua" w:cs="Book Antiqua"/>
          <w:bCs/>
          <w:i/>
          <w:sz w:val="20"/>
          <w:szCs w:val="20"/>
        </w:rPr>
        <w:t>Proteobacteria</w:t>
      </w:r>
      <w:r>
        <w:rPr>
          <w:rFonts w:ascii="Book Antiqua" w:hAnsi="Book Antiqua" w:cs="Book Antiqua"/>
          <w:bCs/>
          <w:sz w:val="20"/>
          <w:szCs w:val="20"/>
        </w:rPr>
        <w:t xml:space="preserve"> of </w:t>
      </w:r>
      <w:r>
        <w:rPr>
          <w:rFonts w:ascii="Book Antiqua" w:hAnsi="Book Antiqua" w:cs="Book Antiqua"/>
          <w:bCs/>
          <w:i/>
          <w:iCs/>
          <w:sz w:val="20"/>
          <w:szCs w:val="20"/>
        </w:rPr>
        <w:t>Proteobacteria</w:t>
      </w:r>
      <w:r>
        <w:rPr>
          <w:rFonts w:ascii="Book Antiqua" w:hAnsi="Book Antiqua" w:cs="Book Antiqua"/>
          <w:bCs/>
          <w:sz w:val="20"/>
          <w:szCs w:val="20"/>
        </w:rPr>
        <w:t>, and abundance increased significantly in the CRA group compared to the control group (</w:t>
      </w:r>
      <w:r>
        <w:rPr>
          <w:rFonts w:ascii="Book Antiqua" w:hAnsi="Book Antiqua" w:cs="Book Antiqua"/>
          <w:bCs/>
          <w:i/>
          <w:iCs/>
          <w:sz w:val="20"/>
          <w:szCs w:val="20"/>
        </w:rPr>
        <w:t>P</w:t>
      </w:r>
      <w:r>
        <w:rPr>
          <w:rFonts w:ascii="Book Antiqua" w:hAnsi="Book Antiqua" w:cs="Book Antiqua"/>
          <w:bCs/>
          <w:sz w:val="20"/>
          <w:szCs w:val="20"/>
        </w:rPr>
        <w:t xml:space="preserve"> &lt; 0.05). In the advanced CRA group, the abundances of </w:t>
      </w:r>
      <w:r>
        <w:rPr>
          <w:rFonts w:ascii="Book Antiqua" w:hAnsi="Book Antiqua" w:cs="Book Antiqua"/>
          <w:bCs/>
          <w:i/>
          <w:iCs/>
          <w:sz w:val="20"/>
          <w:szCs w:val="20"/>
        </w:rPr>
        <w:t>Clostridiales</w:t>
      </w:r>
      <w:r>
        <w:rPr>
          <w:rFonts w:ascii="Book Antiqua" w:hAnsi="Book Antiqua" w:cs="Book Antiqua"/>
          <w:bCs/>
          <w:sz w:val="20"/>
          <w:szCs w:val="20"/>
        </w:rPr>
        <w:t xml:space="preserve"> of </w:t>
      </w:r>
      <w:r>
        <w:rPr>
          <w:rFonts w:ascii="Book Antiqua" w:hAnsi="Book Antiqua" w:cs="Book Antiqua"/>
          <w:bCs/>
          <w:i/>
          <w:iCs/>
          <w:sz w:val="20"/>
          <w:szCs w:val="20"/>
        </w:rPr>
        <w:t>Firmicutes</w:t>
      </w:r>
      <w:r>
        <w:rPr>
          <w:rFonts w:ascii="Book Antiqua" w:hAnsi="Book Antiqua" w:cs="Book Antiqua"/>
          <w:bCs/>
          <w:sz w:val="20"/>
          <w:szCs w:val="20"/>
        </w:rPr>
        <w:t xml:space="preserve"> (5.7%) and </w:t>
      </w:r>
      <w:r>
        <w:rPr>
          <w:rFonts w:ascii="Book Antiqua" w:hAnsi="Book Antiqua" w:cs="Book Antiqua"/>
          <w:bCs/>
          <w:i/>
          <w:iCs/>
          <w:sz w:val="20"/>
          <w:szCs w:val="20"/>
        </w:rPr>
        <w:t>Bacteroidales</w:t>
      </w:r>
      <w:r>
        <w:rPr>
          <w:rFonts w:ascii="Book Antiqua" w:hAnsi="Book Antiqua" w:cs="Book Antiqua"/>
          <w:bCs/>
          <w:sz w:val="20"/>
          <w:szCs w:val="20"/>
        </w:rPr>
        <w:t xml:space="preserve"> of </w:t>
      </w:r>
      <w:r>
        <w:rPr>
          <w:rFonts w:ascii="Book Antiqua" w:hAnsi="Book Antiqua" w:cs="Book Antiqua"/>
          <w:bCs/>
          <w:i/>
          <w:iCs/>
          <w:sz w:val="20"/>
          <w:szCs w:val="20"/>
        </w:rPr>
        <w:t>Bacteroidetes</w:t>
      </w:r>
      <w:r>
        <w:rPr>
          <w:rFonts w:ascii="Book Antiqua" w:hAnsi="Book Antiqua" w:cs="Book Antiqua"/>
          <w:bCs/>
          <w:sz w:val="20"/>
          <w:szCs w:val="20"/>
        </w:rPr>
        <w:t xml:space="preserve"> (6.6%) were markedly reduced compared with the control group (</w:t>
      </w:r>
      <w:r>
        <w:rPr>
          <w:rFonts w:ascii="Book Antiqua" w:hAnsi="Book Antiqua" w:cs="Book Antiqua"/>
          <w:bCs/>
          <w:i/>
          <w:iCs/>
          <w:sz w:val="20"/>
          <w:szCs w:val="20"/>
        </w:rPr>
        <w:t>P</w:t>
      </w:r>
      <w:r>
        <w:rPr>
          <w:rFonts w:ascii="Book Antiqua" w:hAnsi="Book Antiqua" w:cs="Book Antiqua"/>
          <w:bCs/>
          <w:sz w:val="20"/>
          <w:szCs w:val="20"/>
        </w:rPr>
        <w:t xml:space="preserve"> &lt; 0.05). The principal component distribution is shown in Figure 6.</w:t>
      </w:r>
    </w:p>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 xml:space="preserve">At the family level, microflora in advanced CRA mainly included </w:t>
      </w:r>
      <w:r>
        <w:rPr>
          <w:rFonts w:ascii="Book Antiqua" w:hAnsi="Book Antiqua" w:cs="Book Antiqua"/>
          <w:i/>
          <w:iCs/>
          <w:sz w:val="20"/>
          <w:szCs w:val="20"/>
        </w:rPr>
        <w:t>Halomonas</w:t>
      </w:r>
      <w:r>
        <w:rPr>
          <w:rFonts w:ascii="Book Antiqua" w:hAnsi="Book Antiqua" w:cs="Book Antiqua"/>
          <w:sz w:val="20"/>
          <w:szCs w:val="20"/>
        </w:rPr>
        <w:t xml:space="preserve"> and </w:t>
      </w:r>
      <w:r>
        <w:rPr>
          <w:rFonts w:ascii="Book Antiqua" w:hAnsi="Book Antiqua" w:cs="Book Antiqua"/>
          <w:i/>
          <w:iCs/>
          <w:sz w:val="20"/>
          <w:szCs w:val="20"/>
        </w:rPr>
        <w:t>Oceanospirillales</w:t>
      </w:r>
      <w:r>
        <w:rPr>
          <w:rFonts w:ascii="Book Antiqua" w:hAnsi="Book Antiqua" w:cs="Book Antiqua"/>
          <w:sz w:val="20"/>
          <w:szCs w:val="20"/>
        </w:rPr>
        <w:t xml:space="preserve"> of </w:t>
      </w:r>
      <w:r>
        <w:rPr>
          <w:rFonts w:ascii="Book Antiqua" w:hAnsi="Book Antiqua" w:cs="Book Antiqua"/>
          <w:i/>
          <w:iCs/>
          <w:sz w:val="20"/>
          <w:szCs w:val="20"/>
        </w:rPr>
        <w:t>Proteobacteria</w:t>
      </w:r>
      <w:r>
        <w:rPr>
          <w:rFonts w:ascii="Book Antiqua" w:hAnsi="Book Antiqua" w:cs="Book Antiqua"/>
          <w:sz w:val="20"/>
          <w:szCs w:val="20"/>
        </w:rPr>
        <w:t xml:space="preserve"> (40.5%) and </w:t>
      </w:r>
      <w:r>
        <w:rPr>
          <w:rFonts w:ascii="Book Antiqua" w:hAnsi="Book Antiqua" w:cs="Book Antiqua"/>
          <w:i/>
          <w:sz w:val="20"/>
          <w:szCs w:val="20"/>
        </w:rPr>
        <w:t>Shewanella</w:t>
      </w:r>
      <w:r>
        <w:rPr>
          <w:rFonts w:ascii="Book Antiqua" w:hAnsi="Book Antiqua" w:cs="Book Antiqua"/>
          <w:sz w:val="20"/>
          <w:szCs w:val="20"/>
        </w:rPr>
        <w:t xml:space="preserve"> of </w:t>
      </w:r>
      <w:r>
        <w:rPr>
          <w:rFonts w:ascii="Book Antiqua" w:hAnsi="Book Antiqua" w:cs="Book Antiqua"/>
          <w:i/>
          <w:iCs/>
          <w:sz w:val="20"/>
          <w:szCs w:val="20"/>
        </w:rPr>
        <w:t>Alteromonadales</w:t>
      </w:r>
      <w:r>
        <w:rPr>
          <w:rFonts w:ascii="Book Antiqua" w:hAnsi="Book Antiqua" w:cs="Book Antiqua"/>
          <w:sz w:val="20"/>
          <w:szCs w:val="20"/>
        </w:rPr>
        <w:t xml:space="preserve"> (18.4%), and abundances increased significantly in the CRA group compared to the control group. The abundance of </w:t>
      </w:r>
      <w:r>
        <w:rPr>
          <w:rFonts w:ascii="Book Antiqua" w:hAnsi="Book Antiqua" w:cs="Book Antiqua"/>
          <w:i/>
          <w:sz w:val="20"/>
          <w:szCs w:val="20"/>
        </w:rPr>
        <w:t>Blautia</w:t>
      </w:r>
      <w:r>
        <w:rPr>
          <w:rFonts w:ascii="Book Antiqua" w:hAnsi="Book Antiqua" w:cs="Book Antiqua"/>
          <w:sz w:val="20"/>
          <w:szCs w:val="20"/>
        </w:rPr>
        <w:t xml:space="preserve"> (0.38%), </w:t>
      </w:r>
      <w:r>
        <w:rPr>
          <w:rFonts w:ascii="Book Antiqua" w:hAnsi="Book Antiqua" w:cs="Book Antiqua"/>
          <w:i/>
          <w:sz w:val="20"/>
          <w:szCs w:val="20"/>
        </w:rPr>
        <w:t>Coprococcus</w:t>
      </w:r>
      <w:r>
        <w:rPr>
          <w:rFonts w:ascii="Book Antiqua" w:hAnsi="Book Antiqua" w:cs="Book Antiqua"/>
          <w:sz w:val="20"/>
          <w:szCs w:val="20"/>
        </w:rPr>
        <w:t xml:space="preserve"> (0.08%), </w:t>
      </w:r>
      <w:r>
        <w:rPr>
          <w:rFonts w:ascii="Book Antiqua" w:hAnsi="Book Antiqua" w:cs="Book Antiqua"/>
          <w:i/>
          <w:sz w:val="20"/>
          <w:szCs w:val="20"/>
        </w:rPr>
        <w:t>Bacteroides</w:t>
      </w:r>
      <w:r>
        <w:rPr>
          <w:rFonts w:ascii="Book Antiqua" w:hAnsi="Book Antiqua" w:cs="Book Antiqua"/>
          <w:sz w:val="20"/>
          <w:szCs w:val="20"/>
        </w:rPr>
        <w:t xml:space="preserve"> (5.1%), and </w:t>
      </w:r>
      <w:r>
        <w:rPr>
          <w:rFonts w:ascii="Book Antiqua" w:hAnsi="Book Antiqua" w:cs="Book Antiqua"/>
          <w:i/>
          <w:sz w:val="20"/>
          <w:szCs w:val="20"/>
        </w:rPr>
        <w:t>Fusobacterium</w:t>
      </w:r>
      <w:r>
        <w:rPr>
          <w:rFonts w:ascii="Book Antiqua" w:hAnsi="Book Antiqua" w:cs="Book Antiqua"/>
          <w:sz w:val="20"/>
          <w:szCs w:val="20"/>
        </w:rPr>
        <w:t xml:space="preserve"> (0.08%) of </w:t>
      </w:r>
      <w:r>
        <w:rPr>
          <w:rFonts w:ascii="Book Antiqua" w:hAnsi="Book Antiqua" w:cs="Book Antiqua"/>
          <w:i/>
          <w:iCs/>
          <w:sz w:val="20"/>
          <w:szCs w:val="20"/>
        </w:rPr>
        <w:t>Lachnospiraceae</w:t>
      </w:r>
      <w:r>
        <w:rPr>
          <w:rFonts w:ascii="Book Antiqua" w:hAnsi="Book Antiqua" w:cs="Book Antiqua"/>
          <w:sz w:val="20"/>
          <w:szCs w:val="20"/>
        </w:rPr>
        <w:t xml:space="preserve">, </w:t>
      </w:r>
      <w:r>
        <w:rPr>
          <w:rFonts w:ascii="Book Antiqua" w:hAnsi="Book Antiqua" w:cs="Book Antiqua"/>
          <w:i/>
          <w:iCs/>
          <w:sz w:val="20"/>
          <w:szCs w:val="20"/>
        </w:rPr>
        <w:t>Clostridiales</w:t>
      </w:r>
      <w:r>
        <w:rPr>
          <w:rFonts w:ascii="Book Antiqua" w:hAnsi="Book Antiqua" w:cs="Book Antiqua"/>
          <w:sz w:val="20"/>
          <w:szCs w:val="20"/>
        </w:rPr>
        <w:t xml:space="preserve">, and </w:t>
      </w:r>
      <w:r>
        <w:rPr>
          <w:rFonts w:ascii="Book Antiqua" w:hAnsi="Book Antiqua" w:cs="Book Antiqua"/>
          <w:i/>
          <w:iCs/>
          <w:sz w:val="20"/>
          <w:szCs w:val="20"/>
        </w:rPr>
        <w:t>Firmicutes</w:t>
      </w:r>
      <w:r>
        <w:rPr>
          <w:rFonts w:ascii="Book Antiqua" w:hAnsi="Book Antiqua" w:cs="Book Antiqua"/>
          <w:sz w:val="20"/>
          <w:szCs w:val="20"/>
        </w:rPr>
        <w:t xml:space="preserve"> in the CRA group were markedly decreased compared with the control group (</w:t>
      </w:r>
      <w:r>
        <w:rPr>
          <w:rFonts w:ascii="Book Antiqua" w:hAnsi="Book Antiqua" w:cs="Book Antiqua"/>
          <w:i/>
          <w:iCs/>
          <w:sz w:val="20"/>
          <w:szCs w:val="20"/>
        </w:rPr>
        <w:t>P</w:t>
      </w:r>
      <w:r>
        <w:rPr>
          <w:rFonts w:ascii="Book Antiqua" w:hAnsi="Book Antiqua" w:cs="Book Antiqua"/>
          <w:sz w:val="20"/>
          <w:szCs w:val="20"/>
        </w:rPr>
        <w:t xml:space="preserve"> &lt; 0.05). The principal component distribution is shown in Figure 7.</w:t>
      </w:r>
    </w:p>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 xml:space="preserve">At the species level, the abundance of </w:t>
      </w:r>
      <w:r>
        <w:rPr>
          <w:rFonts w:ascii="Book Antiqua" w:hAnsi="Book Antiqua" w:cs="Book Antiqua"/>
          <w:i/>
          <w:sz w:val="20"/>
          <w:szCs w:val="20"/>
        </w:rPr>
        <w:t>Shewanella</w:t>
      </w:r>
      <w:r>
        <w:rPr>
          <w:rFonts w:ascii="Book Antiqua" w:hAnsi="Book Antiqua" w:cs="Book Antiqua"/>
          <w:sz w:val="20"/>
          <w:szCs w:val="20"/>
        </w:rPr>
        <w:t>_</w:t>
      </w:r>
      <w:r>
        <w:rPr>
          <w:rFonts w:ascii="Book Antiqua" w:hAnsi="Book Antiqua" w:cs="Book Antiqua"/>
          <w:i/>
          <w:sz w:val="20"/>
          <w:szCs w:val="20"/>
        </w:rPr>
        <w:t>algae</w:t>
      </w:r>
      <w:r>
        <w:rPr>
          <w:rFonts w:ascii="Book Antiqua" w:hAnsi="Book Antiqua" w:cs="Book Antiqua"/>
          <w:sz w:val="20"/>
          <w:szCs w:val="20"/>
        </w:rPr>
        <w:t xml:space="preserve"> (18.1%) increased significantly (</w:t>
      </w:r>
      <w:r>
        <w:rPr>
          <w:rFonts w:ascii="Book Antiqua" w:hAnsi="Book Antiqua" w:cs="Book Antiqua"/>
          <w:i/>
          <w:iCs/>
          <w:sz w:val="20"/>
          <w:szCs w:val="20"/>
        </w:rPr>
        <w:t>P</w:t>
      </w:r>
      <w:r>
        <w:rPr>
          <w:rFonts w:ascii="Book Antiqua" w:hAnsi="Book Antiqua" w:cs="Book Antiqua"/>
          <w:sz w:val="20"/>
          <w:szCs w:val="20"/>
        </w:rPr>
        <w:t xml:space="preserve"> &lt; 0.05) in the CRA group, but the abundance of </w:t>
      </w:r>
      <w:r>
        <w:rPr>
          <w:rFonts w:ascii="Book Antiqua" w:hAnsi="Book Antiqua" w:cs="Book Antiqua"/>
          <w:i/>
          <w:sz w:val="20"/>
          <w:szCs w:val="20"/>
        </w:rPr>
        <w:t>Bacteroides_fragilis</w:t>
      </w:r>
      <w:r>
        <w:rPr>
          <w:rFonts w:ascii="Book Antiqua" w:hAnsi="Book Antiqua" w:cs="Book Antiqua"/>
          <w:sz w:val="20"/>
          <w:szCs w:val="20"/>
        </w:rPr>
        <w:t xml:space="preserve">, </w:t>
      </w:r>
      <w:r>
        <w:rPr>
          <w:rFonts w:ascii="Book Antiqua" w:hAnsi="Book Antiqua" w:cs="Book Antiqua"/>
          <w:i/>
          <w:sz w:val="20"/>
          <w:szCs w:val="20"/>
        </w:rPr>
        <w:t>Escherichia_coli,</w:t>
      </w:r>
      <w:r>
        <w:rPr>
          <w:rFonts w:ascii="Book Antiqua" w:hAnsi="Book Antiqua" w:cs="Book Antiqua"/>
          <w:sz w:val="20"/>
          <w:szCs w:val="20"/>
        </w:rPr>
        <w:t xml:space="preserve"> and </w:t>
      </w:r>
      <w:r>
        <w:rPr>
          <w:rFonts w:ascii="Book Antiqua" w:hAnsi="Book Antiqua" w:cs="Book Antiqua"/>
          <w:i/>
          <w:sz w:val="20"/>
          <w:szCs w:val="20"/>
        </w:rPr>
        <w:t>Prevotella_copri</w:t>
      </w:r>
      <w:r>
        <w:rPr>
          <w:rFonts w:ascii="Book Antiqua" w:hAnsi="Book Antiqua" w:cs="Book Antiqua"/>
          <w:sz w:val="20"/>
          <w:szCs w:val="20"/>
        </w:rPr>
        <w:t xml:space="preserve"> was slightly reduced (</w:t>
      </w:r>
      <w:r>
        <w:rPr>
          <w:rFonts w:ascii="Book Antiqua" w:hAnsi="Book Antiqua" w:cs="Book Antiqua"/>
          <w:i/>
          <w:iCs/>
          <w:sz w:val="20"/>
          <w:szCs w:val="20"/>
        </w:rPr>
        <w:t>P</w:t>
      </w:r>
      <w:r>
        <w:rPr>
          <w:rFonts w:ascii="Book Antiqua" w:hAnsi="Book Antiqua" w:cs="Book Antiqua"/>
          <w:sz w:val="20"/>
          <w:szCs w:val="20"/>
        </w:rPr>
        <w:t xml:space="preserve"> &gt; 0.05) compared to the control group. In addition, the abundance of </w:t>
      </w:r>
      <w:r>
        <w:rPr>
          <w:rFonts w:ascii="Book Antiqua" w:hAnsi="Book Antiqua" w:cs="Book Antiqua"/>
          <w:i/>
          <w:sz w:val="20"/>
          <w:szCs w:val="20"/>
        </w:rPr>
        <w:t>Faecalibacterium prausnitzii</w:t>
      </w:r>
      <w:r>
        <w:rPr>
          <w:rFonts w:ascii="Book Antiqua" w:hAnsi="Book Antiqua" w:cs="Book Antiqua"/>
          <w:sz w:val="20"/>
          <w:szCs w:val="20"/>
        </w:rPr>
        <w:t xml:space="preserve"> of </w:t>
      </w:r>
      <w:r>
        <w:rPr>
          <w:rFonts w:ascii="Book Antiqua" w:hAnsi="Book Antiqua" w:cs="Book Antiqua"/>
          <w:i/>
          <w:iCs/>
          <w:sz w:val="20"/>
          <w:szCs w:val="20"/>
        </w:rPr>
        <w:t>Clostridiales</w:t>
      </w:r>
      <w:r>
        <w:rPr>
          <w:rFonts w:ascii="Book Antiqua" w:hAnsi="Book Antiqua" w:cs="Book Antiqua"/>
          <w:sz w:val="20"/>
          <w:szCs w:val="20"/>
        </w:rPr>
        <w:t xml:space="preserve"> (0.7%) was dramatically reduced in the CRA group compared with the control group (</w:t>
      </w:r>
      <w:r>
        <w:rPr>
          <w:rFonts w:ascii="Book Antiqua" w:hAnsi="Book Antiqua" w:cs="Book Antiqua"/>
          <w:i/>
          <w:iCs/>
          <w:sz w:val="20"/>
          <w:szCs w:val="20"/>
        </w:rPr>
        <w:t xml:space="preserve">P </w:t>
      </w:r>
      <w:r>
        <w:rPr>
          <w:rFonts w:ascii="Book Antiqua" w:hAnsi="Book Antiqua" w:cs="Book Antiqua"/>
          <w:sz w:val="20"/>
          <w:szCs w:val="20"/>
        </w:rPr>
        <w:t>&lt; 0.05). The principal component distribution is shown in Figure 8.</w:t>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rPr>
        <w:t xml:space="preserve">Metagenome biomarkers: </w:t>
      </w:r>
      <w:r>
        <w:rPr>
          <w:rFonts w:ascii="Book Antiqua" w:hAnsi="Book Antiqua" w:cs="Book Antiqua"/>
          <w:sz w:val="20"/>
          <w:szCs w:val="20"/>
        </w:rPr>
        <w:t xml:space="preserve">Linear discriminant analysis effect size, also known as the metagenome biomarker, was used to identify the microbioflora with significant differences between the two groups. Biomarkers in the advanced CRA group were mainly found in </w:t>
      </w:r>
      <w:r>
        <w:rPr>
          <w:rFonts w:ascii="Book Antiqua" w:hAnsi="Book Antiqua" w:cs="Book Antiqua"/>
          <w:i/>
          <w:iCs/>
          <w:sz w:val="20"/>
          <w:szCs w:val="20"/>
        </w:rPr>
        <w:t>Oceanospirillales</w:t>
      </w:r>
      <w:r>
        <w:rPr>
          <w:rFonts w:ascii="Book Antiqua" w:hAnsi="Book Antiqua" w:cs="Book Antiqua"/>
          <w:sz w:val="20"/>
          <w:szCs w:val="20"/>
        </w:rPr>
        <w:t xml:space="preserve"> and </w:t>
      </w:r>
      <w:r>
        <w:rPr>
          <w:rFonts w:ascii="Book Antiqua" w:hAnsi="Book Antiqua" w:cs="Book Antiqua"/>
          <w:i/>
          <w:iCs/>
          <w:sz w:val="20"/>
          <w:szCs w:val="20"/>
        </w:rPr>
        <w:t>Alteromonadales</w:t>
      </w:r>
      <w:r>
        <w:rPr>
          <w:rFonts w:ascii="Book Antiqua" w:hAnsi="Book Antiqua" w:cs="Book Antiqua"/>
          <w:sz w:val="20"/>
          <w:szCs w:val="20"/>
        </w:rPr>
        <w:t xml:space="preserve">. The abundance of </w:t>
      </w:r>
      <w:r>
        <w:rPr>
          <w:rFonts w:ascii="Book Antiqua" w:hAnsi="Book Antiqua" w:cs="Book Antiqua"/>
          <w:i/>
          <w:iCs/>
          <w:sz w:val="20"/>
          <w:szCs w:val="20"/>
        </w:rPr>
        <w:t>Halomonadaceae</w:t>
      </w:r>
      <w:r>
        <w:rPr>
          <w:rFonts w:ascii="Book Antiqua" w:hAnsi="Book Antiqua" w:cs="Book Antiqua"/>
          <w:sz w:val="20"/>
          <w:szCs w:val="20"/>
        </w:rPr>
        <w:t xml:space="preserve">, </w:t>
      </w:r>
      <w:r>
        <w:rPr>
          <w:rFonts w:ascii="Book Antiqua" w:hAnsi="Book Antiqua" w:cs="Book Antiqua"/>
          <w:i/>
          <w:iCs/>
          <w:sz w:val="20"/>
          <w:szCs w:val="20"/>
        </w:rPr>
        <w:t>Halomonas,</w:t>
      </w:r>
      <w:r>
        <w:rPr>
          <w:rFonts w:ascii="Book Antiqua" w:hAnsi="Book Antiqua" w:cs="Book Antiqua"/>
          <w:sz w:val="20"/>
          <w:szCs w:val="20"/>
        </w:rPr>
        <w:t xml:space="preserve"> </w:t>
      </w:r>
      <w:r>
        <w:rPr>
          <w:rFonts w:ascii="Book Antiqua" w:hAnsi="Book Antiqua" w:cs="Book Antiqua"/>
          <w:i/>
          <w:iCs/>
          <w:sz w:val="20"/>
          <w:szCs w:val="20"/>
        </w:rPr>
        <w:t>Shewanellaceae,</w:t>
      </w:r>
      <w:r>
        <w:rPr>
          <w:rFonts w:ascii="Book Antiqua" w:hAnsi="Book Antiqua" w:cs="Book Antiqua"/>
          <w:sz w:val="20"/>
          <w:szCs w:val="20"/>
        </w:rPr>
        <w:t xml:space="preserve"> and </w:t>
      </w:r>
      <w:r>
        <w:rPr>
          <w:rFonts w:ascii="Book Antiqua" w:hAnsi="Book Antiqua" w:cs="Book Antiqua"/>
          <w:i/>
          <w:sz w:val="20"/>
          <w:szCs w:val="20"/>
        </w:rPr>
        <w:t>Shewanella algae</w:t>
      </w:r>
      <w:r>
        <w:rPr>
          <w:rFonts w:ascii="Book Antiqua" w:hAnsi="Book Antiqua" w:cs="Book Antiqua"/>
          <w:sz w:val="20"/>
          <w:szCs w:val="20"/>
        </w:rPr>
        <w:t xml:space="preserve"> also increased in the CRA group. In addition, the abundance of </w:t>
      </w:r>
      <w:r>
        <w:rPr>
          <w:rFonts w:ascii="Book Antiqua" w:hAnsi="Book Antiqua" w:cs="Book Antiqua"/>
          <w:i/>
          <w:sz w:val="20"/>
          <w:szCs w:val="20"/>
        </w:rPr>
        <w:t>Blautia</w:t>
      </w:r>
      <w:r>
        <w:rPr>
          <w:rFonts w:ascii="Book Antiqua" w:hAnsi="Book Antiqua" w:cs="Book Antiqua"/>
          <w:sz w:val="20"/>
          <w:szCs w:val="20"/>
        </w:rPr>
        <w:t xml:space="preserve">, </w:t>
      </w:r>
      <w:r>
        <w:rPr>
          <w:rFonts w:ascii="Book Antiqua" w:hAnsi="Book Antiqua" w:cs="Book Antiqua"/>
          <w:i/>
          <w:sz w:val="20"/>
          <w:szCs w:val="20"/>
        </w:rPr>
        <w:t>Coprococcus</w:t>
      </w:r>
      <w:r>
        <w:rPr>
          <w:rFonts w:ascii="Book Antiqua" w:hAnsi="Book Antiqua" w:cs="Book Antiqua"/>
          <w:sz w:val="20"/>
          <w:szCs w:val="20"/>
        </w:rPr>
        <w:t xml:space="preserve"> of </w:t>
      </w:r>
      <w:r>
        <w:rPr>
          <w:rFonts w:ascii="Book Antiqua" w:hAnsi="Book Antiqua" w:cs="Book Antiqua"/>
          <w:i/>
          <w:iCs/>
          <w:sz w:val="20"/>
          <w:szCs w:val="20"/>
        </w:rPr>
        <w:t>Lachnospiraceae</w:t>
      </w:r>
      <w:r>
        <w:rPr>
          <w:rFonts w:ascii="Book Antiqua" w:hAnsi="Book Antiqua" w:cs="Book Antiqua"/>
          <w:sz w:val="20"/>
          <w:szCs w:val="20"/>
        </w:rPr>
        <w:t xml:space="preserve"> and </w:t>
      </w:r>
      <w:r>
        <w:rPr>
          <w:rFonts w:ascii="Book Antiqua" w:hAnsi="Book Antiqua" w:cs="Book Antiqua"/>
          <w:i/>
          <w:iCs/>
          <w:sz w:val="20"/>
          <w:szCs w:val="20"/>
        </w:rPr>
        <w:t>Bacteroidetes</w:t>
      </w:r>
      <w:r>
        <w:rPr>
          <w:rFonts w:ascii="Book Antiqua" w:hAnsi="Book Antiqua" w:cs="Book Antiqua"/>
          <w:sz w:val="20"/>
          <w:szCs w:val="20"/>
        </w:rPr>
        <w:t xml:space="preserve"> of </w:t>
      </w:r>
      <w:r>
        <w:rPr>
          <w:rFonts w:ascii="Book Antiqua" w:hAnsi="Book Antiqua" w:cs="Book Antiqua"/>
          <w:i/>
          <w:sz w:val="20"/>
          <w:szCs w:val="20"/>
        </w:rPr>
        <w:t>Bacteroides ovatus</w:t>
      </w:r>
      <w:r>
        <w:rPr>
          <w:rFonts w:ascii="Book Antiqua" w:hAnsi="Book Antiqua" w:cs="Book Antiqua"/>
          <w:sz w:val="20"/>
          <w:szCs w:val="20"/>
        </w:rPr>
        <w:t xml:space="preserve"> was reduced significantly in the CRA group compared to the control group (Figure 9).</w:t>
      </w:r>
    </w:p>
    <w:p>
      <w:pPr>
        <w:adjustRightInd w:val="0"/>
        <w:snapToGrid w:val="0"/>
        <w:spacing w:line="360" w:lineRule="auto"/>
        <w:rPr>
          <w:rFonts w:ascii="Book Antiqua" w:hAnsi="Book Antiqua" w:cs="Book Antiqua"/>
          <w:b/>
          <w:sz w:val="20"/>
          <w:szCs w:val="20"/>
          <w:u w:val="single"/>
          <w:lang w:bidi="en-US"/>
        </w:rPr>
      </w:pPr>
    </w:p>
    <w:p>
      <w:pPr>
        <w:adjustRightInd w:val="0"/>
        <w:snapToGrid w:val="0"/>
        <w:spacing w:line="360" w:lineRule="auto"/>
        <w:rPr>
          <w:rFonts w:ascii="Book Antiqua" w:hAnsi="Book Antiqua" w:cs="Book Antiqua"/>
          <w:b/>
          <w:caps/>
          <w:sz w:val="20"/>
          <w:szCs w:val="20"/>
          <w:u w:val="single"/>
          <w:lang w:bidi="en-US"/>
        </w:rPr>
      </w:pPr>
      <w:r>
        <w:rPr>
          <w:rFonts w:ascii="Book Antiqua" w:hAnsi="Book Antiqua" w:cs="Book Antiqua"/>
          <w:b/>
          <w:caps/>
          <w:sz w:val="20"/>
          <w:szCs w:val="20"/>
          <w:u w:val="single"/>
          <w:lang w:bidi="en-US"/>
        </w:rPr>
        <w:t>Discussion</w:t>
      </w:r>
    </w:p>
    <w:p>
      <w:pPr>
        <w:widowControl/>
        <w:autoSpaceDE w:val="0"/>
        <w:autoSpaceDN w:val="0"/>
        <w:adjustRightInd w:val="0"/>
        <w:snapToGrid w:val="0"/>
        <w:spacing w:line="360" w:lineRule="auto"/>
        <w:rPr>
          <w:rFonts w:ascii="Book Antiqua" w:hAnsi="Book Antiqua" w:cs="Book Antiqua"/>
          <w:sz w:val="20"/>
          <w:szCs w:val="20"/>
        </w:rPr>
      </w:pPr>
      <w:r>
        <w:rPr>
          <w:rFonts w:ascii="Book Antiqua" w:hAnsi="Book Antiqua" w:cs="Book Antiqua"/>
          <w:sz w:val="20"/>
          <w:szCs w:val="20"/>
        </w:rPr>
        <w:t>In recent years, intestinal microflora has been a major focus of research. Intestinal micro-ecology is composed of intestinal microbiota and their metabolites. Intestinal microbiota includes intestine flora and mucosa-related microflora</w:t>
      </w:r>
      <w:r>
        <w:rPr>
          <w:rFonts w:ascii="Book Antiqua" w:hAnsi="Book Antiqua" w:cs="Book Antiqua"/>
          <w:sz w:val="20"/>
          <w:szCs w:val="20"/>
          <w:vertAlign w:val="superscript"/>
        </w:rPr>
        <w:t>[4]</w:t>
      </w:r>
      <w:r>
        <w:rPr>
          <w:rFonts w:ascii="Book Antiqua" w:hAnsi="Book Antiqua" w:cs="Book Antiqua"/>
          <w:sz w:val="20"/>
          <w:szCs w:val="20"/>
        </w:rPr>
        <w:t xml:space="preserve">. Under the influence of the environment and dietary fiber, mucosa-related microflora may interact with intestinal mucosa, leading to epithelial transformation of the mucosa, and causing mucosal pathology. In this study, the mucosa-related microbiota was investigated in normal and CRA mucosa specimens. Microbiota diversity was reduced in CRA mucosa, and the abundance of </w:t>
      </w:r>
      <w:r>
        <w:rPr>
          <w:rFonts w:ascii="Book Antiqua" w:hAnsi="Book Antiqua" w:cs="Book Antiqua"/>
          <w:i/>
          <w:iCs/>
          <w:sz w:val="20"/>
          <w:szCs w:val="20"/>
        </w:rPr>
        <w:t>Halomonadaceae</w:t>
      </w:r>
      <w:r>
        <w:rPr>
          <w:rFonts w:ascii="Book Antiqua" w:hAnsi="Book Antiqua" w:cs="Book Antiqua"/>
          <w:sz w:val="20"/>
          <w:szCs w:val="20"/>
        </w:rPr>
        <w:t xml:space="preserve">, </w:t>
      </w:r>
      <w:r>
        <w:rPr>
          <w:rFonts w:ascii="Book Antiqua" w:hAnsi="Book Antiqua" w:cs="Book Antiqua"/>
          <w:i/>
          <w:sz w:val="20"/>
          <w:szCs w:val="20"/>
        </w:rPr>
        <w:t>Shewanella algae</w:t>
      </w:r>
      <w:r>
        <w:rPr>
          <w:rFonts w:ascii="Book Antiqua" w:hAnsi="Book Antiqua" w:cs="Book Antiqua"/>
          <w:sz w:val="20"/>
          <w:szCs w:val="20"/>
        </w:rPr>
        <w:t xml:space="preserve">, and </w:t>
      </w:r>
      <w:r>
        <w:rPr>
          <w:rFonts w:ascii="Book Antiqua" w:hAnsi="Book Antiqua" w:cs="Book Antiqua"/>
          <w:i/>
          <w:iCs/>
          <w:sz w:val="20"/>
          <w:szCs w:val="20"/>
        </w:rPr>
        <w:t>Lachnospiraceae</w:t>
      </w:r>
      <w:r>
        <w:rPr>
          <w:rFonts w:ascii="Book Antiqua" w:hAnsi="Book Antiqua" w:cs="Book Antiqua"/>
          <w:sz w:val="20"/>
          <w:szCs w:val="20"/>
        </w:rPr>
        <w:t xml:space="preserve"> was reduced in CRA patients.</w:t>
      </w:r>
    </w:p>
    <w:p>
      <w:pPr>
        <w:widowControl/>
        <w:autoSpaceDE w:val="0"/>
        <w:autoSpaceDN w:val="0"/>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i/>
          <w:iCs/>
          <w:sz w:val="20"/>
          <w:szCs w:val="20"/>
        </w:rPr>
        <w:t>Shewanella</w:t>
      </w:r>
      <w:r>
        <w:rPr>
          <w:rFonts w:ascii="Book Antiqua" w:hAnsi="Book Antiqua" w:cs="Book Antiqua"/>
          <w:sz w:val="20"/>
          <w:szCs w:val="20"/>
        </w:rPr>
        <w:t xml:space="preserve"> are gram-negative saprophytic bacteria and secrete a tetrodotoxin-like toxin. It is widely accepted that </w:t>
      </w:r>
      <w:r>
        <w:rPr>
          <w:rFonts w:ascii="Book Antiqua" w:hAnsi="Book Antiqua" w:cs="Book Antiqua"/>
          <w:i/>
          <w:iCs/>
          <w:sz w:val="20"/>
          <w:szCs w:val="20"/>
        </w:rPr>
        <w:t>Shewanella</w:t>
      </w:r>
      <w:r>
        <w:rPr>
          <w:rFonts w:ascii="Book Antiqua" w:hAnsi="Book Antiqua" w:cs="Book Antiqua"/>
          <w:sz w:val="20"/>
          <w:szCs w:val="20"/>
        </w:rPr>
        <w:t xml:space="preserve"> are the major bacterial contributor to the decay of high-protein foods and aquatic products. The Centers for Disease Control in the United States has indicated that only </w:t>
      </w:r>
      <w:r>
        <w:rPr>
          <w:rFonts w:ascii="Book Antiqua" w:hAnsi="Book Antiqua" w:cs="Book Antiqua"/>
          <w:i/>
          <w:sz w:val="20"/>
          <w:szCs w:val="20"/>
        </w:rPr>
        <w:t>Shewanella algae</w:t>
      </w:r>
      <w:r>
        <w:rPr>
          <w:rFonts w:ascii="Book Antiqua" w:hAnsi="Book Antiqua" w:cs="Book Antiqua"/>
          <w:sz w:val="20"/>
          <w:szCs w:val="20"/>
        </w:rPr>
        <w:t xml:space="preserve"> and </w:t>
      </w:r>
      <w:r>
        <w:rPr>
          <w:rFonts w:ascii="Book Antiqua" w:hAnsi="Book Antiqua" w:cs="Book Antiqua"/>
          <w:i/>
          <w:sz w:val="20"/>
          <w:szCs w:val="20"/>
        </w:rPr>
        <w:t>Shewanella putrefaciens</w:t>
      </w:r>
      <w:r>
        <w:rPr>
          <w:rFonts w:ascii="Book Antiqua" w:hAnsi="Book Antiqua" w:cs="Book Antiqua"/>
          <w:sz w:val="20"/>
          <w:szCs w:val="20"/>
        </w:rPr>
        <w:t xml:space="preserve"> in </w:t>
      </w:r>
      <w:r>
        <w:rPr>
          <w:rFonts w:ascii="Book Antiqua" w:hAnsi="Book Antiqua" w:cs="Book Antiqua"/>
          <w:i/>
          <w:iCs/>
          <w:sz w:val="20"/>
          <w:szCs w:val="20"/>
        </w:rPr>
        <w:t>Shewanella</w:t>
      </w:r>
      <w:r>
        <w:rPr>
          <w:rFonts w:ascii="Book Antiqua" w:hAnsi="Book Antiqua" w:cs="Book Antiqua"/>
          <w:sz w:val="20"/>
          <w:szCs w:val="20"/>
        </w:rPr>
        <w:t xml:space="preserve"> are pathogenic for humans. Individuals with immune dysfunction, seawater exposure, or intake of seafood will develop zoonotic infectious diseases caused by </w:t>
      </w:r>
      <w:r>
        <w:rPr>
          <w:rFonts w:ascii="Book Antiqua" w:hAnsi="Book Antiqua" w:cs="Book Antiqua"/>
          <w:i/>
          <w:iCs/>
          <w:sz w:val="20"/>
          <w:szCs w:val="20"/>
        </w:rPr>
        <w:t>Shewanella</w:t>
      </w:r>
      <w:r>
        <w:rPr>
          <w:rFonts w:ascii="Book Antiqua" w:hAnsi="Book Antiqua" w:cs="Book Antiqua"/>
          <w:sz w:val="20"/>
          <w:szCs w:val="20"/>
        </w:rPr>
        <w:t>.</w:t>
      </w:r>
      <w:r>
        <w:rPr>
          <w:rFonts w:ascii="Book Antiqua" w:hAnsi="Book Antiqua" w:cs="Book Antiqua"/>
          <w:kern w:val="0"/>
          <w:sz w:val="20"/>
          <w:szCs w:val="20"/>
        </w:rPr>
        <w:t xml:space="preserve"> </w:t>
      </w:r>
      <w:r>
        <w:rPr>
          <w:rFonts w:ascii="Book Antiqua" w:hAnsi="Book Antiqua" w:cs="Book Antiqua"/>
          <w:sz w:val="20"/>
          <w:szCs w:val="20"/>
        </w:rPr>
        <w:t xml:space="preserve">Available case reports have shown that early-onset neonatal sepsis, acute hemorrhagic gastroenteritis, spontaneous bacterial peritonitis in cirrhosis, and squamous cell carcinoma are related to </w:t>
      </w:r>
      <w:r>
        <w:rPr>
          <w:rFonts w:ascii="Book Antiqua" w:hAnsi="Book Antiqua" w:cs="Book Antiqua"/>
          <w:i/>
          <w:iCs/>
          <w:sz w:val="20"/>
          <w:szCs w:val="20"/>
        </w:rPr>
        <w:t xml:space="preserve">Shewanella </w:t>
      </w:r>
      <w:r>
        <w:rPr>
          <w:rFonts w:ascii="Book Antiqua" w:hAnsi="Book Antiqua" w:cs="Book Antiqua"/>
          <w:sz w:val="20"/>
          <w:szCs w:val="20"/>
        </w:rPr>
        <w:t>infection</w:t>
      </w:r>
      <w:r>
        <w:rPr>
          <w:rFonts w:ascii="Book Antiqua" w:hAnsi="Book Antiqua" w:cs="Book Antiqua"/>
          <w:sz w:val="20"/>
          <w:szCs w:val="20"/>
          <w:vertAlign w:val="superscript"/>
        </w:rPr>
        <w:t>[5-7]</w:t>
      </w:r>
      <w:r>
        <w:rPr>
          <w:rFonts w:ascii="Book Antiqua" w:hAnsi="Book Antiqua" w:cs="Book Antiqua"/>
          <w:sz w:val="20"/>
          <w:szCs w:val="20"/>
        </w:rPr>
        <w:t xml:space="preserve">. </w:t>
      </w:r>
      <w:r>
        <w:rPr>
          <w:rFonts w:ascii="Book Antiqua" w:hAnsi="Book Antiqua" w:cs="Book Antiqua"/>
          <w:i/>
          <w:iCs/>
          <w:sz w:val="20"/>
          <w:szCs w:val="20"/>
        </w:rPr>
        <w:t>In vitro</w:t>
      </w:r>
      <w:r>
        <w:rPr>
          <w:rFonts w:ascii="Book Antiqua" w:hAnsi="Book Antiqua" w:cs="Book Antiqua"/>
          <w:sz w:val="20"/>
          <w:szCs w:val="20"/>
        </w:rPr>
        <w:t xml:space="preserve"> experiments also indicate that </w:t>
      </w:r>
      <w:r>
        <w:rPr>
          <w:rFonts w:ascii="Book Antiqua" w:hAnsi="Book Antiqua" w:cs="Book Antiqua"/>
          <w:i/>
          <w:iCs/>
          <w:sz w:val="20"/>
          <w:szCs w:val="20"/>
        </w:rPr>
        <w:t>Shewanella</w:t>
      </w:r>
      <w:r>
        <w:rPr>
          <w:rFonts w:ascii="Book Antiqua" w:hAnsi="Book Antiqua" w:cs="Book Antiqua"/>
          <w:sz w:val="20"/>
          <w:szCs w:val="20"/>
        </w:rPr>
        <w:t xml:space="preserve"> is able to inhibit the growth of plant pathogenic fungi, such as aflatoxin and </w:t>
      </w:r>
      <w:r>
        <w:rPr>
          <w:rFonts w:ascii="Book Antiqua" w:hAnsi="Book Antiqua" w:cs="Book Antiqua"/>
          <w:i/>
          <w:iCs/>
          <w:sz w:val="20"/>
          <w:szCs w:val="20"/>
        </w:rPr>
        <w:t>Botrytis</w:t>
      </w:r>
      <w:r>
        <w:rPr>
          <w:rFonts w:ascii="Book Antiqua" w:hAnsi="Book Antiqua" w:cs="Book Antiqua"/>
          <w:sz w:val="20"/>
          <w:szCs w:val="20"/>
        </w:rPr>
        <w:t xml:space="preserve"> </w:t>
      </w:r>
      <w:r>
        <w:rPr>
          <w:rFonts w:ascii="Book Antiqua" w:hAnsi="Book Antiqua" w:cs="Book Antiqua"/>
          <w:i/>
          <w:iCs/>
          <w:sz w:val="20"/>
          <w:szCs w:val="20"/>
        </w:rPr>
        <w:t>cinerea</w:t>
      </w:r>
      <w:r>
        <w:rPr>
          <w:rFonts w:ascii="Book Antiqua" w:hAnsi="Book Antiqua" w:cs="Book Antiqua"/>
          <w:sz w:val="20"/>
          <w:szCs w:val="20"/>
          <w:vertAlign w:val="superscript"/>
        </w:rPr>
        <w:t>[8]</w:t>
      </w:r>
      <w:r>
        <w:rPr>
          <w:rFonts w:ascii="Book Antiqua" w:hAnsi="Book Antiqua" w:cs="Book Antiqua"/>
          <w:sz w:val="20"/>
          <w:szCs w:val="20"/>
        </w:rPr>
        <w:t>. Telke</w:t>
      </w:r>
      <w:r>
        <w:rPr>
          <w:rFonts w:ascii="Book Antiqua" w:hAnsi="Book Antiqua" w:cs="Book Antiqua"/>
          <w:i/>
          <w:iCs/>
          <w:sz w:val="20"/>
          <w:szCs w:val="20"/>
        </w:rPr>
        <w:t xml:space="preserve"> et al</w:t>
      </w:r>
      <w:r>
        <w:rPr>
          <w:rFonts w:ascii="Book Antiqua" w:hAnsi="Book Antiqua" w:cs="Book Antiqua"/>
          <w:sz w:val="20"/>
          <w:szCs w:val="20"/>
          <w:vertAlign w:val="superscript"/>
        </w:rPr>
        <w:t>[9]</w:t>
      </w:r>
      <w:r>
        <w:rPr>
          <w:rFonts w:ascii="Book Antiqua" w:hAnsi="Book Antiqua" w:cs="Book Antiqua"/>
          <w:sz w:val="20"/>
          <w:szCs w:val="20"/>
        </w:rPr>
        <w:t xml:space="preserve"> also separated the MARS 14 strain of </w:t>
      </w:r>
      <w:r>
        <w:rPr>
          <w:rFonts w:ascii="Book Antiqua" w:hAnsi="Book Antiqua" w:cs="Book Antiqua"/>
          <w:i/>
          <w:iCs/>
          <w:sz w:val="20"/>
          <w:szCs w:val="20"/>
        </w:rPr>
        <w:t>Shewanella</w:t>
      </w:r>
      <w:r>
        <w:rPr>
          <w:rFonts w:ascii="Book Antiqua" w:hAnsi="Book Antiqua" w:cs="Book Antiqua"/>
          <w:sz w:val="20"/>
          <w:szCs w:val="20"/>
        </w:rPr>
        <w:t xml:space="preserve">, and found that these bacteria could secrete ethanolamine phosphotransferase, which mediates polymyxin resistance. Liang </w:t>
      </w:r>
      <w:r>
        <w:rPr>
          <w:rFonts w:ascii="Book Antiqua" w:hAnsi="Book Antiqua" w:cs="Book Antiqua"/>
          <w:i/>
          <w:iCs/>
          <w:sz w:val="20"/>
          <w:szCs w:val="20"/>
        </w:rPr>
        <w:t>et al</w:t>
      </w:r>
      <w:r>
        <w:rPr>
          <w:rFonts w:ascii="Book Antiqua" w:hAnsi="Book Antiqua" w:cs="Book Antiqua"/>
          <w:sz w:val="20"/>
          <w:szCs w:val="20"/>
          <w:vertAlign w:val="superscript"/>
        </w:rPr>
        <w:t>[10]</w:t>
      </w:r>
      <w:r>
        <w:rPr>
          <w:rFonts w:ascii="Book Antiqua" w:hAnsi="Book Antiqua" w:cs="Book Antiqua"/>
          <w:sz w:val="20"/>
          <w:szCs w:val="20"/>
        </w:rPr>
        <w:t xml:space="preserve"> used 16S rDNA sequencing, and reported that patients with bile duct stones had Oddi sphincter relaxation and an abundance of </w:t>
      </w:r>
      <w:r>
        <w:rPr>
          <w:rFonts w:ascii="Book Antiqua" w:hAnsi="Book Antiqua" w:cs="Book Antiqua"/>
          <w:i/>
          <w:iCs/>
          <w:sz w:val="20"/>
          <w:szCs w:val="20"/>
        </w:rPr>
        <w:t>Bilophila</w:t>
      </w:r>
      <w:r>
        <w:rPr>
          <w:rFonts w:ascii="Book Antiqua" w:hAnsi="Book Antiqua" w:cs="Book Antiqua"/>
          <w:sz w:val="20"/>
          <w:szCs w:val="20"/>
        </w:rPr>
        <w:t xml:space="preserve"> and </w:t>
      </w:r>
      <w:r>
        <w:rPr>
          <w:rFonts w:ascii="Book Antiqua" w:hAnsi="Book Antiqua" w:cs="Book Antiqua"/>
          <w:i/>
          <w:iCs/>
          <w:sz w:val="20"/>
          <w:szCs w:val="20"/>
        </w:rPr>
        <w:t>Shewanella algae</w:t>
      </w:r>
      <w:r>
        <w:rPr>
          <w:rFonts w:ascii="Book Antiqua" w:hAnsi="Book Antiqua" w:cs="Book Antiqua"/>
          <w:sz w:val="20"/>
          <w:szCs w:val="20"/>
        </w:rPr>
        <w:t xml:space="preserve"> in the bile. Srinivas </w:t>
      </w:r>
      <w:r>
        <w:rPr>
          <w:rFonts w:ascii="Book Antiqua" w:hAnsi="Book Antiqua" w:cs="Book Antiqua"/>
          <w:i/>
          <w:iCs/>
          <w:sz w:val="20"/>
          <w:szCs w:val="20"/>
        </w:rPr>
        <w:t>et al</w:t>
      </w:r>
      <w:r>
        <w:rPr>
          <w:rFonts w:ascii="Book Antiqua" w:hAnsi="Book Antiqua" w:cs="Book Antiqua"/>
          <w:sz w:val="20"/>
          <w:szCs w:val="20"/>
          <w:vertAlign w:val="superscript"/>
        </w:rPr>
        <w:t>[11]</w:t>
      </w:r>
      <w:r>
        <w:rPr>
          <w:rFonts w:ascii="Book Antiqua" w:hAnsi="Book Antiqua" w:cs="Book Antiqua"/>
          <w:sz w:val="20"/>
          <w:szCs w:val="20"/>
        </w:rPr>
        <w:t xml:space="preserve"> conducted a 5-year study, and found that patients with concomitant diabetes mellitus, hypertension, or hepatobiliary disorders were more susceptible to </w:t>
      </w:r>
      <w:r>
        <w:rPr>
          <w:rFonts w:ascii="Book Antiqua" w:hAnsi="Book Antiqua" w:cs="Book Antiqua"/>
          <w:i/>
          <w:iCs/>
          <w:sz w:val="20"/>
          <w:szCs w:val="20"/>
        </w:rPr>
        <w:t>Shewanella algae</w:t>
      </w:r>
      <w:r>
        <w:rPr>
          <w:rFonts w:ascii="Book Antiqua" w:hAnsi="Book Antiqua" w:cs="Book Antiqua"/>
          <w:sz w:val="20"/>
          <w:szCs w:val="20"/>
        </w:rPr>
        <w:t xml:space="preserve">-related skin and soft tissue infections. In the current study, we showed that the abundance of </w:t>
      </w:r>
      <w:r>
        <w:rPr>
          <w:rFonts w:ascii="Book Antiqua" w:hAnsi="Book Antiqua" w:cs="Book Antiqua"/>
          <w:i/>
          <w:iCs/>
          <w:sz w:val="20"/>
          <w:szCs w:val="20"/>
        </w:rPr>
        <w:t>Shewanella algae</w:t>
      </w:r>
      <w:r>
        <w:rPr>
          <w:rFonts w:ascii="Book Antiqua" w:hAnsi="Book Antiqua" w:cs="Book Antiqua"/>
          <w:sz w:val="20"/>
          <w:szCs w:val="20"/>
        </w:rPr>
        <w:t xml:space="preserve"> increased in the lesioned mucosa of patients with CRA, but the mechanism underlying the increased abundance of </w:t>
      </w:r>
      <w:r>
        <w:rPr>
          <w:rFonts w:ascii="Book Antiqua" w:hAnsi="Book Antiqua" w:cs="Book Antiqua"/>
          <w:i/>
          <w:iCs/>
          <w:sz w:val="20"/>
          <w:szCs w:val="20"/>
        </w:rPr>
        <w:t>Shewanella algae</w:t>
      </w:r>
      <w:r>
        <w:rPr>
          <w:rFonts w:ascii="Book Antiqua" w:hAnsi="Book Antiqua" w:cs="Book Antiqua"/>
          <w:sz w:val="20"/>
          <w:szCs w:val="20"/>
        </w:rPr>
        <w:t xml:space="preserve"> in these patients is still poorly understood. We speculate that these bacteria may invade intestinal epithelial cells to interact with host tissues, or secrete some toxins to cause intestinal infections, but further molecular biological studies are required to confirm our hypothesis.</w:t>
      </w:r>
    </w:p>
    <w:p>
      <w:pPr>
        <w:widowControl/>
        <w:autoSpaceDE w:val="0"/>
        <w:autoSpaceDN w:val="0"/>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 xml:space="preserve">Studies have shown that intestinal </w:t>
      </w:r>
      <w:r>
        <w:rPr>
          <w:rFonts w:ascii="Book Antiqua" w:hAnsi="Book Antiqua" w:cs="Book Antiqua"/>
          <w:i/>
          <w:iCs/>
          <w:sz w:val="20"/>
          <w:szCs w:val="20"/>
        </w:rPr>
        <w:t>Lachnospiraceae</w:t>
      </w:r>
      <w:r>
        <w:rPr>
          <w:rFonts w:ascii="Book Antiqua" w:hAnsi="Book Antiqua" w:cs="Book Antiqua"/>
          <w:sz w:val="20"/>
          <w:szCs w:val="20"/>
        </w:rPr>
        <w:t xml:space="preserve"> is significantly reduced in patients with inflammatory diseases</w:t>
      </w:r>
      <w:r>
        <w:rPr>
          <w:rFonts w:ascii="Book Antiqua" w:hAnsi="Book Antiqua" w:cs="Book Antiqua"/>
          <w:sz w:val="20"/>
          <w:szCs w:val="20"/>
          <w:vertAlign w:val="superscript"/>
        </w:rPr>
        <w:t>[12]</w:t>
      </w:r>
      <w:r>
        <w:rPr>
          <w:rFonts w:ascii="Book Antiqua" w:hAnsi="Book Antiqua" w:cs="Book Antiqua"/>
          <w:sz w:val="20"/>
          <w:szCs w:val="20"/>
        </w:rPr>
        <w:t xml:space="preserve">. </w:t>
      </w:r>
      <w:r>
        <w:rPr>
          <w:rFonts w:ascii="Book Antiqua" w:hAnsi="Book Antiqua" w:cs="Book Antiqua"/>
          <w:i/>
          <w:iCs/>
          <w:sz w:val="20"/>
          <w:szCs w:val="20"/>
        </w:rPr>
        <w:t>Lachnospiraceae</w:t>
      </w:r>
      <w:r>
        <w:rPr>
          <w:rFonts w:ascii="Book Antiqua" w:hAnsi="Book Antiqua" w:cs="Book Antiqua"/>
          <w:sz w:val="20"/>
          <w:szCs w:val="20"/>
        </w:rPr>
        <w:t xml:space="preserve"> may antagonize the implantation of </w:t>
      </w:r>
      <w:r>
        <w:rPr>
          <w:rFonts w:ascii="Book Antiqua" w:hAnsi="Book Antiqua" w:cs="Book Antiqua"/>
          <w:i/>
          <w:iCs/>
          <w:sz w:val="20"/>
          <w:szCs w:val="20"/>
        </w:rPr>
        <w:t>Clostridium</w:t>
      </w:r>
      <w:r>
        <w:rPr>
          <w:rFonts w:ascii="Book Antiqua" w:hAnsi="Book Antiqua" w:cs="Book Antiqua"/>
          <w:sz w:val="20"/>
          <w:szCs w:val="20"/>
        </w:rPr>
        <w:t xml:space="preserve"> </w:t>
      </w:r>
      <w:r>
        <w:rPr>
          <w:rFonts w:ascii="Book Antiqua" w:hAnsi="Book Antiqua" w:cs="Book Antiqua"/>
          <w:i/>
          <w:iCs/>
          <w:sz w:val="20"/>
          <w:szCs w:val="20"/>
        </w:rPr>
        <w:t>difficile</w:t>
      </w:r>
      <w:r>
        <w:rPr>
          <w:rFonts w:ascii="Book Antiqua" w:hAnsi="Book Antiqua" w:cs="Book Antiqua"/>
          <w:sz w:val="20"/>
          <w:szCs w:val="20"/>
        </w:rPr>
        <w:t xml:space="preserve"> in the intestine after antibiotic therapy</w:t>
      </w:r>
      <w:r>
        <w:rPr>
          <w:rFonts w:ascii="Book Antiqua" w:hAnsi="Book Antiqua" w:cs="Book Antiqua"/>
          <w:sz w:val="20"/>
          <w:szCs w:val="20"/>
          <w:vertAlign w:val="superscript"/>
        </w:rPr>
        <w:t>[13]</w:t>
      </w:r>
      <w:r>
        <w:rPr>
          <w:rFonts w:ascii="Book Antiqua" w:hAnsi="Book Antiqua" w:cs="Book Antiqua"/>
          <w:sz w:val="20"/>
          <w:szCs w:val="20"/>
        </w:rPr>
        <w:t xml:space="preserve">. In addition, </w:t>
      </w:r>
      <w:r>
        <w:rPr>
          <w:rFonts w:ascii="Book Antiqua" w:hAnsi="Book Antiqua" w:cs="Book Antiqua"/>
          <w:i/>
          <w:iCs/>
          <w:sz w:val="20"/>
          <w:szCs w:val="20"/>
        </w:rPr>
        <w:t>Lachnospiraceae</w:t>
      </w:r>
      <w:r>
        <w:rPr>
          <w:rFonts w:ascii="Book Antiqua" w:hAnsi="Book Antiqua" w:cs="Book Antiqua"/>
          <w:sz w:val="20"/>
          <w:szCs w:val="20"/>
        </w:rPr>
        <w:t xml:space="preserve"> is closely related to reduced carcinogenesis of the intestine</w:t>
      </w:r>
      <w:r>
        <w:rPr>
          <w:rFonts w:ascii="Book Antiqua" w:hAnsi="Book Antiqua" w:cs="Book Antiqua"/>
          <w:sz w:val="20"/>
          <w:szCs w:val="20"/>
          <w:vertAlign w:val="superscript"/>
        </w:rPr>
        <w:t>[14]</w:t>
      </w:r>
      <w:r>
        <w:rPr>
          <w:rFonts w:ascii="Book Antiqua" w:hAnsi="Book Antiqua" w:cs="Book Antiqua"/>
          <w:sz w:val="20"/>
          <w:szCs w:val="20"/>
        </w:rPr>
        <w:t xml:space="preserve">. Thus, the reduced abundance of </w:t>
      </w:r>
      <w:r>
        <w:rPr>
          <w:rFonts w:ascii="Book Antiqua" w:hAnsi="Book Antiqua" w:cs="Book Antiqua"/>
          <w:i/>
          <w:iCs/>
          <w:sz w:val="20"/>
          <w:szCs w:val="20"/>
        </w:rPr>
        <w:t>Lachnospiraceae</w:t>
      </w:r>
      <w:r>
        <w:rPr>
          <w:rFonts w:ascii="Book Antiqua" w:hAnsi="Book Antiqua" w:cs="Book Antiqua"/>
          <w:sz w:val="20"/>
          <w:szCs w:val="20"/>
        </w:rPr>
        <w:t xml:space="preserve"> in patients with CRA may be associated with intestinal mucosal inflammation and the immune response. Different dietary components may change intestinal microbial composition and inflammatory markers</w:t>
      </w:r>
      <w:r>
        <w:rPr>
          <w:rFonts w:ascii="Book Antiqua" w:hAnsi="Book Antiqua" w:cs="Book Antiqua"/>
          <w:sz w:val="20"/>
          <w:szCs w:val="20"/>
          <w:vertAlign w:val="superscript"/>
        </w:rPr>
        <w:t>[15]</w:t>
      </w:r>
      <w:r>
        <w:rPr>
          <w:rFonts w:ascii="Book Antiqua" w:hAnsi="Book Antiqua" w:cs="Book Antiqua"/>
          <w:sz w:val="20"/>
          <w:szCs w:val="20"/>
        </w:rPr>
        <w:t>. There is evidence that CRP and IL-6 levels are different, not only between colorectal adenoma and cancer, but also between cancer stages</w:t>
      </w:r>
      <w:r>
        <w:rPr>
          <w:rFonts w:ascii="Book Antiqua" w:hAnsi="Book Antiqua" w:cs="Book Antiqua"/>
          <w:sz w:val="20"/>
          <w:szCs w:val="20"/>
          <w:vertAlign w:val="superscript"/>
        </w:rPr>
        <w:t>[16]</w:t>
      </w:r>
      <w:r>
        <w:rPr>
          <w:rFonts w:ascii="Book Antiqua" w:hAnsi="Book Antiqua" w:cs="Book Antiqua"/>
          <w:sz w:val="20"/>
          <w:szCs w:val="20"/>
        </w:rPr>
        <w:t>. Probiotics may have preventive effects on CRC, but the specific mechanism is still unclear. The binding or degradation of heterocyclic aromatic amines by probiotics may be an effective mechanism for removing carcinogens from the human body</w:t>
      </w:r>
      <w:r>
        <w:rPr>
          <w:rFonts w:ascii="Book Antiqua" w:hAnsi="Book Antiqua" w:cs="Book Antiqua"/>
          <w:sz w:val="20"/>
          <w:szCs w:val="20"/>
          <w:vertAlign w:val="superscript"/>
        </w:rPr>
        <w:t>[17]</w:t>
      </w:r>
      <w:r>
        <w:rPr>
          <w:rFonts w:ascii="Book Antiqua" w:hAnsi="Book Antiqua" w:cs="Book Antiqua"/>
          <w:sz w:val="20"/>
          <w:szCs w:val="20"/>
        </w:rPr>
        <w:t>.</w:t>
      </w:r>
    </w:p>
    <w:p>
      <w:pPr>
        <w:widowControl/>
        <w:autoSpaceDE w:val="0"/>
        <w:autoSpaceDN w:val="0"/>
        <w:adjustRightInd w:val="0"/>
        <w:snapToGrid w:val="0"/>
        <w:spacing w:line="360" w:lineRule="auto"/>
        <w:ind w:firstLine="200" w:firstLineChars="100"/>
        <w:rPr>
          <w:rFonts w:ascii="Book Antiqua" w:hAnsi="Book Antiqua" w:cs="Book Antiqua"/>
          <w:bCs/>
          <w:sz w:val="20"/>
          <w:szCs w:val="20"/>
        </w:rPr>
      </w:pPr>
      <w:r>
        <w:rPr>
          <w:rFonts w:ascii="Book Antiqua" w:hAnsi="Book Antiqua" w:cs="Book Antiqua"/>
          <w:bCs/>
          <w:sz w:val="20"/>
          <w:szCs w:val="20"/>
        </w:rPr>
        <w:t>In the current study, CRA biomarkers were screened, but the relationship with the host requires further confirmation. The selective microbiota in this study also warrant further study in future clinical trials, and their role in the occurrence and development of CRA needs validation. With the development of intestinal microecological detection technology, changes in intestinal flora structure are expected to become an index to predict and evaluate the risk of CRC in hosts. At the same time, the use of microecological agents will provide new ideas and methods to prevent and treat CRC.</w:t>
      </w:r>
    </w:p>
    <w:p>
      <w:pPr>
        <w:widowControl/>
        <w:autoSpaceDE w:val="0"/>
        <w:autoSpaceDN w:val="0"/>
        <w:adjustRightInd w:val="0"/>
        <w:snapToGrid w:val="0"/>
        <w:spacing w:line="360" w:lineRule="auto"/>
        <w:rPr>
          <w:rFonts w:ascii="Book Antiqua" w:hAnsi="Book Antiqua" w:cs="Book Antiqua"/>
          <w:bCs/>
          <w:sz w:val="20"/>
          <w:szCs w:val="20"/>
        </w:rPr>
      </w:pPr>
    </w:p>
    <w:p>
      <w:pPr>
        <w:adjustRightInd w:val="0"/>
        <w:snapToGrid w:val="0"/>
        <w:spacing w:line="360" w:lineRule="auto"/>
        <w:rPr>
          <w:rFonts w:ascii="Book Antiqua" w:hAnsi="Book Antiqua" w:cstheme="minorHAnsi"/>
          <w:b/>
          <w:sz w:val="20"/>
          <w:szCs w:val="20"/>
          <w:u w:val="single"/>
        </w:rPr>
      </w:pPr>
      <w:bookmarkStart w:id="26" w:name="_Hlk5627588"/>
      <w:bookmarkStart w:id="27" w:name="OLE_LINK899"/>
      <w:r>
        <w:rPr>
          <w:rFonts w:ascii="Book Antiqua" w:hAnsi="Book Antiqua" w:cstheme="minorHAnsi"/>
          <w:b/>
          <w:sz w:val="20"/>
          <w:szCs w:val="20"/>
          <w:u w:val="single"/>
        </w:rPr>
        <w:t>ARTICLE HIGHLIGHTS</w:t>
      </w:r>
    </w:p>
    <w:p>
      <w:pPr>
        <w:adjustRightInd w:val="0"/>
        <w:snapToGrid w:val="0"/>
        <w:spacing w:line="360" w:lineRule="auto"/>
        <w:rPr>
          <w:rFonts w:ascii="Book Antiqua" w:hAnsi="Book Antiqua"/>
          <w:b/>
          <w:i/>
          <w:iCs/>
          <w:sz w:val="20"/>
          <w:szCs w:val="20"/>
        </w:rPr>
      </w:pPr>
      <w:r>
        <w:rPr>
          <w:rFonts w:ascii="Book Antiqua" w:hAnsi="Book Antiqua"/>
          <w:b/>
          <w:i/>
          <w:iCs/>
          <w:sz w:val="20"/>
          <w:szCs w:val="20"/>
        </w:rPr>
        <w:t>Research background</w:t>
      </w:r>
    </w:p>
    <w:p>
      <w:pPr>
        <w:adjustRightInd w:val="0"/>
        <w:snapToGrid w:val="0"/>
        <w:spacing w:line="360" w:lineRule="auto"/>
        <w:rPr>
          <w:rFonts w:ascii="Book Antiqua" w:hAnsi="Book Antiqua"/>
          <w:b/>
          <w:i/>
          <w:color w:val="000000"/>
          <w:sz w:val="20"/>
          <w:szCs w:val="20"/>
        </w:rPr>
      </w:pPr>
      <w:r>
        <w:rPr>
          <w:rFonts w:ascii="Book Antiqua" w:hAnsi="Book Antiqua" w:cs="Book Antiqua"/>
          <w:sz w:val="20"/>
          <w:szCs w:val="20"/>
        </w:rPr>
        <w:t>Colorectal adenomas (CRAs)</w:t>
      </w:r>
      <w:r>
        <w:rPr>
          <w:rFonts w:ascii="Book Antiqua" w:hAnsi="Book Antiqua" w:cs="Book Antiqua"/>
          <w:bCs/>
          <w:sz w:val="20"/>
          <w:szCs w:val="20"/>
        </w:rPr>
        <w:t xml:space="preserve"> are major precancerous lesions in </w:t>
      </w:r>
      <w:r>
        <w:rPr>
          <w:rFonts w:ascii="Book Antiqua" w:hAnsi="Book Antiqua" w:cs="Book Antiqua"/>
          <w:sz w:val="20"/>
          <w:szCs w:val="20"/>
        </w:rPr>
        <w:t>colorectal cancer (CRC)</w:t>
      </w:r>
      <w:r>
        <w:rPr>
          <w:rFonts w:ascii="Book Antiqua" w:hAnsi="Book Antiqua" w:cs="Book Antiqua"/>
          <w:bCs/>
          <w:sz w:val="20"/>
          <w:szCs w:val="20"/>
        </w:rPr>
        <w:t>, which can greatly reduce the incidence and mortality of CRC and improve the quality of patient life. At present, many scholars have begun to study the relationship between intestinal flora and CRA. This paper provides a future direction for the prevention and treatment of by measuring the composition and diversity of intestinal flora in CRA patients, as well as the biomarkers related to it.</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motivation</w:t>
      </w:r>
    </w:p>
    <w:p>
      <w:pPr>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In order to further study the mechanism of CRC and its precancerous lesion CRA, the composition and diversity of intestinal flora in patients with CRA were determined by 16S rRNA gene sequencing, and the related biomarkers were also determined. However, the results obtained in this study need to be further verified in the population, and the relationship between the screened biomarkers and the host needs to be further confirmed.</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objectives</w:t>
      </w:r>
    </w:p>
    <w:p>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This study found that the diversity of intestinal flora decreased in patients with CRA, and an increase in the number of </w:t>
      </w:r>
      <w:r>
        <w:rPr>
          <w:rFonts w:ascii="Book Antiqua" w:hAnsi="Book Antiqua" w:cs="Book Antiqua"/>
          <w:bCs/>
          <w:i/>
          <w:iCs/>
          <w:sz w:val="20"/>
          <w:szCs w:val="20"/>
        </w:rPr>
        <w:t>Halomonadaceae</w:t>
      </w:r>
      <w:r>
        <w:rPr>
          <w:rFonts w:ascii="Book Antiqua" w:hAnsi="Book Antiqua" w:cs="Book Antiqua"/>
          <w:bCs/>
          <w:sz w:val="20"/>
          <w:szCs w:val="20"/>
        </w:rPr>
        <w:t xml:space="preserve"> and </w:t>
      </w:r>
      <w:r>
        <w:rPr>
          <w:rFonts w:ascii="Book Antiqua" w:hAnsi="Book Antiqua" w:cs="Book Antiqua"/>
          <w:bCs/>
          <w:i/>
          <w:iCs/>
          <w:sz w:val="20"/>
          <w:szCs w:val="20"/>
        </w:rPr>
        <w:t>Shewanella</w:t>
      </w:r>
      <w:r>
        <w:rPr>
          <w:rFonts w:ascii="Book Antiqua" w:hAnsi="Book Antiqua" w:cs="Book Antiqua"/>
          <w:bCs/>
          <w:sz w:val="20"/>
          <w:szCs w:val="20"/>
        </w:rPr>
        <w:t xml:space="preserve"> algae may be a marker of CRA, a finding that provides new insights into the mechanism of CRA and CRC, and their development in the future.</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methods</w:t>
      </w:r>
    </w:p>
    <w:p>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The intestinal flora composition of 36 healthy people and 49 patients with advanced CRA in Guangzhou First People’s Hospital was studied by 16s rRNA gene sequencing. The operational taxonomic unit and its abundance analysis, sample diversity analysis, principal component analysis of samples, differential analysis, and analysis of biomarkers were performed </w:t>
      </w:r>
      <w:r>
        <w:rPr>
          <w:rFonts w:ascii="Book Antiqua" w:hAnsi="Book Antiqua" w:cs="Book Antiqua"/>
          <w:bCs/>
          <w:i/>
          <w:iCs/>
          <w:sz w:val="20"/>
          <w:szCs w:val="20"/>
        </w:rPr>
        <w:t>via</w:t>
      </w:r>
      <w:r>
        <w:rPr>
          <w:rFonts w:ascii="Book Antiqua" w:hAnsi="Book Antiqua" w:cs="Book Antiqua"/>
          <w:bCs/>
          <w:sz w:val="20"/>
          <w:szCs w:val="20"/>
        </w:rPr>
        <w:t xml:space="preserve"> bioinformatics analysis.</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results</w:t>
      </w:r>
    </w:p>
    <w:p>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This study found that the diversity of intestinal flora decreased in patients with CRA, and that an increase in the number of </w:t>
      </w:r>
      <w:r>
        <w:rPr>
          <w:rFonts w:ascii="Book Antiqua" w:hAnsi="Book Antiqua" w:cs="Book Antiqua"/>
          <w:bCs/>
          <w:i/>
          <w:iCs/>
          <w:sz w:val="20"/>
          <w:szCs w:val="20"/>
        </w:rPr>
        <w:t>Halomonadaceae</w:t>
      </w:r>
      <w:r>
        <w:rPr>
          <w:rFonts w:ascii="Book Antiqua" w:hAnsi="Book Antiqua" w:cs="Book Antiqua"/>
          <w:bCs/>
          <w:sz w:val="20"/>
          <w:szCs w:val="20"/>
        </w:rPr>
        <w:t xml:space="preserve"> and </w:t>
      </w:r>
      <w:r>
        <w:rPr>
          <w:rFonts w:ascii="Book Antiqua" w:hAnsi="Book Antiqua" w:cs="Book Antiqua"/>
          <w:bCs/>
          <w:i/>
          <w:iCs/>
          <w:sz w:val="20"/>
          <w:szCs w:val="20"/>
        </w:rPr>
        <w:t xml:space="preserve">Shewanella </w:t>
      </w:r>
      <w:r>
        <w:rPr>
          <w:rFonts w:ascii="Book Antiqua" w:hAnsi="Book Antiqua" w:cs="Book Antiqua"/>
          <w:bCs/>
          <w:sz w:val="20"/>
          <w:szCs w:val="20"/>
        </w:rPr>
        <w:t>algae may be a marker of CRA. However, the results of this study need to be further verified in the population, and the relationship between the selected biomarkers and the host needs to be further confirmed.</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conclusions</w:t>
      </w:r>
    </w:p>
    <w:p>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CRA is the main precancerous lesion in CRC. In this study, the composition and diversity of intestinal flora in CRA patients were measured by 16s rRNA gene sequencing and bioinformatics. It was found that the diversity of intestinal flora in CRA patients decreased, and that an increase in </w:t>
      </w:r>
      <w:r>
        <w:rPr>
          <w:rFonts w:ascii="Book Antiqua" w:hAnsi="Book Antiqua" w:cs="Book Antiqua"/>
          <w:bCs/>
          <w:i/>
          <w:iCs/>
          <w:sz w:val="20"/>
          <w:szCs w:val="20"/>
        </w:rPr>
        <w:t xml:space="preserve">Halomonadaceae </w:t>
      </w:r>
      <w:r>
        <w:rPr>
          <w:rFonts w:ascii="Book Antiqua" w:hAnsi="Book Antiqua" w:cs="Book Antiqua"/>
          <w:bCs/>
          <w:sz w:val="20"/>
          <w:szCs w:val="20"/>
        </w:rPr>
        <w:t xml:space="preserve">and </w:t>
      </w:r>
      <w:r>
        <w:rPr>
          <w:rFonts w:ascii="Book Antiqua" w:hAnsi="Book Antiqua" w:cs="Book Antiqua"/>
          <w:bCs/>
          <w:i/>
          <w:iCs/>
          <w:sz w:val="20"/>
          <w:szCs w:val="20"/>
        </w:rPr>
        <w:t>Shewanella</w:t>
      </w:r>
      <w:r>
        <w:rPr>
          <w:rFonts w:ascii="Book Antiqua" w:hAnsi="Book Antiqua" w:cs="Book Antiqua"/>
          <w:bCs/>
          <w:sz w:val="20"/>
          <w:szCs w:val="20"/>
        </w:rPr>
        <w:t xml:space="preserve"> </w:t>
      </w:r>
      <w:r>
        <w:rPr>
          <w:rFonts w:ascii="Book Antiqua" w:hAnsi="Book Antiqua" w:cs="Book Antiqua"/>
          <w:bCs/>
          <w:i/>
          <w:iCs/>
          <w:sz w:val="20"/>
          <w:szCs w:val="20"/>
        </w:rPr>
        <w:t>algae</w:t>
      </w:r>
      <w:r>
        <w:rPr>
          <w:rFonts w:ascii="Book Antiqua" w:hAnsi="Book Antiqua" w:cs="Book Antiqua"/>
          <w:bCs/>
          <w:sz w:val="20"/>
          <w:szCs w:val="20"/>
        </w:rPr>
        <w:t xml:space="preserve"> may be a biomarker of CRA. However, the results obtained in this study need to be further verified in the population, and the relationship between the selected biomarkers and the host also needs to be further confirmed. This finding provides new ideas for the future study of the mechanism of CRA and CRC.</w:t>
      </w:r>
    </w:p>
    <w:p>
      <w:pPr>
        <w:adjustRightInd w:val="0"/>
        <w:snapToGrid w:val="0"/>
        <w:spacing w:line="360" w:lineRule="auto"/>
        <w:rPr>
          <w:rFonts w:ascii="Book Antiqua" w:hAnsi="Book Antiqua"/>
          <w:b/>
          <w:i/>
          <w:color w:val="000000"/>
          <w:sz w:val="20"/>
          <w:szCs w:val="20"/>
        </w:rPr>
      </w:pPr>
    </w:p>
    <w:p>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perspectives</w:t>
      </w:r>
    </w:p>
    <w:p>
      <w:pPr>
        <w:adjustRightInd w:val="0"/>
        <w:snapToGrid w:val="0"/>
        <w:spacing w:line="360" w:lineRule="auto"/>
        <w:rPr>
          <w:rFonts w:ascii="Book Antiqua" w:hAnsi="Book Antiqua" w:cs="Book Antiqua"/>
          <w:bCs/>
          <w:sz w:val="20"/>
          <w:szCs w:val="20"/>
        </w:rPr>
      </w:pPr>
      <w:r>
        <w:rPr>
          <w:rFonts w:ascii="Book Antiqua" w:hAnsi="Book Antiqua" w:cs="Book Antiqua"/>
          <w:bCs/>
          <w:sz w:val="20"/>
          <w:szCs w:val="20"/>
        </w:rPr>
        <w:t>This study confirmed the difference in intestinal flora between normal people and CRA patients, and identified possible biomarkers. On this basis, future studies will further confirm the correlation, expand the sample size, and further study the interaction between biomarkers and hosts.</w:t>
      </w:r>
      <w:bookmarkEnd w:id="26"/>
      <w:bookmarkEnd w:id="27"/>
    </w:p>
    <w:p>
      <w:pPr>
        <w:adjustRightInd w:val="0"/>
        <w:snapToGrid w:val="0"/>
        <w:spacing w:line="360" w:lineRule="auto"/>
        <w:rPr>
          <w:rFonts w:ascii="Book Antiqua" w:hAnsi="Book Antiqua" w:cs="Book Antiqua"/>
          <w:bCs/>
          <w:sz w:val="20"/>
          <w:szCs w:val="20"/>
        </w:rPr>
      </w:pPr>
    </w:p>
    <w:p>
      <w:pPr>
        <w:adjustRightInd w:val="0"/>
        <w:snapToGrid w:val="0"/>
        <w:spacing w:line="360" w:lineRule="auto"/>
        <w:rPr>
          <w:rFonts w:ascii="Book Antiqua" w:hAnsi="Book Antiqua"/>
          <w:b/>
          <w:sz w:val="20"/>
          <w:szCs w:val="20"/>
        </w:rPr>
      </w:pPr>
      <w:r>
        <w:rPr>
          <w:rFonts w:ascii="Book Antiqua" w:hAnsi="Book Antiqua"/>
          <w:b/>
          <w:sz w:val="20"/>
          <w:szCs w:val="20"/>
        </w:rPr>
        <w:t>REFERENCES</w:t>
      </w:r>
    </w:p>
    <w:p>
      <w:pPr>
        <w:adjustRightInd w:val="0"/>
        <w:snapToGrid w:val="0"/>
        <w:spacing w:line="360" w:lineRule="auto"/>
        <w:rPr>
          <w:rFonts w:ascii="Book Antiqua" w:hAnsi="Book Antiqua"/>
          <w:sz w:val="20"/>
          <w:szCs w:val="20"/>
        </w:rPr>
      </w:pPr>
      <w:r>
        <w:rPr>
          <w:rFonts w:ascii="Book Antiqua" w:hAnsi="Book Antiqua"/>
          <w:sz w:val="20"/>
          <w:szCs w:val="20"/>
        </w:rPr>
        <w:t xml:space="preserve">1 </w:t>
      </w:r>
      <w:r>
        <w:rPr>
          <w:rFonts w:ascii="Book Antiqua" w:hAnsi="Book Antiqua"/>
          <w:b/>
          <w:sz w:val="20"/>
          <w:szCs w:val="20"/>
        </w:rPr>
        <w:t>Brenner H</w:t>
      </w:r>
      <w:r>
        <w:rPr>
          <w:rFonts w:ascii="Book Antiqua" w:hAnsi="Book Antiqua"/>
          <w:sz w:val="20"/>
          <w:szCs w:val="20"/>
        </w:rPr>
        <w:t xml:space="preserve">, Hoffmeister M, Stegmaier C, Brenner G, Altenhofen L, Haug U. Risk of progression of advanced adenomas to colorectal cancer by age and sex: estimates based on 840,149 screening colonoscopies. </w:t>
      </w:r>
      <w:r>
        <w:rPr>
          <w:rFonts w:ascii="Book Antiqua" w:hAnsi="Book Antiqua"/>
          <w:i/>
          <w:sz w:val="20"/>
          <w:szCs w:val="20"/>
        </w:rPr>
        <w:t>Gut</w:t>
      </w:r>
      <w:r>
        <w:rPr>
          <w:rFonts w:ascii="Book Antiqua" w:hAnsi="Book Antiqua"/>
          <w:sz w:val="20"/>
          <w:szCs w:val="20"/>
        </w:rPr>
        <w:t xml:space="preserve"> 2007; </w:t>
      </w:r>
      <w:r>
        <w:rPr>
          <w:rFonts w:ascii="Book Antiqua" w:hAnsi="Book Antiqua"/>
          <w:b/>
          <w:sz w:val="20"/>
          <w:szCs w:val="20"/>
        </w:rPr>
        <w:t>56</w:t>
      </w:r>
      <w:r>
        <w:rPr>
          <w:rFonts w:ascii="Book Antiqua" w:hAnsi="Book Antiqua"/>
          <w:sz w:val="20"/>
          <w:szCs w:val="20"/>
        </w:rPr>
        <w:t>: 1585-1589 [PMID: 17591622 DOI: 10.1136/gut.2007.122739]</w:t>
      </w:r>
    </w:p>
    <w:p>
      <w:pPr>
        <w:adjustRightInd w:val="0"/>
        <w:snapToGrid w:val="0"/>
        <w:spacing w:line="360" w:lineRule="auto"/>
        <w:rPr>
          <w:rFonts w:ascii="Book Antiqua" w:hAnsi="Book Antiqua"/>
          <w:sz w:val="20"/>
          <w:szCs w:val="20"/>
        </w:rPr>
      </w:pPr>
      <w:r>
        <w:rPr>
          <w:rFonts w:ascii="Book Antiqua" w:hAnsi="Book Antiqua"/>
          <w:sz w:val="20"/>
          <w:szCs w:val="20"/>
        </w:rPr>
        <w:t xml:space="preserve">2 </w:t>
      </w:r>
      <w:r>
        <w:rPr>
          <w:rFonts w:ascii="Book Antiqua" w:hAnsi="Book Antiqua"/>
          <w:b/>
          <w:sz w:val="20"/>
          <w:szCs w:val="20"/>
        </w:rPr>
        <w:t>Feng Q</w:t>
      </w:r>
      <w:r>
        <w:rPr>
          <w:rFonts w:ascii="Book Antiqua" w:hAnsi="Book Antiqua"/>
          <w:sz w:val="20"/>
          <w:szCs w:val="20"/>
        </w:rPr>
        <w:t xml:space="preserve">, Liang S, Jia H, Stadlmayr A, Tang L, Lan Z, Zhang D, Xia H, Xu X, Jie Z, Su L, Li X, Li X, Li J, Xiao L, Huber-Schönauer U, Niederseer D, Xu X, Al-Aama JY, Yang H, Wang J, Kristiansen K, Arumugam M, Tilg H, Datz C, Wang J. Gut microbiome development along the colorectal adenoma-carcinoma sequence. </w:t>
      </w:r>
      <w:r>
        <w:rPr>
          <w:rFonts w:ascii="Book Antiqua" w:hAnsi="Book Antiqua"/>
          <w:i/>
          <w:sz w:val="20"/>
          <w:szCs w:val="20"/>
        </w:rPr>
        <w:t>Nat Commun</w:t>
      </w:r>
      <w:r>
        <w:rPr>
          <w:rFonts w:ascii="Book Antiqua" w:hAnsi="Book Antiqua"/>
          <w:sz w:val="20"/>
          <w:szCs w:val="20"/>
        </w:rPr>
        <w:t xml:space="preserve"> 2015; </w:t>
      </w:r>
      <w:r>
        <w:rPr>
          <w:rFonts w:ascii="Book Antiqua" w:hAnsi="Book Antiqua"/>
          <w:b/>
          <w:sz w:val="20"/>
          <w:szCs w:val="20"/>
        </w:rPr>
        <w:t>6</w:t>
      </w:r>
      <w:r>
        <w:rPr>
          <w:rFonts w:ascii="Book Antiqua" w:hAnsi="Book Antiqua"/>
          <w:sz w:val="20"/>
          <w:szCs w:val="20"/>
        </w:rPr>
        <w:t>: 6528 [PMID: 25758642 DOI: 10.1038/ncomms7528]</w:t>
      </w:r>
    </w:p>
    <w:p>
      <w:pPr>
        <w:adjustRightInd w:val="0"/>
        <w:snapToGrid w:val="0"/>
        <w:spacing w:line="360" w:lineRule="auto"/>
        <w:rPr>
          <w:rFonts w:ascii="Book Antiqua" w:hAnsi="Book Antiqua"/>
          <w:sz w:val="20"/>
          <w:szCs w:val="20"/>
        </w:rPr>
      </w:pPr>
      <w:r>
        <w:rPr>
          <w:rFonts w:ascii="Book Antiqua" w:hAnsi="Book Antiqua"/>
          <w:sz w:val="20"/>
          <w:szCs w:val="20"/>
        </w:rPr>
        <w:t xml:space="preserve">3 </w:t>
      </w:r>
      <w:r>
        <w:rPr>
          <w:rFonts w:ascii="Book Antiqua" w:hAnsi="Book Antiqua"/>
          <w:b/>
          <w:sz w:val="20"/>
          <w:szCs w:val="20"/>
        </w:rPr>
        <w:t>Yu YN</w:t>
      </w:r>
      <w:r>
        <w:rPr>
          <w:rFonts w:ascii="Book Antiqua" w:hAnsi="Book Antiqua"/>
          <w:sz w:val="20"/>
          <w:szCs w:val="20"/>
        </w:rPr>
        <w:t xml:space="preserve">, Fang JY. Gut Microbiota and Colorectal Cancer. </w:t>
      </w:r>
      <w:r>
        <w:rPr>
          <w:rFonts w:ascii="Book Antiqua" w:hAnsi="Book Antiqua"/>
          <w:i/>
          <w:sz w:val="20"/>
          <w:szCs w:val="20"/>
        </w:rPr>
        <w:t>Gastrointest Tumors</w:t>
      </w:r>
      <w:r>
        <w:rPr>
          <w:rFonts w:ascii="Book Antiqua" w:hAnsi="Book Antiqua"/>
          <w:sz w:val="20"/>
          <w:szCs w:val="20"/>
        </w:rPr>
        <w:t xml:space="preserve"> 2015; </w:t>
      </w:r>
      <w:r>
        <w:rPr>
          <w:rFonts w:ascii="Book Antiqua" w:hAnsi="Book Antiqua"/>
          <w:b/>
          <w:sz w:val="20"/>
          <w:szCs w:val="20"/>
        </w:rPr>
        <w:t>2</w:t>
      </w:r>
      <w:r>
        <w:rPr>
          <w:rFonts w:ascii="Book Antiqua" w:hAnsi="Book Antiqua"/>
          <w:sz w:val="20"/>
          <w:szCs w:val="20"/>
        </w:rPr>
        <w:t>: 26-32 [PMID: 26674881 DOI: 10.1159/000380892]</w:t>
      </w:r>
    </w:p>
    <w:p>
      <w:pPr>
        <w:adjustRightInd w:val="0"/>
        <w:snapToGrid w:val="0"/>
        <w:spacing w:line="360" w:lineRule="auto"/>
        <w:rPr>
          <w:rFonts w:ascii="Book Antiqua" w:hAnsi="Book Antiqua"/>
          <w:sz w:val="20"/>
          <w:szCs w:val="20"/>
        </w:rPr>
      </w:pPr>
      <w:r>
        <w:rPr>
          <w:rFonts w:ascii="Book Antiqua" w:hAnsi="Book Antiqua"/>
          <w:sz w:val="20"/>
          <w:szCs w:val="20"/>
        </w:rPr>
        <w:t xml:space="preserve">4 </w:t>
      </w:r>
      <w:r>
        <w:rPr>
          <w:rFonts w:ascii="Book Antiqua" w:hAnsi="Book Antiqua"/>
          <w:b/>
          <w:sz w:val="20"/>
          <w:szCs w:val="20"/>
        </w:rPr>
        <w:t>Chen W</w:t>
      </w:r>
      <w:r>
        <w:rPr>
          <w:rFonts w:ascii="Book Antiqua" w:hAnsi="Book Antiqua"/>
          <w:sz w:val="20"/>
          <w:szCs w:val="20"/>
        </w:rPr>
        <w:t xml:space="preserve">, Liu F, Ling Z, Tong X, Xiang C. Human intestinal lumen and mucosa-associated microbiota in patients with colorectal cancer. </w:t>
      </w:r>
      <w:r>
        <w:rPr>
          <w:rFonts w:ascii="Book Antiqua" w:hAnsi="Book Antiqua"/>
          <w:i/>
          <w:sz w:val="20"/>
          <w:szCs w:val="20"/>
        </w:rPr>
        <w:t>PLoS One</w:t>
      </w:r>
      <w:r>
        <w:rPr>
          <w:rFonts w:ascii="Book Antiqua" w:hAnsi="Book Antiqua"/>
          <w:sz w:val="20"/>
          <w:szCs w:val="20"/>
        </w:rPr>
        <w:t xml:space="preserve"> 2012; </w:t>
      </w:r>
      <w:r>
        <w:rPr>
          <w:rFonts w:ascii="Book Antiqua" w:hAnsi="Book Antiqua"/>
          <w:b/>
          <w:sz w:val="20"/>
          <w:szCs w:val="20"/>
        </w:rPr>
        <w:t>7</w:t>
      </w:r>
      <w:r>
        <w:rPr>
          <w:rFonts w:ascii="Book Antiqua" w:hAnsi="Book Antiqua"/>
          <w:sz w:val="20"/>
          <w:szCs w:val="20"/>
        </w:rPr>
        <w:t>: e39743 [PMID: 22761885 DOI: 10.1371/journal.pone.0039743]</w:t>
      </w:r>
    </w:p>
    <w:p>
      <w:pPr>
        <w:adjustRightInd w:val="0"/>
        <w:snapToGrid w:val="0"/>
        <w:spacing w:line="360" w:lineRule="auto"/>
        <w:rPr>
          <w:rFonts w:ascii="Book Antiqua" w:hAnsi="Book Antiqua"/>
          <w:sz w:val="20"/>
          <w:szCs w:val="20"/>
        </w:rPr>
      </w:pPr>
      <w:r>
        <w:rPr>
          <w:rFonts w:ascii="Book Antiqua" w:hAnsi="Book Antiqua"/>
          <w:sz w:val="20"/>
          <w:szCs w:val="20"/>
        </w:rPr>
        <w:t xml:space="preserve">5 </w:t>
      </w:r>
      <w:r>
        <w:rPr>
          <w:rFonts w:ascii="Book Antiqua" w:hAnsi="Book Antiqua"/>
          <w:b/>
          <w:sz w:val="20"/>
          <w:szCs w:val="20"/>
        </w:rPr>
        <w:t>Charles MV</w:t>
      </w:r>
      <w:r>
        <w:rPr>
          <w:rFonts w:ascii="Book Antiqua" w:hAnsi="Book Antiqua"/>
          <w:sz w:val="20"/>
          <w:szCs w:val="20"/>
        </w:rPr>
        <w:t xml:space="preserve">, Srirangaraj S, Kali A. Neonatal sepsis caused by Shewanella algae: A case report. </w:t>
      </w:r>
      <w:r>
        <w:rPr>
          <w:rFonts w:ascii="Book Antiqua" w:hAnsi="Book Antiqua"/>
          <w:i/>
          <w:sz w:val="20"/>
          <w:szCs w:val="20"/>
        </w:rPr>
        <w:t>Australas Med J</w:t>
      </w:r>
      <w:r>
        <w:rPr>
          <w:rFonts w:ascii="Book Antiqua" w:hAnsi="Book Antiqua"/>
          <w:sz w:val="20"/>
          <w:szCs w:val="20"/>
        </w:rPr>
        <w:t xml:space="preserve"> 2015; </w:t>
      </w:r>
      <w:r>
        <w:rPr>
          <w:rFonts w:ascii="Book Antiqua" w:hAnsi="Book Antiqua"/>
          <w:b/>
          <w:sz w:val="20"/>
          <w:szCs w:val="20"/>
        </w:rPr>
        <w:t>8</w:t>
      </w:r>
      <w:r>
        <w:rPr>
          <w:rFonts w:ascii="Book Antiqua" w:hAnsi="Book Antiqua"/>
          <w:sz w:val="20"/>
          <w:szCs w:val="20"/>
        </w:rPr>
        <w:t>: 64-66 [PMID: 25810789 DOI: 10.4066/AMJ.2015.2292]</w:t>
      </w:r>
    </w:p>
    <w:p>
      <w:pPr>
        <w:adjustRightInd w:val="0"/>
        <w:snapToGrid w:val="0"/>
        <w:spacing w:line="360" w:lineRule="auto"/>
        <w:rPr>
          <w:rFonts w:ascii="Book Antiqua" w:hAnsi="Book Antiqua"/>
          <w:sz w:val="20"/>
          <w:szCs w:val="20"/>
        </w:rPr>
      </w:pPr>
      <w:r>
        <w:rPr>
          <w:rFonts w:ascii="Book Antiqua" w:hAnsi="Book Antiqua"/>
          <w:sz w:val="20"/>
          <w:szCs w:val="20"/>
        </w:rPr>
        <w:t xml:space="preserve">6 </w:t>
      </w:r>
      <w:r>
        <w:rPr>
          <w:rFonts w:ascii="Book Antiqua" w:hAnsi="Book Antiqua"/>
          <w:b/>
          <w:sz w:val="20"/>
          <w:szCs w:val="20"/>
        </w:rPr>
        <w:t>Dey S</w:t>
      </w:r>
      <w:r>
        <w:rPr>
          <w:rFonts w:ascii="Book Antiqua" w:hAnsi="Book Antiqua"/>
          <w:sz w:val="20"/>
          <w:szCs w:val="20"/>
        </w:rPr>
        <w:t xml:space="preserve">, Bhattacharya D, Roy S, Nadgir SD, Patil A, Kholkute SD. Shewanella algae in acute gastroenteritis. </w:t>
      </w:r>
      <w:r>
        <w:rPr>
          <w:rFonts w:ascii="Book Antiqua" w:hAnsi="Book Antiqua"/>
          <w:i/>
          <w:sz w:val="20"/>
          <w:szCs w:val="20"/>
        </w:rPr>
        <w:t>Indian J Med Microbiol</w:t>
      </w:r>
      <w:r>
        <w:rPr>
          <w:rFonts w:ascii="Book Antiqua" w:hAnsi="Book Antiqua"/>
          <w:sz w:val="20"/>
          <w:szCs w:val="20"/>
        </w:rPr>
        <w:t xml:space="preserve"> 2015; </w:t>
      </w:r>
      <w:r>
        <w:rPr>
          <w:rFonts w:ascii="Book Antiqua" w:hAnsi="Book Antiqua"/>
          <w:b/>
          <w:sz w:val="20"/>
          <w:szCs w:val="20"/>
        </w:rPr>
        <w:t>33</w:t>
      </w:r>
      <w:r>
        <w:rPr>
          <w:rFonts w:ascii="Book Antiqua" w:hAnsi="Book Antiqua"/>
          <w:sz w:val="20"/>
          <w:szCs w:val="20"/>
        </w:rPr>
        <w:t>: 172-175 [PMID: 25560029 DOI: 10.4103/0255-0857.148442]</w:t>
      </w:r>
    </w:p>
    <w:p>
      <w:pPr>
        <w:adjustRightInd w:val="0"/>
        <w:snapToGrid w:val="0"/>
        <w:spacing w:line="360" w:lineRule="auto"/>
        <w:rPr>
          <w:rFonts w:ascii="Book Antiqua" w:hAnsi="Book Antiqua"/>
          <w:sz w:val="20"/>
          <w:szCs w:val="20"/>
        </w:rPr>
      </w:pPr>
      <w:r>
        <w:rPr>
          <w:rFonts w:ascii="Book Antiqua" w:hAnsi="Book Antiqua"/>
          <w:sz w:val="20"/>
          <w:szCs w:val="20"/>
        </w:rPr>
        <w:t xml:space="preserve">7 </w:t>
      </w:r>
      <w:r>
        <w:rPr>
          <w:rFonts w:ascii="Book Antiqua" w:hAnsi="Book Antiqua"/>
          <w:b/>
          <w:sz w:val="20"/>
          <w:szCs w:val="20"/>
        </w:rPr>
        <w:t>Sumathi BG</w:t>
      </w:r>
      <w:r>
        <w:rPr>
          <w:rFonts w:ascii="Book Antiqua" w:hAnsi="Book Antiqua"/>
          <w:sz w:val="20"/>
          <w:szCs w:val="20"/>
        </w:rPr>
        <w:t xml:space="preserve">, Kumarswamy SR, Amritam U, Arjunan R. Shewanella algae: First case report of the fast-emerging marine pathogen from squamous cell carcinoma patient in India. </w:t>
      </w:r>
      <w:r>
        <w:rPr>
          <w:rFonts w:ascii="Book Antiqua" w:hAnsi="Book Antiqua"/>
          <w:i/>
          <w:sz w:val="20"/>
          <w:szCs w:val="20"/>
        </w:rPr>
        <w:t>South Asian J Cancer</w:t>
      </w:r>
      <w:r>
        <w:rPr>
          <w:rFonts w:ascii="Book Antiqua" w:hAnsi="Book Antiqua"/>
          <w:sz w:val="20"/>
          <w:szCs w:val="20"/>
        </w:rPr>
        <w:t xml:space="preserve"> 2014; </w:t>
      </w:r>
      <w:r>
        <w:rPr>
          <w:rFonts w:ascii="Book Antiqua" w:hAnsi="Book Antiqua"/>
          <w:b/>
          <w:sz w:val="20"/>
          <w:szCs w:val="20"/>
        </w:rPr>
        <w:t>3</w:t>
      </w:r>
      <w:r>
        <w:rPr>
          <w:rFonts w:ascii="Book Antiqua" w:hAnsi="Book Antiqua"/>
          <w:sz w:val="20"/>
          <w:szCs w:val="20"/>
        </w:rPr>
        <w:t>: 188-189 [PMID: 25136533 DOI: 10.4103/2278-330X.136819]</w:t>
      </w:r>
    </w:p>
    <w:p>
      <w:pPr>
        <w:adjustRightInd w:val="0"/>
        <w:snapToGrid w:val="0"/>
        <w:spacing w:line="360" w:lineRule="auto"/>
        <w:rPr>
          <w:rFonts w:ascii="Book Antiqua" w:hAnsi="Book Antiqua"/>
          <w:sz w:val="20"/>
          <w:szCs w:val="20"/>
        </w:rPr>
      </w:pPr>
      <w:r>
        <w:rPr>
          <w:rFonts w:ascii="Book Antiqua" w:hAnsi="Book Antiqua"/>
          <w:sz w:val="20"/>
          <w:szCs w:val="20"/>
        </w:rPr>
        <w:t xml:space="preserve">8 </w:t>
      </w:r>
      <w:r>
        <w:rPr>
          <w:rFonts w:ascii="Book Antiqua" w:hAnsi="Book Antiqua"/>
          <w:b/>
          <w:sz w:val="20"/>
          <w:szCs w:val="20"/>
        </w:rPr>
        <w:t>Gong AD</w:t>
      </w:r>
      <w:r>
        <w:rPr>
          <w:rFonts w:ascii="Book Antiqua" w:hAnsi="Book Antiqua"/>
          <w:sz w:val="20"/>
          <w:szCs w:val="20"/>
        </w:rPr>
        <w:t xml:space="preserve">, Li HP, Shen L, Zhang JB, Wu AB, He WJ, Yuan QS, He JD, Liao YC. The Shewanella algae strain YM8 produces volatiles with strong inhibition activity against Aspergillus pathogens and aflatoxins. </w:t>
      </w:r>
      <w:r>
        <w:rPr>
          <w:rFonts w:ascii="Book Antiqua" w:hAnsi="Book Antiqua"/>
          <w:i/>
          <w:sz w:val="20"/>
          <w:szCs w:val="20"/>
        </w:rPr>
        <w:t>Front Microbiol</w:t>
      </w:r>
      <w:r>
        <w:rPr>
          <w:rFonts w:ascii="Book Antiqua" w:hAnsi="Book Antiqua"/>
          <w:sz w:val="20"/>
          <w:szCs w:val="20"/>
        </w:rPr>
        <w:t xml:space="preserve"> 2015; </w:t>
      </w:r>
      <w:r>
        <w:rPr>
          <w:rFonts w:ascii="Book Antiqua" w:hAnsi="Book Antiqua"/>
          <w:b/>
          <w:sz w:val="20"/>
          <w:szCs w:val="20"/>
        </w:rPr>
        <w:t>6</w:t>
      </w:r>
      <w:r>
        <w:rPr>
          <w:rFonts w:ascii="Book Antiqua" w:hAnsi="Book Antiqua"/>
          <w:sz w:val="20"/>
          <w:szCs w:val="20"/>
        </w:rPr>
        <w:t>: 1091 [PMID: 26500631 DOI: 10.3389/fmicb.2015.01091]</w:t>
      </w:r>
    </w:p>
    <w:p>
      <w:pPr>
        <w:adjustRightInd w:val="0"/>
        <w:snapToGrid w:val="0"/>
        <w:spacing w:line="360" w:lineRule="auto"/>
        <w:rPr>
          <w:rFonts w:ascii="Book Antiqua" w:hAnsi="Book Antiqua"/>
          <w:sz w:val="20"/>
          <w:szCs w:val="20"/>
        </w:rPr>
      </w:pPr>
      <w:r>
        <w:rPr>
          <w:rFonts w:ascii="Book Antiqua" w:hAnsi="Book Antiqua"/>
          <w:sz w:val="20"/>
          <w:szCs w:val="20"/>
        </w:rPr>
        <w:t xml:space="preserve">9 </w:t>
      </w:r>
      <w:r>
        <w:rPr>
          <w:rFonts w:ascii="Book Antiqua" w:hAnsi="Book Antiqua"/>
          <w:b/>
          <w:sz w:val="20"/>
          <w:szCs w:val="20"/>
        </w:rPr>
        <w:t>Telke AA</w:t>
      </w:r>
      <w:r>
        <w:rPr>
          <w:rFonts w:ascii="Book Antiqua" w:hAnsi="Book Antiqua"/>
          <w:sz w:val="20"/>
          <w:szCs w:val="20"/>
        </w:rPr>
        <w:t xml:space="preserve">, Rolain JM. Functional genomics to discover antibiotic resistance genes: The paradigm of resistance to colistin mediated by ethanolamine phosphotransferase in Shewanella algae MARS 14. </w:t>
      </w:r>
      <w:r>
        <w:rPr>
          <w:rFonts w:ascii="Book Antiqua" w:hAnsi="Book Antiqua"/>
          <w:i/>
          <w:sz w:val="20"/>
          <w:szCs w:val="20"/>
        </w:rPr>
        <w:t>Int J Antimicrob Agents</w:t>
      </w:r>
      <w:r>
        <w:rPr>
          <w:rFonts w:ascii="Book Antiqua" w:hAnsi="Book Antiqua"/>
          <w:sz w:val="20"/>
          <w:szCs w:val="20"/>
        </w:rPr>
        <w:t xml:space="preserve"> 2015; </w:t>
      </w:r>
      <w:r>
        <w:rPr>
          <w:rFonts w:ascii="Book Antiqua" w:hAnsi="Book Antiqua"/>
          <w:b/>
          <w:sz w:val="20"/>
          <w:szCs w:val="20"/>
        </w:rPr>
        <w:t>46</w:t>
      </w:r>
      <w:r>
        <w:rPr>
          <w:rFonts w:ascii="Book Antiqua" w:hAnsi="Book Antiqua"/>
          <w:sz w:val="20"/>
          <w:szCs w:val="20"/>
        </w:rPr>
        <w:t>: 648-652 [PMID: 26498987 DOI: 10.1016/j.ijantimicag.2015.09.001]</w:t>
      </w:r>
    </w:p>
    <w:p>
      <w:pPr>
        <w:adjustRightInd w:val="0"/>
        <w:snapToGrid w:val="0"/>
        <w:spacing w:line="360" w:lineRule="auto"/>
        <w:rPr>
          <w:rFonts w:ascii="Book Antiqua" w:hAnsi="Book Antiqua"/>
          <w:sz w:val="20"/>
          <w:szCs w:val="20"/>
        </w:rPr>
      </w:pPr>
      <w:r>
        <w:rPr>
          <w:rFonts w:ascii="Book Antiqua" w:hAnsi="Book Antiqua"/>
          <w:sz w:val="20"/>
          <w:szCs w:val="20"/>
        </w:rPr>
        <w:t xml:space="preserve">10 </w:t>
      </w:r>
      <w:r>
        <w:rPr>
          <w:rFonts w:ascii="Book Antiqua" w:hAnsi="Book Antiqua"/>
          <w:b/>
          <w:sz w:val="20"/>
          <w:szCs w:val="20"/>
        </w:rPr>
        <w:t>Liang T</w:t>
      </w:r>
      <w:r>
        <w:rPr>
          <w:rFonts w:ascii="Book Antiqua" w:hAnsi="Book Antiqua"/>
          <w:sz w:val="20"/>
          <w:szCs w:val="20"/>
        </w:rPr>
        <w:t xml:space="preserve">, Su W, Zhang Q, Li G, Gao S, Lou J, Zhang Y, Ma T, Bai X. Roles of Sphincter of Oddi Laxity in Bile Duct Microenvironment in Patients with Cholangiolithiasis: From the Perspective of the Microbiome and Metabolome. </w:t>
      </w:r>
      <w:r>
        <w:rPr>
          <w:rFonts w:ascii="Book Antiqua" w:hAnsi="Book Antiqua"/>
          <w:i/>
          <w:sz w:val="20"/>
          <w:szCs w:val="20"/>
        </w:rPr>
        <w:t>J Am Coll Surg</w:t>
      </w:r>
      <w:r>
        <w:rPr>
          <w:rFonts w:ascii="Book Antiqua" w:hAnsi="Book Antiqua"/>
          <w:sz w:val="20"/>
          <w:szCs w:val="20"/>
        </w:rPr>
        <w:t xml:space="preserve"> 2016; </w:t>
      </w:r>
      <w:r>
        <w:rPr>
          <w:rFonts w:ascii="Book Antiqua" w:hAnsi="Book Antiqua"/>
          <w:b/>
          <w:sz w:val="20"/>
          <w:szCs w:val="20"/>
        </w:rPr>
        <w:t>222</w:t>
      </w:r>
      <w:r>
        <w:rPr>
          <w:rFonts w:ascii="Book Antiqua" w:hAnsi="Book Antiqua"/>
          <w:sz w:val="20"/>
          <w:szCs w:val="20"/>
        </w:rPr>
        <w:t>: 269-280.e10 [PMID: 26922601 DOI: 10.1016/j.jamcollsurg.2015.12.009]</w:t>
      </w:r>
    </w:p>
    <w:p>
      <w:pPr>
        <w:adjustRightInd w:val="0"/>
        <w:snapToGrid w:val="0"/>
        <w:spacing w:line="360" w:lineRule="auto"/>
        <w:rPr>
          <w:rFonts w:ascii="Book Antiqua" w:hAnsi="Book Antiqua"/>
          <w:sz w:val="20"/>
          <w:szCs w:val="20"/>
        </w:rPr>
      </w:pPr>
      <w:r>
        <w:rPr>
          <w:rFonts w:ascii="Book Antiqua" w:hAnsi="Book Antiqua"/>
          <w:sz w:val="20"/>
          <w:szCs w:val="20"/>
        </w:rPr>
        <w:t xml:space="preserve">11 </w:t>
      </w:r>
      <w:r>
        <w:rPr>
          <w:rFonts w:ascii="Book Antiqua" w:hAnsi="Book Antiqua"/>
          <w:b/>
          <w:sz w:val="20"/>
          <w:szCs w:val="20"/>
        </w:rPr>
        <w:t>Srinivas J</w:t>
      </w:r>
      <w:r>
        <w:rPr>
          <w:rFonts w:ascii="Book Antiqua" w:hAnsi="Book Antiqua"/>
          <w:sz w:val="20"/>
          <w:szCs w:val="20"/>
        </w:rPr>
        <w:t xml:space="preserve">, Pillai M, Vinod V, Dinesh RK. Skin and Soft Tissue Infections due to Shewanella algae - An Emerging Pathogen. </w:t>
      </w:r>
      <w:r>
        <w:rPr>
          <w:rFonts w:ascii="Book Antiqua" w:hAnsi="Book Antiqua"/>
          <w:i/>
          <w:sz w:val="20"/>
          <w:szCs w:val="20"/>
        </w:rPr>
        <w:t>J Clin Diagn Res</w:t>
      </w:r>
      <w:r>
        <w:rPr>
          <w:rFonts w:ascii="Book Antiqua" w:hAnsi="Book Antiqua"/>
          <w:sz w:val="20"/>
          <w:szCs w:val="20"/>
        </w:rPr>
        <w:t xml:space="preserve"> 2015; </w:t>
      </w:r>
      <w:r>
        <w:rPr>
          <w:rFonts w:ascii="Book Antiqua" w:hAnsi="Book Antiqua"/>
          <w:b/>
          <w:sz w:val="20"/>
          <w:szCs w:val="20"/>
        </w:rPr>
        <w:t>9</w:t>
      </w:r>
      <w:r>
        <w:rPr>
          <w:rFonts w:ascii="Book Antiqua" w:hAnsi="Book Antiqua"/>
          <w:sz w:val="20"/>
          <w:szCs w:val="20"/>
        </w:rPr>
        <w:t>: DC16-DC20 [PMID: 25859455 DOI: 10.7860/JCDR/2015/12152.5585]</w:t>
      </w:r>
    </w:p>
    <w:p>
      <w:pPr>
        <w:adjustRightInd w:val="0"/>
        <w:snapToGrid w:val="0"/>
        <w:spacing w:line="360" w:lineRule="auto"/>
        <w:rPr>
          <w:rFonts w:ascii="Book Antiqua" w:hAnsi="Book Antiqua"/>
          <w:sz w:val="20"/>
          <w:szCs w:val="20"/>
        </w:rPr>
      </w:pPr>
      <w:r>
        <w:rPr>
          <w:rFonts w:ascii="Book Antiqua" w:hAnsi="Book Antiqua"/>
          <w:sz w:val="20"/>
          <w:szCs w:val="20"/>
        </w:rPr>
        <w:t xml:space="preserve">12 </w:t>
      </w:r>
      <w:r>
        <w:rPr>
          <w:rFonts w:ascii="Book Antiqua" w:hAnsi="Book Antiqua"/>
          <w:b/>
          <w:sz w:val="20"/>
          <w:szCs w:val="20"/>
        </w:rPr>
        <w:t>Arumugam M</w:t>
      </w:r>
      <w:r>
        <w:rPr>
          <w:rFonts w:ascii="Book Antiqua" w:hAnsi="Book Antiqua"/>
          <w:sz w:val="20"/>
          <w:szCs w:val="20"/>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Pr>
          <w:rFonts w:ascii="Book Antiqua" w:hAnsi="Book Antiqua"/>
          <w:i/>
          <w:sz w:val="20"/>
          <w:szCs w:val="20"/>
        </w:rPr>
        <w:t>Nature</w:t>
      </w:r>
      <w:r>
        <w:rPr>
          <w:rFonts w:ascii="Book Antiqua" w:hAnsi="Book Antiqua"/>
          <w:sz w:val="20"/>
          <w:szCs w:val="20"/>
        </w:rPr>
        <w:t xml:space="preserve"> 2011; </w:t>
      </w:r>
      <w:r>
        <w:rPr>
          <w:rFonts w:ascii="Book Antiqua" w:hAnsi="Book Antiqua"/>
          <w:b/>
          <w:sz w:val="20"/>
          <w:szCs w:val="20"/>
        </w:rPr>
        <w:t>473</w:t>
      </w:r>
      <w:r>
        <w:rPr>
          <w:rFonts w:ascii="Book Antiqua" w:hAnsi="Book Antiqua"/>
          <w:sz w:val="20"/>
          <w:szCs w:val="20"/>
        </w:rPr>
        <w:t>: 174-180 [PMID: 21508958 DOI: 10.1038/nature09944]</w:t>
      </w:r>
    </w:p>
    <w:p>
      <w:pPr>
        <w:adjustRightInd w:val="0"/>
        <w:snapToGrid w:val="0"/>
        <w:spacing w:line="360" w:lineRule="auto"/>
        <w:rPr>
          <w:rFonts w:ascii="Book Antiqua" w:hAnsi="Book Antiqua"/>
          <w:sz w:val="20"/>
          <w:szCs w:val="20"/>
        </w:rPr>
      </w:pPr>
      <w:r>
        <w:rPr>
          <w:rFonts w:ascii="Book Antiqua" w:hAnsi="Book Antiqua"/>
          <w:sz w:val="20"/>
          <w:szCs w:val="20"/>
        </w:rPr>
        <w:t xml:space="preserve">13 </w:t>
      </w:r>
      <w:r>
        <w:rPr>
          <w:rFonts w:ascii="Book Antiqua" w:hAnsi="Book Antiqua"/>
          <w:b/>
          <w:sz w:val="20"/>
          <w:szCs w:val="20"/>
        </w:rPr>
        <w:t>Reeves AE</w:t>
      </w:r>
      <w:r>
        <w:rPr>
          <w:rFonts w:ascii="Book Antiqua" w:hAnsi="Book Antiqua"/>
          <w:sz w:val="20"/>
          <w:szCs w:val="20"/>
        </w:rPr>
        <w:t xml:space="preserve">, Koenigsknecht MJ, Bergin IL, Young VB. Suppression of Clostridium difficile in the gastrointestinal tracts of germfree mice inoculated with a murine isolate from the family Lachnospiraceae. </w:t>
      </w:r>
      <w:r>
        <w:rPr>
          <w:rFonts w:ascii="Book Antiqua" w:hAnsi="Book Antiqua"/>
          <w:i/>
          <w:sz w:val="20"/>
          <w:szCs w:val="20"/>
        </w:rPr>
        <w:t>Infect Immun</w:t>
      </w:r>
      <w:r>
        <w:rPr>
          <w:rFonts w:ascii="Book Antiqua" w:hAnsi="Book Antiqua"/>
          <w:sz w:val="20"/>
          <w:szCs w:val="20"/>
        </w:rPr>
        <w:t xml:space="preserve"> 2012; </w:t>
      </w:r>
      <w:r>
        <w:rPr>
          <w:rFonts w:ascii="Book Antiqua" w:hAnsi="Book Antiqua"/>
          <w:b/>
          <w:sz w:val="20"/>
          <w:szCs w:val="20"/>
        </w:rPr>
        <w:t>80</w:t>
      </w:r>
      <w:r>
        <w:rPr>
          <w:rFonts w:ascii="Book Antiqua" w:hAnsi="Book Antiqua"/>
          <w:sz w:val="20"/>
          <w:szCs w:val="20"/>
        </w:rPr>
        <w:t>: 3786-3794 [PMID: 22890996 DOI: 10.1128/IAI.00647-12]</w:t>
      </w:r>
    </w:p>
    <w:p>
      <w:pPr>
        <w:adjustRightInd w:val="0"/>
        <w:snapToGrid w:val="0"/>
        <w:spacing w:line="360" w:lineRule="auto"/>
        <w:rPr>
          <w:rFonts w:ascii="Book Antiqua" w:hAnsi="Book Antiqua"/>
          <w:sz w:val="20"/>
          <w:szCs w:val="20"/>
        </w:rPr>
      </w:pPr>
      <w:r>
        <w:rPr>
          <w:rFonts w:ascii="Book Antiqua" w:hAnsi="Book Antiqua"/>
          <w:sz w:val="20"/>
          <w:szCs w:val="20"/>
        </w:rPr>
        <w:t xml:space="preserve">14 </w:t>
      </w:r>
      <w:r>
        <w:rPr>
          <w:rFonts w:ascii="Book Antiqua" w:hAnsi="Book Antiqua"/>
          <w:b/>
          <w:sz w:val="20"/>
          <w:szCs w:val="20"/>
        </w:rPr>
        <w:t>Mai V</w:t>
      </w:r>
      <w:r>
        <w:rPr>
          <w:rFonts w:ascii="Book Antiqua" w:hAnsi="Book Antiqua"/>
          <w:sz w:val="20"/>
          <w:szCs w:val="20"/>
        </w:rPr>
        <w:t xml:space="preserve">, Colbert LH, Perkins SN, Schatzkin A, Hursting SD. Intestinal microbiota: a potential diet-responsive prevention target in ApcMin mice. </w:t>
      </w:r>
      <w:r>
        <w:rPr>
          <w:rFonts w:ascii="Book Antiqua" w:hAnsi="Book Antiqua"/>
          <w:i/>
          <w:sz w:val="20"/>
          <w:szCs w:val="20"/>
        </w:rPr>
        <w:t>Mol Carcinog</w:t>
      </w:r>
      <w:r>
        <w:rPr>
          <w:rFonts w:ascii="Book Antiqua" w:hAnsi="Book Antiqua"/>
          <w:sz w:val="20"/>
          <w:szCs w:val="20"/>
        </w:rPr>
        <w:t xml:space="preserve"> 2007; </w:t>
      </w:r>
      <w:r>
        <w:rPr>
          <w:rFonts w:ascii="Book Antiqua" w:hAnsi="Book Antiqua"/>
          <w:b/>
          <w:sz w:val="20"/>
          <w:szCs w:val="20"/>
        </w:rPr>
        <w:t>46</w:t>
      </w:r>
      <w:r>
        <w:rPr>
          <w:rFonts w:ascii="Book Antiqua" w:hAnsi="Book Antiqua"/>
          <w:sz w:val="20"/>
          <w:szCs w:val="20"/>
        </w:rPr>
        <w:t>: 42-48 [PMID: 16929480 DOI: 10.1002/mc.20233]</w:t>
      </w:r>
    </w:p>
    <w:p>
      <w:pPr>
        <w:adjustRightInd w:val="0"/>
        <w:snapToGrid w:val="0"/>
        <w:spacing w:line="360" w:lineRule="auto"/>
        <w:rPr>
          <w:rFonts w:ascii="Book Antiqua" w:hAnsi="Book Antiqua"/>
          <w:sz w:val="20"/>
          <w:szCs w:val="20"/>
        </w:rPr>
      </w:pPr>
      <w:r>
        <w:rPr>
          <w:rFonts w:ascii="Book Antiqua" w:hAnsi="Book Antiqua"/>
          <w:sz w:val="20"/>
          <w:szCs w:val="20"/>
        </w:rPr>
        <w:t xml:space="preserve">15 </w:t>
      </w:r>
      <w:r>
        <w:rPr>
          <w:rFonts w:ascii="Book Antiqua" w:hAnsi="Book Antiqua"/>
          <w:b/>
          <w:sz w:val="20"/>
          <w:szCs w:val="20"/>
        </w:rPr>
        <w:t>Telle-Hansen VH</w:t>
      </w:r>
      <w:r>
        <w:rPr>
          <w:rFonts w:ascii="Book Antiqua" w:hAnsi="Book Antiqua"/>
          <w:sz w:val="20"/>
          <w:szCs w:val="20"/>
        </w:rPr>
        <w:t xml:space="preserve">, Holven KB, Ulven SM. Impact of a Healthy Dietary Pattern on Gut Microbiota and Systemic Inflammation in Humans. </w:t>
      </w:r>
      <w:r>
        <w:rPr>
          <w:rFonts w:ascii="Book Antiqua" w:hAnsi="Book Antiqua"/>
          <w:i/>
          <w:sz w:val="20"/>
          <w:szCs w:val="20"/>
        </w:rPr>
        <w:t>Nutrients</w:t>
      </w:r>
      <w:r>
        <w:rPr>
          <w:rFonts w:ascii="Book Antiqua" w:hAnsi="Book Antiqua"/>
          <w:sz w:val="20"/>
          <w:szCs w:val="20"/>
        </w:rPr>
        <w:t xml:space="preserve"> 2018; </w:t>
      </w:r>
      <w:r>
        <w:rPr>
          <w:rFonts w:ascii="Book Antiqua" w:hAnsi="Book Antiqua"/>
          <w:b/>
          <w:sz w:val="20"/>
          <w:szCs w:val="20"/>
        </w:rPr>
        <w:t>10</w:t>
      </w:r>
      <w:r>
        <w:rPr>
          <w:rFonts w:ascii="Book Antiqua" w:hAnsi="Book Antiqua"/>
          <w:sz w:val="20"/>
          <w:szCs w:val="20"/>
        </w:rPr>
        <w:t xml:space="preserve"> [PMID: 30453534 DOI: 10.3390/nu10111783]</w:t>
      </w:r>
    </w:p>
    <w:p>
      <w:pPr>
        <w:adjustRightInd w:val="0"/>
        <w:snapToGrid w:val="0"/>
        <w:spacing w:line="360" w:lineRule="auto"/>
        <w:rPr>
          <w:rFonts w:ascii="Book Antiqua" w:hAnsi="Book Antiqua"/>
          <w:sz w:val="20"/>
          <w:szCs w:val="20"/>
        </w:rPr>
      </w:pPr>
      <w:r>
        <w:rPr>
          <w:rFonts w:ascii="Book Antiqua" w:hAnsi="Book Antiqua"/>
          <w:sz w:val="20"/>
          <w:szCs w:val="20"/>
        </w:rPr>
        <w:t xml:space="preserve">16 </w:t>
      </w:r>
      <w:r>
        <w:rPr>
          <w:rFonts w:ascii="Book Antiqua" w:hAnsi="Book Antiqua"/>
          <w:b/>
          <w:sz w:val="20"/>
          <w:szCs w:val="20"/>
        </w:rPr>
        <w:t>Godos J</w:t>
      </w:r>
      <w:r>
        <w:rPr>
          <w:rFonts w:ascii="Book Antiqua" w:hAnsi="Book Antiqua"/>
          <w:sz w:val="20"/>
          <w:szCs w:val="20"/>
        </w:rPr>
        <w:t xml:space="preserve">, Biondi A, Galvano F, Basile F, Sciacca S, Giovannucci EL, Grosso G. Markers of systemic inflammation and colorectal adenoma risk: Meta-analysis of observational studies. </w:t>
      </w:r>
      <w:r>
        <w:rPr>
          <w:rFonts w:ascii="Book Antiqua" w:hAnsi="Book Antiqua"/>
          <w:i/>
          <w:sz w:val="20"/>
          <w:szCs w:val="20"/>
        </w:rPr>
        <w:t>World J Gastroenterol</w:t>
      </w:r>
      <w:r>
        <w:rPr>
          <w:rFonts w:ascii="Book Antiqua" w:hAnsi="Book Antiqua"/>
          <w:sz w:val="20"/>
          <w:szCs w:val="20"/>
        </w:rPr>
        <w:t xml:space="preserve"> 2017; </w:t>
      </w:r>
      <w:r>
        <w:rPr>
          <w:rFonts w:ascii="Book Antiqua" w:hAnsi="Book Antiqua"/>
          <w:b/>
          <w:sz w:val="20"/>
          <w:szCs w:val="20"/>
        </w:rPr>
        <w:t>23</w:t>
      </w:r>
      <w:r>
        <w:rPr>
          <w:rFonts w:ascii="Book Antiqua" w:hAnsi="Book Antiqua"/>
          <w:sz w:val="20"/>
          <w:szCs w:val="20"/>
        </w:rPr>
        <w:t>: 1909-1919 [PMID: 28348498 DOI: 10.3748/wjg.v23.i10.1909]</w:t>
      </w:r>
    </w:p>
    <w:p>
      <w:pPr>
        <w:adjustRightInd w:val="0"/>
        <w:snapToGrid w:val="0"/>
        <w:spacing w:line="360" w:lineRule="auto"/>
        <w:rPr>
          <w:rFonts w:ascii="Book Antiqua" w:hAnsi="Book Antiqua"/>
          <w:sz w:val="20"/>
          <w:szCs w:val="20"/>
        </w:rPr>
      </w:pPr>
      <w:r>
        <w:rPr>
          <w:rFonts w:ascii="Book Antiqua" w:hAnsi="Book Antiqua"/>
          <w:sz w:val="20"/>
          <w:szCs w:val="20"/>
        </w:rPr>
        <w:t xml:space="preserve">17 </w:t>
      </w:r>
      <w:r>
        <w:rPr>
          <w:rFonts w:ascii="Book Antiqua" w:hAnsi="Book Antiqua"/>
          <w:b/>
          <w:sz w:val="20"/>
          <w:szCs w:val="20"/>
        </w:rPr>
        <w:t>Uccello M</w:t>
      </w:r>
      <w:r>
        <w:rPr>
          <w:rFonts w:ascii="Book Antiqua" w:hAnsi="Book Antiqua"/>
          <w:sz w:val="20"/>
          <w:szCs w:val="20"/>
        </w:rPr>
        <w:t xml:space="preserve">, Malaguarnera G, Basile F, D'agata V, Malaguarnera M, Bertino G, Vacante M, Drago F, Biondi A. Potential role of probiotics on colorectal cancer prevention. </w:t>
      </w:r>
      <w:r>
        <w:rPr>
          <w:rFonts w:ascii="Book Antiqua" w:hAnsi="Book Antiqua"/>
          <w:i/>
          <w:sz w:val="20"/>
          <w:szCs w:val="20"/>
        </w:rPr>
        <w:t>BMC Surg</w:t>
      </w:r>
      <w:r>
        <w:rPr>
          <w:rFonts w:ascii="Book Antiqua" w:hAnsi="Book Antiqua"/>
          <w:sz w:val="20"/>
          <w:szCs w:val="20"/>
        </w:rPr>
        <w:t xml:space="preserve"> 2012; </w:t>
      </w:r>
      <w:r>
        <w:rPr>
          <w:rFonts w:ascii="Book Antiqua" w:hAnsi="Book Antiqua"/>
          <w:b/>
          <w:sz w:val="20"/>
          <w:szCs w:val="20"/>
        </w:rPr>
        <w:t>12 Suppl 1</w:t>
      </w:r>
      <w:r>
        <w:rPr>
          <w:rFonts w:ascii="Book Antiqua" w:hAnsi="Book Antiqua"/>
          <w:sz w:val="20"/>
          <w:szCs w:val="20"/>
        </w:rPr>
        <w:t>: S35 [PMID: 23173670 DOI: 10.1186/1471-2482-12-S1-S35]</w:t>
      </w:r>
    </w:p>
    <w:p>
      <w:pPr>
        <w:widowControl/>
        <w:snapToGrid w:val="0"/>
        <w:spacing w:line="360" w:lineRule="auto"/>
        <w:jc w:val="left"/>
        <w:rPr>
          <w:rFonts w:ascii="Book Antiqua" w:hAnsi="Book Antiqua"/>
          <w:b/>
          <w:sz w:val="20"/>
          <w:szCs w:val="20"/>
        </w:rPr>
      </w:pPr>
      <w:r>
        <w:rPr>
          <w:rFonts w:ascii="Book Antiqua" w:hAnsi="Book Antiqua"/>
          <w:b/>
          <w:sz w:val="20"/>
          <w:szCs w:val="20"/>
        </w:rPr>
        <w:br w:type="page"/>
      </w:r>
    </w:p>
    <w:p>
      <w:pPr>
        <w:adjustRightInd w:val="0"/>
        <w:snapToGrid w:val="0"/>
        <w:spacing w:line="360" w:lineRule="auto"/>
        <w:rPr>
          <w:rFonts w:ascii="Book Antiqua" w:hAnsi="Book Antiqua"/>
          <w:b/>
          <w:sz w:val="20"/>
          <w:szCs w:val="20"/>
        </w:rPr>
      </w:pPr>
      <w:r>
        <w:rPr>
          <w:rFonts w:ascii="Book Antiqua" w:hAnsi="Book Antiqua"/>
          <w:b/>
          <w:sz w:val="20"/>
          <w:szCs w:val="20"/>
        </w:rPr>
        <w:t>Footnotes</w:t>
      </w:r>
    </w:p>
    <w:p>
      <w:pPr>
        <w:adjustRightInd w:val="0"/>
        <w:snapToGrid w:val="0"/>
        <w:spacing w:line="360" w:lineRule="auto"/>
        <w:rPr>
          <w:rFonts w:ascii="Book Antiqua" w:hAnsi="Book Antiqua" w:cs="Book Antiqua"/>
          <w:bCs/>
          <w:color w:val="000000" w:themeColor="text1"/>
          <w:kern w:val="0"/>
          <w:sz w:val="20"/>
          <w:szCs w:val="20"/>
          <w:lang w:bidi="ar"/>
          <w14:textFill>
            <w14:solidFill>
              <w14:schemeClr w14:val="tx1"/>
            </w14:solidFill>
          </w14:textFill>
        </w:rPr>
      </w:pPr>
      <w:bookmarkStart w:id="28" w:name="OLE_LINK138"/>
      <w:r>
        <w:rPr>
          <w:rFonts w:ascii="Book Antiqua" w:hAnsi="Book Antiqua"/>
          <w:b/>
          <w:color w:val="000000" w:themeColor="text1"/>
          <w:sz w:val="20"/>
          <w:szCs w:val="20"/>
          <w14:textFill>
            <w14:solidFill>
              <w14:schemeClr w14:val="tx1"/>
            </w14:solidFill>
          </w14:textFill>
        </w:rPr>
        <w:t xml:space="preserve">Institutional review board statement: </w:t>
      </w:r>
      <w:bookmarkEnd w:id="28"/>
      <w:r>
        <w:rPr>
          <w:rFonts w:ascii="Book Antiqua" w:hAnsi="Book Antiqua"/>
          <w:bCs/>
          <w:color w:val="000000" w:themeColor="text1"/>
          <w:sz w:val="20"/>
          <w:szCs w:val="20"/>
          <w14:textFill>
            <w14:solidFill>
              <w14:schemeClr w14:val="tx1"/>
            </w14:solidFill>
          </w14:textFill>
        </w:rPr>
        <w:t xml:space="preserve">The study was reviewed and approved by </w:t>
      </w:r>
      <w:r>
        <w:rPr>
          <w:rFonts w:ascii="Book Antiqua" w:hAnsi="Book Antiqua" w:cs="Book Antiqua"/>
          <w:sz w:val="20"/>
          <w:szCs w:val="20"/>
        </w:rPr>
        <w:t>the Ethics Committee of the First People’s Hospital of Guangzhou</w:t>
      </w:r>
      <w:r>
        <w:rPr>
          <w:rFonts w:ascii="Book Antiqua" w:hAnsi="Book Antiqua"/>
          <w:bCs/>
          <w:color w:val="000000" w:themeColor="text1"/>
          <w:sz w:val="20"/>
          <w:szCs w:val="20"/>
          <w14:textFill>
            <w14:solidFill>
              <w14:schemeClr w14:val="tx1"/>
            </w14:solidFill>
          </w14:textFill>
        </w:rPr>
        <w:t>.</w:t>
      </w:r>
    </w:p>
    <w:p>
      <w:pPr>
        <w:widowControl/>
        <w:adjustRightInd w:val="0"/>
        <w:snapToGrid w:val="0"/>
        <w:spacing w:line="360" w:lineRule="auto"/>
        <w:rPr>
          <w:rFonts w:ascii="Book Antiqua" w:hAnsi="Book Antiqua" w:eastAsia="Book Antiqua" w:cs="Book Antiqua"/>
          <w:b/>
          <w:color w:val="000000"/>
          <w:kern w:val="0"/>
          <w:sz w:val="20"/>
          <w:szCs w:val="20"/>
          <w:lang w:bidi="ar"/>
        </w:rPr>
      </w:pPr>
    </w:p>
    <w:p>
      <w:pPr>
        <w:widowControl/>
        <w:adjustRightInd w:val="0"/>
        <w:snapToGrid w:val="0"/>
        <w:spacing w:line="360" w:lineRule="auto"/>
        <w:rPr>
          <w:rFonts w:ascii="Book Antiqua" w:hAnsi="Book Antiqua" w:eastAsia="Book Antiqua" w:cs="Book Antiqua"/>
          <w:color w:val="000000"/>
          <w:kern w:val="0"/>
          <w:sz w:val="20"/>
          <w:szCs w:val="20"/>
          <w:lang w:bidi="ar"/>
        </w:rPr>
      </w:pPr>
      <w:r>
        <w:rPr>
          <w:rFonts w:ascii="Book Antiqua" w:hAnsi="Book Antiqua" w:eastAsia="Book Antiqua" w:cs="Book Antiqua"/>
          <w:b/>
          <w:color w:val="000000"/>
          <w:kern w:val="0"/>
          <w:sz w:val="20"/>
          <w:szCs w:val="20"/>
          <w:lang w:bidi="ar"/>
        </w:rPr>
        <w:t>Conflict-of-interest statement</w:t>
      </w:r>
      <w:r>
        <w:rPr>
          <w:rFonts w:ascii="Book Antiqua" w:hAnsi="Book Antiqua" w:eastAsia="Book Antiqua" w:cs="Book Antiqua"/>
          <w:b/>
          <w:bCs/>
          <w:color w:val="000000"/>
          <w:kern w:val="0"/>
          <w:sz w:val="20"/>
          <w:szCs w:val="20"/>
          <w:lang w:bidi="ar"/>
        </w:rPr>
        <w:t xml:space="preserve">: </w:t>
      </w:r>
      <w:r>
        <w:rPr>
          <w:rFonts w:ascii="Book Antiqua" w:hAnsi="Book Antiqua" w:eastAsia="Book Antiqua" w:cs="Book Antiqua"/>
          <w:color w:val="000000"/>
          <w:kern w:val="0"/>
          <w:sz w:val="20"/>
          <w:szCs w:val="20"/>
          <w:lang w:bidi="ar"/>
        </w:rPr>
        <w:t>The authors have no conflict of interest to declare.</w:t>
      </w:r>
    </w:p>
    <w:p>
      <w:pPr>
        <w:widowControl/>
        <w:adjustRightInd w:val="0"/>
        <w:snapToGrid w:val="0"/>
        <w:spacing w:line="360" w:lineRule="auto"/>
        <w:rPr>
          <w:rFonts w:ascii="Book Antiqua" w:hAnsi="Book Antiqua" w:eastAsia="Book Antiqua" w:cs="Book Antiqua"/>
          <w:color w:val="000000"/>
          <w:kern w:val="0"/>
          <w:sz w:val="20"/>
          <w:szCs w:val="20"/>
          <w:lang w:bidi="ar"/>
        </w:rPr>
      </w:pPr>
    </w:p>
    <w:p>
      <w:pPr>
        <w:pStyle w:val="2"/>
        <w:adjustRightInd w:val="0"/>
        <w:snapToGrid w:val="0"/>
        <w:spacing w:line="360" w:lineRule="auto"/>
        <w:jc w:val="both"/>
        <w:rPr>
          <w:rFonts w:ascii="Book Antiqua" w:hAnsi="Book Antiqua" w:eastAsia="Book Antiqua" w:cs="Book Antiqua"/>
          <w:color w:val="000000"/>
          <w:kern w:val="0"/>
          <w:sz w:val="20"/>
          <w:szCs w:val="20"/>
          <w:lang w:bidi="ar"/>
        </w:rPr>
      </w:pPr>
      <w:r>
        <w:rPr>
          <w:rFonts w:ascii="Book Antiqua" w:hAnsi="Book Antiqua" w:eastAsia="MS PMincho"/>
          <w:b/>
          <w:bCs/>
          <w:color w:val="000000" w:themeColor="text1"/>
          <w:sz w:val="20"/>
          <w:szCs w:val="20"/>
          <w:lang w:eastAsia="ja-JP"/>
          <w14:textFill>
            <w14:solidFill>
              <w14:schemeClr w14:val="tx1"/>
            </w14:solidFill>
          </w14:textFill>
        </w:rPr>
        <w:t>Data sharing statement</w:t>
      </w:r>
      <w:r>
        <w:rPr>
          <w:rFonts w:ascii="Book Antiqua" w:hAnsi="Book Antiqua" w:eastAsia="MS PMincho" w:cs="TimesNewRomanPS-BoldItalicMT"/>
          <w:b/>
          <w:iCs/>
          <w:color w:val="000000" w:themeColor="text1"/>
          <w:sz w:val="20"/>
          <w:szCs w:val="20"/>
          <w:lang w:eastAsia="ja-JP"/>
          <w14:textFill>
            <w14:solidFill>
              <w14:schemeClr w14:val="tx1"/>
            </w14:solidFill>
          </w14:textFill>
        </w:rPr>
        <w:t>:</w:t>
      </w:r>
      <w:r>
        <w:rPr>
          <w:rFonts w:ascii="Book Antiqua" w:hAnsi="Book Antiqua" w:cs="TimesNewRomanPS-BoldItalicMT"/>
          <w:b/>
          <w:iCs/>
          <w:color w:val="000000"/>
          <w:sz w:val="20"/>
          <w:szCs w:val="20"/>
        </w:rPr>
        <w:t xml:space="preserve"> </w:t>
      </w:r>
      <w:r>
        <w:rPr>
          <w:rFonts w:ascii="Book Antiqua" w:hAnsi="Book Antiqua" w:eastAsia="Book Antiqua" w:cs="Book Antiqua"/>
          <w:color w:val="000000"/>
          <w:kern w:val="0"/>
          <w:sz w:val="20"/>
          <w:szCs w:val="20"/>
          <w:lang w:bidi="ar"/>
        </w:rPr>
        <w:t>No additional data are available.</w:t>
      </w:r>
    </w:p>
    <w:p>
      <w:pPr>
        <w:adjustRightInd w:val="0"/>
        <w:snapToGrid w:val="0"/>
        <w:spacing w:line="360" w:lineRule="auto"/>
        <w:rPr>
          <w:rFonts w:ascii="Book Antiqua" w:hAnsi="Book Antiqua" w:cs="TimesNewRomanPS-BoldItalicMT"/>
          <w:b/>
          <w:iCs/>
          <w:color w:val="000000"/>
          <w:sz w:val="20"/>
          <w:szCs w:val="20"/>
        </w:rPr>
      </w:pPr>
    </w:p>
    <w:p>
      <w:pPr>
        <w:adjustRightInd w:val="0"/>
        <w:snapToGrid w:val="0"/>
        <w:spacing w:line="360" w:lineRule="auto"/>
        <w:rPr>
          <w:rFonts w:ascii="Book Antiqua" w:hAnsi="Book Antiqua" w:cstheme="minorHAnsi"/>
          <w:sz w:val="20"/>
          <w:szCs w:val="20"/>
        </w:rPr>
      </w:pPr>
      <w:r>
        <w:rPr>
          <w:rFonts w:ascii="Book Antiqua" w:hAnsi="Book Antiqua" w:cstheme="minorHAnsi"/>
          <w:b/>
          <w:sz w:val="20"/>
          <w:szCs w:val="20"/>
        </w:rPr>
        <w:t xml:space="preserve">ARRIVE guidelines statement: </w:t>
      </w:r>
      <w:r>
        <w:rPr>
          <w:rFonts w:ascii="Book Antiqua" w:hAnsi="Book Antiqua" w:cstheme="minorHAnsi"/>
          <w:sz w:val="20"/>
          <w:szCs w:val="20"/>
        </w:rPr>
        <w:t>The authors have read the ARRIVE guidelines, and the manuscript was prepared and revised according to the ARRIVE guidelines.</w:t>
      </w:r>
    </w:p>
    <w:p>
      <w:pPr>
        <w:adjustRightInd w:val="0"/>
        <w:snapToGrid w:val="0"/>
        <w:spacing w:line="360" w:lineRule="auto"/>
        <w:rPr>
          <w:rFonts w:ascii="Book Antiqua" w:hAnsi="Book Antiqua" w:cstheme="minorHAnsi"/>
          <w:sz w:val="20"/>
          <w:szCs w:val="20"/>
        </w:rPr>
      </w:pPr>
    </w:p>
    <w:p>
      <w:pPr>
        <w:adjustRightInd w:val="0"/>
        <w:snapToGrid w:val="0"/>
        <w:spacing w:line="360" w:lineRule="auto"/>
        <w:rPr>
          <w:rFonts w:ascii="Book Antiqua" w:hAnsi="Book Antiqua"/>
          <w:color w:val="000000"/>
          <w:sz w:val="20"/>
          <w:szCs w:val="20"/>
        </w:rPr>
      </w:pPr>
      <w:bookmarkStart w:id="29" w:name="OLE_LINK856"/>
      <w:r>
        <w:rPr>
          <w:rFonts w:ascii="Book Antiqua" w:hAnsi="Book Antiqua"/>
          <w:b/>
          <w:color w:val="000000"/>
          <w:sz w:val="20"/>
          <w:szCs w:val="20"/>
        </w:rPr>
        <w:t>Open-Access:</w:t>
      </w:r>
      <w:r>
        <w:rPr>
          <w:rFonts w:ascii="Book Antiqua" w:hAnsi="Book Antiqua"/>
          <w:color w:val="000000"/>
          <w:sz w:val="20"/>
          <w:szCs w:val="20"/>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rPr>
          <w:rFonts w:ascii="Book Antiqua" w:hAnsi="Book Antiqua"/>
          <w:color w:val="000000"/>
          <w:sz w:val="20"/>
          <w:szCs w:val="20"/>
        </w:rPr>
      </w:pPr>
    </w:p>
    <w:p>
      <w:pPr>
        <w:adjustRightInd w:val="0"/>
        <w:snapToGrid w:val="0"/>
        <w:spacing w:line="360" w:lineRule="auto"/>
        <w:rPr>
          <w:rFonts w:ascii="Book Antiqua" w:hAnsi="Book Antiqua"/>
          <w:b/>
          <w:bCs/>
          <w:color w:val="000000"/>
          <w:sz w:val="20"/>
          <w:szCs w:val="20"/>
        </w:rPr>
      </w:pPr>
      <w:r>
        <w:rPr>
          <w:rFonts w:ascii="Book Antiqua" w:hAnsi="Book Antiqua"/>
          <w:b/>
          <w:bCs/>
          <w:color w:val="000000"/>
          <w:sz w:val="20"/>
          <w:szCs w:val="20"/>
          <w:lang w:eastAsia="pl-PL"/>
        </w:rPr>
        <w:t>Manuscript source:</w:t>
      </w:r>
      <w:r>
        <w:rPr>
          <w:rFonts w:ascii="Book Antiqua" w:hAnsi="Book Antiqua"/>
          <w:b/>
          <w:bCs/>
          <w:color w:val="000000"/>
          <w:sz w:val="20"/>
          <w:szCs w:val="20"/>
        </w:rPr>
        <w:t xml:space="preserve"> </w:t>
      </w:r>
      <w:r>
        <w:rPr>
          <w:rFonts w:ascii="Book Antiqua" w:hAnsi="Book Antiqua"/>
          <w:bCs/>
          <w:color w:val="000000"/>
          <w:sz w:val="20"/>
          <w:szCs w:val="20"/>
          <w:lang w:eastAsia="pl-PL"/>
        </w:rPr>
        <w:t>Unsolicited manuscript</w:t>
      </w:r>
    </w:p>
    <w:bookmarkEnd w:id="29"/>
    <w:p>
      <w:pPr>
        <w:adjustRightInd w:val="0"/>
        <w:snapToGrid w:val="0"/>
        <w:spacing w:line="360" w:lineRule="auto"/>
        <w:rPr>
          <w:rFonts w:ascii="Book Antiqua" w:hAnsi="Book Antiqua" w:eastAsia="等线"/>
          <w:b/>
          <w:bCs/>
          <w:color w:val="000000"/>
          <w:sz w:val="20"/>
          <w:szCs w:val="20"/>
        </w:rPr>
      </w:pPr>
    </w:p>
    <w:p>
      <w:pPr>
        <w:adjustRightInd w:val="0"/>
        <w:snapToGrid w:val="0"/>
        <w:spacing w:line="360" w:lineRule="auto"/>
        <w:rPr>
          <w:rFonts w:ascii="Book Antiqua" w:hAnsi="Book Antiqua"/>
          <w:b/>
          <w:sz w:val="20"/>
          <w:szCs w:val="20"/>
        </w:rPr>
      </w:pPr>
      <w:r>
        <w:rPr>
          <w:rFonts w:ascii="Book Antiqua" w:hAnsi="Book Antiqua"/>
          <w:b/>
          <w:sz w:val="20"/>
          <w:szCs w:val="20"/>
        </w:rPr>
        <w:t xml:space="preserve">Peer-review started: </w:t>
      </w:r>
      <w:r>
        <w:rPr>
          <w:rFonts w:ascii="Book Antiqua" w:hAnsi="Book Antiqua"/>
          <w:sz w:val="20"/>
          <w:szCs w:val="20"/>
        </w:rPr>
        <w:t>August 13, 2019</w:t>
      </w:r>
    </w:p>
    <w:p>
      <w:pPr>
        <w:adjustRightInd w:val="0"/>
        <w:snapToGrid w:val="0"/>
        <w:spacing w:line="360" w:lineRule="auto"/>
        <w:rPr>
          <w:rFonts w:ascii="Book Antiqua" w:hAnsi="Book Antiqua"/>
          <w:b/>
          <w:sz w:val="20"/>
          <w:szCs w:val="20"/>
        </w:rPr>
      </w:pPr>
      <w:r>
        <w:rPr>
          <w:rFonts w:ascii="Book Antiqua" w:hAnsi="Book Antiqua"/>
          <w:b/>
          <w:sz w:val="20"/>
          <w:szCs w:val="20"/>
        </w:rPr>
        <w:t xml:space="preserve">First decision: </w:t>
      </w:r>
      <w:r>
        <w:rPr>
          <w:rFonts w:ascii="Book Antiqua" w:hAnsi="Book Antiqua"/>
          <w:sz w:val="20"/>
          <w:szCs w:val="20"/>
        </w:rPr>
        <w:t>October 14, 2019</w:t>
      </w:r>
    </w:p>
    <w:p>
      <w:pPr>
        <w:adjustRightInd w:val="0"/>
        <w:snapToGrid w:val="0"/>
        <w:spacing w:line="360" w:lineRule="auto"/>
        <w:rPr>
          <w:rFonts w:ascii="Book Antiqua" w:hAnsi="Book Antiqua"/>
          <w:b/>
          <w:sz w:val="20"/>
          <w:szCs w:val="20"/>
        </w:rPr>
      </w:pPr>
      <w:r>
        <w:rPr>
          <w:rFonts w:ascii="Book Antiqua" w:hAnsi="Book Antiqua"/>
          <w:b/>
          <w:sz w:val="20"/>
          <w:szCs w:val="20"/>
        </w:rPr>
        <w:t>Article in press:</w:t>
      </w:r>
    </w:p>
    <w:p>
      <w:pPr>
        <w:adjustRightInd w:val="0"/>
        <w:snapToGrid w:val="0"/>
        <w:spacing w:line="360" w:lineRule="auto"/>
        <w:rPr>
          <w:rFonts w:ascii="Book Antiqua" w:hAnsi="Book Antiqua" w:cstheme="minorHAnsi"/>
          <w:b/>
          <w:sz w:val="20"/>
          <w:szCs w:val="20"/>
        </w:rPr>
      </w:pPr>
    </w:p>
    <w:p>
      <w:pPr>
        <w:adjustRightInd w:val="0"/>
        <w:snapToGrid w:val="0"/>
        <w:spacing w:line="360" w:lineRule="auto"/>
        <w:rPr>
          <w:rFonts w:ascii="Book Antiqua" w:hAnsi="Book Antiqua" w:eastAsia="微软雅黑" w:cs="宋体"/>
          <w:sz w:val="20"/>
          <w:szCs w:val="20"/>
        </w:rPr>
      </w:pPr>
      <w:r>
        <w:rPr>
          <w:rFonts w:ascii="Book Antiqua" w:hAnsi="Book Antiqua" w:cs="宋体"/>
          <w:b/>
          <w:sz w:val="20"/>
          <w:szCs w:val="20"/>
        </w:rPr>
        <w:t xml:space="preserve">Specialty type: </w:t>
      </w:r>
      <w:r>
        <w:rPr>
          <w:rFonts w:ascii="Book Antiqua" w:hAnsi="Book Antiqua" w:eastAsia="微软雅黑" w:cs="宋体"/>
          <w:sz w:val="20"/>
          <w:szCs w:val="20"/>
        </w:rPr>
        <w:t>Gastroenterology and hepatology</w:t>
      </w:r>
    </w:p>
    <w:p>
      <w:pPr>
        <w:adjustRightInd w:val="0"/>
        <w:snapToGrid w:val="0"/>
        <w:spacing w:line="360" w:lineRule="auto"/>
        <w:rPr>
          <w:rFonts w:ascii="Book Antiqua" w:hAnsi="Book Antiqua" w:cs="宋体"/>
          <w:sz w:val="20"/>
          <w:szCs w:val="20"/>
        </w:rPr>
      </w:pPr>
      <w:r>
        <w:rPr>
          <w:rFonts w:ascii="Book Antiqua" w:hAnsi="Book Antiqua" w:cs="宋体"/>
          <w:b/>
          <w:sz w:val="20"/>
          <w:szCs w:val="20"/>
        </w:rPr>
        <w:t xml:space="preserve">Country of origin: </w:t>
      </w:r>
      <w:r>
        <w:rPr>
          <w:rFonts w:ascii="Book Antiqua" w:hAnsi="Book Antiqua" w:cs="宋体"/>
          <w:sz w:val="20"/>
          <w:szCs w:val="20"/>
        </w:rPr>
        <w:t>China</w:t>
      </w:r>
    </w:p>
    <w:p>
      <w:pPr>
        <w:adjustRightInd w:val="0"/>
        <w:snapToGrid w:val="0"/>
        <w:spacing w:line="360" w:lineRule="auto"/>
        <w:rPr>
          <w:rFonts w:ascii="Book Antiqua" w:hAnsi="Book Antiqua" w:cs="宋体"/>
          <w:b/>
          <w:sz w:val="20"/>
          <w:szCs w:val="20"/>
        </w:rPr>
      </w:pPr>
      <w:r>
        <w:rPr>
          <w:rFonts w:ascii="Book Antiqua" w:hAnsi="Book Antiqua" w:cs="宋体"/>
          <w:b/>
          <w:sz w:val="20"/>
          <w:szCs w:val="20"/>
        </w:rPr>
        <w:t>Peer-review report classification</w:t>
      </w:r>
    </w:p>
    <w:p>
      <w:pPr>
        <w:adjustRightInd w:val="0"/>
        <w:snapToGrid w:val="0"/>
        <w:spacing w:line="360" w:lineRule="auto"/>
        <w:rPr>
          <w:rFonts w:ascii="Book Antiqua" w:hAnsi="Book Antiqua" w:cs="宋体"/>
          <w:sz w:val="20"/>
          <w:szCs w:val="20"/>
        </w:rPr>
      </w:pPr>
      <w:r>
        <w:rPr>
          <w:rFonts w:ascii="Book Antiqua" w:hAnsi="Book Antiqua" w:cs="宋体"/>
          <w:sz w:val="20"/>
          <w:szCs w:val="20"/>
        </w:rPr>
        <w:t>Grade A (Excellent): A</w:t>
      </w:r>
    </w:p>
    <w:p>
      <w:pPr>
        <w:adjustRightInd w:val="0"/>
        <w:snapToGrid w:val="0"/>
        <w:spacing w:line="360" w:lineRule="auto"/>
        <w:rPr>
          <w:rFonts w:ascii="Book Antiqua" w:hAnsi="Book Antiqua" w:cs="宋体"/>
          <w:sz w:val="20"/>
          <w:szCs w:val="20"/>
        </w:rPr>
      </w:pPr>
      <w:r>
        <w:rPr>
          <w:rFonts w:ascii="Book Antiqua" w:hAnsi="Book Antiqua" w:cs="宋体"/>
          <w:sz w:val="20"/>
          <w:szCs w:val="20"/>
        </w:rPr>
        <w:t>Grade B (Very good): B</w:t>
      </w:r>
    </w:p>
    <w:p>
      <w:pPr>
        <w:adjustRightInd w:val="0"/>
        <w:snapToGrid w:val="0"/>
        <w:spacing w:line="360" w:lineRule="auto"/>
        <w:rPr>
          <w:rFonts w:ascii="Book Antiqua" w:hAnsi="Book Antiqua" w:cs="宋体"/>
          <w:sz w:val="20"/>
          <w:szCs w:val="20"/>
        </w:rPr>
      </w:pPr>
      <w:r>
        <w:rPr>
          <w:rFonts w:ascii="Book Antiqua" w:hAnsi="Book Antiqua" w:cs="宋体"/>
          <w:sz w:val="20"/>
          <w:szCs w:val="20"/>
        </w:rPr>
        <w:t>Grade C (Good): 0</w:t>
      </w:r>
    </w:p>
    <w:p>
      <w:pPr>
        <w:adjustRightInd w:val="0"/>
        <w:snapToGrid w:val="0"/>
        <w:spacing w:line="360" w:lineRule="auto"/>
        <w:rPr>
          <w:rFonts w:ascii="Book Antiqua" w:hAnsi="Book Antiqua" w:cs="宋体"/>
          <w:sz w:val="20"/>
          <w:szCs w:val="20"/>
        </w:rPr>
      </w:pPr>
      <w:r>
        <w:rPr>
          <w:rFonts w:ascii="Book Antiqua" w:hAnsi="Book Antiqua" w:cs="宋体"/>
          <w:sz w:val="20"/>
          <w:szCs w:val="20"/>
        </w:rPr>
        <w:t>Grade D (Fair): 0</w:t>
      </w:r>
    </w:p>
    <w:p>
      <w:pPr>
        <w:adjustRightInd w:val="0"/>
        <w:snapToGrid w:val="0"/>
        <w:spacing w:line="360" w:lineRule="auto"/>
        <w:rPr>
          <w:rFonts w:ascii="Book Antiqua" w:hAnsi="Book Antiqua" w:eastAsia="等线"/>
          <w:sz w:val="20"/>
          <w:szCs w:val="20"/>
        </w:rPr>
      </w:pPr>
      <w:r>
        <w:rPr>
          <w:rFonts w:ascii="Book Antiqua" w:hAnsi="Book Antiqua" w:cs="宋体"/>
          <w:sz w:val="20"/>
          <w:szCs w:val="20"/>
        </w:rPr>
        <w:t>Grade E (Poor): 0</w:t>
      </w:r>
    </w:p>
    <w:p>
      <w:pPr>
        <w:adjustRightInd w:val="0"/>
        <w:snapToGrid w:val="0"/>
        <w:spacing w:line="360" w:lineRule="auto"/>
        <w:rPr>
          <w:rFonts w:ascii="Book Antiqua" w:hAnsi="Book Antiqua" w:eastAsia="等线"/>
          <w:sz w:val="20"/>
          <w:szCs w:val="20"/>
        </w:rPr>
      </w:pPr>
    </w:p>
    <w:p>
      <w:pPr>
        <w:adjustRightInd w:val="0"/>
        <w:snapToGrid w:val="0"/>
        <w:spacing w:line="360" w:lineRule="auto"/>
        <w:ind w:right="240"/>
        <w:rPr>
          <w:rFonts w:ascii="Book Antiqua" w:hAnsi="Book Antiqua"/>
          <w:b/>
          <w:bCs/>
          <w:color w:val="000000"/>
          <w:sz w:val="20"/>
          <w:szCs w:val="20"/>
        </w:rPr>
      </w:pPr>
      <w:bookmarkStart w:id="30" w:name="OLE_LINK139"/>
      <w:bookmarkStart w:id="31" w:name="OLE_LINK140"/>
      <w:r>
        <w:rPr>
          <w:rFonts w:ascii="Book Antiqua" w:hAnsi="Book Antiqua"/>
          <w:b/>
          <w:bCs/>
          <w:color w:val="000000"/>
          <w:sz w:val="20"/>
          <w:szCs w:val="20"/>
        </w:rPr>
        <w:t>P-Reviewer:</w:t>
      </w:r>
      <w:r>
        <w:rPr>
          <w:rFonts w:ascii="Book Antiqua" w:hAnsi="Book Antiqua"/>
          <w:sz w:val="20"/>
          <w:szCs w:val="20"/>
        </w:rPr>
        <w:t xml:space="preserve"> </w:t>
      </w:r>
      <w:r>
        <w:rPr>
          <w:rFonts w:ascii="Book Antiqua" w:hAnsi="Book Antiqua"/>
          <w:bCs/>
          <w:color w:val="000000"/>
          <w:sz w:val="20"/>
          <w:szCs w:val="20"/>
        </w:rPr>
        <w:t>Biondi A,</w:t>
      </w:r>
      <w:r>
        <w:rPr>
          <w:rFonts w:ascii="Book Antiqua" w:hAnsi="Book Antiqua"/>
          <w:sz w:val="20"/>
          <w:szCs w:val="20"/>
        </w:rPr>
        <w:t xml:space="preserve"> </w:t>
      </w:r>
      <w:r>
        <w:rPr>
          <w:rFonts w:ascii="Book Antiqua" w:hAnsi="Book Antiqua"/>
          <w:bCs/>
          <w:color w:val="000000"/>
          <w:sz w:val="20"/>
          <w:szCs w:val="20"/>
        </w:rPr>
        <w:t xml:space="preserve">Uppara M </w:t>
      </w:r>
      <w:r>
        <w:rPr>
          <w:rFonts w:ascii="Book Antiqua" w:hAnsi="Book Antiqua"/>
          <w:b/>
          <w:bCs/>
          <w:color w:val="000000"/>
          <w:sz w:val="20"/>
          <w:szCs w:val="20"/>
        </w:rPr>
        <w:t>S-Editor:</w:t>
      </w:r>
      <w:r>
        <w:rPr>
          <w:rFonts w:ascii="Book Antiqua" w:hAnsi="Book Antiqua"/>
          <w:color w:val="000000"/>
          <w:sz w:val="20"/>
          <w:szCs w:val="20"/>
        </w:rPr>
        <w:t xml:space="preserve"> Zhang L </w:t>
      </w:r>
      <w:r>
        <w:rPr>
          <w:rFonts w:ascii="Book Antiqua" w:hAnsi="Book Antiqua"/>
          <w:b/>
          <w:bCs/>
          <w:color w:val="000000"/>
          <w:sz w:val="20"/>
          <w:szCs w:val="20"/>
        </w:rPr>
        <w:t>L-Editor:</w:t>
      </w:r>
      <w:r>
        <w:rPr>
          <w:rFonts w:ascii="Book Antiqua" w:hAnsi="Book Antiqua"/>
          <w:color w:val="000000"/>
          <w:sz w:val="20"/>
          <w:szCs w:val="20"/>
        </w:rPr>
        <w:t xml:space="preserve"> Filipodia </w:t>
      </w:r>
      <w:r>
        <w:rPr>
          <w:rFonts w:ascii="Book Antiqua" w:hAnsi="Book Antiqua"/>
          <w:b/>
          <w:bCs/>
          <w:color w:val="000000"/>
          <w:sz w:val="20"/>
          <w:szCs w:val="20"/>
        </w:rPr>
        <w:t>E-Editor:</w:t>
      </w:r>
    </w:p>
    <w:bookmarkEnd w:id="30"/>
    <w:bookmarkEnd w:id="31"/>
    <w:p>
      <w:pPr>
        <w:snapToGrid w:val="0"/>
        <w:spacing w:line="360" w:lineRule="auto"/>
        <w:rPr>
          <w:rFonts w:ascii="Book Antiqua" w:hAnsi="Book Antiqua"/>
          <w:color w:val="000000"/>
          <w:sz w:val="20"/>
          <w:szCs w:val="20"/>
        </w:rPr>
      </w:pPr>
      <w:r>
        <w:rPr>
          <w:rFonts w:ascii="Book Antiqua" w:hAnsi="Book Antiqua"/>
          <w:color w:val="000000"/>
          <w:sz w:val="20"/>
          <w:szCs w:val="20"/>
        </w:rPr>
        <w:br w:type="page"/>
      </w:r>
    </w:p>
    <w:p>
      <w:pPr>
        <w:adjustRightInd w:val="0"/>
        <w:snapToGrid w:val="0"/>
        <w:spacing w:line="360" w:lineRule="auto"/>
        <w:rPr>
          <w:rFonts w:ascii="Book Antiqua" w:hAnsi="Book Antiqua"/>
          <w:b/>
          <w:sz w:val="20"/>
          <w:szCs w:val="20"/>
        </w:rPr>
      </w:pPr>
      <w:r>
        <w:rPr>
          <w:rFonts w:ascii="Book Antiqua" w:hAnsi="Book Antiqua"/>
          <w:b/>
          <w:sz w:val="20"/>
          <w:szCs w:val="20"/>
        </w:rPr>
        <w:t>Figure Legends</w:t>
      </w:r>
    </w:p>
    <w:p>
      <w:pPr>
        <w:adjustRightInd w:val="0"/>
        <w:snapToGrid w:val="0"/>
        <w:spacing w:line="360" w:lineRule="auto"/>
        <w:rPr>
          <w:rFonts w:ascii="Book Antiqua" w:hAnsi="Book Antiqua"/>
          <w:sz w:val="20"/>
          <w:szCs w:val="20"/>
        </w:rPr>
      </w:pPr>
    </w:p>
    <w:p>
      <w:pPr>
        <w:adjustRightInd w:val="0"/>
        <w:snapToGrid w:val="0"/>
        <w:spacing w:line="360" w:lineRule="auto"/>
        <w:rPr>
          <w:rFonts w:ascii="Book Antiqua" w:hAnsi="Book Antiqua"/>
          <w:sz w:val="20"/>
          <w:szCs w:val="20"/>
        </w:rPr>
      </w:pPr>
      <w:r>
        <w:rPr>
          <w:rFonts w:ascii="Book Antiqua" w:hAnsi="Book Antiqua"/>
          <w:sz w:val="20"/>
          <w:szCs w:val="20"/>
          <w:lang w:eastAsia="en-US"/>
        </w:rPr>
        <w:drawing>
          <wp:inline distT="0" distB="0" distL="114300" distR="114300">
            <wp:extent cx="3254375" cy="2994660"/>
            <wp:effectExtent l="0" t="0" r="6985" b="7620"/>
            <wp:docPr id="2" name="图片 2" descr="1536641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6641048(1)"/>
                    <pic:cNvPicPr>
                      <a:picLocks noChangeAspect="1"/>
                    </pic:cNvPicPr>
                  </pic:nvPicPr>
                  <pic:blipFill>
                    <a:blip r:embed="rId6"/>
                    <a:stretch>
                      <a:fillRect/>
                    </a:stretch>
                  </pic:blipFill>
                  <pic:spPr>
                    <a:xfrm>
                      <a:off x="0" y="0"/>
                      <a:ext cx="3254375" cy="2994660"/>
                    </a:xfrm>
                    <a:prstGeom prst="rect">
                      <a:avLst/>
                    </a:prstGeom>
                  </pic:spPr>
                </pic:pic>
              </a:graphicData>
            </a:graphic>
          </wp:inline>
        </w:drawing>
      </w:r>
    </w:p>
    <w:p>
      <w:pPr>
        <w:adjustRightInd w:val="0"/>
        <w:snapToGrid w:val="0"/>
        <w:spacing w:line="360" w:lineRule="auto"/>
        <w:rPr>
          <w:rFonts w:ascii="Book Antiqua" w:hAnsi="Book Antiqua" w:cs="Book Antiqua"/>
          <w:bCs/>
          <w:sz w:val="20"/>
          <w:szCs w:val="20"/>
        </w:rPr>
      </w:pPr>
      <w:bookmarkStart w:id="32" w:name="OLE_LINK4"/>
      <w:bookmarkStart w:id="33" w:name="OLE_LINK3"/>
      <w:r>
        <w:rPr>
          <w:rFonts w:ascii="Book Antiqua" w:hAnsi="Book Antiqua" w:cs="Book Antiqua"/>
          <w:b/>
          <w:sz w:val="20"/>
          <w:szCs w:val="20"/>
        </w:rPr>
        <w:t>Figure 1</w:t>
      </w:r>
      <w:bookmarkEnd w:id="32"/>
      <w:bookmarkEnd w:id="33"/>
      <w:r>
        <w:rPr>
          <w:rFonts w:ascii="Book Antiqua" w:hAnsi="Book Antiqua" w:cs="Book Antiqua"/>
          <w:b/>
          <w:sz w:val="20"/>
          <w:szCs w:val="20"/>
        </w:rPr>
        <w:t xml:space="preserve"> </w:t>
      </w:r>
      <w:r>
        <w:rPr>
          <w:rFonts w:ascii="Book Antiqua" w:hAnsi="Book Antiqua" w:cs="Book Antiqua"/>
          <w:b/>
          <w:bCs/>
          <w:sz w:val="20"/>
          <w:szCs w:val="20"/>
          <w:lang w:bidi="en-US"/>
        </w:rPr>
        <w:t>Operational taxonomic units</w:t>
      </w:r>
      <w:r>
        <w:rPr>
          <w:rFonts w:ascii="Book Antiqua" w:hAnsi="Book Antiqua" w:cs="Book Antiqua"/>
          <w:b/>
          <w:sz w:val="20"/>
          <w:szCs w:val="20"/>
          <w:lang w:bidi="en-US"/>
        </w:rPr>
        <w:t xml:space="preserve"> </w:t>
      </w:r>
      <w:r>
        <w:rPr>
          <w:rFonts w:ascii="Book Antiqua" w:hAnsi="Book Antiqua" w:cs="Book Antiqua"/>
          <w:b/>
          <w:sz w:val="20"/>
          <w:szCs w:val="20"/>
        </w:rPr>
        <w:t xml:space="preserve">and their abundance. </w:t>
      </w:r>
      <w:r>
        <w:rPr>
          <w:rFonts w:ascii="Book Antiqua" w:hAnsi="Book Antiqua" w:cs="Book Antiqua"/>
          <w:bCs/>
          <w:sz w:val="20"/>
          <w:szCs w:val="20"/>
        </w:rPr>
        <w:t xml:space="preserve">Group 1: Normal mucosa; Group 2: Colorectal adenoma mucosa; Group 3: Adjacent normal mucosa of </w:t>
      </w:r>
      <w:r>
        <w:rPr>
          <w:rFonts w:ascii="Book Antiqua" w:hAnsi="Book Antiqua" w:cs="Book Antiqua"/>
          <w:sz w:val="20"/>
          <w:szCs w:val="20"/>
        </w:rPr>
        <w:t>colorectal adenoma</w:t>
      </w:r>
      <w:r>
        <w:rPr>
          <w:rFonts w:ascii="Book Antiqua" w:hAnsi="Book Antiqua" w:cs="Book Antiqua"/>
          <w:bCs/>
          <w:sz w:val="20"/>
          <w:szCs w:val="20"/>
        </w:rPr>
        <w:t xml:space="preserve"> specimens.</w:t>
      </w:r>
    </w:p>
    <w:p>
      <w:pPr>
        <w:widowControl/>
        <w:snapToGrid w:val="0"/>
        <w:spacing w:line="360" w:lineRule="auto"/>
        <w:jc w:val="left"/>
        <w:rPr>
          <w:rFonts w:ascii="Book Antiqua" w:hAnsi="Book Antiqua" w:cs="Book Antiqua"/>
          <w:bCs/>
          <w:sz w:val="20"/>
          <w:szCs w:val="20"/>
        </w:rPr>
      </w:pPr>
      <w:r>
        <w:rPr>
          <w:rFonts w:ascii="Book Antiqua" w:hAnsi="Book Antiqua" w:cs="Book Antiqua"/>
          <w:bCs/>
          <w:sz w:val="20"/>
          <w:szCs w:val="20"/>
        </w:rPr>
        <w:br w:type="page"/>
      </w:r>
    </w:p>
    <w:p>
      <w:pPr>
        <w:adjustRightInd w:val="0"/>
        <w:snapToGrid w:val="0"/>
        <w:spacing w:line="360" w:lineRule="auto"/>
        <w:rPr>
          <w:rFonts w:ascii="Book Antiqua" w:hAnsi="Book Antiqua" w:cs="Book Antiqua"/>
          <w:bCs/>
          <w:sz w:val="20"/>
          <w:szCs w:val="20"/>
        </w:rPr>
      </w:pPr>
      <w:r>
        <w:rPr>
          <w:rFonts w:ascii="Book Antiqua" w:hAnsi="Book Antiqua"/>
          <w:sz w:val="20"/>
          <w:szCs w:val="20"/>
          <w:lang w:eastAsia="en-US"/>
        </w:rPr>
        <w:drawing>
          <wp:inline distT="0" distB="0" distL="0" distR="0">
            <wp:extent cx="5274310" cy="33483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3348355"/>
                    </a:xfrm>
                    <a:prstGeom prst="rect">
                      <a:avLst/>
                    </a:prstGeom>
                  </pic:spPr>
                </pic:pic>
              </a:graphicData>
            </a:graphic>
          </wp:inline>
        </w:drawing>
      </w:r>
    </w:p>
    <w:p>
      <w:pPr>
        <w:adjustRightInd w:val="0"/>
        <w:snapToGrid w:val="0"/>
        <w:spacing w:line="360" w:lineRule="auto"/>
        <w:rPr>
          <w:rFonts w:ascii="Book Antiqua" w:hAnsi="Book Antiqua"/>
          <w:sz w:val="20"/>
          <w:szCs w:val="20"/>
        </w:rPr>
      </w:pPr>
    </w:p>
    <w:p>
      <w:pPr>
        <w:adjustRightInd w:val="0"/>
        <w:snapToGrid w:val="0"/>
        <w:spacing w:line="360" w:lineRule="auto"/>
        <w:rPr>
          <w:rFonts w:ascii="Book Antiqua" w:hAnsi="Book Antiqua" w:cs="Book Antiqua"/>
          <w:bCs/>
          <w:sz w:val="20"/>
          <w:szCs w:val="20"/>
        </w:rPr>
      </w:pPr>
      <w:r>
        <w:rPr>
          <w:rFonts w:ascii="Book Antiqua" w:hAnsi="Book Antiqua" w:cs="Book Antiqua"/>
          <w:b/>
          <w:bCs/>
          <w:sz w:val="20"/>
          <w:szCs w:val="20"/>
        </w:rPr>
        <w:t>Figure 2 Box plots of alpha diversity among normal mucosa (group 1), colorectal adenoma mucosa (group 2), and adjacent normal mucosa of colorectal adenoma specimens (group 3).</w:t>
      </w:r>
      <w:r>
        <w:rPr>
          <w:rFonts w:ascii="Book Antiqua" w:hAnsi="Book Antiqua" w:cs="Book Antiqua"/>
          <w:bCs/>
          <w:sz w:val="20"/>
          <w:szCs w:val="20"/>
        </w:rPr>
        <w:t xml:space="preserve"> A: Differences in the observed operational taxonomic units </w:t>
      </w:r>
      <w:r>
        <w:rPr>
          <w:rFonts w:ascii="Book Antiqua" w:hAnsi="Book Antiqua" w:cs="Book Antiqua"/>
          <w:sz w:val="20"/>
          <w:szCs w:val="20"/>
        </w:rPr>
        <w:t>among</w:t>
      </w:r>
      <w:r>
        <w:rPr>
          <w:rFonts w:ascii="Book Antiqua" w:hAnsi="Book Antiqua" w:cs="Book Antiqua"/>
          <w:bCs/>
          <w:sz w:val="20"/>
          <w:szCs w:val="20"/>
        </w:rPr>
        <w:t xml:space="preserve"> normal mucosa (group 1), colorectal adenoma (CRA) mucosa (group 2), and adjacent normal mucosa of CRA specimens (group 3); B: Differences in Chao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C: Differences in the index used to estimate the number of OTU in the community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D: Differences in the Shannon index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E: Differences in the Simpson diversity index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ACE: Index used to estimate the number of OTU in the community.</w:t>
      </w:r>
    </w:p>
    <w:p>
      <w:pPr>
        <w:adjustRightInd w:val="0"/>
        <w:snapToGrid w:val="0"/>
        <w:spacing w:line="360" w:lineRule="auto"/>
        <w:rPr>
          <w:rFonts w:ascii="Book Antiqua" w:hAnsi="Book Antiqua"/>
          <w:sz w:val="20"/>
          <w:szCs w:val="20"/>
          <w:lang w:eastAsia="en-US"/>
        </w:rPr>
      </w:pPr>
    </w:p>
    <w:p>
      <w:pPr>
        <w:adjustRightInd w:val="0"/>
        <w:snapToGrid w:val="0"/>
        <w:spacing w:line="360" w:lineRule="auto"/>
        <w:rPr>
          <w:rFonts w:ascii="Book Antiqua" w:hAnsi="Book Antiqua"/>
          <w:sz w:val="20"/>
          <w:szCs w:val="20"/>
          <w:lang w:eastAsia="en-US"/>
        </w:rPr>
      </w:pPr>
    </w:p>
    <w:p>
      <w:pPr>
        <w:adjustRightInd w:val="0"/>
        <w:snapToGrid w:val="0"/>
        <w:spacing w:line="360" w:lineRule="auto"/>
        <w:rPr>
          <w:rFonts w:ascii="Book Antiqua" w:hAnsi="Book Antiqua"/>
          <w:sz w:val="20"/>
          <w:szCs w:val="20"/>
          <w:lang w:eastAsia="en-US"/>
        </w:rPr>
      </w:pPr>
    </w:p>
    <w:p>
      <w:pPr>
        <w:adjustRightInd w:val="0"/>
        <w:snapToGrid w:val="0"/>
        <w:spacing w:line="360" w:lineRule="auto"/>
        <w:rPr>
          <w:rFonts w:ascii="Book Antiqua" w:hAnsi="Book Antiqua"/>
          <w:sz w:val="20"/>
          <w:szCs w:val="20"/>
          <w:lang w:eastAsia="en-US"/>
        </w:rPr>
      </w:pPr>
    </w:p>
    <w:p>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736600</wp:posOffset>
                </wp:positionH>
                <wp:positionV relativeFrom="paragraph">
                  <wp:posOffset>0</wp:posOffset>
                </wp:positionV>
                <wp:extent cx="943610" cy="241300"/>
                <wp:effectExtent l="0" t="0" r="0" b="0"/>
                <wp:wrapNone/>
                <wp:docPr id="32" name="文本框 8"/>
                <wp:cNvGraphicFramePr/>
                <a:graphic xmlns:a="http://schemas.openxmlformats.org/drawingml/2006/main">
                  <a:graphicData uri="http://schemas.microsoft.com/office/word/2010/wordprocessingShape">
                    <wps:wsp>
                      <wps:cNvSpPr txBox="1"/>
                      <wps:spPr>
                        <a:xfrm>
                          <a:off x="0" y="0"/>
                          <a:ext cx="943610" cy="241300"/>
                        </a:xfrm>
                        <a:prstGeom prst="rect">
                          <a:avLst/>
                        </a:prstGeom>
                        <a:noFill/>
                      </wps:spPr>
                      <wps:txbx>
                        <w:txbxContent>
                          <w:p>
                            <w:pPr>
                              <w:rPr>
                                <w:rFonts w:ascii="Book Antiqua" w:hAnsi="Book Antiqua"/>
                                <w:kern w:val="0"/>
                                <w:sz w:val="15"/>
                                <w:szCs w:val="15"/>
                              </w:rPr>
                            </w:pPr>
                            <w:r>
                              <w:rPr>
                                <w:rFonts w:ascii="Book Antiqua" w:hAnsi="Book Antiqua"/>
                                <w:color w:val="000000" w:themeColor="text1"/>
                                <w:kern w:val="24"/>
                                <w:sz w:val="15"/>
                                <w:szCs w:val="15"/>
                                <w14:textFill>
                                  <w14:solidFill>
                                    <w14:schemeClr w14:val="tx1"/>
                                  </w14:solidFill>
                                </w14:textFill>
                              </w:rPr>
                              <w:t xml:space="preserve">PCoA-PC1 </w:t>
                            </w:r>
                            <w:r>
                              <w:rPr>
                                <w:rFonts w:ascii="Book Antiqua" w:hAnsi="Book Antiqua"/>
                                <w:i/>
                                <w:iCs/>
                                <w:color w:val="000000" w:themeColor="text1"/>
                                <w:kern w:val="24"/>
                                <w:sz w:val="15"/>
                                <w:szCs w:val="15"/>
                                <w14:textFill>
                                  <w14:solidFill>
                                    <w14:schemeClr w14:val="tx1"/>
                                  </w14:solidFill>
                                </w14:textFill>
                              </w:rPr>
                              <w:t>vs</w:t>
                            </w:r>
                            <w:r>
                              <w:rPr>
                                <w:rFonts w:ascii="Book Antiqua" w:hAnsi="Book Antiqua"/>
                                <w:color w:val="000000" w:themeColor="text1"/>
                                <w:kern w:val="24"/>
                                <w:sz w:val="15"/>
                                <w:szCs w:val="15"/>
                                <w14:textFill>
                                  <w14:solidFill>
                                    <w14:schemeClr w14:val="tx1"/>
                                  </w14:solidFill>
                                </w14:textFill>
                              </w:rPr>
                              <w:t xml:space="preserve"> PC3</w:t>
                            </w:r>
                          </w:p>
                        </w:txbxContent>
                      </wps:txbx>
                      <wps:bodyPr wrap="none" rtlCol="0">
                        <a:noAutofit/>
                      </wps:bodyPr>
                    </wps:wsp>
                  </a:graphicData>
                </a:graphic>
              </wp:anchor>
            </w:drawing>
          </mc:Choice>
          <mc:Fallback>
            <w:pict>
              <v:shape id="文本框 8" o:spid="_x0000_s1026" o:spt="202" type="#_x0000_t202" style="position:absolute;left:0pt;margin-left:58pt;margin-top:0pt;height:19pt;width:74.3pt;mso-wrap-style:none;z-index:251658240;mso-width-relative:page;mso-height-relative:page;" filled="f" stroked="f" coordsize="21600,21600" o:gfxdata="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5yGc9gAAAAHAQAADwAAAAAAAAABACAAAAAi&#10;AAAAZHJzL2Rvd25yZXYueG1sUEsBAhQAFAAAAAgAh07iQJM/Zs6YAQAADQMAAA4AAAAAAAAAAQAg&#10;AAAAJwEAAGRycy9lMm9Eb2MueG1sUEsFBgAAAAAGAAYAWQEAADEFAAAAAA==&#10;">
                <v:fill on="f" focussize="0,0"/>
                <v:stroke on="f"/>
                <v:imagedata o:title=""/>
                <o:lock v:ext="edit" aspectratio="f"/>
                <v:textbox>
                  <w:txbxContent>
                    <w:p>
                      <w:pPr>
                        <w:rPr>
                          <w:rFonts w:ascii="Book Antiqua" w:hAnsi="Book Antiqua"/>
                          <w:kern w:val="0"/>
                          <w:sz w:val="15"/>
                          <w:szCs w:val="15"/>
                        </w:rPr>
                      </w:pPr>
                      <w:r>
                        <w:rPr>
                          <w:rFonts w:ascii="Book Antiqua" w:hAnsi="Book Antiqua"/>
                          <w:color w:val="000000" w:themeColor="text1"/>
                          <w:kern w:val="24"/>
                          <w:sz w:val="15"/>
                          <w:szCs w:val="15"/>
                          <w14:textFill>
                            <w14:solidFill>
                              <w14:schemeClr w14:val="tx1"/>
                            </w14:solidFill>
                          </w14:textFill>
                        </w:rPr>
                        <w:t xml:space="preserve">PCoA-PC1 </w:t>
                      </w:r>
                      <w:r>
                        <w:rPr>
                          <w:rFonts w:ascii="Book Antiqua" w:hAnsi="Book Antiqua"/>
                          <w:i/>
                          <w:iCs/>
                          <w:color w:val="000000" w:themeColor="text1"/>
                          <w:kern w:val="24"/>
                          <w:sz w:val="15"/>
                          <w:szCs w:val="15"/>
                          <w14:textFill>
                            <w14:solidFill>
                              <w14:schemeClr w14:val="tx1"/>
                            </w14:solidFill>
                          </w14:textFill>
                        </w:rPr>
                        <w:t>vs</w:t>
                      </w:r>
                      <w:r>
                        <w:rPr>
                          <w:rFonts w:ascii="Book Antiqua" w:hAnsi="Book Antiqua"/>
                          <w:color w:val="000000" w:themeColor="text1"/>
                          <w:kern w:val="24"/>
                          <w:sz w:val="15"/>
                          <w:szCs w:val="15"/>
                          <w14:textFill>
                            <w14:solidFill>
                              <w14:schemeClr w14:val="tx1"/>
                            </w14:solidFill>
                          </w14:textFill>
                        </w:rPr>
                        <w:t xml:space="preserve"> PC3</w:t>
                      </w:r>
                    </w:p>
                  </w:txbxContent>
                </v:textbox>
              </v:shape>
            </w:pict>
          </mc:Fallback>
        </mc:AlternateContent>
      </w:r>
    </w:p>
    <w:p>
      <w:pPr>
        <w:adjustRightInd w:val="0"/>
        <w:snapToGrid w:val="0"/>
        <w:spacing w:line="360" w:lineRule="auto"/>
        <w:rPr>
          <w:rFonts w:ascii="Book Antiqua" w:hAnsi="Book Antiqua" w:cs="Book Antiqua"/>
          <w:b/>
          <w:sz w:val="20"/>
          <w:szCs w:val="20"/>
        </w:rPr>
      </w:pPr>
      <w:r>
        <w:rPr>
          <w:rFonts w:ascii="Book Antiqua" w:hAnsi="Book Antiqua"/>
          <w:sz w:val="20"/>
          <w:szCs w:val="20"/>
          <w:lang w:eastAsia="en-US"/>
        </w:rPr>
        <w:drawing>
          <wp:inline distT="0" distB="0" distL="0" distR="0">
            <wp:extent cx="2349500" cy="2178050"/>
            <wp:effectExtent l="0" t="0" r="0" b="0"/>
            <wp:docPr id="4" name="图片 2" descr="说明: PC1_vs_PC3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说明: PC1_vs_PC3_plot.png"/>
                    <pic:cNvPicPr>
                      <a:picLocks noChangeAspect="1" noChangeArrowheads="1"/>
                    </pic:cNvPicPr>
                  </pic:nvPicPr>
                  <pic:blipFill>
                    <a:blip r:embed="rId8"/>
                    <a:srcRect t="8811" r="3671" b="1889"/>
                    <a:stretch>
                      <a:fillRect/>
                    </a:stretch>
                  </pic:blipFill>
                  <pic:spPr>
                    <a:xfrm>
                      <a:off x="0" y="0"/>
                      <a:ext cx="2349500" cy="2178050"/>
                    </a:xfrm>
                    <a:prstGeom prst="rect">
                      <a:avLst/>
                    </a:prstGeom>
                    <a:noFill/>
                    <a:ln>
                      <a:noFill/>
                    </a:ln>
                  </pic:spPr>
                </pic:pic>
              </a:graphicData>
            </a:graphic>
          </wp:inline>
        </w:drawing>
      </w:r>
    </w:p>
    <w:p>
      <w:pPr>
        <w:adjustRightInd w:val="0"/>
        <w:snapToGrid w:val="0"/>
        <w:spacing w:line="360" w:lineRule="auto"/>
        <w:rPr>
          <w:rFonts w:ascii="Book Antiqua" w:hAnsi="Book Antiqua" w:cs="Book Antiqua"/>
          <w:b/>
          <w:sz w:val="20"/>
          <w:szCs w:val="20"/>
        </w:rPr>
      </w:pPr>
    </w:p>
    <w:p>
      <w:pPr>
        <w:adjustRightInd w:val="0"/>
        <w:snapToGrid w:val="0"/>
        <w:spacing w:line="360" w:lineRule="auto"/>
        <w:rPr>
          <w:rFonts w:ascii="Book Antiqua" w:hAnsi="Book Antiqua"/>
          <w:sz w:val="20"/>
          <w:szCs w:val="20"/>
          <w:lang w:eastAsia="en-US"/>
        </w:rPr>
      </w:pPr>
      <w:r>
        <w:rPr>
          <w:rFonts w:ascii="Book Antiqua" w:hAnsi="Book Antiqua" w:cs="Book Antiqua"/>
          <w:b/>
          <w:sz w:val="20"/>
          <w:szCs w:val="20"/>
        </w:rPr>
        <w:t xml:space="preserve">Figure 3 Principal coordinates analysis of beta diversity. </w:t>
      </w:r>
      <w:r>
        <w:rPr>
          <w:rFonts w:ascii="Book Antiqua" w:hAnsi="Book Antiqua" w:cs="Book Antiqua"/>
          <w:bCs/>
          <w:sz w:val="20"/>
          <w:szCs w:val="20"/>
        </w:rPr>
        <w:t>PCoA: Principal coordinates analysis.</w:t>
      </w:r>
    </w:p>
    <w:p>
      <w:pPr>
        <w:widowControl/>
        <w:snapToGrid w:val="0"/>
        <w:spacing w:line="360" w:lineRule="auto"/>
        <w:jc w:val="left"/>
        <w:rPr>
          <w:rFonts w:ascii="Book Antiqua" w:hAnsi="Book Antiqua"/>
          <w:sz w:val="20"/>
          <w:szCs w:val="20"/>
          <w:lang w:eastAsia="en-US"/>
        </w:rPr>
      </w:pPr>
      <w:r>
        <w:rPr>
          <w:rFonts w:ascii="Book Antiqua" w:hAnsi="Book Antiqua"/>
          <w:sz w:val="20"/>
          <w:szCs w:val="20"/>
          <w:lang w:eastAsia="en-US"/>
        </w:rPr>
        <w:br w:type="page"/>
      </w:r>
    </w:p>
    <w:p>
      <w:pPr>
        <w:adjustRightInd w:val="0"/>
        <w:snapToGrid w:val="0"/>
        <w:spacing w:line="360" w:lineRule="auto"/>
        <w:rPr>
          <w:rFonts w:ascii="Book Antiqua" w:hAnsi="Book Antiqua"/>
          <w:sz w:val="20"/>
          <w:szCs w:val="20"/>
        </w:rPr>
      </w:pPr>
      <w:r>
        <w:rPr>
          <w:rFonts w:ascii="Book Antiqua" w:hAnsi="Book Antiqua"/>
          <w:sz w:val="20"/>
          <w:szCs w:val="20"/>
          <w:lang w:eastAsia="en-US"/>
        </w:rPr>
        <w:drawing>
          <wp:inline distT="0" distB="0" distL="0" distR="0">
            <wp:extent cx="2425700" cy="2400300"/>
            <wp:effectExtent l="0" t="0" r="12700" b="7620"/>
            <wp:docPr id="5" name="内容占位符 3" descr="说明: Description_bray_curtis_hea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内容占位符 3" descr="说明: Description_bray_curtis_heatmap.png"/>
                    <pic:cNvPicPr>
                      <a:picLocks noChangeAspect="1" noChangeArrowheads="1"/>
                    </pic:cNvPicPr>
                  </pic:nvPicPr>
                  <pic:blipFill>
                    <a:blip r:embed="rId9" cstate="print"/>
                    <a:srcRect l="3986" t="7462" r="8138" b="6712"/>
                    <a:stretch>
                      <a:fillRect/>
                    </a:stretch>
                  </pic:blipFill>
                  <pic:spPr>
                    <a:xfrm>
                      <a:off x="0" y="0"/>
                      <a:ext cx="2425700" cy="2400300"/>
                    </a:xfrm>
                    <a:prstGeom prst="rect">
                      <a:avLst/>
                    </a:prstGeom>
                    <a:noFill/>
                    <a:ln w="9525">
                      <a:noFill/>
                      <a:miter lim="800000"/>
                      <a:headEnd/>
                      <a:tailEnd/>
                    </a:ln>
                  </pic:spPr>
                </pic:pic>
              </a:graphicData>
            </a:graphic>
          </wp:inline>
        </w:drawing>
      </w:r>
    </w:p>
    <w:p>
      <w:pPr>
        <w:adjustRightInd w:val="0"/>
        <w:snapToGrid w:val="0"/>
        <w:spacing w:line="360" w:lineRule="auto"/>
        <w:ind w:firstLine="201" w:firstLineChars="100"/>
        <w:rPr>
          <w:rFonts w:ascii="Book Antiqua" w:hAnsi="Book Antiqua" w:cs="Book Antiqua"/>
          <w:b/>
          <w:sz w:val="20"/>
          <w:szCs w:val="20"/>
        </w:rPr>
      </w:pPr>
      <w:r>
        <w:rPr>
          <w:rFonts w:ascii="Book Antiqua" w:hAnsi="Book Antiqua" w:cs="Book Antiqua"/>
          <w:b/>
          <w:sz w:val="20"/>
          <w:szCs w:val="20"/>
        </w:rPr>
        <w:t>Figure 4 Heatmap of beta diversity.</w:t>
      </w:r>
    </w:p>
    <w:p>
      <w:pPr>
        <w:widowControl/>
        <w:snapToGrid w:val="0"/>
        <w:spacing w:line="360" w:lineRule="auto"/>
        <w:jc w:val="left"/>
        <w:rPr>
          <w:rFonts w:ascii="Book Antiqua" w:hAnsi="Book Antiqua"/>
          <w:sz w:val="20"/>
          <w:szCs w:val="20"/>
        </w:rPr>
      </w:pPr>
      <w:r>
        <w:rPr>
          <w:rFonts w:ascii="Book Antiqua" w:hAnsi="Book Antiqua"/>
          <w:sz w:val="20"/>
          <w:szCs w:val="20"/>
        </w:rPr>
        <w:br w:type="page"/>
      </w:r>
    </w:p>
    <w:p>
      <w:pPr>
        <w:adjustRightInd w:val="0"/>
        <w:snapToGrid w:val="0"/>
        <w:spacing w:line="360" w:lineRule="auto"/>
        <w:rPr>
          <w:rFonts w:ascii="Book Antiqua" w:hAnsi="Book Antiqua"/>
          <w:sz w:val="20"/>
          <w:szCs w:val="20"/>
        </w:rPr>
      </w:pPr>
    </w:p>
    <w:p>
      <w:pPr>
        <w:adjustRightInd w:val="0"/>
        <w:snapToGrid w:val="0"/>
        <w:spacing w:line="360" w:lineRule="auto"/>
        <w:rPr>
          <w:rFonts w:ascii="Book Antiqua" w:hAnsi="Book Antiqua"/>
          <w:sz w:val="20"/>
          <w:szCs w:val="20"/>
        </w:rPr>
      </w:pPr>
      <w:r>
        <w:rPr>
          <w:rFonts w:ascii="Book Antiqua" w:hAnsi="Book Antiqua"/>
          <w:sz w:val="20"/>
          <w:szCs w:val="20"/>
        </w:rPr>
        <w:t xml:space="preserve"> </w:t>
      </w:r>
      <w:r>
        <w:rPr>
          <w:rFonts w:ascii="Book Antiqua" w:hAnsi="Book Antiqua"/>
          <w:sz w:val="20"/>
          <w:szCs w:val="20"/>
          <w:lang w:eastAsia="en-US"/>
        </w:rPr>
        <w:drawing>
          <wp:inline distT="0" distB="0" distL="0" distR="0">
            <wp:extent cx="2305685" cy="2736850"/>
            <wp:effectExtent l="0" t="0" r="10795"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10"/>
                    <a:srcRect r="27237" b="4279"/>
                    <a:stretch>
                      <a:fillRect/>
                    </a:stretch>
                  </pic:blipFill>
                  <pic:spPr>
                    <a:xfrm>
                      <a:off x="0" y="0"/>
                      <a:ext cx="2305685" cy="2736850"/>
                    </a:xfrm>
                    <a:prstGeom prst="rect">
                      <a:avLst/>
                    </a:prstGeom>
                    <a:noFill/>
                    <a:ln w="9525">
                      <a:noFill/>
                      <a:miter lim="800000"/>
                      <a:headEnd/>
                      <a:tailEnd/>
                    </a:ln>
                  </pic:spPr>
                </pic:pic>
              </a:graphicData>
            </a:graphic>
          </wp:inline>
        </w:drawing>
      </w:r>
    </w:p>
    <w:p>
      <w:pPr>
        <w:adjustRightInd w:val="0"/>
        <w:snapToGrid w:val="0"/>
        <w:spacing w:line="360" w:lineRule="auto"/>
        <w:rPr>
          <w:rFonts w:ascii="Book Antiqua" w:hAnsi="Book Antiqua" w:cs="Book Antiqua"/>
          <w:sz w:val="20"/>
          <w:szCs w:val="20"/>
        </w:rPr>
      </w:pPr>
      <w:r>
        <w:rPr>
          <w:rFonts w:ascii="Book Antiqua" w:hAnsi="Book Antiqua" w:cs="Book Antiqua"/>
          <w:b/>
          <w:sz w:val="20"/>
          <w:szCs w:val="20"/>
        </w:rPr>
        <w:t>Figure 5 Histograms at the phylum level.</w:t>
      </w:r>
    </w:p>
    <w:p>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pPr>
        <w:adjustRightInd w:val="0"/>
        <w:snapToGrid w:val="0"/>
        <w:spacing w:line="360" w:lineRule="auto"/>
        <w:rPr>
          <w:rFonts w:ascii="Book Antiqua" w:hAnsi="Book Antiqua" w:cs="Book Antiqua"/>
          <w:sz w:val="20"/>
          <w:szCs w:val="20"/>
        </w:rPr>
      </w:pPr>
    </w:p>
    <w:p>
      <w:pPr>
        <w:adjustRightInd w:val="0"/>
        <w:snapToGrid w:val="0"/>
        <w:spacing w:line="360" w:lineRule="auto"/>
        <w:rPr>
          <w:rFonts w:ascii="Book Antiqua" w:hAnsi="Book Antiqua"/>
          <w:sz w:val="20"/>
          <w:szCs w:val="20"/>
        </w:rPr>
      </w:pPr>
      <w:r>
        <w:rPr>
          <w:rFonts w:ascii="Book Antiqua" w:hAnsi="Book Antiqua"/>
          <w:sz w:val="20"/>
          <w:szCs w:val="20"/>
          <w:lang w:eastAsia="en-US"/>
        </w:rPr>
        <w:drawing>
          <wp:inline distT="0" distB="0" distL="0" distR="0">
            <wp:extent cx="3035935" cy="2711450"/>
            <wp:effectExtent l="0" t="0" r="12065" b="1270"/>
            <wp:docPr id="7" name="内容占位符 3" descr="说明: Order_taxonomy_b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内容占位符 3" descr="说明: Order_taxonomy_barplot.png"/>
                    <pic:cNvPicPr>
                      <a:picLocks noChangeAspect="1" noChangeArrowheads="1"/>
                    </pic:cNvPicPr>
                  </pic:nvPicPr>
                  <pic:blipFill>
                    <a:blip r:embed="rId11"/>
                    <a:srcRect l="3293" t="1437" r="7912" b="7545"/>
                    <a:stretch>
                      <a:fillRect/>
                    </a:stretch>
                  </pic:blipFill>
                  <pic:spPr>
                    <a:xfrm>
                      <a:off x="0" y="0"/>
                      <a:ext cx="3035935" cy="2711450"/>
                    </a:xfrm>
                    <a:prstGeom prst="rect">
                      <a:avLst/>
                    </a:prstGeom>
                    <a:noFill/>
                    <a:ln w="9525">
                      <a:noFill/>
                      <a:miter lim="800000"/>
                      <a:headEnd/>
                      <a:tailEnd/>
                    </a:ln>
                  </pic:spPr>
                </pic:pic>
              </a:graphicData>
            </a:graphic>
          </wp:inline>
        </w:drawing>
      </w:r>
    </w:p>
    <w:p>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rPr>
        <w:t>Figure 6 Histograms at the order level.</w:t>
      </w:r>
    </w:p>
    <w:p>
      <w:pPr>
        <w:widowControl/>
        <w:snapToGrid w:val="0"/>
        <w:spacing w:line="360" w:lineRule="auto"/>
        <w:jc w:val="left"/>
        <w:rPr>
          <w:rFonts w:ascii="Book Antiqua" w:hAnsi="Book Antiqua"/>
          <w:sz w:val="20"/>
          <w:szCs w:val="20"/>
        </w:rPr>
      </w:pPr>
      <w:r>
        <w:rPr>
          <w:rFonts w:ascii="Book Antiqua" w:hAnsi="Book Antiqua"/>
          <w:sz w:val="20"/>
          <w:szCs w:val="20"/>
        </w:rPr>
        <w:br w:type="page"/>
      </w:r>
    </w:p>
    <w:p>
      <w:pPr>
        <w:adjustRightInd w:val="0"/>
        <w:snapToGrid w:val="0"/>
        <w:spacing w:line="360" w:lineRule="auto"/>
        <w:rPr>
          <w:rFonts w:ascii="Book Antiqua" w:hAnsi="Book Antiqua"/>
          <w:sz w:val="20"/>
          <w:szCs w:val="20"/>
        </w:rPr>
      </w:pPr>
    </w:p>
    <w:p>
      <w:pPr>
        <w:adjustRightInd w:val="0"/>
        <w:snapToGrid w:val="0"/>
        <w:spacing w:line="360" w:lineRule="auto"/>
        <w:rPr>
          <w:rFonts w:ascii="Book Antiqua" w:hAnsi="Book Antiqua"/>
          <w:sz w:val="20"/>
          <w:szCs w:val="20"/>
        </w:rPr>
      </w:pPr>
      <w:r>
        <w:rPr>
          <w:rFonts w:ascii="Book Antiqua" w:hAnsi="Book Antiqua"/>
          <w:sz w:val="20"/>
          <w:szCs w:val="20"/>
          <w:lang w:eastAsia="en-US"/>
        </w:rPr>
        <w:drawing>
          <wp:inline distT="0" distB="0" distL="0" distR="0">
            <wp:extent cx="3803650" cy="2222500"/>
            <wp:effectExtent l="0" t="0" r="6350" b="254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a:srcRect l="10997" r="16905" b="7549"/>
                    <a:stretch>
                      <a:fillRect/>
                    </a:stretch>
                  </pic:blipFill>
                  <pic:spPr>
                    <a:xfrm>
                      <a:off x="0" y="0"/>
                      <a:ext cx="3803650" cy="2222500"/>
                    </a:xfrm>
                    <a:prstGeom prst="rect">
                      <a:avLst/>
                    </a:prstGeom>
                    <a:noFill/>
                    <a:ln w="9525">
                      <a:noFill/>
                      <a:miter lim="800000"/>
                      <a:headEnd/>
                      <a:tailEnd/>
                    </a:ln>
                  </pic:spPr>
                </pic:pic>
              </a:graphicData>
            </a:graphic>
          </wp:inline>
        </w:drawing>
      </w:r>
    </w:p>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Figure 7 Histograms at the family level.</w:t>
      </w:r>
    </w:p>
    <w:p>
      <w:pPr>
        <w:widowControl/>
        <w:snapToGrid w:val="0"/>
        <w:spacing w:line="360" w:lineRule="auto"/>
        <w:jc w:val="left"/>
        <w:rPr>
          <w:rFonts w:ascii="Book Antiqua" w:hAnsi="Book Antiqua" w:cs="Book Antiqua"/>
          <w:b/>
          <w:bCs/>
          <w:sz w:val="20"/>
          <w:szCs w:val="20"/>
        </w:rPr>
      </w:pPr>
      <w:r>
        <w:rPr>
          <w:rFonts w:ascii="Book Antiqua" w:hAnsi="Book Antiqua" w:cs="Book Antiqua"/>
          <w:b/>
          <w:bCs/>
          <w:sz w:val="20"/>
          <w:szCs w:val="20"/>
        </w:rPr>
        <w:br w:type="page"/>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sz w:val="20"/>
          <w:szCs w:val="20"/>
        </w:rPr>
      </w:pPr>
      <w:r>
        <w:rPr>
          <w:rFonts w:ascii="Book Antiqua" w:hAnsi="Book Antiqua"/>
          <w:sz w:val="20"/>
          <w:szCs w:val="20"/>
          <w:lang w:eastAsia="en-US"/>
        </w:rPr>
        <w:drawing>
          <wp:inline distT="0" distB="0" distL="0" distR="0">
            <wp:extent cx="3760470" cy="2472690"/>
            <wp:effectExtent l="0" t="0" r="3810" b="11430"/>
            <wp:docPr id="9" name="内容占位符 1" descr="说明: Species_taxonomy_b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内容占位符 1" descr="说明: Species_taxonomy_barplot.png"/>
                    <pic:cNvPicPr>
                      <a:picLocks noChangeAspect="1" noChangeArrowheads="1"/>
                    </pic:cNvPicPr>
                  </pic:nvPicPr>
                  <pic:blipFill>
                    <a:blip r:embed="rId13"/>
                    <a:srcRect l="4291" t="2213" r="11964" b="9796"/>
                    <a:stretch>
                      <a:fillRect/>
                    </a:stretch>
                  </pic:blipFill>
                  <pic:spPr>
                    <a:xfrm>
                      <a:off x="0" y="0"/>
                      <a:ext cx="3760470" cy="2472690"/>
                    </a:xfrm>
                    <a:prstGeom prst="rect">
                      <a:avLst/>
                    </a:prstGeom>
                    <a:noFill/>
                    <a:ln w="9525">
                      <a:noFill/>
                      <a:miter lim="800000"/>
                      <a:headEnd/>
                      <a:tailEnd/>
                    </a:ln>
                  </pic:spPr>
                </pic:pic>
              </a:graphicData>
            </a:graphic>
          </wp:inline>
        </w:drawing>
      </w:r>
    </w:p>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Figure 8 Histograms at the species level.</w:t>
      </w:r>
    </w:p>
    <w:p>
      <w:pPr>
        <w:widowControl/>
        <w:snapToGrid w:val="0"/>
        <w:spacing w:line="360" w:lineRule="auto"/>
        <w:jc w:val="left"/>
        <w:rPr>
          <w:rFonts w:ascii="Book Antiqua" w:hAnsi="Book Antiqua" w:cs="Book Antiqua"/>
          <w:b/>
          <w:bCs/>
          <w:sz w:val="20"/>
          <w:szCs w:val="20"/>
        </w:rPr>
      </w:pPr>
      <w:r>
        <w:rPr>
          <w:rFonts w:ascii="Book Antiqua" w:hAnsi="Book Antiqua" w:cs="Book Antiqua"/>
          <w:b/>
          <w:bCs/>
          <w:sz w:val="20"/>
          <w:szCs w:val="20"/>
        </w:rPr>
        <w:br w:type="page"/>
      </w:r>
    </w:p>
    <w:p>
      <w:pPr>
        <w:adjustRightInd w:val="0"/>
        <w:snapToGrid w:val="0"/>
        <w:spacing w:line="360" w:lineRule="auto"/>
        <w:rPr>
          <w:rFonts w:ascii="Book Antiqua" w:hAnsi="Book Antiqua" w:cs="Book Antiqua"/>
          <w:b/>
          <w:bCs/>
          <w:sz w:val="20"/>
          <w:szCs w:val="20"/>
        </w:rPr>
      </w:pPr>
    </w:p>
    <w:p>
      <w:pPr>
        <w:adjustRightInd w:val="0"/>
        <w:snapToGrid w:val="0"/>
        <w:spacing w:line="360" w:lineRule="auto"/>
        <w:rPr>
          <w:rFonts w:ascii="Book Antiqua" w:hAnsi="Book Antiqua"/>
          <w:sz w:val="20"/>
          <w:szCs w:val="20"/>
        </w:rPr>
      </w:pPr>
      <w:r>
        <w:rPr>
          <w:rFonts w:ascii="Book Antiqua" w:hAnsi="Book Antiqua"/>
          <w:color w:val="000000"/>
          <w:sz w:val="20"/>
          <w:szCs w:val="20"/>
          <w:lang w:eastAsia="en-US"/>
        </w:rPr>
        <w:drawing>
          <wp:inline distT="0" distB="0" distL="0" distR="0">
            <wp:extent cx="2895600" cy="5651500"/>
            <wp:effectExtent l="0" t="0" r="0" b="254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4" cstate="print"/>
                    <a:srcRect/>
                    <a:stretch>
                      <a:fillRect/>
                    </a:stretch>
                  </pic:blipFill>
                  <pic:spPr>
                    <a:xfrm>
                      <a:off x="0" y="0"/>
                      <a:ext cx="2895600" cy="5651500"/>
                    </a:xfrm>
                    <a:prstGeom prst="rect">
                      <a:avLst/>
                    </a:prstGeom>
                    <a:noFill/>
                    <a:ln w="9525">
                      <a:noFill/>
                      <a:miter lim="800000"/>
                      <a:headEnd/>
                      <a:tailEnd/>
                    </a:ln>
                  </pic:spPr>
                </pic:pic>
              </a:graphicData>
            </a:graphic>
          </wp:inline>
        </w:drawing>
      </w:r>
    </w:p>
    <w:p>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Figure 9 Analysis of metagenome biomarkers with linear discriminant analysis of effect sizes.</w:t>
      </w:r>
    </w:p>
    <w:p>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pPr>
        <w:adjustRightInd w:val="0"/>
        <w:snapToGrid w:val="0"/>
        <w:spacing w:line="360" w:lineRule="auto"/>
        <w:rPr>
          <w:rFonts w:ascii="Book Antiqua" w:hAnsi="Book Antiqua" w:cs="Book Antiqua"/>
          <w:b/>
          <w:bCs/>
          <w:sz w:val="20"/>
          <w:szCs w:val="20"/>
          <w:lang w:bidi="en-US"/>
        </w:rPr>
      </w:pPr>
      <w:r>
        <w:rPr>
          <w:rFonts w:ascii="Book Antiqua" w:hAnsi="Book Antiqua" w:cs="Book Antiqua"/>
          <w:b/>
          <w:bCs/>
          <w:sz w:val="20"/>
          <w:szCs w:val="20"/>
        </w:rPr>
        <w:t>Table 1 Clinical characteristics of patients at baseline</w:t>
      </w:r>
    </w:p>
    <w:tbl>
      <w:tblPr>
        <w:tblStyle w:val="9"/>
        <w:tblW w:w="851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2126"/>
        <w:gridCol w:w="2127"/>
        <w:gridCol w:w="17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Characteristic</w:t>
            </w:r>
          </w:p>
        </w:tc>
        <w:tc>
          <w:tcPr>
            <w:tcW w:w="2126"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Normal mucosa</w:t>
            </w:r>
          </w:p>
        </w:tc>
        <w:tc>
          <w:tcPr>
            <w:tcW w:w="2127"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bookmarkStart w:id="34" w:name="OLE_LINK16"/>
            <w:bookmarkStart w:id="35" w:name="OLE_LINK15"/>
            <w:r>
              <w:rPr>
                <w:rFonts w:ascii="Book Antiqua" w:hAnsi="Book Antiqua" w:cs="Book Antiqua"/>
                <w:b/>
                <w:bCs/>
                <w:sz w:val="20"/>
                <w:szCs w:val="20"/>
              </w:rPr>
              <w:t>Advanced CRA</w:t>
            </w:r>
            <w:bookmarkEnd w:id="34"/>
            <w:bookmarkEnd w:id="35"/>
          </w:p>
        </w:tc>
        <w:tc>
          <w:tcPr>
            <w:tcW w:w="1745"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bookmarkStart w:id="36" w:name="OLE_LINK14"/>
            <w:bookmarkStart w:id="37" w:name="OLE_LINK12"/>
            <w:bookmarkStart w:id="38" w:name="OLE_LINK11"/>
            <w:r>
              <w:rPr>
                <w:rFonts w:ascii="Book Antiqua" w:hAnsi="Book Antiqua" w:cs="Book Antiqua"/>
                <w:b/>
                <w:bCs/>
                <w:i/>
                <w:iCs/>
                <w:sz w:val="20"/>
                <w:szCs w:val="20"/>
              </w:rPr>
              <w:t>P</w:t>
            </w:r>
            <w:r>
              <w:rPr>
                <w:rFonts w:ascii="Book Antiqua" w:hAnsi="Book Antiqua" w:cs="Book Antiqua"/>
                <w:b/>
                <w:bCs/>
                <w:sz w:val="20"/>
                <w:szCs w:val="20"/>
              </w:rPr>
              <w:t xml:space="preserve"> value</w:t>
            </w:r>
            <w:bookmarkEnd w:id="36"/>
            <w:bookmarkEnd w:id="37"/>
            <w:bookmarkEnd w:id="38"/>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Borders>
              <w:top w:val="single" w:color="auto" w:sz="4" w:space="0"/>
            </w:tcBorders>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Age in yr</w:t>
            </w:r>
          </w:p>
        </w:tc>
        <w:tc>
          <w:tcPr>
            <w:tcW w:w="2126" w:type="dxa"/>
            <w:tcBorders>
              <w:top w:val="single" w:color="auto" w:sz="4" w:space="0"/>
            </w:tcBorders>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58.9 ± 7.2</w:t>
            </w:r>
          </w:p>
        </w:tc>
        <w:tc>
          <w:tcPr>
            <w:tcW w:w="2127" w:type="dxa"/>
            <w:tcBorders>
              <w:top w:val="single" w:color="auto" w:sz="4" w:space="0"/>
            </w:tcBorders>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62.9 ± 9.9</w:t>
            </w:r>
          </w:p>
        </w:tc>
        <w:tc>
          <w:tcPr>
            <w:tcW w:w="1745" w:type="dxa"/>
            <w:tcBorders>
              <w:top w:val="single" w:color="auto" w:sz="4" w:space="0"/>
            </w:tcBorders>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gridSpan w:val="4"/>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Gender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Male</w:t>
            </w:r>
          </w:p>
        </w:tc>
        <w:tc>
          <w:tcPr>
            <w:tcW w:w="2126"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18</w:t>
            </w:r>
          </w:p>
        </w:tc>
        <w:tc>
          <w:tcPr>
            <w:tcW w:w="2127"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28</w:t>
            </w:r>
          </w:p>
        </w:tc>
        <w:tc>
          <w:tcPr>
            <w:tcW w:w="1745"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Female</w:t>
            </w:r>
          </w:p>
        </w:tc>
        <w:tc>
          <w:tcPr>
            <w:tcW w:w="2126"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18</w:t>
            </w:r>
          </w:p>
        </w:tc>
        <w:tc>
          <w:tcPr>
            <w:tcW w:w="2127"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20</w:t>
            </w:r>
          </w:p>
        </w:tc>
        <w:tc>
          <w:tcPr>
            <w:tcW w:w="1745" w:type="dxa"/>
            <w:shd w:val="clear" w:color="auto" w:fill="auto"/>
          </w:tcPr>
          <w:p>
            <w:pPr>
              <w:adjustRightInd w:val="0"/>
              <w:snapToGrid w:val="0"/>
              <w:spacing w:line="360" w:lineRule="auto"/>
              <w:rPr>
                <w:rFonts w:ascii="Book Antiqua" w:hAnsi="Book Antiqua" w:cs="Book Antiqua"/>
                <w:sz w:val="20"/>
                <w:szCs w:val="2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BMI</w:t>
            </w:r>
          </w:p>
        </w:tc>
        <w:tc>
          <w:tcPr>
            <w:tcW w:w="2126"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25.2 ± 3.6</w:t>
            </w:r>
          </w:p>
        </w:tc>
        <w:tc>
          <w:tcPr>
            <w:tcW w:w="2127"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26.3 ± 3.9</w:t>
            </w:r>
          </w:p>
        </w:tc>
        <w:tc>
          <w:tcPr>
            <w:tcW w:w="1745"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gridSpan w:val="4"/>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Site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Right colon</w:t>
            </w:r>
          </w:p>
        </w:tc>
        <w:tc>
          <w:tcPr>
            <w:tcW w:w="2126"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9</w:t>
            </w:r>
          </w:p>
        </w:tc>
        <w:tc>
          <w:tcPr>
            <w:tcW w:w="2127"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10</w:t>
            </w:r>
          </w:p>
        </w:tc>
        <w:tc>
          <w:tcPr>
            <w:tcW w:w="1745"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Left colon</w:t>
            </w:r>
          </w:p>
        </w:tc>
        <w:tc>
          <w:tcPr>
            <w:tcW w:w="2126"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27</w:t>
            </w:r>
          </w:p>
        </w:tc>
        <w:tc>
          <w:tcPr>
            <w:tcW w:w="2127"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39</w:t>
            </w:r>
          </w:p>
        </w:tc>
        <w:tc>
          <w:tcPr>
            <w:tcW w:w="1745" w:type="dxa"/>
            <w:shd w:val="clear" w:color="auto" w:fill="auto"/>
          </w:tcPr>
          <w:p>
            <w:pPr>
              <w:adjustRightInd w:val="0"/>
              <w:snapToGrid w:val="0"/>
              <w:spacing w:line="360" w:lineRule="auto"/>
              <w:rPr>
                <w:rFonts w:ascii="Book Antiqua" w:hAnsi="Book Antiqua" w:cs="Book Antiqua"/>
                <w:sz w:val="20"/>
                <w:szCs w:val="20"/>
              </w:rPr>
            </w:pPr>
          </w:p>
        </w:tc>
      </w:tr>
    </w:tbl>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BMI: Body mass index; CRA: Colorectal adenoma.</w:t>
      </w:r>
    </w:p>
    <w:p>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 xml:space="preserve">Table 2 Statistics of </w:t>
      </w:r>
      <w:r>
        <w:rPr>
          <w:rFonts w:ascii="Book Antiqua" w:hAnsi="Book Antiqua"/>
          <w:b/>
          <w:bCs/>
          <w:sz w:val="20"/>
          <w:szCs w:val="20"/>
        </w:rPr>
        <w:t>alpha</w:t>
      </w:r>
      <w:r>
        <w:rPr>
          <w:rFonts w:ascii="Book Antiqua" w:hAnsi="Book Antiqua" w:cs="Book Antiqua"/>
          <w:b/>
          <w:bCs/>
          <w:sz w:val="20"/>
          <w:szCs w:val="20"/>
        </w:rPr>
        <w:t xml:space="preserve"> diversity</w:t>
      </w:r>
    </w:p>
    <w:tbl>
      <w:tblPr>
        <w:tblStyle w:val="9"/>
        <w:tblW w:w="9082" w:type="dxa"/>
        <w:tblInd w:w="-11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1953"/>
        <w:gridCol w:w="1843"/>
        <w:gridCol w:w="2551"/>
        <w:gridCol w:w="14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r>
              <w:rPr>
                <w:rFonts w:ascii="Book Antiqua" w:hAnsi="Book Antiqua"/>
                <w:b/>
                <w:bCs/>
                <w:sz w:val="20"/>
                <w:szCs w:val="20"/>
              </w:rPr>
              <w:t>α</w:t>
            </w:r>
          </w:p>
        </w:tc>
        <w:tc>
          <w:tcPr>
            <w:tcW w:w="1953"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Normal mucosa</w:t>
            </w:r>
          </w:p>
        </w:tc>
        <w:tc>
          <w:tcPr>
            <w:tcW w:w="1843"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bookmarkStart w:id="39" w:name="OLE_LINK8"/>
            <w:r>
              <w:rPr>
                <w:rFonts w:ascii="Book Antiqua" w:hAnsi="Book Antiqua" w:cstheme="minorHAnsi"/>
                <w:b/>
                <w:kern w:val="0"/>
                <w:sz w:val="20"/>
                <w:szCs w:val="20"/>
                <w:lang w:eastAsia="en-US"/>
              </w:rPr>
              <w:t xml:space="preserve">Advanced </w:t>
            </w:r>
            <w:r>
              <w:rPr>
                <w:rFonts w:ascii="Book Antiqua" w:hAnsi="Book Antiqua" w:cs="Book Antiqua"/>
                <w:b/>
                <w:bCs/>
                <w:sz w:val="20"/>
                <w:szCs w:val="20"/>
              </w:rPr>
              <w:t>CRA</w:t>
            </w:r>
            <w:bookmarkEnd w:id="39"/>
          </w:p>
        </w:tc>
        <w:tc>
          <w:tcPr>
            <w:tcW w:w="2551" w:type="dxa"/>
            <w:tcBorders>
              <w:top w:val="single" w:color="auto" w:sz="4" w:space="0"/>
              <w:bottom w:val="single" w:color="auto" w:sz="4" w:space="0"/>
            </w:tcBorders>
            <w:shd w:val="clear" w:color="auto" w:fill="auto"/>
          </w:tcPr>
          <w:p>
            <w:pPr>
              <w:adjustRightInd w:val="0"/>
              <w:snapToGrid w:val="0"/>
              <w:spacing w:line="360" w:lineRule="auto"/>
              <w:rPr>
                <w:rFonts w:ascii="Book Antiqua" w:hAnsi="Book Antiqua" w:cs="Book Antiqua"/>
                <w:b/>
                <w:bCs/>
                <w:sz w:val="20"/>
                <w:szCs w:val="20"/>
              </w:rPr>
            </w:pPr>
            <w:bookmarkStart w:id="40" w:name="OLE_LINK9"/>
            <w:bookmarkStart w:id="41" w:name="OLE_LINK10"/>
            <w:bookmarkStart w:id="42" w:name="OLE_LINK22"/>
            <w:r>
              <w:rPr>
                <w:rFonts w:ascii="Book Antiqua" w:hAnsi="Book Antiqua" w:cs="Book Antiqua"/>
                <w:b/>
                <w:bCs/>
                <w:sz w:val="20"/>
                <w:szCs w:val="20"/>
              </w:rPr>
              <w:t>Adjacent</w:t>
            </w:r>
            <w:bookmarkEnd w:id="40"/>
            <w:bookmarkEnd w:id="41"/>
            <w:r>
              <w:rPr>
                <w:rFonts w:ascii="Book Antiqua" w:hAnsi="Book Antiqua" w:cs="Book Antiqua"/>
                <w:b/>
                <w:bCs/>
                <w:sz w:val="20"/>
                <w:szCs w:val="20"/>
              </w:rPr>
              <w:t xml:space="preserve"> normal mucosa</w:t>
            </w:r>
            <w:bookmarkEnd w:id="42"/>
          </w:p>
        </w:tc>
        <w:tc>
          <w:tcPr>
            <w:tcW w:w="1493" w:type="dxa"/>
            <w:tcBorders>
              <w:top w:val="single" w:color="auto" w:sz="4" w:space="0"/>
              <w:bottom w:val="single" w:color="auto" w:sz="4" w:space="0"/>
            </w:tcBorders>
          </w:tcPr>
          <w:p>
            <w:pPr>
              <w:adjustRightInd w:val="0"/>
              <w:snapToGrid w:val="0"/>
              <w:spacing w:line="360" w:lineRule="auto"/>
              <w:rPr>
                <w:rFonts w:ascii="Book Antiqua" w:hAnsi="Book Antiqua" w:cs="Book Antiqua"/>
                <w:b/>
                <w:bCs/>
                <w:sz w:val="20"/>
                <w:szCs w:val="20"/>
              </w:rPr>
            </w:pPr>
            <w:r>
              <w:rPr>
                <w:rFonts w:ascii="Book Antiqua" w:hAnsi="Book Antiqua" w:cs="Book Antiqua"/>
                <w:b/>
                <w:bCs/>
                <w:i/>
                <w:iCs/>
                <w:sz w:val="20"/>
                <w:szCs w:val="20"/>
              </w:rPr>
              <w:t>P</w:t>
            </w:r>
            <w:r>
              <w:rPr>
                <w:rFonts w:ascii="Book Antiqua" w:hAnsi="Book Antiqua" w:cs="Book Antiqua"/>
                <w:b/>
                <w:bCs/>
                <w:sz w:val="20"/>
                <w:szCs w:val="20"/>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tcBorders>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Sobs</w:t>
            </w:r>
          </w:p>
        </w:tc>
        <w:tc>
          <w:tcPr>
            <w:tcW w:w="1953" w:type="dxa"/>
            <w:tcBorders>
              <w:top w:val="single" w:color="auto" w:sz="4" w:space="0"/>
            </w:tcBorders>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271</w:t>
            </w:r>
            <w:bookmarkStart w:id="43" w:name="OLE_LINK13"/>
            <w:r>
              <w:rPr>
                <w:rFonts w:ascii="Book Antiqua" w:hAnsi="Book Antiqua" w:cs="Book Antiqua"/>
                <w:sz w:val="20"/>
                <w:szCs w:val="20"/>
              </w:rPr>
              <w:t xml:space="preserve"> ±</w:t>
            </w:r>
            <w:bookmarkEnd w:id="43"/>
            <w:r>
              <w:rPr>
                <w:rFonts w:ascii="Book Antiqua" w:hAnsi="Book Antiqua" w:cs="Book Antiqua"/>
                <w:sz w:val="20"/>
                <w:szCs w:val="20"/>
              </w:rPr>
              <w:t xml:space="preserve"> 90</w:t>
            </w:r>
          </w:p>
        </w:tc>
        <w:tc>
          <w:tcPr>
            <w:tcW w:w="1843" w:type="dxa"/>
            <w:tcBorders>
              <w:top w:val="single" w:color="auto" w:sz="4" w:space="0"/>
            </w:tcBorders>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215 ± 86</w:t>
            </w:r>
          </w:p>
        </w:tc>
        <w:tc>
          <w:tcPr>
            <w:tcW w:w="2551" w:type="dxa"/>
            <w:tcBorders>
              <w:top w:val="single" w:color="auto" w:sz="4" w:space="0"/>
            </w:tcBorders>
            <w:shd w:val="clear" w:color="auto" w:fill="auto"/>
          </w:tcPr>
          <w:p>
            <w:pPr>
              <w:adjustRightInd w:val="0"/>
              <w:snapToGrid w:val="0"/>
              <w:spacing w:line="360" w:lineRule="auto"/>
              <w:ind w:firstLine="400" w:firstLineChars="200"/>
              <w:rPr>
                <w:rFonts w:ascii="Book Antiqua" w:hAnsi="Book Antiqua" w:cs="Book Antiqua"/>
                <w:sz w:val="20"/>
                <w:szCs w:val="20"/>
              </w:rPr>
            </w:pPr>
            <w:r>
              <w:rPr>
                <w:rFonts w:ascii="Book Antiqua" w:hAnsi="Book Antiqua" w:cs="Book Antiqua"/>
                <w:sz w:val="20"/>
                <w:szCs w:val="20"/>
              </w:rPr>
              <w:t>253 ± 91</w:t>
            </w:r>
          </w:p>
        </w:tc>
        <w:tc>
          <w:tcPr>
            <w:tcW w:w="1493" w:type="dxa"/>
            <w:tcBorders>
              <w:top w:val="single" w:color="auto" w:sz="4" w:space="0"/>
            </w:tcBorders>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&lt; 0.001</w:t>
            </w:r>
            <w:r>
              <w:rPr>
                <w:rFonts w:ascii="Book Antiqua" w:hAnsi="Book Antiqua" w:cs="Book Antiqua"/>
                <w:sz w:val="20"/>
                <w:szCs w:val="2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Chao</w:t>
            </w:r>
          </w:p>
        </w:tc>
        <w:tc>
          <w:tcPr>
            <w:tcW w:w="195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301 ± 102</w:t>
            </w:r>
          </w:p>
        </w:tc>
        <w:tc>
          <w:tcPr>
            <w:tcW w:w="184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249 ± 104</w:t>
            </w:r>
          </w:p>
        </w:tc>
        <w:tc>
          <w:tcPr>
            <w:tcW w:w="2551" w:type="dxa"/>
            <w:shd w:val="clear" w:color="auto" w:fill="auto"/>
          </w:tcPr>
          <w:p>
            <w:pPr>
              <w:adjustRightInd w:val="0"/>
              <w:snapToGrid w:val="0"/>
              <w:spacing w:line="360" w:lineRule="auto"/>
              <w:ind w:firstLine="400" w:firstLineChars="200"/>
              <w:rPr>
                <w:rFonts w:ascii="Book Antiqua" w:hAnsi="Book Antiqua" w:cs="Book Antiqua"/>
                <w:sz w:val="20"/>
                <w:szCs w:val="20"/>
              </w:rPr>
            </w:pPr>
            <w:r>
              <w:rPr>
                <w:rFonts w:ascii="Book Antiqua" w:hAnsi="Book Antiqua" w:cs="Book Antiqua"/>
                <w:sz w:val="20"/>
                <w:szCs w:val="20"/>
              </w:rPr>
              <w:t>291 ± 95</w:t>
            </w:r>
          </w:p>
        </w:tc>
        <w:tc>
          <w:tcPr>
            <w:tcW w:w="1493" w:type="dxa"/>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auto"/>
          </w:tcPr>
          <w:p>
            <w:pPr>
              <w:adjustRightInd w:val="0"/>
              <w:snapToGrid w:val="0"/>
              <w:spacing w:line="360" w:lineRule="auto"/>
              <w:rPr>
                <w:rFonts w:ascii="Book Antiqua" w:hAnsi="Book Antiqua" w:cs="Book Antiqua"/>
                <w:caps/>
                <w:sz w:val="20"/>
                <w:szCs w:val="20"/>
              </w:rPr>
            </w:pPr>
            <w:r>
              <w:rPr>
                <w:rFonts w:ascii="Book Antiqua" w:hAnsi="Book Antiqua" w:cs="Book Antiqua"/>
                <w:caps/>
                <w:sz w:val="20"/>
                <w:szCs w:val="20"/>
              </w:rPr>
              <w:t>ace</w:t>
            </w:r>
          </w:p>
        </w:tc>
        <w:tc>
          <w:tcPr>
            <w:tcW w:w="195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296 ± 102</w:t>
            </w:r>
          </w:p>
        </w:tc>
        <w:tc>
          <w:tcPr>
            <w:tcW w:w="184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253 ± 105</w:t>
            </w:r>
          </w:p>
        </w:tc>
        <w:tc>
          <w:tcPr>
            <w:tcW w:w="2551" w:type="dxa"/>
            <w:shd w:val="clear" w:color="auto" w:fill="auto"/>
          </w:tcPr>
          <w:p>
            <w:pPr>
              <w:adjustRightInd w:val="0"/>
              <w:snapToGrid w:val="0"/>
              <w:spacing w:line="360" w:lineRule="auto"/>
              <w:ind w:firstLine="400" w:firstLineChars="200"/>
              <w:rPr>
                <w:rFonts w:ascii="Book Antiqua" w:hAnsi="Book Antiqua" w:cs="Book Antiqua"/>
                <w:sz w:val="20"/>
                <w:szCs w:val="20"/>
              </w:rPr>
            </w:pPr>
            <w:r>
              <w:rPr>
                <w:rFonts w:ascii="Book Antiqua" w:hAnsi="Book Antiqua" w:cs="Book Antiqua"/>
                <w:sz w:val="20"/>
                <w:szCs w:val="20"/>
              </w:rPr>
              <w:t>291 ± 93</w:t>
            </w:r>
          </w:p>
        </w:tc>
        <w:tc>
          <w:tcPr>
            <w:tcW w:w="1493" w:type="dxa"/>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Shannon</w:t>
            </w:r>
          </w:p>
        </w:tc>
        <w:tc>
          <w:tcPr>
            <w:tcW w:w="195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2.56 ± 0.68</w:t>
            </w:r>
          </w:p>
        </w:tc>
        <w:tc>
          <w:tcPr>
            <w:tcW w:w="184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2.30 ± 0.71</w:t>
            </w:r>
          </w:p>
        </w:tc>
        <w:tc>
          <w:tcPr>
            <w:tcW w:w="2551" w:type="dxa"/>
            <w:shd w:val="clear" w:color="auto" w:fill="auto"/>
          </w:tcPr>
          <w:p>
            <w:pPr>
              <w:adjustRightInd w:val="0"/>
              <w:snapToGrid w:val="0"/>
              <w:spacing w:line="360" w:lineRule="auto"/>
              <w:ind w:firstLine="400" w:firstLineChars="200"/>
              <w:rPr>
                <w:rFonts w:ascii="Book Antiqua" w:hAnsi="Book Antiqua" w:cs="Book Antiqua"/>
                <w:sz w:val="20"/>
                <w:szCs w:val="20"/>
              </w:rPr>
            </w:pPr>
            <w:r>
              <w:rPr>
                <w:rFonts w:ascii="Book Antiqua" w:hAnsi="Book Antiqua" w:cs="Book Antiqua"/>
                <w:sz w:val="20"/>
                <w:szCs w:val="20"/>
              </w:rPr>
              <w:t>2.68 ± 0.72</w:t>
            </w:r>
          </w:p>
        </w:tc>
        <w:tc>
          <w:tcPr>
            <w:tcW w:w="1493" w:type="dxa"/>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auto"/>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Simpson</w:t>
            </w:r>
          </w:p>
        </w:tc>
        <w:tc>
          <w:tcPr>
            <w:tcW w:w="195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0.21 ± 0.12</w:t>
            </w:r>
          </w:p>
        </w:tc>
        <w:tc>
          <w:tcPr>
            <w:tcW w:w="1843" w:type="dxa"/>
            <w:shd w:val="clear" w:color="auto" w:fill="auto"/>
          </w:tcPr>
          <w:p>
            <w:pPr>
              <w:adjustRightInd w:val="0"/>
              <w:snapToGrid w:val="0"/>
              <w:spacing w:line="360" w:lineRule="auto"/>
              <w:ind w:firstLine="200" w:firstLineChars="100"/>
              <w:rPr>
                <w:rFonts w:ascii="Book Antiqua" w:hAnsi="Book Antiqua" w:cs="Book Antiqua"/>
                <w:sz w:val="20"/>
                <w:szCs w:val="20"/>
              </w:rPr>
            </w:pPr>
            <w:r>
              <w:rPr>
                <w:rFonts w:ascii="Book Antiqua" w:hAnsi="Book Antiqua" w:cs="Book Antiqua"/>
                <w:sz w:val="20"/>
                <w:szCs w:val="20"/>
              </w:rPr>
              <w:t>0.26 ± 0.11</w:t>
            </w:r>
          </w:p>
        </w:tc>
        <w:tc>
          <w:tcPr>
            <w:tcW w:w="2551" w:type="dxa"/>
            <w:shd w:val="clear" w:color="auto" w:fill="auto"/>
          </w:tcPr>
          <w:p>
            <w:pPr>
              <w:adjustRightInd w:val="0"/>
              <w:snapToGrid w:val="0"/>
              <w:spacing w:line="360" w:lineRule="auto"/>
              <w:ind w:firstLine="400" w:firstLineChars="200"/>
              <w:rPr>
                <w:rFonts w:ascii="Book Antiqua" w:hAnsi="Book Antiqua" w:cs="Book Antiqua"/>
                <w:sz w:val="20"/>
                <w:szCs w:val="20"/>
              </w:rPr>
            </w:pPr>
            <w:r>
              <w:rPr>
                <w:rFonts w:ascii="Book Antiqua" w:hAnsi="Book Antiqua" w:cs="Book Antiqua"/>
                <w:sz w:val="20"/>
                <w:szCs w:val="20"/>
              </w:rPr>
              <w:t>0.20 ± 0.12</w:t>
            </w:r>
          </w:p>
        </w:tc>
        <w:tc>
          <w:tcPr>
            <w:tcW w:w="1493" w:type="dxa"/>
          </w:tcPr>
          <w:p>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0.031</w:t>
            </w:r>
          </w:p>
        </w:tc>
      </w:tr>
    </w:tbl>
    <w:p>
      <w:pPr>
        <w:widowControl/>
        <w:adjustRightInd w:val="0"/>
        <w:snapToGrid w:val="0"/>
        <w:spacing w:line="360" w:lineRule="auto"/>
        <w:rPr>
          <w:rFonts w:ascii="Book Antiqua" w:hAnsi="Book Antiqua" w:cs="Book Antiqua"/>
          <w:color w:val="000000"/>
          <w:kern w:val="0"/>
          <w:sz w:val="20"/>
          <w:szCs w:val="20"/>
          <w:lang w:bidi="ar"/>
        </w:rPr>
      </w:pPr>
      <w:r>
        <w:rPr>
          <w:rFonts w:ascii="Book Antiqua" w:hAnsi="Book Antiqua" w:cs="Book Antiqua"/>
          <w:bCs/>
          <w:sz w:val="20"/>
          <w:szCs w:val="20"/>
        </w:rPr>
        <w:t>ACE: Index used to estimate the number of OTU in the community;</w:t>
      </w:r>
      <w:r>
        <w:rPr>
          <w:rFonts w:ascii="Book Antiqua" w:hAnsi="Book Antiqua" w:eastAsia="宋体" w:cs="Book Antiqua"/>
          <w:color w:val="000000"/>
          <w:kern w:val="0"/>
          <w:sz w:val="20"/>
          <w:szCs w:val="20"/>
          <w:lang w:bidi="ar"/>
        </w:rPr>
        <w:t xml:space="preserve"> CRA: </w:t>
      </w:r>
      <w:r>
        <w:rPr>
          <w:rFonts w:ascii="Book Antiqua" w:hAnsi="Book Antiqua" w:cs="Book Antiqua"/>
          <w:sz w:val="20"/>
          <w:szCs w:val="20"/>
        </w:rPr>
        <w:t>Colorectal adenoma</w:t>
      </w:r>
      <w:r>
        <w:rPr>
          <w:rFonts w:ascii="Book Antiqua" w:hAnsi="Book Antiqua" w:cs="Book Antiqua"/>
          <w:bCs/>
          <w:sz w:val="20"/>
          <w:szCs w:val="20"/>
        </w:rPr>
        <w:t xml:space="preserve">. </w:t>
      </w:r>
      <w:r>
        <w:rPr>
          <w:rFonts w:ascii="Book Antiqua" w:hAnsi="Book Antiqua" w:cs="Book Antiqua"/>
          <w:sz w:val="20"/>
          <w:szCs w:val="20"/>
          <w:vertAlign w:val="superscript"/>
        </w:rPr>
        <w:t>a</w:t>
      </w:r>
      <w:r>
        <w:rPr>
          <w:rFonts w:ascii="Book Antiqua" w:hAnsi="Book Antiqua" w:cs="Book Antiqua"/>
          <w:i/>
          <w:iCs/>
          <w:sz w:val="20"/>
          <w:szCs w:val="20"/>
        </w:rPr>
        <w:t xml:space="preserve">P </w:t>
      </w:r>
      <w:r>
        <w:rPr>
          <w:rFonts w:ascii="Book Antiqua" w:hAnsi="Book Antiqua" w:cs="Book Antiqua"/>
          <w:sz w:val="20"/>
          <w:szCs w:val="20"/>
        </w:rPr>
        <w:t xml:space="preserve">&lt; 0.001: </w:t>
      </w:r>
      <w:r>
        <w:rPr>
          <w:rFonts w:ascii="Book Antiqua" w:hAnsi="Book Antiqua" w:cs="Book Antiqua"/>
          <w:i/>
          <w:iCs/>
          <w:sz w:val="20"/>
          <w:szCs w:val="20"/>
        </w:rPr>
        <w:t>P</w:t>
      </w:r>
      <w:r>
        <w:rPr>
          <w:rFonts w:ascii="Book Antiqua" w:hAnsi="Book Antiqua" w:cs="Book Antiqua"/>
          <w:sz w:val="20"/>
          <w:szCs w:val="20"/>
        </w:rPr>
        <w:t xml:space="preserve"> = 0.00076.</w:t>
      </w:r>
    </w:p>
    <w:p>
      <w:pPr>
        <w:adjustRightInd w:val="0"/>
        <w:snapToGrid w:val="0"/>
        <w:spacing w:line="360" w:lineRule="auto"/>
        <w:rPr>
          <w:rFonts w:ascii="Book Antiqua" w:hAnsi="Book Antiqua" w:eastAsia="Times New Roman" w:cs="Book Antiqua"/>
          <w:bCs/>
          <w:i/>
          <w:iCs/>
          <w:color w:val="000000"/>
          <w:sz w:val="20"/>
          <w:szCs w:val="20"/>
        </w:rPr>
      </w:pPr>
    </w:p>
    <w:sectPr>
      <w:footerReference r:id="rId3" w:type="default"/>
      <w:footerReference r:id="rId4" w:type="even"/>
      <w:pgSz w:w="11906" w:h="16838"/>
      <w:pgMar w:top="1440" w:right="1800" w:bottom="1440" w:left="1800"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Courier New"/>
    <w:panose1 w:val="020B0600040502020204"/>
    <w:charset w:val="00"/>
    <w:family w:val="swiss"/>
    <w:pitch w:val="default"/>
    <w:sig w:usb0="00000000" w:usb1="00000000" w:usb2="00000000" w:usb3="00000000" w:csb0="000001B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Segoe UI Emoji">
    <w:altName w:val="Segoe UI"/>
    <w:panose1 w:val="020B0502040204020203"/>
    <w:charset w:val="00"/>
    <w:family w:val="swiss"/>
    <w:pitch w:val="default"/>
    <w:sig w:usb0="00000000" w:usb1="00000000" w:usb2="00000000" w:usb3="00000000" w:csb0="00000001" w:csb1="00000000"/>
  </w:font>
  <w:font w:name="MS PMincho">
    <w:panose1 w:val="02020600040205080304"/>
    <w:charset w:val="80"/>
    <w:family w:val="roman"/>
    <w:pitch w:val="default"/>
    <w:sig w:usb0="E00002FF" w:usb1="6AC7FDFB" w:usb2="00000012" w:usb3="00000000" w:csb0="4002009F" w:csb1="DFD70000"/>
  </w:font>
  <w:font w:name="TimesNewRomanPS-BoldItalicMT">
    <w:altName w:val="Times New Roman"/>
    <w:panose1 w:val="020B0604020202020204"/>
    <w:charset w:val="00"/>
    <w:family w:val="auto"/>
    <w:pitch w:val="default"/>
    <w:sig w:usb0="00000000" w:usb1="00000000" w:usb2="00000001" w:usb3="00000000" w:csb0="000001B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Fonts w:ascii="Book Antiqua" w:hAnsi="Book Antiqua"/>
        <w:sz w:val="24"/>
        <w:szCs w:val="24"/>
      </w:rPr>
      <w:id w:val="-1010364285"/>
      <w:docPartObj>
        <w:docPartGallery w:val="AutoText"/>
      </w:docPartObj>
    </w:sdtPr>
    <w:sdtEndPr>
      <w:rPr>
        <w:rStyle w:val="11"/>
        <w:rFonts w:ascii="Book Antiqua" w:hAnsi="Book Antiqua"/>
        <w:sz w:val="20"/>
        <w:szCs w:val="20"/>
      </w:rPr>
    </w:sdtEndPr>
    <w:sdtContent>
      <w:p>
        <w:pPr>
          <w:pStyle w:val="5"/>
          <w:framePr w:wrap="around" w:vAnchor="text" w:hAnchor="margin" w:xAlign="center" w:y="1"/>
          <w:rPr>
            <w:rStyle w:val="11"/>
            <w:rFonts w:ascii="Book Antiqua" w:hAnsi="Book Antiqua"/>
            <w:sz w:val="20"/>
            <w:szCs w:val="20"/>
          </w:rPr>
        </w:pPr>
        <w:r>
          <w:rPr>
            <w:rStyle w:val="11"/>
            <w:rFonts w:ascii="Book Antiqua" w:hAnsi="Book Antiqua"/>
            <w:sz w:val="20"/>
            <w:szCs w:val="20"/>
          </w:rPr>
          <w:fldChar w:fldCharType="begin"/>
        </w:r>
        <w:r>
          <w:rPr>
            <w:rStyle w:val="11"/>
            <w:rFonts w:ascii="Book Antiqua" w:hAnsi="Book Antiqua"/>
            <w:sz w:val="20"/>
            <w:szCs w:val="20"/>
          </w:rPr>
          <w:instrText xml:space="preserve"> PAGE </w:instrText>
        </w:r>
        <w:r>
          <w:rPr>
            <w:rStyle w:val="11"/>
            <w:rFonts w:ascii="Book Antiqua" w:hAnsi="Book Antiqua"/>
            <w:sz w:val="20"/>
            <w:szCs w:val="20"/>
          </w:rPr>
          <w:fldChar w:fldCharType="separate"/>
        </w:r>
        <w:r>
          <w:rPr>
            <w:rStyle w:val="11"/>
            <w:rFonts w:ascii="Book Antiqua" w:hAnsi="Book Antiqua"/>
            <w:sz w:val="20"/>
            <w:szCs w:val="20"/>
          </w:rPr>
          <w:t>1</w:t>
        </w:r>
        <w:r>
          <w:rPr>
            <w:rStyle w:val="11"/>
            <w:rFonts w:ascii="Book Antiqua" w:hAnsi="Book Antiqua"/>
            <w:sz w:val="20"/>
            <w:szCs w:val="20"/>
          </w:rPr>
          <w:fldChar w:fldCharType="end"/>
        </w:r>
      </w:p>
    </w:sdtContent>
  </w:sdt>
  <w:p>
    <w:pPr>
      <w:pStyle w:val="5"/>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008519367"/>
      <w:docPartObj>
        <w:docPartGallery w:val="AutoText"/>
      </w:docPartObj>
    </w:sdtPr>
    <w:sdtEndPr>
      <w:rPr>
        <w:rStyle w:val="11"/>
      </w:rPr>
    </w:sdtEndPr>
    <w:sdtContent>
      <w:p>
        <w:pPr>
          <w:pStyle w:val="5"/>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2134E"/>
    <w:rsid w:val="00012AF9"/>
    <w:rsid w:val="0006450A"/>
    <w:rsid w:val="00077625"/>
    <w:rsid w:val="00087EA3"/>
    <w:rsid w:val="00095F98"/>
    <w:rsid w:val="000D6199"/>
    <w:rsid w:val="00151476"/>
    <w:rsid w:val="00180D91"/>
    <w:rsid w:val="00186F17"/>
    <w:rsid w:val="00195F34"/>
    <w:rsid w:val="00214E0B"/>
    <w:rsid w:val="002175FC"/>
    <w:rsid w:val="00232819"/>
    <w:rsid w:val="00234AAD"/>
    <w:rsid w:val="00246091"/>
    <w:rsid w:val="00276ABB"/>
    <w:rsid w:val="002C006F"/>
    <w:rsid w:val="00330E2F"/>
    <w:rsid w:val="003C2641"/>
    <w:rsid w:val="003D1814"/>
    <w:rsid w:val="003F6A4C"/>
    <w:rsid w:val="00414074"/>
    <w:rsid w:val="00437545"/>
    <w:rsid w:val="00456BDC"/>
    <w:rsid w:val="00465988"/>
    <w:rsid w:val="00487358"/>
    <w:rsid w:val="0049289C"/>
    <w:rsid w:val="004B796D"/>
    <w:rsid w:val="00552E99"/>
    <w:rsid w:val="005D5AE0"/>
    <w:rsid w:val="00620DCA"/>
    <w:rsid w:val="00643E2A"/>
    <w:rsid w:val="0069768E"/>
    <w:rsid w:val="006B4A25"/>
    <w:rsid w:val="006D5D7F"/>
    <w:rsid w:val="006D6679"/>
    <w:rsid w:val="006D6811"/>
    <w:rsid w:val="00761C88"/>
    <w:rsid w:val="00763F1D"/>
    <w:rsid w:val="007C2AED"/>
    <w:rsid w:val="007C51BC"/>
    <w:rsid w:val="008251D7"/>
    <w:rsid w:val="00843812"/>
    <w:rsid w:val="00885129"/>
    <w:rsid w:val="00936F40"/>
    <w:rsid w:val="009868C7"/>
    <w:rsid w:val="00993D06"/>
    <w:rsid w:val="00A00B24"/>
    <w:rsid w:val="00A20B95"/>
    <w:rsid w:val="00A61DD4"/>
    <w:rsid w:val="00AA0ED7"/>
    <w:rsid w:val="00AD40F7"/>
    <w:rsid w:val="00B00727"/>
    <w:rsid w:val="00B13B76"/>
    <w:rsid w:val="00B23AFC"/>
    <w:rsid w:val="00B316BA"/>
    <w:rsid w:val="00B70B58"/>
    <w:rsid w:val="00B91228"/>
    <w:rsid w:val="00BD6F27"/>
    <w:rsid w:val="00CD52DD"/>
    <w:rsid w:val="00CE532B"/>
    <w:rsid w:val="00D51DB2"/>
    <w:rsid w:val="00D53227"/>
    <w:rsid w:val="00D64037"/>
    <w:rsid w:val="00D7795B"/>
    <w:rsid w:val="00D8650F"/>
    <w:rsid w:val="00DB3F86"/>
    <w:rsid w:val="00DD1555"/>
    <w:rsid w:val="00E15578"/>
    <w:rsid w:val="00E1707D"/>
    <w:rsid w:val="00E33D1B"/>
    <w:rsid w:val="00E463E5"/>
    <w:rsid w:val="00E71681"/>
    <w:rsid w:val="00F0217A"/>
    <w:rsid w:val="00F726FA"/>
    <w:rsid w:val="00F91737"/>
    <w:rsid w:val="00FC5777"/>
    <w:rsid w:val="00FC5CB6"/>
    <w:rsid w:val="00FD011D"/>
    <w:rsid w:val="00FD23C9"/>
    <w:rsid w:val="00FD3F6D"/>
    <w:rsid w:val="03B2134E"/>
    <w:rsid w:val="07463199"/>
    <w:rsid w:val="074C44B5"/>
    <w:rsid w:val="0AD23799"/>
    <w:rsid w:val="0C917AE6"/>
    <w:rsid w:val="14FB55B2"/>
    <w:rsid w:val="17402E86"/>
    <w:rsid w:val="1927384F"/>
    <w:rsid w:val="1E7304CA"/>
    <w:rsid w:val="1E934471"/>
    <w:rsid w:val="20EB097D"/>
    <w:rsid w:val="22585A58"/>
    <w:rsid w:val="25ED4862"/>
    <w:rsid w:val="275509C4"/>
    <w:rsid w:val="28D51BE0"/>
    <w:rsid w:val="2AEF705B"/>
    <w:rsid w:val="30EB5DBF"/>
    <w:rsid w:val="40965ACF"/>
    <w:rsid w:val="40B011D8"/>
    <w:rsid w:val="414649C2"/>
    <w:rsid w:val="50656487"/>
    <w:rsid w:val="545C496C"/>
    <w:rsid w:val="566031E7"/>
    <w:rsid w:val="57724341"/>
    <w:rsid w:val="5C4A3208"/>
    <w:rsid w:val="5E07649F"/>
    <w:rsid w:val="60B96FFF"/>
    <w:rsid w:val="612D4722"/>
    <w:rsid w:val="73736A33"/>
    <w:rsid w:val="78F97FA0"/>
    <w:rsid w:val="792C7801"/>
    <w:rsid w:val="7F453B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iPriority="0" w:name="page number"/>
    <w:lsdException w:uiPriority="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endnote text"/>
    <w:basedOn w:val="1"/>
    <w:unhideWhenUsed/>
    <w:qFormat/>
    <w:uiPriority w:val="99"/>
    <w:pPr>
      <w:snapToGrid w:val="0"/>
      <w:jc w:val="left"/>
    </w:pPr>
  </w:style>
  <w:style w:type="paragraph" w:styleId="4">
    <w:name w:val="Balloon Text"/>
    <w:basedOn w:val="1"/>
    <w:link w:val="15"/>
    <w:qFormat/>
    <w:uiPriority w:val="0"/>
    <w:rPr>
      <w:rFonts w:ascii="Lucida Grande" w:hAnsi="Lucida Grande" w:cs="Lucida Grande"/>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annotation subject"/>
    <w:basedOn w:val="2"/>
    <w:next w:val="2"/>
    <w:link w:val="17"/>
    <w:uiPriority w:val="0"/>
    <w:rPr>
      <w:b/>
      <w:bCs/>
    </w:rPr>
  </w:style>
  <w:style w:type="character" w:styleId="11">
    <w:name w:val="page number"/>
    <w:basedOn w:val="10"/>
    <w:semiHidden/>
    <w:unhideWhenUsed/>
    <w:qFormat/>
    <w:uiPriority w:val="0"/>
  </w:style>
  <w:style w:type="character" w:styleId="12">
    <w:name w:val="Hyperlink"/>
    <w:basedOn w:val="10"/>
    <w:qFormat/>
    <w:uiPriority w:val="0"/>
    <w:rPr>
      <w:color w:val="0000FF"/>
      <w:u w:val="single"/>
    </w:rPr>
  </w:style>
  <w:style w:type="character" w:styleId="13">
    <w:name w:val="annotation reference"/>
    <w:basedOn w:val="10"/>
    <w:qFormat/>
    <w:uiPriority w:val="99"/>
    <w:rPr>
      <w:sz w:val="21"/>
      <w:szCs w:val="21"/>
    </w:rPr>
  </w:style>
  <w:style w:type="paragraph" w:customStyle="1" w:styleId="14">
    <w:name w:val="彩色列表 - 强调文字颜色 11"/>
    <w:basedOn w:val="1"/>
    <w:qFormat/>
    <w:uiPriority w:val="34"/>
    <w:pPr>
      <w:ind w:firstLine="420" w:firstLineChars="200"/>
    </w:pPr>
  </w:style>
  <w:style w:type="character" w:customStyle="1" w:styleId="15">
    <w:name w:val="Balloon Text Char"/>
    <w:basedOn w:val="10"/>
    <w:link w:val="4"/>
    <w:qFormat/>
    <w:uiPriority w:val="0"/>
    <w:rPr>
      <w:rFonts w:ascii="Lucida Grande" w:hAnsi="Lucida Grande" w:cs="Lucida Grande" w:eastAsiaTheme="minorEastAsia"/>
      <w:kern w:val="2"/>
      <w:sz w:val="18"/>
      <w:szCs w:val="18"/>
      <w:lang w:val="en-US" w:eastAsia="zh-CN"/>
    </w:rPr>
  </w:style>
  <w:style w:type="character" w:customStyle="1" w:styleId="16">
    <w:name w:val="Comment Text Char"/>
    <w:basedOn w:val="10"/>
    <w:link w:val="2"/>
    <w:uiPriority w:val="0"/>
    <w:rPr>
      <w:rFonts w:asciiTheme="minorHAnsi" w:hAnsiTheme="minorHAnsi" w:eastAsiaTheme="minorEastAsia" w:cstheme="minorBidi"/>
      <w:kern w:val="2"/>
      <w:sz w:val="21"/>
      <w:szCs w:val="24"/>
    </w:rPr>
  </w:style>
  <w:style w:type="character" w:customStyle="1" w:styleId="17">
    <w:name w:val="Comment Subject Char"/>
    <w:basedOn w:val="16"/>
    <w:link w:val="8"/>
    <w:uiPriority w:val="0"/>
    <w:rPr>
      <w:rFonts w:asciiTheme="minorHAnsi" w:hAnsiTheme="minorHAnsi" w:eastAsiaTheme="minorEastAsia" w:cstheme="minorBidi"/>
      <w:b/>
      <w:bCs/>
      <w:kern w:val="2"/>
      <w:sz w:val="21"/>
      <w:szCs w:val="24"/>
    </w:rPr>
  </w:style>
  <w:style w:type="character" w:customStyle="1" w:styleId="18">
    <w:name w:val="Header Char"/>
    <w:basedOn w:val="10"/>
    <w:link w:val="6"/>
    <w:qFormat/>
    <w:uiPriority w:val="0"/>
    <w:rPr>
      <w:rFonts w:asciiTheme="minorHAnsi" w:hAnsiTheme="minorHAnsi" w:eastAsiaTheme="minorEastAsia" w:cstheme="minorBidi"/>
      <w:kern w:val="2"/>
      <w:sz w:val="18"/>
      <w:szCs w:val="18"/>
    </w:rPr>
  </w:style>
  <w:style w:type="character" w:customStyle="1" w:styleId="19">
    <w:name w:val="Footer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4709</Words>
  <Characters>26843</Characters>
  <Lines>223</Lines>
  <Paragraphs>62</Paragraphs>
  <TotalTime>3</TotalTime>
  <ScaleCrop>false</ScaleCrop>
  <LinksUpToDate>false</LinksUpToDate>
  <CharactersWithSpaces>31490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2020-01-10T23:03:00Z</dcterms:created>
  <dcterms:modified xsi:type="dcterms:W3CDTF">2020-01-15T06:45:08Z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