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6E289" w14:textId="77777777" w:rsidR="00D65AC5" w:rsidRPr="000A2A59" w:rsidRDefault="00736CA5" w:rsidP="005E5A06">
      <w:pPr>
        <w:adjustRightInd w:val="0"/>
        <w:snapToGrid w:val="0"/>
        <w:spacing w:after="0" w:line="360" w:lineRule="auto"/>
        <w:jc w:val="both"/>
        <w:rPr>
          <w:rFonts w:ascii="Book Antiqua" w:eastAsia="Book Antiqua" w:hAnsi="Book Antiqua" w:cs="Book Antiqua"/>
          <w:i/>
          <w:sz w:val="24"/>
          <w:szCs w:val="24"/>
        </w:rPr>
      </w:pPr>
      <w:r w:rsidRPr="000A2A59">
        <w:rPr>
          <w:rFonts w:ascii="Book Antiqua" w:eastAsia="Book Antiqua" w:hAnsi="Book Antiqua" w:cs="Book Antiqua"/>
          <w:b/>
          <w:sz w:val="24"/>
          <w:szCs w:val="24"/>
        </w:rPr>
        <w:t xml:space="preserve">Name of Journal: </w:t>
      </w:r>
      <w:bookmarkStart w:id="0" w:name="_Hlk24101644"/>
      <w:r w:rsidRPr="000A2A59">
        <w:rPr>
          <w:rFonts w:ascii="Book Antiqua" w:eastAsia="Book Antiqua" w:hAnsi="Book Antiqua" w:cs="Book Antiqua"/>
          <w:i/>
          <w:sz w:val="24"/>
          <w:szCs w:val="24"/>
        </w:rPr>
        <w:t>World Journal of Gastroenterology</w:t>
      </w:r>
      <w:bookmarkEnd w:id="0"/>
    </w:p>
    <w:p w14:paraId="2B2D5792" w14:textId="77777777" w:rsidR="00D65AC5" w:rsidRPr="000A2A59" w:rsidRDefault="00736CA5" w:rsidP="005E5A06">
      <w:pPr>
        <w:adjustRightInd w:val="0"/>
        <w:snapToGrid w:val="0"/>
        <w:spacing w:after="0" w:line="360" w:lineRule="auto"/>
        <w:jc w:val="both"/>
        <w:rPr>
          <w:rFonts w:ascii="Book Antiqua" w:eastAsia="Book Antiqua" w:hAnsi="Book Antiqua" w:cs="Book Antiqua"/>
          <w:b/>
          <w:sz w:val="24"/>
          <w:szCs w:val="24"/>
        </w:rPr>
      </w:pPr>
      <w:r w:rsidRPr="000A2A59">
        <w:rPr>
          <w:rFonts w:ascii="Book Antiqua" w:eastAsia="Book Antiqua" w:hAnsi="Book Antiqua" w:cs="Book Antiqua"/>
          <w:b/>
          <w:color w:val="222222"/>
          <w:sz w:val="24"/>
          <w:szCs w:val="24"/>
        </w:rPr>
        <w:t>Manuscript NO</w:t>
      </w:r>
      <w:r w:rsidRPr="000A2A59">
        <w:rPr>
          <w:rFonts w:ascii="Book Antiqua" w:eastAsia="Book Antiqua" w:hAnsi="Book Antiqua" w:cs="Book Antiqua"/>
          <w:b/>
          <w:color w:val="000000"/>
          <w:sz w:val="24"/>
          <w:szCs w:val="24"/>
        </w:rPr>
        <w:t xml:space="preserve">: </w:t>
      </w:r>
      <w:r w:rsidRPr="000A2A59">
        <w:rPr>
          <w:rFonts w:ascii="Book Antiqua" w:eastAsia="Book Antiqua" w:hAnsi="Book Antiqua" w:cs="Book Antiqua"/>
          <w:bCs/>
          <w:color w:val="000000"/>
          <w:sz w:val="24"/>
          <w:szCs w:val="24"/>
        </w:rPr>
        <w:t>50953</w:t>
      </w:r>
    </w:p>
    <w:p w14:paraId="05853F8E" w14:textId="2B89BF2E"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 xml:space="preserve">Manuscript Type: </w:t>
      </w:r>
      <w:r w:rsidR="005962FA" w:rsidRPr="00E10010">
        <w:rPr>
          <w:rFonts w:ascii="Book Antiqua" w:eastAsia="Book Antiqua" w:hAnsi="Book Antiqua" w:cs="Book Antiqua"/>
          <w:iCs/>
          <w:caps/>
          <w:sz w:val="24"/>
          <w:szCs w:val="24"/>
        </w:rPr>
        <w:t>Minireviews</w:t>
      </w:r>
    </w:p>
    <w:p w14:paraId="63E3D0F3"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35D3D41E" w14:textId="62130D87" w:rsidR="00D65AC5" w:rsidRDefault="00DC7344" w:rsidP="005E5A06">
      <w:pPr>
        <w:adjustRightInd w:val="0"/>
        <w:snapToGrid w:val="0"/>
        <w:spacing w:after="0" w:line="360" w:lineRule="auto"/>
        <w:jc w:val="both"/>
        <w:rPr>
          <w:rFonts w:ascii="Book Antiqua" w:eastAsia="Book Antiqua" w:hAnsi="Book Antiqua" w:cs="Book Antiqua"/>
          <w:b/>
          <w:sz w:val="24"/>
          <w:szCs w:val="24"/>
        </w:rPr>
      </w:pPr>
      <w:bookmarkStart w:id="1" w:name="_Hlk24101661"/>
      <w:r w:rsidRPr="00DC7344">
        <w:rPr>
          <w:rFonts w:ascii="Book Antiqua" w:eastAsia="Book Antiqua" w:hAnsi="Book Antiqua" w:cs="Book Antiqua"/>
          <w:b/>
          <w:sz w:val="24"/>
          <w:szCs w:val="24"/>
        </w:rPr>
        <w:t>Inositol 1,4,5-trisphosphate</w:t>
      </w:r>
      <w:r>
        <w:rPr>
          <w:rFonts w:ascii="Book Antiqua" w:eastAsia="Book Antiqua" w:hAnsi="Book Antiqua" w:cs="Book Antiqua"/>
          <w:b/>
          <w:sz w:val="24"/>
          <w:szCs w:val="24"/>
        </w:rPr>
        <w:t xml:space="preserve"> </w:t>
      </w:r>
      <w:r w:rsidR="00736CA5" w:rsidRPr="000A2A59">
        <w:rPr>
          <w:rFonts w:ascii="Book Antiqua" w:eastAsia="Book Antiqua" w:hAnsi="Book Antiqua" w:cs="Book Antiqua"/>
          <w:b/>
          <w:sz w:val="24"/>
          <w:szCs w:val="24"/>
        </w:rPr>
        <w:t xml:space="preserve">receptor in the liver: </w:t>
      </w:r>
      <w:r w:rsidR="005E5A06" w:rsidRPr="000A2A59">
        <w:rPr>
          <w:rFonts w:ascii="Book Antiqua" w:eastAsia="Book Antiqua" w:hAnsi="Book Antiqua" w:cs="Book Antiqua"/>
          <w:b/>
          <w:sz w:val="24"/>
          <w:szCs w:val="24"/>
        </w:rPr>
        <w:t>E</w:t>
      </w:r>
      <w:r w:rsidR="00736CA5" w:rsidRPr="000A2A59">
        <w:rPr>
          <w:rFonts w:ascii="Book Antiqua" w:eastAsia="Book Antiqua" w:hAnsi="Book Antiqua" w:cs="Book Antiqua"/>
          <w:b/>
          <w:sz w:val="24"/>
          <w:szCs w:val="24"/>
        </w:rPr>
        <w:t>xpression and function</w:t>
      </w:r>
      <w:bookmarkEnd w:id="1"/>
    </w:p>
    <w:p w14:paraId="0E2D9FAB" w14:textId="77777777" w:rsidR="00C36699" w:rsidRPr="000A2A59" w:rsidRDefault="00C36699" w:rsidP="005E5A06">
      <w:pPr>
        <w:adjustRightInd w:val="0"/>
        <w:snapToGrid w:val="0"/>
        <w:spacing w:after="0" w:line="360" w:lineRule="auto"/>
        <w:jc w:val="both"/>
        <w:rPr>
          <w:rFonts w:ascii="Book Antiqua" w:eastAsia="Book Antiqua" w:hAnsi="Book Antiqua" w:cs="Book Antiqua"/>
          <w:b/>
          <w:sz w:val="24"/>
          <w:szCs w:val="24"/>
        </w:rPr>
      </w:pPr>
    </w:p>
    <w:p w14:paraId="1A7D5493" w14:textId="07531C12" w:rsidR="00D65AC5" w:rsidRDefault="000A2A59"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Cs/>
          <w:sz w:val="24"/>
          <w:szCs w:val="24"/>
        </w:rPr>
        <w:t>Lemos</w:t>
      </w:r>
      <w:r w:rsidRPr="000A2A59">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FO </w:t>
      </w:r>
      <w:r w:rsidRPr="000A2A59">
        <w:rPr>
          <w:rFonts w:ascii="Book Antiqua" w:eastAsia="Book Antiqua" w:hAnsi="Book Antiqua" w:cs="Book Antiqua"/>
          <w:i/>
          <w:iCs/>
          <w:sz w:val="24"/>
          <w:szCs w:val="24"/>
        </w:rPr>
        <w:t>et al</w:t>
      </w:r>
      <w:r>
        <w:rPr>
          <w:rFonts w:ascii="Book Antiqua" w:eastAsia="Book Antiqua" w:hAnsi="Book Antiqua" w:cs="Book Antiqua"/>
          <w:sz w:val="24"/>
          <w:szCs w:val="24"/>
        </w:rPr>
        <w:t xml:space="preserve">. </w:t>
      </w:r>
      <w:bookmarkStart w:id="2" w:name="OLE_LINK198"/>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 xml:space="preserve">3 </w:t>
      </w:r>
      <w:r w:rsidRPr="000A2A59">
        <w:rPr>
          <w:rFonts w:ascii="Book Antiqua" w:eastAsia="Book Antiqua" w:hAnsi="Book Antiqua" w:cs="Book Antiqua"/>
          <w:sz w:val="24"/>
          <w:szCs w:val="24"/>
        </w:rPr>
        <w:t>receptor in the liver</w:t>
      </w:r>
      <w:bookmarkEnd w:id="2"/>
    </w:p>
    <w:p w14:paraId="1A6893D1" w14:textId="77777777" w:rsidR="00C36699" w:rsidRPr="000A2A59" w:rsidRDefault="00C36699" w:rsidP="005E5A06">
      <w:pPr>
        <w:adjustRightInd w:val="0"/>
        <w:snapToGrid w:val="0"/>
        <w:spacing w:after="0" w:line="360" w:lineRule="auto"/>
        <w:jc w:val="both"/>
        <w:rPr>
          <w:rFonts w:ascii="Book Antiqua" w:eastAsia="Book Antiqua" w:hAnsi="Book Antiqua" w:cs="Book Antiqua"/>
          <w:b/>
          <w:sz w:val="24"/>
          <w:szCs w:val="24"/>
        </w:rPr>
      </w:pPr>
    </w:p>
    <w:p w14:paraId="55223E6D" w14:textId="3268BB08" w:rsidR="00D65AC5" w:rsidRPr="000A2A59" w:rsidRDefault="000A2A59" w:rsidP="005E5A06">
      <w:pPr>
        <w:adjustRightInd w:val="0"/>
        <w:snapToGrid w:val="0"/>
        <w:spacing w:after="0" w:line="360" w:lineRule="auto"/>
        <w:jc w:val="both"/>
        <w:rPr>
          <w:rFonts w:ascii="Book Antiqua" w:eastAsia="Book Antiqua" w:hAnsi="Book Antiqua" w:cs="Book Antiqua"/>
          <w:sz w:val="24"/>
          <w:szCs w:val="24"/>
        </w:rPr>
      </w:pPr>
      <w:bookmarkStart w:id="3" w:name="_Hlk24102027"/>
      <w:bookmarkStart w:id="4" w:name="_Hlk24102043"/>
      <w:r w:rsidRPr="000A2A59">
        <w:rPr>
          <w:rFonts w:ascii="Book Antiqua" w:eastAsia="Book Antiqua" w:hAnsi="Book Antiqua" w:cs="Book Antiqua"/>
          <w:sz w:val="24"/>
          <w:szCs w:val="24"/>
        </w:rPr>
        <w:t>Fernanda</w:t>
      </w:r>
      <w:r w:rsidRPr="000A2A59">
        <w:rPr>
          <w:rFonts w:ascii="Book Antiqua" w:eastAsia="Book Antiqua" w:hAnsi="Book Antiqua" w:cs="Book Antiqua"/>
          <w:bCs/>
          <w:sz w:val="24"/>
          <w:szCs w:val="24"/>
        </w:rPr>
        <w:t xml:space="preserve"> de </w:t>
      </w:r>
      <w:r w:rsidRPr="000A2A59">
        <w:rPr>
          <w:rFonts w:ascii="Book Antiqua" w:eastAsia="Book Antiqua" w:hAnsi="Book Antiqua" w:cs="Book Antiqua"/>
          <w:sz w:val="24"/>
          <w:szCs w:val="24"/>
        </w:rPr>
        <w:t>Oliveira Lemos</w:t>
      </w:r>
      <w:bookmarkEnd w:id="3"/>
      <w:r>
        <w:rPr>
          <w:rFonts w:ascii="宋体" w:eastAsia="宋体" w:hAnsi="宋体" w:cs="宋体" w:hint="eastAsia"/>
          <w:sz w:val="24"/>
          <w:szCs w:val="24"/>
          <w:lang w:eastAsia="zh-CN"/>
        </w:rPr>
        <w:t>,</w:t>
      </w:r>
      <w:r w:rsidR="00D525C1" w:rsidRPr="000A2A59">
        <w:rPr>
          <w:rFonts w:ascii="Book Antiqua" w:eastAsia="Book Antiqua" w:hAnsi="Book Antiqua" w:cs="Book Antiqua"/>
          <w:sz w:val="24"/>
          <w:szCs w:val="24"/>
        </w:rPr>
        <w:t xml:space="preserve"> </w:t>
      </w:r>
      <w:bookmarkStart w:id="5" w:name="OLE_LINK1"/>
      <w:bookmarkStart w:id="6" w:name="OLE_LINK2"/>
      <w:bookmarkStart w:id="7" w:name="_Hlk24102141"/>
      <w:r w:rsidRPr="000A2A59">
        <w:rPr>
          <w:rFonts w:ascii="Book Antiqua" w:eastAsia="Book Antiqua" w:hAnsi="Book Antiqua" w:cs="Book Antiqua"/>
          <w:sz w:val="24"/>
          <w:szCs w:val="24"/>
        </w:rPr>
        <w:t>Rodrigo Machado</w:t>
      </w:r>
      <w:bookmarkEnd w:id="5"/>
      <w:bookmarkEnd w:id="6"/>
      <w:r w:rsidRPr="000A2A59">
        <w:rPr>
          <w:rFonts w:ascii="Book Antiqua" w:eastAsia="Book Antiqua" w:hAnsi="Book Antiqua" w:cs="Book Antiqua"/>
          <w:sz w:val="24"/>
          <w:szCs w:val="24"/>
        </w:rPr>
        <w:t xml:space="preserve"> Florentino</w:t>
      </w:r>
      <w:bookmarkEnd w:id="7"/>
      <w:r w:rsidR="000E60F7" w:rsidRPr="000A2A59">
        <w:rPr>
          <w:rFonts w:ascii="Book Antiqua" w:eastAsia="Book Antiqua" w:hAnsi="Book Antiqua" w:cs="Book Antiqua"/>
          <w:sz w:val="24"/>
          <w:szCs w:val="24"/>
        </w:rPr>
        <w:t xml:space="preserve">, </w:t>
      </w:r>
      <w:bookmarkStart w:id="8" w:name="_Hlk24102153"/>
      <w:r w:rsidRPr="000A2A59">
        <w:rPr>
          <w:rFonts w:ascii="Book Antiqua" w:eastAsia="Book Antiqua" w:hAnsi="Book Antiqua" w:cs="Book Antiqua"/>
          <w:sz w:val="24"/>
          <w:szCs w:val="24"/>
        </w:rPr>
        <w:t>Antônio Carlos Melo Lima Filho</w:t>
      </w:r>
      <w:bookmarkEnd w:id="8"/>
      <w:r w:rsidR="000E60F7" w:rsidRPr="000A2A59">
        <w:rPr>
          <w:rFonts w:ascii="Book Antiqua" w:eastAsia="Book Antiqua" w:hAnsi="Book Antiqua" w:cs="Book Antiqua"/>
          <w:sz w:val="24"/>
          <w:szCs w:val="24"/>
        </w:rPr>
        <w:t xml:space="preserve">, </w:t>
      </w:r>
      <w:bookmarkStart w:id="9" w:name="_Hlk24102164"/>
      <w:r w:rsidRPr="000A2A59">
        <w:rPr>
          <w:rFonts w:ascii="Book Antiqua" w:eastAsia="Book Antiqua" w:hAnsi="Book Antiqua" w:cs="Book Antiqua"/>
          <w:sz w:val="24"/>
          <w:szCs w:val="24"/>
        </w:rPr>
        <w:t>Marcone Loiola dos Santos</w:t>
      </w:r>
      <w:bookmarkEnd w:id="9"/>
      <w:r>
        <w:rPr>
          <w:rFonts w:ascii="Book Antiqua" w:eastAsia="Book Antiqua" w:hAnsi="Book Antiqua" w:cs="Book Antiqua"/>
          <w:sz w:val="24"/>
          <w:szCs w:val="24"/>
        </w:rPr>
        <w:t xml:space="preserve">, </w:t>
      </w:r>
      <w:bookmarkStart w:id="10" w:name="_Hlk24102576"/>
      <w:bookmarkStart w:id="11" w:name="OLE_LINK3"/>
      <w:bookmarkStart w:id="12" w:name="_Hlk24102071"/>
      <w:r>
        <w:rPr>
          <w:rFonts w:ascii="Book Antiqua" w:eastAsia="Book Antiqua" w:hAnsi="Book Antiqua" w:cs="Book Antiqua"/>
          <w:sz w:val="24"/>
          <w:szCs w:val="24"/>
        </w:rPr>
        <w:t>Maria</w:t>
      </w:r>
      <w:bookmarkEnd w:id="10"/>
      <w:r>
        <w:rPr>
          <w:rFonts w:ascii="Book Antiqua" w:eastAsia="Book Antiqua" w:hAnsi="Book Antiqua" w:cs="Book Antiqua"/>
          <w:sz w:val="24"/>
          <w:szCs w:val="24"/>
        </w:rPr>
        <w:t xml:space="preserve"> de </w:t>
      </w:r>
      <w:r w:rsidRPr="000A2A59">
        <w:rPr>
          <w:rFonts w:ascii="Book Antiqua" w:eastAsia="Book Antiqua" w:hAnsi="Book Antiqua" w:cs="Book Antiqua"/>
          <w:sz w:val="24"/>
          <w:szCs w:val="24"/>
        </w:rPr>
        <w:t>Fatima</w:t>
      </w:r>
      <w:bookmarkEnd w:id="11"/>
      <w:r w:rsidRPr="000A2A59">
        <w:rPr>
          <w:rFonts w:ascii="Book Antiqua" w:eastAsia="Book Antiqua" w:hAnsi="Book Antiqua" w:cs="Book Antiqua"/>
          <w:sz w:val="24"/>
          <w:szCs w:val="24"/>
        </w:rPr>
        <w:t xml:space="preserve"> Leite</w:t>
      </w:r>
      <w:bookmarkEnd w:id="4"/>
      <w:bookmarkEnd w:id="12"/>
    </w:p>
    <w:p w14:paraId="1DC1D030"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0D87A7F3" w14:textId="2230158E" w:rsidR="00DE0F44" w:rsidRPr="000A2A59" w:rsidRDefault="00736CA5" w:rsidP="005E5A06">
      <w:pPr>
        <w:pBdr>
          <w:top w:val="nil"/>
          <w:left w:val="nil"/>
          <w:bottom w:val="nil"/>
          <w:right w:val="nil"/>
          <w:between w:val="nil"/>
        </w:pBd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 xml:space="preserve">Fernanda de Oliveira Lemos, </w:t>
      </w:r>
      <w:bookmarkStart w:id="13" w:name="_Hlk24101708"/>
      <w:r w:rsidR="00E020CC" w:rsidRPr="000A2A59">
        <w:rPr>
          <w:rFonts w:ascii="Book Antiqua" w:eastAsia="Book Antiqua" w:hAnsi="Book Antiqua" w:cs="Book Antiqua"/>
          <w:b/>
          <w:sz w:val="24"/>
          <w:szCs w:val="24"/>
        </w:rPr>
        <w:t>Rodrigo Machado</w:t>
      </w:r>
      <w:r w:rsidRPr="000A2A59">
        <w:rPr>
          <w:rFonts w:ascii="Book Antiqua" w:eastAsia="Book Antiqua" w:hAnsi="Book Antiqua" w:cs="Book Antiqua"/>
          <w:b/>
          <w:sz w:val="24"/>
          <w:szCs w:val="24"/>
        </w:rPr>
        <w:t xml:space="preserve"> Florentino</w:t>
      </w:r>
      <w:bookmarkEnd w:id="13"/>
      <w:r w:rsidRPr="000A2A59">
        <w:rPr>
          <w:rFonts w:ascii="Book Antiqua" w:eastAsia="Book Antiqua" w:hAnsi="Book Antiqua" w:cs="Book Antiqua"/>
          <w:b/>
          <w:sz w:val="24"/>
          <w:szCs w:val="24"/>
        </w:rPr>
        <w:t xml:space="preserve">, </w:t>
      </w:r>
      <w:bookmarkStart w:id="14" w:name="_Hlk24101727"/>
      <w:r w:rsidRPr="000A2A59">
        <w:rPr>
          <w:rFonts w:ascii="Book Antiqua" w:eastAsia="Book Antiqua" w:hAnsi="Book Antiqua" w:cs="Book Antiqua"/>
          <w:b/>
          <w:sz w:val="24"/>
          <w:szCs w:val="24"/>
        </w:rPr>
        <w:t>Antônio Carlos Melo Lima Filh</w:t>
      </w:r>
      <w:r w:rsidR="000E60F7" w:rsidRPr="000A2A59">
        <w:rPr>
          <w:rFonts w:ascii="Book Antiqua" w:eastAsia="Book Antiqua" w:hAnsi="Book Antiqua" w:cs="Book Antiqua"/>
          <w:b/>
          <w:sz w:val="24"/>
          <w:szCs w:val="24"/>
        </w:rPr>
        <w:t>o</w:t>
      </w:r>
      <w:bookmarkEnd w:id="14"/>
      <w:r w:rsidR="00E10010">
        <w:rPr>
          <w:rFonts w:ascii="Book Antiqua" w:eastAsia="Book Antiqua" w:hAnsi="Book Antiqua" w:cs="Book Antiqua"/>
          <w:b/>
          <w:sz w:val="24"/>
          <w:szCs w:val="24"/>
        </w:rPr>
        <w:t xml:space="preserve">, </w:t>
      </w:r>
      <w:r w:rsidR="00B8038D" w:rsidRPr="00B8038D">
        <w:rPr>
          <w:rFonts w:ascii="Book Antiqua" w:eastAsia="Book Antiqua" w:hAnsi="Book Antiqua" w:cs="Book Antiqua"/>
          <w:b/>
          <w:sz w:val="24"/>
          <w:szCs w:val="24"/>
        </w:rPr>
        <w:t>Maria</w:t>
      </w:r>
      <w:r w:rsidR="000E60F7" w:rsidRPr="000A2A59">
        <w:rPr>
          <w:rFonts w:ascii="Book Antiqua" w:eastAsia="Book Antiqua" w:hAnsi="Book Antiqua" w:cs="Book Antiqua"/>
          <w:b/>
          <w:sz w:val="24"/>
          <w:szCs w:val="24"/>
        </w:rPr>
        <w:t xml:space="preserve"> </w:t>
      </w:r>
      <w:bookmarkStart w:id="15" w:name="_Hlk24101846"/>
      <w:r w:rsidRPr="000A2A59">
        <w:rPr>
          <w:rFonts w:ascii="Book Antiqua" w:eastAsia="Book Antiqua" w:hAnsi="Book Antiqua" w:cs="Book Antiqua"/>
          <w:b/>
          <w:sz w:val="24"/>
          <w:szCs w:val="24"/>
        </w:rPr>
        <w:t>Fatima Leite</w:t>
      </w:r>
      <w:bookmarkEnd w:id="15"/>
      <w:r w:rsidR="00B8038D">
        <w:rPr>
          <w:rFonts w:ascii="Book Antiqua" w:eastAsia="Book Antiqua" w:hAnsi="Book Antiqua" w:cs="Book Antiqua"/>
          <w:b/>
          <w:sz w:val="24"/>
          <w:szCs w:val="24"/>
        </w:rPr>
        <w:t>,</w:t>
      </w:r>
      <w:r w:rsidR="00DE0F44" w:rsidRPr="000A2A59">
        <w:rPr>
          <w:rFonts w:ascii="Book Antiqua" w:eastAsia="Book Antiqua" w:hAnsi="Book Antiqua" w:cs="Book Antiqua"/>
          <w:b/>
          <w:sz w:val="24"/>
          <w:szCs w:val="24"/>
        </w:rPr>
        <w:t xml:space="preserve"> </w:t>
      </w:r>
      <w:r w:rsidR="00DE0F44" w:rsidRPr="000A2A59">
        <w:rPr>
          <w:rFonts w:ascii="Book Antiqua" w:eastAsia="Book Antiqua" w:hAnsi="Book Antiqua" w:cs="Book Antiqua"/>
          <w:sz w:val="24"/>
          <w:szCs w:val="24"/>
        </w:rPr>
        <w:t xml:space="preserve">Department of Physiology and Biophysics, </w:t>
      </w:r>
      <w:r w:rsidR="00AF7842" w:rsidRPr="000A2A59">
        <w:rPr>
          <w:rFonts w:ascii="Book Antiqua" w:eastAsia="Book Antiqua" w:hAnsi="Book Antiqua" w:cs="Book Antiqua"/>
          <w:sz w:val="24"/>
          <w:szCs w:val="24"/>
        </w:rPr>
        <w:t xml:space="preserve">Universidade Federal de </w:t>
      </w:r>
      <w:r w:rsidR="00DE0F44" w:rsidRPr="000A2A59">
        <w:rPr>
          <w:rFonts w:ascii="Book Antiqua" w:eastAsia="Book Antiqua" w:hAnsi="Book Antiqua" w:cs="Book Antiqua"/>
          <w:sz w:val="24"/>
          <w:szCs w:val="24"/>
        </w:rPr>
        <w:t>Minas Gerais, Belo Horizonte, Minas Gerais</w:t>
      </w:r>
      <w:r w:rsidR="00B8038D">
        <w:rPr>
          <w:rFonts w:ascii="Book Antiqua" w:eastAsia="Book Antiqua" w:hAnsi="Book Antiqua" w:cs="Book Antiqua"/>
          <w:sz w:val="24"/>
          <w:szCs w:val="24"/>
        </w:rPr>
        <w:t xml:space="preserve"> </w:t>
      </w:r>
      <w:r w:rsidR="00B8038D" w:rsidRPr="00B8038D">
        <w:rPr>
          <w:rFonts w:ascii="Book Antiqua" w:eastAsia="Book Antiqua" w:hAnsi="Book Antiqua" w:cs="Book Antiqua"/>
          <w:sz w:val="24"/>
          <w:szCs w:val="24"/>
        </w:rPr>
        <w:t>31270-901</w:t>
      </w:r>
      <w:r w:rsidR="00DE0F44" w:rsidRPr="000A2A59">
        <w:rPr>
          <w:rFonts w:ascii="Book Antiqua" w:eastAsia="Book Antiqua" w:hAnsi="Book Antiqua" w:cs="Book Antiqua"/>
          <w:sz w:val="24"/>
          <w:szCs w:val="24"/>
        </w:rPr>
        <w:t>, Brazil</w:t>
      </w:r>
    </w:p>
    <w:p w14:paraId="08F69E74" w14:textId="77777777" w:rsidR="00D023B5" w:rsidRPr="000A2A59" w:rsidRDefault="00D023B5" w:rsidP="005E5A06">
      <w:pPr>
        <w:pBdr>
          <w:top w:val="nil"/>
          <w:left w:val="nil"/>
          <w:bottom w:val="nil"/>
          <w:right w:val="nil"/>
          <w:between w:val="nil"/>
        </w:pBdr>
        <w:adjustRightInd w:val="0"/>
        <w:snapToGrid w:val="0"/>
        <w:spacing w:after="0" w:line="360" w:lineRule="auto"/>
        <w:jc w:val="both"/>
        <w:rPr>
          <w:rFonts w:ascii="Book Antiqua" w:eastAsia="Book Antiqua" w:hAnsi="Book Antiqua" w:cs="Book Antiqua"/>
          <w:sz w:val="24"/>
          <w:szCs w:val="24"/>
        </w:rPr>
      </w:pPr>
    </w:p>
    <w:p w14:paraId="7FC5D5DD" w14:textId="29B7B889"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Marcone L</w:t>
      </w:r>
      <w:r w:rsidR="00E020CC" w:rsidRPr="000A2A59">
        <w:rPr>
          <w:rFonts w:ascii="Book Antiqua" w:eastAsia="Book Antiqua" w:hAnsi="Book Antiqua" w:cs="Book Antiqua"/>
          <w:b/>
          <w:sz w:val="24"/>
          <w:szCs w:val="24"/>
        </w:rPr>
        <w:t>oiola</w:t>
      </w:r>
      <w:r w:rsidRPr="000A2A59">
        <w:rPr>
          <w:rFonts w:ascii="Book Antiqua" w:eastAsia="Book Antiqua" w:hAnsi="Book Antiqua" w:cs="Book Antiqua"/>
          <w:b/>
          <w:sz w:val="24"/>
          <w:szCs w:val="24"/>
        </w:rPr>
        <w:t xml:space="preserve"> dos Santos</w:t>
      </w:r>
      <w:r w:rsidR="00B8038D">
        <w:rPr>
          <w:rFonts w:ascii="Book Antiqua" w:eastAsia="Book Antiqua" w:hAnsi="Book Antiqua" w:cs="Book Antiqua"/>
          <w:b/>
          <w:sz w:val="24"/>
          <w:szCs w:val="24"/>
        </w:rPr>
        <w:t>,</w:t>
      </w:r>
      <w:r w:rsidRPr="000A2A59">
        <w:rPr>
          <w:rFonts w:ascii="Book Antiqua" w:eastAsia="Book Antiqua" w:hAnsi="Book Antiqua" w:cs="Book Antiqua"/>
          <w:sz w:val="24"/>
          <w:szCs w:val="24"/>
        </w:rPr>
        <w:t xml:space="preserve"> Department of Cell Biology, Universidade Federal de Minas Gerais, Belo Horizonte, Minas Gerais</w:t>
      </w:r>
      <w:r w:rsidR="00FA4D9F">
        <w:rPr>
          <w:rFonts w:ascii="Book Antiqua" w:eastAsia="Book Antiqua" w:hAnsi="Book Antiqua" w:cs="Book Antiqua"/>
          <w:sz w:val="24"/>
          <w:szCs w:val="24"/>
        </w:rPr>
        <w:t xml:space="preserve"> </w:t>
      </w:r>
      <w:r w:rsidR="00FA4D9F" w:rsidRPr="00FA4D9F">
        <w:rPr>
          <w:rFonts w:ascii="Book Antiqua" w:eastAsia="Book Antiqua" w:hAnsi="Book Antiqua" w:cs="Book Antiqua"/>
          <w:sz w:val="24"/>
          <w:szCs w:val="24"/>
        </w:rPr>
        <w:t>31270-901</w:t>
      </w:r>
      <w:r w:rsidRPr="000A2A59">
        <w:rPr>
          <w:rFonts w:ascii="Book Antiqua" w:eastAsia="Book Antiqua" w:hAnsi="Book Antiqua" w:cs="Book Antiqua"/>
          <w:sz w:val="24"/>
          <w:szCs w:val="24"/>
        </w:rPr>
        <w:t>, Brazil</w:t>
      </w:r>
    </w:p>
    <w:p w14:paraId="63AA7B4A"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1E48B767" w14:textId="229FA5FA" w:rsidR="00D65AC5" w:rsidRPr="000A2A59" w:rsidRDefault="00FA4D9F" w:rsidP="005E5A06">
      <w:pPr>
        <w:adjustRightInd w:val="0"/>
        <w:snapToGrid w:val="0"/>
        <w:spacing w:after="0" w:line="360" w:lineRule="auto"/>
        <w:jc w:val="both"/>
        <w:rPr>
          <w:rFonts w:ascii="Book Antiqua" w:eastAsia="Book Antiqua" w:hAnsi="Book Antiqua" w:cs="Book Antiqua"/>
          <w:b/>
          <w:sz w:val="24"/>
          <w:szCs w:val="24"/>
        </w:rPr>
      </w:pPr>
      <w:r w:rsidRPr="00FA4D9F">
        <w:rPr>
          <w:rFonts w:ascii="Book Antiqua" w:eastAsia="Book Antiqua" w:hAnsi="Book Antiqua" w:cs="Book Antiqua"/>
          <w:b/>
          <w:sz w:val="24"/>
          <w:szCs w:val="24"/>
        </w:rPr>
        <w:t>ORCID number:</w:t>
      </w:r>
      <w:r w:rsidR="00736CA5" w:rsidRPr="000A2A59">
        <w:rPr>
          <w:rFonts w:ascii="Book Antiqua" w:eastAsia="Book Antiqua" w:hAnsi="Book Antiqua" w:cs="Book Antiqua"/>
          <w:b/>
          <w:sz w:val="24"/>
          <w:szCs w:val="24"/>
        </w:rPr>
        <w:t xml:space="preserve"> </w:t>
      </w:r>
      <w:r w:rsidR="00C36699" w:rsidRPr="000A2A59">
        <w:rPr>
          <w:rFonts w:ascii="Book Antiqua" w:eastAsia="Book Antiqua" w:hAnsi="Book Antiqua" w:cs="Book Antiqua"/>
          <w:sz w:val="24"/>
          <w:szCs w:val="24"/>
        </w:rPr>
        <w:t>Fernanda</w:t>
      </w:r>
      <w:r w:rsidR="00C36699" w:rsidRPr="000A2A59">
        <w:rPr>
          <w:rFonts w:ascii="Book Antiqua" w:eastAsia="Book Antiqua" w:hAnsi="Book Antiqua" w:cs="Book Antiqua"/>
          <w:bCs/>
          <w:sz w:val="24"/>
          <w:szCs w:val="24"/>
        </w:rPr>
        <w:t xml:space="preserve"> de </w:t>
      </w:r>
      <w:r w:rsidR="00C36699" w:rsidRPr="000A2A59">
        <w:rPr>
          <w:rFonts w:ascii="Book Antiqua" w:eastAsia="Book Antiqua" w:hAnsi="Book Antiqua" w:cs="Book Antiqua"/>
          <w:sz w:val="24"/>
          <w:szCs w:val="24"/>
        </w:rPr>
        <w:t>Oliveira Lemos</w:t>
      </w:r>
      <w:r w:rsidR="000F503D" w:rsidRPr="000A2A59">
        <w:rPr>
          <w:rFonts w:ascii="Book Antiqua" w:eastAsia="Book Antiqua" w:hAnsi="Book Antiqua" w:cs="Book Antiqua"/>
          <w:sz w:val="24"/>
          <w:szCs w:val="24"/>
        </w:rPr>
        <w:t xml:space="preserve"> (0000-0002-7070-4412); </w:t>
      </w:r>
      <w:r w:rsidR="00C36699" w:rsidRPr="000A2A59">
        <w:rPr>
          <w:rFonts w:ascii="Book Antiqua" w:eastAsia="Book Antiqua" w:hAnsi="Book Antiqua" w:cs="Book Antiqua"/>
          <w:sz w:val="24"/>
          <w:szCs w:val="24"/>
        </w:rPr>
        <w:t>Rodrigo Machado Florentino</w:t>
      </w:r>
      <w:r w:rsidR="00736CA5" w:rsidRPr="000A2A59">
        <w:rPr>
          <w:rFonts w:ascii="Book Antiqua" w:eastAsia="Book Antiqua" w:hAnsi="Book Antiqua" w:cs="Book Antiqua"/>
          <w:sz w:val="24"/>
          <w:szCs w:val="24"/>
        </w:rPr>
        <w:t xml:space="preserve"> (0000</w:t>
      </w:r>
      <w:r w:rsidR="00A45CCD" w:rsidRPr="000A2A59">
        <w:rPr>
          <w:rFonts w:ascii="Book Antiqua" w:eastAsia="Book Antiqua" w:hAnsi="Book Antiqua" w:cs="Book Antiqua"/>
          <w:sz w:val="24"/>
          <w:szCs w:val="24"/>
        </w:rPr>
        <w:t xml:space="preserve">-0001-7033-176X); </w:t>
      </w:r>
      <w:r w:rsidR="00C36699" w:rsidRPr="000A2A59">
        <w:rPr>
          <w:rFonts w:ascii="Book Antiqua" w:eastAsia="Book Antiqua" w:hAnsi="Book Antiqua" w:cs="Book Antiqua"/>
          <w:sz w:val="24"/>
          <w:szCs w:val="24"/>
        </w:rPr>
        <w:t>Antônio Carlos Melo Lima Filho</w:t>
      </w:r>
      <w:r w:rsidR="00736CA5" w:rsidRPr="000A2A59">
        <w:rPr>
          <w:rFonts w:ascii="Book Antiqua" w:eastAsia="Book Antiqua" w:hAnsi="Book Antiqua" w:cs="Book Antiqua"/>
          <w:sz w:val="24"/>
          <w:szCs w:val="24"/>
        </w:rPr>
        <w:t xml:space="preserve"> (0000-000</w:t>
      </w:r>
      <w:r w:rsidR="000F503D" w:rsidRPr="000A2A59">
        <w:rPr>
          <w:rFonts w:ascii="Book Antiqua" w:eastAsia="Book Antiqua" w:hAnsi="Book Antiqua" w:cs="Book Antiqua"/>
          <w:sz w:val="24"/>
          <w:szCs w:val="24"/>
        </w:rPr>
        <w:t xml:space="preserve">2-8185-669X); </w:t>
      </w:r>
      <w:r w:rsidR="00C36699" w:rsidRPr="000A2A59">
        <w:rPr>
          <w:rFonts w:ascii="Book Antiqua" w:eastAsia="Book Antiqua" w:hAnsi="Book Antiqua" w:cs="Book Antiqua"/>
          <w:sz w:val="24"/>
          <w:szCs w:val="24"/>
        </w:rPr>
        <w:t>Marcone Loiola dos Santos</w:t>
      </w:r>
      <w:r w:rsidR="000F503D" w:rsidRPr="000A2A59">
        <w:rPr>
          <w:rFonts w:ascii="Book Antiqua" w:eastAsia="Book Antiqua" w:hAnsi="Book Antiqua" w:cs="Book Antiqua"/>
          <w:sz w:val="24"/>
          <w:szCs w:val="24"/>
        </w:rPr>
        <w:t xml:space="preserve"> (0000-0001-8835-2104); </w:t>
      </w:r>
      <w:r w:rsidR="00C36699">
        <w:rPr>
          <w:rFonts w:ascii="Book Antiqua" w:eastAsia="Book Antiqua" w:hAnsi="Book Antiqua" w:cs="Book Antiqua"/>
          <w:sz w:val="24"/>
          <w:szCs w:val="24"/>
        </w:rPr>
        <w:t xml:space="preserve">Maria de </w:t>
      </w:r>
      <w:r w:rsidR="00C36699" w:rsidRPr="000A2A59">
        <w:rPr>
          <w:rFonts w:ascii="Book Antiqua" w:eastAsia="Book Antiqua" w:hAnsi="Book Antiqua" w:cs="Book Antiqua"/>
          <w:sz w:val="24"/>
          <w:szCs w:val="24"/>
        </w:rPr>
        <w:t>Fatima Leite</w:t>
      </w:r>
      <w:r w:rsidR="00736CA5" w:rsidRPr="000A2A59">
        <w:rPr>
          <w:rFonts w:ascii="Book Antiqua" w:eastAsia="Book Antiqua" w:hAnsi="Book Antiqua" w:cs="Book Antiqua"/>
          <w:sz w:val="24"/>
          <w:szCs w:val="24"/>
        </w:rPr>
        <w:t xml:space="preserve"> (0000-0001-9709-8865)</w:t>
      </w:r>
      <w:r w:rsidR="000F503D" w:rsidRPr="000A2A59">
        <w:rPr>
          <w:rFonts w:ascii="Book Antiqua" w:eastAsia="Book Antiqua" w:hAnsi="Book Antiqua" w:cs="Book Antiqua"/>
          <w:sz w:val="24"/>
          <w:szCs w:val="24"/>
        </w:rPr>
        <w:t>.</w:t>
      </w:r>
    </w:p>
    <w:p w14:paraId="66B0A503"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21B73F94" w14:textId="13A86C05" w:rsidR="00D65AC5" w:rsidRPr="000A2A59" w:rsidRDefault="00FA4D9F" w:rsidP="005E5A06">
      <w:pPr>
        <w:adjustRightInd w:val="0"/>
        <w:snapToGrid w:val="0"/>
        <w:spacing w:after="0" w:line="360" w:lineRule="auto"/>
        <w:jc w:val="both"/>
        <w:rPr>
          <w:rFonts w:ascii="Book Antiqua" w:eastAsia="Book Antiqua" w:hAnsi="Book Antiqua" w:cs="Book Antiqua"/>
          <w:sz w:val="24"/>
          <w:szCs w:val="24"/>
        </w:rPr>
      </w:pPr>
      <w:r w:rsidRPr="00FA4D9F">
        <w:rPr>
          <w:rFonts w:ascii="Book Antiqua" w:eastAsia="Book Antiqua" w:hAnsi="Book Antiqua" w:cs="Book Antiqua"/>
          <w:b/>
          <w:sz w:val="24"/>
          <w:szCs w:val="24"/>
        </w:rPr>
        <w:t>Author contributions:</w:t>
      </w:r>
      <w:r>
        <w:rPr>
          <w:rFonts w:ascii="Book Antiqua" w:eastAsia="Book Antiqua" w:hAnsi="Book Antiqua" w:cs="Book Antiqua"/>
          <w:b/>
          <w:sz w:val="24"/>
          <w:szCs w:val="24"/>
        </w:rPr>
        <w:t xml:space="preserve"> </w:t>
      </w:r>
      <w:r w:rsidR="00736CA5" w:rsidRPr="000A2A59">
        <w:rPr>
          <w:rFonts w:ascii="Book Antiqua" w:eastAsia="Book Antiqua" w:hAnsi="Book Antiqua" w:cs="Book Antiqua"/>
          <w:sz w:val="24"/>
          <w:szCs w:val="24"/>
        </w:rPr>
        <w:t>All authors contributed to this paper with literature review and analysis, drafting and critical revision and editing, and approval of the final version.</w:t>
      </w:r>
    </w:p>
    <w:p w14:paraId="0E0EE24A"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22DC45B6" w14:textId="0E635183" w:rsidR="00D65AC5" w:rsidRDefault="00FA4D9F" w:rsidP="005E5A06">
      <w:pPr>
        <w:adjustRightInd w:val="0"/>
        <w:snapToGrid w:val="0"/>
        <w:spacing w:after="0" w:line="360" w:lineRule="auto"/>
        <w:jc w:val="both"/>
        <w:rPr>
          <w:rFonts w:ascii="Book Antiqua" w:eastAsia="Book Antiqua" w:hAnsi="Book Antiqua" w:cs="Book Antiqua"/>
          <w:sz w:val="24"/>
          <w:szCs w:val="24"/>
        </w:rPr>
      </w:pPr>
      <w:r w:rsidRPr="00FA4D9F">
        <w:rPr>
          <w:rFonts w:ascii="Book Antiqua" w:eastAsia="Book Antiqua" w:hAnsi="Book Antiqua" w:cs="Book Antiqua"/>
          <w:b/>
          <w:sz w:val="24"/>
          <w:szCs w:val="24"/>
        </w:rPr>
        <w:t>Conflict-of-interest statement:</w:t>
      </w:r>
      <w:r w:rsidR="00736CA5" w:rsidRPr="000A2A59">
        <w:rPr>
          <w:rFonts w:ascii="Book Antiqua" w:eastAsia="Book Antiqua" w:hAnsi="Book Antiqua" w:cs="Book Antiqua"/>
          <w:sz w:val="24"/>
          <w:szCs w:val="24"/>
        </w:rPr>
        <w:t xml:space="preserve"> No potential conflicts of interest. No financial support.</w:t>
      </w:r>
    </w:p>
    <w:p w14:paraId="133AD9AC" w14:textId="77777777" w:rsidR="00F962D0" w:rsidRPr="000A2A59" w:rsidRDefault="00F962D0" w:rsidP="005E5A06">
      <w:pPr>
        <w:adjustRightInd w:val="0"/>
        <w:snapToGrid w:val="0"/>
        <w:spacing w:after="0" w:line="360" w:lineRule="auto"/>
        <w:jc w:val="both"/>
        <w:rPr>
          <w:rFonts w:ascii="Book Antiqua" w:eastAsia="Book Antiqua" w:hAnsi="Book Antiqua" w:cs="Book Antiqua"/>
          <w:sz w:val="24"/>
          <w:szCs w:val="24"/>
        </w:rPr>
      </w:pPr>
    </w:p>
    <w:p w14:paraId="3A52BF65" w14:textId="77777777" w:rsidR="00FA4D9F" w:rsidRPr="00663BB7" w:rsidRDefault="00FA4D9F" w:rsidP="00F962D0">
      <w:pPr>
        <w:adjustRightInd w:val="0"/>
        <w:snapToGrid w:val="0"/>
        <w:spacing w:after="0" w:line="360" w:lineRule="auto"/>
        <w:jc w:val="both"/>
        <w:rPr>
          <w:rFonts w:ascii="Book Antiqua" w:hAnsi="Book Antiqua"/>
          <w:sz w:val="24"/>
          <w:szCs w:val="24"/>
        </w:rPr>
      </w:pPr>
      <w:bookmarkStart w:id="16" w:name="OLE_LINK507"/>
      <w:bookmarkStart w:id="17" w:name="OLE_LINK506"/>
      <w:bookmarkStart w:id="18" w:name="OLE_LINK496"/>
      <w:bookmarkStart w:id="19" w:name="OLE_LINK479"/>
      <w:bookmarkStart w:id="20" w:name="OLE_LINK379"/>
      <w:bookmarkStart w:id="21" w:name="OLE_LINK384"/>
      <w:bookmarkStart w:id="22" w:name="OLE_LINK1033"/>
      <w:bookmarkStart w:id="23" w:name="OLE_LINK1036"/>
      <w:bookmarkStart w:id="24" w:name="OLE_LINK1077"/>
      <w:bookmarkStart w:id="25" w:name="OLE_LINK1105"/>
      <w:bookmarkStart w:id="26" w:name="OLE_LINK1144"/>
      <w:r w:rsidRPr="00663BB7">
        <w:rPr>
          <w:rFonts w:ascii="Book Antiqua" w:hAnsi="Book Antiqua"/>
          <w:b/>
          <w:sz w:val="24"/>
          <w:szCs w:val="24"/>
        </w:rPr>
        <w:t xml:space="preserve">Open-Access: </w:t>
      </w:r>
      <w:r>
        <w:rPr>
          <w:rFonts w:ascii="Book Antiqua" w:hAnsi="Book Antiqua"/>
          <w:sz w:val="24"/>
          <w:szCs w:val="24"/>
        </w:rPr>
        <w:t>This article is an open-access</w:t>
      </w:r>
      <w:r>
        <w:rPr>
          <w:rFonts w:ascii="Book Antiqua" w:hAnsi="Book Antiqua" w:hint="eastAsia"/>
          <w:sz w:val="24"/>
          <w:szCs w:val="24"/>
        </w:rPr>
        <w:t xml:space="preserve"> </w:t>
      </w:r>
      <w:r>
        <w:rPr>
          <w:rFonts w:ascii="Book Antiqua" w:hAnsi="Book Antiqua"/>
          <w:sz w:val="24"/>
          <w:szCs w:val="24"/>
        </w:rPr>
        <w:t>article</w:t>
      </w:r>
      <w:r>
        <w:rPr>
          <w:rFonts w:ascii="Book Antiqua" w:hAnsi="Book Antiqua" w:hint="eastAsia"/>
          <w:sz w:val="24"/>
          <w:szCs w:val="24"/>
        </w:rPr>
        <w:t xml:space="preserve"> </w:t>
      </w:r>
      <w:r w:rsidRPr="00663BB7">
        <w:rPr>
          <w:rFonts w:ascii="Book Antiqua" w:hAnsi="Book Antiqua"/>
          <w:sz w:val="24"/>
          <w:szCs w:val="24"/>
        </w:rPr>
        <w:t>which was selected by</w:t>
      </w:r>
      <w:r>
        <w:rPr>
          <w:rFonts w:ascii="Book Antiqua" w:hAnsi="Book Antiqua" w:hint="eastAsia"/>
          <w:sz w:val="24"/>
          <w:szCs w:val="24"/>
        </w:rPr>
        <w:t xml:space="preserve"> </w:t>
      </w:r>
      <w:r w:rsidRPr="00663BB7">
        <w:rPr>
          <w:rFonts w:ascii="Book Antiqua" w:hAnsi="Book Antiqua"/>
          <w:sz w:val="24"/>
          <w:szCs w:val="24"/>
        </w:rPr>
        <w:t xml:space="preserve">an in-house editor and fully peer-reviewed by external </w:t>
      </w:r>
      <w:r>
        <w:rPr>
          <w:rFonts w:ascii="Book Antiqua" w:hAnsi="Book Antiqua"/>
          <w:sz w:val="24"/>
          <w:szCs w:val="24"/>
        </w:rPr>
        <w:t>reviewers. It is distributed</w:t>
      </w:r>
      <w:r>
        <w:rPr>
          <w:rFonts w:ascii="Book Antiqua" w:hAnsi="Book Antiqua" w:hint="eastAsia"/>
          <w:sz w:val="24"/>
          <w:szCs w:val="24"/>
        </w:rPr>
        <w:t xml:space="preserve"> </w:t>
      </w:r>
      <w:r>
        <w:rPr>
          <w:rFonts w:ascii="Book Antiqua" w:hAnsi="Book Antiqua"/>
          <w:sz w:val="24"/>
          <w:szCs w:val="24"/>
        </w:rPr>
        <w:t>in</w:t>
      </w:r>
      <w:r>
        <w:rPr>
          <w:rFonts w:ascii="Book Antiqua" w:hAnsi="Book Antiqua" w:hint="eastAsia"/>
          <w:sz w:val="24"/>
          <w:szCs w:val="24"/>
        </w:rPr>
        <w:t xml:space="preserve"> </w:t>
      </w:r>
      <w:r>
        <w:rPr>
          <w:rFonts w:ascii="Book Antiqua" w:hAnsi="Book Antiqua"/>
          <w:sz w:val="24"/>
          <w:szCs w:val="24"/>
        </w:rPr>
        <w:t>accordance</w:t>
      </w:r>
      <w:r>
        <w:rPr>
          <w:rFonts w:ascii="Book Antiqua" w:hAnsi="Book Antiqua" w:hint="eastAsia"/>
          <w:sz w:val="24"/>
          <w:szCs w:val="24"/>
        </w:rPr>
        <w:t xml:space="preserve"> </w:t>
      </w:r>
      <w:r w:rsidRPr="00663BB7">
        <w:rPr>
          <w:rFonts w:ascii="Book Antiqua" w:hAnsi="Book Antiqua"/>
          <w:sz w:val="24"/>
          <w:szCs w:val="24"/>
        </w:rPr>
        <w:t xml:space="preserve">with the Creative Commons Attribution Non Commercial (CC BY-NC 4.0) license, </w:t>
      </w:r>
      <w:r w:rsidRPr="00663BB7">
        <w:rPr>
          <w:rFonts w:ascii="Book Antiqua" w:hAnsi="Book Antiqua"/>
          <w:sz w:val="24"/>
          <w:szCs w:val="24"/>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bookmarkEnd w:id="16"/>
      <w:bookmarkEnd w:id="17"/>
      <w:bookmarkEnd w:id="18"/>
      <w:bookmarkEnd w:id="19"/>
    </w:p>
    <w:bookmarkEnd w:id="20"/>
    <w:bookmarkEnd w:id="21"/>
    <w:p w14:paraId="1385478E" w14:textId="77777777" w:rsidR="00FA4D9F" w:rsidRPr="00663BB7" w:rsidRDefault="00FA4D9F" w:rsidP="005E5A06">
      <w:pPr>
        <w:adjustRightInd w:val="0"/>
        <w:snapToGrid w:val="0"/>
        <w:spacing w:after="0" w:line="360" w:lineRule="auto"/>
        <w:rPr>
          <w:rFonts w:ascii="Book Antiqua" w:eastAsia="等线" w:hAnsi="Book Antiqua"/>
          <w:b/>
          <w:sz w:val="24"/>
          <w:szCs w:val="24"/>
        </w:rPr>
      </w:pPr>
    </w:p>
    <w:p w14:paraId="776B2244" w14:textId="659CAE85" w:rsidR="00D65AC5" w:rsidRDefault="00FA4D9F" w:rsidP="005E5A06">
      <w:pPr>
        <w:adjustRightInd w:val="0"/>
        <w:snapToGrid w:val="0"/>
        <w:spacing w:after="0" w:line="360" w:lineRule="auto"/>
        <w:jc w:val="both"/>
        <w:rPr>
          <w:rFonts w:ascii="Book Antiqua" w:eastAsia="等线" w:hAnsi="Book Antiqua"/>
          <w:sz w:val="24"/>
          <w:szCs w:val="24"/>
        </w:rPr>
      </w:pPr>
      <w:bookmarkStart w:id="27" w:name="OLE_LINK1102"/>
      <w:bookmarkStart w:id="28" w:name="OLE_LINK1103"/>
      <w:r w:rsidRPr="00663BB7">
        <w:rPr>
          <w:rFonts w:ascii="Book Antiqua" w:eastAsia="等线" w:hAnsi="Book Antiqua"/>
          <w:b/>
          <w:sz w:val="24"/>
          <w:szCs w:val="24"/>
        </w:rPr>
        <w:t>Manuscript source:</w:t>
      </w:r>
      <w:bookmarkEnd w:id="27"/>
      <w:bookmarkEnd w:id="28"/>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22"/>
      <w:bookmarkEnd w:id="23"/>
      <w:bookmarkEnd w:id="24"/>
      <w:bookmarkEnd w:id="25"/>
      <w:bookmarkEnd w:id="26"/>
    </w:p>
    <w:p w14:paraId="46E00DBE" w14:textId="77777777" w:rsidR="00FA4D9F" w:rsidRPr="000A2A59" w:rsidRDefault="00FA4D9F" w:rsidP="005E5A06">
      <w:pPr>
        <w:adjustRightInd w:val="0"/>
        <w:snapToGrid w:val="0"/>
        <w:spacing w:after="0" w:line="360" w:lineRule="auto"/>
        <w:jc w:val="both"/>
        <w:rPr>
          <w:rFonts w:ascii="Book Antiqua" w:eastAsia="Book Antiqua" w:hAnsi="Book Antiqua" w:cs="Book Antiqua"/>
          <w:b/>
          <w:sz w:val="24"/>
          <w:szCs w:val="24"/>
        </w:rPr>
      </w:pPr>
    </w:p>
    <w:p w14:paraId="01837F2C" w14:textId="15AB13E4" w:rsidR="005962FA" w:rsidRDefault="00370039" w:rsidP="005E5A06">
      <w:pPr>
        <w:adjustRightInd w:val="0"/>
        <w:snapToGrid w:val="0"/>
        <w:spacing w:after="0" w:line="360" w:lineRule="auto"/>
        <w:jc w:val="both"/>
        <w:rPr>
          <w:rFonts w:ascii="Book Antiqua" w:eastAsia="Book Antiqua" w:hAnsi="Book Antiqua" w:cs="Book Antiqua"/>
          <w:sz w:val="24"/>
          <w:szCs w:val="24"/>
        </w:rPr>
      </w:pPr>
      <w:bookmarkStart w:id="29" w:name="2et92p0" w:colFirst="0" w:colLast="0"/>
      <w:bookmarkStart w:id="30" w:name="3znysh7" w:colFirst="0" w:colLast="0"/>
      <w:bookmarkEnd w:id="29"/>
      <w:bookmarkEnd w:id="30"/>
      <w:r w:rsidRPr="00370039">
        <w:rPr>
          <w:rFonts w:ascii="Book Antiqua" w:eastAsia="Book Antiqua" w:hAnsi="Book Antiqua" w:cs="Book Antiqua"/>
          <w:b/>
          <w:sz w:val="24"/>
          <w:szCs w:val="24"/>
        </w:rPr>
        <w:t>Corresponding author:</w:t>
      </w:r>
      <w:r w:rsidR="00736CA5" w:rsidRPr="000A2A59">
        <w:rPr>
          <w:rFonts w:ascii="Book Antiqua" w:eastAsia="Book Antiqua" w:hAnsi="Book Antiqua" w:cs="Book Antiqua"/>
          <w:b/>
          <w:sz w:val="24"/>
          <w:szCs w:val="24"/>
        </w:rPr>
        <w:t xml:space="preserve"> </w:t>
      </w:r>
      <w:r w:rsidRPr="00370039">
        <w:rPr>
          <w:rFonts w:ascii="Book Antiqua" w:eastAsia="Book Antiqua" w:hAnsi="Book Antiqua" w:cs="Book Antiqua"/>
          <w:b/>
          <w:bCs/>
          <w:sz w:val="24"/>
          <w:szCs w:val="24"/>
        </w:rPr>
        <w:t>Maria de Fatima Leite, PhD, Full Professor,</w:t>
      </w:r>
      <w:r w:rsidRPr="00370039">
        <w:rPr>
          <w:rFonts w:ascii="Book Antiqua" w:eastAsia="Book Antiqua" w:hAnsi="Book Antiqua" w:cs="Book Antiqua"/>
          <w:sz w:val="24"/>
          <w:szCs w:val="24"/>
        </w:rPr>
        <w:t xml:space="preserve"> Department of Physiology and Biophysics, Federal University of Minas Gerais</w:t>
      </w:r>
      <w:r w:rsidR="00736CA5" w:rsidRPr="000A2A59">
        <w:rPr>
          <w:rFonts w:ascii="Book Antiqua" w:eastAsia="Book Antiqua" w:hAnsi="Book Antiqua" w:cs="Book Antiqua"/>
          <w:sz w:val="24"/>
          <w:szCs w:val="24"/>
        </w:rPr>
        <w:t>, Av. Antônio</w:t>
      </w:r>
      <w:r w:rsidR="00C81A6B" w:rsidRPr="000A2A59">
        <w:rPr>
          <w:rFonts w:ascii="Book Antiqua" w:eastAsia="Book Antiqua" w:hAnsi="Book Antiqua" w:cs="Book Antiqua"/>
          <w:sz w:val="24"/>
          <w:szCs w:val="24"/>
        </w:rPr>
        <w:t xml:space="preserve"> Carlos 6627, Belo Horizonte, Minas Gerais</w:t>
      </w:r>
      <w:r w:rsidR="00E16756">
        <w:rPr>
          <w:rFonts w:ascii="Book Antiqua" w:eastAsia="Book Antiqua" w:hAnsi="Book Antiqua" w:cs="Book Antiqua"/>
          <w:sz w:val="24"/>
          <w:szCs w:val="24"/>
        </w:rPr>
        <w:t xml:space="preserve"> </w:t>
      </w:r>
      <w:r w:rsidR="00736CA5" w:rsidRPr="000A2A59">
        <w:rPr>
          <w:rFonts w:ascii="Book Antiqua" w:eastAsia="Book Antiqua" w:hAnsi="Book Antiqua" w:cs="Book Antiqua"/>
          <w:sz w:val="24"/>
          <w:szCs w:val="24"/>
        </w:rPr>
        <w:t>31270-901, B</w:t>
      </w:r>
      <w:r w:rsidR="00C81A6B" w:rsidRPr="000A2A59">
        <w:rPr>
          <w:rFonts w:ascii="Book Antiqua" w:eastAsia="Book Antiqua" w:hAnsi="Book Antiqua" w:cs="Book Antiqua"/>
          <w:sz w:val="24"/>
          <w:szCs w:val="24"/>
        </w:rPr>
        <w:t xml:space="preserve">razil. </w:t>
      </w:r>
      <w:hyperlink r:id="rId8" w:history="1">
        <w:r w:rsidR="00C81A6B" w:rsidRPr="000A2A59">
          <w:rPr>
            <w:rStyle w:val="aa"/>
            <w:rFonts w:ascii="Book Antiqua" w:eastAsia="Book Antiqua" w:hAnsi="Book Antiqua" w:cs="Book Antiqua"/>
            <w:sz w:val="24"/>
            <w:szCs w:val="24"/>
          </w:rPr>
          <w:t>leitemd@ufmg.br</w:t>
        </w:r>
      </w:hyperlink>
    </w:p>
    <w:p w14:paraId="0F731BEB" w14:textId="0FB01044" w:rsidR="00D6530D" w:rsidRDefault="00D6530D" w:rsidP="005E5A06">
      <w:pPr>
        <w:adjustRightInd w:val="0"/>
        <w:snapToGrid w:val="0"/>
        <w:spacing w:after="0" w:line="360" w:lineRule="auto"/>
        <w:jc w:val="both"/>
        <w:rPr>
          <w:rFonts w:ascii="Book Antiqua" w:eastAsia="Book Antiqua" w:hAnsi="Book Antiqua" w:cs="Book Antiqua"/>
          <w:b/>
          <w:sz w:val="24"/>
          <w:szCs w:val="24"/>
        </w:rPr>
      </w:pPr>
      <w:r w:rsidRPr="00D6530D">
        <w:rPr>
          <w:rFonts w:ascii="Book Antiqua" w:eastAsia="Book Antiqua" w:hAnsi="Book Antiqua" w:cs="Book Antiqua"/>
          <w:b/>
          <w:bCs/>
          <w:sz w:val="24"/>
          <w:szCs w:val="24"/>
        </w:rPr>
        <w:t>Telephone:</w:t>
      </w:r>
      <w:r w:rsidR="00736CA5" w:rsidRPr="000A2A59">
        <w:rPr>
          <w:rFonts w:ascii="Book Antiqua" w:eastAsia="Book Antiqua" w:hAnsi="Book Antiqua" w:cs="Book Antiqua"/>
          <w:sz w:val="24"/>
          <w:szCs w:val="24"/>
        </w:rPr>
        <w:t xml:space="preserve"> </w:t>
      </w:r>
      <w:bookmarkStart w:id="31" w:name="OLE_LINK199"/>
      <w:r w:rsidR="00736CA5" w:rsidRPr="000A2A59">
        <w:rPr>
          <w:rFonts w:ascii="Book Antiqua" w:eastAsia="Book Antiqua" w:hAnsi="Book Antiqua" w:cs="Book Antiqua"/>
          <w:sz w:val="24"/>
          <w:szCs w:val="24"/>
        </w:rPr>
        <w:t>+55</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31</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34092518</w:t>
      </w:r>
      <w:bookmarkEnd w:id="31"/>
    </w:p>
    <w:p w14:paraId="34E2724C" w14:textId="706CC423" w:rsidR="00D65AC5" w:rsidRDefault="00736CA5" w:rsidP="005E5A06">
      <w:pPr>
        <w:adjustRightInd w:val="0"/>
        <w:snapToGrid w:val="0"/>
        <w:spacing w:after="0" w:line="360" w:lineRule="auto"/>
        <w:jc w:val="both"/>
        <w:rPr>
          <w:rFonts w:ascii="Book Antiqua" w:eastAsia="Book Antiqua" w:hAnsi="Book Antiqua" w:cs="Book Antiqua"/>
          <w:sz w:val="24"/>
          <w:szCs w:val="24"/>
        </w:rPr>
      </w:pPr>
      <w:r w:rsidRPr="00D6530D">
        <w:rPr>
          <w:rFonts w:ascii="Book Antiqua" w:eastAsia="Book Antiqua" w:hAnsi="Book Antiqua" w:cs="Book Antiqua"/>
          <w:b/>
          <w:bCs/>
          <w:sz w:val="24"/>
          <w:szCs w:val="24"/>
        </w:rPr>
        <w:t>Fax:</w:t>
      </w:r>
      <w:r w:rsidRPr="000A2A59">
        <w:rPr>
          <w:rFonts w:ascii="Book Antiqua" w:eastAsia="Book Antiqua" w:hAnsi="Book Antiqua" w:cs="Book Antiqua"/>
          <w:b/>
          <w:sz w:val="24"/>
          <w:szCs w:val="24"/>
        </w:rPr>
        <w:t xml:space="preserve"> </w:t>
      </w:r>
      <w:r w:rsidR="00C81A6B" w:rsidRPr="000A2A59">
        <w:rPr>
          <w:rFonts w:ascii="Book Antiqua" w:eastAsia="Book Antiqua" w:hAnsi="Book Antiqua" w:cs="Book Antiqua"/>
          <w:sz w:val="24"/>
          <w:szCs w:val="24"/>
        </w:rPr>
        <w:t>+55</w:t>
      </w:r>
      <w:r w:rsidR="00D6530D">
        <w:rPr>
          <w:rFonts w:ascii="Book Antiqua" w:eastAsia="Book Antiqua" w:hAnsi="Book Antiqua" w:cs="Book Antiqua"/>
          <w:sz w:val="24"/>
          <w:szCs w:val="24"/>
        </w:rPr>
        <w:t>-</w:t>
      </w:r>
      <w:r w:rsidR="00C81A6B" w:rsidRPr="000A2A59">
        <w:rPr>
          <w:rFonts w:ascii="Book Antiqua" w:eastAsia="Book Antiqua" w:hAnsi="Book Antiqua" w:cs="Book Antiqua"/>
          <w:sz w:val="24"/>
          <w:szCs w:val="24"/>
        </w:rPr>
        <w:t>31</w:t>
      </w:r>
      <w:r w:rsidR="00D6530D">
        <w:rPr>
          <w:rFonts w:ascii="Book Antiqua" w:eastAsia="Book Antiqua" w:hAnsi="Book Antiqua" w:cs="Book Antiqua"/>
          <w:sz w:val="24"/>
          <w:szCs w:val="24"/>
        </w:rPr>
        <w:t>-</w:t>
      </w:r>
      <w:r w:rsidRPr="000A2A59">
        <w:rPr>
          <w:rFonts w:ascii="Book Antiqua" w:eastAsia="Book Antiqua" w:hAnsi="Book Antiqua" w:cs="Book Antiqua"/>
          <w:sz w:val="24"/>
          <w:szCs w:val="24"/>
        </w:rPr>
        <w:t>34092947</w:t>
      </w:r>
    </w:p>
    <w:p w14:paraId="28D85E01" w14:textId="0F9B1725" w:rsidR="00573EC2" w:rsidRDefault="00573EC2" w:rsidP="005E5A06">
      <w:pPr>
        <w:adjustRightInd w:val="0"/>
        <w:snapToGrid w:val="0"/>
        <w:spacing w:after="0" w:line="360" w:lineRule="auto"/>
        <w:jc w:val="both"/>
        <w:rPr>
          <w:rFonts w:ascii="Book Antiqua" w:eastAsia="Book Antiqua" w:hAnsi="Book Antiqua" w:cs="Book Antiqua"/>
          <w:sz w:val="24"/>
          <w:szCs w:val="24"/>
        </w:rPr>
      </w:pPr>
    </w:p>
    <w:p w14:paraId="115CCBAF" w14:textId="257EDE68" w:rsidR="00573EC2" w:rsidRPr="00663BB7" w:rsidRDefault="00573EC2" w:rsidP="005E5A06">
      <w:pPr>
        <w:adjustRightInd w:val="0"/>
        <w:snapToGrid w:val="0"/>
        <w:spacing w:after="0" w:line="360" w:lineRule="auto"/>
        <w:rPr>
          <w:rFonts w:ascii="Book Antiqua" w:hAnsi="Book Antiqua"/>
          <w:b/>
          <w:sz w:val="24"/>
          <w:szCs w:val="24"/>
        </w:rPr>
      </w:pPr>
      <w:bookmarkStart w:id="32" w:name="_Hlk21773123"/>
      <w:r w:rsidRPr="00663BB7">
        <w:rPr>
          <w:rFonts w:ascii="Book Antiqua" w:hAnsi="Book Antiqua"/>
          <w:b/>
          <w:sz w:val="24"/>
          <w:szCs w:val="24"/>
        </w:rPr>
        <w:t xml:space="preserve">Received: </w:t>
      </w:r>
      <w:r>
        <w:rPr>
          <w:rFonts w:ascii="Book Antiqua" w:hAnsi="Book Antiqua"/>
          <w:sz w:val="24"/>
          <w:szCs w:val="24"/>
        </w:rPr>
        <w:t>August</w:t>
      </w:r>
      <w:r w:rsidRPr="00663BB7">
        <w:rPr>
          <w:rFonts w:ascii="Book Antiqua" w:hAnsi="Book Antiqua"/>
          <w:sz w:val="24"/>
          <w:szCs w:val="24"/>
        </w:rPr>
        <w:t xml:space="preserve"> </w:t>
      </w:r>
      <w:r>
        <w:rPr>
          <w:rFonts w:ascii="Book Antiqua" w:hAnsi="Book Antiqua"/>
          <w:sz w:val="24"/>
          <w:szCs w:val="24"/>
        </w:rPr>
        <w:t>18</w:t>
      </w:r>
      <w:r w:rsidRPr="00663BB7">
        <w:rPr>
          <w:rFonts w:ascii="Book Antiqua" w:hAnsi="Book Antiqua"/>
          <w:sz w:val="24"/>
          <w:szCs w:val="24"/>
        </w:rPr>
        <w:t>, 2019</w:t>
      </w:r>
    </w:p>
    <w:p w14:paraId="2FFEA1DC" w14:textId="287E33E9" w:rsidR="00573EC2" w:rsidRPr="00663BB7" w:rsidRDefault="00573EC2" w:rsidP="005E5A06">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Peer-review started: </w:t>
      </w:r>
      <w:r>
        <w:rPr>
          <w:rFonts w:ascii="Book Antiqua" w:hAnsi="Book Antiqua"/>
          <w:sz w:val="24"/>
          <w:szCs w:val="24"/>
        </w:rPr>
        <w:t>August</w:t>
      </w:r>
      <w:r w:rsidRPr="00663BB7">
        <w:rPr>
          <w:rFonts w:ascii="Book Antiqua" w:hAnsi="Book Antiqua"/>
          <w:sz w:val="24"/>
          <w:szCs w:val="24"/>
        </w:rPr>
        <w:t xml:space="preserve"> </w:t>
      </w:r>
      <w:r>
        <w:rPr>
          <w:rFonts w:ascii="Book Antiqua" w:hAnsi="Book Antiqua"/>
          <w:sz w:val="24"/>
          <w:szCs w:val="24"/>
        </w:rPr>
        <w:t>18</w:t>
      </w:r>
      <w:r w:rsidRPr="00663BB7">
        <w:rPr>
          <w:rFonts w:ascii="Book Antiqua" w:hAnsi="Book Antiqua"/>
          <w:sz w:val="24"/>
          <w:szCs w:val="24"/>
        </w:rPr>
        <w:t>, 2019</w:t>
      </w:r>
    </w:p>
    <w:p w14:paraId="569451FB" w14:textId="40A25D02" w:rsidR="00573EC2" w:rsidRPr="00663BB7" w:rsidRDefault="00573EC2" w:rsidP="005E5A06">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hAnsi="Book Antiqua"/>
          <w:sz w:val="24"/>
          <w:szCs w:val="24"/>
        </w:rPr>
        <w:t>October</w:t>
      </w:r>
      <w:r w:rsidRPr="00663BB7">
        <w:rPr>
          <w:rFonts w:ascii="Book Antiqua" w:hAnsi="Book Antiqua"/>
          <w:sz w:val="24"/>
          <w:szCs w:val="24"/>
        </w:rPr>
        <w:t xml:space="preserve"> 1</w:t>
      </w:r>
      <w:r>
        <w:rPr>
          <w:rFonts w:ascii="Book Antiqua" w:hAnsi="Book Antiqua"/>
          <w:sz w:val="24"/>
          <w:szCs w:val="24"/>
        </w:rPr>
        <w:t>4</w:t>
      </w:r>
      <w:r w:rsidRPr="00663BB7">
        <w:rPr>
          <w:rFonts w:ascii="Book Antiqua" w:hAnsi="Book Antiqua"/>
          <w:sz w:val="24"/>
          <w:szCs w:val="24"/>
        </w:rPr>
        <w:t>, 2019</w:t>
      </w:r>
    </w:p>
    <w:p w14:paraId="1319FAF4" w14:textId="077DDD3A" w:rsidR="00573EC2" w:rsidRPr="00663BB7" w:rsidRDefault="00573EC2" w:rsidP="005E5A06">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Revised: </w:t>
      </w:r>
      <w:r>
        <w:rPr>
          <w:rFonts w:ascii="Book Antiqua" w:hAnsi="Book Antiqua"/>
          <w:sz w:val="24"/>
          <w:szCs w:val="24"/>
        </w:rPr>
        <w:t>October</w:t>
      </w:r>
      <w:r w:rsidRPr="00663BB7">
        <w:rPr>
          <w:rFonts w:ascii="Book Antiqua" w:hAnsi="Book Antiqua"/>
          <w:sz w:val="24"/>
          <w:szCs w:val="24"/>
        </w:rPr>
        <w:t xml:space="preserve"> </w:t>
      </w:r>
      <w:r>
        <w:rPr>
          <w:rFonts w:ascii="Book Antiqua" w:hAnsi="Book Antiqua"/>
          <w:sz w:val="24"/>
          <w:szCs w:val="24"/>
        </w:rPr>
        <w:t>22</w:t>
      </w:r>
      <w:r w:rsidRPr="00663BB7">
        <w:rPr>
          <w:rFonts w:ascii="Book Antiqua" w:hAnsi="Book Antiqua"/>
          <w:sz w:val="24"/>
          <w:szCs w:val="24"/>
        </w:rPr>
        <w:t>, 2019</w:t>
      </w:r>
    </w:p>
    <w:p w14:paraId="66BD2447" w14:textId="5B176BC1" w:rsidR="00573EC2" w:rsidRPr="00663BB7" w:rsidRDefault="00573EC2" w:rsidP="005E5A06">
      <w:pPr>
        <w:adjustRightInd w:val="0"/>
        <w:snapToGrid w:val="0"/>
        <w:spacing w:after="0" w:line="360" w:lineRule="auto"/>
        <w:rPr>
          <w:rFonts w:ascii="Book Antiqua" w:hAnsi="Book Antiqua"/>
          <w:color w:val="000000"/>
          <w:sz w:val="24"/>
          <w:szCs w:val="24"/>
        </w:rPr>
      </w:pPr>
      <w:r w:rsidRPr="00663BB7">
        <w:rPr>
          <w:rFonts w:ascii="Book Antiqua" w:hAnsi="Book Antiqua"/>
          <w:b/>
          <w:sz w:val="24"/>
          <w:szCs w:val="24"/>
        </w:rPr>
        <w:t>Accepted:</w:t>
      </w:r>
      <w:r w:rsidR="007B1CE9" w:rsidRPr="007B1CE9">
        <w:t xml:space="preserve"> </w:t>
      </w:r>
      <w:r w:rsidR="007B1CE9" w:rsidRPr="007B1CE9">
        <w:rPr>
          <w:rFonts w:ascii="Book Antiqua" w:hAnsi="Book Antiqua"/>
          <w:sz w:val="24"/>
          <w:szCs w:val="24"/>
        </w:rPr>
        <w:t>November 13, 2019</w:t>
      </w:r>
      <w:r w:rsidRPr="007B1CE9">
        <w:rPr>
          <w:rFonts w:ascii="Book Antiqua" w:hAnsi="Book Antiqua"/>
          <w:sz w:val="24"/>
          <w:szCs w:val="24"/>
        </w:rPr>
        <w:t xml:space="preserve"> </w:t>
      </w:r>
    </w:p>
    <w:p w14:paraId="01259622" w14:textId="77777777" w:rsidR="00573EC2" w:rsidRPr="00663BB7" w:rsidRDefault="00573EC2" w:rsidP="005E5A06">
      <w:pPr>
        <w:adjustRightInd w:val="0"/>
        <w:snapToGrid w:val="0"/>
        <w:spacing w:after="0" w:line="360" w:lineRule="auto"/>
        <w:rPr>
          <w:rFonts w:ascii="Book Antiqua" w:hAnsi="Book Antiqua"/>
          <w:b/>
          <w:sz w:val="24"/>
          <w:szCs w:val="24"/>
        </w:rPr>
      </w:pPr>
      <w:r w:rsidRPr="00663BB7">
        <w:rPr>
          <w:rFonts w:ascii="Book Antiqua" w:hAnsi="Book Antiqua"/>
          <w:b/>
          <w:sz w:val="24"/>
          <w:szCs w:val="24"/>
        </w:rPr>
        <w:t>Article in press:</w:t>
      </w:r>
    </w:p>
    <w:p w14:paraId="4BD3A48E" w14:textId="7244183E" w:rsidR="00573EC2" w:rsidRDefault="00573EC2" w:rsidP="005E5A06">
      <w:pPr>
        <w:adjustRightInd w:val="0"/>
        <w:snapToGrid w:val="0"/>
        <w:spacing w:after="0" w:line="360" w:lineRule="auto"/>
        <w:jc w:val="both"/>
        <w:rPr>
          <w:rFonts w:ascii="Book Antiqua" w:hAnsi="Book Antiqua"/>
          <w:b/>
          <w:sz w:val="24"/>
          <w:szCs w:val="24"/>
        </w:rPr>
      </w:pPr>
      <w:r w:rsidRPr="00663BB7">
        <w:rPr>
          <w:rFonts w:ascii="Book Antiqua" w:hAnsi="Book Antiqua"/>
          <w:b/>
          <w:sz w:val="24"/>
          <w:szCs w:val="24"/>
        </w:rPr>
        <w:t>Published online:</w:t>
      </w:r>
      <w:bookmarkEnd w:id="32"/>
    </w:p>
    <w:p w14:paraId="3962EC96" w14:textId="6401C657" w:rsidR="00B52E28" w:rsidRDefault="00B52E28" w:rsidP="005E5A06">
      <w:pPr>
        <w:adjustRightInd w:val="0"/>
        <w:snapToGrid w:val="0"/>
        <w:spacing w:after="0" w:line="360" w:lineRule="auto"/>
        <w:rPr>
          <w:rFonts w:ascii="Book Antiqua" w:eastAsia="Book Antiqua" w:hAnsi="Book Antiqua" w:cs="Book Antiqua"/>
          <w:sz w:val="24"/>
          <w:szCs w:val="24"/>
        </w:rPr>
      </w:pPr>
      <w:r>
        <w:rPr>
          <w:rFonts w:ascii="Book Antiqua" w:eastAsia="Book Antiqua" w:hAnsi="Book Antiqua" w:cs="Book Antiqua"/>
          <w:sz w:val="24"/>
          <w:szCs w:val="24"/>
        </w:rPr>
        <w:br w:type="page"/>
      </w:r>
    </w:p>
    <w:p w14:paraId="6E478B7F" w14:textId="69AA0386" w:rsidR="00D65AC5" w:rsidRPr="000A2A59" w:rsidRDefault="00B52E28" w:rsidP="005E5A06">
      <w:pPr>
        <w:adjustRightInd w:val="0"/>
        <w:snapToGrid w:val="0"/>
        <w:spacing w:after="0" w:line="360" w:lineRule="auto"/>
        <w:jc w:val="both"/>
        <w:rPr>
          <w:rFonts w:ascii="Book Antiqua" w:eastAsia="Book Antiqua" w:hAnsi="Book Antiqua" w:cs="Book Antiqua"/>
          <w:color w:val="FF0000"/>
          <w:sz w:val="24"/>
          <w:szCs w:val="24"/>
        </w:rPr>
      </w:pPr>
      <w:r w:rsidRPr="00B52E28">
        <w:rPr>
          <w:rFonts w:ascii="Book Antiqua" w:eastAsia="Book Antiqua" w:hAnsi="Book Antiqua" w:cs="Book Antiqua"/>
          <w:b/>
          <w:sz w:val="24"/>
          <w:szCs w:val="24"/>
        </w:rPr>
        <w:lastRenderedPageBreak/>
        <w:t>Abstract</w:t>
      </w:r>
    </w:p>
    <w:p w14:paraId="53EBA406" w14:textId="0F6AA704"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The liver is a complex organ that performs several functions to maintain homeostasis. These functions are modulated by calcium, a second messenger that regulates several intracellular events. In hepatocytes and cholangiocytes, which are the epithelial cell types in the liver, inositol 1,4,5-trisphosphate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receptors (ITPR) are the only intracellular calcium release channels. T</w:t>
      </w:r>
      <w:r w:rsidRPr="000A2A59">
        <w:rPr>
          <w:rFonts w:ascii="Book Antiqua" w:eastAsia="Book Antiqua" w:hAnsi="Book Antiqua" w:cs="Book Antiqua"/>
          <w:color w:val="000000"/>
          <w:sz w:val="24"/>
          <w:szCs w:val="24"/>
        </w:rPr>
        <w:t>hree isoforms of the ITPR have been described, named type 1, type 2</w:t>
      </w:r>
      <w:r w:rsidR="00B52E28">
        <w:rPr>
          <w:rFonts w:ascii="Book Antiqua" w:eastAsia="Book Antiqua" w:hAnsi="Book Antiqua" w:cs="Book Antiqua"/>
          <w:color w:val="000000"/>
          <w:sz w:val="24"/>
          <w:szCs w:val="24"/>
        </w:rPr>
        <w:t xml:space="preserve"> </w:t>
      </w:r>
      <w:r w:rsidRPr="000A2A59">
        <w:rPr>
          <w:rFonts w:ascii="Book Antiqua" w:eastAsia="Book Antiqua" w:hAnsi="Book Antiqua" w:cs="Book Antiqua"/>
          <w:color w:val="000000"/>
          <w:sz w:val="24"/>
          <w:szCs w:val="24"/>
        </w:rPr>
        <w:t xml:space="preserve">and type 3. These ITPR isoforms are differentially expressed in liver cells where they regulate distinct physiological </w:t>
      </w:r>
      <w:r w:rsidRPr="000A2A59">
        <w:rPr>
          <w:rFonts w:ascii="Book Antiqua" w:eastAsia="Book Antiqua" w:hAnsi="Book Antiqua" w:cs="Book Antiqua"/>
          <w:sz w:val="24"/>
          <w:szCs w:val="24"/>
        </w:rPr>
        <w:t xml:space="preserve">functions. Changes in the expression level of these receptors correlates with several liver diseases and hepatic dysfunctions. In this review, we highlight how the expression level, modulation, and localization of ITPR isoforms in hepatocytes and cholangiocytes play a role in hepatic homeostasis and liver pathology. </w:t>
      </w:r>
    </w:p>
    <w:p w14:paraId="5F340A23" w14:textId="77777777" w:rsidR="004800BE" w:rsidRPr="000A2A59" w:rsidRDefault="004800BE" w:rsidP="005E5A06">
      <w:pPr>
        <w:adjustRightInd w:val="0"/>
        <w:snapToGrid w:val="0"/>
        <w:spacing w:after="0" w:line="360" w:lineRule="auto"/>
        <w:jc w:val="both"/>
        <w:rPr>
          <w:rFonts w:ascii="Book Antiqua" w:eastAsia="Book Antiqua" w:hAnsi="Book Antiqua" w:cs="Book Antiqua"/>
          <w:sz w:val="24"/>
          <w:szCs w:val="24"/>
        </w:rPr>
      </w:pPr>
    </w:p>
    <w:p w14:paraId="12005D17" w14:textId="7A21357A" w:rsidR="00D65AC5" w:rsidRDefault="001E30D3" w:rsidP="005E5A06">
      <w:pPr>
        <w:adjustRightInd w:val="0"/>
        <w:snapToGrid w:val="0"/>
        <w:spacing w:after="0" w:line="360" w:lineRule="auto"/>
        <w:jc w:val="both"/>
        <w:rPr>
          <w:rFonts w:ascii="Book Antiqua" w:eastAsia="Book Antiqua" w:hAnsi="Book Antiqua" w:cs="Book Antiqua"/>
          <w:sz w:val="24"/>
          <w:szCs w:val="24"/>
        </w:rPr>
      </w:pPr>
      <w:r w:rsidRPr="001E30D3">
        <w:rPr>
          <w:rFonts w:ascii="Book Antiqua" w:eastAsia="Book Antiqua" w:hAnsi="Book Antiqua" w:cs="Book Antiqua"/>
          <w:b/>
          <w:sz w:val="24"/>
          <w:szCs w:val="24"/>
        </w:rPr>
        <w:t>Key words:</w:t>
      </w:r>
      <w:r w:rsidR="00736CA5" w:rsidRPr="000A2A59">
        <w:rPr>
          <w:rFonts w:ascii="Book Antiqua" w:eastAsia="Book Antiqua" w:hAnsi="Book Antiqua" w:cs="Book Antiqua"/>
          <w:sz w:val="24"/>
          <w:szCs w:val="24"/>
        </w:rPr>
        <w:t xml:space="preserve"> </w:t>
      </w:r>
      <w:bookmarkStart w:id="33" w:name="OLE_LINK200"/>
      <w:r w:rsidRPr="000A2A59">
        <w:rPr>
          <w:rFonts w:ascii="Book Antiqua" w:eastAsia="Book Antiqua" w:hAnsi="Book Antiqua" w:cs="Book Antiqua"/>
          <w:sz w:val="24"/>
          <w:szCs w:val="24"/>
        </w:rPr>
        <w:t>I</w:t>
      </w:r>
      <w:r w:rsidR="009527FC" w:rsidRPr="000A2A59">
        <w:rPr>
          <w:rFonts w:ascii="Book Antiqua" w:eastAsia="Book Antiqua" w:hAnsi="Book Antiqua" w:cs="Book Antiqua"/>
          <w:sz w:val="24"/>
          <w:szCs w:val="24"/>
        </w:rPr>
        <w:t>nositol 1,4,5</w:t>
      </w:r>
      <w:r w:rsidR="006036EF" w:rsidRPr="000A2A59">
        <w:rPr>
          <w:rFonts w:ascii="Book Antiqua" w:eastAsia="Book Antiqua" w:hAnsi="Book Antiqua" w:cs="Book Antiqua"/>
          <w:sz w:val="24"/>
          <w:szCs w:val="24"/>
        </w:rPr>
        <w:t>-trisphosphate receptor</w:t>
      </w:r>
      <w:bookmarkEnd w:id="33"/>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L</w:t>
      </w:r>
      <w:r w:rsidR="00736CA5" w:rsidRPr="000A2A59">
        <w:rPr>
          <w:rFonts w:ascii="Book Antiqua" w:eastAsia="Book Antiqua" w:hAnsi="Book Antiqua" w:cs="Book Antiqua"/>
          <w:sz w:val="24"/>
          <w:szCs w:val="24"/>
        </w:rPr>
        <w:t>iver</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C</w:t>
      </w:r>
      <w:r w:rsidR="00736CA5" w:rsidRPr="000A2A59">
        <w:rPr>
          <w:rFonts w:ascii="Book Antiqua" w:eastAsia="Book Antiqua" w:hAnsi="Book Antiqua" w:cs="Book Antiqua"/>
          <w:sz w:val="24"/>
          <w:szCs w:val="24"/>
        </w:rPr>
        <w:t>alcium signaling</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bookmarkStart w:id="34" w:name="OLE_LINK201"/>
      <w:bookmarkStart w:id="35" w:name="OLE_LINK202"/>
      <w:r w:rsidRPr="000A2A59">
        <w:rPr>
          <w:rFonts w:ascii="Book Antiqua" w:eastAsia="Book Antiqua" w:hAnsi="Book Antiqua" w:cs="Book Antiqua"/>
          <w:sz w:val="24"/>
          <w:szCs w:val="24"/>
        </w:rPr>
        <w:t>H</w:t>
      </w:r>
      <w:r w:rsidR="00736CA5" w:rsidRPr="000A2A59">
        <w:rPr>
          <w:rFonts w:ascii="Book Antiqua" w:eastAsia="Book Antiqua" w:hAnsi="Book Antiqua" w:cs="Book Antiqua"/>
          <w:sz w:val="24"/>
          <w:szCs w:val="24"/>
        </w:rPr>
        <w:t>epatocytes and cholangiocytes</w:t>
      </w:r>
      <w:bookmarkEnd w:id="34"/>
      <w:bookmarkEnd w:id="35"/>
    </w:p>
    <w:p w14:paraId="670D7058" w14:textId="77777777" w:rsidR="001E30D3" w:rsidRDefault="001E30D3" w:rsidP="005E5A06">
      <w:pPr>
        <w:adjustRightInd w:val="0"/>
        <w:snapToGrid w:val="0"/>
        <w:spacing w:after="0" w:line="360" w:lineRule="auto"/>
        <w:jc w:val="both"/>
        <w:rPr>
          <w:rFonts w:ascii="Book Antiqua" w:eastAsia="Book Antiqua" w:hAnsi="Book Antiqua" w:cs="Book Antiqua"/>
          <w:sz w:val="24"/>
          <w:szCs w:val="24"/>
        </w:rPr>
      </w:pPr>
    </w:p>
    <w:p w14:paraId="19B4B0E9" w14:textId="099BD6E2" w:rsidR="001E30D3" w:rsidRDefault="001E30D3" w:rsidP="005E5A06">
      <w:pPr>
        <w:adjustRightInd w:val="0"/>
        <w:snapToGrid w:val="0"/>
        <w:spacing w:after="0" w:line="360" w:lineRule="auto"/>
        <w:jc w:val="both"/>
        <w:rPr>
          <w:rFonts w:ascii="Book Antiqua" w:hAnsi="Book Antiqua" w:cs="Arial Unicode MS"/>
          <w:sz w:val="24"/>
          <w:szCs w:val="24"/>
          <w:lang w:val="fr-FR"/>
        </w:rPr>
      </w:pPr>
      <w:bookmarkStart w:id="36" w:name="_Hlk21773282"/>
      <w:r w:rsidRPr="00663BB7">
        <w:rPr>
          <w:rFonts w:ascii="Book Antiqua" w:hAnsi="Book Antiqua" w:cs="Tahoma"/>
          <w:b/>
          <w:color w:val="000000"/>
          <w:sz w:val="24"/>
          <w:szCs w:val="24"/>
          <w:lang w:val="en-GB" w:eastAsia="ja-JP"/>
        </w:rPr>
        <w:t xml:space="preserve">© </w:t>
      </w:r>
      <w:r w:rsidRPr="00663BB7">
        <w:rPr>
          <w:rFonts w:ascii="Book Antiqua" w:eastAsia="AdvTimes" w:hAnsi="Book Antiqua" w:cs="AdvTimes"/>
          <w:b/>
          <w:color w:val="000000"/>
          <w:sz w:val="24"/>
          <w:szCs w:val="24"/>
          <w:lang w:val="fr-FR" w:eastAsia="ja-JP"/>
        </w:rPr>
        <w:t xml:space="preserve">The Author(s) </w:t>
      </w:r>
      <w:r w:rsidRPr="00663BB7">
        <w:rPr>
          <w:rFonts w:ascii="Book Antiqua" w:hAnsi="Book Antiqua" w:cs="AdvTimes"/>
          <w:b/>
          <w:color w:val="000000"/>
          <w:sz w:val="24"/>
          <w:szCs w:val="24"/>
          <w:lang w:val="fr-FR"/>
        </w:rPr>
        <w:t>2019</w:t>
      </w:r>
      <w:r w:rsidRPr="00663BB7">
        <w:rPr>
          <w:rFonts w:ascii="Book Antiqua" w:eastAsia="AdvTimes" w:hAnsi="Book Antiqua" w:cs="AdvTimes"/>
          <w:b/>
          <w:color w:val="000000"/>
          <w:sz w:val="24"/>
          <w:szCs w:val="24"/>
          <w:lang w:val="fr-FR" w:eastAsia="ja-JP"/>
        </w:rPr>
        <w:t>.</w:t>
      </w:r>
      <w:r w:rsidRPr="00663BB7">
        <w:rPr>
          <w:rFonts w:ascii="Book Antiqua" w:eastAsia="AdvTimes" w:hAnsi="Book Antiqua" w:cs="AdvTimes"/>
          <w:color w:val="000000"/>
          <w:sz w:val="24"/>
          <w:szCs w:val="24"/>
          <w:lang w:val="fr-FR" w:eastAsia="ja-JP"/>
        </w:rPr>
        <w:t xml:space="preserve"> Published by </w:t>
      </w:r>
      <w:r w:rsidRPr="00663BB7">
        <w:rPr>
          <w:rFonts w:ascii="Book Antiqua" w:hAnsi="Book Antiqua" w:cs="Arial Unicode MS"/>
          <w:color w:val="000000"/>
          <w:sz w:val="24"/>
          <w:szCs w:val="24"/>
          <w:lang w:val="en-GB" w:eastAsia="ja-JP"/>
        </w:rPr>
        <w:t>Baishideng Publishing Group Inc.</w:t>
      </w:r>
      <w:r w:rsidRPr="00663BB7">
        <w:rPr>
          <w:rFonts w:ascii="Book Antiqua" w:hAnsi="Book Antiqua" w:cs="Arial Unicode MS"/>
          <w:sz w:val="24"/>
          <w:szCs w:val="24"/>
          <w:lang w:val="en-GB" w:eastAsia="ja-JP"/>
        </w:rPr>
        <w:t xml:space="preserve"> </w:t>
      </w:r>
      <w:r w:rsidRPr="00663BB7">
        <w:rPr>
          <w:rFonts w:ascii="Book Antiqua" w:hAnsi="Book Antiqua" w:cs="Arial Unicode MS"/>
          <w:sz w:val="24"/>
          <w:szCs w:val="24"/>
          <w:lang w:val="fr-FR" w:eastAsia="ja-JP"/>
        </w:rPr>
        <w:t>All rights reserved</w:t>
      </w:r>
      <w:r w:rsidRPr="00663BB7">
        <w:rPr>
          <w:rFonts w:ascii="Book Antiqua" w:hAnsi="Book Antiqua" w:cs="Arial Unicode MS"/>
          <w:sz w:val="24"/>
          <w:szCs w:val="24"/>
          <w:lang w:val="fr-FR"/>
        </w:rPr>
        <w:t>.</w:t>
      </w:r>
      <w:bookmarkEnd w:id="36"/>
    </w:p>
    <w:p w14:paraId="3A8F59B1" w14:textId="77777777" w:rsidR="001E30D3" w:rsidRPr="000A2A59" w:rsidRDefault="001E30D3" w:rsidP="005E5A06">
      <w:pPr>
        <w:adjustRightInd w:val="0"/>
        <w:snapToGrid w:val="0"/>
        <w:spacing w:after="0" w:line="360" w:lineRule="auto"/>
        <w:jc w:val="both"/>
        <w:rPr>
          <w:rFonts w:ascii="Book Antiqua" w:eastAsia="Book Antiqua" w:hAnsi="Book Antiqua" w:cs="Book Antiqua"/>
          <w:b/>
          <w:sz w:val="24"/>
          <w:szCs w:val="24"/>
        </w:rPr>
      </w:pPr>
    </w:p>
    <w:p w14:paraId="1E214292" w14:textId="7ABC03EF" w:rsidR="00D65AC5" w:rsidRPr="000A2A59" w:rsidRDefault="001E30D3" w:rsidP="005E5A06">
      <w:pPr>
        <w:adjustRightInd w:val="0"/>
        <w:snapToGrid w:val="0"/>
        <w:spacing w:after="0" w:line="360" w:lineRule="auto"/>
        <w:jc w:val="both"/>
        <w:rPr>
          <w:rFonts w:ascii="Book Antiqua" w:eastAsia="Book Antiqua" w:hAnsi="Book Antiqua" w:cs="Book Antiqua"/>
          <w:sz w:val="24"/>
          <w:szCs w:val="24"/>
        </w:rPr>
      </w:pPr>
      <w:r w:rsidRPr="001E30D3">
        <w:rPr>
          <w:rFonts w:ascii="Book Antiqua" w:hAnsi="Book Antiqua"/>
          <w:b/>
          <w:sz w:val="24"/>
          <w:szCs w:val="24"/>
          <w:lang w:val="en-GB"/>
        </w:rPr>
        <w:t>Core tip:</w:t>
      </w:r>
      <w:r w:rsidR="00736CA5" w:rsidRPr="001E30D3">
        <w:rPr>
          <w:rFonts w:ascii="Book Antiqua" w:eastAsia="Book Antiqua" w:hAnsi="Book Antiqua" w:cs="Book Antiqua"/>
          <w:b/>
          <w:sz w:val="24"/>
          <w:szCs w:val="24"/>
        </w:rPr>
        <w:t xml:space="preserve"> </w:t>
      </w:r>
      <w:bookmarkStart w:id="37" w:name="OLE_LINK203"/>
      <w:bookmarkStart w:id="38" w:name="OLE_LINK204"/>
      <w:r w:rsidR="00736CA5" w:rsidRPr="000A2A59">
        <w:rPr>
          <w:rFonts w:ascii="Book Antiqua" w:eastAsia="Book Antiqua" w:hAnsi="Book Antiqua" w:cs="Book Antiqua"/>
          <w:sz w:val="24"/>
          <w:szCs w:val="24"/>
        </w:rPr>
        <w:t xml:space="preserve">Calcium regulates a variety of functions in our </w:t>
      </w:r>
      <w:r w:rsidR="009527FC" w:rsidRPr="000A2A59">
        <w:rPr>
          <w:rFonts w:ascii="Book Antiqua" w:eastAsia="Book Antiqua" w:hAnsi="Book Antiqua" w:cs="Book Antiqua"/>
          <w:sz w:val="24"/>
          <w:szCs w:val="24"/>
        </w:rPr>
        <w:t>body. In the liver, inositol 1,4,5</w:t>
      </w:r>
      <w:r w:rsidR="00736CA5" w:rsidRPr="000A2A59">
        <w:rPr>
          <w:rFonts w:ascii="Book Antiqua" w:eastAsia="Book Antiqua" w:hAnsi="Book Antiqua" w:cs="Book Antiqua"/>
          <w:sz w:val="24"/>
          <w:szCs w:val="24"/>
        </w:rPr>
        <w:t>-trisphosphate receptors (ITPR) are the only expressed intracellular calcium release channels. ITPR regulates liver functions under healthy situation, but they can also be involved in liver diseases, depending for instance, in which isoform is expressed in a specific cell type, level of expression and where inside the cell each isoform is expressed. In this review, we discuss about ITPR roles in hepatic cells in physiological and pathological conditions.</w:t>
      </w:r>
      <w:bookmarkEnd w:id="37"/>
      <w:bookmarkEnd w:id="38"/>
    </w:p>
    <w:p w14:paraId="5E190950" w14:textId="59542C34"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28ED63CC" w14:textId="499A15BE" w:rsidR="00864387" w:rsidRDefault="00864387" w:rsidP="00477272">
      <w:pPr>
        <w:adjustRightInd w:val="0"/>
        <w:snapToGrid w:val="0"/>
        <w:spacing w:after="0" w:line="360" w:lineRule="auto"/>
        <w:jc w:val="both"/>
      </w:pPr>
      <w:r w:rsidRPr="000A2A59">
        <w:rPr>
          <w:rFonts w:ascii="Book Antiqua" w:eastAsia="Book Antiqua" w:hAnsi="Book Antiqua" w:cs="Book Antiqua"/>
          <w:sz w:val="24"/>
          <w:szCs w:val="24"/>
        </w:rPr>
        <w:t>Lemos</w:t>
      </w:r>
      <w:r>
        <w:rPr>
          <w:rFonts w:ascii="Book Antiqua" w:eastAsia="Book Antiqua" w:hAnsi="Book Antiqua" w:cs="Book Antiqua"/>
          <w:sz w:val="24"/>
          <w:szCs w:val="24"/>
        </w:rPr>
        <w:t xml:space="preserve"> FO</w:t>
      </w:r>
      <w:r>
        <w:rPr>
          <w:rFonts w:ascii="宋体" w:eastAsia="宋体" w:hAnsi="宋体" w:cs="宋体" w:hint="eastAsia"/>
          <w:sz w:val="24"/>
          <w:szCs w:val="24"/>
          <w:lang w:eastAsia="zh-CN"/>
        </w:rPr>
        <w:t>,</w:t>
      </w:r>
      <w:r w:rsidRPr="000A2A59">
        <w:rPr>
          <w:rFonts w:ascii="Book Antiqua" w:eastAsia="Book Antiqua" w:hAnsi="Book Antiqua" w:cs="Book Antiqua"/>
          <w:sz w:val="24"/>
          <w:szCs w:val="24"/>
        </w:rPr>
        <w:t xml:space="preserve"> Florentino</w:t>
      </w:r>
      <w:r>
        <w:rPr>
          <w:rFonts w:ascii="Book Antiqua" w:eastAsia="Book Antiqua" w:hAnsi="Book Antiqua" w:cs="Book Antiqua"/>
          <w:sz w:val="24"/>
          <w:szCs w:val="24"/>
        </w:rPr>
        <w:t xml:space="preserve"> RM</w:t>
      </w:r>
      <w:r w:rsidRPr="000A2A59">
        <w:rPr>
          <w:rFonts w:ascii="Book Antiqua" w:eastAsia="Book Antiqua" w:hAnsi="Book Antiqua" w:cs="Book Antiqua"/>
          <w:sz w:val="24"/>
          <w:szCs w:val="24"/>
        </w:rPr>
        <w:t>, Filho</w:t>
      </w:r>
      <w:r>
        <w:rPr>
          <w:rFonts w:ascii="Book Antiqua" w:eastAsia="Book Antiqua" w:hAnsi="Book Antiqua" w:cs="Book Antiqua"/>
          <w:sz w:val="24"/>
          <w:szCs w:val="24"/>
        </w:rPr>
        <w:t xml:space="preserve"> ACML</w:t>
      </w:r>
      <w:r w:rsidRPr="000A2A59">
        <w:rPr>
          <w:rFonts w:ascii="Book Antiqua" w:eastAsia="Book Antiqua" w:hAnsi="Book Antiqua" w:cs="Book Antiqua"/>
          <w:sz w:val="24"/>
          <w:szCs w:val="24"/>
        </w:rPr>
        <w:t>, Santos</w:t>
      </w:r>
      <w:r>
        <w:rPr>
          <w:rFonts w:ascii="Book Antiqua" w:eastAsia="Book Antiqua" w:hAnsi="Book Antiqua" w:cs="Book Antiqua"/>
          <w:sz w:val="24"/>
          <w:szCs w:val="24"/>
        </w:rPr>
        <w:t xml:space="preserve"> ML, </w:t>
      </w:r>
      <w:r w:rsidRPr="000A2A59">
        <w:rPr>
          <w:rFonts w:ascii="Book Antiqua" w:eastAsia="Book Antiqua" w:hAnsi="Book Antiqua" w:cs="Book Antiqua"/>
          <w:sz w:val="24"/>
          <w:szCs w:val="24"/>
        </w:rPr>
        <w:t>Leite</w:t>
      </w:r>
      <w:r>
        <w:rPr>
          <w:rFonts w:ascii="Book Antiqua" w:eastAsia="Book Antiqua" w:hAnsi="Book Antiqua" w:cs="Book Antiqua"/>
          <w:sz w:val="24"/>
          <w:szCs w:val="24"/>
        </w:rPr>
        <w:t xml:space="preserve"> MF</w:t>
      </w:r>
      <w:r w:rsidRPr="00864387">
        <w:rPr>
          <w:rFonts w:ascii="Book Antiqua" w:eastAsia="Book Antiqua" w:hAnsi="Book Antiqua" w:cs="Book Antiqua"/>
          <w:bCs/>
          <w:sz w:val="24"/>
          <w:szCs w:val="24"/>
        </w:rPr>
        <w:t>.</w:t>
      </w:r>
      <w:r>
        <w:rPr>
          <w:rFonts w:ascii="Book Antiqua" w:eastAsia="Book Antiqua" w:hAnsi="Book Antiqua" w:cs="Book Antiqua"/>
          <w:b/>
          <w:sz w:val="24"/>
          <w:szCs w:val="24"/>
        </w:rPr>
        <w:t xml:space="preserve"> </w:t>
      </w:r>
      <w:r w:rsidR="00477272" w:rsidRPr="00477272">
        <w:rPr>
          <w:rFonts w:ascii="Book Antiqua" w:eastAsia="Book Antiqua" w:hAnsi="Book Antiqua" w:cs="Book Antiqua"/>
          <w:bCs/>
          <w:sz w:val="24"/>
          <w:szCs w:val="24"/>
        </w:rPr>
        <w:t>Inositol 1,4,5-trisphosphate</w:t>
      </w:r>
      <w:r w:rsidRPr="00864387">
        <w:rPr>
          <w:rFonts w:ascii="Book Antiqua" w:eastAsia="Book Antiqua" w:hAnsi="Book Antiqua" w:cs="Book Antiqua"/>
          <w:bCs/>
          <w:sz w:val="24"/>
          <w:szCs w:val="24"/>
        </w:rPr>
        <w:t xml:space="preserve"> receptor in the liver: </w:t>
      </w:r>
      <w:r w:rsidR="005E5A06" w:rsidRPr="00864387">
        <w:rPr>
          <w:rFonts w:ascii="Book Antiqua" w:eastAsia="Book Antiqua" w:hAnsi="Book Antiqua" w:cs="Book Antiqua"/>
          <w:bCs/>
          <w:sz w:val="24"/>
          <w:szCs w:val="24"/>
        </w:rPr>
        <w:t>E</w:t>
      </w:r>
      <w:r w:rsidRPr="00864387">
        <w:rPr>
          <w:rFonts w:ascii="Book Antiqua" w:eastAsia="Book Antiqua" w:hAnsi="Book Antiqua" w:cs="Book Antiqua"/>
          <w:bCs/>
          <w:sz w:val="24"/>
          <w:szCs w:val="24"/>
        </w:rPr>
        <w:t>xpression and function</w:t>
      </w:r>
      <w:r>
        <w:rPr>
          <w:rFonts w:ascii="Book Antiqua" w:eastAsia="Book Antiqua" w:hAnsi="Book Antiqua" w:cs="Book Antiqua"/>
          <w:bCs/>
          <w:sz w:val="24"/>
          <w:szCs w:val="24"/>
        </w:rPr>
        <w:t xml:space="preserve">. </w:t>
      </w:r>
      <w:bookmarkStart w:id="39" w:name="OLE_LINK1084"/>
      <w:bookmarkStart w:id="40" w:name="OLE_LINK1085"/>
      <w:bookmarkStart w:id="41" w:name="OLE_LINK1089"/>
      <w:r w:rsidRPr="00E536E1">
        <w:rPr>
          <w:rFonts w:ascii="Book Antiqua" w:hAnsi="Book Antiqua"/>
          <w:i/>
          <w:sz w:val="24"/>
          <w:szCs w:val="24"/>
        </w:rPr>
        <w:t>World J Gastroenterol</w:t>
      </w:r>
      <w:r w:rsidRPr="00E536E1">
        <w:rPr>
          <w:rFonts w:ascii="Book Antiqua" w:hAnsi="Book Antiqua"/>
          <w:sz w:val="24"/>
          <w:szCs w:val="24"/>
        </w:rPr>
        <w:t xml:space="preserve"> 2019; </w:t>
      </w:r>
      <w:bookmarkStart w:id="42" w:name="OLE_LINK1689"/>
      <w:bookmarkStart w:id="43" w:name="OLE_LINK1298"/>
      <w:bookmarkStart w:id="44" w:name="OLE_LINK1297"/>
      <w:r w:rsidRPr="00E536E1">
        <w:rPr>
          <w:rFonts w:ascii="Book Antiqua" w:hAnsi="Book Antiqua"/>
          <w:sz w:val="24"/>
          <w:szCs w:val="24"/>
        </w:rPr>
        <w:t>In press</w:t>
      </w:r>
      <w:bookmarkEnd w:id="39"/>
      <w:bookmarkEnd w:id="40"/>
      <w:bookmarkEnd w:id="41"/>
      <w:bookmarkEnd w:id="42"/>
      <w:bookmarkEnd w:id="43"/>
      <w:bookmarkEnd w:id="44"/>
    </w:p>
    <w:p w14:paraId="361A620D" w14:textId="3299ADFB" w:rsidR="00864387" w:rsidRDefault="00864387" w:rsidP="005E5A06">
      <w:pPr>
        <w:adjustRightInd w:val="0"/>
        <w:snapToGrid w:val="0"/>
        <w:spacing w:after="0" w:line="360" w:lineRule="auto"/>
      </w:pPr>
    </w:p>
    <w:p w14:paraId="5BC9711B" w14:textId="063BC6F0" w:rsidR="00D65AC5" w:rsidRPr="00864387" w:rsidRDefault="005E5A06" w:rsidP="005E5A06">
      <w:pPr>
        <w:adjustRightInd w:val="0"/>
        <w:snapToGrid w:val="0"/>
        <w:spacing w:after="0" w:line="360" w:lineRule="auto"/>
        <w:jc w:val="both"/>
        <w:rPr>
          <w:rFonts w:ascii="Book Antiqua" w:eastAsia="Book Antiqua" w:hAnsi="Book Antiqua" w:cs="Book Antiqua"/>
          <w:b/>
          <w:sz w:val="24"/>
          <w:szCs w:val="24"/>
        </w:rPr>
      </w:pPr>
      <w:r w:rsidRPr="005E5A06">
        <w:rPr>
          <w:rFonts w:ascii="Book Antiqua" w:eastAsia="Book Antiqua" w:hAnsi="Book Antiqua" w:cs="Book Antiqua"/>
          <w:b/>
          <w:sz w:val="24"/>
          <w:szCs w:val="24"/>
        </w:rPr>
        <w:lastRenderedPageBreak/>
        <w:t>INTRODUCTION</w:t>
      </w:r>
    </w:p>
    <w:p w14:paraId="6D21C7C4" w14:textId="43F9A89B" w:rsidR="005E5A06" w:rsidRDefault="00736CA5" w:rsidP="005E5A06">
      <w:pPr>
        <w:adjustRightInd w:val="0"/>
        <w:snapToGrid w:val="0"/>
        <w:spacing w:after="0" w:line="360" w:lineRule="auto"/>
        <w:jc w:val="both"/>
        <w:rPr>
          <w:rFonts w:ascii="Book Antiqua" w:eastAsia="Book Antiqua" w:hAnsi="Book Antiqua" w:cs="Book Antiqua"/>
          <w:color w:val="000000"/>
          <w:sz w:val="24"/>
          <w:szCs w:val="24"/>
        </w:rPr>
      </w:pPr>
      <w:r w:rsidRPr="000A2A59">
        <w:rPr>
          <w:rFonts w:ascii="Book Antiqua" w:eastAsia="Book Antiqua" w:hAnsi="Book Antiqua" w:cs="Book Antiqua"/>
          <w:sz w:val="24"/>
          <w:szCs w:val="24"/>
        </w:rPr>
        <w:t>The liver is an important and vital organ that regulates several functions, ranging from drug and macronutrient metabolism to immune system support</w:t>
      </w:r>
      <w:r w:rsidRPr="000A2A59">
        <w:rPr>
          <w:rFonts w:ascii="Book Antiqua" w:eastAsia="Book Antiqua" w:hAnsi="Book Antiqua" w:cs="Book Antiqua"/>
          <w:sz w:val="24"/>
          <w:szCs w:val="24"/>
          <w:vertAlign w:val="superscript"/>
        </w:rPr>
        <w:t>[1-5]</w:t>
      </w:r>
      <w:r w:rsidRPr="000A2A59">
        <w:rPr>
          <w:rFonts w:ascii="Book Antiqua" w:eastAsia="Book Antiqua" w:hAnsi="Book Antiqua" w:cs="Book Antiqua"/>
          <w:sz w:val="24"/>
          <w:szCs w:val="24"/>
        </w:rPr>
        <w:t>. Essentially all liver functions are at some point regulated by intracellular calcium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In hepatocytes and cholangiocytes, the principal epithelial cell types of the liver, inositol 1,4,5-trisphosphate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receptors (ITPR) are the only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release channels</w:t>
      </w:r>
      <w:r w:rsidRPr="000A2A59">
        <w:rPr>
          <w:rFonts w:ascii="Book Antiqua" w:eastAsia="Book Antiqua" w:hAnsi="Book Antiqua" w:cs="Book Antiqua"/>
          <w:sz w:val="24"/>
          <w:szCs w:val="24"/>
          <w:vertAlign w:val="superscript"/>
        </w:rPr>
        <w:t>[6,7]</w:t>
      </w:r>
      <w:r w:rsidRPr="000A2A59">
        <w:rPr>
          <w:rFonts w:ascii="Book Antiqua" w:eastAsia="Book Antiqua" w:hAnsi="Book Antiqua" w:cs="Book Antiqua"/>
          <w:sz w:val="24"/>
          <w:szCs w:val="24"/>
        </w:rPr>
        <w:t xml:space="preserve">. </w:t>
      </w:r>
      <w:r w:rsidRPr="000A2A59">
        <w:rPr>
          <w:rFonts w:ascii="Book Antiqua" w:eastAsia="Book Antiqua" w:hAnsi="Book Antiqua" w:cs="Book Antiqua"/>
          <w:color w:val="000000"/>
          <w:sz w:val="24"/>
          <w:szCs w:val="24"/>
        </w:rPr>
        <w:t xml:space="preserve">There are three types of ITPR: </w:t>
      </w:r>
      <w:r w:rsidR="005E5A06" w:rsidRPr="000A2A59">
        <w:rPr>
          <w:rFonts w:ascii="Book Antiqua" w:eastAsia="Book Antiqua" w:hAnsi="Book Antiqua" w:cs="Book Antiqua"/>
          <w:color w:val="000000"/>
          <w:sz w:val="24"/>
          <w:szCs w:val="24"/>
        </w:rPr>
        <w:t>type 1</w:t>
      </w:r>
      <w:r w:rsidR="005E5A06">
        <w:rPr>
          <w:rFonts w:ascii="Book Antiqua" w:eastAsia="Book Antiqua" w:hAnsi="Book Antiqua" w:cs="Book Antiqua"/>
          <w:color w:val="000000"/>
          <w:sz w:val="24"/>
          <w:szCs w:val="24"/>
        </w:rPr>
        <w:t xml:space="preserve"> (</w:t>
      </w:r>
      <w:r w:rsidR="005E5A06" w:rsidRPr="000A2A59">
        <w:rPr>
          <w:rFonts w:ascii="Book Antiqua" w:eastAsia="Book Antiqua" w:hAnsi="Book Antiqua" w:cs="Book Antiqua"/>
          <w:color w:val="000000"/>
          <w:sz w:val="24"/>
          <w:szCs w:val="24"/>
        </w:rPr>
        <w:t>ITPR1</w:t>
      </w:r>
      <w:r w:rsidR="005E5A06">
        <w:rPr>
          <w:rFonts w:ascii="Book Antiqua" w:eastAsia="Book Antiqua" w:hAnsi="Book Antiqua" w:cs="Book Antiqua"/>
          <w:color w:val="000000"/>
          <w:sz w:val="24"/>
          <w:szCs w:val="24"/>
        </w:rPr>
        <w:t>)</w:t>
      </w:r>
      <w:r w:rsidR="005E5A06" w:rsidRPr="000A2A59">
        <w:rPr>
          <w:rFonts w:ascii="Book Antiqua" w:eastAsia="Book Antiqua" w:hAnsi="Book Antiqua" w:cs="Book Antiqua"/>
          <w:color w:val="000000"/>
          <w:sz w:val="24"/>
          <w:szCs w:val="24"/>
        </w:rPr>
        <w:t>, type 2</w:t>
      </w:r>
      <w:r w:rsidR="005E5A06">
        <w:rPr>
          <w:rFonts w:ascii="Book Antiqua" w:eastAsia="Book Antiqua" w:hAnsi="Book Antiqua" w:cs="Book Antiqua"/>
          <w:color w:val="000000"/>
          <w:sz w:val="24"/>
          <w:szCs w:val="24"/>
        </w:rPr>
        <w:t xml:space="preserve"> (</w:t>
      </w:r>
      <w:r w:rsidR="005E5A06" w:rsidRPr="000A2A59">
        <w:rPr>
          <w:rFonts w:ascii="Book Antiqua" w:eastAsia="Book Antiqua" w:hAnsi="Book Antiqua" w:cs="Book Antiqua"/>
          <w:color w:val="000000"/>
          <w:sz w:val="24"/>
          <w:szCs w:val="24"/>
        </w:rPr>
        <w:t>ITPR2</w:t>
      </w:r>
      <w:r w:rsidR="005E5A06">
        <w:rPr>
          <w:rFonts w:ascii="Book Antiqua" w:eastAsia="Book Antiqua" w:hAnsi="Book Antiqua" w:cs="Book Antiqua"/>
          <w:color w:val="000000"/>
          <w:sz w:val="24"/>
          <w:szCs w:val="24"/>
        </w:rPr>
        <w:t xml:space="preserve">) </w:t>
      </w:r>
      <w:r w:rsidR="005E5A06" w:rsidRPr="000A2A59">
        <w:rPr>
          <w:rFonts w:ascii="Book Antiqua" w:eastAsia="Book Antiqua" w:hAnsi="Book Antiqua" w:cs="Book Antiqua"/>
          <w:color w:val="000000"/>
          <w:sz w:val="24"/>
          <w:szCs w:val="24"/>
        </w:rPr>
        <w:t>and type 3</w:t>
      </w:r>
      <w:r w:rsidR="005E5A06">
        <w:rPr>
          <w:rFonts w:ascii="Book Antiqua" w:eastAsia="Book Antiqua" w:hAnsi="Book Antiqua" w:cs="Book Antiqua"/>
          <w:color w:val="000000"/>
          <w:sz w:val="24"/>
          <w:szCs w:val="24"/>
        </w:rPr>
        <w:t>(</w:t>
      </w:r>
      <w:r w:rsidR="005E5A06" w:rsidRPr="000A2A59">
        <w:rPr>
          <w:rFonts w:ascii="Book Antiqua" w:eastAsia="Book Antiqua" w:hAnsi="Book Antiqua" w:cs="Book Antiqua"/>
          <w:color w:val="000000"/>
          <w:sz w:val="24"/>
          <w:szCs w:val="24"/>
        </w:rPr>
        <w:t>ITPR3</w:t>
      </w:r>
      <w:r w:rsidR="005E5A06">
        <w:rPr>
          <w:rFonts w:ascii="Book Antiqua" w:eastAsia="Book Antiqua" w:hAnsi="Book Antiqua" w:cs="Book Antiqua"/>
          <w:color w:val="000000"/>
          <w:sz w:val="24"/>
          <w:szCs w:val="24"/>
        </w:rPr>
        <w:t>)</w:t>
      </w:r>
      <w:r w:rsidRPr="000A2A59">
        <w:rPr>
          <w:rFonts w:ascii="Book Antiqua" w:eastAsia="Book Antiqua" w:hAnsi="Book Antiqua" w:cs="Book Antiqua"/>
          <w:color w:val="000000"/>
          <w:sz w:val="24"/>
          <w:szCs w:val="24"/>
          <w:vertAlign w:val="superscript"/>
        </w:rPr>
        <w:t>[8,9]</w:t>
      </w:r>
      <w:r w:rsidRPr="000A2A59">
        <w:rPr>
          <w:rFonts w:ascii="Book Antiqua" w:eastAsia="Book Antiqua" w:hAnsi="Book Antiqua" w:cs="Book Antiqua"/>
          <w:color w:val="000000"/>
          <w:sz w:val="24"/>
          <w:szCs w:val="24"/>
        </w:rPr>
        <w:t>, and these</w:t>
      </w:r>
      <w:r w:rsidRPr="000A2A59">
        <w:rPr>
          <w:rFonts w:ascii="Book Antiqua" w:eastAsia="Book Antiqua" w:hAnsi="Book Antiqua" w:cs="Book Antiqua"/>
          <w:sz w:val="24"/>
          <w:szCs w:val="24"/>
        </w:rPr>
        <w:t xml:space="preserve"> receptors are expressed mainly along the endoplasmic and nucleoplasmic reticulum</w:t>
      </w:r>
      <w:r w:rsidRPr="000A2A59">
        <w:rPr>
          <w:rFonts w:ascii="Book Antiqua" w:eastAsia="Book Antiqua" w:hAnsi="Book Antiqua" w:cs="Book Antiqua"/>
          <w:sz w:val="24"/>
          <w:szCs w:val="24"/>
          <w:vertAlign w:val="superscript"/>
        </w:rPr>
        <w:t>[10,11]</w:t>
      </w:r>
      <w:r w:rsidRPr="000A2A59">
        <w:rPr>
          <w:rFonts w:ascii="Book Antiqua" w:eastAsia="Book Antiqua" w:hAnsi="Book Antiqua" w:cs="Book Antiqua"/>
          <w:color w:val="000000"/>
          <w:sz w:val="24"/>
          <w:szCs w:val="24"/>
        </w:rPr>
        <w:t>.</w:t>
      </w:r>
    </w:p>
    <w:p w14:paraId="2E58D19B" w14:textId="67290A84" w:rsidR="005E5A06" w:rsidRDefault="00736CA5" w:rsidP="000A309D">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Dysregulation in the expression of ITPR can be a cause of several liver disorders, or can be involved in the development of diseases, such as cholestasis</w:t>
      </w:r>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and non-alcoholic fatty liver disease (NAFLD)</w:t>
      </w:r>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In this review, we will discuss the expression and the physiological functions of each isoform of ITPR present in liver hepatocytes and cholangiocytes as well as their role in disease</w:t>
      </w:r>
      <w:r w:rsidR="003C1064" w:rsidRPr="000A2A59">
        <w:rPr>
          <w:rFonts w:ascii="Book Antiqua" w:eastAsia="Book Antiqua" w:hAnsi="Book Antiqua" w:cs="Book Antiqua"/>
          <w:sz w:val="24"/>
          <w:szCs w:val="24"/>
        </w:rPr>
        <w:t xml:space="preserve"> (Table 1)</w:t>
      </w:r>
      <w:r w:rsidRPr="000A2A59">
        <w:rPr>
          <w:rFonts w:ascii="Book Antiqua" w:eastAsia="Book Antiqua" w:hAnsi="Book Antiqua" w:cs="Book Antiqua"/>
          <w:sz w:val="24"/>
          <w:szCs w:val="24"/>
        </w:rPr>
        <w:t>.</w:t>
      </w:r>
    </w:p>
    <w:p w14:paraId="2C8550C2" w14:textId="77777777" w:rsidR="005E5A06" w:rsidRDefault="005E5A06" w:rsidP="005E5A06">
      <w:pPr>
        <w:adjustRightInd w:val="0"/>
        <w:snapToGrid w:val="0"/>
        <w:spacing w:after="0" w:line="360" w:lineRule="auto"/>
        <w:jc w:val="both"/>
        <w:rPr>
          <w:rFonts w:ascii="Book Antiqua" w:eastAsia="Book Antiqua" w:hAnsi="Book Antiqua" w:cs="Book Antiqua"/>
          <w:sz w:val="24"/>
          <w:szCs w:val="24"/>
        </w:rPr>
      </w:pPr>
    </w:p>
    <w:p w14:paraId="4E0965E2" w14:textId="7E9A02C0" w:rsidR="00D65AC5" w:rsidRPr="005E5A06" w:rsidRDefault="00736CA5" w:rsidP="005E5A06">
      <w:pPr>
        <w:adjustRightInd w:val="0"/>
        <w:snapToGrid w:val="0"/>
        <w:spacing w:after="0" w:line="360" w:lineRule="auto"/>
        <w:jc w:val="both"/>
        <w:rPr>
          <w:rFonts w:ascii="Book Antiqua" w:eastAsia="Book Antiqua" w:hAnsi="Book Antiqua" w:cs="Book Antiqua"/>
          <w:sz w:val="24"/>
          <w:szCs w:val="24"/>
        </w:rPr>
      </w:pPr>
      <w:r w:rsidRPr="005E5A06">
        <w:rPr>
          <w:rFonts w:ascii="Book Antiqua" w:eastAsia="Book Antiqua" w:hAnsi="Book Antiqua" w:cs="Book Antiqua"/>
          <w:b/>
          <w:sz w:val="24"/>
          <w:szCs w:val="24"/>
        </w:rPr>
        <w:t>LIVER</w:t>
      </w:r>
    </w:p>
    <w:p w14:paraId="59967E72" w14:textId="2D88BF02"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The liver is the largest internal organ</w:t>
      </w:r>
      <w:r w:rsidRPr="000A2A59">
        <w:rPr>
          <w:rFonts w:ascii="Book Antiqua" w:eastAsia="Book Antiqua" w:hAnsi="Book Antiqua" w:cs="Book Antiqua"/>
          <w:sz w:val="24"/>
          <w:szCs w:val="24"/>
          <w:vertAlign w:val="superscript"/>
        </w:rPr>
        <w:t>[5]</w:t>
      </w:r>
      <w:r w:rsidRPr="000A2A59">
        <w:rPr>
          <w:rFonts w:ascii="Book Antiqua" w:eastAsia="Book Antiqua" w:hAnsi="Book Antiqua" w:cs="Book Antiqua"/>
          <w:sz w:val="24"/>
          <w:szCs w:val="24"/>
        </w:rPr>
        <w:t xml:space="preserve"> and is responsible for drug metabolism, albumin production, glycogen storage, cholesterol synthesis, bile secretion, and many other functions</w:t>
      </w:r>
      <w:r w:rsidRPr="000A2A59">
        <w:rPr>
          <w:rFonts w:ascii="Book Antiqua" w:eastAsia="Book Antiqua" w:hAnsi="Book Antiqua" w:cs="Book Antiqua"/>
          <w:sz w:val="24"/>
          <w:szCs w:val="24"/>
          <w:vertAlign w:val="superscript"/>
        </w:rPr>
        <w:t>[14]</w:t>
      </w:r>
      <w:r w:rsidRPr="000A2A59">
        <w:rPr>
          <w:rFonts w:ascii="Book Antiqua" w:eastAsia="Book Antiqua" w:hAnsi="Book Antiqua" w:cs="Book Antiqua"/>
          <w:sz w:val="24"/>
          <w:szCs w:val="24"/>
        </w:rPr>
        <w:t xml:space="preserve">. The liver is mostly composed of hepatocytes, </w:t>
      </w:r>
      <w:r w:rsidR="008E6244" w:rsidRPr="000A2A59">
        <w:rPr>
          <w:rFonts w:ascii="Book Antiqua" w:eastAsia="Book Antiqua" w:hAnsi="Book Antiqua" w:cs="Book Antiqua"/>
          <w:sz w:val="24"/>
          <w:szCs w:val="24"/>
        </w:rPr>
        <w:t xml:space="preserve">which account for </w:t>
      </w:r>
      <w:r w:rsidRPr="000A2A59">
        <w:rPr>
          <w:rFonts w:ascii="Book Antiqua" w:eastAsia="Book Antiqua" w:hAnsi="Book Antiqua" w:cs="Book Antiqua"/>
          <w:sz w:val="24"/>
          <w:szCs w:val="24"/>
        </w:rPr>
        <w:t>80% of</w:t>
      </w:r>
      <w:r w:rsidR="008E6244" w:rsidRPr="000A2A59">
        <w:rPr>
          <w:rFonts w:ascii="Book Antiqua" w:eastAsia="Book Antiqua" w:hAnsi="Book Antiqua" w:cs="Book Antiqua"/>
          <w:sz w:val="24"/>
          <w:szCs w:val="24"/>
        </w:rPr>
        <w:t xml:space="preserve"> all </w:t>
      </w:r>
      <w:r w:rsidRPr="000A2A59">
        <w:rPr>
          <w:rFonts w:ascii="Book Antiqua" w:eastAsia="Book Antiqua" w:hAnsi="Book Antiqua" w:cs="Book Antiqua"/>
          <w:sz w:val="24"/>
          <w:szCs w:val="24"/>
        </w:rPr>
        <w:t>cells in this organ</w:t>
      </w:r>
      <w:r w:rsidRPr="000A2A59">
        <w:rPr>
          <w:rFonts w:ascii="Book Antiqua" w:eastAsia="Book Antiqua" w:hAnsi="Book Antiqua" w:cs="Book Antiqua"/>
          <w:sz w:val="24"/>
          <w:szCs w:val="24"/>
          <w:vertAlign w:val="superscript"/>
        </w:rPr>
        <w:t>[15]</w:t>
      </w:r>
      <w:r w:rsidRPr="000A2A59">
        <w:rPr>
          <w:rFonts w:ascii="Book Antiqua" w:eastAsia="Book Antiqua" w:hAnsi="Book Antiqua" w:cs="Book Antiqua"/>
          <w:sz w:val="24"/>
          <w:szCs w:val="24"/>
        </w:rPr>
        <w:t>. The remaining 20% is composed mostly of cholangiocytes, Kupffer cells, stellate cells and liver sinusoidal endothelial cells</w:t>
      </w:r>
      <w:r w:rsidRPr="000A2A59">
        <w:rPr>
          <w:rFonts w:ascii="Book Antiqua" w:eastAsia="Book Antiqua" w:hAnsi="Book Antiqua" w:cs="Book Antiqua"/>
          <w:sz w:val="24"/>
          <w:szCs w:val="24"/>
          <w:vertAlign w:val="superscript"/>
        </w:rPr>
        <w:t>[15]</w:t>
      </w:r>
      <w:r w:rsidRPr="000A2A59">
        <w:rPr>
          <w:rFonts w:ascii="Book Antiqua" w:eastAsia="Book Antiqua" w:hAnsi="Book Antiqua" w:cs="Book Antiqua"/>
          <w:sz w:val="24"/>
          <w:szCs w:val="24"/>
        </w:rPr>
        <w:t>. Macroscopically, the liver is divided in four anatomic lobes, called the left, right, caudate and quadrate lobe</w:t>
      </w:r>
      <w:r w:rsidRPr="000A2A59">
        <w:rPr>
          <w:rFonts w:ascii="Book Antiqua" w:eastAsia="Book Antiqua" w:hAnsi="Book Antiqua" w:cs="Book Antiqua"/>
          <w:sz w:val="24"/>
          <w:szCs w:val="24"/>
          <w:vertAlign w:val="superscript"/>
        </w:rPr>
        <w:t>[16,17]</w:t>
      </w:r>
      <w:r w:rsidRPr="000A2A59">
        <w:rPr>
          <w:rFonts w:ascii="Book Antiqua" w:eastAsia="Book Antiqua" w:hAnsi="Book Antiqua" w:cs="Book Antiqua"/>
          <w:sz w:val="24"/>
          <w:szCs w:val="24"/>
        </w:rPr>
        <w:t>. In each lobe the cells are organized in a specific conformation, constituting a microscopic functional and structural unit, the lobule</w:t>
      </w:r>
      <w:r w:rsidRPr="000A2A59">
        <w:rPr>
          <w:rFonts w:ascii="Book Antiqua" w:eastAsia="Book Antiqua" w:hAnsi="Book Antiqua" w:cs="Book Antiqua"/>
          <w:sz w:val="24"/>
          <w:szCs w:val="24"/>
          <w:vertAlign w:val="superscript"/>
        </w:rPr>
        <w:t>[14,18]</w:t>
      </w:r>
      <w:r w:rsidRPr="000A2A59">
        <w:rPr>
          <w:rFonts w:ascii="Book Antiqua" w:eastAsia="Book Antiqua" w:hAnsi="Book Antiqua" w:cs="Book Antiqua"/>
          <w:sz w:val="24"/>
          <w:szCs w:val="24"/>
        </w:rPr>
        <w:t xml:space="preserve"> </w:t>
      </w:r>
      <w:r w:rsidRPr="005E5A06">
        <w:rPr>
          <w:rFonts w:ascii="Book Antiqua" w:eastAsia="Book Antiqua" w:hAnsi="Book Antiqua" w:cs="Book Antiqua"/>
          <w:bCs/>
          <w:sz w:val="24"/>
          <w:szCs w:val="24"/>
        </w:rPr>
        <w:t>(Figure 1)</w:t>
      </w:r>
      <w:r w:rsidRPr="000A2A59">
        <w:rPr>
          <w:rFonts w:ascii="Book Antiqua" w:eastAsia="Book Antiqua" w:hAnsi="Book Antiqua" w:cs="Book Antiqua"/>
          <w:sz w:val="24"/>
          <w:szCs w:val="24"/>
        </w:rPr>
        <w:t>. In the lobule, the hepatocytes are arranged in cords, connecting the portal triad to the central vein. In the space formed among the hepatocyte cords are the liver sinusoidal endothelial cells, the Kupffer cells, which are the resident macrophages in the liver, and the stellate cells, a cell type that stores vitamin A in its cytosol and secrets hepatocyte growth factor (HGF)</w:t>
      </w:r>
      <w:r w:rsidRPr="000A2A59">
        <w:rPr>
          <w:rFonts w:ascii="Book Antiqua" w:eastAsia="Book Antiqua" w:hAnsi="Book Antiqua" w:cs="Book Antiqua"/>
          <w:sz w:val="24"/>
          <w:szCs w:val="24"/>
          <w:vertAlign w:val="superscript"/>
        </w:rPr>
        <w:t>[14,19,20]</w:t>
      </w:r>
      <w:r w:rsidRPr="000A2A59">
        <w:rPr>
          <w:rFonts w:ascii="Book Antiqua" w:eastAsia="Book Antiqua" w:hAnsi="Book Antiqua" w:cs="Book Antiqua"/>
          <w:sz w:val="24"/>
          <w:szCs w:val="24"/>
        </w:rPr>
        <w:t>.</w:t>
      </w:r>
    </w:p>
    <w:p w14:paraId="7D7DB21A" w14:textId="7214819F" w:rsidR="00D65AC5" w:rsidRPr="000A2A59" w:rsidRDefault="00736CA5" w:rsidP="005E5A06">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As an epithelial cell, the hepatocyte is polarized, with a basolateral membrane in contact with the sinusoids and an apical side forming the biliary canaliculus. The </w:t>
      </w:r>
      <w:r w:rsidRPr="000A2A59">
        <w:rPr>
          <w:rFonts w:ascii="Book Antiqua" w:eastAsia="Book Antiqua" w:hAnsi="Book Antiqua" w:cs="Book Antiqua"/>
          <w:sz w:val="24"/>
          <w:szCs w:val="24"/>
        </w:rPr>
        <w:lastRenderedPageBreak/>
        <w:t>biliary canaliculus is a virtual space between two hepatocytes, into which hepatocytes secrete bile acids</w:t>
      </w:r>
      <w:r w:rsidRPr="000A2A59">
        <w:rPr>
          <w:rFonts w:ascii="Book Antiqua" w:eastAsia="Book Antiqua" w:hAnsi="Book Antiqua" w:cs="Book Antiqua"/>
          <w:sz w:val="24"/>
          <w:szCs w:val="24"/>
          <w:vertAlign w:val="superscript"/>
        </w:rPr>
        <w:t>[4]</w:t>
      </w:r>
      <w:r w:rsidRPr="000A2A59">
        <w:rPr>
          <w:rFonts w:ascii="Book Antiqua" w:eastAsia="Book Antiqua" w:hAnsi="Book Antiqua" w:cs="Book Antiqua"/>
          <w:sz w:val="24"/>
          <w:szCs w:val="24"/>
        </w:rPr>
        <w:t>. The biliary canaliculi join to form the bile duct, which is lined by cholangiocytes, specialized cell</w:t>
      </w:r>
      <w:r w:rsidR="008E6244" w:rsidRPr="000A2A59">
        <w:rPr>
          <w:rFonts w:ascii="Book Antiqua" w:eastAsia="Book Antiqua" w:hAnsi="Book Antiqua" w:cs="Book Antiqua"/>
          <w:sz w:val="24"/>
          <w:szCs w:val="24"/>
        </w:rPr>
        <w:t>s</w:t>
      </w:r>
      <w:r w:rsidRPr="000A2A59">
        <w:rPr>
          <w:rFonts w:ascii="Book Antiqua" w:eastAsia="Book Antiqua" w:hAnsi="Book Antiqua" w:cs="Book Antiqua"/>
          <w:sz w:val="24"/>
          <w:szCs w:val="24"/>
        </w:rPr>
        <w:t xml:space="preserve"> that secret</w:t>
      </w:r>
      <w:r w:rsidR="008E6244" w:rsidRPr="000A2A59">
        <w:rPr>
          <w:rFonts w:ascii="Book Antiqua" w:eastAsia="Book Antiqua" w:hAnsi="Book Antiqua" w:cs="Book Antiqua"/>
          <w:sz w:val="24"/>
          <w:szCs w:val="24"/>
        </w:rPr>
        <w:t xml:space="preserve">e </w:t>
      </w:r>
      <w:r w:rsidRPr="000A2A59">
        <w:rPr>
          <w:rFonts w:ascii="Book Antiqua" w:eastAsia="Book Antiqua" w:hAnsi="Book Antiqua" w:cs="Book Antiqua"/>
          <w:sz w:val="24"/>
          <w:szCs w:val="24"/>
        </w:rPr>
        <w:t>electrolytes and fluids into the bile, altering bile composition and viscosity. The bile duct conducts the bile to the gallbladder, where it is stored until its content are needed to help lipid digestion</w:t>
      </w:r>
      <w:r w:rsidRPr="000A2A59">
        <w:rPr>
          <w:rFonts w:ascii="Book Antiqua" w:eastAsia="Book Antiqua" w:hAnsi="Book Antiqua" w:cs="Book Antiqua"/>
          <w:sz w:val="24"/>
          <w:szCs w:val="24"/>
          <w:vertAlign w:val="superscript"/>
        </w:rPr>
        <w:t>[21,22]</w:t>
      </w:r>
      <w:r w:rsidRPr="000A2A59">
        <w:rPr>
          <w:rFonts w:ascii="Book Antiqua" w:eastAsia="Book Antiqua" w:hAnsi="Book Antiqua" w:cs="Book Antiqua"/>
          <w:sz w:val="24"/>
          <w:szCs w:val="24"/>
        </w:rPr>
        <w:t>.</w:t>
      </w:r>
    </w:p>
    <w:p w14:paraId="5A2695B7" w14:textId="675C0557"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Blood from the portal vein passes throughout the sinusoids and drains into the central vein</w:t>
      </w:r>
      <w:r w:rsidRPr="000A2A59">
        <w:rPr>
          <w:rFonts w:ascii="Book Antiqua" w:eastAsia="Book Antiqua" w:hAnsi="Book Antiqua" w:cs="Book Antiqua"/>
          <w:sz w:val="24"/>
          <w:szCs w:val="24"/>
          <w:vertAlign w:val="superscript"/>
        </w:rPr>
        <w:t>[14,23]</w:t>
      </w:r>
      <w:r w:rsidRPr="000A2A59">
        <w:rPr>
          <w:rFonts w:ascii="Book Antiqua" w:eastAsia="Book Antiqua" w:hAnsi="Book Antiqua" w:cs="Book Antiqua"/>
          <w:sz w:val="24"/>
          <w:szCs w:val="24"/>
        </w:rPr>
        <w:t>. Near the portal vein there are two other important structures: the hepatic artery and the bile duct. Together, these structures form the portal triad. The hepatocytes around this area are more highly oxygenated than those that are closer to the central vein, because the blood reaches the portal triad first</w:t>
      </w:r>
      <w:r w:rsidRPr="000A2A59">
        <w:rPr>
          <w:rFonts w:ascii="Book Antiqua" w:eastAsia="Book Antiqua" w:hAnsi="Book Antiqua" w:cs="Book Antiqua"/>
          <w:sz w:val="24"/>
          <w:szCs w:val="24"/>
          <w:vertAlign w:val="superscript"/>
        </w:rPr>
        <w:t>[14]</w:t>
      </w:r>
      <w:r w:rsidRPr="000A2A59">
        <w:rPr>
          <w:rFonts w:ascii="Book Antiqua" w:eastAsia="Book Antiqua" w:hAnsi="Book Antiqua" w:cs="Book Antiqua"/>
          <w:sz w:val="24"/>
          <w:szCs w:val="24"/>
        </w:rPr>
        <w:t>. This region in the lobule is called zone 1, while zone 2 is the transitional zone, and zone 3 is the region near the central vein</w:t>
      </w:r>
      <w:r w:rsidRPr="000A2A59">
        <w:rPr>
          <w:rFonts w:ascii="Book Antiqua" w:eastAsia="Book Antiqua" w:hAnsi="Book Antiqua" w:cs="Book Antiqua"/>
          <w:sz w:val="24"/>
          <w:szCs w:val="24"/>
          <w:vertAlign w:val="superscript"/>
        </w:rPr>
        <w:t>[24,25]</w:t>
      </w:r>
      <w:r w:rsidRPr="000A2A59">
        <w:rPr>
          <w:rFonts w:ascii="Book Antiqua" w:eastAsia="Book Antiqua" w:hAnsi="Book Antiqua" w:cs="Book Antiqua"/>
          <w:sz w:val="24"/>
          <w:szCs w:val="24"/>
        </w:rPr>
        <w:t xml:space="preserve"> </w:t>
      </w:r>
      <w:r w:rsidRPr="005E5A06">
        <w:rPr>
          <w:rFonts w:ascii="Book Antiqua" w:eastAsia="Book Antiqua" w:hAnsi="Book Antiqua" w:cs="Book Antiqua"/>
          <w:bCs/>
          <w:sz w:val="24"/>
          <w:szCs w:val="24"/>
        </w:rPr>
        <w:t>(Figure 2)</w:t>
      </w:r>
      <w:r w:rsidRPr="000A2A59">
        <w:rPr>
          <w:rFonts w:ascii="Book Antiqua" w:eastAsia="Book Antiqua" w:hAnsi="Book Antiqua" w:cs="Book Antiqua"/>
          <w:sz w:val="24"/>
          <w:szCs w:val="24"/>
        </w:rPr>
        <w:t>. It has been shown that based on their zonal position, hepatocytes regulate specific liver functions. For example, hepatocytes in zone 1 are more involved in p</w:t>
      </w:r>
      <w:r w:rsidR="008E6244" w:rsidRPr="000A2A59">
        <w:rPr>
          <w:rFonts w:ascii="Book Antiqua" w:eastAsia="Book Antiqua" w:hAnsi="Book Antiqua" w:cs="Book Antiqua"/>
          <w:sz w:val="24"/>
          <w:szCs w:val="24"/>
        </w:rPr>
        <w:t>roducing albumin and proteins of both the complement system and</w:t>
      </w:r>
      <w:r w:rsidRPr="000A2A59">
        <w:rPr>
          <w:rFonts w:ascii="Book Antiqua" w:eastAsia="Book Antiqua" w:hAnsi="Book Antiqua" w:cs="Book Antiqua"/>
          <w:sz w:val="24"/>
          <w:szCs w:val="24"/>
        </w:rPr>
        <w:t xml:space="preserve"> coagulation pathway, while hepatocytes from zone 3 are more important for drug metabolism and bile production</w:t>
      </w:r>
      <w:r w:rsidRPr="000A2A59">
        <w:rPr>
          <w:rFonts w:ascii="Book Antiqua" w:eastAsia="Book Antiqua" w:hAnsi="Book Antiqua" w:cs="Book Antiqua"/>
          <w:sz w:val="24"/>
          <w:szCs w:val="24"/>
          <w:vertAlign w:val="superscript"/>
        </w:rPr>
        <w:t>[26]</w:t>
      </w:r>
      <w:r w:rsidRPr="000A2A59">
        <w:rPr>
          <w:rFonts w:ascii="Book Antiqua" w:eastAsia="Book Antiqua" w:hAnsi="Book Antiqua" w:cs="Book Antiqua"/>
          <w:sz w:val="24"/>
          <w:szCs w:val="24"/>
        </w:rPr>
        <w:t>.</w:t>
      </w:r>
    </w:p>
    <w:p w14:paraId="154A7A81" w14:textId="2090C4C8"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r w:rsidRPr="000A2A59">
        <w:rPr>
          <w:rFonts w:ascii="Book Antiqua" w:eastAsia="Book Antiqua" w:hAnsi="Book Antiqua" w:cs="Book Antiqua"/>
          <w:sz w:val="24"/>
          <w:szCs w:val="24"/>
        </w:rPr>
        <w:t>Due to the key role of the liver in metabolism, hepatic tissue is continuously exposed to insults from xenobiotics, toxic metabolites and infectious agents</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As result of this, the liver has a </w:t>
      </w:r>
      <w:r w:rsidRPr="000A2A59">
        <w:rPr>
          <w:rFonts w:ascii="Book Antiqua" w:eastAsia="Book Antiqua" w:hAnsi="Book Antiqua" w:cs="Book Antiqua"/>
          <w:color w:val="000000"/>
          <w:sz w:val="24"/>
          <w:szCs w:val="24"/>
        </w:rPr>
        <w:t xml:space="preserve">remarkable capacity for regeneration. In </w:t>
      </w:r>
      <w:r w:rsidR="008E6244" w:rsidRPr="000A2A59">
        <w:rPr>
          <w:rFonts w:ascii="Book Antiqua" w:eastAsia="Book Antiqua" w:hAnsi="Book Antiqua" w:cs="Book Antiqua"/>
          <w:color w:val="000000"/>
          <w:sz w:val="24"/>
          <w:szCs w:val="24"/>
        </w:rPr>
        <w:t>mic</w:t>
      </w:r>
      <w:r w:rsidRPr="000A2A59">
        <w:rPr>
          <w:rFonts w:ascii="Book Antiqua" w:eastAsia="Book Antiqua" w:hAnsi="Book Antiqua" w:cs="Book Antiqua"/>
          <w:color w:val="000000"/>
          <w:sz w:val="24"/>
          <w:szCs w:val="24"/>
        </w:rPr>
        <w:t>e, liver functions are restored within days of removing two-thirds of the organ. This capacity is also observed in humans for which liver function after partial hepatectomy is reestablished within a few weeks</w:t>
      </w:r>
      <w:r w:rsidRPr="000A2A59">
        <w:rPr>
          <w:rFonts w:ascii="Book Antiqua" w:eastAsia="Book Antiqua" w:hAnsi="Book Antiqua" w:cs="Book Antiqua"/>
          <w:color w:val="000000"/>
          <w:sz w:val="24"/>
          <w:szCs w:val="24"/>
          <w:vertAlign w:val="superscript"/>
        </w:rPr>
        <w:t>[27]</w:t>
      </w:r>
      <w:r w:rsidRPr="000A2A59">
        <w:rPr>
          <w:rFonts w:ascii="Book Antiqua" w:eastAsia="Book Antiqua" w:hAnsi="Book Antiqua" w:cs="Book Antiqua"/>
          <w:color w:val="000000"/>
          <w:sz w:val="24"/>
          <w:szCs w:val="24"/>
        </w:rPr>
        <w:t>. In many cases of liver disease, for which partial hepatectomy is indicated as a treatment, a small piece of healthy liver is implanted to drive hepatic tissue regeneration</w:t>
      </w:r>
      <w:r w:rsidRPr="000A2A59">
        <w:rPr>
          <w:rFonts w:ascii="Book Antiqua" w:eastAsia="Book Antiqua" w:hAnsi="Book Antiqua" w:cs="Book Antiqua"/>
          <w:color w:val="000000"/>
          <w:sz w:val="24"/>
          <w:szCs w:val="24"/>
          <w:vertAlign w:val="superscript"/>
        </w:rPr>
        <w:t>[27,28]</w:t>
      </w:r>
      <w:r w:rsidRPr="000A2A59">
        <w:rPr>
          <w:rFonts w:ascii="Book Antiqua" w:eastAsia="Book Antiqua" w:hAnsi="Book Antiqua" w:cs="Book Antiqua"/>
          <w:color w:val="000000"/>
          <w:sz w:val="24"/>
          <w:szCs w:val="24"/>
        </w:rPr>
        <w:t xml:space="preserve">. The path to regeneration depends on the extent of liver loss. When 1/3 of the liver is removed, the primary response is hepatocyte cellular hypertrophy, </w:t>
      </w:r>
      <w:r w:rsidRPr="00047332">
        <w:rPr>
          <w:rFonts w:ascii="Book Antiqua" w:eastAsia="Book Antiqua" w:hAnsi="Book Antiqua" w:cs="Book Antiqua"/>
          <w:i/>
          <w:iCs/>
          <w:color w:val="000000"/>
          <w:sz w:val="24"/>
          <w:szCs w:val="24"/>
        </w:rPr>
        <w:t>i.e.</w:t>
      </w:r>
      <w:r w:rsidR="00047332">
        <w:rPr>
          <w:rFonts w:ascii="Book Antiqua" w:eastAsia="Book Antiqua" w:hAnsi="Book Antiqua" w:cs="Book Antiqua"/>
          <w:color w:val="000000"/>
          <w:sz w:val="24"/>
          <w:szCs w:val="24"/>
        </w:rPr>
        <w:t>,</w:t>
      </w:r>
      <w:r w:rsidRPr="000A2A59">
        <w:rPr>
          <w:rFonts w:ascii="Book Antiqua" w:eastAsia="Book Antiqua" w:hAnsi="Book Antiqua" w:cs="Book Antiqua"/>
          <w:color w:val="000000"/>
          <w:sz w:val="24"/>
          <w:szCs w:val="24"/>
        </w:rPr>
        <w:t xml:space="preserve"> an increase in cell size. When liver loss reaches 2/3, hepatocyte hyperplasia, an increase of the number of hepatocytes occurs to reestablish liver function. When 80</w:t>
      </w:r>
      <w:r w:rsidR="00047332">
        <w:rPr>
          <w:rFonts w:ascii="Book Antiqua" w:eastAsia="Book Antiqua" w:hAnsi="Book Antiqua" w:cs="Book Antiqua"/>
          <w:color w:val="000000"/>
          <w:sz w:val="24"/>
          <w:szCs w:val="24"/>
        </w:rPr>
        <w:t>%</w:t>
      </w:r>
      <w:r w:rsidR="00F962D0">
        <w:rPr>
          <w:rFonts w:ascii="Book Antiqua" w:eastAsia="Book Antiqua" w:hAnsi="Book Antiqua" w:cs="Book Antiqua"/>
          <w:color w:val="000000"/>
          <w:sz w:val="24"/>
          <w:szCs w:val="24"/>
        </w:rPr>
        <w:t>-</w:t>
      </w:r>
      <w:r w:rsidRPr="000A2A59">
        <w:rPr>
          <w:rFonts w:ascii="Book Antiqua" w:eastAsia="Book Antiqua" w:hAnsi="Book Antiqua" w:cs="Book Antiqua"/>
          <w:color w:val="000000"/>
          <w:sz w:val="24"/>
          <w:szCs w:val="24"/>
        </w:rPr>
        <w:t>90 % of the liver is removed, the biliary epithelial cells (BEC) turn into progenitor cells, which differentiate into hepatocytes or BEC</w:t>
      </w:r>
      <w:r w:rsidRPr="000A2A59">
        <w:rPr>
          <w:rFonts w:ascii="Book Antiqua" w:eastAsia="Book Antiqua" w:hAnsi="Book Antiqua" w:cs="Book Antiqua"/>
          <w:color w:val="000000"/>
          <w:sz w:val="24"/>
          <w:szCs w:val="24"/>
          <w:vertAlign w:val="superscript"/>
        </w:rPr>
        <w:t>[28]</w:t>
      </w:r>
      <w:r w:rsidRPr="000A2A59">
        <w:rPr>
          <w:rFonts w:ascii="Book Antiqua" w:eastAsia="Book Antiqua" w:hAnsi="Book Antiqua" w:cs="Book Antiqua"/>
          <w:color w:val="000000"/>
          <w:sz w:val="24"/>
          <w:szCs w:val="24"/>
        </w:rPr>
        <w:t xml:space="preserve"> that are able to regenerate the tissue. Liver regeneration is a complex process and the mechanism by which the hepatocytes stop proliferating after reestablishment of liver function is </w:t>
      </w:r>
      <w:r w:rsidRPr="000A2A59">
        <w:rPr>
          <w:rFonts w:ascii="Book Antiqua" w:eastAsia="Book Antiqua" w:hAnsi="Book Antiqua" w:cs="Book Antiqua"/>
          <w:color w:val="000000"/>
          <w:sz w:val="24"/>
          <w:szCs w:val="24"/>
        </w:rPr>
        <w:lastRenderedPageBreak/>
        <w:t>poorly understood. It is important to highlight that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signaling, and consequently the ITPR isoforms, play an essential role in liver regeneration, as discussed below.</w:t>
      </w:r>
    </w:p>
    <w:p w14:paraId="654A655A"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721F1A44" w14:textId="6395EDED" w:rsidR="00D65AC5" w:rsidRPr="00047332" w:rsidRDefault="00736CA5" w:rsidP="00047332">
      <w:pPr>
        <w:adjustRightInd w:val="0"/>
        <w:snapToGrid w:val="0"/>
        <w:spacing w:after="0" w:line="360" w:lineRule="auto"/>
        <w:jc w:val="both"/>
        <w:rPr>
          <w:rFonts w:ascii="Book Antiqua" w:eastAsia="Book Antiqua" w:hAnsi="Book Antiqua" w:cs="Book Antiqua"/>
          <w:b/>
          <w:sz w:val="24"/>
          <w:szCs w:val="24"/>
        </w:rPr>
      </w:pPr>
      <w:r w:rsidRPr="00047332">
        <w:rPr>
          <w:rFonts w:ascii="Book Antiqua" w:eastAsia="Book Antiqua" w:hAnsi="Book Antiqua" w:cs="Book Antiqua"/>
          <w:b/>
          <w:sz w:val="24"/>
          <w:szCs w:val="24"/>
        </w:rPr>
        <w:t xml:space="preserve">CALCIUM SIGNALING AND ITPRs </w:t>
      </w:r>
    </w:p>
    <w:p w14:paraId="2E3F841C" w14:textId="6A8665D8"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bookmarkStart w:id="45" w:name="_tyjcwt" w:colFirst="0" w:colLast="0"/>
      <w:bookmarkEnd w:id="45"/>
      <w:r w:rsidRPr="000A2A59">
        <w:rPr>
          <w:rFonts w:ascii="Book Antiqua" w:eastAsia="Book Antiqua" w:hAnsi="Book Antiqua" w:cs="Book Antiqua"/>
          <w:sz w:val="24"/>
          <w:szCs w:val="24"/>
        </w:rPr>
        <w:t>Many biological functions are regulated by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These include cell proliferation, gene expression, secretion, motility and cell death, among others</w:t>
      </w:r>
      <w:r w:rsidRPr="000A2A59">
        <w:rPr>
          <w:rFonts w:ascii="Book Antiqua" w:eastAsia="Book Antiqua" w:hAnsi="Book Antiqua" w:cs="Book Antiqua"/>
          <w:sz w:val="24"/>
          <w:szCs w:val="24"/>
          <w:vertAlign w:val="superscript"/>
        </w:rPr>
        <w:t>[29-33]</w:t>
      </w:r>
      <w:r w:rsidRPr="000A2A59">
        <w:rPr>
          <w:rFonts w:ascii="Book Antiqua" w:eastAsia="Book Antiqua" w:hAnsi="Book Antiqua" w:cs="Book Antiqua"/>
          <w:sz w:val="24"/>
          <w:szCs w:val="24"/>
        </w:rPr>
        <w:t>. As in other tissues, Ca</w:t>
      </w:r>
      <w:r w:rsidRPr="000A2A59">
        <w:rPr>
          <w:rFonts w:ascii="Book Antiqua" w:eastAsia="Book Antiqua" w:hAnsi="Book Antiqua" w:cs="Book Antiqua"/>
          <w:sz w:val="24"/>
          <w:szCs w:val="24"/>
          <w:vertAlign w:val="superscript"/>
        </w:rPr>
        <w:t xml:space="preserve">2+ </w:t>
      </w:r>
      <w:r w:rsidRPr="000A2A59">
        <w:rPr>
          <w:rFonts w:ascii="Book Antiqua" w:eastAsia="Book Antiqua" w:hAnsi="Book Antiqua" w:cs="Book Antiqua"/>
          <w:sz w:val="24"/>
          <w:szCs w:val="24"/>
        </w:rPr>
        <w:t xml:space="preserve">signaling in the liver starts with the binding of an agonist to a receptor, which may be a G protein-coupled receptor (GPCR) </w:t>
      </w:r>
      <w:r w:rsidRPr="00047332">
        <w:rPr>
          <w:rFonts w:ascii="Book Antiqua" w:eastAsia="Book Antiqua" w:hAnsi="Book Antiqua" w:cs="Book Antiqua"/>
          <w:bCs/>
          <w:color w:val="000000"/>
          <w:sz w:val="24"/>
          <w:szCs w:val="24"/>
        </w:rPr>
        <w:t xml:space="preserve">(Figure 3) </w:t>
      </w:r>
      <w:r w:rsidRPr="000A2A59">
        <w:rPr>
          <w:rFonts w:ascii="Book Antiqua" w:eastAsia="Book Antiqua" w:hAnsi="Book Antiqua" w:cs="Book Antiqua"/>
          <w:sz w:val="24"/>
          <w:szCs w:val="24"/>
        </w:rPr>
        <w:t>or a tyrosine kinase receptor (RTK). Upon agonist-receptor binding, phospholipase C (PLC) is activated (typically isoform PLCβ when GPCR is activated or isoform PLCγ after RTK activation), causing breakdown of the membrane phospholipid phosphatidylinositol 4,5-bisphosphate (PIP</w:t>
      </w:r>
      <w:r w:rsidRPr="000A2A59">
        <w:rPr>
          <w:rFonts w:ascii="Book Antiqua" w:eastAsia="Book Antiqua" w:hAnsi="Book Antiqua" w:cs="Book Antiqua"/>
          <w:sz w:val="24"/>
          <w:szCs w:val="24"/>
          <w:vertAlign w:val="subscript"/>
        </w:rPr>
        <w:t>2</w:t>
      </w:r>
      <w:r w:rsidRPr="000A2A59">
        <w:rPr>
          <w:rFonts w:ascii="Book Antiqua" w:eastAsia="Book Antiqua" w:hAnsi="Book Antiqua" w:cs="Book Antiqua"/>
          <w:sz w:val="24"/>
          <w:szCs w:val="24"/>
        </w:rPr>
        <w:t>), that generates diaglycerol (DAG) and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DAG remains at the plasma membrane while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diffuses into the cytoplasm where it can bind to the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receptor (ITPR) localized along the endoplasmic reticulum membrane, nuclear envelope or nucleoplasmic reticulum.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-ITPR binding causes a conformational change in the ITPR, leading to the release of internal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stores</w:t>
      </w:r>
      <w:r w:rsidRPr="000A2A59">
        <w:rPr>
          <w:rFonts w:ascii="Book Antiqua" w:eastAsia="Book Antiqua" w:hAnsi="Book Antiqua" w:cs="Book Antiqua"/>
          <w:sz w:val="24"/>
          <w:szCs w:val="24"/>
          <w:vertAlign w:val="superscript"/>
        </w:rPr>
        <w:t>[32,34]</w:t>
      </w:r>
      <w:r w:rsidRPr="000A2A59">
        <w:rPr>
          <w:rFonts w:ascii="Book Antiqua" w:eastAsia="Book Antiqua" w:hAnsi="Book Antiqua" w:cs="Book Antiqua"/>
          <w:color w:val="000000"/>
          <w:sz w:val="24"/>
          <w:szCs w:val="24"/>
        </w:rPr>
        <w:t xml:space="preserve">. </w:t>
      </w:r>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is inactivated either after conversion to inositol 1,2-bisphosphate (InsP</w:t>
      </w:r>
      <w:r w:rsidRPr="000A2A59">
        <w:rPr>
          <w:rFonts w:ascii="Book Antiqua" w:eastAsia="Book Antiqua" w:hAnsi="Book Antiqua" w:cs="Book Antiqua"/>
          <w:sz w:val="24"/>
          <w:szCs w:val="24"/>
          <w:vertAlign w:val="subscript"/>
        </w:rPr>
        <w:t>2</w:t>
      </w:r>
      <w:r w:rsidRPr="000A2A59">
        <w:rPr>
          <w:rFonts w:ascii="Book Antiqua" w:eastAsia="Book Antiqua" w:hAnsi="Book Antiqua" w:cs="Book Antiqua"/>
          <w:sz w:val="24"/>
          <w:szCs w:val="24"/>
        </w:rPr>
        <w:t>) by type I inositol polyphosphate 5-phosphatase or by</w:t>
      </w:r>
      <w:r w:rsidR="008E6244" w:rsidRPr="000A2A59">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3-kinase mediated phosphorylation, forming inositol 1,3,4,5-tetrakisphosphate (InsP</w:t>
      </w:r>
      <w:r w:rsidRPr="000A2A59">
        <w:rPr>
          <w:rFonts w:ascii="Book Antiqua" w:eastAsia="Book Antiqua" w:hAnsi="Book Antiqua" w:cs="Book Antiqua"/>
          <w:sz w:val="24"/>
          <w:szCs w:val="24"/>
          <w:vertAlign w:val="subscript"/>
        </w:rPr>
        <w:t>4</w:t>
      </w:r>
      <w:r w:rsidRPr="000A2A59">
        <w:rPr>
          <w:rFonts w:ascii="Book Antiqua" w:eastAsia="Book Antiqua" w:hAnsi="Book Antiqua" w:cs="Book Antiqua"/>
          <w:sz w:val="24"/>
          <w:szCs w:val="24"/>
        </w:rPr>
        <w:t>)</w:t>
      </w:r>
      <w:r w:rsidRPr="000A2A59">
        <w:rPr>
          <w:rFonts w:ascii="Book Antiqua" w:eastAsia="Book Antiqua" w:hAnsi="Book Antiqua" w:cs="Book Antiqua"/>
          <w:sz w:val="24"/>
          <w:szCs w:val="24"/>
          <w:vertAlign w:val="superscript"/>
        </w:rPr>
        <w:t>[35,36]</w:t>
      </w:r>
      <w:r w:rsidRPr="000A2A59">
        <w:rPr>
          <w:rFonts w:ascii="Book Antiqua" w:eastAsia="Book Antiqua" w:hAnsi="Book Antiqua" w:cs="Book Antiqua"/>
          <w:sz w:val="24"/>
          <w:szCs w:val="24"/>
        </w:rPr>
        <w:t>.</w:t>
      </w:r>
    </w:p>
    <w:p w14:paraId="55BC051B" w14:textId="7D872349"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sz w:val="24"/>
          <w:szCs w:val="24"/>
        </w:rPr>
      </w:pPr>
      <w:bookmarkStart w:id="46" w:name="_3dy6vkm" w:colFirst="0" w:colLast="0"/>
      <w:bookmarkEnd w:id="46"/>
      <w:r w:rsidRPr="000A2A59">
        <w:rPr>
          <w:rFonts w:ascii="Book Antiqua" w:eastAsia="Book Antiqua" w:hAnsi="Book Antiqua" w:cs="Book Antiqua"/>
          <w:sz w:val="24"/>
          <w:szCs w:val="24"/>
        </w:rPr>
        <w:t>Because of the toxic effect of high concentrations of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to the cells, this ion is promptly removed from the cytosol after its release. Different mechanisms are involved in this process, including the activation of plasma membrane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-ATPase or Na</w:t>
      </w:r>
      <w:r w:rsidRPr="000A2A59">
        <w:rPr>
          <w:rFonts w:ascii="Book Antiqua" w:eastAsia="Book Antiqua" w:hAnsi="Book Antiqua" w:cs="Book Antiqua"/>
          <w:sz w:val="24"/>
          <w:szCs w:val="24"/>
          <w:vertAlign w:val="superscript"/>
        </w:rPr>
        <w:t>+</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exchanger that exports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out of the cell, while sarco-/endoplasmic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-ATPase (SERCA) and mitochondrial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uptake 1 (MCU1) move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into the endoplasmic reticulum and mitochondria, respectively</w:t>
      </w:r>
      <w:r w:rsidRPr="000A2A59">
        <w:rPr>
          <w:rFonts w:ascii="Book Antiqua" w:eastAsia="Book Antiqua" w:hAnsi="Book Antiqua" w:cs="Book Antiqua"/>
          <w:sz w:val="24"/>
          <w:szCs w:val="24"/>
          <w:vertAlign w:val="superscript"/>
        </w:rPr>
        <w:t>[37,38]</w:t>
      </w:r>
      <w:r w:rsidRPr="000A2A59">
        <w:rPr>
          <w:rFonts w:ascii="Book Antiqua" w:eastAsia="Book Antiqua" w:hAnsi="Book Antiqua" w:cs="Book Antiqua"/>
          <w:sz w:val="24"/>
          <w:szCs w:val="24"/>
        </w:rPr>
        <w:t>.</w:t>
      </w:r>
    </w:p>
    <w:p w14:paraId="291CBBF8" w14:textId="6CD9FDCD"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r w:rsidRPr="000A2A59">
        <w:rPr>
          <w:rFonts w:ascii="Book Antiqua" w:eastAsia="Book Antiqua" w:hAnsi="Book Antiqua" w:cs="Book Antiqua"/>
          <w:color w:val="000000"/>
          <w:sz w:val="24"/>
          <w:szCs w:val="24"/>
        </w:rPr>
        <w:t>The ITPRs are formed by approximately 2700 amino acids</w:t>
      </w:r>
      <w:r w:rsidRPr="000A2A59">
        <w:rPr>
          <w:rFonts w:ascii="Book Antiqua" w:eastAsia="Book Antiqua" w:hAnsi="Book Antiqua" w:cs="Book Antiqua"/>
          <w:color w:val="000000"/>
          <w:sz w:val="24"/>
          <w:szCs w:val="24"/>
          <w:vertAlign w:val="superscript"/>
        </w:rPr>
        <w:t>[39,40]</w:t>
      </w:r>
      <w:r w:rsidRPr="000A2A59">
        <w:rPr>
          <w:rFonts w:ascii="Book Antiqua" w:eastAsia="Book Antiqua" w:hAnsi="Book Antiqua" w:cs="Book Antiqua"/>
          <w:color w:val="000000"/>
          <w:sz w:val="24"/>
          <w:szCs w:val="24"/>
        </w:rPr>
        <w:t xml:space="preserve"> and are organized in three domains: a N-terminal domain, which includes the InsP</w:t>
      </w:r>
      <w:r w:rsidRPr="000A2A59">
        <w:rPr>
          <w:rFonts w:ascii="Book Antiqua" w:eastAsia="Book Antiqua" w:hAnsi="Book Antiqua" w:cs="Book Antiqua"/>
          <w:color w:val="000000"/>
          <w:sz w:val="24"/>
          <w:szCs w:val="24"/>
          <w:vertAlign w:val="subscript"/>
        </w:rPr>
        <w:t>3</w:t>
      </w:r>
      <w:r w:rsidRPr="000A2A59">
        <w:rPr>
          <w:rFonts w:ascii="Book Antiqua" w:eastAsia="Book Antiqua" w:hAnsi="Book Antiqua" w:cs="Book Antiqua"/>
          <w:color w:val="000000"/>
          <w:sz w:val="24"/>
          <w:szCs w:val="24"/>
        </w:rPr>
        <w:t>-binding region, a C-terminal domain, which forms the channel pore, and a regulatory domain between the other regions</w:t>
      </w:r>
      <w:r w:rsidRPr="00047332">
        <w:rPr>
          <w:rFonts w:ascii="Book Antiqua" w:eastAsia="Book Antiqua" w:hAnsi="Book Antiqua" w:cs="Book Antiqua"/>
          <w:bCs/>
          <w:color w:val="000000"/>
          <w:sz w:val="24"/>
          <w:szCs w:val="24"/>
        </w:rPr>
        <w:t xml:space="preserve"> (Figure 4)</w:t>
      </w:r>
      <w:r w:rsidRPr="000A2A59">
        <w:rPr>
          <w:rFonts w:ascii="Book Antiqua" w:eastAsia="Book Antiqua" w:hAnsi="Book Antiqua" w:cs="Book Antiqua"/>
          <w:color w:val="000000"/>
          <w:sz w:val="24"/>
          <w:szCs w:val="24"/>
        </w:rPr>
        <w:t>. ITPR is an intrinsic membrane protein, with 6 transmembrane segments</w:t>
      </w:r>
      <w:r w:rsidRPr="000A2A59">
        <w:rPr>
          <w:rFonts w:ascii="Book Antiqua" w:eastAsia="Book Antiqua" w:hAnsi="Book Antiqua" w:cs="Book Antiqua"/>
          <w:color w:val="000000"/>
          <w:sz w:val="24"/>
          <w:szCs w:val="24"/>
          <w:vertAlign w:val="superscript"/>
        </w:rPr>
        <w:t>[41,42]</w:t>
      </w:r>
      <w:r w:rsidRPr="000A2A59">
        <w:rPr>
          <w:rFonts w:ascii="Book Antiqua" w:eastAsia="Book Antiqua" w:hAnsi="Book Antiqua" w:cs="Book Antiqua"/>
          <w:color w:val="000000"/>
          <w:sz w:val="24"/>
          <w:szCs w:val="24"/>
        </w:rPr>
        <w:t xml:space="preserve">. There are some sites along the ITPR structure that regulate the activity of the receptor, or determine its localization by posttranslational </w:t>
      </w:r>
      <w:r w:rsidRPr="000A2A59">
        <w:rPr>
          <w:rFonts w:ascii="Book Antiqua" w:eastAsia="Book Antiqua" w:hAnsi="Book Antiqua" w:cs="Book Antiqua"/>
          <w:color w:val="000000"/>
          <w:sz w:val="24"/>
          <w:szCs w:val="24"/>
        </w:rPr>
        <w:lastRenderedPageBreak/>
        <w:t>modifications (phosphorylation, ubiquitination, oxidation, and proteolytic fragmentation) or by interaction with modulatory proteins, such as chromogranin A and B, neuronal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sensor 1, cytochrome c, and antiapoptotic Bcl-2 family members</w:t>
      </w:r>
      <w:r w:rsidRPr="000A2A59">
        <w:rPr>
          <w:rFonts w:ascii="Book Antiqua" w:eastAsia="Book Antiqua" w:hAnsi="Book Antiqua" w:cs="Book Antiqua"/>
          <w:color w:val="000000"/>
          <w:sz w:val="24"/>
          <w:szCs w:val="24"/>
          <w:vertAlign w:val="superscript"/>
        </w:rPr>
        <w:t>[43-46]</w:t>
      </w:r>
      <w:r w:rsidRPr="000A2A59">
        <w:rPr>
          <w:rFonts w:ascii="Book Antiqua" w:eastAsia="Book Antiqua" w:hAnsi="Book Antiqua" w:cs="Book Antiqua"/>
          <w:color w:val="000000"/>
          <w:sz w:val="24"/>
          <w:szCs w:val="24"/>
        </w:rPr>
        <w:t xml:space="preserve">. </w:t>
      </w:r>
      <w:r w:rsidRPr="000A2A59">
        <w:rPr>
          <w:rFonts w:ascii="Book Antiqua" w:eastAsia="Book Antiqua" w:hAnsi="Book Antiqua" w:cs="Book Antiqua"/>
          <w:sz w:val="24"/>
          <w:szCs w:val="24"/>
        </w:rPr>
        <w:t xml:space="preserve">There are three isoforms of ITPR: </w:t>
      </w:r>
      <w:r w:rsidR="00047332" w:rsidRPr="000A2A59">
        <w:rPr>
          <w:rFonts w:ascii="Book Antiqua" w:eastAsia="Book Antiqua" w:hAnsi="Book Antiqua" w:cs="Book Antiqua"/>
          <w:sz w:val="24"/>
          <w:szCs w:val="24"/>
        </w:rPr>
        <w:t>T</w:t>
      </w:r>
      <w:r w:rsidRPr="000A2A59">
        <w:rPr>
          <w:rFonts w:ascii="Book Antiqua" w:eastAsia="Book Antiqua" w:hAnsi="Book Antiqua" w:cs="Book Antiqua"/>
          <w:sz w:val="24"/>
          <w:szCs w:val="24"/>
        </w:rPr>
        <w:t>ype 1 (ITPR1), type 2 (ITPR2) and type 3 (ITPR3)</w:t>
      </w:r>
      <w:r w:rsidRPr="000A2A59">
        <w:rPr>
          <w:rFonts w:ascii="Book Antiqua" w:eastAsia="Book Antiqua" w:hAnsi="Book Antiqua" w:cs="Book Antiqua"/>
          <w:sz w:val="24"/>
          <w:szCs w:val="24"/>
          <w:vertAlign w:val="superscript"/>
        </w:rPr>
        <w:t>[8,9]</w:t>
      </w:r>
      <w:r w:rsidRPr="000A2A59">
        <w:rPr>
          <w:rFonts w:ascii="Book Antiqua" w:eastAsia="Book Antiqua" w:hAnsi="Book Antiqua" w:cs="Book Antiqua"/>
          <w:sz w:val="24"/>
          <w:szCs w:val="24"/>
        </w:rPr>
        <w:t>. They share 70% homology</w:t>
      </w:r>
      <w:r w:rsidRPr="000A2A59">
        <w:rPr>
          <w:rFonts w:ascii="Book Antiqua" w:eastAsia="Book Antiqua" w:hAnsi="Book Antiqua" w:cs="Book Antiqua"/>
          <w:sz w:val="24"/>
          <w:szCs w:val="24"/>
          <w:vertAlign w:val="superscript"/>
        </w:rPr>
        <w:t>[47]</w:t>
      </w:r>
      <w:r w:rsidRPr="000A2A59">
        <w:rPr>
          <w:rFonts w:ascii="Book Antiqua" w:eastAsia="Book Antiqua" w:hAnsi="Book Antiqua" w:cs="Book Antiqua"/>
          <w:sz w:val="24"/>
          <w:szCs w:val="24"/>
        </w:rPr>
        <w:t>, however each isoform of ITPR displays a distinct affinity to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ITPR2 has the highest affinity, </w:t>
      </w:r>
      <w:r w:rsidR="008E6244" w:rsidRPr="000A2A59">
        <w:rPr>
          <w:rFonts w:ascii="Book Antiqua" w:eastAsia="Book Antiqua" w:hAnsi="Book Antiqua" w:cs="Book Antiqua"/>
          <w:sz w:val="24"/>
          <w:szCs w:val="24"/>
        </w:rPr>
        <w:t>ITPR1</w:t>
      </w:r>
      <w:r w:rsidRPr="000A2A59">
        <w:rPr>
          <w:rFonts w:ascii="Book Antiqua" w:eastAsia="Book Antiqua" w:hAnsi="Book Antiqua" w:cs="Book Antiqua"/>
          <w:sz w:val="24"/>
          <w:szCs w:val="24"/>
        </w:rPr>
        <w:t xml:space="preserve"> has an intermediate affinity, and ITPR3 has the lowest affinity</w:t>
      </w:r>
      <w:r w:rsidRPr="000A2A59">
        <w:rPr>
          <w:rFonts w:ascii="Book Antiqua" w:eastAsia="Book Antiqua" w:hAnsi="Book Antiqua" w:cs="Book Antiqua"/>
          <w:sz w:val="24"/>
          <w:szCs w:val="24"/>
          <w:vertAlign w:val="superscript"/>
        </w:rPr>
        <w:t>[48,49]</w:t>
      </w:r>
      <w:r w:rsidRPr="000A2A59">
        <w:rPr>
          <w:rFonts w:ascii="Book Antiqua" w:eastAsia="Book Antiqua" w:hAnsi="Book Antiqua" w:cs="Book Antiqua"/>
          <w:sz w:val="24"/>
          <w:szCs w:val="24"/>
        </w:rPr>
        <w:t>. In order to open the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 four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molecules need to bind to ITPR</w:t>
      </w:r>
      <w:r w:rsidRPr="000A2A59">
        <w:rPr>
          <w:rFonts w:ascii="Book Antiqua" w:eastAsia="Book Antiqua" w:hAnsi="Book Antiqua" w:cs="Book Antiqua"/>
          <w:sz w:val="24"/>
          <w:szCs w:val="24"/>
          <w:vertAlign w:val="superscript"/>
        </w:rPr>
        <w:t>[50]</w:t>
      </w:r>
      <w:r w:rsidRPr="000A2A59">
        <w:rPr>
          <w:rFonts w:ascii="Book Antiqua" w:eastAsia="Book Antiqua" w:hAnsi="Book Antiqua" w:cs="Book Antiqua"/>
          <w:sz w:val="24"/>
          <w:szCs w:val="24"/>
        </w:rPr>
        <w:t>. Moreover,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ions directly modulate the open probability of the channel</w:t>
      </w:r>
      <w:r w:rsidRPr="000A2A59">
        <w:rPr>
          <w:rFonts w:ascii="Book Antiqua" w:eastAsia="Book Antiqua" w:hAnsi="Book Antiqua" w:cs="Book Antiqua"/>
          <w:sz w:val="24"/>
          <w:szCs w:val="24"/>
          <w:vertAlign w:val="superscript"/>
        </w:rPr>
        <w:t>[51,52]</w:t>
      </w:r>
      <w:r w:rsidRPr="000A2A59">
        <w:rPr>
          <w:rFonts w:ascii="Book Antiqua" w:eastAsia="Book Antiqua" w:hAnsi="Book Antiqua" w:cs="Book Antiqua"/>
          <w:sz w:val="24"/>
          <w:szCs w:val="24"/>
        </w:rPr>
        <w:t>. ITPR1 displays what is called a “bell shape” open probability curve, in other words, at lower concentrations of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the ITPR1 releases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while higher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concentrations inhibit the channel</w:t>
      </w:r>
      <w:r w:rsidRPr="000A2A59">
        <w:rPr>
          <w:rFonts w:ascii="Book Antiqua" w:eastAsia="Book Antiqua" w:hAnsi="Book Antiqua" w:cs="Book Antiqua"/>
          <w:sz w:val="24"/>
          <w:szCs w:val="24"/>
          <w:vertAlign w:val="superscript"/>
        </w:rPr>
        <w:t>[53,54]</w:t>
      </w:r>
      <w:r w:rsidRPr="000A2A59">
        <w:rPr>
          <w:rFonts w:ascii="Book Antiqua" w:eastAsia="Book Antiqua" w:hAnsi="Book Antiqua" w:cs="Book Antiqua"/>
          <w:sz w:val="24"/>
          <w:szCs w:val="24"/>
        </w:rPr>
        <w:t>. For ITPR3, the open probability of the channel increases with increased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concentration</w:t>
      </w:r>
      <w:r w:rsidRPr="000A2A59">
        <w:rPr>
          <w:rFonts w:ascii="Book Antiqua" w:eastAsia="Book Antiqua" w:hAnsi="Book Antiqua" w:cs="Book Antiqua"/>
          <w:sz w:val="24"/>
          <w:szCs w:val="24"/>
          <w:vertAlign w:val="superscript"/>
        </w:rPr>
        <w:t>[52,55]</w:t>
      </w:r>
      <w:r w:rsidRPr="000A2A59">
        <w:rPr>
          <w:rFonts w:ascii="Book Antiqua" w:eastAsia="Book Antiqua" w:hAnsi="Book Antiqua" w:cs="Book Antiqua"/>
          <w:sz w:val="24"/>
          <w:szCs w:val="24"/>
        </w:rPr>
        <w:t>, and the ITPR2 dependence on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concentration remains controversial. While single-channel studies show that ITPR2 displays the same configuration as observed for ITPR3, studies with whole cells exhibit similarity with ITPR1</w:t>
      </w:r>
      <w:r w:rsidRPr="000A2A59">
        <w:rPr>
          <w:rFonts w:ascii="Book Antiqua" w:eastAsia="Book Antiqua" w:hAnsi="Book Antiqua" w:cs="Book Antiqua"/>
          <w:sz w:val="24"/>
          <w:szCs w:val="24"/>
          <w:vertAlign w:val="superscript"/>
        </w:rPr>
        <w:t>[51,56,57]</w:t>
      </w:r>
      <w:r w:rsidRPr="000A2A59">
        <w:rPr>
          <w:rFonts w:ascii="Book Antiqua" w:eastAsia="Book Antiqua" w:hAnsi="Book Antiqua" w:cs="Book Antiqua"/>
          <w:sz w:val="24"/>
          <w:szCs w:val="24"/>
        </w:rPr>
        <w:t>, suggesting an effect of the modulatory proteins on the ITPRs channel activity.</w:t>
      </w:r>
    </w:p>
    <w:p w14:paraId="4E63E6CB" w14:textId="0D9603DA"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ITPRs are widely expressed, sometimes with the prevalence of a single ITPR isoform in a specific tissue. For example, in the central nervous the main ITPR isoform is ITPR1, regulating neurite formation among other functions</w:t>
      </w:r>
      <w:r w:rsidRPr="000A2A59">
        <w:rPr>
          <w:rFonts w:ascii="Book Antiqua" w:eastAsia="Book Antiqua" w:hAnsi="Book Antiqua" w:cs="Book Antiqua"/>
          <w:sz w:val="24"/>
          <w:szCs w:val="24"/>
          <w:vertAlign w:val="superscript"/>
        </w:rPr>
        <w:t>[58]</w:t>
      </w:r>
      <w:r w:rsidRPr="000A2A59">
        <w:rPr>
          <w:rFonts w:ascii="Book Antiqua" w:eastAsia="Book Antiqua" w:hAnsi="Book Antiqua" w:cs="Book Antiqua"/>
          <w:sz w:val="24"/>
          <w:szCs w:val="24"/>
        </w:rPr>
        <w:t>. ITPR2 is the isoform mainly expressed in cardiomyocytes, participating in heart rate and in the action potential duration</w:t>
      </w:r>
      <w:r w:rsidRPr="000A2A59">
        <w:rPr>
          <w:rFonts w:ascii="Book Antiqua" w:eastAsia="Book Antiqua" w:hAnsi="Book Antiqua" w:cs="Book Antiqua"/>
          <w:sz w:val="24"/>
          <w:szCs w:val="24"/>
          <w:vertAlign w:val="superscript"/>
        </w:rPr>
        <w:t>[59]</w:t>
      </w:r>
      <w:r w:rsidRPr="000A2A59">
        <w:rPr>
          <w:rFonts w:ascii="Book Antiqua" w:eastAsia="Book Antiqua" w:hAnsi="Book Antiqua" w:cs="Book Antiqua"/>
          <w:sz w:val="24"/>
          <w:szCs w:val="24"/>
        </w:rPr>
        <w:t>. In pancreatic tissue, ITPR2 and ITPR3 are involved in the exocytosis of zymogen granules</w:t>
      </w:r>
      <w:r w:rsidRPr="000A2A59">
        <w:rPr>
          <w:rFonts w:ascii="Book Antiqua" w:eastAsia="Book Antiqua" w:hAnsi="Book Antiqua" w:cs="Book Antiqua"/>
          <w:sz w:val="24"/>
          <w:szCs w:val="24"/>
          <w:vertAlign w:val="superscript"/>
        </w:rPr>
        <w:t>[60]</w:t>
      </w:r>
      <w:r w:rsidRPr="000A2A59">
        <w:rPr>
          <w:rFonts w:ascii="Book Antiqua" w:eastAsia="Book Antiqua" w:hAnsi="Book Antiqua" w:cs="Book Antiqua"/>
          <w:sz w:val="24"/>
          <w:szCs w:val="24"/>
        </w:rPr>
        <w:t>.</w:t>
      </w:r>
    </w:p>
    <w:p w14:paraId="6999E172" w14:textId="2E93E066"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In the liver, hepatocytes express ITPR1 and ITPR2</w:t>
      </w:r>
      <w:r w:rsidRPr="000A2A59">
        <w:rPr>
          <w:rFonts w:ascii="Book Antiqua" w:eastAsia="Book Antiqua" w:hAnsi="Book Antiqua" w:cs="Book Antiqua"/>
          <w:sz w:val="24"/>
          <w:szCs w:val="24"/>
          <w:vertAlign w:val="superscript"/>
        </w:rPr>
        <w:t>[6]</w:t>
      </w:r>
      <w:r w:rsidRPr="000A2A59">
        <w:rPr>
          <w:rFonts w:ascii="Book Antiqua" w:eastAsia="Book Antiqua" w:hAnsi="Book Antiqua" w:cs="Book Antiqua"/>
          <w:sz w:val="24"/>
          <w:szCs w:val="24"/>
        </w:rPr>
        <w:t>, whereas all three isoforms are expressed in cholangiocytes</w:t>
      </w:r>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Below, we discuss separately about the ITPR isoforms in hepatic cells, focusing on hepatocytes and cholangiocytes, while indicating their main function and expression pattern in normal condition and in liver disease.</w:t>
      </w:r>
    </w:p>
    <w:p w14:paraId="4F6ABB3D"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4C9DF16B" w14:textId="1FA86E6D" w:rsidR="00D65AC5" w:rsidRPr="00047332" w:rsidRDefault="00736CA5" w:rsidP="005E5A06">
      <w:pPr>
        <w:adjustRightInd w:val="0"/>
        <w:snapToGrid w:val="0"/>
        <w:spacing w:after="0" w:line="360" w:lineRule="auto"/>
        <w:jc w:val="both"/>
        <w:rPr>
          <w:rFonts w:ascii="Book Antiqua" w:eastAsia="Book Antiqua" w:hAnsi="Book Antiqua" w:cs="Book Antiqua"/>
          <w:b/>
          <w:i/>
          <w:iCs/>
          <w:sz w:val="24"/>
          <w:szCs w:val="24"/>
        </w:rPr>
      </w:pPr>
      <w:r w:rsidRPr="00047332">
        <w:rPr>
          <w:rFonts w:ascii="Book Antiqua" w:eastAsia="Book Antiqua" w:hAnsi="Book Antiqua" w:cs="Book Antiqua"/>
          <w:b/>
          <w:i/>
          <w:iCs/>
          <w:sz w:val="24"/>
          <w:szCs w:val="24"/>
        </w:rPr>
        <w:t xml:space="preserve">ITPR1: </w:t>
      </w:r>
      <w:r w:rsidR="00F962D0" w:rsidRPr="00047332">
        <w:rPr>
          <w:rFonts w:ascii="Book Antiqua" w:eastAsia="Book Antiqua" w:hAnsi="Book Antiqua" w:cs="Book Antiqua"/>
          <w:b/>
          <w:i/>
          <w:iCs/>
          <w:sz w:val="24"/>
          <w:szCs w:val="24"/>
        </w:rPr>
        <w:t>M</w:t>
      </w:r>
      <w:r w:rsidRPr="00047332">
        <w:rPr>
          <w:rFonts w:ascii="Book Antiqua" w:eastAsia="Book Antiqua" w:hAnsi="Book Antiqua" w:cs="Book Antiqua"/>
          <w:b/>
          <w:i/>
          <w:iCs/>
          <w:sz w:val="24"/>
          <w:szCs w:val="24"/>
        </w:rPr>
        <w:t>etabolism and electrolyte secretion</w:t>
      </w:r>
    </w:p>
    <w:p w14:paraId="6243830A" w14:textId="0C8942F7" w:rsidR="00D65AC5" w:rsidRPr="000A2A59" w:rsidRDefault="00736CA5" w:rsidP="005E5A06">
      <w:pPr>
        <w:adjustRightInd w:val="0"/>
        <w:snapToGrid w:val="0"/>
        <w:spacing w:after="0" w:line="360" w:lineRule="auto"/>
        <w:jc w:val="both"/>
        <w:rPr>
          <w:rFonts w:ascii="Book Antiqua" w:eastAsia="Book Antiqua" w:hAnsi="Book Antiqua" w:cs="Book Antiqua"/>
          <w:color w:val="000000"/>
          <w:sz w:val="24"/>
          <w:szCs w:val="24"/>
        </w:rPr>
      </w:pPr>
      <w:r w:rsidRPr="000A2A59">
        <w:rPr>
          <w:rFonts w:ascii="Book Antiqua" w:eastAsia="Book Antiqua" w:hAnsi="Book Antiqua" w:cs="Book Antiqua"/>
          <w:color w:val="000000"/>
          <w:sz w:val="24"/>
          <w:szCs w:val="24"/>
        </w:rPr>
        <w:lastRenderedPageBreak/>
        <w:t>ITPR1 is expressed in both hepatocytes and cholangiocytes, corresponding to approximately 20% of the total ITPRs present in these cells. It is localized along the endoplasmic reticulum, throughout the cytoplasm and near the nucleus</w:t>
      </w:r>
      <w:r w:rsidRPr="000A2A59">
        <w:rPr>
          <w:rFonts w:ascii="Book Antiqua" w:eastAsia="Book Antiqua" w:hAnsi="Book Antiqua" w:cs="Book Antiqua"/>
          <w:color w:val="000000"/>
          <w:sz w:val="24"/>
          <w:szCs w:val="24"/>
          <w:vertAlign w:val="superscript"/>
        </w:rPr>
        <w:t>[6,61</w:t>
      </w:r>
      <w:r w:rsidR="00F962D0">
        <w:rPr>
          <w:rFonts w:ascii="Book Antiqua" w:eastAsia="Book Antiqua" w:hAnsi="Book Antiqua" w:cs="Book Antiqua"/>
          <w:color w:val="000000"/>
          <w:sz w:val="24"/>
          <w:szCs w:val="24"/>
          <w:vertAlign w:val="superscript"/>
        </w:rPr>
        <w:t>-</w:t>
      </w:r>
      <w:r w:rsidRPr="000A2A59">
        <w:rPr>
          <w:rFonts w:ascii="Book Antiqua" w:eastAsia="Book Antiqua" w:hAnsi="Book Antiqua" w:cs="Book Antiqua"/>
          <w:color w:val="000000"/>
          <w:sz w:val="24"/>
          <w:szCs w:val="24"/>
          <w:vertAlign w:val="superscript"/>
        </w:rPr>
        <w:t>63]</w:t>
      </w:r>
      <w:r w:rsidRPr="000A2A59">
        <w:rPr>
          <w:rFonts w:ascii="Book Antiqua" w:eastAsia="Book Antiqua" w:hAnsi="Book Antiqua" w:cs="Book Antiqua"/>
          <w:color w:val="000000"/>
          <w:sz w:val="24"/>
          <w:szCs w:val="24"/>
        </w:rPr>
        <w:t>.</w:t>
      </w:r>
    </w:p>
    <w:p w14:paraId="5307096C" w14:textId="0CAB73E8"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bookmarkStart w:id="47" w:name="_1t3h5sf" w:colFirst="0" w:colLast="0"/>
      <w:bookmarkEnd w:id="47"/>
      <w:r w:rsidRPr="000A2A59">
        <w:rPr>
          <w:rFonts w:ascii="Book Antiqua" w:eastAsia="Book Antiqua" w:hAnsi="Book Antiqua" w:cs="Book Antiqua"/>
          <w:color w:val="000000"/>
          <w:sz w:val="24"/>
          <w:szCs w:val="24"/>
        </w:rPr>
        <w:t>In normal liver tissue, ITPR1 regulates metabolism in hepatocytes</w:t>
      </w:r>
      <w:r w:rsidRPr="000A2A59">
        <w:rPr>
          <w:rFonts w:ascii="Book Antiqua" w:eastAsia="Book Antiqua" w:hAnsi="Book Antiqua" w:cs="Book Antiqua"/>
          <w:color w:val="000000"/>
          <w:sz w:val="24"/>
          <w:szCs w:val="24"/>
          <w:vertAlign w:val="superscript"/>
        </w:rPr>
        <w:t>[63</w:t>
      </w:r>
      <w:r w:rsidR="00F962D0">
        <w:rPr>
          <w:rFonts w:ascii="Book Antiqua" w:eastAsia="Book Antiqua" w:hAnsi="Book Antiqua" w:cs="Book Antiqua"/>
          <w:color w:val="000000"/>
          <w:sz w:val="24"/>
          <w:szCs w:val="24"/>
          <w:vertAlign w:val="superscript"/>
        </w:rPr>
        <w:t>-</w:t>
      </w:r>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xml:space="preserve">. After exposure to glucagon, mouse hepatocytes display an increase in ITPR1 phosphorylation by the activity of protein kinase A (PKA), raising intracellular </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color w:val="000000"/>
          <w:sz w:val="24"/>
          <w:szCs w:val="24"/>
        </w:rPr>
        <w:t xml:space="preserve"> concentration that leads to glucose secretion</w:t>
      </w:r>
      <w:r w:rsidRPr="000A2A59">
        <w:rPr>
          <w:rFonts w:ascii="Book Antiqua" w:eastAsia="Book Antiqua" w:hAnsi="Book Antiqua" w:cs="Book Antiqua"/>
          <w:color w:val="000000"/>
          <w:sz w:val="24"/>
          <w:szCs w:val="24"/>
          <w:vertAlign w:val="superscript"/>
        </w:rPr>
        <w:t>[64]</w:t>
      </w:r>
      <w:r w:rsidRPr="000A2A59">
        <w:rPr>
          <w:rFonts w:ascii="Book Antiqua" w:eastAsia="Book Antiqua" w:hAnsi="Book Antiqua" w:cs="Book Antiqua"/>
          <w:color w:val="000000"/>
          <w:sz w:val="24"/>
          <w:szCs w:val="24"/>
        </w:rPr>
        <w:t xml:space="preserve">. More evidence of the ITPR1 </w:t>
      </w:r>
      <w:r w:rsidRPr="000A2A59">
        <w:rPr>
          <w:rFonts w:ascii="Book Antiqua" w:eastAsia="Book Antiqua" w:hAnsi="Book Antiqua" w:cs="Book Antiqua"/>
          <w:sz w:val="24"/>
          <w:szCs w:val="24"/>
        </w:rPr>
        <w:t xml:space="preserve">function in liver metabolism </w:t>
      </w:r>
      <w:r w:rsidRPr="000A2A59">
        <w:rPr>
          <w:rFonts w:ascii="Book Antiqua" w:eastAsia="Book Antiqua" w:hAnsi="Book Antiqua" w:cs="Book Antiqua"/>
          <w:color w:val="000000"/>
          <w:sz w:val="24"/>
          <w:szCs w:val="24"/>
        </w:rPr>
        <w:t xml:space="preserve">was shown in obese (ob/ob) and high fat diet (HFD) mouse models. Ob/ob mice and </w:t>
      </w:r>
      <w:r w:rsidR="008E6244" w:rsidRPr="000A2A59">
        <w:rPr>
          <w:rFonts w:ascii="Book Antiqua" w:eastAsia="Book Antiqua" w:hAnsi="Book Antiqua" w:cs="Book Antiqua"/>
          <w:color w:val="000000"/>
          <w:sz w:val="24"/>
          <w:szCs w:val="24"/>
        </w:rPr>
        <w:t xml:space="preserve">mice </w:t>
      </w:r>
      <w:r w:rsidRPr="000A2A59">
        <w:rPr>
          <w:rFonts w:ascii="Book Antiqua" w:eastAsia="Book Antiqua" w:hAnsi="Book Antiqua" w:cs="Book Antiqua"/>
          <w:color w:val="000000"/>
          <w:sz w:val="24"/>
          <w:szCs w:val="24"/>
        </w:rPr>
        <w:t>maintained on a high-fat diet (HFD) overexpress ITPR1, increasing the amount of these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channels in close proximity to the mitochondria</w:t>
      </w:r>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In accordance with the increase in ITPR expression, cytoplasmic and mitochondrial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concentration is increased in obese mice, causing mitochondrial dysfunction and impairment of metabolic homeostasis</w:t>
      </w:r>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Conversely, the reduction of ITPR1 expression in the mouse liver, by short hairpin RNA technique, improved glucose tolerance and mitochondrial metabolism</w:t>
      </w:r>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These results were validated in ITPR1 liver-specific knockout mice (ITPR1 LSKO). ITPR1 LSKO mice are leaner and display less hepatic steatosis after HFD, and also have reduced levels of triglycerides and lipogenic gene expression. These metabolic alterations are in accordance with the lower mitochondrial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signal observed in isolated hepatocytes from ITPR1 LSKO mice</w:t>
      </w:r>
      <w:r w:rsidRPr="000A2A59">
        <w:rPr>
          <w:rFonts w:ascii="Book Antiqua" w:eastAsia="Book Antiqua" w:hAnsi="Book Antiqua" w:cs="Book Antiqua"/>
          <w:color w:val="000000"/>
          <w:sz w:val="24"/>
          <w:szCs w:val="24"/>
          <w:vertAlign w:val="superscript"/>
        </w:rPr>
        <w:t>[63]</w:t>
      </w:r>
      <w:r w:rsidRPr="000A2A59">
        <w:rPr>
          <w:rFonts w:ascii="Book Antiqua" w:eastAsia="Book Antiqua" w:hAnsi="Book Antiqua" w:cs="Book Antiqua"/>
          <w:color w:val="000000"/>
          <w:sz w:val="24"/>
          <w:szCs w:val="24"/>
        </w:rPr>
        <w:t>. Translational studies corroborate these findings by showing that liver specimens from non-alcoholic steatohepatitis (NASH) donors display increased hepatic ITPR1 expression which is concentrated closer to mitochondria. Based on these observations, it has been suggested that ITPR1 plays a role in steatosis in human fatty liver diseases</w:t>
      </w:r>
      <w:r w:rsidRPr="000A2A59">
        <w:rPr>
          <w:rFonts w:ascii="Book Antiqua" w:eastAsia="Book Antiqua" w:hAnsi="Book Antiqua" w:cs="Book Antiqua"/>
          <w:color w:val="000000"/>
          <w:sz w:val="24"/>
          <w:szCs w:val="24"/>
          <w:vertAlign w:val="superscript"/>
        </w:rPr>
        <w:t>[63]</w:t>
      </w:r>
      <w:r w:rsidRPr="000A2A59">
        <w:rPr>
          <w:rFonts w:ascii="Book Antiqua" w:eastAsia="Book Antiqua" w:hAnsi="Book Antiqua" w:cs="Book Antiqua"/>
          <w:color w:val="000000"/>
          <w:sz w:val="24"/>
          <w:szCs w:val="24"/>
        </w:rPr>
        <w:t>.</w:t>
      </w:r>
    </w:p>
    <w:p w14:paraId="50015890" w14:textId="3ED719A7"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bookmarkStart w:id="48" w:name="_4d34og8" w:colFirst="0" w:colLast="0"/>
      <w:bookmarkEnd w:id="48"/>
      <w:r w:rsidRPr="000A2A59">
        <w:rPr>
          <w:rFonts w:ascii="Book Antiqua" w:eastAsia="Book Antiqua" w:hAnsi="Book Antiqua" w:cs="Book Antiqua"/>
          <w:color w:val="000000"/>
          <w:sz w:val="24"/>
          <w:szCs w:val="24"/>
        </w:rPr>
        <w:t xml:space="preserve">Another function of ITPR1 in hepatocytes is related to the liver regeneration. Knocking down ITPR1 in rat with small interfering RNA (siRNA), attenuates </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color w:val="000000"/>
          <w:sz w:val="24"/>
          <w:szCs w:val="24"/>
        </w:rPr>
        <w:t xml:space="preserve"> signaling, and results in an impairment of hepatocytes proliferation after partial hepatectomy, measured by proliferating cell nuclear antigen staining positive cells. Consequently, the liver growth is diminished at the early phase (up to 48 h) of liver regeneration</w:t>
      </w:r>
      <w:r w:rsidRPr="000A2A59">
        <w:rPr>
          <w:rFonts w:ascii="Book Antiqua" w:eastAsia="Book Antiqua" w:hAnsi="Book Antiqua" w:cs="Book Antiqua"/>
          <w:color w:val="000000"/>
          <w:sz w:val="24"/>
          <w:szCs w:val="24"/>
          <w:vertAlign w:val="superscript"/>
        </w:rPr>
        <w:t>[66]</w:t>
      </w:r>
      <w:r w:rsidRPr="000A2A59">
        <w:rPr>
          <w:rFonts w:ascii="Book Antiqua" w:eastAsia="Book Antiqua" w:hAnsi="Book Antiqua" w:cs="Book Antiqua"/>
          <w:color w:val="000000"/>
          <w:sz w:val="24"/>
          <w:szCs w:val="24"/>
        </w:rPr>
        <w:t xml:space="preserve">. The involvement of ITPR1 in the beginning of the liver regeneration </w:t>
      </w:r>
      <w:r w:rsidRPr="000A2A59">
        <w:rPr>
          <w:rFonts w:ascii="Book Antiqua" w:eastAsia="Book Antiqua" w:hAnsi="Book Antiqua" w:cs="Book Antiqua"/>
          <w:color w:val="000000"/>
          <w:sz w:val="24"/>
          <w:szCs w:val="24"/>
        </w:rPr>
        <w:lastRenderedPageBreak/>
        <w:t>process is supported by the normal expression of this isoform immediately after the partial hepatectomy, followed by a downregulation of ITPR1 afterwards</w:t>
      </w:r>
      <w:r w:rsidRPr="000A2A59">
        <w:rPr>
          <w:rFonts w:ascii="Book Antiqua" w:eastAsia="Book Antiqua" w:hAnsi="Book Antiqua" w:cs="Book Antiqua"/>
          <w:color w:val="000000"/>
          <w:sz w:val="24"/>
          <w:szCs w:val="24"/>
          <w:vertAlign w:val="superscript"/>
        </w:rPr>
        <w:t>[67]</w:t>
      </w:r>
      <w:r w:rsidRPr="000A2A59">
        <w:rPr>
          <w:rFonts w:ascii="Book Antiqua" w:eastAsia="Book Antiqua" w:hAnsi="Book Antiqua" w:cs="Book Antiqua"/>
          <w:color w:val="000000"/>
          <w:sz w:val="24"/>
          <w:szCs w:val="24"/>
        </w:rPr>
        <w:t xml:space="preserve">. </w:t>
      </w:r>
    </w:p>
    <w:p w14:paraId="0B2DC97D" w14:textId="68779D8D"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In cholangiocytes, ITPR1, together with the ITPR2, are responsible for releasing bicarbonate after the activation of type 3 muscarine receptor by acetylcholine. These findings were observed by using intrahepatic bile duct units isolated from rat liver tissue, previously transfected with ITPR1 and ITPR2 siRNA, and then by measuring the luminal pH after acetylcholine exposition. It was shown that the bicarbonate secretion was reduced in ITPR1 and ITPR2 knockdown cells</w:t>
      </w:r>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Moreover, in cholestasis, which is a disorder that causes bile accumulation, the expression of ITPR1 is decreased, similarly to what occur to the other ITPR isoforms</w:t>
      </w:r>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These observations suggest that the downregulation of ITPRs is an early event in the pathogenesis of cholestasis. As a consequence of the decrease of ITPR1 expression in a rat model of bile duct ligation, the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 is reduced</w:t>
      </w:r>
      <w:r w:rsidR="008E6244" w:rsidRPr="000A2A59">
        <w:rPr>
          <w:rFonts w:ascii="Book Antiqua" w:eastAsia="Book Antiqua" w:hAnsi="Book Antiqua" w:cs="Book Antiqua"/>
          <w:sz w:val="24"/>
          <w:szCs w:val="24"/>
        </w:rPr>
        <w:t xml:space="preserve"> and the biliary bicarbonate secretion is impaired in isolated cholangiocytes</w:t>
      </w:r>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Together, these findings show that ITPR1 isoform plays a crucial role in hepatocyte metabolism and proliferation, as well as in cholangiocyte secretory activity, which are essential functions for normal liver. </w:t>
      </w:r>
    </w:p>
    <w:p w14:paraId="2BA478DF"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5FBDC792" w14:textId="08DAB88E" w:rsidR="00D65AC5" w:rsidRPr="00092F07" w:rsidRDefault="00736CA5" w:rsidP="005E5A06">
      <w:pPr>
        <w:adjustRightInd w:val="0"/>
        <w:snapToGrid w:val="0"/>
        <w:spacing w:after="0" w:line="360" w:lineRule="auto"/>
        <w:jc w:val="both"/>
        <w:rPr>
          <w:rFonts w:ascii="Book Antiqua" w:eastAsia="Book Antiqua" w:hAnsi="Book Antiqua" w:cs="Book Antiqua"/>
          <w:b/>
          <w:i/>
          <w:iCs/>
          <w:sz w:val="24"/>
          <w:szCs w:val="24"/>
        </w:rPr>
      </w:pPr>
      <w:r w:rsidRPr="00092F07">
        <w:rPr>
          <w:rFonts w:ascii="Book Antiqua" w:eastAsia="Book Antiqua" w:hAnsi="Book Antiqua" w:cs="Book Antiqua"/>
          <w:b/>
          <w:i/>
          <w:iCs/>
          <w:sz w:val="24"/>
          <w:szCs w:val="24"/>
        </w:rPr>
        <w:t xml:space="preserve">ITPR2: </w:t>
      </w:r>
      <w:r w:rsidR="00F962D0" w:rsidRPr="00092F07">
        <w:rPr>
          <w:rFonts w:ascii="Book Antiqua" w:eastAsia="Book Antiqua" w:hAnsi="Book Antiqua" w:cs="Book Antiqua"/>
          <w:b/>
          <w:i/>
          <w:iCs/>
          <w:sz w:val="24"/>
          <w:szCs w:val="24"/>
        </w:rPr>
        <w:t>B</w:t>
      </w:r>
      <w:r w:rsidRPr="00092F07">
        <w:rPr>
          <w:rFonts w:ascii="Book Antiqua" w:eastAsia="Book Antiqua" w:hAnsi="Book Antiqua" w:cs="Book Antiqua"/>
          <w:b/>
          <w:i/>
          <w:iCs/>
          <w:sz w:val="24"/>
          <w:szCs w:val="24"/>
        </w:rPr>
        <w:t>ile acid /electrolyte secretion and liver regeneration</w:t>
      </w:r>
    </w:p>
    <w:p w14:paraId="0E9E0D99" w14:textId="71945646"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bookmarkStart w:id="49" w:name="_2s8eyo1" w:colFirst="0" w:colLast="0"/>
      <w:bookmarkEnd w:id="49"/>
      <w:r w:rsidRPr="000A2A59">
        <w:rPr>
          <w:rFonts w:ascii="Book Antiqua" w:eastAsia="Book Antiqua" w:hAnsi="Book Antiqua" w:cs="Book Antiqua"/>
          <w:sz w:val="24"/>
          <w:szCs w:val="24"/>
        </w:rPr>
        <w:t>ITPR2 is considered the principal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release channel expressed in human and rodent hepatocytes</w:t>
      </w:r>
      <w:r w:rsidRPr="000A2A59">
        <w:rPr>
          <w:rFonts w:ascii="Book Antiqua" w:eastAsia="Book Antiqua" w:hAnsi="Book Antiqua" w:cs="Book Antiqua"/>
          <w:sz w:val="24"/>
          <w:szCs w:val="24"/>
          <w:vertAlign w:val="superscript"/>
        </w:rPr>
        <w:t>[6,68]</w:t>
      </w:r>
      <w:r w:rsidRPr="000A2A59">
        <w:rPr>
          <w:rFonts w:ascii="Book Antiqua" w:eastAsia="Book Antiqua" w:hAnsi="Book Antiqua" w:cs="Book Antiqua"/>
          <w:sz w:val="24"/>
          <w:szCs w:val="24"/>
        </w:rPr>
        <w:t>. This isoform is mostly concentrated in the canalicular membrane (apical region) of hepatocytes</w:t>
      </w:r>
      <w:r w:rsidRPr="000A2A59">
        <w:rPr>
          <w:rFonts w:ascii="Book Antiqua" w:eastAsia="Book Antiqua" w:hAnsi="Book Antiqua" w:cs="Book Antiqua"/>
          <w:sz w:val="24"/>
          <w:szCs w:val="24"/>
          <w:vertAlign w:val="superscript"/>
        </w:rPr>
        <w:t>[62,69]</w:t>
      </w:r>
      <w:r w:rsidRPr="000A2A59">
        <w:rPr>
          <w:rFonts w:ascii="Book Antiqua" w:eastAsia="Book Antiqua" w:hAnsi="Book Antiqua" w:cs="Book Antiqua"/>
          <w:sz w:val="24"/>
          <w:szCs w:val="24"/>
        </w:rPr>
        <w:t>, and due to its localization and high affinity for InsP3</w:t>
      </w:r>
      <w:r w:rsidRPr="000A2A59">
        <w:rPr>
          <w:rFonts w:ascii="Book Antiqua" w:eastAsia="Book Antiqua" w:hAnsi="Book Antiqua" w:cs="Book Antiqua"/>
          <w:sz w:val="24"/>
          <w:szCs w:val="24"/>
          <w:vertAlign w:val="superscript"/>
        </w:rPr>
        <w:t>[48,49]</w:t>
      </w:r>
      <w:r w:rsidRPr="000A2A59">
        <w:rPr>
          <w:rFonts w:ascii="Book Antiqua" w:eastAsia="Book Antiqua" w:hAnsi="Book Antiqua" w:cs="Book Antiqua"/>
          <w:sz w:val="24"/>
          <w:szCs w:val="24"/>
        </w:rPr>
        <w:t>, ITPR2 plays an essential role in bile formation</w:t>
      </w:r>
      <w:r w:rsidRPr="000A2A59">
        <w:rPr>
          <w:rFonts w:ascii="Book Antiqua" w:eastAsia="Book Antiqua" w:hAnsi="Book Antiqua" w:cs="Book Antiqua"/>
          <w:sz w:val="24"/>
          <w:szCs w:val="24"/>
          <w:vertAlign w:val="superscript"/>
        </w:rPr>
        <w:t>[6,69]</w:t>
      </w:r>
      <w:r w:rsidRPr="000A2A59">
        <w:rPr>
          <w:rFonts w:ascii="Book Antiqua" w:eastAsia="Book Antiqua" w:hAnsi="Book Antiqua" w:cs="Book Antiqua"/>
          <w:sz w:val="24"/>
          <w:szCs w:val="24"/>
        </w:rPr>
        <w:t>. ITPR2 modulates the multidrug resistance associated protein 2 (Mrp2), which is responsible for organic anion secretion into bile, such as bilirubin, glutathione S-conjugates, and oxidized glutathione. Impairment of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 inhibits the insertion of the Mrp2 into the apical plasma membrane in hepatocytes and reduces organic ion secretion. Similarly, hepatocytes isolated from ITPR2 knockout mice also presented decreased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as well as impaired organic ion secretion</w:t>
      </w:r>
      <w:r w:rsidRPr="000A2A59">
        <w:rPr>
          <w:rFonts w:ascii="Book Antiqua" w:eastAsia="Book Antiqua" w:hAnsi="Book Antiqua" w:cs="Book Antiqua"/>
          <w:sz w:val="24"/>
          <w:szCs w:val="24"/>
          <w:vertAlign w:val="superscript"/>
        </w:rPr>
        <w:t>[69]</w:t>
      </w:r>
      <w:r w:rsidRPr="000A2A59">
        <w:rPr>
          <w:rFonts w:ascii="Book Antiqua" w:eastAsia="Book Antiqua" w:hAnsi="Book Antiqua" w:cs="Book Antiqua"/>
          <w:sz w:val="24"/>
          <w:szCs w:val="24"/>
        </w:rPr>
        <w:t xml:space="preserve">. </w:t>
      </w:r>
    </w:p>
    <w:p w14:paraId="607C6D17" w14:textId="4D7231CE"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bookmarkStart w:id="50" w:name="_17dp8vu" w:colFirst="0" w:colLast="0"/>
      <w:bookmarkEnd w:id="50"/>
      <w:r w:rsidRPr="000A2A59">
        <w:rPr>
          <w:rFonts w:ascii="Book Antiqua" w:eastAsia="Book Antiqua" w:hAnsi="Book Antiqua" w:cs="Book Antiqua"/>
          <w:sz w:val="24"/>
          <w:szCs w:val="24"/>
        </w:rPr>
        <w:t xml:space="preserve">Another bile salt transporter regulated by ITPR2 activity is the bile salt export pump (Bsep), an important protein normally positioned along the canalicular membrane of </w:t>
      </w:r>
      <w:r w:rsidRPr="000A2A59">
        <w:rPr>
          <w:rFonts w:ascii="Book Antiqua" w:eastAsia="Book Antiqua" w:hAnsi="Book Antiqua" w:cs="Book Antiqua"/>
          <w:sz w:val="24"/>
          <w:szCs w:val="24"/>
        </w:rPr>
        <w:lastRenderedPageBreak/>
        <w:t>the hepatocyte. In a three-dimensional culture system of rat hepatocytes, siRNA against ITPR2 significantly reduced bile salt secretion, correlating with the downregulation and mislocalization of Bsep. Reduced bile secretion was also observed when the pericanalicular localization of ITPR2 was disrupted by methyl-</w:t>
      </w:r>
      <w:r w:rsidRPr="000A2A59">
        <w:rPr>
          <w:rFonts w:ascii="Book Antiqua" w:eastAsia="Times New Roman" w:hAnsi="Book Antiqua" w:cs="Times New Roman"/>
          <w:sz w:val="24"/>
          <w:szCs w:val="24"/>
        </w:rPr>
        <w:t>β</w:t>
      </w:r>
      <w:r w:rsidRPr="000A2A59">
        <w:rPr>
          <w:rFonts w:ascii="Book Antiqua" w:eastAsia="Book Antiqua" w:hAnsi="Book Antiqua" w:cs="Book Antiqua"/>
          <w:sz w:val="24"/>
          <w:szCs w:val="24"/>
        </w:rPr>
        <w:t>-cyclodextrin to disturb lipid rafts</w:t>
      </w:r>
      <w:r w:rsidRPr="000A2A59">
        <w:rPr>
          <w:rFonts w:ascii="Book Antiqua" w:eastAsia="Book Antiqua" w:hAnsi="Book Antiqua" w:cs="Book Antiqua"/>
          <w:sz w:val="24"/>
          <w:szCs w:val="24"/>
          <w:vertAlign w:val="superscript"/>
        </w:rPr>
        <w:t>[62]</w:t>
      </w:r>
      <w:r w:rsidRPr="000A2A59">
        <w:rPr>
          <w:rFonts w:ascii="Book Antiqua" w:eastAsia="Book Antiqua" w:hAnsi="Book Antiqua" w:cs="Book Antiqua"/>
          <w:sz w:val="24"/>
          <w:szCs w:val="24"/>
        </w:rPr>
        <w:t>. Confirming the importance of ITPR2 to the correct bile salt transporter localization and secretory activity, immunohistochemistry analysis of hepatocytes from LPS and estrogen cholestasis rat models showed a reduction of ITPR2 expression level and its diffuse distribution, different from its normal localization to the apical membrane</w:t>
      </w:r>
      <w:r w:rsidRPr="000A2A59">
        <w:rPr>
          <w:rFonts w:ascii="Book Antiqua" w:eastAsia="Book Antiqua" w:hAnsi="Book Antiqua" w:cs="Book Antiqua"/>
          <w:sz w:val="24"/>
          <w:szCs w:val="24"/>
          <w:vertAlign w:val="superscript"/>
        </w:rPr>
        <w:t>[62]</w:t>
      </w:r>
      <w:r w:rsidRPr="000A2A59">
        <w:rPr>
          <w:rFonts w:ascii="Book Antiqua" w:eastAsia="Book Antiqua" w:hAnsi="Book Antiqua" w:cs="Book Antiqua"/>
          <w:sz w:val="24"/>
          <w:szCs w:val="24"/>
        </w:rPr>
        <w:t>. Conversely, fasting causes a physiological upregulation of ITPR2 expression level</w:t>
      </w:r>
      <w:r w:rsidRPr="000A2A59">
        <w:rPr>
          <w:rFonts w:ascii="Book Antiqua" w:eastAsia="Book Antiqua" w:hAnsi="Book Antiqua" w:cs="Book Antiqua"/>
          <w:sz w:val="24"/>
          <w:szCs w:val="24"/>
          <w:vertAlign w:val="superscript"/>
        </w:rPr>
        <w:t>[70]</w:t>
      </w:r>
      <w:r w:rsidRPr="000A2A59">
        <w:rPr>
          <w:rFonts w:ascii="Book Antiqua" w:eastAsia="Book Antiqua" w:hAnsi="Book Antiqua" w:cs="Book Antiqua"/>
          <w:sz w:val="24"/>
          <w:szCs w:val="24"/>
        </w:rPr>
        <w:t>. It was shown that overnight fasting raises the mRNA and protein levels of ITPR2 in rat hepatocytes. It happens by the activation of cAMP signaling caused by a fast-dependent increase of serum glucagon levels</w:t>
      </w:r>
      <w:r w:rsidRPr="000A2A59">
        <w:rPr>
          <w:rFonts w:ascii="Book Antiqua" w:eastAsia="Book Antiqua" w:hAnsi="Book Antiqua" w:cs="Book Antiqua"/>
          <w:sz w:val="24"/>
          <w:szCs w:val="24"/>
          <w:vertAlign w:val="superscript"/>
        </w:rPr>
        <w:t>[70]</w:t>
      </w:r>
      <w:r w:rsidRPr="000A2A59">
        <w:rPr>
          <w:rFonts w:ascii="Book Antiqua" w:eastAsia="Book Antiqua" w:hAnsi="Book Antiqua" w:cs="Book Antiqua"/>
          <w:sz w:val="24"/>
          <w:szCs w:val="24"/>
        </w:rPr>
        <w:t xml:space="preserve">. </w:t>
      </w:r>
    </w:p>
    <w:p w14:paraId="2071E246" w14:textId="47066C11"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The correct expression level of ITPR2 is also important for hepatocyte proliferation. Downregulation of ITPR2 was observed in obese mice</w:t>
      </w:r>
      <w:r w:rsidRPr="000A2A59">
        <w:rPr>
          <w:rFonts w:ascii="Book Antiqua" w:eastAsia="Book Antiqua" w:hAnsi="Book Antiqua" w:cs="Book Antiqua"/>
          <w:sz w:val="24"/>
          <w:szCs w:val="24"/>
          <w:vertAlign w:val="superscript"/>
        </w:rPr>
        <w:t>[71]</w:t>
      </w:r>
      <w:r w:rsidRPr="000A2A59">
        <w:rPr>
          <w:rFonts w:ascii="Book Antiqua" w:eastAsia="Book Antiqua" w:hAnsi="Book Antiqua" w:cs="Book Antiqua"/>
          <w:sz w:val="24"/>
          <w:szCs w:val="24"/>
        </w:rPr>
        <w:t>, a condition that compromises liver regeneration</w:t>
      </w:r>
      <w:r w:rsidRPr="000A2A59">
        <w:rPr>
          <w:rFonts w:ascii="Book Antiqua" w:eastAsia="Book Antiqua" w:hAnsi="Book Antiqua" w:cs="Book Antiqua"/>
          <w:sz w:val="24"/>
          <w:szCs w:val="24"/>
          <w:vertAlign w:val="superscript"/>
        </w:rPr>
        <w:t>[72]</w:t>
      </w:r>
      <w:r w:rsidRPr="000A2A59">
        <w:rPr>
          <w:rFonts w:ascii="Book Antiqua" w:eastAsia="Book Antiqua" w:hAnsi="Book Antiqua" w:cs="Book Antiqua"/>
          <w:sz w:val="24"/>
          <w:szCs w:val="24"/>
        </w:rPr>
        <w:t>. ITPR2 downregulation was also observed in human liver specimens of patients diagnosed with steatosis and NAFLD, common liver diseases associated with obesity</w:t>
      </w:r>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Recently, the connection between lower expression of ITPR2 and impairment of liver regeneration in some liver diseases was clarified</w:t>
      </w:r>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xml:space="preserve">. In both human biopsies of steatosis and NAFLD, as well as in a </w:t>
      </w:r>
      <w:r w:rsidR="00077386" w:rsidRPr="000A2A59">
        <w:rPr>
          <w:rFonts w:ascii="Book Antiqua" w:eastAsia="Book Antiqua" w:hAnsi="Book Antiqua" w:cs="Book Antiqua"/>
          <w:sz w:val="24"/>
          <w:szCs w:val="24"/>
        </w:rPr>
        <w:t>high fructose diet induced rat model of NAFLD</w:t>
      </w:r>
      <w:r w:rsidR="002754D5" w:rsidRPr="000A2A59">
        <w:rPr>
          <w:rFonts w:ascii="Book Antiqua" w:eastAsia="Book Antiqua" w:hAnsi="Book Antiqua" w:cs="Book Antiqua"/>
          <w:sz w:val="24"/>
          <w:szCs w:val="24"/>
        </w:rPr>
        <w:t>,</w:t>
      </w:r>
      <w:r w:rsidRPr="000A2A59">
        <w:rPr>
          <w:rFonts w:ascii="Book Antiqua" w:eastAsia="Book Antiqua" w:hAnsi="Book Antiqua" w:cs="Book Antiqua"/>
          <w:sz w:val="24"/>
          <w:szCs w:val="24"/>
        </w:rPr>
        <w:t xml:space="preserve"> the transcriptional factor c-Jun activates a pro-inflammatory environment that negatively regulates ITPR2 expression in hepatocytes</w:t>
      </w:r>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As consequence of downregulation of ITPR2, a delay of liver regeneration was observed. Similarly, ITPR2 knockout mice subjected to partial hepatectomy showed more liver damage and decreased proliferation of hepatocytes</w:t>
      </w:r>
      <w:r w:rsidRPr="000A2A59">
        <w:rPr>
          <w:rFonts w:ascii="Book Antiqua" w:eastAsia="Book Antiqua" w:hAnsi="Book Antiqua" w:cs="Book Antiqua"/>
          <w:sz w:val="24"/>
          <w:szCs w:val="24"/>
          <w:vertAlign w:val="superscript"/>
        </w:rPr>
        <w:t>[13]</w:t>
      </w:r>
      <w:r w:rsidR="00451C21" w:rsidRPr="000A2A59">
        <w:rPr>
          <w:rFonts w:ascii="Book Antiqua" w:eastAsia="Book Antiqua" w:hAnsi="Book Antiqua" w:cs="Book Antiqua"/>
          <w:sz w:val="24"/>
          <w:szCs w:val="24"/>
        </w:rPr>
        <w:t xml:space="preserve">. This was a </w:t>
      </w:r>
      <w:r w:rsidRPr="000A2A59">
        <w:rPr>
          <w:rFonts w:ascii="Book Antiqua" w:eastAsia="Book Antiqua" w:hAnsi="Book Antiqua" w:cs="Book Antiqua"/>
          <w:sz w:val="24"/>
          <w:szCs w:val="24"/>
        </w:rPr>
        <w:t>consequence of decreased nuclear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a fundamental event for cell proliferation</w:t>
      </w:r>
      <w:r w:rsidRPr="000A2A59">
        <w:rPr>
          <w:rFonts w:ascii="Book Antiqua" w:eastAsia="Book Antiqua" w:hAnsi="Book Antiqua" w:cs="Book Antiqua"/>
          <w:sz w:val="24"/>
          <w:szCs w:val="24"/>
          <w:vertAlign w:val="superscript"/>
        </w:rPr>
        <w:t>[10,66]</w:t>
      </w:r>
      <w:r w:rsidRPr="000A2A59">
        <w:rPr>
          <w:rFonts w:ascii="Book Antiqua" w:eastAsia="Book Antiqua" w:hAnsi="Book Antiqua" w:cs="Book Antiqua"/>
          <w:sz w:val="24"/>
          <w:szCs w:val="24"/>
        </w:rPr>
        <w:t>. ITPR2-knockout cells markedly reduced nucleoplasmic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and proliferation rates compared to WT cells</w:t>
      </w:r>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w:t>
      </w:r>
    </w:p>
    <w:p w14:paraId="130B4966" w14:textId="51398679"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In cholangiocytes, ITPR2 represents about 10% of total ITPR, and is distributed diffusely throughout the endoplasmic reticulum membrane in the cytosol</w:t>
      </w:r>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Functional studies showed that ITPR2 participates in the bicarbonate secretion by </w:t>
      </w:r>
      <w:r w:rsidRPr="000A2A59">
        <w:rPr>
          <w:rFonts w:ascii="Book Antiqua" w:eastAsia="Book Antiqua" w:hAnsi="Book Antiqua" w:cs="Book Antiqua"/>
          <w:sz w:val="24"/>
          <w:szCs w:val="24"/>
        </w:rPr>
        <w:lastRenderedPageBreak/>
        <w:t>cholangiocytes. As discussed above, ITPR1 and ITPR2 knockdown cholangiocytes show a decrease in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 and a reduction in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-dependent bicarbonate secretion when stimulated by acetylcholine</w:t>
      </w:r>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Similar observations have been made in some cholestatic human diseases. The expression of ITPR2 is dramatically reduced in cholangiocytes from samples of patients with bile duct obstruction and primary biliary cirrhosis</w:t>
      </w:r>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w:t>
      </w:r>
      <w:r w:rsidR="00092F07">
        <w:rPr>
          <w:rFonts w:ascii="Book Antiqua" w:hAnsi="Book Antiqua" w:cs="Book Antiqua" w:hint="eastAsia"/>
          <w:sz w:val="24"/>
          <w:szCs w:val="24"/>
          <w:lang w:eastAsia="zh-CN"/>
        </w:rPr>
        <w:t xml:space="preserve"> </w:t>
      </w:r>
      <w:r w:rsidRPr="000A2A59">
        <w:rPr>
          <w:rFonts w:ascii="Book Antiqua" w:eastAsia="Book Antiqua" w:hAnsi="Book Antiqua" w:cs="Book Antiqua"/>
          <w:sz w:val="24"/>
          <w:szCs w:val="24"/>
        </w:rPr>
        <w:t xml:space="preserve">In summary, the ITPR2 displays an essential function in the liver, regulating bile formation and bicarbonate secretion, as well as regenerating hepatocytes. </w:t>
      </w:r>
    </w:p>
    <w:p w14:paraId="330B8DAC"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5D46BB20" w14:textId="185BCA83" w:rsidR="00D65AC5" w:rsidRPr="00092F07" w:rsidRDefault="00736CA5" w:rsidP="005E5A06">
      <w:pPr>
        <w:adjustRightInd w:val="0"/>
        <w:snapToGrid w:val="0"/>
        <w:spacing w:after="0" w:line="360" w:lineRule="auto"/>
        <w:jc w:val="both"/>
        <w:rPr>
          <w:rFonts w:ascii="Book Antiqua" w:eastAsia="Book Antiqua" w:hAnsi="Book Antiqua" w:cs="Book Antiqua"/>
          <w:b/>
          <w:i/>
          <w:iCs/>
          <w:color w:val="000000"/>
          <w:sz w:val="24"/>
          <w:szCs w:val="24"/>
          <w:highlight w:val="white"/>
        </w:rPr>
      </w:pPr>
      <w:r w:rsidRPr="00092F07">
        <w:rPr>
          <w:rFonts w:ascii="Book Antiqua" w:eastAsia="Book Antiqua" w:hAnsi="Book Antiqua" w:cs="Book Antiqua"/>
          <w:b/>
          <w:i/>
          <w:iCs/>
          <w:color w:val="000000"/>
          <w:sz w:val="24"/>
          <w:szCs w:val="24"/>
          <w:highlight w:val="white"/>
        </w:rPr>
        <w:t xml:space="preserve">ITPR3: </w:t>
      </w:r>
      <w:r w:rsidR="00092F07" w:rsidRPr="00092F07">
        <w:rPr>
          <w:rFonts w:ascii="Book Antiqua" w:eastAsia="Book Antiqua" w:hAnsi="Book Antiqua" w:cs="Book Antiqua"/>
          <w:b/>
          <w:i/>
          <w:iCs/>
          <w:color w:val="000000"/>
          <w:sz w:val="24"/>
          <w:szCs w:val="24"/>
          <w:highlight w:val="white"/>
        </w:rPr>
        <w:t>C</w:t>
      </w:r>
      <w:r w:rsidRPr="00092F07">
        <w:rPr>
          <w:rFonts w:ascii="Book Antiqua" w:eastAsia="Book Antiqua" w:hAnsi="Book Antiqua" w:cs="Book Antiqua"/>
          <w:b/>
          <w:i/>
          <w:iCs/>
          <w:color w:val="000000"/>
          <w:sz w:val="24"/>
          <w:szCs w:val="24"/>
          <w:highlight w:val="white"/>
        </w:rPr>
        <w:t xml:space="preserve">ell proliferation and electrolyte secretion </w:t>
      </w:r>
    </w:p>
    <w:p w14:paraId="7D85AAF0" w14:textId="5F041D4D"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In normal conditions, hepatocytes express ITPR1 and ITPR2 isoforms, but not the ITPR3</w:t>
      </w:r>
      <w:r w:rsidRPr="000A2A59">
        <w:rPr>
          <w:rFonts w:ascii="Book Antiqua" w:eastAsia="Book Antiqua" w:hAnsi="Book Antiqua" w:cs="Book Antiqua"/>
          <w:sz w:val="24"/>
          <w:szCs w:val="24"/>
          <w:vertAlign w:val="superscript"/>
        </w:rPr>
        <w:t>[6]</w:t>
      </w:r>
      <w:r w:rsidRPr="000A2A59">
        <w:rPr>
          <w:rFonts w:ascii="Book Antiqua" w:eastAsia="Book Antiqua" w:hAnsi="Book Antiqua" w:cs="Book Antiqua"/>
          <w:sz w:val="24"/>
          <w:szCs w:val="24"/>
        </w:rPr>
        <w:t>. However, ITPR3 is present in several hepatocellular carcinoma (HCC) cell lines</w:t>
      </w:r>
      <w:r w:rsidRPr="000A2A59">
        <w:rPr>
          <w:rFonts w:ascii="Book Antiqua" w:eastAsia="Book Antiqua" w:hAnsi="Book Antiqua" w:cs="Book Antiqua"/>
          <w:sz w:val="24"/>
          <w:szCs w:val="24"/>
          <w:vertAlign w:val="superscript"/>
        </w:rPr>
        <w:t>[73,74]</w:t>
      </w:r>
      <w:r w:rsidRPr="000A2A59">
        <w:rPr>
          <w:rFonts w:ascii="Book Antiqua" w:eastAsia="Book Antiqua" w:hAnsi="Book Antiqua" w:cs="Book Antiqua"/>
          <w:sz w:val="24"/>
          <w:szCs w:val="24"/>
        </w:rPr>
        <w:t>, as well as in NASH-related HCC</w:t>
      </w:r>
      <w:r w:rsidRPr="000A2A59">
        <w:rPr>
          <w:rFonts w:ascii="Book Antiqua" w:eastAsia="Book Antiqua" w:hAnsi="Book Antiqua" w:cs="Book Antiqua"/>
          <w:sz w:val="24"/>
          <w:szCs w:val="24"/>
          <w:vertAlign w:val="superscript"/>
        </w:rPr>
        <w:t>[75]</w:t>
      </w:r>
      <w:r w:rsidRPr="000A2A59">
        <w:rPr>
          <w:rFonts w:ascii="Book Antiqua" w:eastAsia="Book Antiqua" w:hAnsi="Book Antiqua" w:cs="Book Antiqua"/>
          <w:sz w:val="24"/>
          <w:szCs w:val="24"/>
        </w:rPr>
        <w:t>. The mechanism of the “de novo” ITPR3 expression in hepatocytes in the context of HCC has been partially described and involves epigenetic modification</w:t>
      </w:r>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which represents changes in the genome structure that do not alter the nucleotide sequence. Examples include DNA methylation and histone modification</w:t>
      </w:r>
      <w:r w:rsidRPr="000A2A59">
        <w:rPr>
          <w:rFonts w:ascii="Book Antiqua" w:eastAsia="Book Antiqua" w:hAnsi="Book Antiqua" w:cs="Book Antiqua"/>
          <w:sz w:val="24"/>
          <w:szCs w:val="24"/>
          <w:vertAlign w:val="superscript"/>
        </w:rPr>
        <w:t>[76]</w:t>
      </w:r>
      <w:r w:rsidRPr="000A2A59">
        <w:rPr>
          <w:rFonts w:ascii="Book Antiqua" w:eastAsia="Book Antiqua" w:hAnsi="Book Antiqua" w:cs="Book Antiqua"/>
          <w:sz w:val="24"/>
          <w:szCs w:val="24"/>
        </w:rPr>
        <w:t>. Recently, bioinformatics analysis showed that the ITPR3 promoter region has a large number of CpG islands</w:t>
      </w:r>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xml:space="preserve"> that can be methylated by DNA methyltransferases, resulting in suppression of the gene</w:t>
      </w:r>
      <w:r w:rsidRPr="000A2A59">
        <w:rPr>
          <w:rFonts w:ascii="Book Antiqua" w:eastAsia="Book Antiqua" w:hAnsi="Book Antiqua" w:cs="Book Antiqua"/>
          <w:sz w:val="24"/>
          <w:szCs w:val="24"/>
          <w:vertAlign w:val="superscript"/>
        </w:rPr>
        <w:t>[76,77]</w:t>
      </w:r>
      <w:r w:rsidRPr="000A2A59">
        <w:rPr>
          <w:rFonts w:ascii="Book Antiqua" w:eastAsia="Book Antiqua" w:hAnsi="Book Antiqua" w:cs="Book Antiqua"/>
          <w:sz w:val="24"/>
          <w:szCs w:val="24"/>
        </w:rPr>
        <w:t>. Due to high level of DNA methylation at the ITPR3 promoter region, ITPR3 expression is repressed in hepatocytes under normal conditions. However, the referred methylation level is decreased in patients with HCC, allowing the expression of ITPR3 to be increased under hepatocellular disease conditions</w:t>
      </w:r>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The expression of ITPR3 drives cell proliferation besides preventing the apoptotic cascade activation</w:t>
      </w:r>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events closely related to tumor development. Together, these findings put the ITPR3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 as an essential factor that contributes to the pathogenesis of HCC.</w:t>
      </w:r>
    </w:p>
    <w:p w14:paraId="0BFBC41C" w14:textId="32AB55BE"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Contrary to the normal hepatocytes, cholangiocytes constitutively express all three isoforms of ITPR</w:t>
      </w:r>
      <w:r w:rsidRPr="000A2A59">
        <w:rPr>
          <w:rFonts w:ascii="Book Antiqua" w:eastAsia="Book Antiqua" w:hAnsi="Book Antiqua" w:cs="Book Antiqua"/>
          <w:sz w:val="24"/>
          <w:szCs w:val="24"/>
          <w:vertAlign w:val="superscript"/>
        </w:rPr>
        <w:t>[7]</w:t>
      </w:r>
      <w:r w:rsidRPr="000A2A59">
        <w:rPr>
          <w:rFonts w:ascii="Book Antiqua" w:eastAsia="Book Antiqua" w:hAnsi="Book Antiqua" w:cs="Book Antiqua"/>
          <w:sz w:val="24"/>
          <w:szCs w:val="24"/>
        </w:rPr>
        <w:t>, with the ITPR3 being the most widely expressed, constituting approximately 80% of ITPRs in this cell type. ITPR3 mainly localizes to the apical region of the cholangiocytes in rodents and humans</w:t>
      </w:r>
      <w:r w:rsidRPr="000A2A59">
        <w:rPr>
          <w:rFonts w:ascii="Book Antiqua" w:eastAsia="Book Antiqua" w:hAnsi="Book Antiqua" w:cs="Book Antiqua"/>
          <w:sz w:val="24"/>
          <w:szCs w:val="24"/>
          <w:vertAlign w:val="superscript"/>
        </w:rPr>
        <w:t>[7]</w:t>
      </w:r>
      <w:r w:rsidRPr="000A2A59">
        <w:rPr>
          <w:rFonts w:ascii="Book Antiqua" w:eastAsia="Book Antiqua" w:hAnsi="Book Antiqua" w:cs="Book Antiqua"/>
          <w:sz w:val="24"/>
          <w:szCs w:val="24"/>
        </w:rPr>
        <w:t xml:space="preserve">. This apical localization of ITPR3 in cholangiocytes is important for its physiological function of secreting </w:t>
      </w:r>
      <w:r w:rsidRPr="000A2A59">
        <w:rPr>
          <w:rFonts w:ascii="Book Antiqua" w:eastAsia="Book Antiqua" w:hAnsi="Book Antiqua" w:cs="Book Antiqua"/>
          <w:sz w:val="24"/>
          <w:szCs w:val="24"/>
        </w:rPr>
        <w:lastRenderedPageBreak/>
        <w:t>bicarbonate</w:t>
      </w:r>
      <w:r w:rsidRPr="000A2A59">
        <w:rPr>
          <w:rFonts w:ascii="Book Antiqua" w:eastAsia="Book Antiqua" w:hAnsi="Book Antiqua" w:cs="Book Antiqua"/>
          <w:sz w:val="24"/>
          <w:szCs w:val="24"/>
          <w:vertAlign w:val="superscript"/>
        </w:rPr>
        <w:t>[78]</w:t>
      </w:r>
      <w:r w:rsidRPr="000A2A59">
        <w:rPr>
          <w:rFonts w:ascii="Book Antiqua" w:eastAsia="Book Antiqua" w:hAnsi="Book Antiqua" w:cs="Book Antiqua"/>
          <w:sz w:val="24"/>
          <w:szCs w:val="24"/>
        </w:rPr>
        <w:t>. It was shown that downregulation of ITPR3 selectively disturbs the cAMP-induced bicarbonate secretion</w:t>
      </w:r>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Different from ITPR1 and ITPR2, in which the bicarbonate secretion is dependent on activation of muscarinic acetylcholine receptors, ITPR3 leads to bicarbonate secretion by a cAMP-dependent cascade, wherein activation of secretin receptor indirectly s</w:t>
      </w:r>
      <w:r w:rsidR="00451C21" w:rsidRPr="000A2A59">
        <w:rPr>
          <w:rFonts w:ascii="Book Antiqua" w:eastAsia="Book Antiqua" w:hAnsi="Book Antiqua" w:cs="Book Antiqua"/>
          <w:sz w:val="24"/>
          <w:szCs w:val="24"/>
        </w:rPr>
        <w:t xml:space="preserve">timulates InsP3 production and </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release via ITPR3</w:t>
      </w:r>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xml:space="preserve">. </w:t>
      </w:r>
    </w:p>
    <w:p w14:paraId="549F10A8" w14:textId="3BE4F0EF"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As described above to the other ITPR isoforms, the ITPR3 expression is progressively decreased in BLD cholestasis rat model. Downregulation of ITPR3 was also observed after acute cholestasis, such as the endotoxin mouse model, as well as in chronic cholestatic disease in human, </w:t>
      </w:r>
      <w:r w:rsidRPr="00092F07">
        <w:rPr>
          <w:rFonts w:ascii="Book Antiqua" w:eastAsia="Book Antiqua" w:hAnsi="Book Antiqua" w:cs="Book Antiqua"/>
          <w:i/>
          <w:iCs/>
          <w:sz w:val="24"/>
          <w:szCs w:val="24"/>
        </w:rPr>
        <w:t>e.g.</w:t>
      </w:r>
      <w:r w:rsidR="00092F07">
        <w:rPr>
          <w:rFonts w:ascii="Book Antiqua" w:eastAsia="Book Antiqua" w:hAnsi="Book Antiqua" w:cs="Book Antiqua"/>
          <w:sz w:val="24"/>
          <w:szCs w:val="24"/>
        </w:rPr>
        <w:t>,</w:t>
      </w:r>
      <w:r w:rsidRPr="000A2A59">
        <w:rPr>
          <w:rFonts w:ascii="Book Antiqua" w:eastAsia="Book Antiqua" w:hAnsi="Book Antiqua" w:cs="Book Antiqua"/>
          <w:sz w:val="24"/>
          <w:szCs w:val="24"/>
        </w:rPr>
        <w:t xml:space="preserve"> bile duct obstruction, biliary atresia, primary biliary cirrhosis, sclerosing cholangitis, and autoimmune cholestatic</w:t>
      </w:r>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w:t>
      </w:r>
    </w:p>
    <w:p w14:paraId="754ED67E" w14:textId="4FB8CC2C"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bookmarkStart w:id="51" w:name="_3rdcrjn" w:colFirst="0" w:colLast="0"/>
      <w:bookmarkEnd w:id="51"/>
      <w:r w:rsidRPr="000A2A59">
        <w:rPr>
          <w:rFonts w:ascii="Book Antiqua" w:eastAsia="Book Antiqua" w:hAnsi="Book Antiqua" w:cs="Book Antiqua"/>
          <w:sz w:val="24"/>
          <w:szCs w:val="24"/>
        </w:rPr>
        <w:t>Several intracellular mechanisms have already been elucidated as being responsible for the loss of ITPR3 in cholangiocytes under pathological conditions. It was demonstrated for instance that LPS inoculation activates Toll like receptor 4 in cholangiocytes and, consequently, the transcription factor NF-κB. NF-κB then associates to the ITPR3 promoter region, inhibiting its expression in cholangiocytes. This mechanism is responsible for the loss of ITPR3 in patients affected by cholestasis due to sepsis or severe alcoholic hepatitis</w:t>
      </w:r>
      <w:r w:rsidRPr="000A2A59">
        <w:rPr>
          <w:rFonts w:ascii="Book Antiqua" w:eastAsia="Book Antiqua" w:hAnsi="Book Antiqua" w:cs="Book Antiqua"/>
          <w:sz w:val="24"/>
          <w:szCs w:val="24"/>
          <w:vertAlign w:val="superscript"/>
        </w:rPr>
        <w:t>[79]</w:t>
      </w:r>
      <w:r w:rsidRPr="000A2A59">
        <w:rPr>
          <w:rFonts w:ascii="Book Antiqua" w:eastAsia="Book Antiqua" w:hAnsi="Book Antiqua" w:cs="Book Antiqua"/>
          <w:sz w:val="24"/>
          <w:szCs w:val="24"/>
        </w:rPr>
        <w:t>. In cholangiopathies under oxidative stress conditions, including sclerosing cholangitis, primary biliary cholangitis, primary biliary obstruction and biliary atresia, the nuclear erythroid 2-like transcription factor 2 (Nrf2) is activated, acting negatively on ITPR3 expression</w:t>
      </w:r>
      <w:r w:rsidRPr="000A2A59">
        <w:rPr>
          <w:rFonts w:ascii="Book Antiqua" w:eastAsia="Book Antiqua" w:hAnsi="Book Antiqua" w:cs="Book Antiqua"/>
          <w:sz w:val="24"/>
          <w:szCs w:val="24"/>
          <w:vertAlign w:val="superscript"/>
        </w:rPr>
        <w:t>[80]</w:t>
      </w:r>
      <w:r w:rsidRPr="000A2A59">
        <w:rPr>
          <w:rFonts w:ascii="Book Antiqua" w:eastAsia="Book Antiqua" w:hAnsi="Book Antiqua" w:cs="Book Antiqua"/>
          <w:sz w:val="24"/>
          <w:szCs w:val="24"/>
        </w:rPr>
        <w:t>. Finally, the ITPR3 expression is also negatively regulated by the microRNA miR-506 in patients with primary biliary cholangitis</w:t>
      </w:r>
      <w:r w:rsidRPr="000A2A59">
        <w:rPr>
          <w:rFonts w:ascii="Book Antiqua" w:eastAsia="Book Antiqua" w:hAnsi="Book Antiqua" w:cs="Book Antiqua"/>
          <w:sz w:val="24"/>
          <w:szCs w:val="24"/>
          <w:vertAlign w:val="superscript"/>
        </w:rPr>
        <w:t>[81]</w:t>
      </w:r>
      <w:r w:rsidRPr="000A2A59">
        <w:rPr>
          <w:rFonts w:ascii="Book Antiqua" w:eastAsia="Book Antiqua" w:hAnsi="Book Antiqua" w:cs="Book Antiqua"/>
          <w:sz w:val="24"/>
          <w:szCs w:val="24"/>
        </w:rPr>
        <w:t>.</w:t>
      </w:r>
    </w:p>
    <w:p w14:paraId="6C879B54" w14:textId="06C259FE"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Conversely to the downregulation of ITPR3 in cholangiopathies and cholestasis, this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 becomes over-expressed in cholangiocarcinoma</w:t>
      </w:r>
      <w:r w:rsidRPr="000A2A59">
        <w:rPr>
          <w:rFonts w:ascii="Book Antiqua" w:eastAsia="Book Antiqua" w:hAnsi="Book Antiqua" w:cs="Book Antiqua"/>
          <w:sz w:val="24"/>
          <w:szCs w:val="24"/>
          <w:vertAlign w:val="superscript"/>
        </w:rPr>
        <w:t>[</w:t>
      </w:r>
      <w:bookmarkStart w:id="52" w:name="_GoBack"/>
      <w:r w:rsidRPr="000A2A59">
        <w:rPr>
          <w:rFonts w:ascii="Book Antiqua" w:eastAsia="Book Antiqua" w:hAnsi="Book Antiqua" w:cs="Book Antiqua"/>
          <w:sz w:val="24"/>
          <w:szCs w:val="24"/>
          <w:vertAlign w:val="superscript"/>
        </w:rPr>
        <w:t>82]</w:t>
      </w:r>
      <w:bookmarkEnd w:id="52"/>
      <w:r w:rsidRPr="000A2A59">
        <w:rPr>
          <w:rFonts w:ascii="Book Antiqua" w:eastAsia="Book Antiqua" w:hAnsi="Book Antiqua" w:cs="Book Antiqua"/>
          <w:sz w:val="24"/>
          <w:szCs w:val="24"/>
        </w:rPr>
        <w:t>. ITPR3 accumulates in ER-mitochondrial junctions in cholangiocarcinoma cell lines, increasing mitochondrial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Moreover, ITPR3 increases nuclear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in cholangiocarcinoma, which contributes to cell proliferation, migration, and survival</w:t>
      </w:r>
      <w:r w:rsidRPr="000A2A59">
        <w:rPr>
          <w:rFonts w:ascii="Book Antiqua" w:eastAsia="Book Antiqua" w:hAnsi="Book Antiqua" w:cs="Book Antiqua"/>
          <w:sz w:val="24"/>
          <w:szCs w:val="24"/>
          <w:vertAlign w:val="superscript"/>
        </w:rPr>
        <w:t>[82]</w:t>
      </w:r>
      <w:r w:rsidRPr="000A2A59">
        <w:rPr>
          <w:rFonts w:ascii="Book Antiqua" w:eastAsia="Book Antiqua" w:hAnsi="Book Antiqua" w:cs="Book Antiqua"/>
          <w:sz w:val="24"/>
          <w:szCs w:val="24"/>
        </w:rPr>
        <w:t>.</w:t>
      </w:r>
    </w:p>
    <w:p w14:paraId="295ED396" w14:textId="77777777"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Together, these findings show that ITPR3 is absent in healthy hepatocytes but is expressed in HCC and indicates that it as a target to understand liver cancer and its </w:t>
      </w:r>
      <w:r w:rsidRPr="000A2A59">
        <w:rPr>
          <w:rFonts w:ascii="Book Antiqua" w:eastAsia="Book Antiqua" w:hAnsi="Book Antiqua" w:cs="Book Antiqua"/>
          <w:sz w:val="24"/>
          <w:szCs w:val="24"/>
        </w:rPr>
        <w:lastRenderedPageBreak/>
        <w:t xml:space="preserve">clinical implications. On the other hand, in cholangiocytes, ITPR3 is crucial to bile formation and the decrease in its expression causes cholestasis, observed in many liver diseases, while it is over-expressed in cholangiocarcinoma, contributing to malignant features, such as cell proliferation, migration and survival. </w:t>
      </w:r>
    </w:p>
    <w:p w14:paraId="33EC1320" w14:textId="77777777" w:rsidR="00092F07" w:rsidRDefault="00092F07" w:rsidP="00092F07">
      <w:pPr>
        <w:adjustRightInd w:val="0"/>
        <w:snapToGrid w:val="0"/>
        <w:spacing w:after="0" w:line="360" w:lineRule="auto"/>
        <w:jc w:val="both"/>
        <w:rPr>
          <w:rFonts w:ascii="Book Antiqua" w:eastAsia="Book Antiqua" w:hAnsi="Book Antiqua" w:cs="Book Antiqua"/>
          <w:b/>
          <w:sz w:val="24"/>
          <w:szCs w:val="24"/>
        </w:rPr>
      </w:pPr>
    </w:p>
    <w:p w14:paraId="277B9AD3" w14:textId="07B13287" w:rsidR="00D65AC5" w:rsidRPr="00092F07" w:rsidRDefault="00736CA5" w:rsidP="00092F07">
      <w:pPr>
        <w:adjustRightInd w:val="0"/>
        <w:snapToGrid w:val="0"/>
        <w:spacing w:after="0" w:line="360" w:lineRule="auto"/>
        <w:jc w:val="both"/>
        <w:rPr>
          <w:rFonts w:ascii="Book Antiqua" w:eastAsia="Book Antiqua" w:hAnsi="Book Antiqua" w:cs="Book Antiqua"/>
          <w:b/>
          <w:sz w:val="24"/>
          <w:szCs w:val="24"/>
        </w:rPr>
      </w:pPr>
      <w:r w:rsidRPr="00092F07">
        <w:rPr>
          <w:rFonts w:ascii="Book Antiqua" w:eastAsia="Book Antiqua" w:hAnsi="Book Antiqua" w:cs="Book Antiqua"/>
          <w:b/>
          <w:sz w:val="24"/>
          <w:szCs w:val="24"/>
        </w:rPr>
        <w:t>CONCLUSION</w:t>
      </w:r>
    </w:p>
    <w:p w14:paraId="4BEF585C" w14:textId="581D0BEE" w:rsidR="00D65AC5"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In this review, we described several evidences of the role of the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and consequently the activity of ITPRs, in normal liver functions.</w:t>
      </w:r>
      <w:r w:rsidR="00325AC0" w:rsidRPr="000A2A59">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Mislocalization and/or change in expression level of these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channels have been directly related to some liver disease (summarized in </w:t>
      </w:r>
      <w:r w:rsidRPr="00092F07">
        <w:rPr>
          <w:rFonts w:ascii="Book Antiqua" w:eastAsia="Book Antiqua" w:hAnsi="Book Antiqua" w:cs="Book Antiqua"/>
          <w:bCs/>
          <w:sz w:val="24"/>
          <w:szCs w:val="24"/>
        </w:rPr>
        <w:t>Figure 5</w:t>
      </w:r>
      <w:r w:rsidRPr="000A2A59">
        <w:rPr>
          <w:rFonts w:ascii="Book Antiqua" w:eastAsia="Book Antiqua" w:hAnsi="Book Antiqua" w:cs="Book Antiqua"/>
          <w:sz w:val="24"/>
          <w:szCs w:val="24"/>
        </w:rPr>
        <w:t>)</w:t>
      </w:r>
      <w:r w:rsidR="00D70DE5" w:rsidRPr="000A2A59">
        <w:rPr>
          <w:rFonts w:ascii="Book Antiqua" w:eastAsia="Book Antiqua" w:hAnsi="Book Antiqua" w:cs="Book Antiqua"/>
          <w:sz w:val="24"/>
          <w:szCs w:val="24"/>
        </w:rPr>
        <w:t xml:space="preserve">. </w:t>
      </w:r>
      <w:r w:rsidR="00D70DE5" w:rsidRPr="00092F07">
        <w:rPr>
          <w:rFonts w:ascii="Book Antiqua" w:eastAsia="Book Antiqua" w:hAnsi="Book Antiqua" w:cs="Book Antiqua"/>
          <w:sz w:val="24"/>
          <w:szCs w:val="24"/>
        </w:rPr>
        <w:t>The alterations ITPR expression and localization point these Ca</w:t>
      </w:r>
      <w:r w:rsidR="00D70DE5" w:rsidRPr="00092F07">
        <w:rPr>
          <w:rFonts w:ascii="Book Antiqua" w:eastAsia="Book Antiqua" w:hAnsi="Book Antiqua" w:cs="Book Antiqua"/>
          <w:sz w:val="24"/>
          <w:szCs w:val="24"/>
          <w:vertAlign w:val="superscript"/>
        </w:rPr>
        <w:t>2+</w:t>
      </w:r>
      <w:r w:rsidR="00D70DE5" w:rsidRPr="00092F07">
        <w:rPr>
          <w:rFonts w:ascii="Book Antiqua" w:eastAsia="Book Antiqua" w:hAnsi="Book Antiqua" w:cs="Book Antiqua"/>
          <w:sz w:val="24"/>
          <w:szCs w:val="24"/>
        </w:rPr>
        <w:t xml:space="preserve"> channels as a</w:t>
      </w:r>
      <w:r w:rsidR="008B15D6" w:rsidRPr="00092F07">
        <w:rPr>
          <w:rFonts w:ascii="Book Antiqua" w:eastAsia="Book Antiqua" w:hAnsi="Book Antiqua" w:cs="Book Antiqua"/>
          <w:sz w:val="24"/>
          <w:szCs w:val="24"/>
        </w:rPr>
        <w:t xml:space="preserve"> </w:t>
      </w:r>
      <w:r w:rsidR="00D70DE5" w:rsidRPr="00092F07">
        <w:rPr>
          <w:rFonts w:ascii="Book Antiqua" w:eastAsia="Book Antiqua" w:hAnsi="Book Antiqua" w:cs="Book Antiqua"/>
          <w:sz w:val="24"/>
          <w:szCs w:val="24"/>
        </w:rPr>
        <w:t>valuable biomarker for prediction and prognosis of hepatic disease. In addition to diagnosis for liver diseases, ITPR would be a rational target for these pathological conditions</w:t>
      </w:r>
      <w:r w:rsidR="00D70DE5" w:rsidRPr="000A2A59">
        <w:rPr>
          <w:rFonts w:ascii="Book Antiqua" w:eastAsia="Book Antiqua" w:hAnsi="Book Antiqua" w:cs="Book Antiqua"/>
          <w:sz w:val="24"/>
          <w:szCs w:val="24"/>
        </w:rPr>
        <w:t>. E</w:t>
      </w:r>
      <w:r w:rsidRPr="000A2A59">
        <w:rPr>
          <w:rFonts w:ascii="Book Antiqua" w:eastAsia="Book Antiqua" w:hAnsi="Book Antiqua" w:cs="Book Antiqua"/>
          <w:sz w:val="24"/>
          <w:szCs w:val="24"/>
        </w:rPr>
        <w:t>pigenetic modification, pro-inflammatory transcription factors and miRNA have already been associated to the modulation of ITPR expression</w:t>
      </w:r>
      <w:r w:rsidR="008B15D6" w:rsidRPr="000A2A59">
        <w:rPr>
          <w:rFonts w:ascii="Book Antiqua" w:eastAsia="Book Antiqua" w:hAnsi="Book Antiqua" w:cs="Book Antiqua"/>
          <w:sz w:val="24"/>
          <w:szCs w:val="24"/>
        </w:rPr>
        <w:t xml:space="preserve"> in pathological conditions</w:t>
      </w:r>
      <w:r w:rsidRPr="000A2A59">
        <w:rPr>
          <w:rFonts w:ascii="Book Antiqua" w:eastAsia="Book Antiqua" w:hAnsi="Book Antiqua" w:cs="Book Antiqua"/>
          <w:sz w:val="24"/>
          <w:szCs w:val="24"/>
        </w:rPr>
        <w:t>. However, this field remains to be better explored to elucidate the upstream cascade that drives ITPR expression alterations. Better understanding of this pathway could open the perspective of developing pharmacological strategies for liver diseases, specifically targeting each ITPR isoforms.</w:t>
      </w:r>
    </w:p>
    <w:p w14:paraId="2353734A" w14:textId="537AB074" w:rsidR="00092F07" w:rsidRDefault="00092F07" w:rsidP="005E5A06">
      <w:pPr>
        <w:adjustRightInd w:val="0"/>
        <w:snapToGrid w:val="0"/>
        <w:spacing w:after="0" w:line="360" w:lineRule="auto"/>
        <w:jc w:val="both"/>
        <w:rPr>
          <w:rFonts w:ascii="Book Antiqua" w:eastAsia="Book Antiqua" w:hAnsi="Book Antiqua" w:cs="Book Antiqua"/>
          <w:sz w:val="24"/>
          <w:szCs w:val="24"/>
        </w:rPr>
      </w:pPr>
    </w:p>
    <w:p w14:paraId="622B42BB" w14:textId="77C10774" w:rsidR="00092F07" w:rsidRPr="000A2A59" w:rsidRDefault="00092F07" w:rsidP="00092F07">
      <w:pPr>
        <w:widowControl w:val="0"/>
        <w:adjustRightInd w:val="0"/>
        <w:snapToGrid w:val="0"/>
        <w:spacing w:after="0" w:line="360" w:lineRule="auto"/>
        <w:jc w:val="both"/>
        <w:rPr>
          <w:rFonts w:ascii="Book Antiqua" w:eastAsia="Book Antiqua" w:hAnsi="Book Antiqua" w:cs="Book Antiqua"/>
          <w:b/>
          <w:sz w:val="24"/>
          <w:szCs w:val="24"/>
        </w:rPr>
      </w:pPr>
      <w:r w:rsidRPr="00092F07">
        <w:rPr>
          <w:rFonts w:ascii="Book Antiqua" w:eastAsia="Book Antiqua" w:hAnsi="Book Antiqua" w:cs="Book Antiqua"/>
          <w:b/>
          <w:sz w:val="24"/>
          <w:szCs w:val="24"/>
        </w:rPr>
        <w:t>ACKNOWLEDGEMENTS</w:t>
      </w:r>
    </w:p>
    <w:p w14:paraId="24D0326D" w14:textId="21FA683B" w:rsidR="00092F07" w:rsidRPr="000A2A59" w:rsidRDefault="00092F07" w:rsidP="00092F07">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We thank Dr Christopher Kushmerick (Universidade Federal de Minas Gerais), Mr Sriram Amirneni (University of Pittsburgh) and Dr Michael Nathanson (Yale University) for generously providing many useful suggestions and comments on the manuscript. Fellowship and scholarships are acknowledged from Conselho Nacional de Desenvolvimento Científico e Tecnológico and Coordenação de Aperfeiçoamento de Pessoal.</w:t>
      </w:r>
    </w:p>
    <w:p w14:paraId="28C42D8E" w14:textId="6FD55AB6" w:rsidR="00092F07" w:rsidRDefault="00092F07">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14:paraId="61E01643" w14:textId="40644DEA" w:rsidR="00D65AC5" w:rsidRPr="000A2A59" w:rsidRDefault="00092F07" w:rsidP="005E5A06">
      <w:pPr>
        <w:adjustRightInd w:val="0"/>
        <w:snapToGrid w:val="0"/>
        <w:spacing w:after="0" w:line="360" w:lineRule="auto"/>
        <w:jc w:val="both"/>
        <w:rPr>
          <w:rFonts w:ascii="Book Antiqua" w:eastAsia="Book Antiqua" w:hAnsi="Book Antiqua" w:cs="Book Antiqua"/>
          <w:sz w:val="24"/>
          <w:szCs w:val="24"/>
        </w:rPr>
      </w:pPr>
      <w:r w:rsidRPr="00092F07">
        <w:rPr>
          <w:rFonts w:ascii="Book Antiqua" w:eastAsia="Book Antiqua" w:hAnsi="Book Antiqua" w:cs="Book Antiqua"/>
          <w:b/>
          <w:sz w:val="24"/>
          <w:szCs w:val="24"/>
        </w:rPr>
        <w:lastRenderedPageBreak/>
        <w:t>REFERENCES</w:t>
      </w:r>
    </w:p>
    <w:p w14:paraId="4865E53D" w14:textId="684D8F6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bookmarkStart w:id="53" w:name="OLE_LINK10"/>
      <w:r w:rsidRPr="00092F07">
        <w:rPr>
          <w:rFonts w:ascii="Book Antiqua" w:eastAsia="Book Antiqua" w:hAnsi="Book Antiqua" w:cs="Book Antiqua"/>
          <w:color w:val="000000"/>
          <w:sz w:val="24"/>
          <w:szCs w:val="24"/>
        </w:rPr>
        <w:t xml:space="preserve">1 </w:t>
      </w:r>
      <w:r w:rsidRPr="00092F07">
        <w:rPr>
          <w:rFonts w:ascii="Book Antiqua" w:eastAsia="Book Antiqua" w:hAnsi="Book Antiqua" w:cs="Book Antiqua"/>
          <w:b/>
          <w:color w:val="000000"/>
          <w:sz w:val="24"/>
          <w:szCs w:val="24"/>
        </w:rPr>
        <w:t>Han HS</w:t>
      </w:r>
      <w:r w:rsidRPr="00092F07">
        <w:rPr>
          <w:rFonts w:ascii="Book Antiqua" w:eastAsia="Book Antiqua" w:hAnsi="Book Antiqua" w:cs="Book Antiqua"/>
          <w:color w:val="000000"/>
          <w:sz w:val="24"/>
          <w:szCs w:val="24"/>
        </w:rPr>
        <w:t xml:space="preserve">, Kang G, Kim JS, Choi BH, Koo SH. Regulation of glucose metabolism from a liver-centric perspective. </w:t>
      </w:r>
      <w:r w:rsidRPr="00092F07">
        <w:rPr>
          <w:rFonts w:ascii="Book Antiqua" w:eastAsia="Book Antiqua" w:hAnsi="Book Antiqua" w:cs="Book Antiqua"/>
          <w:i/>
          <w:color w:val="000000"/>
          <w:sz w:val="24"/>
          <w:szCs w:val="24"/>
        </w:rPr>
        <w:t>Exp Mol Med</w:t>
      </w:r>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48</w:t>
      </w:r>
      <w:r w:rsidRPr="00092F07">
        <w:rPr>
          <w:rFonts w:ascii="Book Antiqua" w:eastAsia="Book Antiqua" w:hAnsi="Book Antiqua" w:cs="Book Antiqua"/>
          <w:color w:val="000000"/>
          <w:sz w:val="24"/>
          <w:szCs w:val="24"/>
        </w:rPr>
        <w:t>: e218 [PMID: 26964834</w:t>
      </w:r>
      <w:r w:rsidR="005C4501">
        <w:rPr>
          <w:rFonts w:ascii="Book Antiqua" w:eastAsia="Book Antiqua" w:hAnsi="Book Antiqua" w:cs="Book Antiqua"/>
          <w:color w:val="000000"/>
          <w:sz w:val="24"/>
          <w:szCs w:val="24"/>
        </w:rPr>
        <w:t xml:space="preserve"> </w:t>
      </w:r>
      <w:bookmarkStart w:id="54" w:name="OLE_LINK6"/>
      <w:bookmarkStart w:id="55" w:name="OLE_LINK7"/>
      <w:r w:rsidR="005C4501">
        <w:rPr>
          <w:rFonts w:ascii="Book Antiqua" w:eastAsia="Book Antiqua" w:hAnsi="Book Antiqua" w:cs="Book Antiqua"/>
          <w:color w:val="000000"/>
          <w:sz w:val="24"/>
          <w:szCs w:val="24"/>
        </w:rPr>
        <w:t xml:space="preserve">DOI: </w:t>
      </w:r>
      <w:r w:rsidR="005C4501" w:rsidRPr="005C4501">
        <w:rPr>
          <w:rFonts w:ascii="Book Antiqua" w:eastAsia="Book Antiqua" w:hAnsi="Book Antiqua" w:cs="Book Antiqua"/>
          <w:color w:val="000000"/>
          <w:sz w:val="24"/>
          <w:szCs w:val="24"/>
        </w:rPr>
        <w:t>10.1038/emm.2015.122</w:t>
      </w:r>
      <w:bookmarkEnd w:id="54"/>
      <w:bookmarkEnd w:id="55"/>
      <w:r w:rsidRPr="00092F07">
        <w:rPr>
          <w:rFonts w:ascii="Book Antiqua" w:eastAsia="Book Antiqua" w:hAnsi="Book Antiqua" w:cs="Book Antiqua"/>
          <w:color w:val="000000"/>
          <w:sz w:val="24"/>
          <w:szCs w:val="24"/>
        </w:rPr>
        <w:t>]</w:t>
      </w:r>
    </w:p>
    <w:p w14:paraId="08182929" w14:textId="7629EA5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 </w:t>
      </w:r>
      <w:r w:rsidRPr="00092F07">
        <w:rPr>
          <w:rFonts w:ascii="Book Antiqua" w:eastAsia="Book Antiqua" w:hAnsi="Book Antiqua" w:cs="Book Antiqua"/>
          <w:b/>
          <w:color w:val="000000"/>
          <w:sz w:val="24"/>
          <w:szCs w:val="24"/>
        </w:rPr>
        <w:t>Robinson MW</w:t>
      </w:r>
      <w:r w:rsidRPr="00092F07">
        <w:rPr>
          <w:rFonts w:ascii="Book Antiqua" w:eastAsia="Book Antiqua" w:hAnsi="Book Antiqua" w:cs="Book Antiqua"/>
          <w:color w:val="000000"/>
          <w:sz w:val="24"/>
          <w:szCs w:val="24"/>
        </w:rPr>
        <w:t xml:space="preserve">, Harmon C, O'Farrelly C. Liver immunology and its role in inflammation and homeostasis. </w:t>
      </w:r>
      <w:r w:rsidRPr="00092F07">
        <w:rPr>
          <w:rFonts w:ascii="Book Antiqua" w:eastAsia="Book Antiqua" w:hAnsi="Book Antiqua" w:cs="Book Antiqua"/>
          <w:i/>
          <w:color w:val="000000"/>
          <w:sz w:val="24"/>
          <w:szCs w:val="24"/>
        </w:rPr>
        <w:t>Cell Mol Immunol</w:t>
      </w:r>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13</w:t>
      </w:r>
      <w:r w:rsidRPr="00092F07">
        <w:rPr>
          <w:rFonts w:ascii="Book Antiqua" w:eastAsia="Book Antiqua" w:hAnsi="Book Antiqua" w:cs="Book Antiqua"/>
          <w:color w:val="000000"/>
          <w:sz w:val="24"/>
          <w:szCs w:val="24"/>
        </w:rPr>
        <w:t>: 267-276 [PMID: 27063467</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10.1038/cmi.2016.3</w:t>
      </w:r>
      <w:r w:rsidRPr="00092F07">
        <w:rPr>
          <w:rFonts w:ascii="Book Antiqua" w:eastAsia="Book Antiqua" w:hAnsi="Book Antiqua" w:cs="Book Antiqua"/>
          <w:color w:val="000000"/>
          <w:sz w:val="24"/>
          <w:szCs w:val="24"/>
        </w:rPr>
        <w:t>]</w:t>
      </w:r>
    </w:p>
    <w:p w14:paraId="21EFAEC3" w14:textId="638CAD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 </w:t>
      </w:r>
      <w:r w:rsidRPr="00092F07">
        <w:rPr>
          <w:rFonts w:ascii="Book Antiqua" w:eastAsia="Book Antiqua" w:hAnsi="Book Antiqua" w:cs="Book Antiqua"/>
          <w:b/>
          <w:color w:val="000000"/>
          <w:sz w:val="24"/>
          <w:szCs w:val="24"/>
        </w:rPr>
        <w:t>Bechmann LP</w:t>
      </w:r>
      <w:r w:rsidRPr="00092F07">
        <w:rPr>
          <w:rFonts w:ascii="Book Antiqua" w:eastAsia="Book Antiqua" w:hAnsi="Book Antiqua" w:cs="Book Antiqua"/>
          <w:color w:val="000000"/>
          <w:sz w:val="24"/>
          <w:szCs w:val="24"/>
        </w:rPr>
        <w:t xml:space="preserve">, Hannivoort RA, Gerken G, Hotamisligil GS, Trauner M, Canbay A. The interaction of hepatic lipid and glucose metabolism in liver diseases. </w:t>
      </w:r>
      <w:r w:rsidRPr="00092F07">
        <w:rPr>
          <w:rFonts w:ascii="Book Antiqua" w:eastAsia="Book Antiqua" w:hAnsi="Book Antiqua" w:cs="Book Antiqua"/>
          <w:i/>
          <w:color w:val="000000"/>
          <w:sz w:val="24"/>
          <w:szCs w:val="24"/>
        </w:rPr>
        <w:t>J Hepatol</w:t>
      </w:r>
      <w:r w:rsidRPr="00092F07">
        <w:rPr>
          <w:rFonts w:ascii="Book Antiqua" w:eastAsia="Book Antiqua" w:hAnsi="Book Antiqua" w:cs="Book Antiqua"/>
          <w:color w:val="000000"/>
          <w:sz w:val="24"/>
          <w:szCs w:val="24"/>
        </w:rPr>
        <w:t xml:space="preserve"> 2012; </w:t>
      </w:r>
      <w:r w:rsidRPr="00092F07">
        <w:rPr>
          <w:rFonts w:ascii="Book Antiqua" w:eastAsia="Book Antiqua" w:hAnsi="Book Antiqua" w:cs="Book Antiqua"/>
          <w:b/>
          <w:color w:val="000000"/>
          <w:sz w:val="24"/>
          <w:szCs w:val="24"/>
        </w:rPr>
        <w:t>56</w:t>
      </w:r>
      <w:r w:rsidRPr="00092F07">
        <w:rPr>
          <w:rFonts w:ascii="Book Antiqua" w:eastAsia="Book Antiqua" w:hAnsi="Book Antiqua" w:cs="Book Antiqua"/>
          <w:color w:val="000000"/>
          <w:sz w:val="24"/>
          <w:szCs w:val="24"/>
        </w:rPr>
        <w:t>: 952-964 [PMID: 22173168</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10.1016/j.jhep.2011.08.025</w:t>
      </w:r>
      <w:r w:rsidRPr="00092F07">
        <w:rPr>
          <w:rFonts w:ascii="Book Antiqua" w:eastAsia="Book Antiqua" w:hAnsi="Book Antiqua" w:cs="Book Antiqua"/>
          <w:color w:val="000000"/>
          <w:sz w:val="24"/>
          <w:szCs w:val="24"/>
        </w:rPr>
        <w:t>]</w:t>
      </w:r>
    </w:p>
    <w:p w14:paraId="03103068" w14:textId="6C7A9F8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 </w:t>
      </w:r>
      <w:r w:rsidRPr="00092F07">
        <w:rPr>
          <w:rFonts w:ascii="Book Antiqua" w:eastAsia="Book Antiqua" w:hAnsi="Book Antiqua" w:cs="Book Antiqua"/>
          <w:b/>
          <w:color w:val="000000"/>
          <w:sz w:val="24"/>
          <w:szCs w:val="24"/>
        </w:rPr>
        <w:t>Chiang JYL</w:t>
      </w:r>
      <w:r w:rsidRPr="00092F07">
        <w:rPr>
          <w:rFonts w:ascii="Book Antiqua" w:eastAsia="Book Antiqua" w:hAnsi="Book Antiqua" w:cs="Book Antiqua"/>
          <w:color w:val="000000"/>
          <w:sz w:val="24"/>
          <w:szCs w:val="24"/>
        </w:rPr>
        <w:t xml:space="preserve">, Ferrell JM. Bile Acid Metabolism in Liver Pathobiology. </w:t>
      </w:r>
      <w:r w:rsidRPr="00092F07">
        <w:rPr>
          <w:rFonts w:ascii="Book Antiqua" w:eastAsia="Book Antiqua" w:hAnsi="Book Antiqua" w:cs="Book Antiqua"/>
          <w:i/>
          <w:color w:val="000000"/>
          <w:sz w:val="24"/>
          <w:szCs w:val="24"/>
        </w:rPr>
        <w:t>Gene Expr</w:t>
      </w:r>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18</w:t>
      </w:r>
      <w:r w:rsidRPr="00092F07">
        <w:rPr>
          <w:rFonts w:ascii="Book Antiqua" w:eastAsia="Book Antiqua" w:hAnsi="Book Antiqua" w:cs="Book Antiqua"/>
          <w:color w:val="000000"/>
          <w:sz w:val="24"/>
          <w:szCs w:val="24"/>
        </w:rPr>
        <w:t>: 71-87 [PMID: 29325602</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10.3727/105221618X15156018385515</w:t>
      </w:r>
      <w:r w:rsidRPr="00092F07">
        <w:rPr>
          <w:rFonts w:ascii="Book Antiqua" w:eastAsia="Book Antiqua" w:hAnsi="Book Antiqua" w:cs="Book Antiqua"/>
          <w:color w:val="000000"/>
          <w:sz w:val="24"/>
          <w:szCs w:val="24"/>
        </w:rPr>
        <w:t>]</w:t>
      </w:r>
    </w:p>
    <w:p w14:paraId="1F1DB6C9" w14:textId="5C678281"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 </w:t>
      </w:r>
      <w:r w:rsidRPr="00092F07">
        <w:rPr>
          <w:rFonts w:ascii="Book Antiqua" w:eastAsia="Book Antiqua" w:hAnsi="Book Antiqua" w:cs="Book Antiqua"/>
          <w:b/>
          <w:color w:val="000000"/>
          <w:sz w:val="24"/>
          <w:szCs w:val="24"/>
        </w:rPr>
        <w:t>Bhatia SN</w:t>
      </w:r>
      <w:r w:rsidRPr="00092F07">
        <w:rPr>
          <w:rFonts w:ascii="Book Antiqua" w:eastAsia="Book Antiqua" w:hAnsi="Book Antiqua" w:cs="Book Antiqua"/>
          <w:color w:val="000000"/>
          <w:sz w:val="24"/>
          <w:szCs w:val="24"/>
        </w:rPr>
        <w:t xml:space="preserve">, Underhill GH, Zaret KS, Fox IJ. Cell and tissue engineering for liver disease. </w:t>
      </w:r>
      <w:r w:rsidRPr="00092F07">
        <w:rPr>
          <w:rFonts w:ascii="Book Antiqua" w:eastAsia="Book Antiqua" w:hAnsi="Book Antiqua" w:cs="Book Antiqua"/>
          <w:i/>
          <w:color w:val="000000"/>
          <w:sz w:val="24"/>
          <w:szCs w:val="24"/>
        </w:rPr>
        <w:t>Sci Transl Med</w:t>
      </w:r>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6</w:t>
      </w:r>
      <w:r w:rsidRPr="00092F07">
        <w:rPr>
          <w:rFonts w:ascii="Book Antiqua" w:eastAsia="Book Antiqua" w:hAnsi="Book Antiqua" w:cs="Book Antiqua"/>
          <w:color w:val="000000"/>
          <w:sz w:val="24"/>
          <w:szCs w:val="24"/>
        </w:rPr>
        <w:t>: 245sr2 [PMID: 25031271</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10.1126/scitranslmed.3005975</w:t>
      </w:r>
      <w:r w:rsidRPr="00092F07">
        <w:rPr>
          <w:rFonts w:ascii="Book Antiqua" w:eastAsia="Book Antiqua" w:hAnsi="Book Antiqua" w:cs="Book Antiqua"/>
          <w:color w:val="000000"/>
          <w:sz w:val="24"/>
          <w:szCs w:val="24"/>
        </w:rPr>
        <w:t>]</w:t>
      </w:r>
    </w:p>
    <w:p w14:paraId="51FA0EEB" w14:textId="554FD66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 </w:t>
      </w:r>
      <w:r w:rsidRPr="00092F07">
        <w:rPr>
          <w:rFonts w:ascii="Book Antiqua" w:eastAsia="Book Antiqua" w:hAnsi="Book Antiqua" w:cs="Book Antiqua"/>
          <w:b/>
          <w:color w:val="000000"/>
          <w:sz w:val="24"/>
          <w:szCs w:val="24"/>
        </w:rPr>
        <w:t>Hirata K</w:t>
      </w:r>
      <w:r w:rsidRPr="00092F07">
        <w:rPr>
          <w:rFonts w:ascii="Book Antiqua" w:eastAsia="Book Antiqua" w:hAnsi="Book Antiqua" w:cs="Book Antiqua"/>
          <w:color w:val="000000"/>
          <w:sz w:val="24"/>
          <w:szCs w:val="24"/>
        </w:rPr>
        <w:t xml:space="preserve">, Pusl T, O'Neill AF, Dranoff JA, Nathanson MH. The type II inositol 1,4,5-trisphosphate receptor can trigger Ca2+ waves in rat hepatocytes.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122</w:t>
      </w:r>
      <w:r w:rsidRPr="00092F07">
        <w:rPr>
          <w:rFonts w:ascii="Book Antiqua" w:eastAsia="Book Antiqua" w:hAnsi="Book Antiqua" w:cs="Book Antiqua"/>
          <w:color w:val="000000"/>
          <w:sz w:val="24"/>
          <w:szCs w:val="24"/>
        </w:rPr>
        <w:t>: 1088-1100 [PMID: 11910359</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10.1053/gast.2002.32363</w:t>
      </w:r>
      <w:r w:rsidRPr="00092F07">
        <w:rPr>
          <w:rFonts w:ascii="Book Antiqua" w:eastAsia="Book Antiqua" w:hAnsi="Book Antiqua" w:cs="Book Antiqua"/>
          <w:color w:val="000000"/>
          <w:sz w:val="24"/>
          <w:szCs w:val="24"/>
        </w:rPr>
        <w:t>]</w:t>
      </w:r>
    </w:p>
    <w:p w14:paraId="011B2C4F" w14:textId="29FCDA3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 </w:t>
      </w:r>
      <w:r w:rsidRPr="00092F07">
        <w:rPr>
          <w:rFonts w:ascii="Book Antiqua" w:eastAsia="Book Antiqua" w:hAnsi="Book Antiqua" w:cs="Book Antiqua"/>
          <w:b/>
          <w:color w:val="000000"/>
          <w:sz w:val="24"/>
          <w:szCs w:val="24"/>
        </w:rPr>
        <w:t>Hirata K</w:t>
      </w:r>
      <w:r w:rsidRPr="00092F07">
        <w:rPr>
          <w:rFonts w:ascii="Book Antiqua" w:eastAsia="Book Antiqua" w:hAnsi="Book Antiqua" w:cs="Book Antiqua"/>
          <w:color w:val="000000"/>
          <w:sz w:val="24"/>
          <w:szCs w:val="24"/>
        </w:rPr>
        <w:t xml:space="preserve">, Dufour JF, Shibao K, Knickelbein R, O'Neill AF, Bode HP, Cassio D, St-Pierre MV, Larusso NF, Leite MF, Nathanson MH. Regulation of Ca(2+) signaling in rat bile duct epithelia by inositol 1,4,5-trisphosphate receptor isoforms. </w:t>
      </w:r>
      <w:r w:rsidRPr="00092F07">
        <w:rPr>
          <w:rFonts w:ascii="Book Antiqua" w:eastAsia="Book Antiqua" w:hAnsi="Book Antiqua" w:cs="Book Antiqua"/>
          <w:i/>
          <w:color w:val="000000"/>
          <w:sz w:val="24"/>
          <w:szCs w:val="24"/>
        </w:rPr>
        <w:t>Hepatology</w:t>
      </w:r>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36</w:t>
      </w:r>
      <w:r w:rsidRPr="00092F07">
        <w:rPr>
          <w:rFonts w:ascii="Book Antiqua" w:eastAsia="Book Antiqua" w:hAnsi="Book Antiqua" w:cs="Book Antiqua"/>
          <w:color w:val="000000"/>
          <w:sz w:val="24"/>
          <w:szCs w:val="24"/>
        </w:rPr>
        <w:t>: 284-296 [PMID: 12143036</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10.1053/jhep.2002.34432</w:t>
      </w:r>
      <w:r w:rsidRPr="00092F07">
        <w:rPr>
          <w:rFonts w:ascii="Book Antiqua" w:eastAsia="Book Antiqua" w:hAnsi="Book Antiqua" w:cs="Book Antiqua"/>
          <w:color w:val="000000"/>
          <w:sz w:val="24"/>
          <w:szCs w:val="24"/>
        </w:rPr>
        <w:t>]</w:t>
      </w:r>
    </w:p>
    <w:p w14:paraId="0A7F8B80" w14:textId="28E3BA2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8 </w:t>
      </w:r>
      <w:r w:rsidRPr="00092F07">
        <w:rPr>
          <w:rFonts w:ascii="Book Antiqua" w:eastAsia="Book Antiqua" w:hAnsi="Book Antiqua" w:cs="Book Antiqua"/>
          <w:b/>
          <w:color w:val="000000"/>
          <w:sz w:val="24"/>
          <w:szCs w:val="24"/>
        </w:rPr>
        <w:t>Pantazaka E</w:t>
      </w:r>
      <w:r w:rsidRPr="00092F07">
        <w:rPr>
          <w:rFonts w:ascii="Book Antiqua" w:eastAsia="Book Antiqua" w:hAnsi="Book Antiqua" w:cs="Book Antiqua"/>
          <w:color w:val="000000"/>
          <w:sz w:val="24"/>
          <w:szCs w:val="24"/>
        </w:rPr>
        <w:t xml:space="preserve">, Taylor CW. Differential distribution, clustering, and lateral diffusion of subtypes of the inositol 1,4,5-trisphosphate receptor.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286</w:t>
      </w:r>
      <w:r w:rsidRPr="00092F07">
        <w:rPr>
          <w:rFonts w:ascii="Book Antiqua" w:eastAsia="Book Antiqua" w:hAnsi="Book Antiqua" w:cs="Book Antiqua"/>
          <w:color w:val="000000"/>
          <w:sz w:val="24"/>
          <w:szCs w:val="24"/>
        </w:rPr>
        <w:t>: 23378-23387 [PMID: 21550988</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10.1074/jbc.M111.236372</w:t>
      </w:r>
      <w:r w:rsidRPr="00092F07">
        <w:rPr>
          <w:rFonts w:ascii="Book Antiqua" w:eastAsia="Book Antiqua" w:hAnsi="Book Antiqua" w:cs="Book Antiqua"/>
          <w:color w:val="000000"/>
          <w:sz w:val="24"/>
          <w:szCs w:val="24"/>
        </w:rPr>
        <w:t>]</w:t>
      </w:r>
    </w:p>
    <w:p w14:paraId="5A1754D6" w14:textId="4B26329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9 </w:t>
      </w:r>
      <w:r w:rsidRPr="00092F07">
        <w:rPr>
          <w:rFonts w:ascii="Book Antiqua" w:eastAsia="Book Antiqua" w:hAnsi="Book Antiqua" w:cs="Book Antiqua"/>
          <w:b/>
          <w:color w:val="000000"/>
          <w:sz w:val="24"/>
          <w:szCs w:val="24"/>
        </w:rPr>
        <w:t>Tu H</w:t>
      </w:r>
      <w:r w:rsidRPr="00092F07">
        <w:rPr>
          <w:rFonts w:ascii="Book Antiqua" w:eastAsia="Book Antiqua" w:hAnsi="Book Antiqua" w:cs="Book Antiqua"/>
          <w:color w:val="000000"/>
          <w:sz w:val="24"/>
          <w:szCs w:val="24"/>
        </w:rPr>
        <w:t xml:space="preserve">, Wang Z, Nosyreva E, De Smedt H, Bezprozvanny I. Functional characterization of mammalian inositol 1,4,5-trisphosphate receptor isoforms. </w:t>
      </w:r>
      <w:r w:rsidRPr="00092F07">
        <w:rPr>
          <w:rFonts w:ascii="Book Antiqua" w:eastAsia="Book Antiqua" w:hAnsi="Book Antiqua" w:cs="Book Antiqua"/>
          <w:i/>
          <w:color w:val="000000"/>
          <w:sz w:val="24"/>
          <w:szCs w:val="24"/>
        </w:rPr>
        <w:t>Biophys J</w:t>
      </w:r>
      <w:r w:rsidRPr="00092F07">
        <w:rPr>
          <w:rFonts w:ascii="Book Antiqua" w:eastAsia="Book Antiqua" w:hAnsi="Book Antiqua" w:cs="Book Antiqua"/>
          <w:color w:val="000000"/>
          <w:sz w:val="24"/>
          <w:szCs w:val="24"/>
        </w:rPr>
        <w:t xml:space="preserve"> 2005; </w:t>
      </w:r>
      <w:r w:rsidRPr="00092F07">
        <w:rPr>
          <w:rFonts w:ascii="Book Antiqua" w:eastAsia="Book Antiqua" w:hAnsi="Book Antiqua" w:cs="Book Antiqua"/>
          <w:b/>
          <w:color w:val="000000"/>
          <w:sz w:val="24"/>
          <w:szCs w:val="24"/>
        </w:rPr>
        <w:t>88</w:t>
      </w:r>
      <w:r w:rsidRPr="00092F07">
        <w:rPr>
          <w:rFonts w:ascii="Book Antiqua" w:eastAsia="Book Antiqua" w:hAnsi="Book Antiqua" w:cs="Book Antiqua"/>
          <w:color w:val="000000"/>
          <w:sz w:val="24"/>
          <w:szCs w:val="24"/>
        </w:rPr>
        <w:t>: 1046-1055 [PMID: 15533917</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10.1529/biophysj.104.049593</w:t>
      </w:r>
      <w:r w:rsidRPr="00092F07">
        <w:rPr>
          <w:rFonts w:ascii="Book Antiqua" w:eastAsia="Book Antiqua" w:hAnsi="Book Antiqua" w:cs="Book Antiqua"/>
          <w:color w:val="000000"/>
          <w:sz w:val="24"/>
          <w:szCs w:val="24"/>
        </w:rPr>
        <w:t>]</w:t>
      </w:r>
    </w:p>
    <w:p w14:paraId="4C1E88F2" w14:textId="611FE21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10 </w:t>
      </w:r>
      <w:r w:rsidRPr="00092F07">
        <w:rPr>
          <w:rFonts w:ascii="Book Antiqua" w:eastAsia="Book Antiqua" w:hAnsi="Book Antiqua" w:cs="Book Antiqua"/>
          <w:b/>
          <w:color w:val="000000"/>
          <w:sz w:val="24"/>
          <w:szCs w:val="24"/>
        </w:rPr>
        <w:t>Echevarría W</w:t>
      </w:r>
      <w:r w:rsidRPr="00092F07">
        <w:rPr>
          <w:rFonts w:ascii="Book Antiqua" w:eastAsia="Book Antiqua" w:hAnsi="Book Antiqua" w:cs="Book Antiqua"/>
          <w:color w:val="000000"/>
          <w:sz w:val="24"/>
          <w:szCs w:val="24"/>
        </w:rPr>
        <w:t xml:space="preserve">, Leite MF, Guerra MT, Zipfel WR, Nathanson MH. Regulation of calcium signals in the nucleus by a nucleoplasmic reticulum. </w:t>
      </w:r>
      <w:r w:rsidRPr="00092F07">
        <w:rPr>
          <w:rFonts w:ascii="Book Antiqua" w:eastAsia="Book Antiqua" w:hAnsi="Book Antiqua" w:cs="Book Antiqua"/>
          <w:i/>
          <w:color w:val="000000"/>
          <w:sz w:val="24"/>
          <w:szCs w:val="24"/>
        </w:rPr>
        <w:t>Nat Cell Biol</w:t>
      </w:r>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5</w:t>
      </w:r>
      <w:r w:rsidRPr="00092F07">
        <w:rPr>
          <w:rFonts w:ascii="Book Antiqua" w:eastAsia="Book Antiqua" w:hAnsi="Book Antiqua" w:cs="Book Antiqua"/>
          <w:color w:val="000000"/>
          <w:sz w:val="24"/>
          <w:szCs w:val="24"/>
        </w:rPr>
        <w:t>: 440-446 [PMID: 12717445</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10.1038/ncb980</w:t>
      </w:r>
      <w:r w:rsidRPr="00092F07">
        <w:rPr>
          <w:rFonts w:ascii="Book Antiqua" w:eastAsia="Book Antiqua" w:hAnsi="Book Antiqua" w:cs="Book Antiqua"/>
          <w:color w:val="000000"/>
          <w:sz w:val="24"/>
          <w:szCs w:val="24"/>
        </w:rPr>
        <w:t>]</w:t>
      </w:r>
    </w:p>
    <w:p w14:paraId="4A787CFC" w14:textId="04595B5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11 </w:t>
      </w:r>
      <w:r w:rsidRPr="00092F07">
        <w:rPr>
          <w:rFonts w:ascii="Book Antiqua" w:eastAsia="Book Antiqua" w:hAnsi="Book Antiqua" w:cs="Book Antiqua"/>
          <w:b/>
          <w:color w:val="000000"/>
          <w:sz w:val="24"/>
          <w:szCs w:val="24"/>
        </w:rPr>
        <w:t>Streb H</w:t>
      </w:r>
      <w:r w:rsidRPr="00092F07">
        <w:rPr>
          <w:rFonts w:ascii="Book Antiqua" w:eastAsia="Book Antiqua" w:hAnsi="Book Antiqua" w:cs="Book Antiqua"/>
          <w:color w:val="000000"/>
          <w:sz w:val="24"/>
          <w:szCs w:val="24"/>
        </w:rPr>
        <w:t xml:space="preserve">, Irvine RF, Berridge MJ, Schulz I. Release of Ca2+ from a nonmitochondrial intracellular store in pancreatic acinar cells by inositol-1,4,5-trisphosphate.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1983; </w:t>
      </w:r>
      <w:r w:rsidRPr="00092F07">
        <w:rPr>
          <w:rFonts w:ascii="Book Antiqua" w:eastAsia="Book Antiqua" w:hAnsi="Book Antiqua" w:cs="Book Antiqua"/>
          <w:b/>
          <w:color w:val="000000"/>
          <w:sz w:val="24"/>
          <w:szCs w:val="24"/>
        </w:rPr>
        <w:t>306</w:t>
      </w:r>
      <w:r w:rsidRPr="00092F07">
        <w:rPr>
          <w:rFonts w:ascii="Book Antiqua" w:eastAsia="Book Antiqua" w:hAnsi="Book Antiqua" w:cs="Book Antiqua"/>
          <w:color w:val="000000"/>
          <w:sz w:val="24"/>
          <w:szCs w:val="24"/>
        </w:rPr>
        <w:t>: 67-69 [PMID: 6605482</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10.1038/306067a0</w:t>
      </w:r>
      <w:r w:rsidRPr="00092F07">
        <w:rPr>
          <w:rFonts w:ascii="Book Antiqua" w:eastAsia="Book Antiqua" w:hAnsi="Book Antiqua" w:cs="Book Antiqua"/>
          <w:color w:val="000000"/>
          <w:sz w:val="24"/>
          <w:szCs w:val="24"/>
        </w:rPr>
        <w:t>]</w:t>
      </w:r>
    </w:p>
    <w:p w14:paraId="0B5FBDEB" w14:textId="433C28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12 </w:t>
      </w:r>
      <w:r w:rsidRPr="00092F07">
        <w:rPr>
          <w:rFonts w:ascii="Book Antiqua" w:eastAsia="Book Antiqua" w:hAnsi="Book Antiqua" w:cs="Book Antiqua"/>
          <w:b/>
          <w:color w:val="000000"/>
          <w:sz w:val="24"/>
          <w:szCs w:val="24"/>
        </w:rPr>
        <w:t>Shibao K</w:t>
      </w:r>
      <w:r w:rsidRPr="00092F07">
        <w:rPr>
          <w:rFonts w:ascii="Book Antiqua" w:eastAsia="Book Antiqua" w:hAnsi="Book Antiqua" w:cs="Book Antiqua"/>
          <w:color w:val="000000"/>
          <w:sz w:val="24"/>
          <w:szCs w:val="24"/>
        </w:rPr>
        <w:t xml:space="preserve">, Hirata K, Robert ME, Nathanson MH. Loss of inositol 1,4,5-trisphosphate receptors from bile duct epithelia is a common event in cholestasis.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125</w:t>
      </w:r>
      <w:r w:rsidRPr="00092F07">
        <w:rPr>
          <w:rFonts w:ascii="Book Antiqua" w:eastAsia="Book Antiqua" w:hAnsi="Book Antiqua" w:cs="Book Antiqua"/>
          <w:color w:val="000000"/>
          <w:sz w:val="24"/>
          <w:szCs w:val="24"/>
        </w:rPr>
        <w:t>: 1175-1187 [PMID: 14517800</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10.1016/S0016-5085(03)01201-0</w:t>
      </w:r>
      <w:r w:rsidRPr="00092F07">
        <w:rPr>
          <w:rFonts w:ascii="Book Antiqua" w:eastAsia="Book Antiqua" w:hAnsi="Book Antiqua" w:cs="Book Antiqua"/>
          <w:color w:val="000000"/>
          <w:sz w:val="24"/>
          <w:szCs w:val="24"/>
        </w:rPr>
        <w:t>]</w:t>
      </w:r>
    </w:p>
    <w:p w14:paraId="7305A933" w14:textId="50FAD4D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13 </w:t>
      </w:r>
      <w:r w:rsidRPr="00092F07">
        <w:rPr>
          <w:rFonts w:ascii="Book Antiqua" w:eastAsia="Book Antiqua" w:hAnsi="Book Antiqua" w:cs="Book Antiqua"/>
          <w:b/>
          <w:color w:val="000000"/>
          <w:sz w:val="24"/>
          <w:szCs w:val="24"/>
        </w:rPr>
        <w:t>Khamphaya T</w:t>
      </w:r>
      <w:r w:rsidRPr="00092F07">
        <w:rPr>
          <w:rFonts w:ascii="Book Antiqua" w:eastAsia="Book Antiqua" w:hAnsi="Book Antiqua" w:cs="Book Antiqua"/>
          <w:color w:val="000000"/>
          <w:sz w:val="24"/>
          <w:szCs w:val="24"/>
        </w:rPr>
        <w:t xml:space="preserve">, Chukijrungroat N, Saengsirisuwan V, Mitchell-Richards KA, Robert ME, Mennone A, Ananthanarayanan M, Nathanson MH, Weerachayaphorn J. Nonalcoholic fatty liver disease impairs expression of the type II inositol 1,4,5-trisphosphate receptor. </w:t>
      </w:r>
      <w:r w:rsidRPr="00092F07">
        <w:rPr>
          <w:rFonts w:ascii="Book Antiqua" w:eastAsia="Book Antiqua" w:hAnsi="Book Antiqua" w:cs="Book Antiqua"/>
          <w:i/>
          <w:color w:val="000000"/>
          <w:sz w:val="24"/>
          <w:szCs w:val="24"/>
        </w:rPr>
        <w:t>Hepatology</w:t>
      </w:r>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67</w:t>
      </w:r>
      <w:r w:rsidRPr="00092F07">
        <w:rPr>
          <w:rFonts w:ascii="Book Antiqua" w:eastAsia="Book Antiqua" w:hAnsi="Book Antiqua" w:cs="Book Antiqua"/>
          <w:color w:val="000000"/>
          <w:sz w:val="24"/>
          <w:szCs w:val="24"/>
        </w:rPr>
        <w:t>: 560-574 [PMID: 29023819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5C4501" w:rsidRPr="005C4501">
        <w:rPr>
          <w:rFonts w:ascii="Book Antiqua" w:eastAsia="Book Antiqua" w:hAnsi="Book Antiqua" w:cs="Book Antiqua"/>
          <w:color w:val="000000"/>
          <w:sz w:val="24"/>
          <w:szCs w:val="24"/>
        </w:rPr>
        <w:t>10.1002/hep.29588</w:t>
      </w:r>
      <w:r w:rsidRPr="00092F07">
        <w:rPr>
          <w:rFonts w:ascii="Book Antiqua" w:eastAsia="Book Antiqua" w:hAnsi="Book Antiqua" w:cs="Book Antiqua"/>
          <w:color w:val="000000"/>
          <w:sz w:val="24"/>
          <w:szCs w:val="24"/>
        </w:rPr>
        <w:t>]</w:t>
      </w:r>
    </w:p>
    <w:p w14:paraId="3B38F8A6" w14:textId="77B8F3C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14 </w:t>
      </w:r>
      <w:r w:rsidRPr="00092F07">
        <w:rPr>
          <w:rFonts w:ascii="Book Antiqua" w:eastAsia="Book Antiqua" w:hAnsi="Book Antiqua" w:cs="Book Antiqua"/>
          <w:b/>
          <w:color w:val="000000"/>
          <w:sz w:val="24"/>
          <w:szCs w:val="24"/>
        </w:rPr>
        <w:t>Desmet VJ</w:t>
      </w:r>
      <w:r w:rsidRPr="00092F07">
        <w:rPr>
          <w:rFonts w:ascii="Book Antiqua" w:eastAsia="Book Antiqua" w:hAnsi="Book Antiqua" w:cs="Book Antiqua"/>
          <w:color w:val="000000"/>
          <w:sz w:val="24"/>
          <w:szCs w:val="24"/>
        </w:rPr>
        <w:t xml:space="preserve">. Ductal plates in hepatic ductular reactions. Hypothesis and implications. II. Ontogenic liver growth in childhood. </w:t>
      </w:r>
      <w:r w:rsidRPr="00092F07">
        <w:rPr>
          <w:rFonts w:ascii="Book Antiqua" w:eastAsia="Book Antiqua" w:hAnsi="Book Antiqua" w:cs="Book Antiqua"/>
          <w:i/>
          <w:color w:val="000000"/>
          <w:sz w:val="24"/>
          <w:szCs w:val="24"/>
        </w:rPr>
        <w:t>Virchows Arch</w:t>
      </w:r>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458</w:t>
      </w:r>
      <w:r w:rsidRPr="00092F07">
        <w:rPr>
          <w:rFonts w:ascii="Book Antiqua" w:eastAsia="Book Antiqua" w:hAnsi="Book Antiqua" w:cs="Book Antiqua"/>
          <w:color w:val="000000"/>
          <w:sz w:val="24"/>
          <w:szCs w:val="24"/>
        </w:rPr>
        <w:t>: 261-270 [PMID: 21298286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10.1007/s00428-011-1049-2</w:t>
      </w:r>
      <w:r w:rsidRPr="00092F07">
        <w:rPr>
          <w:rFonts w:ascii="Book Antiqua" w:eastAsia="Book Antiqua" w:hAnsi="Book Antiqua" w:cs="Book Antiqua"/>
          <w:color w:val="000000"/>
          <w:sz w:val="24"/>
          <w:szCs w:val="24"/>
        </w:rPr>
        <w:t>]</w:t>
      </w:r>
    </w:p>
    <w:p w14:paraId="13A7BA2B" w14:textId="698835C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15 </w:t>
      </w:r>
      <w:r w:rsidRPr="00092F07">
        <w:rPr>
          <w:rFonts w:ascii="Book Antiqua" w:eastAsia="Book Antiqua" w:hAnsi="Book Antiqua" w:cs="Book Antiqua"/>
          <w:b/>
          <w:color w:val="000000"/>
          <w:sz w:val="24"/>
          <w:szCs w:val="24"/>
        </w:rPr>
        <w:t>Huppert SS</w:t>
      </w:r>
      <w:r w:rsidRPr="00092F07">
        <w:rPr>
          <w:rFonts w:ascii="Book Antiqua" w:eastAsia="Book Antiqua" w:hAnsi="Book Antiqua" w:cs="Book Antiqua"/>
          <w:color w:val="000000"/>
          <w:sz w:val="24"/>
          <w:szCs w:val="24"/>
        </w:rPr>
        <w:t xml:space="preserve">, Iwafuchi-Doi M. Molecular regulation of mammalian hepatic architecture. </w:t>
      </w:r>
      <w:r w:rsidRPr="00092F07">
        <w:rPr>
          <w:rFonts w:ascii="Book Antiqua" w:eastAsia="Book Antiqua" w:hAnsi="Book Antiqua" w:cs="Book Antiqua"/>
          <w:i/>
          <w:color w:val="000000"/>
          <w:sz w:val="24"/>
          <w:szCs w:val="24"/>
        </w:rPr>
        <w:t>Curr Top Dev Biol</w:t>
      </w:r>
      <w:r w:rsidRPr="00092F07">
        <w:rPr>
          <w:rFonts w:ascii="Book Antiqua" w:eastAsia="Book Antiqua" w:hAnsi="Book Antiqua" w:cs="Book Antiqua"/>
          <w:color w:val="000000"/>
          <w:sz w:val="24"/>
          <w:szCs w:val="24"/>
        </w:rPr>
        <w:t xml:space="preserve"> 2019; </w:t>
      </w:r>
      <w:r w:rsidRPr="00092F07">
        <w:rPr>
          <w:rFonts w:ascii="Book Antiqua" w:eastAsia="Book Antiqua" w:hAnsi="Book Antiqua" w:cs="Book Antiqua"/>
          <w:b/>
          <w:color w:val="000000"/>
          <w:sz w:val="24"/>
          <w:szCs w:val="24"/>
        </w:rPr>
        <w:t>132</w:t>
      </w:r>
      <w:r w:rsidRPr="00092F07">
        <w:rPr>
          <w:rFonts w:ascii="Book Antiqua" w:eastAsia="Book Antiqua" w:hAnsi="Book Antiqua" w:cs="Book Antiqua"/>
          <w:color w:val="000000"/>
          <w:sz w:val="24"/>
          <w:szCs w:val="24"/>
        </w:rPr>
        <w:t>: 91-136 [PMID: 30797519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10.1016/bs.ctdb.2018.12.003</w:t>
      </w:r>
      <w:r w:rsidRPr="00092F07">
        <w:rPr>
          <w:rFonts w:ascii="Book Antiqua" w:eastAsia="Book Antiqua" w:hAnsi="Book Antiqua" w:cs="Book Antiqua"/>
          <w:color w:val="000000"/>
          <w:sz w:val="24"/>
          <w:szCs w:val="24"/>
        </w:rPr>
        <w:t>]</w:t>
      </w:r>
    </w:p>
    <w:p w14:paraId="249DD080" w14:textId="0D4F6494"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16 </w:t>
      </w:r>
      <w:r w:rsidRPr="00092F07">
        <w:rPr>
          <w:rFonts w:ascii="Book Antiqua" w:eastAsia="Book Antiqua" w:hAnsi="Book Antiqua" w:cs="Book Antiqua"/>
          <w:b/>
          <w:color w:val="000000"/>
          <w:sz w:val="24"/>
          <w:szCs w:val="24"/>
        </w:rPr>
        <w:t>Dodds WJ</w:t>
      </w:r>
      <w:r w:rsidRPr="00092F07">
        <w:rPr>
          <w:rFonts w:ascii="Book Antiqua" w:eastAsia="Book Antiqua" w:hAnsi="Book Antiqua" w:cs="Book Antiqua"/>
          <w:color w:val="000000"/>
          <w:sz w:val="24"/>
          <w:szCs w:val="24"/>
        </w:rPr>
        <w:t xml:space="preserve">, Erickson SJ, Taylor AJ, Lawson TL, Stewart ET. Caudate lobe of the liver: anatomy, embryology, and pathology. </w:t>
      </w:r>
      <w:r w:rsidRPr="00092F07">
        <w:rPr>
          <w:rFonts w:ascii="Book Antiqua" w:eastAsia="Book Antiqua" w:hAnsi="Book Antiqua" w:cs="Book Antiqua"/>
          <w:i/>
          <w:color w:val="000000"/>
          <w:sz w:val="24"/>
          <w:szCs w:val="24"/>
        </w:rPr>
        <w:t>AJR Am J Roentgenol</w:t>
      </w:r>
      <w:r w:rsidRPr="00092F07">
        <w:rPr>
          <w:rFonts w:ascii="Book Antiqua" w:eastAsia="Book Antiqua" w:hAnsi="Book Antiqua" w:cs="Book Antiqua"/>
          <w:color w:val="000000"/>
          <w:sz w:val="24"/>
          <w:szCs w:val="24"/>
        </w:rPr>
        <w:t xml:space="preserve"> 1990; </w:t>
      </w:r>
      <w:r w:rsidRPr="00092F07">
        <w:rPr>
          <w:rFonts w:ascii="Book Antiqua" w:eastAsia="Book Antiqua" w:hAnsi="Book Antiqua" w:cs="Book Antiqua"/>
          <w:b/>
          <w:color w:val="000000"/>
          <w:sz w:val="24"/>
          <w:szCs w:val="24"/>
        </w:rPr>
        <w:t>154</w:t>
      </w:r>
      <w:r w:rsidRPr="00092F07">
        <w:rPr>
          <w:rFonts w:ascii="Book Antiqua" w:eastAsia="Book Antiqua" w:hAnsi="Book Antiqua" w:cs="Book Antiqua"/>
          <w:color w:val="000000"/>
          <w:sz w:val="24"/>
          <w:szCs w:val="24"/>
        </w:rPr>
        <w:t>: 87-93 [PMID: 2104732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10.2214/ajr.154.1.2104732</w:t>
      </w:r>
      <w:r w:rsidRPr="00092F07">
        <w:rPr>
          <w:rFonts w:ascii="Book Antiqua" w:eastAsia="Book Antiqua" w:hAnsi="Book Antiqua" w:cs="Book Antiqua"/>
          <w:color w:val="000000"/>
          <w:sz w:val="24"/>
          <w:szCs w:val="24"/>
        </w:rPr>
        <w:t>]</w:t>
      </w:r>
    </w:p>
    <w:p w14:paraId="55547FE9" w14:textId="0DADE58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17 </w:t>
      </w:r>
      <w:r w:rsidRPr="00092F07">
        <w:rPr>
          <w:rFonts w:ascii="Book Antiqua" w:eastAsia="Book Antiqua" w:hAnsi="Book Antiqua" w:cs="Book Antiqua"/>
          <w:b/>
          <w:color w:val="000000"/>
          <w:sz w:val="24"/>
          <w:szCs w:val="24"/>
        </w:rPr>
        <w:t>Sagoo MG</w:t>
      </w:r>
      <w:r w:rsidRPr="00092F07">
        <w:rPr>
          <w:rFonts w:ascii="Book Antiqua" w:eastAsia="Book Antiqua" w:hAnsi="Book Antiqua" w:cs="Book Antiqua"/>
          <w:color w:val="000000"/>
          <w:sz w:val="24"/>
          <w:szCs w:val="24"/>
        </w:rPr>
        <w:t xml:space="preserve">, Aland RC, Gosden E. Morphology and morphometry of the caudate lobe of the liver in two populations. </w:t>
      </w:r>
      <w:r w:rsidRPr="00092F07">
        <w:rPr>
          <w:rFonts w:ascii="Book Antiqua" w:eastAsia="Book Antiqua" w:hAnsi="Book Antiqua" w:cs="Book Antiqua"/>
          <w:i/>
          <w:color w:val="000000"/>
          <w:sz w:val="24"/>
          <w:szCs w:val="24"/>
        </w:rPr>
        <w:t>Anat Sci Int</w:t>
      </w:r>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93</w:t>
      </w:r>
      <w:r w:rsidRPr="00092F07">
        <w:rPr>
          <w:rFonts w:ascii="Book Antiqua" w:eastAsia="Book Antiqua" w:hAnsi="Book Antiqua" w:cs="Book Antiqua"/>
          <w:color w:val="000000"/>
          <w:sz w:val="24"/>
          <w:szCs w:val="24"/>
        </w:rPr>
        <w:t>: 48-57 [PMID: 27586453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10.1007/s12565-016-0365-7</w:t>
      </w:r>
      <w:r w:rsidRPr="00092F07">
        <w:rPr>
          <w:rFonts w:ascii="Book Antiqua" w:eastAsia="Book Antiqua" w:hAnsi="Book Antiqua" w:cs="Book Antiqua"/>
          <w:color w:val="000000"/>
          <w:sz w:val="24"/>
          <w:szCs w:val="24"/>
        </w:rPr>
        <w:t>]</w:t>
      </w:r>
    </w:p>
    <w:p w14:paraId="25BBFD71" w14:textId="14CD514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18 </w:t>
      </w:r>
      <w:r w:rsidRPr="00092F07">
        <w:rPr>
          <w:rFonts w:ascii="Book Antiqua" w:eastAsia="Book Antiqua" w:hAnsi="Book Antiqua" w:cs="Book Antiqua"/>
          <w:b/>
          <w:color w:val="000000"/>
          <w:sz w:val="24"/>
          <w:szCs w:val="24"/>
        </w:rPr>
        <w:t>Saxena R</w:t>
      </w:r>
      <w:r w:rsidRPr="00092F07">
        <w:rPr>
          <w:rFonts w:ascii="Book Antiqua" w:eastAsia="Book Antiqua" w:hAnsi="Book Antiqua" w:cs="Book Antiqua"/>
          <w:color w:val="000000"/>
          <w:sz w:val="24"/>
          <w:szCs w:val="24"/>
        </w:rPr>
        <w:t xml:space="preserve">, Theise ND, Crawford JM. Microanatomy of the human liver-exploring the hidden interfaces. </w:t>
      </w:r>
      <w:r w:rsidRPr="00092F07">
        <w:rPr>
          <w:rFonts w:ascii="Book Antiqua" w:eastAsia="Book Antiqua" w:hAnsi="Book Antiqua" w:cs="Book Antiqua"/>
          <w:i/>
          <w:color w:val="000000"/>
          <w:sz w:val="24"/>
          <w:szCs w:val="24"/>
        </w:rPr>
        <w:t>Hepatology</w:t>
      </w:r>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30</w:t>
      </w:r>
      <w:r w:rsidRPr="00092F07">
        <w:rPr>
          <w:rFonts w:ascii="Book Antiqua" w:eastAsia="Book Antiqua" w:hAnsi="Book Antiqua" w:cs="Book Antiqua"/>
          <w:color w:val="000000"/>
          <w:sz w:val="24"/>
          <w:szCs w:val="24"/>
        </w:rPr>
        <w:t>: 1339-1346 [PMID: 10573509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10.1002/hep.510300607</w:t>
      </w:r>
      <w:r w:rsidRPr="00092F07">
        <w:rPr>
          <w:rFonts w:ascii="Book Antiqua" w:eastAsia="Book Antiqua" w:hAnsi="Book Antiqua" w:cs="Book Antiqua"/>
          <w:color w:val="000000"/>
          <w:sz w:val="24"/>
          <w:szCs w:val="24"/>
        </w:rPr>
        <w:t>]</w:t>
      </w:r>
    </w:p>
    <w:p w14:paraId="37F68BD4" w14:textId="44E0268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19 </w:t>
      </w:r>
      <w:r w:rsidRPr="00092F07">
        <w:rPr>
          <w:rFonts w:ascii="Book Antiqua" w:eastAsia="Book Antiqua" w:hAnsi="Book Antiqua" w:cs="Book Antiqua"/>
          <w:b/>
          <w:color w:val="000000"/>
          <w:sz w:val="24"/>
          <w:szCs w:val="24"/>
        </w:rPr>
        <w:t>Wisse E</w:t>
      </w:r>
      <w:r w:rsidRPr="00092F07">
        <w:rPr>
          <w:rFonts w:ascii="Book Antiqua" w:eastAsia="Book Antiqua" w:hAnsi="Book Antiqua" w:cs="Book Antiqua"/>
          <w:color w:val="000000"/>
          <w:sz w:val="24"/>
          <w:szCs w:val="24"/>
        </w:rPr>
        <w:t xml:space="preserve">, Braet F, Luo D, De Zanger R, Jans D, Crabbé E, Vermoesen A. Structure and function of sinusoidal lining cells in the liver. </w:t>
      </w:r>
      <w:r w:rsidRPr="00092F07">
        <w:rPr>
          <w:rFonts w:ascii="Book Antiqua" w:eastAsia="Book Antiqua" w:hAnsi="Book Antiqua" w:cs="Book Antiqua"/>
          <w:i/>
          <w:color w:val="000000"/>
          <w:sz w:val="24"/>
          <w:szCs w:val="24"/>
        </w:rPr>
        <w:t>Toxicol Pathol</w:t>
      </w:r>
      <w:r w:rsidRPr="00092F07">
        <w:rPr>
          <w:rFonts w:ascii="Book Antiqua" w:eastAsia="Book Antiqua" w:hAnsi="Book Antiqua" w:cs="Book Antiqua"/>
          <w:color w:val="000000"/>
          <w:sz w:val="24"/>
          <w:szCs w:val="24"/>
        </w:rPr>
        <w:t xml:space="preserve"> 1996; </w:t>
      </w:r>
      <w:r w:rsidRPr="00092F07">
        <w:rPr>
          <w:rFonts w:ascii="Book Antiqua" w:eastAsia="Book Antiqua" w:hAnsi="Book Antiqua" w:cs="Book Antiqua"/>
          <w:b/>
          <w:color w:val="000000"/>
          <w:sz w:val="24"/>
          <w:szCs w:val="24"/>
        </w:rPr>
        <w:t>24</w:t>
      </w:r>
      <w:r w:rsidRPr="00092F07">
        <w:rPr>
          <w:rFonts w:ascii="Book Antiqua" w:eastAsia="Book Antiqua" w:hAnsi="Book Antiqua" w:cs="Book Antiqua"/>
          <w:color w:val="000000"/>
          <w:sz w:val="24"/>
          <w:szCs w:val="24"/>
        </w:rPr>
        <w:t>: 100-111 [PMID: 8839287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10.1177/019262339602400114</w:t>
      </w:r>
      <w:r w:rsidRPr="00092F07">
        <w:rPr>
          <w:rFonts w:ascii="Book Antiqua" w:eastAsia="Book Antiqua" w:hAnsi="Book Antiqua" w:cs="Book Antiqua"/>
          <w:color w:val="000000"/>
          <w:sz w:val="24"/>
          <w:szCs w:val="24"/>
        </w:rPr>
        <w:t>]</w:t>
      </w:r>
    </w:p>
    <w:p w14:paraId="085F0B34" w14:textId="67E965C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20 </w:t>
      </w:r>
      <w:r w:rsidRPr="00092F07">
        <w:rPr>
          <w:rFonts w:ascii="Book Antiqua" w:eastAsia="Book Antiqua" w:hAnsi="Book Antiqua" w:cs="Book Antiqua"/>
          <w:b/>
          <w:color w:val="000000"/>
          <w:sz w:val="24"/>
          <w:szCs w:val="24"/>
        </w:rPr>
        <w:t>Maher JJ</w:t>
      </w:r>
      <w:r w:rsidRPr="00092F07">
        <w:rPr>
          <w:rFonts w:ascii="Book Antiqua" w:eastAsia="Book Antiqua" w:hAnsi="Book Antiqua" w:cs="Book Antiqua"/>
          <w:color w:val="000000"/>
          <w:sz w:val="24"/>
          <w:szCs w:val="24"/>
        </w:rPr>
        <w:t xml:space="preserve">. Cell-specific expression of hepatocyte growth factor in liver. Upregulation in sinusoidal endothelial cells after carbon tetrachloride. </w:t>
      </w:r>
      <w:r w:rsidRPr="00092F07">
        <w:rPr>
          <w:rFonts w:ascii="Book Antiqua" w:eastAsia="Book Antiqua" w:hAnsi="Book Antiqua" w:cs="Book Antiqua"/>
          <w:i/>
          <w:color w:val="000000"/>
          <w:sz w:val="24"/>
          <w:szCs w:val="24"/>
        </w:rPr>
        <w:t>J Clin Invest</w:t>
      </w:r>
      <w:r w:rsidRPr="00092F07">
        <w:rPr>
          <w:rFonts w:ascii="Book Antiqua" w:eastAsia="Book Antiqua" w:hAnsi="Book Antiqua" w:cs="Book Antiqua"/>
          <w:color w:val="000000"/>
          <w:sz w:val="24"/>
          <w:szCs w:val="24"/>
        </w:rPr>
        <w:t xml:space="preserve"> 1993; </w:t>
      </w:r>
      <w:r w:rsidRPr="00092F07">
        <w:rPr>
          <w:rFonts w:ascii="Book Antiqua" w:eastAsia="Book Antiqua" w:hAnsi="Book Antiqua" w:cs="Book Antiqua"/>
          <w:b/>
          <w:color w:val="000000"/>
          <w:sz w:val="24"/>
          <w:szCs w:val="24"/>
        </w:rPr>
        <w:t>91</w:t>
      </w:r>
      <w:r w:rsidRPr="00092F07">
        <w:rPr>
          <w:rFonts w:ascii="Book Antiqua" w:eastAsia="Book Antiqua" w:hAnsi="Book Antiqua" w:cs="Book Antiqua"/>
          <w:color w:val="000000"/>
          <w:sz w:val="24"/>
          <w:szCs w:val="24"/>
        </w:rPr>
        <w:t>: 2244-2252 [PMID: 7683700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10.1172/JCI116451</w:t>
      </w:r>
      <w:r w:rsidRPr="00092F07">
        <w:rPr>
          <w:rFonts w:ascii="Book Antiqua" w:eastAsia="Book Antiqua" w:hAnsi="Book Antiqua" w:cs="Book Antiqua"/>
          <w:color w:val="000000"/>
          <w:sz w:val="24"/>
          <w:szCs w:val="24"/>
        </w:rPr>
        <w:t>]</w:t>
      </w:r>
    </w:p>
    <w:p w14:paraId="413D6C6F" w14:textId="58C33A9A"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21 </w:t>
      </w:r>
      <w:r w:rsidRPr="00092F07">
        <w:rPr>
          <w:rFonts w:ascii="Book Antiqua" w:eastAsia="Book Antiqua" w:hAnsi="Book Antiqua" w:cs="Book Antiqua"/>
          <w:b/>
          <w:color w:val="000000"/>
          <w:sz w:val="24"/>
          <w:szCs w:val="24"/>
        </w:rPr>
        <w:t>Crawford JM</w:t>
      </w:r>
      <w:r w:rsidRPr="00092F07">
        <w:rPr>
          <w:rFonts w:ascii="Book Antiqua" w:eastAsia="Book Antiqua" w:hAnsi="Book Antiqua" w:cs="Book Antiqua"/>
          <w:color w:val="000000"/>
          <w:sz w:val="24"/>
          <w:szCs w:val="24"/>
        </w:rPr>
        <w:t xml:space="preserve">. Development of the intrahepatic biliary tree. </w:t>
      </w:r>
      <w:r w:rsidRPr="00092F07">
        <w:rPr>
          <w:rFonts w:ascii="Book Antiqua" w:eastAsia="Book Antiqua" w:hAnsi="Book Antiqua" w:cs="Book Antiqua"/>
          <w:i/>
          <w:color w:val="000000"/>
          <w:sz w:val="24"/>
          <w:szCs w:val="24"/>
        </w:rPr>
        <w:t>Semin Liver Dis</w:t>
      </w:r>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22</w:t>
      </w:r>
      <w:r w:rsidRPr="00092F07">
        <w:rPr>
          <w:rFonts w:ascii="Book Antiqua" w:eastAsia="Book Antiqua" w:hAnsi="Book Antiqua" w:cs="Book Antiqua"/>
          <w:color w:val="000000"/>
          <w:sz w:val="24"/>
          <w:szCs w:val="24"/>
        </w:rPr>
        <w:t>: 213-226 [PMID: 12360416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10.1055/s-2002-34508</w:t>
      </w:r>
      <w:r w:rsidRPr="00092F07">
        <w:rPr>
          <w:rFonts w:ascii="Book Antiqua" w:eastAsia="Book Antiqua" w:hAnsi="Book Antiqua" w:cs="Book Antiqua"/>
          <w:color w:val="000000"/>
          <w:sz w:val="24"/>
          <w:szCs w:val="24"/>
        </w:rPr>
        <w:t>]</w:t>
      </w:r>
    </w:p>
    <w:p w14:paraId="6C75AE0C" w14:textId="11AE387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22 </w:t>
      </w:r>
      <w:r w:rsidRPr="00092F07">
        <w:rPr>
          <w:rFonts w:ascii="Book Antiqua" w:eastAsia="Book Antiqua" w:hAnsi="Book Antiqua" w:cs="Book Antiqua"/>
          <w:b/>
          <w:color w:val="000000"/>
          <w:sz w:val="24"/>
          <w:szCs w:val="24"/>
        </w:rPr>
        <w:t>Strazzabosco M</w:t>
      </w:r>
      <w:r w:rsidRPr="00092F07">
        <w:rPr>
          <w:rFonts w:ascii="Book Antiqua" w:eastAsia="Book Antiqua" w:hAnsi="Book Antiqua" w:cs="Book Antiqua"/>
          <w:color w:val="000000"/>
          <w:sz w:val="24"/>
          <w:szCs w:val="24"/>
        </w:rPr>
        <w:t xml:space="preserve">, Fabris L. Functional anatomy of normal bile ducts. </w:t>
      </w:r>
      <w:r w:rsidRPr="00092F07">
        <w:rPr>
          <w:rFonts w:ascii="Book Antiqua" w:eastAsia="Book Antiqua" w:hAnsi="Book Antiqua" w:cs="Book Antiqua"/>
          <w:i/>
          <w:color w:val="000000"/>
          <w:sz w:val="24"/>
          <w:szCs w:val="24"/>
        </w:rPr>
        <w:t>Anat Rec (Hoboken)</w:t>
      </w:r>
      <w:r w:rsidRPr="00092F07">
        <w:rPr>
          <w:rFonts w:ascii="Book Antiqua" w:eastAsia="Book Antiqua" w:hAnsi="Book Antiqua" w:cs="Book Antiqua"/>
          <w:color w:val="000000"/>
          <w:sz w:val="24"/>
          <w:szCs w:val="24"/>
        </w:rPr>
        <w:t xml:space="preserve"> 2008; </w:t>
      </w:r>
      <w:r w:rsidRPr="00092F07">
        <w:rPr>
          <w:rFonts w:ascii="Book Antiqua" w:eastAsia="Book Antiqua" w:hAnsi="Book Antiqua" w:cs="Book Antiqua"/>
          <w:b/>
          <w:color w:val="000000"/>
          <w:sz w:val="24"/>
          <w:szCs w:val="24"/>
        </w:rPr>
        <w:t>291</w:t>
      </w:r>
      <w:r w:rsidRPr="00092F07">
        <w:rPr>
          <w:rFonts w:ascii="Book Antiqua" w:eastAsia="Book Antiqua" w:hAnsi="Book Antiqua" w:cs="Book Antiqua"/>
          <w:color w:val="000000"/>
          <w:sz w:val="24"/>
          <w:szCs w:val="24"/>
        </w:rPr>
        <w:t>: 653-660 [PMID: 18484611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10.1002/ar.20664</w:t>
      </w:r>
      <w:r w:rsidRPr="00092F07">
        <w:rPr>
          <w:rFonts w:ascii="Book Antiqua" w:eastAsia="Book Antiqua" w:hAnsi="Book Antiqua" w:cs="Book Antiqua"/>
          <w:color w:val="000000"/>
          <w:sz w:val="24"/>
          <w:szCs w:val="24"/>
        </w:rPr>
        <w:t>]</w:t>
      </w:r>
    </w:p>
    <w:p w14:paraId="79A2E663" w14:textId="20D719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23 </w:t>
      </w:r>
      <w:r w:rsidRPr="00092F07">
        <w:rPr>
          <w:rFonts w:ascii="Book Antiqua" w:eastAsia="Book Antiqua" w:hAnsi="Book Antiqua" w:cs="Book Antiqua"/>
          <w:b/>
          <w:color w:val="000000"/>
          <w:sz w:val="24"/>
          <w:szCs w:val="24"/>
        </w:rPr>
        <w:t>Krishna M</w:t>
      </w:r>
      <w:r w:rsidRPr="00092F07">
        <w:rPr>
          <w:rFonts w:ascii="Book Antiqua" w:eastAsia="Book Antiqua" w:hAnsi="Book Antiqua" w:cs="Book Antiqua"/>
          <w:color w:val="000000"/>
          <w:sz w:val="24"/>
          <w:szCs w:val="24"/>
        </w:rPr>
        <w:t xml:space="preserve">. Microscopic anatomy of the liver. </w:t>
      </w:r>
      <w:r w:rsidRPr="00092F07">
        <w:rPr>
          <w:rFonts w:ascii="Book Antiqua" w:eastAsia="Book Antiqua" w:hAnsi="Book Antiqua" w:cs="Book Antiqua"/>
          <w:i/>
          <w:color w:val="000000"/>
          <w:sz w:val="24"/>
          <w:szCs w:val="24"/>
        </w:rPr>
        <w:t>Clin Liver Dis (Hoboken)</w:t>
      </w:r>
      <w:r w:rsidRPr="00092F07">
        <w:rPr>
          <w:rFonts w:ascii="Book Antiqua" w:eastAsia="Book Antiqua" w:hAnsi="Book Antiqua" w:cs="Book Antiqua"/>
          <w:color w:val="000000"/>
          <w:sz w:val="24"/>
          <w:szCs w:val="24"/>
        </w:rPr>
        <w:t xml:space="preserve"> 2013; </w:t>
      </w:r>
      <w:r w:rsidRPr="00092F07">
        <w:rPr>
          <w:rFonts w:ascii="Book Antiqua" w:eastAsia="Book Antiqua" w:hAnsi="Book Antiqua" w:cs="Book Antiqua"/>
          <w:b/>
          <w:color w:val="000000"/>
          <w:sz w:val="24"/>
          <w:szCs w:val="24"/>
        </w:rPr>
        <w:t>2</w:t>
      </w:r>
      <w:r w:rsidRPr="00092F07">
        <w:rPr>
          <w:rFonts w:ascii="Book Antiqua" w:eastAsia="Book Antiqua" w:hAnsi="Book Antiqua" w:cs="Book Antiqua"/>
          <w:color w:val="000000"/>
          <w:sz w:val="24"/>
          <w:szCs w:val="24"/>
        </w:rPr>
        <w:t>: S4-S7 [PMID: 30992875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10.1002/cld.147</w:t>
      </w:r>
      <w:r w:rsidRPr="00092F07">
        <w:rPr>
          <w:rFonts w:ascii="Book Antiqua" w:eastAsia="Book Antiqua" w:hAnsi="Book Antiqua" w:cs="Book Antiqua"/>
          <w:color w:val="000000"/>
          <w:sz w:val="24"/>
          <w:szCs w:val="24"/>
        </w:rPr>
        <w:t>]</w:t>
      </w:r>
    </w:p>
    <w:p w14:paraId="796D50AF" w14:textId="6BB1206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24 </w:t>
      </w:r>
      <w:r w:rsidRPr="00092F07">
        <w:rPr>
          <w:rFonts w:ascii="Book Antiqua" w:eastAsia="Book Antiqua" w:hAnsi="Book Antiqua" w:cs="Book Antiqua"/>
          <w:b/>
          <w:color w:val="000000"/>
          <w:sz w:val="24"/>
          <w:szCs w:val="24"/>
        </w:rPr>
        <w:t>Torre C</w:t>
      </w:r>
      <w:r w:rsidRPr="00092F07">
        <w:rPr>
          <w:rFonts w:ascii="Book Antiqua" w:eastAsia="Book Antiqua" w:hAnsi="Book Antiqua" w:cs="Book Antiqua"/>
          <w:color w:val="000000"/>
          <w:sz w:val="24"/>
          <w:szCs w:val="24"/>
        </w:rPr>
        <w:t xml:space="preserve">, Perret C, Colnot S. Transcription dynamics in a physiological process: β-catenin signaling directs liver metabolic zonation. </w:t>
      </w:r>
      <w:r w:rsidRPr="00092F07">
        <w:rPr>
          <w:rFonts w:ascii="Book Antiqua" w:eastAsia="Book Antiqua" w:hAnsi="Book Antiqua" w:cs="Book Antiqua"/>
          <w:i/>
          <w:color w:val="000000"/>
          <w:sz w:val="24"/>
          <w:szCs w:val="24"/>
        </w:rPr>
        <w:t>Int J Biochem Cell Biol</w:t>
      </w:r>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43</w:t>
      </w:r>
      <w:r w:rsidRPr="00092F07">
        <w:rPr>
          <w:rFonts w:ascii="Book Antiqua" w:eastAsia="Book Antiqua" w:hAnsi="Book Antiqua" w:cs="Book Antiqua"/>
          <w:color w:val="000000"/>
          <w:sz w:val="24"/>
          <w:szCs w:val="24"/>
        </w:rPr>
        <w:t>: 271-278 [PMID: 19914393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10.1016/j.biocel.2009.11.004</w:t>
      </w:r>
      <w:r w:rsidRPr="00092F07">
        <w:rPr>
          <w:rFonts w:ascii="Book Antiqua" w:eastAsia="Book Antiqua" w:hAnsi="Book Antiqua" w:cs="Book Antiqua"/>
          <w:color w:val="000000"/>
          <w:sz w:val="24"/>
          <w:szCs w:val="24"/>
        </w:rPr>
        <w:t>]</w:t>
      </w:r>
    </w:p>
    <w:p w14:paraId="71BD38FD" w14:textId="0631737A"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25 </w:t>
      </w:r>
      <w:r w:rsidRPr="00092F07">
        <w:rPr>
          <w:rFonts w:ascii="Book Antiqua" w:eastAsia="Book Antiqua" w:hAnsi="Book Antiqua" w:cs="Book Antiqua"/>
          <w:b/>
          <w:color w:val="000000"/>
          <w:sz w:val="24"/>
          <w:szCs w:val="24"/>
        </w:rPr>
        <w:t>Kietzmann T</w:t>
      </w:r>
      <w:r w:rsidRPr="00092F07">
        <w:rPr>
          <w:rFonts w:ascii="Book Antiqua" w:eastAsia="Book Antiqua" w:hAnsi="Book Antiqua" w:cs="Book Antiqua"/>
          <w:color w:val="000000"/>
          <w:sz w:val="24"/>
          <w:szCs w:val="24"/>
        </w:rPr>
        <w:t xml:space="preserve">. Metabolic zonation of the liver: The oxygen gradient revisited. </w:t>
      </w:r>
      <w:r w:rsidRPr="00092F07">
        <w:rPr>
          <w:rFonts w:ascii="Book Antiqua" w:eastAsia="Book Antiqua" w:hAnsi="Book Antiqua" w:cs="Book Antiqua"/>
          <w:i/>
          <w:color w:val="000000"/>
          <w:sz w:val="24"/>
          <w:szCs w:val="24"/>
        </w:rPr>
        <w:t>Redox Biol</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11</w:t>
      </w:r>
      <w:r w:rsidRPr="00092F07">
        <w:rPr>
          <w:rFonts w:ascii="Book Antiqua" w:eastAsia="Book Antiqua" w:hAnsi="Book Antiqua" w:cs="Book Antiqua"/>
          <w:color w:val="000000"/>
          <w:sz w:val="24"/>
          <w:szCs w:val="24"/>
        </w:rPr>
        <w:t>: 622-630 [PMID: 28126520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10.1016/j.redox.2017.01.012</w:t>
      </w:r>
      <w:r w:rsidRPr="00092F07">
        <w:rPr>
          <w:rFonts w:ascii="Book Antiqua" w:eastAsia="Book Antiqua" w:hAnsi="Book Antiqua" w:cs="Book Antiqua"/>
          <w:color w:val="000000"/>
          <w:sz w:val="24"/>
          <w:szCs w:val="24"/>
        </w:rPr>
        <w:t>]</w:t>
      </w:r>
    </w:p>
    <w:p w14:paraId="03404603" w14:textId="2375EBE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26 </w:t>
      </w:r>
      <w:r w:rsidRPr="00092F07">
        <w:rPr>
          <w:rFonts w:ascii="Book Antiqua" w:eastAsia="Book Antiqua" w:hAnsi="Book Antiqua" w:cs="Book Antiqua"/>
          <w:b/>
          <w:color w:val="000000"/>
          <w:sz w:val="24"/>
          <w:szCs w:val="24"/>
        </w:rPr>
        <w:t>Halpern KB</w:t>
      </w:r>
      <w:r w:rsidRPr="00092F07">
        <w:rPr>
          <w:rFonts w:ascii="Book Antiqua" w:eastAsia="Book Antiqua" w:hAnsi="Book Antiqua" w:cs="Book Antiqua"/>
          <w:color w:val="000000"/>
          <w:sz w:val="24"/>
          <w:szCs w:val="24"/>
        </w:rPr>
        <w:t xml:space="preserve">, Shenhav R, Matcovitch-Natan O, Toth B, Lemze D, Golan M, Massasa EE, Baydatch S, Landen S, Moor AE, Brandis A, Giladi A, Avihail AS, David E, Amit I, Itzkovitz S. Single-cell spatial reconstruction reveals global division of labour in the mammalian liver.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542</w:t>
      </w:r>
      <w:r w:rsidRPr="00092F07">
        <w:rPr>
          <w:rFonts w:ascii="Book Antiqua" w:eastAsia="Book Antiqua" w:hAnsi="Book Antiqua" w:cs="Book Antiqua"/>
          <w:color w:val="000000"/>
          <w:sz w:val="24"/>
          <w:szCs w:val="24"/>
        </w:rPr>
        <w:t>: 352-356 [PMID: 28166538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10.1038/nature21065</w:t>
      </w:r>
      <w:r w:rsidRPr="00092F07">
        <w:rPr>
          <w:rFonts w:ascii="Book Antiqua" w:eastAsia="Book Antiqua" w:hAnsi="Book Antiqua" w:cs="Book Antiqua"/>
          <w:color w:val="000000"/>
          <w:sz w:val="24"/>
          <w:szCs w:val="24"/>
        </w:rPr>
        <w:t>]</w:t>
      </w:r>
    </w:p>
    <w:p w14:paraId="53CA9D8E" w14:textId="62CFEDC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27 </w:t>
      </w:r>
      <w:r w:rsidRPr="00092F07">
        <w:rPr>
          <w:rFonts w:ascii="Book Antiqua" w:eastAsia="Book Antiqua" w:hAnsi="Book Antiqua" w:cs="Book Antiqua"/>
          <w:b/>
          <w:color w:val="000000"/>
          <w:sz w:val="24"/>
          <w:szCs w:val="24"/>
        </w:rPr>
        <w:t>Hata S</w:t>
      </w:r>
      <w:r w:rsidRPr="00092F07">
        <w:rPr>
          <w:rFonts w:ascii="Book Antiqua" w:eastAsia="Book Antiqua" w:hAnsi="Book Antiqua" w:cs="Book Antiqua"/>
          <w:color w:val="000000"/>
          <w:sz w:val="24"/>
          <w:szCs w:val="24"/>
        </w:rPr>
        <w:t xml:space="preserve">, Namae M, Nishina H. Liver development and regeneration: from laboratory study to clinical therapy. </w:t>
      </w:r>
      <w:r w:rsidRPr="00092F07">
        <w:rPr>
          <w:rFonts w:ascii="Book Antiqua" w:eastAsia="Book Antiqua" w:hAnsi="Book Antiqua" w:cs="Book Antiqua"/>
          <w:i/>
          <w:color w:val="000000"/>
          <w:sz w:val="24"/>
          <w:szCs w:val="24"/>
        </w:rPr>
        <w:t>Dev Growth Differ</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49</w:t>
      </w:r>
      <w:r w:rsidRPr="00092F07">
        <w:rPr>
          <w:rFonts w:ascii="Book Antiqua" w:eastAsia="Book Antiqua" w:hAnsi="Book Antiqua" w:cs="Book Antiqua"/>
          <w:color w:val="000000"/>
          <w:sz w:val="24"/>
          <w:szCs w:val="24"/>
        </w:rPr>
        <w:t>: 163-170 [PMID: 17335437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10.1111/j.1440-169X.2007.00910.x</w:t>
      </w:r>
      <w:r w:rsidRPr="00092F07">
        <w:rPr>
          <w:rFonts w:ascii="Book Antiqua" w:eastAsia="Book Antiqua" w:hAnsi="Book Antiqua" w:cs="Book Antiqua"/>
          <w:color w:val="000000"/>
          <w:sz w:val="24"/>
          <w:szCs w:val="24"/>
        </w:rPr>
        <w:t>]</w:t>
      </w:r>
    </w:p>
    <w:p w14:paraId="1F0B40D5" w14:textId="60C5669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28 </w:t>
      </w:r>
      <w:r w:rsidRPr="00092F07">
        <w:rPr>
          <w:rFonts w:ascii="Book Antiqua" w:eastAsia="Book Antiqua" w:hAnsi="Book Antiqua" w:cs="Book Antiqua"/>
          <w:b/>
          <w:color w:val="000000"/>
          <w:sz w:val="24"/>
          <w:szCs w:val="24"/>
        </w:rPr>
        <w:t>Gilgenkrantz H</w:t>
      </w:r>
      <w:r w:rsidRPr="00092F07">
        <w:rPr>
          <w:rFonts w:ascii="Book Antiqua" w:eastAsia="Book Antiqua" w:hAnsi="Book Antiqua" w:cs="Book Antiqua"/>
          <w:color w:val="000000"/>
          <w:sz w:val="24"/>
          <w:szCs w:val="24"/>
        </w:rPr>
        <w:t xml:space="preserve">, Collin de l'Hortet A. Understanding Liver Regeneration: From Mechanisms to Regenerative Medicine. </w:t>
      </w:r>
      <w:r w:rsidRPr="00092F07">
        <w:rPr>
          <w:rFonts w:ascii="Book Antiqua" w:eastAsia="Book Antiqua" w:hAnsi="Book Antiqua" w:cs="Book Antiqua"/>
          <w:i/>
          <w:color w:val="000000"/>
          <w:sz w:val="24"/>
          <w:szCs w:val="24"/>
        </w:rPr>
        <w:t>Am J Pathol</w:t>
      </w:r>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188</w:t>
      </w:r>
      <w:r w:rsidRPr="00092F07">
        <w:rPr>
          <w:rFonts w:ascii="Book Antiqua" w:eastAsia="Book Antiqua" w:hAnsi="Book Antiqua" w:cs="Book Antiqua"/>
          <w:color w:val="000000"/>
          <w:sz w:val="24"/>
          <w:szCs w:val="24"/>
        </w:rPr>
        <w:t>: 1316-1327 [PMID: 29673755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10.1016/j.ajpath.2018.03.008</w:t>
      </w:r>
      <w:r w:rsidRPr="00092F07">
        <w:rPr>
          <w:rFonts w:ascii="Book Antiqua" w:eastAsia="Book Antiqua" w:hAnsi="Book Antiqua" w:cs="Book Antiqua"/>
          <w:color w:val="000000"/>
          <w:sz w:val="24"/>
          <w:szCs w:val="24"/>
        </w:rPr>
        <w:t>]</w:t>
      </w:r>
    </w:p>
    <w:p w14:paraId="0DC2F99C" w14:textId="287C236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29 </w:t>
      </w:r>
      <w:r w:rsidRPr="00092F07">
        <w:rPr>
          <w:rFonts w:ascii="Book Antiqua" w:eastAsia="Book Antiqua" w:hAnsi="Book Antiqua" w:cs="Book Antiqua"/>
          <w:b/>
          <w:color w:val="000000"/>
          <w:sz w:val="24"/>
          <w:szCs w:val="24"/>
        </w:rPr>
        <w:t>Rodrigues MA</w:t>
      </w:r>
      <w:r w:rsidRPr="00092F07">
        <w:rPr>
          <w:rFonts w:ascii="Book Antiqua" w:eastAsia="Book Antiqua" w:hAnsi="Book Antiqua" w:cs="Book Antiqua"/>
          <w:color w:val="000000"/>
          <w:sz w:val="24"/>
          <w:szCs w:val="24"/>
        </w:rPr>
        <w:t xml:space="preserve">, Gomes DA, Leite MF, Grant W, Zhang L, Lam W, Cheng YC, Bennett AM, Nathanson MH. Nucleoplasmic calcium is required for cell proliferation.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282</w:t>
      </w:r>
      <w:r w:rsidRPr="00092F07">
        <w:rPr>
          <w:rFonts w:ascii="Book Antiqua" w:eastAsia="Book Antiqua" w:hAnsi="Book Antiqua" w:cs="Book Antiqua"/>
          <w:color w:val="000000"/>
          <w:sz w:val="24"/>
          <w:szCs w:val="24"/>
        </w:rPr>
        <w:t>: 17061-17068 [PMID: 17420246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10.1074/jbc.M700490200</w:t>
      </w:r>
      <w:r w:rsidRPr="00092F07">
        <w:rPr>
          <w:rFonts w:ascii="Book Antiqua" w:eastAsia="Book Antiqua" w:hAnsi="Book Antiqua" w:cs="Book Antiqua"/>
          <w:color w:val="000000"/>
          <w:sz w:val="24"/>
          <w:szCs w:val="24"/>
        </w:rPr>
        <w:t>]</w:t>
      </w:r>
    </w:p>
    <w:p w14:paraId="0BEE7B11" w14:textId="335E388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30 </w:t>
      </w:r>
      <w:r w:rsidRPr="00092F07">
        <w:rPr>
          <w:rFonts w:ascii="Book Antiqua" w:eastAsia="Book Antiqua" w:hAnsi="Book Antiqua" w:cs="Book Antiqua"/>
          <w:b/>
          <w:color w:val="000000"/>
          <w:sz w:val="24"/>
          <w:szCs w:val="24"/>
        </w:rPr>
        <w:t>Andrade V</w:t>
      </w:r>
      <w:r w:rsidRPr="00092F07">
        <w:rPr>
          <w:rFonts w:ascii="Book Antiqua" w:eastAsia="Book Antiqua" w:hAnsi="Book Antiqua" w:cs="Book Antiqua"/>
          <w:color w:val="000000"/>
          <w:sz w:val="24"/>
          <w:szCs w:val="24"/>
        </w:rPr>
        <w:t xml:space="preserve">, Guerra M, Jardim C, Melo F, Silva W, Ortega JM, Robert M, Nathanson MH, Leite F. Nucleoplasmic calcium regulates cell proliferation through legumain. </w:t>
      </w:r>
      <w:r w:rsidRPr="00092F07">
        <w:rPr>
          <w:rFonts w:ascii="Book Antiqua" w:eastAsia="Book Antiqua" w:hAnsi="Book Antiqua" w:cs="Book Antiqua"/>
          <w:i/>
          <w:color w:val="000000"/>
          <w:sz w:val="24"/>
          <w:szCs w:val="24"/>
        </w:rPr>
        <w:t>J Hepatol</w:t>
      </w:r>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55</w:t>
      </w:r>
      <w:r w:rsidRPr="00092F07">
        <w:rPr>
          <w:rFonts w:ascii="Book Antiqua" w:eastAsia="Book Antiqua" w:hAnsi="Book Antiqua" w:cs="Book Antiqua"/>
          <w:color w:val="000000"/>
          <w:sz w:val="24"/>
          <w:szCs w:val="24"/>
        </w:rPr>
        <w:t>: 626-635 [PMID: 21237226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10.1016/j.jhep.2010.12.022</w:t>
      </w:r>
      <w:r w:rsidRPr="00092F07">
        <w:rPr>
          <w:rFonts w:ascii="Book Antiqua" w:eastAsia="Book Antiqua" w:hAnsi="Book Antiqua" w:cs="Book Antiqua"/>
          <w:color w:val="000000"/>
          <w:sz w:val="24"/>
          <w:szCs w:val="24"/>
        </w:rPr>
        <w:t>]</w:t>
      </w:r>
    </w:p>
    <w:p w14:paraId="56F3E0CA" w14:textId="78986C9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31 </w:t>
      </w:r>
      <w:r w:rsidRPr="00092F07">
        <w:rPr>
          <w:rFonts w:ascii="Book Antiqua" w:eastAsia="Book Antiqua" w:hAnsi="Book Antiqua" w:cs="Book Antiqua"/>
          <w:b/>
          <w:color w:val="000000"/>
          <w:sz w:val="24"/>
          <w:szCs w:val="24"/>
        </w:rPr>
        <w:t>Guimarães E</w:t>
      </w:r>
      <w:r w:rsidRPr="00092F07">
        <w:rPr>
          <w:rFonts w:ascii="Book Antiqua" w:eastAsia="Book Antiqua" w:hAnsi="Book Antiqua" w:cs="Book Antiqua"/>
          <w:color w:val="000000"/>
          <w:sz w:val="24"/>
          <w:szCs w:val="24"/>
        </w:rPr>
        <w:t xml:space="preserve">, Machado R, Fonseca MC, França A, Carvalho C, Araújo E Silva AC, Almeida B, Cassini P, Hissa B, Drumond L, Gonçalves C, Fernandes G, De Brot M, Moraes M, Barcelos L, Ortega JM, Oliveira A, Leite MF. Inositol 1, 4, 5-trisphosphate-dependent nuclear calcium signals regulate angiogenesis and cell motility in triple negative breast cancer. </w:t>
      </w:r>
      <w:r w:rsidRPr="00092F07">
        <w:rPr>
          <w:rFonts w:ascii="Book Antiqua" w:eastAsia="Book Antiqua" w:hAnsi="Book Antiqua" w:cs="Book Antiqua"/>
          <w:i/>
          <w:color w:val="000000"/>
          <w:sz w:val="24"/>
          <w:szCs w:val="24"/>
        </w:rPr>
        <w:t>PLoS One</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12</w:t>
      </w:r>
      <w:r w:rsidRPr="00092F07">
        <w:rPr>
          <w:rFonts w:ascii="Book Antiqua" w:eastAsia="Book Antiqua" w:hAnsi="Book Antiqua" w:cs="Book Antiqua"/>
          <w:color w:val="000000"/>
          <w:sz w:val="24"/>
          <w:szCs w:val="24"/>
        </w:rPr>
        <w:t>: e0175041 [PMID: 28376104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10.1371/journal.pone.0175041</w:t>
      </w:r>
      <w:r w:rsidRPr="00092F07">
        <w:rPr>
          <w:rFonts w:ascii="Book Antiqua" w:eastAsia="Book Antiqua" w:hAnsi="Book Antiqua" w:cs="Book Antiqua"/>
          <w:color w:val="000000"/>
          <w:sz w:val="24"/>
          <w:szCs w:val="24"/>
        </w:rPr>
        <w:t>]</w:t>
      </w:r>
    </w:p>
    <w:p w14:paraId="65038643" w14:textId="0773C2B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32 </w:t>
      </w:r>
      <w:r w:rsidRPr="00092F07">
        <w:rPr>
          <w:rFonts w:ascii="Book Antiqua" w:eastAsia="Book Antiqua" w:hAnsi="Book Antiqua" w:cs="Book Antiqua"/>
          <w:b/>
          <w:color w:val="000000"/>
          <w:sz w:val="24"/>
          <w:szCs w:val="24"/>
        </w:rPr>
        <w:t>Resende RR</w:t>
      </w:r>
      <w:r w:rsidRPr="00092F07">
        <w:rPr>
          <w:rFonts w:ascii="Book Antiqua" w:eastAsia="Book Antiqua" w:hAnsi="Book Antiqua" w:cs="Book Antiqua"/>
          <w:color w:val="000000"/>
          <w:sz w:val="24"/>
          <w:szCs w:val="24"/>
        </w:rPr>
        <w:t xml:space="preserve">, Andrade LM, Oliveira AG, Guimarães ES, Guatimosim S, Leite MF. Nucleoplasmic calcium signaling and cell proliferation: calcium signaling in the nucleus. </w:t>
      </w:r>
      <w:r w:rsidRPr="00092F07">
        <w:rPr>
          <w:rFonts w:ascii="Book Antiqua" w:eastAsia="Book Antiqua" w:hAnsi="Book Antiqua" w:cs="Book Antiqua"/>
          <w:i/>
          <w:color w:val="000000"/>
          <w:sz w:val="24"/>
          <w:szCs w:val="24"/>
        </w:rPr>
        <w:t>Cell Commun Signal</w:t>
      </w:r>
      <w:r w:rsidRPr="00092F07">
        <w:rPr>
          <w:rFonts w:ascii="Book Antiqua" w:eastAsia="Book Antiqua" w:hAnsi="Book Antiqua" w:cs="Book Antiqua"/>
          <w:color w:val="000000"/>
          <w:sz w:val="24"/>
          <w:szCs w:val="24"/>
        </w:rPr>
        <w:t xml:space="preserve"> 2013; </w:t>
      </w:r>
      <w:r w:rsidRPr="00092F07">
        <w:rPr>
          <w:rFonts w:ascii="Book Antiqua" w:eastAsia="Book Antiqua" w:hAnsi="Book Antiqua" w:cs="Book Antiqua"/>
          <w:b/>
          <w:color w:val="000000"/>
          <w:sz w:val="24"/>
          <w:szCs w:val="24"/>
        </w:rPr>
        <w:t>11</w:t>
      </w:r>
      <w:r w:rsidRPr="00092F07">
        <w:rPr>
          <w:rFonts w:ascii="Book Antiqua" w:eastAsia="Book Antiqua" w:hAnsi="Book Antiqua" w:cs="Book Antiqua"/>
          <w:color w:val="000000"/>
          <w:sz w:val="24"/>
          <w:szCs w:val="24"/>
        </w:rPr>
        <w:t>: 14 [PMID: 23433362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10.1186/1478-811X-11</w:t>
      </w:r>
      <w:r w:rsidR="00AE3E87">
        <w:rPr>
          <w:rFonts w:ascii="Book Antiqua" w:eastAsia="Book Antiqua" w:hAnsi="Book Antiqua" w:cs="Book Antiqua"/>
          <w:color w:val="000000"/>
          <w:sz w:val="24"/>
          <w:szCs w:val="24"/>
        </w:rPr>
        <w:t>-</w:t>
      </w:r>
      <w:r w:rsidR="00B527C7" w:rsidRPr="00B527C7">
        <w:rPr>
          <w:rFonts w:ascii="Book Antiqua" w:eastAsia="Book Antiqua" w:hAnsi="Book Antiqua" w:cs="Book Antiqua"/>
          <w:color w:val="000000"/>
          <w:sz w:val="24"/>
          <w:szCs w:val="24"/>
        </w:rPr>
        <w:t>14</w:t>
      </w:r>
      <w:r w:rsidRPr="00092F07">
        <w:rPr>
          <w:rFonts w:ascii="Book Antiqua" w:eastAsia="Book Antiqua" w:hAnsi="Book Antiqua" w:cs="Book Antiqua"/>
          <w:color w:val="000000"/>
          <w:sz w:val="24"/>
          <w:szCs w:val="24"/>
        </w:rPr>
        <w:t>]</w:t>
      </w:r>
    </w:p>
    <w:p w14:paraId="5342B339" w14:textId="622D343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33 </w:t>
      </w:r>
      <w:r w:rsidRPr="00092F07">
        <w:rPr>
          <w:rFonts w:ascii="Book Antiqua" w:eastAsia="Book Antiqua" w:hAnsi="Book Antiqua" w:cs="Book Antiqua"/>
          <w:b/>
          <w:color w:val="000000"/>
          <w:sz w:val="24"/>
          <w:szCs w:val="24"/>
        </w:rPr>
        <w:t>Berridge MJ</w:t>
      </w:r>
      <w:r w:rsidRPr="00092F07">
        <w:rPr>
          <w:rFonts w:ascii="Book Antiqua" w:eastAsia="Book Antiqua" w:hAnsi="Book Antiqua" w:cs="Book Antiqua"/>
          <w:color w:val="000000"/>
          <w:sz w:val="24"/>
          <w:szCs w:val="24"/>
        </w:rPr>
        <w:t xml:space="preserve">, Bootman MD, Roderick HL. Calcium signalling: dynamics, homeostasis and remodelling. </w:t>
      </w:r>
      <w:r w:rsidRPr="00092F07">
        <w:rPr>
          <w:rFonts w:ascii="Book Antiqua" w:eastAsia="Book Antiqua" w:hAnsi="Book Antiqua" w:cs="Book Antiqua"/>
          <w:i/>
          <w:color w:val="000000"/>
          <w:sz w:val="24"/>
          <w:szCs w:val="24"/>
        </w:rPr>
        <w:t>Nat Rev Mol Cell Biol</w:t>
      </w:r>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4</w:t>
      </w:r>
      <w:r w:rsidRPr="00092F07">
        <w:rPr>
          <w:rFonts w:ascii="Book Antiqua" w:eastAsia="Book Antiqua" w:hAnsi="Book Antiqua" w:cs="Book Antiqua"/>
          <w:color w:val="000000"/>
          <w:sz w:val="24"/>
          <w:szCs w:val="24"/>
        </w:rPr>
        <w:t>: 517-529 [PMID: 12838335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10.1038/nrm1155</w:t>
      </w:r>
      <w:r w:rsidRPr="00092F07">
        <w:rPr>
          <w:rFonts w:ascii="Book Antiqua" w:eastAsia="Book Antiqua" w:hAnsi="Book Antiqua" w:cs="Book Antiqua"/>
          <w:color w:val="000000"/>
          <w:sz w:val="24"/>
          <w:szCs w:val="24"/>
        </w:rPr>
        <w:t>]</w:t>
      </w:r>
    </w:p>
    <w:p w14:paraId="40E2675A" w14:textId="5556466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34 </w:t>
      </w:r>
      <w:r w:rsidRPr="00092F07">
        <w:rPr>
          <w:rFonts w:ascii="Book Antiqua" w:eastAsia="Book Antiqua" w:hAnsi="Book Antiqua" w:cs="Book Antiqua"/>
          <w:b/>
          <w:color w:val="000000"/>
          <w:sz w:val="24"/>
          <w:szCs w:val="24"/>
        </w:rPr>
        <w:t>Oliveira AG</w:t>
      </w:r>
      <w:r w:rsidRPr="00092F07">
        <w:rPr>
          <w:rFonts w:ascii="Book Antiqua" w:eastAsia="Book Antiqua" w:hAnsi="Book Antiqua" w:cs="Book Antiqua"/>
          <w:color w:val="000000"/>
          <w:sz w:val="24"/>
          <w:szCs w:val="24"/>
        </w:rPr>
        <w:t xml:space="preserve">, Guimarães ES, Andrade LM, Menezes GB, Fatima Leite M. Decoding calcium signaling across the nucleus. </w:t>
      </w:r>
      <w:r w:rsidRPr="00092F07">
        <w:rPr>
          <w:rFonts w:ascii="Book Antiqua" w:eastAsia="Book Antiqua" w:hAnsi="Book Antiqua" w:cs="Book Antiqua"/>
          <w:i/>
          <w:color w:val="000000"/>
          <w:sz w:val="24"/>
          <w:szCs w:val="24"/>
        </w:rPr>
        <w:t>Physiology (Bethesda)</w:t>
      </w:r>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29</w:t>
      </w:r>
      <w:r w:rsidRPr="00092F07">
        <w:rPr>
          <w:rFonts w:ascii="Book Antiqua" w:eastAsia="Book Antiqua" w:hAnsi="Book Antiqua" w:cs="Book Antiqua"/>
          <w:color w:val="000000"/>
          <w:sz w:val="24"/>
          <w:szCs w:val="24"/>
        </w:rPr>
        <w:t>: 361-368 [PMID: 25180265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10.1152/physiol.00056.2013</w:t>
      </w:r>
      <w:r w:rsidRPr="00092F07">
        <w:rPr>
          <w:rFonts w:ascii="Book Antiqua" w:eastAsia="Book Antiqua" w:hAnsi="Book Antiqua" w:cs="Book Antiqua"/>
          <w:color w:val="000000"/>
          <w:sz w:val="24"/>
          <w:szCs w:val="24"/>
        </w:rPr>
        <w:t>]</w:t>
      </w:r>
    </w:p>
    <w:p w14:paraId="48A3B2C6" w14:textId="24F1C9E4"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35 </w:t>
      </w:r>
      <w:r w:rsidRPr="00092F07">
        <w:rPr>
          <w:rFonts w:ascii="Book Antiqua" w:eastAsia="Book Antiqua" w:hAnsi="Book Antiqua" w:cs="Book Antiqua"/>
          <w:b/>
          <w:color w:val="000000"/>
          <w:sz w:val="24"/>
          <w:szCs w:val="24"/>
        </w:rPr>
        <w:t>Irvine RF</w:t>
      </w:r>
      <w:r w:rsidRPr="00092F07">
        <w:rPr>
          <w:rFonts w:ascii="Book Antiqua" w:eastAsia="Book Antiqua" w:hAnsi="Book Antiqua" w:cs="Book Antiqua"/>
          <w:color w:val="000000"/>
          <w:sz w:val="24"/>
          <w:szCs w:val="24"/>
        </w:rPr>
        <w:t xml:space="preserve">, Lloyd-Burton SM, Yu JC, Letcher AJ, Schell MJ. The regulation and function of inositol 1,4,5-trisphosphate 3-kinases. </w:t>
      </w:r>
      <w:r w:rsidRPr="00092F07">
        <w:rPr>
          <w:rFonts w:ascii="Book Antiqua" w:eastAsia="Book Antiqua" w:hAnsi="Book Antiqua" w:cs="Book Antiqua"/>
          <w:i/>
          <w:color w:val="000000"/>
          <w:sz w:val="24"/>
          <w:szCs w:val="24"/>
        </w:rPr>
        <w:t>Adv Enzyme Regul</w:t>
      </w:r>
      <w:r w:rsidRPr="00092F07">
        <w:rPr>
          <w:rFonts w:ascii="Book Antiqua" w:eastAsia="Book Antiqua" w:hAnsi="Book Antiqua" w:cs="Book Antiqua"/>
          <w:color w:val="000000"/>
          <w:sz w:val="24"/>
          <w:szCs w:val="24"/>
        </w:rPr>
        <w:t xml:space="preserve"> 2006; </w:t>
      </w:r>
      <w:r w:rsidRPr="00092F07">
        <w:rPr>
          <w:rFonts w:ascii="Book Antiqua" w:eastAsia="Book Antiqua" w:hAnsi="Book Antiqua" w:cs="Book Antiqua"/>
          <w:b/>
          <w:color w:val="000000"/>
          <w:sz w:val="24"/>
          <w:szCs w:val="24"/>
        </w:rPr>
        <w:t>46</w:t>
      </w:r>
      <w:r w:rsidRPr="00092F07">
        <w:rPr>
          <w:rFonts w:ascii="Book Antiqua" w:eastAsia="Book Antiqua" w:hAnsi="Book Antiqua" w:cs="Book Antiqua"/>
          <w:color w:val="000000"/>
          <w:sz w:val="24"/>
          <w:szCs w:val="24"/>
        </w:rPr>
        <w:t>: 314-323 [PMID: 16857241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10.1016/j.advenzreg.2006.01.009</w:t>
      </w:r>
      <w:r w:rsidRPr="00092F07">
        <w:rPr>
          <w:rFonts w:ascii="Book Antiqua" w:eastAsia="Book Antiqua" w:hAnsi="Book Antiqua" w:cs="Book Antiqua"/>
          <w:color w:val="000000"/>
          <w:sz w:val="24"/>
          <w:szCs w:val="24"/>
        </w:rPr>
        <w:t>]</w:t>
      </w:r>
    </w:p>
    <w:p w14:paraId="4B0E2FEB" w14:textId="0259360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36 </w:t>
      </w:r>
      <w:r w:rsidRPr="00092F07">
        <w:rPr>
          <w:rFonts w:ascii="Book Antiqua" w:eastAsia="Book Antiqua" w:hAnsi="Book Antiqua" w:cs="Book Antiqua"/>
          <w:b/>
          <w:color w:val="000000"/>
          <w:sz w:val="24"/>
          <w:szCs w:val="24"/>
        </w:rPr>
        <w:t>Connolly TM</w:t>
      </w:r>
      <w:r w:rsidRPr="00092F07">
        <w:rPr>
          <w:rFonts w:ascii="Book Antiqua" w:eastAsia="Book Antiqua" w:hAnsi="Book Antiqua" w:cs="Book Antiqua"/>
          <w:color w:val="000000"/>
          <w:sz w:val="24"/>
          <w:szCs w:val="24"/>
        </w:rPr>
        <w:t xml:space="preserve">, Bansal VS, Bross TE, Irvine RF, Majerus PW. The metabolism of tris- and tetraphosphates of inositol by 5-phosphomonoesterase and 3-kinase enzymes.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1987; </w:t>
      </w:r>
      <w:r w:rsidRPr="00092F07">
        <w:rPr>
          <w:rFonts w:ascii="Book Antiqua" w:eastAsia="Book Antiqua" w:hAnsi="Book Antiqua" w:cs="Book Antiqua"/>
          <w:b/>
          <w:color w:val="000000"/>
          <w:sz w:val="24"/>
          <w:szCs w:val="24"/>
        </w:rPr>
        <w:t>262</w:t>
      </w:r>
      <w:r w:rsidRPr="00092F07">
        <w:rPr>
          <w:rFonts w:ascii="Book Antiqua" w:eastAsia="Book Antiqua" w:hAnsi="Book Antiqua" w:cs="Book Antiqua"/>
          <w:color w:val="000000"/>
          <w:sz w:val="24"/>
          <w:szCs w:val="24"/>
        </w:rPr>
        <w:t>: 2146-2149 [PMID: 3029066]</w:t>
      </w:r>
    </w:p>
    <w:p w14:paraId="7A5129FA" w14:textId="1629F59A"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37 </w:t>
      </w:r>
      <w:r w:rsidRPr="00092F07">
        <w:rPr>
          <w:rFonts w:ascii="Book Antiqua" w:eastAsia="Book Antiqua" w:hAnsi="Book Antiqua" w:cs="Book Antiqua"/>
          <w:b/>
          <w:color w:val="000000"/>
          <w:sz w:val="24"/>
          <w:szCs w:val="24"/>
        </w:rPr>
        <w:t>Blaustein MP</w:t>
      </w:r>
      <w:r w:rsidRPr="00092F07">
        <w:rPr>
          <w:rFonts w:ascii="Book Antiqua" w:eastAsia="Book Antiqua" w:hAnsi="Book Antiqua" w:cs="Book Antiqua"/>
          <w:color w:val="000000"/>
          <w:sz w:val="24"/>
          <w:szCs w:val="24"/>
        </w:rPr>
        <w:t xml:space="preserve">, Lederer WJ. Sodium/calcium exchange: its physiological implications. </w:t>
      </w:r>
      <w:r w:rsidRPr="00092F07">
        <w:rPr>
          <w:rFonts w:ascii="Book Antiqua" w:eastAsia="Book Antiqua" w:hAnsi="Book Antiqua" w:cs="Book Antiqua"/>
          <w:i/>
          <w:color w:val="000000"/>
          <w:sz w:val="24"/>
          <w:szCs w:val="24"/>
        </w:rPr>
        <w:t>Physiol Rev</w:t>
      </w:r>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79</w:t>
      </w:r>
      <w:r w:rsidRPr="00092F07">
        <w:rPr>
          <w:rFonts w:ascii="Book Antiqua" w:eastAsia="Book Antiqua" w:hAnsi="Book Antiqua" w:cs="Book Antiqua"/>
          <w:color w:val="000000"/>
          <w:sz w:val="24"/>
          <w:szCs w:val="24"/>
        </w:rPr>
        <w:t>: 763-854 [PMID: 10390518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10.1152/physrev.1999.79.3.763</w:t>
      </w:r>
      <w:r w:rsidRPr="00092F07">
        <w:rPr>
          <w:rFonts w:ascii="Book Antiqua" w:eastAsia="Book Antiqua" w:hAnsi="Book Antiqua" w:cs="Book Antiqua"/>
          <w:color w:val="000000"/>
          <w:sz w:val="24"/>
          <w:szCs w:val="24"/>
        </w:rPr>
        <w:t>]</w:t>
      </w:r>
    </w:p>
    <w:p w14:paraId="16C45355" w14:textId="76F0BED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38 </w:t>
      </w:r>
      <w:r w:rsidRPr="00092F07">
        <w:rPr>
          <w:rFonts w:ascii="Book Antiqua" w:eastAsia="Book Antiqua" w:hAnsi="Book Antiqua" w:cs="Book Antiqua"/>
          <w:b/>
          <w:color w:val="000000"/>
          <w:sz w:val="24"/>
          <w:szCs w:val="24"/>
        </w:rPr>
        <w:t>Perocchi F</w:t>
      </w:r>
      <w:r w:rsidRPr="00092F07">
        <w:rPr>
          <w:rFonts w:ascii="Book Antiqua" w:eastAsia="Book Antiqua" w:hAnsi="Book Antiqua" w:cs="Book Antiqua"/>
          <w:color w:val="000000"/>
          <w:sz w:val="24"/>
          <w:szCs w:val="24"/>
        </w:rPr>
        <w:t>, Gohil VM, Girgis HS, Bao XR, McCombs JE, Palmer AE, Mootha VK. MICU1 encodes a mitochondrial EF hand protein required for Ca</w:t>
      </w:r>
      <w:r w:rsidRPr="00B527C7">
        <w:rPr>
          <w:rFonts w:ascii="Book Antiqua" w:eastAsia="Book Antiqua" w:hAnsi="Book Antiqua" w:cs="Book Antiqua"/>
          <w:color w:val="000000"/>
          <w:sz w:val="24"/>
          <w:szCs w:val="24"/>
          <w:vertAlign w:val="superscript"/>
        </w:rPr>
        <w:t>2+</w:t>
      </w:r>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2010; </w:t>
      </w:r>
      <w:r w:rsidRPr="00092F07">
        <w:rPr>
          <w:rFonts w:ascii="Book Antiqua" w:eastAsia="Book Antiqua" w:hAnsi="Book Antiqua" w:cs="Book Antiqua"/>
          <w:b/>
          <w:color w:val="000000"/>
          <w:sz w:val="24"/>
          <w:szCs w:val="24"/>
        </w:rPr>
        <w:t>467</w:t>
      </w:r>
      <w:r w:rsidRPr="00092F07">
        <w:rPr>
          <w:rFonts w:ascii="Book Antiqua" w:eastAsia="Book Antiqua" w:hAnsi="Book Antiqua" w:cs="Book Antiqua"/>
          <w:color w:val="000000"/>
          <w:sz w:val="24"/>
          <w:szCs w:val="24"/>
        </w:rPr>
        <w:t>: 291-296 [PMID: 20693986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hAnsi="Book Antiqua"/>
          <w:sz w:val="24"/>
          <w:szCs w:val="24"/>
        </w:rPr>
        <w:t>10.1038/nature09358</w:t>
      </w:r>
      <w:r w:rsidRPr="00092F07">
        <w:rPr>
          <w:rFonts w:ascii="Book Antiqua" w:eastAsia="Book Antiqua" w:hAnsi="Book Antiqua" w:cs="Book Antiqua"/>
          <w:color w:val="000000"/>
          <w:sz w:val="24"/>
          <w:szCs w:val="24"/>
        </w:rPr>
        <w:t>]</w:t>
      </w:r>
    </w:p>
    <w:p w14:paraId="04BDB2EF" w14:textId="349E853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39 </w:t>
      </w:r>
      <w:r w:rsidRPr="00092F07">
        <w:rPr>
          <w:rFonts w:ascii="Book Antiqua" w:eastAsia="Book Antiqua" w:hAnsi="Book Antiqua" w:cs="Book Antiqua"/>
          <w:b/>
          <w:color w:val="000000"/>
          <w:sz w:val="24"/>
          <w:szCs w:val="24"/>
        </w:rPr>
        <w:t>Jiang QX</w:t>
      </w:r>
      <w:r w:rsidRPr="00092F07">
        <w:rPr>
          <w:rFonts w:ascii="Book Antiqua" w:eastAsia="Book Antiqua" w:hAnsi="Book Antiqua" w:cs="Book Antiqua"/>
          <w:color w:val="000000"/>
          <w:sz w:val="24"/>
          <w:szCs w:val="24"/>
        </w:rPr>
        <w:t xml:space="preserve">, Thrower EC, Chester DW, Ehrlich BE, Sigworth FJ. Three-dimensional structure of the type 1 inositol 1,4,5-trisphosphate receptor at 24 A resolution. </w:t>
      </w:r>
      <w:r w:rsidRPr="00092F07">
        <w:rPr>
          <w:rFonts w:ascii="Book Antiqua" w:eastAsia="Book Antiqua" w:hAnsi="Book Antiqua" w:cs="Book Antiqua"/>
          <w:i/>
          <w:color w:val="000000"/>
          <w:sz w:val="24"/>
          <w:szCs w:val="24"/>
        </w:rPr>
        <w:t>EMBO J</w:t>
      </w:r>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21</w:t>
      </w:r>
      <w:r w:rsidRPr="00092F07">
        <w:rPr>
          <w:rFonts w:ascii="Book Antiqua" w:eastAsia="Book Antiqua" w:hAnsi="Book Antiqua" w:cs="Book Antiqua"/>
          <w:color w:val="000000"/>
          <w:sz w:val="24"/>
          <w:szCs w:val="24"/>
        </w:rPr>
        <w:t>: 3575-3581 [PMID: 12110570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10.1093/emboj/cdf380</w:t>
      </w:r>
      <w:r w:rsidRPr="00092F07">
        <w:rPr>
          <w:rFonts w:ascii="Book Antiqua" w:eastAsia="Book Antiqua" w:hAnsi="Book Antiqua" w:cs="Book Antiqua"/>
          <w:color w:val="000000"/>
          <w:sz w:val="24"/>
          <w:szCs w:val="24"/>
        </w:rPr>
        <w:t>]</w:t>
      </w:r>
    </w:p>
    <w:p w14:paraId="7C862023" w14:textId="350CD48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40 </w:t>
      </w:r>
      <w:r w:rsidRPr="00092F07">
        <w:rPr>
          <w:rFonts w:ascii="Book Antiqua" w:eastAsia="Book Antiqua" w:hAnsi="Book Antiqua" w:cs="Book Antiqua"/>
          <w:b/>
          <w:color w:val="000000"/>
          <w:sz w:val="24"/>
          <w:szCs w:val="24"/>
        </w:rPr>
        <w:t>Shah SZA</w:t>
      </w:r>
      <w:r w:rsidRPr="00092F07">
        <w:rPr>
          <w:rFonts w:ascii="Book Antiqua" w:eastAsia="Book Antiqua" w:hAnsi="Book Antiqua" w:cs="Book Antiqua"/>
          <w:color w:val="000000"/>
          <w:sz w:val="24"/>
          <w:szCs w:val="24"/>
        </w:rPr>
        <w:t xml:space="preserve">, Zhao D, Khan SH, Yang L. Regulatory Mechanisms of Endoplasmic Reticulum Resident IP3 Receptors. </w:t>
      </w:r>
      <w:r w:rsidRPr="00092F07">
        <w:rPr>
          <w:rFonts w:ascii="Book Antiqua" w:eastAsia="Book Antiqua" w:hAnsi="Book Antiqua" w:cs="Book Antiqua"/>
          <w:i/>
          <w:color w:val="000000"/>
          <w:sz w:val="24"/>
          <w:szCs w:val="24"/>
        </w:rPr>
        <w:t>J Mol Neurosci</w:t>
      </w:r>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56</w:t>
      </w:r>
      <w:r w:rsidRPr="00092F07">
        <w:rPr>
          <w:rFonts w:ascii="Book Antiqua" w:eastAsia="Book Antiqua" w:hAnsi="Book Antiqua" w:cs="Book Antiqua"/>
          <w:color w:val="000000"/>
          <w:sz w:val="24"/>
          <w:szCs w:val="24"/>
        </w:rPr>
        <w:t>: 938-948 [PMID: 25859934</w:t>
      </w:r>
      <w:r w:rsidR="00B527C7">
        <w:rPr>
          <w:rFonts w:ascii="Book Antiqua" w:eastAsia="Book Antiqua" w:hAnsi="Book Antiqua" w:cs="Book Antiqua"/>
          <w:color w:val="000000"/>
          <w:sz w:val="24"/>
          <w:szCs w:val="24"/>
        </w:rPr>
        <w:t xml:space="preserve"> DOI: </w:t>
      </w:r>
      <w:r w:rsidR="00B527C7" w:rsidRPr="00B527C7">
        <w:rPr>
          <w:rFonts w:ascii="Book Antiqua" w:eastAsia="Book Antiqua" w:hAnsi="Book Antiqua" w:cs="Book Antiqua"/>
          <w:color w:val="000000"/>
          <w:sz w:val="24"/>
          <w:szCs w:val="24"/>
        </w:rPr>
        <w:t>10.1007/s12031-015-0551-4</w:t>
      </w:r>
      <w:r w:rsidRPr="00092F07">
        <w:rPr>
          <w:rFonts w:ascii="Book Antiqua" w:eastAsia="Book Antiqua" w:hAnsi="Book Antiqua" w:cs="Book Antiqua"/>
          <w:color w:val="000000"/>
          <w:sz w:val="24"/>
          <w:szCs w:val="24"/>
        </w:rPr>
        <w:t>]</w:t>
      </w:r>
    </w:p>
    <w:p w14:paraId="408BCA16" w14:textId="4DF9A3B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41 </w:t>
      </w:r>
      <w:r w:rsidRPr="00092F07">
        <w:rPr>
          <w:rFonts w:ascii="Book Antiqua" w:eastAsia="Book Antiqua" w:hAnsi="Book Antiqua" w:cs="Book Antiqua"/>
          <w:b/>
          <w:color w:val="000000"/>
          <w:sz w:val="24"/>
          <w:szCs w:val="24"/>
        </w:rPr>
        <w:t>Foskett JK</w:t>
      </w:r>
      <w:r w:rsidRPr="00092F07">
        <w:rPr>
          <w:rFonts w:ascii="Book Antiqua" w:eastAsia="Book Antiqua" w:hAnsi="Book Antiqua" w:cs="Book Antiqua"/>
          <w:color w:val="000000"/>
          <w:sz w:val="24"/>
          <w:szCs w:val="24"/>
        </w:rPr>
        <w:t xml:space="preserve">, White C, Cheung KH, Mak DO. Inositol trisphosphate receptor Ca2+ release channels. </w:t>
      </w:r>
      <w:r w:rsidRPr="00092F07">
        <w:rPr>
          <w:rFonts w:ascii="Book Antiqua" w:eastAsia="Book Antiqua" w:hAnsi="Book Antiqua" w:cs="Book Antiqua"/>
          <w:i/>
          <w:color w:val="000000"/>
          <w:sz w:val="24"/>
          <w:szCs w:val="24"/>
        </w:rPr>
        <w:t>Physiol Rev</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87</w:t>
      </w:r>
      <w:r w:rsidRPr="00092F07">
        <w:rPr>
          <w:rFonts w:ascii="Book Antiqua" w:eastAsia="Book Antiqua" w:hAnsi="Book Antiqua" w:cs="Book Antiqua"/>
          <w:color w:val="000000"/>
          <w:sz w:val="24"/>
          <w:szCs w:val="24"/>
        </w:rPr>
        <w:t>: 593-658 [PMID: 17429043</w:t>
      </w:r>
      <w:r w:rsidR="005C4501" w:rsidRPr="005C4501">
        <w:rPr>
          <w:rFonts w:ascii="Book Antiqua" w:eastAsia="Book Antiqua" w:hAnsi="Book Antiqua" w:cs="Book Antiqua"/>
          <w:color w:val="000000"/>
          <w:sz w:val="24"/>
          <w:szCs w:val="24"/>
        </w:rPr>
        <w:t xml:space="preserve"> </w:t>
      </w:r>
      <w:bookmarkStart w:id="56" w:name="OLE_LINK8"/>
      <w:bookmarkStart w:id="57" w:name="OLE_LINK9"/>
      <w:r w:rsidR="005C4501">
        <w:rPr>
          <w:rFonts w:ascii="Book Antiqua" w:eastAsia="Book Antiqua" w:hAnsi="Book Antiqua" w:cs="Book Antiqua"/>
          <w:color w:val="000000"/>
          <w:sz w:val="24"/>
          <w:szCs w:val="24"/>
        </w:rPr>
        <w:t>DOI:</w:t>
      </w:r>
      <w:bookmarkEnd w:id="56"/>
      <w:bookmarkEnd w:id="57"/>
      <w:r w:rsidR="005C4501">
        <w:rPr>
          <w:rFonts w:ascii="Book Antiqua" w:eastAsia="Book Antiqua" w:hAnsi="Book Antiqua" w:cs="Book Antiqua"/>
          <w:color w:val="000000"/>
          <w:sz w:val="24"/>
          <w:szCs w:val="24"/>
        </w:rPr>
        <w:t xml:space="preserve"> </w:t>
      </w:r>
      <w:r w:rsidR="00B527C7" w:rsidRPr="00B527C7">
        <w:rPr>
          <w:rFonts w:ascii="Book Antiqua" w:eastAsia="Book Antiqua" w:hAnsi="Book Antiqua" w:cs="Book Antiqua"/>
          <w:color w:val="000000"/>
          <w:sz w:val="24"/>
          <w:szCs w:val="24"/>
        </w:rPr>
        <w:t>10.1152/physrev.00035.2006</w:t>
      </w:r>
      <w:r w:rsidRPr="00092F07">
        <w:rPr>
          <w:rFonts w:ascii="Book Antiqua" w:eastAsia="Book Antiqua" w:hAnsi="Book Antiqua" w:cs="Book Antiqua"/>
          <w:color w:val="000000"/>
          <w:sz w:val="24"/>
          <w:szCs w:val="24"/>
        </w:rPr>
        <w:t>]</w:t>
      </w:r>
    </w:p>
    <w:p w14:paraId="4DD49312" w14:textId="6F44155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42 </w:t>
      </w:r>
      <w:r w:rsidRPr="00092F07">
        <w:rPr>
          <w:rFonts w:ascii="Book Antiqua" w:eastAsia="Book Antiqua" w:hAnsi="Book Antiqua" w:cs="Book Antiqua"/>
          <w:b/>
          <w:color w:val="000000"/>
          <w:sz w:val="24"/>
          <w:szCs w:val="24"/>
        </w:rPr>
        <w:t>Baker MR</w:t>
      </w:r>
      <w:r w:rsidRPr="00092F07">
        <w:rPr>
          <w:rFonts w:ascii="Book Antiqua" w:eastAsia="Book Antiqua" w:hAnsi="Book Antiqua" w:cs="Book Antiqua"/>
          <w:color w:val="000000"/>
          <w:sz w:val="24"/>
          <w:szCs w:val="24"/>
        </w:rPr>
        <w:t>, Fan G, Serysheva II. Structure of IP</w:t>
      </w:r>
      <w:r w:rsidRPr="00092F07">
        <w:rPr>
          <w:rFonts w:ascii="Book Antiqua" w:eastAsia="Book Antiqua" w:hAnsi="Book Antiqua" w:cs="Book Antiqua"/>
          <w:color w:val="000000"/>
          <w:sz w:val="24"/>
          <w:szCs w:val="24"/>
          <w:vertAlign w:val="subscript"/>
        </w:rPr>
        <w:t>3</w:t>
      </w:r>
      <w:r w:rsidRPr="00092F07">
        <w:rPr>
          <w:rFonts w:ascii="Book Antiqua" w:eastAsia="Book Antiqua" w:hAnsi="Book Antiqua" w:cs="Book Antiqua"/>
          <w:color w:val="000000"/>
          <w:sz w:val="24"/>
          <w:szCs w:val="24"/>
        </w:rPr>
        <w:t xml:space="preserve">R channel: high-resolution insights from cryo-EM. </w:t>
      </w:r>
      <w:r w:rsidRPr="00092F07">
        <w:rPr>
          <w:rFonts w:ascii="Book Antiqua" w:eastAsia="Book Antiqua" w:hAnsi="Book Antiqua" w:cs="Book Antiqua"/>
          <w:i/>
          <w:color w:val="000000"/>
          <w:sz w:val="24"/>
          <w:szCs w:val="24"/>
        </w:rPr>
        <w:t>Curr Opin Struct Biol</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46</w:t>
      </w:r>
      <w:r w:rsidRPr="00092F07">
        <w:rPr>
          <w:rFonts w:ascii="Book Antiqua" w:eastAsia="Book Antiqua" w:hAnsi="Book Antiqua" w:cs="Book Antiqua"/>
          <w:color w:val="000000"/>
          <w:sz w:val="24"/>
          <w:szCs w:val="24"/>
        </w:rPr>
        <w:t>: 38-47 [PMID: 28618351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10.1016/j.sbi.2017.05.014</w:t>
      </w:r>
      <w:r w:rsidRPr="00092F07">
        <w:rPr>
          <w:rFonts w:ascii="Book Antiqua" w:eastAsia="Book Antiqua" w:hAnsi="Book Antiqua" w:cs="Book Antiqua"/>
          <w:color w:val="000000"/>
          <w:sz w:val="24"/>
          <w:szCs w:val="24"/>
        </w:rPr>
        <w:t>]</w:t>
      </w:r>
    </w:p>
    <w:p w14:paraId="6F1AF4A6" w14:textId="34DD59C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43 </w:t>
      </w:r>
      <w:r w:rsidRPr="00092F07">
        <w:rPr>
          <w:rFonts w:ascii="Book Antiqua" w:eastAsia="Book Antiqua" w:hAnsi="Book Antiqua" w:cs="Book Antiqua"/>
          <w:b/>
          <w:color w:val="000000"/>
          <w:sz w:val="24"/>
          <w:szCs w:val="24"/>
        </w:rPr>
        <w:t>Yang J</w:t>
      </w:r>
      <w:r w:rsidRPr="00092F07">
        <w:rPr>
          <w:rFonts w:ascii="Book Antiqua" w:eastAsia="Book Antiqua" w:hAnsi="Book Antiqua" w:cs="Book Antiqua"/>
          <w:color w:val="000000"/>
          <w:sz w:val="24"/>
          <w:szCs w:val="24"/>
        </w:rPr>
        <w:t xml:space="preserve">, Vais H, Gu W, Foskett JK. Biphasic regulation of InsP3 receptor gating by dual Ca2+ release channel BH3-like domains mediates Bcl-xL control of cell viability. </w:t>
      </w:r>
      <w:r w:rsidRPr="00092F07">
        <w:rPr>
          <w:rFonts w:ascii="Book Antiqua" w:eastAsia="Book Antiqua" w:hAnsi="Book Antiqua" w:cs="Book Antiqua"/>
          <w:i/>
          <w:color w:val="000000"/>
          <w:sz w:val="24"/>
          <w:szCs w:val="24"/>
        </w:rPr>
        <w:t>Proc Natl Acad Sci USA</w:t>
      </w:r>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113</w:t>
      </w:r>
      <w:r w:rsidRPr="00092F07">
        <w:rPr>
          <w:rFonts w:ascii="Book Antiqua" w:eastAsia="Book Antiqua" w:hAnsi="Book Antiqua" w:cs="Book Antiqua"/>
          <w:color w:val="000000"/>
          <w:sz w:val="24"/>
          <w:szCs w:val="24"/>
        </w:rPr>
        <w:t>: E1953-E1962 [PMID: 26976600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10.1073/pnas.1517935113</w:t>
      </w:r>
      <w:r w:rsidRPr="00092F07">
        <w:rPr>
          <w:rFonts w:ascii="Book Antiqua" w:eastAsia="Book Antiqua" w:hAnsi="Book Antiqua" w:cs="Book Antiqua"/>
          <w:color w:val="000000"/>
          <w:sz w:val="24"/>
          <w:szCs w:val="24"/>
        </w:rPr>
        <w:t>]</w:t>
      </w:r>
    </w:p>
    <w:p w14:paraId="78287FB5" w14:textId="27797D3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44 </w:t>
      </w:r>
      <w:r w:rsidRPr="00092F07">
        <w:rPr>
          <w:rFonts w:ascii="Book Antiqua" w:eastAsia="Book Antiqua" w:hAnsi="Book Antiqua" w:cs="Book Antiqua"/>
          <w:b/>
          <w:color w:val="000000"/>
          <w:sz w:val="24"/>
          <w:szCs w:val="24"/>
        </w:rPr>
        <w:t>Choe CU</w:t>
      </w:r>
      <w:r w:rsidRPr="00092F07">
        <w:rPr>
          <w:rFonts w:ascii="Book Antiqua" w:eastAsia="Book Antiqua" w:hAnsi="Book Antiqua" w:cs="Book Antiqua"/>
          <w:color w:val="000000"/>
          <w:sz w:val="24"/>
          <w:szCs w:val="24"/>
        </w:rPr>
        <w:t xml:space="preserve">, Ehrlich BE. The inositol 1,4,5-trisphosphate receptor (IP3R) and its regulators: sometimes good and sometimes bad teamwork. </w:t>
      </w:r>
      <w:r w:rsidRPr="00092F07">
        <w:rPr>
          <w:rFonts w:ascii="Book Antiqua" w:eastAsia="Book Antiqua" w:hAnsi="Book Antiqua" w:cs="Book Antiqua"/>
          <w:i/>
          <w:color w:val="000000"/>
          <w:sz w:val="24"/>
          <w:szCs w:val="24"/>
        </w:rPr>
        <w:t>Sci STKE</w:t>
      </w:r>
      <w:r w:rsidRPr="00092F07">
        <w:rPr>
          <w:rFonts w:ascii="Book Antiqua" w:eastAsia="Book Antiqua" w:hAnsi="Book Antiqua" w:cs="Book Antiqua"/>
          <w:color w:val="000000"/>
          <w:sz w:val="24"/>
          <w:szCs w:val="24"/>
        </w:rPr>
        <w:t xml:space="preserve"> 2006; </w:t>
      </w:r>
      <w:r w:rsidRPr="00092F07">
        <w:rPr>
          <w:rFonts w:ascii="Book Antiqua" w:eastAsia="Book Antiqua" w:hAnsi="Book Antiqua" w:cs="Book Antiqua"/>
          <w:b/>
          <w:color w:val="000000"/>
          <w:sz w:val="24"/>
          <w:szCs w:val="24"/>
        </w:rPr>
        <w:t>2006</w:t>
      </w:r>
      <w:r w:rsidRPr="00092F07">
        <w:rPr>
          <w:rFonts w:ascii="Book Antiqua" w:eastAsia="Book Antiqua" w:hAnsi="Book Antiqua" w:cs="Book Antiqua"/>
          <w:color w:val="000000"/>
          <w:sz w:val="24"/>
          <w:szCs w:val="24"/>
        </w:rPr>
        <w:t>: re15 [PMID: 17132820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10.1126/stke.3632006re15</w:t>
      </w:r>
      <w:r w:rsidRPr="00092F07">
        <w:rPr>
          <w:rFonts w:ascii="Book Antiqua" w:eastAsia="Book Antiqua" w:hAnsi="Book Antiqua" w:cs="Book Antiqua"/>
          <w:color w:val="000000"/>
          <w:sz w:val="24"/>
          <w:szCs w:val="24"/>
        </w:rPr>
        <w:t>]</w:t>
      </w:r>
    </w:p>
    <w:p w14:paraId="44B84940" w14:textId="270E536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45 </w:t>
      </w:r>
      <w:r w:rsidRPr="00092F07">
        <w:rPr>
          <w:rFonts w:ascii="Book Antiqua" w:eastAsia="Book Antiqua" w:hAnsi="Book Antiqua" w:cs="Book Antiqua"/>
          <w:b/>
          <w:color w:val="000000"/>
          <w:sz w:val="24"/>
          <w:szCs w:val="24"/>
        </w:rPr>
        <w:t>Wang L</w:t>
      </w:r>
      <w:r w:rsidRPr="00092F07">
        <w:rPr>
          <w:rFonts w:ascii="Book Antiqua" w:eastAsia="Book Antiqua" w:hAnsi="Book Antiqua" w:cs="Book Antiqua"/>
          <w:color w:val="000000"/>
          <w:sz w:val="24"/>
          <w:szCs w:val="24"/>
        </w:rPr>
        <w:t xml:space="preserve">, Wagner LE 2nd, Alzayady KJ, Yule DI. Region-specific proteolysis differentially regulates type 1 inositol 1,4,5-trisphosphate receptor activity.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292</w:t>
      </w:r>
      <w:r w:rsidRPr="00092F07">
        <w:rPr>
          <w:rFonts w:ascii="Book Antiqua" w:eastAsia="Book Antiqua" w:hAnsi="Book Antiqua" w:cs="Book Antiqua"/>
          <w:color w:val="000000"/>
          <w:sz w:val="24"/>
          <w:szCs w:val="24"/>
        </w:rPr>
        <w:t>: 11714-11726 [PMID: 28526746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10.1074/jbc.M117.789917</w:t>
      </w:r>
      <w:r w:rsidRPr="00092F07">
        <w:rPr>
          <w:rFonts w:ascii="Book Antiqua" w:eastAsia="Book Antiqua" w:hAnsi="Book Antiqua" w:cs="Book Antiqua"/>
          <w:color w:val="000000"/>
          <w:sz w:val="24"/>
          <w:szCs w:val="24"/>
        </w:rPr>
        <w:t>]</w:t>
      </w:r>
    </w:p>
    <w:p w14:paraId="6CDEF7E3" w14:textId="41B90D2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46 </w:t>
      </w:r>
      <w:r w:rsidRPr="00092F07">
        <w:rPr>
          <w:rFonts w:ascii="Book Antiqua" w:eastAsia="Book Antiqua" w:hAnsi="Book Antiqua" w:cs="Book Antiqua"/>
          <w:b/>
          <w:color w:val="000000"/>
          <w:sz w:val="24"/>
          <w:szCs w:val="24"/>
        </w:rPr>
        <w:t>Khan MT</w:t>
      </w:r>
      <w:r w:rsidRPr="00092F07">
        <w:rPr>
          <w:rFonts w:ascii="Book Antiqua" w:eastAsia="Book Antiqua" w:hAnsi="Book Antiqua" w:cs="Book Antiqua"/>
          <w:color w:val="000000"/>
          <w:sz w:val="24"/>
          <w:szCs w:val="24"/>
        </w:rPr>
        <w:t xml:space="preserve">, Wagner L 2nd, Yule DI, Bhanumathy C, Joseph SK. Akt kinase phosphorylation of inositol 1,4,5-trisphosphate receptors.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2006; </w:t>
      </w:r>
      <w:r w:rsidRPr="00092F07">
        <w:rPr>
          <w:rFonts w:ascii="Book Antiqua" w:eastAsia="Book Antiqua" w:hAnsi="Book Antiqua" w:cs="Book Antiqua"/>
          <w:b/>
          <w:color w:val="000000"/>
          <w:sz w:val="24"/>
          <w:szCs w:val="24"/>
        </w:rPr>
        <w:t>281</w:t>
      </w:r>
      <w:r w:rsidRPr="00092F07">
        <w:rPr>
          <w:rFonts w:ascii="Book Antiqua" w:eastAsia="Book Antiqua" w:hAnsi="Book Antiqua" w:cs="Book Antiqua"/>
          <w:color w:val="000000"/>
          <w:sz w:val="24"/>
          <w:szCs w:val="24"/>
        </w:rPr>
        <w:t>: 3731-3737 [PMID: 16332683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10.1074/jbc.M509262200</w:t>
      </w:r>
      <w:r w:rsidRPr="00092F07">
        <w:rPr>
          <w:rFonts w:ascii="Book Antiqua" w:eastAsia="Book Antiqua" w:hAnsi="Book Antiqua" w:cs="Book Antiqua"/>
          <w:color w:val="000000"/>
          <w:sz w:val="24"/>
          <w:szCs w:val="24"/>
        </w:rPr>
        <w:t>]</w:t>
      </w:r>
    </w:p>
    <w:p w14:paraId="40D89EEC" w14:textId="39B420E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47 </w:t>
      </w:r>
      <w:r w:rsidRPr="00092F07">
        <w:rPr>
          <w:rFonts w:ascii="Book Antiqua" w:eastAsia="Book Antiqua" w:hAnsi="Book Antiqua" w:cs="Book Antiqua"/>
          <w:b/>
          <w:color w:val="000000"/>
          <w:sz w:val="24"/>
          <w:szCs w:val="24"/>
        </w:rPr>
        <w:t>Mikoshiba K</w:t>
      </w:r>
      <w:r w:rsidRPr="00092F07">
        <w:rPr>
          <w:rFonts w:ascii="Book Antiqua" w:eastAsia="Book Antiqua" w:hAnsi="Book Antiqua" w:cs="Book Antiqua"/>
          <w:color w:val="000000"/>
          <w:sz w:val="24"/>
          <w:szCs w:val="24"/>
        </w:rPr>
        <w:t xml:space="preserve">. IP3 receptor/Ca2+ channel: from discovery to new signaling concepts. </w:t>
      </w:r>
      <w:r w:rsidRPr="00092F07">
        <w:rPr>
          <w:rFonts w:ascii="Book Antiqua" w:eastAsia="Book Antiqua" w:hAnsi="Book Antiqua" w:cs="Book Antiqua"/>
          <w:i/>
          <w:color w:val="000000"/>
          <w:sz w:val="24"/>
          <w:szCs w:val="24"/>
        </w:rPr>
        <w:t>J Neurochem</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102</w:t>
      </w:r>
      <w:r w:rsidRPr="00092F07">
        <w:rPr>
          <w:rFonts w:ascii="Book Antiqua" w:eastAsia="Book Antiqua" w:hAnsi="Book Antiqua" w:cs="Book Antiqua"/>
          <w:color w:val="000000"/>
          <w:sz w:val="24"/>
          <w:szCs w:val="24"/>
        </w:rPr>
        <w:t>: 1426-1446 [PMID: 17697045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10.1111/j.1471-4159.2007.04825.x</w:t>
      </w:r>
      <w:r w:rsidRPr="00092F07">
        <w:rPr>
          <w:rFonts w:ascii="Book Antiqua" w:eastAsia="Book Antiqua" w:hAnsi="Book Antiqua" w:cs="Book Antiqua"/>
          <w:color w:val="000000"/>
          <w:sz w:val="24"/>
          <w:szCs w:val="24"/>
        </w:rPr>
        <w:t>]</w:t>
      </w:r>
    </w:p>
    <w:p w14:paraId="5155AD75" w14:textId="4AE8E48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48 </w:t>
      </w:r>
      <w:r w:rsidRPr="00092F07">
        <w:rPr>
          <w:rFonts w:ascii="Book Antiqua" w:eastAsia="Book Antiqua" w:hAnsi="Book Antiqua" w:cs="Book Antiqua"/>
          <w:b/>
          <w:color w:val="000000"/>
          <w:sz w:val="24"/>
          <w:szCs w:val="24"/>
        </w:rPr>
        <w:t>Iwai M</w:t>
      </w:r>
      <w:r w:rsidRPr="00092F07">
        <w:rPr>
          <w:rFonts w:ascii="Book Antiqua" w:eastAsia="Book Antiqua" w:hAnsi="Book Antiqua" w:cs="Book Antiqua"/>
          <w:color w:val="000000"/>
          <w:sz w:val="24"/>
          <w:szCs w:val="24"/>
        </w:rPr>
        <w:t xml:space="preserve">, Michikawa T, Bosanac I, Ikura M, Mikoshiba K. Molecular basis of the isoform-specific ligand-binding affinity of inositol 1,4,5-trisphosphate receptors.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282</w:t>
      </w:r>
      <w:r w:rsidRPr="00092F07">
        <w:rPr>
          <w:rFonts w:ascii="Book Antiqua" w:eastAsia="Book Antiqua" w:hAnsi="Book Antiqua" w:cs="Book Antiqua"/>
          <w:color w:val="000000"/>
          <w:sz w:val="24"/>
          <w:szCs w:val="24"/>
        </w:rPr>
        <w:t>: 12755-12764 [PMID: 17327232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10.1074/jbc.M609833200</w:t>
      </w:r>
      <w:r w:rsidRPr="00092F07">
        <w:rPr>
          <w:rFonts w:ascii="Book Antiqua" w:eastAsia="Book Antiqua" w:hAnsi="Book Antiqua" w:cs="Book Antiqua"/>
          <w:color w:val="000000"/>
          <w:sz w:val="24"/>
          <w:szCs w:val="24"/>
        </w:rPr>
        <w:t>]</w:t>
      </w:r>
    </w:p>
    <w:p w14:paraId="5EEC46A8" w14:textId="55F520D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49 </w:t>
      </w:r>
      <w:r w:rsidRPr="00092F07">
        <w:rPr>
          <w:rFonts w:ascii="Book Antiqua" w:eastAsia="Book Antiqua" w:hAnsi="Book Antiqua" w:cs="Book Antiqua"/>
          <w:b/>
          <w:color w:val="000000"/>
          <w:sz w:val="24"/>
          <w:szCs w:val="24"/>
        </w:rPr>
        <w:t>Newton CL</w:t>
      </w:r>
      <w:r w:rsidRPr="00092F07">
        <w:rPr>
          <w:rFonts w:ascii="Book Antiqua" w:eastAsia="Book Antiqua" w:hAnsi="Book Antiqua" w:cs="Book Antiqua"/>
          <w:color w:val="000000"/>
          <w:sz w:val="24"/>
          <w:szCs w:val="24"/>
        </w:rPr>
        <w:t xml:space="preserve">, Mignery GA, Südhof TC. Co-expression in vertebrate tissues and cell lines of multiple inositol 1,4,5-trisphosphate (InsP3) receptors with distinct affinities for InsP3.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1994; </w:t>
      </w:r>
      <w:r w:rsidRPr="00092F07">
        <w:rPr>
          <w:rFonts w:ascii="Book Antiqua" w:eastAsia="Book Antiqua" w:hAnsi="Book Antiqua" w:cs="Book Antiqua"/>
          <w:b/>
          <w:color w:val="000000"/>
          <w:sz w:val="24"/>
          <w:szCs w:val="24"/>
        </w:rPr>
        <w:t>269</w:t>
      </w:r>
      <w:r w:rsidRPr="00092F07">
        <w:rPr>
          <w:rFonts w:ascii="Book Antiqua" w:eastAsia="Book Antiqua" w:hAnsi="Book Antiqua" w:cs="Book Antiqua"/>
          <w:color w:val="000000"/>
          <w:sz w:val="24"/>
          <w:szCs w:val="24"/>
        </w:rPr>
        <w:t>: 28613-28619 [PMID: 7961809]</w:t>
      </w:r>
    </w:p>
    <w:p w14:paraId="295F7D1D" w14:textId="53E1D13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50 </w:t>
      </w:r>
      <w:r w:rsidRPr="00092F07">
        <w:rPr>
          <w:rFonts w:ascii="Book Antiqua" w:eastAsia="Book Antiqua" w:hAnsi="Book Antiqua" w:cs="Book Antiqua"/>
          <w:b/>
          <w:color w:val="000000"/>
          <w:sz w:val="24"/>
          <w:szCs w:val="24"/>
        </w:rPr>
        <w:t>Alzayady KJ</w:t>
      </w:r>
      <w:r w:rsidRPr="00092F07">
        <w:rPr>
          <w:rFonts w:ascii="Book Antiqua" w:eastAsia="Book Antiqua" w:hAnsi="Book Antiqua" w:cs="Book Antiqua"/>
          <w:color w:val="000000"/>
          <w:sz w:val="24"/>
          <w:szCs w:val="24"/>
        </w:rPr>
        <w:t xml:space="preserve">, Wang L, Chandrasekhar R, Wagner LE 2nd, Van Petegem F, Yule DI. Defining the stoichiometry of inositol 1,4,5-trisphosphate binding required to initiate Ca2+ release. </w:t>
      </w:r>
      <w:r w:rsidRPr="00092F07">
        <w:rPr>
          <w:rFonts w:ascii="Book Antiqua" w:eastAsia="Book Antiqua" w:hAnsi="Book Antiqua" w:cs="Book Antiqua"/>
          <w:i/>
          <w:color w:val="000000"/>
          <w:sz w:val="24"/>
          <w:szCs w:val="24"/>
        </w:rPr>
        <w:t>Sci Signal</w:t>
      </w:r>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9</w:t>
      </w:r>
      <w:r w:rsidRPr="00092F07">
        <w:rPr>
          <w:rFonts w:ascii="Book Antiqua" w:eastAsia="Book Antiqua" w:hAnsi="Book Antiqua" w:cs="Book Antiqua"/>
          <w:color w:val="000000"/>
          <w:sz w:val="24"/>
          <w:szCs w:val="24"/>
        </w:rPr>
        <w:t>: ra35 [PMID: 27048566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10.1126/scisignal.aad6281</w:t>
      </w:r>
      <w:r w:rsidRPr="00092F07">
        <w:rPr>
          <w:rFonts w:ascii="Book Antiqua" w:eastAsia="Book Antiqua" w:hAnsi="Book Antiqua" w:cs="Book Antiqua"/>
          <w:color w:val="000000"/>
          <w:sz w:val="24"/>
          <w:szCs w:val="24"/>
        </w:rPr>
        <w:t>]</w:t>
      </w:r>
    </w:p>
    <w:p w14:paraId="4F4F9275" w14:textId="27330B4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51 </w:t>
      </w:r>
      <w:r w:rsidRPr="00092F07">
        <w:rPr>
          <w:rFonts w:ascii="Book Antiqua" w:eastAsia="Book Antiqua" w:hAnsi="Book Antiqua" w:cs="Book Antiqua"/>
          <w:b/>
          <w:color w:val="000000"/>
          <w:sz w:val="24"/>
          <w:szCs w:val="24"/>
        </w:rPr>
        <w:t>Ramos-Franco J</w:t>
      </w:r>
      <w:r w:rsidRPr="00092F07">
        <w:rPr>
          <w:rFonts w:ascii="Book Antiqua" w:eastAsia="Book Antiqua" w:hAnsi="Book Antiqua" w:cs="Book Antiqua"/>
          <w:color w:val="000000"/>
          <w:sz w:val="24"/>
          <w:szCs w:val="24"/>
        </w:rPr>
        <w:t xml:space="preserve">, Fill M, Mignery GA. Isoform-specific function of single inositol 1,4,5-trisphosphate receptor channels. </w:t>
      </w:r>
      <w:r w:rsidRPr="00092F07">
        <w:rPr>
          <w:rFonts w:ascii="Book Antiqua" w:eastAsia="Book Antiqua" w:hAnsi="Book Antiqua" w:cs="Book Antiqua"/>
          <w:i/>
          <w:color w:val="000000"/>
          <w:sz w:val="24"/>
          <w:szCs w:val="24"/>
        </w:rPr>
        <w:t>Biophys J</w:t>
      </w:r>
      <w:r w:rsidRPr="00092F07">
        <w:rPr>
          <w:rFonts w:ascii="Book Antiqua" w:eastAsia="Book Antiqua" w:hAnsi="Book Antiqua" w:cs="Book Antiqua"/>
          <w:color w:val="000000"/>
          <w:sz w:val="24"/>
          <w:szCs w:val="24"/>
        </w:rPr>
        <w:t xml:space="preserve"> 1998; </w:t>
      </w:r>
      <w:r w:rsidRPr="00092F07">
        <w:rPr>
          <w:rFonts w:ascii="Book Antiqua" w:eastAsia="Book Antiqua" w:hAnsi="Book Antiqua" w:cs="Book Antiqua"/>
          <w:b/>
          <w:color w:val="000000"/>
          <w:sz w:val="24"/>
          <w:szCs w:val="24"/>
        </w:rPr>
        <w:t>75</w:t>
      </w:r>
      <w:r w:rsidRPr="00092F07">
        <w:rPr>
          <w:rFonts w:ascii="Book Antiqua" w:eastAsia="Book Antiqua" w:hAnsi="Book Antiqua" w:cs="Book Antiqua"/>
          <w:color w:val="000000"/>
          <w:sz w:val="24"/>
          <w:szCs w:val="24"/>
        </w:rPr>
        <w:t>: 834-839 [PMID: 9675184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10.1016/S0006-3495(98)77572-1</w:t>
      </w:r>
      <w:r w:rsidRPr="00092F07">
        <w:rPr>
          <w:rFonts w:ascii="Book Antiqua" w:eastAsia="Book Antiqua" w:hAnsi="Book Antiqua" w:cs="Book Antiqua"/>
          <w:color w:val="000000"/>
          <w:sz w:val="24"/>
          <w:szCs w:val="24"/>
        </w:rPr>
        <w:t>]</w:t>
      </w:r>
    </w:p>
    <w:p w14:paraId="3AB272F0" w14:textId="3635833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52 </w:t>
      </w:r>
      <w:r w:rsidRPr="00092F07">
        <w:rPr>
          <w:rFonts w:ascii="Book Antiqua" w:eastAsia="Book Antiqua" w:hAnsi="Book Antiqua" w:cs="Book Antiqua"/>
          <w:b/>
          <w:color w:val="000000"/>
          <w:sz w:val="24"/>
          <w:szCs w:val="24"/>
        </w:rPr>
        <w:t>Hagar RE</w:t>
      </w:r>
      <w:r w:rsidRPr="00092F07">
        <w:rPr>
          <w:rFonts w:ascii="Book Antiqua" w:eastAsia="Book Antiqua" w:hAnsi="Book Antiqua" w:cs="Book Antiqua"/>
          <w:color w:val="000000"/>
          <w:sz w:val="24"/>
          <w:szCs w:val="24"/>
        </w:rPr>
        <w:t xml:space="preserve">, Burgstahler AD, Nathanson MH, Ehrlich BE. Type III InsP3 receptor channel stays open in the presence of increased calcium.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1998; </w:t>
      </w:r>
      <w:r w:rsidRPr="00092F07">
        <w:rPr>
          <w:rFonts w:ascii="Book Antiqua" w:eastAsia="Book Antiqua" w:hAnsi="Book Antiqua" w:cs="Book Antiqua"/>
          <w:b/>
          <w:color w:val="000000"/>
          <w:sz w:val="24"/>
          <w:szCs w:val="24"/>
        </w:rPr>
        <w:t>396</w:t>
      </w:r>
      <w:r w:rsidRPr="00092F07">
        <w:rPr>
          <w:rFonts w:ascii="Book Antiqua" w:eastAsia="Book Antiqua" w:hAnsi="Book Antiqua" w:cs="Book Antiqua"/>
          <w:color w:val="000000"/>
          <w:sz w:val="24"/>
          <w:szCs w:val="24"/>
        </w:rPr>
        <w:t>: 81-84 [PMID: 9817204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10.1038/23954</w:t>
      </w:r>
      <w:r w:rsidRPr="00092F07">
        <w:rPr>
          <w:rFonts w:ascii="Book Antiqua" w:eastAsia="Book Antiqua" w:hAnsi="Book Antiqua" w:cs="Book Antiqua"/>
          <w:color w:val="000000"/>
          <w:sz w:val="24"/>
          <w:szCs w:val="24"/>
        </w:rPr>
        <w:t>]</w:t>
      </w:r>
    </w:p>
    <w:p w14:paraId="6AF03242" w14:textId="7FEE636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53 </w:t>
      </w:r>
      <w:r w:rsidRPr="00092F07">
        <w:rPr>
          <w:rFonts w:ascii="Book Antiqua" w:eastAsia="Book Antiqua" w:hAnsi="Book Antiqua" w:cs="Book Antiqua"/>
          <w:b/>
          <w:color w:val="000000"/>
          <w:sz w:val="24"/>
          <w:szCs w:val="24"/>
        </w:rPr>
        <w:t>Finch EA</w:t>
      </w:r>
      <w:r w:rsidRPr="00092F07">
        <w:rPr>
          <w:rFonts w:ascii="Book Antiqua" w:eastAsia="Book Antiqua" w:hAnsi="Book Antiqua" w:cs="Book Antiqua"/>
          <w:color w:val="000000"/>
          <w:sz w:val="24"/>
          <w:szCs w:val="24"/>
        </w:rPr>
        <w:t xml:space="preserve">, Turner TJ, Goldin SM. Calcium as a coagonist of inositol 1,4,5-trisphosphate-induced calcium release. </w:t>
      </w:r>
      <w:r w:rsidRPr="00092F07">
        <w:rPr>
          <w:rFonts w:ascii="Book Antiqua" w:eastAsia="Book Antiqua" w:hAnsi="Book Antiqua" w:cs="Book Antiqua"/>
          <w:i/>
          <w:color w:val="000000"/>
          <w:sz w:val="24"/>
          <w:szCs w:val="24"/>
        </w:rPr>
        <w:t>Science</w:t>
      </w:r>
      <w:r w:rsidRPr="00092F07">
        <w:rPr>
          <w:rFonts w:ascii="Book Antiqua" w:eastAsia="Book Antiqua" w:hAnsi="Book Antiqua" w:cs="Book Antiqua"/>
          <w:color w:val="000000"/>
          <w:sz w:val="24"/>
          <w:szCs w:val="24"/>
        </w:rPr>
        <w:t xml:space="preserve"> 1991; </w:t>
      </w:r>
      <w:r w:rsidRPr="00092F07">
        <w:rPr>
          <w:rFonts w:ascii="Book Antiqua" w:eastAsia="Book Antiqua" w:hAnsi="Book Antiqua" w:cs="Book Antiqua"/>
          <w:b/>
          <w:color w:val="000000"/>
          <w:sz w:val="24"/>
          <w:szCs w:val="24"/>
        </w:rPr>
        <w:t>252</w:t>
      </w:r>
      <w:r w:rsidRPr="00092F07">
        <w:rPr>
          <w:rFonts w:ascii="Book Antiqua" w:eastAsia="Book Antiqua" w:hAnsi="Book Antiqua" w:cs="Book Antiqua"/>
          <w:color w:val="000000"/>
          <w:sz w:val="24"/>
          <w:szCs w:val="24"/>
        </w:rPr>
        <w:t>: 443-446 [PMID: 2017683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10.1126/science.2017683</w:t>
      </w:r>
      <w:r w:rsidRPr="00092F07">
        <w:rPr>
          <w:rFonts w:ascii="Book Antiqua" w:eastAsia="Book Antiqua" w:hAnsi="Book Antiqua" w:cs="Book Antiqua"/>
          <w:color w:val="000000"/>
          <w:sz w:val="24"/>
          <w:szCs w:val="24"/>
        </w:rPr>
        <w:t>]</w:t>
      </w:r>
    </w:p>
    <w:p w14:paraId="1BC4FC59" w14:textId="422FAB74"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54 </w:t>
      </w:r>
      <w:r w:rsidRPr="00092F07">
        <w:rPr>
          <w:rFonts w:ascii="Book Antiqua" w:eastAsia="Book Antiqua" w:hAnsi="Book Antiqua" w:cs="Book Antiqua"/>
          <w:b/>
          <w:color w:val="000000"/>
          <w:sz w:val="24"/>
          <w:szCs w:val="24"/>
        </w:rPr>
        <w:t>De Young GW</w:t>
      </w:r>
      <w:r w:rsidRPr="00092F07">
        <w:rPr>
          <w:rFonts w:ascii="Book Antiqua" w:eastAsia="Book Antiqua" w:hAnsi="Book Antiqua" w:cs="Book Antiqua"/>
          <w:color w:val="000000"/>
          <w:sz w:val="24"/>
          <w:szCs w:val="24"/>
        </w:rPr>
        <w:t>, Keizer J. A single-pool inositol 1,4,5-trisphosphate-receptor-based model for agonist-stimulated oscillations in Ca</w:t>
      </w:r>
      <w:r w:rsidRPr="005C4501">
        <w:rPr>
          <w:rFonts w:ascii="Book Antiqua" w:eastAsia="Book Antiqua" w:hAnsi="Book Antiqua" w:cs="Book Antiqua"/>
          <w:color w:val="000000"/>
          <w:sz w:val="24"/>
          <w:szCs w:val="24"/>
          <w:vertAlign w:val="superscript"/>
        </w:rPr>
        <w:t>2+</w:t>
      </w:r>
      <w:r w:rsidRPr="00092F07">
        <w:rPr>
          <w:rFonts w:ascii="Book Antiqua" w:eastAsia="Book Antiqua" w:hAnsi="Book Antiqua" w:cs="Book Antiqua"/>
          <w:color w:val="000000"/>
          <w:sz w:val="24"/>
          <w:szCs w:val="24"/>
        </w:rPr>
        <w:t xml:space="preserve"> concentration. </w:t>
      </w:r>
      <w:r w:rsidRPr="00092F07">
        <w:rPr>
          <w:rFonts w:ascii="Book Antiqua" w:eastAsia="Book Antiqua" w:hAnsi="Book Antiqua" w:cs="Book Antiqua"/>
          <w:i/>
          <w:color w:val="000000"/>
          <w:sz w:val="24"/>
          <w:szCs w:val="24"/>
        </w:rPr>
        <w:t>Proc Natl Acad Sci U S A</w:t>
      </w:r>
      <w:r w:rsidRPr="00092F07">
        <w:rPr>
          <w:rFonts w:ascii="Book Antiqua" w:eastAsia="Book Antiqua" w:hAnsi="Book Antiqua" w:cs="Book Antiqua"/>
          <w:color w:val="000000"/>
          <w:sz w:val="24"/>
          <w:szCs w:val="24"/>
        </w:rPr>
        <w:t xml:space="preserve"> 1992; </w:t>
      </w:r>
      <w:r w:rsidRPr="00092F07">
        <w:rPr>
          <w:rFonts w:ascii="Book Antiqua" w:eastAsia="Book Antiqua" w:hAnsi="Book Antiqua" w:cs="Book Antiqua"/>
          <w:b/>
          <w:color w:val="000000"/>
          <w:sz w:val="24"/>
          <w:szCs w:val="24"/>
        </w:rPr>
        <w:t>89</w:t>
      </w:r>
      <w:r w:rsidRPr="00092F07">
        <w:rPr>
          <w:rFonts w:ascii="Book Antiqua" w:eastAsia="Book Antiqua" w:hAnsi="Book Antiqua" w:cs="Book Antiqua"/>
          <w:color w:val="000000"/>
          <w:sz w:val="24"/>
          <w:szCs w:val="24"/>
        </w:rPr>
        <w:t>: 9895-9899 [PMID: 1329108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10.1073/pnas.89.20.9895</w:t>
      </w:r>
      <w:r w:rsidRPr="00092F07">
        <w:rPr>
          <w:rFonts w:ascii="Book Antiqua" w:eastAsia="Book Antiqua" w:hAnsi="Book Antiqua" w:cs="Book Antiqua"/>
          <w:color w:val="000000"/>
          <w:sz w:val="24"/>
          <w:szCs w:val="24"/>
        </w:rPr>
        <w:t>]</w:t>
      </w:r>
    </w:p>
    <w:p w14:paraId="6F11AB3C" w14:textId="5671D38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55 </w:t>
      </w:r>
      <w:r w:rsidRPr="00092F07">
        <w:rPr>
          <w:rFonts w:ascii="Book Antiqua" w:eastAsia="Book Antiqua" w:hAnsi="Book Antiqua" w:cs="Book Antiqua"/>
          <w:b/>
          <w:color w:val="000000"/>
          <w:sz w:val="24"/>
          <w:szCs w:val="24"/>
        </w:rPr>
        <w:t>Hagar RE</w:t>
      </w:r>
      <w:r w:rsidRPr="00092F07">
        <w:rPr>
          <w:rFonts w:ascii="Book Antiqua" w:eastAsia="Book Antiqua" w:hAnsi="Book Antiqua" w:cs="Book Antiqua"/>
          <w:color w:val="000000"/>
          <w:sz w:val="24"/>
          <w:szCs w:val="24"/>
        </w:rPr>
        <w:t xml:space="preserve">, Ehrlich BE. Regulation of the type III InsP(3) receptor by InsP(3) and ATP. </w:t>
      </w:r>
      <w:r w:rsidRPr="00092F07">
        <w:rPr>
          <w:rFonts w:ascii="Book Antiqua" w:eastAsia="Book Antiqua" w:hAnsi="Book Antiqua" w:cs="Book Antiqua"/>
          <w:i/>
          <w:color w:val="000000"/>
          <w:sz w:val="24"/>
          <w:szCs w:val="24"/>
        </w:rPr>
        <w:t>Biophys J</w:t>
      </w:r>
      <w:r w:rsidRPr="00092F07">
        <w:rPr>
          <w:rFonts w:ascii="Book Antiqua" w:eastAsia="Book Antiqua" w:hAnsi="Book Antiqua" w:cs="Book Antiqua"/>
          <w:color w:val="000000"/>
          <w:sz w:val="24"/>
          <w:szCs w:val="24"/>
        </w:rPr>
        <w:t xml:space="preserve"> 2000; </w:t>
      </w:r>
      <w:r w:rsidRPr="00092F07">
        <w:rPr>
          <w:rFonts w:ascii="Book Antiqua" w:eastAsia="Book Antiqua" w:hAnsi="Book Antiqua" w:cs="Book Antiqua"/>
          <w:b/>
          <w:color w:val="000000"/>
          <w:sz w:val="24"/>
          <w:szCs w:val="24"/>
        </w:rPr>
        <w:t>79</w:t>
      </w:r>
      <w:r w:rsidRPr="00092F07">
        <w:rPr>
          <w:rFonts w:ascii="Book Antiqua" w:eastAsia="Book Antiqua" w:hAnsi="Book Antiqua" w:cs="Book Antiqua"/>
          <w:color w:val="000000"/>
          <w:sz w:val="24"/>
          <w:szCs w:val="24"/>
        </w:rPr>
        <w:t>: 271-278 [PMID: 10866953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10.1016/S0006-3495(00)76289-8</w:t>
      </w:r>
      <w:r w:rsidRPr="00092F07">
        <w:rPr>
          <w:rFonts w:ascii="Book Antiqua" w:eastAsia="Book Antiqua" w:hAnsi="Book Antiqua" w:cs="Book Antiqua"/>
          <w:color w:val="000000"/>
          <w:sz w:val="24"/>
          <w:szCs w:val="24"/>
        </w:rPr>
        <w:t>]</w:t>
      </w:r>
    </w:p>
    <w:p w14:paraId="13E312E3" w14:textId="053C587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56 </w:t>
      </w:r>
      <w:r w:rsidRPr="00092F07">
        <w:rPr>
          <w:rFonts w:ascii="Book Antiqua" w:eastAsia="Book Antiqua" w:hAnsi="Book Antiqua" w:cs="Book Antiqua"/>
          <w:b/>
          <w:color w:val="000000"/>
          <w:sz w:val="24"/>
          <w:szCs w:val="24"/>
        </w:rPr>
        <w:t>Michikawa T</w:t>
      </w:r>
      <w:r w:rsidRPr="00092F07">
        <w:rPr>
          <w:rFonts w:ascii="Book Antiqua" w:eastAsia="Book Antiqua" w:hAnsi="Book Antiqua" w:cs="Book Antiqua"/>
          <w:color w:val="000000"/>
          <w:sz w:val="24"/>
          <w:szCs w:val="24"/>
        </w:rPr>
        <w:t xml:space="preserve">, Hirota J, Kawano S, Hiraoka M, Yamada M, Furuichi T, Mikoshiba K. Calmodulin mediates calcium-dependent inactivation of the cerebellar type 1 inositol 1,4,5-trisphosphate receptor. </w:t>
      </w:r>
      <w:r w:rsidRPr="00092F07">
        <w:rPr>
          <w:rFonts w:ascii="Book Antiqua" w:eastAsia="Book Antiqua" w:hAnsi="Book Antiqua" w:cs="Book Antiqua"/>
          <w:i/>
          <w:color w:val="000000"/>
          <w:sz w:val="24"/>
          <w:szCs w:val="24"/>
        </w:rPr>
        <w:t>Neuron</w:t>
      </w:r>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23</w:t>
      </w:r>
      <w:r w:rsidRPr="00092F07">
        <w:rPr>
          <w:rFonts w:ascii="Book Antiqua" w:eastAsia="Book Antiqua" w:hAnsi="Book Antiqua" w:cs="Book Antiqua"/>
          <w:color w:val="000000"/>
          <w:sz w:val="24"/>
          <w:szCs w:val="24"/>
        </w:rPr>
        <w:t>: 799-808 [PMID: 10482245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10.1016/S0896-6273(01)80037-4</w:t>
      </w:r>
      <w:r w:rsidRPr="00092F07">
        <w:rPr>
          <w:rFonts w:ascii="Book Antiqua" w:eastAsia="Book Antiqua" w:hAnsi="Book Antiqua" w:cs="Book Antiqua"/>
          <w:color w:val="000000"/>
          <w:sz w:val="24"/>
          <w:szCs w:val="24"/>
        </w:rPr>
        <w:t>]</w:t>
      </w:r>
    </w:p>
    <w:p w14:paraId="09584C22" w14:textId="1513F7E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57 </w:t>
      </w:r>
      <w:r w:rsidRPr="00092F07">
        <w:rPr>
          <w:rFonts w:ascii="Book Antiqua" w:eastAsia="Book Antiqua" w:hAnsi="Book Antiqua" w:cs="Book Antiqua"/>
          <w:b/>
          <w:color w:val="000000"/>
          <w:sz w:val="24"/>
          <w:szCs w:val="24"/>
        </w:rPr>
        <w:t>Miyakawa T</w:t>
      </w:r>
      <w:r w:rsidRPr="00092F07">
        <w:rPr>
          <w:rFonts w:ascii="Book Antiqua" w:eastAsia="Book Antiqua" w:hAnsi="Book Antiqua" w:cs="Book Antiqua"/>
          <w:color w:val="000000"/>
          <w:sz w:val="24"/>
          <w:szCs w:val="24"/>
        </w:rPr>
        <w:t xml:space="preserve">, Maeda A, Yamazawa T, Hirose K, Kurosaki T, Iino M. Encoding of Ca2+ signals by differential expression of IP3 receptor subtypes. </w:t>
      </w:r>
      <w:r w:rsidRPr="00092F07">
        <w:rPr>
          <w:rFonts w:ascii="Book Antiqua" w:eastAsia="Book Antiqua" w:hAnsi="Book Antiqua" w:cs="Book Antiqua"/>
          <w:i/>
          <w:color w:val="000000"/>
          <w:sz w:val="24"/>
          <w:szCs w:val="24"/>
        </w:rPr>
        <w:t>EMBO J</w:t>
      </w:r>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18</w:t>
      </w:r>
      <w:r w:rsidRPr="00092F07">
        <w:rPr>
          <w:rFonts w:ascii="Book Antiqua" w:eastAsia="Book Antiqua" w:hAnsi="Book Antiqua" w:cs="Book Antiqua"/>
          <w:color w:val="000000"/>
          <w:sz w:val="24"/>
          <w:szCs w:val="24"/>
        </w:rPr>
        <w:t>: 1303-1308 [PMID: 10064596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10.1093/emboj/18.5.1303</w:t>
      </w:r>
      <w:r w:rsidRPr="00092F07">
        <w:rPr>
          <w:rFonts w:ascii="Book Antiqua" w:eastAsia="Book Antiqua" w:hAnsi="Book Antiqua" w:cs="Book Antiqua"/>
          <w:color w:val="000000"/>
          <w:sz w:val="24"/>
          <w:szCs w:val="24"/>
        </w:rPr>
        <w:t>]</w:t>
      </w:r>
    </w:p>
    <w:p w14:paraId="1B6D7AA3" w14:textId="75B3A77E"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58 </w:t>
      </w:r>
      <w:r w:rsidRPr="00092F07">
        <w:rPr>
          <w:rFonts w:ascii="Book Antiqua" w:eastAsia="Book Antiqua" w:hAnsi="Book Antiqua" w:cs="Book Antiqua"/>
          <w:b/>
          <w:color w:val="000000"/>
          <w:sz w:val="24"/>
          <w:szCs w:val="24"/>
        </w:rPr>
        <w:t>Fiedler MJ</w:t>
      </w:r>
      <w:r w:rsidRPr="00092F07">
        <w:rPr>
          <w:rFonts w:ascii="Book Antiqua" w:eastAsia="Book Antiqua" w:hAnsi="Book Antiqua" w:cs="Book Antiqua"/>
          <w:color w:val="000000"/>
          <w:sz w:val="24"/>
          <w:szCs w:val="24"/>
        </w:rPr>
        <w:t xml:space="preserve">, Nathanson MH. The type I inositol 1,4,5-trisphosphate receptor interacts with protein 4.1N to mediate neurite formation through intracellular Ca waves. </w:t>
      </w:r>
      <w:r w:rsidRPr="00092F07">
        <w:rPr>
          <w:rFonts w:ascii="Book Antiqua" w:eastAsia="Book Antiqua" w:hAnsi="Book Antiqua" w:cs="Book Antiqua"/>
          <w:i/>
          <w:color w:val="000000"/>
          <w:sz w:val="24"/>
          <w:szCs w:val="24"/>
        </w:rPr>
        <w:t>Neurosignals</w:t>
      </w:r>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19</w:t>
      </w:r>
      <w:r w:rsidRPr="00092F07">
        <w:rPr>
          <w:rFonts w:ascii="Book Antiqua" w:eastAsia="Book Antiqua" w:hAnsi="Book Antiqua" w:cs="Book Antiqua"/>
          <w:color w:val="000000"/>
          <w:sz w:val="24"/>
          <w:szCs w:val="24"/>
        </w:rPr>
        <w:t>: 75-85 [PMID: 21389686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10.1159/000324507</w:t>
      </w:r>
      <w:r w:rsidRPr="00092F07">
        <w:rPr>
          <w:rFonts w:ascii="Book Antiqua" w:eastAsia="Book Antiqua" w:hAnsi="Book Antiqua" w:cs="Book Antiqua"/>
          <w:color w:val="000000"/>
          <w:sz w:val="24"/>
          <w:szCs w:val="24"/>
        </w:rPr>
        <w:t>]</w:t>
      </w:r>
    </w:p>
    <w:p w14:paraId="5206813A" w14:textId="22D4958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59 </w:t>
      </w:r>
      <w:r w:rsidRPr="00092F07">
        <w:rPr>
          <w:rFonts w:ascii="Book Antiqua" w:eastAsia="Book Antiqua" w:hAnsi="Book Antiqua" w:cs="Book Antiqua"/>
          <w:b/>
          <w:color w:val="000000"/>
          <w:sz w:val="24"/>
          <w:szCs w:val="24"/>
        </w:rPr>
        <w:t>Guatimosim S</w:t>
      </w:r>
      <w:r w:rsidRPr="00092F07">
        <w:rPr>
          <w:rFonts w:ascii="Book Antiqua" w:eastAsia="Book Antiqua" w:hAnsi="Book Antiqua" w:cs="Book Antiqua"/>
          <w:color w:val="000000"/>
          <w:sz w:val="24"/>
          <w:szCs w:val="24"/>
        </w:rPr>
        <w:t>, Amaya MJ, Guerra MT, Aguiar CJ, Goes AM, Gómez-Viquez NL, Rodrigues MA, Gomes DA, Martins-Cruz J, Lederer WJ, Leite MF. Nuclear Ca</w:t>
      </w:r>
      <w:r w:rsidRPr="005C4501">
        <w:rPr>
          <w:rFonts w:ascii="Book Antiqua" w:eastAsia="Book Antiqua" w:hAnsi="Book Antiqua" w:cs="Book Antiqua"/>
          <w:color w:val="000000"/>
          <w:sz w:val="24"/>
          <w:szCs w:val="24"/>
          <w:vertAlign w:val="superscript"/>
        </w:rPr>
        <w:t>2+</w:t>
      </w:r>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color w:val="000000"/>
          <w:sz w:val="24"/>
          <w:szCs w:val="24"/>
        </w:rPr>
        <w:lastRenderedPageBreak/>
        <w:t xml:space="preserve">regulates cardiomyocyte function. </w:t>
      </w:r>
      <w:r w:rsidRPr="00092F07">
        <w:rPr>
          <w:rFonts w:ascii="Book Antiqua" w:eastAsia="Book Antiqua" w:hAnsi="Book Antiqua" w:cs="Book Antiqua"/>
          <w:i/>
          <w:color w:val="000000"/>
          <w:sz w:val="24"/>
          <w:szCs w:val="24"/>
        </w:rPr>
        <w:t>Cell Calcium</w:t>
      </w:r>
      <w:r w:rsidRPr="00092F07">
        <w:rPr>
          <w:rFonts w:ascii="Book Antiqua" w:eastAsia="Book Antiqua" w:hAnsi="Book Antiqua" w:cs="Book Antiqua"/>
          <w:color w:val="000000"/>
          <w:sz w:val="24"/>
          <w:szCs w:val="24"/>
        </w:rPr>
        <w:t xml:space="preserve"> 2008; </w:t>
      </w:r>
      <w:r w:rsidRPr="00092F07">
        <w:rPr>
          <w:rFonts w:ascii="Book Antiqua" w:eastAsia="Book Antiqua" w:hAnsi="Book Antiqua" w:cs="Book Antiqua"/>
          <w:b/>
          <w:color w:val="000000"/>
          <w:sz w:val="24"/>
          <w:szCs w:val="24"/>
        </w:rPr>
        <w:t>44</w:t>
      </w:r>
      <w:r w:rsidRPr="00092F07">
        <w:rPr>
          <w:rFonts w:ascii="Book Antiqua" w:eastAsia="Book Antiqua" w:hAnsi="Book Antiqua" w:cs="Book Antiqua"/>
          <w:color w:val="000000"/>
          <w:sz w:val="24"/>
          <w:szCs w:val="24"/>
        </w:rPr>
        <w:t>: 230-242 [PMID: 18201761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10.1016/j.ceca.2007.11.016</w:t>
      </w:r>
      <w:r w:rsidRPr="00092F07">
        <w:rPr>
          <w:rFonts w:ascii="Book Antiqua" w:eastAsia="Book Antiqua" w:hAnsi="Book Antiqua" w:cs="Book Antiqua"/>
          <w:color w:val="000000"/>
          <w:sz w:val="24"/>
          <w:szCs w:val="24"/>
        </w:rPr>
        <w:t>]</w:t>
      </w:r>
    </w:p>
    <w:p w14:paraId="5E9868E2" w14:textId="7C298C6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60 </w:t>
      </w:r>
      <w:r w:rsidRPr="00092F07">
        <w:rPr>
          <w:rFonts w:ascii="Book Antiqua" w:eastAsia="Book Antiqua" w:hAnsi="Book Antiqua" w:cs="Book Antiqua"/>
          <w:b/>
          <w:color w:val="000000"/>
          <w:sz w:val="24"/>
          <w:szCs w:val="24"/>
        </w:rPr>
        <w:t>Futatsugi A</w:t>
      </w:r>
      <w:r w:rsidRPr="00092F07">
        <w:rPr>
          <w:rFonts w:ascii="Book Antiqua" w:eastAsia="Book Antiqua" w:hAnsi="Book Antiqua" w:cs="Book Antiqua"/>
          <w:color w:val="000000"/>
          <w:sz w:val="24"/>
          <w:szCs w:val="24"/>
        </w:rPr>
        <w:t xml:space="preserve">, Nakamura T, Yamada MK, Ebisui E, Nakamura K, Uchida K, Kitaguchi T, Takahashi-Iwanaga H, Noda T, Aruga J, Mikoshiba K. IP3 receptor types 2 and 3 mediate exocrine secretion underlying energy metabolism. </w:t>
      </w:r>
      <w:r w:rsidRPr="00092F07">
        <w:rPr>
          <w:rFonts w:ascii="Book Antiqua" w:eastAsia="Book Antiqua" w:hAnsi="Book Antiqua" w:cs="Book Antiqua"/>
          <w:i/>
          <w:color w:val="000000"/>
          <w:sz w:val="24"/>
          <w:szCs w:val="24"/>
        </w:rPr>
        <w:t>Science</w:t>
      </w:r>
      <w:r w:rsidRPr="00092F07">
        <w:rPr>
          <w:rFonts w:ascii="Book Antiqua" w:eastAsia="Book Antiqua" w:hAnsi="Book Antiqua" w:cs="Book Antiqua"/>
          <w:color w:val="000000"/>
          <w:sz w:val="24"/>
          <w:szCs w:val="24"/>
        </w:rPr>
        <w:t xml:space="preserve"> 2005; </w:t>
      </w:r>
      <w:r w:rsidRPr="00092F07">
        <w:rPr>
          <w:rFonts w:ascii="Book Antiqua" w:eastAsia="Book Antiqua" w:hAnsi="Book Antiqua" w:cs="Book Antiqua"/>
          <w:b/>
          <w:color w:val="000000"/>
          <w:sz w:val="24"/>
          <w:szCs w:val="24"/>
        </w:rPr>
        <w:t>309</w:t>
      </w:r>
      <w:r w:rsidRPr="00092F07">
        <w:rPr>
          <w:rFonts w:ascii="Book Antiqua" w:eastAsia="Book Antiqua" w:hAnsi="Book Antiqua" w:cs="Book Antiqua"/>
          <w:color w:val="000000"/>
          <w:sz w:val="24"/>
          <w:szCs w:val="24"/>
        </w:rPr>
        <w:t>: 2232-2234 [PMID: 16195467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10.1126/science.1114110</w:t>
      </w:r>
      <w:r w:rsidRPr="00092F07">
        <w:rPr>
          <w:rFonts w:ascii="Book Antiqua" w:eastAsia="Book Antiqua" w:hAnsi="Book Antiqua" w:cs="Book Antiqua"/>
          <w:color w:val="000000"/>
          <w:sz w:val="24"/>
          <w:szCs w:val="24"/>
        </w:rPr>
        <w:t>]</w:t>
      </w:r>
    </w:p>
    <w:p w14:paraId="17FC85A3" w14:textId="345295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61 </w:t>
      </w:r>
      <w:r w:rsidRPr="00092F07">
        <w:rPr>
          <w:rFonts w:ascii="Book Antiqua" w:eastAsia="Book Antiqua" w:hAnsi="Book Antiqua" w:cs="Book Antiqua"/>
          <w:b/>
          <w:color w:val="000000"/>
          <w:sz w:val="24"/>
          <w:szCs w:val="24"/>
        </w:rPr>
        <w:t>Minagawa N</w:t>
      </w:r>
      <w:r w:rsidRPr="00092F07">
        <w:rPr>
          <w:rFonts w:ascii="Book Antiqua" w:eastAsia="Book Antiqua" w:hAnsi="Book Antiqua" w:cs="Book Antiqua"/>
          <w:color w:val="000000"/>
          <w:sz w:val="24"/>
          <w:szCs w:val="24"/>
        </w:rPr>
        <w:t xml:space="preserve">, Nagata J, Shibao K, Masyuk AI, Gomes DA, Rodrigues MA, Lesage G, Akiba Y, Kaunitz JD, Ehrlich BE, Larusso NF, Nathanson MH. Cyclic AMP regulates bicarbonate secretion in cholangiocytes through release of ATP into bile.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133</w:t>
      </w:r>
      <w:r w:rsidRPr="00092F07">
        <w:rPr>
          <w:rFonts w:ascii="Book Antiqua" w:eastAsia="Book Antiqua" w:hAnsi="Book Antiqua" w:cs="Book Antiqua"/>
          <w:color w:val="000000"/>
          <w:sz w:val="24"/>
          <w:szCs w:val="24"/>
        </w:rPr>
        <w:t>: 1592-1602 [PMID: 17916355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10.1053/j.gastro.2007.08.020</w:t>
      </w:r>
      <w:r w:rsidRPr="00092F07">
        <w:rPr>
          <w:rFonts w:ascii="Book Antiqua" w:eastAsia="Book Antiqua" w:hAnsi="Book Antiqua" w:cs="Book Antiqua"/>
          <w:color w:val="000000"/>
          <w:sz w:val="24"/>
          <w:szCs w:val="24"/>
        </w:rPr>
        <w:t>]</w:t>
      </w:r>
    </w:p>
    <w:p w14:paraId="4D9F8865" w14:textId="599FADF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62 </w:t>
      </w:r>
      <w:r w:rsidRPr="00092F07">
        <w:rPr>
          <w:rFonts w:ascii="Book Antiqua" w:eastAsia="Book Antiqua" w:hAnsi="Book Antiqua" w:cs="Book Antiqua"/>
          <w:b/>
          <w:color w:val="000000"/>
          <w:sz w:val="24"/>
          <w:szCs w:val="24"/>
        </w:rPr>
        <w:t>Kruglov EA</w:t>
      </w:r>
      <w:r w:rsidRPr="00092F07">
        <w:rPr>
          <w:rFonts w:ascii="Book Antiqua" w:eastAsia="Book Antiqua" w:hAnsi="Book Antiqua" w:cs="Book Antiqua"/>
          <w:color w:val="000000"/>
          <w:sz w:val="24"/>
          <w:szCs w:val="24"/>
        </w:rPr>
        <w:t xml:space="preserve">, Gautam S, Guerra MT, Nathanson MH. Type 2 inositol 1,4,5-trisphosphate receptor modulates bile salt export pump activity in rat hepatocytes. </w:t>
      </w:r>
      <w:r w:rsidRPr="00092F07">
        <w:rPr>
          <w:rFonts w:ascii="Book Antiqua" w:eastAsia="Book Antiqua" w:hAnsi="Book Antiqua" w:cs="Book Antiqua"/>
          <w:i/>
          <w:color w:val="000000"/>
          <w:sz w:val="24"/>
          <w:szCs w:val="24"/>
        </w:rPr>
        <w:t>Hepatology</w:t>
      </w:r>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54</w:t>
      </w:r>
      <w:r w:rsidRPr="00092F07">
        <w:rPr>
          <w:rFonts w:ascii="Book Antiqua" w:eastAsia="Book Antiqua" w:hAnsi="Book Antiqua" w:cs="Book Antiqua"/>
          <w:color w:val="000000"/>
          <w:sz w:val="24"/>
          <w:szCs w:val="24"/>
        </w:rPr>
        <w:t>: 1790-1799 [PMID: 21748767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10.1002/hep.24548</w:t>
      </w:r>
      <w:r w:rsidRPr="00092F07">
        <w:rPr>
          <w:rFonts w:ascii="Book Antiqua" w:eastAsia="Book Antiqua" w:hAnsi="Book Antiqua" w:cs="Book Antiqua"/>
          <w:color w:val="000000"/>
          <w:sz w:val="24"/>
          <w:szCs w:val="24"/>
        </w:rPr>
        <w:t>]</w:t>
      </w:r>
    </w:p>
    <w:p w14:paraId="7C405DC9" w14:textId="25B079B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63 </w:t>
      </w:r>
      <w:r w:rsidRPr="00092F07">
        <w:rPr>
          <w:rFonts w:ascii="Book Antiqua" w:eastAsia="Book Antiqua" w:hAnsi="Book Antiqua" w:cs="Book Antiqua"/>
          <w:b/>
          <w:color w:val="000000"/>
          <w:sz w:val="24"/>
          <w:szCs w:val="24"/>
        </w:rPr>
        <w:t>Feriod CN</w:t>
      </w:r>
      <w:r w:rsidRPr="00092F07">
        <w:rPr>
          <w:rFonts w:ascii="Book Antiqua" w:eastAsia="Book Antiqua" w:hAnsi="Book Antiqua" w:cs="Book Antiqua"/>
          <w:color w:val="000000"/>
          <w:sz w:val="24"/>
          <w:szCs w:val="24"/>
        </w:rPr>
        <w:t xml:space="preserve">, Oliveira AG, Guerra MT, Nguyen L, Richards KM, Jurczak MJ, Ruan HB, Camporez JP, Yang X, Shulman GI, Bennett AM, Nathanson MH, Ehrlich BE. Hepatic Inositol 1,4,5 Trisphosphate Receptor Type 1 Mediates Fatty Liver. </w:t>
      </w:r>
      <w:r w:rsidRPr="00092F07">
        <w:rPr>
          <w:rFonts w:ascii="Book Antiqua" w:eastAsia="Book Antiqua" w:hAnsi="Book Antiqua" w:cs="Book Antiqua"/>
          <w:i/>
          <w:color w:val="000000"/>
          <w:sz w:val="24"/>
          <w:szCs w:val="24"/>
        </w:rPr>
        <w:t>Hepatol Commun</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1</w:t>
      </w:r>
      <w:r w:rsidRPr="00092F07">
        <w:rPr>
          <w:rFonts w:ascii="Book Antiqua" w:eastAsia="Book Antiqua" w:hAnsi="Book Antiqua" w:cs="Book Antiqua"/>
          <w:color w:val="000000"/>
          <w:sz w:val="24"/>
          <w:szCs w:val="24"/>
        </w:rPr>
        <w:t>: 23-35 [PMID: 28966992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10.1002/hep4.1012</w:t>
      </w:r>
      <w:r w:rsidRPr="00092F07">
        <w:rPr>
          <w:rFonts w:ascii="Book Antiqua" w:eastAsia="Book Antiqua" w:hAnsi="Book Antiqua" w:cs="Book Antiqua"/>
          <w:color w:val="000000"/>
          <w:sz w:val="24"/>
          <w:szCs w:val="24"/>
        </w:rPr>
        <w:t>]</w:t>
      </w:r>
    </w:p>
    <w:p w14:paraId="4C5AD2B8" w14:textId="1ADDC02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64 </w:t>
      </w:r>
      <w:r w:rsidRPr="00092F07">
        <w:rPr>
          <w:rFonts w:ascii="Book Antiqua" w:eastAsia="Book Antiqua" w:hAnsi="Book Antiqua" w:cs="Book Antiqua"/>
          <w:b/>
          <w:color w:val="000000"/>
          <w:sz w:val="24"/>
          <w:szCs w:val="24"/>
        </w:rPr>
        <w:t>Wang Y</w:t>
      </w:r>
      <w:r w:rsidRPr="00092F07">
        <w:rPr>
          <w:rFonts w:ascii="Book Antiqua" w:eastAsia="Book Antiqua" w:hAnsi="Book Antiqua" w:cs="Book Antiqua"/>
          <w:color w:val="000000"/>
          <w:sz w:val="24"/>
          <w:szCs w:val="24"/>
        </w:rPr>
        <w:t>, Li G, Goode J, Paz JC, Ouyang K, Screaton R, Fischer WH, Chen J, Tabas I, Montminy M. Inositol-1,4,5-trisphosphate receptor regulates hepatic gluconeogenesis</w:t>
      </w:r>
      <w:r w:rsidR="00E462F8">
        <w:rPr>
          <w:rFonts w:ascii="Book Antiqua" w:eastAsia="Book Antiqua" w:hAnsi="Book Antiqua" w:cs="Book Antiqua"/>
          <w:color w:val="000000"/>
          <w:sz w:val="24"/>
          <w:szCs w:val="24"/>
        </w:rPr>
        <w:t xml:space="preserve"> </w:t>
      </w:r>
      <w:r w:rsidRPr="00092F07">
        <w:rPr>
          <w:rFonts w:ascii="Book Antiqua" w:eastAsia="Book Antiqua" w:hAnsi="Book Antiqua" w:cs="Book Antiqua"/>
          <w:color w:val="000000"/>
          <w:sz w:val="24"/>
          <w:szCs w:val="24"/>
        </w:rPr>
        <w:t xml:space="preserve">in fasting and diabetes.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2012; </w:t>
      </w:r>
      <w:r w:rsidRPr="00092F07">
        <w:rPr>
          <w:rFonts w:ascii="Book Antiqua" w:eastAsia="Book Antiqua" w:hAnsi="Book Antiqua" w:cs="Book Antiqua"/>
          <w:b/>
          <w:color w:val="000000"/>
          <w:sz w:val="24"/>
          <w:szCs w:val="24"/>
        </w:rPr>
        <w:t>485</w:t>
      </w:r>
      <w:r w:rsidRPr="00092F07">
        <w:rPr>
          <w:rFonts w:ascii="Book Antiqua" w:eastAsia="Book Antiqua" w:hAnsi="Book Antiqua" w:cs="Book Antiqua"/>
          <w:color w:val="000000"/>
          <w:sz w:val="24"/>
          <w:szCs w:val="24"/>
        </w:rPr>
        <w:t>: 128-132 [PMID: 22495310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10.1038/nature10988</w:t>
      </w:r>
      <w:r w:rsidRPr="00092F07">
        <w:rPr>
          <w:rFonts w:ascii="Book Antiqua" w:eastAsia="Book Antiqua" w:hAnsi="Book Antiqua" w:cs="Book Antiqua"/>
          <w:color w:val="000000"/>
          <w:sz w:val="24"/>
          <w:szCs w:val="24"/>
        </w:rPr>
        <w:t>]</w:t>
      </w:r>
    </w:p>
    <w:p w14:paraId="5352A97F" w14:textId="497BC3B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65 </w:t>
      </w:r>
      <w:r w:rsidRPr="00092F07">
        <w:rPr>
          <w:rFonts w:ascii="Book Antiqua" w:eastAsia="Book Antiqua" w:hAnsi="Book Antiqua" w:cs="Book Antiqua"/>
          <w:b/>
          <w:color w:val="000000"/>
          <w:sz w:val="24"/>
          <w:szCs w:val="24"/>
        </w:rPr>
        <w:t>Arruda AP</w:t>
      </w:r>
      <w:r w:rsidRPr="00092F07">
        <w:rPr>
          <w:rFonts w:ascii="Book Antiqua" w:eastAsia="Book Antiqua" w:hAnsi="Book Antiqua" w:cs="Book Antiqua"/>
          <w:color w:val="000000"/>
          <w:sz w:val="24"/>
          <w:szCs w:val="24"/>
        </w:rPr>
        <w:t xml:space="preserve">, Pers BM, Parlakgül G, Güney E, Inouye K, Hotamisligil GS. Chronic enrichment of hepatic endoplasmic reticulum-mitochondria contact leads to mitochondrial dysfunction in obesity. </w:t>
      </w:r>
      <w:r w:rsidRPr="00092F07">
        <w:rPr>
          <w:rFonts w:ascii="Book Antiqua" w:eastAsia="Book Antiqua" w:hAnsi="Book Antiqua" w:cs="Book Antiqua"/>
          <w:i/>
          <w:color w:val="000000"/>
          <w:sz w:val="24"/>
          <w:szCs w:val="24"/>
        </w:rPr>
        <w:t>Nat Med</w:t>
      </w:r>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20</w:t>
      </w:r>
      <w:r w:rsidRPr="00092F07">
        <w:rPr>
          <w:rFonts w:ascii="Book Antiqua" w:eastAsia="Book Antiqua" w:hAnsi="Book Antiqua" w:cs="Book Antiqua"/>
          <w:color w:val="000000"/>
          <w:sz w:val="24"/>
          <w:szCs w:val="24"/>
        </w:rPr>
        <w:t>: 1427-1435 [PMID: 25419710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10.1038/nm.3735</w:t>
      </w:r>
      <w:r w:rsidRPr="00092F07">
        <w:rPr>
          <w:rFonts w:ascii="Book Antiqua" w:eastAsia="Book Antiqua" w:hAnsi="Book Antiqua" w:cs="Book Antiqua"/>
          <w:color w:val="000000"/>
          <w:sz w:val="24"/>
          <w:szCs w:val="24"/>
        </w:rPr>
        <w:t>]</w:t>
      </w:r>
    </w:p>
    <w:p w14:paraId="253D4002" w14:textId="656C2EC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66 </w:t>
      </w:r>
      <w:r w:rsidRPr="00092F07">
        <w:rPr>
          <w:rFonts w:ascii="Book Antiqua" w:eastAsia="Book Antiqua" w:hAnsi="Book Antiqua" w:cs="Book Antiqua"/>
          <w:b/>
          <w:color w:val="000000"/>
          <w:sz w:val="24"/>
          <w:szCs w:val="24"/>
        </w:rPr>
        <w:t>Oliveira AG</w:t>
      </w:r>
      <w:r w:rsidRPr="00092F07">
        <w:rPr>
          <w:rFonts w:ascii="Book Antiqua" w:eastAsia="Book Antiqua" w:hAnsi="Book Antiqua" w:cs="Book Antiqua"/>
          <w:color w:val="000000"/>
          <w:sz w:val="24"/>
          <w:szCs w:val="24"/>
        </w:rPr>
        <w:t xml:space="preserve">, Andrade VA, Guimarães ES, Florentino RM, Sousa PA, Marques PE, Melo FM, Ortega MJ, Menezes GB, Leite MF. Calcium signalling from the type I inositol 1,4,5-trisphosphate receptor is required at early phase of liver regeneration. </w:t>
      </w:r>
      <w:r w:rsidRPr="00092F07">
        <w:rPr>
          <w:rFonts w:ascii="Book Antiqua" w:eastAsia="Book Antiqua" w:hAnsi="Book Antiqua" w:cs="Book Antiqua"/>
          <w:i/>
          <w:color w:val="000000"/>
          <w:sz w:val="24"/>
          <w:szCs w:val="24"/>
        </w:rPr>
        <w:t>Liver Int</w:t>
      </w:r>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35</w:t>
      </w:r>
      <w:r w:rsidRPr="00092F07">
        <w:rPr>
          <w:rFonts w:ascii="Book Antiqua" w:eastAsia="Book Antiqua" w:hAnsi="Book Antiqua" w:cs="Book Antiqua"/>
          <w:color w:val="000000"/>
          <w:sz w:val="24"/>
          <w:szCs w:val="24"/>
        </w:rPr>
        <w:t>: 1162-1171 [PMID: 24814243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10.1111/liv.12587</w:t>
      </w:r>
      <w:r w:rsidRPr="00092F07">
        <w:rPr>
          <w:rFonts w:ascii="Book Antiqua" w:eastAsia="Book Antiqua" w:hAnsi="Book Antiqua" w:cs="Book Antiqua"/>
          <w:color w:val="000000"/>
          <w:sz w:val="24"/>
          <w:szCs w:val="24"/>
        </w:rPr>
        <w:t>]</w:t>
      </w:r>
    </w:p>
    <w:p w14:paraId="39CD6285" w14:textId="35F66F8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67 </w:t>
      </w:r>
      <w:r w:rsidRPr="00092F07">
        <w:rPr>
          <w:rFonts w:ascii="Book Antiqua" w:eastAsia="Book Antiqua" w:hAnsi="Book Antiqua" w:cs="Book Antiqua"/>
          <w:b/>
          <w:color w:val="000000"/>
          <w:sz w:val="24"/>
          <w:szCs w:val="24"/>
        </w:rPr>
        <w:t>Nicou A</w:t>
      </w:r>
      <w:r w:rsidRPr="00092F07">
        <w:rPr>
          <w:rFonts w:ascii="Book Antiqua" w:eastAsia="Book Antiqua" w:hAnsi="Book Antiqua" w:cs="Book Antiqua"/>
          <w:color w:val="000000"/>
          <w:sz w:val="24"/>
          <w:szCs w:val="24"/>
        </w:rPr>
        <w:t xml:space="preserve">, Serrière V, Hilly M, Prigent S, Combettes L, Guillon G, Tordjmann T. Remodelling of calcium signalling during liver regeneration in the rat. </w:t>
      </w:r>
      <w:r w:rsidRPr="00092F07">
        <w:rPr>
          <w:rFonts w:ascii="Book Antiqua" w:eastAsia="Book Antiqua" w:hAnsi="Book Antiqua" w:cs="Book Antiqua"/>
          <w:i/>
          <w:color w:val="000000"/>
          <w:sz w:val="24"/>
          <w:szCs w:val="24"/>
        </w:rPr>
        <w:t>J Hepatol</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46</w:t>
      </w:r>
      <w:r w:rsidRPr="00092F07">
        <w:rPr>
          <w:rFonts w:ascii="Book Antiqua" w:eastAsia="Book Antiqua" w:hAnsi="Book Antiqua" w:cs="Book Antiqua"/>
          <w:color w:val="000000"/>
          <w:sz w:val="24"/>
          <w:szCs w:val="24"/>
        </w:rPr>
        <w:t>: 247-256 [PMID: 17125880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10.1016/j.jhep.2006.08.014</w:t>
      </w:r>
      <w:r w:rsidRPr="00092F07">
        <w:rPr>
          <w:rFonts w:ascii="Book Antiqua" w:eastAsia="Book Antiqua" w:hAnsi="Book Antiqua" w:cs="Book Antiqua"/>
          <w:color w:val="000000"/>
          <w:sz w:val="24"/>
          <w:szCs w:val="24"/>
        </w:rPr>
        <w:t>]</w:t>
      </w:r>
    </w:p>
    <w:p w14:paraId="17496156" w14:textId="4262343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68 </w:t>
      </w:r>
      <w:r w:rsidRPr="00092F07">
        <w:rPr>
          <w:rFonts w:ascii="Book Antiqua" w:eastAsia="Book Antiqua" w:hAnsi="Book Antiqua" w:cs="Book Antiqua"/>
          <w:b/>
          <w:color w:val="000000"/>
          <w:sz w:val="24"/>
          <w:szCs w:val="24"/>
        </w:rPr>
        <w:t>Nagata J</w:t>
      </w:r>
      <w:r w:rsidRPr="00092F07">
        <w:rPr>
          <w:rFonts w:ascii="Book Antiqua" w:eastAsia="Book Antiqua" w:hAnsi="Book Antiqua" w:cs="Book Antiqua"/>
          <w:color w:val="000000"/>
          <w:sz w:val="24"/>
          <w:szCs w:val="24"/>
        </w:rPr>
        <w:t xml:space="preserve">, Guerra MT, Shugrue CA, Gomes DA, Nagata N, Nathanson MH. Lipid rafts establish calcium waves in hepatocytes.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133</w:t>
      </w:r>
      <w:r w:rsidRPr="00092F07">
        <w:rPr>
          <w:rFonts w:ascii="Book Antiqua" w:eastAsia="Book Antiqua" w:hAnsi="Book Antiqua" w:cs="Book Antiqua"/>
          <w:color w:val="000000"/>
          <w:sz w:val="24"/>
          <w:szCs w:val="24"/>
        </w:rPr>
        <w:t>: 256-267 [PMID: 17631147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10.1053/j.gastro.2007.03.115</w:t>
      </w:r>
      <w:r w:rsidRPr="00092F07">
        <w:rPr>
          <w:rFonts w:ascii="Book Antiqua" w:eastAsia="Book Antiqua" w:hAnsi="Book Antiqua" w:cs="Book Antiqua"/>
          <w:color w:val="000000"/>
          <w:sz w:val="24"/>
          <w:szCs w:val="24"/>
        </w:rPr>
        <w:t>]</w:t>
      </w:r>
    </w:p>
    <w:p w14:paraId="7527CB9F" w14:textId="462EC1E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69 </w:t>
      </w:r>
      <w:r w:rsidRPr="00092F07">
        <w:rPr>
          <w:rFonts w:ascii="Book Antiqua" w:eastAsia="Book Antiqua" w:hAnsi="Book Antiqua" w:cs="Book Antiqua"/>
          <w:b/>
          <w:color w:val="000000"/>
          <w:sz w:val="24"/>
          <w:szCs w:val="24"/>
        </w:rPr>
        <w:t>Cruz LN</w:t>
      </w:r>
      <w:r w:rsidRPr="00092F07">
        <w:rPr>
          <w:rFonts w:ascii="Book Antiqua" w:eastAsia="Book Antiqua" w:hAnsi="Book Antiqua" w:cs="Book Antiqua"/>
          <w:color w:val="000000"/>
          <w:sz w:val="24"/>
          <w:szCs w:val="24"/>
        </w:rPr>
        <w:t xml:space="preserve">, Guerra MT, Kruglov E, Mennone A, Garcia CR, Chen J, Nathanson MH. Regulation of multidrug resistance-associated protein 2 by calcium signaling in mouse liver. </w:t>
      </w:r>
      <w:r w:rsidRPr="00092F07">
        <w:rPr>
          <w:rFonts w:ascii="Book Antiqua" w:eastAsia="Book Antiqua" w:hAnsi="Book Antiqua" w:cs="Book Antiqua"/>
          <w:i/>
          <w:color w:val="000000"/>
          <w:sz w:val="24"/>
          <w:szCs w:val="24"/>
        </w:rPr>
        <w:t>Hepatology</w:t>
      </w:r>
      <w:r w:rsidRPr="00092F07">
        <w:rPr>
          <w:rFonts w:ascii="Book Antiqua" w:eastAsia="Book Antiqua" w:hAnsi="Book Antiqua" w:cs="Book Antiqua"/>
          <w:color w:val="000000"/>
          <w:sz w:val="24"/>
          <w:szCs w:val="24"/>
        </w:rPr>
        <w:t xml:space="preserve"> 2010; </w:t>
      </w:r>
      <w:r w:rsidRPr="00092F07">
        <w:rPr>
          <w:rFonts w:ascii="Book Antiqua" w:eastAsia="Book Antiqua" w:hAnsi="Book Antiqua" w:cs="Book Antiqua"/>
          <w:b/>
          <w:color w:val="000000"/>
          <w:sz w:val="24"/>
          <w:szCs w:val="24"/>
        </w:rPr>
        <w:t>52</w:t>
      </w:r>
      <w:r w:rsidRPr="00092F07">
        <w:rPr>
          <w:rFonts w:ascii="Book Antiqua" w:eastAsia="Book Antiqua" w:hAnsi="Book Antiqua" w:cs="Book Antiqua"/>
          <w:color w:val="000000"/>
          <w:sz w:val="24"/>
          <w:szCs w:val="24"/>
        </w:rPr>
        <w:t>: 327-337 [PMID: 20578149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10.1002/hep.23625</w:t>
      </w:r>
      <w:r w:rsidRPr="00092F07">
        <w:rPr>
          <w:rFonts w:ascii="Book Antiqua" w:eastAsia="Book Antiqua" w:hAnsi="Book Antiqua" w:cs="Book Antiqua"/>
          <w:color w:val="000000"/>
          <w:sz w:val="24"/>
          <w:szCs w:val="24"/>
        </w:rPr>
        <w:t>]</w:t>
      </w:r>
    </w:p>
    <w:p w14:paraId="12BB997C" w14:textId="04C860F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70 </w:t>
      </w:r>
      <w:r w:rsidRPr="00092F07">
        <w:rPr>
          <w:rFonts w:ascii="Book Antiqua" w:eastAsia="Book Antiqua" w:hAnsi="Book Antiqua" w:cs="Book Antiqua"/>
          <w:b/>
          <w:color w:val="000000"/>
          <w:sz w:val="24"/>
          <w:szCs w:val="24"/>
        </w:rPr>
        <w:t>Kruglov E</w:t>
      </w:r>
      <w:r w:rsidRPr="00092F07">
        <w:rPr>
          <w:rFonts w:ascii="Book Antiqua" w:eastAsia="Book Antiqua" w:hAnsi="Book Antiqua" w:cs="Book Antiqua"/>
          <w:color w:val="000000"/>
          <w:sz w:val="24"/>
          <w:szCs w:val="24"/>
        </w:rPr>
        <w:t xml:space="preserve">, Ananthanarayanan M, Sousa P, Weerachayaphorn J, Guerra MT, Nathanson MH. Type 2 inositol trisphosphate receptor gene expression in hepatocytes is regulated by cyclic AMP. </w:t>
      </w:r>
      <w:r w:rsidRPr="00092F07">
        <w:rPr>
          <w:rFonts w:ascii="Book Antiqua" w:eastAsia="Book Antiqua" w:hAnsi="Book Antiqua" w:cs="Book Antiqua"/>
          <w:i/>
          <w:color w:val="000000"/>
          <w:sz w:val="24"/>
          <w:szCs w:val="24"/>
        </w:rPr>
        <w:t>Biochem Biophys Res Commun</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486</w:t>
      </w:r>
      <w:r w:rsidRPr="00092F07">
        <w:rPr>
          <w:rFonts w:ascii="Book Antiqua" w:eastAsia="Book Antiqua" w:hAnsi="Book Antiqua" w:cs="Book Antiqua"/>
          <w:color w:val="000000"/>
          <w:sz w:val="24"/>
          <w:szCs w:val="24"/>
        </w:rPr>
        <w:t>: 659-664 [PMID: 28327356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10.1016/j.bbrc.2017.03.086</w:t>
      </w:r>
      <w:r w:rsidRPr="00092F07">
        <w:rPr>
          <w:rFonts w:ascii="Book Antiqua" w:eastAsia="Book Antiqua" w:hAnsi="Book Antiqua" w:cs="Book Antiqua"/>
          <w:color w:val="000000"/>
          <w:sz w:val="24"/>
          <w:szCs w:val="24"/>
        </w:rPr>
        <w:t>]</w:t>
      </w:r>
    </w:p>
    <w:p w14:paraId="41FBF44D" w14:textId="3E9E1AB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71 </w:t>
      </w:r>
      <w:r w:rsidRPr="00092F07">
        <w:rPr>
          <w:rFonts w:ascii="Book Antiqua" w:eastAsia="Book Antiqua" w:hAnsi="Book Antiqua" w:cs="Book Antiqua"/>
          <w:b/>
          <w:color w:val="000000"/>
          <w:sz w:val="24"/>
          <w:szCs w:val="24"/>
        </w:rPr>
        <w:t>Feriod CN</w:t>
      </w:r>
      <w:r w:rsidRPr="00092F07">
        <w:rPr>
          <w:rFonts w:ascii="Book Antiqua" w:eastAsia="Book Antiqua" w:hAnsi="Book Antiqua" w:cs="Book Antiqua"/>
          <w:color w:val="000000"/>
          <w:sz w:val="24"/>
          <w:szCs w:val="24"/>
        </w:rPr>
        <w:t xml:space="preserve">, Nguyen L, Jurczak MJ, Kruglov EA, Nathanson MH, Shulman GI, Bennett AM, Ehrlich BE. Inositol 1,4,5-trisphosphate receptor type II (InsP3R-II) is reduced in obese mice, but metabolic homeostasis is preserved in mice lacking InsP3R-II. </w:t>
      </w:r>
      <w:r w:rsidRPr="00092F07">
        <w:rPr>
          <w:rFonts w:ascii="Book Antiqua" w:eastAsia="Book Antiqua" w:hAnsi="Book Antiqua" w:cs="Book Antiqua"/>
          <w:i/>
          <w:color w:val="000000"/>
          <w:sz w:val="24"/>
          <w:szCs w:val="24"/>
        </w:rPr>
        <w:t>Am J Physiol Endocrinol Metab</w:t>
      </w:r>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307</w:t>
      </w:r>
      <w:r w:rsidRPr="00092F07">
        <w:rPr>
          <w:rFonts w:ascii="Book Antiqua" w:eastAsia="Book Antiqua" w:hAnsi="Book Antiqua" w:cs="Book Antiqua"/>
          <w:color w:val="000000"/>
          <w:sz w:val="24"/>
          <w:szCs w:val="24"/>
        </w:rPr>
        <w:t>: E1057-E1064 [PMID: 25315698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10.1152/ajpendo.00236.2014</w:t>
      </w:r>
      <w:r w:rsidRPr="00092F07">
        <w:rPr>
          <w:rFonts w:ascii="Book Antiqua" w:eastAsia="Book Antiqua" w:hAnsi="Book Antiqua" w:cs="Book Antiqua"/>
          <w:color w:val="000000"/>
          <w:sz w:val="24"/>
          <w:szCs w:val="24"/>
        </w:rPr>
        <w:t>]</w:t>
      </w:r>
    </w:p>
    <w:p w14:paraId="79D80809" w14:textId="7DFB33F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72 </w:t>
      </w:r>
      <w:r w:rsidRPr="00092F07">
        <w:rPr>
          <w:rFonts w:ascii="Book Antiqua" w:eastAsia="Book Antiqua" w:hAnsi="Book Antiqua" w:cs="Book Antiqua"/>
          <w:b/>
          <w:color w:val="000000"/>
          <w:sz w:val="24"/>
          <w:szCs w:val="24"/>
        </w:rPr>
        <w:t>Kele PG</w:t>
      </w:r>
      <w:r w:rsidRPr="00092F07">
        <w:rPr>
          <w:rFonts w:ascii="Book Antiqua" w:eastAsia="Book Antiqua" w:hAnsi="Book Antiqua" w:cs="Book Antiqua"/>
          <w:color w:val="000000"/>
          <w:sz w:val="24"/>
          <w:szCs w:val="24"/>
        </w:rPr>
        <w:t xml:space="preserve">, van der Jagt EJ, Gouw AS, Lisman T, Porte RJ, de Boer MT. The impact of hepatic steatosis on liver regeneration after partial hepatectomy. </w:t>
      </w:r>
      <w:r w:rsidRPr="00092F07">
        <w:rPr>
          <w:rFonts w:ascii="Book Antiqua" w:eastAsia="Book Antiqua" w:hAnsi="Book Antiqua" w:cs="Book Antiqua"/>
          <w:i/>
          <w:color w:val="000000"/>
          <w:sz w:val="24"/>
          <w:szCs w:val="24"/>
        </w:rPr>
        <w:t>Liver Int</w:t>
      </w:r>
      <w:r w:rsidRPr="00092F07">
        <w:rPr>
          <w:rFonts w:ascii="Book Antiqua" w:eastAsia="Book Antiqua" w:hAnsi="Book Antiqua" w:cs="Book Antiqua"/>
          <w:color w:val="000000"/>
          <w:sz w:val="24"/>
          <w:szCs w:val="24"/>
        </w:rPr>
        <w:t xml:space="preserve"> 2013; </w:t>
      </w:r>
      <w:r w:rsidRPr="00092F07">
        <w:rPr>
          <w:rFonts w:ascii="Book Antiqua" w:eastAsia="Book Antiqua" w:hAnsi="Book Antiqua" w:cs="Book Antiqua"/>
          <w:b/>
          <w:color w:val="000000"/>
          <w:sz w:val="24"/>
          <w:szCs w:val="24"/>
        </w:rPr>
        <w:t>33</w:t>
      </w:r>
      <w:r w:rsidRPr="00092F07">
        <w:rPr>
          <w:rFonts w:ascii="Book Antiqua" w:eastAsia="Book Antiqua" w:hAnsi="Book Antiqua" w:cs="Book Antiqua"/>
          <w:color w:val="000000"/>
          <w:sz w:val="24"/>
          <w:szCs w:val="24"/>
        </w:rPr>
        <w:t>: 469-475 [PMID: 23311417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10.1111/liv.12089</w:t>
      </w:r>
      <w:r w:rsidRPr="00092F07">
        <w:rPr>
          <w:rFonts w:ascii="Book Antiqua" w:eastAsia="Book Antiqua" w:hAnsi="Book Antiqua" w:cs="Book Antiqua"/>
          <w:color w:val="000000"/>
          <w:sz w:val="24"/>
          <w:szCs w:val="24"/>
        </w:rPr>
        <w:t>]</w:t>
      </w:r>
    </w:p>
    <w:p w14:paraId="6FB927D8" w14:textId="3A3D7D3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73 </w:t>
      </w:r>
      <w:r w:rsidRPr="00092F07">
        <w:rPr>
          <w:rFonts w:ascii="Book Antiqua" w:eastAsia="Book Antiqua" w:hAnsi="Book Antiqua" w:cs="Book Antiqua"/>
          <w:b/>
          <w:color w:val="000000"/>
          <w:sz w:val="24"/>
          <w:szCs w:val="24"/>
        </w:rPr>
        <w:t>Leite MF</w:t>
      </w:r>
      <w:r w:rsidRPr="00092F07">
        <w:rPr>
          <w:rFonts w:ascii="Book Antiqua" w:eastAsia="Book Antiqua" w:hAnsi="Book Antiqua" w:cs="Book Antiqua"/>
          <w:color w:val="000000"/>
          <w:sz w:val="24"/>
          <w:szCs w:val="24"/>
        </w:rPr>
        <w:t xml:space="preserve">, Thrower EC, Echevarria W, Koulen P, Hirata K, Bennett AM, Ehrlich BE, Nathanson MH. Nuclear and cytosolic calcium are regulated independently. </w:t>
      </w:r>
      <w:r w:rsidRPr="00092F07">
        <w:rPr>
          <w:rFonts w:ascii="Book Antiqua" w:eastAsia="Book Antiqua" w:hAnsi="Book Antiqua" w:cs="Book Antiqua"/>
          <w:i/>
          <w:color w:val="000000"/>
          <w:sz w:val="24"/>
          <w:szCs w:val="24"/>
        </w:rPr>
        <w:t>Proc Natl Acad Sci U S A</w:t>
      </w:r>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100</w:t>
      </w:r>
      <w:r w:rsidRPr="00092F07">
        <w:rPr>
          <w:rFonts w:ascii="Book Antiqua" w:eastAsia="Book Antiqua" w:hAnsi="Book Antiqua" w:cs="Book Antiqua"/>
          <w:color w:val="000000"/>
          <w:sz w:val="24"/>
          <w:szCs w:val="24"/>
        </w:rPr>
        <w:t>: 2975-2980 [PMID: 12606721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10.1073/pnas.0536590100</w:t>
      </w:r>
      <w:r w:rsidRPr="00092F07">
        <w:rPr>
          <w:rFonts w:ascii="Book Antiqua" w:eastAsia="Book Antiqua" w:hAnsi="Book Antiqua" w:cs="Book Antiqua"/>
          <w:color w:val="000000"/>
          <w:sz w:val="24"/>
          <w:szCs w:val="24"/>
        </w:rPr>
        <w:t>]</w:t>
      </w:r>
    </w:p>
    <w:p w14:paraId="2D3A7CEF" w14:textId="147C80E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74 </w:t>
      </w:r>
      <w:r w:rsidRPr="00092F07">
        <w:rPr>
          <w:rFonts w:ascii="Book Antiqua" w:eastAsia="Book Antiqua" w:hAnsi="Book Antiqua" w:cs="Book Antiqua"/>
          <w:b/>
          <w:color w:val="000000"/>
          <w:sz w:val="24"/>
          <w:szCs w:val="24"/>
        </w:rPr>
        <w:t>Guerra MT</w:t>
      </w:r>
      <w:r w:rsidRPr="00092F07">
        <w:rPr>
          <w:rFonts w:ascii="Book Antiqua" w:eastAsia="Book Antiqua" w:hAnsi="Book Antiqua" w:cs="Book Antiqua"/>
          <w:color w:val="000000"/>
          <w:sz w:val="24"/>
          <w:szCs w:val="24"/>
        </w:rPr>
        <w:t>, Florentino RM, Franca A, Lima Filho AC, Dos Santos ML, Fonseca RC, Lemos FO, Fonseca MC, Kruglov E, Mennone A, Njei B, Gibson J, Guan F, Cheng YC, Ananthanarayanam M, Gu J, Jiang J, Zhao H, Lima CX, Vidigal PT, Oliveira AG, Nathanson MH, Leite MF. Expression of the type 3 InsP</w:t>
      </w:r>
      <w:r w:rsidRPr="00092F07">
        <w:rPr>
          <w:rFonts w:ascii="Book Antiqua" w:eastAsia="Book Antiqua" w:hAnsi="Book Antiqua" w:cs="Book Antiqua"/>
          <w:color w:val="000000"/>
          <w:sz w:val="24"/>
          <w:szCs w:val="24"/>
          <w:vertAlign w:val="subscript"/>
        </w:rPr>
        <w:t>3</w:t>
      </w:r>
      <w:r w:rsidRPr="00092F07">
        <w:rPr>
          <w:rFonts w:ascii="Book Antiqua" w:eastAsia="Book Antiqua" w:hAnsi="Book Antiqua" w:cs="Book Antiqua"/>
          <w:color w:val="000000"/>
          <w:sz w:val="24"/>
          <w:szCs w:val="24"/>
        </w:rPr>
        <w:t xml:space="preserve"> receptor is a final common event in the development of hepatocellular carcinoma. </w:t>
      </w:r>
      <w:r w:rsidRPr="00092F07">
        <w:rPr>
          <w:rFonts w:ascii="Book Antiqua" w:eastAsia="Book Antiqua" w:hAnsi="Book Antiqua" w:cs="Book Antiqua"/>
          <w:i/>
          <w:color w:val="000000"/>
          <w:sz w:val="24"/>
          <w:szCs w:val="24"/>
        </w:rPr>
        <w:t>Gut</w:t>
      </w:r>
      <w:r w:rsidRPr="00092F07">
        <w:rPr>
          <w:rFonts w:ascii="Book Antiqua" w:eastAsia="Book Antiqua" w:hAnsi="Book Antiqua" w:cs="Book Antiqua"/>
          <w:color w:val="000000"/>
          <w:sz w:val="24"/>
          <w:szCs w:val="24"/>
        </w:rPr>
        <w:t xml:space="preserve"> 2019; </w:t>
      </w:r>
      <w:r w:rsidRPr="00092F07">
        <w:rPr>
          <w:rFonts w:ascii="Book Antiqua" w:eastAsia="Book Antiqua" w:hAnsi="Book Antiqua" w:cs="Book Antiqua"/>
          <w:b/>
          <w:color w:val="000000"/>
          <w:sz w:val="24"/>
          <w:szCs w:val="24"/>
        </w:rPr>
        <w:t>68</w:t>
      </w:r>
      <w:r w:rsidRPr="00092F07">
        <w:rPr>
          <w:rFonts w:ascii="Book Antiqua" w:eastAsia="Book Antiqua" w:hAnsi="Book Antiqua" w:cs="Book Antiqua"/>
          <w:color w:val="000000"/>
          <w:sz w:val="24"/>
          <w:szCs w:val="24"/>
        </w:rPr>
        <w:t>: 1676-1687 [PMID: 31315892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10.1136/gutjnl-2018-317811</w:t>
      </w:r>
      <w:r w:rsidRPr="00092F07">
        <w:rPr>
          <w:rFonts w:ascii="Book Antiqua" w:eastAsia="Book Antiqua" w:hAnsi="Book Antiqua" w:cs="Book Antiqua"/>
          <w:color w:val="000000"/>
          <w:sz w:val="24"/>
          <w:szCs w:val="24"/>
        </w:rPr>
        <w:t>]</w:t>
      </w:r>
    </w:p>
    <w:p w14:paraId="37D7B338" w14:textId="30E3271E"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75 </w:t>
      </w:r>
      <w:r w:rsidRPr="00092F07">
        <w:rPr>
          <w:rFonts w:ascii="Book Antiqua" w:eastAsia="Book Antiqua" w:hAnsi="Book Antiqua" w:cs="Book Antiqua"/>
          <w:b/>
          <w:color w:val="000000"/>
          <w:sz w:val="24"/>
          <w:szCs w:val="24"/>
        </w:rPr>
        <w:t>Liang JQ</w:t>
      </w:r>
      <w:r w:rsidRPr="00092F07">
        <w:rPr>
          <w:rFonts w:ascii="Book Antiqua" w:eastAsia="Book Antiqua" w:hAnsi="Book Antiqua" w:cs="Book Antiqua"/>
          <w:color w:val="000000"/>
          <w:sz w:val="24"/>
          <w:szCs w:val="24"/>
        </w:rPr>
        <w:t xml:space="preserve">, Teoh N, Xu L, Pok S, Li X, Chu ESH, Chiu J, Dong L, Arfianti E, Haigh WG, Yeh MM, Ioannou GN, Sung JJY, Farrell G, Yu J. Dietary cholesterol promotes steatohepatitis related hepatocellular carcinoma through dysregulated metabolism and calcium signaling. </w:t>
      </w:r>
      <w:r w:rsidRPr="00092F07">
        <w:rPr>
          <w:rFonts w:ascii="Book Antiqua" w:eastAsia="Book Antiqua" w:hAnsi="Book Antiqua" w:cs="Book Antiqua"/>
          <w:i/>
          <w:color w:val="000000"/>
          <w:sz w:val="24"/>
          <w:szCs w:val="24"/>
        </w:rPr>
        <w:t>Nat Commun</w:t>
      </w:r>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9</w:t>
      </w:r>
      <w:r w:rsidRPr="00092F07">
        <w:rPr>
          <w:rFonts w:ascii="Book Antiqua" w:eastAsia="Book Antiqua" w:hAnsi="Book Antiqua" w:cs="Book Antiqua"/>
          <w:color w:val="000000"/>
          <w:sz w:val="24"/>
          <w:szCs w:val="24"/>
        </w:rPr>
        <w:t>: 4490 [PMID: 30367044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10.1038/s41467-018-06931-6</w:t>
      </w:r>
      <w:r w:rsidRPr="00092F07">
        <w:rPr>
          <w:rFonts w:ascii="Book Antiqua" w:eastAsia="Book Antiqua" w:hAnsi="Book Antiqua" w:cs="Book Antiqua"/>
          <w:color w:val="000000"/>
          <w:sz w:val="24"/>
          <w:szCs w:val="24"/>
        </w:rPr>
        <w:t>]</w:t>
      </w:r>
    </w:p>
    <w:p w14:paraId="69032F60" w14:textId="55881A3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76 </w:t>
      </w:r>
      <w:r w:rsidRPr="00092F07">
        <w:rPr>
          <w:rFonts w:ascii="Book Antiqua" w:eastAsia="Book Antiqua" w:hAnsi="Book Antiqua" w:cs="Book Antiqua"/>
          <w:b/>
          <w:color w:val="000000"/>
          <w:sz w:val="24"/>
          <w:szCs w:val="24"/>
        </w:rPr>
        <w:t>Portela A</w:t>
      </w:r>
      <w:r w:rsidRPr="00092F07">
        <w:rPr>
          <w:rFonts w:ascii="Book Antiqua" w:eastAsia="Book Antiqua" w:hAnsi="Book Antiqua" w:cs="Book Antiqua"/>
          <w:color w:val="000000"/>
          <w:sz w:val="24"/>
          <w:szCs w:val="24"/>
        </w:rPr>
        <w:t xml:space="preserve">, Esteller M. Epigenetic modifications and human disease. </w:t>
      </w:r>
      <w:r w:rsidRPr="00092F07">
        <w:rPr>
          <w:rFonts w:ascii="Book Antiqua" w:eastAsia="Book Antiqua" w:hAnsi="Book Antiqua" w:cs="Book Antiqua"/>
          <w:i/>
          <w:color w:val="000000"/>
          <w:sz w:val="24"/>
          <w:szCs w:val="24"/>
        </w:rPr>
        <w:t>Nat Biotechnol</w:t>
      </w:r>
      <w:r w:rsidRPr="00092F07">
        <w:rPr>
          <w:rFonts w:ascii="Book Antiqua" w:eastAsia="Book Antiqua" w:hAnsi="Book Antiqua" w:cs="Book Antiqua"/>
          <w:color w:val="000000"/>
          <w:sz w:val="24"/>
          <w:szCs w:val="24"/>
        </w:rPr>
        <w:t xml:space="preserve"> 2010; </w:t>
      </w:r>
      <w:r w:rsidRPr="00092F07">
        <w:rPr>
          <w:rFonts w:ascii="Book Antiqua" w:eastAsia="Book Antiqua" w:hAnsi="Book Antiqua" w:cs="Book Antiqua"/>
          <w:b/>
          <w:color w:val="000000"/>
          <w:sz w:val="24"/>
          <w:szCs w:val="24"/>
        </w:rPr>
        <w:t>28</w:t>
      </w:r>
      <w:r w:rsidRPr="00092F07">
        <w:rPr>
          <w:rFonts w:ascii="Book Antiqua" w:eastAsia="Book Antiqua" w:hAnsi="Book Antiqua" w:cs="Book Antiqua"/>
          <w:color w:val="000000"/>
          <w:sz w:val="24"/>
          <w:szCs w:val="24"/>
        </w:rPr>
        <w:t>: 1057-1068 [PMID: 20944598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10.1038/nbt.1685</w:t>
      </w:r>
      <w:r w:rsidRPr="00092F07">
        <w:rPr>
          <w:rFonts w:ascii="Book Antiqua" w:eastAsia="Book Antiqua" w:hAnsi="Book Antiqua" w:cs="Book Antiqua"/>
          <w:color w:val="000000"/>
          <w:sz w:val="24"/>
          <w:szCs w:val="24"/>
        </w:rPr>
        <w:t>]</w:t>
      </w:r>
    </w:p>
    <w:p w14:paraId="3A3D7361" w14:textId="4C353F2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77 </w:t>
      </w:r>
      <w:r w:rsidRPr="00092F07">
        <w:rPr>
          <w:rFonts w:ascii="Book Antiqua" w:eastAsia="Book Antiqua" w:hAnsi="Book Antiqua" w:cs="Book Antiqua"/>
          <w:b/>
          <w:color w:val="000000"/>
          <w:sz w:val="24"/>
          <w:szCs w:val="24"/>
        </w:rPr>
        <w:t>Jones PA</w:t>
      </w:r>
      <w:r w:rsidRPr="00092F07">
        <w:rPr>
          <w:rFonts w:ascii="Book Antiqua" w:eastAsia="Book Antiqua" w:hAnsi="Book Antiqua" w:cs="Book Antiqua"/>
          <w:color w:val="000000"/>
          <w:sz w:val="24"/>
          <w:szCs w:val="24"/>
        </w:rPr>
        <w:t xml:space="preserve">, Takai D. The role of DNA methylation in mammalian epigenetics. </w:t>
      </w:r>
      <w:r w:rsidRPr="00092F07">
        <w:rPr>
          <w:rFonts w:ascii="Book Antiqua" w:eastAsia="Book Antiqua" w:hAnsi="Book Antiqua" w:cs="Book Antiqua"/>
          <w:i/>
          <w:color w:val="000000"/>
          <w:sz w:val="24"/>
          <w:szCs w:val="24"/>
        </w:rPr>
        <w:t>Science</w:t>
      </w:r>
      <w:r w:rsidRPr="00092F07">
        <w:rPr>
          <w:rFonts w:ascii="Book Antiqua" w:eastAsia="Book Antiqua" w:hAnsi="Book Antiqua" w:cs="Book Antiqua"/>
          <w:color w:val="000000"/>
          <w:sz w:val="24"/>
          <w:szCs w:val="24"/>
        </w:rPr>
        <w:t xml:space="preserve"> 2001; </w:t>
      </w:r>
      <w:r w:rsidRPr="00092F07">
        <w:rPr>
          <w:rFonts w:ascii="Book Antiqua" w:eastAsia="Book Antiqua" w:hAnsi="Book Antiqua" w:cs="Book Antiqua"/>
          <w:b/>
          <w:color w:val="000000"/>
          <w:sz w:val="24"/>
          <w:szCs w:val="24"/>
        </w:rPr>
        <w:t>293</w:t>
      </w:r>
      <w:r w:rsidRPr="00092F07">
        <w:rPr>
          <w:rFonts w:ascii="Book Antiqua" w:eastAsia="Book Antiqua" w:hAnsi="Book Antiqua" w:cs="Book Antiqua"/>
          <w:color w:val="000000"/>
          <w:sz w:val="24"/>
          <w:szCs w:val="24"/>
        </w:rPr>
        <w:t>: 1068-1070 [PMID: 11498573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10.1126/science.1063852</w:t>
      </w:r>
      <w:r w:rsidRPr="00092F07">
        <w:rPr>
          <w:rFonts w:ascii="Book Antiqua" w:eastAsia="Book Antiqua" w:hAnsi="Book Antiqua" w:cs="Book Antiqua"/>
          <w:color w:val="000000"/>
          <w:sz w:val="24"/>
          <w:szCs w:val="24"/>
        </w:rPr>
        <w:t>]</w:t>
      </w:r>
    </w:p>
    <w:p w14:paraId="62803397" w14:textId="689AEB5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78 </w:t>
      </w:r>
      <w:r w:rsidRPr="00092F07">
        <w:rPr>
          <w:rFonts w:ascii="Book Antiqua" w:eastAsia="Book Antiqua" w:hAnsi="Book Antiqua" w:cs="Book Antiqua"/>
          <w:b/>
          <w:color w:val="000000"/>
          <w:sz w:val="24"/>
          <w:szCs w:val="24"/>
        </w:rPr>
        <w:t>Rodrigues MA</w:t>
      </w:r>
      <w:r w:rsidRPr="00092F07">
        <w:rPr>
          <w:rFonts w:ascii="Book Antiqua" w:eastAsia="Book Antiqua" w:hAnsi="Book Antiqua" w:cs="Book Antiqua"/>
          <w:color w:val="000000"/>
          <w:sz w:val="24"/>
          <w:szCs w:val="24"/>
        </w:rPr>
        <w:t xml:space="preserve">, Gomes DA, Nathanson MH. Calcium Signaling in Cholangiocytes: Methods, Mechanisms, and Effects. </w:t>
      </w:r>
      <w:r w:rsidRPr="00092F07">
        <w:rPr>
          <w:rFonts w:ascii="Book Antiqua" w:eastAsia="Book Antiqua" w:hAnsi="Book Antiqua" w:cs="Book Antiqua"/>
          <w:i/>
          <w:color w:val="000000"/>
          <w:sz w:val="24"/>
          <w:szCs w:val="24"/>
        </w:rPr>
        <w:t>Int J Mol Sci</w:t>
      </w:r>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19</w:t>
      </w:r>
      <w:r w:rsidRPr="00092F07">
        <w:rPr>
          <w:rFonts w:ascii="Book Antiqua" w:eastAsia="Book Antiqua" w:hAnsi="Book Antiqua" w:cs="Book Antiqua"/>
          <w:color w:val="000000"/>
          <w:sz w:val="24"/>
          <w:szCs w:val="24"/>
        </w:rPr>
        <w:t>: [PMID: 30563259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10.3390/ijms19123913</w:t>
      </w:r>
      <w:r w:rsidRPr="00092F07">
        <w:rPr>
          <w:rFonts w:ascii="Book Antiqua" w:eastAsia="Book Antiqua" w:hAnsi="Book Antiqua" w:cs="Book Antiqua"/>
          <w:color w:val="000000"/>
          <w:sz w:val="24"/>
          <w:szCs w:val="24"/>
        </w:rPr>
        <w:t>]</w:t>
      </w:r>
    </w:p>
    <w:p w14:paraId="6B482283" w14:textId="7460945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79 </w:t>
      </w:r>
      <w:r w:rsidRPr="00092F07">
        <w:rPr>
          <w:rFonts w:ascii="Book Antiqua" w:eastAsia="Book Antiqua" w:hAnsi="Book Antiqua" w:cs="Book Antiqua"/>
          <w:b/>
          <w:color w:val="000000"/>
          <w:sz w:val="24"/>
          <w:szCs w:val="24"/>
        </w:rPr>
        <w:t>Franca A</w:t>
      </w:r>
      <w:r w:rsidRPr="00092F07">
        <w:rPr>
          <w:rFonts w:ascii="Book Antiqua" w:eastAsia="Book Antiqua" w:hAnsi="Book Antiqua" w:cs="Book Antiqua"/>
          <w:color w:val="000000"/>
          <w:sz w:val="24"/>
          <w:szCs w:val="24"/>
        </w:rPr>
        <w:t xml:space="preserve">, Carlos Melo Lima Filho A, Guerra MT, Weerachayaphorn J, Loiola Dos Santos M, Njei B, Robert M, Xavier Lima C, Vieira Teixeira Vidigal P, Banales JM, Ananthanarayanam M, Leite MF, Nathanson MH. Effects of Endotoxin on Type 3 Inositol 1,4,5-Trisphosphate Receptor in Human Cholangiocytes. </w:t>
      </w:r>
      <w:r w:rsidRPr="00092F07">
        <w:rPr>
          <w:rFonts w:ascii="Book Antiqua" w:eastAsia="Book Antiqua" w:hAnsi="Book Antiqua" w:cs="Book Antiqua"/>
          <w:i/>
          <w:color w:val="000000"/>
          <w:sz w:val="24"/>
          <w:szCs w:val="24"/>
        </w:rPr>
        <w:t>Hepatology</w:t>
      </w:r>
      <w:r w:rsidRPr="00092F07">
        <w:rPr>
          <w:rFonts w:ascii="Book Antiqua" w:eastAsia="Book Antiqua" w:hAnsi="Book Antiqua" w:cs="Book Antiqua"/>
          <w:color w:val="000000"/>
          <w:sz w:val="24"/>
          <w:szCs w:val="24"/>
        </w:rPr>
        <w:t xml:space="preserve"> 2019; </w:t>
      </w:r>
      <w:r w:rsidRPr="00092F07">
        <w:rPr>
          <w:rFonts w:ascii="Book Antiqua" w:eastAsia="Book Antiqua" w:hAnsi="Book Antiqua" w:cs="Book Antiqua"/>
          <w:b/>
          <w:color w:val="000000"/>
          <w:sz w:val="24"/>
          <w:szCs w:val="24"/>
        </w:rPr>
        <w:t>69</w:t>
      </w:r>
      <w:r w:rsidRPr="00092F07">
        <w:rPr>
          <w:rFonts w:ascii="Book Antiqua" w:eastAsia="Book Antiqua" w:hAnsi="Book Antiqua" w:cs="Book Antiqua"/>
          <w:color w:val="000000"/>
          <w:sz w:val="24"/>
          <w:szCs w:val="24"/>
        </w:rPr>
        <w:t>: 817-830 [PMID: 30141207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10.1002/hep.30228</w:t>
      </w:r>
      <w:r w:rsidRPr="00092F07">
        <w:rPr>
          <w:rFonts w:ascii="Book Antiqua" w:eastAsia="Book Antiqua" w:hAnsi="Book Antiqua" w:cs="Book Antiqua"/>
          <w:color w:val="000000"/>
          <w:sz w:val="24"/>
          <w:szCs w:val="24"/>
        </w:rPr>
        <w:t>]</w:t>
      </w:r>
    </w:p>
    <w:p w14:paraId="4960E2B1" w14:textId="24632F8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80 </w:t>
      </w:r>
      <w:r w:rsidRPr="00092F07">
        <w:rPr>
          <w:rFonts w:ascii="Book Antiqua" w:eastAsia="Book Antiqua" w:hAnsi="Book Antiqua" w:cs="Book Antiqua"/>
          <w:b/>
          <w:color w:val="000000"/>
          <w:sz w:val="24"/>
          <w:szCs w:val="24"/>
        </w:rPr>
        <w:t>Weerachayaphorn J</w:t>
      </w:r>
      <w:r w:rsidRPr="00092F07">
        <w:rPr>
          <w:rFonts w:ascii="Book Antiqua" w:eastAsia="Book Antiqua" w:hAnsi="Book Antiqua" w:cs="Book Antiqua"/>
          <w:color w:val="000000"/>
          <w:sz w:val="24"/>
          <w:szCs w:val="24"/>
        </w:rPr>
        <w:t xml:space="preserve">, Amaya MJ, Spirli C, Chansela P, Mitchell-Richards KA, Ananthanarayanan M, Nathanson MH. Nuclear Factor, Erythroid 2-Like 2 Regulates Expression of Type 3 Inositol 1,4,5-Trisphosphate Receptor and Calcium Signaling in Cholangiocytes.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149</w:t>
      </w:r>
      <w:r w:rsidRPr="00092F07">
        <w:rPr>
          <w:rFonts w:ascii="Book Antiqua" w:eastAsia="Book Antiqua" w:hAnsi="Book Antiqua" w:cs="Book Antiqua"/>
          <w:color w:val="000000"/>
          <w:sz w:val="24"/>
          <w:szCs w:val="24"/>
        </w:rPr>
        <w:t>: 211-222.e10 [PMID: 25796361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10.1053/j.gastro.2015.03.014</w:t>
      </w:r>
      <w:r w:rsidRPr="00092F07">
        <w:rPr>
          <w:rFonts w:ascii="Book Antiqua" w:eastAsia="Book Antiqua" w:hAnsi="Book Antiqua" w:cs="Book Antiqua"/>
          <w:color w:val="000000"/>
          <w:sz w:val="24"/>
          <w:szCs w:val="24"/>
        </w:rPr>
        <w:t>]</w:t>
      </w:r>
    </w:p>
    <w:p w14:paraId="24E577BE" w14:textId="66308DF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81 </w:t>
      </w:r>
      <w:r w:rsidRPr="00092F07">
        <w:rPr>
          <w:rFonts w:ascii="Book Antiqua" w:eastAsia="Book Antiqua" w:hAnsi="Book Antiqua" w:cs="Book Antiqua"/>
          <w:b/>
          <w:color w:val="000000"/>
          <w:sz w:val="24"/>
          <w:szCs w:val="24"/>
        </w:rPr>
        <w:t>Ananthanarayanan M</w:t>
      </w:r>
      <w:r w:rsidRPr="00092F07">
        <w:rPr>
          <w:rFonts w:ascii="Book Antiqua" w:eastAsia="Book Antiqua" w:hAnsi="Book Antiqua" w:cs="Book Antiqua"/>
          <w:color w:val="000000"/>
          <w:sz w:val="24"/>
          <w:szCs w:val="24"/>
        </w:rPr>
        <w:t xml:space="preserve">, Banales JM, Guerra MT, Spirli C, Munoz-Garrido P, Mitchell-Richards K, Tafur D, Saez E, Nathanson MH. Post-translational regulation of the type III inositol 1,4,5-trisphosphate receptor by miRNA-506. </w:t>
      </w:r>
      <w:r w:rsidRPr="00092F07">
        <w:rPr>
          <w:rFonts w:ascii="Book Antiqua" w:eastAsia="Book Antiqua" w:hAnsi="Book Antiqua" w:cs="Book Antiqua"/>
          <w:i/>
          <w:color w:val="000000"/>
          <w:sz w:val="24"/>
          <w:szCs w:val="24"/>
        </w:rPr>
        <w:t>J Biol Chem</w:t>
      </w:r>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290</w:t>
      </w:r>
      <w:r w:rsidRPr="00092F07">
        <w:rPr>
          <w:rFonts w:ascii="Book Antiqua" w:eastAsia="Book Antiqua" w:hAnsi="Book Antiqua" w:cs="Book Antiqua"/>
          <w:color w:val="000000"/>
          <w:sz w:val="24"/>
          <w:szCs w:val="24"/>
        </w:rPr>
        <w:t>: 184-196 [PMID: 25378392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10.1074/jbc.M114.587030</w:t>
      </w:r>
      <w:r w:rsidRPr="00092F07">
        <w:rPr>
          <w:rFonts w:ascii="Book Antiqua" w:eastAsia="Book Antiqua" w:hAnsi="Book Antiqua" w:cs="Book Antiqua"/>
          <w:color w:val="000000"/>
          <w:sz w:val="24"/>
          <w:szCs w:val="24"/>
        </w:rPr>
        <w:t>]</w:t>
      </w:r>
    </w:p>
    <w:p w14:paraId="122F8CE4" w14:textId="10F6661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82 </w:t>
      </w:r>
      <w:r w:rsidRPr="00092F07">
        <w:rPr>
          <w:rFonts w:ascii="Book Antiqua" w:eastAsia="Book Antiqua" w:hAnsi="Book Antiqua" w:cs="Book Antiqua"/>
          <w:b/>
          <w:color w:val="000000"/>
          <w:sz w:val="24"/>
          <w:szCs w:val="24"/>
        </w:rPr>
        <w:t>Ueasilamongkol P</w:t>
      </w:r>
      <w:r w:rsidRPr="00092F07">
        <w:rPr>
          <w:rFonts w:ascii="Book Antiqua" w:eastAsia="Book Antiqua" w:hAnsi="Book Antiqua" w:cs="Book Antiqua"/>
          <w:color w:val="000000"/>
          <w:sz w:val="24"/>
          <w:szCs w:val="24"/>
        </w:rPr>
        <w:t xml:space="preserve">, Khamphaya T, Guerra MT, Rodrigues MA, Gomes DA, Kong Y, Wei W, Jain D, Trampert DC, Ananthanarayanan M, Banales JM, Roberts LR, Farshidfar F, Nathanson MH, Weerachayaphorn J. Type 3 Inositol 1,4,5-Trisphosphate Receptor Is Increased and Enhances Malignant Properties in Cholangiocarcinoma. </w:t>
      </w:r>
      <w:r w:rsidRPr="00092F07">
        <w:rPr>
          <w:rFonts w:ascii="Book Antiqua" w:eastAsia="Book Antiqua" w:hAnsi="Book Antiqua" w:cs="Book Antiqua"/>
          <w:i/>
          <w:color w:val="000000"/>
          <w:sz w:val="24"/>
          <w:szCs w:val="24"/>
        </w:rPr>
        <w:t>Hepatology</w:t>
      </w:r>
      <w:r w:rsidRPr="00092F07">
        <w:rPr>
          <w:rFonts w:ascii="Book Antiqua" w:eastAsia="Book Antiqua" w:hAnsi="Book Antiqua" w:cs="Book Antiqua"/>
          <w:color w:val="000000"/>
          <w:sz w:val="24"/>
          <w:szCs w:val="24"/>
        </w:rPr>
        <w:t xml:space="preserve"> 2019; : [PMID: 31251815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10.1002/hep.30839</w:t>
      </w:r>
      <w:r w:rsidRPr="00092F07">
        <w:rPr>
          <w:rFonts w:ascii="Book Antiqua" w:eastAsia="Book Antiqua" w:hAnsi="Book Antiqua" w:cs="Book Antiqua"/>
          <w:color w:val="000000"/>
          <w:sz w:val="24"/>
          <w:szCs w:val="24"/>
        </w:rPr>
        <w:t>]</w:t>
      </w:r>
    </w:p>
    <w:p w14:paraId="6E606708" w14:textId="60BC999B" w:rsidR="00A70834" w:rsidRPr="00663BB7" w:rsidRDefault="00A70834" w:rsidP="00A70834">
      <w:pPr>
        <w:adjustRightInd w:val="0"/>
        <w:snapToGrid w:val="0"/>
        <w:spacing w:line="360" w:lineRule="auto"/>
        <w:jc w:val="right"/>
        <w:rPr>
          <w:rFonts w:ascii="Book Antiqua" w:hAnsi="Book Antiqua"/>
          <w:color w:val="000000"/>
          <w:sz w:val="24"/>
          <w:szCs w:val="24"/>
        </w:rPr>
      </w:pPr>
      <w:bookmarkStart w:id="58" w:name="OLE_LINK139"/>
      <w:bookmarkStart w:id="59" w:name="OLE_LINK140"/>
      <w:bookmarkStart w:id="60" w:name="OLE_LINK1023"/>
      <w:bookmarkStart w:id="61" w:name="OLE_LINK1027"/>
      <w:bookmarkStart w:id="62" w:name="OLE_LINK1028"/>
      <w:bookmarkStart w:id="63" w:name="OLE_LINK1029"/>
      <w:bookmarkStart w:id="64" w:name="OLE_LINK51"/>
      <w:bookmarkStart w:id="65" w:name="OLE_LINK1069"/>
      <w:bookmarkStart w:id="66" w:name="OLE_LINK1104"/>
      <w:bookmarkStart w:id="67" w:name="OLE_LINK1107"/>
      <w:bookmarkStart w:id="68" w:name="OLE_LINK1073"/>
      <w:bookmarkStart w:id="69" w:name="OLE_LINK1074"/>
      <w:bookmarkStart w:id="70" w:name="OLE_LINK1090"/>
      <w:bookmarkStart w:id="71" w:name="OLE_LINK1086"/>
      <w:bookmarkStart w:id="72" w:name="OLE_LINK1088"/>
      <w:bookmarkStart w:id="73" w:name="OLE_LINK1119"/>
      <w:bookmarkStart w:id="74" w:name="OLE_LINK1145"/>
      <w:bookmarkStart w:id="75" w:name="OLE_LINK1106"/>
      <w:bookmarkStart w:id="76" w:name="OLE_LINK28"/>
      <w:bookmarkEnd w:id="53"/>
      <w:r w:rsidRPr="00663BB7">
        <w:rPr>
          <w:rFonts w:ascii="Book Antiqua" w:hAnsi="Book Antiqua"/>
          <w:b/>
          <w:bCs/>
          <w:color w:val="000000"/>
          <w:sz w:val="24"/>
          <w:szCs w:val="24"/>
        </w:rPr>
        <w:lastRenderedPageBreak/>
        <w:t>P-Reviewer:</w:t>
      </w:r>
      <w:r w:rsidRPr="00663BB7">
        <w:rPr>
          <w:rFonts w:ascii="Book Antiqua" w:hAnsi="Book Antiqua"/>
          <w:bCs/>
          <w:color w:val="000000"/>
          <w:sz w:val="24"/>
          <w:szCs w:val="24"/>
        </w:rPr>
        <w:t xml:space="preserve"> </w:t>
      </w:r>
      <w:r w:rsidRPr="00A70834">
        <w:rPr>
          <w:rFonts w:ascii="Book Antiqua" w:hAnsi="Book Antiqua"/>
          <w:bCs/>
          <w:color w:val="000000"/>
          <w:sz w:val="24"/>
          <w:szCs w:val="24"/>
        </w:rPr>
        <w:t>Morales-González</w:t>
      </w:r>
      <w:r w:rsidRPr="00663BB7">
        <w:rPr>
          <w:rFonts w:ascii="Book Antiqua" w:hAnsi="Book Antiqua"/>
          <w:bCs/>
          <w:color w:val="000000"/>
          <w:sz w:val="24"/>
          <w:szCs w:val="24"/>
        </w:rPr>
        <w:t xml:space="preserve"> </w:t>
      </w:r>
      <w:r>
        <w:rPr>
          <w:rFonts w:ascii="Book Antiqua" w:hAnsi="Book Antiqua"/>
          <w:bCs/>
          <w:color w:val="000000"/>
          <w:sz w:val="24"/>
          <w:szCs w:val="24"/>
        </w:rPr>
        <w:t>JA</w:t>
      </w:r>
      <w:r w:rsidRPr="00663BB7">
        <w:rPr>
          <w:rFonts w:ascii="Book Antiqua" w:hAnsi="Book Antiqua"/>
          <w:bCs/>
          <w:color w:val="000000"/>
          <w:sz w:val="24"/>
          <w:szCs w:val="24"/>
        </w:rPr>
        <w:t xml:space="preserve">, </w:t>
      </w:r>
      <w:r w:rsidRPr="00A70834">
        <w:rPr>
          <w:rFonts w:ascii="Book Antiqua" w:hAnsi="Book Antiqua"/>
          <w:bCs/>
          <w:color w:val="000000"/>
          <w:sz w:val="24"/>
          <w:szCs w:val="24"/>
        </w:rPr>
        <w:t>Sun</w:t>
      </w:r>
      <w:r w:rsidRPr="00663BB7">
        <w:rPr>
          <w:rFonts w:ascii="Book Antiqua" w:hAnsi="Book Antiqua"/>
          <w:bCs/>
          <w:color w:val="000000"/>
          <w:sz w:val="24"/>
          <w:szCs w:val="24"/>
        </w:rPr>
        <w:t xml:space="preserve"> </w:t>
      </w:r>
      <w:r>
        <w:rPr>
          <w:rFonts w:ascii="Book Antiqua" w:hAnsi="Book Antiqua"/>
          <w:bCs/>
          <w:color w:val="000000"/>
          <w:sz w:val="24"/>
          <w:szCs w:val="24"/>
        </w:rPr>
        <w:t>XT</w:t>
      </w:r>
      <w:r w:rsidRPr="00663BB7">
        <w:rPr>
          <w:rFonts w:ascii="Book Antiqua" w:hAnsi="Book Antiqua"/>
          <w:b/>
          <w:bCs/>
          <w:color w:val="000000"/>
          <w:sz w:val="24"/>
          <w:szCs w:val="24"/>
        </w:rPr>
        <w:t xml:space="preserve"> S-Editor:</w:t>
      </w:r>
      <w:r w:rsidRPr="00663BB7">
        <w:rPr>
          <w:rFonts w:ascii="Book Antiqua" w:hAnsi="Book Antiqua"/>
          <w:color w:val="000000"/>
          <w:sz w:val="24"/>
          <w:szCs w:val="24"/>
        </w:rPr>
        <w:t xml:space="preserve"> </w:t>
      </w:r>
      <w:r>
        <w:rPr>
          <w:rFonts w:ascii="Book Antiqua" w:hAnsi="Book Antiqua" w:hint="eastAsia"/>
          <w:color w:val="000000"/>
          <w:sz w:val="24"/>
          <w:szCs w:val="24"/>
        </w:rPr>
        <w:t>Wang</w:t>
      </w:r>
      <w:r>
        <w:rPr>
          <w:rFonts w:ascii="Book Antiqua" w:hAnsi="Book Antiqua"/>
          <w:color w:val="000000"/>
          <w:sz w:val="24"/>
          <w:szCs w:val="24"/>
        </w:rPr>
        <w:t xml:space="preserve"> J</w:t>
      </w:r>
    </w:p>
    <w:p w14:paraId="035D975E" w14:textId="77777777" w:rsidR="00A70834" w:rsidRPr="00663BB7" w:rsidRDefault="00A70834" w:rsidP="00A70834">
      <w:pPr>
        <w:adjustRightInd w:val="0"/>
        <w:snapToGrid w:val="0"/>
        <w:spacing w:line="360" w:lineRule="auto"/>
        <w:jc w:val="right"/>
        <w:rPr>
          <w:rFonts w:ascii="Book Antiqua" w:hAnsi="Book Antiqua"/>
          <w:b/>
          <w:bCs/>
          <w:color w:val="000000"/>
          <w:sz w:val="24"/>
          <w:szCs w:val="24"/>
        </w:rPr>
      </w:pPr>
      <w:r w:rsidRPr="00663BB7">
        <w:rPr>
          <w:rFonts w:ascii="Book Antiqua" w:hAnsi="Book Antiqua"/>
          <w:b/>
          <w:bCs/>
          <w:color w:val="000000"/>
          <w:sz w:val="24"/>
          <w:szCs w:val="24"/>
        </w:rPr>
        <w:t>L-Editor:</w:t>
      </w:r>
      <w:r w:rsidRPr="00663BB7">
        <w:rPr>
          <w:rFonts w:ascii="Book Antiqua" w:hAnsi="Book Antiqua"/>
          <w:color w:val="000000"/>
          <w:sz w:val="24"/>
          <w:szCs w:val="24"/>
        </w:rPr>
        <w:t xml:space="preserve"> </w:t>
      </w:r>
      <w:r w:rsidRPr="00663BB7">
        <w:rPr>
          <w:rFonts w:ascii="Book Antiqua" w:hAnsi="Book Antiqua"/>
          <w:b/>
          <w:bCs/>
          <w:color w:val="000000"/>
          <w:sz w:val="24"/>
          <w:szCs w:val="24"/>
        </w:rPr>
        <w:t>E-Editor:</w:t>
      </w:r>
    </w:p>
    <w:bookmarkEnd w:id="58"/>
    <w:bookmarkEnd w:id="59"/>
    <w:p w14:paraId="78F1DBF2" w14:textId="2F99B9B5" w:rsidR="00D65AC5" w:rsidRPr="000A2A59" w:rsidRDefault="00A70834" w:rsidP="00A70834">
      <w:pPr>
        <w:widowControl w:val="0"/>
        <w:adjustRightInd w:val="0"/>
        <w:snapToGrid w:val="0"/>
        <w:spacing w:after="0" w:line="360" w:lineRule="auto"/>
        <w:rPr>
          <w:rFonts w:ascii="Book Antiqua" w:eastAsia="Book Antiqua" w:hAnsi="Book Antiqua" w:cs="Book Antiqua"/>
          <w:sz w:val="24"/>
          <w:szCs w:val="24"/>
        </w:rPr>
      </w:pPr>
      <w:r>
        <w:rPr>
          <w:rFonts w:ascii="Book Antiqua" w:hAnsi="Book Antiqua" w:cs="宋体"/>
          <w:b/>
          <w:sz w:val="24"/>
          <w:szCs w:val="24"/>
        </w:rPr>
        <w:t>Specialty</w:t>
      </w:r>
      <w:r>
        <w:rPr>
          <w:rFonts w:ascii="Book Antiqua" w:hAnsi="Book Antiqua" w:cs="宋体" w:hint="eastAsia"/>
          <w:b/>
          <w:sz w:val="24"/>
          <w:szCs w:val="24"/>
        </w:rPr>
        <w:t xml:space="preserve"> </w:t>
      </w:r>
      <w:r w:rsidRPr="00663BB7">
        <w:rPr>
          <w:rFonts w:ascii="Book Antiqua" w:hAnsi="Book Antiqua" w:cs="宋体"/>
          <w:b/>
          <w:sz w:val="24"/>
          <w:szCs w:val="24"/>
        </w:rPr>
        <w:t xml:space="preserve">type: </w:t>
      </w:r>
      <w:r w:rsidRPr="00663BB7">
        <w:rPr>
          <w:rFonts w:ascii="Book Antiqua" w:eastAsia="微软雅黑" w:hAnsi="Book Antiqua" w:cs="宋体"/>
          <w:sz w:val="24"/>
          <w:szCs w:val="24"/>
        </w:rPr>
        <w:t>Gastroenterology and hepatology</w:t>
      </w:r>
      <w:r w:rsidRPr="00663BB7">
        <w:rPr>
          <w:rFonts w:ascii="Book Antiqua" w:hAnsi="Book Antiqua" w:cs="宋体"/>
          <w:sz w:val="24"/>
          <w:szCs w:val="24"/>
        </w:rPr>
        <w:t xml:space="preserve"> </w:t>
      </w:r>
      <w:r w:rsidRPr="00663BB7">
        <w:rPr>
          <w:rFonts w:ascii="Book Antiqua" w:hAnsi="Book Antiqua" w:cs="宋体"/>
          <w:sz w:val="24"/>
          <w:szCs w:val="24"/>
        </w:rPr>
        <w:br/>
      </w:r>
      <w:r>
        <w:rPr>
          <w:rFonts w:ascii="Book Antiqua" w:hAnsi="Book Antiqua" w:cs="宋体"/>
          <w:b/>
          <w:sz w:val="24"/>
          <w:szCs w:val="24"/>
        </w:rPr>
        <w:t>Country</w:t>
      </w:r>
      <w:r>
        <w:rPr>
          <w:rFonts w:ascii="Book Antiqua" w:hAnsi="Book Antiqua" w:cs="宋体" w:hint="eastAsia"/>
          <w:b/>
          <w:sz w:val="24"/>
          <w:szCs w:val="24"/>
        </w:rPr>
        <w:t xml:space="preserve"> </w:t>
      </w:r>
      <w:r>
        <w:rPr>
          <w:rFonts w:ascii="Book Antiqua" w:hAnsi="Book Antiqua" w:cs="宋体"/>
          <w:b/>
          <w:sz w:val="24"/>
          <w:szCs w:val="24"/>
        </w:rPr>
        <w:t>of</w:t>
      </w:r>
      <w:r>
        <w:rPr>
          <w:rFonts w:ascii="Book Antiqua" w:hAnsi="Book Antiqua" w:cs="宋体" w:hint="eastAsia"/>
          <w:b/>
          <w:sz w:val="24"/>
          <w:szCs w:val="24"/>
        </w:rPr>
        <w:t xml:space="preserve"> </w:t>
      </w:r>
      <w:r w:rsidRPr="00663BB7">
        <w:rPr>
          <w:rFonts w:ascii="Book Antiqua" w:hAnsi="Book Antiqua" w:cs="宋体"/>
          <w:b/>
          <w:sz w:val="24"/>
          <w:szCs w:val="24"/>
        </w:rPr>
        <w:t xml:space="preserve">origin: </w:t>
      </w:r>
      <w:r w:rsidRPr="00A70834">
        <w:rPr>
          <w:rFonts w:ascii="Book Antiqua" w:hAnsi="Book Antiqua" w:cs="宋体"/>
          <w:sz w:val="24"/>
          <w:szCs w:val="24"/>
        </w:rPr>
        <w:t>Brazil</w:t>
      </w:r>
      <w:r w:rsidRPr="00663BB7">
        <w:rPr>
          <w:rFonts w:ascii="Book Antiqua" w:hAnsi="Book Antiqua" w:cs="宋体"/>
          <w:sz w:val="24"/>
          <w:szCs w:val="24"/>
        </w:rPr>
        <w:t xml:space="preserve"> </w:t>
      </w:r>
      <w:r w:rsidRPr="00663BB7">
        <w:rPr>
          <w:rFonts w:ascii="Book Antiqua" w:hAnsi="Book Antiqua" w:cs="宋体"/>
          <w:sz w:val="24"/>
          <w:szCs w:val="24"/>
        </w:rPr>
        <w:br/>
      </w:r>
      <w:r>
        <w:rPr>
          <w:rFonts w:ascii="Book Antiqua" w:hAnsi="Book Antiqua" w:cs="宋体"/>
          <w:b/>
          <w:sz w:val="24"/>
          <w:szCs w:val="24"/>
        </w:rPr>
        <w:t>Peer-review</w:t>
      </w:r>
      <w:r>
        <w:rPr>
          <w:rFonts w:ascii="Book Antiqua" w:hAnsi="Book Antiqua" w:cs="宋体" w:hint="eastAsia"/>
          <w:b/>
          <w:sz w:val="24"/>
          <w:szCs w:val="24"/>
        </w:rPr>
        <w:t xml:space="preserve"> </w:t>
      </w:r>
      <w:r>
        <w:rPr>
          <w:rFonts w:ascii="Book Antiqua" w:hAnsi="Book Antiqua" w:cs="宋体"/>
          <w:b/>
          <w:sz w:val="24"/>
          <w:szCs w:val="24"/>
        </w:rPr>
        <w:t>report</w:t>
      </w:r>
      <w:r>
        <w:rPr>
          <w:rFonts w:ascii="Book Antiqua" w:hAnsi="Book Antiqua" w:cs="宋体" w:hint="eastAsia"/>
          <w:b/>
          <w:sz w:val="24"/>
          <w:szCs w:val="24"/>
        </w:rPr>
        <w:t xml:space="preserve"> </w:t>
      </w:r>
      <w:r w:rsidRPr="00663BB7">
        <w:rPr>
          <w:rFonts w:ascii="Book Antiqua" w:hAnsi="Book Antiqua" w:cs="宋体"/>
          <w:b/>
          <w:sz w:val="24"/>
          <w:szCs w:val="24"/>
        </w:rPr>
        <w:t>classification</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A</w:t>
      </w:r>
      <w:r>
        <w:rPr>
          <w:rFonts w:ascii="Book Antiqua" w:hAnsi="Book Antiqua" w:cs="宋体" w:hint="eastAsia"/>
          <w:b/>
          <w:sz w:val="24"/>
          <w:szCs w:val="24"/>
        </w:rPr>
        <w:t xml:space="preserve"> </w:t>
      </w:r>
      <w:r w:rsidRPr="00663BB7">
        <w:rPr>
          <w:rFonts w:ascii="Book Antiqua" w:hAnsi="Book Antiqua" w:cs="宋体"/>
          <w:b/>
          <w:sz w:val="24"/>
          <w:szCs w:val="24"/>
        </w:rPr>
        <w:t xml:space="preserve">(Excellent): </w:t>
      </w:r>
      <w:r w:rsidR="00EF4765">
        <w:rPr>
          <w:rFonts w:ascii="Book Antiqua" w:hAnsi="Book Antiqua" w:cs="宋体"/>
          <w:sz w:val="24"/>
          <w:szCs w:val="24"/>
        </w:rPr>
        <w:t>0</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B</w:t>
      </w:r>
      <w:r>
        <w:rPr>
          <w:rFonts w:ascii="Book Antiqua" w:hAnsi="Book Antiqua" w:cs="宋体" w:hint="eastAsia"/>
          <w:b/>
          <w:sz w:val="24"/>
          <w:szCs w:val="24"/>
        </w:rPr>
        <w:t xml:space="preserve"> </w:t>
      </w:r>
      <w:r>
        <w:rPr>
          <w:rFonts w:ascii="Book Antiqua" w:hAnsi="Book Antiqua" w:cs="宋体"/>
          <w:b/>
          <w:sz w:val="24"/>
          <w:szCs w:val="24"/>
        </w:rPr>
        <w:t>(Very</w:t>
      </w:r>
      <w:r>
        <w:rPr>
          <w:rFonts w:ascii="Book Antiqua" w:hAnsi="Book Antiqua" w:cs="宋体" w:hint="eastAsia"/>
          <w:b/>
          <w:sz w:val="24"/>
          <w:szCs w:val="24"/>
        </w:rPr>
        <w:t xml:space="preserve"> </w:t>
      </w:r>
      <w:r w:rsidRPr="00663BB7">
        <w:rPr>
          <w:rFonts w:ascii="Book Antiqua" w:hAnsi="Book Antiqua" w:cs="宋体"/>
          <w:b/>
          <w:sz w:val="24"/>
          <w:szCs w:val="24"/>
        </w:rPr>
        <w:t xml:space="preserve">good): </w:t>
      </w:r>
      <w:r w:rsidR="00EF4765">
        <w:rPr>
          <w:rFonts w:ascii="Book Antiqua" w:hAnsi="Book Antiqua" w:cs="宋体"/>
          <w:sz w:val="24"/>
          <w:szCs w:val="24"/>
        </w:rPr>
        <w:t>0</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C</w:t>
      </w:r>
      <w:r>
        <w:rPr>
          <w:rFonts w:ascii="Book Antiqua" w:hAnsi="Book Antiqua" w:cs="宋体" w:hint="eastAsia"/>
          <w:b/>
          <w:sz w:val="24"/>
          <w:szCs w:val="24"/>
        </w:rPr>
        <w:t xml:space="preserve"> </w:t>
      </w:r>
      <w:r w:rsidRPr="00663BB7">
        <w:rPr>
          <w:rFonts w:ascii="Book Antiqua" w:hAnsi="Book Antiqua" w:cs="宋体"/>
          <w:b/>
          <w:sz w:val="24"/>
          <w:szCs w:val="24"/>
        </w:rPr>
        <w:t xml:space="preserve">(Good): </w:t>
      </w:r>
      <w:r w:rsidR="00EF4765">
        <w:rPr>
          <w:rFonts w:ascii="Book Antiqua" w:hAnsi="Book Antiqua" w:cs="宋体"/>
          <w:sz w:val="24"/>
          <w:szCs w:val="24"/>
        </w:rPr>
        <w:t>C, C</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D</w:t>
      </w:r>
      <w:r>
        <w:rPr>
          <w:rFonts w:ascii="Book Antiqua" w:hAnsi="Book Antiqua" w:cs="宋体" w:hint="eastAsia"/>
          <w:b/>
          <w:sz w:val="24"/>
          <w:szCs w:val="24"/>
        </w:rPr>
        <w:t xml:space="preserve"> </w:t>
      </w:r>
      <w:r w:rsidRPr="00663BB7">
        <w:rPr>
          <w:rFonts w:ascii="Book Antiqua" w:hAnsi="Book Antiqua" w:cs="宋体"/>
          <w:b/>
          <w:sz w:val="24"/>
          <w:szCs w:val="24"/>
        </w:rPr>
        <w:t xml:space="preserve">(Fair): </w:t>
      </w:r>
      <w:r w:rsidRPr="00663BB7">
        <w:rPr>
          <w:rFonts w:ascii="Book Antiqua" w:hAnsi="Book Antiqua" w:cs="宋体"/>
          <w:sz w:val="24"/>
          <w:szCs w:val="24"/>
        </w:rPr>
        <w:t>0</w:t>
      </w:r>
      <w:r>
        <w:rPr>
          <w:rFonts w:ascii="Book Antiqua" w:hAnsi="Book Antiqua" w:cs="宋体"/>
          <w:b/>
          <w:sz w:val="24"/>
          <w:szCs w:val="24"/>
        </w:rPr>
        <w:br/>
        <w:t>Grade</w:t>
      </w:r>
      <w:r>
        <w:rPr>
          <w:rFonts w:ascii="Book Antiqua" w:hAnsi="Book Antiqua" w:cs="宋体" w:hint="eastAsia"/>
          <w:b/>
          <w:sz w:val="24"/>
          <w:szCs w:val="24"/>
        </w:rPr>
        <w:t xml:space="preserve"> </w:t>
      </w:r>
      <w:r>
        <w:rPr>
          <w:rFonts w:ascii="Book Antiqua" w:hAnsi="Book Antiqua" w:cs="宋体"/>
          <w:b/>
          <w:sz w:val="24"/>
          <w:szCs w:val="24"/>
        </w:rPr>
        <w:t>E</w:t>
      </w:r>
      <w:r>
        <w:rPr>
          <w:rFonts w:ascii="Book Antiqua" w:hAnsi="Book Antiqua" w:cs="宋体" w:hint="eastAsia"/>
          <w:b/>
          <w:sz w:val="24"/>
          <w:szCs w:val="24"/>
        </w:rPr>
        <w:t xml:space="preserve"> </w:t>
      </w:r>
      <w:r w:rsidRPr="00663BB7">
        <w:rPr>
          <w:rFonts w:ascii="Book Antiqua" w:hAnsi="Book Antiqua" w:cs="宋体"/>
          <w:b/>
          <w:sz w:val="24"/>
          <w:szCs w:val="24"/>
        </w:rPr>
        <w:t xml:space="preserve">(Poor): </w:t>
      </w:r>
      <w:r w:rsidRPr="00663BB7">
        <w:rPr>
          <w:rFonts w:ascii="Book Antiqua" w:hAnsi="Book Antiqua" w:cs="宋体"/>
          <w:sz w:val="24"/>
          <w:szCs w:val="24"/>
        </w:rPr>
        <w:t>0</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0F91708" w14:textId="77777777" w:rsidR="00187510" w:rsidRPr="000A2A59" w:rsidRDefault="00187510" w:rsidP="005E5A06">
      <w:pPr>
        <w:widowControl w:val="0"/>
        <w:adjustRightInd w:val="0"/>
        <w:snapToGrid w:val="0"/>
        <w:spacing w:after="0" w:line="360" w:lineRule="auto"/>
        <w:jc w:val="both"/>
        <w:rPr>
          <w:rFonts w:ascii="Book Antiqua" w:eastAsia="Book Antiqua" w:hAnsi="Book Antiqua" w:cs="Book Antiqua"/>
          <w:sz w:val="24"/>
          <w:szCs w:val="24"/>
        </w:rPr>
      </w:pPr>
    </w:p>
    <w:p w14:paraId="06290B63" w14:textId="7724A57F" w:rsidR="00092F07" w:rsidRDefault="00092F07">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63AA8A42" w14:textId="2866A564" w:rsidR="00D65AC5" w:rsidRPr="000A2A59" w:rsidRDefault="00182CBC" w:rsidP="005E5A06">
      <w:pPr>
        <w:adjustRightInd w:val="0"/>
        <w:snapToGrid w:val="0"/>
        <w:spacing w:after="0" w:line="360" w:lineRule="auto"/>
        <w:jc w:val="both"/>
        <w:rPr>
          <w:rFonts w:ascii="Book Antiqua" w:eastAsia="Book Antiqua" w:hAnsi="Book Antiqua" w:cs="Book Antiqua"/>
          <w:b/>
          <w:sz w:val="24"/>
          <w:szCs w:val="24"/>
        </w:rPr>
      </w:pPr>
      <w:r>
        <w:rPr>
          <w:noProof/>
          <w:lang w:eastAsia="zh-CN"/>
        </w:rPr>
        <w:lastRenderedPageBreak/>
        <w:drawing>
          <wp:inline distT="0" distB="0" distL="0" distR="0" wp14:anchorId="04E3C273" wp14:editId="2BDB8C52">
            <wp:extent cx="4025809" cy="2759103"/>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6476" cy="2786975"/>
                    </a:xfrm>
                    <a:prstGeom prst="rect">
                      <a:avLst/>
                    </a:prstGeom>
                  </pic:spPr>
                </pic:pic>
              </a:graphicData>
            </a:graphic>
          </wp:inline>
        </w:drawing>
      </w:r>
    </w:p>
    <w:p w14:paraId="2087026F" w14:textId="7A86E196" w:rsidR="00D65AC5" w:rsidRPr="000A2A59" w:rsidRDefault="00092F07" w:rsidP="005E5A06">
      <w:pPr>
        <w:adjustRightInd w:val="0"/>
        <w:snapToGrid w:val="0"/>
        <w:spacing w:after="0" w:line="360" w:lineRule="auto"/>
        <w:jc w:val="both"/>
        <w:rPr>
          <w:rFonts w:ascii="Book Antiqua" w:eastAsia="Book Antiqua" w:hAnsi="Book Antiqua" w:cs="Book Antiqua"/>
          <w:color w:val="000000"/>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1 The hepatic lobule-the microscopic functional structure of the liver. </w:t>
      </w:r>
      <w:r w:rsidR="00736CA5" w:rsidRPr="000A2A59">
        <w:rPr>
          <w:rFonts w:ascii="Book Antiqua" w:eastAsia="Book Antiqua" w:hAnsi="Book Antiqua" w:cs="Book Antiqua"/>
          <w:sz w:val="24"/>
          <w:szCs w:val="24"/>
        </w:rPr>
        <w:t xml:space="preserve">The hepatocytes are arranged in cordon, connecting the central vein to the portal triad, which is formed by a hepatic artery, a portal vein and a bile duct. The other represented cell types are: </w:t>
      </w:r>
      <w:r w:rsidR="00736CA5" w:rsidRPr="000A2A59">
        <w:rPr>
          <w:rFonts w:ascii="Book Antiqua" w:eastAsia="Book Antiqua" w:hAnsi="Book Antiqua" w:cs="Book Antiqua"/>
          <w:i/>
          <w:sz w:val="24"/>
          <w:szCs w:val="24"/>
        </w:rPr>
        <w:t>Kupffer cell</w:t>
      </w:r>
      <w:r w:rsidR="00736CA5" w:rsidRPr="000A2A59">
        <w:rPr>
          <w:rFonts w:ascii="Book Antiqua" w:eastAsia="Book Antiqua" w:hAnsi="Book Antiqua" w:cs="Book Antiqua"/>
          <w:sz w:val="24"/>
          <w:szCs w:val="24"/>
        </w:rPr>
        <w:t xml:space="preserve">, resident macrophages responsible for the immunologic response in the liver, and </w:t>
      </w:r>
      <w:r w:rsidR="00736CA5" w:rsidRPr="000A2A59">
        <w:rPr>
          <w:rFonts w:ascii="Book Antiqua" w:eastAsia="Book Antiqua" w:hAnsi="Book Antiqua" w:cs="Book Antiqua"/>
          <w:i/>
          <w:sz w:val="24"/>
          <w:szCs w:val="24"/>
        </w:rPr>
        <w:t xml:space="preserve">cholangiocytes </w:t>
      </w:r>
      <w:r w:rsidR="00736CA5" w:rsidRPr="000A2A59">
        <w:rPr>
          <w:rFonts w:ascii="Book Antiqua" w:eastAsia="Book Antiqua" w:hAnsi="Book Antiqua" w:cs="Book Antiqua"/>
          <w:sz w:val="24"/>
          <w:szCs w:val="24"/>
        </w:rPr>
        <w:t xml:space="preserve">which form the bile duct that transport bile </w:t>
      </w:r>
      <w:r w:rsidR="00736CA5" w:rsidRPr="000A2A59">
        <w:rPr>
          <w:rFonts w:ascii="Book Antiqua" w:eastAsia="Book Antiqua" w:hAnsi="Book Antiqua" w:cs="Book Antiqua"/>
          <w:color w:val="000000"/>
          <w:sz w:val="24"/>
          <w:szCs w:val="24"/>
        </w:rPr>
        <w:t>to the gallbladder.</w:t>
      </w:r>
    </w:p>
    <w:p w14:paraId="76752AD9" w14:textId="2C180987" w:rsidR="00182CBC" w:rsidRDefault="00182CBC">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br w:type="page"/>
      </w:r>
    </w:p>
    <w:p w14:paraId="07F9AE76" w14:textId="1A85802D" w:rsidR="00D65AC5" w:rsidRPr="000A2A59" w:rsidRDefault="00182CBC" w:rsidP="005E5A06">
      <w:pPr>
        <w:adjustRightInd w:val="0"/>
        <w:snapToGrid w:val="0"/>
        <w:spacing w:after="0" w:line="360" w:lineRule="auto"/>
        <w:jc w:val="both"/>
        <w:rPr>
          <w:rFonts w:ascii="Book Antiqua" w:eastAsia="Book Antiqua" w:hAnsi="Book Antiqua" w:cs="Book Antiqua"/>
          <w:color w:val="000000"/>
          <w:sz w:val="24"/>
          <w:szCs w:val="24"/>
        </w:rPr>
      </w:pPr>
      <w:r>
        <w:rPr>
          <w:noProof/>
          <w:lang w:eastAsia="zh-CN"/>
        </w:rPr>
        <w:lastRenderedPageBreak/>
        <w:drawing>
          <wp:inline distT="0" distB="0" distL="0" distR="0" wp14:anchorId="0E92F50C" wp14:editId="63579E83">
            <wp:extent cx="5125014" cy="2226365"/>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9794" cy="2250162"/>
                    </a:xfrm>
                    <a:prstGeom prst="rect">
                      <a:avLst/>
                    </a:prstGeom>
                  </pic:spPr>
                </pic:pic>
              </a:graphicData>
            </a:graphic>
          </wp:inline>
        </w:drawing>
      </w:r>
    </w:p>
    <w:p w14:paraId="10A6A070" w14:textId="16B3E431" w:rsidR="00D65AC5" w:rsidRPr="000A2A59" w:rsidRDefault="00182CBC"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2 The microenvironment in the hepatic lobules. </w:t>
      </w:r>
      <w:r w:rsidR="00736CA5" w:rsidRPr="00182CBC">
        <w:rPr>
          <w:rFonts w:ascii="Book Antiqua" w:eastAsia="Book Antiqua" w:hAnsi="Book Antiqua" w:cs="Book Antiqua"/>
          <w:bCs/>
          <w:sz w:val="24"/>
          <w:szCs w:val="24"/>
        </w:rPr>
        <w:t>A</w:t>
      </w:r>
      <w:r w:rsidRPr="00182CBC">
        <w:rPr>
          <w:rFonts w:ascii="宋体" w:eastAsia="宋体" w:hAnsi="宋体" w:cs="宋体" w:hint="eastAsia"/>
          <w:bCs/>
          <w:sz w:val="24"/>
          <w:szCs w:val="24"/>
          <w:lang w:eastAsia="zh-CN"/>
        </w:rPr>
        <w:t>:</w:t>
      </w:r>
      <w:r w:rsidR="00736CA5" w:rsidRPr="000A2A59">
        <w:rPr>
          <w:rFonts w:ascii="Book Antiqua" w:eastAsia="Book Antiqua" w:hAnsi="Book Antiqua" w:cs="Book Antiqua"/>
          <w:b/>
          <w:sz w:val="24"/>
          <w:szCs w:val="24"/>
        </w:rPr>
        <w:t xml:space="preserve"> </w:t>
      </w:r>
      <w:r w:rsidR="00736CA5" w:rsidRPr="000A2A59">
        <w:rPr>
          <w:rFonts w:ascii="Book Antiqua" w:eastAsia="Book Antiqua" w:hAnsi="Book Antiqua" w:cs="Book Antiqua"/>
          <w:sz w:val="24"/>
          <w:szCs w:val="24"/>
        </w:rPr>
        <w:t xml:space="preserve">Perfusion with </w:t>
      </w:r>
      <w:r w:rsidR="00BC308E" w:rsidRPr="000A2A59">
        <w:rPr>
          <w:rFonts w:ascii="Book Antiqua" w:eastAsia="Book Antiqua" w:hAnsi="Book Antiqua" w:cs="Book Antiqua"/>
          <w:sz w:val="24"/>
          <w:szCs w:val="24"/>
        </w:rPr>
        <w:t xml:space="preserve">fluorescein isothiocyanate </w:t>
      </w:r>
      <w:r w:rsidR="00736CA5" w:rsidRPr="000A2A59">
        <w:rPr>
          <w:rFonts w:ascii="Book Antiqua" w:eastAsia="Book Antiqua" w:hAnsi="Book Antiqua" w:cs="Book Antiqua"/>
          <w:sz w:val="24"/>
          <w:szCs w:val="24"/>
        </w:rPr>
        <w:t>albumin shows that the blood flow arrives in the liver by portal vein, passes throughout the sinusoidal space, and drains into the central vein</w:t>
      </w:r>
      <w:r>
        <w:rPr>
          <w:rFonts w:ascii="Book Antiqua" w:eastAsia="Book Antiqua" w:hAnsi="Book Antiqua" w:cs="Book Antiqua"/>
          <w:sz w:val="24"/>
          <w:szCs w:val="24"/>
        </w:rPr>
        <w:t>;</w:t>
      </w:r>
      <w:r w:rsidR="00736CA5" w:rsidRPr="000A2A59">
        <w:rPr>
          <w:rFonts w:ascii="Book Antiqua" w:eastAsia="Book Antiqua" w:hAnsi="Book Antiqua" w:cs="Book Antiqua"/>
          <w:b/>
          <w:sz w:val="24"/>
          <w:szCs w:val="24"/>
        </w:rPr>
        <w:t xml:space="preserve"> </w:t>
      </w:r>
      <w:r w:rsidR="00736CA5" w:rsidRPr="00182CBC">
        <w:rPr>
          <w:rFonts w:ascii="Book Antiqua" w:eastAsia="Book Antiqua" w:hAnsi="Book Antiqua" w:cs="Book Antiqua"/>
          <w:bCs/>
          <w:sz w:val="24"/>
          <w:szCs w:val="24"/>
        </w:rPr>
        <w:t>B</w:t>
      </w:r>
      <w:r w:rsidRPr="00182CBC">
        <w:rPr>
          <w:rFonts w:ascii="Book Antiqua" w:eastAsia="Book Antiqua" w:hAnsi="Book Antiqua" w:cs="Book Antiqua"/>
          <w:bCs/>
          <w:sz w:val="24"/>
          <w:szCs w:val="24"/>
        </w:rPr>
        <w:t>:</w:t>
      </w:r>
      <w:r w:rsidR="00736CA5" w:rsidRPr="000A2A59">
        <w:rPr>
          <w:rFonts w:ascii="Book Antiqua" w:eastAsia="Book Antiqua" w:hAnsi="Book Antiqua" w:cs="Book Antiqua"/>
          <w:b/>
          <w:sz w:val="24"/>
          <w:szCs w:val="24"/>
        </w:rPr>
        <w:t xml:space="preserve"> </w:t>
      </w:r>
      <w:r w:rsidR="00736CA5" w:rsidRPr="000A2A59">
        <w:rPr>
          <w:rFonts w:ascii="Book Antiqua" w:eastAsia="Book Antiqua" w:hAnsi="Book Antiqua" w:cs="Book Antiqua"/>
          <w:sz w:val="24"/>
          <w:szCs w:val="24"/>
        </w:rPr>
        <w:t>Due to this blood flux, different zones of oxygenation are observed: zone 1, closer to portal vein, is the most highly oxygenated and z</w:t>
      </w:r>
      <w:r w:rsidR="00312C5C" w:rsidRPr="000A2A59">
        <w:rPr>
          <w:rFonts w:ascii="Book Antiqua" w:eastAsia="Book Antiqua" w:hAnsi="Book Antiqua" w:cs="Book Antiqua"/>
          <w:sz w:val="24"/>
          <w:szCs w:val="24"/>
        </w:rPr>
        <w:t>one 3 is the least oxygenated. z</w:t>
      </w:r>
      <w:r w:rsidR="00736CA5" w:rsidRPr="000A2A59">
        <w:rPr>
          <w:rFonts w:ascii="Book Antiqua" w:eastAsia="Book Antiqua" w:hAnsi="Book Antiqua" w:cs="Book Antiqua"/>
          <w:sz w:val="24"/>
          <w:szCs w:val="24"/>
        </w:rPr>
        <w:t xml:space="preserve">one 2 is intermediary. The direction of bile flux is opposite to that of blood flow. The bile acids excreted by the hepatocytes go to the bile duct through the biliary canaliculous. </w:t>
      </w:r>
    </w:p>
    <w:p w14:paraId="6365ABAC" w14:textId="5023D40E" w:rsidR="00182CBC" w:rsidRDefault="00182CBC">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4E77CE29" w14:textId="712ACB8E" w:rsidR="00D65AC5" w:rsidRPr="000A2A59" w:rsidRDefault="00182CBC" w:rsidP="005E5A06">
      <w:pPr>
        <w:adjustRightInd w:val="0"/>
        <w:snapToGrid w:val="0"/>
        <w:spacing w:after="0" w:line="360" w:lineRule="auto"/>
        <w:jc w:val="both"/>
        <w:rPr>
          <w:rFonts w:ascii="Book Antiqua" w:eastAsia="Book Antiqua" w:hAnsi="Book Antiqua" w:cs="Book Antiqua"/>
          <w:b/>
          <w:sz w:val="24"/>
          <w:szCs w:val="24"/>
        </w:rPr>
      </w:pPr>
      <w:r>
        <w:rPr>
          <w:noProof/>
          <w:lang w:eastAsia="zh-CN"/>
        </w:rPr>
        <w:lastRenderedPageBreak/>
        <w:drawing>
          <wp:inline distT="0" distB="0" distL="0" distR="0" wp14:anchorId="11D002AC" wp14:editId="1429F0FD">
            <wp:extent cx="4345357" cy="24649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308" cy="2491537"/>
                    </a:xfrm>
                    <a:prstGeom prst="rect">
                      <a:avLst/>
                    </a:prstGeom>
                  </pic:spPr>
                </pic:pic>
              </a:graphicData>
            </a:graphic>
          </wp:inline>
        </w:drawing>
      </w:r>
    </w:p>
    <w:p w14:paraId="652CCB37" w14:textId="5D875D1A" w:rsidR="00D65AC5" w:rsidRPr="000A2A59" w:rsidRDefault="00182CBC"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3 Calcium signaling.</w:t>
      </w:r>
      <w:r w:rsidR="00736CA5" w:rsidRPr="000A2A59">
        <w:rPr>
          <w:rFonts w:ascii="Book Antiqua" w:eastAsia="Book Antiqua" w:hAnsi="Book Antiqua" w:cs="Book Antiqua"/>
          <w:sz w:val="24"/>
          <w:szCs w:val="24"/>
        </w:rPr>
        <w:t xml:space="preserve"> After the ligation of an agonist to its receptor, here represent by the ligation </w:t>
      </w:r>
      <w:r w:rsidR="00312C5C" w:rsidRPr="000A2A59">
        <w:rPr>
          <w:rFonts w:ascii="Book Antiqua" w:eastAsia="Book Antiqua" w:hAnsi="Book Antiqua" w:cs="Book Antiqua"/>
          <w:sz w:val="24"/>
          <w:szCs w:val="24"/>
        </w:rPr>
        <w:t>of acetylcholine</w:t>
      </w:r>
      <w:r w:rsidR="00736CA5" w:rsidRPr="000A2A59">
        <w:rPr>
          <w:rFonts w:ascii="Book Antiqua" w:eastAsia="Book Antiqua" w:hAnsi="Book Antiqua" w:cs="Book Antiqua"/>
          <w:sz w:val="24"/>
          <w:szCs w:val="24"/>
        </w:rPr>
        <w:t xml:space="preserve"> to </w:t>
      </w:r>
      <w:r w:rsidR="00312C5C" w:rsidRPr="000A2A59">
        <w:rPr>
          <w:rFonts w:ascii="Book Antiqua" w:eastAsia="Book Antiqua" w:hAnsi="Book Antiqua" w:cs="Book Antiqua"/>
          <w:sz w:val="24"/>
          <w:szCs w:val="24"/>
        </w:rPr>
        <w:t>muscarinic acetylcholine receptor</w:t>
      </w:r>
      <w:r w:rsidR="00736CA5" w:rsidRPr="000A2A59">
        <w:rPr>
          <w:rFonts w:ascii="Book Antiqua" w:eastAsia="Book Antiqua" w:hAnsi="Book Antiqua" w:cs="Book Antiqua"/>
          <w:sz w:val="24"/>
          <w:szCs w:val="24"/>
        </w:rPr>
        <w:t xml:space="preserve">, phospholipase C is activated and produces 1,4,5 inositol triphosphate. The </w:t>
      </w:r>
      <w:r w:rsidR="00312C5C" w:rsidRPr="000A2A59">
        <w:rPr>
          <w:rFonts w:ascii="Book Antiqua" w:eastAsia="Book Antiqua" w:hAnsi="Book Antiqua" w:cs="Book Antiqua"/>
          <w:sz w:val="24"/>
          <w:szCs w:val="24"/>
        </w:rPr>
        <w:t>inositol 1,4,5-trisphosphate</w:t>
      </w:r>
      <w:r w:rsidR="00736CA5" w:rsidRPr="000A2A59">
        <w:rPr>
          <w:rFonts w:ascii="Book Antiqua" w:eastAsia="Book Antiqua" w:hAnsi="Book Antiqua" w:cs="Book Antiqua"/>
          <w:sz w:val="24"/>
          <w:szCs w:val="24"/>
        </w:rPr>
        <w:t xml:space="preserve"> binds its receptor,</w:t>
      </w:r>
      <w:r w:rsidR="00312C5C" w:rsidRPr="000A2A59">
        <w:rPr>
          <w:rFonts w:ascii="Book Antiqua" w:eastAsia="Book Antiqua" w:hAnsi="Book Antiqua" w:cs="Book Antiqua"/>
          <w:sz w:val="24"/>
          <w:szCs w:val="24"/>
        </w:rPr>
        <w:t xml:space="preserve"> inositol 1,4,5-trisphosphate receptor</w:t>
      </w:r>
      <w:r w:rsidR="00736CA5" w:rsidRPr="000A2A59">
        <w:rPr>
          <w:rFonts w:ascii="Book Antiqua" w:eastAsia="Book Antiqua" w:hAnsi="Book Antiqua" w:cs="Book Antiqua"/>
          <w:sz w:val="24"/>
          <w:szCs w:val="24"/>
        </w:rPr>
        <w:t xml:space="preserve">, that is expressed mainly along the endoplasmic reticulum, leading to </w:t>
      </w:r>
      <w:r w:rsidR="00312C5C" w:rsidRPr="000A2A59">
        <w:rPr>
          <w:rFonts w:ascii="Book Antiqua" w:eastAsia="Book Antiqua" w:hAnsi="Book Antiqua" w:cs="Book Antiqua"/>
          <w:sz w:val="24"/>
          <w:szCs w:val="24"/>
        </w:rPr>
        <w:t>Ca</w:t>
      </w:r>
      <w:r w:rsidR="00312C5C" w:rsidRPr="000A2A59">
        <w:rPr>
          <w:rFonts w:ascii="Book Antiqua" w:eastAsia="Book Antiqua" w:hAnsi="Book Antiqua" w:cs="Book Antiqua"/>
          <w:sz w:val="24"/>
          <w:szCs w:val="24"/>
          <w:vertAlign w:val="superscript"/>
        </w:rPr>
        <w:t>2+</w:t>
      </w:r>
      <w:r w:rsidR="00736CA5" w:rsidRPr="000A2A59">
        <w:rPr>
          <w:rFonts w:ascii="Book Antiqua" w:eastAsia="Book Antiqua" w:hAnsi="Book Antiqua" w:cs="Book Antiqua"/>
          <w:sz w:val="24"/>
          <w:szCs w:val="24"/>
        </w:rPr>
        <w:t xml:space="preserve"> release into the cytosol.</w:t>
      </w:r>
      <w:r w:rsidRPr="00182CBC">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Ach</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Acetylcholine</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M3R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Muscarinic acetylcholine receptor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PLC</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Phospholipase C</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3</w:t>
      </w:r>
      <w:r w:rsidRPr="00182CBC">
        <w:rPr>
          <w:rFonts w:ascii="Book Antiqua" w:eastAsia="Book Antiqua" w:hAnsi="Book Antiqua" w:cs="Book Antiqua"/>
          <w:sz w:val="24"/>
          <w:szCs w:val="24"/>
        </w:rPr>
        <w:t>:</w:t>
      </w:r>
      <w:r>
        <w:rPr>
          <w:rFonts w:ascii="Book Antiqua" w:eastAsia="Book Antiqua" w:hAnsi="Book Antiqua" w:cs="Book Antiqua"/>
          <w:sz w:val="24"/>
          <w:szCs w:val="24"/>
        </w:rPr>
        <w:t xml:space="preserve"> </w:t>
      </w:r>
      <w:r w:rsidR="00943E57" w:rsidRPr="00943E57">
        <w:rPr>
          <w:rFonts w:ascii="Book Antiqua" w:eastAsia="Book Antiqua" w:hAnsi="Book Antiqua" w:cs="Book Antiqua"/>
          <w:caps/>
          <w:sz w:val="24"/>
          <w:szCs w:val="24"/>
        </w:rPr>
        <w:t>i</w:t>
      </w:r>
      <w:r w:rsidR="00943E57" w:rsidRPr="000A2A59">
        <w:rPr>
          <w:rFonts w:ascii="Book Antiqua" w:eastAsia="Book Antiqua" w:hAnsi="Book Antiqua" w:cs="Book Antiqua"/>
          <w:sz w:val="24"/>
          <w:szCs w:val="24"/>
        </w:rPr>
        <w:t xml:space="preserve">nositol </w:t>
      </w:r>
      <w:r w:rsidRPr="000A2A59">
        <w:rPr>
          <w:rFonts w:ascii="Book Antiqua" w:eastAsia="Book Antiqua" w:hAnsi="Book Antiqua" w:cs="Book Antiqua"/>
          <w:sz w:val="24"/>
          <w:szCs w:val="24"/>
        </w:rPr>
        <w:t>1,4,5-trisphosphate</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ITPR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Inositol 1,4,5-trisphosphate receptor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ER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Endoplasmic reticulum</w:t>
      </w:r>
      <w:r>
        <w:rPr>
          <w:rFonts w:ascii="Book Antiqua" w:eastAsia="Book Antiqua" w:hAnsi="Book Antiqua" w:cs="Book Antiqua"/>
          <w:sz w:val="24"/>
          <w:szCs w:val="24"/>
        </w:rPr>
        <w:t xml:space="preserve">. </w:t>
      </w:r>
    </w:p>
    <w:p w14:paraId="027CF266" w14:textId="7FDFC53D" w:rsidR="00182CBC" w:rsidRDefault="00182CBC">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0E6BD85F" w14:textId="1AF016CB" w:rsidR="00D65AC5" w:rsidRPr="000A2A59" w:rsidRDefault="00182CBC" w:rsidP="005E5A06">
      <w:pPr>
        <w:adjustRightInd w:val="0"/>
        <w:snapToGrid w:val="0"/>
        <w:spacing w:after="0" w:line="360" w:lineRule="auto"/>
        <w:jc w:val="both"/>
        <w:rPr>
          <w:rFonts w:ascii="Book Antiqua" w:eastAsia="Book Antiqua" w:hAnsi="Book Antiqua" w:cs="Book Antiqua"/>
          <w:sz w:val="24"/>
          <w:szCs w:val="24"/>
        </w:rPr>
      </w:pPr>
      <w:r>
        <w:rPr>
          <w:noProof/>
          <w:lang w:eastAsia="zh-CN"/>
        </w:rPr>
        <w:lastRenderedPageBreak/>
        <w:drawing>
          <wp:inline distT="0" distB="0" distL="0" distR="0" wp14:anchorId="07A71BF4" wp14:editId="0A9FA08E">
            <wp:extent cx="3896139" cy="3864969"/>
            <wp:effectExtent l="0" t="0" r="952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5252" cy="3883929"/>
                    </a:xfrm>
                    <a:prstGeom prst="rect">
                      <a:avLst/>
                    </a:prstGeom>
                  </pic:spPr>
                </pic:pic>
              </a:graphicData>
            </a:graphic>
          </wp:inline>
        </w:drawing>
      </w:r>
    </w:p>
    <w:p w14:paraId="5A587986" w14:textId="51F131C0" w:rsidR="00D65AC5" w:rsidRPr="000A2A59" w:rsidRDefault="00182CBC" w:rsidP="005E5A06">
      <w:pPr>
        <w:adjustRightInd w:val="0"/>
        <w:snapToGrid w:val="0"/>
        <w:spacing w:after="0" w:line="360" w:lineRule="auto"/>
        <w:jc w:val="both"/>
        <w:rPr>
          <w:rFonts w:ascii="Book Antiqua" w:eastAsia="Book Antiqua" w:hAnsi="Book Antiqua" w:cs="Book Antiqua"/>
          <w:i/>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4 </w:t>
      </w:r>
      <w:r w:rsidR="00F2339B" w:rsidRPr="000A2A59">
        <w:rPr>
          <w:rFonts w:ascii="Book Antiqua" w:eastAsia="Book Antiqua" w:hAnsi="Book Antiqua" w:cs="Book Antiqua"/>
          <w:b/>
          <w:sz w:val="24"/>
          <w:szCs w:val="24"/>
        </w:rPr>
        <w:t>Inositol 1,4,5-trisphosphate receptor</w:t>
      </w:r>
      <w:r w:rsidR="00736CA5" w:rsidRPr="000A2A59">
        <w:rPr>
          <w:rFonts w:ascii="Book Antiqua" w:eastAsia="Book Antiqua" w:hAnsi="Book Antiqua" w:cs="Book Antiqua"/>
          <w:b/>
          <w:sz w:val="24"/>
          <w:szCs w:val="24"/>
        </w:rPr>
        <w:t xml:space="preserve"> structure. </w:t>
      </w:r>
      <w:r w:rsidR="00736CA5" w:rsidRPr="000A2A59">
        <w:rPr>
          <w:rFonts w:ascii="Book Antiqua" w:eastAsia="Book Antiqua" w:hAnsi="Book Antiqua" w:cs="Book Antiqua"/>
          <w:sz w:val="24"/>
          <w:szCs w:val="24"/>
        </w:rPr>
        <w:t>A</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Linear structure of </w:t>
      </w:r>
      <w:r w:rsidR="00F2339B" w:rsidRPr="000A2A59">
        <w:rPr>
          <w:rFonts w:ascii="Book Antiqua" w:eastAsia="Book Antiqua" w:hAnsi="Book Antiqua" w:cs="Book Antiqua"/>
          <w:sz w:val="24"/>
          <w:szCs w:val="24"/>
        </w:rPr>
        <w:t>inositol 1,4,5-trisphosphate receptor (</w:t>
      </w:r>
      <w:r w:rsidR="00736CA5" w:rsidRPr="000A2A59">
        <w:rPr>
          <w:rFonts w:ascii="Book Antiqua" w:eastAsia="Book Antiqua" w:hAnsi="Book Antiqua" w:cs="Book Antiqua"/>
          <w:sz w:val="24"/>
          <w:szCs w:val="24"/>
        </w:rPr>
        <w:t>ITPR</w:t>
      </w:r>
      <w:r w:rsidR="00F2339B" w:rsidRPr="000A2A59">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The </w:t>
      </w:r>
      <w:r w:rsidR="00F2339B" w:rsidRPr="000A2A59">
        <w:rPr>
          <w:rFonts w:ascii="Book Antiqua" w:eastAsia="Book Antiqua" w:hAnsi="Book Antiqua" w:cs="Book Antiqua"/>
          <w:sz w:val="24"/>
          <w:szCs w:val="24"/>
        </w:rPr>
        <w:t>inositol 1,4,5-trisphosphate (</w:t>
      </w:r>
      <w:r w:rsidR="00736CA5" w:rsidRPr="000A2A59">
        <w:rPr>
          <w:rFonts w:ascii="Book Antiqua" w:eastAsia="Book Antiqua" w:hAnsi="Book Antiqua" w:cs="Book Antiqua"/>
          <w:sz w:val="24"/>
          <w:szCs w:val="24"/>
        </w:rPr>
        <w:t>InsP3</w:t>
      </w:r>
      <w:r w:rsidR="00F2339B" w:rsidRPr="000A2A59">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-binding domain is located on the N-terminal region and the pore channel is on the C-terminal region. The receptor spans organelle membrane </w:t>
      </w:r>
      <w:r w:rsidR="00F2339B" w:rsidRPr="000A2A59">
        <w:rPr>
          <w:rFonts w:ascii="Book Antiqua" w:eastAsia="Book Antiqua" w:hAnsi="Book Antiqua" w:cs="Book Antiqua"/>
          <w:sz w:val="24"/>
          <w:szCs w:val="24"/>
        </w:rPr>
        <w:t>six</w:t>
      </w:r>
      <w:r w:rsidR="00736CA5" w:rsidRPr="000A2A59">
        <w:rPr>
          <w:rFonts w:ascii="Book Antiqua" w:eastAsia="Book Antiqua" w:hAnsi="Book Antiqua" w:cs="Book Antiqua"/>
          <w:sz w:val="24"/>
          <w:szCs w:val="24"/>
        </w:rPr>
        <w:t xml:space="preserve"> times</w:t>
      </w:r>
      <w:r w:rsidR="00EF6F75">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B</w:t>
      </w:r>
      <w:r w:rsidR="00EF6F75">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r w:rsidR="00F2339B" w:rsidRPr="000A2A59">
        <w:rPr>
          <w:rFonts w:ascii="Book Antiqua" w:eastAsia="Book Antiqua" w:hAnsi="Book Antiqua" w:cs="Book Antiqua"/>
          <w:sz w:val="24"/>
          <w:szCs w:val="24"/>
        </w:rPr>
        <w:t>Tridimensional</w:t>
      </w:r>
      <w:r w:rsidR="00736CA5" w:rsidRPr="000A2A59">
        <w:rPr>
          <w:rFonts w:ascii="Book Antiqua" w:eastAsia="Book Antiqua" w:hAnsi="Book Antiqua" w:cs="Book Antiqua"/>
          <w:sz w:val="24"/>
          <w:szCs w:val="24"/>
        </w:rPr>
        <w:t xml:space="preserve"> view of ITPR showing that the receptor is formed by a 4 single chain. It is necessary that four InsP3 molecules bind to the receptor to lead the cal</w:t>
      </w:r>
      <w:r w:rsidR="00A70307" w:rsidRPr="000A2A59">
        <w:rPr>
          <w:rFonts w:ascii="Book Antiqua" w:eastAsia="Book Antiqua" w:hAnsi="Book Antiqua" w:cs="Book Antiqua"/>
          <w:sz w:val="24"/>
          <w:szCs w:val="24"/>
        </w:rPr>
        <w:t xml:space="preserve">cium releases by a pore of the </w:t>
      </w:r>
      <w:r w:rsidR="00736CA5" w:rsidRPr="000A2A59">
        <w:rPr>
          <w:rFonts w:ascii="Book Antiqua" w:eastAsia="Book Antiqua" w:hAnsi="Book Antiqua" w:cs="Book Antiqua"/>
          <w:sz w:val="24"/>
          <w:szCs w:val="24"/>
        </w:rPr>
        <w:t xml:space="preserve">channel. The </w:t>
      </w:r>
      <w:r w:rsidR="00F2339B" w:rsidRPr="000A2A59">
        <w:rPr>
          <w:rFonts w:ascii="Book Antiqua" w:eastAsia="Book Antiqua" w:hAnsi="Book Antiqua" w:cs="Book Antiqua"/>
          <w:sz w:val="24"/>
          <w:szCs w:val="24"/>
        </w:rPr>
        <w:t>tridimensional</w:t>
      </w:r>
      <w:r w:rsidR="00736CA5" w:rsidRPr="000A2A59">
        <w:rPr>
          <w:rFonts w:ascii="Book Antiqua" w:eastAsia="Book Antiqua" w:hAnsi="Book Antiqua" w:cs="Book Antiqua"/>
          <w:sz w:val="24"/>
          <w:szCs w:val="24"/>
        </w:rPr>
        <w:t xml:space="preserve"> structure was adapted from </w:t>
      </w:r>
      <w:r w:rsidR="00F2339B" w:rsidRPr="000A2A59">
        <w:rPr>
          <w:rFonts w:ascii="Book Antiqua" w:eastAsia="Book Antiqua" w:hAnsi="Book Antiqua" w:cs="Book Antiqua"/>
          <w:sz w:val="24"/>
          <w:szCs w:val="24"/>
        </w:rPr>
        <w:t>Molecular Modeling Database</w:t>
      </w:r>
      <w:r w:rsidR="00D20136" w:rsidRPr="000A2A59">
        <w:rPr>
          <w:rFonts w:ascii="Book Antiqua" w:eastAsia="Book Antiqua" w:hAnsi="Book Antiqua" w:cs="Book Antiqua"/>
          <w:sz w:val="24"/>
          <w:szCs w:val="24"/>
        </w:rPr>
        <w:t xml:space="preserve"> (National Center for Biotechnology Information). ER: </w:t>
      </w:r>
      <w:r w:rsidR="00EF6F75" w:rsidRPr="000A2A59">
        <w:rPr>
          <w:rFonts w:ascii="Book Antiqua" w:eastAsia="Book Antiqua" w:hAnsi="Book Antiqua" w:cs="Book Antiqua"/>
          <w:sz w:val="24"/>
          <w:szCs w:val="24"/>
        </w:rPr>
        <w:t>E</w:t>
      </w:r>
      <w:r w:rsidR="00D20136" w:rsidRPr="000A2A59">
        <w:rPr>
          <w:rFonts w:ascii="Book Antiqua" w:eastAsia="Book Antiqua" w:hAnsi="Book Antiqua" w:cs="Book Antiqua"/>
          <w:sz w:val="24"/>
          <w:szCs w:val="24"/>
        </w:rPr>
        <w:t xml:space="preserve">ndoplasmic reticulum; </w:t>
      </w:r>
      <w:r w:rsidR="00EF6F75" w:rsidRPr="000A2A59">
        <w:rPr>
          <w:rFonts w:ascii="Book Antiqua" w:eastAsia="Book Antiqua" w:hAnsi="Book Antiqua" w:cs="Book Antiqua"/>
          <w:sz w:val="24"/>
          <w:szCs w:val="24"/>
        </w:rPr>
        <w:t>ITPR</w:t>
      </w:r>
      <w:r w:rsidR="00EF6F75">
        <w:rPr>
          <w:rFonts w:ascii="Book Antiqua" w:eastAsia="Book Antiqua" w:hAnsi="Book Antiqua" w:cs="Book Antiqua"/>
          <w:sz w:val="24"/>
          <w:szCs w:val="24"/>
        </w:rPr>
        <w:t xml:space="preserve">: </w:t>
      </w:r>
      <w:r w:rsidR="00EF6F75" w:rsidRPr="000A2A59">
        <w:rPr>
          <w:rFonts w:ascii="Book Antiqua" w:eastAsia="Book Antiqua" w:hAnsi="Book Antiqua" w:cs="Book Antiqua"/>
          <w:sz w:val="24"/>
          <w:szCs w:val="24"/>
        </w:rPr>
        <w:t>Inositol 1,4,5-trisphosphate receptor</w:t>
      </w:r>
      <w:r w:rsidR="00EF6F75">
        <w:rPr>
          <w:rFonts w:ascii="Book Antiqua" w:eastAsia="Book Antiqua" w:hAnsi="Book Antiqua" w:cs="Book Antiqua"/>
          <w:sz w:val="24"/>
          <w:szCs w:val="24"/>
        </w:rPr>
        <w:t xml:space="preserve">; </w:t>
      </w:r>
      <w:r w:rsidR="00D20136" w:rsidRPr="000A2A59">
        <w:rPr>
          <w:rFonts w:ascii="Book Antiqua" w:eastAsia="Book Antiqua" w:hAnsi="Book Antiqua" w:cs="Book Antiqua"/>
          <w:sz w:val="24"/>
          <w:szCs w:val="24"/>
        </w:rPr>
        <w:t xml:space="preserve">NR: </w:t>
      </w:r>
      <w:r w:rsidR="00EF6F75" w:rsidRPr="000A2A59">
        <w:rPr>
          <w:rFonts w:ascii="Book Antiqua" w:eastAsia="Book Antiqua" w:hAnsi="Book Antiqua" w:cs="Book Antiqua"/>
          <w:sz w:val="24"/>
          <w:szCs w:val="24"/>
        </w:rPr>
        <w:t>N</w:t>
      </w:r>
      <w:r w:rsidR="00D20136" w:rsidRPr="000A2A59">
        <w:rPr>
          <w:rFonts w:ascii="Book Antiqua" w:eastAsia="Book Antiqua" w:hAnsi="Book Antiqua" w:cs="Book Antiqua"/>
          <w:sz w:val="24"/>
          <w:szCs w:val="24"/>
        </w:rPr>
        <w:t>ucleoplasmic reticulum.</w:t>
      </w:r>
    </w:p>
    <w:p w14:paraId="0F3ADF53" w14:textId="3323D14A" w:rsidR="00EF6F75" w:rsidRDefault="00EF6F75">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14:paraId="60963E3B" w14:textId="424208D6" w:rsidR="00D65AC5" w:rsidRPr="000A2A59" w:rsidRDefault="00EF6F75" w:rsidP="005E5A06">
      <w:pPr>
        <w:adjustRightInd w:val="0"/>
        <w:snapToGrid w:val="0"/>
        <w:spacing w:after="0" w:line="360" w:lineRule="auto"/>
        <w:jc w:val="both"/>
        <w:rPr>
          <w:rFonts w:ascii="Book Antiqua" w:eastAsia="Book Antiqua" w:hAnsi="Book Antiqua" w:cs="Book Antiqua"/>
          <w:b/>
          <w:sz w:val="24"/>
          <w:szCs w:val="24"/>
        </w:rPr>
      </w:pPr>
      <w:r>
        <w:rPr>
          <w:noProof/>
          <w:lang w:eastAsia="zh-CN"/>
        </w:rPr>
        <w:lastRenderedPageBreak/>
        <w:drawing>
          <wp:inline distT="0" distB="0" distL="0" distR="0" wp14:anchorId="7A59C0B2" wp14:editId="721E74C4">
            <wp:extent cx="4094205" cy="5478367"/>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0444" cy="5486715"/>
                    </a:xfrm>
                    <a:prstGeom prst="rect">
                      <a:avLst/>
                    </a:prstGeom>
                  </pic:spPr>
                </pic:pic>
              </a:graphicData>
            </a:graphic>
          </wp:inline>
        </w:drawing>
      </w:r>
    </w:p>
    <w:p w14:paraId="7EDE376B" w14:textId="45D11256" w:rsidR="00D65AC5" w:rsidRDefault="00EF6F7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5 </w:t>
      </w:r>
      <w:r w:rsidR="00321BD1" w:rsidRPr="000A2A59">
        <w:rPr>
          <w:rFonts w:ascii="Book Antiqua" w:eastAsia="Book Antiqua" w:hAnsi="Book Antiqua" w:cs="Book Antiqua"/>
          <w:b/>
          <w:sz w:val="24"/>
          <w:szCs w:val="24"/>
        </w:rPr>
        <w:t>Inositol 1,4,5-trisphosphate receptors</w:t>
      </w:r>
      <w:r w:rsidR="00736CA5" w:rsidRPr="000A2A59">
        <w:rPr>
          <w:rFonts w:ascii="Book Antiqua" w:eastAsia="Book Antiqua" w:hAnsi="Book Antiqua" w:cs="Book Antiqua"/>
          <w:b/>
          <w:sz w:val="24"/>
          <w:szCs w:val="24"/>
        </w:rPr>
        <w:t xml:space="preserve"> in the liver: </w:t>
      </w:r>
      <w:r w:rsidRPr="000A2A59">
        <w:rPr>
          <w:rFonts w:ascii="Book Antiqua" w:eastAsia="Book Antiqua" w:hAnsi="Book Antiqua" w:cs="Book Antiqua"/>
          <w:b/>
          <w:sz w:val="24"/>
          <w:szCs w:val="24"/>
        </w:rPr>
        <w:t>E</w:t>
      </w:r>
      <w:r w:rsidR="00736CA5" w:rsidRPr="000A2A59">
        <w:rPr>
          <w:rFonts w:ascii="Book Antiqua" w:eastAsia="Book Antiqua" w:hAnsi="Book Antiqua" w:cs="Book Antiqua"/>
          <w:b/>
          <w:sz w:val="24"/>
          <w:szCs w:val="24"/>
        </w:rPr>
        <w:t xml:space="preserve">xpression and functions. </w:t>
      </w:r>
      <w:r w:rsidR="00736CA5" w:rsidRPr="000A2A59">
        <w:rPr>
          <w:rFonts w:ascii="Book Antiqua" w:eastAsia="Book Antiqua" w:hAnsi="Book Antiqua" w:cs="Book Antiqua"/>
          <w:sz w:val="24"/>
          <w:szCs w:val="24"/>
        </w:rPr>
        <w:t xml:space="preserve">This figure summarizes, in green, </w:t>
      </w:r>
      <w:r w:rsidR="00321BD1" w:rsidRPr="000A2A59">
        <w:rPr>
          <w:rFonts w:ascii="Book Antiqua" w:eastAsia="Book Antiqua" w:hAnsi="Book Antiqua" w:cs="Book Antiqua"/>
          <w:sz w:val="24"/>
          <w:szCs w:val="24"/>
        </w:rPr>
        <w:t>Inositol 1,4,5-trisphosphate receptor (ITPR)</w:t>
      </w:r>
      <w:r w:rsidR="00736CA5" w:rsidRPr="000A2A59">
        <w:rPr>
          <w:rFonts w:ascii="Book Antiqua" w:eastAsia="Book Antiqua" w:hAnsi="Book Antiqua" w:cs="Book Antiqua"/>
          <w:sz w:val="24"/>
          <w:szCs w:val="24"/>
        </w:rPr>
        <w:t xml:space="preserve"> isoform expression in hepatocytes and cholangiocytes under physiological condition, and in red the expression level and function of each ITPR isoform in liver diseases.</w:t>
      </w:r>
      <w:r w:rsidR="00321BD1" w:rsidRPr="000A2A59">
        <w:rPr>
          <w:rFonts w:ascii="Book Antiqua" w:eastAsia="Book Antiqua" w:hAnsi="Book Antiqua" w:cs="Book Antiqua"/>
          <w:sz w:val="24"/>
          <w:szCs w:val="24"/>
        </w:rPr>
        <w:t xml:space="preserve"> ITPR1: ITPR isoform 1; ITPR2: ITPR isoform 2; ITPR3: ITPR isoform 3; ER: </w:t>
      </w:r>
      <w:r w:rsidRPr="000A2A59">
        <w:rPr>
          <w:rFonts w:ascii="Book Antiqua" w:eastAsia="Book Antiqua" w:hAnsi="Book Antiqua" w:cs="Book Antiqua"/>
          <w:sz w:val="24"/>
          <w:szCs w:val="24"/>
        </w:rPr>
        <w:t>E</w:t>
      </w:r>
      <w:r w:rsidR="00321BD1" w:rsidRPr="000A2A59">
        <w:rPr>
          <w:rFonts w:ascii="Book Antiqua" w:eastAsia="Book Antiqua" w:hAnsi="Book Antiqua" w:cs="Book Antiqua"/>
          <w:sz w:val="24"/>
          <w:szCs w:val="24"/>
        </w:rPr>
        <w:t xml:space="preserve">ndoplasmic reticulum; NAFLD: Non-alcoholic fatty liver disease; HCC: </w:t>
      </w:r>
      <w:r w:rsidRPr="000A2A59">
        <w:rPr>
          <w:rFonts w:ascii="Book Antiqua" w:eastAsia="Book Antiqua" w:hAnsi="Book Antiqua" w:cs="Book Antiqua"/>
          <w:sz w:val="24"/>
          <w:szCs w:val="24"/>
        </w:rPr>
        <w:t>H</w:t>
      </w:r>
      <w:r w:rsidR="00321BD1" w:rsidRPr="000A2A59">
        <w:rPr>
          <w:rFonts w:ascii="Book Antiqua" w:eastAsia="Book Antiqua" w:hAnsi="Book Antiqua" w:cs="Book Antiqua"/>
          <w:sz w:val="24"/>
          <w:szCs w:val="24"/>
        </w:rPr>
        <w:t>epatocellular carcinoma</w:t>
      </w:r>
      <w:r>
        <w:rPr>
          <w:rFonts w:ascii="Book Antiqua" w:eastAsia="Book Antiqua" w:hAnsi="Book Antiqua" w:cs="Book Antiqua"/>
          <w:sz w:val="24"/>
          <w:szCs w:val="24"/>
        </w:rPr>
        <w:t>.</w:t>
      </w:r>
    </w:p>
    <w:p w14:paraId="22478D61" w14:textId="232038F0" w:rsidR="00EF6F75" w:rsidRDefault="00EF6F75">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4C5B7C1B" w14:textId="5FE2D70C" w:rsidR="005E5A06" w:rsidRPr="005E5A06" w:rsidRDefault="005E5A06" w:rsidP="005E5A06">
      <w:pPr>
        <w:adjustRightInd w:val="0"/>
        <w:snapToGrid w:val="0"/>
        <w:spacing w:after="0" w:line="360" w:lineRule="auto"/>
        <w:jc w:val="both"/>
        <w:rPr>
          <w:rFonts w:ascii="Book Antiqua" w:eastAsia="Book Antiqua" w:hAnsi="Book Antiqua" w:cs="Book Antiqua"/>
          <w:b/>
          <w:sz w:val="24"/>
          <w:szCs w:val="24"/>
        </w:rPr>
      </w:pPr>
      <w:r w:rsidRPr="005E5A06">
        <w:rPr>
          <w:rFonts w:ascii="Book Antiqua" w:eastAsia="Book Antiqua" w:hAnsi="Book Antiqua" w:cs="Book Antiqua"/>
          <w:b/>
          <w:sz w:val="24"/>
          <w:szCs w:val="24"/>
        </w:rPr>
        <w:lastRenderedPageBreak/>
        <w:t xml:space="preserve">Table 1 Functions of inositol 1,4,5-trisphosphate receptor isoforms in hepatocytes and cholangiocytes </w:t>
      </w:r>
    </w:p>
    <w:tbl>
      <w:tblPr>
        <w:tblStyle w:val="ac"/>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857"/>
        <w:gridCol w:w="4235"/>
        <w:gridCol w:w="1209"/>
      </w:tblGrid>
      <w:tr w:rsidR="005E5A06" w:rsidRPr="005E5A06" w14:paraId="418CDC88" w14:textId="77777777" w:rsidTr="006F494E">
        <w:trPr>
          <w:cantSplit/>
          <w:trHeight w:val="599"/>
        </w:trPr>
        <w:tc>
          <w:tcPr>
            <w:tcW w:w="1727" w:type="dxa"/>
            <w:tcBorders>
              <w:top w:val="single" w:sz="4" w:space="0" w:color="auto"/>
              <w:bottom w:val="single" w:sz="4" w:space="0" w:color="auto"/>
            </w:tcBorders>
            <w:vAlign w:val="center"/>
          </w:tcPr>
          <w:p w14:paraId="6CB4FC23" w14:textId="77777777"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ITPR isoform</w:t>
            </w:r>
          </w:p>
        </w:tc>
        <w:tc>
          <w:tcPr>
            <w:tcW w:w="1857" w:type="dxa"/>
            <w:tcBorders>
              <w:top w:val="single" w:sz="4" w:space="0" w:color="auto"/>
              <w:bottom w:val="single" w:sz="4" w:space="0" w:color="auto"/>
            </w:tcBorders>
            <w:vAlign w:val="center"/>
          </w:tcPr>
          <w:p w14:paraId="7639ACDE" w14:textId="77777777"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Cell type</w:t>
            </w:r>
          </w:p>
        </w:tc>
        <w:tc>
          <w:tcPr>
            <w:tcW w:w="4235" w:type="dxa"/>
            <w:tcBorders>
              <w:top w:val="single" w:sz="4" w:space="0" w:color="auto"/>
              <w:bottom w:val="single" w:sz="4" w:space="0" w:color="auto"/>
            </w:tcBorders>
            <w:vAlign w:val="center"/>
          </w:tcPr>
          <w:p w14:paraId="1DA9BF0E" w14:textId="77777777"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Function</w:t>
            </w:r>
          </w:p>
        </w:tc>
        <w:tc>
          <w:tcPr>
            <w:tcW w:w="1209" w:type="dxa"/>
            <w:tcBorders>
              <w:top w:val="single" w:sz="4" w:space="0" w:color="auto"/>
              <w:bottom w:val="single" w:sz="4" w:space="0" w:color="auto"/>
            </w:tcBorders>
            <w:vAlign w:val="center"/>
          </w:tcPr>
          <w:p w14:paraId="1413400D" w14:textId="0E98E1A4"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Ref</w:t>
            </w:r>
            <w:r w:rsidR="004C6C32">
              <w:rPr>
                <w:rFonts w:ascii="Book Antiqua" w:hAnsi="Book Antiqua"/>
                <w:b/>
              </w:rPr>
              <w:t>.</w:t>
            </w:r>
          </w:p>
        </w:tc>
      </w:tr>
      <w:tr w:rsidR="004C6C32" w:rsidRPr="005E5A06" w14:paraId="37F7822A" w14:textId="77777777" w:rsidTr="006F494E">
        <w:trPr>
          <w:cantSplit/>
          <w:trHeight w:val="520"/>
        </w:trPr>
        <w:tc>
          <w:tcPr>
            <w:tcW w:w="1727" w:type="dxa"/>
            <w:vMerge w:val="restart"/>
            <w:tcBorders>
              <w:top w:val="single" w:sz="4" w:space="0" w:color="auto"/>
            </w:tcBorders>
            <w:vAlign w:val="center"/>
          </w:tcPr>
          <w:p w14:paraId="53F534E2"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ITPR1</w:t>
            </w:r>
          </w:p>
        </w:tc>
        <w:tc>
          <w:tcPr>
            <w:tcW w:w="1857" w:type="dxa"/>
            <w:vMerge w:val="restart"/>
            <w:tcBorders>
              <w:top w:val="single" w:sz="4" w:space="0" w:color="auto"/>
            </w:tcBorders>
            <w:vAlign w:val="center"/>
          </w:tcPr>
          <w:p w14:paraId="00FA9607"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Hepatocytes</w:t>
            </w:r>
          </w:p>
        </w:tc>
        <w:tc>
          <w:tcPr>
            <w:tcW w:w="4235" w:type="dxa"/>
            <w:tcBorders>
              <w:top w:val="single" w:sz="4" w:space="0" w:color="auto"/>
            </w:tcBorders>
            <w:vAlign w:val="center"/>
          </w:tcPr>
          <w:p w14:paraId="465B27C3" w14:textId="63F2593D"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Glucose secretion</w:t>
            </w:r>
          </w:p>
        </w:tc>
        <w:tc>
          <w:tcPr>
            <w:tcW w:w="1209" w:type="dxa"/>
            <w:tcBorders>
              <w:top w:val="single" w:sz="4" w:space="0" w:color="auto"/>
            </w:tcBorders>
            <w:vAlign w:val="center"/>
          </w:tcPr>
          <w:p w14:paraId="50CBDD59" w14:textId="63566654"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[64]</w:t>
            </w:r>
          </w:p>
        </w:tc>
      </w:tr>
      <w:tr w:rsidR="004C6C32" w:rsidRPr="005E5A06" w14:paraId="6BA8AD9A" w14:textId="77777777" w:rsidTr="006F494E">
        <w:trPr>
          <w:cantSplit/>
          <w:trHeight w:val="340"/>
        </w:trPr>
        <w:tc>
          <w:tcPr>
            <w:tcW w:w="1727" w:type="dxa"/>
            <w:vMerge/>
            <w:vAlign w:val="center"/>
          </w:tcPr>
          <w:p w14:paraId="66D09BAE"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6BF14723"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2242FD42" w14:textId="04A0974F"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Lipid metabolism</w:t>
            </w:r>
          </w:p>
        </w:tc>
        <w:tc>
          <w:tcPr>
            <w:tcW w:w="1209" w:type="dxa"/>
            <w:vAlign w:val="center"/>
          </w:tcPr>
          <w:p w14:paraId="7EFA840C" w14:textId="1FD96FAB"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[63,65]</w:t>
            </w:r>
          </w:p>
        </w:tc>
      </w:tr>
      <w:tr w:rsidR="004C6C32" w:rsidRPr="005E5A06" w14:paraId="4D18833E" w14:textId="77777777" w:rsidTr="006F494E">
        <w:trPr>
          <w:cantSplit/>
          <w:trHeight w:val="454"/>
        </w:trPr>
        <w:tc>
          <w:tcPr>
            <w:tcW w:w="1727" w:type="dxa"/>
            <w:vMerge/>
            <w:vAlign w:val="center"/>
          </w:tcPr>
          <w:p w14:paraId="77D1AA9F"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418B9ECE"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24582738" w14:textId="1D0B6D26"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Liver regeneration</w:t>
            </w:r>
          </w:p>
        </w:tc>
        <w:tc>
          <w:tcPr>
            <w:tcW w:w="1209" w:type="dxa"/>
            <w:vAlign w:val="center"/>
          </w:tcPr>
          <w:p w14:paraId="64E555C6" w14:textId="5BE67D41"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[66,67]</w:t>
            </w:r>
          </w:p>
        </w:tc>
      </w:tr>
      <w:tr w:rsidR="005E5A06" w:rsidRPr="005E5A06" w14:paraId="624ACF83" w14:textId="77777777" w:rsidTr="006F494E">
        <w:trPr>
          <w:cantSplit/>
          <w:trHeight w:val="431"/>
        </w:trPr>
        <w:tc>
          <w:tcPr>
            <w:tcW w:w="1727" w:type="dxa"/>
            <w:vMerge/>
            <w:vAlign w:val="center"/>
          </w:tcPr>
          <w:p w14:paraId="2D494F23" w14:textId="77777777" w:rsidR="005E5A06" w:rsidRPr="004C6C32" w:rsidRDefault="005E5A06" w:rsidP="005E5A06">
            <w:pPr>
              <w:adjustRightInd w:val="0"/>
              <w:snapToGrid w:val="0"/>
              <w:spacing w:line="360" w:lineRule="auto"/>
              <w:jc w:val="both"/>
              <w:rPr>
                <w:rFonts w:ascii="Book Antiqua" w:hAnsi="Book Antiqua"/>
                <w:bCs/>
              </w:rPr>
            </w:pPr>
          </w:p>
        </w:tc>
        <w:tc>
          <w:tcPr>
            <w:tcW w:w="1857" w:type="dxa"/>
            <w:vAlign w:val="center"/>
          </w:tcPr>
          <w:p w14:paraId="706DCF4C" w14:textId="77777777" w:rsidR="005E5A06" w:rsidRPr="004C6C32" w:rsidRDefault="005E5A06" w:rsidP="005E5A06">
            <w:pPr>
              <w:adjustRightInd w:val="0"/>
              <w:snapToGrid w:val="0"/>
              <w:spacing w:line="360" w:lineRule="auto"/>
              <w:jc w:val="both"/>
              <w:rPr>
                <w:rFonts w:ascii="Book Antiqua" w:hAnsi="Book Antiqua"/>
                <w:bCs/>
              </w:rPr>
            </w:pPr>
            <w:r w:rsidRPr="004C6C32">
              <w:rPr>
                <w:rFonts w:ascii="Book Antiqua" w:hAnsi="Book Antiqua"/>
                <w:bCs/>
              </w:rPr>
              <w:t>Cholangiocytes</w:t>
            </w:r>
          </w:p>
        </w:tc>
        <w:tc>
          <w:tcPr>
            <w:tcW w:w="4235" w:type="dxa"/>
            <w:vAlign w:val="center"/>
          </w:tcPr>
          <w:p w14:paraId="3FB691CB" w14:textId="77777777" w:rsidR="005E5A06" w:rsidRPr="004C6C32" w:rsidRDefault="005E5A06" w:rsidP="005E5A06">
            <w:pPr>
              <w:adjustRightInd w:val="0"/>
              <w:snapToGrid w:val="0"/>
              <w:spacing w:line="360" w:lineRule="auto"/>
              <w:jc w:val="both"/>
              <w:rPr>
                <w:rFonts w:ascii="Book Antiqua" w:hAnsi="Book Antiqua"/>
                <w:bCs/>
              </w:rPr>
            </w:pPr>
            <w:r w:rsidRPr="004C6C32">
              <w:rPr>
                <w:rFonts w:ascii="Book Antiqua" w:eastAsia="Book Antiqua" w:hAnsi="Book Antiqua" w:cs="Book Antiqua"/>
                <w:bCs/>
              </w:rPr>
              <w:t>Bicarbonate secretion</w:t>
            </w:r>
          </w:p>
        </w:tc>
        <w:tc>
          <w:tcPr>
            <w:tcW w:w="1209" w:type="dxa"/>
            <w:vAlign w:val="center"/>
          </w:tcPr>
          <w:p w14:paraId="5A03E3E6" w14:textId="523D0FA2" w:rsidR="005E5A06"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w:t>
            </w:r>
            <w:r w:rsidR="005E5A06" w:rsidRPr="006F494E">
              <w:rPr>
                <w:rFonts w:ascii="Book Antiqua" w:hAnsi="Book Antiqua"/>
                <w:bCs/>
              </w:rPr>
              <w:t>12,61</w:t>
            </w:r>
            <w:r w:rsidRPr="006F494E">
              <w:rPr>
                <w:rFonts w:ascii="Book Antiqua" w:hAnsi="Book Antiqua"/>
                <w:bCs/>
              </w:rPr>
              <w:t>]</w:t>
            </w:r>
          </w:p>
        </w:tc>
      </w:tr>
      <w:tr w:rsidR="004C6C32" w:rsidRPr="005E5A06" w14:paraId="648D62D8" w14:textId="77777777" w:rsidTr="006F494E">
        <w:trPr>
          <w:cantSplit/>
          <w:trHeight w:val="455"/>
        </w:trPr>
        <w:tc>
          <w:tcPr>
            <w:tcW w:w="1727" w:type="dxa"/>
            <w:vMerge w:val="restart"/>
            <w:vAlign w:val="center"/>
          </w:tcPr>
          <w:p w14:paraId="6B07B013"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ITPR2</w:t>
            </w:r>
          </w:p>
          <w:p w14:paraId="20FAC0CA"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restart"/>
            <w:vAlign w:val="center"/>
          </w:tcPr>
          <w:p w14:paraId="4EC2D0D6"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Hepatocytes</w:t>
            </w:r>
          </w:p>
        </w:tc>
        <w:tc>
          <w:tcPr>
            <w:tcW w:w="4235" w:type="dxa"/>
            <w:vAlign w:val="center"/>
          </w:tcPr>
          <w:p w14:paraId="4D1EF8C8" w14:textId="5ECA9BE1"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Organic anion secretion</w:t>
            </w:r>
          </w:p>
        </w:tc>
        <w:tc>
          <w:tcPr>
            <w:tcW w:w="1209" w:type="dxa"/>
            <w:vAlign w:val="center"/>
          </w:tcPr>
          <w:p w14:paraId="47460728" w14:textId="1DCAEF1E"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[6,62,69]</w:t>
            </w:r>
          </w:p>
        </w:tc>
      </w:tr>
      <w:tr w:rsidR="004C6C32" w:rsidRPr="005E5A06" w14:paraId="630FA290" w14:textId="77777777" w:rsidTr="006F494E">
        <w:trPr>
          <w:cantSplit/>
          <w:trHeight w:val="431"/>
        </w:trPr>
        <w:tc>
          <w:tcPr>
            <w:tcW w:w="1727" w:type="dxa"/>
            <w:vMerge/>
            <w:vAlign w:val="center"/>
          </w:tcPr>
          <w:p w14:paraId="30DCBA68"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1EE7F855"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442E9278" w14:textId="2E4388FE"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Liver regeneration</w:t>
            </w:r>
          </w:p>
        </w:tc>
        <w:tc>
          <w:tcPr>
            <w:tcW w:w="1209" w:type="dxa"/>
            <w:vAlign w:val="center"/>
          </w:tcPr>
          <w:p w14:paraId="49B5EB45" w14:textId="046372C7"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[13,71]</w:t>
            </w:r>
          </w:p>
        </w:tc>
      </w:tr>
      <w:tr w:rsidR="005E5A06" w:rsidRPr="005E5A06" w14:paraId="7800E39B" w14:textId="77777777" w:rsidTr="006F494E">
        <w:trPr>
          <w:cantSplit/>
          <w:trHeight w:val="237"/>
        </w:trPr>
        <w:tc>
          <w:tcPr>
            <w:tcW w:w="1727" w:type="dxa"/>
            <w:vMerge/>
            <w:vAlign w:val="center"/>
          </w:tcPr>
          <w:p w14:paraId="1F15E617" w14:textId="77777777" w:rsidR="005E5A06" w:rsidRPr="004C6C32" w:rsidRDefault="005E5A06" w:rsidP="005E5A06">
            <w:pPr>
              <w:adjustRightInd w:val="0"/>
              <w:snapToGrid w:val="0"/>
              <w:spacing w:line="360" w:lineRule="auto"/>
              <w:jc w:val="both"/>
              <w:rPr>
                <w:rFonts w:ascii="Book Antiqua" w:hAnsi="Book Antiqua"/>
                <w:bCs/>
              </w:rPr>
            </w:pPr>
          </w:p>
        </w:tc>
        <w:tc>
          <w:tcPr>
            <w:tcW w:w="1857" w:type="dxa"/>
            <w:vAlign w:val="center"/>
          </w:tcPr>
          <w:p w14:paraId="2628D03B" w14:textId="77777777" w:rsidR="005E5A06" w:rsidRPr="004C6C32" w:rsidRDefault="005E5A06" w:rsidP="005E5A06">
            <w:pPr>
              <w:adjustRightInd w:val="0"/>
              <w:snapToGrid w:val="0"/>
              <w:spacing w:line="360" w:lineRule="auto"/>
              <w:jc w:val="both"/>
              <w:rPr>
                <w:rFonts w:ascii="Book Antiqua" w:hAnsi="Book Antiqua"/>
                <w:bCs/>
              </w:rPr>
            </w:pPr>
            <w:r w:rsidRPr="004C6C32">
              <w:rPr>
                <w:rFonts w:ascii="Book Antiqua" w:hAnsi="Book Antiqua"/>
                <w:bCs/>
              </w:rPr>
              <w:t>Cholangiocytes</w:t>
            </w:r>
          </w:p>
        </w:tc>
        <w:tc>
          <w:tcPr>
            <w:tcW w:w="4235" w:type="dxa"/>
            <w:vAlign w:val="center"/>
          </w:tcPr>
          <w:p w14:paraId="06C9330A" w14:textId="77777777" w:rsidR="005E5A06" w:rsidRPr="004C6C32" w:rsidRDefault="005E5A06" w:rsidP="005E5A06">
            <w:pPr>
              <w:adjustRightInd w:val="0"/>
              <w:snapToGrid w:val="0"/>
              <w:spacing w:line="360" w:lineRule="auto"/>
              <w:jc w:val="both"/>
              <w:rPr>
                <w:rFonts w:ascii="Book Antiqua" w:hAnsi="Book Antiqua"/>
                <w:bCs/>
              </w:rPr>
            </w:pPr>
            <w:r w:rsidRPr="004C6C32">
              <w:rPr>
                <w:rFonts w:ascii="Book Antiqua" w:eastAsia="Book Antiqua" w:hAnsi="Book Antiqua" w:cs="Book Antiqua"/>
                <w:bCs/>
              </w:rPr>
              <w:t>bicarbonate secretion</w:t>
            </w:r>
          </w:p>
        </w:tc>
        <w:tc>
          <w:tcPr>
            <w:tcW w:w="1209" w:type="dxa"/>
            <w:vAlign w:val="center"/>
          </w:tcPr>
          <w:p w14:paraId="6FB7C4AC" w14:textId="4546E28D" w:rsidR="005E5A06"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w:t>
            </w:r>
            <w:r w:rsidR="005E5A06" w:rsidRPr="006F494E">
              <w:rPr>
                <w:rFonts w:ascii="Book Antiqua" w:hAnsi="Book Antiqua"/>
                <w:bCs/>
              </w:rPr>
              <w:t>12,61</w:t>
            </w:r>
            <w:r w:rsidRPr="006F494E">
              <w:rPr>
                <w:rFonts w:ascii="Book Antiqua" w:hAnsi="Book Antiqua"/>
                <w:bCs/>
              </w:rPr>
              <w:t>]</w:t>
            </w:r>
          </w:p>
        </w:tc>
      </w:tr>
      <w:tr w:rsidR="004C6C32" w:rsidRPr="005E5A06" w14:paraId="13FBCCFC" w14:textId="77777777" w:rsidTr="006F494E">
        <w:trPr>
          <w:cantSplit/>
          <w:trHeight w:val="289"/>
        </w:trPr>
        <w:tc>
          <w:tcPr>
            <w:tcW w:w="1727" w:type="dxa"/>
            <w:vMerge w:val="restart"/>
            <w:vAlign w:val="center"/>
          </w:tcPr>
          <w:p w14:paraId="5528AB84"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ITPR3</w:t>
            </w:r>
          </w:p>
        </w:tc>
        <w:tc>
          <w:tcPr>
            <w:tcW w:w="1857" w:type="dxa"/>
            <w:vMerge w:val="restart"/>
            <w:vAlign w:val="center"/>
          </w:tcPr>
          <w:p w14:paraId="1448CAB0"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Hepatocytes</w:t>
            </w:r>
          </w:p>
        </w:tc>
        <w:tc>
          <w:tcPr>
            <w:tcW w:w="4235" w:type="dxa"/>
            <w:vAlign w:val="center"/>
          </w:tcPr>
          <w:p w14:paraId="30E1F255" w14:textId="67020A7C"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Physiologically absent</w:t>
            </w:r>
          </w:p>
        </w:tc>
        <w:tc>
          <w:tcPr>
            <w:tcW w:w="1209" w:type="dxa"/>
            <w:vAlign w:val="center"/>
          </w:tcPr>
          <w:p w14:paraId="27BCE076" w14:textId="54593646"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w:t>
            </w:r>
          </w:p>
        </w:tc>
      </w:tr>
      <w:tr w:rsidR="004C6C32" w:rsidRPr="005E5A06" w14:paraId="24C69033" w14:textId="77777777" w:rsidTr="006F494E">
        <w:trPr>
          <w:cantSplit/>
          <w:trHeight w:val="714"/>
        </w:trPr>
        <w:tc>
          <w:tcPr>
            <w:tcW w:w="1727" w:type="dxa"/>
            <w:vMerge/>
            <w:vAlign w:val="center"/>
          </w:tcPr>
          <w:p w14:paraId="778D0881"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788C2250"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330D552B" w14:textId="3D8FB21B"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Proliferation and survival of hepatocellular carcinoma</w:t>
            </w:r>
          </w:p>
        </w:tc>
        <w:tc>
          <w:tcPr>
            <w:tcW w:w="1209" w:type="dxa"/>
            <w:vAlign w:val="center"/>
          </w:tcPr>
          <w:p w14:paraId="21892113" w14:textId="49EEAE07"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[74]</w:t>
            </w:r>
          </w:p>
        </w:tc>
      </w:tr>
      <w:tr w:rsidR="004C6C32" w:rsidRPr="005E5A06" w14:paraId="0323E528" w14:textId="77777777" w:rsidTr="006F494E">
        <w:trPr>
          <w:cantSplit/>
          <w:trHeight w:val="342"/>
        </w:trPr>
        <w:tc>
          <w:tcPr>
            <w:tcW w:w="1727" w:type="dxa"/>
            <w:vMerge/>
            <w:vAlign w:val="center"/>
          </w:tcPr>
          <w:p w14:paraId="3DF3A947"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restart"/>
            <w:vAlign w:val="center"/>
          </w:tcPr>
          <w:p w14:paraId="47B1D871"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Cholangiocytes</w:t>
            </w:r>
          </w:p>
        </w:tc>
        <w:tc>
          <w:tcPr>
            <w:tcW w:w="4235" w:type="dxa"/>
            <w:vAlign w:val="center"/>
          </w:tcPr>
          <w:p w14:paraId="58B09D30" w14:textId="7017535E"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Bicarbonate secretion</w:t>
            </w:r>
          </w:p>
        </w:tc>
        <w:tc>
          <w:tcPr>
            <w:tcW w:w="1209" w:type="dxa"/>
            <w:vAlign w:val="center"/>
          </w:tcPr>
          <w:p w14:paraId="2779B510" w14:textId="49E62F6A"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[12,61]</w:t>
            </w:r>
          </w:p>
        </w:tc>
      </w:tr>
      <w:tr w:rsidR="004C6C32" w:rsidRPr="005E5A06" w14:paraId="0AE406C9" w14:textId="77777777" w:rsidTr="006F494E">
        <w:trPr>
          <w:cantSplit/>
          <w:trHeight w:val="768"/>
        </w:trPr>
        <w:tc>
          <w:tcPr>
            <w:tcW w:w="1727" w:type="dxa"/>
            <w:vMerge/>
            <w:tcBorders>
              <w:bottom w:val="single" w:sz="4" w:space="0" w:color="auto"/>
            </w:tcBorders>
            <w:vAlign w:val="center"/>
          </w:tcPr>
          <w:p w14:paraId="715C5770"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tcBorders>
              <w:bottom w:val="single" w:sz="4" w:space="0" w:color="auto"/>
            </w:tcBorders>
            <w:vAlign w:val="center"/>
          </w:tcPr>
          <w:p w14:paraId="7E9353A0"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tcBorders>
              <w:bottom w:val="single" w:sz="4" w:space="0" w:color="auto"/>
            </w:tcBorders>
            <w:vAlign w:val="center"/>
          </w:tcPr>
          <w:p w14:paraId="74FC2FB6" w14:textId="69A1E72F"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Proliferation, migration, and survival of cholangiocarcinoma</w:t>
            </w:r>
          </w:p>
        </w:tc>
        <w:tc>
          <w:tcPr>
            <w:tcW w:w="1209" w:type="dxa"/>
            <w:tcBorders>
              <w:bottom w:val="single" w:sz="4" w:space="0" w:color="auto"/>
            </w:tcBorders>
            <w:vAlign w:val="center"/>
          </w:tcPr>
          <w:p w14:paraId="09BF4C6F" w14:textId="5CD45B28"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[82]</w:t>
            </w:r>
          </w:p>
        </w:tc>
      </w:tr>
    </w:tbl>
    <w:p w14:paraId="6FE55785" w14:textId="09CC10DD" w:rsidR="005E5A06" w:rsidRPr="000A2A59" w:rsidRDefault="005E5A06" w:rsidP="005E5A06">
      <w:pPr>
        <w:adjustRightInd w:val="0"/>
        <w:snapToGrid w:val="0"/>
        <w:spacing w:after="0" w:line="360" w:lineRule="auto"/>
        <w:jc w:val="both"/>
        <w:rPr>
          <w:rFonts w:ascii="Book Antiqua" w:hAnsi="Book Antiqua"/>
          <w:sz w:val="24"/>
          <w:szCs w:val="24"/>
        </w:rPr>
      </w:pPr>
      <w:r w:rsidRPr="005E5A06">
        <w:rPr>
          <w:rFonts w:ascii="Book Antiqua" w:eastAsia="Book Antiqua" w:hAnsi="Book Antiqua" w:cs="Book Antiqua"/>
          <w:sz w:val="24"/>
          <w:szCs w:val="24"/>
        </w:rPr>
        <w:t xml:space="preserve">ITPR: </w:t>
      </w:r>
      <w:r w:rsidR="004C6C32" w:rsidRPr="005E5A06">
        <w:rPr>
          <w:rFonts w:ascii="Book Antiqua" w:eastAsia="Book Antiqua" w:hAnsi="Book Antiqua" w:cs="Book Antiqua"/>
          <w:sz w:val="24"/>
          <w:szCs w:val="24"/>
        </w:rPr>
        <w:t>I</w:t>
      </w:r>
      <w:r w:rsidRPr="005E5A06">
        <w:rPr>
          <w:rFonts w:ascii="Book Antiqua" w:eastAsia="Book Antiqua" w:hAnsi="Book Antiqua" w:cs="Book Antiqua"/>
          <w:sz w:val="24"/>
          <w:szCs w:val="24"/>
        </w:rPr>
        <w:t>nositol 1,4,5-trisphosphate receptor; ITPR1: ITPR isoform 1; ITPR2: ITPR isoform 2; ITPR3: ITPR isoform 3</w:t>
      </w:r>
      <w:r w:rsidR="004C6C32">
        <w:rPr>
          <w:rFonts w:ascii="Book Antiqua" w:eastAsia="Book Antiqua" w:hAnsi="Book Antiqua" w:cs="Book Antiqua"/>
          <w:sz w:val="24"/>
          <w:szCs w:val="24"/>
        </w:rPr>
        <w:t>.</w:t>
      </w:r>
    </w:p>
    <w:sectPr w:rsidR="005E5A06" w:rsidRPr="000A2A59">
      <w:footerReference w:type="default" r:id="rId14"/>
      <w:pgSz w:w="11906" w:h="16838"/>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8D5BF" w14:textId="77777777" w:rsidR="00157A17" w:rsidRDefault="00157A17">
      <w:pPr>
        <w:spacing w:after="0" w:line="240" w:lineRule="auto"/>
      </w:pPr>
      <w:r>
        <w:separator/>
      </w:r>
    </w:p>
  </w:endnote>
  <w:endnote w:type="continuationSeparator" w:id="0">
    <w:p w14:paraId="210440A4" w14:textId="77777777" w:rsidR="00157A17" w:rsidRDefault="0015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vTimes">
    <w:altName w:val="等线"/>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E99D" w14:textId="12822ACA" w:rsidR="00092F07" w:rsidRDefault="00092F07">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D7351">
      <w:rPr>
        <w:noProof/>
        <w:color w:val="000000"/>
      </w:rPr>
      <w:t>29</w:t>
    </w:r>
    <w:r>
      <w:rPr>
        <w:color w:val="000000"/>
      </w:rPr>
      <w:fldChar w:fldCharType="end"/>
    </w:r>
  </w:p>
  <w:p w14:paraId="5B31FB62" w14:textId="77777777" w:rsidR="00092F07" w:rsidRDefault="00092F0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BBF8C" w14:textId="77777777" w:rsidR="00157A17" w:rsidRDefault="00157A17">
      <w:pPr>
        <w:spacing w:after="0" w:line="240" w:lineRule="auto"/>
      </w:pPr>
      <w:r>
        <w:separator/>
      </w:r>
    </w:p>
  </w:footnote>
  <w:footnote w:type="continuationSeparator" w:id="0">
    <w:p w14:paraId="03C9D581" w14:textId="77777777" w:rsidR="00157A17" w:rsidRDefault="00157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FE2534"/>
    <w:multiLevelType w:val="hybridMultilevel"/>
    <w:tmpl w:val="E75E9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D65AC5"/>
    <w:rsid w:val="00001940"/>
    <w:rsid w:val="00011FAA"/>
    <w:rsid w:val="00047332"/>
    <w:rsid w:val="00077386"/>
    <w:rsid w:val="00092F07"/>
    <w:rsid w:val="000A2A59"/>
    <w:rsid w:val="000A309D"/>
    <w:rsid w:val="000A3A68"/>
    <w:rsid w:val="000A6689"/>
    <w:rsid w:val="000B1511"/>
    <w:rsid w:val="000B3F89"/>
    <w:rsid w:val="000E60F7"/>
    <w:rsid w:val="000F503D"/>
    <w:rsid w:val="00157A17"/>
    <w:rsid w:val="00164446"/>
    <w:rsid w:val="001744D4"/>
    <w:rsid w:val="00182CBC"/>
    <w:rsid w:val="0018484D"/>
    <w:rsid w:val="00186ADC"/>
    <w:rsid w:val="00187510"/>
    <w:rsid w:val="001C65AA"/>
    <w:rsid w:val="001E2BCB"/>
    <w:rsid w:val="001E30D3"/>
    <w:rsid w:val="00231C83"/>
    <w:rsid w:val="00255669"/>
    <w:rsid w:val="002754D5"/>
    <w:rsid w:val="00282006"/>
    <w:rsid w:val="002E35D0"/>
    <w:rsid w:val="00305C22"/>
    <w:rsid w:val="00312A3A"/>
    <w:rsid w:val="00312C5C"/>
    <w:rsid w:val="00321BD1"/>
    <w:rsid w:val="00325AC0"/>
    <w:rsid w:val="003317E7"/>
    <w:rsid w:val="003429BE"/>
    <w:rsid w:val="00370039"/>
    <w:rsid w:val="003C1064"/>
    <w:rsid w:val="003C4236"/>
    <w:rsid w:val="004274D2"/>
    <w:rsid w:val="00451C21"/>
    <w:rsid w:val="004615B8"/>
    <w:rsid w:val="00465E88"/>
    <w:rsid w:val="00474006"/>
    <w:rsid w:val="00477272"/>
    <w:rsid w:val="004800BE"/>
    <w:rsid w:val="0048088C"/>
    <w:rsid w:val="00487455"/>
    <w:rsid w:val="004B509D"/>
    <w:rsid w:val="004C6C32"/>
    <w:rsid w:val="004E2855"/>
    <w:rsid w:val="00505B5E"/>
    <w:rsid w:val="0052419E"/>
    <w:rsid w:val="00530108"/>
    <w:rsid w:val="00573EC2"/>
    <w:rsid w:val="0059432F"/>
    <w:rsid w:val="005949A1"/>
    <w:rsid w:val="005962FA"/>
    <w:rsid w:val="005B490B"/>
    <w:rsid w:val="005C3ACE"/>
    <w:rsid w:val="005C4501"/>
    <w:rsid w:val="005D1799"/>
    <w:rsid w:val="005E5A06"/>
    <w:rsid w:val="005E7F1F"/>
    <w:rsid w:val="006036EF"/>
    <w:rsid w:val="006263D7"/>
    <w:rsid w:val="00643B5D"/>
    <w:rsid w:val="00685D87"/>
    <w:rsid w:val="006969DA"/>
    <w:rsid w:val="006C1645"/>
    <w:rsid w:val="006F494E"/>
    <w:rsid w:val="00733B48"/>
    <w:rsid w:val="00736CA5"/>
    <w:rsid w:val="007B1CE9"/>
    <w:rsid w:val="007F3D60"/>
    <w:rsid w:val="00801E01"/>
    <w:rsid w:val="008228F5"/>
    <w:rsid w:val="00831417"/>
    <w:rsid w:val="008341EA"/>
    <w:rsid w:val="00864387"/>
    <w:rsid w:val="008B15D6"/>
    <w:rsid w:val="008D0752"/>
    <w:rsid w:val="008D446D"/>
    <w:rsid w:val="008E6244"/>
    <w:rsid w:val="00917651"/>
    <w:rsid w:val="00943E57"/>
    <w:rsid w:val="009527FC"/>
    <w:rsid w:val="00A1156B"/>
    <w:rsid w:val="00A12590"/>
    <w:rsid w:val="00A45CCD"/>
    <w:rsid w:val="00A656E4"/>
    <w:rsid w:val="00A70307"/>
    <w:rsid w:val="00A70834"/>
    <w:rsid w:val="00A73C6A"/>
    <w:rsid w:val="00A97151"/>
    <w:rsid w:val="00AB1AFA"/>
    <w:rsid w:val="00AE3E87"/>
    <w:rsid w:val="00AF7842"/>
    <w:rsid w:val="00B16A11"/>
    <w:rsid w:val="00B27877"/>
    <w:rsid w:val="00B523D1"/>
    <w:rsid w:val="00B527C7"/>
    <w:rsid w:val="00B52E28"/>
    <w:rsid w:val="00B8038D"/>
    <w:rsid w:val="00B922B7"/>
    <w:rsid w:val="00BA7CC4"/>
    <w:rsid w:val="00BB2F57"/>
    <w:rsid w:val="00BC308E"/>
    <w:rsid w:val="00BE7339"/>
    <w:rsid w:val="00BE7C49"/>
    <w:rsid w:val="00C30D6F"/>
    <w:rsid w:val="00C36699"/>
    <w:rsid w:val="00C479E7"/>
    <w:rsid w:val="00C61ACE"/>
    <w:rsid w:val="00C81A6B"/>
    <w:rsid w:val="00CB4CFE"/>
    <w:rsid w:val="00CC19F0"/>
    <w:rsid w:val="00CD7351"/>
    <w:rsid w:val="00CE1CFF"/>
    <w:rsid w:val="00D023B5"/>
    <w:rsid w:val="00D20136"/>
    <w:rsid w:val="00D50D4C"/>
    <w:rsid w:val="00D525C1"/>
    <w:rsid w:val="00D55631"/>
    <w:rsid w:val="00D6530D"/>
    <w:rsid w:val="00D65AC5"/>
    <w:rsid w:val="00D70DE5"/>
    <w:rsid w:val="00DC7344"/>
    <w:rsid w:val="00DE0F44"/>
    <w:rsid w:val="00DE4DE8"/>
    <w:rsid w:val="00E020CC"/>
    <w:rsid w:val="00E02FB1"/>
    <w:rsid w:val="00E07D6E"/>
    <w:rsid w:val="00E10010"/>
    <w:rsid w:val="00E10692"/>
    <w:rsid w:val="00E16756"/>
    <w:rsid w:val="00E33AF0"/>
    <w:rsid w:val="00E462F8"/>
    <w:rsid w:val="00E6643E"/>
    <w:rsid w:val="00E707E1"/>
    <w:rsid w:val="00EB66D6"/>
    <w:rsid w:val="00EF4765"/>
    <w:rsid w:val="00EF6F75"/>
    <w:rsid w:val="00EF758A"/>
    <w:rsid w:val="00F2339B"/>
    <w:rsid w:val="00F42BA9"/>
    <w:rsid w:val="00F962D0"/>
    <w:rsid w:val="00FA4D9F"/>
    <w:rsid w:val="00FF0C13"/>
    <w:rsid w:val="00FF4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272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pPr>
      <w:spacing w:line="240" w:lineRule="auto"/>
    </w:pPr>
    <w:rPr>
      <w:sz w:val="24"/>
      <w:szCs w:val="24"/>
    </w:rPr>
  </w:style>
  <w:style w:type="character" w:customStyle="1" w:styleId="a6">
    <w:name w:val="批注文字 字符"/>
    <w:basedOn w:val="a0"/>
    <w:link w:val="a5"/>
    <w:uiPriority w:val="99"/>
    <w:semiHidden/>
    <w:rPr>
      <w:sz w:val="24"/>
      <w:szCs w:val="24"/>
    </w:rPr>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C30D6F"/>
    <w:pPr>
      <w:spacing w:after="0" w:line="240" w:lineRule="auto"/>
    </w:pPr>
    <w:rPr>
      <w:rFonts w:ascii="Times New Roman" w:hAnsi="Times New Roman" w:cs="Times New Roman"/>
      <w:sz w:val="18"/>
      <w:szCs w:val="18"/>
    </w:rPr>
  </w:style>
  <w:style w:type="character" w:customStyle="1" w:styleId="a9">
    <w:name w:val="批注框文本 字符"/>
    <w:basedOn w:val="a0"/>
    <w:link w:val="a8"/>
    <w:uiPriority w:val="99"/>
    <w:semiHidden/>
    <w:rsid w:val="00C30D6F"/>
    <w:rPr>
      <w:rFonts w:ascii="Times New Roman" w:hAnsi="Times New Roman" w:cs="Times New Roman"/>
      <w:sz w:val="18"/>
      <w:szCs w:val="18"/>
    </w:rPr>
  </w:style>
  <w:style w:type="character" w:styleId="aa">
    <w:name w:val="Hyperlink"/>
    <w:basedOn w:val="a0"/>
    <w:uiPriority w:val="99"/>
    <w:unhideWhenUsed/>
    <w:rsid w:val="00C81A6B"/>
    <w:rPr>
      <w:color w:val="0000FF" w:themeColor="hyperlink"/>
      <w:u w:val="single"/>
    </w:rPr>
  </w:style>
  <w:style w:type="paragraph" w:styleId="ab">
    <w:name w:val="List Paragraph"/>
    <w:basedOn w:val="a"/>
    <w:uiPriority w:val="34"/>
    <w:qFormat/>
    <w:rsid w:val="00231C83"/>
    <w:pPr>
      <w:ind w:left="720"/>
      <w:contextualSpacing/>
    </w:pPr>
  </w:style>
  <w:style w:type="table" w:styleId="ac">
    <w:name w:val="Table Grid"/>
    <w:basedOn w:val="a1"/>
    <w:uiPriority w:val="39"/>
    <w:rsid w:val="003C1064"/>
    <w:pPr>
      <w:spacing w:after="0"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5"/>
    <w:next w:val="a5"/>
    <w:link w:val="ae"/>
    <w:uiPriority w:val="99"/>
    <w:semiHidden/>
    <w:unhideWhenUsed/>
    <w:rsid w:val="000A6689"/>
    <w:rPr>
      <w:b/>
      <w:bCs/>
      <w:sz w:val="20"/>
      <w:szCs w:val="20"/>
    </w:rPr>
  </w:style>
  <w:style w:type="character" w:customStyle="1" w:styleId="ae">
    <w:name w:val="批注主题 字符"/>
    <w:basedOn w:val="a6"/>
    <w:link w:val="ad"/>
    <w:uiPriority w:val="99"/>
    <w:semiHidden/>
    <w:rsid w:val="000A6689"/>
    <w:rPr>
      <w:b/>
      <w:bCs/>
      <w:sz w:val="20"/>
      <w:szCs w:val="20"/>
    </w:rPr>
  </w:style>
  <w:style w:type="paragraph" w:styleId="af">
    <w:name w:val="header"/>
    <w:basedOn w:val="a"/>
    <w:link w:val="af0"/>
    <w:uiPriority w:val="99"/>
    <w:unhideWhenUsed/>
    <w:rsid w:val="005E5A06"/>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5E5A06"/>
    <w:rPr>
      <w:sz w:val="18"/>
      <w:szCs w:val="18"/>
    </w:rPr>
  </w:style>
  <w:style w:type="paragraph" w:styleId="af1">
    <w:name w:val="footer"/>
    <w:basedOn w:val="a"/>
    <w:link w:val="af2"/>
    <w:uiPriority w:val="99"/>
    <w:unhideWhenUsed/>
    <w:rsid w:val="005E5A06"/>
    <w:pPr>
      <w:tabs>
        <w:tab w:val="center" w:pos="4153"/>
        <w:tab w:val="right" w:pos="8306"/>
      </w:tabs>
      <w:snapToGrid w:val="0"/>
      <w:spacing w:line="240" w:lineRule="auto"/>
    </w:pPr>
    <w:rPr>
      <w:sz w:val="18"/>
      <w:szCs w:val="18"/>
    </w:rPr>
  </w:style>
  <w:style w:type="character" w:customStyle="1" w:styleId="af2">
    <w:name w:val="页脚 字符"/>
    <w:basedOn w:val="a0"/>
    <w:link w:val="af1"/>
    <w:uiPriority w:val="99"/>
    <w:rsid w:val="005E5A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eitemd@ufmg.br"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F469E-82E3-40CD-874F-63AE4F760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7549</Words>
  <Characters>43034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2019-11-13T00:59:00Z</dcterms:created>
  <dcterms:modified xsi:type="dcterms:W3CDTF">2019-11-13T00:59:00Z</dcterms:modified>
</cp:coreProperties>
</file>