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8C5DF" w14:textId="77777777" w:rsidR="00C871CF" w:rsidRPr="003B48DE" w:rsidRDefault="00C871CF" w:rsidP="00A36F29">
      <w:pPr>
        <w:spacing w:after="0" w:line="360" w:lineRule="auto"/>
        <w:jc w:val="both"/>
        <w:rPr>
          <w:rFonts w:ascii="Book Antiqua" w:eastAsia="Calibri" w:hAnsi="Book Antiqua" w:cs="Times New Roman"/>
          <w:b/>
          <w:i/>
          <w:iCs/>
          <w:color w:val="000000" w:themeColor="text1"/>
          <w:sz w:val="24"/>
          <w:szCs w:val="24"/>
          <w:lang w:val="en-US"/>
        </w:rPr>
      </w:pPr>
      <w:r w:rsidRPr="00A36F29">
        <w:rPr>
          <w:rFonts w:ascii="Book Antiqua" w:eastAsia="Calibri" w:hAnsi="Book Antiqua" w:cs="Times New Roman"/>
          <w:b/>
          <w:color w:val="000000" w:themeColor="text1"/>
          <w:sz w:val="24"/>
          <w:szCs w:val="24"/>
          <w:lang w:val="en-US"/>
        </w:rPr>
        <w:t xml:space="preserve">Name of Journal: </w:t>
      </w:r>
      <w:r w:rsidRPr="003B48DE">
        <w:rPr>
          <w:rFonts w:ascii="Book Antiqua" w:eastAsia="Calibri" w:hAnsi="Book Antiqua" w:cs="Times New Roman"/>
          <w:i/>
          <w:iCs/>
          <w:color w:val="000000" w:themeColor="text1"/>
          <w:sz w:val="24"/>
          <w:szCs w:val="24"/>
          <w:lang w:val="en-US"/>
        </w:rPr>
        <w:t>World Journal of Gastrointestinal Pathophysiology</w:t>
      </w:r>
    </w:p>
    <w:p w14:paraId="70BBA4EC" w14:textId="77777777" w:rsidR="00C871CF" w:rsidRPr="00A36F29" w:rsidRDefault="00C871CF" w:rsidP="00A36F29">
      <w:pPr>
        <w:spacing w:after="0" w:line="360" w:lineRule="auto"/>
        <w:jc w:val="both"/>
        <w:rPr>
          <w:rFonts w:ascii="Book Antiqua" w:eastAsia="Calibri" w:hAnsi="Book Antiqua" w:cs="Times New Roman"/>
          <w:b/>
          <w:color w:val="000000" w:themeColor="text1"/>
          <w:sz w:val="24"/>
          <w:szCs w:val="24"/>
          <w:lang w:val="en-US"/>
        </w:rPr>
      </w:pPr>
      <w:r w:rsidRPr="00A36F29">
        <w:rPr>
          <w:rFonts w:ascii="Book Antiqua" w:eastAsia="Calibri" w:hAnsi="Book Antiqua" w:cs="Times New Roman"/>
          <w:b/>
          <w:color w:val="000000" w:themeColor="text1"/>
          <w:sz w:val="24"/>
          <w:szCs w:val="24"/>
          <w:lang w:val="en-US"/>
        </w:rPr>
        <w:t xml:space="preserve">Manuscript NO: </w:t>
      </w:r>
      <w:r w:rsidRPr="00A36F29">
        <w:rPr>
          <w:rFonts w:ascii="Book Antiqua" w:eastAsia="Calibri" w:hAnsi="Book Antiqua" w:cs="Times New Roman"/>
          <w:bCs/>
          <w:color w:val="000000" w:themeColor="text1"/>
          <w:sz w:val="24"/>
          <w:szCs w:val="24"/>
          <w:lang w:val="en-US"/>
        </w:rPr>
        <w:t>51097</w:t>
      </w:r>
    </w:p>
    <w:p w14:paraId="69B2D251" w14:textId="77777777" w:rsidR="00C871CF" w:rsidRPr="00A36F29" w:rsidRDefault="00C871CF" w:rsidP="00A36F29">
      <w:pPr>
        <w:spacing w:after="0" w:line="360" w:lineRule="auto"/>
        <w:jc w:val="both"/>
        <w:rPr>
          <w:rFonts w:ascii="Book Antiqua" w:eastAsia="Calibri" w:hAnsi="Book Antiqua" w:cs="Times New Roman"/>
          <w:b/>
          <w:color w:val="000000" w:themeColor="text1"/>
          <w:sz w:val="24"/>
          <w:szCs w:val="24"/>
          <w:lang w:val="en-US"/>
        </w:rPr>
      </w:pPr>
      <w:r w:rsidRPr="00A36F29">
        <w:rPr>
          <w:rFonts w:ascii="Book Antiqua" w:eastAsia="Calibri" w:hAnsi="Book Antiqua" w:cs="Times New Roman"/>
          <w:b/>
          <w:color w:val="000000" w:themeColor="text1"/>
          <w:sz w:val="24"/>
          <w:szCs w:val="24"/>
          <w:lang w:val="en-US"/>
        </w:rPr>
        <w:t>Manuscript Type:</w:t>
      </w:r>
      <w:r w:rsidRPr="00A36F29">
        <w:rPr>
          <w:rFonts w:ascii="Book Antiqua" w:eastAsia="Calibri" w:hAnsi="Book Antiqua" w:cs="Times New Roman"/>
          <w:bCs/>
          <w:color w:val="000000" w:themeColor="text1"/>
          <w:sz w:val="24"/>
          <w:szCs w:val="24"/>
          <w:lang w:val="en-US"/>
        </w:rPr>
        <w:t xml:space="preserve"> ORIGINAL ARTICLE</w:t>
      </w:r>
    </w:p>
    <w:p w14:paraId="0C3B4C83" w14:textId="77777777" w:rsidR="00C871CF" w:rsidRPr="00A36F29" w:rsidRDefault="00C871CF" w:rsidP="00A36F29">
      <w:pPr>
        <w:spacing w:after="0" w:line="360" w:lineRule="auto"/>
        <w:jc w:val="both"/>
        <w:rPr>
          <w:rFonts w:ascii="Book Antiqua" w:eastAsia="Calibri" w:hAnsi="Book Antiqua" w:cs="Times New Roman"/>
          <w:b/>
          <w:color w:val="000000" w:themeColor="text1"/>
          <w:sz w:val="24"/>
          <w:szCs w:val="24"/>
          <w:lang w:val="en-US"/>
        </w:rPr>
      </w:pPr>
    </w:p>
    <w:p w14:paraId="59F30452" w14:textId="77777777" w:rsidR="00C871CF" w:rsidRPr="00A36F29" w:rsidRDefault="00C871CF" w:rsidP="00A36F29">
      <w:pPr>
        <w:spacing w:after="0" w:line="360" w:lineRule="auto"/>
        <w:jc w:val="both"/>
        <w:rPr>
          <w:rFonts w:ascii="Book Antiqua" w:eastAsia="Calibri" w:hAnsi="Book Antiqua" w:cs="Times New Roman"/>
          <w:b/>
          <w:bCs/>
          <w:i/>
          <w:iCs/>
          <w:color w:val="000000" w:themeColor="text1"/>
          <w:sz w:val="24"/>
          <w:szCs w:val="24"/>
          <w:lang w:val="en-US"/>
        </w:rPr>
      </w:pPr>
      <w:r w:rsidRPr="00A36F29">
        <w:rPr>
          <w:rFonts w:ascii="Book Antiqua" w:eastAsia="Calibri" w:hAnsi="Book Antiqua" w:cs="Times New Roman"/>
          <w:b/>
          <w:bCs/>
          <w:i/>
          <w:iCs/>
          <w:color w:val="000000" w:themeColor="text1"/>
          <w:sz w:val="24"/>
          <w:szCs w:val="24"/>
          <w:lang w:val="en-US"/>
        </w:rPr>
        <w:t>Basic Study</w:t>
      </w:r>
    </w:p>
    <w:p w14:paraId="5AF9A99C" w14:textId="77777777" w:rsidR="00C871CF" w:rsidRPr="00A36F29" w:rsidRDefault="00C871CF" w:rsidP="00A36F29">
      <w:pPr>
        <w:spacing w:after="0" w:line="360" w:lineRule="auto"/>
        <w:jc w:val="both"/>
        <w:rPr>
          <w:rFonts w:ascii="Book Antiqua" w:hAnsi="Book Antiqua" w:cs="Times New Roman"/>
          <w:b/>
          <w:color w:val="000000" w:themeColor="text1"/>
          <w:sz w:val="24"/>
          <w:szCs w:val="24"/>
          <w:lang w:val="en-US"/>
        </w:rPr>
      </w:pPr>
      <w:r w:rsidRPr="00A36F29">
        <w:rPr>
          <w:rFonts w:ascii="Book Antiqua" w:eastAsia="Calibri" w:hAnsi="Book Antiqua" w:cs="Times New Roman"/>
          <w:b/>
          <w:color w:val="000000" w:themeColor="text1"/>
          <w:sz w:val="24"/>
          <w:szCs w:val="24"/>
          <w:lang w:val="en-US"/>
        </w:rPr>
        <w:t xml:space="preserve">Pentadecapeptide BPC 157 resolves </w:t>
      </w:r>
      <w:r w:rsidRPr="00A36F29">
        <w:rPr>
          <w:rFonts w:ascii="Book Antiqua" w:hAnsi="Book Antiqua" w:cs="Times New Roman"/>
          <w:b/>
          <w:color w:val="000000" w:themeColor="text1"/>
          <w:sz w:val="24"/>
          <w:szCs w:val="24"/>
          <w:lang w:val="en-US"/>
        </w:rPr>
        <w:t xml:space="preserve">suprahepatic occlusion of the inferior caval vein, Budd-Chiari syndrome model in rats </w:t>
      </w:r>
    </w:p>
    <w:p w14:paraId="36ECAE1F" w14:textId="77777777" w:rsidR="00C871CF" w:rsidRPr="00A36F29" w:rsidRDefault="00C871CF" w:rsidP="00A36F29">
      <w:pPr>
        <w:spacing w:after="0" w:line="360" w:lineRule="auto"/>
        <w:jc w:val="both"/>
        <w:rPr>
          <w:rFonts w:ascii="Book Antiqua" w:hAnsi="Book Antiqua" w:cs="Times New Roman"/>
          <w:b/>
          <w:color w:val="000000" w:themeColor="text1"/>
          <w:sz w:val="24"/>
          <w:szCs w:val="24"/>
          <w:lang w:val="en-US"/>
        </w:rPr>
      </w:pPr>
    </w:p>
    <w:p w14:paraId="30E0BD0B" w14:textId="58E303A8" w:rsidR="00C871CF" w:rsidRPr="00A36F29" w:rsidRDefault="00DD702D" w:rsidP="00A36F29">
      <w:pPr>
        <w:spacing w:after="0" w:line="360" w:lineRule="auto"/>
        <w:jc w:val="both"/>
        <w:rPr>
          <w:rFonts w:ascii="Book Antiqua" w:eastAsia="Calibri" w:hAnsi="Book Antiqua" w:cs="Times New Roman"/>
          <w:bCs/>
          <w:color w:val="000000" w:themeColor="text1"/>
          <w:sz w:val="24"/>
          <w:szCs w:val="24"/>
          <w:lang w:val="en-US"/>
        </w:rPr>
      </w:pPr>
      <w:r w:rsidRPr="00A36F29">
        <w:rPr>
          <w:rFonts w:ascii="Book Antiqua" w:eastAsia="Calibri" w:hAnsi="Book Antiqua" w:cs="Times New Roman"/>
          <w:color w:val="000000" w:themeColor="text1"/>
          <w:sz w:val="24"/>
          <w:szCs w:val="24"/>
          <w:lang w:val="en-US"/>
        </w:rPr>
        <w:t>Gojkovic</w:t>
      </w:r>
      <w:r w:rsidRPr="00A36F29" w:rsidDel="00DD702D">
        <w:rPr>
          <w:rFonts w:ascii="Book Antiqua" w:eastAsia="Calibri" w:hAnsi="Book Antiqua" w:cs="Times New Roman"/>
          <w:color w:val="000000" w:themeColor="text1"/>
          <w:sz w:val="24"/>
          <w:szCs w:val="24"/>
          <w:lang w:val="en-US"/>
        </w:rPr>
        <w:t xml:space="preserve"> </w:t>
      </w:r>
      <w:r w:rsidRPr="00A36F29">
        <w:rPr>
          <w:rFonts w:ascii="Book Antiqua" w:eastAsia="Calibri" w:hAnsi="Book Antiqua" w:cs="Times New Roman"/>
          <w:color w:val="000000" w:themeColor="text1"/>
          <w:sz w:val="24"/>
          <w:szCs w:val="24"/>
          <w:lang w:val="en-US"/>
        </w:rPr>
        <w:t xml:space="preserve">S </w:t>
      </w:r>
      <w:r w:rsidRPr="00A36F29">
        <w:rPr>
          <w:rFonts w:ascii="Book Antiqua" w:eastAsia="SimSun" w:hAnsi="Book Antiqua" w:cs="SimSun"/>
          <w:i/>
          <w:iCs/>
          <w:color w:val="000000" w:themeColor="text1"/>
          <w:sz w:val="24"/>
          <w:szCs w:val="24"/>
          <w:lang w:val="en-US" w:eastAsia="zh-CN"/>
        </w:rPr>
        <w:t>et al</w:t>
      </w:r>
      <w:r w:rsidRPr="00A36F29">
        <w:rPr>
          <w:rFonts w:ascii="Book Antiqua" w:eastAsia="SimSun" w:hAnsi="Book Antiqua" w:cs="SimSun"/>
          <w:color w:val="000000" w:themeColor="text1"/>
          <w:sz w:val="24"/>
          <w:szCs w:val="24"/>
          <w:lang w:val="en-US" w:eastAsia="zh-CN"/>
        </w:rPr>
        <w:t xml:space="preserve">. </w:t>
      </w:r>
      <w:r w:rsidR="00C871CF" w:rsidRPr="00A36F29">
        <w:rPr>
          <w:rFonts w:ascii="Book Antiqua" w:eastAsia="Calibri" w:hAnsi="Book Antiqua" w:cs="Times New Roman"/>
          <w:color w:val="000000" w:themeColor="text1"/>
          <w:sz w:val="24"/>
          <w:szCs w:val="24"/>
          <w:lang w:val="en-US"/>
        </w:rPr>
        <w:t xml:space="preserve">BPC 157 resolves </w:t>
      </w:r>
      <w:r w:rsidR="00840B82" w:rsidRPr="00A36F29">
        <w:rPr>
          <w:rFonts w:ascii="Book Antiqua" w:hAnsi="Book Antiqua" w:cs="Courier New"/>
          <w:color w:val="000000" w:themeColor="text1"/>
          <w:sz w:val="24"/>
          <w:szCs w:val="24"/>
          <w:lang w:val="en-US"/>
        </w:rPr>
        <w:t>BCS</w:t>
      </w:r>
      <w:r w:rsidR="00C871CF" w:rsidRPr="00A36F29">
        <w:rPr>
          <w:rFonts w:ascii="Book Antiqua" w:hAnsi="Book Antiqua" w:cs="Times New Roman"/>
          <w:bCs/>
          <w:color w:val="000000" w:themeColor="text1"/>
          <w:sz w:val="24"/>
          <w:szCs w:val="24"/>
          <w:lang w:val="en-US"/>
        </w:rPr>
        <w:t xml:space="preserve"> model in rats</w:t>
      </w:r>
      <w:r w:rsidR="00C871CF" w:rsidRPr="00A36F29">
        <w:rPr>
          <w:rFonts w:ascii="Book Antiqua" w:eastAsia="Calibri" w:hAnsi="Book Antiqua" w:cs="Times New Roman"/>
          <w:bCs/>
          <w:color w:val="000000" w:themeColor="text1"/>
          <w:sz w:val="24"/>
          <w:szCs w:val="24"/>
          <w:lang w:val="en-US"/>
        </w:rPr>
        <w:t xml:space="preserve"> </w:t>
      </w:r>
    </w:p>
    <w:p w14:paraId="38C12A69" w14:textId="77777777" w:rsidR="00C871CF" w:rsidRPr="00A36F29" w:rsidRDefault="00C871CF" w:rsidP="00A36F29">
      <w:pPr>
        <w:spacing w:after="0" w:line="360" w:lineRule="auto"/>
        <w:jc w:val="both"/>
        <w:rPr>
          <w:rFonts w:ascii="Book Antiqua" w:eastAsia="Calibri" w:hAnsi="Book Antiqua" w:cs="Times New Roman"/>
          <w:color w:val="000000" w:themeColor="text1"/>
          <w:sz w:val="24"/>
          <w:szCs w:val="24"/>
          <w:lang w:val="en-US"/>
        </w:rPr>
      </w:pPr>
    </w:p>
    <w:p w14:paraId="6584C8B2" w14:textId="77777777" w:rsidR="00C871CF" w:rsidRPr="00A36F29" w:rsidRDefault="00C871CF" w:rsidP="00A36F29">
      <w:pPr>
        <w:spacing w:after="0" w:line="360" w:lineRule="auto"/>
        <w:jc w:val="both"/>
        <w:rPr>
          <w:rFonts w:ascii="Book Antiqua" w:eastAsia="Calibri" w:hAnsi="Book Antiqua" w:cs="Times New Roman"/>
          <w:color w:val="000000" w:themeColor="text1"/>
          <w:sz w:val="24"/>
          <w:szCs w:val="24"/>
          <w:lang w:val="en-US"/>
        </w:rPr>
      </w:pPr>
      <w:r w:rsidRPr="00A36F29">
        <w:rPr>
          <w:rFonts w:ascii="Book Antiqua" w:eastAsia="Calibri" w:hAnsi="Book Antiqua" w:cs="Times New Roman"/>
          <w:color w:val="000000" w:themeColor="text1"/>
          <w:sz w:val="24"/>
          <w:szCs w:val="24"/>
          <w:lang w:val="en-US"/>
        </w:rPr>
        <w:t>Slaven Gojkovic, Ivan Krezic, Borna Vrdoljak, Dominik Malekinusic, Ivan Barisic, Andreja Petrovic, Katarina Horvat Pavlov, Marijan Kolovrat, Antonija Duzel, Mario Knezevic, Katarina Kasnik Kovac, Domagoj Drmic, Lovorka Batelja Vuletic, Antonio Kokot, Alenka Boban Blagaic, Sven Seiwerth, Predrag Sikiric</w:t>
      </w:r>
    </w:p>
    <w:p w14:paraId="32144A9A" w14:textId="77777777" w:rsidR="00C871CF" w:rsidRPr="00A36F29" w:rsidRDefault="00C871CF" w:rsidP="00A36F29">
      <w:pPr>
        <w:spacing w:after="0" w:line="360" w:lineRule="auto"/>
        <w:jc w:val="both"/>
        <w:rPr>
          <w:rFonts w:ascii="Book Antiqua" w:eastAsia="Calibri" w:hAnsi="Book Antiqua" w:cs="Times New Roman"/>
          <w:color w:val="000000" w:themeColor="text1"/>
          <w:sz w:val="24"/>
          <w:szCs w:val="24"/>
          <w:lang w:val="en-US"/>
        </w:rPr>
      </w:pPr>
    </w:p>
    <w:p w14:paraId="4F7ECC0A" w14:textId="0C59EAF9" w:rsidR="00C871CF" w:rsidRPr="00A36F29" w:rsidRDefault="00DD702D" w:rsidP="00A36F29">
      <w:pPr>
        <w:spacing w:after="0" w:line="360" w:lineRule="auto"/>
        <w:jc w:val="both"/>
        <w:rPr>
          <w:rFonts w:ascii="Book Antiqua" w:eastAsia="Calibri" w:hAnsi="Book Antiqua" w:cs="Times New Roman"/>
          <w:color w:val="000000" w:themeColor="text1"/>
          <w:sz w:val="24"/>
          <w:szCs w:val="24"/>
          <w:lang w:val="en-US"/>
        </w:rPr>
      </w:pPr>
      <w:r w:rsidRPr="00A36F29">
        <w:rPr>
          <w:rFonts w:ascii="Book Antiqua" w:eastAsia="Calibri" w:hAnsi="Book Antiqua" w:cs="Times New Roman"/>
          <w:b/>
          <w:bCs/>
          <w:color w:val="000000" w:themeColor="text1"/>
          <w:sz w:val="24"/>
          <w:szCs w:val="24"/>
          <w:lang w:val="en-US"/>
        </w:rPr>
        <w:t>Slaven Gojkovic, Ivan Krezic, Borna Vrdoljak, Dominik Malekinusic, Ivan Barisic, Andreja Petrovic, Katarina Horvat Pavlov, Marijan Kolovrat, Antonija Duzel, Mario Knezevic, Katarina Kasnik Kovac, Domagoj Drmic, Lovorka Batelja Vuletic, Antonio Kokot, Alenka Boban Blagaic, Sven Seiwerth, Predrag Sikiric</w:t>
      </w:r>
      <w:r w:rsidRPr="00A36F29">
        <w:rPr>
          <w:rFonts w:ascii="Book Antiqua" w:hAnsi="Book Antiqua" w:cs="Times New Roman"/>
          <w:b/>
          <w:bCs/>
          <w:color w:val="000000" w:themeColor="text1"/>
          <w:sz w:val="24"/>
          <w:szCs w:val="24"/>
          <w:lang w:val="en-US" w:eastAsia="zh-CN"/>
        </w:rPr>
        <w:t>,</w:t>
      </w:r>
      <w:r w:rsidRPr="00A36F29">
        <w:rPr>
          <w:rFonts w:ascii="Book Antiqua" w:hAnsi="Book Antiqua" w:cs="Times New Roman"/>
          <w:color w:val="000000" w:themeColor="text1"/>
          <w:sz w:val="24"/>
          <w:szCs w:val="24"/>
          <w:lang w:val="en-US" w:eastAsia="zh-CN"/>
        </w:rPr>
        <w:t xml:space="preserve"> </w:t>
      </w:r>
      <w:r w:rsidR="00C871CF" w:rsidRPr="00A36F29">
        <w:rPr>
          <w:rFonts w:ascii="Book Antiqua" w:eastAsia="Calibri" w:hAnsi="Book Antiqua" w:cs="Times New Roman"/>
          <w:color w:val="000000" w:themeColor="text1"/>
          <w:sz w:val="24"/>
          <w:szCs w:val="24"/>
          <w:lang w:val="en-US"/>
        </w:rPr>
        <w:t>Departments of Pharmacology and Pathology, Medical Faculty University of Zagreb, Zagreb</w:t>
      </w:r>
      <w:r w:rsidRPr="00A36F29">
        <w:rPr>
          <w:rFonts w:ascii="Book Antiqua" w:eastAsia="Calibri" w:hAnsi="Book Antiqua" w:cs="Times New Roman"/>
          <w:color w:val="000000" w:themeColor="text1"/>
          <w:sz w:val="24"/>
          <w:szCs w:val="24"/>
          <w:lang w:val="en-US"/>
        </w:rPr>
        <w:t xml:space="preserve"> 10000</w:t>
      </w:r>
      <w:r w:rsidR="00C871CF" w:rsidRPr="00A36F29">
        <w:rPr>
          <w:rFonts w:ascii="Book Antiqua" w:eastAsia="Calibri" w:hAnsi="Book Antiqua" w:cs="Times New Roman"/>
          <w:color w:val="000000" w:themeColor="text1"/>
          <w:sz w:val="24"/>
          <w:szCs w:val="24"/>
          <w:lang w:val="en-US"/>
        </w:rPr>
        <w:t>, Croatia</w:t>
      </w:r>
    </w:p>
    <w:p w14:paraId="44ED922D" w14:textId="77777777" w:rsidR="00DD702D" w:rsidRPr="00A36F29" w:rsidRDefault="00DD702D" w:rsidP="00A36F29">
      <w:pPr>
        <w:spacing w:after="0" w:line="360" w:lineRule="auto"/>
        <w:jc w:val="both"/>
        <w:rPr>
          <w:rFonts w:ascii="Book Antiqua" w:hAnsi="Book Antiqua"/>
          <w:color w:val="000000" w:themeColor="text1"/>
          <w:sz w:val="24"/>
          <w:szCs w:val="24"/>
        </w:rPr>
      </w:pPr>
    </w:p>
    <w:p w14:paraId="58CB599F" w14:textId="7D8A5653" w:rsidR="00C871CF" w:rsidRPr="00A36F29" w:rsidRDefault="00C871CF" w:rsidP="00A36F29">
      <w:pPr>
        <w:spacing w:after="0" w:line="360" w:lineRule="auto"/>
        <w:jc w:val="both"/>
        <w:rPr>
          <w:rFonts w:ascii="Book Antiqua" w:eastAsia="Calibri" w:hAnsi="Book Antiqua" w:cs="Times New Roman"/>
          <w:color w:val="000000" w:themeColor="text1"/>
          <w:sz w:val="24"/>
          <w:szCs w:val="24"/>
          <w:lang w:val="en-US"/>
        </w:rPr>
      </w:pPr>
      <w:r w:rsidRPr="00A36F29">
        <w:rPr>
          <w:rFonts w:ascii="Book Antiqua" w:eastAsia="Calibri" w:hAnsi="Book Antiqua" w:cs="Times New Roman"/>
          <w:b/>
          <w:color w:val="000000" w:themeColor="text1"/>
          <w:sz w:val="24"/>
          <w:szCs w:val="24"/>
          <w:lang w:val="en-US"/>
        </w:rPr>
        <w:t>Author contribution</w:t>
      </w:r>
      <w:r w:rsidR="00DD702D" w:rsidRPr="00A36F29">
        <w:rPr>
          <w:rFonts w:ascii="Book Antiqua" w:eastAsia="Calibri" w:hAnsi="Book Antiqua" w:cs="Times New Roman"/>
          <w:b/>
          <w:color w:val="000000" w:themeColor="text1"/>
          <w:sz w:val="24"/>
          <w:szCs w:val="24"/>
          <w:lang w:val="en-US"/>
        </w:rPr>
        <w:t>s</w:t>
      </w:r>
      <w:r w:rsidRPr="00A36F29">
        <w:rPr>
          <w:rFonts w:ascii="Book Antiqua" w:eastAsia="Calibri" w:hAnsi="Book Antiqua" w:cs="Times New Roman"/>
          <w:b/>
          <w:color w:val="000000" w:themeColor="text1"/>
          <w:sz w:val="24"/>
          <w:szCs w:val="24"/>
          <w:lang w:val="en-US"/>
        </w:rPr>
        <w:t>:</w:t>
      </w:r>
      <w:r w:rsidR="00DD702D" w:rsidRPr="00A36F29">
        <w:rPr>
          <w:rFonts w:ascii="Book Antiqua" w:eastAsia="Calibri" w:hAnsi="Book Antiqua" w:cs="Times New Roman"/>
          <w:b/>
          <w:color w:val="000000" w:themeColor="text1"/>
          <w:sz w:val="24"/>
          <w:szCs w:val="24"/>
          <w:lang w:val="en-US"/>
        </w:rPr>
        <w:t xml:space="preserve"> </w:t>
      </w:r>
      <w:r w:rsidRPr="00A36F29">
        <w:rPr>
          <w:rFonts w:ascii="Book Antiqua" w:eastAsia="Calibri" w:hAnsi="Book Antiqua" w:cs="Times New Roman"/>
          <w:color w:val="000000" w:themeColor="text1"/>
          <w:sz w:val="24"/>
          <w:szCs w:val="24"/>
          <w:lang w:val="en-US"/>
        </w:rPr>
        <w:t>Gojkovic S, Krezic I, Vrdoljak B, Malekinusic D, Barisic I, Petrovic A, Horvat Pavlov K, Kolovrat M, Duzel A, Knezevic M, Kasnik Kovac K, Drmic D, Batelja Vuletic L, Kokot A, Boban Blagaic A, Seiwerth S and Sikiric P performed experiments</w:t>
      </w:r>
      <w:r w:rsidR="00DD702D" w:rsidRPr="00A36F29">
        <w:rPr>
          <w:rFonts w:ascii="Book Antiqua" w:eastAsia="Calibri" w:hAnsi="Book Antiqua" w:cs="Times New Roman"/>
          <w:color w:val="000000" w:themeColor="text1"/>
          <w:sz w:val="24"/>
          <w:szCs w:val="24"/>
          <w:lang w:val="en-US"/>
        </w:rPr>
        <w:t>;</w:t>
      </w:r>
      <w:r w:rsidRPr="00A36F29">
        <w:rPr>
          <w:rFonts w:ascii="Book Antiqua" w:eastAsia="Calibri" w:hAnsi="Book Antiqua" w:cs="Times New Roman"/>
          <w:color w:val="000000" w:themeColor="text1"/>
          <w:sz w:val="24"/>
          <w:szCs w:val="24"/>
          <w:lang w:val="en-US"/>
        </w:rPr>
        <w:t xml:space="preserve"> Gojkovic S, Krezic I, Vrdoljak B, Malekinusic D, Barisic I, Petrovic A, Horvat Pavlov K, Kolovrat M, Duzel A, Knezevic M, Kasnik Kovac K, Drmic D, Batelja Vuletic L, Kokot A, Boban Blagaic A, Seiwerth S and Sikiric P analysed data</w:t>
      </w:r>
      <w:r w:rsidR="00DD702D" w:rsidRPr="00A36F29">
        <w:rPr>
          <w:rFonts w:ascii="Book Antiqua" w:eastAsia="Calibri" w:hAnsi="Book Antiqua" w:cs="Times New Roman"/>
          <w:color w:val="000000" w:themeColor="text1"/>
          <w:sz w:val="24"/>
          <w:szCs w:val="24"/>
          <w:lang w:val="en-US"/>
        </w:rPr>
        <w:t xml:space="preserve">; </w:t>
      </w:r>
      <w:r w:rsidRPr="00A36F29">
        <w:rPr>
          <w:rFonts w:ascii="Book Antiqua" w:eastAsia="Calibri" w:hAnsi="Book Antiqua" w:cs="Times New Roman"/>
          <w:color w:val="000000" w:themeColor="text1"/>
          <w:sz w:val="24"/>
          <w:szCs w:val="24"/>
          <w:lang w:val="en-US"/>
        </w:rPr>
        <w:t>Seiwerth S and Sikiric P contributed reagents and analytic tools</w:t>
      </w:r>
      <w:r w:rsidR="00DD702D" w:rsidRPr="00A36F29">
        <w:rPr>
          <w:rFonts w:ascii="Book Antiqua" w:eastAsia="Calibri" w:hAnsi="Book Antiqua" w:cs="Times New Roman"/>
          <w:color w:val="000000" w:themeColor="text1"/>
          <w:sz w:val="24"/>
          <w:szCs w:val="24"/>
          <w:lang w:val="en-US"/>
        </w:rPr>
        <w:t xml:space="preserve">; </w:t>
      </w:r>
      <w:r w:rsidRPr="00A36F29">
        <w:rPr>
          <w:rFonts w:ascii="Book Antiqua" w:eastAsia="Calibri" w:hAnsi="Book Antiqua" w:cs="Times New Roman"/>
          <w:color w:val="000000" w:themeColor="text1"/>
          <w:sz w:val="24"/>
          <w:szCs w:val="24"/>
          <w:lang w:val="en-US"/>
        </w:rPr>
        <w:t>Gojkovic S, Drmic D, Seiwerth S and Sikiric P wrote the manuscript.</w:t>
      </w:r>
    </w:p>
    <w:p w14:paraId="02118968" w14:textId="77777777" w:rsidR="00C871CF" w:rsidRPr="00A36F29" w:rsidRDefault="00C871CF" w:rsidP="00A36F29">
      <w:pPr>
        <w:spacing w:after="0" w:line="360" w:lineRule="auto"/>
        <w:jc w:val="both"/>
        <w:rPr>
          <w:rFonts w:ascii="Book Antiqua" w:eastAsia="Calibri" w:hAnsi="Book Antiqua" w:cs="Times New Roman"/>
          <w:color w:val="000000" w:themeColor="text1"/>
          <w:sz w:val="24"/>
          <w:szCs w:val="24"/>
          <w:lang w:val="en-US"/>
        </w:rPr>
      </w:pPr>
    </w:p>
    <w:p w14:paraId="71253FC0" w14:textId="11C2B8E8" w:rsidR="00C871CF" w:rsidRPr="00A36F29" w:rsidRDefault="00A86709" w:rsidP="00A36F29">
      <w:pPr>
        <w:spacing w:after="0" w:line="360" w:lineRule="auto"/>
        <w:jc w:val="both"/>
        <w:rPr>
          <w:rFonts w:ascii="Book Antiqua" w:eastAsia="Calibri" w:hAnsi="Book Antiqua" w:cs="Times New Roman"/>
          <w:color w:val="000000" w:themeColor="text1"/>
          <w:sz w:val="24"/>
          <w:szCs w:val="24"/>
          <w:lang w:val="en-US"/>
        </w:rPr>
      </w:pPr>
      <w:r w:rsidRPr="00A36F29">
        <w:rPr>
          <w:rFonts w:ascii="Book Antiqua" w:eastAsia="Calibri" w:hAnsi="Book Antiqua" w:cs="Times New Roman"/>
          <w:b/>
          <w:color w:val="000000" w:themeColor="text1"/>
          <w:sz w:val="24"/>
          <w:szCs w:val="24"/>
          <w:lang w:val="en-US"/>
        </w:rPr>
        <w:lastRenderedPageBreak/>
        <w:t xml:space="preserve">Corresponding author: </w:t>
      </w:r>
      <w:r w:rsidR="00C871CF" w:rsidRPr="00A36F29">
        <w:rPr>
          <w:rFonts w:ascii="Book Antiqua" w:eastAsia="Calibri" w:hAnsi="Book Antiqua" w:cs="Times New Roman"/>
          <w:b/>
          <w:bCs/>
          <w:color w:val="000000" w:themeColor="text1"/>
          <w:sz w:val="24"/>
          <w:szCs w:val="24"/>
          <w:lang w:val="en-US"/>
        </w:rPr>
        <w:t xml:space="preserve">Predrag Sikiric, MD, PhD, Professor, </w:t>
      </w:r>
      <w:r w:rsidR="00C871CF" w:rsidRPr="00A36F29">
        <w:rPr>
          <w:rFonts w:ascii="Book Antiqua" w:eastAsia="Calibri" w:hAnsi="Book Antiqua" w:cs="Times New Roman"/>
          <w:color w:val="000000" w:themeColor="text1"/>
          <w:sz w:val="24"/>
          <w:szCs w:val="24"/>
          <w:lang w:val="en-US"/>
        </w:rPr>
        <w:t>Department of Pharmacology, School of Medicine, University of Zagreb, Salata 11, POB 916, Zagreb</w:t>
      </w:r>
      <w:r w:rsidRPr="00A36F29">
        <w:rPr>
          <w:rFonts w:ascii="Book Antiqua" w:eastAsia="Calibri" w:hAnsi="Book Antiqua" w:cs="Times New Roman"/>
          <w:color w:val="000000" w:themeColor="text1"/>
          <w:sz w:val="24"/>
          <w:szCs w:val="24"/>
          <w:lang w:val="en-US"/>
        </w:rPr>
        <w:t xml:space="preserve"> 10000</w:t>
      </w:r>
      <w:r w:rsidR="00C871CF" w:rsidRPr="00A36F29">
        <w:rPr>
          <w:rFonts w:ascii="Book Antiqua" w:eastAsia="Calibri" w:hAnsi="Book Antiqua" w:cs="Times New Roman"/>
          <w:color w:val="000000" w:themeColor="text1"/>
          <w:sz w:val="24"/>
          <w:szCs w:val="24"/>
          <w:lang w:val="en-US"/>
        </w:rPr>
        <w:t>, Croatia.</w:t>
      </w:r>
      <w:r w:rsidR="0043591A" w:rsidRPr="00A36F29">
        <w:rPr>
          <w:rFonts w:ascii="Book Antiqua" w:eastAsia="Calibri" w:hAnsi="Book Antiqua" w:cs="Times New Roman"/>
          <w:color w:val="000000" w:themeColor="text1"/>
          <w:sz w:val="24"/>
          <w:szCs w:val="24"/>
          <w:lang w:val="en-US"/>
        </w:rPr>
        <w:t xml:space="preserve"> </w:t>
      </w:r>
      <w:r w:rsidR="00C871CF" w:rsidRPr="00A36F29">
        <w:rPr>
          <w:rFonts w:ascii="Book Antiqua" w:eastAsia="Calibri" w:hAnsi="Book Antiqua" w:cs="Times New Roman"/>
          <w:color w:val="000000" w:themeColor="text1"/>
          <w:sz w:val="24"/>
          <w:szCs w:val="24"/>
          <w:lang w:val="en-US"/>
        </w:rPr>
        <w:t>sikiric@mef.hr</w:t>
      </w:r>
      <w:r w:rsidR="00840B82" w:rsidRPr="00A36F29">
        <w:rPr>
          <w:rFonts w:ascii="Book Antiqua" w:eastAsia="Calibri" w:hAnsi="Book Antiqua" w:cs="Times New Roman"/>
          <w:color w:val="000000" w:themeColor="text1"/>
          <w:sz w:val="24"/>
          <w:szCs w:val="24"/>
          <w:lang w:val="en-US"/>
        </w:rPr>
        <w:t xml:space="preserve">  </w:t>
      </w:r>
    </w:p>
    <w:p w14:paraId="06BFADF9" w14:textId="377D94DF" w:rsidR="00A86709" w:rsidRPr="00A36F29" w:rsidRDefault="00A86709" w:rsidP="00A36F29">
      <w:pPr>
        <w:widowControl w:val="0"/>
        <w:adjustRightInd w:val="0"/>
        <w:snapToGrid w:val="0"/>
        <w:spacing w:after="0" w:line="360" w:lineRule="auto"/>
        <w:jc w:val="both"/>
        <w:rPr>
          <w:rFonts w:ascii="Book Antiqua" w:hAnsi="Book Antiqua"/>
          <w:color w:val="000000" w:themeColor="text1"/>
          <w:kern w:val="2"/>
          <w:sz w:val="24"/>
          <w:szCs w:val="24"/>
          <w:lang w:eastAsia="zh-CN"/>
        </w:rPr>
      </w:pPr>
      <w:bookmarkStart w:id="0" w:name="OLE_LINK75"/>
      <w:bookmarkStart w:id="1" w:name="OLE_LINK76"/>
      <w:bookmarkStart w:id="2" w:name="OLE_LINK269"/>
      <w:bookmarkStart w:id="3" w:name="OLE_LINK239"/>
      <w:r w:rsidRPr="00A36F29">
        <w:rPr>
          <w:rFonts w:ascii="Book Antiqua" w:hAnsi="Book Antiqua"/>
          <w:b/>
          <w:color w:val="000000" w:themeColor="text1"/>
          <w:kern w:val="2"/>
          <w:sz w:val="24"/>
          <w:szCs w:val="24"/>
          <w:lang w:eastAsia="zh-CN"/>
        </w:rPr>
        <w:t xml:space="preserve">Received: </w:t>
      </w:r>
      <w:r w:rsidR="00BE7E94" w:rsidRPr="00A36F29">
        <w:rPr>
          <w:rFonts w:ascii="Book Antiqua" w:hAnsi="Book Antiqua"/>
          <w:color w:val="000000" w:themeColor="text1"/>
          <w:kern w:val="2"/>
          <w:sz w:val="24"/>
          <w:szCs w:val="24"/>
          <w:lang w:eastAsia="zh-CN"/>
        </w:rPr>
        <w:t>October 7</w:t>
      </w:r>
      <w:r w:rsidRPr="00A36F29">
        <w:rPr>
          <w:rFonts w:ascii="Book Antiqua" w:hAnsi="Book Antiqua"/>
          <w:color w:val="000000" w:themeColor="text1"/>
          <w:kern w:val="2"/>
          <w:sz w:val="24"/>
          <w:szCs w:val="24"/>
          <w:lang w:eastAsia="zh-CN"/>
        </w:rPr>
        <w:t>, 2019</w:t>
      </w:r>
    </w:p>
    <w:p w14:paraId="0281CC9A" w14:textId="4D9EA4AC" w:rsidR="00A86709" w:rsidRPr="00A36F29" w:rsidRDefault="00A86709" w:rsidP="00A36F29">
      <w:pPr>
        <w:widowControl w:val="0"/>
        <w:adjustRightInd w:val="0"/>
        <w:snapToGrid w:val="0"/>
        <w:spacing w:after="0" w:line="360" w:lineRule="auto"/>
        <w:jc w:val="both"/>
        <w:rPr>
          <w:rFonts w:ascii="Book Antiqua" w:hAnsi="Book Antiqua"/>
          <w:b/>
          <w:color w:val="000000" w:themeColor="text1"/>
          <w:kern w:val="2"/>
          <w:sz w:val="24"/>
          <w:szCs w:val="24"/>
          <w:lang w:eastAsia="zh-CN"/>
        </w:rPr>
      </w:pPr>
      <w:r w:rsidRPr="00A36F29">
        <w:rPr>
          <w:rFonts w:ascii="Book Antiqua" w:hAnsi="Book Antiqua"/>
          <w:b/>
          <w:color w:val="000000" w:themeColor="text1"/>
          <w:kern w:val="2"/>
          <w:sz w:val="24"/>
          <w:szCs w:val="24"/>
          <w:lang w:eastAsia="zh-CN"/>
        </w:rPr>
        <w:t xml:space="preserve">Revised: </w:t>
      </w:r>
      <w:r w:rsidR="0043591A" w:rsidRPr="00A36F29">
        <w:rPr>
          <w:rFonts w:ascii="Book Antiqua" w:hAnsi="Book Antiqua"/>
          <w:color w:val="000000" w:themeColor="text1"/>
          <w:kern w:val="2"/>
          <w:sz w:val="24"/>
          <w:szCs w:val="24"/>
          <w:lang w:eastAsia="zh-CN"/>
        </w:rPr>
        <w:t xml:space="preserve">December </w:t>
      </w:r>
      <w:r w:rsidRPr="00A36F29">
        <w:rPr>
          <w:rFonts w:ascii="Book Antiqua" w:hAnsi="Book Antiqua"/>
          <w:color w:val="000000" w:themeColor="text1"/>
          <w:kern w:val="2"/>
          <w:sz w:val="24"/>
          <w:szCs w:val="24"/>
          <w:lang w:eastAsia="zh-CN"/>
        </w:rPr>
        <w:t>2</w:t>
      </w:r>
      <w:r w:rsidR="0043591A" w:rsidRPr="00A36F29">
        <w:rPr>
          <w:rFonts w:ascii="Book Antiqua" w:hAnsi="Book Antiqua"/>
          <w:color w:val="000000" w:themeColor="text1"/>
          <w:kern w:val="2"/>
          <w:sz w:val="24"/>
          <w:szCs w:val="24"/>
          <w:lang w:eastAsia="zh-CN"/>
        </w:rPr>
        <w:t>0</w:t>
      </w:r>
      <w:r w:rsidRPr="00A36F29">
        <w:rPr>
          <w:rFonts w:ascii="Book Antiqua" w:hAnsi="Book Antiqua"/>
          <w:color w:val="000000" w:themeColor="text1"/>
          <w:kern w:val="2"/>
          <w:sz w:val="24"/>
          <w:szCs w:val="24"/>
          <w:lang w:eastAsia="zh-CN"/>
        </w:rPr>
        <w:t>, 2019</w:t>
      </w:r>
    </w:p>
    <w:p w14:paraId="4892EAB0" w14:textId="6990C0B5" w:rsidR="00A86709" w:rsidRPr="00A36F29" w:rsidRDefault="00A86709" w:rsidP="00A36F29">
      <w:pPr>
        <w:widowControl w:val="0"/>
        <w:adjustRightInd w:val="0"/>
        <w:snapToGrid w:val="0"/>
        <w:spacing w:after="0" w:line="360" w:lineRule="auto"/>
        <w:jc w:val="both"/>
        <w:rPr>
          <w:rFonts w:ascii="Book Antiqua" w:hAnsi="Book Antiqua"/>
          <w:color w:val="000000" w:themeColor="text1"/>
          <w:kern w:val="2"/>
          <w:sz w:val="24"/>
          <w:szCs w:val="24"/>
          <w:lang w:eastAsia="zh-CN"/>
        </w:rPr>
      </w:pPr>
      <w:r w:rsidRPr="00A36F29">
        <w:rPr>
          <w:rFonts w:ascii="Book Antiqua" w:hAnsi="Book Antiqua"/>
          <w:b/>
          <w:color w:val="000000" w:themeColor="text1"/>
          <w:kern w:val="2"/>
          <w:sz w:val="24"/>
          <w:szCs w:val="24"/>
          <w:lang w:eastAsia="zh-CN"/>
        </w:rPr>
        <w:t>Accepted:</w:t>
      </w:r>
      <w:r w:rsidRPr="00A36F29">
        <w:rPr>
          <w:rFonts w:ascii="Book Antiqua" w:hAnsi="Book Antiqua"/>
          <w:color w:val="000000" w:themeColor="text1"/>
          <w:sz w:val="24"/>
          <w:szCs w:val="24"/>
        </w:rPr>
        <w:t xml:space="preserve"> </w:t>
      </w:r>
      <w:r w:rsidR="00436CAD">
        <w:rPr>
          <w:rFonts w:ascii="Book Antiqua" w:hAnsi="Book Antiqua"/>
          <w:color w:val="000000" w:themeColor="text1"/>
          <w:sz w:val="24"/>
          <w:szCs w:val="24"/>
        </w:rPr>
        <w:t>January 19, 2020</w:t>
      </w:r>
    </w:p>
    <w:p w14:paraId="47424B5D" w14:textId="77777777" w:rsidR="00A86709" w:rsidRPr="00A36F29" w:rsidRDefault="00A86709" w:rsidP="00A36F29">
      <w:pPr>
        <w:widowControl w:val="0"/>
        <w:adjustRightInd w:val="0"/>
        <w:snapToGrid w:val="0"/>
        <w:spacing w:after="0" w:line="360" w:lineRule="auto"/>
        <w:jc w:val="both"/>
        <w:rPr>
          <w:rFonts w:ascii="Book Antiqua" w:hAnsi="Book Antiqua"/>
          <w:b/>
          <w:color w:val="000000" w:themeColor="text1"/>
          <w:kern w:val="2"/>
          <w:sz w:val="24"/>
          <w:szCs w:val="24"/>
          <w:lang w:eastAsia="zh-CN"/>
        </w:rPr>
      </w:pPr>
      <w:r w:rsidRPr="00A36F29">
        <w:rPr>
          <w:rFonts w:ascii="Book Antiqua" w:hAnsi="Book Antiqua"/>
          <w:b/>
          <w:color w:val="000000" w:themeColor="text1"/>
          <w:kern w:val="2"/>
          <w:sz w:val="24"/>
          <w:szCs w:val="24"/>
          <w:lang w:eastAsia="zh-CN"/>
        </w:rPr>
        <w:t>Published online:</w:t>
      </w:r>
      <w:bookmarkEnd w:id="0"/>
      <w:bookmarkEnd w:id="1"/>
      <w:bookmarkEnd w:id="2"/>
      <w:bookmarkEnd w:id="3"/>
    </w:p>
    <w:p w14:paraId="14852CBA" w14:textId="089679F9" w:rsidR="0043591A" w:rsidRPr="00A36F29" w:rsidRDefault="0043591A" w:rsidP="00A36F29">
      <w:pPr>
        <w:spacing w:after="0" w:line="360" w:lineRule="auto"/>
        <w:jc w:val="both"/>
        <w:rPr>
          <w:rFonts w:ascii="Book Antiqua" w:eastAsia="Calibri" w:hAnsi="Book Antiqua" w:cs="Times New Roman"/>
          <w:color w:val="000000" w:themeColor="text1"/>
          <w:sz w:val="24"/>
          <w:szCs w:val="24"/>
          <w:lang w:val="en-US"/>
        </w:rPr>
      </w:pPr>
      <w:r w:rsidRPr="00A36F29">
        <w:rPr>
          <w:rFonts w:ascii="Book Antiqua" w:eastAsia="Calibri" w:hAnsi="Book Antiqua" w:cs="Times New Roman"/>
          <w:color w:val="000000" w:themeColor="text1"/>
          <w:sz w:val="24"/>
          <w:szCs w:val="24"/>
          <w:lang w:val="en-US"/>
        </w:rPr>
        <w:br w:type="page"/>
      </w:r>
    </w:p>
    <w:p w14:paraId="59CF8857" w14:textId="77777777" w:rsidR="00C871CF" w:rsidRPr="00A36F29" w:rsidRDefault="00C871CF" w:rsidP="00A36F29">
      <w:pPr>
        <w:spacing w:after="0" w:line="360" w:lineRule="auto"/>
        <w:jc w:val="both"/>
        <w:rPr>
          <w:rFonts w:ascii="Book Antiqua" w:hAnsi="Book Antiqua" w:cs="Times New Roman"/>
          <w:b/>
          <w:color w:val="000000" w:themeColor="text1"/>
          <w:sz w:val="24"/>
          <w:szCs w:val="24"/>
          <w:lang w:val="en-US"/>
        </w:rPr>
      </w:pPr>
      <w:r w:rsidRPr="00A36F29">
        <w:rPr>
          <w:rFonts w:ascii="Book Antiqua" w:hAnsi="Book Antiqua" w:cs="Times New Roman"/>
          <w:b/>
          <w:color w:val="000000" w:themeColor="text1"/>
          <w:sz w:val="24"/>
          <w:szCs w:val="24"/>
          <w:lang w:val="en-US"/>
        </w:rPr>
        <w:lastRenderedPageBreak/>
        <w:t>Abstract</w:t>
      </w:r>
    </w:p>
    <w:p w14:paraId="3ADD0D45" w14:textId="77777777" w:rsidR="0043591A" w:rsidRPr="00A36F29" w:rsidRDefault="00C871CF" w:rsidP="00A36F29">
      <w:pPr>
        <w:autoSpaceDE w:val="0"/>
        <w:autoSpaceDN w:val="0"/>
        <w:adjustRightInd w:val="0"/>
        <w:spacing w:after="0" w:line="360" w:lineRule="auto"/>
        <w:jc w:val="both"/>
        <w:rPr>
          <w:rFonts w:ascii="Book Antiqua" w:hAnsi="Book Antiqua" w:cs="Book Antiqua"/>
          <w:color w:val="000000" w:themeColor="text1"/>
          <w:sz w:val="24"/>
          <w:szCs w:val="24"/>
        </w:rPr>
      </w:pPr>
      <w:r w:rsidRPr="00A36F29">
        <w:rPr>
          <w:rFonts w:ascii="Book Antiqua" w:hAnsi="Book Antiqua" w:cs="Book Antiqua"/>
          <w:color w:val="000000" w:themeColor="text1"/>
          <w:sz w:val="24"/>
          <w:szCs w:val="24"/>
        </w:rPr>
        <w:t>BACKGROUND</w:t>
      </w:r>
    </w:p>
    <w:p w14:paraId="09AE623A" w14:textId="51861E98" w:rsidR="00C871CF" w:rsidRPr="00A36F29" w:rsidRDefault="00C871CF" w:rsidP="00A36F29">
      <w:pPr>
        <w:autoSpaceDE w:val="0"/>
        <w:autoSpaceDN w:val="0"/>
        <w:adjustRightInd w:val="0"/>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Recently, as a possible therapy resolving solution, pentadecapeptide BPC 157 therapy,</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has been used in alleviating various vascular occlusion disturbances. BPC 157 was previously reviewed as novel mediator of Robert cytoprotection and endothelium protection in the stomach, and gut-brain axis,</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beneficial therapy in gastrointestinal tract, with particular reference to vascular recruitment, ulcerative colitis and tumor cachexia, and other tissues healing. Here we raised new hypothesis about</w:t>
      </w:r>
      <w:r w:rsidR="00333F1A" w:rsidRPr="00A36F29">
        <w:rPr>
          <w:rFonts w:ascii="Book Antiqua" w:hAnsi="Book Antiqua" w:cs="Courier New"/>
          <w:color w:val="000000" w:themeColor="text1"/>
          <w:sz w:val="24"/>
          <w:szCs w:val="24"/>
          <w:lang w:val="en-US"/>
        </w:rPr>
        <w:t xml:space="preserve"> BPC 157 therapy</w:t>
      </w:r>
      <w:r w:rsidRPr="00A36F29">
        <w:rPr>
          <w:rFonts w:ascii="Book Antiqua" w:hAnsi="Book Antiqua" w:cs="Courier New"/>
          <w:color w:val="000000" w:themeColor="text1"/>
          <w:sz w:val="24"/>
          <w:szCs w:val="24"/>
          <w:lang w:val="en-US"/>
        </w:rPr>
        <w:t xml:space="preserve"> </w:t>
      </w:r>
      <w:r w:rsidR="00333F1A" w:rsidRPr="00A36F29">
        <w:rPr>
          <w:rFonts w:ascii="Book Antiqua" w:hAnsi="Book Antiqua" w:cs="Courier New"/>
          <w:color w:val="000000" w:themeColor="text1"/>
          <w:sz w:val="24"/>
          <w:szCs w:val="24"/>
          <w:lang w:val="en-US"/>
        </w:rPr>
        <w:t xml:space="preserve">in the Budd-Chiari syndrome in rats, </w:t>
      </w:r>
      <w:r w:rsidRPr="00A36F29">
        <w:rPr>
          <w:rFonts w:ascii="Book Antiqua" w:hAnsi="Book Antiqua" w:cs="Courier New"/>
          <w:color w:val="000000" w:themeColor="text1"/>
          <w:sz w:val="24"/>
          <w:szCs w:val="24"/>
          <w:lang w:val="en-US"/>
        </w:rPr>
        <w:t xml:space="preserve">rapid bypassing of the suprahepatic inferior caval vein </w:t>
      </w:r>
      <w:r w:rsidR="00333F1A" w:rsidRPr="00A36F29">
        <w:rPr>
          <w:rFonts w:ascii="Book Antiqua" w:hAnsi="Book Antiqua" w:cs="Courier New"/>
          <w:color w:val="000000" w:themeColor="text1"/>
          <w:sz w:val="24"/>
          <w:szCs w:val="24"/>
          <w:lang w:val="en-US"/>
        </w:rPr>
        <w:t>occlusion, and rats recovery</w:t>
      </w:r>
      <w:r w:rsidRPr="00A36F29">
        <w:rPr>
          <w:rFonts w:ascii="Book Antiqua" w:hAnsi="Book Antiqua" w:cs="Courier New"/>
          <w:color w:val="000000" w:themeColor="text1"/>
          <w:sz w:val="24"/>
          <w:szCs w:val="24"/>
          <w:lang w:val="en-US"/>
        </w:rPr>
        <w:t xml:space="preserve"> </w:t>
      </w:r>
      <w:r w:rsidR="00333F1A" w:rsidRPr="00A36F29">
        <w:rPr>
          <w:rFonts w:ascii="Book Antiqua" w:hAnsi="Book Antiqua" w:cs="Courier New"/>
          <w:color w:val="000000" w:themeColor="text1"/>
          <w:sz w:val="24"/>
          <w:szCs w:val="24"/>
          <w:lang w:val="en-US"/>
        </w:rPr>
        <w:t>with the</w:t>
      </w:r>
      <w:r w:rsidRPr="00A36F29">
        <w:rPr>
          <w:rFonts w:ascii="Book Antiqua" w:hAnsi="Book Antiqua" w:cs="Courier New"/>
          <w:color w:val="000000" w:themeColor="text1"/>
          <w:sz w:val="24"/>
          <w:szCs w:val="24"/>
          <w:lang w:val="en-US"/>
        </w:rPr>
        <w:t xml:space="preserve"> active and effective pharmacotherapy treatment. </w:t>
      </w:r>
    </w:p>
    <w:p w14:paraId="150CB225" w14:textId="77777777" w:rsidR="00C871CF" w:rsidRPr="00A36F29" w:rsidRDefault="00C871CF" w:rsidP="00A36F29">
      <w:pPr>
        <w:spacing w:after="0" w:line="360" w:lineRule="auto"/>
        <w:jc w:val="both"/>
        <w:rPr>
          <w:rFonts w:ascii="Book Antiqua" w:hAnsi="Book Antiqua" w:cs="Times New Roman"/>
          <w:b/>
          <w:color w:val="000000" w:themeColor="text1"/>
          <w:sz w:val="24"/>
          <w:szCs w:val="24"/>
          <w:lang w:val="en-US"/>
        </w:rPr>
      </w:pPr>
    </w:p>
    <w:p w14:paraId="2DB0FD66" w14:textId="2B577E60" w:rsidR="0043591A" w:rsidRPr="00A36F29" w:rsidRDefault="00C871CF" w:rsidP="00A36F29">
      <w:pPr>
        <w:spacing w:after="0" w:line="360" w:lineRule="auto"/>
        <w:jc w:val="both"/>
        <w:rPr>
          <w:rFonts w:ascii="Book Antiqua" w:hAnsi="Book Antiqua" w:cs="Times New Roman"/>
          <w:bCs/>
          <w:color w:val="000000" w:themeColor="text1"/>
          <w:sz w:val="24"/>
          <w:szCs w:val="24"/>
          <w:lang w:val="en-US"/>
        </w:rPr>
      </w:pPr>
      <w:r w:rsidRPr="00A36F29">
        <w:rPr>
          <w:rFonts w:ascii="Book Antiqua" w:hAnsi="Book Antiqua" w:cs="Times New Roman"/>
          <w:bCs/>
          <w:color w:val="000000" w:themeColor="text1"/>
          <w:sz w:val="24"/>
          <w:szCs w:val="24"/>
          <w:lang w:val="en-US"/>
        </w:rPr>
        <w:t>AIM</w:t>
      </w:r>
    </w:p>
    <w:p w14:paraId="5697EF75" w14:textId="21FBE483" w:rsidR="0093390D" w:rsidRPr="00A36F29" w:rsidRDefault="0093390D" w:rsidP="00A36F29">
      <w:pPr>
        <w:spacing w:after="0" w:line="360" w:lineRule="auto"/>
        <w:jc w:val="both"/>
        <w:rPr>
          <w:rFonts w:ascii="Book Antiqua" w:hAnsi="Book Antiqua" w:cs="Times New Roman"/>
          <w:bCs/>
          <w:color w:val="000000" w:themeColor="text1"/>
          <w:sz w:val="24"/>
          <w:szCs w:val="24"/>
          <w:lang w:val="en-US" w:eastAsia="zh-CN"/>
        </w:rPr>
      </w:pPr>
      <w:r w:rsidRPr="00A36F29">
        <w:rPr>
          <w:rFonts w:ascii="Book Antiqua" w:hAnsi="Book Antiqua" w:cs="Times New Roman"/>
          <w:bCs/>
          <w:color w:val="000000" w:themeColor="text1"/>
          <w:sz w:val="24"/>
          <w:szCs w:val="24"/>
          <w:lang w:val="en-US" w:eastAsia="zh-CN"/>
        </w:rPr>
        <w:t xml:space="preserve">To </w:t>
      </w:r>
      <w:r w:rsidRPr="00A36F29">
        <w:rPr>
          <w:rFonts w:ascii="Book Antiqua" w:hAnsi="Book Antiqua" w:cs="Times New Roman"/>
          <w:color w:val="000000" w:themeColor="text1"/>
          <w:sz w:val="24"/>
          <w:szCs w:val="24"/>
          <w:lang w:val="en-US"/>
        </w:rPr>
        <w:t>investigate Budd-Chiari syndrome model (inferior caval vein suprahepatic occlusion) resolution, since BPC 157 resolves various rat vascular occlusion,</w:t>
      </w:r>
    </w:p>
    <w:p w14:paraId="32CD637D" w14:textId="77777777" w:rsidR="0093390D" w:rsidRPr="00A36F29" w:rsidRDefault="0093390D" w:rsidP="00A36F29">
      <w:pPr>
        <w:spacing w:after="0" w:line="360" w:lineRule="auto"/>
        <w:jc w:val="both"/>
        <w:rPr>
          <w:rFonts w:ascii="Book Antiqua" w:hAnsi="Book Antiqua" w:cs="Times New Roman"/>
          <w:color w:val="000000" w:themeColor="text1"/>
          <w:sz w:val="24"/>
          <w:szCs w:val="24"/>
          <w:lang w:val="en-US"/>
        </w:rPr>
      </w:pPr>
    </w:p>
    <w:p w14:paraId="5E3A9BF2" w14:textId="45F3BE03" w:rsidR="00C871CF" w:rsidRPr="00A36F29" w:rsidRDefault="00C871CF" w:rsidP="00A36F29">
      <w:pPr>
        <w:spacing w:after="0" w:line="360" w:lineRule="auto"/>
        <w:jc w:val="both"/>
        <w:rPr>
          <w:rFonts w:ascii="Book Antiqua" w:hAnsi="Book Antiqua" w:cs="Times New Roman"/>
          <w:bCs/>
          <w:color w:val="000000" w:themeColor="text1"/>
          <w:sz w:val="24"/>
          <w:szCs w:val="24"/>
          <w:lang w:val="en-US"/>
        </w:rPr>
      </w:pPr>
      <w:r w:rsidRPr="00A36F29">
        <w:rPr>
          <w:rFonts w:ascii="Book Antiqua" w:hAnsi="Book Antiqua" w:cs="Times New Roman"/>
          <w:bCs/>
          <w:color w:val="000000" w:themeColor="text1"/>
          <w:sz w:val="24"/>
          <w:szCs w:val="24"/>
          <w:lang w:val="en-US"/>
        </w:rPr>
        <w:t>METHODS</w:t>
      </w:r>
    </w:p>
    <w:p w14:paraId="097D7167" w14:textId="58E63626"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color w:val="000000" w:themeColor="text1"/>
          <w:sz w:val="24"/>
          <w:szCs w:val="24"/>
          <w:lang w:val="en-US"/>
        </w:rPr>
        <w:t>We assessed the activated bypassing pathways between the inferior and superior caval veins and portocaval shunt, counteracted caval/portal hypertension, aortal hypotension, venous/arterial thrombosis, electrocardiogram disturbances, liver and gastrointestinal lesions (</w:t>
      </w:r>
      <w:r w:rsidR="0093390D" w:rsidRPr="00A36F29">
        <w:rPr>
          <w:rFonts w:ascii="Book Antiqua" w:hAnsi="Book Antiqua" w:cs="Times New Roman"/>
          <w:i/>
          <w:iCs/>
          <w:color w:val="000000" w:themeColor="text1"/>
          <w:sz w:val="24"/>
          <w:szCs w:val="24"/>
          <w:lang w:val="en-US"/>
        </w:rPr>
        <w:t>i.e.</w:t>
      </w:r>
      <w:r w:rsidRPr="00A36F29">
        <w:rPr>
          <w:rFonts w:ascii="Book Antiqua" w:hAnsi="Book Antiqua" w:cs="Times New Roman"/>
          <w:color w:val="000000" w:themeColor="text1"/>
          <w:sz w:val="24"/>
          <w:szCs w:val="24"/>
          <w:lang w:val="en-US"/>
        </w:rPr>
        <w:t>, stomach and duodenum hemorrhages, in particular, congestion). Rats with suprahepatic occlusion of the inferior vena cava by ligation were medicated at 1 min, 15 min, 24 h, or 48 h post-ligation. Medication consisted of 10 µg/kg BPC 157, 10 ng BPC 157 or 5 mL/kg saline, administered once as an abdominal bath or intragastric application. Gross and microscopic observations were made, in addition to assessments of electrical activity of the heart (</w:t>
      </w:r>
      <w:r w:rsidR="0093390D" w:rsidRPr="00A36F29">
        <w:rPr>
          <w:rFonts w:ascii="Book Antiqua" w:hAnsi="Book Antiqua" w:cs="Times New Roman"/>
          <w:color w:val="000000" w:themeColor="text1"/>
          <w:sz w:val="24"/>
          <w:szCs w:val="24"/>
          <w:lang w:val="en-US"/>
        </w:rPr>
        <w:t>electrocardiogram</w:t>
      </w:r>
      <w:r w:rsidRPr="00A36F29">
        <w:rPr>
          <w:rFonts w:ascii="Book Antiqua" w:hAnsi="Book Antiqua" w:cs="Times New Roman"/>
          <w:color w:val="000000" w:themeColor="text1"/>
          <w:sz w:val="24"/>
          <w:szCs w:val="24"/>
          <w:lang w:val="en-US"/>
        </w:rPr>
        <w:t>), portal and caval hypertension, aortal hypotension, thrombosis, hepatomegaly, splenomegaly and venography. Furthermore, levels of nitric oxide, malondialdehyde in the liver and serum enzymes were determined.</w:t>
      </w:r>
    </w:p>
    <w:p w14:paraId="2C7431C5"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00A612A2" w14:textId="77777777" w:rsidR="00C871CF" w:rsidRPr="00A36F29" w:rsidRDefault="00C871CF" w:rsidP="00A36F29">
      <w:pPr>
        <w:spacing w:after="0" w:line="360" w:lineRule="auto"/>
        <w:jc w:val="both"/>
        <w:rPr>
          <w:rFonts w:ascii="Book Antiqua" w:hAnsi="Book Antiqua" w:cs="Times New Roman"/>
          <w:bCs/>
          <w:color w:val="000000" w:themeColor="text1"/>
          <w:sz w:val="24"/>
          <w:szCs w:val="24"/>
          <w:lang w:val="en-US"/>
        </w:rPr>
      </w:pPr>
      <w:r w:rsidRPr="00A36F29">
        <w:rPr>
          <w:rFonts w:ascii="Book Antiqua" w:hAnsi="Book Antiqua" w:cs="Times New Roman"/>
          <w:bCs/>
          <w:color w:val="000000" w:themeColor="text1"/>
          <w:sz w:val="24"/>
          <w:szCs w:val="24"/>
          <w:lang w:val="en-US"/>
        </w:rPr>
        <w:t>RESULTS</w:t>
      </w:r>
    </w:p>
    <w:p w14:paraId="7E258FF0" w14:textId="0E47AB51"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color w:val="000000" w:themeColor="text1"/>
          <w:sz w:val="24"/>
          <w:szCs w:val="24"/>
          <w:lang w:val="en-US"/>
        </w:rPr>
        <w:lastRenderedPageBreak/>
        <w:t xml:space="preserve">BPC 157 counteracted increased P wave amplitude, tachycardia and ST-elevation, </w:t>
      </w:r>
      <w:r w:rsidR="0093390D" w:rsidRPr="00A36F29">
        <w:rPr>
          <w:rFonts w:ascii="Book Antiqua" w:hAnsi="Book Antiqua" w:cs="Times New Roman"/>
          <w:i/>
          <w:iCs/>
          <w:color w:val="000000" w:themeColor="text1"/>
          <w:sz w:val="24"/>
          <w:szCs w:val="24"/>
          <w:lang w:val="en-US"/>
        </w:rPr>
        <w:t>i.e.</w:t>
      </w:r>
      <w:r w:rsidRPr="00A36F29">
        <w:rPr>
          <w:rFonts w:ascii="Book Antiqua" w:hAnsi="Book Antiqua" w:cs="Times New Roman"/>
          <w:color w:val="000000" w:themeColor="text1"/>
          <w:sz w:val="24"/>
          <w:szCs w:val="24"/>
          <w:lang w:val="en-US"/>
        </w:rPr>
        <w:t>, right heart failure from acute thrombotic coronary occlusion. The bypassing pathway of the inferior vena cava-azygos (hemiazygos) vein-superior vena cava and portocaval shunt occurred rapidly. Even with severe caval</w:t>
      </w:r>
      <w:r w:rsidR="00FD09AD" w:rsidRPr="00A36F29">
        <w:rPr>
          <w:rFonts w:ascii="Book Antiqua" w:hAnsi="Book Antiqua" w:cs="Times New Roman"/>
          <w:color w:val="000000" w:themeColor="text1"/>
          <w:sz w:val="24"/>
          <w:szCs w:val="24"/>
          <w:lang w:val="en-US"/>
        </w:rPr>
        <w:t xml:space="preserve"> </w:t>
      </w:r>
      <w:r w:rsidRPr="00A36F29">
        <w:rPr>
          <w:rFonts w:ascii="Times New Roman" w:hAnsi="Times New Roman" w:cs="Times New Roman"/>
          <w:color w:val="000000" w:themeColor="text1"/>
          <w:sz w:val="24"/>
          <w:szCs w:val="24"/>
          <w:lang w:val="en-US"/>
        </w:rPr>
        <w:t>˃</w:t>
      </w:r>
      <w:r w:rsidR="00FD09AD" w:rsidRPr="00A36F29">
        <w:rPr>
          <w:rFonts w:ascii="Book Antiqua" w:hAnsi="Book Antiqua" w:cs="Times New Roman"/>
          <w:color w:val="000000" w:themeColor="text1"/>
          <w:sz w:val="24"/>
          <w:szCs w:val="24"/>
          <w:lang w:val="en-US"/>
        </w:rPr>
        <w:t xml:space="preserve"> </w:t>
      </w:r>
      <w:r w:rsidRPr="00A36F29">
        <w:rPr>
          <w:rFonts w:ascii="Book Antiqua" w:hAnsi="Book Antiqua" w:cs="Times New Roman"/>
          <w:color w:val="000000" w:themeColor="text1"/>
          <w:sz w:val="24"/>
          <w:szCs w:val="24"/>
          <w:lang w:val="en-US"/>
        </w:rPr>
        <w:t xml:space="preserve">portal hypertension, BPC 157 antagonized portal and caval hypertension and aortal hypotension, and also reduced refractory ascites. Thrombosis of portal vein tributaries, inferior vena cava, and hepatic and coronary arteries was attenuated. In addition, there was reduced pathology of the lungs (severe capillary congestion) and liver (dilated central veins and terminal portal venules), decreased intestine hemorrhagic lesions (substantial capillary congestion, submucosal edema and architecture loss), and increased liver and spleen weight. During the period of ligation, </w:t>
      </w:r>
      <w:r w:rsidR="0093390D" w:rsidRPr="00A36F29">
        <w:rPr>
          <w:rFonts w:ascii="Book Antiqua" w:hAnsi="Book Antiqua" w:cs="Times New Roman"/>
          <w:color w:val="000000" w:themeColor="text1"/>
          <w:sz w:val="24"/>
          <w:szCs w:val="24"/>
          <w:lang w:val="en-US"/>
        </w:rPr>
        <w:t>nitric oxide</w:t>
      </w:r>
      <w:r w:rsidRPr="00A36F29">
        <w:rPr>
          <w:rFonts w:ascii="Book Antiqua" w:hAnsi="Book Antiqua" w:cs="Times New Roman"/>
          <w:color w:val="000000" w:themeColor="text1"/>
          <w:sz w:val="24"/>
          <w:szCs w:val="24"/>
          <w:lang w:val="en-US"/>
        </w:rPr>
        <w:t xml:space="preserve">- and </w:t>
      </w:r>
      <w:r w:rsidR="0093390D" w:rsidRPr="00A36F29">
        <w:rPr>
          <w:rFonts w:ascii="Book Antiqua" w:hAnsi="Book Antiqua" w:cs="Times New Roman"/>
          <w:color w:val="000000" w:themeColor="text1"/>
          <w:sz w:val="24"/>
          <w:szCs w:val="24"/>
          <w:lang w:val="en-US"/>
        </w:rPr>
        <w:t>malondialdehyde</w:t>
      </w:r>
      <w:r w:rsidRPr="00A36F29">
        <w:rPr>
          <w:rFonts w:ascii="Book Antiqua" w:hAnsi="Book Antiqua" w:cs="Times New Roman"/>
          <w:color w:val="000000" w:themeColor="text1"/>
          <w:sz w:val="24"/>
          <w:szCs w:val="24"/>
          <w:lang w:val="en-US"/>
        </w:rPr>
        <w:t>-levels in the liver remained within normal healthy values, and increases in serum enzymes were markedly reduced.</w:t>
      </w:r>
    </w:p>
    <w:p w14:paraId="020FE826"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37499F7F" w14:textId="77777777" w:rsidR="00C871CF" w:rsidRPr="00A36F29" w:rsidRDefault="00C871CF" w:rsidP="00A36F29">
      <w:pPr>
        <w:spacing w:after="0" w:line="360" w:lineRule="auto"/>
        <w:jc w:val="both"/>
        <w:rPr>
          <w:rFonts w:ascii="Book Antiqua" w:hAnsi="Book Antiqua" w:cs="Times New Roman"/>
          <w:bCs/>
          <w:color w:val="000000" w:themeColor="text1"/>
          <w:sz w:val="24"/>
          <w:szCs w:val="24"/>
          <w:lang w:val="en-US"/>
        </w:rPr>
      </w:pPr>
      <w:r w:rsidRPr="00A36F29">
        <w:rPr>
          <w:rFonts w:ascii="Book Antiqua" w:hAnsi="Book Antiqua" w:cs="Times New Roman"/>
          <w:bCs/>
          <w:color w:val="000000" w:themeColor="text1"/>
          <w:sz w:val="24"/>
          <w:szCs w:val="24"/>
          <w:lang w:val="en-US"/>
        </w:rPr>
        <w:t>CONCLUSION</w:t>
      </w:r>
    </w:p>
    <w:p w14:paraId="1E788CA1"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color w:val="000000" w:themeColor="text1"/>
          <w:sz w:val="24"/>
          <w:szCs w:val="24"/>
          <w:lang w:val="en-US"/>
        </w:rPr>
        <w:t>BPC 157 counteracts Budd Chiari syndrome in rats.</w:t>
      </w:r>
    </w:p>
    <w:p w14:paraId="11B7BD87"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50EEB0FE" w14:textId="57F06B6A"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b/>
          <w:color w:val="000000" w:themeColor="text1"/>
          <w:sz w:val="24"/>
          <w:szCs w:val="24"/>
          <w:lang w:val="en-US"/>
        </w:rPr>
        <w:t xml:space="preserve">Key words: </w:t>
      </w:r>
      <w:r w:rsidRPr="00A36F29">
        <w:rPr>
          <w:rFonts w:ascii="Book Antiqua" w:hAnsi="Book Antiqua" w:cs="Times New Roman"/>
          <w:color w:val="000000" w:themeColor="text1"/>
          <w:sz w:val="24"/>
          <w:szCs w:val="24"/>
          <w:lang w:val="en-US"/>
        </w:rPr>
        <w:t>BPC 157;</w:t>
      </w:r>
      <w:r w:rsidRPr="00A36F29">
        <w:rPr>
          <w:rFonts w:ascii="Book Antiqua" w:hAnsi="Book Antiqua" w:cs="Times New Roman"/>
          <w:b/>
          <w:color w:val="000000" w:themeColor="text1"/>
          <w:sz w:val="24"/>
          <w:szCs w:val="24"/>
          <w:lang w:val="en-US"/>
        </w:rPr>
        <w:t xml:space="preserve"> </w:t>
      </w:r>
      <w:r w:rsidRPr="00A36F29">
        <w:rPr>
          <w:rFonts w:ascii="Book Antiqua" w:hAnsi="Book Antiqua" w:cs="Times New Roman"/>
          <w:color w:val="000000" w:themeColor="text1"/>
          <w:sz w:val="24"/>
          <w:szCs w:val="24"/>
          <w:lang w:val="en-US"/>
        </w:rPr>
        <w:t>Budd Chiari syndrome; Portal/caval hypertension</w:t>
      </w:r>
    </w:p>
    <w:p w14:paraId="7008EF04" w14:textId="5DF5D029"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3A3F9A93" w14:textId="4BDB92DB" w:rsidR="0043591A" w:rsidRPr="00A36F29" w:rsidRDefault="0043591A"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color w:val="000000" w:themeColor="text1"/>
          <w:sz w:val="24"/>
          <w:szCs w:val="24"/>
          <w:lang w:val="en-US"/>
        </w:rPr>
        <w:t xml:space="preserve">Gojkovic S, Krezic I, Vrdoljak B, Malekinusic D, Barisic I, Petrovic A, Horvat Pavlov K, Kolovrat M, Duzel A, Knezevic M, Kasnik Kovac K, Drmic D, Batelja Vuletic L, Kokot A, Boban Blagaic A, Seiwerth S, Sikiric P. </w:t>
      </w:r>
      <w:r w:rsidR="00FD09AD" w:rsidRPr="00A36F29">
        <w:rPr>
          <w:rFonts w:ascii="Book Antiqua" w:hAnsi="Book Antiqua" w:cs="Times New Roman"/>
          <w:color w:val="000000" w:themeColor="text1"/>
          <w:sz w:val="24"/>
          <w:szCs w:val="24"/>
          <w:lang w:val="en-US"/>
        </w:rPr>
        <w:t>Pentadecapeptide BPC 157 resolves suprahepatic occlusion of the inferior caval vein, Budd-Chiari syndrome model in rats</w:t>
      </w:r>
      <w:r w:rsidRPr="00A36F29">
        <w:rPr>
          <w:rFonts w:ascii="Book Antiqua" w:hAnsi="Book Antiqua" w:cs="Times New Roman"/>
          <w:color w:val="000000" w:themeColor="text1"/>
          <w:sz w:val="24"/>
          <w:szCs w:val="24"/>
          <w:lang w:val="en-US"/>
        </w:rPr>
        <w:t>.</w:t>
      </w:r>
      <w:r w:rsidR="00FD09AD" w:rsidRPr="00A36F29">
        <w:rPr>
          <w:rFonts w:ascii="Book Antiqua" w:hAnsi="Book Antiqua" w:cs="Times New Roman"/>
          <w:color w:val="000000" w:themeColor="text1"/>
          <w:sz w:val="24"/>
          <w:szCs w:val="24"/>
          <w:lang w:val="en-US"/>
        </w:rPr>
        <w:t xml:space="preserve"> </w:t>
      </w:r>
      <w:r w:rsidR="002B3DE3" w:rsidRPr="00A36F29">
        <w:rPr>
          <w:rFonts w:ascii="Book Antiqua" w:hAnsi="Book Antiqua" w:cs="Times New Roman"/>
          <w:i/>
          <w:iCs/>
          <w:color w:val="000000" w:themeColor="text1"/>
          <w:sz w:val="24"/>
          <w:szCs w:val="24"/>
          <w:lang w:val="en-US"/>
        </w:rPr>
        <w:t xml:space="preserve">World J Gastrointest Pathophysiol </w:t>
      </w:r>
      <w:r w:rsidR="002B3DE3" w:rsidRPr="00A36F29">
        <w:rPr>
          <w:rFonts w:ascii="Book Antiqua" w:hAnsi="Book Antiqua" w:cs="Times New Roman"/>
          <w:color w:val="000000" w:themeColor="text1"/>
          <w:sz w:val="24"/>
          <w:szCs w:val="24"/>
          <w:lang w:val="en-US"/>
        </w:rPr>
        <w:t>2020; In press</w:t>
      </w:r>
    </w:p>
    <w:p w14:paraId="66DF223F" w14:textId="77777777" w:rsidR="0043591A" w:rsidRPr="00A36F29" w:rsidRDefault="0043591A" w:rsidP="00A36F29">
      <w:pPr>
        <w:spacing w:after="0" w:line="360" w:lineRule="auto"/>
        <w:jc w:val="both"/>
        <w:rPr>
          <w:rFonts w:ascii="Book Antiqua" w:hAnsi="Book Antiqua" w:cs="Times New Roman"/>
          <w:color w:val="000000" w:themeColor="text1"/>
          <w:sz w:val="24"/>
          <w:szCs w:val="24"/>
          <w:lang w:val="en-US"/>
        </w:rPr>
      </w:pPr>
    </w:p>
    <w:p w14:paraId="21C65821" w14:textId="79103C5C"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b/>
          <w:bCs/>
          <w:color w:val="000000" w:themeColor="text1"/>
          <w:sz w:val="24"/>
          <w:szCs w:val="24"/>
          <w:lang w:val="en-US"/>
        </w:rPr>
        <w:t>Core tip:</w:t>
      </w:r>
      <w:r w:rsidRPr="00A36F29">
        <w:rPr>
          <w:rFonts w:ascii="Book Antiqua" w:hAnsi="Book Antiqua" w:cs="Times New Roman"/>
          <w:color w:val="000000" w:themeColor="text1"/>
          <w:sz w:val="24"/>
          <w:szCs w:val="24"/>
          <w:lang w:val="en-US"/>
        </w:rPr>
        <w:t xml:space="preserve"> To demonstrate that pentadecapeptide BPC 157 can resolve Budd Chiari syndrome in rats, we provided gross, microscopy, </w:t>
      </w:r>
      <w:r w:rsidR="0093390D" w:rsidRPr="00A36F29">
        <w:rPr>
          <w:rFonts w:ascii="Book Antiqua" w:hAnsi="Book Antiqua" w:cs="Times New Roman"/>
          <w:color w:val="000000" w:themeColor="text1"/>
          <w:sz w:val="24"/>
          <w:szCs w:val="24"/>
          <w:lang w:val="en-US"/>
        </w:rPr>
        <w:t>nitric oxide</w:t>
      </w:r>
      <w:r w:rsidRPr="00A36F29">
        <w:rPr>
          <w:rFonts w:ascii="Book Antiqua" w:hAnsi="Book Antiqua" w:cs="Times New Roman"/>
          <w:color w:val="000000" w:themeColor="text1"/>
          <w:sz w:val="24"/>
          <w:szCs w:val="24"/>
          <w:lang w:val="en-US"/>
        </w:rPr>
        <w:t xml:space="preserve">-, </w:t>
      </w:r>
      <w:r w:rsidR="0093390D" w:rsidRPr="00A36F29">
        <w:rPr>
          <w:rFonts w:ascii="Book Antiqua" w:hAnsi="Book Antiqua" w:cs="Times New Roman"/>
          <w:color w:val="000000" w:themeColor="text1"/>
          <w:sz w:val="24"/>
          <w:szCs w:val="24"/>
          <w:lang w:val="en-US"/>
        </w:rPr>
        <w:t>malondialdehyde</w:t>
      </w:r>
      <w:r w:rsidRPr="00A36F29">
        <w:rPr>
          <w:rFonts w:ascii="Book Antiqua" w:hAnsi="Book Antiqua" w:cs="Times New Roman"/>
          <w:color w:val="000000" w:themeColor="text1"/>
          <w:sz w:val="24"/>
          <w:szCs w:val="24"/>
          <w:lang w:val="en-US"/>
        </w:rPr>
        <w:t xml:space="preserve">-liver levels, serum enzymes, </w:t>
      </w:r>
      <w:r w:rsidR="0093390D" w:rsidRPr="00A36F29">
        <w:rPr>
          <w:rFonts w:ascii="Book Antiqua" w:hAnsi="Book Antiqua" w:cs="Times New Roman"/>
          <w:color w:val="000000" w:themeColor="text1"/>
          <w:sz w:val="24"/>
          <w:szCs w:val="24"/>
          <w:lang w:val="en-US"/>
        </w:rPr>
        <w:t>electrocardiogram</w:t>
      </w:r>
      <w:r w:rsidRPr="00A36F29">
        <w:rPr>
          <w:rFonts w:ascii="Book Antiqua" w:hAnsi="Book Antiqua" w:cs="Times New Roman"/>
          <w:color w:val="000000" w:themeColor="text1"/>
          <w:sz w:val="24"/>
          <w:szCs w:val="24"/>
          <w:lang w:val="en-US"/>
        </w:rPr>
        <w:t>, portal, caval hypertension, aortal hypotension, thrombosis, hepatomegaly, splenomegaly and venography assessments. BPC 157 counteracts increased P wave amplitude, tachycardia and ST-elevation (</w:t>
      </w:r>
      <w:r w:rsidR="0093390D" w:rsidRPr="00A36F29">
        <w:rPr>
          <w:rFonts w:ascii="Book Antiqua" w:hAnsi="Book Antiqua" w:cs="Times New Roman"/>
          <w:i/>
          <w:iCs/>
          <w:color w:val="000000" w:themeColor="text1"/>
          <w:sz w:val="24"/>
          <w:szCs w:val="24"/>
          <w:lang w:val="en-US"/>
        </w:rPr>
        <w:t>i.e.</w:t>
      </w:r>
      <w:r w:rsidRPr="00A36F29">
        <w:rPr>
          <w:rFonts w:ascii="Book Antiqua" w:hAnsi="Book Antiqua" w:cs="Times New Roman"/>
          <w:color w:val="000000" w:themeColor="text1"/>
          <w:sz w:val="24"/>
          <w:szCs w:val="24"/>
          <w:lang w:val="en-US"/>
        </w:rPr>
        <w:t xml:space="preserve">, right heart failure; acute thrombotic coronary occlusion). Bypassing pathway (inferior caval vein-azygos (hemiazygos) vein-superior caval vein and </w:t>
      </w:r>
      <w:r w:rsidRPr="00A36F29">
        <w:rPr>
          <w:rFonts w:ascii="Book Antiqua" w:hAnsi="Book Antiqua" w:cs="Times New Roman"/>
          <w:color w:val="000000" w:themeColor="text1"/>
          <w:sz w:val="24"/>
          <w:szCs w:val="24"/>
          <w:lang w:val="en-US"/>
        </w:rPr>
        <w:lastRenderedPageBreak/>
        <w:t>portocaval shunt) rapidly appears. Even with the severe caval</w:t>
      </w:r>
      <w:r w:rsidR="00EA28B9">
        <w:rPr>
          <w:rFonts w:ascii="Book Antiqua" w:hAnsi="Book Antiqua" w:cs="Times New Roman"/>
          <w:color w:val="000000" w:themeColor="text1"/>
          <w:sz w:val="24"/>
          <w:szCs w:val="24"/>
          <w:lang w:val="en-US"/>
        </w:rPr>
        <w:t xml:space="preserve"> </w:t>
      </w:r>
      <w:r w:rsidRPr="00A36F29">
        <w:rPr>
          <w:rFonts w:ascii="Times New Roman" w:hAnsi="Times New Roman" w:cs="Times New Roman"/>
          <w:color w:val="000000" w:themeColor="text1"/>
          <w:sz w:val="24"/>
          <w:szCs w:val="24"/>
          <w:lang w:val="en-US"/>
        </w:rPr>
        <w:t>˃</w:t>
      </w:r>
      <w:r w:rsidR="00EA28B9">
        <w:rPr>
          <w:rFonts w:ascii="Times New Roman" w:hAnsi="Times New Roman" w:cs="Times New Roman"/>
          <w:color w:val="000000" w:themeColor="text1"/>
          <w:sz w:val="24"/>
          <w:szCs w:val="24"/>
          <w:lang w:val="en-US"/>
        </w:rPr>
        <w:t xml:space="preserve"> </w:t>
      </w:r>
      <w:r w:rsidRPr="00A36F29">
        <w:rPr>
          <w:rFonts w:ascii="Book Antiqua" w:hAnsi="Book Antiqua" w:cs="Times New Roman"/>
          <w:color w:val="000000" w:themeColor="text1"/>
          <w:sz w:val="24"/>
          <w:szCs w:val="24"/>
          <w:lang w:val="en-US"/>
        </w:rPr>
        <w:t xml:space="preserve">portal hypertension, BPC 157 counteracts portal and caval hypertension and aortal hypotension. BPC 157 counteracts refractory ascites. Portal vein tributaries, inferior caval vein, hepatic and coronary arteries thrombosis was counteracted. In addition, there are counteracted severe lung pathology, liver, intestine hemorrhagic lesion, increased liver and spleen weight. During ligation-period, </w:t>
      </w:r>
      <w:r w:rsidR="0093390D" w:rsidRPr="00A36F29">
        <w:rPr>
          <w:rFonts w:ascii="Book Antiqua" w:hAnsi="Book Antiqua" w:cs="Times New Roman"/>
          <w:color w:val="000000" w:themeColor="text1"/>
          <w:sz w:val="24"/>
          <w:szCs w:val="24"/>
          <w:lang w:val="en-US"/>
        </w:rPr>
        <w:t>nitric oxide</w:t>
      </w:r>
      <w:r w:rsidRPr="00A36F29">
        <w:rPr>
          <w:rFonts w:ascii="Book Antiqua" w:hAnsi="Book Antiqua" w:cs="Times New Roman"/>
          <w:color w:val="000000" w:themeColor="text1"/>
          <w:sz w:val="24"/>
          <w:szCs w:val="24"/>
          <w:lang w:val="en-US"/>
        </w:rPr>
        <w:t xml:space="preserve">- and </w:t>
      </w:r>
      <w:r w:rsidR="0093390D" w:rsidRPr="00A36F29">
        <w:rPr>
          <w:rFonts w:ascii="Book Antiqua" w:hAnsi="Book Antiqua" w:cs="Times New Roman"/>
          <w:color w:val="000000" w:themeColor="text1"/>
          <w:sz w:val="24"/>
          <w:szCs w:val="24"/>
          <w:lang w:val="en-US"/>
        </w:rPr>
        <w:t>malondialdehyde</w:t>
      </w:r>
      <w:r w:rsidRPr="00A36F29">
        <w:rPr>
          <w:rFonts w:ascii="Book Antiqua" w:hAnsi="Book Antiqua" w:cs="Times New Roman"/>
          <w:color w:val="000000" w:themeColor="text1"/>
          <w:sz w:val="24"/>
          <w:szCs w:val="24"/>
          <w:lang w:val="en-US"/>
        </w:rPr>
        <w:t>-level in liver remained within normal healthy values, and increased serum enzymes markedly lessened. In conclusion, BPC 157 counteracts Budd Chiari syndrome in rats.</w:t>
      </w:r>
    </w:p>
    <w:p w14:paraId="512F9E36" w14:textId="2ADD9429" w:rsidR="00840B82" w:rsidRPr="00A36F29" w:rsidRDefault="00840B82"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color w:val="000000" w:themeColor="text1"/>
          <w:sz w:val="24"/>
          <w:szCs w:val="24"/>
          <w:lang w:val="en-US"/>
        </w:rPr>
        <w:br w:type="page"/>
      </w:r>
    </w:p>
    <w:p w14:paraId="2AD56E9C" w14:textId="77777777" w:rsidR="00C871CF" w:rsidRPr="00A36F29" w:rsidRDefault="00C871CF" w:rsidP="00A36F29">
      <w:pPr>
        <w:pStyle w:val="Default"/>
        <w:spacing w:line="360" w:lineRule="auto"/>
        <w:jc w:val="both"/>
        <w:rPr>
          <w:rFonts w:ascii="Book Antiqua" w:hAnsi="Book Antiqua" w:cs="Courier New"/>
          <w:b/>
          <w:color w:val="000000" w:themeColor="text1"/>
          <w:u w:val="single"/>
          <w:lang w:val="en-US"/>
        </w:rPr>
      </w:pPr>
      <w:r w:rsidRPr="00A36F29">
        <w:rPr>
          <w:rFonts w:ascii="Book Antiqua" w:hAnsi="Book Antiqua" w:cs="Courier New"/>
          <w:b/>
          <w:color w:val="000000" w:themeColor="text1"/>
          <w:u w:val="single"/>
          <w:lang w:val="en-US"/>
        </w:rPr>
        <w:lastRenderedPageBreak/>
        <w:t>INTRODUCTION</w:t>
      </w:r>
    </w:p>
    <w:p w14:paraId="59012D36" w14:textId="51DBC98C" w:rsidR="00C871CF" w:rsidRPr="00A36F29" w:rsidRDefault="00C871CF" w:rsidP="00A36F29">
      <w:pPr>
        <w:pStyle w:val="Default"/>
        <w:spacing w:line="360" w:lineRule="auto"/>
        <w:jc w:val="both"/>
        <w:rPr>
          <w:rFonts w:ascii="Book Antiqua" w:hAnsi="Book Antiqua" w:cs="Courier New"/>
          <w:color w:val="000000" w:themeColor="text1"/>
          <w:lang w:val="en-US"/>
        </w:rPr>
      </w:pPr>
      <w:r w:rsidRPr="00A36F29">
        <w:rPr>
          <w:rFonts w:ascii="Book Antiqua" w:hAnsi="Book Antiqua" w:cs="Courier New"/>
          <w:color w:val="000000" w:themeColor="text1"/>
          <w:lang w:val="en-US"/>
        </w:rPr>
        <w:t xml:space="preserve">Here we raised new hypothesis about rapid bypassing of the suprahepatic inferior caval vein occlusion in the Budd-Chiari syndrome </w:t>
      </w:r>
      <w:r w:rsidR="0043591A" w:rsidRPr="00A36F29">
        <w:rPr>
          <w:rFonts w:ascii="Book Antiqua" w:hAnsi="Book Antiqua" w:cs="Courier New"/>
          <w:color w:val="000000" w:themeColor="text1"/>
          <w:lang w:val="en-US"/>
        </w:rPr>
        <w:t xml:space="preserve">(BCS) </w:t>
      </w:r>
      <w:r w:rsidRPr="00A36F29">
        <w:rPr>
          <w:rFonts w:ascii="Book Antiqua" w:hAnsi="Book Antiqua" w:cs="Courier New"/>
          <w:color w:val="000000" w:themeColor="text1"/>
          <w:lang w:val="en-US"/>
        </w:rPr>
        <w:t>in rats along with</w:t>
      </w:r>
      <w:r w:rsidR="00840B82" w:rsidRPr="00A36F29">
        <w:rPr>
          <w:rFonts w:ascii="Book Antiqua" w:hAnsi="Book Antiqua" w:cs="Courier New"/>
          <w:color w:val="000000" w:themeColor="text1"/>
          <w:lang w:val="en-US"/>
        </w:rPr>
        <w:t xml:space="preserve"> </w:t>
      </w:r>
      <w:r w:rsidRPr="00A36F29">
        <w:rPr>
          <w:rFonts w:ascii="Book Antiqua" w:hAnsi="Book Antiqua" w:cs="Courier New"/>
          <w:color w:val="000000" w:themeColor="text1"/>
          <w:lang w:val="en-US"/>
        </w:rPr>
        <w:t xml:space="preserve">the active and effective pharmacotherapy treatment. </w:t>
      </w:r>
    </w:p>
    <w:p w14:paraId="6537278A" w14:textId="4AE9A55C" w:rsidR="00C871CF" w:rsidRPr="00A36F29" w:rsidRDefault="00C871CF" w:rsidP="00A36F29">
      <w:pPr>
        <w:autoSpaceDE w:val="0"/>
        <w:autoSpaceDN w:val="0"/>
        <w:adjustRightInd w:val="0"/>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In this, we perceive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as originally suggested</w:t>
      </w:r>
      <w:r w:rsidRPr="00A36F29">
        <w:rPr>
          <w:rFonts w:ascii="Book Antiqua" w:hAnsi="Book Antiqua" w:cs="Courier New"/>
          <w:color w:val="000000" w:themeColor="text1"/>
          <w:sz w:val="24"/>
          <w:szCs w:val="24"/>
          <w:vertAlign w:val="superscript"/>
          <w:lang w:val="en-US"/>
        </w:rPr>
        <w:t>[1,2]</w:t>
      </w:r>
      <w:r w:rsidRPr="00A36F29">
        <w:rPr>
          <w:rFonts w:ascii="Book Antiqua" w:hAnsi="Book Antiqua" w:cs="Courier New"/>
          <w:color w:val="000000" w:themeColor="text1"/>
          <w:sz w:val="24"/>
          <w:szCs w:val="24"/>
          <w:lang w:val="en-US"/>
        </w:rPr>
        <w:t xml:space="preserve">, a hepatic venous outflow obstruction and its manifestation, </w:t>
      </w:r>
      <w:r w:rsidRPr="00A36F29">
        <w:rPr>
          <w:rFonts w:ascii="Book Antiqua" w:hAnsi="Book Antiqua"/>
          <w:color w:val="000000" w:themeColor="text1"/>
          <w:sz w:val="24"/>
          <w:szCs w:val="24"/>
        </w:rPr>
        <w:t>regardless of cause, but</w:t>
      </w:r>
      <w:r w:rsidR="0043591A" w:rsidRPr="00A36F29">
        <w:rPr>
          <w:rFonts w:ascii="Book Antiqua" w:hAnsi="Book Antiqua"/>
          <w:color w:val="000000" w:themeColor="text1"/>
          <w:sz w:val="24"/>
          <w:szCs w:val="24"/>
        </w:rPr>
        <w:t xml:space="preserve"> </w:t>
      </w:r>
      <w:r w:rsidRPr="00A36F29">
        <w:rPr>
          <w:rFonts w:ascii="Book Antiqua" w:hAnsi="Book Antiqua" w:cs="Courier New"/>
          <w:color w:val="000000" w:themeColor="text1"/>
          <w:sz w:val="24"/>
          <w:szCs w:val="24"/>
          <w:lang w:val="en-US"/>
        </w:rPr>
        <w:t>mostly attributable to thrombosis, which can be located anywhere from the small hepatic veins until the entrance of the inferior caval vena into the right atrium</w:t>
      </w:r>
      <w:r w:rsidRPr="00A36F29">
        <w:rPr>
          <w:rFonts w:ascii="Book Antiqua" w:hAnsi="Book Antiqua" w:cs="Courier New"/>
          <w:color w:val="000000" w:themeColor="text1"/>
          <w:sz w:val="24"/>
          <w:szCs w:val="24"/>
          <w:vertAlign w:val="superscript"/>
          <w:lang w:val="en-US"/>
        </w:rPr>
        <w:t>[1,2]</w:t>
      </w:r>
      <w:r w:rsidRPr="00A36F29">
        <w:rPr>
          <w:rFonts w:ascii="Book Antiqua" w:hAnsi="Book Antiqua" w:cs="Courier New"/>
          <w:color w:val="000000" w:themeColor="text1"/>
          <w:sz w:val="24"/>
          <w:szCs w:val="24"/>
          <w:lang w:val="en-US"/>
        </w:rPr>
        <w:t>. Thereby, with some limitations</w:t>
      </w:r>
      <w:r w:rsidRPr="00A36F29">
        <w:rPr>
          <w:rFonts w:ascii="Book Antiqua" w:hAnsi="Book Antiqua" w:cs="Courier New"/>
          <w:color w:val="000000" w:themeColor="text1"/>
          <w:sz w:val="24"/>
          <w:szCs w:val="24"/>
          <w:vertAlign w:val="superscript"/>
          <w:lang w:val="en-US"/>
        </w:rPr>
        <w:t>[3]</w:t>
      </w:r>
      <w:r w:rsidRPr="00A36F29">
        <w:rPr>
          <w:rFonts w:ascii="Book Antiqua" w:hAnsi="Book Antiqua" w:cs="Courier New"/>
          <w:color w:val="000000" w:themeColor="text1"/>
          <w:sz w:val="24"/>
          <w:szCs w:val="24"/>
          <w:lang w:val="en-US"/>
        </w:rPr>
        <w:t>, since in the rat it is almost impossible to dissect the hepatic veins</w:t>
      </w:r>
      <w:r w:rsidRPr="00A36F29">
        <w:rPr>
          <w:rFonts w:ascii="Book Antiqua" w:hAnsi="Book Antiqua" w:cs="Courier New"/>
          <w:color w:val="000000" w:themeColor="text1"/>
          <w:sz w:val="24"/>
          <w:szCs w:val="24"/>
          <w:vertAlign w:val="superscript"/>
          <w:lang w:val="en-US"/>
        </w:rPr>
        <w:t>[3]</w:t>
      </w:r>
      <w:r w:rsidRPr="00A36F29">
        <w:rPr>
          <w:rFonts w:ascii="Book Antiqua" w:hAnsi="Book Antiqua" w:cs="Courier New"/>
          <w:color w:val="000000" w:themeColor="text1"/>
          <w:sz w:val="24"/>
          <w:szCs w:val="24"/>
          <w:lang w:val="en-US"/>
        </w:rPr>
        <w:t>, few rats studies used occluding the inferior vena cava cranially to the hepatic veins</w:t>
      </w:r>
      <w:r w:rsidRPr="00A36F29">
        <w:rPr>
          <w:rFonts w:ascii="Book Antiqua" w:hAnsi="Book Antiqua" w:cs="Courier New"/>
          <w:color w:val="000000" w:themeColor="text1"/>
          <w:sz w:val="24"/>
          <w:szCs w:val="24"/>
          <w:vertAlign w:val="superscript"/>
          <w:lang w:val="en-US"/>
        </w:rPr>
        <w:t>[2,4-7]</w:t>
      </w:r>
      <w:r w:rsidRPr="00A36F29">
        <w:rPr>
          <w:rFonts w:ascii="Book Antiqua" w:hAnsi="Book Antiqua" w:cs="Courier New"/>
          <w:color w:val="000000" w:themeColor="text1"/>
          <w:sz w:val="24"/>
          <w:szCs w:val="24"/>
          <w:lang w:val="en-US"/>
        </w:rPr>
        <w:t xml:space="preserve">, but bypassing of the occlusion in the rat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along with pharmacotherapy treatment was not considered. </w:t>
      </w:r>
    </w:p>
    <w:p w14:paraId="3B0C9A69" w14:textId="693BF130" w:rsidR="00C871CF" w:rsidRPr="00A36F29" w:rsidRDefault="00C871CF" w:rsidP="00A36F29">
      <w:pPr>
        <w:autoSpaceDE w:val="0"/>
        <w:autoSpaceDN w:val="0"/>
        <w:adjustRightInd w:val="0"/>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Recently, as a possible therapy resolving solution, pentadecapeptide BPC 157 therapy</w:t>
      </w:r>
      <w:r w:rsidRPr="00A36F29">
        <w:rPr>
          <w:rFonts w:ascii="Book Antiqua" w:hAnsi="Book Antiqua" w:cs="Courier New"/>
          <w:color w:val="000000" w:themeColor="text1"/>
          <w:sz w:val="24"/>
          <w:szCs w:val="24"/>
          <w:vertAlign w:val="superscript"/>
          <w:lang w:val="en-US"/>
        </w:rPr>
        <w:t>[8-20]</w:t>
      </w:r>
      <w:r w:rsidRPr="00A36F29">
        <w:rPr>
          <w:rFonts w:ascii="Book Antiqua" w:hAnsi="Book Antiqua" w:cs="Courier New"/>
          <w:color w:val="000000" w:themeColor="text1"/>
          <w:sz w:val="24"/>
          <w:szCs w:val="24"/>
          <w:lang w:val="en-US"/>
        </w:rPr>
        <w:t>,</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has been used in alleviating vascular occlusion disturbances</w:t>
      </w:r>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 BPC 157 was previously reviewed as novel mediator of Robert cytoprotection and endothelium protection in the stomach</w:t>
      </w:r>
      <w:r w:rsidRPr="00A36F29">
        <w:rPr>
          <w:rFonts w:ascii="Book Antiqua" w:hAnsi="Book Antiqua" w:cs="Courier New"/>
          <w:color w:val="000000" w:themeColor="text1"/>
          <w:sz w:val="24"/>
          <w:szCs w:val="24"/>
          <w:vertAlign w:val="superscript"/>
          <w:lang w:val="en-US"/>
        </w:rPr>
        <w:t>[8-11]</w:t>
      </w:r>
      <w:r w:rsidRPr="00A36F29">
        <w:rPr>
          <w:rFonts w:ascii="Book Antiqua" w:hAnsi="Book Antiqua" w:cs="Courier New"/>
          <w:color w:val="000000" w:themeColor="text1"/>
          <w:sz w:val="24"/>
          <w:szCs w:val="24"/>
          <w:lang w:val="en-US"/>
        </w:rPr>
        <w:t>, and gut-brain axis</w:t>
      </w:r>
      <w:r w:rsidRPr="00A36F29">
        <w:rPr>
          <w:rFonts w:ascii="Book Antiqua" w:hAnsi="Book Antiqua" w:cs="Courier New"/>
          <w:color w:val="000000" w:themeColor="text1"/>
          <w:sz w:val="24"/>
          <w:szCs w:val="24"/>
          <w:vertAlign w:val="superscript"/>
          <w:lang w:val="en-US"/>
        </w:rPr>
        <w:t>[12]</w:t>
      </w:r>
      <w:r w:rsidRPr="00A36F29">
        <w:rPr>
          <w:rFonts w:ascii="Book Antiqua" w:hAnsi="Book Antiqua" w:cs="Courier New"/>
          <w:color w:val="000000" w:themeColor="text1"/>
          <w:sz w:val="24"/>
          <w:szCs w:val="24"/>
          <w:lang w:val="en-US"/>
        </w:rPr>
        <w:t>,</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beneficial therapy in gastrointestinal tract</w:t>
      </w:r>
      <w:r w:rsidRPr="00A36F29">
        <w:rPr>
          <w:rFonts w:ascii="Book Antiqua" w:hAnsi="Book Antiqua" w:cs="Courier New"/>
          <w:color w:val="000000" w:themeColor="text1"/>
          <w:sz w:val="24"/>
          <w:szCs w:val="24"/>
          <w:vertAlign w:val="superscript"/>
          <w:lang w:val="en-US"/>
        </w:rPr>
        <w:t>[13,14]</w:t>
      </w:r>
      <w:r w:rsidRPr="00A36F29">
        <w:rPr>
          <w:rFonts w:ascii="Book Antiqua" w:hAnsi="Book Antiqua" w:cs="Courier New"/>
          <w:color w:val="000000" w:themeColor="text1"/>
          <w:sz w:val="24"/>
          <w:szCs w:val="24"/>
          <w:lang w:val="en-US"/>
        </w:rPr>
        <w:t>, with particular reference to vascular recruitment</w:t>
      </w:r>
      <w:r w:rsidRPr="00A36F29">
        <w:rPr>
          <w:rFonts w:ascii="Book Antiqua" w:hAnsi="Book Antiqua" w:cs="Courier New"/>
          <w:color w:val="000000" w:themeColor="text1"/>
          <w:sz w:val="24"/>
          <w:szCs w:val="24"/>
          <w:vertAlign w:val="superscript"/>
          <w:lang w:val="en-US"/>
        </w:rPr>
        <w:t>[11,15-17]</w:t>
      </w:r>
      <w:r w:rsidRPr="00A36F29">
        <w:rPr>
          <w:rFonts w:ascii="Book Antiqua" w:hAnsi="Book Antiqua" w:cs="Courier New"/>
          <w:color w:val="000000" w:themeColor="text1"/>
          <w:sz w:val="24"/>
          <w:szCs w:val="24"/>
          <w:lang w:val="en-US"/>
        </w:rPr>
        <w:t>, ulcerative colitis</w:t>
      </w:r>
      <w:r w:rsidRPr="00A36F29">
        <w:rPr>
          <w:rFonts w:ascii="Book Antiqua" w:hAnsi="Book Antiqua" w:cs="Courier New"/>
          <w:color w:val="000000" w:themeColor="text1"/>
          <w:sz w:val="24"/>
          <w:szCs w:val="24"/>
          <w:vertAlign w:val="superscript"/>
          <w:lang w:val="en-US"/>
        </w:rPr>
        <w:t>[14]</w:t>
      </w:r>
      <w:r w:rsidRPr="00A36F29">
        <w:rPr>
          <w:rFonts w:ascii="Book Antiqua" w:hAnsi="Book Antiqua" w:cs="Courier New"/>
          <w:color w:val="000000" w:themeColor="text1"/>
          <w:sz w:val="24"/>
          <w:szCs w:val="24"/>
          <w:lang w:val="en-US"/>
        </w:rPr>
        <w:t xml:space="preserve"> and tumor cachexia</w:t>
      </w:r>
      <w:r w:rsidRPr="00A36F29">
        <w:rPr>
          <w:rFonts w:ascii="Book Antiqua" w:hAnsi="Book Antiqua" w:cs="Courier New"/>
          <w:color w:val="000000" w:themeColor="text1"/>
          <w:sz w:val="24"/>
          <w:szCs w:val="24"/>
          <w:vertAlign w:val="superscript"/>
          <w:lang w:val="en-US"/>
        </w:rPr>
        <w:t>[18]</w:t>
      </w:r>
      <w:r w:rsidRPr="00A36F29">
        <w:rPr>
          <w:rFonts w:ascii="Book Antiqua" w:hAnsi="Book Antiqua" w:cs="Courier New"/>
          <w:color w:val="000000" w:themeColor="text1"/>
          <w:sz w:val="24"/>
          <w:szCs w:val="24"/>
          <w:lang w:val="en-US"/>
        </w:rPr>
        <w:t>, and other tissues healing</w:t>
      </w:r>
      <w:r w:rsidRPr="00A36F29">
        <w:rPr>
          <w:rFonts w:ascii="Book Antiqua" w:hAnsi="Book Antiqua" w:cs="Courier New"/>
          <w:color w:val="000000" w:themeColor="text1"/>
          <w:sz w:val="24"/>
          <w:szCs w:val="24"/>
          <w:vertAlign w:val="superscript"/>
          <w:lang w:val="en-US"/>
        </w:rPr>
        <w:t>[19,20]</w:t>
      </w:r>
      <w:r w:rsidRPr="00A36F29">
        <w:rPr>
          <w:rFonts w:ascii="Book Antiqua" w:hAnsi="Book Antiqua" w:cs="Courier New"/>
          <w:color w:val="000000" w:themeColor="text1"/>
          <w:sz w:val="24"/>
          <w:szCs w:val="24"/>
          <w:lang w:val="en-US"/>
        </w:rPr>
        <w:t xml:space="preserve">. </w:t>
      </w:r>
    </w:p>
    <w:p w14:paraId="44D92E3E" w14:textId="77777777"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Rapid activation of a bypassing loop</w:t>
      </w:r>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 xml:space="preserve"> occurs in rats with an infrarenal ligation of the inferior vena cava, relieving a Virchow's triad situation</w:t>
      </w:r>
      <w:r w:rsidRPr="00A36F29">
        <w:rPr>
          <w:rFonts w:ascii="Book Antiqua" w:hAnsi="Book Antiqua" w:cs="Courier New"/>
          <w:color w:val="000000" w:themeColor="text1"/>
          <w:sz w:val="24"/>
          <w:szCs w:val="24"/>
          <w:vertAlign w:val="superscript"/>
          <w:lang w:val="en-US"/>
        </w:rPr>
        <w:t>[21]</w:t>
      </w:r>
      <w:r w:rsidRPr="00A36F29">
        <w:rPr>
          <w:rFonts w:ascii="Book Antiqua" w:hAnsi="Book Antiqua" w:cs="Courier New"/>
          <w:color w:val="000000" w:themeColor="text1"/>
          <w:sz w:val="24"/>
          <w:szCs w:val="24"/>
          <w:lang w:val="en-US"/>
        </w:rPr>
        <w:t>, much like in rats with ischemic/reperfusion colitis</w:t>
      </w:r>
      <w:r w:rsidRPr="00A36F29">
        <w:rPr>
          <w:rFonts w:ascii="Book Antiqua" w:hAnsi="Book Antiqua" w:cs="Courier New"/>
          <w:color w:val="000000" w:themeColor="text1"/>
          <w:sz w:val="24"/>
          <w:szCs w:val="24"/>
          <w:vertAlign w:val="superscript"/>
          <w:lang w:val="en-US"/>
        </w:rPr>
        <w:t>[22]</w:t>
      </w:r>
      <w:r w:rsidRPr="00A36F29">
        <w:rPr>
          <w:rFonts w:ascii="Book Antiqua" w:hAnsi="Book Antiqua" w:cs="Courier New"/>
          <w:color w:val="000000" w:themeColor="text1"/>
          <w:sz w:val="24"/>
          <w:szCs w:val="24"/>
          <w:lang w:val="en-US"/>
        </w:rPr>
        <w:t>, duodenal venous congestion lesions</w:t>
      </w:r>
      <w:r w:rsidRPr="00A36F29">
        <w:rPr>
          <w:rFonts w:ascii="Book Antiqua" w:hAnsi="Book Antiqua" w:cs="Courier New"/>
          <w:color w:val="000000" w:themeColor="text1"/>
          <w:sz w:val="24"/>
          <w:szCs w:val="24"/>
          <w:vertAlign w:val="superscript"/>
          <w:lang w:val="en-US"/>
        </w:rPr>
        <w:t>[23]</w:t>
      </w:r>
      <w:r w:rsidRPr="00A36F29">
        <w:rPr>
          <w:rFonts w:ascii="Book Antiqua" w:hAnsi="Book Antiqua" w:cs="Courier New"/>
          <w:color w:val="000000" w:themeColor="text1"/>
          <w:sz w:val="24"/>
          <w:szCs w:val="24"/>
          <w:lang w:val="en-US"/>
        </w:rPr>
        <w:t>, perforated cecum</w:t>
      </w:r>
      <w:r w:rsidRPr="00A36F29">
        <w:rPr>
          <w:rFonts w:ascii="Book Antiqua" w:hAnsi="Book Antiqua" w:cs="Courier New"/>
          <w:color w:val="000000" w:themeColor="text1"/>
          <w:sz w:val="24"/>
          <w:szCs w:val="24"/>
          <w:vertAlign w:val="superscript"/>
          <w:lang w:val="en-US"/>
        </w:rPr>
        <w:t>[24]</w:t>
      </w:r>
      <w:r w:rsidRPr="00A36F29">
        <w:rPr>
          <w:rFonts w:ascii="Book Antiqua" w:hAnsi="Book Antiqua" w:cs="Courier New"/>
          <w:color w:val="000000" w:themeColor="text1"/>
          <w:sz w:val="24"/>
          <w:szCs w:val="24"/>
          <w:lang w:val="en-US"/>
        </w:rPr>
        <w:t>, bile duct ligation induced liver cirrhosis and portal hypertension</w:t>
      </w:r>
      <w:r w:rsidRPr="00A36F29">
        <w:rPr>
          <w:rFonts w:ascii="Book Antiqua" w:hAnsi="Book Antiqua" w:cs="Courier New"/>
          <w:color w:val="000000" w:themeColor="text1"/>
          <w:sz w:val="24"/>
          <w:szCs w:val="24"/>
          <w:vertAlign w:val="superscript"/>
          <w:lang w:val="en-US"/>
        </w:rPr>
        <w:t>[25]</w:t>
      </w:r>
      <w:r w:rsidRPr="00A36F29">
        <w:rPr>
          <w:rFonts w:ascii="Book Antiqua" w:hAnsi="Book Antiqua" w:cs="Courier New"/>
          <w:color w:val="000000" w:themeColor="text1"/>
          <w:sz w:val="24"/>
          <w:szCs w:val="24"/>
          <w:lang w:val="en-US"/>
        </w:rPr>
        <w:t xml:space="preserve">. </w:t>
      </w:r>
    </w:p>
    <w:p w14:paraId="5ACFDC9C" w14:textId="4E1ADD3D"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Specifically, there is prevention and reversal of both caval and portal hypertension and aortal hypotension, tachycardia, thrombosis and thrombocytopenia, and consequently reduced prolonged bleeding. In addition, there is both preserved and rescued intestinal mucosal integrity and vein integrity, reduced malondialdehyde (MDA), even to normal levels in both ischemic and reperfusion conditions in tissues (</w:t>
      </w:r>
      <w:r w:rsidR="0093390D" w:rsidRPr="00A36F29">
        <w:rPr>
          <w:rFonts w:ascii="Book Antiqua" w:hAnsi="Book Antiqua" w:cs="Courier New"/>
          <w:i/>
          <w:iCs/>
          <w:color w:val="000000" w:themeColor="text1"/>
          <w:sz w:val="24"/>
          <w:szCs w:val="24"/>
          <w:lang w:val="en-US"/>
        </w:rPr>
        <w:t>i.e.</w:t>
      </w:r>
      <w:r w:rsidRPr="00A36F29">
        <w:rPr>
          <w:rFonts w:ascii="Book Antiqua" w:hAnsi="Book Antiqua" w:cs="Courier New"/>
          <w:color w:val="000000" w:themeColor="text1"/>
          <w:sz w:val="24"/>
          <w:szCs w:val="24"/>
          <w:lang w:val="en-US"/>
        </w:rPr>
        <w:t>, liver, colon, duodenum, cecum and veins) and plasma</w:t>
      </w:r>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w:t>
      </w:r>
    </w:p>
    <w:p w14:paraId="734F2F93" w14:textId="54E258B0"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In this current study, we assessed whether BPC 157 therapy compensated for the complete suprahepatic occlusion of the inferior vena cava, an immediate obstructive inferior vena cava and portal syndrome.</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In these obstructions, it would activate an </w:t>
      </w:r>
      <w:r w:rsidRPr="00A36F29">
        <w:rPr>
          <w:rFonts w:ascii="Book Antiqua" w:hAnsi="Book Antiqua" w:cs="Courier New"/>
          <w:color w:val="000000" w:themeColor="text1"/>
          <w:sz w:val="24"/>
          <w:szCs w:val="24"/>
          <w:lang w:val="en-US"/>
        </w:rPr>
        <w:lastRenderedPageBreak/>
        <w:t xml:space="preserve">azygos/hemiazygos vein bypassing pathway, and upgrade an inadequate rescuing inferior-superior vena cava shunt to an adequate one, as well as a portocaval shunt. With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in rats, both caval and portal hypertension, and aortal hypertension occurred. BPC 157 therapy was assessed in counteracting rapid clot formation in the portal vein, superior mesenteric vein, splenic vein, inferior vena cava, hepatic artery, and coronary artery, as well as peaked P waves, significant ST-elevation, tachycardia, gross organ lesions, and liver and spleen weight increases. </w:t>
      </w:r>
    </w:p>
    <w:p w14:paraId="3FE1119D" w14:textId="35611C04"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Notably, BPC 157 was originally used as an anti-ulcer agent, being stable and maintaining a native configuration in human gastric juices for more than 24 h, as previously reviewed</w:t>
      </w:r>
      <w:r w:rsidRPr="00A36F29">
        <w:rPr>
          <w:rFonts w:ascii="Book Antiqua" w:hAnsi="Book Antiqua" w:cs="Courier New"/>
          <w:color w:val="000000" w:themeColor="text1"/>
          <w:sz w:val="24"/>
          <w:szCs w:val="24"/>
          <w:vertAlign w:val="superscript"/>
          <w:lang w:val="en-US"/>
        </w:rPr>
        <w:t>[8-20]</w:t>
      </w:r>
      <w:r w:rsidRPr="00A36F29">
        <w:rPr>
          <w:rFonts w:ascii="Book Antiqua" w:hAnsi="Book Antiqua" w:cs="Courier New"/>
          <w:color w:val="000000" w:themeColor="text1"/>
          <w:sz w:val="24"/>
          <w:szCs w:val="24"/>
          <w:lang w:val="en-US"/>
        </w:rPr>
        <w:t>. It has been used in trials for ulcerative colitis and multiple sclerosis, with a very safe profile (LD1 not achieved), as previously reviewed</w:t>
      </w:r>
      <w:r w:rsidRPr="00A36F29">
        <w:rPr>
          <w:rFonts w:ascii="Book Antiqua" w:hAnsi="Book Antiqua" w:cs="Courier New"/>
          <w:color w:val="000000" w:themeColor="text1"/>
          <w:sz w:val="24"/>
          <w:szCs w:val="24"/>
          <w:vertAlign w:val="superscript"/>
          <w:lang w:val="en-US"/>
        </w:rPr>
        <w:t>[8-20]</w:t>
      </w:r>
      <w:r w:rsidRPr="00A36F29">
        <w:rPr>
          <w:rFonts w:ascii="Book Antiqua" w:hAnsi="Book Antiqua" w:cs="Courier New"/>
          <w:color w:val="000000" w:themeColor="text1"/>
          <w:sz w:val="24"/>
          <w:szCs w:val="24"/>
          <w:lang w:val="en-US"/>
        </w:rPr>
        <w:t>. Furthermore, as an important conceptual and practical activity point, in previous studies</w:t>
      </w:r>
      <w:r w:rsidRPr="00A36F29">
        <w:rPr>
          <w:rFonts w:ascii="Book Antiqua" w:hAnsi="Book Antiqua" w:cs="Courier New"/>
          <w:color w:val="000000" w:themeColor="text1"/>
          <w:sz w:val="24"/>
          <w:szCs w:val="24"/>
          <w:vertAlign w:val="superscript"/>
          <w:lang w:val="en-US"/>
        </w:rPr>
        <w:t>[8-20]</w:t>
      </w:r>
      <w:r w:rsidRPr="00A36F29">
        <w:rPr>
          <w:rFonts w:ascii="Book Antiqua" w:hAnsi="Book Antiqua" w:cs="Courier New"/>
          <w:color w:val="000000" w:themeColor="text1"/>
          <w:sz w:val="24"/>
          <w:szCs w:val="24"/>
          <w:lang w:val="en-US"/>
        </w:rPr>
        <w:t>, BPC 157 was thought to be a novel mediator of Robert’s cytoprotection, the concept of a compound providing epithelium and endothelium protection, maintaining gastrointestinal mucosal integrity and organoprotection, as previously reviewed</w:t>
      </w:r>
      <w:r w:rsidRPr="00A36F29">
        <w:rPr>
          <w:rFonts w:ascii="Book Antiqua" w:hAnsi="Book Antiqua" w:cs="Courier New"/>
          <w:color w:val="000000" w:themeColor="text1"/>
          <w:sz w:val="24"/>
          <w:szCs w:val="24"/>
          <w:vertAlign w:val="superscript"/>
          <w:lang w:val="en-US"/>
        </w:rPr>
        <w:t>[8-20]</w:t>
      </w:r>
      <w:r w:rsidRPr="00A36F29">
        <w:rPr>
          <w:rFonts w:ascii="Book Antiqua" w:hAnsi="Book Antiqua" w:cs="Courier New"/>
          <w:color w:val="000000" w:themeColor="text1"/>
          <w:sz w:val="24"/>
          <w:szCs w:val="24"/>
          <w:lang w:val="en-US"/>
        </w:rPr>
        <w:t xml:space="preserve">. Likely, these beneficial effects might additionally contribute to the suggested therapeutic effect related to vessel recruitment in bypassing occlusions. As such, we investigated pentadecapeptide BPC 157 in resolving short and long-lasting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in rats.</w:t>
      </w:r>
      <w:r w:rsidR="00840B82" w:rsidRPr="00A36F29">
        <w:rPr>
          <w:rFonts w:ascii="Book Antiqua" w:hAnsi="Book Antiqua" w:cs="Courier New"/>
          <w:color w:val="000000" w:themeColor="text1"/>
          <w:sz w:val="24"/>
          <w:szCs w:val="24"/>
          <w:lang w:val="en-US"/>
        </w:rPr>
        <w:t xml:space="preserve"> </w:t>
      </w:r>
    </w:p>
    <w:p w14:paraId="56449CF7" w14:textId="77777777" w:rsidR="00840B82" w:rsidRPr="00A36F29" w:rsidRDefault="00840B82" w:rsidP="00A36F29">
      <w:pPr>
        <w:widowControl w:val="0"/>
        <w:autoSpaceDE w:val="0"/>
        <w:autoSpaceDN w:val="0"/>
        <w:adjustRightInd w:val="0"/>
        <w:spacing w:after="0" w:line="360" w:lineRule="auto"/>
        <w:jc w:val="both"/>
        <w:rPr>
          <w:rFonts w:ascii="Book Antiqua" w:hAnsi="Book Antiqua" w:cs="Courier New"/>
          <w:b/>
          <w:color w:val="000000" w:themeColor="text1"/>
          <w:sz w:val="24"/>
          <w:szCs w:val="24"/>
          <w:lang w:val="en-US"/>
        </w:rPr>
      </w:pPr>
    </w:p>
    <w:p w14:paraId="386D8D93" w14:textId="0079A892" w:rsidR="00C871CF" w:rsidRPr="00A36F29" w:rsidRDefault="00C871CF" w:rsidP="00A36F29">
      <w:pPr>
        <w:widowControl w:val="0"/>
        <w:autoSpaceDE w:val="0"/>
        <w:autoSpaceDN w:val="0"/>
        <w:adjustRightInd w:val="0"/>
        <w:spacing w:after="0" w:line="360" w:lineRule="auto"/>
        <w:jc w:val="both"/>
        <w:rPr>
          <w:rFonts w:ascii="Book Antiqua" w:hAnsi="Book Antiqua" w:cs="Courier New"/>
          <w:b/>
          <w:color w:val="000000" w:themeColor="text1"/>
          <w:sz w:val="24"/>
          <w:szCs w:val="24"/>
          <w:u w:val="single"/>
          <w:lang w:val="en-US"/>
        </w:rPr>
      </w:pPr>
      <w:r w:rsidRPr="00A36F29">
        <w:rPr>
          <w:rFonts w:ascii="Book Antiqua" w:hAnsi="Book Antiqua" w:cs="Courier New"/>
          <w:b/>
          <w:color w:val="000000" w:themeColor="text1"/>
          <w:sz w:val="24"/>
          <w:szCs w:val="24"/>
          <w:u w:val="single"/>
          <w:lang w:val="en-US"/>
        </w:rPr>
        <w:t xml:space="preserve">MATERIALS AND METHODS </w:t>
      </w:r>
    </w:p>
    <w:p w14:paraId="5DDD1C90" w14:textId="77777777"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 xml:space="preserve">Animals </w:t>
      </w:r>
    </w:p>
    <w:p w14:paraId="069DAA31" w14:textId="2B130D74"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This study was conducted with 12</w:t>
      </w:r>
      <w:r w:rsidR="00840B82"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lang w:val="en-US"/>
        </w:rPr>
        <w:t>wk</w:t>
      </w:r>
      <w:r w:rsidR="00840B82"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lang w:val="en-US"/>
        </w:rPr>
        <w:t>old, 200 g birth weight , male albino Wistar rats, randomly assigned at 6 rats/group/interval. Rats were bred in-house at the Pharmacology animal facility, School of Medicine, Zagreb, Croatia. The animal facility was registered by the Directorate of Veterinary (Reg. No: HR-POK-007). Laboratory rats were acclimated for five days and randomly assigned to their respective treatment groups. Laboratory animals were housed in polycarbonate (PC) cages under conventional laboratory conditions at 20–24 °C, relative humidity of 40</w:t>
      </w:r>
      <w:r w:rsidR="00840B82"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lang w:val="en-US"/>
        </w:rPr>
        <w:t xml:space="preserve">–70% and noise level 60 dB. Each cage was identified with dates, number of study, group, dose, number and sex of each animal. Fluorescent lighting provided illumination 12 hours per day. Standard good laboratory practice (GLP) diet and </w:t>
      </w:r>
      <w:r w:rsidRPr="00A36F29">
        <w:rPr>
          <w:rFonts w:ascii="Book Antiqua" w:hAnsi="Book Antiqua" w:cs="Courier New"/>
          <w:color w:val="000000" w:themeColor="text1"/>
          <w:sz w:val="24"/>
          <w:szCs w:val="24"/>
          <w:lang w:val="en-US"/>
        </w:rPr>
        <w:lastRenderedPageBreak/>
        <w:t>fresh water was provided ad libitum. Animal care was in compliance with standard operating procedures (SOPs) of the Pharmacology animal facility, and the European Convention for the Protection of Vertebrate Animals used for Experimental and other Scientific Purposes (ETS 123).</w:t>
      </w:r>
    </w:p>
    <w:p w14:paraId="6996C029" w14:textId="30C5EE41"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This study was approved by the local Ethic Committee. Ethical principles of the study complied with the European Directive 010/63/E, the Law on Amendments to the Animal Protection Act (Official Gazette 37/13), the Animal Protection Act (Official Gazette 135/06), the Ordinance on the protection of animals used for scientific purposes (Official Gazette 55/13), Federation of European Laboratory Animal Science Associations recommendations and the recommendations of the Ethics Committee of the School of Medicine, University of Zagreb. The experiments were assessed by observers blinded as to the treatment.</w:t>
      </w:r>
    </w:p>
    <w:p w14:paraId="040B9A90" w14:textId="77777777" w:rsidR="00840B82" w:rsidRPr="00A36F29" w:rsidRDefault="00840B82" w:rsidP="00A36F29">
      <w:pPr>
        <w:spacing w:after="0" w:line="360" w:lineRule="auto"/>
        <w:jc w:val="both"/>
        <w:rPr>
          <w:rFonts w:ascii="Book Antiqua" w:hAnsi="Book Antiqua" w:cs="Courier New"/>
          <w:b/>
          <w:i/>
          <w:color w:val="000000" w:themeColor="text1"/>
          <w:sz w:val="24"/>
          <w:szCs w:val="24"/>
          <w:lang w:val="en-US"/>
        </w:rPr>
      </w:pPr>
    </w:p>
    <w:p w14:paraId="5756E519" w14:textId="14F7DDFB"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Drugs</w:t>
      </w:r>
    </w:p>
    <w:p w14:paraId="3B9FC1C1" w14:textId="49C9D919"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Medication was administered as described previously</w:t>
      </w:r>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 without use of a carrier or peptidase inhibitor, for stable gastric pentadecapeptide BPC 157, a partial sequence of the human gastric juice protein BPC, which was freely soluble in water at pH 7.0 and in saline. BPC 157 (GEPPPGKPADDAGLV, molecular weight 1419; Diagen, Slovenia) was prepared as a peptide with 99% high-performance liquid chromatography purity, with 1-des-Gly peptide being the main impurity. The dose and application regimens were as described previously</w:t>
      </w:r>
      <w:r w:rsidRPr="00A36F29">
        <w:rPr>
          <w:rFonts w:ascii="Book Antiqua" w:hAnsi="Book Antiqua" w:cs="Courier New"/>
          <w:color w:val="000000" w:themeColor="text1"/>
          <w:sz w:val="24"/>
          <w:szCs w:val="24"/>
          <w:vertAlign w:val="superscript"/>
          <w:lang w:val="en-US"/>
        </w:rPr>
        <w:t>[8-20]</w:t>
      </w:r>
      <w:r w:rsidRPr="00A36F29">
        <w:rPr>
          <w:rFonts w:ascii="Book Antiqua" w:hAnsi="Book Antiqua" w:cs="Courier New"/>
          <w:color w:val="000000" w:themeColor="text1"/>
          <w:sz w:val="24"/>
          <w:szCs w:val="24"/>
          <w:lang w:val="en-US"/>
        </w:rPr>
        <w:t>.</w:t>
      </w:r>
    </w:p>
    <w:p w14:paraId="43945B9A" w14:textId="77777777" w:rsidR="00840B82" w:rsidRPr="00A36F29" w:rsidRDefault="00840B82" w:rsidP="00A36F29">
      <w:pPr>
        <w:spacing w:after="0" w:line="360" w:lineRule="auto"/>
        <w:jc w:val="both"/>
        <w:rPr>
          <w:rFonts w:ascii="Book Antiqua" w:hAnsi="Book Antiqua" w:cs="Courier New"/>
          <w:b/>
          <w:i/>
          <w:color w:val="000000" w:themeColor="text1"/>
          <w:sz w:val="24"/>
          <w:szCs w:val="24"/>
          <w:lang w:val="en-US"/>
        </w:rPr>
      </w:pPr>
    </w:p>
    <w:p w14:paraId="7AD8E280" w14:textId="5F9A7556"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 xml:space="preserve">Surgery </w:t>
      </w:r>
    </w:p>
    <w:p w14:paraId="6D763D16" w14:textId="3FD9D396"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Rats were deeply anesthetized with intraperitoneal (ip) injected 40 mg/kg thiopental (Rotexmedica, Germany) and 10 mg/kg diazepam (Apaurin; Krka, Slovenia) The suprahepatic inferior vena cava was then exposed via a midline laparotomy, and was occluded by ligation. Rats were maintained for the next 15 min, 24 h or 48 h. </w:t>
      </w:r>
    </w:p>
    <w:p w14:paraId="4A18C548" w14:textId="77777777" w:rsidR="00840B82" w:rsidRPr="00A36F29" w:rsidRDefault="00840B82" w:rsidP="00A36F29">
      <w:pPr>
        <w:spacing w:after="0" w:line="360" w:lineRule="auto"/>
        <w:jc w:val="both"/>
        <w:rPr>
          <w:rFonts w:ascii="Book Antiqua" w:hAnsi="Book Antiqua" w:cs="Courier New"/>
          <w:b/>
          <w:i/>
          <w:color w:val="000000" w:themeColor="text1"/>
          <w:sz w:val="24"/>
          <w:szCs w:val="24"/>
          <w:lang w:val="en-US"/>
        </w:rPr>
      </w:pPr>
    </w:p>
    <w:p w14:paraId="6C12671B" w14:textId="2D8B0A59"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 xml:space="preserve">Medication </w:t>
      </w:r>
    </w:p>
    <w:p w14:paraId="190A693A" w14:textId="62BC3C5F"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In rats with suprahepatic occlusion of the inferior vena cava, in evaluating lesions and blood vessels by gross and microscopic assessment, </w:t>
      </w:r>
      <w:r w:rsidR="00E15C16" w:rsidRPr="00A36F29">
        <w:rPr>
          <w:rFonts w:ascii="Book Antiqua" w:hAnsi="Book Antiqua" w:cs="Times New Roman"/>
          <w:color w:val="000000" w:themeColor="text1"/>
          <w:sz w:val="24"/>
          <w:szCs w:val="24"/>
          <w:lang w:val="en-US"/>
        </w:rPr>
        <w:t>electrocardiogram</w:t>
      </w:r>
      <w:r w:rsidR="00E15C16"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ECG</w:t>
      </w:r>
      <w:r w:rsidR="00E15C16"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lang w:val="en-US"/>
        </w:rPr>
        <w:t xml:space="preserve">, thrombosis, serum enzyme levels and oxidative stress (MDA and nitric oxide, NO </w:t>
      </w:r>
      <w:r w:rsidRPr="00A36F29">
        <w:rPr>
          <w:rFonts w:ascii="Book Antiqua" w:hAnsi="Book Antiqua" w:cs="Courier New"/>
          <w:color w:val="000000" w:themeColor="text1"/>
          <w:sz w:val="24"/>
          <w:szCs w:val="24"/>
          <w:lang w:val="en-US"/>
        </w:rPr>
        <w:lastRenderedPageBreak/>
        <w:t>levels) in liver tissue, rats were treated with 10 µg/kg BPC 157, 10 ng/kg BPC 157, or 5ml/kg saline as an abdominal bath at 1 min ligation-time.</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In addition, for portal vein, vena cava, and abdominal aorta pressure recordings 10 µg/kg BPC 157, 10 ng/kg BPC 157 or 5 mL/kg saline was applied in rats, either intragastrically or as an abdominal bath, at 15 minutes, 24 h or 48 h ligation-time. For venography, 10 µg/kg BPC 157, 10 ng/kg BPC 157 or 5 mL/kg saline was applied as an abdominal bath, at 15 minutes ligation-time, just before venography. </w:t>
      </w:r>
    </w:p>
    <w:p w14:paraId="11E1E3D6" w14:textId="77777777" w:rsidR="00840B82" w:rsidRPr="00A36F29" w:rsidRDefault="00840B82" w:rsidP="00A36F29">
      <w:pPr>
        <w:spacing w:after="0" w:line="360" w:lineRule="auto"/>
        <w:jc w:val="both"/>
        <w:rPr>
          <w:rFonts w:ascii="Book Antiqua" w:hAnsi="Book Antiqua" w:cs="Courier New"/>
          <w:b/>
          <w:i/>
          <w:color w:val="000000" w:themeColor="text1"/>
          <w:sz w:val="24"/>
          <w:szCs w:val="24"/>
          <w:lang w:val="en-US"/>
        </w:rPr>
      </w:pPr>
    </w:p>
    <w:p w14:paraId="3F7397A2" w14:textId="2296E528"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Portal and caval vein and abdominal aorta pressure recording</w:t>
      </w:r>
    </w:p>
    <w:p w14:paraId="508CF938" w14:textId="72DBD13D"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Recordings were made in deeply anesthetized and laparatomized rats, with a cannula (BD Neoflon™ Cannula) connected to a pressure transducer (78534C MONITOR/ TERMINAL; Hewlett Packard, U</w:t>
      </w:r>
      <w:r w:rsidR="00840B82" w:rsidRPr="00A36F29">
        <w:rPr>
          <w:rFonts w:ascii="Book Antiqua" w:hAnsi="Book Antiqua" w:cs="Courier New"/>
          <w:color w:val="000000" w:themeColor="text1"/>
          <w:sz w:val="24"/>
          <w:szCs w:val="24"/>
          <w:lang w:val="en-US"/>
        </w:rPr>
        <w:t>nited States</w:t>
      </w:r>
      <w:r w:rsidRPr="00A36F29">
        <w:rPr>
          <w:rFonts w:ascii="Book Antiqua" w:hAnsi="Book Antiqua" w:cs="Courier New"/>
          <w:color w:val="000000" w:themeColor="text1"/>
          <w:sz w:val="24"/>
          <w:szCs w:val="24"/>
          <w:lang w:val="en-US"/>
        </w:rPr>
        <w:t>) inserted into the portal vein, inferior vena cava and abdominal aorta at the level of the bifurcation at 15 min, 24 h or 48 h post-ligation. Each recording lasted five minutes, being assessed in one minute intervals.</w:t>
      </w:r>
    </w:p>
    <w:p w14:paraId="4B41AB3D" w14:textId="365CDDB3"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Notably, normal rats exhibited a portal pressure of 3–5 mmHg</w:t>
      </w:r>
      <w:r w:rsidRPr="00A36F29">
        <w:rPr>
          <w:rFonts w:ascii="Book Antiqua" w:hAnsi="Book Antiqua" w:cs="Courier New"/>
          <w:color w:val="000000" w:themeColor="text1"/>
          <w:sz w:val="24"/>
          <w:szCs w:val="24"/>
          <w:vertAlign w:val="superscript"/>
          <w:lang w:val="en-US"/>
        </w:rPr>
        <w:t>[25]</w:t>
      </w:r>
      <w:r w:rsidRPr="00A36F29">
        <w:rPr>
          <w:rFonts w:ascii="Book Antiqua" w:hAnsi="Book Antiqua" w:cs="Courier New"/>
          <w:color w:val="000000" w:themeColor="text1"/>
          <w:sz w:val="24"/>
          <w:szCs w:val="24"/>
          <w:lang w:val="en-US"/>
        </w:rPr>
        <w:fldChar w:fldCharType="begin" w:fldLock="1"/>
      </w:r>
      <w:r w:rsidRPr="00A36F29">
        <w:rPr>
          <w:rFonts w:ascii="Book Antiqua" w:hAnsi="Book Antiqua" w:cs="Courier New"/>
          <w:color w:val="000000" w:themeColor="text1"/>
          <w:sz w:val="24"/>
          <w:szCs w:val="24"/>
          <w:lang w:val="en-US"/>
        </w:rPr>
        <w:instrText>ADDIN CSL_CITATION {"citationItems":[{"id":"ITEM-1","itemData":{"DOI":"10.1016/S0928-4257(01)00044-4","ISSN":"09284257","abstract":"Liver lesions and portal hypertension in rats, following chronic alcohol administration, are a particular target for therapy. Portal hypertension (mm Hg) assessed directly into the portal vein, and liver lesions induced by 7.28 g/kg b.w. of alcohol given in drinking water for 3 months, were counteracted by a stable gastric pentadecapeptide BPC 157, GEPPPGKPADDAGLV, M.W. 1419, known to have a beneficial effect in a variety of models of gastrointestinal or liver lesions (10 μg or 10 ng/kg b.w.i.p, or i.g.) and propranolol (10 mg/kg b.w.i.g.), but not ranitidine (10 mg/kg b.w.i.g.) or saline (5 ml/kg b.w.i.p./i.g.; control). The medication (once daily) was throughout either the whole 3 months period (1) or the last month only (2) (last application 24 h before sacrifice). In the background of 7.28 g/kg/daily alcohol regimen similar lesions values were assessed in control rats following alcohol consumption, after 2 or 3 months of drinking. Both prophylactic and therapeutic effects were shown. After a period of 2 or 3 months, in all control saline [intragastrically (i.g.) or intraperitoneally (i.p.)]  treated rats, the applied alcohol regimen consistently induced a significant rise of portal blood pressure values over values noted in healthy rats. In rats that received gastric pentadecapeptide BPC 157 or propranolol the otherwise raised portal pressure was reduced to the values noted in healthy rats. Besides, a raised surface area (μm 2 ) and increased circumference (μm) of hepatocyte or hepatocyte nucleus [HE staining, measured using PC-compatibile program ISSA (VAMS, Zagreb, Croatia)] and an advanced steatosis [scored (0-4), Oil Red staining]  (on 100 randomly assigned hepatocytes per each liver), an increased liver weight, all together parallel a raised portal pressure in controls. Some of them were completely eliminated (not different from healthy rats, i.e. portal pressure, the circumference and area of hepatocytes, liver weight), while others were markedly attenuated (values less than in drinking controls, still higher than in healthy rats, i.e. circumference and area of hepatocytes nucleus). On the other hand, ranitidine application attenuated only steatosis development. In summary, despite continuous chronic alcohol drinking, pentadecapeptide BPC 157, and propranolol may prevent portal hypertension as well as reverse already established portal hypertension along with related liver disturbances. © 2001 Elsevier Science Ltd. All rights reserved.","author":[{"dropping-particle":"","family":"Prkacin","given":"I.","non-dropping-particle":"","parse-names":false,"suffix":""},{"dropping-particle":"","family":"Separovic","given":"J.","non-dropping-particle":"","parse-names":false,"suffix":""},{"dropping-particle":"","family":"Aralicia","given":"G.","non-dropping-particle":"","parse-names":false,"suffix":""},{"dropping-particle":"","family":"Perovic","given":"D.","non-dropping-particle":"","parse-names":false,"suffix":""},{"dropping-particle":"","family":"Gjurasin","given":"M.","non-dropping-particle":"","parse-names":false,"suffix":""},{"dropping-particle":"","family":"Lovric-Bencic","given":"M.","non-dropping-particle":"","parse-names":false,"suffix":""},{"dropping-particle":"","family":"Stancic-Rokotov","given":"D.","non-dropping-particle":"","parse-names":false,"suffix":""},{"dropping-particle":"","family":"Staresinic","given":"M.","non-dropping-particle":"","parse-names":false,"suffix":""},{"dropping-particle":"","family":"Anic","given":"T.","non-dropping-particle":"","parse-names":false,"suffix":""},{"dropping-particle":"","family":"Mikus","given":"D.","non-dropping-particle":"","parse-names":false,"suffix":""},{"dropping-particle":"","family":"Sikiric","given":"P.","non-dropping-particle":"","parse-names":false,"suffix":""},{"dropping-particle":"","family":"Seiwerth","given":"S.","non-dropping-particle":"","parse-names":false,"suffix":""},{"dropping-particle":"","family":"Mise","given":"S.","non-dropping-particle":"","parse-names":false,"suffix":""},{"dropping-particle":"","family":"Rotkvic","given":"I.","non-dropping-particle":"","parse-names":false,"suffix":""},{"dropping-particle":"","family":"Jagic","given":"V.","non-dropping-particle":"","parse-names":false,"suffix":""},{"dropping-particle":"","family":"Rucman","given":"R.","non-dropping-particle":"","parse-names":false,"suffix":""},{"dropping-particle":"","family":"Petek","given":"M.","non-dropping-particle":"","parse-names":false,"suffix":""},{"dropping-particle":"","family":"Turkovic","given":"B.","non-dropping-particle":"","parse-names":false,"suffix":""},{"dropping-particle":"","family":"Marovic","given":"A.","non-dropping-particle":"","parse-names":false,"suffix":""},{"dropping-particle":"","family":"Sebecic","given":"B.","non-dropping-particle":"","parse-names":false,"suffix":""},{"dropping-particle":"","family":"Boban-Blagaic","given":"A.","non-dropping-particle":"","parse-names":false,"suffix":""},{"dropping-particle":"","family":"Kokic","given":"N.","non-dropping-particle":"","parse-names":false,"suffix":""}],"container-title":"Journal of Physiology Paris","id":"ITEM-1","issue":"1-6","issued":{"date-parts":[["2001"]]},"title":"Portal hypertension and liver lesions in chronically alcohol drinking rats prevented and reversed by stable gastric pentadecapeptide BPC 157 (PL-10, PLD-116), and propranolol, but not ranitidine","type":"article-journal","volume":"95"},"uris":["http://www.mendeley.com/documents/?uuid=21b01322-6104-342a-8f4e-052be515fe01"]}],"mendeley":{"formattedCitation":"&lt;sup&gt;[23]&lt;/sup&gt;","plainTextFormattedCitation":"[23]","previouslyFormattedCitation":"&lt;sup&gt;[23]&lt;/sup&gt;"},"properties":{"noteIndex":0},"schema":"https://github.com/citation-style-language/schema/raw/master/csl-citation.json"}</w:instrText>
      </w:r>
      <w:r w:rsidRPr="00A36F29">
        <w:rPr>
          <w:rFonts w:ascii="Book Antiqua" w:hAnsi="Book Antiqua" w:cs="Courier New"/>
          <w:color w:val="000000" w:themeColor="text1"/>
          <w:sz w:val="24"/>
          <w:szCs w:val="24"/>
          <w:lang w:val="en-US"/>
        </w:rPr>
        <w:fldChar w:fldCharType="end"/>
      </w:r>
      <w:r w:rsidRPr="00A36F29">
        <w:rPr>
          <w:rFonts w:ascii="Book Antiqua" w:hAnsi="Book Antiqua" w:cs="Courier New"/>
          <w:color w:val="000000" w:themeColor="text1"/>
          <w:sz w:val="24"/>
          <w:szCs w:val="24"/>
          <w:lang w:val="en-US"/>
        </w:rPr>
        <w:t xml:space="preserve"> similar to that of the inferior vena cava, though with at least 1 mmHg higher values in the portal vein. By contrast, abdominal aorta blood pressure values were 100–120 mmHg at the level of the bifurcation</w:t>
      </w:r>
      <w:r w:rsidRPr="00A36F29">
        <w:rPr>
          <w:rFonts w:ascii="Book Antiqua" w:hAnsi="Book Antiqua" w:cs="Courier New"/>
          <w:color w:val="000000" w:themeColor="text1"/>
          <w:sz w:val="24"/>
          <w:szCs w:val="24"/>
          <w:vertAlign w:val="superscript"/>
          <w:lang w:val="en-US"/>
        </w:rPr>
        <w:t>[21]</w:t>
      </w:r>
      <w:r w:rsidRPr="00A36F29">
        <w:rPr>
          <w:rFonts w:ascii="Book Antiqua" w:hAnsi="Book Antiqua" w:cs="Courier New"/>
          <w:color w:val="000000" w:themeColor="text1"/>
          <w:sz w:val="24"/>
          <w:szCs w:val="24"/>
          <w:lang w:val="en-US"/>
        </w:rPr>
        <w:t xml:space="preserve">. </w:t>
      </w:r>
    </w:p>
    <w:p w14:paraId="32FD4D3B" w14:textId="77777777" w:rsidR="005B60A9" w:rsidRPr="00A36F29" w:rsidRDefault="005B60A9" w:rsidP="00A36F29">
      <w:pPr>
        <w:spacing w:after="0" w:line="360" w:lineRule="auto"/>
        <w:jc w:val="both"/>
        <w:rPr>
          <w:rFonts w:ascii="Book Antiqua" w:hAnsi="Book Antiqua" w:cs="Courier New"/>
          <w:b/>
          <w:i/>
          <w:color w:val="000000" w:themeColor="text1"/>
          <w:sz w:val="24"/>
          <w:szCs w:val="24"/>
          <w:lang w:val="en-US"/>
        </w:rPr>
      </w:pPr>
    </w:p>
    <w:p w14:paraId="31533175" w14:textId="6E4A49C7"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ECG recording</w:t>
      </w:r>
    </w:p>
    <w:p w14:paraId="5F9D175D" w14:textId="17FE81AC"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ECGs were recorded continuously in deeply anesthetized rats for all three main leads, by positioning stainless steel electrodes on all four limbs using an ECG monitor with a 2090 programmer (Medtronic, </w:t>
      </w:r>
      <w:r w:rsidR="005B60A9" w:rsidRPr="00A36F29">
        <w:rPr>
          <w:rFonts w:ascii="Book Antiqua" w:hAnsi="Book Antiqua" w:cs="Courier New"/>
          <w:color w:val="000000" w:themeColor="text1"/>
          <w:sz w:val="24"/>
          <w:szCs w:val="24"/>
          <w:lang w:val="en-US"/>
        </w:rPr>
        <w:t>United States</w:t>
      </w:r>
      <w:r w:rsidRPr="00A36F29">
        <w:rPr>
          <w:rFonts w:ascii="Book Antiqua" w:hAnsi="Book Antiqua" w:cs="Courier New"/>
          <w:color w:val="000000" w:themeColor="text1"/>
          <w:sz w:val="24"/>
          <w:szCs w:val="24"/>
          <w:lang w:val="en-US"/>
        </w:rPr>
        <w:t xml:space="preserve">) connected to a Waverunner LT342 digital oscilloscope (LeCroy, </w:t>
      </w:r>
      <w:r w:rsidR="005B60A9" w:rsidRPr="00A36F29">
        <w:rPr>
          <w:rFonts w:ascii="Book Antiqua" w:hAnsi="Book Antiqua" w:cs="Courier New"/>
          <w:color w:val="000000" w:themeColor="text1"/>
          <w:sz w:val="24"/>
          <w:szCs w:val="24"/>
          <w:lang w:val="en-US"/>
        </w:rPr>
        <w:t>United States</w:t>
      </w:r>
      <w:r w:rsidRPr="00A36F29">
        <w:rPr>
          <w:rFonts w:ascii="Book Antiqua" w:hAnsi="Book Antiqua" w:cs="Courier New"/>
          <w:color w:val="000000" w:themeColor="text1"/>
          <w:sz w:val="24"/>
          <w:szCs w:val="24"/>
          <w:lang w:val="en-US"/>
        </w:rPr>
        <w:t>). This arrangement enabled precise recordings, measurements and analysis of ECG parameters</w:t>
      </w:r>
      <w:r w:rsidRPr="00A36F29">
        <w:rPr>
          <w:rFonts w:ascii="Book Antiqua" w:hAnsi="Book Antiqua" w:cs="Courier New"/>
          <w:color w:val="000000" w:themeColor="text1"/>
          <w:sz w:val="24"/>
          <w:szCs w:val="24"/>
          <w:vertAlign w:val="superscript"/>
          <w:lang w:val="en-US"/>
        </w:rPr>
        <w:t>[21]</w:t>
      </w:r>
      <w:r w:rsidRPr="00A36F29">
        <w:rPr>
          <w:rFonts w:ascii="Book Antiqua" w:hAnsi="Book Antiqua" w:cs="Courier New"/>
          <w:color w:val="000000" w:themeColor="text1"/>
          <w:sz w:val="24"/>
          <w:szCs w:val="24"/>
          <w:lang w:val="en-US"/>
        </w:rPr>
        <w:t xml:space="preserve">. </w:t>
      </w:r>
    </w:p>
    <w:p w14:paraId="19C152D7" w14:textId="77777777" w:rsidR="005B60A9" w:rsidRPr="00A36F29" w:rsidRDefault="005B60A9" w:rsidP="00A36F29">
      <w:pPr>
        <w:spacing w:after="0" w:line="360" w:lineRule="auto"/>
        <w:jc w:val="both"/>
        <w:rPr>
          <w:rFonts w:ascii="Book Antiqua" w:hAnsi="Book Antiqua" w:cs="Courier New"/>
          <w:color w:val="000000" w:themeColor="text1"/>
          <w:sz w:val="24"/>
          <w:szCs w:val="24"/>
          <w:lang w:val="en-US"/>
        </w:rPr>
      </w:pPr>
    </w:p>
    <w:p w14:paraId="28963E07" w14:textId="77777777"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Vessels, intestine, liver, spleen, ascites presentation</w:t>
      </w:r>
    </w:p>
    <w:p w14:paraId="26D653F5" w14:textId="6240E340"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The presentation of the vessels was recorded in deeply anaesthetized rats, with a camera attached to a VMS-004 Discovery Deluxe USB microscope (Veho, </w:t>
      </w:r>
      <w:r w:rsidR="005B60A9" w:rsidRPr="00A36F29">
        <w:rPr>
          <w:rFonts w:ascii="Book Antiqua" w:hAnsi="Book Antiqua" w:cs="Courier New"/>
          <w:color w:val="000000" w:themeColor="text1"/>
          <w:sz w:val="24"/>
          <w:szCs w:val="24"/>
          <w:lang w:val="en-US"/>
        </w:rPr>
        <w:t>United States</w:t>
      </w:r>
      <w:r w:rsidRPr="00A36F29">
        <w:rPr>
          <w:rFonts w:ascii="Book Antiqua" w:hAnsi="Book Antiqua" w:cs="Courier New"/>
          <w:color w:val="000000" w:themeColor="text1"/>
          <w:sz w:val="24"/>
          <w:szCs w:val="24"/>
          <w:lang w:val="en-US"/>
        </w:rPr>
        <w:t xml:space="preserve">). We assessed vessels, as to whether they had afilled or cleared out (hollow) appearance at the stomach, and for arcade vessels on the ventral and dorsal sides in 1 </w:t>
      </w:r>
      <w:r w:rsidRPr="00A36F29">
        <w:rPr>
          <w:rFonts w:ascii="Book Antiqua" w:hAnsi="Book Antiqua" w:cs="Courier New"/>
          <w:color w:val="000000" w:themeColor="text1"/>
          <w:sz w:val="24"/>
          <w:szCs w:val="24"/>
          <w:lang w:val="en-US"/>
        </w:rPr>
        <w:lastRenderedPageBreak/>
        <w:t xml:space="preserve">cm long segments of duodenum, jejunum, ascending colon, and for 10 vessels from the proximal to distal cecum throughout the experiment. The assessments occurred at selected time points before and after therapy, in rats with a suprahepatic occlusion of the inferior vena cava, at 5, 10 and 15 min post-ligation. </w:t>
      </w:r>
    </w:p>
    <w:p w14:paraId="075FA770" w14:textId="24BDB3CE"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At 15 min, 24 h and 48 h post-ligation, we assessed hemorrhagic congestive areas in the stomach, duodenum, jejunum, cecum and ascending colon. Scoring was based on opening (1, normal mucosa presentation; 2, only small hemorrhagic areas; 3, advanced hemorrhagic areas; and 4, extensive and severe hemorrhagic areas) and azygos vein presentation (1, moderate decrease; 2, mild decrease; 3, not different from healthy; and 4, abundant increase). Liver and spleen weights were expressed as a percent of the total body weight (for normal rats, liver 3.2</w:t>
      </w:r>
      <w:r w:rsidR="003C5443"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lang w:val="en-US"/>
        </w:rPr>
        <w:t>–4.0% and spleen 0.20</w:t>
      </w:r>
      <w:r w:rsidR="003C5443"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lang w:val="en-US"/>
        </w:rPr>
        <w:t>–0.26%). Ascites (m</w:t>
      </w:r>
      <w:r w:rsidRPr="00A36F29">
        <w:rPr>
          <w:rFonts w:ascii="Book Antiqua" w:hAnsi="Book Antiqua" w:cs="Courier New"/>
          <w:caps/>
          <w:color w:val="000000" w:themeColor="text1"/>
          <w:sz w:val="24"/>
          <w:szCs w:val="24"/>
          <w:lang w:val="en-US"/>
        </w:rPr>
        <w:t>l</w:t>
      </w:r>
      <w:r w:rsidRPr="00A36F29">
        <w:rPr>
          <w:rFonts w:ascii="Book Antiqua" w:hAnsi="Book Antiqua" w:cs="Courier New"/>
          <w:color w:val="000000" w:themeColor="text1"/>
          <w:sz w:val="24"/>
          <w:szCs w:val="24"/>
          <w:lang w:val="en-US"/>
        </w:rPr>
        <w:t xml:space="preserve">) was also assessed. </w:t>
      </w:r>
    </w:p>
    <w:p w14:paraId="65103F77" w14:textId="77777777" w:rsidR="003C5443" w:rsidRPr="00A36F29" w:rsidRDefault="003C5443" w:rsidP="00A36F29">
      <w:pPr>
        <w:spacing w:after="0" w:line="360" w:lineRule="auto"/>
        <w:jc w:val="both"/>
        <w:rPr>
          <w:rFonts w:ascii="Book Antiqua" w:hAnsi="Book Antiqua" w:cs="Courier New"/>
          <w:b/>
          <w:i/>
          <w:color w:val="000000" w:themeColor="text1"/>
          <w:sz w:val="24"/>
          <w:szCs w:val="24"/>
          <w:lang w:val="en-US"/>
        </w:rPr>
      </w:pPr>
    </w:p>
    <w:p w14:paraId="7BA72776" w14:textId="1CA79BC9"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 xml:space="preserve">Venography </w:t>
      </w:r>
    </w:p>
    <w:p w14:paraId="56A1C769" w14:textId="5F0010DA"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Venography</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was performed in rats with a suprahepatic occlusion of the inferior vena cava at 15 min post-ligation,</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using a C-VISION PLUS ﬂuoroscopy unit (Shimadzu, Japan)</w:t>
      </w:r>
      <w:r w:rsidRPr="00A36F29">
        <w:rPr>
          <w:rFonts w:ascii="Book Antiqua" w:hAnsi="Book Antiqua" w:cs="Courier New"/>
          <w:color w:val="000000" w:themeColor="text1"/>
          <w:sz w:val="24"/>
          <w:szCs w:val="24"/>
          <w:vertAlign w:val="superscript"/>
          <w:lang w:val="en-US"/>
        </w:rPr>
        <w:t>[18]</w:t>
      </w:r>
      <w:r w:rsidRPr="00A36F29">
        <w:rPr>
          <w:rFonts w:ascii="Book Antiqua" w:hAnsi="Book Antiqua" w:cs="Courier New"/>
          <w:color w:val="000000" w:themeColor="text1"/>
          <w:sz w:val="24"/>
          <w:szCs w:val="24"/>
          <w:lang w:val="en-US"/>
        </w:rPr>
        <w:t xml:space="preserve">. Two ml (0.3 mL/s) warmed Omnipaque 350 (iohexol) non-ionic contrast medium (GE Healthcare, </w:t>
      </w:r>
      <w:r w:rsidR="003C5443" w:rsidRPr="00A36F29">
        <w:rPr>
          <w:rFonts w:ascii="Book Antiqua" w:hAnsi="Book Antiqua" w:cs="Courier New"/>
          <w:color w:val="000000" w:themeColor="text1"/>
          <w:sz w:val="24"/>
          <w:szCs w:val="24"/>
          <w:lang w:val="en-US"/>
        </w:rPr>
        <w:t>United States</w:t>
      </w:r>
      <w:r w:rsidRPr="00A36F29">
        <w:rPr>
          <w:rFonts w:ascii="Book Antiqua" w:hAnsi="Book Antiqua" w:cs="Courier New"/>
          <w:color w:val="000000" w:themeColor="text1"/>
          <w:sz w:val="24"/>
          <w:szCs w:val="24"/>
          <w:lang w:val="en-US"/>
        </w:rPr>
        <w:t xml:space="preserve">) was injected into the inferior vena cava at the level of bifurcation of rats with a suprahepatic occlusion of the inferior vena cava. The contrast medium was visualized under real-time to ensure adequate filling. A subtraction mode was used to record the images at 14 frames per second. At 15 minutes post-ligation, venograms were taken, captured, and digitized into files on a personal computer and were analyzed using ISSA image software (Vamstec, Croatia). Rats having a full presentation of the azygos vein and portal vein-superior mesenteric vein-inferior mesenteric vein-rectal vein-left iliac vein-inferior vena cava pathway were assessed. </w:t>
      </w:r>
    </w:p>
    <w:p w14:paraId="52AA43FB" w14:textId="77777777" w:rsidR="003C5443" w:rsidRPr="00A36F29" w:rsidRDefault="003C5443" w:rsidP="00A36F29">
      <w:pPr>
        <w:spacing w:after="0" w:line="360" w:lineRule="auto"/>
        <w:jc w:val="both"/>
        <w:rPr>
          <w:rFonts w:ascii="Book Antiqua" w:hAnsi="Book Antiqua" w:cs="Courier New"/>
          <w:b/>
          <w:i/>
          <w:color w:val="000000" w:themeColor="text1"/>
          <w:sz w:val="24"/>
          <w:szCs w:val="24"/>
          <w:lang w:val="en-US"/>
        </w:rPr>
      </w:pPr>
    </w:p>
    <w:p w14:paraId="176BF691" w14:textId="20936C30"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 xml:space="preserve">Microscopy </w:t>
      </w:r>
    </w:p>
    <w:p w14:paraId="23DECFFA" w14:textId="77777777"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Tissue specimens from liver, spleen, stomach, duodenum, ileum, cecum, ascending colon, cecum, lungs and heart were obtained from rats with suprahepatic occlusion of the inferior vena cava at 15 min, 24 h and 48 h post-ligation. These were fixed in buffered formalin (pH 7.4), for 24 h, dehydrated, and embedded in paraffin wax. The </w:t>
      </w:r>
      <w:r w:rsidRPr="00A36F29">
        <w:rPr>
          <w:rFonts w:ascii="Book Antiqua" w:hAnsi="Book Antiqua" w:cs="Courier New"/>
          <w:color w:val="000000" w:themeColor="text1"/>
          <w:sz w:val="24"/>
          <w:szCs w:val="24"/>
          <w:lang w:val="en-US"/>
        </w:rPr>
        <w:lastRenderedPageBreak/>
        <w:t>samples were stained with hematoxylin-eosin. Tissue injury was evaluated microscopically by a blinded examiner.</w:t>
      </w:r>
    </w:p>
    <w:p w14:paraId="1104BB6F" w14:textId="77777777" w:rsidR="003C5443" w:rsidRPr="00A36F29" w:rsidRDefault="003C5443" w:rsidP="00A36F29">
      <w:pPr>
        <w:spacing w:after="0" w:line="360" w:lineRule="auto"/>
        <w:jc w:val="both"/>
        <w:rPr>
          <w:rFonts w:ascii="Book Antiqua" w:hAnsi="Book Antiqua" w:cs="Courier New"/>
          <w:b/>
          <w:i/>
          <w:color w:val="000000" w:themeColor="text1"/>
          <w:sz w:val="24"/>
          <w:szCs w:val="24"/>
          <w:lang w:val="en-US"/>
        </w:rPr>
      </w:pPr>
    </w:p>
    <w:p w14:paraId="35DD5F3F" w14:textId="68FEC627"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 xml:space="preserve">Thrombus assessment </w:t>
      </w:r>
    </w:p>
    <w:p w14:paraId="089BBAEC" w14:textId="77777777"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On being euthanized, the portal vein, superior mesenteric vein (up to the inferior anterior pancreaticoduodenal vein), splenic vein and inferior vena cava, as well as the hepatic and coronary arteries were removed from the rats, and clots were weighed</w:t>
      </w:r>
      <w:r w:rsidRPr="00A36F29">
        <w:rPr>
          <w:rFonts w:ascii="Book Antiqua" w:hAnsi="Book Antiqua" w:cs="Courier New"/>
          <w:color w:val="000000" w:themeColor="text1"/>
          <w:sz w:val="24"/>
          <w:szCs w:val="24"/>
          <w:vertAlign w:val="superscript"/>
          <w:lang w:val="en-US"/>
        </w:rPr>
        <w:t>[21]</w:t>
      </w:r>
      <w:r w:rsidRPr="00A36F29">
        <w:rPr>
          <w:rFonts w:ascii="Book Antiqua" w:hAnsi="Book Antiqua" w:cs="Courier New"/>
          <w:color w:val="000000" w:themeColor="text1"/>
          <w:sz w:val="24"/>
          <w:szCs w:val="24"/>
          <w:lang w:val="en-US"/>
        </w:rPr>
        <w:t xml:space="preserve">. </w:t>
      </w:r>
    </w:p>
    <w:p w14:paraId="595EAAB4" w14:textId="77777777" w:rsidR="00C871CF" w:rsidRPr="00A36F29" w:rsidRDefault="00C871CF" w:rsidP="00A36F29">
      <w:pPr>
        <w:spacing w:after="0" w:line="360" w:lineRule="auto"/>
        <w:jc w:val="both"/>
        <w:rPr>
          <w:rFonts w:ascii="Book Antiqua" w:hAnsi="Book Antiqua" w:cs="Courier New"/>
          <w:color w:val="000000" w:themeColor="text1"/>
          <w:sz w:val="24"/>
          <w:szCs w:val="24"/>
          <w:lang w:val="en-US"/>
        </w:rPr>
      </w:pPr>
    </w:p>
    <w:p w14:paraId="1FC7935C" w14:textId="77777777"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Bilirubin and enzyme activity</w:t>
      </w:r>
    </w:p>
    <w:p w14:paraId="466CED57" w14:textId="0A958A1D"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To determine the serum levels of aspartate transaminase, alanine transaminase (IU/L), and total bilirubin (μmol/L), blood samples were collected immediately after euthanasia and were centrifuged for 15 min at 3000 rpm. All tests were performed using an Olympus AU2700 analyzer with original test reagents (Olympus Diagnostics, Ireland)</w:t>
      </w:r>
      <w:r w:rsidRPr="00A36F29">
        <w:rPr>
          <w:rFonts w:ascii="Book Antiqua" w:hAnsi="Book Antiqua" w:cs="Courier New"/>
          <w:color w:val="000000" w:themeColor="text1"/>
          <w:sz w:val="24"/>
          <w:szCs w:val="24"/>
          <w:vertAlign w:val="superscript"/>
          <w:lang w:val="en-US"/>
        </w:rPr>
        <w:t>[26-32]</w:t>
      </w:r>
      <w:r w:rsidRPr="00A36F29">
        <w:rPr>
          <w:rFonts w:ascii="Book Antiqua" w:hAnsi="Book Antiqua" w:cs="Courier New"/>
          <w:color w:val="000000" w:themeColor="text1"/>
          <w:sz w:val="24"/>
          <w:szCs w:val="24"/>
          <w:lang w:val="en-US"/>
        </w:rPr>
        <w:t>. However, since there was no increase in bilirubin, the data were not shown.</w:t>
      </w:r>
    </w:p>
    <w:p w14:paraId="5BD9EFEE" w14:textId="77777777" w:rsidR="00C871CF" w:rsidRPr="00A36F29" w:rsidRDefault="00C871CF" w:rsidP="00A36F29">
      <w:pPr>
        <w:spacing w:after="0" w:line="360" w:lineRule="auto"/>
        <w:jc w:val="both"/>
        <w:rPr>
          <w:rFonts w:ascii="Book Antiqua" w:hAnsi="Book Antiqua" w:cs="Courier New"/>
          <w:color w:val="000000" w:themeColor="text1"/>
          <w:sz w:val="24"/>
          <w:szCs w:val="24"/>
          <w:lang w:val="en-US"/>
        </w:rPr>
      </w:pPr>
    </w:p>
    <w:p w14:paraId="52D668AF" w14:textId="77777777"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Oxidative stress in liver</w:t>
      </w:r>
    </w:p>
    <w:p w14:paraId="067AD8A5" w14:textId="7A05C4D7"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Oxidative stress was assessed in collected tissue samples at 15 min, 24 h and 48 h post-ligation, by quantifying thiobarbituric acid-reactive species (TBARS) as MDA equivalents, as previously described</w:t>
      </w:r>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 The tissue samples were homogenized in phosphate-buffered saline (PBS, pH 7.4) containing 0.1 mmol/L butylated hydroxytoluene (BHT, TissueRuptor; Qiagen, U</w:t>
      </w:r>
      <w:r w:rsidR="003C5443" w:rsidRPr="00A36F29">
        <w:rPr>
          <w:rFonts w:ascii="Book Antiqua" w:hAnsi="Book Antiqua" w:cs="Courier New"/>
          <w:color w:val="000000" w:themeColor="text1"/>
          <w:sz w:val="24"/>
          <w:szCs w:val="24"/>
          <w:lang w:val="en-US"/>
        </w:rPr>
        <w:t>nited States</w:t>
      </w:r>
      <w:r w:rsidRPr="00A36F29">
        <w:rPr>
          <w:rFonts w:ascii="Book Antiqua" w:hAnsi="Book Antiqua" w:cs="Courier New"/>
          <w:color w:val="000000" w:themeColor="text1"/>
          <w:sz w:val="24"/>
          <w:szCs w:val="24"/>
          <w:lang w:val="en-US"/>
        </w:rPr>
        <w:t xml:space="preserve">) and sonicated for 30 s in an ultrasonic ice bath (Branson, </w:t>
      </w:r>
      <w:r w:rsidR="003C5443" w:rsidRPr="00A36F29">
        <w:rPr>
          <w:rFonts w:ascii="Book Antiqua" w:hAnsi="Book Antiqua" w:cs="Courier New"/>
          <w:color w:val="000000" w:themeColor="text1"/>
          <w:sz w:val="24"/>
          <w:szCs w:val="24"/>
          <w:lang w:val="en-US"/>
        </w:rPr>
        <w:t>United States</w:t>
      </w:r>
      <w:r w:rsidRPr="00A36F29">
        <w:rPr>
          <w:rFonts w:ascii="Book Antiqua" w:hAnsi="Book Antiqua" w:cs="Courier New"/>
          <w:color w:val="000000" w:themeColor="text1"/>
          <w:sz w:val="24"/>
          <w:szCs w:val="24"/>
          <w:lang w:val="en-US"/>
        </w:rPr>
        <w:t xml:space="preserve">). Trichloroacetic acid (TCA, 10%) was added to the homogenate, the mixture was centrifuged at 3000 rpm for 5 min, and the supernatant was collected. Thiobarbituric acid (TBA, 1%) was added, and the samples were heated at 95 </w:t>
      </w:r>
      <w:r w:rsidRPr="00A36F29">
        <w:rPr>
          <w:rFonts w:ascii="SimSun" w:eastAsia="SimSun" w:hAnsi="SimSun" w:cs="SimSun" w:hint="eastAsia"/>
          <w:color w:val="000000" w:themeColor="text1"/>
          <w:sz w:val="24"/>
          <w:szCs w:val="24"/>
          <w:lang w:val="en-US"/>
        </w:rPr>
        <w:t>℃</w:t>
      </w:r>
      <w:r w:rsidRPr="00A36F29">
        <w:rPr>
          <w:rFonts w:ascii="Book Antiqua" w:hAnsi="Book Antiqua" w:cs="Courier New"/>
          <w:color w:val="000000" w:themeColor="text1"/>
          <w:sz w:val="24"/>
          <w:szCs w:val="24"/>
          <w:lang w:val="en-US"/>
        </w:rPr>
        <w:t xml:space="preserve"> for 60 min. The tubes were then kept on ice for 10 min. Following centrifugation (14000 rpm, 10 min), the absorbance of the mixture was determined at a wavelength of 532 nm. The concentration of MDA was read from a standard calibration curve, plotted using 1,1,3,3’-tetraethoxy propane. The extent of lipid peroxidation was expressed as MDA equivalents, using a molar extinction coefficient for MDA of 1.56 × 105 mol/L/cm. Protein concentration was determined </w:t>
      </w:r>
      <w:r w:rsidRPr="00A36F29">
        <w:rPr>
          <w:rFonts w:ascii="Book Antiqua" w:hAnsi="Book Antiqua" w:cs="Courier New"/>
          <w:color w:val="000000" w:themeColor="text1"/>
          <w:sz w:val="24"/>
          <w:szCs w:val="24"/>
          <w:lang w:val="en-US"/>
        </w:rPr>
        <w:lastRenderedPageBreak/>
        <w:t>using a DC Protein Assay Kit,</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(Bio-Rad, </w:t>
      </w:r>
      <w:r w:rsidR="003C5443" w:rsidRPr="00A36F29">
        <w:rPr>
          <w:rFonts w:ascii="Book Antiqua" w:hAnsi="Book Antiqua" w:cs="Courier New"/>
          <w:color w:val="000000" w:themeColor="text1"/>
          <w:sz w:val="24"/>
          <w:szCs w:val="24"/>
          <w:lang w:val="en-US"/>
        </w:rPr>
        <w:t>United States</w:t>
      </w:r>
      <w:r w:rsidRPr="00A36F29">
        <w:rPr>
          <w:rFonts w:ascii="Book Antiqua" w:hAnsi="Book Antiqua" w:cs="Courier New"/>
          <w:color w:val="000000" w:themeColor="text1"/>
          <w:sz w:val="24"/>
          <w:szCs w:val="24"/>
          <w:lang w:val="en-US"/>
        </w:rPr>
        <w:t>). Results were expressed in nmol per mg protein.</w:t>
      </w:r>
    </w:p>
    <w:p w14:paraId="31D5E7F7" w14:textId="77777777" w:rsidR="00C871CF" w:rsidRPr="00A36F29" w:rsidRDefault="00C871CF" w:rsidP="00A36F29">
      <w:pPr>
        <w:spacing w:after="0" w:line="360" w:lineRule="auto"/>
        <w:jc w:val="both"/>
        <w:rPr>
          <w:rFonts w:ascii="Book Antiqua" w:hAnsi="Book Antiqua" w:cs="Courier New"/>
          <w:color w:val="000000" w:themeColor="text1"/>
          <w:sz w:val="24"/>
          <w:szCs w:val="24"/>
          <w:lang w:val="en-US"/>
        </w:rPr>
      </w:pPr>
    </w:p>
    <w:p w14:paraId="7630C725" w14:textId="111811BC" w:rsidR="00C871CF" w:rsidRPr="00A36F29" w:rsidRDefault="00753E90"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aps/>
          <w:color w:val="000000" w:themeColor="text1"/>
          <w:sz w:val="24"/>
          <w:szCs w:val="24"/>
          <w:lang w:val="en-US"/>
        </w:rPr>
        <w:t>n</w:t>
      </w:r>
      <w:r w:rsidRPr="00A36F29">
        <w:rPr>
          <w:rFonts w:ascii="Book Antiqua" w:hAnsi="Book Antiqua" w:cs="Courier New"/>
          <w:b/>
          <w:i/>
          <w:color w:val="000000" w:themeColor="text1"/>
          <w:sz w:val="24"/>
          <w:szCs w:val="24"/>
          <w:lang w:val="en-US"/>
        </w:rPr>
        <w:t>O</w:t>
      </w:r>
      <w:r w:rsidR="00C871CF" w:rsidRPr="00A36F29">
        <w:rPr>
          <w:rFonts w:ascii="Book Antiqua" w:hAnsi="Book Antiqua" w:cs="Courier New"/>
          <w:b/>
          <w:i/>
          <w:color w:val="000000" w:themeColor="text1"/>
          <w:sz w:val="24"/>
          <w:szCs w:val="24"/>
          <w:lang w:val="en-US"/>
        </w:rPr>
        <w:t xml:space="preserve"> determination in liver</w:t>
      </w:r>
    </w:p>
    <w:p w14:paraId="4854BD2B" w14:textId="34C55441"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NO- levels in liver tissue samples were determined at 15 min, 24 h and 48 h post-ligation, using the Griess reaction (Griess Reagent System; Promega, </w:t>
      </w:r>
      <w:r w:rsidR="003C5443" w:rsidRPr="00A36F29">
        <w:rPr>
          <w:rFonts w:ascii="Book Antiqua" w:hAnsi="Book Antiqua" w:cs="Courier New"/>
          <w:color w:val="000000" w:themeColor="text1"/>
          <w:sz w:val="24"/>
          <w:szCs w:val="24"/>
          <w:lang w:val="en-US"/>
        </w:rPr>
        <w:t>United States</w:t>
      </w:r>
      <w:r w:rsidRPr="00A36F29">
        <w:rPr>
          <w:rFonts w:ascii="Book Antiqua" w:hAnsi="Book Antiqua" w:cs="Courier New"/>
          <w:color w:val="000000" w:themeColor="text1"/>
          <w:sz w:val="24"/>
          <w:szCs w:val="24"/>
          <w:lang w:val="en-US"/>
        </w:rPr>
        <w:t>). Sulfanilamide was incubated with the homogenized tissue, and then, N-1-naphthyl ethylenediamine dihydrochloride was added. The Griess reaction was based on a diazotization reaction in which acidified nitrite reacted with diazonium ions and, in a further step, was coupled to N-1-naphthyl ethylenediamine dihydrochloride, forming a chromophoric azo derivate. Absorbance was measured at 540 nm, using sodium nitrite solution as a standard. NO-levels were reported in μmol/mg protein. The protein concentrations were determined using a DC Protein Assay Kit,</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(Bio-Rad, </w:t>
      </w:r>
      <w:r w:rsidR="003C5443" w:rsidRPr="00A36F29">
        <w:rPr>
          <w:rFonts w:ascii="Book Antiqua" w:hAnsi="Book Antiqua" w:cs="Courier New"/>
          <w:color w:val="000000" w:themeColor="text1"/>
          <w:sz w:val="24"/>
          <w:szCs w:val="24"/>
          <w:lang w:val="en-US"/>
        </w:rPr>
        <w:t>United States</w:t>
      </w:r>
      <w:r w:rsidRPr="00A36F29">
        <w:rPr>
          <w:rFonts w:ascii="Book Antiqua" w:hAnsi="Book Antiqua" w:cs="Courier New"/>
          <w:color w:val="000000" w:themeColor="text1"/>
          <w:sz w:val="24"/>
          <w:szCs w:val="24"/>
          <w:lang w:val="en-US"/>
        </w:rPr>
        <w:t>), as described previously</w:t>
      </w:r>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w:t>
      </w:r>
    </w:p>
    <w:p w14:paraId="75E9F5A8" w14:textId="77777777"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p>
    <w:p w14:paraId="2B822279" w14:textId="77777777"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Statistical analysis</w:t>
      </w:r>
    </w:p>
    <w:p w14:paraId="3A7139EC" w14:textId="6EA30D91"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Statistical analysis was performed by parametric one-way analysis of variance, with post-hoc Newman-Keuls test and non-parametric Kruskal-Wallis test and subsequently the Mann-Whitney </w:t>
      </w:r>
      <w:r w:rsidRPr="00A36F29">
        <w:rPr>
          <w:rFonts w:ascii="Book Antiqua" w:hAnsi="Book Antiqua" w:cs="Courier New"/>
          <w:i/>
          <w:iCs/>
          <w:color w:val="000000" w:themeColor="text1"/>
          <w:sz w:val="24"/>
          <w:szCs w:val="24"/>
          <w:lang w:val="en-US"/>
        </w:rPr>
        <w:t>U</w:t>
      </w:r>
      <w:r w:rsidRPr="00A36F29">
        <w:rPr>
          <w:rFonts w:ascii="Book Antiqua" w:hAnsi="Book Antiqua" w:cs="Courier New"/>
          <w:color w:val="000000" w:themeColor="text1"/>
          <w:sz w:val="24"/>
          <w:szCs w:val="24"/>
          <w:lang w:val="en-US"/>
        </w:rPr>
        <w:t xml:space="preserve"> test to compare groups. Values were presented as the mean ±</w:t>
      </w:r>
      <w:r w:rsidR="003C5443"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SD and as the minimum/median/maximum. To compare the frequency difference between groups, the </w:t>
      </w:r>
      <w:bookmarkStart w:id="4" w:name="OLE_LINK7"/>
      <w:bookmarkStart w:id="5" w:name="OLE_LINK8"/>
      <w:r w:rsidR="00A26579" w:rsidRPr="00A36F29">
        <w:rPr>
          <w:rFonts w:ascii="Book Antiqua" w:hAnsi="Book Antiqua"/>
          <w:i/>
          <w:iCs/>
          <w:color w:val="000000" w:themeColor="text1"/>
          <w:sz w:val="24"/>
          <w:szCs w:val="24"/>
        </w:rPr>
        <w:t></w:t>
      </w:r>
      <w:r w:rsidR="00A26579" w:rsidRPr="00A36F29">
        <w:rPr>
          <w:rFonts w:ascii="Book Antiqua" w:hAnsi="Book Antiqua"/>
          <w:color w:val="000000" w:themeColor="text1"/>
          <w:sz w:val="24"/>
          <w:szCs w:val="24"/>
          <w:vertAlign w:val="superscript"/>
        </w:rPr>
        <w:t>2</w:t>
      </w:r>
      <w:bookmarkEnd w:id="4"/>
      <w:bookmarkEnd w:id="5"/>
      <w:r w:rsidRPr="00A36F29">
        <w:rPr>
          <w:rFonts w:ascii="Book Antiqua" w:hAnsi="Book Antiqua" w:cs="Courier New"/>
          <w:color w:val="000000" w:themeColor="text1"/>
          <w:sz w:val="24"/>
          <w:szCs w:val="24"/>
          <w:lang w:val="en-US"/>
        </w:rPr>
        <w:t xml:space="preserve"> test or Fischer's exact test was used. </w:t>
      </w:r>
      <w:r w:rsidRPr="00A36F29">
        <w:rPr>
          <w:rFonts w:ascii="Book Antiqua" w:hAnsi="Book Antiqua" w:cs="Courier New"/>
          <w:i/>
          <w:iCs/>
          <w:color w:val="000000" w:themeColor="text1"/>
          <w:sz w:val="24"/>
          <w:szCs w:val="24"/>
          <w:lang w:val="en-US"/>
        </w:rPr>
        <w:t>P</w:t>
      </w:r>
      <w:r w:rsidRPr="00A36F29">
        <w:rPr>
          <w:rFonts w:ascii="Book Antiqua" w:hAnsi="Book Antiqua" w:cs="Courier New"/>
          <w:color w:val="000000" w:themeColor="text1"/>
          <w:sz w:val="24"/>
          <w:szCs w:val="24"/>
          <w:lang w:val="en-US"/>
        </w:rPr>
        <w:t xml:space="preserve"> &lt; 0.05 was considered statistically significant.</w:t>
      </w:r>
    </w:p>
    <w:p w14:paraId="24C7F4E4" w14:textId="77777777" w:rsidR="00C871CF" w:rsidRPr="00A36F29" w:rsidRDefault="00C871CF" w:rsidP="00A36F29">
      <w:pPr>
        <w:spacing w:after="0" w:line="360" w:lineRule="auto"/>
        <w:jc w:val="both"/>
        <w:rPr>
          <w:rFonts w:ascii="Book Antiqua" w:hAnsi="Book Antiqua" w:cs="Courier New"/>
          <w:b/>
          <w:color w:val="000000" w:themeColor="text1"/>
          <w:sz w:val="24"/>
          <w:szCs w:val="24"/>
          <w:u w:val="single"/>
          <w:lang w:val="en-US"/>
        </w:rPr>
      </w:pPr>
      <w:r w:rsidRPr="00A36F29">
        <w:rPr>
          <w:rFonts w:ascii="Book Antiqua" w:hAnsi="Book Antiqua" w:cs="Courier New"/>
          <w:b/>
          <w:color w:val="000000" w:themeColor="text1"/>
          <w:sz w:val="24"/>
          <w:szCs w:val="24"/>
          <w:u w:val="single"/>
          <w:lang w:val="en-US"/>
        </w:rPr>
        <w:t>RESULTS</w:t>
      </w:r>
    </w:p>
    <w:p w14:paraId="260AA6B9" w14:textId="6A966D55"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All rats with suprahepatic occlusion of the inferior vena cava in BPC 157-treated groups exhibited a full presentation of the azygos vein and portal vein-superior mesenteric vein-inferior mesenteric vein-rectal vein-left iliac vein-inferior vena cava pathway, unlike the controls, (Fisher's exact probability test </w:t>
      </w:r>
      <w:r w:rsidRPr="00A36F29">
        <w:rPr>
          <w:rFonts w:ascii="Book Antiqua" w:hAnsi="Book Antiqua" w:cs="Courier New"/>
          <w:i/>
          <w:iCs/>
          <w:color w:val="000000" w:themeColor="text1"/>
          <w:sz w:val="24"/>
          <w:szCs w:val="24"/>
          <w:lang w:val="en-US"/>
        </w:rPr>
        <w:t>P</w:t>
      </w:r>
      <w:r w:rsidRPr="00A36F29">
        <w:rPr>
          <w:rFonts w:ascii="Book Antiqua" w:hAnsi="Book Antiqua" w:cs="Courier New"/>
          <w:color w:val="000000" w:themeColor="text1"/>
          <w:sz w:val="24"/>
          <w:szCs w:val="24"/>
          <w:lang w:val="en-US"/>
        </w:rPr>
        <w:t xml:space="preserve"> </w:t>
      </w:r>
      <w:r w:rsidRPr="00A36F29">
        <w:rPr>
          <w:rFonts w:ascii="Times New Roman" w:hAnsi="Times New Roman" w:cs="Times New Roman"/>
          <w:color w:val="000000" w:themeColor="text1"/>
          <w:sz w:val="24"/>
          <w:szCs w:val="24"/>
          <w:lang w:val="en-US"/>
        </w:rPr>
        <w:t>˂</w:t>
      </w:r>
      <w:r w:rsidRPr="00A36F29">
        <w:rPr>
          <w:rFonts w:ascii="Book Antiqua" w:hAnsi="Book Antiqua" w:cs="Courier New"/>
          <w:color w:val="000000" w:themeColor="text1"/>
          <w:sz w:val="24"/>
          <w:szCs w:val="24"/>
          <w:lang w:val="en-US"/>
        </w:rPr>
        <w:t xml:space="preserve"> 0.05 compared to control; Figure 1). This justified the focus of this current study on the stable gastric pentadecapeptide BPC 157 and rapid recovery of all hemodynamic disturbances in Budd-Chiari-rats, the severe portal and caval hypertension and abdominal aorta hypotension and full course of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model. </w:t>
      </w:r>
    </w:p>
    <w:p w14:paraId="01AABD29" w14:textId="0EC42A43"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lastRenderedPageBreak/>
        <w:t xml:space="preserve">All BPC 157 administration regimens (10 µg/kg and 10 ng/kg, abdominal bath, and intragastric applications) were effective in rats with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(Figures 1–11). Indicative of how BPC 157 might affect the course of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(Figure 1) and reversed the course of disturbances, marked attenuation occurred when it was given at 15 min post-ligation, much as in rats with prolonged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(at 24 h and 48 h post-ligation). Therefore, preexisting severe portal and caval hypertension and systemic hypotension (seen in the abdominal aorta), either short-lasting or long-lasting, rapidly responded to any of the BPC 157 regimens (Figure 2). In addition, over prolonged periods, the worsening that simultaneously appeared and persisted, the high portal hypertension, and particularly, the caval hypertension and aortic hypotension were not compensated; however, these completely disappeared with BPC 157 medication (Figure 2). Similarly, controls presented with immediately peaked P values, significant ST-elevation and tachycardia, as identifiers of acute thrombotic coronary occlusion and right heart failure (Figure 3), which rapidly disappeared under all the BPC 157 regimens (Figure 3). As visualized grossly in the early and prolonged periods, with BPC 157 treatment, increased blood vessel branching rapidly appeared in the serosa of all organs affected (Figures 6 and 8), with hemorrhagic lesions being markedly attenuated in the stomach, duodenum, jejunum, ileum, cecum and ascending colon (Figures 5 and 7), as well as reducing hepatomegaly and splenomegaly (Figure 5). There was a particular presentation of the azygos vein as an indication of the counteraction of right heart malfunction and the reestablishing of blood flow continuity between caval veins (Figure 8). Indicative of a reversal of </w:t>
      </w:r>
      <w:r w:rsidR="00A26579"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while there was progressive thrombosis in controls in the portal vein, splenic vein, superior mesenteric vein, and inferior vena cava, as well as in the hepatic and coronary arteries, strong attenuation occurred in the veins and arteries of BPC 157-treated rats, where considerably smaller clots were observed (Figure 4). In addition, BPC 157 rats had much less ascites (Figure 5), and while serum </w:t>
      </w:r>
      <w:r w:rsidR="003C5443" w:rsidRPr="00A36F29">
        <w:rPr>
          <w:rFonts w:ascii="Book Antiqua" w:hAnsi="Book Antiqua" w:cs="Courier New"/>
          <w:color w:val="000000" w:themeColor="text1"/>
          <w:sz w:val="24"/>
          <w:szCs w:val="24"/>
          <w:lang w:val="en-US"/>
        </w:rPr>
        <w:t xml:space="preserve">alanine transaminase </w:t>
      </w:r>
      <w:r w:rsidRPr="00A36F29">
        <w:rPr>
          <w:rFonts w:ascii="Book Antiqua" w:hAnsi="Book Antiqua" w:cs="Courier New"/>
          <w:color w:val="000000" w:themeColor="text1"/>
          <w:sz w:val="24"/>
          <w:szCs w:val="24"/>
          <w:lang w:val="en-US"/>
        </w:rPr>
        <w:t xml:space="preserve">and </w:t>
      </w:r>
      <w:r w:rsidR="003C5443" w:rsidRPr="00A36F29">
        <w:rPr>
          <w:rFonts w:ascii="Book Antiqua" w:hAnsi="Book Antiqua" w:cs="Courier New"/>
          <w:color w:val="000000" w:themeColor="text1"/>
          <w:sz w:val="24"/>
          <w:szCs w:val="24"/>
          <w:lang w:val="en-US"/>
        </w:rPr>
        <w:t xml:space="preserve">aspartate transaminase </w:t>
      </w:r>
      <w:r w:rsidRPr="00A36F29">
        <w:rPr>
          <w:rFonts w:ascii="Book Antiqua" w:hAnsi="Book Antiqua" w:cs="Courier New"/>
          <w:color w:val="000000" w:themeColor="text1"/>
          <w:sz w:val="24"/>
          <w:szCs w:val="24"/>
          <w:lang w:val="en-US"/>
        </w:rPr>
        <w:t xml:space="preserve">values increased in controls, they were lower in rats treated with BPC 157 at all time intervals (Figure 5). </w:t>
      </w:r>
    </w:p>
    <w:p w14:paraId="0E2778FB" w14:textId="0698EFFF"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Increased MDA- and NO-levels in the liver may be indicative of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BPC 157 administration resulted in MDA- and NO-levels in the liver, close to or within a normal healthy range in both early and prolonged periods of ligation (Figure 6).</w:t>
      </w:r>
    </w:p>
    <w:p w14:paraId="1B58F9AC" w14:textId="701852A1"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lastRenderedPageBreak/>
        <w:t xml:space="preserve">Rats with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regularly showed considerable lesions early post-ligation. For example, in liver, there was substantial congestion of the central vein, branches of the terminal portal venules, and sinusoidal dilatation in the controls, while there was far less congestion in BPC 157-treated rats (Figure 9). In the spleen, there was sinusoidal congestion, and dilatation and enlargement of red pulp leading to reduction of white pulp, features, which were less apparent in BPC 157-treated rats (Figure 9). In stomach of controls, there was substantial congestion and dilatation of mucosal and submucosal capillaries, submucosal edema, ischemic changes, such as architectural distortion and foci of hemorrhage with fibrin deposition. Duodenal lesions in controls were characterized by substantial capillary congestion with prominent ischemic changes, architecture distortion and loss of crypts, with foci of hemorrhage, edema of the lamina propria and mild lymphocytic infiltration and ischemic changes, such as architectural distortion and foci of hemorrhage with fibrin deposition (Figure 10). By contrast, only very mild capillary congestion was found in the stomach and duodenum of BPC 157-treated rats, with some reparatory changes to epithelium. In the jejunum, ileum, cecum and colon of control rats, substantial capillary congestion with mild ischemic changes, loss of crypts with foci of hemorrhage, edema of the lamina propria and mild lymphocytic infiltration were present. By contrast, these effects were much less expressed in BPC 157-treated rats; in particular, there was preservation of architecture and scattered lymphocytes with little to no ischemic changes, and some reparatory changes of epithelium (Figure 11). Finally, in the lungs, control rats showed edema of the interstitium, substantial dilatation and congestion of capillaries in the alveolar septum, with few to many</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lymphocytes, while in BPC 157-treated animals, we found little to no edema of the interstitium, very few lymphocytes, and only mild capillary congestion (Figure 9). In addition, as expected, no morphological changes were found in the myocardium due to the fact that changes found on ECGs were the result of acute right ventricular overload (data not shown).</w:t>
      </w:r>
    </w:p>
    <w:p w14:paraId="731C8D1A" w14:textId="77777777" w:rsidR="00895DD7" w:rsidRPr="00A36F29" w:rsidRDefault="00895DD7" w:rsidP="00A36F29">
      <w:pPr>
        <w:spacing w:after="0" w:line="360" w:lineRule="auto"/>
        <w:jc w:val="both"/>
        <w:rPr>
          <w:rFonts w:ascii="Book Antiqua" w:hAnsi="Book Antiqua" w:cs="Courier New"/>
          <w:b/>
          <w:color w:val="000000" w:themeColor="text1"/>
          <w:sz w:val="24"/>
          <w:szCs w:val="24"/>
          <w:lang w:val="en-US"/>
        </w:rPr>
      </w:pPr>
    </w:p>
    <w:p w14:paraId="3F6F06B6" w14:textId="5EA4CB6A"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b/>
          <w:color w:val="000000" w:themeColor="text1"/>
          <w:sz w:val="24"/>
          <w:szCs w:val="24"/>
          <w:u w:val="single"/>
          <w:lang w:val="en-US"/>
        </w:rPr>
        <w:t>DISCUSSION</w:t>
      </w:r>
      <w:r w:rsidRPr="00A36F29">
        <w:rPr>
          <w:rFonts w:ascii="Book Antiqua" w:hAnsi="Book Antiqua" w:cs="Courier New"/>
          <w:color w:val="000000" w:themeColor="text1"/>
          <w:sz w:val="24"/>
          <w:szCs w:val="24"/>
          <w:lang w:val="en-US"/>
        </w:rPr>
        <w:t xml:space="preserve"> </w:t>
      </w:r>
    </w:p>
    <w:p w14:paraId="21615C0B" w14:textId="208D740C"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We adopted that regardless of cause, Budd–Chiari syndrome hepatic venous outflow obstruction can be located anywhere from the small hepatic veins until the entrance </w:t>
      </w:r>
      <w:r w:rsidRPr="00A36F29">
        <w:rPr>
          <w:rFonts w:ascii="Book Antiqua" w:hAnsi="Book Antiqua" w:cs="Courier New"/>
          <w:color w:val="000000" w:themeColor="text1"/>
          <w:sz w:val="24"/>
          <w:szCs w:val="24"/>
          <w:lang w:val="en-US"/>
        </w:rPr>
        <w:lastRenderedPageBreak/>
        <w:t>of the inferior caval vena into the right atrium</w:t>
      </w:r>
      <w:r w:rsidRPr="00A36F29">
        <w:rPr>
          <w:rFonts w:ascii="Book Antiqua" w:hAnsi="Book Antiqua" w:cs="Courier New"/>
          <w:color w:val="000000" w:themeColor="text1"/>
          <w:sz w:val="24"/>
          <w:szCs w:val="24"/>
          <w:vertAlign w:val="superscript"/>
          <w:lang w:val="en-US"/>
        </w:rPr>
        <w:t>[1,2]</w:t>
      </w:r>
      <w:r w:rsidRPr="00A36F29">
        <w:rPr>
          <w:rFonts w:ascii="Book Antiqua" w:hAnsi="Book Antiqua" w:cs="Courier New"/>
          <w:color w:val="000000" w:themeColor="text1"/>
          <w:sz w:val="24"/>
          <w:szCs w:val="24"/>
          <w:lang w:val="en-US"/>
        </w:rPr>
        <w:t>, as originally suggested</w:t>
      </w:r>
      <w:r w:rsidRPr="00A36F29">
        <w:rPr>
          <w:rFonts w:ascii="Book Antiqua" w:hAnsi="Book Antiqua" w:cs="Courier New"/>
          <w:color w:val="000000" w:themeColor="text1"/>
          <w:sz w:val="24"/>
          <w:szCs w:val="24"/>
          <w:vertAlign w:val="superscript"/>
          <w:lang w:val="en-US"/>
        </w:rPr>
        <w:t>[1,2]</w:t>
      </w:r>
      <w:r w:rsidRPr="00A36F29">
        <w:rPr>
          <w:rFonts w:ascii="Book Antiqua" w:hAnsi="Book Antiqua" w:cs="Courier New"/>
          <w:color w:val="000000" w:themeColor="text1"/>
          <w:sz w:val="24"/>
          <w:szCs w:val="24"/>
          <w:lang w:val="en-US"/>
        </w:rPr>
        <w:t xml:space="preserve">. Thereby, with the suprahepatic occlusion of the inferior caval vein, which was complete (and thereby, abrupt initiation), and its manifestations, as a model of the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in rats</w:t>
      </w:r>
      <w:r w:rsidRPr="00A36F29">
        <w:rPr>
          <w:rFonts w:ascii="Book Antiqua" w:hAnsi="Book Antiqua" w:cs="Courier New"/>
          <w:color w:val="000000" w:themeColor="text1"/>
          <w:sz w:val="24"/>
          <w:szCs w:val="24"/>
          <w:vertAlign w:val="superscript"/>
          <w:lang w:val="en-US"/>
        </w:rPr>
        <w:t>[2-7]</w:t>
      </w:r>
      <w:r w:rsidRPr="00A36F29">
        <w:rPr>
          <w:rFonts w:ascii="Book Antiqua" w:hAnsi="Book Antiqua" w:cs="Courier New"/>
          <w:color w:val="000000" w:themeColor="text1"/>
          <w:sz w:val="24"/>
          <w:szCs w:val="24"/>
          <w:lang w:val="en-US"/>
        </w:rPr>
        <w:t>, and recovery in the BPC 157-treated rats, we extended evidence from previous vascular occlusion studies</w:t>
      </w:r>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 As a new point, BPC 157 therapy rapidly activated bypassing pathways a caval shunt (inferior vena cava-azygos vein-superior vena cava shunt) or a portocaval shunt (portal vein-superior-inferior mesenteric vein-rectal vein-inferior vena cava). Severe post-hepatic portal hypertension and caval hypertension was eliminated (and aortal hypotension as well), by BPC 157 given at 15 min, 24 h or 48 h, appearing to be successful as a deep vein thrombosis and ischemic/reperfusion therapy</w:t>
      </w:r>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 xml:space="preserve">. </w:t>
      </w:r>
    </w:p>
    <w:p w14:paraId="2F14E95D" w14:textId="23B1EE73"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By contrast, in the control Budd-Chiari-rats, the failed vena cava shunt (</w:t>
      </w:r>
      <w:r w:rsidR="0093390D" w:rsidRPr="00A36F29">
        <w:rPr>
          <w:rFonts w:ascii="Book Antiqua" w:hAnsi="Book Antiqua" w:cs="Courier New"/>
          <w:i/>
          <w:iCs/>
          <w:color w:val="000000" w:themeColor="text1"/>
          <w:sz w:val="24"/>
          <w:szCs w:val="24"/>
          <w:lang w:val="en-US"/>
        </w:rPr>
        <w:t>i.e.</w:t>
      </w:r>
      <w:r w:rsidRPr="00A36F29">
        <w:rPr>
          <w:rFonts w:ascii="Book Antiqua" w:hAnsi="Book Antiqua" w:cs="Courier New"/>
          <w:color w:val="000000" w:themeColor="text1"/>
          <w:sz w:val="24"/>
          <w:szCs w:val="24"/>
          <w:lang w:val="en-US"/>
        </w:rPr>
        <w:t>, azygos vein) ineffectively competes against resolving the condition of rats, with severe portal hypertension (</w:t>
      </w:r>
      <w:r w:rsidRPr="00A36F29">
        <w:rPr>
          <w:rFonts w:ascii="Times New Roman" w:hAnsi="Times New Roman" w:cs="Times New Roman"/>
          <w:color w:val="000000" w:themeColor="text1"/>
          <w:sz w:val="24"/>
          <w:szCs w:val="24"/>
          <w:lang w:val="en-US"/>
        </w:rPr>
        <w:t>˃</w:t>
      </w:r>
      <w:r w:rsidR="00895DD7" w:rsidRPr="00A36F29">
        <w:rPr>
          <w:rFonts w:ascii="Book Antiqua" w:hAnsi="Book Antiqua" w:cs="Times New Roman"/>
          <w:color w:val="000000" w:themeColor="text1"/>
          <w:sz w:val="24"/>
          <w:szCs w:val="24"/>
          <w:lang w:val="en-US"/>
        </w:rPr>
        <w:t xml:space="preserve"> </w:t>
      </w:r>
      <w:r w:rsidRPr="00A36F29">
        <w:rPr>
          <w:rFonts w:ascii="Book Antiqua" w:hAnsi="Book Antiqua" w:cs="Courier New"/>
          <w:color w:val="000000" w:themeColor="text1"/>
          <w:sz w:val="24"/>
          <w:szCs w:val="24"/>
          <w:lang w:val="en-US"/>
        </w:rPr>
        <w:t>60 mmHg) and caval hypertension (</w:t>
      </w:r>
      <w:r w:rsidRPr="00A36F29">
        <w:rPr>
          <w:rFonts w:ascii="Times New Roman" w:hAnsi="Times New Roman" w:cs="Times New Roman"/>
          <w:color w:val="000000" w:themeColor="text1"/>
          <w:sz w:val="24"/>
          <w:szCs w:val="24"/>
          <w:lang w:val="en-US"/>
        </w:rPr>
        <w:t>˃</w:t>
      </w:r>
      <w:r w:rsidR="00895DD7" w:rsidRPr="00A36F29">
        <w:rPr>
          <w:rFonts w:ascii="Book Antiqua" w:hAnsi="Book Antiqua" w:cs="Times New Roman"/>
          <w:color w:val="000000" w:themeColor="text1"/>
          <w:sz w:val="24"/>
          <w:szCs w:val="24"/>
          <w:lang w:val="en-US"/>
        </w:rPr>
        <w:t xml:space="preserve"> </w:t>
      </w:r>
      <w:r w:rsidRPr="00A36F29">
        <w:rPr>
          <w:rFonts w:ascii="Book Antiqua" w:hAnsi="Book Antiqua" w:cs="Courier New"/>
          <w:color w:val="000000" w:themeColor="text1"/>
          <w:sz w:val="24"/>
          <w:szCs w:val="24"/>
          <w:lang w:val="en-US"/>
        </w:rPr>
        <w:t>70 mmHg in the later period). A gradient of at least 15 mmHg as portal hypertension reflects a decrease in regular venous return to the heart and failure of spontaneous decompression of the portal system. These disturbances might be more than in humans, with the persistence of the left superior vena cava, the azygos vein on the left of the aorta and vertebral column, and the hemiazygos vein likely lacking</w:t>
      </w:r>
      <w:r w:rsidRPr="00A36F29">
        <w:rPr>
          <w:rFonts w:ascii="Book Antiqua" w:hAnsi="Book Antiqua" w:cs="Courier New"/>
          <w:color w:val="000000" w:themeColor="text1"/>
          <w:sz w:val="24"/>
          <w:szCs w:val="24"/>
          <w:vertAlign w:val="superscript"/>
          <w:lang w:val="en-US"/>
        </w:rPr>
        <w:t>[33]</w:t>
      </w:r>
      <w:r w:rsidRPr="00A36F29">
        <w:rPr>
          <w:rFonts w:ascii="Book Antiqua" w:hAnsi="Book Antiqua" w:cs="Courier New"/>
          <w:color w:val="000000" w:themeColor="text1"/>
          <w:sz w:val="24"/>
          <w:szCs w:val="24"/>
          <w:lang w:val="en-US"/>
        </w:rPr>
        <w:t>. For example, there is the higher range of this portal hypertension versus the long-lasting portal hypertension in rats drinking alcohol (</w:t>
      </w:r>
      <w:r w:rsidRPr="00A36F29">
        <w:rPr>
          <w:rFonts w:ascii="Times New Roman" w:hAnsi="Times New Roman" w:cs="Times New Roman"/>
          <w:color w:val="000000" w:themeColor="text1"/>
          <w:sz w:val="24"/>
          <w:szCs w:val="24"/>
          <w:lang w:val="en-US"/>
        </w:rPr>
        <w:t>˃</w:t>
      </w:r>
      <w:r w:rsidR="00895DD7" w:rsidRPr="00A36F29">
        <w:rPr>
          <w:rFonts w:ascii="Book Antiqua" w:hAnsi="Book Antiqua" w:cs="Times New Roman"/>
          <w:color w:val="000000" w:themeColor="text1"/>
          <w:sz w:val="24"/>
          <w:szCs w:val="24"/>
          <w:lang w:val="en-US"/>
        </w:rPr>
        <w:t xml:space="preserve"> </w:t>
      </w:r>
      <w:r w:rsidRPr="00A36F29">
        <w:rPr>
          <w:rFonts w:ascii="Book Antiqua" w:hAnsi="Book Antiqua" w:cs="Courier New"/>
          <w:color w:val="000000" w:themeColor="text1"/>
          <w:sz w:val="24"/>
          <w:szCs w:val="24"/>
          <w:lang w:val="en-US"/>
        </w:rPr>
        <w:t>25 mmHg)</w:t>
      </w:r>
      <w:r w:rsidRPr="00A36F29">
        <w:rPr>
          <w:rFonts w:ascii="Book Antiqua" w:hAnsi="Book Antiqua" w:cs="Courier New"/>
          <w:color w:val="000000" w:themeColor="text1"/>
          <w:sz w:val="24"/>
          <w:szCs w:val="24"/>
          <w:vertAlign w:val="superscript"/>
          <w:lang w:val="en-US"/>
        </w:rPr>
        <w:t>[26]</w:t>
      </w:r>
      <w:r w:rsidRPr="00A36F29">
        <w:rPr>
          <w:rFonts w:ascii="Book Antiqua" w:hAnsi="Book Antiqua" w:cs="Courier New"/>
          <w:color w:val="000000" w:themeColor="text1"/>
          <w:sz w:val="24"/>
          <w:szCs w:val="24"/>
          <w:lang w:val="en-US"/>
        </w:rPr>
        <w:t xml:space="preserve"> or from bile duct ligation-induced liver cirrhosis (</w:t>
      </w:r>
      <w:r w:rsidRPr="00A36F29">
        <w:rPr>
          <w:rFonts w:ascii="Times New Roman" w:hAnsi="Times New Roman" w:cs="Times New Roman"/>
          <w:color w:val="000000" w:themeColor="text1"/>
          <w:sz w:val="24"/>
          <w:szCs w:val="24"/>
          <w:lang w:val="en-US"/>
        </w:rPr>
        <w:t>˃</w:t>
      </w:r>
      <w:r w:rsidR="00895DD7" w:rsidRPr="00A36F29">
        <w:rPr>
          <w:rFonts w:ascii="Book Antiqua" w:hAnsi="Book Antiqua" w:cs="Times New Roman"/>
          <w:color w:val="000000" w:themeColor="text1"/>
          <w:sz w:val="24"/>
          <w:szCs w:val="24"/>
          <w:lang w:val="en-US"/>
        </w:rPr>
        <w:t xml:space="preserve"> </w:t>
      </w:r>
      <w:r w:rsidRPr="00A36F29">
        <w:rPr>
          <w:rFonts w:ascii="Book Antiqua" w:hAnsi="Book Antiqua" w:cs="Courier New"/>
          <w:color w:val="000000" w:themeColor="text1"/>
          <w:sz w:val="24"/>
          <w:szCs w:val="24"/>
          <w:lang w:val="en-US"/>
        </w:rPr>
        <w:t>18 mmHg)</w:t>
      </w:r>
      <w:r w:rsidRPr="00A36F29">
        <w:rPr>
          <w:rFonts w:ascii="Book Antiqua" w:hAnsi="Book Antiqua" w:cs="Courier New"/>
          <w:color w:val="000000" w:themeColor="text1"/>
          <w:sz w:val="24"/>
          <w:szCs w:val="24"/>
          <w:vertAlign w:val="superscript"/>
          <w:lang w:val="en-US"/>
        </w:rPr>
        <w:t>[25]</w:t>
      </w:r>
      <w:r w:rsidRPr="00A36F29">
        <w:rPr>
          <w:rFonts w:ascii="Book Antiqua" w:hAnsi="Book Antiqua" w:cs="Courier New"/>
          <w:color w:val="000000" w:themeColor="text1"/>
          <w:sz w:val="24"/>
          <w:szCs w:val="24"/>
          <w:lang w:val="en-US"/>
        </w:rPr>
        <w:t>. Likewise, there is a higher range of caval hypertension versus inferior vena cava infrarenal occlusion-induced caval hypertension (</w:t>
      </w:r>
      <w:r w:rsidRPr="00A36F29">
        <w:rPr>
          <w:rFonts w:ascii="Times New Roman" w:hAnsi="Times New Roman" w:cs="Times New Roman"/>
          <w:color w:val="000000" w:themeColor="text1"/>
          <w:sz w:val="24"/>
          <w:szCs w:val="24"/>
          <w:lang w:val="en-US"/>
        </w:rPr>
        <w:t>˃</w:t>
      </w:r>
      <w:r w:rsidR="00895DD7" w:rsidRPr="00A36F29">
        <w:rPr>
          <w:rFonts w:ascii="Book Antiqua" w:hAnsi="Book Antiqua" w:cs="Times New Roman"/>
          <w:color w:val="000000" w:themeColor="text1"/>
          <w:sz w:val="24"/>
          <w:szCs w:val="24"/>
          <w:lang w:val="en-US"/>
        </w:rPr>
        <w:t xml:space="preserve"> </w:t>
      </w:r>
      <w:r w:rsidRPr="00A36F29">
        <w:rPr>
          <w:rFonts w:ascii="Book Antiqua" w:hAnsi="Book Antiqua" w:cs="Courier New"/>
          <w:color w:val="000000" w:themeColor="text1"/>
          <w:sz w:val="24"/>
          <w:szCs w:val="24"/>
          <w:lang w:val="en-US"/>
        </w:rPr>
        <w:t>25 mmHg)</w:t>
      </w:r>
      <w:r w:rsidRPr="00A36F29">
        <w:rPr>
          <w:rFonts w:ascii="Book Antiqua" w:hAnsi="Book Antiqua" w:cs="Courier New"/>
          <w:color w:val="000000" w:themeColor="text1"/>
          <w:sz w:val="24"/>
          <w:szCs w:val="24"/>
          <w:vertAlign w:val="superscript"/>
          <w:lang w:val="en-US"/>
        </w:rPr>
        <w:t>[21]</w:t>
      </w:r>
      <w:r w:rsidRPr="00A36F29">
        <w:rPr>
          <w:rFonts w:ascii="Book Antiqua" w:hAnsi="Book Antiqua" w:cs="Courier New"/>
          <w:color w:val="000000" w:themeColor="text1"/>
          <w:sz w:val="24"/>
          <w:szCs w:val="24"/>
          <w:lang w:val="en-US"/>
        </w:rPr>
        <w:t>. Severe aortal hypotension was not compensated, but progressed, unless BPC 157 was given.</w:t>
      </w:r>
      <w:r w:rsidR="0043591A" w:rsidRPr="00A36F29">
        <w:rPr>
          <w:rFonts w:ascii="Book Antiqua" w:hAnsi="Book Antiqua" w:cs="Courier New"/>
          <w:color w:val="000000" w:themeColor="text1"/>
          <w:sz w:val="24"/>
          <w:szCs w:val="24"/>
          <w:lang w:val="en-US"/>
        </w:rPr>
        <w:t xml:space="preserve"> </w:t>
      </w:r>
    </w:p>
    <w:p w14:paraId="504966AE" w14:textId="6A6260BA"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Thus, the therapy effect overrode the high resistance to the therapy, which had to be more than the portal vein-stenosis with the slow progression of mild portal hypertension in rats (</w:t>
      </w:r>
      <w:r w:rsidRPr="00A36F29">
        <w:rPr>
          <w:rFonts w:ascii="Times New Roman" w:hAnsi="Times New Roman" w:cs="Times New Roman"/>
          <w:color w:val="000000" w:themeColor="text1"/>
          <w:sz w:val="24"/>
          <w:szCs w:val="24"/>
          <w:lang w:val="en-US"/>
        </w:rPr>
        <w:t>˂</w:t>
      </w:r>
      <w:r w:rsidR="00895DD7" w:rsidRPr="00A36F29">
        <w:rPr>
          <w:rFonts w:ascii="Book Antiqua" w:hAnsi="Book Antiqua" w:cs="Times New Roman"/>
          <w:color w:val="000000" w:themeColor="text1"/>
          <w:sz w:val="24"/>
          <w:szCs w:val="24"/>
          <w:lang w:val="en-US"/>
        </w:rPr>
        <w:t xml:space="preserve"> </w:t>
      </w:r>
      <w:r w:rsidRPr="00A36F29">
        <w:rPr>
          <w:rFonts w:ascii="Book Antiqua" w:hAnsi="Book Antiqua" w:cs="Courier New"/>
          <w:color w:val="000000" w:themeColor="text1"/>
          <w:sz w:val="24"/>
          <w:szCs w:val="24"/>
          <w:lang w:val="en-US"/>
        </w:rPr>
        <w:t>20 mmHg)</w:t>
      </w:r>
      <w:r w:rsidRPr="00A36F29">
        <w:rPr>
          <w:rFonts w:ascii="Book Antiqua" w:hAnsi="Book Antiqua" w:cs="Courier New"/>
          <w:color w:val="000000" w:themeColor="text1"/>
          <w:sz w:val="24"/>
          <w:szCs w:val="24"/>
          <w:vertAlign w:val="superscript"/>
          <w:lang w:val="en-US"/>
        </w:rPr>
        <w:t>[34-36]</w:t>
      </w:r>
      <w:r w:rsidRPr="00A36F29">
        <w:rPr>
          <w:rFonts w:ascii="Book Antiqua" w:hAnsi="Book Antiqua" w:cs="Courier New"/>
          <w:color w:val="000000" w:themeColor="text1"/>
          <w:sz w:val="24"/>
          <w:szCs w:val="24"/>
          <w:lang w:val="en-US"/>
        </w:rPr>
        <w:t xml:space="preserve">. Therefore, counteraction of the described abrupt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necessitated the pleiotropic beneficial effects of treatments such as BPC 157 that might be advantageous to counteract the whole syndrome, as previously reviewed</w:t>
      </w:r>
      <w:r w:rsidRPr="00A36F29">
        <w:rPr>
          <w:rFonts w:ascii="Book Antiqua" w:hAnsi="Book Antiqua" w:cs="Courier New"/>
          <w:color w:val="000000" w:themeColor="text1"/>
          <w:sz w:val="24"/>
          <w:szCs w:val="24"/>
          <w:vertAlign w:val="superscript"/>
          <w:lang w:val="en-US"/>
        </w:rPr>
        <w:t>[8-20]</w:t>
      </w:r>
      <w:r w:rsidRPr="00A36F29">
        <w:rPr>
          <w:rFonts w:ascii="Book Antiqua" w:hAnsi="Book Antiqua" w:cs="Courier New"/>
          <w:color w:val="000000" w:themeColor="text1"/>
          <w:sz w:val="24"/>
          <w:szCs w:val="24"/>
          <w:lang w:val="en-US"/>
        </w:rPr>
        <w:t xml:space="preserve">. </w:t>
      </w:r>
    </w:p>
    <w:p w14:paraId="2AF50F82" w14:textId="77777777"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lastRenderedPageBreak/>
        <w:t>Thereby, there were in particular beneficial effects on the liver, including on portal hypertension, and on the intestinal tract</w:t>
      </w:r>
      <w:r w:rsidRPr="00A36F29">
        <w:rPr>
          <w:rFonts w:ascii="Book Antiqua" w:hAnsi="Book Antiqua" w:cs="Courier New"/>
          <w:color w:val="000000" w:themeColor="text1"/>
          <w:sz w:val="24"/>
          <w:szCs w:val="24"/>
          <w:vertAlign w:val="superscript"/>
          <w:lang w:val="en-US"/>
        </w:rPr>
        <w:t>[26-32]</w:t>
      </w:r>
      <w:r w:rsidRPr="00A36F29">
        <w:rPr>
          <w:rFonts w:ascii="Book Antiqua" w:hAnsi="Book Antiqua" w:cs="Courier New"/>
          <w:color w:val="000000" w:themeColor="text1"/>
          <w:sz w:val="24"/>
          <w:szCs w:val="24"/>
          <w:lang w:val="en-US"/>
        </w:rPr>
        <w:t>, lung</w:t>
      </w:r>
      <w:r w:rsidRPr="00A36F29">
        <w:rPr>
          <w:rFonts w:ascii="Book Antiqua" w:hAnsi="Book Antiqua" w:cs="Courier New"/>
          <w:color w:val="000000" w:themeColor="text1"/>
          <w:sz w:val="24"/>
          <w:szCs w:val="24"/>
          <w:vertAlign w:val="superscript"/>
          <w:lang w:val="en-US"/>
        </w:rPr>
        <w:t>[37-39]</w:t>
      </w:r>
      <w:r w:rsidRPr="00A36F29">
        <w:rPr>
          <w:rFonts w:ascii="Book Antiqua" w:hAnsi="Book Antiqua" w:cs="Courier New"/>
          <w:color w:val="000000" w:themeColor="text1"/>
          <w:sz w:val="24"/>
          <w:szCs w:val="24"/>
          <w:lang w:val="en-US"/>
        </w:rPr>
        <w:t>, thrombosis</w:t>
      </w:r>
      <w:r w:rsidRPr="00A36F29">
        <w:rPr>
          <w:rFonts w:ascii="Book Antiqua" w:hAnsi="Book Antiqua" w:cs="Courier New"/>
          <w:color w:val="000000" w:themeColor="text1"/>
          <w:sz w:val="24"/>
          <w:szCs w:val="24"/>
          <w:vertAlign w:val="superscript"/>
          <w:lang w:val="en-US"/>
        </w:rPr>
        <w:t>[21,40]</w:t>
      </w:r>
      <w:r w:rsidRPr="00A36F29">
        <w:rPr>
          <w:rFonts w:ascii="Book Antiqua" w:hAnsi="Book Antiqua" w:cs="Courier New"/>
          <w:color w:val="000000" w:themeColor="text1"/>
          <w:sz w:val="24"/>
          <w:szCs w:val="24"/>
          <w:lang w:val="en-US"/>
        </w:rPr>
        <w:t>, venous</w:t>
      </w:r>
      <w:r w:rsidRPr="00A36F29">
        <w:rPr>
          <w:rFonts w:ascii="Book Antiqua" w:hAnsi="Book Antiqua" w:cs="Courier New"/>
          <w:color w:val="000000" w:themeColor="text1"/>
          <w:sz w:val="24"/>
          <w:szCs w:val="24"/>
          <w:vertAlign w:val="superscript"/>
          <w:lang w:val="en-US"/>
        </w:rPr>
        <w:t>[21]</w:t>
      </w:r>
      <w:r w:rsidRPr="00A36F29">
        <w:rPr>
          <w:rFonts w:ascii="Book Antiqua" w:hAnsi="Book Antiqua" w:cs="Courier New"/>
          <w:color w:val="000000" w:themeColor="text1"/>
          <w:sz w:val="24"/>
          <w:szCs w:val="24"/>
          <w:lang w:val="en-US"/>
        </w:rPr>
        <w:t xml:space="preserve"> and arterial</w:t>
      </w:r>
      <w:r w:rsidRPr="00A36F29">
        <w:rPr>
          <w:rFonts w:ascii="Book Antiqua" w:hAnsi="Book Antiqua" w:cs="Courier New"/>
          <w:color w:val="000000" w:themeColor="text1"/>
          <w:sz w:val="24"/>
          <w:szCs w:val="24"/>
          <w:vertAlign w:val="superscript"/>
          <w:lang w:val="en-US"/>
        </w:rPr>
        <w:t>[40]</w:t>
      </w:r>
      <w:r w:rsidRPr="00A36F29">
        <w:rPr>
          <w:rFonts w:ascii="Book Antiqua" w:hAnsi="Book Antiqua" w:cs="Courier New"/>
          <w:color w:val="000000" w:themeColor="text1"/>
          <w:sz w:val="24"/>
          <w:szCs w:val="24"/>
          <w:lang w:val="en-US"/>
        </w:rPr>
        <w:t>, and heart disturbances</w:t>
      </w:r>
      <w:r w:rsidRPr="00A36F29">
        <w:rPr>
          <w:rFonts w:ascii="Book Antiqua" w:hAnsi="Book Antiqua" w:cs="Courier New"/>
          <w:color w:val="000000" w:themeColor="text1"/>
          <w:sz w:val="24"/>
          <w:szCs w:val="24"/>
          <w:vertAlign w:val="superscript"/>
          <w:lang w:val="en-US"/>
        </w:rPr>
        <w:t>[41-45]</w:t>
      </w:r>
      <w:r w:rsidRPr="00A36F29">
        <w:rPr>
          <w:rFonts w:ascii="Book Antiqua" w:hAnsi="Book Antiqua" w:cs="Courier New"/>
          <w:color w:val="000000" w:themeColor="text1"/>
          <w:sz w:val="24"/>
          <w:szCs w:val="24"/>
          <w:lang w:val="en-US"/>
        </w:rPr>
        <w:t>, free radicals formation</w:t>
      </w:r>
      <w:r w:rsidRPr="00A36F29">
        <w:rPr>
          <w:rFonts w:ascii="Book Antiqua" w:hAnsi="Book Antiqua" w:cs="Courier New"/>
          <w:color w:val="000000" w:themeColor="text1"/>
          <w:sz w:val="24"/>
          <w:szCs w:val="24"/>
          <w:vertAlign w:val="superscript"/>
          <w:lang w:val="en-US"/>
        </w:rPr>
        <w:t>[46-49]</w:t>
      </w:r>
      <w:r w:rsidRPr="00A36F29">
        <w:rPr>
          <w:rFonts w:ascii="Book Antiqua" w:hAnsi="Book Antiqua" w:cs="Courier New"/>
          <w:color w:val="000000" w:themeColor="text1"/>
          <w:sz w:val="24"/>
          <w:szCs w:val="24"/>
          <w:lang w:val="en-US"/>
        </w:rPr>
        <w:t xml:space="preserve"> and free radical-induced lesions</w:t>
      </w:r>
      <w:r w:rsidRPr="00A36F29">
        <w:rPr>
          <w:rFonts w:ascii="Book Antiqua" w:hAnsi="Book Antiqua" w:cs="Courier New"/>
          <w:color w:val="000000" w:themeColor="text1"/>
          <w:sz w:val="24"/>
          <w:szCs w:val="24"/>
          <w:vertAlign w:val="superscript"/>
          <w:lang w:val="en-US"/>
        </w:rPr>
        <w:t>[46-50]</w:t>
      </w:r>
      <w:r w:rsidRPr="00A36F29">
        <w:rPr>
          <w:rFonts w:ascii="Book Antiqua" w:hAnsi="Book Antiqua" w:cs="Courier New"/>
          <w:color w:val="000000" w:themeColor="text1"/>
          <w:sz w:val="24"/>
          <w:szCs w:val="24"/>
          <w:lang w:val="en-US"/>
        </w:rPr>
        <w:t>. These appear in addition to the described effect on vessel recruitment</w:t>
      </w:r>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 xml:space="preserve">, with the azygos vein readily presented in BPC 157-treated rats compared to empty and tortuous examples in the controls (Figure 8). </w:t>
      </w:r>
    </w:p>
    <w:p w14:paraId="1660B017" w14:textId="5B25A998"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For BPC 157-treated rats, in early and in late periods, the level of oxidative stress in the liver (MDA- and NO-levels, otherwise known to be increased and critical mediators of liver fibrosis</w:t>
      </w:r>
      <w:r w:rsidRPr="00A36F29">
        <w:rPr>
          <w:rFonts w:ascii="Book Antiqua" w:hAnsi="Book Antiqua" w:cs="Courier New"/>
          <w:color w:val="000000" w:themeColor="text1"/>
          <w:sz w:val="24"/>
          <w:szCs w:val="24"/>
          <w:vertAlign w:val="superscript"/>
          <w:lang w:val="en-US"/>
        </w:rPr>
        <w:t>[25]</w:t>
      </w:r>
      <w:r w:rsidRPr="00A36F29">
        <w:rPr>
          <w:rFonts w:ascii="Book Antiqua" w:hAnsi="Book Antiqua" w:cs="Courier New"/>
          <w:color w:val="000000" w:themeColor="text1"/>
          <w:sz w:val="24"/>
          <w:szCs w:val="24"/>
          <w:lang w:val="en-US"/>
        </w:rPr>
        <w:t>) was almost continuously within normal values as it was in rats with bile duct occlusion</w:t>
      </w:r>
      <w:r w:rsidRPr="00A36F29">
        <w:rPr>
          <w:rFonts w:ascii="Book Antiqua" w:hAnsi="Book Antiqua" w:cs="Courier New"/>
          <w:color w:val="000000" w:themeColor="text1"/>
          <w:sz w:val="24"/>
          <w:szCs w:val="24"/>
          <w:vertAlign w:val="superscript"/>
          <w:lang w:val="en-US"/>
        </w:rPr>
        <w:t>[25]</w:t>
      </w:r>
      <w:r w:rsidRPr="00A36F29">
        <w:rPr>
          <w:rFonts w:ascii="Book Antiqua" w:hAnsi="Book Antiqua" w:cs="Courier New"/>
          <w:color w:val="000000" w:themeColor="text1"/>
          <w:sz w:val="24"/>
          <w:szCs w:val="24"/>
          <w:lang w:val="en-US"/>
        </w:rPr>
        <w:t>. By contrast, along with previous studies</w:t>
      </w:r>
      <w:r w:rsidRPr="00A36F29">
        <w:rPr>
          <w:rFonts w:ascii="Book Antiqua" w:hAnsi="Book Antiqua" w:cs="Courier New"/>
          <w:color w:val="000000" w:themeColor="text1"/>
          <w:sz w:val="24"/>
          <w:szCs w:val="24"/>
          <w:vertAlign w:val="superscript"/>
          <w:lang w:val="en-US"/>
        </w:rPr>
        <w:t>[21-25,46-49]</w:t>
      </w:r>
      <w:r w:rsidRPr="00A36F29">
        <w:rPr>
          <w:rFonts w:ascii="Book Antiqua" w:hAnsi="Book Antiqua" w:cs="Courier New"/>
          <w:color w:val="000000" w:themeColor="text1"/>
          <w:sz w:val="24"/>
          <w:szCs w:val="24"/>
          <w:lang w:val="en-US"/>
        </w:rPr>
        <w:t>, in control livers, high MDA- and NO-values during suprahepatic occlusion of the inferior vena cava persisted (Figure 6). Control rats exhibited rapid clot formation, generalized thrombosis (in the portal vein, superior mesenteric vein, splenic vein, inferior vena cava, hepatic artery and cardiac artery; Figure 4), and ascites (consistently present in the early and late period; Figure 5). BPC 157-treated rats exhibited counteraction of these effects, with less venous and arterial clots (as stasis is eliminated or largely attenuated) and reduced ascites, as had previously been emphasized</w:t>
      </w:r>
      <w:r w:rsidRPr="00A36F29">
        <w:rPr>
          <w:rFonts w:ascii="Book Antiqua" w:hAnsi="Book Antiqua" w:cs="Courier New"/>
          <w:color w:val="000000" w:themeColor="text1"/>
          <w:sz w:val="24"/>
          <w:szCs w:val="24"/>
          <w:vertAlign w:val="superscript"/>
          <w:lang w:val="en-US"/>
        </w:rPr>
        <w:t>[21-25,40]</w:t>
      </w:r>
      <w:r w:rsidRPr="00A36F29">
        <w:rPr>
          <w:rFonts w:ascii="Book Antiqua" w:hAnsi="Book Antiqua" w:cs="Courier New"/>
          <w:color w:val="000000" w:themeColor="text1"/>
          <w:sz w:val="24"/>
          <w:szCs w:val="24"/>
          <w:lang w:val="en-US"/>
        </w:rPr>
        <w:t>.</w:t>
      </w:r>
      <w:r w:rsidR="0043591A" w:rsidRPr="00A36F29">
        <w:rPr>
          <w:rFonts w:ascii="Book Antiqua" w:hAnsi="Book Antiqua" w:cs="Courier New"/>
          <w:color w:val="000000" w:themeColor="text1"/>
          <w:sz w:val="24"/>
          <w:szCs w:val="24"/>
          <w:lang w:val="en-US"/>
        </w:rPr>
        <w:t xml:space="preserve"> </w:t>
      </w:r>
    </w:p>
    <w:p w14:paraId="16502F3C" w14:textId="77777777"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In addition, controls presented with immediately peaked P values, significant ST-elevation and tachycardia, as identifiers of acute thrombotic coronary occlusion and right heart failure (Figure 3), and thereby, lung congestion (Figure 11). BPC 157-treated rats had the ECG disturbances completely abrogated, and less lung congestion. Therefore, the immediate presentation of adverse effects and the parallel therapeutic effects might suggest an essential cause-consequence chain of events of Budd-Chiari and BPC 157 in rats, and in particular, a relation to the liver as the prime organ affected</w:t>
      </w:r>
      <w:r w:rsidRPr="00A36F29">
        <w:rPr>
          <w:rFonts w:ascii="Book Antiqua" w:hAnsi="Book Antiqua" w:cs="Courier New"/>
          <w:color w:val="000000" w:themeColor="text1"/>
          <w:sz w:val="24"/>
          <w:szCs w:val="24"/>
          <w:vertAlign w:val="superscript"/>
          <w:lang w:val="en-US"/>
        </w:rPr>
        <w:t>[26-32]</w:t>
      </w:r>
      <w:r w:rsidRPr="00A36F29">
        <w:rPr>
          <w:rFonts w:ascii="Book Antiqua" w:hAnsi="Book Antiqua" w:cs="Courier New"/>
          <w:color w:val="000000" w:themeColor="text1"/>
          <w:sz w:val="24"/>
          <w:szCs w:val="24"/>
          <w:lang w:val="en-US"/>
        </w:rPr>
        <w:t xml:space="preserve"> and failure of its circulation. All controls exhibited gross hemorrhagic lesion progression, hepatomegaly and splenomegaly (Figures 5 and 7), with gross bleeding in the stomach and duodenum, but also intestinal perforation, increased serum enzyme values (Figure 5), and a dilated central vein and terminal portal venules (Figure 9). This contrasted with the spared gross liver presentation, counteracted hepatomegaly and splenomegaly, reduced gross lesions in the stomach, duodenum and intestine, lower serum enzyme values, and no congestion of the </w:t>
      </w:r>
      <w:r w:rsidRPr="00A36F29">
        <w:rPr>
          <w:rFonts w:ascii="Book Antiqua" w:hAnsi="Book Antiqua" w:cs="Courier New"/>
          <w:color w:val="000000" w:themeColor="text1"/>
          <w:sz w:val="24"/>
          <w:szCs w:val="24"/>
          <w:lang w:val="en-US"/>
        </w:rPr>
        <w:lastRenderedPageBreak/>
        <w:t>central vein or branches of the terminal portal venules in BPC 157-treated rats. In particular, hepatic artery patency might be essential, and indicative for the thrombosis counteraction in all of the investigated veins and arteries, which were investigated</w:t>
      </w:r>
      <w:r w:rsidRPr="00A36F29">
        <w:rPr>
          <w:rFonts w:ascii="Book Antiqua" w:hAnsi="Book Antiqua" w:cs="Courier New"/>
          <w:color w:val="000000" w:themeColor="text1"/>
          <w:sz w:val="24"/>
          <w:szCs w:val="24"/>
          <w:vertAlign w:val="superscript"/>
          <w:lang w:val="en-US"/>
        </w:rPr>
        <w:t>[21,40]</w:t>
      </w:r>
      <w:r w:rsidRPr="00A36F29">
        <w:rPr>
          <w:rFonts w:ascii="Book Antiqua" w:hAnsi="Book Antiqua" w:cs="Courier New"/>
          <w:color w:val="000000" w:themeColor="text1"/>
          <w:sz w:val="24"/>
          <w:szCs w:val="24"/>
          <w:lang w:val="en-US"/>
        </w:rPr>
        <w:t>. Note, hepatic artery perfusion could be essential for recovery from hepatic venous outflow obstruction in rats, pointed out when</w:t>
      </w:r>
      <w:r w:rsidRPr="00A36F29">
        <w:rPr>
          <w:rFonts w:ascii="Book Antiqua" w:hAnsi="Book Antiqua"/>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usually occurring after 70% hepatectomy and </w:t>
      </w:r>
      <w:r w:rsidRPr="00A36F29">
        <w:rPr>
          <w:rFonts w:ascii="Book Antiqua" w:hAnsi="Book Antiqua"/>
          <w:color w:val="000000" w:themeColor="text1"/>
          <w:sz w:val="24"/>
          <w:szCs w:val="24"/>
        </w:rPr>
        <w:t>right median hepatic vein ligation</w:t>
      </w:r>
      <w:r w:rsidRPr="00A36F29">
        <w:rPr>
          <w:rFonts w:ascii="Book Antiqua" w:hAnsi="Book Antiqua" w:cs="Courier New"/>
          <w:color w:val="000000" w:themeColor="text1"/>
          <w:sz w:val="24"/>
          <w:szCs w:val="24"/>
          <w:lang w:val="en-US"/>
        </w:rPr>
        <w:t>, in which the role of hepatic artery inflow is of particular importance, in the condition likely even more severe than the obstruction of the hepatic veins by ligation of the upper part of inferior caval vein</w:t>
      </w:r>
      <w:r w:rsidRPr="00A36F29">
        <w:rPr>
          <w:rFonts w:ascii="Book Antiqua" w:hAnsi="Book Antiqua" w:cs="Courier New"/>
          <w:color w:val="000000" w:themeColor="text1"/>
          <w:sz w:val="24"/>
          <w:szCs w:val="24"/>
          <w:vertAlign w:val="superscript"/>
          <w:lang w:val="en-US"/>
        </w:rPr>
        <w:t>[51]</w:t>
      </w:r>
      <w:r w:rsidRPr="00A36F29">
        <w:rPr>
          <w:rFonts w:ascii="Book Antiqua" w:hAnsi="Book Antiqua" w:cs="Courier New"/>
          <w:color w:val="000000" w:themeColor="text1"/>
          <w:sz w:val="24"/>
          <w:szCs w:val="24"/>
          <w:lang w:val="en-US"/>
        </w:rPr>
        <w:t xml:space="preserve">. </w:t>
      </w:r>
    </w:p>
    <w:p w14:paraId="1D30D236" w14:textId="37A4809A"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Besides, BPC 157 therapy effects described in rats with bile duct cirrhosis and portal hypertension resulted in much less Ki-67- and alpha smooth muscle actin (α-SMA) staining, counteracted disturbed cell proliferation and cytoskeletal structure in hepatic stellate cells, and showed a less disturbed collagen presentation, and thereby, less Mallory staining, and more hepatocytes where fewer had double nuclei</w:t>
      </w:r>
      <w:r w:rsidRPr="00A36F29">
        <w:rPr>
          <w:rFonts w:ascii="Book Antiqua" w:hAnsi="Book Antiqua" w:cs="Courier New"/>
          <w:color w:val="000000" w:themeColor="text1"/>
          <w:sz w:val="24"/>
          <w:szCs w:val="24"/>
          <w:vertAlign w:val="superscript"/>
          <w:lang w:val="en-US"/>
        </w:rPr>
        <w:t>[25]</w:t>
      </w:r>
      <w:r w:rsidRPr="00A36F29">
        <w:rPr>
          <w:rFonts w:ascii="Book Antiqua" w:hAnsi="Book Antiqua" w:cs="Courier New"/>
          <w:color w:val="000000" w:themeColor="text1"/>
          <w:sz w:val="24"/>
          <w:szCs w:val="24"/>
          <w:lang w:val="en-US"/>
        </w:rPr>
        <w:t>. In the course of this cholestatic model of liver injury</w:t>
      </w:r>
      <w:r w:rsidRPr="00A36F29">
        <w:rPr>
          <w:rFonts w:ascii="Book Antiqua" w:hAnsi="Book Antiqua" w:cs="Courier New"/>
          <w:color w:val="000000" w:themeColor="text1"/>
          <w:sz w:val="24"/>
          <w:szCs w:val="24"/>
          <w:vertAlign w:val="superscript"/>
          <w:lang w:val="en-US"/>
        </w:rPr>
        <w:t>[25]</w:t>
      </w:r>
      <w:r w:rsidRPr="00A36F29">
        <w:rPr>
          <w:rFonts w:ascii="Book Antiqua" w:hAnsi="Book Antiqua" w:cs="Courier New"/>
          <w:color w:val="000000" w:themeColor="text1"/>
          <w:sz w:val="24"/>
          <w:szCs w:val="24"/>
          <w:lang w:val="en-US"/>
        </w:rPr>
        <w:t xml:space="preserve">, BPC 157 also counteracted all characteristic structural, biochemical, and hemodynamic disturbances, with portal hypertension either not developed, portal pressure remaining normal (BPC 157 prophylactic regimen) or portal hypertension rapidly reversed (delayed post-treatment). In addition, further consideration might be given to the counteraction of increased liver values of interleukin-6, tumor necrosis factor alpha and </w:t>
      </w:r>
      <w:r w:rsidR="00895DD7" w:rsidRPr="00A36F29">
        <w:rPr>
          <w:rFonts w:ascii="Book Antiqua" w:hAnsi="Book Antiqua" w:cs="Courier New"/>
          <w:color w:val="000000" w:themeColor="text1"/>
          <w:sz w:val="24"/>
          <w:szCs w:val="24"/>
          <w:lang w:val="en-US"/>
        </w:rPr>
        <w:t>interleukin</w:t>
      </w:r>
      <w:r w:rsidRPr="00A36F29">
        <w:rPr>
          <w:rFonts w:ascii="Book Antiqua" w:hAnsi="Book Antiqua" w:cs="Courier New"/>
          <w:color w:val="000000" w:themeColor="text1"/>
          <w:sz w:val="24"/>
          <w:szCs w:val="24"/>
          <w:lang w:val="en-US"/>
        </w:rPr>
        <w:t>-1β</w:t>
      </w:r>
      <w:r w:rsidRPr="00A36F29">
        <w:rPr>
          <w:rFonts w:ascii="Book Antiqua" w:hAnsi="Book Antiqua" w:cs="Courier New"/>
          <w:color w:val="000000" w:themeColor="text1"/>
          <w:sz w:val="24"/>
          <w:szCs w:val="24"/>
          <w:vertAlign w:val="superscript"/>
          <w:lang w:val="en-US"/>
        </w:rPr>
        <w:t>[25]</w:t>
      </w:r>
      <w:r w:rsidRPr="00A36F29">
        <w:rPr>
          <w:rFonts w:ascii="Book Antiqua" w:hAnsi="Book Antiqua" w:cs="Courier New"/>
          <w:color w:val="000000" w:themeColor="text1"/>
          <w:sz w:val="24"/>
          <w:szCs w:val="24"/>
          <w:lang w:val="en-US"/>
        </w:rPr>
        <w:t>, and the relation with counteracted tumor cachexia</w:t>
      </w:r>
      <w:r w:rsidRPr="00A36F29">
        <w:rPr>
          <w:rFonts w:ascii="Book Antiqua" w:hAnsi="Book Antiqua" w:cs="Courier New"/>
          <w:color w:val="000000" w:themeColor="text1"/>
          <w:sz w:val="24"/>
          <w:szCs w:val="24"/>
          <w:vertAlign w:val="superscript"/>
          <w:lang w:val="en-US"/>
        </w:rPr>
        <w:t>[18]</w:t>
      </w:r>
      <w:r w:rsidRPr="00A36F29">
        <w:rPr>
          <w:rFonts w:ascii="Book Antiqua" w:hAnsi="Book Antiqua" w:cs="Courier New"/>
          <w:color w:val="000000" w:themeColor="text1"/>
          <w:sz w:val="24"/>
          <w:szCs w:val="24"/>
          <w:lang w:val="en-US"/>
        </w:rPr>
        <w:t>, muscle wasting, increased pro-cachectic and pro-inflammatory mediators, and changes in the expression of forkhead box O3, phosphorylated protein kinase B, phosphorylated mammalian target of rapamycin, and phosphorylated glycogen synthase kinase 3</w:t>
      </w:r>
      <w:r w:rsidR="00895DD7" w:rsidRPr="00A36F29">
        <w:rPr>
          <w:rFonts w:ascii="Book Antiqua" w:hAnsi="Book Antiqua" w:cs="Courier New"/>
          <w:color w:val="000000" w:themeColor="text1"/>
          <w:sz w:val="24"/>
          <w:szCs w:val="24"/>
          <w:lang w:val="en-US"/>
        </w:rPr>
        <w:t>β</w:t>
      </w:r>
      <w:r w:rsidRPr="00A36F29">
        <w:rPr>
          <w:rFonts w:ascii="Book Antiqua" w:hAnsi="Book Antiqua" w:cs="Courier New"/>
          <w:color w:val="000000" w:themeColor="text1"/>
          <w:sz w:val="24"/>
          <w:szCs w:val="24"/>
          <w:vertAlign w:val="superscript"/>
          <w:lang w:val="en-US"/>
        </w:rPr>
        <w:t>[18]</w:t>
      </w:r>
      <w:r w:rsidRPr="00A36F29">
        <w:rPr>
          <w:rFonts w:ascii="Book Antiqua" w:hAnsi="Book Antiqua" w:cs="Courier New"/>
          <w:color w:val="000000" w:themeColor="text1"/>
          <w:sz w:val="24"/>
          <w:szCs w:val="24"/>
          <w:lang w:val="en-US"/>
        </w:rPr>
        <w:t>. This indicates</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the interaction of BPC 157 with several molecular pathways</w:t>
      </w:r>
      <w:r w:rsidRPr="00A36F29">
        <w:rPr>
          <w:rFonts w:ascii="Book Antiqua" w:hAnsi="Book Antiqua" w:cs="Courier New"/>
          <w:color w:val="000000" w:themeColor="text1"/>
          <w:sz w:val="24"/>
          <w:szCs w:val="24"/>
          <w:vertAlign w:val="superscript"/>
          <w:lang w:val="en-US"/>
        </w:rPr>
        <w:t>[52-58]</w:t>
      </w:r>
      <w:r w:rsidRPr="00A36F29">
        <w:rPr>
          <w:rFonts w:ascii="Book Antiqua" w:hAnsi="Book Antiqua" w:cs="Courier New"/>
          <w:color w:val="000000" w:themeColor="text1"/>
          <w:sz w:val="24"/>
          <w:szCs w:val="24"/>
          <w:lang w:val="en-US"/>
        </w:rPr>
        <w:t xml:space="preserve">, in particular with increased expression and internalization of vascular endothelial growth factor receptor 2 and the activation of the </w:t>
      </w:r>
      <w:r w:rsidR="00895DD7" w:rsidRPr="00A36F29">
        <w:rPr>
          <w:rFonts w:ascii="Book Antiqua" w:hAnsi="Book Antiqua" w:cs="Courier New"/>
          <w:color w:val="000000" w:themeColor="text1"/>
          <w:sz w:val="24"/>
          <w:szCs w:val="24"/>
          <w:lang w:val="en-US"/>
        </w:rPr>
        <w:t>vascular endothelial growth factor receptor 2</w:t>
      </w:r>
      <w:r w:rsidRPr="00A36F29">
        <w:rPr>
          <w:rFonts w:ascii="Book Antiqua" w:hAnsi="Book Antiqua" w:cs="Courier New"/>
          <w:color w:val="000000" w:themeColor="text1"/>
          <w:sz w:val="24"/>
          <w:szCs w:val="24"/>
          <w:lang w:val="en-US"/>
        </w:rPr>
        <w:t xml:space="preserve">-Akt- endothelial </w:t>
      </w:r>
      <w:r w:rsidR="00E15C16" w:rsidRPr="00A36F29">
        <w:rPr>
          <w:rFonts w:ascii="Book Antiqua" w:hAnsi="Book Antiqua" w:cs="Courier New"/>
          <w:color w:val="000000" w:themeColor="text1"/>
          <w:sz w:val="24"/>
          <w:szCs w:val="24"/>
          <w:lang w:val="en-US"/>
        </w:rPr>
        <w:t>NO</w:t>
      </w:r>
      <w:r w:rsidRPr="00A36F29">
        <w:rPr>
          <w:rFonts w:ascii="Book Antiqua" w:hAnsi="Book Antiqua" w:cs="Courier New"/>
          <w:color w:val="000000" w:themeColor="text1"/>
          <w:sz w:val="24"/>
          <w:szCs w:val="24"/>
          <w:lang w:val="en-US"/>
        </w:rPr>
        <w:t xml:space="preserve"> synthase</w:t>
      </w:r>
      <w:r w:rsidR="00895DD7"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signaling pathway, without the need for other ligands or shear stress</w:t>
      </w:r>
      <w:r w:rsidRPr="00A36F29">
        <w:rPr>
          <w:rFonts w:ascii="Book Antiqua" w:hAnsi="Book Antiqua" w:cs="Courier New"/>
          <w:color w:val="000000" w:themeColor="text1"/>
          <w:sz w:val="24"/>
          <w:szCs w:val="24"/>
          <w:vertAlign w:val="superscript"/>
          <w:lang w:val="en-US"/>
        </w:rPr>
        <w:t>[54]</w:t>
      </w:r>
      <w:r w:rsidRPr="00A36F29">
        <w:rPr>
          <w:rFonts w:ascii="Book Antiqua" w:hAnsi="Book Antiqua" w:cs="Courier New"/>
          <w:color w:val="000000" w:themeColor="text1"/>
          <w:sz w:val="24"/>
          <w:szCs w:val="24"/>
          <w:lang w:val="en-US"/>
        </w:rPr>
        <w:t>.</w:t>
      </w:r>
    </w:p>
    <w:p w14:paraId="74FD2B0B" w14:textId="41561142"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Finally, there is a “honeycomb” smaller vessel network, which appears at the intestinal serosa, which was also noticed in rats with ischemic/reperfusion colitis</w:t>
      </w:r>
      <w:r w:rsidRPr="00A36F29">
        <w:rPr>
          <w:rFonts w:ascii="Book Antiqua" w:hAnsi="Book Antiqua" w:cs="Courier New"/>
          <w:color w:val="000000" w:themeColor="text1"/>
          <w:sz w:val="24"/>
          <w:szCs w:val="24"/>
          <w:vertAlign w:val="superscript"/>
          <w:lang w:val="en-US"/>
        </w:rPr>
        <w:t>[23]</w:t>
      </w:r>
      <w:r w:rsidRPr="00A36F29">
        <w:rPr>
          <w:rFonts w:ascii="Book Antiqua" w:hAnsi="Book Antiqua" w:cs="Courier New"/>
          <w:color w:val="000000" w:themeColor="text1"/>
          <w:sz w:val="24"/>
          <w:szCs w:val="24"/>
          <w:lang w:val="en-US"/>
        </w:rPr>
        <w:t>, duodenal venous congestion lesions</w:t>
      </w:r>
      <w:r w:rsidRPr="00A36F29">
        <w:rPr>
          <w:rFonts w:ascii="Book Antiqua" w:hAnsi="Book Antiqua" w:cs="Courier New"/>
          <w:color w:val="000000" w:themeColor="text1"/>
          <w:sz w:val="24"/>
          <w:szCs w:val="24"/>
          <w:vertAlign w:val="superscript"/>
          <w:lang w:val="en-US"/>
        </w:rPr>
        <w:t>[24]</w:t>
      </w:r>
      <w:r w:rsidRPr="00A36F29">
        <w:rPr>
          <w:rFonts w:ascii="Book Antiqua" w:hAnsi="Book Antiqua" w:cs="Courier New"/>
          <w:color w:val="000000" w:themeColor="text1"/>
          <w:sz w:val="24"/>
          <w:szCs w:val="24"/>
          <w:lang w:val="en-US"/>
        </w:rPr>
        <w:t>, or inferior vena cava occlusion</w:t>
      </w:r>
      <w:r w:rsidRPr="00A36F29">
        <w:rPr>
          <w:rFonts w:ascii="Book Antiqua" w:hAnsi="Book Antiqua" w:cs="Courier New"/>
          <w:color w:val="000000" w:themeColor="text1"/>
          <w:sz w:val="24"/>
          <w:szCs w:val="24"/>
          <w:vertAlign w:val="superscript"/>
          <w:lang w:val="en-US"/>
        </w:rPr>
        <w:t>[21]</w:t>
      </w:r>
      <w:r w:rsidRPr="00A36F29">
        <w:rPr>
          <w:rFonts w:ascii="Book Antiqua" w:hAnsi="Book Antiqua" w:cs="Courier New"/>
          <w:color w:val="000000" w:themeColor="text1"/>
          <w:sz w:val="24"/>
          <w:szCs w:val="24"/>
          <w:lang w:val="en-US"/>
        </w:rPr>
        <w:t xml:space="preserve">. Thus, the </w:t>
      </w:r>
      <w:r w:rsidRPr="00A36F29">
        <w:rPr>
          <w:rFonts w:ascii="Book Antiqua" w:hAnsi="Book Antiqua" w:cs="Courier New"/>
          <w:color w:val="000000" w:themeColor="text1"/>
          <w:sz w:val="24"/>
          <w:szCs w:val="24"/>
          <w:lang w:val="en-US"/>
        </w:rPr>
        <w:lastRenderedPageBreak/>
        <w:t>counteraction of hemorrhagic intestinal lesions, from the stomach to the ascending colon, occurs as a very rapid activation of a bypassing loop, thereby reducing portal hypertension. Otherwise, intestinal ischemia</w:t>
      </w:r>
      <w:r w:rsidRPr="00A36F29">
        <w:rPr>
          <w:rFonts w:ascii="Book Antiqua" w:hAnsi="Book Antiqua" w:cs="Courier New"/>
          <w:color w:val="000000" w:themeColor="text1"/>
          <w:sz w:val="24"/>
          <w:szCs w:val="24"/>
          <w:vertAlign w:val="superscript"/>
          <w:lang w:val="en-US"/>
        </w:rPr>
        <w:t>[59]</w:t>
      </w:r>
      <w:r w:rsidRPr="00A36F29">
        <w:rPr>
          <w:rFonts w:ascii="Book Antiqua" w:hAnsi="Book Antiqua" w:cs="Courier New"/>
          <w:color w:val="000000" w:themeColor="text1"/>
          <w:sz w:val="24"/>
          <w:szCs w:val="24"/>
          <w:lang w:val="en-US"/>
        </w:rPr>
        <w:t xml:space="preserve"> appears as the final consequence of blood pooling in the splanchnic bed, inducing portal hypertension, and multivisceral edema, and mesenterial venous occlusion, could also induce intestinal injury as early as within 5 min. Both of these effects are inflow and outflow alterations</w:t>
      </w:r>
      <w:r w:rsidRPr="00A36F29">
        <w:rPr>
          <w:rFonts w:ascii="Book Antiqua" w:hAnsi="Book Antiqua" w:cs="Courier New"/>
          <w:color w:val="000000" w:themeColor="text1"/>
          <w:sz w:val="24"/>
          <w:szCs w:val="24"/>
          <w:vertAlign w:val="superscript"/>
          <w:lang w:val="en-US"/>
        </w:rPr>
        <w:t>[60]</w:t>
      </w:r>
      <w:r w:rsidRPr="00A36F29">
        <w:rPr>
          <w:rFonts w:ascii="Book Antiqua" w:hAnsi="Book Antiqua" w:cs="Courier New"/>
          <w:color w:val="000000" w:themeColor="text1"/>
          <w:sz w:val="24"/>
          <w:szCs w:val="24"/>
          <w:lang w:val="en-US"/>
        </w:rPr>
        <w:t>.</w:t>
      </w:r>
      <w:r w:rsidR="00840B82" w:rsidRPr="00A36F29">
        <w:rPr>
          <w:rFonts w:ascii="Book Antiqua" w:hAnsi="Book Antiqua" w:cs="Courier New"/>
          <w:color w:val="000000" w:themeColor="text1"/>
          <w:sz w:val="24"/>
          <w:szCs w:val="24"/>
          <w:lang w:val="en-US"/>
        </w:rPr>
        <w:t xml:space="preserve"> </w:t>
      </w:r>
    </w:p>
    <w:p w14:paraId="2F694580" w14:textId="4E172FEE"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Concluding, BPC 157 therapy (intragastric or abdominal bath, 10 µg/kg and 10 ng/kg dosages), using a previously described protocol</w:t>
      </w:r>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 xml:space="preserve">, could alleviate suprahepatic occlusion of the inferior caval vein, as model of the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in rats, activating bypassing pathways. BPC 157 likely counteracted Virchow's triad, as it did in rats with infrarenal inferior vena cava occlusion</w:t>
      </w:r>
      <w:r w:rsidRPr="00A36F29">
        <w:rPr>
          <w:rFonts w:ascii="Book Antiqua" w:hAnsi="Book Antiqua" w:cs="Courier New"/>
          <w:color w:val="000000" w:themeColor="text1"/>
          <w:sz w:val="24"/>
          <w:szCs w:val="24"/>
          <w:vertAlign w:val="superscript"/>
          <w:lang w:val="en-US"/>
        </w:rPr>
        <w:t>[21]</w:t>
      </w:r>
      <w:r w:rsidRPr="00A36F29">
        <w:rPr>
          <w:rFonts w:ascii="Book Antiqua" w:hAnsi="Book Antiqua" w:cs="Courier New"/>
          <w:color w:val="000000" w:themeColor="text1"/>
          <w:sz w:val="24"/>
          <w:szCs w:val="24"/>
          <w:lang w:val="en-US"/>
        </w:rPr>
        <w:t>. A particular effect on portal hypertension disturbances, by activation of bypassing pathways, might be envisaged that needs further elaboration. For example, BPC 157 might specifically interact with the NO-system, as</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previously reviewed</w:t>
      </w:r>
      <w:r w:rsidRPr="00A36F29">
        <w:rPr>
          <w:rFonts w:ascii="Book Antiqua" w:hAnsi="Book Antiqua" w:cs="Courier New"/>
          <w:color w:val="000000" w:themeColor="text1"/>
          <w:sz w:val="24"/>
          <w:szCs w:val="24"/>
          <w:vertAlign w:val="superscript"/>
          <w:lang w:val="en-US"/>
        </w:rPr>
        <w:t>[11,17]</w:t>
      </w:r>
      <w:r w:rsidRPr="00A36F29">
        <w:rPr>
          <w:rFonts w:ascii="Book Antiqua" w:hAnsi="Book Antiqua" w:cs="Courier New"/>
          <w:color w:val="000000" w:themeColor="text1"/>
          <w:sz w:val="24"/>
          <w:szCs w:val="24"/>
          <w:lang w:val="en-US"/>
        </w:rPr>
        <w:t>. In rats that received NO-agents, L-arginine methyl ester (L-NAME; a NOS blocker) or L-arginine (NOS-substrate), BPC 157 counteracted L-NAME-induced hypertension, as well as L-arginine-induced hypotension</w:t>
      </w:r>
      <w:r w:rsidRPr="00A36F29">
        <w:rPr>
          <w:rFonts w:ascii="Book Antiqua" w:hAnsi="Book Antiqua" w:cs="Courier New"/>
          <w:color w:val="000000" w:themeColor="text1"/>
          <w:sz w:val="24"/>
          <w:szCs w:val="24"/>
          <w:vertAlign w:val="superscript"/>
          <w:lang w:val="en-US"/>
        </w:rPr>
        <w:t>[61]</w:t>
      </w:r>
      <w:r w:rsidRPr="00A36F29">
        <w:rPr>
          <w:rFonts w:ascii="Book Antiqua" w:hAnsi="Book Antiqua" w:cs="Courier New"/>
          <w:color w:val="000000" w:themeColor="text1"/>
          <w:sz w:val="24"/>
          <w:szCs w:val="24"/>
          <w:lang w:val="en-US"/>
        </w:rPr>
        <w:t>. This effect appeared to counteract potassium overdose, severe hyperkalemia arrhythmias and hypertension</w:t>
      </w:r>
      <w:r w:rsidRPr="00A36F29">
        <w:rPr>
          <w:rFonts w:ascii="Book Antiqua" w:hAnsi="Book Antiqua" w:cs="Courier New"/>
          <w:color w:val="000000" w:themeColor="text1"/>
          <w:sz w:val="24"/>
          <w:szCs w:val="24"/>
          <w:vertAlign w:val="superscript"/>
          <w:lang w:val="en-US"/>
        </w:rPr>
        <w:t>[41]</w:t>
      </w:r>
      <w:r w:rsidRPr="00A36F29">
        <w:rPr>
          <w:rFonts w:ascii="Book Antiqua" w:hAnsi="Book Antiqua" w:cs="Courier New"/>
          <w:color w:val="000000" w:themeColor="text1"/>
          <w:sz w:val="24"/>
          <w:szCs w:val="24"/>
          <w:lang w:val="en-US"/>
        </w:rPr>
        <w:t xml:space="preserve"> or doxorubicin induced chronic heart failure and hypotension</w:t>
      </w:r>
      <w:r w:rsidRPr="00A36F29">
        <w:rPr>
          <w:rFonts w:ascii="Book Antiqua" w:hAnsi="Book Antiqua" w:cs="Courier New"/>
          <w:color w:val="000000" w:themeColor="text1"/>
          <w:sz w:val="24"/>
          <w:szCs w:val="24"/>
          <w:vertAlign w:val="superscript"/>
          <w:lang w:val="en-US"/>
        </w:rPr>
        <w:t>[43]</w:t>
      </w:r>
      <w:r w:rsidRPr="00A36F29">
        <w:rPr>
          <w:rFonts w:ascii="Book Antiqua" w:hAnsi="Book Antiqua" w:cs="Courier New"/>
          <w:color w:val="000000" w:themeColor="text1"/>
          <w:sz w:val="24"/>
          <w:szCs w:val="24"/>
          <w:lang w:val="en-US"/>
        </w:rPr>
        <w:t>. Finally, as a novel understanding of the cytoprotective mechanisms that are essential for its activity, as previously reviewed</w:t>
      </w:r>
      <w:r w:rsidRPr="00A36F29">
        <w:rPr>
          <w:rFonts w:ascii="Book Antiqua" w:hAnsi="Book Antiqua" w:cs="Courier New"/>
          <w:color w:val="000000" w:themeColor="text1"/>
          <w:sz w:val="24"/>
          <w:szCs w:val="24"/>
          <w:vertAlign w:val="superscript"/>
          <w:lang w:val="en-US"/>
        </w:rPr>
        <w:t>[8-20]</w:t>
      </w:r>
      <w:r w:rsidRPr="00A36F29">
        <w:rPr>
          <w:rFonts w:ascii="Book Antiqua" w:hAnsi="Book Antiqua" w:cs="Courier New"/>
          <w:color w:val="000000" w:themeColor="text1"/>
          <w:sz w:val="24"/>
          <w:szCs w:val="24"/>
          <w:lang w:val="en-US"/>
        </w:rPr>
        <w:t>, BPC 157 has recently been shown to increase the survival of cultured enteric neurons and the proliferation of cultured enteric glial cells; therefore healing of a damaged enteric nervous system might also contribute to the observed therapeutic effects</w:t>
      </w:r>
      <w:r w:rsidRPr="00A36F29">
        <w:rPr>
          <w:rFonts w:ascii="Book Antiqua" w:hAnsi="Book Antiqua" w:cs="Courier New"/>
          <w:color w:val="000000" w:themeColor="text1"/>
          <w:sz w:val="24"/>
          <w:szCs w:val="24"/>
          <w:vertAlign w:val="superscript"/>
          <w:lang w:val="en-US"/>
        </w:rPr>
        <w:t>[62]</w:t>
      </w:r>
      <w:r w:rsidRPr="00A36F29">
        <w:rPr>
          <w:rFonts w:ascii="Book Antiqua" w:hAnsi="Book Antiqua" w:cs="Courier New"/>
          <w:color w:val="000000" w:themeColor="text1"/>
          <w:sz w:val="24"/>
          <w:szCs w:val="24"/>
          <w:lang w:val="en-US"/>
        </w:rPr>
        <w:t xml:space="preserve">. These effects may together counteract a downward spiral in rats with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in acute states, much as in prolonged ischemia.</w:t>
      </w:r>
    </w:p>
    <w:p w14:paraId="749C06C1" w14:textId="77777777" w:rsidR="00C871CF" w:rsidRPr="00A36F29" w:rsidRDefault="00C871CF" w:rsidP="00A36F29">
      <w:pPr>
        <w:spacing w:after="0" w:line="360" w:lineRule="auto"/>
        <w:jc w:val="both"/>
        <w:rPr>
          <w:rFonts w:ascii="Book Antiqua" w:hAnsi="Book Antiqua" w:cs="Courier New"/>
          <w:color w:val="000000" w:themeColor="text1"/>
          <w:sz w:val="24"/>
          <w:szCs w:val="24"/>
          <w:lang w:val="en-US"/>
        </w:rPr>
      </w:pPr>
    </w:p>
    <w:p w14:paraId="20BC105A" w14:textId="12AD3051" w:rsidR="00C871CF" w:rsidRPr="00A36F29" w:rsidRDefault="00C871CF" w:rsidP="00A36F29">
      <w:pPr>
        <w:snapToGrid w:val="0"/>
        <w:spacing w:after="0" w:line="360" w:lineRule="auto"/>
        <w:jc w:val="both"/>
        <w:rPr>
          <w:rFonts w:ascii="Book Antiqua" w:hAnsi="Book Antiqua"/>
          <w:b/>
          <w:caps/>
          <w:color w:val="000000" w:themeColor="text1"/>
          <w:sz w:val="24"/>
          <w:szCs w:val="24"/>
          <w:u w:val="single"/>
        </w:rPr>
      </w:pPr>
      <w:bookmarkStart w:id="6" w:name="OLE_LINK151"/>
      <w:bookmarkStart w:id="7" w:name="OLE_LINK259"/>
      <w:bookmarkStart w:id="8" w:name="OLE_LINK158"/>
      <w:bookmarkStart w:id="9" w:name="OLE_LINK159"/>
      <w:bookmarkStart w:id="10" w:name="OLE_LINK205"/>
      <w:bookmarkStart w:id="11" w:name="OLE_LINK206"/>
      <w:bookmarkStart w:id="12" w:name="OLE_LINK244"/>
      <w:bookmarkStart w:id="13" w:name="OLE_LINK245"/>
      <w:bookmarkStart w:id="14" w:name="OLE_LINK11"/>
      <w:bookmarkStart w:id="15" w:name="OLE_LINK12"/>
      <w:bookmarkStart w:id="16" w:name="OLE_LINK23"/>
      <w:bookmarkStart w:id="17" w:name="OLE_LINK24"/>
      <w:bookmarkStart w:id="18" w:name="OLE_LINK316"/>
      <w:bookmarkStart w:id="19" w:name="OLE_LINK332"/>
      <w:bookmarkStart w:id="20" w:name="OLE_LINK521"/>
      <w:bookmarkStart w:id="21" w:name="OLE_LINK403"/>
      <w:bookmarkStart w:id="22" w:name="OLE_LINK560"/>
      <w:bookmarkStart w:id="23" w:name="OLE_LINK839"/>
      <w:bookmarkStart w:id="24" w:name="OLE_LINK625"/>
      <w:r w:rsidRPr="00A36F29">
        <w:rPr>
          <w:rFonts w:ascii="Book Antiqua" w:hAnsi="Book Antiqua" w:cs="Segoe UI"/>
          <w:b/>
          <w:caps/>
          <w:color w:val="000000" w:themeColor="text1"/>
          <w:sz w:val="24"/>
          <w:szCs w:val="24"/>
          <w:u w:val="single"/>
          <w:shd w:val="clear" w:color="auto" w:fill="FFFFFF"/>
        </w:rPr>
        <w:t>Article Highlights</w:t>
      </w:r>
      <w:r w:rsidR="0043591A" w:rsidRPr="00A36F29">
        <w:rPr>
          <w:rFonts w:ascii="Book Antiqua" w:hAnsi="Book Antiqua" w:cs="Segoe UI"/>
          <w:b/>
          <w:caps/>
          <w:color w:val="000000" w:themeColor="text1"/>
          <w:sz w:val="24"/>
          <w:szCs w:val="24"/>
          <w:u w:val="single"/>
          <w:shd w:val="clear" w:color="auto" w:fill="FFFFFF"/>
        </w:rPr>
        <w:t xml:space="preserve"> </w:t>
      </w:r>
    </w:p>
    <w:p w14:paraId="69CC1872" w14:textId="77777777" w:rsidR="00C871CF" w:rsidRPr="00A36F29" w:rsidRDefault="00C871CF" w:rsidP="00A36F29">
      <w:pPr>
        <w:snapToGrid w:val="0"/>
        <w:spacing w:after="0" w:line="360" w:lineRule="auto"/>
        <w:jc w:val="both"/>
        <w:rPr>
          <w:rFonts w:ascii="Book Antiqua" w:hAnsi="Book Antiqua"/>
          <w:b/>
          <w:i/>
          <w:color w:val="000000" w:themeColor="text1"/>
          <w:sz w:val="24"/>
          <w:szCs w:val="24"/>
        </w:rPr>
      </w:pPr>
      <w:r w:rsidRPr="00A36F29">
        <w:rPr>
          <w:rFonts w:ascii="Book Antiqua" w:hAnsi="Book Antiqua"/>
          <w:b/>
          <w:i/>
          <w:color w:val="000000" w:themeColor="text1"/>
          <w:sz w:val="24"/>
          <w:szCs w:val="24"/>
        </w:rPr>
        <w:t>Research background</w:t>
      </w:r>
    </w:p>
    <w:p w14:paraId="11133000" w14:textId="73FC582D" w:rsidR="00C871CF" w:rsidRPr="00A36F29" w:rsidRDefault="005A7C3E"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Resolving the Budd-Chiari syndrome </w:t>
      </w:r>
      <w:r w:rsidR="00840B82" w:rsidRPr="00A36F29">
        <w:rPr>
          <w:rFonts w:ascii="Book Antiqua" w:hAnsi="Book Antiqua" w:cs="Courier New"/>
          <w:color w:val="000000" w:themeColor="text1"/>
          <w:sz w:val="24"/>
          <w:szCs w:val="24"/>
          <w:lang w:val="en-US"/>
        </w:rPr>
        <w:t xml:space="preserve">(BCS) </w:t>
      </w:r>
      <w:r w:rsidRPr="00A36F29">
        <w:rPr>
          <w:rFonts w:ascii="Book Antiqua" w:hAnsi="Book Antiqua" w:cs="Courier New"/>
          <w:color w:val="000000" w:themeColor="text1"/>
          <w:sz w:val="24"/>
          <w:szCs w:val="24"/>
          <w:lang w:val="en-US"/>
        </w:rPr>
        <w:t>in rats follows the evidence that</w:t>
      </w:r>
      <w:r w:rsidR="00C871CF" w:rsidRPr="00A36F29">
        <w:rPr>
          <w:rFonts w:ascii="Book Antiqua" w:hAnsi="Book Antiqua" w:cs="Courier New"/>
          <w:color w:val="000000" w:themeColor="text1"/>
          <w:sz w:val="24"/>
          <w:szCs w:val="24"/>
          <w:lang w:val="en-US"/>
        </w:rPr>
        <w:t xml:space="preserve"> pentadecapeptide BPC 157 therapy</w:t>
      </w:r>
      <w:r w:rsidRPr="00A36F29">
        <w:rPr>
          <w:rFonts w:ascii="Book Antiqua" w:hAnsi="Book Antiqua" w:cs="Courier New"/>
          <w:color w:val="000000" w:themeColor="text1"/>
          <w:sz w:val="24"/>
          <w:szCs w:val="24"/>
          <w:lang w:val="en-US"/>
        </w:rPr>
        <w:t xml:space="preserve"> alleviated various</w:t>
      </w:r>
      <w:r w:rsidR="00C871CF" w:rsidRPr="00A36F29">
        <w:rPr>
          <w:rFonts w:ascii="Book Antiqua" w:hAnsi="Book Antiqua" w:cs="Courier New"/>
          <w:color w:val="000000" w:themeColor="text1"/>
          <w:sz w:val="24"/>
          <w:szCs w:val="24"/>
          <w:lang w:val="en-US"/>
        </w:rPr>
        <w:t xml:space="preserve"> vascular occlusion disturbances. Rapid activation of a bypassing loop </w:t>
      </w:r>
      <w:r w:rsidRPr="00A36F29">
        <w:rPr>
          <w:rFonts w:ascii="Book Antiqua" w:hAnsi="Book Antiqua" w:cs="Courier New"/>
          <w:color w:val="000000" w:themeColor="text1"/>
          <w:sz w:val="24"/>
          <w:szCs w:val="24"/>
          <w:lang w:val="en-US"/>
        </w:rPr>
        <w:t>rescues</w:t>
      </w:r>
      <w:r w:rsidR="00C871CF" w:rsidRPr="00A36F29">
        <w:rPr>
          <w:rFonts w:ascii="Book Antiqua" w:hAnsi="Book Antiqua" w:cs="Courier New"/>
          <w:color w:val="000000" w:themeColor="text1"/>
          <w:sz w:val="24"/>
          <w:szCs w:val="24"/>
          <w:lang w:val="en-US"/>
        </w:rPr>
        <w:t xml:space="preserve"> rats with </w:t>
      </w:r>
      <w:r w:rsidRPr="00A36F29">
        <w:rPr>
          <w:rFonts w:ascii="Book Antiqua" w:hAnsi="Book Antiqua" w:cs="Courier New"/>
          <w:color w:val="000000" w:themeColor="text1"/>
          <w:sz w:val="24"/>
          <w:szCs w:val="24"/>
          <w:lang w:val="en-US"/>
        </w:rPr>
        <w:t xml:space="preserve">inferior vena cava </w:t>
      </w:r>
      <w:r w:rsidR="00C871CF" w:rsidRPr="00A36F29">
        <w:rPr>
          <w:rFonts w:ascii="Book Antiqua" w:hAnsi="Book Antiqua" w:cs="Courier New"/>
          <w:color w:val="000000" w:themeColor="text1"/>
          <w:sz w:val="24"/>
          <w:szCs w:val="24"/>
          <w:lang w:val="en-US"/>
        </w:rPr>
        <w:t xml:space="preserve">infrarenal ligation, relieving a Virchow's triad situation, much like in rats with </w:t>
      </w:r>
      <w:r w:rsidR="00C871CF" w:rsidRPr="00A36F29">
        <w:rPr>
          <w:rFonts w:ascii="Book Antiqua" w:hAnsi="Book Antiqua" w:cs="Courier New"/>
          <w:color w:val="000000" w:themeColor="text1"/>
          <w:sz w:val="24"/>
          <w:szCs w:val="24"/>
          <w:lang w:val="en-US"/>
        </w:rPr>
        <w:lastRenderedPageBreak/>
        <w:t>ischemic/reperfusion colitis, duodenal venous congestion lesions, perforated cecum, bile duct ligation induced liver cirrhosis and portal hypertension. BPC 157 was previously reviewed as novel mediator of Robert cytoprotection and endothelium protection in the stomach, and gut-brain axis,</w:t>
      </w:r>
      <w:r w:rsidR="0043591A" w:rsidRPr="00A36F29">
        <w:rPr>
          <w:rFonts w:ascii="Book Antiqua" w:hAnsi="Book Antiqua" w:cs="Courier New"/>
          <w:color w:val="000000" w:themeColor="text1"/>
          <w:sz w:val="24"/>
          <w:szCs w:val="24"/>
          <w:lang w:val="en-US"/>
        </w:rPr>
        <w:t xml:space="preserve"> </w:t>
      </w:r>
      <w:r w:rsidR="00C871CF" w:rsidRPr="00A36F29">
        <w:rPr>
          <w:rFonts w:ascii="Book Antiqua" w:hAnsi="Book Antiqua" w:cs="Courier New"/>
          <w:color w:val="000000" w:themeColor="text1"/>
          <w:sz w:val="24"/>
          <w:szCs w:val="24"/>
          <w:lang w:val="en-US"/>
        </w:rPr>
        <w:t xml:space="preserve">beneficial therapy in gastrointestinal tract, with particular reference to vascular recruitment, ulcerative colitis and tumor cachexia, and other tissues healing. </w:t>
      </w:r>
    </w:p>
    <w:p w14:paraId="7EA6B3B1" w14:textId="77777777" w:rsidR="00895DD7" w:rsidRPr="00A36F29" w:rsidRDefault="00895DD7" w:rsidP="00A36F29">
      <w:pPr>
        <w:snapToGrid w:val="0"/>
        <w:spacing w:after="0" w:line="360" w:lineRule="auto"/>
        <w:jc w:val="both"/>
        <w:rPr>
          <w:rFonts w:ascii="Book Antiqua" w:hAnsi="Book Antiqua"/>
          <w:b/>
          <w:i/>
          <w:color w:val="000000" w:themeColor="text1"/>
          <w:sz w:val="24"/>
          <w:szCs w:val="24"/>
        </w:rPr>
      </w:pPr>
    </w:p>
    <w:p w14:paraId="28251E28" w14:textId="1DB3328B" w:rsidR="00C871CF" w:rsidRPr="00A36F29" w:rsidRDefault="00C871CF" w:rsidP="00A36F29">
      <w:pPr>
        <w:snapToGrid w:val="0"/>
        <w:spacing w:after="0" w:line="360" w:lineRule="auto"/>
        <w:jc w:val="both"/>
        <w:rPr>
          <w:rFonts w:ascii="Book Antiqua" w:hAnsi="Book Antiqua"/>
          <w:b/>
          <w:i/>
          <w:color w:val="000000" w:themeColor="text1"/>
          <w:sz w:val="24"/>
          <w:szCs w:val="24"/>
        </w:rPr>
      </w:pPr>
      <w:r w:rsidRPr="00A36F29">
        <w:rPr>
          <w:rFonts w:ascii="Book Antiqua" w:hAnsi="Book Antiqua"/>
          <w:b/>
          <w:i/>
          <w:color w:val="000000" w:themeColor="text1"/>
          <w:sz w:val="24"/>
          <w:szCs w:val="24"/>
        </w:rPr>
        <w:t>Research motivation</w:t>
      </w:r>
    </w:p>
    <w:p w14:paraId="0AAD1B6E" w14:textId="5C488C27" w:rsidR="00C871CF" w:rsidRPr="00A36F29" w:rsidRDefault="00865D3C"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Against</w:t>
      </w:r>
      <w:r w:rsidR="00C871CF" w:rsidRPr="00A36F29">
        <w:rPr>
          <w:rFonts w:ascii="Book Antiqua" w:hAnsi="Book Antiqua" w:cs="Courier New"/>
          <w:color w:val="000000" w:themeColor="text1"/>
          <w:sz w:val="24"/>
          <w:szCs w:val="24"/>
          <w:lang w:val="en-US"/>
        </w:rPr>
        <w:t xml:space="preserve"> these obstructions, </w:t>
      </w:r>
      <w:r w:rsidRPr="00A36F29">
        <w:rPr>
          <w:rFonts w:ascii="Book Antiqua" w:hAnsi="Book Antiqua" w:cs="Courier New"/>
          <w:color w:val="000000" w:themeColor="text1"/>
          <w:sz w:val="24"/>
          <w:szCs w:val="24"/>
          <w:lang w:val="en-US"/>
        </w:rPr>
        <w:t>BPC 157 therapy</w:t>
      </w:r>
      <w:r w:rsidR="00C871CF" w:rsidRPr="00A36F29">
        <w:rPr>
          <w:rFonts w:ascii="Book Antiqua" w:hAnsi="Book Antiqua" w:cs="Courier New"/>
          <w:color w:val="000000" w:themeColor="text1"/>
          <w:sz w:val="24"/>
          <w:szCs w:val="24"/>
          <w:lang w:val="en-US"/>
        </w:rPr>
        <w:t xml:space="preserve"> rapidly activates an azygos/hemiazygos vein bypassing pathway, upgrading an inadequate rescuing inferior-superior vena cava shunt to an adequate one, as well as a portocaval shunt. With </w:t>
      </w:r>
      <w:r w:rsidR="00840B82" w:rsidRPr="00A36F29">
        <w:rPr>
          <w:rFonts w:ascii="Book Antiqua" w:hAnsi="Book Antiqua" w:cs="Courier New"/>
          <w:color w:val="000000" w:themeColor="text1"/>
          <w:sz w:val="24"/>
          <w:szCs w:val="24"/>
          <w:lang w:val="en-US"/>
        </w:rPr>
        <w:t>BCS</w:t>
      </w:r>
      <w:r w:rsidR="00C871CF" w:rsidRPr="00A36F29">
        <w:rPr>
          <w:rFonts w:ascii="Book Antiqua" w:hAnsi="Book Antiqua" w:cs="Courier New"/>
          <w:color w:val="000000" w:themeColor="text1"/>
          <w:sz w:val="24"/>
          <w:szCs w:val="24"/>
          <w:lang w:val="en-US"/>
        </w:rPr>
        <w:t xml:space="preserve"> in rats, both caval and portal hypertension, and aortal hypertension occurred and were largely eliminated by BPC 157 therapy. Likewise, BPC 157 therapy was shown in counteracting rapid clot formation in the portal vein, superior mesenteric vein, splenic vein, inferior vena cava, hepatic artery, and coronary artery, as well as peaked P waves, significant ST-elevation, tachycardia, gross organ lesions, and liver and spleen weight increases. </w:t>
      </w:r>
    </w:p>
    <w:p w14:paraId="6635A1F0" w14:textId="77777777" w:rsidR="00895DD7" w:rsidRPr="00A36F29" w:rsidRDefault="00895DD7" w:rsidP="00A36F29">
      <w:pPr>
        <w:spacing w:after="0" w:line="360" w:lineRule="auto"/>
        <w:jc w:val="both"/>
        <w:rPr>
          <w:rFonts w:ascii="Book Antiqua" w:hAnsi="Book Antiqua" w:cs="Courier New"/>
          <w:color w:val="000000" w:themeColor="text1"/>
          <w:sz w:val="24"/>
          <w:szCs w:val="24"/>
          <w:lang w:val="en-US"/>
        </w:rPr>
      </w:pPr>
    </w:p>
    <w:p w14:paraId="2E01FE97" w14:textId="77777777" w:rsidR="00C871CF" w:rsidRPr="00A36F29" w:rsidRDefault="00C871CF" w:rsidP="00A36F29">
      <w:pPr>
        <w:snapToGrid w:val="0"/>
        <w:spacing w:after="0" w:line="360" w:lineRule="auto"/>
        <w:jc w:val="both"/>
        <w:rPr>
          <w:rFonts w:ascii="Book Antiqua" w:hAnsi="Book Antiqua"/>
          <w:b/>
          <w:i/>
          <w:color w:val="000000" w:themeColor="text1"/>
          <w:sz w:val="24"/>
          <w:szCs w:val="24"/>
        </w:rPr>
      </w:pPr>
      <w:r w:rsidRPr="00A36F29">
        <w:rPr>
          <w:rFonts w:ascii="Book Antiqua" w:hAnsi="Book Antiqua"/>
          <w:b/>
          <w:i/>
          <w:color w:val="000000" w:themeColor="text1"/>
          <w:sz w:val="24"/>
          <w:szCs w:val="24"/>
        </w:rPr>
        <w:t>Research objectives</w:t>
      </w:r>
    </w:p>
    <w:p w14:paraId="505AD698" w14:textId="32925200" w:rsidR="00C871CF" w:rsidRPr="00A36F29" w:rsidRDefault="00C871CF" w:rsidP="00A36F29">
      <w:pPr>
        <w:autoSpaceDE w:val="0"/>
        <w:autoSpaceDN w:val="0"/>
        <w:adjustRightInd w:val="0"/>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Occluding the inferior vena cava cranially to the hepatic veins</w:t>
      </w:r>
      <w:r w:rsidR="004B5EB2"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vertAlign w:val="superscript"/>
          <w:lang w:val="en-US"/>
        </w:rPr>
        <w:t xml:space="preserve"> </w:t>
      </w:r>
      <w:r w:rsidRPr="00A36F29">
        <w:rPr>
          <w:rFonts w:ascii="Book Antiqua" w:hAnsi="Book Antiqua" w:cs="Courier New"/>
          <w:color w:val="000000" w:themeColor="text1"/>
          <w:sz w:val="24"/>
          <w:szCs w:val="24"/>
          <w:lang w:val="en-US"/>
        </w:rPr>
        <w:t>regardless of</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some limitations</w:t>
      </w:r>
      <w:r w:rsidR="004B5EB2"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lang w:val="en-US"/>
        </w:rPr>
        <w:t xml:space="preserve"> </w:t>
      </w:r>
      <w:r w:rsidR="004B5EB2" w:rsidRPr="00A36F29">
        <w:rPr>
          <w:rFonts w:ascii="Book Antiqua" w:hAnsi="Book Antiqua" w:cs="Courier New"/>
          <w:color w:val="000000" w:themeColor="text1"/>
          <w:sz w:val="24"/>
          <w:szCs w:val="24"/>
          <w:lang w:val="en-US"/>
        </w:rPr>
        <w:t>was used for the</w:t>
      </w:r>
      <w:r w:rsidRPr="00A36F29">
        <w:rPr>
          <w:rFonts w:ascii="Book Antiqua" w:hAnsi="Book Antiqua" w:cs="Courier New"/>
          <w:color w:val="000000" w:themeColor="text1"/>
          <w:sz w:val="24"/>
          <w:szCs w:val="24"/>
          <w:lang w:val="en-US"/>
        </w:rPr>
        <w:t xml:space="preserve"> Budd–Chiari syndrome and its manifestation in rat. To make the even more severe circumstances, with the complete occlusion of the suprahepatic inferior caval vein, Budd–Chiari syndrome has abrupt disturbances initiation. Thereby, BPC 157 rapid effect with the organized bypassing of the occlusion and Budd–Chiari syndrome</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manifestation reversal, may provide pharmacotherapy treatment in the rat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w:t>
      </w:r>
      <w:r w:rsidR="00840B82" w:rsidRPr="00A36F29">
        <w:rPr>
          <w:rFonts w:ascii="Book Antiqua" w:hAnsi="Book Antiqua" w:cs="Courier New"/>
          <w:color w:val="000000" w:themeColor="text1"/>
          <w:sz w:val="24"/>
          <w:szCs w:val="24"/>
          <w:lang w:val="en-US"/>
        </w:rPr>
        <w:t xml:space="preserve"> </w:t>
      </w:r>
    </w:p>
    <w:p w14:paraId="1095C6E0" w14:textId="77777777" w:rsidR="00C871CF" w:rsidRPr="00A36F29" w:rsidRDefault="00C871CF" w:rsidP="00A36F29">
      <w:pPr>
        <w:snapToGrid w:val="0"/>
        <w:spacing w:after="0" w:line="360" w:lineRule="auto"/>
        <w:jc w:val="both"/>
        <w:rPr>
          <w:rFonts w:ascii="Book Antiqua" w:hAnsi="Book Antiqua"/>
          <w:b/>
          <w:color w:val="000000" w:themeColor="text1"/>
          <w:sz w:val="24"/>
          <w:szCs w:val="24"/>
        </w:rPr>
      </w:pPr>
    </w:p>
    <w:p w14:paraId="5CFB4881" w14:textId="77777777" w:rsidR="00C871CF" w:rsidRPr="00A36F29" w:rsidRDefault="00C871CF" w:rsidP="00A36F29">
      <w:pPr>
        <w:snapToGrid w:val="0"/>
        <w:spacing w:after="0" w:line="360" w:lineRule="auto"/>
        <w:jc w:val="both"/>
        <w:rPr>
          <w:rFonts w:ascii="Book Antiqua" w:hAnsi="Book Antiqua"/>
          <w:b/>
          <w:i/>
          <w:color w:val="000000" w:themeColor="text1"/>
          <w:sz w:val="24"/>
          <w:szCs w:val="24"/>
        </w:rPr>
      </w:pPr>
      <w:r w:rsidRPr="00A36F29">
        <w:rPr>
          <w:rFonts w:ascii="Book Antiqua" w:hAnsi="Book Antiqua"/>
          <w:b/>
          <w:i/>
          <w:color w:val="000000" w:themeColor="text1"/>
          <w:sz w:val="24"/>
          <w:szCs w:val="24"/>
        </w:rPr>
        <w:t>Research methods</w:t>
      </w:r>
    </w:p>
    <w:p w14:paraId="7BBDF670" w14:textId="5ACAC45A"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Times New Roman"/>
          <w:color w:val="000000" w:themeColor="text1"/>
          <w:sz w:val="24"/>
          <w:szCs w:val="24"/>
          <w:lang w:val="en-US"/>
        </w:rPr>
        <w:t xml:space="preserve">In rats with occluded suprahepatic inferior caval vein, we assessed the activated bypassing pathways </w:t>
      </w:r>
      <w:r w:rsidR="00262325" w:rsidRPr="00A36F29">
        <w:rPr>
          <w:rFonts w:ascii="Book Antiqua" w:hAnsi="Book Antiqua" w:cs="Times New Roman"/>
          <w:color w:val="000000" w:themeColor="text1"/>
          <w:sz w:val="24"/>
          <w:szCs w:val="24"/>
          <w:lang w:val="en-US"/>
        </w:rPr>
        <w:t>(</w:t>
      </w:r>
      <w:r w:rsidRPr="00A36F29">
        <w:rPr>
          <w:rFonts w:ascii="Book Antiqua" w:hAnsi="Book Antiqua" w:cs="Times New Roman"/>
          <w:color w:val="000000" w:themeColor="text1"/>
          <w:sz w:val="24"/>
          <w:szCs w:val="24"/>
          <w:lang w:val="en-US"/>
        </w:rPr>
        <w:t>inferior</w:t>
      </w:r>
      <w:r w:rsidR="00262325" w:rsidRPr="00A36F29">
        <w:rPr>
          <w:rFonts w:ascii="Book Antiqua" w:hAnsi="Book Antiqua" w:cs="Times New Roman"/>
          <w:color w:val="000000" w:themeColor="text1"/>
          <w:sz w:val="24"/>
          <w:szCs w:val="24"/>
          <w:lang w:val="en-US"/>
        </w:rPr>
        <w:t>/</w:t>
      </w:r>
      <w:r w:rsidRPr="00A36F29">
        <w:rPr>
          <w:rFonts w:ascii="Book Antiqua" w:hAnsi="Book Antiqua" w:cs="Times New Roman"/>
          <w:color w:val="000000" w:themeColor="text1"/>
          <w:sz w:val="24"/>
          <w:szCs w:val="24"/>
          <w:lang w:val="en-US"/>
        </w:rPr>
        <w:t>superior caval veins</w:t>
      </w:r>
      <w:r w:rsidR="00262325" w:rsidRPr="00A36F29">
        <w:rPr>
          <w:rFonts w:ascii="Book Antiqua" w:hAnsi="Book Antiqua" w:cs="Times New Roman"/>
          <w:color w:val="000000" w:themeColor="text1"/>
          <w:sz w:val="24"/>
          <w:szCs w:val="24"/>
          <w:lang w:val="en-US"/>
        </w:rPr>
        <w:t>;</w:t>
      </w:r>
      <w:r w:rsidRPr="00A36F29">
        <w:rPr>
          <w:rFonts w:ascii="Book Antiqua" w:hAnsi="Book Antiqua" w:cs="Times New Roman"/>
          <w:color w:val="000000" w:themeColor="text1"/>
          <w:sz w:val="24"/>
          <w:szCs w:val="24"/>
          <w:lang w:val="en-US"/>
        </w:rPr>
        <w:t xml:space="preserve"> portocaval shunt</w:t>
      </w:r>
      <w:r w:rsidR="00262325" w:rsidRPr="00A36F29">
        <w:rPr>
          <w:rFonts w:ascii="Book Antiqua" w:hAnsi="Book Antiqua" w:cs="Times New Roman"/>
          <w:color w:val="000000" w:themeColor="text1"/>
          <w:sz w:val="24"/>
          <w:szCs w:val="24"/>
          <w:lang w:val="en-US"/>
        </w:rPr>
        <w:t>)</w:t>
      </w:r>
      <w:r w:rsidRPr="00A36F29">
        <w:rPr>
          <w:rFonts w:ascii="Book Antiqua" w:hAnsi="Book Antiqua" w:cs="Times New Roman"/>
          <w:color w:val="000000" w:themeColor="text1"/>
          <w:sz w:val="24"/>
          <w:szCs w:val="24"/>
          <w:lang w:val="en-US"/>
        </w:rPr>
        <w:t xml:space="preserve">, counteracted caval/portal hypertension, aortal hypotension, venous/arterial thrombosis, </w:t>
      </w:r>
      <w:r w:rsidR="00E15C16" w:rsidRPr="00A36F29">
        <w:rPr>
          <w:rFonts w:ascii="Book Antiqua" w:hAnsi="Book Antiqua" w:cs="Times New Roman"/>
          <w:color w:val="000000" w:themeColor="text1"/>
          <w:sz w:val="24"/>
          <w:szCs w:val="24"/>
          <w:lang w:val="en-US"/>
        </w:rPr>
        <w:t>electrocardiogram</w:t>
      </w:r>
      <w:r w:rsidRPr="00A36F29">
        <w:rPr>
          <w:rFonts w:ascii="Book Antiqua" w:hAnsi="Book Antiqua" w:cs="Times New Roman"/>
          <w:color w:val="000000" w:themeColor="text1"/>
          <w:sz w:val="24"/>
          <w:szCs w:val="24"/>
          <w:lang w:val="en-US"/>
        </w:rPr>
        <w:t xml:space="preserve"> disturbances, liver and gastrointestinal lesions (</w:t>
      </w:r>
      <w:r w:rsidR="0093390D" w:rsidRPr="00A36F29">
        <w:rPr>
          <w:rFonts w:ascii="Book Antiqua" w:hAnsi="Book Antiqua" w:cs="Times New Roman"/>
          <w:i/>
          <w:iCs/>
          <w:color w:val="000000" w:themeColor="text1"/>
          <w:sz w:val="24"/>
          <w:szCs w:val="24"/>
          <w:lang w:val="en-US"/>
        </w:rPr>
        <w:t>i.e.</w:t>
      </w:r>
      <w:r w:rsidRPr="00A36F29">
        <w:rPr>
          <w:rFonts w:ascii="Book Antiqua" w:hAnsi="Book Antiqua" w:cs="Times New Roman"/>
          <w:color w:val="000000" w:themeColor="text1"/>
          <w:sz w:val="24"/>
          <w:szCs w:val="24"/>
          <w:lang w:val="en-US"/>
        </w:rPr>
        <w:t xml:space="preserve">, stomach and </w:t>
      </w:r>
      <w:r w:rsidRPr="00A36F29">
        <w:rPr>
          <w:rFonts w:ascii="Book Antiqua" w:hAnsi="Book Antiqua" w:cs="Times New Roman"/>
          <w:color w:val="000000" w:themeColor="text1"/>
          <w:sz w:val="24"/>
          <w:szCs w:val="24"/>
          <w:lang w:val="en-US"/>
        </w:rPr>
        <w:lastRenderedPageBreak/>
        <w:t xml:space="preserve">duodenum hemorrhages, in particular, congestion), hepatomegaly and splenomegaly. Medication </w:t>
      </w:r>
      <w:r w:rsidR="00262325" w:rsidRPr="00A36F29">
        <w:rPr>
          <w:rFonts w:ascii="Book Antiqua" w:hAnsi="Book Antiqua" w:cs="Times New Roman"/>
          <w:color w:val="000000" w:themeColor="text1"/>
          <w:sz w:val="24"/>
          <w:szCs w:val="24"/>
          <w:lang w:val="en-US"/>
        </w:rPr>
        <w:t xml:space="preserve">(at 1 min, 15 min, 24 h, or 48 h) ligation time </w:t>
      </w:r>
      <w:r w:rsidRPr="00A36F29">
        <w:rPr>
          <w:rFonts w:ascii="Book Antiqua" w:hAnsi="Book Antiqua" w:cs="Times New Roman"/>
          <w:color w:val="000000" w:themeColor="text1"/>
          <w:sz w:val="24"/>
          <w:szCs w:val="24"/>
          <w:lang w:val="en-US"/>
        </w:rPr>
        <w:t>consisted of 10 µg/kg BPC 157, 10 ng BPC 157 or 5 mL/kg saline, administered once as an abdominal bath or intragastric application. Furthermore, levels of nitric oxide (NO), malondialdehyde (MDA) in the liver and serum enzymes were determined.</w:t>
      </w:r>
    </w:p>
    <w:p w14:paraId="41A41475" w14:textId="77777777" w:rsidR="00C871CF" w:rsidRPr="00A36F29" w:rsidRDefault="00C871CF" w:rsidP="00A36F29">
      <w:pPr>
        <w:snapToGrid w:val="0"/>
        <w:spacing w:after="0" w:line="360" w:lineRule="auto"/>
        <w:jc w:val="both"/>
        <w:rPr>
          <w:rFonts w:ascii="Book Antiqua" w:hAnsi="Book Antiqua"/>
          <w:b/>
          <w:color w:val="000000" w:themeColor="text1"/>
          <w:sz w:val="24"/>
          <w:szCs w:val="24"/>
        </w:rPr>
      </w:pPr>
    </w:p>
    <w:p w14:paraId="4EB1AA63" w14:textId="77777777" w:rsidR="00C871CF" w:rsidRPr="00A36F29" w:rsidRDefault="00C871CF" w:rsidP="00A36F29">
      <w:pPr>
        <w:snapToGrid w:val="0"/>
        <w:spacing w:after="0" w:line="360" w:lineRule="auto"/>
        <w:jc w:val="both"/>
        <w:rPr>
          <w:rFonts w:ascii="Book Antiqua" w:hAnsi="Book Antiqua"/>
          <w:b/>
          <w:i/>
          <w:color w:val="000000" w:themeColor="text1"/>
          <w:sz w:val="24"/>
          <w:szCs w:val="24"/>
        </w:rPr>
      </w:pPr>
      <w:r w:rsidRPr="00A36F29">
        <w:rPr>
          <w:rFonts w:ascii="Book Antiqua" w:hAnsi="Book Antiqua"/>
          <w:b/>
          <w:i/>
          <w:color w:val="000000" w:themeColor="text1"/>
          <w:sz w:val="24"/>
          <w:szCs w:val="24"/>
        </w:rPr>
        <w:t>Research results</w:t>
      </w:r>
    </w:p>
    <w:p w14:paraId="5DA17610" w14:textId="14711F1E" w:rsidR="00BA0247" w:rsidRPr="00A36F29" w:rsidRDefault="00BA0247" w:rsidP="00A36F29">
      <w:pPr>
        <w:snapToGrid w:val="0"/>
        <w:spacing w:after="0" w:line="360" w:lineRule="auto"/>
        <w:jc w:val="both"/>
        <w:rPr>
          <w:rFonts w:ascii="Book Antiqua" w:hAnsi="Book Antiqua"/>
          <w:color w:val="000000" w:themeColor="text1"/>
          <w:sz w:val="24"/>
          <w:szCs w:val="24"/>
        </w:rPr>
      </w:pPr>
      <w:r w:rsidRPr="00A36F29">
        <w:rPr>
          <w:rFonts w:ascii="Book Antiqua" w:hAnsi="Book Antiqua" w:cs="Times New Roman"/>
          <w:color w:val="000000" w:themeColor="text1"/>
          <w:sz w:val="24"/>
          <w:szCs w:val="24"/>
          <w:lang w:val="en-US"/>
        </w:rPr>
        <w:t>T</w:t>
      </w:r>
      <w:r w:rsidR="00C871CF" w:rsidRPr="00A36F29">
        <w:rPr>
          <w:rFonts w:ascii="Book Antiqua" w:hAnsi="Book Antiqua" w:cs="Times New Roman"/>
          <w:color w:val="000000" w:themeColor="text1"/>
          <w:sz w:val="24"/>
          <w:szCs w:val="24"/>
          <w:lang w:val="en-US"/>
        </w:rPr>
        <w:t>he bypassing pathway</w:t>
      </w:r>
      <w:r w:rsidRPr="00A36F29">
        <w:rPr>
          <w:rFonts w:ascii="Book Antiqua" w:hAnsi="Book Antiqua" w:cs="Times New Roman"/>
          <w:color w:val="000000" w:themeColor="text1"/>
          <w:sz w:val="24"/>
          <w:szCs w:val="24"/>
          <w:lang w:val="en-US"/>
        </w:rPr>
        <w:t>s (</w:t>
      </w:r>
      <w:r w:rsidR="00C871CF" w:rsidRPr="00A36F29">
        <w:rPr>
          <w:rFonts w:ascii="Book Antiqua" w:hAnsi="Book Antiqua" w:cs="Times New Roman"/>
          <w:color w:val="000000" w:themeColor="text1"/>
          <w:sz w:val="24"/>
          <w:szCs w:val="24"/>
          <w:lang w:val="en-US"/>
        </w:rPr>
        <w:t>the inferior vena cava-azygos (hemiazygos) vein-superior vena cava</w:t>
      </w:r>
      <w:r w:rsidRPr="00A36F29">
        <w:rPr>
          <w:rFonts w:ascii="Book Antiqua" w:hAnsi="Book Antiqua" w:cs="Times New Roman"/>
          <w:color w:val="000000" w:themeColor="text1"/>
          <w:sz w:val="24"/>
          <w:szCs w:val="24"/>
          <w:lang w:val="en-US"/>
        </w:rPr>
        <w:t>;</w:t>
      </w:r>
      <w:r w:rsidR="00C871CF" w:rsidRPr="00A36F29">
        <w:rPr>
          <w:rFonts w:ascii="Book Antiqua" w:hAnsi="Book Antiqua" w:cs="Times New Roman"/>
          <w:color w:val="000000" w:themeColor="text1"/>
          <w:sz w:val="24"/>
          <w:szCs w:val="24"/>
          <w:lang w:val="en-US"/>
        </w:rPr>
        <w:t xml:space="preserve"> portocaval shunt</w:t>
      </w:r>
      <w:r w:rsidRPr="00A36F29">
        <w:rPr>
          <w:rFonts w:ascii="Book Antiqua" w:hAnsi="Book Antiqua" w:cs="Times New Roman"/>
          <w:color w:val="000000" w:themeColor="text1"/>
          <w:sz w:val="24"/>
          <w:szCs w:val="24"/>
          <w:lang w:val="en-US"/>
        </w:rPr>
        <w:t>)</w:t>
      </w:r>
      <w:r w:rsidR="00C871CF" w:rsidRPr="00A36F29">
        <w:rPr>
          <w:rFonts w:ascii="Book Antiqua" w:hAnsi="Book Antiqua" w:cs="Times New Roman"/>
          <w:color w:val="000000" w:themeColor="text1"/>
          <w:sz w:val="24"/>
          <w:szCs w:val="24"/>
          <w:lang w:val="en-US"/>
        </w:rPr>
        <w:t xml:space="preserve"> occurred rapidly</w:t>
      </w:r>
      <w:r w:rsidR="00262325" w:rsidRPr="00A36F29">
        <w:rPr>
          <w:rFonts w:ascii="Book Antiqua" w:hAnsi="Book Antiqua" w:cs="Times New Roman"/>
          <w:color w:val="000000" w:themeColor="text1"/>
          <w:sz w:val="24"/>
          <w:szCs w:val="24"/>
          <w:lang w:val="en-US"/>
        </w:rPr>
        <w:t>.</w:t>
      </w:r>
      <w:r w:rsidR="00C871CF" w:rsidRPr="00A36F29">
        <w:rPr>
          <w:rFonts w:ascii="Book Antiqua" w:hAnsi="Book Antiqua" w:cs="Times New Roman"/>
          <w:color w:val="000000" w:themeColor="text1"/>
          <w:sz w:val="24"/>
          <w:szCs w:val="24"/>
          <w:lang w:val="en-US"/>
        </w:rPr>
        <w:t xml:space="preserve"> BPC 157 antagonized portal</w:t>
      </w:r>
      <w:r w:rsidRPr="00A36F29">
        <w:rPr>
          <w:rFonts w:ascii="Book Antiqua" w:hAnsi="Book Antiqua" w:cs="Times New Roman"/>
          <w:color w:val="000000" w:themeColor="text1"/>
          <w:sz w:val="24"/>
          <w:szCs w:val="24"/>
          <w:lang w:val="en-US"/>
        </w:rPr>
        <w:t>/</w:t>
      </w:r>
      <w:r w:rsidR="00C871CF" w:rsidRPr="00A36F29">
        <w:rPr>
          <w:rFonts w:ascii="Book Antiqua" w:hAnsi="Book Antiqua" w:cs="Times New Roman"/>
          <w:color w:val="000000" w:themeColor="text1"/>
          <w:sz w:val="24"/>
          <w:szCs w:val="24"/>
          <w:lang w:val="en-US"/>
        </w:rPr>
        <w:t xml:space="preserve">caval hypertension </w:t>
      </w:r>
      <w:r w:rsidR="00262325" w:rsidRPr="00A36F29">
        <w:rPr>
          <w:rFonts w:ascii="Book Antiqua" w:hAnsi="Book Antiqua" w:cs="Times New Roman"/>
          <w:color w:val="000000" w:themeColor="text1"/>
          <w:sz w:val="24"/>
          <w:szCs w:val="24"/>
          <w:lang w:val="en-US"/>
        </w:rPr>
        <w:t>(caval</w:t>
      </w:r>
      <w:r w:rsidR="00895DD7" w:rsidRPr="00A36F29">
        <w:rPr>
          <w:rFonts w:ascii="Book Antiqua" w:hAnsi="Book Antiqua" w:cs="Times New Roman"/>
          <w:color w:val="000000" w:themeColor="text1"/>
          <w:sz w:val="24"/>
          <w:szCs w:val="24"/>
          <w:lang w:val="en-US"/>
        </w:rPr>
        <w:t xml:space="preserve"> </w:t>
      </w:r>
      <w:r w:rsidR="00262325" w:rsidRPr="00A36F29">
        <w:rPr>
          <w:rFonts w:ascii="Times New Roman" w:hAnsi="Times New Roman" w:cs="Times New Roman"/>
          <w:color w:val="000000" w:themeColor="text1"/>
          <w:sz w:val="24"/>
          <w:szCs w:val="24"/>
          <w:lang w:val="en-US"/>
        </w:rPr>
        <w:t>˃</w:t>
      </w:r>
      <w:r w:rsidR="00895DD7" w:rsidRPr="00A36F29">
        <w:rPr>
          <w:rFonts w:ascii="Book Antiqua" w:hAnsi="Book Antiqua" w:cs="Times New Roman"/>
          <w:color w:val="000000" w:themeColor="text1"/>
          <w:sz w:val="24"/>
          <w:szCs w:val="24"/>
          <w:lang w:val="en-US"/>
        </w:rPr>
        <w:t xml:space="preserve"> </w:t>
      </w:r>
      <w:r w:rsidR="00262325" w:rsidRPr="00A36F29">
        <w:rPr>
          <w:rFonts w:ascii="Book Antiqua" w:hAnsi="Book Antiqua" w:cs="Times New Roman"/>
          <w:color w:val="000000" w:themeColor="text1"/>
          <w:sz w:val="24"/>
          <w:szCs w:val="24"/>
          <w:lang w:val="en-US"/>
        </w:rPr>
        <w:t xml:space="preserve">portal hypertension), </w:t>
      </w:r>
      <w:r w:rsidR="00C871CF" w:rsidRPr="00A36F29">
        <w:rPr>
          <w:rFonts w:ascii="Book Antiqua" w:hAnsi="Book Antiqua" w:cs="Times New Roman"/>
          <w:color w:val="000000" w:themeColor="text1"/>
          <w:sz w:val="24"/>
          <w:szCs w:val="24"/>
          <w:lang w:val="en-US"/>
        </w:rPr>
        <w:t>and aortal hypotension</w:t>
      </w:r>
      <w:r w:rsidR="00262325" w:rsidRPr="00A36F29">
        <w:rPr>
          <w:rFonts w:ascii="Book Antiqua" w:hAnsi="Book Antiqua" w:cs="Times New Roman"/>
          <w:color w:val="000000" w:themeColor="text1"/>
          <w:sz w:val="24"/>
          <w:szCs w:val="24"/>
          <w:lang w:val="en-US"/>
        </w:rPr>
        <w:t>,</w:t>
      </w:r>
      <w:r w:rsidR="0043591A" w:rsidRPr="00A36F29">
        <w:rPr>
          <w:rFonts w:ascii="Book Antiqua" w:hAnsi="Book Antiqua" w:cs="Times New Roman"/>
          <w:color w:val="000000" w:themeColor="text1"/>
          <w:sz w:val="24"/>
          <w:szCs w:val="24"/>
          <w:lang w:val="en-US"/>
        </w:rPr>
        <w:t xml:space="preserve"> </w:t>
      </w:r>
      <w:r w:rsidR="00262325" w:rsidRPr="00A36F29">
        <w:rPr>
          <w:rFonts w:ascii="Book Antiqua" w:hAnsi="Book Antiqua" w:cs="Times New Roman"/>
          <w:color w:val="000000" w:themeColor="text1"/>
          <w:sz w:val="24"/>
          <w:szCs w:val="24"/>
          <w:lang w:val="en-US"/>
        </w:rPr>
        <w:t>r</w:t>
      </w:r>
      <w:r w:rsidR="00C871CF" w:rsidRPr="00A36F29">
        <w:rPr>
          <w:rFonts w:ascii="Book Antiqua" w:hAnsi="Book Antiqua" w:cs="Times New Roman"/>
          <w:color w:val="000000" w:themeColor="text1"/>
          <w:sz w:val="24"/>
          <w:szCs w:val="24"/>
          <w:lang w:val="en-US"/>
        </w:rPr>
        <w:t xml:space="preserve">efractory ascites </w:t>
      </w:r>
      <w:r w:rsidR="00262325" w:rsidRPr="00A36F29">
        <w:rPr>
          <w:rFonts w:ascii="Book Antiqua" w:hAnsi="Book Antiqua" w:cs="Times New Roman"/>
          <w:color w:val="000000" w:themeColor="text1"/>
          <w:sz w:val="24"/>
          <w:szCs w:val="24"/>
          <w:lang w:val="en-US"/>
        </w:rPr>
        <w:t>and thrombosis</w:t>
      </w:r>
      <w:r w:rsidR="00C871CF" w:rsidRPr="00A36F29">
        <w:rPr>
          <w:rFonts w:ascii="Book Antiqua" w:hAnsi="Book Antiqua" w:cs="Times New Roman"/>
          <w:color w:val="000000" w:themeColor="text1"/>
          <w:sz w:val="24"/>
          <w:szCs w:val="24"/>
          <w:lang w:val="en-US"/>
        </w:rPr>
        <w:t xml:space="preserve"> </w:t>
      </w:r>
      <w:r w:rsidR="00262325" w:rsidRPr="00A36F29">
        <w:rPr>
          <w:rFonts w:ascii="Book Antiqua" w:hAnsi="Book Antiqua" w:cs="Times New Roman"/>
          <w:color w:val="000000" w:themeColor="text1"/>
          <w:sz w:val="24"/>
          <w:szCs w:val="24"/>
          <w:lang w:val="en-US"/>
        </w:rPr>
        <w:t>(</w:t>
      </w:r>
      <w:r w:rsidR="00C871CF" w:rsidRPr="00A36F29">
        <w:rPr>
          <w:rFonts w:ascii="Book Antiqua" w:hAnsi="Book Antiqua" w:cs="Times New Roman"/>
          <w:color w:val="000000" w:themeColor="text1"/>
          <w:sz w:val="24"/>
          <w:szCs w:val="24"/>
          <w:lang w:val="en-US"/>
        </w:rPr>
        <w:t>portal vein tributaries, inferior vena cava, hepatic and coronary arteries</w:t>
      </w:r>
      <w:r w:rsidR="00262325" w:rsidRPr="00A36F29">
        <w:rPr>
          <w:rFonts w:ascii="Book Antiqua" w:hAnsi="Book Antiqua" w:cs="Times New Roman"/>
          <w:color w:val="000000" w:themeColor="text1"/>
          <w:sz w:val="24"/>
          <w:szCs w:val="24"/>
          <w:lang w:val="en-US"/>
        </w:rPr>
        <w:t>),</w:t>
      </w:r>
      <w:r w:rsidR="00C871CF" w:rsidRPr="00A36F29">
        <w:rPr>
          <w:rFonts w:ascii="Book Antiqua" w:hAnsi="Book Antiqua" w:cs="Times New Roman"/>
          <w:color w:val="000000" w:themeColor="text1"/>
          <w:sz w:val="24"/>
          <w:szCs w:val="24"/>
          <w:lang w:val="en-US"/>
        </w:rPr>
        <w:t xml:space="preserve"> pathology of the lungs (severe capillary congestion) and liver (dilated central veins and terminal portal venules),</w:t>
      </w:r>
      <w:r w:rsidR="0043591A" w:rsidRPr="00A36F29">
        <w:rPr>
          <w:rFonts w:ascii="Book Antiqua" w:hAnsi="Book Antiqua" w:cs="Times New Roman"/>
          <w:color w:val="000000" w:themeColor="text1"/>
          <w:sz w:val="24"/>
          <w:szCs w:val="24"/>
          <w:lang w:val="en-US"/>
        </w:rPr>
        <w:t xml:space="preserve"> </w:t>
      </w:r>
      <w:r w:rsidR="00C871CF" w:rsidRPr="00A36F29">
        <w:rPr>
          <w:rFonts w:ascii="Book Antiqua" w:hAnsi="Book Antiqua" w:cs="Times New Roman"/>
          <w:color w:val="000000" w:themeColor="text1"/>
          <w:sz w:val="24"/>
          <w:szCs w:val="24"/>
          <w:lang w:val="en-US"/>
        </w:rPr>
        <w:t>intestine hemorrhagic lesions (substantial capillary congestion, submucosal edema and architecture loss), increased liver and spleen weight</w:t>
      </w:r>
      <w:r w:rsidR="00262325" w:rsidRPr="00A36F29">
        <w:rPr>
          <w:rFonts w:ascii="Book Antiqua" w:hAnsi="Book Antiqua" w:cs="Times New Roman"/>
          <w:color w:val="000000" w:themeColor="text1"/>
          <w:sz w:val="24"/>
          <w:szCs w:val="24"/>
          <w:lang w:val="en-US"/>
        </w:rPr>
        <w:t xml:space="preserve"> serum and enzymes values</w:t>
      </w:r>
      <w:r w:rsidRPr="00A36F29">
        <w:rPr>
          <w:rFonts w:ascii="Book Antiqua" w:hAnsi="Book Antiqua" w:cs="Times New Roman"/>
          <w:color w:val="000000" w:themeColor="text1"/>
          <w:sz w:val="24"/>
          <w:szCs w:val="24"/>
          <w:lang w:val="en-US"/>
        </w:rPr>
        <w:t>,</w:t>
      </w:r>
      <w:r w:rsidR="00C871CF" w:rsidRPr="00A36F29">
        <w:rPr>
          <w:rFonts w:ascii="Book Antiqua" w:hAnsi="Book Antiqua" w:cs="Times New Roman"/>
          <w:color w:val="000000" w:themeColor="text1"/>
          <w:sz w:val="24"/>
          <w:szCs w:val="24"/>
          <w:lang w:val="en-US"/>
        </w:rPr>
        <w:t xml:space="preserve"> NO- and MDA-levels in the liver. BPC 157 counteracted increased P wave amplitude, tachycardia and ST-elevation, </w:t>
      </w:r>
      <w:r w:rsidR="0093390D" w:rsidRPr="00A36F29">
        <w:rPr>
          <w:rFonts w:ascii="Book Antiqua" w:hAnsi="Book Antiqua" w:cs="Times New Roman"/>
          <w:i/>
          <w:iCs/>
          <w:color w:val="000000" w:themeColor="text1"/>
          <w:sz w:val="24"/>
          <w:szCs w:val="24"/>
          <w:lang w:val="en-US"/>
        </w:rPr>
        <w:t>i.e.</w:t>
      </w:r>
      <w:r w:rsidR="00C871CF" w:rsidRPr="00A36F29">
        <w:rPr>
          <w:rFonts w:ascii="Book Antiqua" w:hAnsi="Book Antiqua" w:cs="Times New Roman"/>
          <w:color w:val="000000" w:themeColor="text1"/>
          <w:sz w:val="24"/>
          <w:szCs w:val="24"/>
          <w:lang w:val="en-US"/>
        </w:rPr>
        <w:t>, right heart failure from acute thrombotic coronary occlusion.</w:t>
      </w:r>
      <w:r w:rsidR="0043591A" w:rsidRPr="00A36F29">
        <w:rPr>
          <w:rFonts w:ascii="Book Antiqua" w:hAnsi="Book Antiqua" w:cs="Times New Roman"/>
          <w:color w:val="000000" w:themeColor="text1"/>
          <w:sz w:val="24"/>
          <w:szCs w:val="24"/>
          <w:lang w:val="en-US"/>
        </w:rPr>
        <w:t xml:space="preserve"> </w:t>
      </w:r>
    </w:p>
    <w:p w14:paraId="7637F277" w14:textId="77777777" w:rsidR="00C871CF" w:rsidRPr="00A36F29" w:rsidRDefault="00C871CF" w:rsidP="00A36F29">
      <w:pPr>
        <w:snapToGrid w:val="0"/>
        <w:spacing w:after="0" w:line="360" w:lineRule="auto"/>
        <w:jc w:val="both"/>
        <w:rPr>
          <w:rFonts w:ascii="Book Antiqua" w:hAnsi="Book Antiqua" w:cs="Segoe UI"/>
          <w:color w:val="000000" w:themeColor="text1"/>
          <w:sz w:val="24"/>
          <w:szCs w:val="24"/>
          <w:shd w:val="clear" w:color="auto" w:fill="FFFFFF"/>
        </w:rPr>
      </w:pPr>
    </w:p>
    <w:p w14:paraId="5B5DB16B" w14:textId="77777777" w:rsidR="00C871CF" w:rsidRPr="00A36F29" w:rsidRDefault="00C871CF" w:rsidP="00A36F29">
      <w:pPr>
        <w:snapToGrid w:val="0"/>
        <w:spacing w:after="0" w:line="360" w:lineRule="auto"/>
        <w:jc w:val="both"/>
        <w:rPr>
          <w:rFonts w:ascii="Book Antiqua" w:hAnsi="Book Antiqua" w:cs="Segoe UI"/>
          <w:b/>
          <w:i/>
          <w:color w:val="000000" w:themeColor="text1"/>
          <w:sz w:val="24"/>
          <w:szCs w:val="24"/>
          <w:shd w:val="clear" w:color="auto" w:fill="FFFFFF"/>
        </w:rPr>
      </w:pPr>
      <w:r w:rsidRPr="00A36F29">
        <w:rPr>
          <w:rFonts w:ascii="Book Antiqua" w:hAnsi="Book Antiqua"/>
          <w:b/>
          <w:i/>
          <w:color w:val="000000" w:themeColor="text1"/>
          <w:sz w:val="24"/>
          <w:szCs w:val="24"/>
        </w:rPr>
        <w:t>Research conclusions</w:t>
      </w:r>
    </w:p>
    <w:p w14:paraId="6B3A603F" w14:textId="2FDB9DF1" w:rsidR="00C871CF" w:rsidRPr="00A36F29" w:rsidRDefault="00C871CF" w:rsidP="00A36F29">
      <w:pPr>
        <w:snapToGrid w:val="0"/>
        <w:spacing w:after="0" w:line="360" w:lineRule="auto"/>
        <w:jc w:val="both"/>
        <w:rPr>
          <w:rFonts w:ascii="Book Antiqua" w:hAnsi="Book Antiqua" w:cs="Segoe UI"/>
          <w:color w:val="000000" w:themeColor="text1"/>
          <w:sz w:val="24"/>
          <w:szCs w:val="24"/>
          <w:shd w:val="clear" w:color="auto" w:fill="FFFFFF"/>
        </w:rPr>
      </w:pPr>
      <w:r w:rsidRPr="00A36F29">
        <w:rPr>
          <w:rFonts w:ascii="Book Antiqua" w:hAnsi="Book Antiqua" w:cs="Times New Roman"/>
          <w:color w:val="000000" w:themeColor="text1"/>
          <w:sz w:val="24"/>
          <w:szCs w:val="24"/>
          <w:lang w:val="en-US"/>
        </w:rPr>
        <w:t>Particular reversal of the regular threatening course otherwise arising in the rats with the occluded suprahepatic inferior caval vein.</w:t>
      </w:r>
      <w:r w:rsidR="00895DD7" w:rsidRPr="00A36F29">
        <w:rPr>
          <w:rFonts w:ascii="Book Antiqua" w:hAnsi="Book Antiqua" w:cs="Segoe UI"/>
          <w:color w:val="000000" w:themeColor="text1"/>
          <w:sz w:val="24"/>
          <w:szCs w:val="24"/>
          <w:shd w:val="clear" w:color="auto" w:fill="FFFFFF"/>
          <w:lang w:eastAsia="zh-CN"/>
        </w:rPr>
        <w:t xml:space="preserve"> </w:t>
      </w:r>
      <w:r w:rsidRPr="00A36F29">
        <w:rPr>
          <w:rFonts w:ascii="Book Antiqua" w:hAnsi="Book Antiqua" w:cs="Courier New"/>
          <w:color w:val="000000" w:themeColor="text1"/>
          <w:sz w:val="24"/>
          <w:szCs w:val="24"/>
          <w:lang w:val="en-US"/>
        </w:rPr>
        <w:t xml:space="preserve">With application of the stable gastric pentadecapeptide BPC 157, we raised new hypothesis about rapid bypassing of the suprahepatic inferior caval vein occlusion in the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in rats, and mitigating its manifestations, along with</w:t>
      </w:r>
      <w:r w:rsidR="00840B82"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the active and effective pharmacotherapy treatment. The beneficial BPC 157 effects, noted in the present study,</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may together counteract a downward spiral in rats with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in acute states, much as in prolonged ischemia.</w:t>
      </w:r>
      <w:r w:rsidR="00895DD7" w:rsidRPr="00A36F29">
        <w:rPr>
          <w:rFonts w:ascii="Book Antiqua" w:hAnsi="Book Antiqua" w:cs="Segoe UI"/>
          <w:color w:val="000000" w:themeColor="text1"/>
          <w:sz w:val="24"/>
          <w:szCs w:val="24"/>
          <w:shd w:val="clear" w:color="auto" w:fill="FFFFFF"/>
          <w:lang w:eastAsia="zh-CN"/>
        </w:rPr>
        <w:t xml:space="preserve"> </w:t>
      </w:r>
      <w:r w:rsidRPr="00A36F29">
        <w:rPr>
          <w:rFonts w:ascii="Book Antiqua" w:hAnsi="Book Antiqua" w:cs="Courier New"/>
          <w:color w:val="000000" w:themeColor="text1"/>
          <w:sz w:val="24"/>
          <w:szCs w:val="24"/>
          <w:lang w:val="en-US"/>
        </w:rPr>
        <w:t xml:space="preserve">In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research, rats studies used occluding the inferior vena cava cranially to the hepatic veins, but bypassing of the occlusion in the rat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along with pharmacotherapy treatment was not considered. BPC 157</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therapy significance result</w:t>
      </w:r>
      <w:r w:rsidR="001F56DA" w:rsidRPr="00A36F29">
        <w:rPr>
          <w:rFonts w:ascii="Book Antiqua" w:hAnsi="Book Antiqua" w:cs="Courier New"/>
          <w:color w:val="000000" w:themeColor="text1"/>
          <w:sz w:val="24"/>
          <w:szCs w:val="24"/>
          <w:lang w:val="en-US"/>
        </w:rPr>
        <w:t>s</w:t>
      </w:r>
      <w:r w:rsidRPr="00A36F29">
        <w:rPr>
          <w:rFonts w:ascii="Book Antiqua" w:hAnsi="Book Antiqua" w:cs="Courier New"/>
          <w:color w:val="000000" w:themeColor="text1"/>
          <w:sz w:val="24"/>
          <w:szCs w:val="24"/>
          <w:lang w:val="en-US"/>
        </w:rPr>
        <w:t xml:space="preserve"> with</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the rapidly activated azygos/hemiazygos vein bypassing pathway, upgrading an inadequate rescuing inferior-superior vena cava shunt to an adequate one, as well as a portocaval shunt. Consequently, the </w:t>
      </w:r>
      <w:r w:rsidR="00840B82" w:rsidRPr="00A36F29">
        <w:rPr>
          <w:rFonts w:ascii="Book Antiqua" w:hAnsi="Book Antiqua" w:cs="Courier New"/>
          <w:color w:val="000000" w:themeColor="text1"/>
          <w:sz w:val="24"/>
          <w:szCs w:val="24"/>
          <w:lang w:val="en-US"/>
        </w:rPr>
        <w:t>BCS</w:t>
      </w:r>
      <w:r w:rsidR="001F56DA" w:rsidRPr="00A36F29">
        <w:rPr>
          <w:rFonts w:ascii="Book Antiqua" w:hAnsi="Book Antiqua" w:cs="Courier New"/>
          <w:color w:val="000000" w:themeColor="text1"/>
          <w:sz w:val="24"/>
          <w:szCs w:val="24"/>
          <w:lang w:val="en-US"/>
        </w:rPr>
        <w:t>-rats presented</w:t>
      </w:r>
      <w:r w:rsidRPr="00A36F29">
        <w:rPr>
          <w:rFonts w:ascii="Book Antiqua" w:hAnsi="Book Antiqua" w:cs="Courier New"/>
          <w:color w:val="000000" w:themeColor="text1"/>
          <w:sz w:val="24"/>
          <w:szCs w:val="24"/>
          <w:lang w:val="en-US"/>
        </w:rPr>
        <w:t xml:space="preserve"> both caval and portal </w:t>
      </w:r>
      <w:r w:rsidRPr="00A36F29">
        <w:rPr>
          <w:rFonts w:ascii="Book Antiqua" w:hAnsi="Book Antiqua" w:cs="Courier New"/>
          <w:color w:val="000000" w:themeColor="text1"/>
          <w:sz w:val="24"/>
          <w:szCs w:val="24"/>
          <w:lang w:val="en-US"/>
        </w:rPr>
        <w:lastRenderedPageBreak/>
        <w:t>hypert</w:t>
      </w:r>
      <w:r w:rsidR="001F56DA" w:rsidRPr="00A36F29">
        <w:rPr>
          <w:rFonts w:ascii="Book Antiqua" w:hAnsi="Book Antiqua" w:cs="Courier New"/>
          <w:color w:val="000000" w:themeColor="text1"/>
          <w:sz w:val="24"/>
          <w:szCs w:val="24"/>
          <w:lang w:val="en-US"/>
        </w:rPr>
        <w:t xml:space="preserve">ension, and aortal hypertension, </w:t>
      </w:r>
      <w:r w:rsidRPr="00A36F29">
        <w:rPr>
          <w:rFonts w:ascii="Book Antiqua" w:hAnsi="Book Antiqua" w:cs="Courier New"/>
          <w:color w:val="000000" w:themeColor="text1"/>
          <w:sz w:val="24"/>
          <w:szCs w:val="24"/>
          <w:lang w:val="en-US"/>
        </w:rPr>
        <w:t xml:space="preserve">largely eliminated by BPC 157 therapy. Largely attenuated consequent disturbances (rapid clot formation in the portal vein, superior mesenteric vein, splenic vein, inferior vena cava, hepatic artery, and coronary artery, as well as peaked P waves, significant ST-elevation, tachycardia, gross organ lesions, and liver and spleen weight increases) all together support this contention. </w:t>
      </w:r>
      <w:r w:rsidRPr="00A36F29">
        <w:rPr>
          <w:rFonts w:ascii="Book Antiqua" w:hAnsi="Book Antiqua" w:cs="Times New Roman"/>
          <w:color w:val="000000" w:themeColor="text1"/>
          <w:sz w:val="24"/>
          <w:szCs w:val="24"/>
          <w:lang w:val="en-US"/>
        </w:rPr>
        <w:t xml:space="preserve">We used gross (USB camera) and microscopic observations, venography, </w:t>
      </w:r>
      <w:r w:rsidRPr="00A36F29">
        <w:rPr>
          <w:rFonts w:ascii="Book Antiqua" w:hAnsi="Book Antiqua" w:cs="Courier New"/>
          <w:color w:val="000000" w:themeColor="text1"/>
          <w:sz w:val="24"/>
          <w:szCs w:val="24"/>
          <w:lang w:val="en-US"/>
        </w:rPr>
        <w:t>blood pressure and electrocardiogram assessment,</w:t>
      </w:r>
      <w:r w:rsidRPr="00A36F29">
        <w:rPr>
          <w:rFonts w:ascii="Book Antiqua" w:hAnsi="Book Antiqua" w:cs="Courier New"/>
          <w:b/>
          <w:i/>
          <w:color w:val="000000" w:themeColor="text1"/>
          <w:sz w:val="24"/>
          <w:szCs w:val="24"/>
          <w:lang w:val="en-US"/>
        </w:rPr>
        <w:t xml:space="preserve"> </w:t>
      </w:r>
      <w:r w:rsidRPr="00A36F29">
        <w:rPr>
          <w:rFonts w:ascii="Book Antiqua" w:hAnsi="Book Antiqua" w:cs="Courier New"/>
          <w:color w:val="000000" w:themeColor="text1"/>
          <w:sz w:val="24"/>
          <w:szCs w:val="24"/>
          <w:lang w:val="en-US"/>
        </w:rPr>
        <w:t>bilirubin and enzyme activity,</w:t>
      </w:r>
      <w:r w:rsidRPr="00A36F29">
        <w:rPr>
          <w:rFonts w:ascii="Book Antiqua" w:hAnsi="Book Antiqua" w:cs="Times New Roman"/>
          <w:color w:val="000000" w:themeColor="text1"/>
          <w:sz w:val="24"/>
          <w:szCs w:val="24"/>
          <w:lang w:val="en-US"/>
        </w:rPr>
        <w:t xml:space="preserve"> levels of NO, MDA</w:t>
      </w:r>
      <w:r w:rsidR="00E15C16" w:rsidRPr="00A36F29">
        <w:rPr>
          <w:rFonts w:ascii="Book Antiqua" w:hAnsi="Book Antiqua" w:cs="Times New Roman"/>
          <w:color w:val="000000" w:themeColor="text1"/>
          <w:sz w:val="24"/>
          <w:szCs w:val="24"/>
          <w:lang w:val="en-US"/>
        </w:rPr>
        <w:t xml:space="preserve"> </w:t>
      </w:r>
      <w:r w:rsidRPr="00A36F29">
        <w:rPr>
          <w:rFonts w:ascii="Book Antiqua" w:hAnsi="Book Antiqua" w:cs="Times New Roman"/>
          <w:color w:val="000000" w:themeColor="text1"/>
          <w:sz w:val="24"/>
          <w:szCs w:val="24"/>
          <w:lang w:val="en-US"/>
        </w:rPr>
        <w:t>in the liver and serum enzymes assessment.</w:t>
      </w:r>
      <w:r w:rsidR="0043591A" w:rsidRPr="00A36F29">
        <w:rPr>
          <w:rFonts w:ascii="Book Antiqua" w:hAnsi="Book Antiqua" w:cs="Times New Roman"/>
          <w:color w:val="000000" w:themeColor="text1"/>
          <w:sz w:val="24"/>
          <w:szCs w:val="24"/>
          <w:lang w:val="en-US"/>
        </w:rPr>
        <w:t xml:space="preserve"> </w:t>
      </w:r>
      <w:r w:rsidRPr="00A36F29">
        <w:rPr>
          <w:rFonts w:ascii="Book Antiqua" w:hAnsi="Book Antiqua" w:cs="Courier New"/>
          <w:color w:val="000000" w:themeColor="text1"/>
          <w:sz w:val="24"/>
          <w:szCs w:val="24"/>
          <w:lang w:val="en-US"/>
        </w:rPr>
        <w:t>As combined methods, they are together new methods to determine description of the Budd Chiari syndrome in rats, and</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the significance of t</w:t>
      </w:r>
      <w:r w:rsidRPr="00A36F29">
        <w:rPr>
          <w:rFonts w:ascii="Book Antiqua" w:hAnsi="Book Antiqua" w:cs="Times New Roman"/>
          <w:color w:val="000000" w:themeColor="text1"/>
          <w:sz w:val="24"/>
          <w:szCs w:val="24"/>
          <w:lang w:val="en-US"/>
        </w:rPr>
        <w:t>he activated bypassing pathways between the inferior and superior caval veins and portocaval shunt, counteracted caval/portal hypertension, aortal hypotension, venous/arterial thrombosis, electrocardiogram disturbances, liver and gastrointestinal lesions (</w:t>
      </w:r>
      <w:r w:rsidR="0093390D" w:rsidRPr="00A36F29">
        <w:rPr>
          <w:rFonts w:ascii="Book Antiqua" w:hAnsi="Book Antiqua" w:cs="Times New Roman"/>
          <w:i/>
          <w:iCs/>
          <w:color w:val="000000" w:themeColor="text1"/>
          <w:sz w:val="24"/>
          <w:szCs w:val="24"/>
          <w:lang w:val="en-US"/>
        </w:rPr>
        <w:t>i.e.</w:t>
      </w:r>
      <w:r w:rsidRPr="00A36F29">
        <w:rPr>
          <w:rFonts w:ascii="Book Antiqua" w:hAnsi="Book Antiqua" w:cs="Times New Roman"/>
          <w:color w:val="000000" w:themeColor="text1"/>
          <w:sz w:val="24"/>
          <w:szCs w:val="24"/>
          <w:lang w:val="en-US"/>
        </w:rPr>
        <w:t xml:space="preserve">, stomach and duodenum hemorrhages, in particular, congestion), hepatomegaly and splenomegaly. </w:t>
      </w:r>
      <w:r w:rsidRPr="00A36F29">
        <w:rPr>
          <w:rFonts w:ascii="Book Antiqua" w:hAnsi="Book Antiqua" w:cs="Courier New"/>
          <w:color w:val="000000" w:themeColor="text1"/>
          <w:sz w:val="24"/>
          <w:szCs w:val="24"/>
          <w:lang w:val="en-US"/>
        </w:rPr>
        <w:t>We should emphasize the rapidly activated azygos/hemiazygos vein bypassing pathway presented as</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an adequate rescuing inferior-superior vena cava shunt along with a portocaval shunt, both caval and portal hypertension, and aortal hypertension largely eliminated. As mentioned above, largely attenuated consequent disturbances (rapid clot formation in the portal vein, superior mesenteric vein, splenic vein, inferior vena cava, hepatic artery, and coronary artery, as well as peaked P waves, significant ST-elevation, tachycardia, gross organ lesions, and liver and spleen weight increases) all together support this contention. Recently, as a possible therapy resolving solution for Budd Chiari syndrome in rats, pentadecapeptide BPC 157 therapy has been used in alleviating vascular occlusion disturbances. Rapid activation of a bypassing loop occurs in rats with an infrarenal ligation of the inferior vena cava, relieving a Virchow's triad situation, much like in rats with ischemic/reperfusion colitis</w:t>
      </w:r>
      <w:r w:rsidR="001F56DA"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lang w:val="en-US"/>
        </w:rPr>
        <w:t xml:space="preserve"> duodenal venous congestion lesions, perforated cecum, bile duct ligation induced liver cirrhosis and portal hypertension. BPC 157 therapy (intragastric or abdominal bath, 10 µg/kg and 10 ng/kg dosages), using a previously described protoco</w:t>
      </w:r>
      <w:r w:rsidR="001F56DA" w:rsidRPr="00A36F29">
        <w:rPr>
          <w:rFonts w:ascii="Book Antiqua" w:hAnsi="Book Antiqua" w:cs="Courier New"/>
          <w:color w:val="000000" w:themeColor="text1"/>
          <w:sz w:val="24"/>
          <w:szCs w:val="24"/>
          <w:lang w:val="en-US"/>
        </w:rPr>
        <w:t>l</w:t>
      </w:r>
      <w:r w:rsidRPr="00A36F29">
        <w:rPr>
          <w:rFonts w:ascii="Book Antiqua" w:hAnsi="Book Antiqua" w:cs="Courier New"/>
          <w:color w:val="000000" w:themeColor="text1"/>
          <w:sz w:val="24"/>
          <w:szCs w:val="24"/>
          <w:lang w:val="en-US"/>
        </w:rPr>
        <w:t xml:space="preserve">, could alleviate suprahepatic occlusion of the inferior caval vein, as model of the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in rats, activating bypassing pathways. BPC 157 likely counteracted Virchow's triad, as it did in rats with infrarenal inferior vena cava </w:t>
      </w:r>
      <w:r w:rsidRPr="00A36F29">
        <w:rPr>
          <w:rFonts w:ascii="Book Antiqua" w:hAnsi="Book Antiqua" w:cs="Courier New"/>
          <w:color w:val="000000" w:themeColor="text1"/>
          <w:sz w:val="24"/>
          <w:szCs w:val="24"/>
          <w:lang w:val="en-US"/>
        </w:rPr>
        <w:lastRenderedPageBreak/>
        <w:t>occlusion. A particular effect on portal hypertension disturbances, by activation of bypassing pathways, might be envisaged that needs further elaboration.</w:t>
      </w:r>
    </w:p>
    <w:p w14:paraId="4E4BF56C" w14:textId="77777777" w:rsidR="00753E90" w:rsidRPr="00A36F29" w:rsidRDefault="00753E90" w:rsidP="00A36F29">
      <w:pPr>
        <w:snapToGrid w:val="0"/>
        <w:spacing w:after="0" w:line="360" w:lineRule="auto"/>
        <w:jc w:val="both"/>
        <w:rPr>
          <w:rFonts w:ascii="Book Antiqua" w:hAnsi="Book Antiqua" w:cs="Segoe UI"/>
          <w:b/>
          <w:i/>
          <w:color w:val="000000" w:themeColor="text1"/>
          <w:sz w:val="24"/>
          <w:szCs w:val="24"/>
          <w:shd w:val="clear" w:color="auto" w:fill="FFFFFF"/>
        </w:rPr>
      </w:pPr>
    </w:p>
    <w:p w14:paraId="398B4D58" w14:textId="649BF67D" w:rsidR="00C871CF" w:rsidRPr="00A36F29" w:rsidRDefault="00C871CF" w:rsidP="00A36F29">
      <w:pPr>
        <w:snapToGrid w:val="0"/>
        <w:spacing w:after="0" w:line="360" w:lineRule="auto"/>
        <w:jc w:val="both"/>
        <w:rPr>
          <w:rFonts w:ascii="Book Antiqua" w:hAnsi="Book Antiqua" w:cs="Segoe UI"/>
          <w:b/>
          <w:i/>
          <w:color w:val="000000" w:themeColor="text1"/>
          <w:sz w:val="24"/>
          <w:szCs w:val="24"/>
          <w:shd w:val="clear" w:color="auto" w:fill="FFFFFF"/>
        </w:rPr>
      </w:pPr>
      <w:r w:rsidRPr="00A36F29">
        <w:rPr>
          <w:rFonts w:ascii="Book Antiqua" w:hAnsi="Book Antiqua" w:cs="Segoe UI"/>
          <w:b/>
          <w:i/>
          <w:color w:val="000000" w:themeColor="text1"/>
          <w:sz w:val="24"/>
          <w:szCs w:val="24"/>
          <w:shd w:val="clear" w:color="auto" w:fill="FFFFFF"/>
        </w:rPr>
        <w:t>Research perspectives</w:t>
      </w:r>
    </w:p>
    <w:p w14:paraId="1EA0B382" w14:textId="2A9DFA39" w:rsidR="00C871CF" w:rsidRPr="00A36F29" w:rsidRDefault="00865D3C"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Times New Roman"/>
          <w:color w:val="000000" w:themeColor="text1"/>
          <w:sz w:val="24"/>
          <w:szCs w:val="24"/>
          <w:lang w:val="en-US"/>
        </w:rPr>
        <w:t>T</w:t>
      </w:r>
      <w:r w:rsidR="00C871CF" w:rsidRPr="00A36F29">
        <w:rPr>
          <w:rFonts w:ascii="Book Antiqua" w:hAnsi="Book Antiqua" w:cs="Times New Roman"/>
          <w:color w:val="000000" w:themeColor="text1"/>
          <w:sz w:val="24"/>
          <w:szCs w:val="24"/>
          <w:lang w:val="en-US"/>
        </w:rPr>
        <w:t>he bypassing pathway of the inferior vena cava-azygos (hemiazygos) vein-superior vena cava and portocaval shunt occurred rapidly. Even with severe caval</w:t>
      </w:r>
      <w:r w:rsidR="00C871CF" w:rsidRPr="00A36F29">
        <w:rPr>
          <w:rFonts w:ascii="Times New Roman" w:hAnsi="Times New Roman" w:cs="Times New Roman"/>
          <w:color w:val="000000" w:themeColor="text1"/>
          <w:sz w:val="24"/>
          <w:szCs w:val="24"/>
          <w:lang w:val="en-US"/>
        </w:rPr>
        <w:t>˃</w:t>
      </w:r>
      <w:r w:rsidR="00C871CF" w:rsidRPr="00A36F29">
        <w:rPr>
          <w:rFonts w:ascii="Book Antiqua" w:hAnsi="Book Antiqua" w:cs="Times New Roman"/>
          <w:color w:val="000000" w:themeColor="text1"/>
          <w:sz w:val="24"/>
          <w:szCs w:val="24"/>
          <w:lang w:val="en-US"/>
        </w:rPr>
        <w:t xml:space="preserve">portal hypertension, BPC 157 antagonized portal and caval hypertension and aortal hypotension. </w:t>
      </w:r>
      <w:r w:rsidR="00C871CF" w:rsidRPr="00A36F29">
        <w:rPr>
          <w:rFonts w:ascii="Book Antiqua" w:hAnsi="Book Antiqua" w:cs="Courier New"/>
          <w:color w:val="000000" w:themeColor="text1"/>
          <w:sz w:val="24"/>
          <w:szCs w:val="24"/>
          <w:lang w:val="en-US"/>
        </w:rPr>
        <w:t>Large extent of the consequent disturbances may verify the significance of the Budd Chiari syndrome in rats for the corresponding human condition. Likewise, the largely attenuated disturbances may indicate</w:t>
      </w:r>
      <w:r w:rsidR="00C871CF" w:rsidRPr="00A36F29">
        <w:rPr>
          <w:rFonts w:ascii="Book Antiqua" w:hAnsi="Book Antiqua" w:cs="Times New Roman"/>
          <w:color w:val="000000" w:themeColor="text1"/>
          <w:sz w:val="24"/>
          <w:szCs w:val="24"/>
          <w:lang w:val="en-US"/>
        </w:rPr>
        <w:t xml:space="preserve"> that </w:t>
      </w:r>
      <w:r w:rsidR="00C871CF" w:rsidRPr="00A36F29">
        <w:rPr>
          <w:rFonts w:ascii="Book Antiqua" w:hAnsi="Book Antiqua" w:cs="Courier New"/>
          <w:color w:val="000000" w:themeColor="text1"/>
          <w:sz w:val="24"/>
          <w:szCs w:val="24"/>
          <w:lang w:val="en-US"/>
        </w:rPr>
        <w:t>the beneficial BPC 157 effects, noted in the present study,</w:t>
      </w:r>
      <w:r w:rsidR="0043591A" w:rsidRPr="00A36F29">
        <w:rPr>
          <w:rFonts w:ascii="Book Antiqua" w:hAnsi="Book Antiqua" w:cs="Courier New"/>
          <w:color w:val="000000" w:themeColor="text1"/>
          <w:sz w:val="24"/>
          <w:szCs w:val="24"/>
          <w:lang w:val="en-US"/>
        </w:rPr>
        <w:t xml:space="preserve"> </w:t>
      </w:r>
      <w:r w:rsidR="00C871CF" w:rsidRPr="00A36F29">
        <w:rPr>
          <w:rFonts w:ascii="Book Antiqua" w:hAnsi="Book Antiqua" w:cs="Courier New"/>
          <w:color w:val="000000" w:themeColor="text1"/>
          <w:sz w:val="24"/>
          <w:szCs w:val="24"/>
          <w:lang w:val="en-US"/>
        </w:rPr>
        <w:t xml:space="preserve">may likely counteract a downward spiral in the rats with the suprahepatic inferior caval vein ligation much like in the patients with </w:t>
      </w:r>
      <w:r w:rsidR="00840B82" w:rsidRPr="00A36F29">
        <w:rPr>
          <w:rFonts w:ascii="Book Antiqua" w:hAnsi="Book Antiqua" w:cs="Courier New"/>
          <w:color w:val="000000" w:themeColor="text1"/>
          <w:sz w:val="24"/>
          <w:szCs w:val="24"/>
          <w:lang w:val="en-US"/>
        </w:rPr>
        <w:t>BCS</w:t>
      </w:r>
      <w:r w:rsidR="00C871CF" w:rsidRPr="00A36F29">
        <w:rPr>
          <w:rFonts w:ascii="Book Antiqua" w:hAnsi="Book Antiqua" w:cs="Courier New"/>
          <w:color w:val="000000" w:themeColor="text1"/>
          <w:sz w:val="24"/>
          <w:szCs w:val="24"/>
          <w:lang w:val="en-US"/>
        </w:rPr>
        <w:t>, as in prolonged ischemia.</w:t>
      </w:r>
      <w:r w:rsidR="00E15C16" w:rsidRPr="00A36F29">
        <w:rPr>
          <w:rFonts w:ascii="Book Antiqua" w:hAnsi="Book Antiqua" w:cs="Courier New"/>
          <w:color w:val="000000" w:themeColor="text1"/>
          <w:sz w:val="24"/>
          <w:szCs w:val="24"/>
          <w:lang w:val="en-US" w:eastAsia="zh-CN"/>
        </w:rPr>
        <w:t xml:space="preserve"> </w:t>
      </w:r>
      <w:r w:rsidR="00C871CF" w:rsidRPr="00A36F29">
        <w:rPr>
          <w:rFonts w:ascii="Book Antiqua" w:hAnsi="Book Antiqua" w:cs="Courier New"/>
          <w:color w:val="000000" w:themeColor="text1"/>
          <w:sz w:val="24"/>
          <w:szCs w:val="24"/>
          <w:lang w:val="en-US"/>
        </w:rPr>
        <w:t>To further establish the proposed therapy solution for Budd Chiari syndrome, we continue research in this issue.</w:t>
      </w:r>
      <w:r w:rsidR="00E15C16" w:rsidRPr="00A36F29">
        <w:rPr>
          <w:rFonts w:ascii="Book Antiqua" w:hAnsi="Book Antiqua" w:cs="Courier New"/>
          <w:color w:val="000000" w:themeColor="text1"/>
          <w:sz w:val="24"/>
          <w:szCs w:val="24"/>
          <w:lang w:val="en-US" w:eastAsia="zh-CN"/>
        </w:rPr>
        <w:t xml:space="preserve"> </w:t>
      </w:r>
      <w:r w:rsidR="00C871CF" w:rsidRPr="00A36F29">
        <w:rPr>
          <w:rFonts w:ascii="Book Antiqua" w:hAnsi="Book Antiqua" w:cs="Times New Roman"/>
          <w:color w:val="000000" w:themeColor="text1"/>
          <w:sz w:val="24"/>
          <w:szCs w:val="24"/>
          <w:lang w:val="en-US"/>
        </w:rPr>
        <w:t xml:space="preserve">Gross (USB camera) and microscopic observations, venography, </w:t>
      </w:r>
      <w:r w:rsidR="00C871CF" w:rsidRPr="00A36F29">
        <w:rPr>
          <w:rFonts w:ascii="Book Antiqua" w:hAnsi="Book Antiqua" w:cs="Courier New"/>
          <w:color w:val="000000" w:themeColor="text1"/>
          <w:sz w:val="24"/>
          <w:szCs w:val="24"/>
          <w:lang w:val="en-US"/>
        </w:rPr>
        <w:t>blood pressure and electrocardiogram assessment,</w:t>
      </w:r>
      <w:r w:rsidR="00C871CF" w:rsidRPr="00A36F29">
        <w:rPr>
          <w:rFonts w:ascii="Book Antiqua" w:hAnsi="Book Antiqua" w:cs="Courier New"/>
          <w:b/>
          <w:i/>
          <w:color w:val="000000" w:themeColor="text1"/>
          <w:sz w:val="24"/>
          <w:szCs w:val="24"/>
          <w:lang w:val="en-US"/>
        </w:rPr>
        <w:t xml:space="preserve"> </w:t>
      </w:r>
      <w:r w:rsidR="00C871CF" w:rsidRPr="00A36F29">
        <w:rPr>
          <w:rFonts w:ascii="Book Antiqua" w:hAnsi="Book Antiqua" w:cs="Courier New"/>
          <w:color w:val="000000" w:themeColor="text1"/>
          <w:sz w:val="24"/>
          <w:szCs w:val="24"/>
          <w:lang w:val="en-US"/>
        </w:rPr>
        <w:t>bilirubin and enzyme activity,</w:t>
      </w:r>
      <w:r w:rsidR="00C871CF" w:rsidRPr="00A36F29">
        <w:rPr>
          <w:rFonts w:ascii="Book Antiqua" w:hAnsi="Book Antiqua" w:cs="Times New Roman"/>
          <w:color w:val="000000" w:themeColor="text1"/>
          <w:sz w:val="24"/>
          <w:szCs w:val="24"/>
          <w:lang w:val="en-US"/>
        </w:rPr>
        <w:t xml:space="preserve"> levels of </w:t>
      </w:r>
      <w:r w:rsidR="00E15C16" w:rsidRPr="00A36F29">
        <w:rPr>
          <w:rFonts w:ascii="Book Antiqua" w:hAnsi="Book Antiqua" w:cs="Times New Roman"/>
          <w:color w:val="000000" w:themeColor="text1"/>
          <w:sz w:val="24"/>
          <w:szCs w:val="24"/>
          <w:lang w:val="en-US"/>
        </w:rPr>
        <w:t>NO</w:t>
      </w:r>
      <w:r w:rsidR="00C871CF" w:rsidRPr="00A36F29">
        <w:rPr>
          <w:rFonts w:ascii="Book Antiqua" w:hAnsi="Book Antiqua" w:cs="Times New Roman"/>
          <w:color w:val="000000" w:themeColor="text1"/>
          <w:sz w:val="24"/>
          <w:szCs w:val="24"/>
          <w:lang w:val="en-US"/>
        </w:rPr>
        <w:t>, MDA in the liver and serum enzymes</w:t>
      </w:r>
      <w:r w:rsidR="00C871CF" w:rsidRPr="00A36F29">
        <w:rPr>
          <w:rFonts w:ascii="Book Antiqua" w:hAnsi="Book Antiqua" w:cs="Courier New"/>
          <w:color w:val="000000" w:themeColor="text1"/>
          <w:sz w:val="24"/>
          <w:szCs w:val="24"/>
          <w:lang w:val="en-US"/>
        </w:rPr>
        <w:t xml:space="preserve"> as combined methods are best methods to determine description of the Budd Chiari syndrome in rats.</w:t>
      </w:r>
    </w:p>
    <w:bookmarkEnd w:id="6"/>
    <w:bookmarkEnd w:id="7"/>
    <w:p w14:paraId="16134032" w14:textId="77777777" w:rsidR="00C871CF" w:rsidRPr="00A36F29" w:rsidRDefault="00C871CF" w:rsidP="00A36F29">
      <w:pPr>
        <w:snapToGrid w:val="0"/>
        <w:spacing w:after="0" w:line="360" w:lineRule="auto"/>
        <w:jc w:val="both"/>
        <w:rPr>
          <w:rFonts w:ascii="Book Antiqua" w:hAnsi="Book Antiqua"/>
          <w:b/>
          <w:color w:val="000000" w:themeColor="text1"/>
          <w:sz w:val="24"/>
          <w:szCs w:val="24"/>
        </w:rPr>
      </w:pP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7B9279F4" w14:textId="77777777" w:rsidR="00C871CF" w:rsidRPr="00A36F29" w:rsidRDefault="00C871CF" w:rsidP="00A36F29">
      <w:pPr>
        <w:spacing w:after="0" w:line="360" w:lineRule="auto"/>
        <w:jc w:val="both"/>
        <w:rPr>
          <w:rFonts w:ascii="Book Antiqua" w:hAnsi="Book Antiqua"/>
          <w:b/>
          <w:bCs/>
          <w:caps/>
          <w:color w:val="000000" w:themeColor="text1"/>
          <w:sz w:val="24"/>
          <w:szCs w:val="24"/>
        </w:rPr>
      </w:pPr>
      <w:r w:rsidRPr="00A36F29">
        <w:rPr>
          <w:rFonts w:ascii="Book Antiqua" w:hAnsi="Book Antiqua"/>
          <w:b/>
          <w:bCs/>
          <w:caps/>
          <w:color w:val="000000" w:themeColor="text1"/>
          <w:sz w:val="24"/>
          <w:szCs w:val="24"/>
        </w:rPr>
        <w:t>References</w:t>
      </w:r>
    </w:p>
    <w:p w14:paraId="216616E5"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1 </w:t>
      </w:r>
      <w:r w:rsidRPr="00A36F29">
        <w:rPr>
          <w:rFonts w:ascii="Book Antiqua" w:eastAsia="DengXian" w:hAnsi="Book Antiqua" w:cs="Times New Roman"/>
          <w:b/>
          <w:kern w:val="2"/>
          <w:sz w:val="24"/>
          <w:szCs w:val="24"/>
          <w:lang w:val="en-US" w:eastAsia="zh-CN"/>
        </w:rPr>
        <w:t>Ludwig J</w:t>
      </w:r>
      <w:r w:rsidRPr="00A36F29">
        <w:rPr>
          <w:rFonts w:ascii="Book Antiqua" w:eastAsia="DengXian" w:hAnsi="Book Antiqua" w:cs="Times New Roman"/>
          <w:kern w:val="2"/>
          <w:sz w:val="24"/>
          <w:szCs w:val="24"/>
          <w:lang w:val="en-US" w:eastAsia="zh-CN"/>
        </w:rPr>
        <w:t xml:space="preserve">, Hashimoto E, McGill DB, van Heerden JA. Classification of hepatic venous outflow obstruction: ambiguous terminology of the Budd-Chiari syndrome. </w:t>
      </w:r>
      <w:r w:rsidRPr="00A36F29">
        <w:rPr>
          <w:rFonts w:ascii="Book Antiqua" w:eastAsia="DengXian" w:hAnsi="Book Antiqua" w:cs="Times New Roman"/>
          <w:i/>
          <w:kern w:val="2"/>
          <w:sz w:val="24"/>
          <w:szCs w:val="24"/>
          <w:lang w:val="en-US" w:eastAsia="zh-CN"/>
        </w:rPr>
        <w:t>Mayo Clin Proc</w:t>
      </w:r>
      <w:r w:rsidRPr="00A36F29">
        <w:rPr>
          <w:rFonts w:ascii="Book Antiqua" w:eastAsia="DengXian" w:hAnsi="Book Antiqua" w:cs="Times New Roman"/>
          <w:kern w:val="2"/>
          <w:sz w:val="24"/>
          <w:szCs w:val="24"/>
          <w:lang w:val="en-US" w:eastAsia="zh-CN"/>
        </w:rPr>
        <w:t xml:space="preserve"> 1990; </w:t>
      </w:r>
      <w:r w:rsidRPr="00A36F29">
        <w:rPr>
          <w:rFonts w:ascii="Book Antiqua" w:eastAsia="DengXian" w:hAnsi="Book Antiqua" w:cs="Times New Roman"/>
          <w:b/>
          <w:kern w:val="2"/>
          <w:sz w:val="24"/>
          <w:szCs w:val="24"/>
          <w:lang w:val="en-US" w:eastAsia="zh-CN"/>
        </w:rPr>
        <w:t>65</w:t>
      </w:r>
      <w:r w:rsidRPr="00A36F29">
        <w:rPr>
          <w:rFonts w:ascii="Book Antiqua" w:eastAsia="DengXian" w:hAnsi="Book Antiqua" w:cs="Times New Roman"/>
          <w:kern w:val="2"/>
          <w:sz w:val="24"/>
          <w:szCs w:val="24"/>
          <w:lang w:val="en-US" w:eastAsia="zh-CN"/>
        </w:rPr>
        <w:t>: 51-55 [PMID: 2296212 DOI: 10.1016/s0025-6196(12)62109-0]</w:t>
      </w:r>
    </w:p>
    <w:p w14:paraId="64891459"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2 </w:t>
      </w:r>
      <w:r w:rsidRPr="00A36F29">
        <w:rPr>
          <w:rFonts w:ascii="Book Antiqua" w:eastAsia="DengXian" w:hAnsi="Book Antiqua" w:cs="Times New Roman"/>
          <w:b/>
          <w:kern w:val="2"/>
          <w:sz w:val="24"/>
          <w:szCs w:val="24"/>
          <w:lang w:val="en-US" w:eastAsia="zh-CN"/>
        </w:rPr>
        <w:t>Darwish Murad S</w:t>
      </w:r>
      <w:r w:rsidRPr="00A36F29">
        <w:rPr>
          <w:rFonts w:ascii="Book Antiqua" w:eastAsia="DengXian" w:hAnsi="Book Antiqua" w:cs="Times New Roman"/>
          <w:kern w:val="2"/>
          <w:sz w:val="24"/>
          <w:szCs w:val="24"/>
          <w:lang w:val="en-US" w:eastAsia="zh-CN"/>
        </w:rPr>
        <w:t xml:space="preserve">, Dom VA, Ritman EL, de Groen PC, Beigley PE, Abraham SC, Zondervan PE, Janssen HL. Early changes of the portal tract on microcomputed tomography images in a newly-developed rat model for Budd-Chiari syndrome. </w:t>
      </w:r>
      <w:r w:rsidRPr="00A36F29">
        <w:rPr>
          <w:rFonts w:ascii="Book Antiqua" w:eastAsia="DengXian" w:hAnsi="Book Antiqua" w:cs="Times New Roman"/>
          <w:i/>
          <w:kern w:val="2"/>
          <w:sz w:val="24"/>
          <w:szCs w:val="24"/>
          <w:lang w:val="en-US" w:eastAsia="zh-CN"/>
        </w:rPr>
        <w:t>J Gastroenterol Hepatol</w:t>
      </w:r>
      <w:r w:rsidRPr="00A36F29">
        <w:rPr>
          <w:rFonts w:ascii="Book Antiqua" w:eastAsia="DengXian" w:hAnsi="Book Antiqua" w:cs="Times New Roman"/>
          <w:kern w:val="2"/>
          <w:sz w:val="24"/>
          <w:szCs w:val="24"/>
          <w:lang w:val="en-US" w:eastAsia="zh-CN"/>
        </w:rPr>
        <w:t xml:space="preserve"> 2008; </w:t>
      </w:r>
      <w:r w:rsidRPr="00A36F29">
        <w:rPr>
          <w:rFonts w:ascii="Book Antiqua" w:eastAsia="DengXian" w:hAnsi="Book Antiqua" w:cs="Times New Roman"/>
          <w:b/>
          <w:kern w:val="2"/>
          <w:sz w:val="24"/>
          <w:szCs w:val="24"/>
          <w:lang w:val="en-US" w:eastAsia="zh-CN"/>
        </w:rPr>
        <w:t>23</w:t>
      </w:r>
      <w:r w:rsidRPr="00A36F29">
        <w:rPr>
          <w:rFonts w:ascii="Book Antiqua" w:eastAsia="DengXian" w:hAnsi="Book Antiqua" w:cs="Times New Roman"/>
          <w:kern w:val="2"/>
          <w:sz w:val="24"/>
          <w:szCs w:val="24"/>
          <w:lang w:val="en-US" w:eastAsia="zh-CN"/>
        </w:rPr>
        <w:t>: 1561-1566 [PMID: 19120847 DOI: 10.1111/j.1440-1746.2008.05403.x]</w:t>
      </w:r>
    </w:p>
    <w:p w14:paraId="79DE8D45"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3 </w:t>
      </w:r>
      <w:r w:rsidRPr="00A36F29">
        <w:rPr>
          <w:rFonts w:ascii="Book Antiqua" w:eastAsia="DengXian" w:hAnsi="Book Antiqua" w:cs="Times New Roman"/>
          <w:b/>
          <w:kern w:val="2"/>
          <w:sz w:val="24"/>
          <w:szCs w:val="24"/>
          <w:lang w:val="en-US" w:eastAsia="zh-CN"/>
        </w:rPr>
        <w:t>Abraldes JG</w:t>
      </w:r>
      <w:r w:rsidRPr="00A36F29">
        <w:rPr>
          <w:rFonts w:ascii="Book Antiqua" w:eastAsia="DengXian" w:hAnsi="Book Antiqua" w:cs="Times New Roman"/>
          <w:kern w:val="2"/>
          <w:sz w:val="24"/>
          <w:szCs w:val="24"/>
          <w:lang w:val="en-US" w:eastAsia="zh-CN"/>
        </w:rPr>
        <w:t xml:space="preserve">, Pasarín M, García-Pagán JC. Animal models of portal hypertension. </w:t>
      </w:r>
      <w:r w:rsidRPr="00A36F29">
        <w:rPr>
          <w:rFonts w:ascii="Book Antiqua" w:eastAsia="DengXian" w:hAnsi="Book Antiqua" w:cs="Times New Roman"/>
          <w:i/>
          <w:kern w:val="2"/>
          <w:sz w:val="24"/>
          <w:szCs w:val="24"/>
          <w:lang w:val="en-US" w:eastAsia="zh-CN"/>
        </w:rPr>
        <w:t>World J Gastroenterol</w:t>
      </w:r>
      <w:r w:rsidRPr="00A36F29">
        <w:rPr>
          <w:rFonts w:ascii="Book Antiqua" w:eastAsia="DengXian" w:hAnsi="Book Antiqua" w:cs="Times New Roman"/>
          <w:kern w:val="2"/>
          <w:sz w:val="24"/>
          <w:szCs w:val="24"/>
          <w:lang w:val="en-US" w:eastAsia="zh-CN"/>
        </w:rPr>
        <w:t xml:space="preserve"> 2006; </w:t>
      </w:r>
      <w:r w:rsidRPr="00A36F29">
        <w:rPr>
          <w:rFonts w:ascii="Book Antiqua" w:eastAsia="DengXian" w:hAnsi="Book Antiqua" w:cs="Times New Roman"/>
          <w:b/>
          <w:kern w:val="2"/>
          <w:sz w:val="24"/>
          <w:szCs w:val="24"/>
          <w:lang w:val="en-US" w:eastAsia="zh-CN"/>
        </w:rPr>
        <w:t>12</w:t>
      </w:r>
      <w:r w:rsidRPr="00A36F29">
        <w:rPr>
          <w:rFonts w:ascii="Book Antiqua" w:eastAsia="DengXian" w:hAnsi="Book Antiqua" w:cs="Times New Roman"/>
          <w:kern w:val="2"/>
          <w:sz w:val="24"/>
          <w:szCs w:val="24"/>
          <w:lang w:val="en-US" w:eastAsia="zh-CN"/>
        </w:rPr>
        <w:t>: 6577-6584 [PMID: 17075968 DOI: 10.3748/wjg.v12.i41.6577]</w:t>
      </w:r>
    </w:p>
    <w:p w14:paraId="69DE8254"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4 </w:t>
      </w:r>
      <w:r w:rsidRPr="00A36F29">
        <w:rPr>
          <w:rFonts w:ascii="Book Antiqua" w:eastAsia="DengXian" w:hAnsi="Book Antiqua" w:cs="Times New Roman"/>
          <w:b/>
          <w:kern w:val="2"/>
          <w:sz w:val="24"/>
          <w:szCs w:val="24"/>
          <w:lang w:val="en-US" w:eastAsia="zh-CN"/>
        </w:rPr>
        <w:t>Akiyoshi H</w:t>
      </w:r>
      <w:r w:rsidRPr="00A36F29">
        <w:rPr>
          <w:rFonts w:ascii="Book Antiqua" w:eastAsia="DengXian" w:hAnsi="Book Antiqua" w:cs="Times New Roman"/>
          <w:kern w:val="2"/>
          <w:sz w:val="24"/>
          <w:szCs w:val="24"/>
          <w:lang w:val="en-US" w:eastAsia="zh-CN"/>
        </w:rPr>
        <w:t xml:space="preserve">, Terada T. Centrilobular and perisinusoidal fibrosis in experimental </w:t>
      </w:r>
      <w:r w:rsidRPr="00A36F29">
        <w:rPr>
          <w:rFonts w:ascii="Book Antiqua" w:eastAsia="DengXian" w:hAnsi="Book Antiqua" w:cs="Times New Roman"/>
          <w:kern w:val="2"/>
          <w:sz w:val="24"/>
          <w:szCs w:val="24"/>
          <w:lang w:val="en-US" w:eastAsia="zh-CN"/>
        </w:rPr>
        <w:lastRenderedPageBreak/>
        <w:t xml:space="preserve">congestive liver in the rat. </w:t>
      </w:r>
      <w:r w:rsidRPr="00A36F29">
        <w:rPr>
          <w:rFonts w:ascii="Book Antiqua" w:eastAsia="DengXian" w:hAnsi="Book Antiqua" w:cs="Times New Roman"/>
          <w:i/>
          <w:kern w:val="2"/>
          <w:sz w:val="24"/>
          <w:szCs w:val="24"/>
          <w:lang w:val="en-US" w:eastAsia="zh-CN"/>
        </w:rPr>
        <w:t>J Hepatol</w:t>
      </w:r>
      <w:r w:rsidRPr="00A36F29">
        <w:rPr>
          <w:rFonts w:ascii="Book Antiqua" w:eastAsia="DengXian" w:hAnsi="Book Antiqua" w:cs="Times New Roman"/>
          <w:kern w:val="2"/>
          <w:sz w:val="24"/>
          <w:szCs w:val="24"/>
          <w:lang w:val="en-US" w:eastAsia="zh-CN"/>
        </w:rPr>
        <w:t xml:space="preserve"> 1999; </w:t>
      </w:r>
      <w:r w:rsidRPr="00A36F29">
        <w:rPr>
          <w:rFonts w:ascii="Book Antiqua" w:eastAsia="DengXian" w:hAnsi="Book Antiqua" w:cs="Times New Roman"/>
          <w:b/>
          <w:kern w:val="2"/>
          <w:sz w:val="24"/>
          <w:szCs w:val="24"/>
          <w:lang w:val="en-US" w:eastAsia="zh-CN"/>
        </w:rPr>
        <w:t>30</w:t>
      </w:r>
      <w:r w:rsidRPr="00A36F29">
        <w:rPr>
          <w:rFonts w:ascii="Book Antiqua" w:eastAsia="DengXian" w:hAnsi="Book Antiqua" w:cs="Times New Roman"/>
          <w:kern w:val="2"/>
          <w:sz w:val="24"/>
          <w:szCs w:val="24"/>
          <w:lang w:val="en-US" w:eastAsia="zh-CN"/>
        </w:rPr>
        <w:t>: 433-439 [PMID: 10190726 DOI: 10.1016/s0168-8278(99)80102-0]</w:t>
      </w:r>
    </w:p>
    <w:p w14:paraId="183AD0DF"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5 </w:t>
      </w:r>
      <w:r w:rsidRPr="00A36F29">
        <w:rPr>
          <w:rFonts w:ascii="Book Antiqua" w:eastAsia="DengXian" w:hAnsi="Book Antiqua" w:cs="Times New Roman"/>
          <w:b/>
          <w:kern w:val="2"/>
          <w:sz w:val="24"/>
          <w:szCs w:val="24"/>
          <w:lang w:val="en-US" w:eastAsia="zh-CN"/>
        </w:rPr>
        <w:t>Cheng DL</w:t>
      </w:r>
      <w:r w:rsidRPr="00A36F29">
        <w:rPr>
          <w:rFonts w:ascii="Book Antiqua" w:eastAsia="DengXian" w:hAnsi="Book Antiqua" w:cs="Times New Roman"/>
          <w:kern w:val="2"/>
          <w:sz w:val="24"/>
          <w:szCs w:val="24"/>
          <w:lang w:val="en-US" w:eastAsia="zh-CN"/>
        </w:rPr>
        <w:t xml:space="preserve">, Zhu N, Li CL, Lv WF, Fang WW, Liu Y, Li CT. Significance of malondialdehyde, superoxide dismutase and endotoxin levels in Budd-Chiari syndrome in patients and a rat model. </w:t>
      </w:r>
      <w:r w:rsidRPr="00A36F29">
        <w:rPr>
          <w:rFonts w:ascii="Book Antiqua" w:eastAsia="DengXian" w:hAnsi="Book Antiqua" w:cs="Times New Roman"/>
          <w:i/>
          <w:kern w:val="2"/>
          <w:sz w:val="24"/>
          <w:szCs w:val="24"/>
          <w:lang w:val="en-US" w:eastAsia="zh-CN"/>
        </w:rPr>
        <w:t>Exp Ther Med</w:t>
      </w:r>
      <w:r w:rsidRPr="00A36F29">
        <w:rPr>
          <w:rFonts w:ascii="Book Antiqua" w:eastAsia="DengXian" w:hAnsi="Book Antiqua" w:cs="Times New Roman"/>
          <w:kern w:val="2"/>
          <w:sz w:val="24"/>
          <w:szCs w:val="24"/>
          <w:lang w:val="en-US" w:eastAsia="zh-CN"/>
        </w:rPr>
        <w:t xml:space="preserve"> 2018; </w:t>
      </w:r>
      <w:r w:rsidRPr="00A36F29">
        <w:rPr>
          <w:rFonts w:ascii="Book Antiqua" w:eastAsia="DengXian" w:hAnsi="Book Antiqua" w:cs="Times New Roman"/>
          <w:b/>
          <w:kern w:val="2"/>
          <w:sz w:val="24"/>
          <w:szCs w:val="24"/>
          <w:lang w:val="en-US" w:eastAsia="zh-CN"/>
        </w:rPr>
        <w:t>16</w:t>
      </w:r>
      <w:r w:rsidRPr="00A36F29">
        <w:rPr>
          <w:rFonts w:ascii="Book Antiqua" w:eastAsia="DengXian" w:hAnsi="Book Antiqua" w:cs="Times New Roman"/>
          <w:kern w:val="2"/>
          <w:sz w:val="24"/>
          <w:szCs w:val="24"/>
          <w:lang w:val="en-US" w:eastAsia="zh-CN"/>
        </w:rPr>
        <w:t>: 5227-5235 [PMID: 30542478 DOI: 10.3892/etm.2018.6835]</w:t>
      </w:r>
    </w:p>
    <w:p w14:paraId="236BB442"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6 </w:t>
      </w:r>
      <w:r w:rsidRPr="00A36F29">
        <w:rPr>
          <w:rFonts w:ascii="Book Antiqua" w:eastAsia="DengXian" w:hAnsi="Book Antiqua" w:cs="Times New Roman"/>
          <w:b/>
          <w:kern w:val="2"/>
          <w:sz w:val="24"/>
          <w:szCs w:val="24"/>
          <w:lang w:val="en-US" w:eastAsia="zh-CN"/>
        </w:rPr>
        <w:t>Orloff MJ</w:t>
      </w:r>
      <w:r w:rsidRPr="00A36F29">
        <w:rPr>
          <w:rFonts w:ascii="Book Antiqua" w:eastAsia="DengXian" w:hAnsi="Book Antiqua" w:cs="Times New Roman"/>
          <w:kern w:val="2"/>
          <w:sz w:val="24"/>
          <w:szCs w:val="24"/>
          <w:lang w:val="en-US" w:eastAsia="zh-CN"/>
        </w:rPr>
        <w:t xml:space="preserve">, Daily PO, Girard B. Treatment of Budd-Chiari syndrome due to inferior vena cava occlusion by combined portal and vena caval decompression. </w:t>
      </w:r>
      <w:r w:rsidRPr="00A36F29">
        <w:rPr>
          <w:rFonts w:ascii="Book Antiqua" w:eastAsia="DengXian" w:hAnsi="Book Antiqua" w:cs="Times New Roman"/>
          <w:i/>
          <w:kern w:val="2"/>
          <w:sz w:val="24"/>
          <w:szCs w:val="24"/>
          <w:lang w:val="en-US" w:eastAsia="zh-CN"/>
        </w:rPr>
        <w:t>Am J Surg</w:t>
      </w:r>
      <w:r w:rsidRPr="00A36F29">
        <w:rPr>
          <w:rFonts w:ascii="Book Antiqua" w:eastAsia="DengXian" w:hAnsi="Book Antiqua" w:cs="Times New Roman"/>
          <w:kern w:val="2"/>
          <w:sz w:val="24"/>
          <w:szCs w:val="24"/>
          <w:lang w:val="en-US" w:eastAsia="zh-CN"/>
        </w:rPr>
        <w:t xml:space="preserve"> 1992; </w:t>
      </w:r>
      <w:r w:rsidRPr="00A36F29">
        <w:rPr>
          <w:rFonts w:ascii="Book Antiqua" w:eastAsia="DengXian" w:hAnsi="Book Antiqua" w:cs="Times New Roman"/>
          <w:b/>
          <w:kern w:val="2"/>
          <w:sz w:val="24"/>
          <w:szCs w:val="24"/>
          <w:lang w:val="en-US" w:eastAsia="zh-CN"/>
        </w:rPr>
        <w:t>163</w:t>
      </w:r>
      <w:r w:rsidRPr="00A36F29">
        <w:rPr>
          <w:rFonts w:ascii="Book Antiqua" w:eastAsia="DengXian" w:hAnsi="Book Antiqua" w:cs="Times New Roman"/>
          <w:kern w:val="2"/>
          <w:sz w:val="24"/>
          <w:szCs w:val="24"/>
          <w:lang w:val="en-US" w:eastAsia="zh-CN"/>
        </w:rPr>
        <w:t>: 137-42; discussion 142-3 [PMID: 1733362 DOI: 10.1016/0002-9610(92)90266-t]</w:t>
      </w:r>
    </w:p>
    <w:p w14:paraId="75EF191F"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7 </w:t>
      </w:r>
      <w:r w:rsidRPr="00A36F29">
        <w:rPr>
          <w:rFonts w:ascii="Book Antiqua" w:eastAsia="DengXian" w:hAnsi="Book Antiqua" w:cs="Times New Roman"/>
          <w:b/>
          <w:kern w:val="2"/>
          <w:sz w:val="24"/>
          <w:szCs w:val="24"/>
          <w:lang w:val="en-US" w:eastAsia="zh-CN"/>
        </w:rPr>
        <w:t>Hobbs KE</w:t>
      </w:r>
      <w:r w:rsidRPr="00A36F29">
        <w:rPr>
          <w:rFonts w:ascii="Book Antiqua" w:eastAsia="DengXian" w:hAnsi="Book Antiqua" w:cs="Times New Roman"/>
          <w:kern w:val="2"/>
          <w:sz w:val="24"/>
          <w:szCs w:val="24"/>
          <w:lang w:val="en-US" w:eastAsia="zh-CN"/>
        </w:rPr>
        <w:t xml:space="preserve">. Budd-Chiari syndrome--transplant, meso-atrial shunt or combined portocaval shunt with cavo-atrial shunt. </w:t>
      </w:r>
      <w:r w:rsidRPr="00A36F29">
        <w:rPr>
          <w:rFonts w:ascii="Book Antiqua" w:eastAsia="DengXian" w:hAnsi="Book Antiqua" w:cs="Times New Roman"/>
          <w:i/>
          <w:kern w:val="2"/>
          <w:sz w:val="24"/>
          <w:szCs w:val="24"/>
          <w:lang w:val="en-US" w:eastAsia="zh-CN"/>
        </w:rPr>
        <w:t>HPB Surg</w:t>
      </w:r>
      <w:r w:rsidRPr="00A36F29">
        <w:rPr>
          <w:rFonts w:ascii="Book Antiqua" w:eastAsia="DengXian" w:hAnsi="Book Antiqua" w:cs="Times New Roman"/>
          <w:kern w:val="2"/>
          <w:sz w:val="24"/>
          <w:szCs w:val="24"/>
          <w:lang w:val="en-US" w:eastAsia="zh-CN"/>
        </w:rPr>
        <w:t xml:space="preserve"> 1993; </w:t>
      </w:r>
      <w:r w:rsidRPr="00A36F29">
        <w:rPr>
          <w:rFonts w:ascii="Book Antiqua" w:eastAsia="DengXian" w:hAnsi="Book Antiqua" w:cs="Times New Roman"/>
          <w:b/>
          <w:kern w:val="2"/>
          <w:sz w:val="24"/>
          <w:szCs w:val="24"/>
          <w:lang w:val="en-US" w:eastAsia="zh-CN"/>
        </w:rPr>
        <w:t>6</w:t>
      </w:r>
      <w:r w:rsidRPr="00A36F29">
        <w:rPr>
          <w:rFonts w:ascii="Book Antiqua" w:eastAsia="DengXian" w:hAnsi="Book Antiqua" w:cs="Times New Roman"/>
          <w:kern w:val="2"/>
          <w:sz w:val="24"/>
          <w:szCs w:val="24"/>
          <w:lang w:val="en-US" w:eastAsia="zh-CN"/>
        </w:rPr>
        <w:t>: 331-333 [PMID: 8217931 DOI: 10.1155/1993/75272]</w:t>
      </w:r>
    </w:p>
    <w:p w14:paraId="70A3AF99"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8 </w:t>
      </w:r>
      <w:r w:rsidRPr="00A36F29">
        <w:rPr>
          <w:rFonts w:ascii="Book Antiqua" w:eastAsia="DengXian" w:hAnsi="Book Antiqua" w:cs="Times New Roman"/>
          <w:b/>
          <w:kern w:val="2"/>
          <w:sz w:val="24"/>
          <w:szCs w:val="24"/>
          <w:lang w:val="en-US" w:eastAsia="zh-CN"/>
        </w:rPr>
        <w:t>Sikiric P</w:t>
      </w:r>
      <w:r w:rsidRPr="00A36F29">
        <w:rPr>
          <w:rFonts w:ascii="Book Antiqua" w:eastAsia="DengXian" w:hAnsi="Book Antiqua" w:cs="Times New Roman"/>
          <w:kern w:val="2"/>
          <w:sz w:val="24"/>
          <w:szCs w:val="24"/>
          <w:lang w:val="en-US" w:eastAsia="zh-CN"/>
        </w:rPr>
        <w:t xml:space="preserve">, Seiwerth S, Brcic L, Sever M, Klicek R, Radic B, Drmic D, Ilic S, Kolenc D. Revised Robert's cytoprotection and adaptive cytoprotection and stable gastric pentadecapeptide BPC 157. Possible significance and implications for novel mediator. </w:t>
      </w:r>
      <w:r w:rsidRPr="00A36F29">
        <w:rPr>
          <w:rFonts w:ascii="Book Antiqua" w:eastAsia="DengXian" w:hAnsi="Book Antiqua" w:cs="Times New Roman"/>
          <w:i/>
          <w:kern w:val="2"/>
          <w:sz w:val="24"/>
          <w:szCs w:val="24"/>
          <w:lang w:val="en-US" w:eastAsia="zh-CN"/>
        </w:rPr>
        <w:t>Curr Pharm Des</w:t>
      </w:r>
      <w:r w:rsidRPr="00A36F29">
        <w:rPr>
          <w:rFonts w:ascii="Book Antiqua" w:eastAsia="DengXian" w:hAnsi="Book Antiqua" w:cs="Times New Roman"/>
          <w:kern w:val="2"/>
          <w:sz w:val="24"/>
          <w:szCs w:val="24"/>
          <w:lang w:val="en-US" w:eastAsia="zh-CN"/>
        </w:rPr>
        <w:t xml:space="preserve"> 2010; </w:t>
      </w:r>
      <w:r w:rsidRPr="00A36F29">
        <w:rPr>
          <w:rFonts w:ascii="Book Antiqua" w:eastAsia="DengXian" w:hAnsi="Book Antiqua" w:cs="Times New Roman"/>
          <w:b/>
          <w:kern w:val="2"/>
          <w:sz w:val="24"/>
          <w:szCs w:val="24"/>
          <w:lang w:val="en-US" w:eastAsia="zh-CN"/>
        </w:rPr>
        <w:t>16</w:t>
      </w:r>
      <w:r w:rsidRPr="00A36F29">
        <w:rPr>
          <w:rFonts w:ascii="Book Antiqua" w:eastAsia="DengXian" w:hAnsi="Book Antiqua" w:cs="Times New Roman"/>
          <w:kern w:val="2"/>
          <w:sz w:val="24"/>
          <w:szCs w:val="24"/>
          <w:lang w:val="en-US" w:eastAsia="zh-CN"/>
        </w:rPr>
        <w:t>: 1224-1234 [PMID: 20166993 DOI: 10.2174/138161210790945977]</w:t>
      </w:r>
    </w:p>
    <w:p w14:paraId="52946BCE"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9 </w:t>
      </w:r>
      <w:r w:rsidRPr="00A36F29">
        <w:rPr>
          <w:rFonts w:ascii="Book Antiqua" w:eastAsia="DengXian" w:hAnsi="Book Antiqua" w:cs="Times New Roman"/>
          <w:b/>
          <w:kern w:val="2"/>
          <w:sz w:val="24"/>
          <w:szCs w:val="24"/>
          <w:lang w:val="en-US" w:eastAsia="zh-CN"/>
        </w:rPr>
        <w:t>Sikiric P</w:t>
      </w:r>
      <w:r w:rsidRPr="00A36F29">
        <w:rPr>
          <w:rFonts w:ascii="Book Antiqua" w:eastAsia="DengXian" w:hAnsi="Book Antiqua" w:cs="Times New Roman"/>
          <w:kern w:val="2"/>
          <w:sz w:val="24"/>
          <w:szCs w:val="24"/>
          <w:lang w:val="en-US" w:eastAsia="zh-CN"/>
        </w:rPr>
        <w:t xml:space="preserve">, Seiwerth S, Rucman R, Drmic D, Stupnisek M, Kokot A, Sever M, Zoricic I, Zoricic Z, Batelja L, Ziger T, Luetic K, Vlainic J, Rasic Z, Bencic ML. Stress in Gastrointestinal Tract and Stable Gastric Pentadecapeptide BPC 157. Finally, do we have a Solution? </w:t>
      </w:r>
      <w:r w:rsidRPr="00A36F29">
        <w:rPr>
          <w:rFonts w:ascii="Book Antiqua" w:eastAsia="DengXian" w:hAnsi="Book Antiqua" w:cs="Times New Roman"/>
          <w:i/>
          <w:kern w:val="2"/>
          <w:sz w:val="24"/>
          <w:szCs w:val="24"/>
          <w:lang w:val="en-US" w:eastAsia="zh-CN"/>
        </w:rPr>
        <w:t>Curr Pharm Des</w:t>
      </w:r>
      <w:r w:rsidRPr="00A36F29">
        <w:rPr>
          <w:rFonts w:ascii="Book Antiqua" w:eastAsia="DengXian" w:hAnsi="Book Antiqua" w:cs="Times New Roman"/>
          <w:kern w:val="2"/>
          <w:sz w:val="24"/>
          <w:szCs w:val="24"/>
          <w:lang w:val="en-US" w:eastAsia="zh-CN"/>
        </w:rPr>
        <w:t xml:space="preserve"> 2017; </w:t>
      </w:r>
      <w:r w:rsidRPr="00A36F29">
        <w:rPr>
          <w:rFonts w:ascii="Book Antiqua" w:eastAsia="DengXian" w:hAnsi="Book Antiqua" w:cs="Times New Roman"/>
          <w:b/>
          <w:kern w:val="2"/>
          <w:sz w:val="24"/>
          <w:szCs w:val="24"/>
          <w:lang w:val="en-US" w:eastAsia="zh-CN"/>
        </w:rPr>
        <w:t>23</w:t>
      </w:r>
      <w:r w:rsidRPr="00A36F29">
        <w:rPr>
          <w:rFonts w:ascii="Book Antiqua" w:eastAsia="DengXian" w:hAnsi="Book Antiqua" w:cs="Times New Roman"/>
          <w:kern w:val="2"/>
          <w:sz w:val="24"/>
          <w:szCs w:val="24"/>
          <w:lang w:val="en-US" w:eastAsia="zh-CN"/>
        </w:rPr>
        <w:t>: 4012-4028 [PMID: 28228068 DOI: 10.2174/1381612823666170220163219]</w:t>
      </w:r>
    </w:p>
    <w:p w14:paraId="22F894FB"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10 </w:t>
      </w:r>
      <w:r w:rsidRPr="00A36F29">
        <w:rPr>
          <w:rFonts w:ascii="Book Antiqua" w:eastAsia="DengXian" w:hAnsi="Book Antiqua" w:cs="Times New Roman"/>
          <w:b/>
          <w:kern w:val="2"/>
          <w:sz w:val="24"/>
          <w:szCs w:val="24"/>
          <w:lang w:val="en-US" w:eastAsia="zh-CN"/>
        </w:rPr>
        <w:t>Sikiric P</w:t>
      </w:r>
      <w:r w:rsidRPr="00A36F29">
        <w:rPr>
          <w:rFonts w:ascii="Book Antiqua" w:eastAsia="DengXian" w:hAnsi="Book Antiqua" w:cs="Times New Roman"/>
          <w:kern w:val="2"/>
          <w:sz w:val="24"/>
          <w:szCs w:val="24"/>
          <w:lang w:val="en-US" w:eastAsia="zh-CN"/>
        </w:rPr>
        <w:t xml:space="preserve">, Hahm KB, Blagaic AB, Tvrdeic A, Pavlov KH, Petrovic A, Kokot A, Gojkovic S, Krezic I, Drmic D, Rucman R, Seiwerth S. Stable Gastric Pentadecapeptide BPC 157, Robert's Stomach Cytoprotection/Adaptive Cytoprotection/Organoprotection, and Selye's Stress Coping Response: Progress, Achievements, and the Future. </w:t>
      </w:r>
      <w:r w:rsidRPr="00A36F29">
        <w:rPr>
          <w:rFonts w:ascii="Book Antiqua" w:eastAsia="DengXian" w:hAnsi="Book Antiqua" w:cs="Times New Roman"/>
          <w:i/>
          <w:kern w:val="2"/>
          <w:sz w:val="24"/>
          <w:szCs w:val="24"/>
          <w:lang w:val="en-US" w:eastAsia="zh-CN"/>
        </w:rPr>
        <w:t>Gut Liver</w:t>
      </w:r>
      <w:r w:rsidRPr="00A36F29">
        <w:rPr>
          <w:rFonts w:ascii="Book Antiqua" w:eastAsia="DengXian" w:hAnsi="Book Antiqua" w:cs="Times New Roman"/>
          <w:kern w:val="2"/>
          <w:sz w:val="24"/>
          <w:szCs w:val="24"/>
          <w:lang w:val="en-US" w:eastAsia="zh-CN"/>
        </w:rPr>
        <w:t xml:space="preserve"> 2019 [PMID: 31158953 DOI: 10.5009/gnl18490]</w:t>
      </w:r>
    </w:p>
    <w:p w14:paraId="35781E2D"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11 </w:t>
      </w:r>
      <w:r w:rsidRPr="00A36F29">
        <w:rPr>
          <w:rFonts w:ascii="Book Antiqua" w:eastAsia="DengXian" w:hAnsi="Book Antiqua" w:cs="Times New Roman"/>
          <w:b/>
          <w:kern w:val="2"/>
          <w:sz w:val="24"/>
          <w:szCs w:val="24"/>
          <w:lang w:val="en-US" w:eastAsia="zh-CN"/>
        </w:rPr>
        <w:t>Sikiric P</w:t>
      </w:r>
      <w:r w:rsidRPr="00A36F29">
        <w:rPr>
          <w:rFonts w:ascii="Book Antiqua" w:eastAsia="DengXian" w:hAnsi="Book Antiqua" w:cs="Times New Roman"/>
          <w:kern w:val="2"/>
          <w:sz w:val="24"/>
          <w:szCs w:val="24"/>
          <w:lang w:val="en-US" w:eastAsia="zh-CN"/>
        </w:rPr>
        <w:t xml:space="preserve">, Rucman R, Turkovic B, Sever M, Klicek R, Radic B, Drmic D, Stupnisek M, Misic M, Vuletic LB, Pavlov KH, Barisic I, Kokot A, Peklic M, Strbe S, Blagaic AB, Tvrdeic A, Rokotov DS, Vrcic H, Staresinic M, Seiwerth S. Novel Cytoprotective </w:t>
      </w:r>
      <w:r w:rsidRPr="00A36F29">
        <w:rPr>
          <w:rFonts w:ascii="Book Antiqua" w:eastAsia="DengXian" w:hAnsi="Book Antiqua" w:cs="Times New Roman"/>
          <w:kern w:val="2"/>
          <w:sz w:val="24"/>
          <w:szCs w:val="24"/>
          <w:lang w:val="en-US" w:eastAsia="zh-CN"/>
        </w:rPr>
        <w:lastRenderedPageBreak/>
        <w:t xml:space="preserve">Mediator, Stable Gastric Pentadecapeptide BPC 157. Vascular Recruitment and Gastrointestinal Tract Healing. </w:t>
      </w:r>
      <w:r w:rsidRPr="00A36F29">
        <w:rPr>
          <w:rFonts w:ascii="Book Antiqua" w:eastAsia="DengXian" w:hAnsi="Book Antiqua" w:cs="Times New Roman"/>
          <w:i/>
          <w:kern w:val="2"/>
          <w:sz w:val="24"/>
          <w:szCs w:val="24"/>
          <w:lang w:val="en-US" w:eastAsia="zh-CN"/>
        </w:rPr>
        <w:t>Curr Pharm Des</w:t>
      </w:r>
      <w:r w:rsidRPr="00A36F29">
        <w:rPr>
          <w:rFonts w:ascii="Book Antiqua" w:eastAsia="DengXian" w:hAnsi="Book Antiqua" w:cs="Times New Roman"/>
          <w:kern w:val="2"/>
          <w:sz w:val="24"/>
          <w:szCs w:val="24"/>
          <w:lang w:val="en-US" w:eastAsia="zh-CN"/>
        </w:rPr>
        <w:t xml:space="preserve"> 2018; </w:t>
      </w:r>
      <w:r w:rsidRPr="00A36F29">
        <w:rPr>
          <w:rFonts w:ascii="Book Antiqua" w:eastAsia="DengXian" w:hAnsi="Book Antiqua" w:cs="Times New Roman"/>
          <w:b/>
          <w:kern w:val="2"/>
          <w:sz w:val="24"/>
          <w:szCs w:val="24"/>
          <w:lang w:val="en-US" w:eastAsia="zh-CN"/>
        </w:rPr>
        <w:t>24</w:t>
      </w:r>
      <w:r w:rsidRPr="00A36F29">
        <w:rPr>
          <w:rFonts w:ascii="Book Antiqua" w:eastAsia="DengXian" w:hAnsi="Book Antiqua" w:cs="Times New Roman"/>
          <w:kern w:val="2"/>
          <w:sz w:val="24"/>
          <w:szCs w:val="24"/>
          <w:lang w:val="en-US" w:eastAsia="zh-CN"/>
        </w:rPr>
        <w:t>: 1990-2001 [PMID: 29879879 DOI: 10.2174/1381612824666180608101119]</w:t>
      </w:r>
    </w:p>
    <w:p w14:paraId="5C2A78A4"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12 </w:t>
      </w:r>
      <w:r w:rsidRPr="00A36F29">
        <w:rPr>
          <w:rFonts w:ascii="Book Antiqua" w:eastAsia="DengXian" w:hAnsi="Book Antiqua" w:cs="Times New Roman"/>
          <w:b/>
          <w:kern w:val="2"/>
          <w:sz w:val="24"/>
          <w:szCs w:val="24"/>
          <w:lang w:val="en-US" w:eastAsia="zh-CN"/>
        </w:rPr>
        <w:t>Sikiric P</w:t>
      </w:r>
      <w:r w:rsidRPr="00A36F29">
        <w:rPr>
          <w:rFonts w:ascii="Book Antiqua" w:eastAsia="DengXian" w:hAnsi="Book Antiqua" w:cs="Times New Roman"/>
          <w:kern w:val="2"/>
          <w:sz w:val="24"/>
          <w:szCs w:val="24"/>
          <w:lang w:val="en-US" w:eastAsia="zh-CN"/>
        </w:rPr>
        <w:t xml:space="preserve">, Seiwerth S, Rucman R, Kolenc D, Vuletic LB, Drmic D, Grgic T, Strbe S, Zukanovic G, Crvenkovic D, Madzarac G, Rukavina I, Sucic M, Baric M, Starcevic N, Krstonijevic Z, Bencic ML, Filipcic I, Rokotov DS, Vlainic J. Brain-gut Axis and Pentadecapeptide BPC 157: Theoretical and Practical Implications. </w:t>
      </w:r>
      <w:r w:rsidRPr="00A36F29">
        <w:rPr>
          <w:rFonts w:ascii="Book Antiqua" w:eastAsia="DengXian" w:hAnsi="Book Antiqua" w:cs="Times New Roman"/>
          <w:i/>
          <w:kern w:val="2"/>
          <w:sz w:val="24"/>
          <w:szCs w:val="24"/>
          <w:lang w:val="en-US" w:eastAsia="zh-CN"/>
        </w:rPr>
        <w:t>Curr Neuropharmacol</w:t>
      </w:r>
      <w:r w:rsidRPr="00A36F29">
        <w:rPr>
          <w:rFonts w:ascii="Book Antiqua" w:eastAsia="DengXian" w:hAnsi="Book Antiqua" w:cs="Times New Roman"/>
          <w:kern w:val="2"/>
          <w:sz w:val="24"/>
          <w:szCs w:val="24"/>
          <w:lang w:val="en-US" w:eastAsia="zh-CN"/>
        </w:rPr>
        <w:t xml:space="preserve"> 2016; </w:t>
      </w:r>
      <w:r w:rsidRPr="00A36F29">
        <w:rPr>
          <w:rFonts w:ascii="Book Antiqua" w:eastAsia="DengXian" w:hAnsi="Book Antiqua" w:cs="Times New Roman"/>
          <w:b/>
          <w:kern w:val="2"/>
          <w:sz w:val="24"/>
          <w:szCs w:val="24"/>
          <w:lang w:val="en-US" w:eastAsia="zh-CN"/>
        </w:rPr>
        <w:t>14</w:t>
      </w:r>
      <w:r w:rsidRPr="00A36F29">
        <w:rPr>
          <w:rFonts w:ascii="Book Antiqua" w:eastAsia="DengXian" w:hAnsi="Book Antiqua" w:cs="Times New Roman"/>
          <w:kern w:val="2"/>
          <w:sz w:val="24"/>
          <w:szCs w:val="24"/>
          <w:lang w:val="en-US" w:eastAsia="zh-CN"/>
        </w:rPr>
        <w:t>: 857-865 [PMID: 27138887 DOI: 10.2174/1570159x13666160502153022]</w:t>
      </w:r>
    </w:p>
    <w:p w14:paraId="646312AD"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13 </w:t>
      </w:r>
      <w:r w:rsidRPr="00A36F29">
        <w:rPr>
          <w:rFonts w:ascii="Book Antiqua" w:eastAsia="DengXian" w:hAnsi="Book Antiqua" w:cs="Times New Roman"/>
          <w:b/>
          <w:kern w:val="2"/>
          <w:sz w:val="24"/>
          <w:szCs w:val="24"/>
          <w:lang w:val="en-US" w:eastAsia="zh-CN"/>
        </w:rPr>
        <w:t>Sikiric P</w:t>
      </w:r>
      <w:r w:rsidRPr="00A36F29">
        <w:rPr>
          <w:rFonts w:ascii="Book Antiqua" w:eastAsia="DengXian" w:hAnsi="Book Antiqua" w:cs="Times New Roman"/>
          <w:kern w:val="2"/>
          <w:sz w:val="24"/>
          <w:szCs w:val="24"/>
          <w:lang w:val="en-US" w:eastAsia="zh-CN"/>
        </w:rPr>
        <w:t xml:space="preserve">, Seiwerth S, Rucman R, Turkovic B, Rokotov DS, Brcic L, Sever M, Klicek R, Radic B, Drmic D, Ilic S, Kolenc D, Vrcic H, Sebecic B. Stable gastric pentadecapeptide BPC 157: novel therapy in gastrointestinal tract. </w:t>
      </w:r>
      <w:r w:rsidRPr="00A36F29">
        <w:rPr>
          <w:rFonts w:ascii="Book Antiqua" w:eastAsia="DengXian" w:hAnsi="Book Antiqua" w:cs="Times New Roman"/>
          <w:i/>
          <w:kern w:val="2"/>
          <w:sz w:val="24"/>
          <w:szCs w:val="24"/>
          <w:lang w:val="en-US" w:eastAsia="zh-CN"/>
        </w:rPr>
        <w:t>Curr Pharm Des</w:t>
      </w:r>
      <w:r w:rsidRPr="00A36F29">
        <w:rPr>
          <w:rFonts w:ascii="Book Antiqua" w:eastAsia="DengXian" w:hAnsi="Book Antiqua" w:cs="Times New Roman"/>
          <w:kern w:val="2"/>
          <w:sz w:val="24"/>
          <w:szCs w:val="24"/>
          <w:lang w:val="en-US" w:eastAsia="zh-CN"/>
        </w:rPr>
        <w:t xml:space="preserve"> 2011; </w:t>
      </w:r>
      <w:r w:rsidRPr="00A36F29">
        <w:rPr>
          <w:rFonts w:ascii="Book Antiqua" w:eastAsia="DengXian" w:hAnsi="Book Antiqua" w:cs="Times New Roman"/>
          <w:b/>
          <w:kern w:val="2"/>
          <w:sz w:val="24"/>
          <w:szCs w:val="24"/>
          <w:lang w:val="en-US" w:eastAsia="zh-CN"/>
        </w:rPr>
        <w:t>17</w:t>
      </w:r>
      <w:r w:rsidRPr="00A36F29">
        <w:rPr>
          <w:rFonts w:ascii="Book Antiqua" w:eastAsia="DengXian" w:hAnsi="Book Antiqua" w:cs="Times New Roman"/>
          <w:kern w:val="2"/>
          <w:sz w:val="24"/>
          <w:szCs w:val="24"/>
          <w:lang w:val="en-US" w:eastAsia="zh-CN"/>
        </w:rPr>
        <w:t>: 1612-1632 [PMID: 21548867 DOI: 10.2174/138161211796196954]</w:t>
      </w:r>
    </w:p>
    <w:p w14:paraId="47D074A7"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14 </w:t>
      </w:r>
      <w:r w:rsidRPr="00A36F29">
        <w:rPr>
          <w:rFonts w:ascii="Book Antiqua" w:eastAsia="DengXian" w:hAnsi="Book Antiqua" w:cs="Times New Roman"/>
          <w:b/>
          <w:kern w:val="2"/>
          <w:sz w:val="24"/>
          <w:szCs w:val="24"/>
          <w:lang w:val="en-US" w:eastAsia="zh-CN"/>
        </w:rPr>
        <w:t>Sikiric P</w:t>
      </w:r>
      <w:r w:rsidRPr="00A36F29">
        <w:rPr>
          <w:rFonts w:ascii="Book Antiqua" w:eastAsia="DengXian" w:hAnsi="Book Antiqua" w:cs="Times New Roman"/>
          <w:kern w:val="2"/>
          <w:sz w:val="24"/>
          <w:szCs w:val="24"/>
          <w:lang w:val="en-US" w:eastAsia="zh-CN"/>
        </w:rPr>
        <w:t xml:space="preserve">, Seiwerth S, Rucman R, Turkovic B, Rokotov DS, Brcic L, Sever M, Klicek R, Radic B, Drmic D, Ilic S, Kolenc D, Stambolija V, Zoricic Z, Vrcic H, Sebecic B. Focus on ulcerative colitis: stable gastric pentadecapeptide BPC 157. </w:t>
      </w:r>
      <w:r w:rsidRPr="00A36F29">
        <w:rPr>
          <w:rFonts w:ascii="Book Antiqua" w:eastAsia="DengXian" w:hAnsi="Book Antiqua" w:cs="Times New Roman"/>
          <w:i/>
          <w:kern w:val="2"/>
          <w:sz w:val="24"/>
          <w:szCs w:val="24"/>
          <w:lang w:val="en-US" w:eastAsia="zh-CN"/>
        </w:rPr>
        <w:t>Curr Med Chem</w:t>
      </w:r>
      <w:r w:rsidRPr="00A36F29">
        <w:rPr>
          <w:rFonts w:ascii="Book Antiqua" w:eastAsia="DengXian" w:hAnsi="Book Antiqua" w:cs="Times New Roman"/>
          <w:kern w:val="2"/>
          <w:sz w:val="24"/>
          <w:szCs w:val="24"/>
          <w:lang w:val="en-US" w:eastAsia="zh-CN"/>
        </w:rPr>
        <w:t xml:space="preserve"> 2012; </w:t>
      </w:r>
      <w:r w:rsidRPr="00A36F29">
        <w:rPr>
          <w:rFonts w:ascii="Book Antiqua" w:eastAsia="DengXian" w:hAnsi="Book Antiqua" w:cs="Times New Roman"/>
          <w:b/>
          <w:kern w:val="2"/>
          <w:sz w:val="24"/>
          <w:szCs w:val="24"/>
          <w:lang w:val="en-US" w:eastAsia="zh-CN"/>
        </w:rPr>
        <w:t>19</w:t>
      </w:r>
      <w:r w:rsidRPr="00A36F29">
        <w:rPr>
          <w:rFonts w:ascii="Book Antiqua" w:eastAsia="DengXian" w:hAnsi="Book Antiqua" w:cs="Times New Roman"/>
          <w:kern w:val="2"/>
          <w:sz w:val="24"/>
          <w:szCs w:val="24"/>
          <w:lang w:val="en-US" w:eastAsia="zh-CN"/>
        </w:rPr>
        <w:t>: 126-132 [PMID: 22300085 DOI: 10.2174/092986712803414015]</w:t>
      </w:r>
    </w:p>
    <w:p w14:paraId="23180389"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15 </w:t>
      </w:r>
      <w:r w:rsidRPr="00A36F29">
        <w:rPr>
          <w:rFonts w:ascii="Book Antiqua" w:eastAsia="DengXian" w:hAnsi="Book Antiqua" w:cs="Times New Roman"/>
          <w:b/>
          <w:kern w:val="2"/>
          <w:sz w:val="24"/>
          <w:szCs w:val="24"/>
          <w:lang w:val="en-US" w:eastAsia="zh-CN"/>
        </w:rPr>
        <w:t>Seiwerth S</w:t>
      </w:r>
      <w:r w:rsidRPr="00A36F29">
        <w:rPr>
          <w:rFonts w:ascii="Book Antiqua" w:eastAsia="DengXian" w:hAnsi="Book Antiqua" w:cs="Times New Roman"/>
          <w:kern w:val="2"/>
          <w:sz w:val="24"/>
          <w:szCs w:val="24"/>
          <w:lang w:val="en-US" w:eastAsia="zh-CN"/>
        </w:rPr>
        <w:t xml:space="preserve">, Brcic L, Vuletic LB, Kolenc D, Aralica G, Misic M, Zenko A, Drmic D, Rucman R, Sikiric P. BPC 157 and blood vessels. </w:t>
      </w:r>
      <w:r w:rsidRPr="00A36F29">
        <w:rPr>
          <w:rFonts w:ascii="Book Antiqua" w:eastAsia="DengXian" w:hAnsi="Book Antiqua" w:cs="Times New Roman"/>
          <w:i/>
          <w:kern w:val="2"/>
          <w:sz w:val="24"/>
          <w:szCs w:val="24"/>
          <w:lang w:val="en-US" w:eastAsia="zh-CN"/>
        </w:rPr>
        <w:t>Curr Pharm Des</w:t>
      </w:r>
      <w:r w:rsidRPr="00A36F29">
        <w:rPr>
          <w:rFonts w:ascii="Book Antiqua" w:eastAsia="DengXian" w:hAnsi="Book Antiqua" w:cs="Times New Roman"/>
          <w:kern w:val="2"/>
          <w:sz w:val="24"/>
          <w:szCs w:val="24"/>
          <w:lang w:val="en-US" w:eastAsia="zh-CN"/>
        </w:rPr>
        <w:t xml:space="preserve"> 2014; </w:t>
      </w:r>
      <w:r w:rsidRPr="00A36F29">
        <w:rPr>
          <w:rFonts w:ascii="Book Antiqua" w:eastAsia="DengXian" w:hAnsi="Book Antiqua" w:cs="Times New Roman"/>
          <w:b/>
          <w:kern w:val="2"/>
          <w:sz w:val="24"/>
          <w:szCs w:val="24"/>
          <w:lang w:val="en-US" w:eastAsia="zh-CN"/>
        </w:rPr>
        <w:t>20</w:t>
      </w:r>
      <w:r w:rsidRPr="00A36F29">
        <w:rPr>
          <w:rFonts w:ascii="Book Antiqua" w:eastAsia="DengXian" w:hAnsi="Book Antiqua" w:cs="Times New Roman"/>
          <w:kern w:val="2"/>
          <w:sz w:val="24"/>
          <w:szCs w:val="24"/>
          <w:lang w:val="en-US" w:eastAsia="zh-CN"/>
        </w:rPr>
        <w:t>: 1121-1125 [PMID: 23782145 DOI: 10.2174/13816128113199990421]</w:t>
      </w:r>
    </w:p>
    <w:p w14:paraId="6B4C6294"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16 </w:t>
      </w:r>
      <w:r w:rsidRPr="00A36F29">
        <w:rPr>
          <w:rFonts w:ascii="Book Antiqua" w:eastAsia="DengXian" w:hAnsi="Book Antiqua" w:cs="Times New Roman"/>
          <w:b/>
          <w:kern w:val="2"/>
          <w:sz w:val="24"/>
          <w:szCs w:val="24"/>
          <w:lang w:val="en-US" w:eastAsia="zh-CN"/>
        </w:rPr>
        <w:t>Sikiric P</w:t>
      </w:r>
      <w:r w:rsidRPr="00A36F29">
        <w:rPr>
          <w:rFonts w:ascii="Book Antiqua" w:eastAsia="DengXian" w:hAnsi="Book Antiqua" w:cs="Times New Roman"/>
          <w:kern w:val="2"/>
          <w:sz w:val="24"/>
          <w:szCs w:val="24"/>
          <w:lang w:val="en-US" w:eastAsia="zh-CN"/>
        </w:rPr>
        <w:t xml:space="preserve">, Seiwerth S, Rucman R, Turkovic B, Rokotov DS, Brcic L, Sever M, Klicek R, Radic B, Drmic D, Ilic S, Kolenc D, Aralica G, Safic H, Suran J, Rak D, Dzidic S, Vrcic H, Sebecic B. Toxicity by NSAIDs. Counteraction by stable gastric pentadecapeptide BPC 157. </w:t>
      </w:r>
      <w:r w:rsidRPr="00A36F29">
        <w:rPr>
          <w:rFonts w:ascii="Book Antiqua" w:eastAsia="DengXian" w:hAnsi="Book Antiqua" w:cs="Times New Roman"/>
          <w:i/>
          <w:kern w:val="2"/>
          <w:sz w:val="24"/>
          <w:szCs w:val="24"/>
          <w:lang w:val="en-US" w:eastAsia="zh-CN"/>
        </w:rPr>
        <w:t>Curr Pharm Des</w:t>
      </w:r>
      <w:r w:rsidRPr="00A36F29">
        <w:rPr>
          <w:rFonts w:ascii="Book Antiqua" w:eastAsia="DengXian" w:hAnsi="Book Antiqua" w:cs="Times New Roman"/>
          <w:kern w:val="2"/>
          <w:sz w:val="24"/>
          <w:szCs w:val="24"/>
          <w:lang w:val="en-US" w:eastAsia="zh-CN"/>
        </w:rPr>
        <w:t xml:space="preserve"> 2013; </w:t>
      </w:r>
      <w:r w:rsidRPr="00A36F29">
        <w:rPr>
          <w:rFonts w:ascii="Book Antiqua" w:eastAsia="DengXian" w:hAnsi="Book Antiqua" w:cs="Times New Roman"/>
          <w:b/>
          <w:kern w:val="2"/>
          <w:sz w:val="24"/>
          <w:szCs w:val="24"/>
          <w:lang w:val="en-US" w:eastAsia="zh-CN"/>
        </w:rPr>
        <w:t>19</w:t>
      </w:r>
      <w:r w:rsidRPr="00A36F29">
        <w:rPr>
          <w:rFonts w:ascii="Book Antiqua" w:eastAsia="DengXian" w:hAnsi="Book Antiqua" w:cs="Times New Roman"/>
          <w:kern w:val="2"/>
          <w:sz w:val="24"/>
          <w:szCs w:val="24"/>
          <w:lang w:val="en-US" w:eastAsia="zh-CN"/>
        </w:rPr>
        <w:t>: 76-83 [PMID: 22950504 DOI: 10.2174/1381612811306010076]</w:t>
      </w:r>
    </w:p>
    <w:p w14:paraId="6C6EB05D"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17 </w:t>
      </w:r>
      <w:r w:rsidRPr="00A36F29">
        <w:rPr>
          <w:rFonts w:ascii="Book Antiqua" w:eastAsia="DengXian" w:hAnsi="Book Antiqua" w:cs="Times New Roman"/>
          <w:b/>
          <w:kern w:val="2"/>
          <w:sz w:val="24"/>
          <w:szCs w:val="24"/>
          <w:lang w:val="en-US" w:eastAsia="zh-CN"/>
        </w:rPr>
        <w:t>Sikiric P</w:t>
      </w:r>
      <w:r w:rsidRPr="00A36F29">
        <w:rPr>
          <w:rFonts w:ascii="Book Antiqua" w:eastAsia="DengXian" w:hAnsi="Book Antiqua" w:cs="Times New Roman"/>
          <w:kern w:val="2"/>
          <w:sz w:val="24"/>
          <w:szCs w:val="24"/>
          <w:lang w:val="en-US" w:eastAsia="zh-CN"/>
        </w:rPr>
        <w:t xml:space="preserve">, Seiwerth S, Rucman R, Turkovic B, Rokotov DS, Brcic L, Sever M, Klicek R, Radic B, Drmic D, Ilic S, Kolenc D, Aralica G, Stupnisek M, Suran J, Barisic I, Dzidic S, Vrcic H, Sebecic B. Stable gastric pentadecapeptide BPC 157-NO-system relation. </w:t>
      </w:r>
      <w:r w:rsidRPr="00A36F29">
        <w:rPr>
          <w:rFonts w:ascii="Book Antiqua" w:eastAsia="DengXian" w:hAnsi="Book Antiqua" w:cs="Times New Roman"/>
          <w:i/>
          <w:kern w:val="2"/>
          <w:sz w:val="24"/>
          <w:szCs w:val="24"/>
          <w:lang w:val="en-US" w:eastAsia="zh-CN"/>
        </w:rPr>
        <w:t>Curr Pharm Des</w:t>
      </w:r>
      <w:r w:rsidRPr="00A36F29">
        <w:rPr>
          <w:rFonts w:ascii="Book Antiqua" w:eastAsia="DengXian" w:hAnsi="Book Antiqua" w:cs="Times New Roman"/>
          <w:kern w:val="2"/>
          <w:sz w:val="24"/>
          <w:szCs w:val="24"/>
          <w:lang w:val="en-US" w:eastAsia="zh-CN"/>
        </w:rPr>
        <w:t xml:space="preserve"> 2014; </w:t>
      </w:r>
      <w:r w:rsidRPr="00A36F29">
        <w:rPr>
          <w:rFonts w:ascii="Book Antiqua" w:eastAsia="DengXian" w:hAnsi="Book Antiqua" w:cs="Times New Roman"/>
          <w:b/>
          <w:kern w:val="2"/>
          <w:sz w:val="24"/>
          <w:szCs w:val="24"/>
          <w:lang w:val="en-US" w:eastAsia="zh-CN"/>
        </w:rPr>
        <w:t>20</w:t>
      </w:r>
      <w:r w:rsidRPr="00A36F29">
        <w:rPr>
          <w:rFonts w:ascii="Book Antiqua" w:eastAsia="DengXian" w:hAnsi="Book Antiqua" w:cs="Times New Roman"/>
          <w:kern w:val="2"/>
          <w:sz w:val="24"/>
          <w:szCs w:val="24"/>
          <w:lang w:val="en-US" w:eastAsia="zh-CN"/>
        </w:rPr>
        <w:t>: 1126-1135 [PMID: 23755725 DOI: 10.2174/13816128113190990411]</w:t>
      </w:r>
    </w:p>
    <w:p w14:paraId="6D70CF80"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18 </w:t>
      </w:r>
      <w:r w:rsidRPr="00A36F29">
        <w:rPr>
          <w:rFonts w:ascii="Book Antiqua" w:eastAsia="DengXian" w:hAnsi="Book Antiqua" w:cs="Times New Roman"/>
          <w:b/>
          <w:kern w:val="2"/>
          <w:sz w:val="24"/>
          <w:szCs w:val="24"/>
          <w:lang w:val="en-US" w:eastAsia="zh-CN"/>
        </w:rPr>
        <w:t>Kang EA</w:t>
      </w:r>
      <w:r w:rsidRPr="00A36F29">
        <w:rPr>
          <w:rFonts w:ascii="Book Antiqua" w:eastAsia="DengXian" w:hAnsi="Book Antiqua" w:cs="Times New Roman"/>
          <w:kern w:val="2"/>
          <w:sz w:val="24"/>
          <w:szCs w:val="24"/>
          <w:lang w:val="en-US" w:eastAsia="zh-CN"/>
        </w:rPr>
        <w:t xml:space="preserve">, Han YM, An JM, Park YJ, Sikiric P, Kim DH, Kwon KA, Kim YJ, Yang D, Tchah H, Hahm KB. BPC157 as Potential Agent Rescuing from Cancer Cachexia. </w:t>
      </w:r>
      <w:r w:rsidRPr="00A36F29">
        <w:rPr>
          <w:rFonts w:ascii="Book Antiqua" w:eastAsia="DengXian" w:hAnsi="Book Antiqua" w:cs="Times New Roman"/>
          <w:i/>
          <w:kern w:val="2"/>
          <w:sz w:val="24"/>
          <w:szCs w:val="24"/>
          <w:lang w:val="en-US" w:eastAsia="zh-CN"/>
        </w:rPr>
        <w:t xml:space="preserve">Curr </w:t>
      </w:r>
      <w:r w:rsidRPr="00A36F29">
        <w:rPr>
          <w:rFonts w:ascii="Book Antiqua" w:eastAsia="DengXian" w:hAnsi="Book Antiqua" w:cs="Times New Roman"/>
          <w:i/>
          <w:kern w:val="2"/>
          <w:sz w:val="24"/>
          <w:szCs w:val="24"/>
          <w:lang w:val="en-US" w:eastAsia="zh-CN"/>
        </w:rPr>
        <w:lastRenderedPageBreak/>
        <w:t>Pharm Des</w:t>
      </w:r>
      <w:r w:rsidRPr="00A36F29">
        <w:rPr>
          <w:rFonts w:ascii="Book Antiqua" w:eastAsia="DengXian" w:hAnsi="Book Antiqua" w:cs="Times New Roman"/>
          <w:kern w:val="2"/>
          <w:sz w:val="24"/>
          <w:szCs w:val="24"/>
          <w:lang w:val="en-US" w:eastAsia="zh-CN"/>
        </w:rPr>
        <w:t xml:space="preserve"> 2018; </w:t>
      </w:r>
      <w:r w:rsidRPr="00A36F29">
        <w:rPr>
          <w:rFonts w:ascii="Book Antiqua" w:eastAsia="DengXian" w:hAnsi="Book Antiqua" w:cs="Times New Roman"/>
          <w:b/>
          <w:kern w:val="2"/>
          <w:sz w:val="24"/>
          <w:szCs w:val="24"/>
          <w:lang w:val="en-US" w:eastAsia="zh-CN"/>
        </w:rPr>
        <w:t>24</w:t>
      </w:r>
      <w:r w:rsidRPr="00A36F29">
        <w:rPr>
          <w:rFonts w:ascii="Book Antiqua" w:eastAsia="DengXian" w:hAnsi="Book Antiqua" w:cs="Times New Roman"/>
          <w:kern w:val="2"/>
          <w:sz w:val="24"/>
          <w:szCs w:val="24"/>
          <w:lang w:val="en-US" w:eastAsia="zh-CN"/>
        </w:rPr>
        <w:t>: 1947-1956 [PMID: 29898649 DOI: 10.2174/1381612824666180614082950]</w:t>
      </w:r>
    </w:p>
    <w:p w14:paraId="1BD55B1C"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19 </w:t>
      </w:r>
      <w:r w:rsidRPr="00A36F29">
        <w:rPr>
          <w:rFonts w:ascii="Book Antiqua" w:eastAsia="DengXian" w:hAnsi="Book Antiqua" w:cs="Times New Roman"/>
          <w:b/>
          <w:kern w:val="2"/>
          <w:sz w:val="24"/>
          <w:szCs w:val="24"/>
          <w:lang w:val="en-US" w:eastAsia="zh-CN"/>
        </w:rPr>
        <w:t>Seiwerth S</w:t>
      </w:r>
      <w:r w:rsidRPr="00A36F29">
        <w:rPr>
          <w:rFonts w:ascii="Book Antiqua" w:eastAsia="DengXian" w:hAnsi="Book Antiqua" w:cs="Times New Roman"/>
          <w:kern w:val="2"/>
          <w:sz w:val="24"/>
          <w:szCs w:val="24"/>
          <w:lang w:val="en-US" w:eastAsia="zh-CN"/>
        </w:rPr>
        <w:t xml:space="preserve">, Rucman R, Turkovic B, Sever M, Klicek R, Radic B, Drmic D, Stupnisek M, Misic M, Vuletic LB, Pavlov KH, Barisic I, Kokot A, Japjec M, Blagaic AB, Tvrdeic A, Rokotov DS, Vrcic H, Staresinic M, Sebecic B, Sikiric P. BPC 157 and Standard Angiogenic Growth Factors. Gastrointestinal Tract Healing, Lessons from Tendon, Ligament, Muscle and Bone Healing. </w:t>
      </w:r>
      <w:r w:rsidRPr="00A36F29">
        <w:rPr>
          <w:rFonts w:ascii="Book Antiqua" w:eastAsia="DengXian" w:hAnsi="Book Antiqua" w:cs="Times New Roman"/>
          <w:i/>
          <w:kern w:val="2"/>
          <w:sz w:val="24"/>
          <w:szCs w:val="24"/>
          <w:lang w:val="en-US" w:eastAsia="zh-CN"/>
        </w:rPr>
        <w:t>Curr Pharm Des</w:t>
      </w:r>
      <w:r w:rsidRPr="00A36F29">
        <w:rPr>
          <w:rFonts w:ascii="Book Antiqua" w:eastAsia="DengXian" w:hAnsi="Book Antiqua" w:cs="Times New Roman"/>
          <w:kern w:val="2"/>
          <w:sz w:val="24"/>
          <w:szCs w:val="24"/>
          <w:lang w:val="en-US" w:eastAsia="zh-CN"/>
        </w:rPr>
        <w:t xml:space="preserve"> 2018; </w:t>
      </w:r>
      <w:r w:rsidRPr="00A36F29">
        <w:rPr>
          <w:rFonts w:ascii="Book Antiqua" w:eastAsia="DengXian" w:hAnsi="Book Antiqua" w:cs="Times New Roman"/>
          <w:b/>
          <w:kern w:val="2"/>
          <w:sz w:val="24"/>
          <w:szCs w:val="24"/>
          <w:lang w:val="en-US" w:eastAsia="zh-CN"/>
        </w:rPr>
        <w:t>24</w:t>
      </w:r>
      <w:r w:rsidRPr="00A36F29">
        <w:rPr>
          <w:rFonts w:ascii="Book Antiqua" w:eastAsia="DengXian" w:hAnsi="Book Antiqua" w:cs="Times New Roman"/>
          <w:kern w:val="2"/>
          <w:sz w:val="24"/>
          <w:szCs w:val="24"/>
          <w:lang w:val="en-US" w:eastAsia="zh-CN"/>
        </w:rPr>
        <w:t>: 1972-1989 [PMID: 29998800 DOI: 10.2174/1381612824666180712110447]</w:t>
      </w:r>
    </w:p>
    <w:p w14:paraId="63151384"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20 </w:t>
      </w:r>
      <w:r w:rsidRPr="00A36F29">
        <w:rPr>
          <w:rFonts w:ascii="Book Antiqua" w:eastAsia="DengXian" w:hAnsi="Book Antiqua" w:cs="Times New Roman"/>
          <w:b/>
          <w:kern w:val="2"/>
          <w:sz w:val="24"/>
          <w:szCs w:val="24"/>
          <w:lang w:val="en-US" w:eastAsia="zh-CN"/>
        </w:rPr>
        <w:t>Gwyer D</w:t>
      </w:r>
      <w:r w:rsidRPr="00A36F29">
        <w:rPr>
          <w:rFonts w:ascii="Book Antiqua" w:eastAsia="DengXian" w:hAnsi="Book Antiqua" w:cs="Times New Roman"/>
          <w:kern w:val="2"/>
          <w:sz w:val="24"/>
          <w:szCs w:val="24"/>
          <w:lang w:val="en-US" w:eastAsia="zh-CN"/>
        </w:rPr>
        <w:t xml:space="preserve">, Wragg NM, Wilson SL. Gastric pentadecapeptide body protection compound BPC 157 and its role in accelerating musculoskeletal soft tissue healing. </w:t>
      </w:r>
      <w:r w:rsidRPr="00A36F29">
        <w:rPr>
          <w:rFonts w:ascii="Book Antiqua" w:eastAsia="DengXian" w:hAnsi="Book Antiqua" w:cs="Times New Roman"/>
          <w:i/>
          <w:kern w:val="2"/>
          <w:sz w:val="24"/>
          <w:szCs w:val="24"/>
          <w:lang w:val="en-US" w:eastAsia="zh-CN"/>
        </w:rPr>
        <w:t>Cell Tissue Res</w:t>
      </w:r>
      <w:r w:rsidRPr="00A36F29">
        <w:rPr>
          <w:rFonts w:ascii="Book Antiqua" w:eastAsia="DengXian" w:hAnsi="Book Antiqua" w:cs="Times New Roman"/>
          <w:kern w:val="2"/>
          <w:sz w:val="24"/>
          <w:szCs w:val="24"/>
          <w:lang w:val="en-US" w:eastAsia="zh-CN"/>
        </w:rPr>
        <w:t xml:space="preserve"> 2019; </w:t>
      </w:r>
      <w:r w:rsidRPr="00A36F29">
        <w:rPr>
          <w:rFonts w:ascii="Book Antiqua" w:eastAsia="DengXian" w:hAnsi="Book Antiqua" w:cs="Times New Roman"/>
          <w:b/>
          <w:kern w:val="2"/>
          <w:sz w:val="24"/>
          <w:szCs w:val="24"/>
          <w:lang w:val="en-US" w:eastAsia="zh-CN"/>
        </w:rPr>
        <w:t>377</w:t>
      </w:r>
      <w:r w:rsidRPr="00A36F29">
        <w:rPr>
          <w:rFonts w:ascii="Book Antiqua" w:eastAsia="DengXian" w:hAnsi="Book Antiqua" w:cs="Times New Roman"/>
          <w:kern w:val="2"/>
          <w:sz w:val="24"/>
          <w:szCs w:val="24"/>
          <w:lang w:val="en-US" w:eastAsia="zh-CN"/>
        </w:rPr>
        <w:t>: 153-159 [PMID: 30915550 DOI: 10.1007/s00441-019-03016-8]</w:t>
      </w:r>
    </w:p>
    <w:p w14:paraId="3A9AA0B2"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21 </w:t>
      </w:r>
      <w:r w:rsidRPr="00A36F29">
        <w:rPr>
          <w:rFonts w:ascii="Book Antiqua" w:eastAsia="DengXian" w:hAnsi="Book Antiqua" w:cs="Times New Roman"/>
          <w:b/>
          <w:kern w:val="2"/>
          <w:sz w:val="24"/>
          <w:szCs w:val="24"/>
          <w:lang w:val="en-US" w:eastAsia="zh-CN"/>
        </w:rPr>
        <w:t>Vukojević J</w:t>
      </w:r>
      <w:r w:rsidRPr="00A36F29">
        <w:rPr>
          <w:rFonts w:ascii="Book Antiqua" w:eastAsia="DengXian" w:hAnsi="Book Antiqua" w:cs="Times New Roman"/>
          <w:kern w:val="2"/>
          <w:sz w:val="24"/>
          <w:szCs w:val="24"/>
          <w:lang w:val="en-US" w:eastAsia="zh-CN"/>
        </w:rPr>
        <w:t xml:space="preserve">, Siroglavić M, Kašnik K, Kralj T, Stanćić D, Kokot A, Kolarić D, Drmić D, Sever AZ, Barišić I, Šuran J, Bojić D, Patrlj MH, Sjekavica I, Pavlov KH, Vidović T, Vlainić J, Stupnišek M, Seiwerth S, Sikirić P. Rat inferior caval vein (ICV) ligature and particular new insights with the stable gastric pentadecapeptide BPC 157. </w:t>
      </w:r>
      <w:r w:rsidRPr="00A36F29">
        <w:rPr>
          <w:rFonts w:ascii="Book Antiqua" w:eastAsia="DengXian" w:hAnsi="Book Antiqua" w:cs="Times New Roman"/>
          <w:i/>
          <w:kern w:val="2"/>
          <w:sz w:val="24"/>
          <w:szCs w:val="24"/>
          <w:lang w:val="en-US" w:eastAsia="zh-CN"/>
        </w:rPr>
        <w:t>Vascul Pharmacol</w:t>
      </w:r>
      <w:r w:rsidRPr="00A36F29">
        <w:rPr>
          <w:rFonts w:ascii="Book Antiqua" w:eastAsia="DengXian" w:hAnsi="Book Antiqua" w:cs="Times New Roman"/>
          <w:kern w:val="2"/>
          <w:sz w:val="24"/>
          <w:szCs w:val="24"/>
          <w:lang w:val="en-US" w:eastAsia="zh-CN"/>
        </w:rPr>
        <w:t xml:space="preserve"> 2018; </w:t>
      </w:r>
      <w:r w:rsidRPr="00A36F29">
        <w:rPr>
          <w:rFonts w:ascii="Book Antiqua" w:eastAsia="DengXian" w:hAnsi="Book Antiqua" w:cs="Times New Roman"/>
          <w:b/>
          <w:kern w:val="2"/>
          <w:sz w:val="24"/>
          <w:szCs w:val="24"/>
          <w:lang w:val="en-US" w:eastAsia="zh-CN"/>
        </w:rPr>
        <w:t>106</w:t>
      </w:r>
      <w:r w:rsidRPr="00A36F29">
        <w:rPr>
          <w:rFonts w:ascii="Book Antiqua" w:eastAsia="DengXian" w:hAnsi="Book Antiqua" w:cs="Times New Roman"/>
          <w:kern w:val="2"/>
          <w:sz w:val="24"/>
          <w:szCs w:val="24"/>
          <w:lang w:val="en-US" w:eastAsia="zh-CN"/>
        </w:rPr>
        <w:t>: 54-66 [PMID: 29510201 DOI: 10.1016/j.vph.2018.02.010]</w:t>
      </w:r>
    </w:p>
    <w:p w14:paraId="59139C29"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22 </w:t>
      </w:r>
      <w:r w:rsidRPr="00A36F29">
        <w:rPr>
          <w:rFonts w:ascii="Book Antiqua" w:eastAsia="DengXian" w:hAnsi="Book Antiqua" w:cs="Times New Roman"/>
          <w:b/>
          <w:kern w:val="2"/>
          <w:sz w:val="24"/>
          <w:szCs w:val="24"/>
          <w:lang w:val="en-US" w:eastAsia="zh-CN"/>
        </w:rPr>
        <w:t>Duzel A</w:t>
      </w:r>
      <w:r w:rsidRPr="00A36F29">
        <w:rPr>
          <w:rFonts w:ascii="Book Antiqua" w:eastAsia="DengXian" w:hAnsi="Book Antiqua" w:cs="Times New Roman"/>
          <w:kern w:val="2"/>
          <w:sz w:val="24"/>
          <w:szCs w:val="24"/>
          <w:lang w:val="en-US" w:eastAsia="zh-CN"/>
        </w:rPr>
        <w:t xml:space="preserve">, Vlainic J, Antunovic M, Malekinusic D, Vrdoljak B, Samara M, Gojkovic S, Krezic I, Vidovic T, Bilic Z, Knezevic M, Sever M, Lojo N, Kokot A, Kolovrat M, Drmic D, Vukojevic J, Kralj T, Kasnik K, Siroglavic M, Seiwerth S, Sikiric P. Stable gastric pentadecapeptide BPC 157 in the treatment of colitis and ischemia and reperfusion in rats: New insights. </w:t>
      </w:r>
      <w:r w:rsidRPr="00A36F29">
        <w:rPr>
          <w:rFonts w:ascii="Book Antiqua" w:eastAsia="DengXian" w:hAnsi="Book Antiqua" w:cs="Times New Roman"/>
          <w:i/>
          <w:kern w:val="2"/>
          <w:sz w:val="24"/>
          <w:szCs w:val="24"/>
          <w:lang w:val="en-US" w:eastAsia="zh-CN"/>
        </w:rPr>
        <w:t>World J Gastroenterol</w:t>
      </w:r>
      <w:r w:rsidRPr="00A36F29">
        <w:rPr>
          <w:rFonts w:ascii="Book Antiqua" w:eastAsia="DengXian" w:hAnsi="Book Antiqua" w:cs="Times New Roman"/>
          <w:kern w:val="2"/>
          <w:sz w:val="24"/>
          <w:szCs w:val="24"/>
          <w:lang w:val="en-US" w:eastAsia="zh-CN"/>
        </w:rPr>
        <w:t xml:space="preserve"> 2017; </w:t>
      </w:r>
      <w:r w:rsidRPr="00A36F29">
        <w:rPr>
          <w:rFonts w:ascii="Book Antiqua" w:eastAsia="DengXian" w:hAnsi="Book Antiqua" w:cs="Times New Roman"/>
          <w:b/>
          <w:kern w:val="2"/>
          <w:sz w:val="24"/>
          <w:szCs w:val="24"/>
          <w:lang w:val="en-US" w:eastAsia="zh-CN"/>
        </w:rPr>
        <w:t>23</w:t>
      </w:r>
      <w:r w:rsidRPr="00A36F29">
        <w:rPr>
          <w:rFonts w:ascii="Book Antiqua" w:eastAsia="DengXian" w:hAnsi="Book Antiqua" w:cs="Times New Roman"/>
          <w:kern w:val="2"/>
          <w:sz w:val="24"/>
          <w:szCs w:val="24"/>
          <w:lang w:val="en-US" w:eastAsia="zh-CN"/>
        </w:rPr>
        <w:t>: 8465-8488 [PMID: 29358856 DOI: 10.3748/wjg.v23.i48.8465]</w:t>
      </w:r>
    </w:p>
    <w:p w14:paraId="605AC661"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23 </w:t>
      </w:r>
      <w:r w:rsidRPr="00A36F29">
        <w:rPr>
          <w:rFonts w:ascii="Book Antiqua" w:eastAsia="DengXian" w:hAnsi="Book Antiqua" w:cs="Times New Roman"/>
          <w:b/>
          <w:kern w:val="2"/>
          <w:sz w:val="24"/>
          <w:szCs w:val="24"/>
          <w:lang w:val="en-US" w:eastAsia="zh-CN"/>
        </w:rPr>
        <w:t>Amic F</w:t>
      </w:r>
      <w:r w:rsidRPr="00A36F29">
        <w:rPr>
          <w:rFonts w:ascii="Book Antiqua" w:eastAsia="DengXian" w:hAnsi="Book Antiqua" w:cs="Times New Roman"/>
          <w:kern w:val="2"/>
          <w:sz w:val="24"/>
          <w:szCs w:val="24"/>
          <w:lang w:val="en-US" w:eastAsia="zh-CN"/>
        </w:rPr>
        <w:t xml:space="preserve">, Drmic D, Bilic Z, Krezic I, Zizek H, Peklic M, Klicek R, Pajtak A, Amic E, Vidovic T, Rakic M, Milkovic Perisa M, Horvat Pavlov K, Kokot A, Tvrdeic A, Boban Blagaic A, Zovak M, Seiwerth S, Sikiric P. Bypassing major venous occlusion and duodenal lesions in rats, and therapy with the stable gastric pentadecapeptide BPC 157, L-NAME and L-arginine. </w:t>
      </w:r>
      <w:r w:rsidRPr="00A36F29">
        <w:rPr>
          <w:rFonts w:ascii="Book Antiqua" w:eastAsia="DengXian" w:hAnsi="Book Antiqua" w:cs="Times New Roman"/>
          <w:i/>
          <w:kern w:val="2"/>
          <w:sz w:val="24"/>
          <w:szCs w:val="24"/>
          <w:lang w:val="en-US" w:eastAsia="zh-CN"/>
        </w:rPr>
        <w:t>World J Gastroenterol</w:t>
      </w:r>
      <w:r w:rsidRPr="00A36F29">
        <w:rPr>
          <w:rFonts w:ascii="Book Antiqua" w:eastAsia="DengXian" w:hAnsi="Book Antiqua" w:cs="Times New Roman"/>
          <w:kern w:val="2"/>
          <w:sz w:val="24"/>
          <w:szCs w:val="24"/>
          <w:lang w:val="en-US" w:eastAsia="zh-CN"/>
        </w:rPr>
        <w:t xml:space="preserve"> 2018; </w:t>
      </w:r>
      <w:r w:rsidRPr="00A36F29">
        <w:rPr>
          <w:rFonts w:ascii="Book Antiqua" w:eastAsia="DengXian" w:hAnsi="Book Antiqua" w:cs="Times New Roman"/>
          <w:b/>
          <w:kern w:val="2"/>
          <w:sz w:val="24"/>
          <w:szCs w:val="24"/>
          <w:lang w:val="en-US" w:eastAsia="zh-CN"/>
        </w:rPr>
        <w:t>24</w:t>
      </w:r>
      <w:r w:rsidRPr="00A36F29">
        <w:rPr>
          <w:rFonts w:ascii="Book Antiqua" w:eastAsia="DengXian" w:hAnsi="Book Antiqua" w:cs="Times New Roman"/>
          <w:kern w:val="2"/>
          <w:sz w:val="24"/>
          <w:szCs w:val="24"/>
          <w:lang w:val="en-US" w:eastAsia="zh-CN"/>
        </w:rPr>
        <w:t>: 5366-5378 [PMID: 30598581 DOI: 10.3748/wjg.v24.i47.5366]</w:t>
      </w:r>
    </w:p>
    <w:p w14:paraId="15797040"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24 </w:t>
      </w:r>
      <w:r w:rsidRPr="00A36F29">
        <w:rPr>
          <w:rFonts w:ascii="Book Antiqua" w:eastAsia="DengXian" w:hAnsi="Book Antiqua" w:cs="Times New Roman"/>
          <w:b/>
          <w:kern w:val="2"/>
          <w:sz w:val="24"/>
          <w:szCs w:val="24"/>
          <w:lang w:val="en-US" w:eastAsia="zh-CN"/>
        </w:rPr>
        <w:t>Drmic D</w:t>
      </w:r>
      <w:r w:rsidRPr="00A36F29">
        <w:rPr>
          <w:rFonts w:ascii="Book Antiqua" w:eastAsia="DengXian" w:hAnsi="Book Antiqua" w:cs="Times New Roman"/>
          <w:kern w:val="2"/>
          <w:sz w:val="24"/>
          <w:szCs w:val="24"/>
          <w:lang w:val="en-US" w:eastAsia="zh-CN"/>
        </w:rPr>
        <w:t xml:space="preserve">, Samara M, Vidovic T, Malekinusic D, Antunovic M, Vrdoljak B, Ruzman J, Milkovic Perisa M, Horvat Pavlov K, Jeyakumar J, Seiwerth S, Sikiric P. Counteraction of perforated cecum lesions in rats: Effects of pentadecapeptide BPC 157, L-NAME and L-arginine. </w:t>
      </w:r>
      <w:r w:rsidRPr="00A36F29">
        <w:rPr>
          <w:rFonts w:ascii="Book Antiqua" w:eastAsia="DengXian" w:hAnsi="Book Antiqua" w:cs="Times New Roman"/>
          <w:i/>
          <w:kern w:val="2"/>
          <w:sz w:val="24"/>
          <w:szCs w:val="24"/>
          <w:lang w:val="en-US" w:eastAsia="zh-CN"/>
        </w:rPr>
        <w:t>World J Gastroenterol</w:t>
      </w:r>
      <w:r w:rsidRPr="00A36F29">
        <w:rPr>
          <w:rFonts w:ascii="Book Antiqua" w:eastAsia="DengXian" w:hAnsi="Book Antiqua" w:cs="Times New Roman"/>
          <w:kern w:val="2"/>
          <w:sz w:val="24"/>
          <w:szCs w:val="24"/>
          <w:lang w:val="en-US" w:eastAsia="zh-CN"/>
        </w:rPr>
        <w:t xml:space="preserve"> 2018; </w:t>
      </w:r>
      <w:r w:rsidRPr="00A36F29">
        <w:rPr>
          <w:rFonts w:ascii="Book Antiqua" w:eastAsia="DengXian" w:hAnsi="Book Antiqua" w:cs="Times New Roman"/>
          <w:b/>
          <w:kern w:val="2"/>
          <w:sz w:val="24"/>
          <w:szCs w:val="24"/>
          <w:lang w:val="en-US" w:eastAsia="zh-CN"/>
        </w:rPr>
        <w:t>24</w:t>
      </w:r>
      <w:r w:rsidRPr="00A36F29">
        <w:rPr>
          <w:rFonts w:ascii="Book Antiqua" w:eastAsia="DengXian" w:hAnsi="Book Antiqua" w:cs="Times New Roman"/>
          <w:kern w:val="2"/>
          <w:sz w:val="24"/>
          <w:szCs w:val="24"/>
          <w:lang w:val="en-US" w:eastAsia="zh-CN"/>
        </w:rPr>
        <w:t xml:space="preserve">: 5462-5476 [PMID: </w:t>
      </w:r>
      <w:r w:rsidRPr="00A36F29">
        <w:rPr>
          <w:rFonts w:ascii="Book Antiqua" w:eastAsia="DengXian" w:hAnsi="Book Antiqua" w:cs="Times New Roman"/>
          <w:kern w:val="2"/>
          <w:sz w:val="24"/>
          <w:szCs w:val="24"/>
          <w:lang w:val="en-US" w:eastAsia="zh-CN"/>
        </w:rPr>
        <w:lastRenderedPageBreak/>
        <w:t>30622376 DOI: 10.3748/wjg.v24.i48.5462]</w:t>
      </w:r>
    </w:p>
    <w:p w14:paraId="6ED40823"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25 </w:t>
      </w:r>
      <w:r w:rsidRPr="00A36F29">
        <w:rPr>
          <w:rFonts w:ascii="Book Antiqua" w:eastAsia="DengXian" w:hAnsi="Book Antiqua" w:cs="Times New Roman"/>
          <w:b/>
          <w:kern w:val="2"/>
          <w:sz w:val="24"/>
          <w:szCs w:val="24"/>
          <w:lang w:val="en-US" w:eastAsia="zh-CN"/>
        </w:rPr>
        <w:t>Sever AZ</w:t>
      </w:r>
      <w:r w:rsidRPr="00A36F29">
        <w:rPr>
          <w:rFonts w:ascii="Book Antiqua" w:eastAsia="DengXian" w:hAnsi="Book Antiqua" w:cs="Times New Roman"/>
          <w:kern w:val="2"/>
          <w:sz w:val="24"/>
          <w:szCs w:val="24"/>
          <w:lang w:val="en-US" w:eastAsia="zh-CN"/>
        </w:rPr>
        <w:t xml:space="preserve">, Sever M, Vidovic T, Lojo N, Kolenc D, Vuletic LB, Drmic D, Kokot A, Zoricic I, Coric M, Vlainic J, Poljak L, Seiwerth S, Sikiric P. Stable gastric pentadecapeptide BPC 157 in the therapy of the rats with bile duct ligation. </w:t>
      </w:r>
      <w:r w:rsidRPr="00A36F29">
        <w:rPr>
          <w:rFonts w:ascii="Book Antiqua" w:eastAsia="DengXian" w:hAnsi="Book Antiqua" w:cs="Times New Roman"/>
          <w:i/>
          <w:kern w:val="2"/>
          <w:sz w:val="24"/>
          <w:szCs w:val="24"/>
          <w:lang w:val="en-US" w:eastAsia="zh-CN"/>
        </w:rPr>
        <w:t>Eur J Pharmacol</w:t>
      </w:r>
      <w:r w:rsidRPr="00A36F29">
        <w:rPr>
          <w:rFonts w:ascii="Book Antiqua" w:eastAsia="DengXian" w:hAnsi="Book Antiqua" w:cs="Times New Roman"/>
          <w:kern w:val="2"/>
          <w:sz w:val="24"/>
          <w:szCs w:val="24"/>
          <w:lang w:val="en-US" w:eastAsia="zh-CN"/>
        </w:rPr>
        <w:t xml:space="preserve"> 2019; </w:t>
      </w:r>
      <w:r w:rsidRPr="00A36F29">
        <w:rPr>
          <w:rFonts w:ascii="Book Antiqua" w:eastAsia="DengXian" w:hAnsi="Book Antiqua" w:cs="Times New Roman"/>
          <w:b/>
          <w:kern w:val="2"/>
          <w:sz w:val="24"/>
          <w:szCs w:val="24"/>
          <w:lang w:val="en-US" w:eastAsia="zh-CN"/>
        </w:rPr>
        <w:t>847</w:t>
      </w:r>
      <w:r w:rsidRPr="00A36F29">
        <w:rPr>
          <w:rFonts w:ascii="Book Antiqua" w:eastAsia="DengXian" w:hAnsi="Book Antiqua" w:cs="Times New Roman"/>
          <w:kern w:val="2"/>
          <w:sz w:val="24"/>
          <w:szCs w:val="24"/>
          <w:lang w:val="en-US" w:eastAsia="zh-CN"/>
        </w:rPr>
        <w:t>: 130-142 [PMID: 30690000 DOI: 10.1016/j.ejphar.2019.01.030]</w:t>
      </w:r>
    </w:p>
    <w:p w14:paraId="57490C17"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26 </w:t>
      </w:r>
      <w:r w:rsidRPr="00A36F29">
        <w:rPr>
          <w:rFonts w:ascii="Book Antiqua" w:eastAsia="DengXian" w:hAnsi="Book Antiqua" w:cs="Times New Roman"/>
          <w:b/>
          <w:kern w:val="2"/>
          <w:sz w:val="24"/>
          <w:szCs w:val="24"/>
          <w:lang w:val="en-US" w:eastAsia="zh-CN"/>
        </w:rPr>
        <w:t>Prkacin I</w:t>
      </w:r>
      <w:r w:rsidRPr="00A36F29">
        <w:rPr>
          <w:rFonts w:ascii="Book Antiqua" w:eastAsia="DengXian" w:hAnsi="Book Antiqua" w:cs="Times New Roman"/>
          <w:kern w:val="2"/>
          <w:sz w:val="24"/>
          <w:szCs w:val="24"/>
          <w:lang w:val="en-US" w:eastAsia="zh-CN"/>
        </w:rPr>
        <w:t xml:space="preserve">, Separovic J, Aralicia G, Perovic D, Gjurasin M, Lovric-Bencic M, Stancic-Rokotov D, Staresinic M, Anic T, Mikus D, Sikiric P, Seiwerth S, Mise S, Rotkvic I, Jagic V, Rucman R, Petek M, Turkovic B, Marovic A, Sebecic B, Boban-Blagaic A, Kokic N. Portal hypertension and liver lesions in chronically alcohol drinking rats prevented and reversed by stable gastric pentadecapeptide BPC 157 (PL-10, PLD-116), and propranolol, but not ranitidine. </w:t>
      </w:r>
      <w:r w:rsidRPr="00A36F29">
        <w:rPr>
          <w:rFonts w:ascii="Book Antiqua" w:eastAsia="DengXian" w:hAnsi="Book Antiqua" w:cs="Times New Roman"/>
          <w:i/>
          <w:kern w:val="2"/>
          <w:sz w:val="24"/>
          <w:szCs w:val="24"/>
          <w:lang w:val="en-US" w:eastAsia="zh-CN"/>
        </w:rPr>
        <w:t>J Physiol Paris</w:t>
      </w:r>
      <w:r w:rsidRPr="00A36F29">
        <w:rPr>
          <w:rFonts w:ascii="Book Antiqua" w:eastAsia="DengXian" w:hAnsi="Book Antiqua" w:cs="Times New Roman"/>
          <w:kern w:val="2"/>
          <w:sz w:val="24"/>
          <w:szCs w:val="24"/>
          <w:lang w:val="en-US" w:eastAsia="zh-CN"/>
        </w:rPr>
        <w:t xml:space="preserve"> 2001; </w:t>
      </w:r>
      <w:r w:rsidRPr="00A36F29">
        <w:rPr>
          <w:rFonts w:ascii="Book Antiqua" w:eastAsia="DengXian" w:hAnsi="Book Antiqua" w:cs="Times New Roman"/>
          <w:b/>
          <w:kern w:val="2"/>
          <w:sz w:val="24"/>
          <w:szCs w:val="24"/>
          <w:lang w:val="en-US" w:eastAsia="zh-CN"/>
        </w:rPr>
        <w:t>95</w:t>
      </w:r>
      <w:r w:rsidRPr="00A36F29">
        <w:rPr>
          <w:rFonts w:ascii="Book Antiqua" w:eastAsia="DengXian" w:hAnsi="Book Antiqua" w:cs="Times New Roman"/>
          <w:kern w:val="2"/>
          <w:sz w:val="24"/>
          <w:szCs w:val="24"/>
          <w:lang w:val="en-US" w:eastAsia="zh-CN"/>
        </w:rPr>
        <w:t>: 315-324 [PMID: 11595456 DOI: 10.1016/S0928-4257(01)00044-4]</w:t>
      </w:r>
    </w:p>
    <w:p w14:paraId="2861C56B"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27 </w:t>
      </w:r>
      <w:r w:rsidRPr="00A36F29">
        <w:rPr>
          <w:rFonts w:ascii="Book Antiqua" w:eastAsia="DengXian" w:hAnsi="Book Antiqua" w:cs="Times New Roman"/>
          <w:b/>
          <w:kern w:val="2"/>
          <w:sz w:val="24"/>
          <w:szCs w:val="24"/>
          <w:lang w:val="en-US" w:eastAsia="zh-CN"/>
        </w:rPr>
        <w:t>Drmic D</w:t>
      </w:r>
      <w:r w:rsidRPr="00A36F29">
        <w:rPr>
          <w:rFonts w:ascii="Book Antiqua" w:eastAsia="DengXian" w:hAnsi="Book Antiqua" w:cs="Times New Roman"/>
          <w:kern w:val="2"/>
          <w:sz w:val="24"/>
          <w:szCs w:val="24"/>
          <w:lang w:val="en-US" w:eastAsia="zh-CN"/>
        </w:rPr>
        <w:t xml:space="preserve">, Kolenc D, Ilic S, Bauk L, Sever M, Zenko Sever A, Luetic K, Suran J, Seiwerth S, Sikiric P. Celecoxib-induced gastrointestinal, liver and brain lesions in rats, counteraction by BPC 157 or L-arginine, aggravation by L-NAME. </w:t>
      </w:r>
      <w:r w:rsidRPr="00A36F29">
        <w:rPr>
          <w:rFonts w:ascii="Book Antiqua" w:eastAsia="DengXian" w:hAnsi="Book Antiqua" w:cs="Times New Roman"/>
          <w:i/>
          <w:kern w:val="2"/>
          <w:sz w:val="24"/>
          <w:szCs w:val="24"/>
          <w:lang w:val="en-US" w:eastAsia="zh-CN"/>
        </w:rPr>
        <w:t>World J Gastroenterol</w:t>
      </w:r>
      <w:r w:rsidRPr="00A36F29">
        <w:rPr>
          <w:rFonts w:ascii="Book Antiqua" w:eastAsia="DengXian" w:hAnsi="Book Antiqua" w:cs="Times New Roman"/>
          <w:kern w:val="2"/>
          <w:sz w:val="24"/>
          <w:szCs w:val="24"/>
          <w:lang w:val="en-US" w:eastAsia="zh-CN"/>
        </w:rPr>
        <w:t xml:space="preserve"> 2017; </w:t>
      </w:r>
      <w:r w:rsidRPr="00A36F29">
        <w:rPr>
          <w:rFonts w:ascii="Book Antiqua" w:eastAsia="DengXian" w:hAnsi="Book Antiqua" w:cs="Times New Roman"/>
          <w:b/>
          <w:kern w:val="2"/>
          <w:sz w:val="24"/>
          <w:szCs w:val="24"/>
          <w:lang w:val="en-US" w:eastAsia="zh-CN"/>
        </w:rPr>
        <w:t>23</w:t>
      </w:r>
      <w:r w:rsidRPr="00A36F29">
        <w:rPr>
          <w:rFonts w:ascii="Book Antiqua" w:eastAsia="DengXian" w:hAnsi="Book Antiqua" w:cs="Times New Roman"/>
          <w:kern w:val="2"/>
          <w:sz w:val="24"/>
          <w:szCs w:val="24"/>
          <w:lang w:val="en-US" w:eastAsia="zh-CN"/>
        </w:rPr>
        <w:t>: 5304-5312 [PMID: 28839430 DOI: 10.3748/wjg.v23.i29.5304]</w:t>
      </w:r>
    </w:p>
    <w:p w14:paraId="49DF6566"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28 </w:t>
      </w:r>
      <w:r w:rsidRPr="00A36F29">
        <w:rPr>
          <w:rFonts w:ascii="Book Antiqua" w:eastAsia="DengXian" w:hAnsi="Book Antiqua" w:cs="Times New Roman"/>
          <w:b/>
          <w:kern w:val="2"/>
          <w:sz w:val="24"/>
          <w:szCs w:val="24"/>
          <w:lang w:val="en-US" w:eastAsia="zh-CN"/>
        </w:rPr>
        <w:t>Ilic S</w:t>
      </w:r>
      <w:r w:rsidRPr="00A36F29">
        <w:rPr>
          <w:rFonts w:ascii="Book Antiqua" w:eastAsia="DengXian" w:hAnsi="Book Antiqua" w:cs="Times New Roman"/>
          <w:kern w:val="2"/>
          <w:sz w:val="24"/>
          <w:szCs w:val="24"/>
          <w:lang w:val="en-US" w:eastAsia="zh-CN"/>
        </w:rPr>
        <w:t xml:space="preserve">, Brcic I, Mester M, Filipovic M, Sever M, Klicek R, Barisic I, Radic B, Zoricic Z, Bilic V, Berkopic L, Brcic L, Kolenc D, Romic Z, Pazanin L, Seiwerth S, Sikiric P. Over-dose insulin and stable gastric pentadecapeptide BPC 157. Attenuated gastric ulcers, seizures, brain lesions, hepatomegaly, fatty liver, breakdown of liver glycogen, profound hypoglycemia and calcification in rats. </w:t>
      </w:r>
      <w:r w:rsidRPr="00A36F29">
        <w:rPr>
          <w:rFonts w:ascii="Book Antiqua" w:eastAsia="DengXian" w:hAnsi="Book Antiqua" w:cs="Times New Roman"/>
          <w:i/>
          <w:kern w:val="2"/>
          <w:sz w:val="24"/>
          <w:szCs w:val="24"/>
          <w:lang w:val="en-US" w:eastAsia="zh-CN"/>
        </w:rPr>
        <w:t>J Physiol Pharmacol</w:t>
      </w:r>
      <w:r w:rsidRPr="00A36F29">
        <w:rPr>
          <w:rFonts w:ascii="Book Antiqua" w:eastAsia="DengXian" w:hAnsi="Book Antiqua" w:cs="Times New Roman"/>
          <w:kern w:val="2"/>
          <w:sz w:val="24"/>
          <w:szCs w:val="24"/>
          <w:lang w:val="en-US" w:eastAsia="zh-CN"/>
        </w:rPr>
        <w:t xml:space="preserve"> 2009; </w:t>
      </w:r>
      <w:r w:rsidRPr="00A36F29">
        <w:rPr>
          <w:rFonts w:ascii="Book Antiqua" w:eastAsia="DengXian" w:hAnsi="Book Antiqua" w:cs="Times New Roman"/>
          <w:b/>
          <w:kern w:val="2"/>
          <w:sz w:val="24"/>
          <w:szCs w:val="24"/>
          <w:lang w:val="en-US" w:eastAsia="zh-CN"/>
        </w:rPr>
        <w:t>60 Suppl 7</w:t>
      </w:r>
      <w:r w:rsidRPr="00A36F29">
        <w:rPr>
          <w:rFonts w:ascii="Book Antiqua" w:eastAsia="DengXian" w:hAnsi="Book Antiqua" w:cs="Times New Roman"/>
          <w:kern w:val="2"/>
          <w:sz w:val="24"/>
          <w:szCs w:val="24"/>
          <w:lang w:val="en-US" w:eastAsia="zh-CN"/>
        </w:rPr>
        <w:t>: 107-114 [PMID: 20388953]</w:t>
      </w:r>
    </w:p>
    <w:p w14:paraId="1A41D77E"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29 </w:t>
      </w:r>
      <w:r w:rsidRPr="00A36F29">
        <w:rPr>
          <w:rFonts w:ascii="Book Antiqua" w:eastAsia="DengXian" w:hAnsi="Book Antiqua" w:cs="Times New Roman"/>
          <w:b/>
          <w:kern w:val="2"/>
          <w:sz w:val="24"/>
          <w:szCs w:val="24"/>
          <w:lang w:val="en-US" w:eastAsia="zh-CN"/>
        </w:rPr>
        <w:t>Ilic S</w:t>
      </w:r>
      <w:r w:rsidRPr="00A36F29">
        <w:rPr>
          <w:rFonts w:ascii="Book Antiqua" w:eastAsia="DengXian" w:hAnsi="Book Antiqua" w:cs="Times New Roman"/>
          <w:kern w:val="2"/>
          <w:sz w:val="24"/>
          <w:szCs w:val="24"/>
          <w:lang w:val="en-US" w:eastAsia="zh-CN"/>
        </w:rPr>
        <w:t xml:space="preserve">, Drmic D, Franjic S, Kolenc D, Coric M, Brcic L, Klicek R, Radic B, Sever M, Djuzel V, Filipovic M, Djakovic Z, Stambolija V, Blagaic AB, Zoricic I, Gjurasin M, Stupnisek M, Romic Z, Zarkovic K, Dzidic S, Seiwerth S, Sikiric P. Pentadecapeptide BPC 157 and its effects on a NSAID toxicity model: diclofenac-induced gastrointestinal, liver, and encephalopathy lesions. </w:t>
      </w:r>
      <w:r w:rsidRPr="00A36F29">
        <w:rPr>
          <w:rFonts w:ascii="Book Antiqua" w:eastAsia="DengXian" w:hAnsi="Book Antiqua" w:cs="Times New Roman"/>
          <w:i/>
          <w:kern w:val="2"/>
          <w:sz w:val="24"/>
          <w:szCs w:val="24"/>
          <w:lang w:val="en-US" w:eastAsia="zh-CN"/>
        </w:rPr>
        <w:t>Life Sci</w:t>
      </w:r>
      <w:r w:rsidRPr="00A36F29">
        <w:rPr>
          <w:rFonts w:ascii="Book Antiqua" w:eastAsia="DengXian" w:hAnsi="Book Antiqua" w:cs="Times New Roman"/>
          <w:kern w:val="2"/>
          <w:sz w:val="24"/>
          <w:szCs w:val="24"/>
          <w:lang w:val="en-US" w:eastAsia="zh-CN"/>
        </w:rPr>
        <w:t xml:space="preserve"> 2011; </w:t>
      </w:r>
      <w:r w:rsidRPr="00A36F29">
        <w:rPr>
          <w:rFonts w:ascii="Book Antiqua" w:eastAsia="DengXian" w:hAnsi="Book Antiqua" w:cs="Times New Roman"/>
          <w:b/>
          <w:kern w:val="2"/>
          <w:sz w:val="24"/>
          <w:szCs w:val="24"/>
          <w:lang w:val="en-US" w:eastAsia="zh-CN"/>
        </w:rPr>
        <w:t>88</w:t>
      </w:r>
      <w:r w:rsidRPr="00A36F29">
        <w:rPr>
          <w:rFonts w:ascii="Book Antiqua" w:eastAsia="DengXian" w:hAnsi="Book Antiqua" w:cs="Times New Roman"/>
          <w:kern w:val="2"/>
          <w:sz w:val="24"/>
          <w:szCs w:val="24"/>
          <w:lang w:val="en-US" w:eastAsia="zh-CN"/>
        </w:rPr>
        <w:t>: 535-542 [PMID: 21295044 DOI: 10.1016/j.lfs.2011.01.015]</w:t>
      </w:r>
    </w:p>
    <w:p w14:paraId="6AF4C3A7"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30 </w:t>
      </w:r>
      <w:r w:rsidRPr="00A36F29">
        <w:rPr>
          <w:rFonts w:ascii="Book Antiqua" w:eastAsia="DengXian" w:hAnsi="Book Antiqua" w:cs="Times New Roman"/>
          <w:b/>
          <w:kern w:val="2"/>
          <w:sz w:val="24"/>
          <w:szCs w:val="24"/>
          <w:lang w:val="en-US" w:eastAsia="zh-CN"/>
        </w:rPr>
        <w:t>Ilic S</w:t>
      </w:r>
      <w:r w:rsidRPr="00A36F29">
        <w:rPr>
          <w:rFonts w:ascii="Book Antiqua" w:eastAsia="DengXian" w:hAnsi="Book Antiqua" w:cs="Times New Roman"/>
          <w:kern w:val="2"/>
          <w:sz w:val="24"/>
          <w:szCs w:val="24"/>
          <w:lang w:val="en-US" w:eastAsia="zh-CN"/>
        </w:rPr>
        <w:t xml:space="preserve">, Drmic D, Zarkovic K, Kolenc D, Brcic L, Radic B, Djuzel V, Blagaic AB, Romic Z, Dzidic S, Kalogjera L, Seiwerth S, Sikiric P. Ibuprofen hepatic encephalopathy, hepatomegaly, gastric lesion and gastric pentadecapeptide BPC 157 in rats. </w:t>
      </w:r>
      <w:r w:rsidRPr="00A36F29">
        <w:rPr>
          <w:rFonts w:ascii="Book Antiqua" w:eastAsia="DengXian" w:hAnsi="Book Antiqua" w:cs="Times New Roman"/>
          <w:i/>
          <w:kern w:val="2"/>
          <w:sz w:val="24"/>
          <w:szCs w:val="24"/>
          <w:lang w:val="en-US" w:eastAsia="zh-CN"/>
        </w:rPr>
        <w:t>Eur J Pharmacol</w:t>
      </w:r>
      <w:r w:rsidRPr="00A36F29">
        <w:rPr>
          <w:rFonts w:ascii="Book Antiqua" w:eastAsia="DengXian" w:hAnsi="Book Antiqua" w:cs="Times New Roman"/>
          <w:kern w:val="2"/>
          <w:sz w:val="24"/>
          <w:szCs w:val="24"/>
          <w:lang w:val="en-US" w:eastAsia="zh-CN"/>
        </w:rPr>
        <w:t xml:space="preserve"> 2011; </w:t>
      </w:r>
      <w:r w:rsidRPr="00A36F29">
        <w:rPr>
          <w:rFonts w:ascii="Book Antiqua" w:eastAsia="DengXian" w:hAnsi="Book Antiqua" w:cs="Times New Roman"/>
          <w:b/>
          <w:kern w:val="2"/>
          <w:sz w:val="24"/>
          <w:szCs w:val="24"/>
          <w:lang w:val="en-US" w:eastAsia="zh-CN"/>
        </w:rPr>
        <w:t>667</w:t>
      </w:r>
      <w:r w:rsidRPr="00A36F29">
        <w:rPr>
          <w:rFonts w:ascii="Book Antiqua" w:eastAsia="DengXian" w:hAnsi="Book Antiqua" w:cs="Times New Roman"/>
          <w:kern w:val="2"/>
          <w:sz w:val="24"/>
          <w:szCs w:val="24"/>
          <w:lang w:val="en-US" w:eastAsia="zh-CN"/>
        </w:rPr>
        <w:t xml:space="preserve">: 322-329 [PMID: 21645505 DOI: </w:t>
      </w:r>
      <w:r w:rsidRPr="00A36F29">
        <w:rPr>
          <w:rFonts w:ascii="Book Antiqua" w:eastAsia="DengXian" w:hAnsi="Book Antiqua" w:cs="Times New Roman"/>
          <w:kern w:val="2"/>
          <w:sz w:val="24"/>
          <w:szCs w:val="24"/>
          <w:lang w:val="en-US" w:eastAsia="zh-CN"/>
        </w:rPr>
        <w:lastRenderedPageBreak/>
        <w:t>10.1016/j.ejphar.2011.05.038]</w:t>
      </w:r>
    </w:p>
    <w:p w14:paraId="4B02D76D"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31 </w:t>
      </w:r>
      <w:r w:rsidRPr="00A36F29">
        <w:rPr>
          <w:rFonts w:ascii="Book Antiqua" w:eastAsia="DengXian" w:hAnsi="Book Antiqua" w:cs="Times New Roman"/>
          <w:b/>
          <w:kern w:val="2"/>
          <w:sz w:val="24"/>
          <w:szCs w:val="24"/>
          <w:lang w:val="en-US" w:eastAsia="zh-CN"/>
        </w:rPr>
        <w:t>Lojo N</w:t>
      </w:r>
      <w:r w:rsidRPr="00A36F29">
        <w:rPr>
          <w:rFonts w:ascii="Book Antiqua" w:eastAsia="DengXian" w:hAnsi="Book Antiqua" w:cs="Times New Roman"/>
          <w:kern w:val="2"/>
          <w:sz w:val="24"/>
          <w:szCs w:val="24"/>
          <w:lang w:val="en-US" w:eastAsia="zh-CN"/>
        </w:rPr>
        <w:t xml:space="preserve">, Rasic Z, Zenko Sever A, Kolenc D, Vukusic D, Drmic D, Zoricic I, Sever M, Seiwerth S, Sikiric P. Effects of Diclofenac, L-NAME, L-Arginine, and Pentadecapeptide BPC 157 on Gastrointestinal, Liver, and Brain Lesions, Failed Anastomosis, and Intestinal Adaptation Deterioration in 24 Hour-Short-Bowel Rats. </w:t>
      </w:r>
      <w:r w:rsidRPr="00A36F29">
        <w:rPr>
          <w:rFonts w:ascii="Book Antiqua" w:eastAsia="DengXian" w:hAnsi="Book Antiqua" w:cs="Times New Roman"/>
          <w:i/>
          <w:kern w:val="2"/>
          <w:sz w:val="24"/>
          <w:szCs w:val="24"/>
          <w:lang w:val="en-US" w:eastAsia="zh-CN"/>
        </w:rPr>
        <w:t>PLoS One</w:t>
      </w:r>
      <w:r w:rsidRPr="00A36F29">
        <w:rPr>
          <w:rFonts w:ascii="Book Antiqua" w:eastAsia="DengXian" w:hAnsi="Book Antiqua" w:cs="Times New Roman"/>
          <w:kern w:val="2"/>
          <w:sz w:val="24"/>
          <w:szCs w:val="24"/>
          <w:lang w:val="en-US" w:eastAsia="zh-CN"/>
        </w:rPr>
        <w:t xml:space="preserve"> 2016; </w:t>
      </w:r>
      <w:r w:rsidRPr="00A36F29">
        <w:rPr>
          <w:rFonts w:ascii="Book Antiqua" w:eastAsia="DengXian" w:hAnsi="Book Antiqua" w:cs="Times New Roman"/>
          <w:b/>
          <w:kern w:val="2"/>
          <w:sz w:val="24"/>
          <w:szCs w:val="24"/>
          <w:lang w:val="en-US" w:eastAsia="zh-CN"/>
        </w:rPr>
        <w:t>11</w:t>
      </w:r>
      <w:r w:rsidRPr="00A36F29">
        <w:rPr>
          <w:rFonts w:ascii="Book Antiqua" w:eastAsia="DengXian" w:hAnsi="Book Antiqua" w:cs="Times New Roman"/>
          <w:kern w:val="2"/>
          <w:sz w:val="24"/>
          <w:szCs w:val="24"/>
          <w:lang w:val="en-US" w:eastAsia="zh-CN"/>
        </w:rPr>
        <w:t>: e0162590 [PMID: 27627764 DOI: 10.1371/journal.pone.0162590]</w:t>
      </w:r>
    </w:p>
    <w:p w14:paraId="470F50E1"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32 </w:t>
      </w:r>
      <w:r w:rsidRPr="00A36F29">
        <w:rPr>
          <w:rFonts w:ascii="Book Antiqua" w:eastAsia="DengXian" w:hAnsi="Book Antiqua" w:cs="Times New Roman"/>
          <w:b/>
          <w:kern w:val="2"/>
          <w:sz w:val="24"/>
          <w:szCs w:val="24"/>
          <w:lang w:val="en-US" w:eastAsia="zh-CN"/>
        </w:rPr>
        <w:t>Sikiric P</w:t>
      </w:r>
      <w:r w:rsidRPr="00A36F29">
        <w:rPr>
          <w:rFonts w:ascii="Book Antiqua" w:eastAsia="DengXian" w:hAnsi="Book Antiqua" w:cs="Times New Roman"/>
          <w:kern w:val="2"/>
          <w:sz w:val="24"/>
          <w:szCs w:val="24"/>
          <w:lang w:val="en-US" w:eastAsia="zh-CN"/>
        </w:rPr>
        <w:t xml:space="preserve">, Seiwerth S, Grabarevic Z, Rucman R, Petek M, Rotkvic I, Turkovic B, Jagic V, Mildner B, Duvnjak M. Hepatoprotective effect of BPC 157, a 15-amino acid peptide, on liver lesions induced by either restraint stress or bile duct and hepatic artery ligation or CCl4 administration. A comparative study with dopamine agonists and somatostatin. </w:t>
      </w:r>
      <w:r w:rsidRPr="00A36F29">
        <w:rPr>
          <w:rFonts w:ascii="Book Antiqua" w:eastAsia="DengXian" w:hAnsi="Book Antiqua" w:cs="Times New Roman"/>
          <w:i/>
          <w:kern w:val="2"/>
          <w:sz w:val="24"/>
          <w:szCs w:val="24"/>
          <w:lang w:val="en-US" w:eastAsia="zh-CN"/>
        </w:rPr>
        <w:t>Life Sci</w:t>
      </w:r>
      <w:r w:rsidRPr="00A36F29">
        <w:rPr>
          <w:rFonts w:ascii="Book Antiqua" w:eastAsia="DengXian" w:hAnsi="Book Antiqua" w:cs="Times New Roman"/>
          <w:kern w:val="2"/>
          <w:sz w:val="24"/>
          <w:szCs w:val="24"/>
          <w:lang w:val="en-US" w:eastAsia="zh-CN"/>
        </w:rPr>
        <w:t xml:space="preserve"> 1993; </w:t>
      </w:r>
      <w:r w:rsidRPr="00A36F29">
        <w:rPr>
          <w:rFonts w:ascii="Book Antiqua" w:eastAsia="DengXian" w:hAnsi="Book Antiqua" w:cs="Times New Roman"/>
          <w:b/>
          <w:kern w:val="2"/>
          <w:sz w:val="24"/>
          <w:szCs w:val="24"/>
          <w:lang w:val="en-US" w:eastAsia="zh-CN"/>
        </w:rPr>
        <w:t>53</w:t>
      </w:r>
      <w:r w:rsidRPr="00A36F29">
        <w:rPr>
          <w:rFonts w:ascii="Book Antiqua" w:eastAsia="DengXian" w:hAnsi="Book Antiqua" w:cs="Times New Roman"/>
          <w:kern w:val="2"/>
          <w:sz w:val="24"/>
          <w:szCs w:val="24"/>
          <w:lang w:val="en-US" w:eastAsia="zh-CN"/>
        </w:rPr>
        <w:t>: PL291-PL296 [PMID: 7901724 DOI: 10.1016/0024-3205(93)90589-u]</w:t>
      </w:r>
    </w:p>
    <w:p w14:paraId="319EB13D"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33 </w:t>
      </w:r>
      <w:r w:rsidRPr="00A36F29">
        <w:rPr>
          <w:rFonts w:ascii="Book Antiqua" w:eastAsia="DengXian" w:hAnsi="Book Antiqua" w:cs="Times New Roman"/>
          <w:b/>
          <w:bCs/>
          <w:kern w:val="2"/>
          <w:sz w:val="24"/>
          <w:szCs w:val="24"/>
          <w:lang w:val="en-US" w:eastAsia="zh-CN"/>
        </w:rPr>
        <w:t>Greene EC</w:t>
      </w:r>
      <w:r w:rsidRPr="00A36F29">
        <w:rPr>
          <w:rFonts w:ascii="Book Antiqua" w:eastAsia="DengXian" w:hAnsi="Book Antiqua" w:cs="Times New Roman"/>
          <w:kern w:val="2"/>
          <w:sz w:val="24"/>
          <w:szCs w:val="24"/>
          <w:lang w:val="en-US" w:eastAsia="zh-CN"/>
        </w:rPr>
        <w:t xml:space="preserve">. Anatomy of the rat. </w:t>
      </w:r>
      <w:r w:rsidRPr="00A36F29">
        <w:rPr>
          <w:rFonts w:ascii="Book Antiqua" w:eastAsia="DengXian" w:hAnsi="Book Antiqua" w:cs="Times New Roman"/>
          <w:i/>
          <w:iCs/>
          <w:kern w:val="2"/>
          <w:sz w:val="24"/>
          <w:szCs w:val="24"/>
          <w:lang w:val="en-US" w:eastAsia="zh-CN"/>
        </w:rPr>
        <w:t>Trans Am Philos Soc</w:t>
      </w:r>
      <w:r w:rsidRPr="00A36F29">
        <w:rPr>
          <w:rFonts w:ascii="Book Antiqua" w:eastAsia="DengXian" w:hAnsi="Book Antiqua" w:cs="Times New Roman"/>
          <w:kern w:val="2"/>
          <w:sz w:val="24"/>
          <w:szCs w:val="24"/>
          <w:lang w:val="en-US" w:eastAsia="zh-CN"/>
        </w:rPr>
        <w:t xml:space="preserve"> 1935; </w:t>
      </w:r>
      <w:r w:rsidRPr="00A36F29">
        <w:rPr>
          <w:rFonts w:ascii="Book Antiqua" w:eastAsia="DengXian" w:hAnsi="Book Antiqua" w:cs="Times New Roman"/>
          <w:b/>
          <w:bCs/>
          <w:kern w:val="2"/>
          <w:sz w:val="24"/>
          <w:szCs w:val="24"/>
          <w:lang w:val="en-US" w:eastAsia="zh-CN"/>
        </w:rPr>
        <w:t>27</w:t>
      </w:r>
      <w:r w:rsidRPr="00A36F29">
        <w:rPr>
          <w:rFonts w:ascii="Book Antiqua" w:eastAsia="DengXian" w:hAnsi="Book Antiqua" w:cs="Times New Roman"/>
          <w:kern w:val="2"/>
          <w:sz w:val="24"/>
          <w:szCs w:val="24"/>
          <w:lang w:val="en-US" w:eastAsia="zh-CN"/>
        </w:rPr>
        <w:t>: ii [DOI: 10.2307/1005513]</w:t>
      </w:r>
    </w:p>
    <w:p w14:paraId="30024169"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34 </w:t>
      </w:r>
      <w:r w:rsidRPr="00A36F29">
        <w:rPr>
          <w:rFonts w:ascii="Book Antiqua" w:eastAsia="DengXian" w:hAnsi="Book Antiqua" w:cs="Times New Roman"/>
          <w:b/>
          <w:kern w:val="2"/>
          <w:sz w:val="24"/>
          <w:szCs w:val="24"/>
          <w:lang w:val="en-US" w:eastAsia="zh-CN"/>
        </w:rPr>
        <w:t>Peralta C</w:t>
      </w:r>
      <w:r w:rsidRPr="00A36F29">
        <w:rPr>
          <w:rFonts w:ascii="Book Antiqua" w:eastAsia="DengXian" w:hAnsi="Book Antiqua" w:cs="Times New Roman"/>
          <w:kern w:val="2"/>
          <w:sz w:val="24"/>
          <w:szCs w:val="24"/>
          <w:lang w:val="en-US" w:eastAsia="zh-CN"/>
        </w:rPr>
        <w:t xml:space="preserve">, Prats N, Xaus C, Gelpí E, Roselló-Catafau J. Protective effect of liver ischemic preconditioning on liver and lung injury induced by hepatic ischemia-reperfusion in the rat. </w:t>
      </w:r>
      <w:r w:rsidRPr="00A36F29">
        <w:rPr>
          <w:rFonts w:ascii="Book Antiqua" w:eastAsia="DengXian" w:hAnsi="Book Antiqua" w:cs="Times New Roman"/>
          <w:i/>
          <w:kern w:val="2"/>
          <w:sz w:val="24"/>
          <w:szCs w:val="24"/>
          <w:lang w:val="en-US" w:eastAsia="zh-CN"/>
        </w:rPr>
        <w:t>Hepatology</w:t>
      </w:r>
      <w:r w:rsidRPr="00A36F29">
        <w:rPr>
          <w:rFonts w:ascii="Book Antiqua" w:eastAsia="DengXian" w:hAnsi="Book Antiqua" w:cs="Times New Roman"/>
          <w:kern w:val="2"/>
          <w:sz w:val="24"/>
          <w:szCs w:val="24"/>
          <w:lang w:val="en-US" w:eastAsia="zh-CN"/>
        </w:rPr>
        <w:t xml:space="preserve"> 1999; </w:t>
      </w:r>
      <w:r w:rsidRPr="00A36F29">
        <w:rPr>
          <w:rFonts w:ascii="Book Antiqua" w:eastAsia="DengXian" w:hAnsi="Book Antiqua" w:cs="Times New Roman"/>
          <w:b/>
          <w:kern w:val="2"/>
          <w:sz w:val="24"/>
          <w:szCs w:val="24"/>
          <w:lang w:val="en-US" w:eastAsia="zh-CN"/>
        </w:rPr>
        <w:t>30</w:t>
      </w:r>
      <w:r w:rsidRPr="00A36F29">
        <w:rPr>
          <w:rFonts w:ascii="Book Antiqua" w:eastAsia="DengXian" w:hAnsi="Book Antiqua" w:cs="Times New Roman"/>
          <w:kern w:val="2"/>
          <w:sz w:val="24"/>
          <w:szCs w:val="24"/>
          <w:lang w:val="en-US" w:eastAsia="zh-CN"/>
        </w:rPr>
        <w:t>: 1481-1489 [PMID: 10573528 DOI: 10.1002/hep.510300622]</w:t>
      </w:r>
    </w:p>
    <w:p w14:paraId="61942139"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35 </w:t>
      </w:r>
      <w:r w:rsidRPr="00A36F29">
        <w:rPr>
          <w:rFonts w:ascii="Book Antiqua" w:eastAsia="DengXian" w:hAnsi="Book Antiqua" w:cs="Times New Roman"/>
          <w:b/>
          <w:kern w:val="2"/>
          <w:sz w:val="24"/>
          <w:szCs w:val="24"/>
          <w:lang w:val="en-US" w:eastAsia="zh-CN"/>
        </w:rPr>
        <w:t>Rodrigues DA</w:t>
      </w:r>
      <w:r w:rsidRPr="00A36F29">
        <w:rPr>
          <w:rFonts w:ascii="Book Antiqua" w:eastAsia="DengXian" w:hAnsi="Book Antiqua" w:cs="Times New Roman"/>
          <w:kern w:val="2"/>
          <w:sz w:val="24"/>
          <w:szCs w:val="24"/>
          <w:lang w:val="en-US" w:eastAsia="zh-CN"/>
        </w:rPr>
        <w:t xml:space="preserve">, da Silva AR, Serigiolle LC, Fidalgo Rde S, Favero SS, Leme PL. Constriction rate variation produced by partial ligation of the portal vein at pre-hepatic portal hypertension induced in rats. </w:t>
      </w:r>
      <w:r w:rsidRPr="00A36F29">
        <w:rPr>
          <w:rFonts w:ascii="Book Antiqua" w:eastAsia="DengXian" w:hAnsi="Book Antiqua" w:cs="Times New Roman"/>
          <w:i/>
          <w:kern w:val="2"/>
          <w:sz w:val="24"/>
          <w:szCs w:val="24"/>
          <w:lang w:val="en-US" w:eastAsia="zh-CN"/>
        </w:rPr>
        <w:t>Arq Bras Cir Dig</w:t>
      </w:r>
      <w:r w:rsidRPr="00A36F29">
        <w:rPr>
          <w:rFonts w:ascii="Book Antiqua" w:eastAsia="DengXian" w:hAnsi="Book Antiqua" w:cs="Times New Roman"/>
          <w:kern w:val="2"/>
          <w:sz w:val="24"/>
          <w:szCs w:val="24"/>
          <w:lang w:val="en-US" w:eastAsia="zh-CN"/>
        </w:rPr>
        <w:t xml:space="preserve"> 2014; </w:t>
      </w:r>
      <w:r w:rsidRPr="00A36F29">
        <w:rPr>
          <w:rFonts w:ascii="Book Antiqua" w:eastAsia="DengXian" w:hAnsi="Book Antiqua" w:cs="Times New Roman"/>
          <w:b/>
          <w:kern w:val="2"/>
          <w:sz w:val="24"/>
          <w:szCs w:val="24"/>
          <w:lang w:val="en-US" w:eastAsia="zh-CN"/>
        </w:rPr>
        <w:t>27</w:t>
      </w:r>
      <w:r w:rsidRPr="00A36F29">
        <w:rPr>
          <w:rFonts w:ascii="Book Antiqua" w:eastAsia="DengXian" w:hAnsi="Book Antiqua" w:cs="Times New Roman"/>
          <w:kern w:val="2"/>
          <w:sz w:val="24"/>
          <w:szCs w:val="24"/>
          <w:lang w:val="en-US" w:eastAsia="zh-CN"/>
        </w:rPr>
        <w:t>: 280-284 [PMID: 25626939 DOI: 10.1590/S0102-67202014000400012]</w:t>
      </w:r>
    </w:p>
    <w:p w14:paraId="0ACB7DDF"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36 </w:t>
      </w:r>
      <w:r w:rsidRPr="00A36F29">
        <w:rPr>
          <w:rFonts w:ascii="Book Antiqua" w:eastAsia="DengXian" w:hAnsi="Book Antiqua" w:cs="Times New Roman"/>
          <w:b/>
          <w:kern w:val="2"/>
          <w:sz w:val="24"/>
          <w:szCs w:val="24"/>
          <w:lang w:val="en-US" w:eastAsia="zh-CN"/>
        </w:rPr>
        <w:t>Wen Z</w:t>
      </w:r>
      <w:r w:rsidRPr="00A36F29">
        <w:rPr>
          <w:rFonts w:ascii="Book Antiqua" w:eastAsia="DengXian" w:hAnsi="Book Antiqua" w:cs="Times New Roman"/>
          <w:kern w:val="2"/>
          <w:sz w:val="24"/>
          <w:szCs w:val="24"/>
          <w:lang w:val="en-US" w:eastAsia="zh-CN"/>
        </w:rPr>
        <w:t xml:space="preserve">, Zhang JZ, Xia HM, Yang CX, Chen YJ. Stability of a rat model of prehepatic portal hypertension caused by partial ligation of the portal vein. </w:t>
      </w:r>
      <w:r w:rsidRPr="00A36F29">
        <w:rPr>
          <w:rFonts w:ascii="Book Antiqua" w:eastAsia="DengXian" w:hAnsi="Book Antiqua" w:cs="Times New Roman"/>
          <w:i/>
          <w:kern w:val="2"/>
          <w:sz w:val="24"/>
          <w:szCs w:val="24"/>
          <w:lang w:val="en-US" w:eastAsia="zh-CN"/>
        </w:rPr>
        <w:t>World J Gastroenterol</w:t>
      </w:r>
      <w:r w:rsidRPr="00A36F29">
        <w:rPr>
          <w:rFonts w:ascii="Book Antiqua" w:eastAsia="DengXian" w:hAnsi="Book Antiqua" w:cs="Times New Roman"/>
          <w:kern w:val="2"/>
          <w:sz w:val="24"/>
          <w:szCs w:val="24"/>
          <w:lang w:val="en-US" w:eastAsia="zh-CN"/>
        </w:rPr>
        <w:t xml:space="preserve"> 2009; </w:t>
      </w:r>
      <w:r w:rsidRPr="00A36F29">
        <w:rPr>
          <w:rFonts w:ascii="Book Antiqua" w:eastAsia="DengXian" w:hAnsi="Book Antiqua" w:cs="Times New Roman"/>
          <w:b/>
          <w:kern w:val="2"/>
          <w:sz w:val="24"/>
          <w:szCs w:val="24"/>
          <w:lang w:val="en-US" w:eastAsia="zh-CN"/>
        </w:rPr>
        <w:t>15</w:t>
      </w:r>
      <w:r w:rsidRPr="00A36F29">
        <w:rPr>
          <w:rFonts w:ascii="Book Antiqua" w:eastAsia="DengXian" w:hAnsi="Book Antiqua" w:cs="Times New Roman"/>
          <w:kern w:val="2"/>
          <w:sz w:val="24"/>
          <w:szCs w:val="24"/>
          <w:lang w:val="en-US" w:eastAsia="zh-CN"/>
        </w:rPr>
        <w:t>: 4049-4054 [PMID: 19705502 DOI: 10.3748/wjg.15.4049]</w:t>
      </w:r>
    </w:p>
    <w:p w14:paraId="3BA898A6"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37 </w:t>
      </w:r>
      <w:r w:rsidRPr="00A36F29">
        <w:rPr>
          <w:rFonts w:ascii="Book Antiqua" w:eastAsia="DengXian" w:hAnsi="Book Antiqua" w:cs="Times New Roman"/>
          <w:b/>
          <w:kern w:val="2"/>
          <w:sz w:val="24"/>
          <w:szCs w:val="24"/>
          <w:lang w:val="en-US" w:eastAsia="zh-CN"/>
        </w:rPr>
        <w:t>Grabarevic Z</w:t>
      </w:r>
      <w:r w:rsidRPr="00A36F29">
        <w:rPr>
          <w:rFonts w:ascii="Book Antiqua" w:eastAsia="DengXian" w:hAnsi="Book Antiqua" w:cs="Times New Roman"/>
          <w:kern w:val="2"/>
          <w:sz w:val="24"/>
          <w:szCs w:val="24"/>
          <w:lang w:val="en-US" w:eastAsia="zh-CN"/>
        </w:rPr>
        <w:t xml:space="preserve">, Tisljar M, Artukovic B, Bratulic M, Dzaja P, Seiwerth S, Sikiric P, Peric J, Geres D, Kos J. The influence of BPC 157 on nitric oxide agonist and antagonist induced lesions in broiler chicks. </w:t>
      </w:r>
      <w:r w:rsidRPr="00A36F29">
        <w:rPr>
          <w:rFonts w:ascii="Book Antiqua" w:eastAsia="DengXian" w:hAnsi="Book Antiqua" w:cs="Times New Roman"/>
          <w:i/>
          <w:kern w:val="2"/>
          <w:sz w:val="24"/>
          <w:szCs w:val="24"/>
          <w:lang w:val="en-US" w:eastAsia="zh-CN"/>
        </w:rPr>
        <w:t>J Physiol Paris</w:t>
      </w:r>
      <w:r w:rsidRPr="00A36F29">
        <w:rPr>
          <w:rFonts w:ascii="Book Antiqua" w:eastAsia="DengXian" w:hAnsi="Book Antiqua" w:cs="Times New Roman"/>
          <w:kern w:val="2"/>
          <w:sz w:val="24"/>
          <w:szCs w:val="24"/>
          <w:lang w:val="en-US" w:eastAsia="zh-CN"/>
        </w:rPr>
        <w:t xml:space="preserve"> 1997; </w:t>
      </w:r>
      <w:r w:rsidRPr="00A36F29">
        <w:rPr>
          <w:rFonts w:ascii="Book Antiqua" w:eastAsia="DengXian" w:hAnsi="Book Antiqua" w:cs="Times New Roman"/>
          <w:b/>
          <w:kern w:val="2"/>
          <w:sz w:val="24"/>
          <w:szCs w:val="24"/>
          <w:lang w:val="en-US" w:eastAsia="zh-CN"/>
        </w:rPr>
        <w:t>91</w:t>
      </w:r>
      <w:r w:rsidRPr="00A36F29">
        <w:rPr>
          <w:rFonts w:ascii="Book Antiqua" w:eastAsia="DengXian" w:hAnsi="Book Antiqua" w:cs="Times New Roman"/>
          <w:kern w:val="2"/>
          <w:sz w:val="24"/>
          <w:szCs w:val="24"/>
          <w:lang w:val="en-US" w:eastAsia="zh-CN"/>
        </w:rPr>
        <w:t>: 139-149 [PMID: 9403788 DOI: 10.1016/S0928-4257(97)89478-8]</w:t>
      </w:r>
    </w:p>
    <w:p w14:paraId="4DF4DA77"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38 </w:t>
      </w:r>
      <w:r w:rsidRPr="00A36F29">
        <w:rPr>
          <w:rFonts w:ascii="Book Antiqua" w:eastAsia="DengXian" w:hAnsi="Book Antiqua" w:cs="Times New Roman"/>
          <w:b/>
          <w:kern w:val="2"/>
          <w:sz w:val="24"/>
          <w:szCs w:val="24"/>
          <w:lang w:val="en-US" w:eastAsia="zh-CN"/>
        </w:rPr>
        <w:t>Stancic-Rokotov D</w:t>
      </w:r>
      <w:r w:rsidRPr="00A36F29">
        <w:rPr>
          <w:rFonts w:ascii="Book Antiqua" w:eastAsia="DengXian" w:hAnsi="Book Antiqua" w:cs="Times New Roman"/>
          <w:kern w:val="2"/>
          <w:sz w:val="24"/>
          <w:szCs w:val="24"/>
          <w:lang w:val="en-US" w:eastAsia="zh-CN"/>
        </w:rPr>
        <w:t xml:space="preserve">, Sikiric P, Seiwerth S, Slobodnjak Z, Aralica J, Aralica G, Perovic D, Anic T, Zoricic I, Buljat G, Prkacin I, Gjurasin M, Rucman R, Petek M, Turkovic B, Ivasovic Z, Jagic V, Staresinic M, Boban-Blagaic A. Ethanol gastric lesion </w:t>
      </w:r>
      <w:r w:rsidRPr="00A36F29">
        <w:rPr>
          <w:rFonts w:ascii="Book Antiqua" w:eastAsia="DengXian" w:hAnsi="Book Antiqua" w:cs="Times New Roman"/>
          <w:kern w:val="2"/>
          <w:sz w:val="24"/>
          <w:szCs w:val="24"/>
          <w:lang w:val="en-US" w:eastAsia="zh-CN"/>
        </w:rPr>
        <w:lastRenderedPageBreak/>
        <w:t xml:space="preserve">aggravated by lung injury in rat. Therapy effect of antiulcer agents. </w:t>
      </w:r>
      <w:r w:rsidRPr="00A36F29">
        <w:rPr>
          <w:rFonts w:ascii="Book Antiqua" w:eastAsia="DengXian" w:hAnsi="Book Antiqua" w:cs="Times New Roman"/>
          <w:i/>
          <w:kern w:val="2"/>
          <w:sz w:val="24"/>
          <w:szCs w:val="24"/>
          <w:lang w:val="en-US" w:eastAsia="zh-CN"/>
        </w:rPr>
        <w:t>J Physiol Paris</w:t>
      </w:r>
      <w:r w:rsidRPr="00A36F29">
        <w:rPr>
          <w:rFonts w:ascii="Book Antiqua" w:eastAsia="DengXian" w:hAnsi="Book Antiqua" w:cs="Times New Roman"/>
          <w:kern w:val="2"/>
          <w:sz w:val="24"/>
          <w:szCs w:val="24"/>
          <w:lang w:val="en-US" w:eastAsia="zh-CN"/>
        </w:rPr>
        <w:t xml:space="preserve"> 2001; </w:t>
      </w:r>
      <w:r w:rsidRPr="00A36F29">
        <w:rPr>
          <w:rFonts w:ascii="Book Antiqua" w:eastAsia="DengXian" w:hAnsi="Book Antiqua" w:cs="Times New Roman"/>
          <w:b/>
          <w:kern w:val="2"/>
          <w:sz w:val="24"/>
          <w:szCs w:val="24"/>
          <w:lang w:val="en-US" w:eastAsia="zh-CN"/>
        </w:rPr>
        <w:t>95</w:t>
      </w:r>
      <w:r w:rsidRPr="00A36F29">
        <w:rPr>
          <w:rFonts w:ascii="Book Antiqua" w:eastAsia="DengXian" w:hAnsi="Book Antiqua" w:cs="Times New Roman"/>
          <w:kern w:val="2"/>
          <w:sz w:val="24"/>
          <w:szCs w:val="24"/>
          <w:lang w:val="en-US" w:eastAsia="zh-CN"/>
        </w:rPr>
        <w:t>: 289-293 [PMID: 11595452 DOI: 10.1016/S0928-4257(01)00040-7]</w:t>
      </w:r>
    </w:p>
    <w:p w14:paraId="456DEFFB"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39 </w:t>
      </w:r>
      <w:r w:rsidRPr="00A36F29">
        <w:rPr>
          <w:rFonts w:ascii="Book Antiqua" w:eastAsia="DengXian" w:hAnsi="Book Antiqua" w:cs="Times New Roman"/>
          <w:b/>
          <w:kern w:val="2"/>
          <w:sz w:val="24"/>
          <w:szCs w:val="24"/>
          <w:lang w:val="en-US" w:eastAsia="zh-CN"/>
        </w:rPr>
        <w:t>Stancic-Rokotov D</w:t>
      </w:r>
      <w:r w:rsidRPr="00A36F29">
        <w:rPr>
          <w:rFonts w:ascii="Book Antiqua" w:eastAsia="DengXian" w:hAnsi="Book Antiqua" w:cs="Times New Roman"/>
          <w:kern w:val="2"/>
          <w:sz w:val="24"/>
          <w:szCs w:val="24"/>
          <w:lang w:val="en-US" w:eastAsia="zh-CN"/>
        </w:rPr>
        <w:t xml:space="preserve">, Slobodnjak Z, Aralica J, Aralica G, Perovic D, Staresinic M, Gjurasin M, Anic T, Zoricic I, Buljat G, Prkacin I, Sikiric P, Seiwerth S, Rucman R, Petek M, Turkovic B, Kokic N, Jagic V, Boban-Blagaic A. Lung lesions and anti-ulcer agents beneficial effect: anti-ulcer agents pentadecapeptide BPC 157, ranitidine, omeprazole and atropine ameliorate lung lesion in rats. </w:t>
      </w:r>
      <w:r w:rsidRPr="00A36F29">
        <w:rPr>
          <w:rFonts w:ascii="Book Antiqua" w:eastAsia="DengXian" w:hAnsi="Book Antiqua" w:cs="Times New Roman"/>
          <w:i/>
          <w:kern w:val="2"/>
          <w:sz w:val="24"/>
          <w:szCs w:val="24"/>
          <w:lang w:val="en-US" w:eastAsia="zh-CN"/>
        </w:rPr>
        <w:t>J Physiol Paris</w:t>
      </w:r>
      <w:r w:rsidRPr="00A36F29">
        <w:rPr>
          <w:rFonts w:ascii="Book Antiqua" w:eastAsia="DengXian" w:hAnsi="Book Antiqua" w:cs="Times New Roman"/>
          <w:kern w:val="2"/>
          <w:sz w:val="24"/>
          <w:szCs w:val="24"/>
          <w:lang w:val="en-US" w:eastAsia="zh-CN"/>
        </w:rPr>
        <w:t xml:space="preserve"> 2001; </w:t>
      </w:r>
      <w:r w:rsidRPr="00A36F29">
        <w:rPr>
          <w:rFonts w:ascii="Book Antiqua" w:eastAsia="DengXian" w:hAnsi="Book Antiqua" w:cs="Times New Roman"/>
          <w:b/>
          <w:kern w:val="2"/>
          <w:sz w:val="24"/>
          <w:szCs w:val="24"/>
          <w:lang w:val="en-US" w:eastAsia="zh-CN"/>
        </w:rPr>
        <w:t>95</w:t>
      </w:r>
      <w:r w:rsidRPr="00A36F29">
        <w:rPr>
          <w:rFonts w:ascii="Book Antiqua" w:eastAsia="DengXian" w:hAnsi="Book Antiqua" w:cs="Times New Roman"/>
          <w:kern w:val="2"/>
          <w:sz w:val="24"/>
          <w:szCs w:val="24"/>
          <w:lang w:val="en-US" w:eastAsia="zh-CN"/>
        </w:rPr>
        <w:t>: 303-308 [PMID: 11595454 DOI: 10.1016/S0928-4257(01)00042-0]</w:t>
      </w:r>
    </w:p>
    <w:p w14:paraId="259C477A"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40 </w:t>
      </w:r>
      <w:r w:rsidRPr="00A36F29">
        <w:rPr>
          <w:rFonts w:ascii="Book Antiqua" w:eastAsia="DengXian" w:hAnsi="Book Antiqua" w:cs="Times New Roman"/>
          <w:b/>
          <w:kern w:val="2"/>
          <w:sz w:val="24"/>
          <w:szCs w:val="24"/>
          <w:lang w:val="en-US" w:eastAsia="zh-CN"/>
        </w:rPr>
        <w:t>Hrelec M</w:t>
      </w:r>
      <w:r w:rsidRPr="00A36F29">
        <w:rPr>
          <w:rFonts w:ascii="Book Antiqua" w:eastAsia="DengXian" w:hAnsi="Book Antiqua" w:cs="Times New Roman"/>
          <w:kern w:val="2"/>
          <w:sz w:val="24"/>
          <w:szCs w:val="24"/>
          <w:lang w:val="en-US" w:eastAsia="zh-CN"/>
        </w:rPr>
        <w:t xml:space="preserve">, Klicek R, Brcic L, Brcic I, Cvjetko I, Seiwerth S, Sikiric P. Abdominal aorta anastomosis in rats and stable gastric pentadecapeptide BPC 157, prophylaxis and therapy. </w:t>
      </w:r>
      <w:r w:rsidRPr="00A36F29">
        <w:rPr>
          <w:rFonts w:ascii="Book Antiqua" w:eastAsia="DengXian" w:hAnsi="Book Antiqua" w:cs="Times New Roman"/>
          <w:i/>
          <w:kern w:val="2"/>
          <w:sz w:val="24"/>
          <w:szCs w:val="24"/>
          <w:lang w:val="en-US" w:eastAsia="zh-CN"/>
        </w:rPr>
        <w:t>J Physiol Pharmacol</w:t>
      </w:r>
      <w:r w:rsidRPr="00A36F29">
        <w:rPr>
          <w:rFonts w:ascii="Book Antiqua" w:eastAsia="DengXian" w:hAnsi="Book Antiqua" w:cs="Times New Roman"/>
          <w:kern w:val="2"/>
          <w:sz w:val="24"/>
          <w:szCs w:val="24"/>
          <w:lang w:val="en-US" w:eastAsia="zh-CN"/>
        </w:rPr>
        <w:t xml:space="preserve"> 2009; </w:t>
      </w:r>
      <w:r w:rsidRPr="00A36F29">
        <w:rPr>
          <w:rFonts w:ascii="Book Antiqua" w:eastAsia="DengXian" w:hAnsi="Book Antiqua" w:cs="Times New Roman"/>
          <w:b/>
          <w:kern w:val="2"/>
          <w:sz w:val="24"/>
          <w:szCs w:val="24"/>
          <w:lang w:val="en-US" w:eastAsia="zh-CN"/>
        </w:rPr>
        <w:t>60 Suppl 7</w:t>
      </w:r>
      <w:r w:rsidRPr="00A36F29">
        <w:rPr>
          <w:rFonts w:ascii="Book Antiqua" w:eastAsia="DengXian" w:hAnsi="Book Antiqua" w:cs="Times New Roman"/>
          <w:kern w:val="2"/>
          <w:sz w:val="24"/>
          <w:szCs w:val="24"/>
          <w:lang w:val="en-US" w:eastAsia="zh-CN"/>
        </w:rPr>
        <w:t>: 161-165 [PMID: 20388960]</w:t>
      </w:r>
    </w:p>
    <w:p w14:paraId="776EDE3F"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41 </w:t>
      </w:r>
      <w:r w:rsidRPr="00A36F29">
        <w:rPr>
          <w:rFonts w:ascii="Book Antiqua" w:eastAsia="DengXian" w:hAnsi="Book Antiqua" w:cs="Times New Roman"/>
          <w:b/>
          <w:kern w:val="2"/>
          <w:sz w:val="24"/>
          <w:szCs w:val="24"/>
          <w:lang w:val="en-US" w:eastAsia="zh-CN"/>
        </w:rPr>
        <w:t>Balenovic D</w:t>
      </w:r>
      <w:r w:rsidRPr="00A36F29">
        <w:rPr>
          <w:rFonts w:ascii="Book Antiqua" w:eastAsia="DengXian" w:hAnsi="Book Antiqua" w:cs="Times New Roman"/>
          <w:kern w:val="2"/>
          <w:sz w:val="24"/>
          <w:szCs w:val="24"/>
          <w:lang w:val="en-US" w:eastAsia="zh-CN"/>
        </w:rPr>
        <w:t xml:space="preserve">, Bencic ML, Udovicic M, Simonji K, Hanzevacki JS, Barisic I, Kranjcevic S, Prkacin I, Coric V, Brcic L, Coric M, Brcic I, Borovic S, Radic B, Drmic D, Vrcic H, Seiwerth S, Sikiric P. Inhibition of methyldigoxin-induced arrhythmias by pentadecapeptide BPC 157: a relation with NO-system. </w:t>
      </w:r>
      <w:r w:rsidRPr="00A36F29">
        <w:rPr>
          <w:rFonts w:ascii="Book Antiqua" w:eastAsia="DengXian" w:hAnsi="Book Antiqua" w:cs="Times New Roman"/>
          <w:i/>
          <w:kern w:val="2"/>
          <w:sz w:val="24"/>
          <w:szCs w:val="24"/>
          <w:lang w:val="en-US" w:eastAsia="zh-CN"/>
        </w:rPr>
        <w:t>Regul Pept</w:t>
      </w:r>
      <w:r w:rsidRPr="00A36F29">
        <w:rPr>
          <w:rFonts w:ascii="Book Antiqua" w:eastAsia="DengXian" w:hAnsi="Book Antiqua" w:cs="Times New Roman"/>
          <w:kern w:val="2"/>
          <w:sz w:val="24"/>
          <w:szCs w:val="24"/>
          <w:lang w:val="en-US" w:eastAsia="zh-CN"/>
        </w:rPr>
        <w:t xml:space="preserve"> 2009; </w:t>
      </w:r>
      <w:r w:rsidRPr="00A36F29">
        <w:rPr>
          <w:rFonts w:ascii="Book Antiqua" w:eastAsia="DengXian" w:hAnsi="Book Antiqua" w:cs="Times New Roman"/>
          <w:b/>
          <w:kern w:val="2"/>
          <w:sz w:val="24"/>
          <w:szCs w:val="24"/>
          <w:lang w:val="en-US" w:eastAsia="zh-CN"/>
        </w:rPr>
        <w:t>156</w:t>
      </w:r>
      <w:r w:rsidRPr="00A36F29">
        <w:rPr>
          <w:rFonts w:ascii="Book Antiqua" w:eastAsia="DengXian" w:hAnsi="Book Antiqua" w:cs="Times New Roman"/>
          <w:kern w:val="2"/>
          <w:sz w:val="24"/>
          <w:szCs w:val="24"/>
          <w:lang w:val="en-US" w:eastAsia="zh-CN"/>
        </w:rPr>
        <w:t>: 83-89 [PMID: 19465062 DOI: 10.1016/j.regpep.2009.05.008]</w:t>
      </w:r>
    </w:p>
    <w:p w14:paraId="7351094D"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42 </w:t>
      </w:r>
      <w:r w:rsidRPr="00A36F29">
        <w:rPr>
          <w:rFonts w:ascii="Book Antiqua" w:eastAsia="DengXian" w:hAnsi="Book Antiqua" w:cs="Times New Roman"/>
          <w:b/>
          <w:kern w:val="2"/>
          <w:sz w:val="24"/>
          <w:szCs w:val="24"/>
          <w:lang w:val="en-US" w:eastAsia="zh-CN"/>
        </w:rPr>
        <w:t>Barisic I</w:t>
      </w:r>
      <w:r w:rsidRPr="00A36F29">
        <w:rPr>
          <w:rFonts w:ascii="Book Antiqua" w:eastAsia="DengXian" w:hAnsi="Book Antiqua" w:cs="Times New Roman"/>
          <w:kern w:val="2"/>
          <w:sz w:val="24"/>
          <w:szCs w:val="24"/>
          <w:lang w:val="en-US" w:eastAsia="zh-CN"/>
        </w:rPr>
        <w:t xml:space="preserve">, Balenovic D, Klicek R, Radic B, Nikitovic B, Drmic D, Udovicic M, Strinic D, Bardak D, Berkopic L, Djuzel V, Sever M, Cvjetko I, Romic Z, Sindic A, Bencic ML, Seiwerth S, Sikiric P. Mortal hyperkalemia disturbances in rats are NO-system related. The life saving effect of pentadecapeptide BPC 157. </w:t>
      </w:r>
      <w:r w:rsidRPr="00A36F29">
        <w:rPr>
          <w:rFonts w:ascii="Book Antiqua" w:eastAsia="DengXian" w:hAnsi="Book Antiqua" w:cs="Times New Roman"/>
          <w:i/>
          <w:kern w:val="2"/>
          <w:sz w:val="24"/>
          <w:szCs w:val="24"/>
          <w:lang w:val="en-US" w:eastAsia="zh-CN"/>
        </w:rPr>
        <w:t>Regul Pept</w:t>
      </w:r>
      <w:r w:rsidRPr="00A36F29">
        <w:rPr>
          <w:rFonts w:ascii="Book Antiqua" w:eastAsia="DengXian" w:hAnsi="Book Antiqua" w:cs="Times New Roman"/>
          <w:kern w:val="2"/>
          <w:sz w:val="24"/>
          <w:szCs w:val="24"/>
          <w:lang w:val="en-US" w:eastAsia="zh-CN"/>
        </w:rPr>
        <w:t xml:space="preserve"> 2013; </w:t>
      </w:r>
      <w:r w:rsidRPr="00A36F29">
        <w:rPr>
          <w:rFonts w:ascii="Book Antiqua" w:eastAsia="DengXian" w:hAnsi="Book Antiqua" w:cs="Times New Roman"/>
          <w:b/>
          <w:kern w:val="2"/>
          <w:sz w:val="24"/>
          <w:szCs w:val="24"/>
          <w:lang w:val="en-US" w:eastAsia="zh-CN"/>
        </w:rPr>
        <w:t>181</w:t>
      </w:r>
      <w:r w:rsidRPr="00A36F29">
        <w:rPr>
          <w:rFonts w:ascii="Book Antiqua" w:eastAsia="DengXian" w:hAnsi="Book Antiqua" w:cs="Times New Roman"/>
          <w:kern w:val="2"/>
          <w:sz w:val="24"/>
          <w:szCs w:val="24"/>
          <w:lang w:val="en-US" w:eastAsia="zh-CN"/>
        </w:rPr>
        <w:t>: 50-66 [PMID: 23327997 DOI: 10.1016/j.regpep.2012.12.007]</w:t>
      </w:r>
    </w:p>
    <w:p w14:paraId="06DEB6E7"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43 </w:t>
      </w:r>
      <w:r w:rsidRPr="00A36F29">
        <w:rPr>
          <w:rFonts w:ascii="Book Antiqua" w:eastAsia="DengXian" w:hAnsi="Book Antiqua" w:cs="Times New Roman"/>
          <w:b/>
          <w:kern w:val="2"/>
          <w:sz w:val="24"/>
          <w:szCs w:val="24"/>
          <w:lang w:val="en-US" w:eastAsia="zh-CN"/>
        </w:rPr>
        <w:t>Lovric-Bencic M</w:t>
      </w:r>
      <w:r w:rsidRPr="00A36F29">
        <w:rPr>
          <w:rFonts w:ascii="Book Antiqua" w:eastAsia="DengXian" w:hAnsi="Book Antiqua" w:cs="Times New Roman"/>
          <w:kern w:val="2"/>
          <w:sz w:val="24"/>
          <w:szCs w:val="24"/>
          <w:lang w:val="en-US" w:eastAsia="zh-CN"/>
        </w:rPr>
        <w:t xml:space="preserve">, Sikiric P, Hanzevacki JS, Seiwerth S, Rogic D, Kusec V, Aralica G, Konjevoda P, Batelja L, Blagaic AB. Doxorubicine-congestive heart failure-increased big endothelin-1 plasma concentration: reversal by amlodipine, losartan, and gastric pentadecapeptide BPC157 in rat and mouse. </w:t>
      </w:r>
      <w:r w:rsidRPr="00A36F29">
        <w:rPr>
          <w:rFonts w:ascii="Book Antiqua" w:eastAsia="DengXian" w:hAnsi="Book Antiqua" w:cs="Times New Roman"/>
          <w:i/>
          <w:kern w:val="2"/>
          <w:sz w:val="24"/>
          <w:szCs w:val="24"/>
          <w:lang w:val="en-US" w:eastAsia="zh-CN"/>
        </w:rPr>
        <w:t>J Pharmacol Sci</w:t>
      </w:r>
      <w:r w:rsidRPr="00A36F29">
        <w:rPr>
          <w:rFonts w:ascii="Book Antiqua" w:eastAsia="DengXian" w:hAnsi="Book Antiqua" w:cs="Times New Roman"/>
          <w:kern w:val="2"/>
          <w:sz w:val="24"/>
          <w:szCs w:val="24"/>
          <w:lang w:val="en-US" w:eastAsia="zh-CN"/>
        </w:rPr>
        <w:t xml:space="preserve"> 2004; </w:t>
      </w:r>
      <w:r w:rsidRPr="00A36F29">
        <w:rPr>
          <w:rFonts w:ascii="Book Antiqua" w:eastAsia="DengXian" w:hAnsi="Book Antiqua" w:cs="Times New Roman"/>
          <w:b/>
          <w:kern w:val="2"/>
          <w:sz w:val="24"/>
          <w:szCs w:val="24"/>
          <w:lang w:val="en-US" w:eastAsia="zh-CN"/>
        </w:rPr>
        <w:t>95</w:t>
      </w:r>
      <w:r w:rsidRPr="00A36F29">
        <w:rPr>
          <w:rFonts w:ascii="Book Antiqua" w:eastAsia="DengXian" w:hAnsi="Book Antiqua" w:cs="Times New Roman"/>
          <w:kern w:val="2"/>
          <w:sz w:val="24"/>
          <w:szCs w:val="24"/>
          <w:lang w:val="en-US" w:eastAsia="zh-CN"/>
        </w:rPr>
        <w:t>: 19-26 [PMID: 15153646 DOI: 10.1254/jphs.95.19]</w:t>
      </w:r>
    </w:p>
    <w:p w14:paraId="291B6CFF"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44 </w:t>
      </w:r>
      <w:r w:rsidRPr="00A36F29">
        <w:rPr>
          <w:rFonts w:ascii="Book Antiqua" w:eastAsia="DengXian" w:hAnsi="Book Antiqua" w:cs="Times New Roman"/>
          <w:b/>
          <w:kern w:val="2"/>
          <w:sz w:val="24"/>
          <w:szCs w:val="24"/>
          <w:lang w:val="en-US" w:eastAsia="zh-CN"/>
        </w:rPr>
        <w:t>Strinic D</w:t>
      </w:r>
      <w:r w:rsidRPr="00A36F29">
        <w:rPr>
          <w:rFonts w:ascii="Book Antiqua" w:eastAsia="DengXian" w:hAnsi="Book Antiqua" w:cs="Times New Roman"/>
          <w:kern w:val="2"/>
          <w:sz w:val="24"/>
          <w:szCs w:val="24"/>
          <w:lang w:val="en-US" w:eastAsia="zh-CN"/>
        </w:rPr>
        <w:t xml:space="preserve">, Belosic Halle Z, Luetic K, Nedic A, Petrovic I, Sucic M, Zivanovic Posilovic G, Balenovic D, Strbe S, Udovicic M, Drmic D, Stupnisek M, Lovric Bencic M, Seiwerth S, Sikiric P. BPC 157 counteracts QTc prolongation induced by haloperidol, fluphenazine, clozapine, olanzapine, quetiapine, sulpiride, and metoclopramide in rats. </w:t>
      </w:r>
      <w:r w:rsidRPr="00A36F29">
        <w:rPr>
          <w:rFonts w:ascii="Book Antiqua" w:eastAsia="DengXian" w:hAnsi="Book Antiqua" w:cs="Times New Roman"/>
          <w:i/>
          <w:kern w:val="2"/>
          <w:sz w:val="24"/>
          <w:szCs w:val="24"/>
          <w:lang w:val="en-US" w:eastAsia="zh-CN"/>
        </w:rPr>
        <w:t>Life Sci</w:t>
      </w:r>
      <w:r w:rsidRPr="00A36F29">
        <w:rPr>
          <w:rFonts w:ascii="Book Antiqua" w:eastAsia="DengXian" w:hAnsi="Book Antiqua" w:cs="Times New Roman"/>
          <w:kern w:val="2"/>
          <w:sz w:val="24"/>
          <w:szCs w:val="24"/>
          <w:lang w:val="en-US" w:eastAsia="zh-CN"/>
        </w:rPr>
        <w:t xml:space="preserve"> 2017; </w:t>
      </w:r>
      <w:r w:rsidRPr="00A36F29">
        <w:rPr>
          <w:rFonts w:ascii="Book Antiqua" w:eastAsia="DengXian" w:hAnsi="Book Antiqua" w:cs="Times New Roman"/>
          <w:b/>
          <w:kern w:val="2"/>
          <w:sz w:val="24"/>
          <w:szCs w:val="24"/>
          <w:lang w:val="en-US" w:eastAsia="zh-CN"/>
        </w:rPr>
        <w:t>186</w:t>
      </w:r>
      <w:r w:rsidRPr="00A36F29">
        <w:rPr>
          <w:rFonts w:ascii="Book Antiqua" w:eastAsia="DengXian" w:hAnsi="Book Antiqua" w:cs="Times New Roman"/>
          <w:kern w:val="2"/>
          <w:sz w:val="24"/>
          <w:szCs w:val="24"/>
          <w:lang w:val="en-US" w:eastAsia="zh-CN"/>
        </w:rPr>
        <w:t>: 66-79 [PMID: 28797793 DOI: 10.1016/j.lfs.2017.08.006]</w:t>
      </w:r>
    </w:p>
    <w:p w14:paraId="1C314B81"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lastRenderedPageBreak/>
        <w:t xml:space="preserve">45 </w:t>
      </w:r>
      <w:r w:rsidRPr="00A36F29">
        <w:rPr>
          <w:rFonts w:ascii="Book Antiqua" w:eastAsia="DengXian" w:hAnsi="Book Antiqua" w:cs="Times New Roman"/>
          <w:b/>
          <w:kern w:val="2"/>
          <w:sz w:val="24"/>
          <w:szCs w:val="24"/>
          <w:lang w:val="en-US" w:eastAsia="zh-CN"/>
        </w:rPr>
        <w:t>Zivanovic-Posilovic G</w:t>
      </w:r>
      <w:r w:rsidRPr="00A36F29">
        <w:rPr>
          <w:rFonts w:ascii="Book Antiqua" w:eastAsia="DengXian" w:hAnsi="Book Antiqua" w:cs="Times New Roman"/>
          <w:kern w:val="2"/>
          <w:sz w:val="24"/>
          <w:szCs w:val="24"/>
          <w:lang w:val="en-US" w:eastAsia="zh-CN"/>
        </w:rPr>
        <w:t xml:space="preserve">, Balenovic D, Barisic I, Strinic D, Stambolija V, Udovicic M, Uzun S, Drmic D, Vlainic J, Bencic ML, Sindic A, Seiwerth S, Sikiric P. Stable gastric pentadecapeptide BPC 157 and bupivacaine. </w:t>
      </w:r>
      <w:r w:rsidRPr="00A36F29">
        <w:rPr>
          <w:rFonts w:ascii="Book Antiqua" w:eastAsia="DengXian" w:hAnsi="Book Antiqua" w:cs="Times New Roman"/>
          <w:i/>
          <w:kern w:val="2"/>
          <w:sz w:val="24"/>
          <w:szCs w:val="24"/>
          <w:lang w:val="en-US" w:eastAsia="zh-CN"/>
        </w:rPr>
        <w:t>Eur J Pharmacol</w:t>
      </w:r>
      <w:r w:rsidRPr="00A36F29">
        <w:rPr>
          <w:rFonts w:ascii="Book Antiqua" w:eastAsia="DengXian" w:hAnsi="Book Antiqua" w:cs="Times New Roman"/>
          <w:kern w:val="2"/>
          <w:sz w:val="24"/>
          <w:szCs w:val="24"/>
          <w:lang w:val="en-US" w:eastAsia="zh-CN"/>
        </w:rPr>
        <w:t xml:space="preserve"> 2016; </w:t>
      </w:r>
      <w:r w:rsidRPr="00A36F29">
        <w:rPr>
          <w:rFonts w:ascii="Book Antiqua" w:eastAsia="DengXian" w:hAnsi="Book Antiqua" w:cs="Times New Roman"/>
          <w:b/>
          <w:kern w:val="2"/>
          <w:sz w:val="24"/>
          <w:szCs w:val="24"/>
          <w:lang w:val="en-US" w:eastAsia="zh-CN"/>
        </w:rPr>
        <w:t>793</w:t>
      </w:r>
      <w:r w:rsidRPr="00A36F29">
        <w:rPr>
          <w:rFonts w:ascii="Book Antiqua" w:eastAsia="DengXian" w:hAnsi="Book Antiqua" w:cs="Times New Roman"/>
          <w:kern w:val="2"/>
          <w:sz w:val="24"/>
          <w:szCs w:val="24"/>
          <w:lang w:val="en-US" w:eastAsia="zh-CN"/>
        </w:rPr>
        <w:t>: 56-65 [PMID: 27815173 DOI: 10.1016/j.ejphar.2016.10.035]</w:t>
      </w:r>
    </w:p>
    <w:p w14:paraId="2A2A57AD"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46 </w:t>
      </w:r>
      <w:r w:rsidRPr="00A36F29">
        <w:rPr>
          <w:rFonts w:ascii="Book Antiqua" w:eastAsia="DengXian" w:hAnsi="Book Antiqua" w:cs="Times New Roman"/>
          <w:b/>
          <w:kern w:val="2"/>
          <w:sz w:val="24"/>
          <w:szCs w:val="24"/>
          <w:lang w:val="en-US" w:eastAsia="zh-CN"/>
        </w:rPr>
        <w:t>Belosic Halle Z</w:t>
      </w:r>
      <w:r w:rsidRPr="00A36F29">
        <w:rPr>
          <w:rFonts w:ascii="Book Antiqua" w:eastAsia="DengXian" w:hAnsi="Book Antiqua" w:cs="Times New Roman"/>
          <w:kern w:val="2"/>
          <w:sz w:val="24"/>
          <w:szCs w:val="24"/>
          <w:lang w:val="en-US" w:eastAsia="zh-CN"/>
        </w:rPr>
        <w:t xml:space="preserve">, Vlainic J, Drmic D, Strinic D, Luetic K, Sucic M, Medvidovic-Grubisic M, Pavelic Turudic T, Petrovic I, Seiwerth S, Sikiric P. Class side effects: decreased pressure in the lower oesophageal and the pyloric sphincters after the administration of dopamine antagonists, neuroleptics, anti-emetics, L-NAME, pentadecapeptide BPC 157 and L-arginine. </w:t>
      </w:r>
      <w:r w:rsidRPr="00A36F29">
        <w:rPr>
          <w:rFonts w:ascii="Book Antiqua" w:eastAsia="DengXian" w:hAnsi="Book Antiqua" w:cs="Times New Roman"/>
          <w:i/>
          <w:kern w:val="2"/>
          <w:sz w:val="24"/>
          <w:szCs w:val="24"/>
          <w:lang w:val="en-US" w:eastAsia="zh-CN"/>
        </w:rPr>
        <w:t>Inflammopharmacology</w:t>
      </w:r>
      <w:r w:rsidRPr="00A36F29">
        <w:rPr>
          <w:rFonts w:ascii="Book Antiqua" w:eastAsia="DengXian" w:hAnsi="Book Antiqua" w:cs="Times New Roman"/>
          <w:kern w:val="2"/>
          <w:sz w:val="24"/>
          <w:szCs w:val="24"/>
          <w:lang w:val="en-US" w:eastAsia="zh-CN"/>
        </w:rPr>
        <w:t xml:space="preserve"> 2017 [PMID: 28516373 DOI: 10.1007/s10787-017-0358-8]</w:t>
      </w:r>
    </w:p>
    <w:p w14:paraId="35724A16"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47 </w:t>
      </w:r>
      <w:r w:rsidRPr="00A36F29">
        <w:rPr>
          <w:rFonts w:ascii="Book Antiqua" w:eastAsia="DengXian" w:hAnsi="Book Antiqua" w:cs="Times New Roman"/>
          <w:b/>
          <w:kern w:val="2"/>
          <w:sz w:val="24"/>
          <w:szCs w:val="24"/>
          <w:lang w:val="en-US" w:eastAsia="zh-CN"/>
        </w:rPr>
        <w:t>Luetic K</w:t>
      </w:r>
      <w:r w:rsidRPr="00A36F29">
        <w:rPr>
          <w:rFonts w:ascii="Book Antiqua" w:eastAsia="DengXian" w:hAnsi="Book Antiqua" w:cs="Times New Roman"/>
          <w:kern w:val="2"/>
          <w:sz w:val="24"/>
          <w:szCs w:val="24"/>
          <w:lang w:val="en-US" w:eastAsia="zh-CN"/>
        </w:rPr>
        <w:t xml:space="preserve">, Sucic M, Vlainic J, Halle ZB, Strinic D, Vidovic T, Luetic F, Marusic M, Gulic S, Pavelic TT, Kokot A, Seiwerth RS, Drmic D, Batelja L, Seiwerth S, Sikiric P. Cyclophosphamide induced stomach and duodenal lesions as a NO-system disturbance in rats: L-NAME, L-arginine, stable gastric pentadecapeptide BPC 157. </w:t>
      </w:r>
      <w:r w:rsidRPr="00A36F29">
        <w:rPr>
          <w:rFonts w:ascii="Book Antiqua" w:eastAsia="DengXian" w:hAnsi="Book Antiqua" w:cs="Times New Roman"/>
          <w:i/>
          <w:kern w:val="2"/>
          <w:sz w:val="24"/>
          <w:szCs w:val="24"/>
          <w:lang w:val="en-US" w:eastAsia="zh-CN"/>
        </w:rPr>
        <w:t>Inflammopharmacology</w:t>
      </w:r>
      <w:r w:rsidRPr="00A36F29">
        <w:rPr>
          <w:rFonts w:ascii="Book Antiqua" w:eastAsia="DengXian" w:hAnsi="Book Antiqua" w:cs="Times New Roman"/>
          <w:kern w:val="2"/>
          <w:sz w:val="24"/>
          <w:szCs w:val="24"/>
          <w:lang w:val="en-US" w:eastAsia="zh-CN"/>
        </w:rPr>
        <w:t xml:space="preserve"> 2017; </w:t>
      </w:r>
      <w:r w:rsidRPr="00A36F29">
        <w:rPr>
          <w:rFonts w:ascii="Book Antiqua" w:eastAsia="DengXian" w:hAnsi="Book Antiqua" w:cs="Times New Roman"/>
          <w:b/>
          <w:kern w:val="2"/>
          <w:sz w:val="24"/>
          <w:szCs w:val="24"/>
          <w:lang w:val="en-US" w:eastAsia="zh-CN"/>
        </w:rPr>
        <w:t>25</w:t>
      </w:r>
      <w:r w:rsidRPr="00A36F29">
        <w:rPr>
          <w:rFonts w:ascii="Book Antiqua" w:eastAsia="DengXian" w:hAnsi="Book Antiqua" w:cs="Times New Roman"/>
          <w:kern w:val="2"/>
          <w:sz w:val="24"/>
          <w:szCs w:val="24"/>
          <w:lang w:val="en-US" w:eastAsia="zh-CN"/>
        </w:rPr>
        <w:t>: 255-264 [PMID: 28255738 DOI: 10.1007/s10787-017-0330-7]</w:t>
      </w:r>
    </w:p>
    <w:p w14:paraId="7C90F758"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48 </w:t>
      </w:r>
      <w:r w:rsidRPr="00A36F29">
        <w:rPr>
          <w:rFonts w:ascii="Book Antiqua" w:eastAsia="DengXian" w:hAnsi="Book Antiqua" w:cs="Times New Roman"/>
          <w:b/>
          <w:kern w:val="2"/>
          <w:sz w:val="24"/>
          <w:szCs w:val="24"/>
          <w:lang w:val="en-US" w:eastAsia="zh-CN"/>
        </w:rPr>
        <w:t>Sucic M</w:t>
      </w:r>
      <w:r w:rsidRPr="00A36F29">
        <w:rPr>
          <w:rFonts w:ascii="Book Antiqua" w:eastAsia="DengXian" w:hAnsi="Book Antiqua" w:cs="Times New Roman"/>
          <w:kern w:val="2"/>
          <w:sz w:val="24"/>
          <w:szCs w:val="24"/>
          <w:lang w:val="en-US" w:eastAsia="zh-CN"/>
        </w:rPr>
        <w:t xml:space="preserve">, Luetic K, Jandric I, Drmic D, Sever AZ, Vuletic LB, Halle ZB, Strinic D, Kokot A, Seiwerth RS, Zoricic I, Blagaic AB, Seiwerth S, Sikiric P. Therapy of the rat hemorrhagic cystitis induced by cyclophosphamide. Stable gastric pentadecapeptide BPC 157, L-arginine, L-NAME. </w:t>
      </w:r>
      <w:r w:rsidRPr="00A36F29">
        <w:rPr>
          <w:rFonts w:ascii="Book Antiqua" w:eastAsia="DengXian" w:hAnsi="Book Antiqua" w:cs="Times New Roman"/>
          <w:i/>
          <w:kern w:val="2"/>
          <w:sz w:val="24"/>
          <w:szCs w:val="24"/>
          <w:lang w:val="en-US" w:eastAsia="zh-CN"/>
        </w:rPr>
        <w:t>Eur J Pharmacol</w:t>
      </w:r>
      <w:r w:rsidRPr="00A36F29">
        <w:rPr>
          <w:rFonts w:ascii="Book Antiqua" w:eastAsia="DengXian" w:hAnsi="Book Antiqua" w:cs="Times New Roman"/>
          <w:kern w:val="2"/>
          <w:sz w:val="24"/>
          <w:szCs w:val="24"/>
          <w:lang w:val="en-US" w:eastAsia="zh-CN"/>
        </w:rPr>
        <w:t xml:space="preserve"> 2019; </w:t>
      </w:r>
      <w:r w:rsidRPr="00A36F29">
        <w:rPr>
          <w:rFonts w:ascii="Book Antiqua" w:eastAsia="DengXian" w:hAnsi="Book Antiqua" w:cs="Times New Roman"/>
          <w:b/>
          <w:kern w:val="2"/>
          <w:sz w:val="24"/>
          <w:szCs w:val="24"/>
          <w:lang w:val="en-US" w:eastAsia="zh-CN"/>
        </w:rPr>
        <w:t>861</w:t>
      </w:r>
      <w:r w:rsidRPr="00A36F29">
        <w:rPr>
          <w:rFonts w:ascii="Book Antiqua" w:eastAsia="DengXian" w:hAnsi="Book Antiqua" w:cs="Times New Roman"/>
          <w:kern w:val="2"/>
          <w:sz w:val="24"/>
          <w:szCs w:val="24"/>
          <w:lang w:val="en-US" w:eastAsia="zh-CN"/>
        </w:rPr>
        <w:t>: 172593 [PMID: 31401154 DOI: 10.1016/j.ejphar.2019.172593]</w:t>
      </w:r>
    </w:p>
    <w:p w14:paraId="606DE480"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49 </w:t>
      </w:r>
      <w:r w:rsidRPr="00A36F29">
        <w:rPr>
          <w:rFonts w:ascii="Book Antiqua" w:eastAsia="DengXian" w:hAnsi="Book Antiqua" w:cs="Times New Roman"/>
          <w:b/>
          <w:kern w:val="2"/>
          <w:sz w:val="24"/>
          <w:szCs w:val="24"/>
          <w:lang w:val="en-US" w:eastAsia="zh-CN"/>
        </w:rPr>
        <w:t>Ilic S</w:t>
      </w:r>
      <w:r w:rsidRPr="00A36F29">
        <w:rPr>
          <w:rFonts w:ascii="Book Antiqua" w:eastAsia="DengXian" w:hAnsi="Book Antiqua" w:cs="Times New Roman"/>
          <w:kern w:val="2"/>
          <w:sz w:val="24"/>
          <w:szCs w:val="24"/>
          <w:lang w:val="en-US" w:eastAsia="zh-CN"/>
        </w:rPr>
        <w:t xml:space="preserve">, Drmic D, Zarkovic K, Kolenc D, Coric M, Brcic L, Klicek R, Radic B, Sever M, Djuzel V, Ivica M, Boban Blagaic A, Zoricic Z, Anic T, Zoricic I, Djidic S, Romic Z, Seiwerth S, Sikiric P. High hepatotoxic dose of paracetamol produces generalized convulsions and brain damage in rats. A counteraction with the stable gastric pentadecapeptide BPC 157 (PL 14736). </w:t>
      </w:r>
      <w:r w:rsidRPr="00A36F29">
        <w:rPr>
          <w:rFonts w:ascii="Book Antiqua" w:eastAsia="DengXian" w:hAnsi="Book Antiqua" w:cs="Times New Roman"/>
          <w:i/>
          <w:kern w:val="2"/>
          <w:sz w:val="24"/>
          <w:szCs w:val="24"/>
          <w:lang w:val="en-US" w:eastAsia="zh-CN"/>
        </w:rPr>
        <w:t>J Physiol Pharmacol</w:t>
      </w:r>
      <w:r w:rsidRPr="00A36F29">
        <w:rPr>
          <w:rFonts w:ascii="Book Antiqua" w:eastAsia="DengXian" w:hAnsi="Book Antiqua" w:cs="Times New Roman"/>
          <w:kern w:val="2"/>
          <w:sz w:val="24"/>
          <w:szCs w:val="24"/>
          <w:lang w:val="en-US" w:eastAsia="zh-CN"/>
        </w:rPr>
        <w:t xml:space="preserve"> 2010; </w:t>
      </w:r>
      <w:r w:rsidRPr="00A36F29">
        <w:rPr>
          <w:rFonts w:ascii="Book Antiqua" w:eastAsia="DengXian" w:hAnsi="Book Antiqua" w:cs="Times New Roman"/>
          <w:b/>
          <w:kern w:val="2"/>
          <w:sz w:val="24"/>
          <w:szCs w:val="24"/>
          <w:lang w:val="en-US" w:eastAsia="zh-CN"/>
        </w:rPr>
        <w:t>61</w:t>
      </w:r>
      <w:r w:rsidRPr="00A36F29">
        <w:rPr>
          <w:rFonts w:ascii="Book Antiqua" w:eastAsia="DengXian" w:hAnsi="Book Antiqua" w:cs="Times New Roman"/>
          <w:kern w:val="2"/>
          <w:sz w:val="24"/>
          <w:szCs w:val="24"/>
          <w:lang w:val="en-US" w:eastAsia="zh-CN"/>
        </w:rPr>
        <w:t>: 241-250 [PMID: 20436226]</w:t>
      </w:r>
    </w:p>
    <w:p w14:paraId="72E3F450"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50 </w:t>
      </w:r>
      <w:r w:rsidRPr="00A36F29">
        <w:rPr>
          <w:rFonts w:ascii="Book Antiqua" w:eastAsia="DengXian" w:hAnsi="Book Antiqua" w:cs="Times New Roman"/>
          <w:b/>
          <w:kern w:val="2"/>
          <w:sz w:val="24"/>
          <w:szCs w:val="24"/>
          <w:lang w:val="en-US" w:eastAsia="zh-CN"/>
        </w:rPr>
        <w:t>Sikiric P</w:t>
      </w:r>
      <w:r w:rsidRPr="00A36F29">
        <w:rPr>
          <w:rFonts w:ascii="Book Antiqua" w:eastAsia="DengXian" w:hAnsi="Book Antiqua" w:cs="Times New Roman"/>
          <w:kern w:val="2"/>
          <w:sz w:val="24"/>
          <w:szCs w:val="24"/>
          <w:lang w:val="en-US" w:eastAsia="zh-CN"/>
        </w:rPr>
        <w:t>, Marovic A, Matoz W, Anic T, Buljat G, Mikus D, Stancic-Rokotov D, Separovic J, Seiwerth S, Grabarevic Z, Rucman R, Petek M, Ziger T, Sebecic B, Zoricic I, Turkovic B, Aralica G, Perovic D, Duplancic B, Lovric-Bencic M, Rotkvic I, Mise S, Jagic V, Hahn V. A behavioural study of the effect of pentadecapeptide BPC 157 in Parkinson's disease models in mice and gastric lesions induced by 1-methyl-4-</w:t>
      </w:r>
      <w:r w:rsidRPr="00A36F29">
        <w:rPr>
          <w:rFonts w:ascii="Book Antiqua" w:eastAsia="DengXian" w:hAnsi="Book Antiqua" w:cs="Times New Roman"/>
          <w:kern w:val="2"/>
          <w:sz w:val="24"/>
          <w:szCs w:val="24"/>
          <w:lang w:val="en-US" w:eastAsia="zh-CN"/>
        </w:rPr>
        <w:lastRenderedPageBreak/>
        <w:t xml:space="preserve">phenyl-1,2,3,6-tetrahydrophyridine. </w:t>
      </w:r>
      <w:r w:rsidRPr="00A36F29">
        <w:rPr>
          <w:rFonts w:ascii="Book Antiqua" w:eastAsia="DengXian" w:hAnsi="Book Antiqua" w:cs="Times New Roman"/>
          <w:i/>
          <w:kern w:val="2"/>
          <w:sz w:val="24"/>
          <w:szCs w:val="24"/>
          <w:lang w:val="en-US" w:eastAsia="zh-CN"/>
        </w:rPr>
        <w:t>J Physiol Paris</w:t>
      </w:r>
      <w:r w:rsidRPr="00A36F29">
        <w:rPr>
          <w:rFonts w:ascii="Book Antiqua" w:eastAsia="DengXian" w:hAnsi="Book Antiqua" w:cs="Times New Roman"/>
          <w:kern w:val="2"/>
          <w:sz w:val="24"/>
          <w:szCs w:val="24"/>
          <w:lang w:val="en-US" w:eastAsia="zh-CN"/>
        </w:rPr>
        <w:t xml:space="preserve"> 1999; </w:t>
      </w:r>
      <w:r w:rsidRPr="00A36F29">
        <w:rPr>
          <w:rFonts w:ascii="Book Antiqua" w:eastAsia="DengXian" w:hAnsi="Book Antiqua" w:cs="Times New Roman"/>
          <w:b/>
          <w:kern w:val="2"/>
          <w:sz w:val="24"/>
          <w:szCs w:val="24"/>
          <w:lang w:val="en-US" w:eastAsia="zh-CN"/>
        </w:rPr>
        <w:t>93</w:t>
      </w:r>
      <w:r w:rsidRPr="00A36F29">
        <w:rPr>
          <w:rFonts w:ascii="Book Antiqua" w:eastAsia="DengXian" w:hAnsi="Book Antiqua" w:cs="Times New Roman"/>
          <w:kern w:val="2"/>
          <w:sz w:val="24"/>
          <w:szCs w:val="24"/>
          <w:lang w:val="en-US" w:eastAsia="zh-CN"/>
        </w:rPr>
        <w:t>: 505-512 [PMID: 10672997 DOI: 10.1016/S0928-4257(99)00119-9]</w:t>
      </w:r>
    </w:p>
    <w:p w14:paraId="2E209DE5"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51 </w:t>
      </w:r>
      <w:r w:rsidRPr="00A36F29">
        <w:rPr>
          <w:rFonts w:ascii="Book Antiqua" w:eastAsia="DengXian" w:hAnsi="Book Antiqua" w:cs="Times New Roman"/>
          <w:b/>
          <w:kern w:val="2"/>
          <w:sz w:val="24"/>
          <w:szCs w:val="24"/>
          <w:lang w:val="en-US" w:eastAsia="zh-CN"/>
        </w:rPr>
        <w:t>Huang H</w:t>
      </w:r>
      <w:r w:rsidRPr="00A36F29">
        <w:rPr>
          <w:rFonts w:ascii="Book Antiqua" w:eastAsia="DengXian" w:hAnsi="Book Antiqua" w:cs="Times New Roman"/>
          <w:kern w:val="2"/>
          <w:sz w:val="24"/>
          <w:szCs w:val="24"/>
          <w:lang w:val="en-US" w:eastAsia="zh-CN"/>
        </w:rPr>
        <w:t xml:space="preserve">, Deng M, Jin H, Liu A, Dirsch O, Dahmen U. Hepatic arterial perfusion is essential for the spontaneous recovery from focal hepatic venous outflow obstruction in rats. </w:t>
      </w:r>
      <w:r w:rsidRPr="00A36F29">
        <w:rPr>
          <w:rFonts w:ascii="Book Antiqua" w:eastAsia="DengXian" w:hAnsi="Book Antiqua" w:cs="Times New Roman"/>
          <w:i/>
          <w:kern w:val="2"/>
          <w:sz w:val="24"/>
          <w:szCs w:val="24"/>
          <w:lang w:val="en-US" w:eastAsia="zh-CN"/>
        </w:rPr>
        <w:t>Am J Transplant</w:t>
      </w:r>
      <w:r w:rsidRPr="00A36F29">
        <w:rPr>
          <w:rFonts w:ascii="Book Antiqua" w:eastAsia="DengXian" w:hAnsi="Book Antiqua" w:cs="Times New Roman"/>
          <w:kern w:val="2"/>
          <w:sz w:val="24"/>
          <w:szCs w:val="24"/>
          <w:lang w:val="en-US" w:eastAsia="zh-CN"/>
        </w:rPr>
        <w:t xml:space="preserve"> 2011; </w:t>
      </w:r>
      <w:r w:rsidRPr="00A36F29">
        <w:rPr>
          <w:rFonts w:ascii="Book Antiqua" w:eastAsia="DengXian" w:hAnsi="Book Antiqua" w:cs="Times New Roman"/>
          <w:b/>
          <w:kern w:val="2"/>
          <w:sz w:val="24"/>
          <w:szCs w:val="24"/>
          <w:lang w:val="en-US" w:eastAsia="zh-CN"/>
        </w:rPr>
        <w:t>11</w:t>
      </w:r>
      <w:r w:rsidRPr="00A36F29">
        <w:rPr>
          <w:rFonts w:ascii="Book Antiqua" w:eastAsia="DengXian" w:hAnsi="Book Antiqua" w:cs="Times New Roman"/>
          <w:kern w:val="2"/>
          <w:sz w:val="24"/>
          <w:szCs w:val="24"/>
          <w:lang w:val="en-US" w:eastAsia="zh-CN"/>
        </w:rPr>
        <w:t>: 2342-2352 [PMID: 21831159 DOI: 10.1111/j.1600-6143.2011.03682.x]</w:t>
      </w:r>
    </w:p>
    <w:p w14:paraId="34562558"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52 </w:t>
      </w:r>
      <w:r w:rsidRPr="00A36F29">
        <w:rPr>
          <w:rFonts w:ascii="Book Antiqua" w:eastAsia="DengXian" w:hAnsi="Book Antiqua" w:cs="Times New Roman"/>
          <w:b/>
          <w:kern w:val="2"/>
          <w:sz w:val="24"/>
          <w:szCs w:val="24"/>
          <w:lang w:val="en-US" w:eastAsia="zh-CN"/>
        </w:rPr>
        <w:t>Chang CH</w:t>
      </w:r>
      <w:r w:rsidRPr="00A36F29">
        <w:rPr>
          <w:rFonts w:ascii="Book Antiqua" w:eastAsia="DengXian" w:hAnsi="Book Antiqua" w:cs="Times New Roman"/>
          <w:kern w:val="2"/>
          <w:sz w:val="24"/>
          <w:szCs w:val="24"/>
          <w:lang w:val="en-US" w:eastAsia="zh-CN"/>
        </w:rPr>
        <w:t xml:space="preserve">, Tsai WC, Lin MS, Hsu YH, Pang JH. The promoting effect of pentadecapeptide BPC 157 on tendon healing involves tendon outgrowth, cell survival, and cell migration. </w:t>
      </w:r>
      <w:r w:rsidRPr="00A36F29">
        <w:rPr>
          <w:rFonts w:ascii="Book Antiqua" w:eastAsia="DengXian" w:hAnsi="Book Antiqua" w:cs="Times New Roman"/>
          <w:i/>
          <w:kern w:val="2"/>
          <w:sz w:val="24"/>
          <w:szCs w:val="24"/>
          <w:lang w:val="en-US" w:eastAsia="zh-CN"/>
        </w:rPr>
        <w:t>J Appl Physiol (1985)</w:t>
      </w:r>
      <w:r w:rsidRPr="00A36F29">
        <w:rPr>
          <w:rFonts w:ascii="Book Antiqua" w:eastAsia="DengXian" w:hAnsi="Book Antiqua" w:cs="Times New Roman"/>
          <w:kern w:val="2"/>
          <w:sz w:val="24"/>
          <w:szCs w:val="24"/>
          <w:lang w:val="en-US" w:eastAsia="zh-CN"/>
        </w:rPr>
        <w:t xml:space="preserve"> 2011; </w:t>
      </w:r>
      <w:r w:rsidRPr="00A36F29">
        <w:rPr>
          <w:rFonts w:ascii="Book Antiqua" w:eastAsia="DengXian" w:hAnsi="Book Antiqua" w:cs="Times New Roman"/>
          <w:b/>
          <w:kern w:val="2"/>
          <w:sz w:val="24"/>
          <w:szCs w:val="24"/>
          <w:lang w:val="en-US" w:eastAsia="zh-CN"/>
        </w:rPr>
        <w:t>110</w:t>
      </w:r>
      <w:r w:rsidRPr="00A36F29">
        <w:rPr>
          <w:rFonts w:ascii="Book Antiqua" w:eastAsia="DengXian" w:hAnsi="Book Antiqua" w:cs="Times New Roman"/>
          <w:kern w:val="2"/>
          <w:sz w:val="24"/>
          <w:szCs w:val="24"/>
          <w:lang w:val="en-US" w:eastAsia="zh-CN"/>
        </w:rPr>
        <w:t>: 774-780 [PMID: 21030672 DOI: 10.1152/japplphysiol.00945.2010]</w:t>
      </w:r>
    </w:p>
    <w:p w14:paraId="67E381ED"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53 </w:t>
      </w:r>
      <w:r w:rsidRPr="00A36F29">
        <w:rPr>
          <w:rFonts w:ascii="Book Antiqua" w:eastAsia="DengXian" w:hAnsi="Book Antiqua" w:cs="Times New Roman"/>
          <w:b/>
          <w:kern w:val="2"/>
          <w:sz w:val="24"/>
          <w:szCs w:val="24"/>
          <w:lang w:val="en-US" w:eastAsia="zh-CN"/>
        </w:rPr>
        <w:t>Chang CH</w:t>
      </w:r>
      <w:r w:rsidRPr="00A36F29">
        <w:rPr>
          <w:rFonts w:ascii="Book Antiqua" w:eastAsia="DengXian" w:hAnsi="Book Antiqua" w:cs="Times New Roman"/>
          <w:kern w:val="2"/>
          <w:sz w:val="24"/>
          <w:szCs w:val="24"/>
          <w:lang w:val="en-US" w:eastAsia="zh-CN"/>
        </w:rPr>
        <w:t xml:space="preserve">, Tsai WC, Hsu YH, Pang JH. Pentadecapeptide BPC 157 enhances the growth hormone receptor expression in tendon fibroblasts. </w:t>
      </w:r>
      <w:r w:rsidRPr="00A36F29">
        <w:rPr>
          <w:rFonts w:ascii="Book Antiqua" w:eastAsia="DengXian" w:hAnsi="Book Antiqua" w:cs="Times New Roman"/>
          <w:i/>
          <w:kern w:val="2"/>
          <w:sz w:val="24"/>
          <w:szCs w:val="24"/>
          <w:lang w:val="en-US" w:eastAsia="zh-CN"/>
        </w:rPr>
        <w:t>Molecules</w:t>
      </w:r>
      <w:r w:rsidRPr="00A36F29">
        <w:rPr>
          <w:rFonts w:ascii="Book Antiqua" w:eastAsia="DengXian" w:hAnsi="Book Antiqua" w:cs="Times New Roman"/>
          <w:kern w:val="2"/>
          <w:sz w:val="24"/>
          <w:szCs w:val="24"/>
          <w:lang w:val="en-US" w:eastAsia="zh-CN"/>
        </w:rPr>
        <w:t xml:space="preserve"> 2014; </w:t>
      </w:r>
      <w:r w:rsidRPr="00A36F29">
        <w:rPr>
          <w:rFonts w:ascii="Book Antiqua" w:eastAsia="DengXian" w:hAnsi="Book Antiqua" w:cs="Times New Roman"/>
          <w:b/>
          <w:kern w:val="2"/>
          <w:sz w:val="24"/>
          <w:szCs w:val="24"/>
          <w:lang w:val="en-US" w:eastAsia="zh-CN"/>
        </w:rPr>
        <w:t>19</w:t>
      </w:r>
      <w:r w:rsidRPr="00A36F29">
        <w:rPr>
          <w:rFonts w:ascii="Book Antiqua" w:eastAsia="DengXian" w:hAnsi="Book Antiqua" w:cs="Times New Roman"/>
          <w:kern w:val="2"/>
          <w:sz w:val="24"/>
          <w:szCs w:val="24"/>
          <w:lang w:val="en-US" w:eastAsia="zh-CN"/>
        </w:rPr>
        <w:t>: 19066-19077 [PMID: 25415472 DOI: 10.3390/molecules191119066]</w:t>
      </w:r>
    </w:p>
    <w:p w14:paraId="1DFC3C96"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54 </w:t>
      </w:r>
      <w:r w:rsidRPr="00A36F29">
        <w:rPr>
          <w:rFonts w:ascii="Book Antiqua" w:eastAsia="DengXian" w:hAnsi="Book Antiqua" w:cs="Times New Roman"/>
          <w:b/>
          <w:kern w:val="2"/>
          <w:sz w:val="24"/>
          <w:szCs w:val="24"/>
          <w:lang w:val="en-US" w:eastAsia="zh-CN"/>
        </w:rPr>
        <w:t>Huang T</w:t>
      </w:r>
      <w:r w:rsidRPr="00A36F29">
        <w:rPr>
          <w:rFonts w:ascii="Book Antiqua" w:eastAsia="DengXian" w:hAnsi="Book Antiqua" w:cs="Times New Roman"/>
          <w:kern w:val="2"/>
          <w:sz w:val="24"/>
          <w:szCs w:val="24"/>
          <w:lang w:val="en-US" w:eastAsia="zh-CN"/>
        </w:rPr>
        <w:t xml:space="preserve">, Zhang K, Sun L, Xue X, Zhang C, Shu Z, Mu N, Gu J, Zhang W, Wang Y, Zhang Y, Zhang W. Body protective compound-157 enhances alkali-burn wound healing in vivo and promotes proliferation, migration, and angiogenesis in vitro. </w:t>
      </w:r>
      <w:r w:rsidRPr="00A36F29">
        <w:rPr>
          <w:rFonts w:ascii="Book Antiqua" w:eastAsia="DengXian" w:hAnsi="Book Antiqua" w:cs="Times New Roman"/>
          <w:i/>
          <w:kern w:val="2"/>
          <w:sz w:val="24"/>
          <w:szCs w:val="24"/>
          <w:lang w:val="en-US" w:eastAsia="zh-CN"/>
        </w:rPr>
        <w:t>Drug Des Devel Ther</w:t>
      </w:r>
      <w:r w:rsidRPr="00A36F29">
        <w:rPr>
          <w:rFonts w:ascii="Book Antiqua" w:eastAsia="DengXian" w:hAnsi="Book Antiqua" w:cs="Times New Roman"/>
          <w:kern w:val="2"/>
          <w:sz w:val="24"/>
          <w:szCs w:val="24"/>
          <w:lang w:val="en-US" w:eastAsia="zh-CN"/>
        </w:rPr>
        <w:t xml:space="preserve"> 2015; </w:t>
      </w:r>
      <w:r w:rsidRPr="00A36F29">
        <w:rPr>
          <w:rFonts w:ascii="Book Antiqua" w:eastAsia="DengXian" w:hAnsi="Book Antiqua" w:cs="Times New Roman"/>
          <w:b/>
          <w:kern w:val="2"/>
          <w:sz w:val="24"/>
          <w:szCs w:val="24"/>
          <w:lang w:val="en-US" w:eastAsia="zh-CN"/>
        </w:rPr>
        <w:t>9</w:t>
      </w:r>
      <w:r w:rsidRPr="00A36F29">
        <w:rPr>
          <w:rFonts w:ascii="Book Antiqua" w:eastAsia="DengXian" w:hAnsi="Book Antiqua" w:cs="Times New Roman"/>
          <w:kern w:val="2"/>
          <w:sz w:val="24"/>
          <w:szCs w:val="24"/>
          <w:lang w:val="en-US" w:eastAsia="zh-CN"/>
        </w:rPr>
        <w:t>: 2485-2499 [PMID: 25995620 DOI: 10.2147/DDDT.S82030]</w:t>
      </w:r>
    </w:p>
    <w:p w14:paraId="70AD1803"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55 </w:t>
      </w:r>
      <w:r w:rsidRPr="00A36F29">
        <w:rPr>
          <w:rFonts w:ascii="Book Antiqua" w:eastAsia="DengXian" w:hAnsi="Book Antiqua" w:cs="Times New Roman"/>
          <w:b/>
          <w:kern w:val="2"/>
          <w:sz w:val="24"/>
          <w:szCs w:val="24"/>
          <w:lang w:val="en-US" w:eastAsia="zh-CN"/>
        </w:rPr>
        <w:t>Hsieh MJ</w:t>
      </w:r>
      <w:r w:rsidRPr="00A36F29">
        <w:rPr>
          <w:rFonts w:ascii="Book Antiqua" w:eastAsia="DengXian" w:hAnsi="Book Antiqua" w:cs="Times New Roman"/>
          <w:kern w:val="2"/>
          <w:sz w:val="24"/>
          <w:szCs w:val="24"/>
          <w:lang w:val="en-US" w:eastAsia="zh-CN"/>
        </w:rPr>
        <w:t xml:space="preserve">, Liu HT, Wang CN, Huang HY, Lin Y, Ko YS, Wang JS, Chang VH, Pang JS. Therapeutic potential of pro-angiogenic BPC157 is associated with VEGFR2 activation and up-regulation. </w:t>
      </w:r>
      <w:r w:rsidRPr="00A36F29">
        <w:rPr>
          <w:rFonts w:ascii="Book Antiqua" w:eastAsia="DengXian" w:hAnsi="Book Antiqua" w:cs="Times New Roman"/>
          <w:i/>
          <w:kern w:val="2"/>
          <w:sz w:val="24"/>
          <w:szCs w:val="24"/>
          <w:lang w:val="en-US" w:eastAsia="zh-CN"/>
        </w:rPr>
        <w:t>J Mol Med (Berl)</w:t>
      </w:r>
      <w:r w:rsidRPr="00A36F29">
        <w:rPr>
          <w:rFonts w:ascii="Book Antiqua" w:eastAsia="DengXian" w:hAnsi="Book Antiqua" w:cs="Times New Roman"/>
          <w:kern w:val="2"/>
          <w:sz w:val="24"/>
          <w:szCs w:val="24"/>
          <w:lang w:val="en-US" w:eastAsia="zh-CN"/>
        </w:rPr>
        <w:t xml:space="preserve"> 2017; </w:t>
      </w:r>
      <w:r w:rsidRPr="00A36F29">
        <w:rPr>
          <w:rFonts w:ascii="Book Antiqua" w:eastAsia="DengXian" w:hAnsi="Book Antiqua" w:cs="Times New Roman"/>
          <w:b/>
          <w:kern w:val="2"/>
          <w:sz w:val="24"/>
          <w:szCs w:val="24"/>
          <w:lang w:val="en-US" w:eastAsia="zh-CN"/>
        </w:rPr>
        <w:t>95</w:t>
      </w:r>
      <w:r w:rsidRPr="00A36F29">
        <w:rPr>
          <w:rFonts w:ascii="Book Antiqua" w:eastAsia="DengXian" w:hAnsi="Book Antiqua" w:cs="Times New Roman"/>
          <w:kern w:val="2"/>
          <w:sz w:val="24"/>
          <w:szCs w:val="24"/>
          <w:lang w:val="en-US" w:eastAsia="zh-CN"/>
        </w:rPr>
        <w:t>: 323-333 [PMID: 27847966 DOI: 10.1007/s00109-016-1488-y]</w:t>
      </w:r>
    </w:p>
    <w:p w14:paraId="3B7F1CE8"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56 </w:t>
      </w:r>
      <w:r w:rsidRPr="00A36F29">
        <w:rPr>
          <w:rFonts w:ascii="Book Antiqua" w:eastAsia="DengXian" w:hAnsi="Book Antiqua" w:cs="Times New Roman"/>
          <w:b/>
          <w:kern w:val="2"/>
          <w:sz w:val="24"/>
          <w:szCs w:val="24"/>
          <w:lang w:val="en-US" w:eastAsia="zh-CN"/>
        </w:rPr>
        <w:t>Tkalcević VI</w:t>
      </w:r>
      <w:r w:rsidRPr="00A36F29">
        <w:rPr>
          <w:rFonts w:ascii="Book Antiqua" w:eastAsia="DengXian" w:hAnsi="Book Antiqua" w:cs="Times New Roman"/>
          <w:kern w:val="2"/>
          <w:sz w:val="24"/>
          <w:szCs w:val="24"/>
          <w:lang w:val="en-US" w:eastAsia="zh-CN"/>
        </w:rPr>
        <w:t xml:space="preserve">, Cuzić S, Brajsa K, Mildner B, Bokulić A, Situm K, Perović D, Glojnarić I, Parnham MJ. Enhancement by PL 14736 of granulation and collagen organization in healing wounds and the potential role of egr-1 expression. </w:t>
      </w:r>
      <w:r w:rsidRPr="00A36F29">
        <w:rPr>
          <w:rFonts w:ascii="Book Antiqua" w:eastAsia="DengXian" w:hAnsi="Book Antiqua" w:cs="Times New Roman"/>
          <w:i/>
          <w:kern w:val="2"/>
          <w:sz w:val="24"/>
          <w:szCs w:val="24"/>
          <w:lang w:val="en-US" w:eastAsia="zh-CN"/>
        </w:rPr>
        <w:t>Eur J Pharmacol</w:t>
      </w:r>
      <w:r w:rsidRPr="00A36F29">
        <w:rPr>
          <w:rFonts w:ascii="Book Antiqua" w:eastAsia="DengXian" w:hAnsi="Book Antiqua" w:cs="Times New Roman"/>
          <w:kern w:val="2"/>
          <w:sz w:val="24"/>
          <w:szCs w:val="24"/>
          <w:lang w:val="en-US" w:eastAsia="zh-CN"/>
        </w:rPr>
        <w:t xml:space="preserve"> 2007; </w:t>
      </w:r>
      <w:r w:rsidRPr="00A36F29">
        <w:rPr>
          <w:rFonts w:ascii="Book Antiqua" w:eastAsia="DengXian" w:hAnsi="Book Antiqua" w:cs="Times New Roman"/>
          <w:b/>
          <w:kern w:val="2"/>
          <w:sz w:val="24"/>
          <w:szCs w:val="24"/>
          <w:lang w:val="en-US" w:eastAsia="zh-CN"/>
        </w:rPr>
        <w:t>570</w:t>
      </w:r>
      <w:r w:rsidRPr="00A36F29">
        <w:rPr>
          <w:rFonts w:ascii="Book Antiqua" w:eastAsia="DengXian" w:hAnsi="Book Antiqua" w:cs="Times New Roman"/>
          <w:kern w:val="2"/>
          <w:sz w:val="24"/>
          <w:szCs w:val="24"/>
          <w:lang w:val="en-US" w:eastAsia="zh-CN"/>
        </w:rPr>
        <w:t>: 212-221 [PMID: 17628536 DOI: 10.1016/j.ejphar.2007.05.072]</w:t>
      </w:r>
    </w:p>
    <w:p w14:paraId="1684C6D4"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57 </w:t>
      </w:r>
      <w:r w:rsidRPr="00A36F29">
        <w:rPr>
          <w:rFonts w:ascii="Book Antiqua" w:eastAsia="DengXian" w:hAnsi="Book Antiqua" w:cs="Times New Roman"/>
          <w:b/>
          <w:kern w:val="2"/>
          <w:sz w:val="24"/>
          <w:szCs w:val="24"/>
          <w:lang w:val="en-US" w:eastAsia="zh-CN"/>
        </w:rPr>
        <w:t>Chen Y</w:t>
      </w:r>
      <w:r w:rsidRPr="00A36F29">
        <w:rPr>
          <w:rFonts w:ascii="Book Antiqua" w:eastAsia="DengXian" w:hAnsi="Book Antiqua" w:cs="Times New Roman"/>
          <w:kern w:val="2"/>
          <w:sz w:val="24"/>
          <w:szCs w:val="24"/>
          <w:lang w:val="en-US" w:eastAsia="zh-CN"/>
        </w:rPr>
        <w:t xml:space="preserve">, Wang W, Wang H, Li Y, Shi M, Li H, Yan J. Rapamycin Attenuates Splenomegaly in both Intrahepatic and Prehepatic Portal Hypertensive Rats by Blocking mTOR Signaling Pathway. </w:t>
      </w:r>
      <w:r w:rsidRPr="00A36F29">
        <w:rPr>
          <w:rFonts w:ascii="Book Antiqua" w:eastAsia="DengXian" w:hAnsi="Book Antiqua" w:cs="Times New Roman"/>
          <w:i/>
          <w:kern w:val="2"/>
          <w:sz w:val="24"/>
          <w:szCs w:val="24"/>
          <w:lang w:val="en-US" w:eastAsia="zh-CN"/>
        </w:rPr>
        <w:t>PLoS One</w:t>
      </w:r>
      <w:r w:rsidRPr="00A36F29">
        <w:rPr>
          <w:rFonts w:ascii="Book Antiqua" w:eastAsia="DengXian" w:hAnsi="Book Antiqua" w:cs="Times New Roman"/>
          <w:kern w:val="2"/>
          <w:sz w:val="24"/>
          <w:szCs w:val="24"/>
          <w:lang w:val="en-US" w:eastAsia="zh-CN"/>
        </w:rPr>
        <w:t xml:space="preserve"> 2016; </w:t>
      </w:r>
      <w:r w:rsidRPr="00A36F29">
        <w:rPr>
          <w:rFonts w:ascii="Book Antiqua" w:eastAsia="DengXian" w:hAnsi="Book Antiqua" w:cs="Times New Roman"/>
          <w:b/>
          <w:kern w:val="2"/>
          <w:sz w:val="24"/>
          <w:szCs w:val="24"/>
          <w:lang w:val="en-US" w:eastAsia="zh-CN"/>
        </w:rPr>
        <w:t>11</w:t>
      </w:r>
      <w:r w:rsidRPr="00A36F29">
        <w:rPr>
          <w:rFonts w:ascii="Book Antiqua" w:eastAsia="DengXian" w:hAnsi="Book Antiqua" w:cs="Times New Roman"/>
          <w:kern w:val="2"/>
          <w:sz w:val="24"/>
          <w:szCs w:val="24"/>
          <w:lang w:val="en-US" w:eastAsia="zh-CN"/>
        </w:rPr>
        <w:t>: e0141159 [PMID: 26734934 DOI: 10.1371/journal.pone.0141159]</w:t>
      </w:r>
    </w:p>
    <w:p w14:paraId="7ECC5E9F"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58 </w:t>
      </w:r>
      <w:r w:rsidRPr="00A36F29">
        <w:rPr>
          <w:rFonts w:ascii="Book Antiqua" w:eastAsia="DengXian" w:hAnsi="Book Antiqua" w:cs="Times New Roman"/>
          <w:b/>
          <w:kern w:val="2"/>
          <w:sz w:val="24"/>
          <w:szCs w:val="24"/>
          <w:lang w:val="en-US" w:eastAsia="zh-CN"/>
        </w:rPr>
        <w:t>Cesarec V</w:t>
      </w:r>
      <w:r w:rsidRPr="00A36F29">
        <w:rPr>
          <w:rFonts w:ascii="Book Antiqua" w:eastAsia="DengXian" w:hAnsi="Book Antiqua" w:cs="Times New Roman"/>
          <w:kern w:val="2"/>
          <w:sz w:val="24"/>
          <w:szCs w:val="24"/>
          <w:lang w:val="en-US" w:eastAsia="zh-CN"/>
        </w:rPr>
        <w:t xml:space="preserve">, Becejac T, Misic M, Djakovic Z, Olujic D, Drmic D, Brcic L, Rokotov DS, Seiwerth S, Sikiric P. Pentadecapeptide BPC 157 and the esophagocutaneous fistula healing therapy. </w:t>
      </w:r>
      <w:r w:rsidRPr="00A36F29">
        <w:rPr>
          <w:rFonts w:ascii="Book Antiqua" w:eastAsia="DengXian" w:hAnsi="Book Antiqua" w:cs="Times New Roman"/>
          <w:i/>
          <w:kern w:val="2"/>
          <w:sz w:val="24"/>
          <w:szCs w:val="24"/>
          <w:lang w:val="en-US" w:eastAsia="zh-CN"/>
        </w:rPr>
        <w:t>Eur J Pharmacol</w:t>
      </w:r>
      <w:r w:rsidRPr="00A36F29">
        <w:rPr>
          <w:rFonts w:ascii="Book Antiqua" w:eastAsia="DengXian" w:hAnsi="Book Antiqua" w:cs="Times New Roman"/>
          <w:kern w:val="2"/>
          <w:sz w:val="24"/>
          <w:szCs w:val="24"/>
          <w:lang w:val="en-US" w:eastAsia="zh-CN"/>
        </w:rPr>
        <w:t xml:space="preserve"> 2013; </w:t>
      </w:r>
      <w:r w:rsidRPr="00A36F29">
        <w:rPr>
          <w:rFonts w:ascii="Book Antiqua" w:eastAsia="DengXian" w:hAnsi="Book Antiqua" w:cs="Times New Roman"/>
          <w:b/>
          <w:kern w:val="2"/>
          <w:sz w:val="24"/>
          <w:szCs w:val="24"/>
          <w:lang w:val="en-US" w:eastAsia="zh-CN"/>
        </w:rPr>
        <w:t>701</w:t>
      </w:r>
      <w:r w:rsidRPr="00A36F29">
        <w:rPr>
          <w:rFonts w:ascii="Book Antiqua" w:eastAsia="DengXian" w:hAnsi="Book Antiqua" w:cs="Times New Roman"/>
          <w:kern w:val="2"/>
          <w:sz w:val="24"/>
          <w:szCs w:val="24"/>
          <w:lang w:val="en-US" w:eastAsia="zh-CN"/>
        </w:rPr>
        <w:t xml:space="preserve">: 203-212 [PMID: 23220707 DOI: </w:t>
      </w:r>
      <w:r w:rsidRPr="00A36F29">
        <w:rPr>
          <w:rFonts w:ascii="Book Antiqua" w:eastAsia="DengXian" w:hAnsi="Book Antiqua" w:cs="Times New Roman"/>
          <w:kern w:val="2"/>
          <w:sz w:val="24"/>
          <w:szCs w:val="24"/>
          <w:lang w:val="en-US" w:eastAsia="zh-CN"/>
        </w:rPr>
        <w:lastRenderedPageBreak/>
        <w:t>10.1016/j.ejphar.2012.11.055]</w:t>
      </w:r>
    </w:p>
    <w:p w14:paraId="0156EF07"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59 </w:t>
      </w:r>
      <w:r w:rsidRPr="00A36F29">
        <w:rPr>
          <w:rFonts w:ascii="Book Antiqua" w:eastAsia="DengXian" w:hAnsi="Book Antiqua" w:cs="Times New Roman"/>
          <w:b/>
          <w:kern w:val="2"/>
          <w:sz w:val="24"/>
          <w:szCs w:val="24"/>
          <w:lang w:val="en-US" w:eastAsia="zh-CN"/>
        </w:rPr>
        <w:t>Martell M</w:t>
      </w:r>
      <w:r w:rsidRPr="00A36F29">
        <w:rPr>
          <w:rFonts w:ascii="Book Antiqua" w:eastAsia="DengXian" w:hAnsi="Book Antiqua" w:cs="Times New Roman"/>
          <w:kern w:val="2"/>
          <w:sz w:val="24"/>
          <w:szCs w:val="24"/>
          <w:lang w:val="en-US" w:eastAsia="zh-CN"/>
        </w:rPr>
        <w:t xml:space="preserve">, Coll M, Ezkurdia N, Raurell I, Genescà J. Physiopathology of splanchnic vasodilation in portal hypertension. </w:t>
      </w:r>
      <w:r w:rsidRPr="00A36F29">
        <w:rPr>
          <w:rFonts w:ascii="Book Antiqua" w:eastAsia="DengXian" w:hAnsi="Book Antiqua" w:cs="Times New Roman"/>
          <w:i/>
          <w:kern w:val="2"/>
          <w:sz w:val="24"/>
          <w:szCs w:val="24"/>
          <w:lang w:val="en-US" w:eastAsia="zh-CN"/>
        </w:rPr>
        <w:t>World J Hepatol</w:t>
      </w:r>
      <w:r w:rsidRPr="00A36F29">
        <w:rPr>
          <w:rFonts w:ascii="Book Antiqua" w:eastAsia="DengXian" w:hAnsi="Book Antiqua" w:cs="Times New Roman"/>
          <w:kern w:val="2"/>
          <w:sz w:val="24"/>
          <w:szCs w:val="24"/>
          <w:lang w:val="en-US" w:eastAsia="zh-CN"/>
        </w:rPr>
        <w:t xml:space="preserve"> 2010; </w:t>
      </w:r>
      <w:r w:rsidRPr="00A36F29">
        <w:rPr>
          <w:rFonts w:ascii="Book Antiqua" w:eastAsia="DengXian" w:hAnsi="Book Antiqua" w:cs="Times New Roman"/>
          <w:b/>
          <w:kern w:val="2"/>
          <w:sz w:val="24"/>
          <w:szCs w:val="24"/>
          <w:lang w:val="en-US" w:eastAsia="zh-CN"/>
        </w:rPr>
        <w:t>2</w:t>
      </w:r>
      <w:r w:rsidRPr="00A36F29">
        <w:rPr>
          <w:rFonts w:ascii="Book Antiqua" w:eastAsia="DengXian" w:hAnsi="Book Antiqua" w:cs="Times New Roman"/>
          <w:kern w:val="2"/>
          <w:sz w:val="24"/>
          <w:szCs w:val="24"/>
          <w:lang w:val="en-US" w:eastAsia="zh-CN"/>
        </w:rPr>
        <w:t>: 208-220 [PMID: 21160999 DOI: 10.4254/wjh.v2.i6.208]</w:t>
      </w:r>
    </w:p>
    <w:p w14:paraId="7F1C9D5B"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60 </w:t>
      </w:r>
      <w:r w:rsidRPr="00A36F29">
        <w:rPr>
          <w:rFonts w:ascii="Book Antiqua" w:eastAsia="DengXian" w:hAnsi="Book Antiqua" w:cs="Times New Roman"/>
          <w:b/>
          <w:kern w:val="2"/>
          <w:sz w:val="24"/>
          <w:szCs w:val="24"/>
          <w:lang w:val="en-US" w:eastAsia="zh-CN"/>
        </w:rPr>
        <w:t>Tsuchida Y</w:t>
      </w:r>
      <w:r w:rsidRPr="00A36F29">
        <w:rPr>
          <w:rFonts w:ascii="Book Antiqua" w:eastAsia="DengXian" w:hAnsi="Book Antiqua" w:cs="Times New Roman"/>
          <w:kern w:val="2"/>
          <w:sz w:val="24"/>
          <w:szCs w:val="24"/>
          <w:lang w:val="en-US" w:eastAsia="zh-CN"/>
        </w:rPr>
        <w:t xml:space="preserve">, Aoki N, Fukuda O, Nakano M, Igarashi H. Changes in hemodynamics in jejunal flaps of rabbits due to ischemia, venous congestion, and reperfusion as measured by means of colored microspheres. </w:t>
      </w:r>
      <w:r w:rsidRPr="00A36F29">
        <w:rPr>
          <w:rFonts w:ascii="Book Antiqua" w:eastAsia="DengXian" w:hAnsi="Book Antiqua" w:cs="Times New Roman"/>
          <w:i/>
          <w:kern w:val="2"/>
          <w:sz w:val="24"/>
          <w:szCs w:val="24"/>
          <w:lang w:val="en-US" w:eastAsia="zh-CN"/>
        </w:rPr>
        <w:t>Plast Reconstr Surg</w:t>
      </w:r>
      <w:r w:rsidRPr="00A36F29">
        <w:rPr>
          <w:rFonts w:ascii="Book Antiqua" w:eastAsia="DengXian" w:hAnsi="Book Antiqua" w:cs="Times New Roman"/>
          <w:kern w:val="2"/>
          <w:sz w:val="24"/>
          <w:szCs w:val="24"/>
          <w:lang w:val="en-US" w:eastAsia="zh-CN"/>
        </w:rPr>
        <w:t xml:space="preserve"> 1998; </w:t>
      </w:r>
      <w:r w:rsidRPr="00A36F29">
        <w:rPr>
          <w:rFonts w:ascii="Book Antiqua" w:eastAsia="DengXian" w:hAnsi="Book Antiqua" w:cs="Times New Roman"/>
          <w:b/>
          <w:kern w:val="2"/>
          <w:sz w:val="24"/>
          <w:szCs w:val="24"/>
          <w:lang w:val="en-US" w:eastAsia="zh-CN"/>
        </w:rPr>
        <w:t>101</w:t>
      </w:r>
      <w:r w:rsidRPr="00A36F29">
        <w:rPr>
          <w:rFonts w:ascii="Book Antiqua" w:eastAsia="DengXian" w:hAnsi="Book Antiqua" w:cs="Times New Roman"/>
          <w:kern w:val="2"/>
          <w:sz w:val="24"/>
          <w:szCs w:val="24"/>
          <w:lang w:val="en-US" w:eastAsia="zh-CN"/>
        </w:rPr>
        <w:t>: 147-154 [PMID: 9427928 DOI: 10.1097/00006534-199801000-00024]</w:t>
      </w:r>
    </w:p>
    <w:p w14:paraId="07CDA6A5"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61 </w:t>
      </w:r>
      <w:r w:rsidRPr="00A36F29">
        <w:rPr>
          <w:rFonts w:ascii="Book Antiqua" w:eastAsia="DengXian" w:hAnsi="Book Antiqua" w:cs="Times New Roman"/>
          <w:b/>
          <w:kern w:val="2"/>
          <w:sz w:val="24"/>
          <w:szCs w:val="24"/>
          <w:lang w:val="en-US" w:eastAsia="zh-CN"/>
        </w:rPr>
        <w:t>Sikirić P</w:t>
      </w:r>
      <w:r w:rsidRPr="00A36F29">
        <w:rPr>
          <w:rFonts w:ascii="Book Antiqua" w:eastAsia="DengXian" w:hAnsi="Book Antiqua" w:cs="Times New Roman"/>
          <w:kern w:val="2"/>
          <w:sz w:val="24"/>
          <w:szCs w:val="24"/>
          <w:lang w:val="en-US" w:eastAsia="zh-CN"/>
        </w:rPr>
        <w:t xml:space="preserve">, Seiwerth S, Grabarević Z, Rucman R, Petek M, Jagić V, Turković B, Rotkvić I, Mise S, Zoricić I, Konjevoda P, Perović D, Jurina L, Separović J, Hanzevacki M, Artuković B, Bratulić M, Tisljar M, Gjurasin M, Miklić P, Stancić-Rokotov D, Slobodnjak Z, Jelovac N, Marović A. The influence of a novel pentadecapeptide, BPC 157, on N(G)-nitro-L-arginine methylester and L-arginine effects on stomach mucosa integrity and blood pressure. </w:t>
      </w:r>
      <w:r w:rsidRPr="00A36F29">
        <w:rPr>
          <w:rFonts w:ascii="Book Antiqua" w:eastAsia="DengXian" w:hAnsi="Book Antiqua" w:cs="Times New Roman"/>
          <w:i/>
          <w:kern w:val="2"/>
          <w:sz w:val="24"/>
          <w:szCs w:val="24"/>
          <w:lang w:val="en-US" w:eastAsia="zh-CN"/>
        </w:rPr>
        <w:t>Eur J Pharmacol</w:t>
      </w:r>
      <w:r w:rsidRPr="00A36F29">
        <w:rPr>
          <w:rFonts w:ascii="Book Antiqua" w:eastAsia="DengXian" w:hAnsi="Book Antiqua" w:cs="Times New Roman"/>
          <w:kern w:val="2"/>
          <w:sz w:val="24"/>
          <w:szCs w:val="24"/>
          <w:lang w:val="en-US" w:eastAsia="zh-CN"/>
        </w:rPr>
        <w:t xml:space="preserve"> 1997; </w:t>
      </w:r>
      <w:r w:rsidRPr="00A36F29">
        <w:rPr>
          <w:rFonts w:ascii="Book Antiqua" w:eastAsia="DengXian" w:hAnsi="Book Antiqua" w:cs="Times New Roman"/>
          <w:b/>
          <w:kern w:val="2"/>
          <w:sz w:val="24"/>
          <w:szCs w:val="24"/>
          <w:lang w:val="en-US" w:eastAsia="zh-CN"/>
        </w:rPr>
        <w:t>332</w:t>
      </w:r>
      <w:r w:rsidRPr="00A36F29">
        <w:rPr>
          <w:rFonts w:ascii="Book Antiqua" w:eastAsia="DengXian" w:hAnsi="Book Antiqua" w:cs="Times New Roman"/>
          <w:kern w:val="2"/>
          <w:sz w:val="24"/>
          <w:szCs w:val="24"/>
          <w:lang w:val="en-US" w:eastAsia="zh-CN"/>
        </w:rPr>
        <w:t>: 23-33 [PMID: 9298922 DOI: 10.1016/S0014-2999(97)01033-9]</w:t>
      </w:r>
    </w:p>
    <w:p w14:paraId="777ECD3F" w14:textId="77777777" w:rsidR="003C5053" w:rsidRPr="00A36F29" w:rsidRDefault="003C5053" w:rsidP="00A36F29">
      <w:pPr>
        <w:widowControl w:val="0"/>
        <w:spacing w:after="0" w:line="360" w:lineRule="auto"/>
        <w:jc w:val="both"/>
        <w:rPr>
          <w:rFonts w:ascii="Book Antiqua" w:eastAsia="DengXian" w:hAnsi="Book Antiqua" w:cs="Times New Roman"/>
          <w:kern w:val="2"/>
          <w:sz w:val="24"/>
          <w:szCs w:val="24"/>
          <w:lang w:val="en-US" w:eastAsia="zh-CN"/>
        </w:rPr>
      </w:pPr>
      <w:r w:rsidRPr="00A36F29">
        <w:rPr>
          <w:rFonts w:ascii="Book Antiqua" w:eastAsia="DengXian" w:hAnsi="Book Antiqua" w:cs="Times New Roman"/>
          <w:kern w:val="2"/>
          <w:sz w:val="24"/>
          <w:szCs w:val="24"/>
          <w:lang w:val="en-US" w:eastAsia="zh-CN"/>
        </w:rPr>
        <w:t xml:space="preserve">62 </w:t>
      </w:r>
      <w:r w:rsidRPr="00A36F29">
        <w:rPr>
          <w:rFonts w:ascii="Book Antiqua" w:eastAsia="DengXian" w:hAnsi="Book Antiqua" w:cs="Times New Roman"/>
          <w:b/>
          <w:kern w:val="2"/>
          <w:sz w:val="24"/>
          <w:szCs w:val="24"/>
          <w:lang w:val="en-US" w:eastAsia="zh-CN"/>
        </w:rPr>
        <w:t>Wang XY</w:t>
      </w:r>
      <w:r w:rsidRPr="00A36F29">
        <w:rPr>
          <w:rFonts w:ascii="Book Antiqua" w:eastAsia="DengXian" w:hAnsi="Book Antiqua" w:cs="Times New Roman"/>
          <w:kern w:val="2"/>
          <w:sz w:val="24"/>
          <w:szCs w:val="24"/>
          <w:lang w:val="en-US" w:eastAsia="zh-CN"/>
        </w:rPr>
        <w:t xml:space="preserve">, Qu M, Duan R, Shi D, Jin L, Gao J, Wood JD, Li J, Wang GD. Cytoprotective Mechanism of the Novel Gastric Peptide BPC157 in Gastrointestinal Tract and Cultured Enteric Neurons and Glial Cells. </w:t>
      </w:r>
      <w:r w:rsidRPr="00A36F29">
        <w:rPr>
          <w:rFonts w:ascii="Book Antiqua" w:eastAsia="DengXian" w:hAnsi="Book Antiqua" w:cs="Times New Roman"/>
          <w:i/>
          <w:kern w:val="2"/>
          <w:sz w:val="24"/>
          <w:szCs w:val="24"/>
          <w:lang w:val="en-US" w:eastAsia="zh-CN"/>
        </w:rPr>
        <w:t>Neurosci Bull</w:t>
      </w:r>
      <w:r w:rsidRPr="00A36F29">
        <w:rPr>
          <w:rFonts w:ascii="Book Antiqua" w:eastAsia="DengXian" w:hAnsi="Book Antiqua" w:cs="Times New Roman"/>
          <w:kern w:val="2"/>
          <w:sz w:val="24"/>
          <w:szCs w:val="24"/>
          <w:lang w:val="en-US" w:eastAsia="zh-CN"/>
        </w:rPr>
        <w:t xml:space="preserve"> 2019; </w:t>
      </w:r>
      <w:r w:rsidRPr="00A36F29">
        <w:rPr>
          <w:rFonts w:ascii="Book Antiqua" w:eastAsia="DengXian" w:hAnsi="Book Antiqua" w:cs="Times New Roman"/>
          <w:b/>
          <w:kern w:val="2"/>
          <w:sz w:val="24"/>
          <w:szCs w:val="24"/>
          <w:lang w:val="en-US" w:eastAsia="zh-CN"/>
        </w:rPr>
        <w:t>35</w:t>
      </w:r>
      <w:r w:rsidRPr="00A36F29">
        <w:rPr>
          <w:rFonts w:ascii="Book Antiqua" w:eastAsia="DengXian" w:hAnsi="Book Antiqua" w:cs="Times New Roman"/>
          <w:kern w:val="2"/>
          <w:sz w:val="24"/>
          <w:szCs w:val="24"/>
          <w:lang w:val="en-US" w:eastAsia="zh-CN"/>
        </w:rPr>
        <w:t>: 167-170 [PMID: 30116973 DOI: 10.1007/s12264-018-0269-8]</w:t>
      </w:r>
    </w:p>
    <w:p w14:paraId="0BFA6257" w14:textId="009B97E1" w:rsidR="003C5053" w:rsidRPr="00A36F29" w:rsidRDefault="003C5053" w:rsidP="00A36F29">
      <w:pPr>
        <w:pStyle w:val="desc2"/>
        <w:shd w:val="clear" w:color="auto" w:fill="FFFFFF"/>
        <w:spacing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br w:type="page"/>
      </w:r>
    </w:p>
    <w:p w14:paraId="645D2BBE" w14:textId="77777777" w:rsidR="009B25B5" w:rsidRPr="00A36F29" w:rsidRDefault="009B25B5" w:rsidP="00A36F29">
      <w:pPr>
        <w:adjustRightInd w:val="0"/>
        <w:snapToGrid w:val="0"/>
        <w:spacing w:after="0" w:line="360" w:lineRule="auto"/>
        <w:jc w:val="both"/>
        <w:rPr>
          <w:rFonts w:ascii="Book Antiqua" w:hAnsi="Book Antiqua"/>
          <w:b/>
          <w:sz w:val="24"/>
          <w:szCs w:val="24"/>
        </w:rPr>
      </w:pPr>
      <w:r w:rsidRPr="00A36F29">
        <w:rPr>
          <w:rFonts w:ascii="Book Antiqua" w:hAnsi="Book Antiqua"/>
          <w:b/>
          <w:sz w:val="24"/>
          <w:szCs w:val="24"/>
        </w:rPr>
        <w:lastRenderedPageBreak/>
        <w:t>Footnotes</w:t>
      </w:r>
    </w:p>
    <w:p w14:paraId="33ED419D" w14:textId="4D180F56" w:rsidR="00DD702D" w:rsidRPr="00A36F29" w:rsidRDefault="009B25B5" w:rsidP="00A36F29">
      <w:pPr>
        <w:pStyle w:val="desc2"/>
        <w:shd w:val="clear" w:color="auto" w:fill="FFFFFF"/>
        <w:spacing w:line="360" w:lineRule="auto"/>
        <w:jc w:val="both"/>
        <w:rPr>
          <w:rFonts w:ascii="Book Antiqua" w:hAnsi="Book Antiqua" w:cs="Courier New"/>
          <w:color w:val="000000" w:themeColor="text1"/>
          <w:sz w:val="24"/>
          <w:szCs w:val="24"/>
          <w:lang w:val="en-US"/>
        </w:rPr>
      </w:pPr>
      <w:r w:rsidRPr="00A36F29">
        <w:rPr>
          <w:rFonts w:ascii="Book Antiqua" w:hAnsi="Book Antiqua"/>
          <w:b/>
          <w:color w:val="000000"/>
          <w:sz w:val="24"/>
          <w:szCs w:val="24"/>
          <w:lang w:val="hu-HU"/>
        </w:rPr>
        <w:t xml:space="preserve">Institutional review board statement: </w:t>
      </w:r>
      <w:r w:rsidR="00DD702D" w:rsidRPr="00A36F29">
        <w:rPr>
          <w:rFonts w:ascii="Book Antiqua" w:eastAsia="Calibri" w:hAnsi="Book Antiqua"/>
          <w:color w:val="000000" w:themeColor="text1"/>
          <w:sz w:val="24"/>
          <w:szCs w:val="24"/>
          <w:lang w:val="en-US"/>
        </w:rPr>
        <w:t>The study was reviewed and approved by the Department of Veterinary, Ministry of Agriculture, Republic of Croatia, No: UP/I 322-01/07-01/210</w:t>
      </w:r>
      <w:r w:rsidRPr="00A36F29">
        <w:rPr>
          <w:rFonts w:ascii="Book Antiqua" w:eastAsia="Calibri" w:hAnsi="Book Antiqua"/>
          <w:color w:val="000000" w:themeColor="text1"/>
          <w:sz w:val="24"/>
          <w:szCs w:val="24"/>
          <w:lang w:val="en-US"/>
        </w:rPr>
        <w:t>.</w:t>
      </w:r>
    </w:p>
    <w:p w14:paraId="2FFB0512" w14:textId="77777777" w:rsidR="00DD702D" w:rsidRPr="00A36F29" w:rsidRDefault="00DD702D" w:rsidP="00A36F29">
      <w:pPr>
        <w:spacing w:after="0" w:line="360" w:lineRule="auto"/>
        <w:jc w:val="both"/>
        <w:rPr>
          <w:rFonts w:ascii="Book Antiqua" w:eastAsia="Calibri" w:hAnsi="Book Antiqua" w:cs="Times New Roman"/>
          <w:color w:val="000000" w:themeColor="text1"/>
          <w:sz w:val="24"/>
          <w:szCs w:val="24"/>
          <w:lang w:val="en-US"/>
        </w:rPr>
      </w:pPr>
    </w:p>
    <w:p w14:paraId="73DBF740" w14:textId="6B15C7FD" w:rsidR="00DD702D" w:rsidRPr="00A36F29" w:rsidRDefault="009B25B5" w:rsidP="00A36F29">
      <w:pPr>
        <w:spacing w:after="0" w:line="360" w:lineRule="auto"/>
        <w:jc w:val="both"/>
        <w:rPr>
          <w:rFonts w:ascii="Book Antiqua" w:eastAsia="Calibri" w:hAnsi="Book Antiqua" w:cs="Times New Roman"/>
          <w:b/>
          <w:color w:val="000000" w:themeColor="text1"/>
          <w:sz w:val="24"/>
          <w:szCs w:val="24"/>
          <w:lang w:val="en-US"/>
        </w:rPr>
      </w:pPr>
      <w:r w:rsidRPr="00A36F29">
        <w:rPr>
          <w:rFonts w:ascii="Book Antiqua" w:eastAsia="Calibri" w:hAnsi="Book Antiqua" w:cs="Times New Roman"/>
          <w:b/>
          <w:color w:val="000000" w:themeColor="text1"/>
          <w:sz w:val="24"/>
          <w:szCs w:val="24"/>
          <w:lang w:val="en-US"/>
        </w:rPr>
        <w:t xml:space="preserve">Institutional animal care and use committee statement: </w:t>
      </w:r>
      <w:r w:rsidR="00DD702D" w:rsidRPr="00A36F29">
        <w:rPr>
          <w:rFonts w:ascii="Book Antiqua" w:eastAsia="Calibri" w:hAnsi="Book Antiqua" w:cs="Times New Roman"/>
          <w:color w:val="000000" w:themeColor="text1"/>
          <w:sz w:val="24"/>
          <w:szCs w:val="24"/>
          <w:lang w:val="en-US"/>
        </w:rPr>
        <w:t>Male Albino Wistar, body weight 200 g, 12 weeks old, randomly assigned, used in all of the experiments, 6 rats/group/interval, approved by local Ethic Committee.</w:t>
      </w:r>
    </w:p>
    <w:p w14:paraId="29C108C5" w14:textId="77777777" w:rsidR="009B25B5" w:rsidRPr="00A36F29" w:rsidRDefault="009B25B5" w:rsidP="00A36F29">
      <w:pPr>
        <w:spacing w:after="0" w:line="360" w:lineRule="auto"/>
        <w:jc w:val="both"/>
        <w:rPr>
          <w:rFonts w:ascii="Book Antiqua" w:eastAsia="Calibri" w:hAnsi="Book Antiqua" w:cs="Times New Roman"/>
          <w:b/>
          <w:color w:val="000000" w:themeColor="text1"/>
          <w:sz w:val="24"/>
          <w:szCs w:val="24"/>
          <w:lang w:val="en-US"/>
        </w:rPr>
      </w:pPr>
    </w:p>
    <w:p w14:paraId="70B375FE" w14:textId="5FD838A1" w:rsidR="00DD702D" w:rsidRPr="00A36F29" w:rsidRDefault="009B25B5" w:rsidP="00A36F29">
      <w:pPr>
        <w:spacing w:after="0" w:line="360" w:lineRule="auto"/>
        <w:jc w:val="both"/>
        <w:rPr>
          <w:rFonts w:ascii="Book Antiqua" w:eastAsia="Calibri" w:hAnsi="Book Antiqua" w:cs="Times New Roman"/>
          <w:b/>
          <w:color w:val="000000" w:themeColor="text1"/>
          <w:sz w:val="24"/>
          <w:szCs w:val="24"/>
          <w:lang w:val="en-US"/>
        </w:rPr>
      </w:pPr>
      <w:r w:rsidRPr="00A36F29">
        <w:rPr>
          <w:rFonts w:ascii="Book Antiqua" w:eastAsia="Calibri" w:hAnsi="Book Antiqua" w:cs="Times New Roman"/>
          <w:b/>
          <w:color w:val="000000" w:themeColor="text1"/>
          <w:sz w:val="24"/>
          <w:szCs w:val="24"/>
          <w:lang w:val="en-US"/>
        </w:rPr>
        <w:t xml:space="preserve">Conflict-of-interest statement: </w:t>
      </w:r>
      <w:r w:rsidR="00DD702D" w:rsidRPr="00A36F29">
        <w:rPr>
          <w:rFonts w:ascii="Book Antiqua" w:eastAsia="Calibri" w:hAnsi="Book Antiqua" w:cs="Times New Roman"/>
          <w:color w:val="000000" w:themeColor="text1"/>
          <w:sz w:val="24"/>
          <w:szCs w:val="24"/>
          <w:lang w:val="en-US"/>
        </w:rPr>
        <w:t>The authors state that they have no conflicts of interest.</w:t>
      </w:r>
    </w:p>
    <w:p w14:paraId="2FC29466" w14:textId="77777777" w:rsidR="00DD702D" w:rsidRPr="00A36F29" w:rsidRDefault="00DD702D" w:rsidP="00A36F29">
      <w:pPr>
        <w:spacing w:after="0" w:line="360" w:lineRule="auto"/>
        <w:jc w:val="both"/>
        <w:rPr>
          <w:rFonts w:ascii="Book Antiqua" w:eastAsia="Calibri" w:hAnsi="Book Antiqua" w:cs="Times New Roman"/>
          <w:color w:val="000000" w:themeColor="text1"/>
          <w:sz w:val="24"/>
          <w:szCs w:val="24"/>
          <w:lang w:val="en-US"/>
        </w:rPr>
      </w:pPr>
    </w:p>
    <w:p w14:paraId="33C5B924" w14:textId="04AB2C95" w:rsidR="00DD702D" w:rsidRPr="00A36F29" w:rsidRDefault="00DD702D" w:rsidP="00A36F29">
      <w:pPr>
        <w:spacing w:after="0" w:line="360" w:lineRule="auto"/>
        <w:jc w:val="both"/>
        <w:rPr>
          <w:rFonts w:ascii="Book Antiqua" w:eastAsia="Calibri" w:hAnsi="Book Antiqua" w:cs="Times New Roman"/>
          <w:b/>
          <w:color w:val="000000" w:themeColor="text1"/>
          <w:sz w:val="24"/>
          <w:szCs w:val="24"/>
          <w:lang w:val="en-US"/>
        </w:rPr>
      </w:pPr>
      <w:r w:rsidRPr="00A36F29">
        <w:rPr>
          <w:rFonts w:ascii="Book Antiqua" w:eastAsia="Calibri" w:hAnsi="Book Antiqua" w:cs="Times New Roman"/>
          <w:b/>
          <w:color w:val="000000" w:themeColor="text1"/>
          <w:sz w:val="24"/>
          <w:szCs w:val="24"/>
          <w:lang w:val="en-US"/>
        </w:rPr>
        <w:t>Data sharing statement</w:t>
      </w:r>
      <w:r w:rsidR="009B25B5" w:rsidRPr="00A36F29">
        <w:rPr>
          <w:rFonts w:ascii="Book Antiqua" w:eastAsia="Calibri" w:hAnsi="Book Antiqua" w:cs="Times New Roman"/>
          <w:b/>
          <w:color w:val="000000" w:themeColor="text1"/>
          <w:sz w:val="24"/>
          <w:szCs w:val="24"/>
          <w:lang w:val="en-US"/>
        </w:rPr>
        <w:t xml:space="preserve">: </w:t>
      </w:r>
      <w:r w:rsidRPr="00A36F29">
        <w:rPr>
          <w:rFonts w:ascii="Book Antiqua" w:eastAsia="Calibri" w:hAnsi="Book Antiqua" w:cs="Times New Roman"/>
          <w:color w:val="000000" w:themeColor="text1"/>
          <w:sz w:val="24"/>
          <w:szCs w:val="24"/>
          <w:lang w:val="en-US"/>
        </w:rPr>
        <w:t>No additional data are available.</w:t>
      </w:r>
    </w:p>
    <w:p w14:paraId="435C6EAC" w14:textId="77777777" w:rsidR="00DD702D" w:rsidRPr="00A36F29" w:rsidRDefault="00DD702D" w:rsidP="00A36F29">
      <w:pPr>
        <w:spacing w:after="0" w:line="360" w:lineRule="auto"/>
        <w:jc w:val="both"/>
        <w:rPr>
          <w:rFonts w:ascii="Book Antiqua" w:eastAsia="Calibri" w:hAnsi="Book Antiqua" w:cs="Times New Roman"/>
          <w:color w:val="000000" w:themeColor="text1"/>
          <w:sz w:val="24"/>
          <w:szCs w:val="24"/>
          <w:lang w:val="en-US"/>
        </w:rPr>
      </w:pPr>
    </w:p>
    <w:p w14:paraId="5095F2C4" w14:textId="77777777" w:rsidR="00F05FC8" w:rsidRPr="00A36F29" w:rsidRDefault="00F05FC8" w:rsidP="00A36F29">
      <w:pPr>
        <w:adjustRightInd w:val="0"/>
        <w:snapToGrid w:val="0"/>
        <w:spacing w:after="0" w:line="360" w:lineRule="auto"/>
        <w:jc w:val="both"/>
        <w:rPr>
          <w:rFonts w:ascii="Book Antiqua" w:hAnsi="Book Antiqua" w:cstheme="minorHAnsi"/>
          <w:sz w:val="24"/>
          <w:szCs w:val="24"/>
        </w:rPr>
      </w:pPr>
      <w:r w:rsidRPr="00A36F29">
        <w:rPr>
          <w:rFonts w:ascii="Book Antiqua" w:hAnsi="Book Antiqua" w:cstheme="minorHAnsi"/>
          <w:b/>
          <w:sz w:val="24"/>
          <w:szCs w:val="24"/>
          <w:lang w:val="hu-HU"/>
        </w:rPr>
        <w:t>ARRIVE guidelines statement:</w:t>
      </w:r>
      <w:r w:rsidRPr="00A36F29">
        <w:rPr>
          <w:rFonts w:ascii="Book Antiqua" w:hAnsi="Book Antiqua" w:cstheme="minorHAnsi"/>
          <w:b/>
          <w:sz w:val="24"/>
          <w:szCs w:val="24"/>
          <w:lang w:val="hu-HU" w:eastAsia="zh-CN"/>
        </w:rPr>
        <w:t xml:space="preserve"> </w:t>
      </w:r>
      <w:r w:rsidRPr="00A36F29">
        <w:rPr>
          <w:rFonts w:ascii="Book Antiqua" w:hAnsi="Book Antiqua" w:cstheme="minorHAnsi"/>
          <w:sz w:val="24"/>
          <w:szCs w:val="24"/>
        </w:rPr>
        <w:t>The authors have read the ARRIVE guidelines, and the manuscript was prepared and revised according to the ARRIVE guidelines.</w:t>
      </w:r>
    </w:p>
    <w:p w14:paraId="238F36D3" w14:textId="77777777" w:rsidR="00F05FC8" w:rsidRPr="00A36F29" w:rsidRDefault="00F05FC8" w:rsidP="00A36F29">
      <w:pPr>
        <w:adjustRightInd w:val="0"/>
        <w:snapToGrid w:val="0"/>
        <w:spacing w:after="0" w:line="360" w:lineRule="auto"/>
        <w:jc w:val="both"/>
        <w:rPr>
          <w:rFonts w:ascii="Book Antiqua" w:hAnsi="Book Antiqua" w:cstheme="minorHAnsi"/>
          <w:sz w:val="24"/>
          <w:szCs w:val="24"/>
        </w:rPr>
      </w:pPr>
    </w:p>
    <w:p w14:paraId="48370C87" w14:textId="77777777" w:rsidR="00F05FC8" w:rsidRPr="00A36F29" w:rsidRDefault="00F05FC8" w:rsidP="00A36F29">
      <w:pPr>
        <w:adjustRightInd w:val="0"/>
        <w:snapToGrid w:val="0"/>
        <w:spacing w:after="0" w:line="360" w:lineRule="auto"/>
        <w:jc w:val="both"/>
        <w:rPr>
          <w:rFonts w:ascii="Book Antiqua" w:hAnsi="Book Antiqua"/>
          <w:color w:val="000000"/>
          <w:sz w:val="24"/>
          <w:szCs w:val="24"/>
          <w:lang w:val="hu-HU"/>
        </w:rPr>
      </w:pPr>
      <w:bookmarkStart w:id="25" w:name="OLE_LINK856"/>
      <w:r w:rsidRPr="00A36F29">
        <w:rPr>
          <w:rFonts w:ascii="Book Antiqua" w:hAnsi="Book Antiqua"/>
          <w:b/>
          <w:color w:val="000000"/>
          <w:sz w:val="24"/>
          <w:szCs w:val="24"/>
        </w:rPr>
        <w:t>Open-Access:</w:t>
      </w:r>
      <w:r w:rsidRPr="00A36F29">
        <w:rPr>
          <w:rFonts w:ascii="Book Antiqua" w:hAnsi="Book Antiqua"/>
          <w:color w:val="000000"/>
          <w:sz w:val="24"/>
          <w:szCs w:val="24"/>
        </w:rPr>
        <w:t xml:space="preserve"> This article is an open-access </w:t>
      </w:r>
      <w:r w:rsidRPr="00A36F29">
        <w:rPr>
          <w:rFonts w:ascii="Book Antiqua" w:hAnsi="Book Antiqua"/>
          <w:sz w:val="24"/>
          <w:szCs w:val="24"/>
        </w:rPr>
        <w:t xml:space="preserve">article that was selected </w:t>
      </w:r>
      <w:r w:rsidRPr="00A36F29">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E862A6" w14:textId="77777777" w:rsidR="00F05FC8" w:rsidRPr="00A36F29" w:rsidRDefault="00F05FC8" w:rsidP="00A36F29">
      <w:pPr>
        <w:adjustRightInd w:val="0"/>
        <w:snapToGrid w:val="0"/>
        <w:spacing w:after="0" w:line="360" w:lineRule="auto"/>
        <w:jc w:val="both"/>
        <w:rPr>
          <w:rFonts w:ascii="Book Antiqua" w:hAnsi="Book Antiqua"/>
          <w:color w:val="000000"/>
          <w:sz w:val="24"/>
          <w:szCs w:val="24"/>
          <w:lang w:val="hu-HU"/>
        </w:rPr>
      </w:pPr>
    </w:p>
    <w:p w14:paraId="281D3859" w14:textId="77777777" w:rsidR="00F05FC8" w:rsidRPr="00A36F29" w:rsidRDefault="00F05FC8" w:rsidP="00A36F29">
      <w:pPr>
        <w:adjustRightInd w:val="0"/>
        <w:snapToGrid w:val="0"/>
        <w:spacing w:after="0" w:line="360" w:lineRule="auto"/>
        <w:jc w:val="both"/>
        <w:rPr>
          <w:rFonts w:ascii="Book Antiqua" w:hAnsi="Book Antiqua"/>
          <w:b/>
          <w:bCs/>
          <w:color w:val="000000"/>
          <w:sz w:val="24"/>
          <w:szCs w:val="24"/>
          <w:lang w:eastAsia="zh-CN"/>
        </w:rPr>
      </w:pPr>
      <w:r w:rsidRPr="00A36F29">
        <w:rPr>
          <w:rFonts w:ascii="Book Antiqua" w:hAnsi="Book Antiqua"/>
          <w:b/>
          <w:bCs/>
          <w:color w:val="000000"/>
          <w:sz w:val="24"/>
          <w:szCs w:val="24"/>
          <w:lang w:eastAsia="pl-PL"/>
        </w:rPr>
        <w:t>Manuscript source:</w:t>
      </w:r>
      <w:r w:rsidRPr="00A36F29">
        <w:rPr>
          <w:rFonts w:ascii="Book Antiqua" w:hAnsi="Book Antiqua"/>
          <w:b/>
          <w:bCs/>
          <w:color w:val="000000"/>
          <w:sz w:val="24"/>
          <w:szCs w:val="24"/>
          <w:lang w:eastAsia="zh-CN"/>
        </w:rPr>
        <w:t xml:space="preserve"> </w:t>
      </w:r>
      <w:r w:rsidRPr="00A36F29">
        <w:rPr>
          <w:rFonts w:ascii="Book Antiqua" w:hAnsi="Book Antiqua"/>
          <w:bCs/>
          <w:color w:val="000000"/>
          <w:sz w:val="24"/>
          <w:szCs w:val="24"/>
          <w:lang w:eastAsia="pl-PL"/>
        </w:rPr>
        <w:t>Unsolicited manuscript</w:t>
      </w:r>
    </w:p>
    <w:bookmarkEnd w:id="25"/>
    <w:p w14:paraId="04077119" w14:textId="77777777" w:rsidR="00F05FC8" w:rsidRPr="00A36F29" w:rsidRDefault="00F05FC8" w:rsidP="00A36F29">
      <w:pPr>
        <w:widowControl w:val="0"/>
        <w:adjustRightInd w:val="0"/>
        <w:snapToGrid w:val="0"/>
        <w:spacing w:after="0" w:line="360" w:lineRule="auto"/>
        <w:jc w:val="both"/>
        <w:rPr>
          <w:rFonts w:ascii="Book Antiqua" w:hAnsi="Book Antiqua"/>
          <w:b/>
          <w:kern w:val="2"/>
          <w:sz w:val="24"/>
          <w:szCs w:val="24"/>
          <w:lang w:eastAsia="zh-CN"/>
        </w:rPr>
      </w:pPr>
    </w:p>
    <w:p w14:paraId="5F99C270" w14:textId="77B620AC" w:rsidR="00F05FC8" w:rsidRPr="00A36F29" w:rsidRDefault="00F05FC8" w:rsidP="00A36F29">
      <w:pPr>
        <w:widowControl w:val="0"/>
        <w:adjustRightInd w:val="0"/>
        <w:snapToGrid w:val="0"/>
        <w:spacing w:after="0" w:line="360" w:lineRule="auto"/>
        <w:jc w:val="both"/>
        <w:rPr>
          <w:rFonts w:ascii="Book Antiqua" w:hAnsi="Book Antiqua"/>
          <w:b/>
          <w:kern w:val="2"/>
          <w:sz w:val="24"/>
          <w:szCs w:val="24"/>
          <w:lang w:eastAsia="zh-CN"/>
        </w:rPr>
      </w:pPr>
      <w:r w:rsidRPr="00A36F29">
        <w:rPr>
          <w:rFonts w:ascii="Book Antiqua" w:hAnsi="Book Antiqua"/>
          <w:b/>
          <w:kern w:val="2"/>
          <w:sz w:val="24"/>
          <w:szCs w:val="24"/>
          <w:lang w:eastAsia="zh-CN"/>
        </w:rPr>
        <w:t xml:space="preserve">Peer-review started: </w:t>
      </w:r>
      <w:r w:rsidR="00B93D20" w:rsidRPr="00A36F29">
        <w:rPr>
          <w:rFonts w:ascii="Book Antiqua" w:hAnsi="Book Antiqua"/>
          <w:kern w:val="2"/>
          <w:sz w:val="24"/>
          <w:szCs w:val="24"/>
          <w:lang w:eastAsia="zh-CN"/>
        </w:rPr>
        <w:t>October</w:t>
      </w:r>
      <w:r w:rsidRPr="00A36F29">
        <w:rPr>
          <w:rFonts w:ascii="Book Antiqua" w:hAnsi="Book Antiqua"/>
          <w:kern w:val="2"/>
          <w:sz w:val="24"/>
          <w:szCs w:val="24"/>
          <w:lang w:eastAsia="zh-CN"/>
        </w:rPr>
        <w:t xml:space="preserve"> </w:t>
      </w:r>
      <w:r w:rsidR="00B93D20" w:rsidRPr="00A36F29">
        <w:rPr>
          <w:rFonts w:ascii="Book Antiqua" w:hAnsi="Book Antiqua"/>
          <w:kern w:val="2"/>
          <w:sz w:val="24"/>
          <w:szCs w:val="24"/>
          <w:lang w:eastAsia="zh-CN"/>
        </w:rPr>
        <w:t>7</w:t>
      </w:r>
      <w:r w:rsidRPr="00A36F29">
        <w:rPr>
          <w:rFonts w:ascii="Book Antiqua" w:hAnsi="Book Antiqua"/>
          <w:kern w:val="2"/>
          <w:sz w:val="24"/>
          <w:szCs w:val="24"/>
          <w:lang w:eastAsia="zh-CN"/>
        </w:rPr>
        <w:t>, 2019</w:t>
      </w:r>
    </w:p>
    <w:p w14:paraId="28C53F38" w14:textId="1704B118" w:rsidR="00F05FC8" w:rsidRPr="00A36F29" w:rsidRDefault="00F05FC8" w:rsidP="00A36F29">
      <w:pPr>
        <w:widowControl w:val="0"/>
        <w:adjustRightInd w:val="0"/>
        <w:snapToGrid w:val="0"/>
        <w:spacing w:after="0" w:line="360" w:lineRule="auto"/>
        <w:jc w:val="both"/>
        <w:rPr>
          <w:rFonts w:ascii="Book Antiqua" w:hAnsi="Book Antiqua"/>
          <w:b/>
          <w:kern w:val="2"/>
          <w:sz w:val="24"/>
          <w:szCs w:val="24"/>
          <w:lang w:eastAsia="zh-CN"/>
        </w:rPr>
      </w:pPr>
      <w:r w:rsidRPr="00A36F29">
        <w:rPr>
          <w:rFonts w:ascii="Book Antiqua" w:hAnsi="Book Antiqua"/>
          <w:b/>
          <w:kern w:val="2"/>
          <w:sz w:val="24"/>
          <w:szCs w:val="24"/>
          <w:lang w:eastAsia="zh-CN"/>
        </w:rPr>
        <w:t xml:space="preserve">First decision: </w:t>
      </w:r>
      <w:r w:rsidR="00B93D20" w:rsidRPr="00A36F29">
        <w:rPr>
          <w:rFonts w:ascii="Book Antiqua" w:hAnsi="Book Antiqua"/>
          <w:sz w:val="24"/>
          <w:szCs w:val="24"/>
        </w:rPr>
        <w:t>November</w:t>
      </w:r>
      <w:r w:rsidR="00B93D20" w:rsidRPr="00A36F29">
        <w:rPr>
          <w:rFonts w:ascii="Book Antiqua" w:hAnsi="Book Antiqua"/>
          <w:kern w:val="2"/>
          <w:sz w:val="24"/>
          <w:szCs w:val="24"/>
          <w:lang w:eastAsia="zh-CN"/>
        </w:rPr>
        <w:t xml:space="preserve"> </w:t>
      </w:r>
      <w:r w:rsidRPr="00A36F29">
        <w:rPr>
          <w:rFonts w:ascii="Book Antiqua" w:hAnsi="Book Antiqua"/>
          <w:kern w:val="2"/>
          <w:sz w:val="24"/>
          <w:szCs w:val="24"/>
          <w:lang w:eastAsia="zh-CN"/>
        </w:rPr>
        <w:t>2</w:t>
      </w:r>
      <w:r w:rsidR="00B93D20" w:rsidRPr="00A36F29">
        <w:rPr>
          <w:rFonts w:ascii="Book Antiqua" w:hAnsi="Book Antiqua"/>
          <w:kern w:val="2"/>
          <w:sz w:val="24"/>
          <w:szCs w:val="24"/>
          <w:lang w:eastAsia="zh-CN"/>
        </w:rPr>
        <w:t>7</w:t>
      </w:r>
      <w:r w:rsidRPr="00A36F29">
        <w:rPr>
          <w:rFonts w:ascii="Book Antiqua" w:hAnsi="Book Antiqua"/>
          <w:kern w:val="2"/>
          <w:sz w:val="24"/>
          <w:szCs w:val="24"/>
          <w:lang w:eastAsia="zh-CN"/>
        </w:rPr>
        <w:t>, 2019</w:t>
      </w:r>
    </w:p>
    <w:p w14:paraId="32171CD7" w14:textId="77777777" w:rsidR="00F05FC8" w:rsidRPr="00A36F29" w:rsidRDefault="00F05FC8" w:rsidP="00A36F29">
      <w:pPr>
        <w:widowControl w:val="0"/>
        <w:adjustRightInd w:val="0"/>
        <w:snapToGrid w:val="0"/>
        <w:spacing w:after="0" w:line="360" w:lineRule="auto"/>
        <w:jc w:val="both"/>
        <w:rPr>
          <w:rFonts w:ascii="Book Antiqua" w:hAnsi="Book Antiqua"/>
          <w:b/>
          <w:kern w:val="2"/>
          <w:sz w:val="24"/>
          <w:szCs w:val="24"/>
          <w:lang w:eastAsia="zh-CN"/>
        </w:rPr>
      </w:pPr>
      <w:r w:rsidRPr="00A36F29">
        <w:rPr>
          <w:rFonts w:ascii="Book Antiqua" w:hAnsi="Book Antiqua"/>
          <w:b/>
          <w:kern w:val="2"/>
          <w:sz w:val="24"/>
          <w:szCs w:val="24"/>
          <w:lang w:eastAsia="zh-CN"/>
        </w:rPr>
        <w:t>Article in press:</w:t>
      </w:r>
    </w:p>
    <w:p w14:paraId="3BBA213F" w14:textId="77777777" w:rsidR="00F05FC8" w:rsidRPr="00A36F29" w:rsidRDefault="00F05FC8" w:rsidP="00A36F29">
      <w:pPr>
        <w:adjustRightInd w:val="0"/>
        <w:snapToGrid w:val="0"/>
        <w:spacing w:after="0" w:line="360" w:lineRule="auto"/>
        <w:jc w:val="both"/>
        <w:rPr>
          <w:rFonts w:ascii="Book Antiqua" w:hAnsi="Book Antiqua" w:cstheme="minorHAnsi"/>
          <w:b/>
          <w:sz w:val="24"/>
          <w:szCs w:val="24"/>
          <w:lang w:val="hu-HU"/>
        </w:rPr>
      </w:pPr>
    </w:p>
    <w:p w14:paraId="6E9A501D" w14:textId="4D464959" w:rsidR="00F05FC8" w:rsidRPr="00A36F29" w:rsidRDefault="00F05FC8" w:rsidP="00A36F29">
      <w:pPr>
        <w:widowControl w:val="0"/>
        <w:adjustRightInd w:val="0"/>
        <w:snapToGrid w:val="0"/>
        <w:spacing w:after="0" w:line="360" w:lineRule="auto"/>
        <w:jc w:val="both"/>
        <w:rPr>
          <w:rFonts w:ascii="Book Antiqua" w:eastAsia="Microsoft YaHei" w:hAnsi="Book Antiqua" w:cs="SimSun"/>
          <w:sz w:val="24"/>
          <w:szCs w:val="24"/>
          <w:lang w:eastAsia="zh-CN"/>
        </w:rPr>
      </w:pPr>
      <w:r w:rsidRPr="00A36F29">
        <w:rPr>
          <w:rFonts w:ascii="Book Antiqua" w:hAnsi="Book Antiqua" w:cs="SimSun"/>
          <w:b/>
          <w:sz w:val="24"/>
          <w:szCs w:val="24"/>
          <w:lang w:eastAsia="zh-CN"/>
        </w:rPr>
        <w:t xml:space="preserve">Specialty type: </w:t>
      </w:r>
      <w:r w:rsidRPr="00A36F29">
        <w:rPr>
          <w:rFonts w:ascii="Book Antiqua" w:eastAsia="Microsoft YaHei" w:hAnsi="Book Antiqua" w:cs="SimSun"/>
          <w:sz w:val="24"/>
          <w:szCs w:val="24"/>
          <w:lang w:eastAsia="zh-CN"/>
        </w:rPr>
        <w:t>Gastroenterology and hepatology</w:t>
      </w:r>
    </w:p>
    <w:p w14:paraId="31006DC2" w14:textId="68D2B742" w:rsidR="00F05FC8" w:rsidRPr="00A36F29" w:rsidRDefault="00F05FC8" w:rsidP="00A36F29">
      <w:pPr>
        <w:widowControl w:val="0"/>
        <w:adjustRightInd w:val="0"/>
        <w:snapToGrid w:val="0"/>
        <w:spacing w:after="0" w:line="360" w:lineRule="auto"/>
        <w:jc w:val="both"/>
        <w:rPr>
          <w:rFonts w:ascii="Book Antiqua" w:hAnsi="Book Antiqua" w:cs="SimSun"/>
          <w:sz w:val="24"/>
          <w:szCs w:val="24"/>
          <w:lang w:eastAsia="zh-CN"/>
        </w:rPr>
      </w:pPr>
      <w:r w:rsidRPr="00A36F29">
        <w:rPr>
          <w:rFonts w:ascii="Book Antiqua" w:hAnsi="Book Antiqua" w:cs="SimSun"/>
          <w:b/>
          <w:sz w:val="24"/>
          <w:szCs w:val="24"/>
          <w:lang w:eastAsia="zh-CN"/>
        </w:rPr>
        <w:lastRenderedPageBreak/>
        <w:t xml:space="preserve">Country of origin: </w:t>
      </w:r>
      <w:r w:rsidR="00B93D20" w:rsidRPr="00A36F29">
        <w:rPr>
          <w:rFonts w:ascii="Book Antiqua" w:hAnsi="Book Antiqua" w:cs="SimSun"/>
          <w:sz w:val="24"/>
          <w:szCs w:val="24"/>
          <w:lang w:eastAsia="zh-CN"/>
        </w:rPr>
        <w:t>Croatia</w:t>
      </w:r>
    </w:p>
    <w:p w14:paraId="787F83D0" w14:textId="77777777" w:rsidR="00F05FC8" w:rsidRPr="00A36F29" w:rsidRDefault="00F05FC8" w:rsidP="00A36F29">
      <w:pPr>
        <w:widowControl w:val="0"/>
        <w:adjustRightInd w:val="0"/>
        <w:snapToGrid w:val="0"/>
        <w:spacing w:after="0" w:line="360" w:lineRule="auto"/>
        <w:jc w:val="both"/>
        <w:rPr>
          <w:rFonts w:ascii="Book Antiqua" w:hAnsi="Book Antiqua" w:cs="SimSun"/>
          <w:b/>
          <w:sz w:val="24"/>
          <w:szCs w:val="24"/>
          <w:lang w:eastAsia="zh-CN"/>
        </w:rPr>
      </w:pPr>
      <w:r w:rsidRPr="00A36F29">
        <w:rPr>
          <w:rFonts w:ascii="Book Antiqua" w:hAnsi="Book Antiqua" w:cs="SimSun"/>
          <w:b/>
          <w:sz w:val="24"/>
          <w:szCs w:val="24"/>
          <w:lang w:eastAsia="zh-CN"/>
        </w:rPr>
        <w:t>Peer-review report classification</w:t>
      </w:r>
    </w:p>
    <w:p w14:paraId="4EF0C8AF" w14:textId="02BB351C" w:rsidR="00F05FC8" w:rsidRPr="00A36F29" w:rsidRDefault="00F05FC8" w:rsidP="00A36F29">
      <w:pPr>
        <w:widowControl w:val="0"/>
        <w:adjustRightInd w:val="0"/>
        <w:snapToGrid w:val="0"/>
        <w:spacing w:after="0" w:line="360" w:lineRule="auto"/>
        <w:jc w:val="both"/>
        <w:rPr>
          <w:rFonts w:ascii="Book Antiqua" w:hAnsi="Book Antiqua" w:cs="SimSun"/>
          <w:sz w:val="24"/>
          <w:szCs w:val="24"/>
          <w:lang w:eastAsia="zh-CN"/>
        </w:rPr>
      </w:pPr>
      <w:r w:rsidRPr="00A36F29">
        <w:rPr>
          <w:rFonts w:ascii="Book Antiqua" w:hAnsi="Book Antiqua" w:cs="SimSun"/>
          <w:sz w:val="24"/>
          <w:szCs w:val="24"/>
          <w:lang w:eastAsia="zh-CN"/>
        </w:rPr>
        <w:t xml:space="preserve">Grade A (Excellent): </w:t>
      </w:r>
      <w:r w:rsidR="00B93D20" w:rsidRPr="00A36F29">
        <w:rPr>
          <w:rFonts w:ascii="Book Antiqua" w:hAnsi="Book Antiqua" w:cs="SimSun"/>
          <w:sz w:val="24"/>
          <w:szCs w:val="24"/>
          <w:lang w:eastAsia="zh-CN"/>
        </w:rPr>
        <w:t>0</w:t>
      </w:r>
    </w:p>
    <w:p w14:paraId="064FC0D0" w14:textId="77777777" w:rsidR="00F05FC8" w:rsidRPr="00A36F29" w:rsidRDefault="00F05FC8" w:rsidP="00A36F29">
      <w:pPr>
        <w:widowControl w:val="0"/>
        <w:adjustRightInd w:val="0"/>
        <w:snapToGrid w:val="0"/>
        <w:spacing w:after="0" w:line="360" w:lineRule="auto"/>
        <w:jc w:val="both"/>
        <w:rPr>
          <w:rFonts w:ascii="Book Antiqua" w:hAnsi="Book Antiqua" w:cs="SimSun"/>
          <w:sz w:val="24"/>
          <w:szCs w:val="24"/>
          <w:lang w:eastAsia="zh-CN"/>
        </w:rPr>
      </w:pPr>
      <w:r w:rsidRPr="00A36F29">
        <w:rPr>
          <w:rFonts w:ascii="Book Antiqua" w:hAnsi="Book Antiqua" w:cs="SimSun"/>
          <w:sz w:val="24"/>
          <w:szCs w:val="24"/>
          <w:lang w:eastAsia="zh-CN"/>
        </w:rPr>
        <w:t>Grade B (Very good): 0</w:t>
      </w:r>
    </w:p>
    <w:p w14:paraId="3CA499DE" w14:textId="77777777" w:rsidR="00F05FC8" w:rsidRPr="00A36F29" w:rsidRDefault="00F05FC8" w:rsidP="00A36F29">
      <w:pPr>
        <w:widowControl w:val="0"/>
        <w:adjustRightInd w:val="0"/>
        <w:snapToGrid w:val="0"/>
        <w:spacing w:after="0" w:line="360" w:lineRule="auto"/>
        <w:jc w:val="both"/>
        <w:rPr>
          <w:rFonts w:ascii="Book Antiqua" w:hAnsi="Book Antiqua" w:cs="SimSun"/>
          <w:sz w:val="24"/>
          <w:szCs w:val="24"/>
          <w:lang w:eastAsia="zh-CN"/>
        </w:rPr>
      </w:pPr>
      <w:r w:rsidRPr="00A36F29">
        <w:rPr>
          <w:rFonts w:ascii="Book Antiqua" w:hAnsi="Book Antiqua" w:cs="SimSun"/>
          <w:sz w:val="24"/>
          <w:szCs w:val="24"/>
          <w:lang w:eastAsia="zh-CN"/>
        </w:rPr>
        <w:t>Grade C (Good): C</w:t>
      </w:r>
    </w:p>
    <w:p w14:paraId="11AFBD3B" w14:textId="77777777" w:rsidR="00F05FC8" w:rsidRPr="00A36F29" w:rsidRDefault="00F05FC8" w:rsidP="00A36F29">
      <w:pPr>
        <w:widowControl w:val="0"/>
        <w:adjustRightInd w:val="0"/>
        <w:snapToGrid w:val="0"/>
        <w:spacing w:after="0" w:line="360" w:lineRule="auto"/>
        <w:jc w:val="both"/>
        <w:rPr>
          <w:rFonts w:ascii="Book Antiqua" w:hAnsi="Book Antiqua" w:cs="SimSun"/>
          <w:sz w:val="24"/>
          <w:szCs w:val="24"/>
          <w:lang w:eastAsia="zh-CN"/>
        </w:rPr>
      </w:pPr>
      <w:r w:rsidRPr="00A36F29">
        <w:rPr>
          <w:rFonts w:ascii="Book Antiqua" w:hAnsi="Book Antiqua" w:cs="SimSun"/>
          <w:sz w:val="24"/>
          <w:szCs w:val="24"/>
          <w:lang w:eastAsia="zh-CN"/>
        </w:rPr>
        <w:t>Grade D (Fair): 0</w:t>
      </w:r>
    </w:p>
    <w:p w14:paraId="1DFB4346" w14:textId="77777777" w:rsidR="00F05FC8" w:rsidRPr="00A36F29" w:rsidRDefault="00F05FC8" w:rsidP="00A36F29">
      <w:pPr>
        <w:widowControl w:val="0"/>
        <w:adjustRightInd w:val="0"/>
        <w:snapToGrid w:val="0"/>
        <w:spacing w:after="0" w:line="360" w:lineRule="auto"/>
        <w:jc w:val="both"/>
        <w:rPr>
          <w:rFonts w:ascii="Book Antiqua" w:eastAsia="DengXian" w:hAnsi="Book Antiqua"/>
          <w:kern w:val="2"/>
          <w:sz w:val="24"/>
          <w:szCs w:val="24"/>
          <w:lang w:val="hu-HU" w:eastAsia="zh-CN"/>
        </w:rPr>
      </w:pPr>
      <w:r w:rsidRPr="00A36F29">
        <w:rPr>
          <w:rFonts w:ascii="Book Antiqua" w:hAnsi="Book Antiqua" w:cs="SimSun"/>
          <w:sz w:val="24"/>
          <w:szCs w:val="24"/>
          <w:lang w:eastAsia="zh-CN"/>
        </w:rPr>
        <w:t>Grade E (Poor): 0</w:t>
      </w:r>
    </w:p>
    <w:p w14:paraId="4B5088CE" w14:textId="77777777" w:rsidR="00F05FC8" w:rsidRPr="00A36F29" w:rsidRDefault="00F05FC8" w:rsidP="00A36F29">
      <w:pPr>
        <w:widowControl w:val="0"/>
        <w:adjustRightInd w:val="0"/>
        <w:snapToGrid w:val="0"/>
        <w:spacing w:after="0" w:line="360" w:lineRule="auto"/>
        <w:jc w:val="both"/>
        <w:rPr>
          <w:rFonts w:ascii="Book Antiqua" w:eastAsia="DengXian" w:hAnsi="Book Antiqua"/>
          <w:kern w:val="2"/>
          <w:sz w:val="24"/>
          <w:szCs w:val="24"/>
          <w:lang w:eastAsia="zh-CN"/>
        </w:rPr>
      </w:pPr>
    </w:p>
    <w:p w14:paraId="6B9D1F66" w14:textId="218E7462" w:rsidR="00F05FC8" w:rsidRPr="00A36F29" w:rsidRDefault="00F05FC8" w:rsidP="00A36F29">
      <w:pPr>
        <w:widowControl w:val="0"/>
        <w:adjustRightInd w:val="0"/>
        <w:snapToGrid w:val="0"/>
        <w:spacing w:after="0" w:line="360" w:lineRule="auto"/>
        <w:jc w:val="both"/>
        <w:rPr>
          <w:rFonts w:ascii="Book Antiqua" w:hAnsi="Book Antiqua"/>
          <w:b/>
          <w:bCs/>
          <w:color w:val="000000"/>
          <w:kern w:val="2"/>
          <w:sz w:val="24"/>
          <w:szCs w:val="24"/>
          <w:lang w:eastAsia="zh-CN"/>
        </w:rPr>
      </w:pPr>
      <w:bookmarkStart w:id="26" w:name="OLE_LINK139"/>
      <w:bookmarkStart w:id="27" w:name="OLE_LINK140"/>
      <w:r w:rsidRPr="00A36F29">
        <w:rPr>
          <w:rFonts w:ascii="Book Antiqua" w:hAnsi="Book Antiqua"/>
          <w:b/>
          <w:bCs/>
          <w:color w:val="000000"/>
          <w:kern w:val="2"/>
          <w:sz w:val="24"/>
          <w:szCs w:val="24"/>
          <w:lang w:eastAsia="zh-CN"/>
        </w:rPr>
        <w:t>P-Reviewer:</w:t>
      </w:r>
      <w:r w:rsidRPr="00A36F29">
        <w:rPr>
          <w:rFonts w:ascii="Book Antiqua" w:hAnsi="Book Antiqua"/>
          <w:bCs/>
          <w:color w:val="000000"/>
          <w:kern w:val="2"/>
          <w:sz w:val="24"/>
          <w:szCs w:val="24"/>
          <w:lang w:eastAsia="zh-CN"/>
        </w:rPr>
        <w:t xml:space="preserve"> </w:t>
      </w:r>
      <w:r w:rsidR="00767746" w:rsidRPr="00A36F29">
        <w:rPr>
          <w:rFonts w:ascii="Book Antiqua" w:hAnsi="Book Antiqua"/>
          <w:bCs/>
          <w:color w:val="000000"/>
          <w:kern w:val="2"/>
          <w:sz w:val="24"/>
          <w:szCs w:val="24"/>
          <w:lang w:eastAsia="zh-CN"/>
        </w:rPr>
        <w:t>Dragoteanu MN</w:t>
      </w:r>
      <w:r w:rsidR="00B93D20" w:rsidRPr="00A36F29">
        <w:rPr>
          <w:rFonts w:ascii="Book Antiqua" w:hAnsi="Book Antiqua"/>
          <w:bCs/>
          <w:color w:val="000000"/>
          <w:kern w:val="2"/>
          <w:sz w:val="24"/>
          <w:szCs w:val="24"/>
          <w:lang w:eastAsia="zh-CN"/>
        </w:rPr>
        <w:t xml:space="preserve"> </w:t>
      </w:r>
      <w:r w:rsidRPr="00A36F29">
        <w:rPr>
          <w:rFonts w:ascii="Book Antiqua" w:hAnsi="Book Antiqua"/>
          <w:b/>
          <w:bCs/>
          <w:color w:val="000000"/>
          <w:kern w:val="2"/>
          <w:sz w:val="24"/>
          <w:szCs w:val="24"/>
          <w:lang w:eastAsia="zh-CN"/>
        </w:rPr>
        <w:t>S-Editor:</w:t>
      </w:r>
      <w:r w:rsidRPr="00A36F29">
        <w:rPr>
          <w:rFonts w:ascii="Book Antiqua" w:hAnsi="Book Antiqua"/>
          <w:color w:val="000000"/>
          <w:kern w:val="2"/>
          <w:sz w:val="24"/>
          <w:szCs w:val="24"/>
          <w:lang w:eastAsia="zh-CN"/>
        </w:rPr>
        <w:t xml:space="preserve"> </w:t>
      </w:r>
      <w:r w:rsidR="00B93D20" w:rsidRPr="00A36F29">
        <w:rPr>
          <w:rFonts w:ascii="Book Antiqua" w:hAnsi="Book Antiqua"/>
          <w:color w:val="000000"/>
          <w:kern w:val="2"/>
          <w:sz w:val="24"/>
          <w:szCs w:val="24"/>
          <w:lang w:eastAsia="zh-CN"/>
        </w:rPr>
        <w:t>Ma YJ</w:t>
      </w:r>
      <w:r w:rsidRPr="00A36F29">
        <w:rPr>
          <w:rFonts w:ascii="Book Antiqua" w:hAnsi="Book Antiqua"/>
          <w:color w:val="000000"/>
          <w:kern w:val="2"/>
          <w:sz w:val="24"/>
          <w:szCs w:val="24"/>
          <w:lang w:eastAsia="zh-CN"/>
        </w:rPr>
        <w:t xml:space="preserve"> </w:t>
      </w:r>
      <w:r w:rsidRPr="00A36F29">
        <w:rPr>
          <w:rFonts w:ascii="Book Antiqua" w:hAnsi="Book Antiqua"/>
          <w:b/>
          <w:bCs/>
          <w:color w:val="000000"/>
          <w:kern w:val="2"/>
          <w:sz w:val="24"/>
          <w:szCs w:val="24"/>
          <w:lang w:eastAsia="zh-CN"/>
        </w:rPr>
        <w:t>L-Editor:</w:t>
      </w:r>
      <w:r w:rsidRPr="00A36F29">
        <w:rPr>
          <w:rFonts w:ascii="Book Antiqua" w:hAnsi="Book Antiqua"/>
          <w:color w:val="000000"/>
          <w:kern w:val="2"/>
          <w:sz w:val="24"/>
          <w:szCs w:val="24"/>
          <w:lang w:eastAsia="zh-CN"/>
        </w:rPr>
        <w:t xml:space="preserve"> </w:t>
      </w:r>
      <w:r w:rsidRPr="00A36F29">
        <w:rPr>
          <w:rFonts w:ascii="Book Antiqua" w:hAnsi="Book Antiqua"/>
          <w:b/>
          <w:bCs/>
          <w:color w:val="000000"/>
          <w:kern w:val="2"/>
          <w:sz w:val="24"/>
          <w:szCs w:val="24"/>
          <w:lang w:eastAsia="zh-CN"/>
        </w:rPr>
        <w:t>E-Editor:</w:t>
      </w:r>
    </w:p>
    <w:bookmarkEnd w:id="26"/>
    <w:bookmarkEnd w:id="27"/>
    <w:p w14:paraId="1F9B57E8" w14:textId="5579B38E" w:rsidR="00F05FC8" w:rsidRPr="00A36F29" w:rsidRDefault="00F05FC8" w:rsidP="00A36F29">
      <w:pPr>
        <w:pStyle w:val="ListParagraph"/>
        <w:spacing w:after="0" w:line="360" w:lineRule="auto"/>
        <w:ind w:left="0"/>
        <w:jc w:val="both"/>
        <w:rPr>
          <w:rFonts w:ascii="Book Antiqua" w:hAnsi="Book Antiqua" w:cs="Courier New"/>
          <w:color w:val="000000" w:themeColor="text1"/>
          <w:sz w:val="24"/>
          <w:szCs w:val="24"/>
        </w:rPr>
      </w:pPr>
      <w:r w:rsidRPr="00A36F29">
        <w:rPr>
          <w:rFonts w:ascii="Book Antiqua" w:hAnsi="Book Antiqua" w:cs="Courier New"/>
          <w:color w:val="000000" w:themeColor="text1"/>
          <w:sz w:val="24"/>
          <w:szCs w:val="24"/>
        </w:rPr>
        <w:br w:type="page"/>
      </w:r>
    </w:p>
    <w:p w14:paraId="16A1CB63" w14:textId="49813BB5" w:rsidR="00767746" w:rsidRPr="00A36F29" w:rsidRDefault="00767746" w:rsidP="00A36F29">
      <w:pPr>
        <w:adjustRightInd w:val="0"/>
        <w:snapToGrid w:val="0"/>
        <w:spacing w:after="0" w:line="360" w:lineRule="auto"/>
        <w:jc w:val="both"/>
        <w:rPr>
          <w:rFonts w:ascii="Book Antiqua" w:hAnsi="Book Antiqua"/>
          <w:b/>
          <w:sz w:val="24"/>
          <w:szCs w:val="24"/>
          <w:lang w:eastAsia="zh-CN"/>
        </w:rPr>
      </w:pPr>
      <w:r w:rsidRPr="00A36F29">
        <w:rPr>
          <w:rFonts w:ascii="Book Antiqua" w:hAnsi="Book Antiqua"/>
          <w:b/>
          <w:sz w:val="24"/>
          <w:szCs w:val="24"/>
        </w:rPr>
        <w:lastRenderedPageBreak/>
        <w:t>Figure Legends</w:t>
      </w:r>
    </w:p>
    <w:p w14:paraId="74C7FA28" w14:textId="711390AA"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noProof/>
          <w:color w:val="000000" w:themeColor="text1"/>
          <w:sz w:val="24"/>
          <w:szCs w:val="24"/>
          <w:lang w:val="bs-Latn-BA" w:eastAsia="bs-Latn-BA"/>
        </w:rPr>
        <w:drawing>
          <wp:inline distT="0" distB="0" distL="0" distR="0" wp14:anchorId="37310A96" wp14:editId="6F6FE791">
            <wp:extent cx="3603048" cy="4584589"/>
            <wp:effectExtent l="0" t="0" r="0"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3603048" cy="4584589"/>
                    </a:xfrm>
                    <a:prstGeom prst="rect">
                      <a:avLst/>
                    </a:prstGeom>
                  </pic:spPr>
                </pic:pic>
              </a:graphicData>
            </a:graphic>
          </wp:inline>
        </w:drawing>
      </w:r>
    </w:p>
    <w:p w14:paraId="1C391AFB" w14:textId="6C5C8551"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b/>
          <w:color w:val="000000" w:themeColor="text1"/>
          <w:sz w:val="24"/>
          <w:szCs w:val="24"/>
          <w:lang w:val="en-US"/>
        </w:rPr>
        <w:t>Figure 1</w:t>
      </w:r>
      <w:r w:rsidR="00767746" w:rsidRPr="00A36F29">
        <w:rPr>
          <w:rFonts w:ascii="Book Antiqua" w:hAnsi="Book Antiqua" w:cs="Times New Roman"/>
          <w:b/>
          <w:color w:val="000000" w:themeColor="text1"/>
          <w:sz w:val="24"/>
          <w:szCs w:val="24"/>
          <w:lang w:val="en-US"/>
        </w:rPr>
        <w:t xml:space="preserve"> </w:t>
      </w:r>
      <w:r w:rsidRPr="00A36F29">
        <w:rPr>
          <w:rFonts w:ascii="Book Antiqua" w:hAnsi="Book Antiqua" w:cs="Times New Roman"/>
          <w:b/>
          <w:color w:val="000000" w:themeColor="text1"/>
          <w:sz w:val="24"/>
          <w:szCs w:val="24"/>
          <w:lang w:val="en-US"/>
        </w:rPr>
        <w:t>BPC 157 and venography assessment in rats with a suprahepatic occlusion of the inferior vena cava.</w:t>
      </w:r>
      <w:r w:rsidRPr="00A36F29">
        <w:rPr>
          <w:rFonts w:ascii="Book Antiqua" w:hAnsi="Book Antiqua" w:cs="Times New Roman"/>
          <w:color w:val="000000" w:themeColor="text1"/>
          <w:sz w:val="24"/>
          <w:szCs w:val="24"/>
          <w:lang w:val="en-US"/>
        </w:rPr>
        <w:t xml:space="preserve"> Inferior vena cava venography at the level of the bifurcation</w:t>
      </w:r>
      <w:r w:rsidR="00B53FBE" w:rsidRPr="00A36F29">
        <w:rPr>
          <w:rFonts w:ascii="Book Antiqua" w:hAnsi="Book Antiqua" w:cs="Times New Roman"/>
          <w:color w:val="000000" w:themeColor="text1"/>
          <w:sz w:val="24"/>
          <w:szCs w:val="24"/>
          <w:lang w:val="en-US"/>
        </w:rPr>
        <w:t xml:space="preserve"> at 15 minutes ligation time</w:t>
      </w:r>
      <w:r w:rsidRPr="00A36F29">
        <w:rPr>
          <w:rFonts w:ascii="Book Antiqua" w:hAnsi="Book Antiqua" w:cs="Times New Roman"/>
          <w:color w:val="000000" w:themeColor="text1"/>
          <w:sz w:val="24"/>
          <w:szCs w:val="24"/>
          <w:lang w:val="en-US"/>
        </w:rPr>
        <w:t>. Blood flow through the inferior vena cava through the azygos vein to the superior vena cava, portal vein to superior-inferior mesenteric vein-rectal vein-left iliac vein-inferior vena cava in BPC 157-treated rats</w:t>
      </w:r>
      <w:r w:rsidR="00B53FBE" w:rsidRPr="00A36F29">
        <w:rPr>
          <w:rFonts w:ascii="Book Antiqua" w:hAnsi="Book Antiqua" w:cs="Times New Roman"/>
          <w:color w:val="000000" w:themeColor="text1"/>
          <w:sz w:val="24"/>
          <w:szCs w:val="24"/>
          <w:lang w:val="en-US"/>
        </w:rPr>
        <w:t xml:space="preserve"> (B)</w:t>
      </w:r>
      <w:r w:rsidRPr="00A36F29">
        <w:rPr>
          <w:rFonts w:ascii="Book Antiqua" w:hAnsi="Book Antiqua" w:cs="Times New Roman"/>
          <w:color w:val="000000" w:themeColor="text1"/>
          <w:sz w:val="24"/>
          <w:szCs w:val="24"/>
          <w:lang w:val="en-US"/>
        </w:rPr>
        <w:t xml:space="preserve">, but not in the </w:t>
      </w:r>
      <w:r w:rsidR="00B53FBE" w:rsidRPr="00A36F29">
        <w:rPr>
          <w:rFonts w:ascii="Book Antiqua" w:hAnsi="Book Antiqua" w:cs="Times New Roman"/>
          <w:color w:val="000000" w:themeColor="text1"/>
          <w:sz w:val="24"/>
          <w:szCs w:val="24"/>
          <w:lang w:val="en-US"/>
        </w:rPr>
        <w:t>controls (C)</w:t>
      </w:r>
      <w:r w:rsidR="003B48DE">
        <w:rPr>
          <w:rFonts w:ascii="Book Antiqua" w:hAnsi="Book Antiqua" w:cs="Times New Roman"/>
          <w:color w:val="000000" w:themeColor="text1"/>
          <w:sz w:val="24"/>
          <w:szCs w:val="24"/>
          <w:lang w:val="en-US"/>
        </w:rPr>
        <w:t>.</w:t>
      </w:r>
    </w:p>
    <w:p w14:paraId="55CCBF49" w14:textId="6DE28E31" w:rsidR="00B53FBE" w:rsidRPr="00A36F29" w:rsidRDefault="00B53FBE" w:rsidP="00A36F29">
      <w:pPr>
        <w:spacing w:after="0" w:line="360" w:lineRule="auto"/>
        <w:jc w:val="both"/>
        <w:rPr>
          <w:rFonts w:ascii="Book Antiqua" w:hAnsi="Book Antiqua" w:cs="Times New Roman"/>
          <w:b/>
          <w:color w:val="000000" w:themeColor="text1"/>
          <w:sz w:val="24"/>
          <w:szCs w:val="24"/>
          <w:lang w:val="en-US"/>
        </w:rPr>
      </w:pPr>
      <w:r w:rsidRPr="00A36F29">
        <w:rPr>
          <w:rFonts w:ascii="Book Antiqua" w:hAnsi="Book Antiqua" w:cs="Times New Roman"/>
          <w:b/>
          <w:color w:val="000000" w:themeColor="text1"/>
          <w:sz w:val="24"/>
          <w:szCs w:val="24"/>
          <w:lang w:val="en-US"/>
        </w:rPr>
        <w:lastRenderedPageBreak/>
        <w:t xml:space="preserve"> </w:t>
      </w:r>
      <w:r w:rsidR="009241D5" w:rsidRPr="00A36F29">
        <w:rPr>
          <w:rFonts w:ascii="Book Antiqua" w:hAnsi="Book Antiqua"/>
          <w:noProof/>
          <w:sz w:val="24"/>
          <w:szCs w:val="24"/>
        </w:rPr>
        <w:drawing>
          <wp:inline distT="0" distB="0" distL="0" distR="0" wp14:anchorId="2775E96F" wp14:editId="71891612">
            <wp:extent cx="4047619" cy="652380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7619" cy="6523809"/>
                    </a:xfrm>
                    <a:prstGeom prst="rect">
                      <a:avLst/>
                    </a:prstGeom>
                  </pic:spPr>
                </pic:pic>
              </a:graphicData>
            </a:graphic>
          </wp:inline>
        </w:drawing>
      </w:r>
    </w:p>
    <w:p w14:paraId="3D9E3AC1" w14:textId="347355C2"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b/>
          <w:color w:val="000000" w:themeColor="text1"/>
          <w:sz w:val="24"/>
          <w:szCs w:val="24"/>
          <w:lang w:val="en-US"/>
        </w:rPr>
        <w:t>Figure 2 Antagonizing effect of BPC 157 on portal and caval hypertension, and aortal hypotension.</w:t>
      </w:r>
      <w:r w:rsidRPr="00A36F29">
        <w:rPr>
          <w:rFonts w:ascii="Book Antiqua" w:hAnsi="Book Antiqua" w:cs="Times New Roman"/>
          <w:color w:val="000000" w:themeColor="text1"/>
          <w:sz w:val="24"/>
          <w:szCs w:val="24"/>
          <w:lang w:val="en-US"/>
        </w:rPr>
        <w:t xml:space="preserve"> Portal, caval and aortal pressure (mmHg), mean ± SD. For portal vein, vena cava, and abdominal aorta pressure recordings, medication of BPC 157 </w:t>
      </w:r>
      <w:r w:rsidR="00767746" w:rsidRPr="00A36F29">
        <w:rPr>
          <w:rFonts w:ascii="Book Antiqua" w:hAnsi="Book Antiqua" w:cs="Times New Roman"/>
          <w:color w:val="000000" w:themeColor="text1"/>
          <w:sz w:val="24"/>
          <w:szCs w:val="24"/>
          <w:lang w:val="en-US"/>
        </w:rPr>
        <w:t>[</w:t>
      </w:r>
      <w:r w:rsidRPr="00A36F29">
        <w:rPr>
          <w:rFonts w:ascii="Book Antiqua" w:hAnsi="Book Antiqua" w:cs="Times New Roman"/>
          <w:color w:val="000000" w:themeColor="text1"/>
          <w:sz w:val="24"/>
          <w:szCs w:val="24"/>
          <w:lang w:val="en-US"/>
        </w:rPr>
        <w:t>10 µg/kg</w:t>
      </w:r>
      <w:r w:rsidR="00B53FBE" w:rsidRPr="00A36F29">
        <w:rPr>
          <w:rFonts w:ascii="Book Antiqua" w:hAnsi="Book Antiqua" w:cs="Times New Roman"/>
          <w:color w:val="000000" w:themeColor="text1"/>
          <w:sz w:val="24"/>
          <w:szCs w:val="24"/>
          <w:lang w:val="en-US"/>
        </w:rPr>
        <w:t xml:space="preserve"> (Bµg)</w:t>
      </w:r>
      <w:r w:rsidRPr="00A36F29">
        <w:rPr>
          <w:rFonts w:ascii="Book Antiqua" w:hAnsi="Book Antiqua" w:cs="Times New Roman"/>
          <w:color w:val="000000" w:themeColor="text1"/>
          <w:sz w:val="24"/>
          <w:szCs w:val="24"/>
          <w:lang w:val="en-US"/>
        </w:rPr>
        <w:t>, 10 ng/kg</w:t>
      </w:r>
      <w:r w:rsidR="00B53FBE" w:rsidRPr="00A36F29">
        <w:rPr>
          <w:rFonts w:ascii="Book Antiqua" w:hAnsi="Book Antiqua" w:cs="Times New Roman"/>
          <w:color w:val="000000" w:themeColor="text1"/>
          <w:sz w:val="24"/>
          <w:szCs w:val="24"/>
          <w:lang w:val="en-US"/>
        </w:rPr>
        <w:t xml:space="preserve"> (Bng</w:t>
      </w:r>
      <w:r w:rsidRPr="00A36F29">
        <w:rPr>
          <w:rFonts w:ascii="Book Antiqua" w:hAnsi="Book Antiqua" w:cs="Times New Roman"/>
          <w:color w:val="000000" w:themeColor="text1"/>
          <w:sz w:val="24"/>
          <w:szCs w:val="24"/>
          <w:lang w:val="en-US"/>
        </w:rPr>
        <w:t>)</w:t>
      </w:r>
      <w:r w:rsidR="00767746" w:rsidRPr="00A36F29">
        <w:rPr>
          <w:rFonts w:ascii="Book Antiqua" w:hAnsi="Book Antiqua" w:cs="Times New Roman"/>
          <w:color w:val="000000" w:themeColor="text1"/>
          <w:sz w:val="24"/>
          <w:szCs w:val="24"/>
          <w:lang w:val="en-US"/>
        </w:rPr>
        <w:t>]</w:t>
      </w:r>
      <w:r w:rsidRPr="00A36F29">
        <w:rPr>
          <w:rFonts w:ascii="Book Antiqua" w:hAnsi="Book Antiqua" w:cs="Times New Roman"/>
          <w:color w:val="000000" w:themeColor="text1"/>
          <w:sz w:val="24"/>
          <w:szCs w:val="24"/>
          <w:lang w:val="en-US"/>
        </w:rPr>
        <w:t xml:space="preserve"> or saline (5 m</w:t>
      </w:r>
      <w:r w:rsidRPr="00A36F29">
        <w:rPr>
          <w:rFonts w:ascii="Book Antiqua" w:hAnsi="Book Antiqua" w:cs="Times New Roman"/>
          <w:caps/>
          <w:color w:val="000000" w:themeColor="text1"/>
          <w:sz w:val="24"/>
          <w:szCs w:val="24"/>
          <w:lang w:val="en-US"/>
        </w:rPr>
        <w:t>l</w:t>
      </w:r>
      <w:r w:rsidRPr="00A36F29">
        <w:rPr>
          <w:rFonts w:ascii="Book Antiqua" w:hAnsi="Book Antiqua" w:cs="Times New Roman"/>
          <w:color w:val="000000" w:themeColor="text1"/>
          <w:sz w:val="24"/>
          <w:szCs w:val="24"/>
          <w:lang w:val="en-US"/>
        </w:rPr>
        <w:t xml:space="preserve">/kg; </w:t>
      </w:r>
      <w:r w:rsidR="00767746" w:rsidRPr="00A36F29">
        <w:rPr>
          <w:rFonts w:ascii="Book Antiqua" w:hAnsi="Book Antiqua" w:cs="Times New Roman"/>
          <w:color w:val="000000" w:themeColor="text1"/>
          <w:sz w:val="24"/>
          <w:szCs w:val="24"/>
          <w:lang w:val="en-US"/>
        </w:rPr>
        <w:t>control</w:t>
      </w:r>
      <w:r w:rsidRPr="00A36F29">
        <w:rPr>
          <w:rFonts w:ascii="Book Antiqua" w:hAnsi="Book Antiqua" w:cs="Times New Roman"/>
          <w:color w:val="000000" w:themeColor="text1"/>
          <w:sz w:val="24"/>
          <w:szCs w:val="24"/>
          <w:lang w:val="en-US"/>
        </w:rPr>
        <w:t xml:space="preserve">) was applied in rats intragastrically or as an abdominal bath, at 15 min (white bars), 24 h (black bars) or 48 h (gray bars) post-ligation. </w:t>
      </w:r>
      <w:r w:rsidR="009241D5" w:rsidRPr="00A36F29">
        <w:rPr>
          <w:rFonts w:ascii="Book Antiqua" w:hAnsi="Book Antiqua" w:cs="Times New Roman"/>
          <w:color w:val="000000" w:themeColor="text1"/>
          <w:sz w:val="24"/>
          <w:szCs w:val="24"/>
          <w:vertAlign w:val="superscript"/>
          <w:lang w:val="en-US"/>
        </w:rPr>
        <w:t>a</w:t>
      </w:r>
      <w:r w:rsidRPr="00A36F29">
        <w:rPr>
          <w:rFonts w:ascii="Book Antiqua" w:hAnsi="Book Antiqua" w:cs="Times New Roman"/>
          <w:i/>
          <w:iCs/>
          <w:color w:val="000000" w:themeColor="text1"/>
          <w:sz w:val="24"/>
          <w:szCs w:val="24"/>
          <w:lang w:val="en-US"/>
        </w:rPr>
        <w:t>P</w:t>
      </w:r>
      <w:r w:rsidRPr="00A36F29">
        <w:rPr>
          <w:rFonts w:ascii="Book Antiqua" w:hAnsi="Book Antiqua" w:cs="Times New Roman"/>
          <w:color w:val="000000" w:themeColor="text1"/>
          <w:sz w:val="24"/>
          <w:szCs w:val="24"/>
          <w:lang w:val="en-US"/>
        </w:rPr>
        <w:t xml:space="preserve"> </w:t>
      </w:r>
      <w:r w:rsidRPr="00A36F29">
        <w:rPr>
          <w:rFonts w:ascii="Times New Roman" w:hAnsi="Times New Roman" w:cs="Times New Roman"/>
          <w:color w:val="000000" w:themeColor="text1"/>
          <w:sz w:val="24"/>
          <w:szCs w:val="24"/>
          <w:lang w:val="en-US"/>
        </w:rPr>
        <w:t>˂</w:t>
      </w:r>
      <w:r w:rsidRPr="00A36F29">
        <w:rPr>
          <w:rFonts w:ascii="Book Antiqua" w:hAnsi="Book Antiqua" w:cs="Times New Roman"/>
          <w:color w:val="000000" w:themeColor="text1"/>
          <w:sz w:val="24"/>
          <w:szCs w:val="24"/>
          <w:lang w:val="en-US"/>
        </w:rPr>
        <w:t xml:space="preserve"> 0.05 </w:t>
      </w:r>
      <w:r w:rsidR="00767746" w:rsidRPr="00A36F29">
        <w:rPr>
          <w:rFonts w:ascii="Book Antiqua" w:hAnsi="Book Antiqua" w:cs="Times New Roman"/>
          <w:i/>
          <w:iCs/>
          <w:color w:val="000000" w:themeColor="text1"/>
          <w:sz w:val="24"/>
          <w:szCs w:val="24"/>
          <w:lang w:val="en-US"/>
        </w:rPr>
        <w:t>vs</w:t>
      </w:r>
      <w:r w:rsidRPr="00A36F29">
        <w:rPr>
          <w:rFonts w:ascii="Book Antiqua" w:hAnsi="Book Antiqua" w:cs="Times New Roman"/>
          <w:color w:val="000000" w:themeColor="text1"/>
          <w:sz w:val="24"/>
          <w:szCs w:val="24"/>
          <w:lang w:val="en-US"/>
        </w:rPr>
        <w:t xml:space="preserve"> control.</w:t>
      </w:r>
    </w:p>
    <w:p w14:paraId="7A40CC09" w14:textId="02D7D22C" w:rsidR="00C871CF" w:rsidRPr="00A36F29" w:rsidRDefault="00A46DB1" w:rsidP="00A36F29">
      <w:pPr>
        <w:pBdr>
          <w:top w:val="nil"/>
          <w:left w:val="nil"/>
          <w:bottom w:val="nil"/>
          <w:right w:val="nil"/>
          <w:between w:val="nil"/>
          <w:bar w:val="nil"/>
        </w:pBdr>
        <w:spacing w:after="0" w:line="360" w:lineRule="auto"/>
        <w:jc w:val="both"/>
        <w:rPr>
          <w:rFonts w:ascii="Book Antiqua" w:eastAsia="Arial Unicode MS" w:hAnsi="Book Antiqua" w:cs="Times New Roman"/>
          <w:color w:val="000000" w:themeColor="text1"/>
          <w:sz w:val="24"/>
          <w:szCs w:val="24"/>
          <w:bdr w:val="nil"/>
          <w:lang w:val="en-US"/>
        </w:rPr>
      </w:pPr>
      <w:r w:rsidRPr="00A36F29">
        <w:rPr>
          <w:rFonts w:ascii="Book Antiqua" w:hAnsi="Book Antiqua"/>
          <w:noProof/>
          <w:sz w:val="24"/>
          <w:szCs w:val="24"/>
        </w:rPr>
        <w:lastRenderedPageBreak/>
        <w:drawing>
          <wp:inline distT="0" distB="0" distL="0" distR="0" wp14:anchorId="2CA6A007" wp14:editId="4D259CFA">
            <wp:extent cx="5760720" cy="3826510"/>
            <wp:effectExtent l="0" t="0" r="0" b="254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826510"/>
                    </a:xfrm>
                    <a:prstGeom prst="rect">
                      <a:avLst/>
                    </a:prstGeom>
                  </pic:spPr>
                </pic:pic>
              </a:graphicData>
            </a:graphic>
          </wp:inline>
        </w:drawing>
      </w:r>
    </w:p>
    <w:p w14:paraId="177D7AEA" w14:textId="35699A9D" w:rsidR="00C871CF" w:rsidRPr="00A36F29" w:rsidRDefault="00C871CF" w:rsidP="00A36F29">
      <w:pPr>
        <w:pBdr>
          <w:top w:val="nil"/>
          <w:left w:val="nil"/>
          <w:bottom w:val="nil"/>
          <w:right w:val="nil"/>
          <w:between w:val="nil"/>
          <w:bar w:val="nil"/>
        </w:pBdr>
        <w:spacing w:after="0" w:line="360" w:lineRule="auto"/>
        <w:jc w:val="both"/>
        <w:rPr>
          <w:rFonts w:ascii="Book Antiqua" w:eastAsia="Arial Unicode MS" w:hAnsi="Book Antiqua" w:cs="Times New Roman"/>
          <w:color w:val="000000" w:themeColor="text1"/>
          <w:sz w:val="24"/>
          <w:szCs w:val="24"/>
          <w:bdr w:val="nil"/>
          <w:lang w:val="en-US"/>
        </w:rPr>
      </w:pPr>
      <w:r w:rsidRPr="00A36F29">
        <w:rPr>
          <w:rFonts w:ascii="Book Antiqua" w:eastAsia="Arial Unicode MS" w:hAnsi="Book Antiqua" w:cs="Times New Roman"/>
          <w:b/>
          <w:color w:val="000000" w:themeColor="text1"/>
          <w:sz w:val="24"/>
          <w:szCs w:val="24"/>
          <w:bdr w:val="nil"/>
          <w:lang w:val="en-US"/>
        </w:rPr>
        <w:t>Figure 3</w:t>
      </w:r>
      <w:r w:rsidR="00A46DB1" w:rsidRPr="00A36F29">
        <w:rPr>
          <w:rFonts w:ascii="Book Antiqua" w:eastAsia="Arial Unicode MS" w:hAnsi="Book Antiqua" w:cs="Times New Roman"/>
          <w:b/>
          <w:color w:val="000000" w:themeColor="text1"/>
          <w:sz w:val="24"/>
          <w:szCs w:val="24"/>
          <w:bdr w:val="nil"/>
          <w:lang w:val="en-US"/>
        </w:rPr>
        <w:t xml:space="preserve"> </w:t>
      </w:r>
      <w:r w:rsidRPr="00A36F29">
        <w:rPr>
          <w:rFonts w:ascii="Book Antiqua" w:eastAsia="Arial Unicode MS" w:hAnsi="Book Antiqua" w:cs="Times New Roman"/>
          <w:b/>
          <w:color w:val="000000" w:themeColor="text1"/>
          <w:sz w:val="24"/>
          <w:szCs w:val="24"/>
          <w:bdr w:val="nil"/>
          <w:lang w:val="en-US"/>
        </w:rPr>
        <w:t>Counteracting effect of BPC 157 in rats with a suprahepatic occlusion of the inferior vena cava on peaked P waves, sinus tachycardia, ST-elevation 15 min post-ligation</w:t>
      </w:r>
      <w:r w:rsidR="00112F2D" w:rsidRPr="00A36F29">
        <w:rPr>
          <w:rFonts w:ascii="Book Antiqua" w:eastAsia="Arial Unicode MS" w:hAnsi="Book Antiqua" w:cs="Times New Roman"/>
          <w:b/>
          <w:color w:val="000000" w:themeColor="text1"/>
          <w:sz w:val="24"/>
          <w:szCs w:val="24"/>
          <w:bdr w:val="nil"/>
          <w:lang w:val="en-US"/>
        </w:rPr>
        <w:t xml:space="preserve"> </w:t>
      </w:r>
      <w:r w:rsidR="00C316ED" w:rsidRPr="00A36F29">
        <w:rPr>
          <w:rFonts w:ascii="Book Antiqua" w:eastAsia="Arial Unicode MS" w:hAnsi="Book Antiqua" w:cs="Times New Roman"/>
          <w:color w:val="000000" w:themeColor="text1"/>
          <w:sz w:val="24"/>
          <w:szCs w:val="24"/>
          <w:bdr w:val="nil"/>
          <w:lang w:val="en-US"/>
        </w:rPr>
        <w:t>[</w:t>
      </w:r>
      <w:r w:rsidR="00112F2D" w:rsidRPr="00A36F29">
        <w:rPr>
          <w:rFonts w:ascii="Book Antiqua" w:eastAsia="Arial Unicode MS" w:hAnsi="Book Antiqua" w:cs="Times New Roman"/>
          <w:color w:val="000000" w:themeColor="text1"/>
          <w:sz w:val="24"/>
          <w:szCs w:val="24"/>
          <w:bdr w:val="nil"/>
          <w:lang w:val="en-US"/>
        </w:rPr>
        <w:t>c</w:t>
      </w:r>
      <w:r w:rsidRPr="00A36F29">
        <w:rPr>
          <w:rFonts w:ascii="Book Antiqua" w:eastAsia="Arial Unicode MS" w:hAnsi="Book Antiqua" w:cs="Times New Roman"/>
          <w:color w:val="000000" w:themeColor="text1"/>
          <w:sz w:val="24"/>
          <w:szCs w:val="24"/>
          <w:bdr w:val="nil"/>
          <w:lang w:val="en-US"/>
        </w:rPr>
        <w:t>ontrols (</w:t>
      </w:r>
      <w:r w:rsidRPr="00A36F29">
        <w:rPr>
          <w:rFonts w:ascii="Book Antiqua" w:eastAsia="Arial Unicode MS" w:hAnsi="Book Antiqua" w:cs="Times New Roman"/>
          <w:i/>
          <w:color w:val="000000" w:themeColor="text1"/>
          <w:sz w:val="24"/>
          <w:szCs w:val="24"/>
          <w:bdr w:val="nil"/>
          <w:lang w:val="en-US"/>
        </w:rPr>
        <w:t>C</w:t>
      </w:r>
      <w:r w:rsidRPr="00A36F29">
        <w:rPr>
          <w:rFonts w:ascii="Book Antiqua" w:eastAsia="Arial Unicode MS" w:hAnsi="Book Antiqua" w:cs="Times New Roman"/>
          <w:color w:val="000000" w:themeColor="text1"/>
          <w:sz w:val="24"/>
          <w:szCs w:val="24"/>
          <w:bdr w:val="nil"/>
          <w:lang w:val="en-US"/>
        </w:rPr>
        <w:t>), BPC 157 rats (</w:t>
      </w:r>
      <w:r w:rsidRPr="00A36F29">
        <w:rPr>
          <w:rFonts w:ascii="Book Antiqua" w:eastAsia="Arial Unicode MS" w:hAnsi="Book Antiqua" w:cs="Times New Roman"/>
          <w:i/>
          <w:color w:val="000000" w:themeColor="text1"/>
          <w:sz w:val="24"/>
          <w:szCs w:val="24"/>
          <w:bdr w:val="nil"/>
          <w:lang w:val="en-US"/>
        </w:rPr>
        <w:t>B</w:t>
      </w:r>
      <w:r w:rsidRPr="00A36F29">
        <w:rPr>
          <w:rFonts w:ascii="Book Antiqua" w:eastAsia="Arial Unicode MS" w:hAnsi="Book Antiqua" w:cs="Times New Roman"/>
          <w:color w:val="000000" w:themeColor="text1"/>
          <w:sz w:val="24"/>
          <w:szCs w:val="24"/>
          <w:bdr w:val="nil"/>
          <w:lang w:val="en-US"/>
        </w:rPr>
        <w:t>)</w:t>
      </w:r>
      <w:r w:rsidR="00C316ED" w:rsidRPr="00A36F29">
        <w:rPr>
          <w:rFonts w:ascii="Book Antiqua" w:eastAsia="Arial Unicode MS" w:hAnsi="Book Antiqua" w:cs="Times New Roman"/>
          <w:color w:val="000000" w:themeColor="text1"/>
          <w:sz w:val="24"/>
          <w:szCs w:val="24"/>
          <w:bdr w:val="nil"/>
          <w:lang w:val="en-US"/>
        </w:rPr>
        <w:t>]</w:t>
      </w:r>
      <w:r w:rsidR="00112F2D" w:rsidRPr="00A36F29">
        <w:rPr>
          <w:rFonts w:ascii="Book Antiqua" w:eastAsia="Arial Unicode MS" w:hAnsi="Book Antiqua" w:cs="Times New Roman"/>
          <w:color w:val="000000" w:themeColor="text1"/>
          <w:sz w:val="24"/>
          <w:szCs w:val="24"/>
          <w:bdr w:val="nil"/>
          <w:lang w:val="en-US"/>
        </w:rPr>
        <w:t xml:space="preserve"> and assessment at 15 min, 24 h and 48 h ligation-time</w:t>
      </w:r>
      <w:r w:rsidRPr="00A36F29">
        <w:rPr>
          <w:rFonts w:ascii="Book Antiqua" w:eastAsia="Arial Unicode MS" w:hAnsi="Book Antiqua" w:cs="Times New Roman"/>
          <w:color w:val="000000" w:themeColor="text1"/>
          <w:sz w:val="24"/>
          <w:szCs w:val="24"/>
          <w:bdr w:val="nil"/>
          <w:lang w:val="en-US"/>
        </w:rPr>
        <w:t>, mean ± SD. Treatment with 10 µg/kg BPC 157 (white dashed bars), 10 ng/kg BPC 157 (gray dashed bars), or saline (1 m</w:t>
      </w:r>
      <w:r w:rsidRPr="00A36F29">
        <w:rPr>
          <w:rFonts w:ascii="Book Antiqua" w:eastAsia="Arial Unicode MS" w:hAnsi="Book Antiqua" w:cs="Times New Roman"/>
          <w:caps/>
          <w:color w:val="000000" w:themeColor="text1"/>
          <w:sz w:val="24"/>
          <w:szCs w:val="24"/>
          <w:bdr w:val="nil"/>
          <w:lang w:val="en-US"/>
        </w:rPr>
        <w:t>l</w:t>
      </w:r>
      <w:r w:rsidRPr="00A36F29">
        <w:rPr>
          <w:rFonts w:ascii="Book Antiqua" w:eastAsia="Arial Unicode MS" w:hAnsi="Book Antiqua" w:cs="Times New Roman"/>
          <w:color w:val="000000" w:themeColor="text1"/>
          <w:sz w:val="24"/>
          <w:szCs w:val="24"/>
          <w:bdr w:val="nil"/>
          <w:lang w:val="en-US"/>
        </w:rPr>
        <w:t xml:space="preserve">/rat; white bars) as a bath administration given at 1 min post-ligation. </w:t>
      </w:r>
      <w:r w:rsidR="005954C9" w:rsidRPr="00A36F29">
        <w:rPr>
          <w:rFonts w:ascii="Book Antiqua" w:eastAsia="Arial Unicode MS" w:hAnsi="Book Antiqua" w:cs="Times New Roman"/>
          <w:color w:val="000000" w:themeColor="text1"/>
          <w:sz w:val="24"/>
          <w:szCs w:val="24"/>
          <w:bdr w:val="nil"/>
          <w:vertAlign w:val="superscript"/>
          <w:lang w:val="en-US"/>
        </w:rPr>
        <w:t>a</w:t>
      </w:r>
      <w:r w:rsidRPr="00A36F29">
        <w:rPr>
          <w:rFonts w:ascii="Book Antiqua" w:eastAsia="Arial Unicode MS" w:hAnsi="Book Antiqua" w:cs="Times New Roman"/>
          <w:i/>
          <w:iCs/>
          <w:color w:val="000000" w:themeColor="text1"/>
          <w:sz w:val="24"/>
          <w:szCs w:val="24"/>
          <w:bdr w:val="nil"/>
          <w:lang w:val="en-US"/>
        </w:rPr>
        <w:t>P</w:t>
      </w:r>
      <w:r w:rsidRPr="00A36F29">
        <w:rPr>
          <w:rFonts w:ascii="Book Antiqua" w:eastAsia="Arial Unicode MS" w:hAnsi="Book Antiqua" w:cs="Times New Roman"/>
          <w:color w:val="000000" w:themeColor="text1"/>
          <w:sz w:val="24"/>
          <w:szCs w:val="24"/>
          <w:bdr w:val="nil"/>
          <w:lang w:val="en-US"/>
        </w:rPr>
        <w:t xml:space="preserve"> </w:t>
      </w:r>
      <w:r w:rsidRPr="00A36F29">
        <w:rPr>
          <w:rFonts w:ascii="Times New Roman" w:eastAsia="Arial Unicode MS" w:hAnsi="Times New Roman" w:cs="Times New Roman"/>
          <w:color w:val="000000" w:themeColor="text1"/>
          <w:sz w:val="24"/>
          <w:szCs w:val="24"/>
          <w:bdr w:val="nil"/>
          <w:lang w:val="en-US"/>
        </w:rPr>
        <w:t>˂</w:t>
      </w:r>
      <w:r w:rsidRPr="00A36F29">
        <w:rPr>
          <w:rFonts w:ascii="Book Antiqua" w:eastAsia="Arial Unicode MS" w:hAnsi="Book Antiqua" w:cs="Times New Roman"/>
          <w:color w:val="000000" w:themeColor="text1"/>
          <w:sz w:val="24"/>
          <w:szCs w:val="24"/>
          <w:bdr w:val="nil"/>
          <w:lang w:val="en-US"/>
        </w:rPr>
        <w:t xml:space="preserve"> 0.05 </w:t>
      </w:r>
      <w:r w:rsidR="005954C9" w:rsidRPr="00A36F29">
        <w:rPr>
          <w:rFonts w:ascii="Book Antiqua" w:eastAsia="Arial Unicode MS" w:hAnsi="Book Antiqua" w:cs="Times New Roman"/>
          <w:i/>
          <w:iCs/>
          <w:color w:val="000000" w:themeColor="text1"/>
          <w:sz w:val="24"/>
          <w:szCs w:val="24"/>
          <w:bdr w:val="nil"/>
          <w:lang w:val="en-US"/>
        </w:rPr>
        <w:t>vs</w:t>
      </w:r>
      <w:r w:rsidRPr="00A36F29">
        <w:rPr>
          <w:rFonts w:ascii="Book Antiqua" w:eastAsia="Arial Unicode MS" w:hAnsi="Book Antiqua" w:cs="Times New Roman"/>
          <w:color w:val="000000" w:themeColor="text1"/>
          <w:sz w:val="24"/>
          <w:szCs w:val="24"/>
          <w:bdr w:val="nil"/>
          <w:lang w:val="en-US"/>
        </w:rPr>
        <w:t xml:space="preserve"> control. </w:t>
      </w:r>
    </w:p>
    <w:p w14:paraId="43E122FF" w14:textId="77777777" w:rsidR="00C871CF" w:rsidRPr="00A36F29" w:rsidRDefault="00C871CF" w:rsidP="00A36F29">
      <w:pPr>
        <w:pBdr>
          <w:top w:val="nil"/>
          <w:left w:val="nil"/>
          <w:bottom w:val="nil"/>
          <w:right w:val="nil"/>
          <w:between w:val="nil"/>
          <w:bar w:val="nil"/>
        </w:pBdr>
        <w:spacing w:after="0" w:line="360" w:lineRule="auto"/>
        <w:jc w:val="both"/>
        <w:rPr>
          <w:rFonts w:ascii="Book Antiqua" w:eastAsia="Arial Unicode MS" w:hAnsi="Book Antiqua" w:cs="Courier New"/>
          <w:color w:val="000000" w:themeColor="text1"/>
          <w:sz w:val="24"/>
          <w:szCs w:val="24"/>
          <w:bdr w:val="nil"/>
          <w:lang w:val="en-US"/>
        </w:rPr>
      </w:pPr>
    </w:p>
    <w:p w14:paraId="2F086F1F" w14:textId="22F36683" w:rsidR="00C871CF" w:rsidRPr="00A36F29" w:rsidRDefault="00113582" w:rsidP="00A36F29">
      <w:pPr>
        <w:pBdr>
          <w:top w:val="nil"/>
          <w:left w:val="nil"/>
          <w:bottom w:val="nil"/>
          <w:right w:val="nil"/>
          <w:between w:val="nil"/>
          <w:bar w:val="nil"/>
        </w:pBdr>
        <w:spacing w:after="0" w:line="360" w:lineRule="auto"/>
        <w:jc w:val="both"/>
        <w:rPr>
          <w:rFonts w:ascii="Book Antiqua" w:eastAsia="Arial Unicode MS" w:hAnsi="Book Antiqua" w:cs="Courier New"/>
          <w:color w:val="000000" w:themeColor="text1"/>
          <w:sz w:val="24"/>
          <w:szCs w:val="24"/>
          <w:bdr w:val="nil"/>
          <w:lang w:val="en-US"/>
        </w:rPr>
      </w:pPr>
      <w:r w:rsidRPr="00A36F29">
        <w:rPr>
          <w:rFonts w:ascii="Book Antiqua" w:hAnsi="Book Antiqua"/>
          <w:noProof/>
          <w:sz w:val="24"/>
          <w:szCs w:val="24"/>
        </w:rPr>
        <w:lastRenderedPageBreak/>
        <w:drawing>
          <wp:inline distT="0" distB="0" distL="0" distR="0" wp14:anchorId="6EB0786B" wp14:editId="03088FFE">
            <wp:extent cx="5628571" cy="6533333"/>
            <wp:effectExtent l="0" t="0" r="0" b="127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8571" cy="6533333"/>
                    </a:xfrm>
                    <a:prstGeom prst="rect">
                      <a:avLst/>
                    </a:prstGeom>
                  </pic:spPr>
                </pic:pic>
              </a:graphicData>
            </a:graphic>
          </wp:inline>
        </w:drawing>
      </w:r>
    </w:p>
    <w:p w14:paraId="1B900CA2" w14:textId="44017EE9" w:rsidR="00C871CF" w:rsidRPr="00A36F29" w:rsidRDefault="00C871CF" w:rsidP="00A36F29">
      <w:pPr>
        <w:pBdr>
          <w:top w:val="nil"/>
          <w:left w:val="nil"/>
          <w:bottom w:val="nil"/>
          <w:right w:val="nil"/>
          <w:between w:val="nil"/>
          <w:bar w:val="nil"/>
        </w:pBdr>
        <w:spacing w:after="0" w:line="360" w:lineRule="auto"/>
        <w:jc w:val="both"/>
        <w:rPr>
          <w:rFonts w:ascii="Book Antiqua" w:eastAsia="Arial Unicode MS" w:hAnsi="Book Antiqua" w:cs="Times New Roman"/>
          <w:color w:val="000000" w:themeColor="text1"/>
          <w:sz w:val="24"/>
          <w:szCs w:val="24"/>
          <w:bdr w:val="nil"/>
          <w:lang w:val="en-US"/>
        </w:rPr>
      </w:pPr>
      <w:r w:rsidRPr="00A36F29">
        <w:rPr>
          <w:rFonts w:ascii="Book Antiqua" w:eastAsia="Arial Unicode MS" w:hAnsi="Book Antiqua" w:cs="Times New Roman"/>
          <w:b/>
          <w:color w:val="000000" w:themeColor="text1"/>
          <w:sz w:val="24"/>
          <w:szCs w:val="24"/>
          <w:bdr w:val="nil"/>
          <w:lang w:val="en-US"/>
        </w:rPr>
        <w:t>Figure 4 BPC 157 attenuates thrombus presentation (thrombus mass, g) in veins (inferior vena cava, portal vein, superior mesenteric vein, and splenic vein, SV) and arteries (hepatic artery and coronary artery) following suprahepatic occlusion of the inferior vena cava.</w:t>
      </w:r>
      <w:r w:rsidRPr="00A36F29">
        <w:rPr>
          <w:rFonts w:ascii="Book Antiqua" w:eastAsia="Arial Unicode MS" w:hAnsi="Book Antiqua" w:cs="Times New Roman"/>
          <w:color w:val="000000" w:themeColor="text1"/>
          <w:sz w:val="24"/>
          <w:szCs w:val="24"/>
          <w:bdr w:val="nil"/>
          <w:lang w:val="en-US"/>
        </w:rPr>
        <w:t xml:space="preserve"> Assessment at 15 min, 24 h and 48 h post-ligation; mean ± SD. Treatment with 10 µg/kg BPC 157 (white dashed bars), 10 ng/kg BPC 157 (gray dashed bars), or saline (1 m</w:t>
      </w:r>
      <w:r w:rsidRPr="00A36F29">
        <w:rPr>
          <w:rFonts w:ascii="Book Antiqua" w:eastAsia="Arial Unicode MS" w:hAnsi="Book Antiqua" w:cs="Times New Roman"/>
          <w:caps/>
          <w:color w:val="000000" w:themeColor="text1"/>
          <w:sz w:val="24"/>
          <w:szCs w:val="24"/>
          <w:bdr w:val="nil"/>
          <w:lang w:val="en-US"/>
        </w:rPr>
        <w:t>l</w:t>
      </w:r>
      <w:r w:rsidRPr="00A36F29">
        <w:rPr>
          <w:rFonts w:ascii="Book Antiqua" w:eastAsia="Arial Unicode MS" w:hAnsi="Book Antiqua" w:cs="Times New Roman"/>
          <w:color w:val="000000" w:themeColor="text1"/>
          <w:sz w:val="24"/>
          <w:szCs w:val="24"/>
          <w:bdr w:val="nil"/>
          <w:lang w:val="en-US"/>
        </w:rPr>
        <w:t xml:space="preserve">/rat; white bars) as a bath administration given at 1 min post-ligation. </w:t>
      </w:r>
      <w:r w:rsidR="00113582" w:rsidRPr="00A36F29">
        <w:rPr>
          <w:rFonts w:ascii="Book Antiqua" w:eastAsia="Arial Unicode MS" w:hAnsi="Book Antiqua" w:cs="Times New Roman"/>
          <w:color w:val="000000" w:themeColor="text1"/>
          <w:sz w:val="24"/>
          <w:szCs w:val="24"/>
          <w:bdr w:val="nil"/>
          <w:vertAlign w:val="superscript"/>
          <w:lang w:val="en-US"/>
        </w:rPr>
        <w:t>a</w:t>
      </w:r>
      <w:r w:rsidRPr="00A36F29">
        <w:rPr>
          <w:rFonts w:ascii="Book Antiqua" w:eastAsia="Arial Unicode MS" w:hAnsi="Book Antiqua" w:cs="Times New Roman"/>
          <w:i/>
          <w:iCs/>
          <w:color w:val="000000" w:themeColor="text1"/>
          <w:sz w:val="24"/>
          <w:szCs w:val="24"/>
          <w:bdr w:val="nil"/>
          <w:lang w:val="en-US"/>
        </w:rPr>
        <w:t>P</w:t>
      </w:r>
      <w:r w:rsidRPr="00A36F29">
        <w:rPr>
          <w:rFonts w:ascii="Book Antiqua" w:eastAsia="Arial Unicode MS" w:hAnsi="Book Antiqua" w:cs="Times New Roman"/>
          <w:color w:val="000000" w:themeColor="text1"/>
          <w:sz w:val="24"/>
          <w:szCs w:val="24"/>
          <w:bdr w:val="nil"/>
          <w:lang w:val="en-US"/>
        </w:rPr>
        <w:t xml:space="preserve"> </w:t>
      </w:r>
      <w:r w:rsidRPr="00A36F29">
        <w:rPr>
          <w:rFonts w:ascii="Times New Roman" w:eastAsia="Arial Unicode MS" w:hAnsi="Times New Roman" w:cs="Times New Roman"/>
          <w:color w:val="000000" w:themeColor="text1"/>
          <w:sz w:val="24"/>
          <w:szCs w:val="24"/>
          <w:bdr w:val="nil"/>
          <w:lang w:val="en-US"/>
        </w:rPr>
        <w:t>˂</w:t>
      </w:r>
      <w:r w:rsidRPr="00A36F29">
        <w:rPr>
          <w:rFonts w:ascii="Book Antiqua" w:eastAsia="Arial Unicode MS" w:hAnsi="Book Antiqua" w:cs="Times New Roman"/>
          <w:color w:val="000000" w:themeColor="text1"/>
          <w:sz w:val="24"/>
          <w:szCs w:val="24"/>
          <w:bdr w:val="nil"/>
          <w:lang w:val="en-US"/>
        </w:rPr>
        <w:t xml:space="preserve"> 0.05 </w:t>
      </w:r>
      <w:r w:rsidR="00113582" w:rsidRPr="00A36F29">
        <w:rPr>
          <w:rFonts w:ascii="Book Antiqua" w:eastAsia="Arial Unicode MS" w:hAnsi="Book Antiqua" w:cs="Times New Roman"/>
          <w:i/>
          <w:iCs/>
          <w:color w:val="000000" w:themeColor="text1"/>
          <w:sz w:val="24"/>
          <w:szCs w:val="24"/>
          <w:bdr w:val="nil"/>
          <w:lang w:val="en-US"/>
        </w:rPr>
        <w:t>vs</w:t>
      </w:r>
      <w:r w:rsidRPr="00A36F29">
        <w:rPr>
          <w:rFonts w:ascii="Book Antiqua" w:eastAsia="Arial Unicode MS" w:hAnsi="Book Antiqua" w:cs="Times New Roman"/>
          <w:color w:val="000000" w:themeColor="text1"/>
          <w:sz w:val="24"/>
          <w:szCs w:val="24"/>
          <w:bdr w:val="nil"/>
          <w:lang w:val="en-US"/>
        </w:rPr>
        <w:t xml:space="preserve"> control.</w:t>
      </w:r>
    </w:p>
    <w:p w14:paraId="00415B0E" w14:textId="77777777" w:rsidR="00C871CF" w:rsidRPr="00A36F29" w:rsidRDefault="00C871CF" w:rsidP="00A36F29">
      <w:pPr>
        <w:pBdr>
          <w:top w:val="nil"/>
          <w:left w:val="nil"/>
          <w:bottom w:val="nil"/>
          <w:right w:val="nil"/>
          <w:between w:val="nil"/>
          <w:bar w:val="nil"/>
        </w:pBdr>
        <w:spacing w:after="0" w:line="360" w:lineRule="auto"/>
        <w:jc w:val="both"/>
        <w:rPr>
          <w:rFonts w:ascii="Book Antiqua" w:eastAsia="Arial Unicode MS" w:hAnsi="Book Antiqua" w:cs="Times New Roman"/>
          <w:color w:val="000000" w:themeColor="text1"/>
          <w:sz w:val="24"/>
          <w:szCs w:val="24"/>
          <w:bdr w:val="nil"/>
          <w:lang w:val="en-US"/>
        </w:rPr>
      </w:pPr>
    </w:p>
    <w:p w14:paraId="61158717" w14:textId="77828638" w:rsidR="00C871CF" w:rsidRPr="00A36F29" w:rsidRDefault="00C410B4" w:rsidP="00A36F29">
      <w:pPr>
        <w:pBdr>
          <w:top w:val="nil"/>
          <w:left w:val="nil"/>
          <w:bottom w:val="nil"/>
          <w:right w:val="nil"/>
          <w:between w:val="nil"/>
          <w:bar w:val="nil"/>
        </w:pBdr>
        <w:spacing w:after="0" w:line="360" w:lineRule="auto"/>
        <w:jc w:val="both"/>
        <w:rPr>
          <w:rFonts w:ascii="Book Antiqua" w:eastAsia="Arial Unicode MS" w:hAnsi="Book Antiqua" w:cs="Times New Roman"/>
          <w:color w:val="000000" w:themeColor="text1"/>
          <w:sz w:val="24"/>
          <w:szCs w:val="24"/>
          <w:bdr w:val="nil"/>
          <w:lang w:val="en-US"/>
        </w:rPr>
      </w:pPr>
      <w:r w:rsidRPr="00A36F29">
        <w:rPr>
          <w:rFonts w:ascii="Book Antiqua" w:hAnsi="Book Antiqua"/>
          <w:noProof/>
          <w:sz w:val="24"/>
          <w:szCs w:val="24"/>
        </w:rPr>
        <w:lastRenderedPageBreak/>
        <w:drawing>
          <wp:inline distT="0" distB="0" distL="0" distR="0" wp14:anchorId="6563FFAA" wp14:editId="345FB3E7">
            <wp:extent cx="5760720" cy="514604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146040"/>
                    </a:xfrm>
                    <a:prstGeom prst="rect">
                      <a:avLst/>
                    </a:prstGeom>
                  </pic:spPr>
                </pic:pic>
              </a:graphicData>
            </a:graphic>
          </wp:inline>
        </w:drawing>
      </w:r>
    </w:p>
    <w:p w14:paraId="42315306" w14:textId="7CDEB580" w:rsidR="00C871CF" w:rsidRPr="00A36F29" w:rsidRDefault="00C871CF" w:rsidP="00A36F29">
      <w:pPr>
        <w:pBdr>
          <w:top w:val="nil"/>
          <w:left w:val="nil"/>
          <w:bottom w:val="nil"/>
          <w:right w:val="nil"/>
          <w:between w:val="nil"/>
          <w:bar w:val="nil"/>
        </w:pBdr>
        <w:spacing w:after="0" w:line="360" w:lineRule="auto"/>
        <w:jc w:val="both"/>
        <w:rPr>
          <w:rFonts w:ascii="Book Antiqua" w:eastAsia="Arial Unicode MS" w:hAnsi="Book Antiqua" w:cs="Times New Roman"/>
          <w:color w:val="000000" w:themeColor="text1"/>
          <w:sz w:val="24"/>
          <w:szCs w:val="24"/>
          <w:bdr w:val="nil"/>
          <w:lang w:val="en-US"/>
        </w:rPr>
      </w:pPr>
      <w:r w:rsidRPr="00A36F29">
        <w:rPr>
          <w:rFonts w:ascii="Book Antiqua" w:eastAsia="Arial Unicode MS" w:hAnsi="Book Antiqua" w:cs="Times New Roman"/>
          <w:b/>
          <w:color w:val="000000" w:themeColor="text1"/>
          <w:sz w:val="24"/>
          <w:szCs w:val="24"/>
          <w:bdr w:val="nil"/>
          <w:lang w:val="en-US"/>
        </w:rPr>
        <w:t xml:space="preserve">Figure 5 BPC 157 counteracts ascites (mL), serum enzyme levels (U/L), hepatomegaly and splenomegaly (mean ± SD), stomach, </w:t>
      </w:r>
      <w:bookmarkStart w:id="28" w:name="_GoBack"/>
      <w:r w:rsidRPr="00A36F29">
        <w:rPr>
          <w:rFonts w:ascii="Book Antiqua" w:eastAsia="Arial Unicode MS" w:hAnsi="Book Antiqua" w:cs="Times New Roman"/>
          <w:b/>
          <w:color w:val="000000" w:themeColor="text1"/>
          <w:sz w:val="24"/>
          <w:szCs w:val="24"/>
          <w:bdr w:val="nil"/>
          <w:lang w:val="en-US"/>
        </w:rPr>
        <w:t xml:space="preserve">duodenal, jejunal, ileal, cecal </w:t>
      </w:r>
      <w:bookmarkEnd w:id="28"/>
      <w:r w:rsidRPr="00A36F29">
        <w:rPr>
          <w:rFonts w:ascii="Book Antiqua" w:eastAsia="Arial Unicode MS" w:hAnsi="Book Antiqua" w:cs="Times New Roman"/>
          <w:b/>
          <w:color w:val="000000" w:themeColor="text1"/>
          <w:sz w:val="24"/>
          <w:szCs w:val="24"/>
          <w:bdr w:val="nil"/>
          <w:lang w:val="en-US"/>
        </w:rPr>
        <w:t>and ascending colon lesions (scored 0–5; Min/Med/Max), following suprahepatic occlusion of the inferior vena cava.</w:t>
      </w:r>
      <w:r w:rsidRPr="00A36F29">
        <w:rPr>
          <w:rFonts w:ascii="Book Antiqua" w:eastAsia="Arial Unicode MS" w:hAnsi="Book Antiqua" w:cs="Times New Roman"/>
          <w:color w:val="000000" w:themeColor="text1"/>
          <w:sz w:val="24"/>
          <w:szCs w:val="24"/>
          <w:bdr w:val="nil"/>
          <w:lang w:val="en-US"/>
        </w:rPr>
        <w:t xml:space="preserve"> Assessment at 15 min, 24 h and 48 h post-ligation. Treatment with 10 µg/kg BPC 157 (white dashed bars), 10 ng/kg BPC 157 (gray dashed bars), or saline (1 m</w:t>
      </w:r>
      <w:r w:rsidRPr="00A36F29">
        <w:rPr>
          <w:rFonts w:ascii="Book Antiqua" w:eastAsia="Arial Unicode MS" w:hAnsi="Book Antiqua" w:cs="Times New Roman"/>
          <w:caps/>
          <w:color w:val="000000" w:themeColor="text1"/>
          <w:sz w:val="24"/>
          <w:szCs w:val="24"/>
          <w:bdr w:val="nil"/>
          <w:lang w:val="en-US"/>
        </w:rPr>
        <w:t>l</w:t>
      </w:r>
      <w:r w:rsidRPr="00A36F29">
        <w:rPr>
          <w:rFonts w:ascii="Book Antiqua" w:eastAsia="Arial Unicode MS" w:hAnsi="Book Antiqua" w:cs="Times New Roman"/>
          <w:color w:val="000000" w:themeColor="text1"/>
          <w:sz w:val="24"/>
          <w:szCs w:val="24"/>
          <w:bdr w:val="nil"/>
          <w:lang w:val="en-US"/>
        </w:rPr>
        <w:t xml:space="preserve">/rat; white bars) as a bath administration given at 1 min ligation. </w:t>
      </w:r>
      <w:r w:rsidR="00C410B4" w:rsidRPr="00A36F29">
        <w:rPr>
          <w:rFonts w:ascii="Book Antiqua" w:eastAsia="Arial Unicode MS" w:hAnsi="Book Antiqua" w:cs="Times New Roman"/>
          <w:color w:val="000000" w:themeColor="text1"/>
          <w:sz w:val="24"/>
          <w:szCs w:val="24"/>
          <w:bdr w:val="nil"/>
          <w:vertAlign w:val="superscript"/>
          <w:lang w:val="en-US"/>
        </w:rPr>
        <w:t>a</w:t>
      </w:r>
      <w:r w:rsidRPr="00A36F29">
        <w:rPr>
          <w:rFonts w:ascii="Book Antiqua" w:eastAsia="Arial Unicode MS" w:hAnsi="Book Antiqua" w:cs="Times New Roman"/>
          <w:i/>
          <w:iCs/>
          <w:color w:val="000000" w:themeColor="text1"/>
          <w:sz w:val="24"/>
          <w:szCs w:val="24"/>
          <w:bdr w:val="nil"/>
          <w:lang w:val="en-US"/>
        </w:rPr>
        <w:t>P</w:t>
      </w:r>
      <w:r w:rsidRPr="00A36F29">
        <w:rPr>
          <w:rFonts w:ascii="Book Antiqua" w:eastAsia="Arial Unicode MS" w:hAnsi="Book Antiqua" w:cs="Times New Roman"/>
          <w:color w:val="000000" w:themeColor="text1"/>
          <w:sz w:val="24"/>
          <w:szCs w:val="24"/>
          <w:bdr w:val="nil"/>
          <w:lang w:val="en-US"/>
        </w:rPr>
        <w:t xml:space="preserve"> </w:t>
      </w:r>
      <w:r w:rsidRPr="00A36F29">
        <w:rPr>
          <w:rFonts w:ascii="Times New Roman" w:eastAsia="Arial Unicode MS" w:hAnsi="Times New Roman" w:cs="Times New Roman"/>
          <w:color w:val="000000" w:themeColor="text1"/>
          <w:sz w:val="24"/>
          <w:szCs w:val="24"/>
          <w:bdr w:val="nil"/>
          <w:lang w:val="en-US"/>
        </w:rPr>
        <w:t>˂</w:t>
      </w:r>
      <w:r w:rsidRPr="00A36F29">
        <w:rPr>
          <w:rFonts w:ascii="Book Antiqua" w:eastAsia="Arial Unicode MS" w:hAnsi="Book Antiqua" w:cs="Times New Roman"/>
          <w:color w:val="000000" w:themeColor="text1"/>
          <w:sz w:val="24"/>
          <w:szCs w:val="24"/>
          <w:bdr w:val="nil"/>
          <w:lang w:val="en-US"/>
        </w:rPr>
        <w:t xml:space="preserve"> 0.05 </w:t>
      </w:r>
      <w:r w:rsidR="00C410B4" w:rsidRPr="00A36F29">
        <w:rPr>
          <w:rFonts w:ascii="Book Antiqua" w:eastAsia="Arial Unicode MS" w:hAnsi="Book Antiqua" w:cs="Times New Roman"/>
          <w:i/>
          <w:iCs/>
          <w:color w:val="000000" w:themeColor="text1"/>
          <w:sz w:val="24"/>
          <w:szCs w:val="24"/>
          <w:bdr w:val="nil"/>
          <w:lang w:val="en-US"/>
        </w:rPr>
        <w:t>vs</w:t>
      </w:r>
      <w:r w:rsidRPr="00A36F29">
        <w:rPr>
          <w:rFonts w:ascii="Book Antiqua" w:eastAsia="Arial Unicode MS" w:hAnsi="Book Antiqua" w:cs="Times New Roman"/>
          <w:color w:val="000000" w:themeColor="text1"/>
          <w:sz w:val="24"/>
          <w:szCs w:val="24"/>
          <w:bdr w:val="nil"/>
          <w:lang w:val="en-US"/>
        </w:rPr>
        <w:t xml:space="preserve"> control.</w:t>
      </w:r>
    </w:p>
    <w:p w14:paraId="794AE9CA" w14:textId="5B0964B1" w:rsidR="00C871CF" w:rsidRPr="00A36F29" w:rsidRDefault="004063EB" w:rsidP="00A36F29">
      <w:pPr>
        <w:spacing w:after="0" w:line="360" w:lineRule="auto"/>
        <w:jc w:val="both"/>
        <w:rPr>
          <w:rFonts w:ascii="Book Antiqua" w:eastAsia="Arial Unicode MS" w:hAnsi="Book Antiqua" w:cs="Courier New"/>
          <w:color w:val="000000" w:themeColor="text1"/>
          <w:sz w:val="24"/>
          <w:szCs w:val="24"/>
          <w:bdr w:val="nil"/>
          <w:lang w:val="en-US"/>
        </w:rPr>
      </w:pPr>
      <w:r w:rsidRPr="00A36F29">
        <w:rPr>
          <w:rFonts w:ascii="Book Antiqua" w:hAnsi="Book Antiqua"/>
          <w:noProof/>
          <w:sz w:val="24"/>
          <w:szCs w:val="24"/>
        </w:rPr>
        <w:lastRenderedPageBreak/>
        <w:drawing>
          <wp:inline distT="0" distB="0" distL="0" distR="0" wp14:anchorId="1268AF59" wp14:editId="551BA307">
            <wp:extent cx="5057143" cy="6580952"/>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7143" cy="6580952"/>
                    </a:xfrm>
                    <a:prstGeom prst="rect">
                      <a:avLst/>
                    </a:prstGeom>
                  </pic:spPr>
                </pic:pic>
              </a:graphicData>
            </a:graphic>
          </wp:inline>
        </w:drawing>
      </w:r>
      <w:r w:rsidR="00C871CF" w:rsidRPr="00A36F29">
        <w:rPr>
          <w:rFonts w:ascii="Book Antiqua" w:eastAsia="Arial Unicode MS" w:hAnsi="Book Antiqua" w:cs="Courier New"/>
          <w:color w:val="000000" w:themeColor="text1"/>
          <w:sz w:val="24"/>
          <w:szCs w:val="24"/>
          <w:bdr w:val="nil"/>
          <w:lang w:val="en-US"/>
        </w:rPr>
        <w:t xml:space="preserve"> </w:t>
      </w:r>
    </w:p>
    <w:p w14:paraId="49F7D7B4" w14:textId="6485F8E6"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eastAsia="Arial Unicode MS" w:hAnsi="Book Antiqua" w:cs="Times New Roman"/>
          <w:b/>
          <w:color w:val="000000" w:themeColor="text1"/>
          <w:sz w:val="24"/>
          <w:szCs w:val="24"/>
          <w:bdr w:val="nil"/>
          <w:lang w:val="en-US"/>
        </w:rPr>
        <w:t xml:space="preserve">Figure 6 BPC 157 improves vessel presentation following suprahepatic occlusion of the inferior vena cava (upper), and eliminates or attenuates increased </w:t>
      </w:r>
      <w:r w:rsidR="00D3601B" w:rsidRPr="00A36F29">
        <w:rPr>
          <w:rFonts w:ascii="Book Antiqua" w:eastAsia="Arial Unicode MS" w:hAnsi="Book Antiqua" w:cs="Times New Roman"/>
          <w:b/>
          <w:color w:val="000000" w:themeColor="text1"/>
          <w:sz w:val="24"/>
          <w:szCs w:val="24"/>
          <w:bdr w:val="nil"/>
          <w:lang w:val="en-US"/>
        </w:rPr>
        <w:t>nitric oxide</w:t>
      </w:r>
      <w:r w:rsidRPr="00A36F29">
        <w:rPr>
          <w:rFonts w:ascii="Book Antiqua" w:eastAsia="Arial Unicode MS" w:hAnsi="Book Antiqua" w:cs="Times New Roman"/>
          <w:b/>
          <w:color w:val="000000" w:themeColor="text1"/>
          <w:sz w:val="24"/>
          <w:szCs w:val="24"/>
          <w:bdr w:val="nil"/>
          <w:lang w:val="en-US"/>
        </w:rPr>
        <w:t xml:space="preserve"> and </w:t>
      </w:r>
      <w:r w:rsidR="00B51A48" w:rsidRPr="00A36F29">
        <w:rPr>
          <w:rFonts w:ascii="Book Antiqua" w:eastAsia="Arial Unicode MS" w:hAnsi="Book Antiqua" w:cs="Times New Roman"/>
          <w:b/>
          <w:color w:val="000000" w:themeColor="text1"/>
          <w:sz w:val="24"/>
          <w:szCs w:val="24"/>
          <w:bdr w:val="nil"/>
          <w:lang w:val="en-US"/>
        </w:rPr>
        <w:t xml:space="preserve">malondialdehyde </w:t>
      </w:r>
      <w:r w:rsidRPr="00A36F29">
        <w:rPr>
          <w:rFonts w:ascii="Book Antiqua" w:eastAsia="Arial Unicode MS" w:hAnsi="Book Antiqua" w:cs="Times New Roman"/>
          <w:b/>
          <w:color w:val="000000" w:themeColor="text1"/>
          <w:sz w:val="24"/>
          <w:szCs w:val="24"/>
          <w:bdr w:val="nil"/>
          <w:lang w:val="en-US"/>
        </w:rPr>
        <w:t>levels (nmol/mg protein) in liver.</w:t>
      </w:r>
      <w:r w:rsidRPr="00A36F29">
        <w:rPr>
          <w:rFonts w:ascii="Book Antiqua" w:eastAsia="Arial Unicode MS" w:hAnsi="Book Antiqua" w:cs="Times New Roman"/>
          <w:color w:val="000000" w:themeColor="text1"/>
          <w:sz w:val="24"/>
          <w:szCs w:val="24"/>
          <w:bdr w:val="nil"/>
          <w:lang w:val="en-US"/>
        </w:rPr>
        <w:t xml:space="preserve"> Vessels were assessed as to whether they were (filled or cleared out at the stomach, and between the arcade vessels on the ventral side for 1 cm long segments of duodenum, jejunum and ascending colon, and between 10 vessels from the proximal to distal cecum. Assessment was made throughout the experiment, with the point (A) immediately before therapy considered to be 100%, at selected time points before (A) and after </w:t>
      </w:r>
      <w:r w:rsidRPr="00A36F29">
        <w:rPr>
          <w:rFonts w:ascii="Book Antiqua" w:eastAsia="Arial Unicode MS" w:hAnsi="Book Antiqua" w:cs="Times New Roman"/>
          <w:color w:val="000000" w:themeColor="text1"/>
          <w:sz w:val="24"/>
          <w:szCs w:val="24"/>
          <w:bdr w:val="nil"/>
          <w:lang w:val="en-US"/>
        </w:rPr>
        <w:lastRenderedPageBreak/>
        <w:t xml:space="preserve">therapy (B, C and D) in rats with suprahepatic occlusion of the inferior vena cava at 5 (B), 10 (C) and 15 (D) minutes post-ligation (mean ± SD). The gross appearance of the tissue was recorded using a USB microscope camera (upper). Counteraction of the increased </w:t>
      </w:r>
      <w:r w:rsidR="00D3601B" w:rsidRPr="00A36F29">
        <w:rPr>
          <w:rFonts w:ascii="Book Antiqua" w:eastAsia="Arial Unicode MS" w:hAnsi="Book Antiqua" w:cs="Times New Roman"/>
          <w:color w:val="000000" w:themeColor="text1"/>
          <w:sz w:val="24"/>
          <w:szCs w:val="24"/>
          <w:bdr w:val="nil"/>
          <w:lang w:val="en-US"/>
        </w:rPr>
        <w:t>nitric oxide</w:t>
      </w:r>
      <w:r w:rsidRPr="00A36F29">
        <w:rPr>
          <w:rFonts w:ascii="Book Antiqua" w:eastAsia="Arial Unicode MS" w:hAnsi="Book Antiqua" w:cs="Times New Roman"/>
          <w:color w:val="000000" w:themeColor="text1"/>
          <w:sz w:val="24"/>
          <w:szCs w:val="24"/>
          <w:bdr w:val="nil"/>
          <w:lang w:val="en-US"/>
        </w:rPr>
        <w:t xml:space="preserve"> and </w:t>
      </w:r>
      <w:r w:rsidR="00B51A48" w:rsidRPr="00A36F29">
        <w:rPr>
          <w:rFonts w:ascii="Book Antiqua" w:eastAsia="Arial Unicode MS" w:hAnsi="Book Antiqua" w:cs="Times New Roman"/>
          <w:color w:val="000000" w:themeColor="text1"/>
          <w:sz w:val="24"/>
          <w:szCs w:val="24"/>
          <w:bdr w:val="nil"/>
          <w:lang w:val="en-US"/>
        </w:rPr>
        <w:t xml:space="preserve">malondialdehyde </w:t>
      </w:r>
      <w:r w:rsidRPr="00A36F29">
        <w:rPr>
          <w:rFonts w:ascii="Book Antiqua" w:eastAsia="Arial Unicode MS" w:hAnsi="Book Antiqua" w:cs="Times New Roman"/>
          <w:color w:val="000000" w:themeColor="text1"/>
          <w:sz w:val="24"/>
          <w:szCs w:val="24"/>
          <w:bdr w:val="nil"/>
          <w:lang w:val="en-US"/>
        </w:rPr>
        <w:t>levels in liver (lower) at 15 min, 24 h and 48 h post-ligation. Treatment with 10 µg/kg BPC 157 (white dashed bars), 10 ng/kg BPC 157 (gray dashed bars), or saline (1 m</w:t>
      </w:r>
      <w:r w:rsidRPr="00A36F29">
        <w:rPr>
          <w:rFonts w:ascii="Book Antiqua" w:eastAsia="Arial Unicode MS" w:hAnsi="Book Antiqua" w:cs="Times New Roman"/>
          <w:caps/>
          <w:color w:val="000000" w:themeColor="text1"/>
          <w:sz w:val="24"/>
          <w:szCs w:val="24"/>
          <w:bdr w:val="nil"/>
          <w:lang w:val="en-US"/>
        </w:rPr>
        <w:t>l</w:t>
      </w:r>
      <w:r w:rsidRPr="00A36F29">
        <w:rPr>
          <w:rFonts w:ascii="Book Antiqua" w:eastAsia="Arial Unicode MS" w:hAnsi="Book Antiqua" w:cs="Times New Roman"/>
          <w:color w:val="000000" w:themeColor="text1"/>
          <w:sz w:val="24"/>
          <w:szCs w:val="24"/>
          <w:bdr w:val="nil"/>
          <w:lang w:val="en-US"/>
        </w:rPr>
        <w:t xml:space="preserve">/rat; white bars) as a bath administration given at 1 min post-ligation. </w:t>
      </w:r>
      <w:r w:rsidR="00B51A48" w:rsidRPr="00A36F29">
        <w:rPr>
          <w:rFonts w:ascii="Book Antiqua" w:eastAsia="Arial Unicode MS" w:hAnsi="Book Antiqua" w:cs="Times New Roman"/>
          <w:color w:val="000000" w:themeColor="text1"/>
          <w:sz w:val="24"/>
          <w:szCs w:val="24"/>
          <w:bdr w:val="nil"/>
          <w:vertAlign w:val="superscript"/>
          <w:lang w:val="en-US"/>
        </w:rPr>
        <w:t>a</w:t>
      </w:r>
      <w:r w:rsidRPr="00A36F29">
        <w:rPr>
          <w:rFonts w:ascii="Book Antiqua" w:eastAsia="Arial Unicode MS" w:hAnsi="Book Antiqua" w:cs="Times New Roman"/>
          <w:i/>
          <w:iCs/>
          <w:color w:val="000000" w:themeColor="text1"/>
          <w:sz w:val="24"/>
          <w:szCs w:val="24"/>
          <w:bdr w:val="nil"/>
          <w:lang w:val="en-US"/>
        </w:rPr>
        <w:t>P</w:t>
      </w:r>
      <w:r w:rsidRPr="00A36F29">
        <w:rPr>
          <w:rFonts w:ascii="Book Antiqua" w:eastAsia="Arial Unicode MS" w:hAnsi="Book Antiqua" w:cs="Times New Roman"/>
          <w:color w:val="000000" w:themeColor="text1"/>
          <w:sz w:val="24"/>
          <w:szCs w:val="24"/>
          <w:bdr w:val="nil"/>
          <w:lang w:val="en-US"/>
        </w:rPr>
        <w:t xml:space="preserve"> &lt; 0.05 </w:t>
      </w:r>
      <w:r w:rsidR="00B51A48" w:rsidRPr="00A36F29">
        <w:rPr>
          <w:rFonts w:ascii="Book Antiqua" w:eastAsia="Arial Unicode MS" w:hAnsi="Book Antiqua" w:cs="Times New Roman"/>
          <w:i/>
          <w:iCs/>
          <w:color w:val="000000" w:themeColor="text1"/>
          <w:sz w:val="24"/>
          <w:szCs w:val="24"/>
          <w:bdr w:val="nil"/>
          <w:lang w:val="en-US"/>
        </w:rPr>
        <w:t>vs</w:t>
      </w:r>
      <w:r w:rsidRPr="00A36F29">
        <w:rPr>
          <w:rFonts w:ascii="Book Antiqua" w:eastAsia="Arial Unicode MS" w:hAnsi="Book Antiqua" w:cs="Times New Roman"/>
          <w:color w:val="000000" w:themeColor="text1"/>
          <w:sz w:val="24"/>
          <w:szCs w:val="24"/>
          <w:bdr w:val="nil"/>
          <w:lang w:val="en-US"/>
        </w:rPr>
        <w:t xml:space="preserve"> saline</w:t>
      </w:r>
      <w:r w:rsidR="00B51A48" w:rsidRPr="00A36F29">
        <w:rPr>
          <w:rFonts w:ascii="Book Antiqua" w:eastAsia="Arial Unicode MS" w:hAnsi="Book Antiqua" w:cs="Times New Roman"/>
          <w:color w:val="000000" w:themeColor="text1"/>
          <w:sz w:val="24"/>
          <w:szCs w:val="24"/>
          <w:bdr w:val="nil"/>
          <w:lang w:val="en-US"/>
        </w:rPr>
        <w:t>;</w:t>
      </w:r>
      <w:r w:rsidRPr="00A36F29">
        <w:rPr>
          <w:rFonts w:ascii="Book Antiqua" w:eastAsia="Arial Unicode MS" w:hAnsi="Book Antiqua" w:cs="Times New Roman"/>
          <w:color w:val="000000" w:themeColor="text1"/>
          <w:sz w:val="24"/>
          <w:szCs w:val="24"/>
          <w:bdr w:val="nil"/>
          <w:lang w:val="en-US"/>
        </w:rPr>
        <w:t xml:space="preserve"> </w:t>
      </w:r>
      <w:r w:rsidR="00B51A48" w:rsidRPr="00A36F29">
        <w:rPr>
          <w:rFonts w:ascii="Book Antiqua" w:eastAsia="Arial Unicode MS" w:hAnsi="Book Antiqua" w:cs="Times New Roman"/>
          <w:color w:val="000000" w:themeColor="text1"/>
          <w:sz w:val="24"/>
          <w:szCs w:val="24"/>
          <w:bdr w:val="nil"/>
          <w:vertAlign w:val="superscript"/>
          <w:lang w:val="en-US"/>
        </w:rPr>
        <w:t>c</w:t>
      </w:r>
      <w:r w:rsidRPr="00A36F29">
        <w:rPr>
          <w:rFonts w:ascii="Book Antiqua" w:eastAsia="Arial Unicode MS" w:hAnsi="Book Antiqua" w:cs="Times New Roman"/>
          <w:i/>
          <w:iCs/>
          <w:color w:val="000000" w:themeColor="text1"/>
          <w:sz w:val="24"/>
          <w:szCs w:val="24"/>
          <w:bdr w:val="nil"/>
          <w:lang w:val="en-US"/>
        </w:rPr>
        <w:t>P</w:t>
      </w:r>
      <w:r w:rsidRPr="00A36F29">
        <w:rPr>
          <w:rFonts w:ascii="Book Antiqua" w:eastAsia="Arial Unicode MS" w:hAnsi="Book Antiqua" w:cs="Times New Roman"/>
          <w:color w:val="000000" w:themeColor="text1"/>
          <w:sz w:val="24"/>
          <w:szCs w:val="24"/>
          <w:bdr w:val="nil"/>
          <w:lang w:val="en-US"/>
        </w:rPr>
        <w:t xml:space="preserve"> </w:t>
      </w:r>
      <w:r w:rsidRPr="00A36F29">
        <w:rPr>
          <w:rFonts w:ascii="Times New Roman" w:eastAsia="Arial Unicode MS" w:hAnsi="Times New Roman" w:cs="Times New Roman"/>
          <w:color w:val="000000" w:themeColor="text1"/>
          <w:sz w:val="24"/>
          <w:szCs w:val="24"/>
          <w:bdr w:val="nil"/>
          <w:lang w:val="en-US"/>
        </w:rPr>
        <w:t>˂</w:t>
      </w:r>
      <w:r w:rsidRPr="00A36F29">
        <w:rPr>
          <w:rFonts w:ascii="Book Antiqua" w:eastAsia="Arial Unicode MS" w:hAnsi="Book Antiqua" w:cs="Times New Roman"/>
          <w:color w:val="000000" w:themeColor="text1"/>
          <w:sz w:val="24"/>
          <w:szCs w:val="24"/>
          <w:bdr w:val="nil"/>
          <w:lang w:val="en-US"/>
        </w:rPr>
        <w:t xml:space="preserve"> 0.05 </w:t>
      </w:r>
      <w:r w:rsidR="00B51A48" w:rsidRPr="00A36F29">
        <w:rPr>
          <w:rFonts w:ascii="Book Antiqua" w:eastAsia="Arial Unicode MS" w:hAnsi="Book Antiqua" w:cs="Times New Roman"/>
          <w:i/>
          <w:iCs/>
          <w:color w:val="000000" w:themeColor="text1"/>
          <w:sz w:val="24"/>
          <w:szCs w:val="24"/>
          <w:bdr w:val="nil"/>
          <w:lang w:val="en-US"/>
        </w:rPr>
        <w:t>vs</w:t>
      </w:r>
      <w:r w:rsidRPr="00A36F29">
        <w:rPr>
          <w:rFonts w:ascii="Book Antiqua" w:eastAsia="Arial Unicode MS" w:hAnsi="Book Antiqua" w:cs="Times New Roman"/>
          <w:color w:val="000000" w:themeColor="text1"/>
          <w:sz w:val="24"/>
          <w:szCs w:val="24"/>
          <w:bdr w:val="nil"/>
          <w:lang w:val="en-US"/>
        </w:rPr>
        <w:t xml:space="preserve"> healthy liver (H).</w:t>
      </w:r>
      <w:r w:rsidR="00B51A48" w:rsidRPr="00A36F29">
        <w:rPr>
          <w:rFonts w:ascii="Book Antiqua" w:eastAsia="Arial Unicode MS" w:hAnsi="Book Antiqua" w:cs="Times New Roman"/>
          <w:color w:val="000000" w:themeColor="text1"/>
          <w:sz w:val="24"/>
          <w:szCs w:val="24"/>
          <w:bdr w:val="nil"/>
          <w:lang w:val="en-US"/>
        </w:rPr>
        <w:t xml:space="preserve"> </w:t>
      </w:r>
      <w:r w:rsidR="00D3601B" w:rsidRPr="00A36F29">
        <w:rPr>
          <w:rFonts w:ascii="Book Antiqua" w:eastAsia="Arial Unicode MS" w:hAnsi="Book Antiqua" w:cs="Times New Roman"/>
          <w:color w:val="000000" w:themeColor="text1"/>
          <w:sz w:val="24"/>
          <w:szCs w:val="24"/>
          <w:bdr w:val="nil"/>
          <w:lang w:val="en-US"/>
        </w:rPr>
        <w:t xml:space="preserve">NO: </w:t>
      </w:r>
      <w:r w:rsidR="00D3601B" w:rsidRPr="00A36F29">
        <w:rPr>
          <w:rFonts w:ascii="Book Antiqua" w:eastAsia="Arial Unicode MS" w:hAnsi="Book Antiqua" w:cs="Times New Roman"/>
          <w:caps/>
          <w:color w:val="000000" w:themeColor="text1"/>
          <w:sz w:val="24"/>
          <w:szCs w:val="24"/>
          <w:bdr w:val="nil"/>
          <w:lang w:val="en-US"/>
        </w:rPr>
        <w:t>n</w:t>
      </w:r>
      <w:r w:rsidR="00D3601B" w:rsidRPr="00A36F29">
        <w:rPr>
          <w:rFonts w:ascii="Book Antiqua" w:eastAsia="Arial Unicode MS" w:hAnsi="Book Antiqua" w:cs="Times New Roman"/>
          <w:color w:val="000000" w:themeColor="text1"/>
          <w:sz w:val="24"/>
          <w:szCs w:val="24"/>
          <w:bdr w:val="nil"/>
          <w:lang w:val="en-US"/>
        </w:rPr>
        <w:t xml:space="preserve">itric oxide; </w:t>
      </w:r>
      <w:r w:rsidR="00B51A48" w:rsidRPr="00A36F29">
        <w:rPr>
          <w:rFonts w:ascii="Book Antiqua" w:eastAsia="Arial Unicode MS" w:hAnsi="Book Antiqua" w:cs="Times New Roman"/>
          <w:color w:val="000000" w:themeColor="text1"/>
          <w:sz w:val="24"/>
          <w:szCs w:val="24"/>
          <w:bdr w:val="nil"/>
          <w:lang w:val="en-US"/>
        </w:rPr>
        <w:t xml:space="preserve">MDA: </w:t>
      </w:r>
      <w:r w:rsidR="00B51A48" w:rsidRPr="00A36F29">
        <w:rPr>
          <w:rFonts w:ascii="Book Antiqua" w:eastAsia="Arial Unicode MS" w:hAnsi="Book Antiqua" w:cs="Times New Roman"/>
          <w:caps/>
          <w:color w:val="000000" w:themeColor="text1"/>
          <w:sz w:val="24"/>
          <w:szCs w:val="24"/>
          <w:bdr w:val="nil"/>
          <w:lang w:val="en-US"/>
        </w:rPr>
        <w:t>m</w:t>
      </w:r>
      <w:r w:rsidR="00B51A48" w:rsidRPr="00A36F29">
        <w:rPr>
          <w:rFonts w:ascii="Book Antiqua" w:eastAsia="Arial Unicode MS" w:hAnsi="Book Antiqua" w:cs="Times New Roman"/>
          <w:color w:val="000000" w:themeColor="text1"/>
          <w:sz w:val="24"/>
          <w:szCs w:val="24"/>
          <w:bdr w:val="nil"/>
          <w:lang w:val="en-US"/>
        </w:rPr>
        <w:t>alondialdehyde</w:t>
      </w:r>
      <w:r w:rsidR="00D3601B" w:rsidRPr="00A36F29">
        <w:rPr>
          <w:rFonts w:ascii="Book Antiqua" w:eastAsia="Arial Unicode MS" w:hAnsi="Book Antiqua" w:cs="Times New Roman"/>
          <w:color w:val="000000" w:themeColor="text1"/>
          <w:sz w:val="24"/>
          <w:szCs w:val="24"/>
          <w:bdr w:val="nil"/>
          <w:lang w:val="en-US"/>
        </w:rPr>
        <w:t>.</w:t>
      </w:r>
    </w:p>
    <w:p w14:paraId="441AEED4"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58491E12"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08137754"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6DD57C5F"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321144D2"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5B89ECF3"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55541D1D"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2349A070" w14:textId="6168B908" w:rsidR="00C871CF" w:rsidRPr="00A36F29" w:rsidRDefault="00C871CF" w:rsidP="00A36F29">
      <w:pPr>
        <w:spacing w:after="0" w:line="360" w:lineRule="auto"/>
        <w:jc w:val="both"/>
        <w:rPr>
          <w:rFonts w:ascii="Book Antiqua" w:eastAsia="Arial Unicode MS" w:hAnsi="Book Antiqua" w:cs="Times New Roman"/>
          <w:color w:val="000000" w:themeColor="text1"/>
          <w:sz w:val="24"/>
          <w:szCs w:val="24"/>
          <w:bdr w:val="nil"/>
          <w:lang w:val="en-US"/>
        </w:rPr>
      </w:pPr>
      <w:r w:rsidRPr="00A36F29">
        <w:rPr>
          <w:rFonts w:ascii="Book Antiqua" w:eastAsia="Arial Unicode MS" w:hAnsi="Book Antiqua" w:cs="Courier New"/>
          <w:noProof/>
          <w:color w:val="000000" w:themeColor="text1"/>
          <w:sz w:val="24"/>
          <w:szCs w:val="24"/>
          <w:bdr w:val="nil"/>
          <w:lang w:val="bs-Latn-BA" w:eastAsia="bs-Latn-BA"/>
        </w:rPr>
        <w:lastRenderedPageBreak/>
        <w:drawing>
          <wp:inline distT="0" distB="0" distL="0" distR="0" wp14:anchorId="381625C4" wp14:editId="44B3986F">
            <wp:extent cx="5760720" cy="71278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7127875"/>
                    </a:xfrm>
                    <a:prstGeom prst="rect">
                      <a:avLst/>
                    </a:prstGeom>
                  </pic:spPr>
                </pic:pic>
              </a:graphicData>
            </a:graphic>
          </wp:inline>
        </w:drawing>
      </w:r>
      <w:r w:rsidRPr="00A36F29">
        <w:rPr>
          <w:rFonts w:ascii="Book Antiqua" w:hAnsi="Book Antiqua"/>
          <w:color w:val="000000" w:themeColor="text1"/>
          <w:sz w:val="24"/>
          <w:szCs w:val="24"/>
          <w:lang w:val="en-US"/>
        </w:rPr>
        <w:t xml:space="preserve"> </w:t>
      </w:r>
      <w:r w:rsidRPr="00A36F29">
        <w:rPr>
          <w:rFonts w:ascii="Book Antiqua" w:eastAsia="Arial Unicode MS" w:hAnsi="Book Antiqua" w:cs="Times New Roman"/>
          <w:b/>
          <w:color w:val="000000" w:themeColor="text1"/>
          <w:sz w:val="24"/>
          <w:szCs w:val="24"/>
          <w:bdr w:val="nil"/>
          <w:lang w:val="en-US"/>
        </w:rPr>
        <w:t>Figure 7 Gross presentation of lesions (</w:t>
      </w:r>
      <w:r w:rsidRPr="00A36F29">
        <w:rPr>
          <w:rFonts w:ascii="Book Antiqua" w:eastAsia="Arial Unicode MS" w:hAnsi="Book Antiqua" w:cs="Times New Roman"/>
          <w:b/>
          <w:i/>
          <w:color w:val="000000" w:themeColor="text1"/>
          <w:sz w:val="24"/>
          <w:szCs w:val="24"/>
          <w:bdr w:val="nil"/>
          <w:lang w:val="en-US"/>
        </w:rPr>
        <w:t>C</w:t>
      </w:r>
      <w:r w:rsidRPr="00A36F29">
        <w:rPr>
          <w:rFonts w:ascii="Book Antiqua" w:eastAsia="Arial Unicode MS" w:hAnsi="Book Antiqua" w:cs="Times New Roman"/>
          <w:b/>
          <w:color w:val="000000" w:themeColor="text1"/>
          <w:sz w:val="24"/>
          <w:szCs w:val="24"/>
          <w:bdr w:val="nil"/>
          <w:lang w:val="en-US"/>
        </w:rPr>
        <w:t>) and lesions attenuation (</w:t>
      </w:r>
      <w:r w:rsidRPr="00A36F29">
        <w:rPr>
          <w:rFonts w:ascii="Book Antiqua" w:eastAsia="Arial Unicode MS" w:hAnsi="Book Antiqua" w:cs="Times New Roman"/>
          <w:b/>
          <w:i/>
          <w:color w:val="000000" w:themeColor="text1"/>
          <w:sz w:val="24"/>
          <w:szCs w:val="24"/>
          <w:bdr w:val="nil"/>
          <w:lang w:val="en-US"/>
        </w:rPr>
        <w:t>B</w:t>
      </w:r>
      <w:r w:rsidRPr="00A36F29">
        <w:rPr>
          <w:rFonts w:ascii="Book Antiqua" w:eastAsia="Arial Unicode MS" w:hAnsi="Book Antiqua" w:cs="Times New Roman"/>
          <w:b/>
          <w:color w:val="000000" w:themeColor="text1"/>
          <w:sz w:val="24"/>
          <w:szCs w:val="24"/>
          <w:bdr w:val="nil"/>
          <w:lang w:val="en-US"/>
        </w:rPr>
        <w:t>) in rats with suprahepatic occlusion of inferior vena cava.</w:t>
      </w:r>
      <w:r w:rsidRPr="00A36F29">
        <w:rPr>
          <w:rFonts w:ascii="Book Antiqua" w:eastAsia="Arial Unicode MS" w:hAnsi="Book Antiqua" w:cs="Times New Roman"/>
          <w:color w:val="000000" w:themeColor="text1"/>
          <w:sz w:val="24"/>
          <w:szCs w:val="24"/>
          <w:bdr w:val="nil"/>
          <w:lang w:val="en-US"/>
        </w:rPr>
        <w:t xml:space="preserve"> Lesions were assessed using a camera attached to a USB microscope (Veho Discovery Deluxe VMS-004), at 15 min (upper, </w:t>
      </w:r>
      <w:r w:rsidRPr="00A36F29">
        <w:rPr>
          <w:rFonts w:ascii="Book Antiqua" w:eastAsia="Arial Unicode MS" w:hAnsi="Book Antiqua" w:cs="Times New Roman"/>
          <w:i/>
          <w:color w:val="000000" w:themeColor="text1"/>
          <w:sz w:val="24"/>
          <w:szCs w:val="24"/>
          <w:bdr w:val="nil"/>
          <w:lang w:val="en-US"/>
        </w:rPr>
        <w:t>a</w:t>
      </w:r>
      <w:r w:rsidRPr="00A36F29">
        <w:rPr>
          <w:rFonts w:ascii="Book Antiqua" w:eastAsia="Arial Unicode MS" w:hAnsi="Book Antiqua" w:cs="Times New Roman"/>
          <w:color w:val="000000" w:themeColor="text1"/>
          <w:sz w:val="24"/>
          <w:szCs w:val="24"/>
          <w:bdr w:val="nil"/>
          <w:lang w:val="en-US"/>
        </w:rPr>
        <w:t xml:space="preserve">), 24 h (middle, </w:t>
      </w:r>
      <w:r w:rsidRPr="00A36F29">
        <w:rPr>
          <w:rFonts w:ascii="Book Antiqua" w:eastAsia="Arial Unicode MS" w:hAnsi="Book Antiqua" w:cs="Times New Roman"/>
          <w:i/>
          <w:color w:val="000000" w:themeColor="text1"/>
          <w:sz w:val="24"/>
          <w:szCs w:val="24"/>
          <w:bdr w:val="nil"/>
          <w:lang w:val="en-US"/>
        </w:rPr>
        <w:t>b</w:t>
      </w:r>
      <w:r w:rsidRPr="00A36F29">
        <w:rPr>
          <w:rFonts w:ascii="Book Antiqua" w:eastAsia="Arial Unicode MS" w:hAnsi="Book Antiqua" w:cs="Times New Roman"/>
          <w:color w:val="000000" w:themeColor="text1"/>
          <w:sz w:val="24"/>
          <w:szCs w:val="24"/>
          <w:bdr w:val="nil"/>
          <w:lang w:val="en-US"/>
        </w:rPr>
        <w:t xml:space="preserve">), and 48 h (low, </w:t>
      </w:r>
      <w:r w:rsidRPr="00A36F29">
        <w:rPr>
          <w:rFonts w:ascii="Book Antiqua" w:eastAsia="Arial Unicode MS" w:hAnsi="Book Antiqua" w:cs="Times New Roman"/>
          <w:i/>
          <w:color w:val="000000" w:themeColor="text1"/>
          <w:sz w:val="24"/>
          <w:szCs w:val="24"/>
          <w:bdr w:val="nil"/>
          <w:lang w:val="en-US"/>
        </w:rPr>
        <w:t>c</w:t>
      </w:r>
      <w:r w:rsidRPr="00A36F29">
        <w:rPr>
          <w:rFonts w:ascii="Book Antiqua" w:eastAsia="Arial Unicode MS" w:hAnsi="Book Antiqua" w:cs="Times New Roman"/>
          <w:color w:val="000000" w:themeColor="text1"/>
          <w:sz w:val="24"/>
          <w:szCs w:val="24"/>
          <w:bdr w:val="nil"/>
          <w:lang w:val="en-US"/>
        </w:rPr>
        <w:t>) post-ligation in the gastrointestinal tract. From left to right, the stomach, duodenum, jejunum, ileum, cecum and ascending colon on treatment with saline (</w:t>
      </w:r>
      <w:r w:rsidRPr="00A36F29">
        <w:rPr>
          <w:rFonts w:ascii="Book Antiqua" w:eastAsia="Arial Unicode MS" w:hAnsi="Book Antiqua" w:cs="Times New Roman"/>
          <w:i/>
          <w:color w:val="000000" w:themeColor="text1"/>
          <w:sz w:val="24"/>
          <w:szCs w:val="24"/>
          <w:bdr w:val="nil"/>
          <w:lang w:val="en-US"/>
        </w:rPr>
        <w:t>C</w:t>
      </w:r>
      <w:r w:rsidRPr="00A36F29">
        <w:rPr>
          <w:rFonts w:ascii="Book Antiqua" w:eastAsia="Arial Unicode MS" w:hAnsi="Book Antiqua" w:cs="Times New Roman"/>
          <w:color w:val="000000" w:themeColor="text1"/>
          <w:sz w:val="24"/>
          <w:szCs w:val="24"/>
          <w:bdr w:val="nil"/>
          <w:lang w:val="en-US"/>
        </w:rPr>
        <w:t>) or BPC 157 (</w:t>
      </w:r>
      <w:r w:rsidRPr="00A36F29">
        <w:rPr>
          <w:rFonts w:ascii="Book Antiqua" w:eastAsia="Arial Unicode MS" w:hAnsi="Book Antiqua" w:cs="Times New Roman"/>
          <w:i/>
          <w:color w:val="000000" w:themeColor="text1"/>
          <w:sz w:val="24"/>
          <w:szCs w:val="24"/>
          <w:bdr w:val="nil"/>
          <w:lang w:val="en-US"/>
        </w:rPr>
        <w:t>B</w:t>
      </w:r>
      <w:r w:rsidRPr="00A36F29">
        <w:rPr>
          <w:rFonts w:ascii="Book Antiqua" w:eastAsia="Arial Unicode MS" w:hAnsi="Book Antiqua" w:cs="Times New Roman"/>
          <w:color w:val="000000" w:themeColor="text1"/>
          <w:sz w:val="24"/>
          <w:szCs w:val="24"/>
          <w:bdr w:val="nil"/>
          <w:lang w:val="en-US"/>
        </w:rPr>
        <w:t>).</w:t>
      </w:r>
    </w:p>
    <w:p w14:paraId="5A9CBD81"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noProof/>
          <w:color w:val="000000" w:themeColor="text1"/>
          <w:sz w:val="24"/>
          <w:szCs w:val="24"/>
          <w:lang w:val="bs-Latn-BA" w:eastAsia="bs-Latn-BA"/>
        </w:rPr>
        <w:lastRenderedPageBreak/>
        <w:drawing>
          <wp:inline distT="0" distB="0" distL="0" distR="0" wp14:anchorId="38EBB80F" wp14:editId="4600FA34">
            <wp:extent cx="5760720" cy="2439035"/>
            <wp:effectExtent l="0" t="0" r="0"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2439035"/>
                    </a:xfrm>
                    <a:prstGeom prst="rect">
                      <a:avLst/>
                    </a:prstGeom>
                  </pic:spPr>
                </pic:pic>
              </a:graphicData>
            </a:graphic>
          </wp:inline>
        </w:drawing>
      </w:r>
    </w:p>
    <w:p w14:paraId="5F8282A6" w14:textId="098F46D9"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b/>
          <w:color w:val="000000" w:themeColor="text1"/>
          <w:sz w:val="24"/>
          <w:szCs w:val="24"/>
          <w:lang w:val="en-US"/>
        </w:rPr>
        <w:t>Figure 8 Gross vessel presentation in rats treated with saline (</w:t>
      </w:r>
      <w:r w:rsidRPr="00A36F29">
        <w:rPr>
          <w:rFonts w:ascii="Book Antiqua" w:hAnsi="Book Antiqua" w:cs="Times New Roman"/>
          <w:b/>
          <w:i/>
          <w:color w:val="000000" w:themeColor="text1"/>
          <w:sz w:val="24"/>
          <w:szCs w:val="24"/>
          <w:lang w:val="en-US"/>
        </w:rPr>
        <w:t>C</w:t>
      </w:r>
      <w:r w:rsidRPr="00A36F29">
        <w:rPr>
          <w:rFonts w:ascii="Book Antiqua" w:hAnsi="Book Antiqua" w:cs="Times New Roman"/>
          <w:b/>
          <w:color w:val="000000" w:themeColor="text1"/>
          <w:sz w:val="24"/>
          <w:szCs w:val="24"/>
          <w:lang w:val="en-US"/>
        </w:rPr>
        <w:t>, small letters, lower) and improvement in rats treated with BPC 157 (</w:t>
      </w:r>
      <w:r w:rsidRPr="00A36F29">
        <w:rPr>
          <w:rFonts w:ascii="Book Antiqua" w:hAnsi="Book Antiqua" w:cs="Times New Roman"/>
          <w:b/>
          <w:i/>
          <w:color w:val="000000" w:themeColor="text1"/>
          <w:sz w:val="24"/>
          <w:szCs w:val="24"/>
          <w:lang w:val="en-US"/>
        </w:rPr>
        <w:t>B</w:t>
      </w:r>
      <w:r w:rsidRPr="00A36F29">
        <w:rPr>
          <w:rFonts w:ascii="Book Antiqua" w:hAnsi="Book Antiqua" w:cs="Times New Roman"/>
          <w:b/>
          <w:color w:val="000000" w:themeColor="text1"/>
          <w:sz w:val="24"/>
          <w:szCs w:val="24"/>
          <w:lang w:val="en-US"/>
        </w:rPr>
        <w:t>, capitals, upper).</w:t>
      </w:r>
      <w:r w:rsidRPr="00A36F29">
        <w:rPr>
          <w:rFonts w:ascii="Book Antiqua" w:hAnsi="Book Antiqua" w:cs="Times New Roman"/>
          <w:color w:val="000000" w:themeColor="text1"/>
          <w:sz w:val="24"/>
          <w:szCs w:val="24"/>
          <w:lang w:val="en-US"/>
        </w:rPr>
        <w:t xml:space="preserve"> Assessments were made using a camera attached to a USB microscope (Veho Discovery Deluxe VMS-004) in the stomach (</w:t>
      </w:r>
      <w:r w:rsidRPr="00A36F29">
        <w:rPr>
          <w:rFonts w:ascii="Book Antiqua" w:hAnsi="Book Antiqua" w:cs="Times New Roman"/>
          <w:i/>
          <w:color w:val="000000" w:themeColor="text1"/>
          <w:sz w:val="24"/>
          <w:szCs w:val="24"/>
          <w:lang w:val="en-US"/>
        </w:rPr>
        <w:t>s/S</w:t>
      </w:r>
      <w:r w:rsidRPr="00A36F29">
        <w:rPr>
          <w:rFonts w:ascii="Book Antiqua" w:hAnsi="Book Antiqua" w:cs="Times New Roman"/>
          <w:color w:val="000000" w:themeColor="text1"/>
          <w:sz w:val="24"/>
          <w:szCs w:val="24"/>
          <w:lang w:val="en-US"/>
        </w:rPr>
        <w:t>), duodenum (</w:t>
      </w:r>
      <w:r w:rsidRPr="00A36F29">
        <w:rPr>
          <w:rFonts w:ascii="Book Antiqua" w:hAnsi="Book Antiqua" w:cs="Times New Roman"/>
          <w:i/>
          <w:color w:val="000000" w:themeColor="text1"/>
          <w:sz w:val="24"/>
          <w:szCs w:val="24"/>
          <w:lang w:val="en-US"/>
        </w:rPr>
        <w:t>d/D</w:t>
      </w:r>
      <w:r w:rsidRPr="00A36F29">
        <w:rPr>
          <w:rFonts w:ascii="Book Antiqua" w:hAnsi="Book Antiqua" w:cs="Times New Roman"/>
          <w:color w:val="000000" w:themeColor="text1"/>
          <w:sz w:val="24"/>
          <w:szCs w:val="24"/>
          <w:lang w:val="en-US"/>
        </w:rPr>
        <w:t>), jejunum (</w:t>
      </w:r>
      <w:r w:rsidRPr="00A36F29">
        <w:rPr>
          <w:rFonts w:ascii="Book Antiqua" w:hAnsi="Book Antiqua" w:cs="Times New Roman"/>
          <w:i/>
          <w:color w:val="000000" w:themeColor="text1"/>
          <w:sz w:val="24"/>
          <w:szCs w:val="24"/>
          <w:lang w:val="en-US"/>
        </w:rPr>
        <w:t>j/J</w:t>
      </w:r>
      <w:r w:rsidRPr="00A36F29">
        <w:rPr>
          <w:rFonts w:ascii="Book Antiqua" w:hAnsi="Book Antiqua" w:cs="Times New Roman"/>
          <w:color w:val="000000" w:themeColor="text1"/>
          <w:sz w:val="24"/>
          <w:szCs w:val="24"/>
          <w:lang w:val="en-US"/>
        </w:rPr>
        <w:t>), ileum (</w:t>
      </w:r>
      <w:r w:rsidRPr="00A36F29">
        <w:rPr>
          <w:rFonts w:ascii="Book Antiqua" w:hAnsi="Book Antiqua" w:cs="Times New Roman"/>
          <w:i/>
          <w:color w:val="000000" w:themeColor="text1"/>
          <w:sz w:val="24"/>
          <w:szCs w:val="24"/>
          <w:lang w:val="en-US"/>
        </w:rPr>
        <w:t>i/I</w:t>
      </w:r>
      <w:r w:rsidRPr="00A36F29">
        <w:rPr>
          <w:rFonts w:ascii="Book Antiqua" w:hAnsi="Book Antiqua" w:cs="Times New Roman"/>
          <w:color w:val="000000" w:themeColor="text1"/>
          <w:sz w:val="24"/>
          <w:szCs w:val="24"/>
          <w:lang w:val="en-US"/>
        </w:rPr>
        <w:t>), cecum (</w:t>
      </w:r>
      <w:r w:rsidRPr="00A36F29">
        <w:rPr>
          <w:rFonts w:ascii="Book Antiqua" w:hAnsi="Book Antiqua" w:cs="Times New Roman"/>
          <w:i/>
          <w:color w:val="000000" w:themeColor="text1"/>
          <w:sz w:val="24"/>
          <w:szCs w:val="24"/>
          <w:lang w:val="en-US"/>
        </w:rPr>
        <w:t>c/C</w:t>
      </w:r>
      <w:r w:rsidRPr="00A36F29">
        <w:rPr>
          <w:rFonts w:ascii="Book Antiqua" w:hAnsi="Book Antiqua" w:cs="Times New Roman"/>
          <w:color w:val="000000" w:themeColor="text1"/>
          <w:sz w:val="24"/>
          <w:szCs w:val="24"/>
          <w:lang w:val="en-US"/>
        </w:rPr>
        <w:t>) and ascending colon (</w:t>
      </w:r>
      <w:r w:rsidRPr="00A36F29">
        <w:rPr>
          <w:rFonts w:ascii="Book Antiqua" w:hAnsi="Book Antiqua" w:cs="Times New Roman"/>
          <w:i/>
          <w:color w:val="000000" w:themeColor="text1"/>
          <w:sz w:val="24"/>
          <w:szCs w:val="24"/>
          <w:lang w:val="en-US"/>
        </w:rPr>
        <w:t>ca/CA</w:t>
      </w:r>
      <w:r w:rsidRPr="00A36F29">
        <w:rPr>
          <w:rFonts w:ascii="Book Antiqua" w:hAnsi="Book Antiqua" w:cs="Times New Roman"/>
          <w:color w:val="000000" w:themeColor="text1"/>
          <w:sz w:val="24"/>
          <w:szCs w:val="24"/>
          <w:lang w:val="en-US"/>
        </w:rPr>
        <w:t>) of rats with suprahepatic occlusion of the inferior vena cava at 15 min post-ligation (left), and azygos vein presentation at 15 min (</w:t>
      </w:r>
      <w:r w:rsidRPr="00A36F29">
        <w:rPr>
          <w:rFonts w:ascii="Book Antiqua" w:hAnsi="Book Antiqua" w:cs="Times New Roman"/>
          <w:i/>
          <w:color w:val="000000" w:themeColor="text1"/>
          <w:sz w:val="24"/>
          <w:szCs w:val="24"/>
          <w:lang w:val="en-US"/>
        </w:rPr>
        <w:t>av15min/AV15min</w:t>
      </w:r>
      <w:r w:rsidRPr="00A36F29">
        <w:rPr>
          <w:rFonts w:ascii="Book Antiqua" w:hAnsi="Book Antiqua" w:cs="Times New Roman"/>
          <w:color w:val="000000" w:themeColor="text1"/>
          <w:sz w:val="24"/>
          <w:szCs w:val="24"/>
          <w:lang w:val="en-US"/>
        </w:rPr>
        <w:t>) and 24 h (</w:t>
      </w:r>
      <w:r w:rsidRPr="00A36F29">
        <w:rPr>
          <w:rFonts w:ascii="Book Antiqua" w:hAnsi="Book Antiqua" w:cs="Times New Roman"/>
          <w:i/>
          <w:color w:val="000000" w:themeColor="text1"/>
          <w:sz w:val="24"/>
          <w:szCs w:val="24"/>
          <w:lang w:val="en-US"/>
        </w:rPr>
        <w:t>av24h/AV24h</w:t>
      </w:r>
      <w:r w:rsidRPr="00A36F29">
        <w:rPr>
          <w:rFonts w:ascii="Book Antiqua" w:hAnsi="Book Antiqua" w:cs="Times New Roman"/>
          <w:color w:val="000000" w:themeColor="text1"/>
          <w:sz w:val="24"/>
          <w:szCs w:val="24"/>
          <w:lang w:val="en-US"/>
        </w:rPr>
        <w:t>) post-ligation (right).</w:t>
      </w:r>
      <w:r w:rsidR="0043591A" w:rsidRPr="00A36F29">
        <w:rPr>
          <w:rFonts w:ascii="Book Antiqua" w:hAnsi="Book Antiqua" w:cs="Times New Roman"/>
          <w:color w:val="000000" w:themeColor="text1"/>
          <w:sz w:val="24"/>
          <w:szCs w:val="24"/>
          <w:lang w:val="en-US"/>
        </w:rPr>
        <w:t xml:space="preserve"> </w:t>
      </w:r>
    </w:p>
    <w:p w14:paraId="2CDB1231"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6B55AD40"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50E46D14"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663989C8"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48679E9D"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4A3CC886"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noProof/>
          <w:color w:val="000000" w:themeColor="text1"/>
          <w:sz w:val="24"/>
          <w:szCs w:val="24"/>
          <w:lang w:val="bs-Latn-BA" w:eastAsia="bs-Latn-BA"/>
        </w:rPr>
        <w:lastRenderedPageBreak/>
        <w:drawing>
          <wp:inline distT="0" distB="0" distL="0" distR="0" wp14:anchorId="2E8B862B" wp14:editId="39A6DAF7">
            <wp:extent cx="5760720" cy="289687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2896870"/>
                    </a:xfrm>
                    <a:prstGeom prst="rect">
                      <a:avLst/>
                    </a:prstGeom>
                  </pic:spPr>
                </pic:pic>
              </a:graphicData>
            </a:graphic>
          </wp:inline>
        </w:drawing>
      </w:r>
    </w:p>
    <w:p w14:paraId="398D2C58" w14:textId="2E9784A5"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b/>
          <w:color w:val="000000" w:themeColor="text1"/>
          <w:sz w:val="24"/>
          <w:szCs w:val="24"/>
          <w:lang w:val="en-US"/>
        </w:rPr>
        <w:t>Figure 9 Histological presentation in rats with suprahepatic ligation of the inferior vena cava.</w:t>
      </w:r>
      <w:r w:rsidRPr="00A36F29">
        <w:rPr>
          <w:rFonts w:ascii="Book Antiqua" w:hAnsi="Book Antiqua" w:cs="Times New Roman"/>
          <w:color w:val="000000" w:themeColor="text1"/>
          <w:sz w:val="24"/>
          <w:szCs w:val="24"/>
          <w:lang w:val="en-US"/>
        </w:rPr>
        <w:t xml:space="preserve"> Assessment (stained with hematoxylin-eosin, magnification x 10</w:t>
      </w:r>
      <w:r w:rsidR="00D3601B" w:rsidRPr="00A36F29">
        <w:rPr>
          <w:rFonts w:ascii="Book Antiqua" w:hAnsi="Book Antiqua" w:cs="Times New Roman"/>
          <w:color w:val="000000" w:themeColor="text1"/>
          <w:sz w:val="24"/>
          <w:szCs w:val="24"/>
          <w:lang w:val="en-US"/>
        </w:rPr>
        <w:t>, scare bar: 50 µm</w:t>
      </w:r>
      <w:r w:rsidRPr="00A36F29">
        <w:rPr>
          <w:rFonts w:ascii="Book Antiqua" w:hAnsi="Book Antiqua" w:cs="Times New Roman"/>
          <w:color w:val="000000" w:themeColor="text1"/>
          <w:sz w:val="24"/>
          <w:szCs w:val="24"/>
          <w:lang w:val="en-US"/>
        </w:rPr>
        <w:t>) was made at 48 h post-ligation, in controls (upper) and BPC 157-treated rats (lower), liver (left upper, control; lower, BPC 157), spleen (middle upper, control; lower, BPC 157), and lungs (right upper, control; lower, BPC 157). Note, the substantial congestion of the central vein, branches of the terminal portal venules, and sinusoidal dilatation in liver, sinusoidal congestion, dilatation and enlargement of red pulp leading to reduction of white pulp in spleen, edema of the interstitium, substantial dilatation and congestion of capillaries in the alveolar septum in lungs (upper), which were markedly counteracted in BPC 157-treated rats (lower).</w:t>
      </w:r>
    </w:p>
    <w:p w14:paraId="77EB026F"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4166F4C5" w14:textId="7A272B74" w:rsidR="00D3601B"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noProof/>
          <w:color w:val="000000" w:themeColor="text1"/>
          <w:sz w:val="24"/>
          <w:szCs w:val="24"/>
          <w:lang w:val="bs-Latn-BA" w:eastAsia="bs-Latn-BA"/>
        </w:rPr>
        <w:lastRenderedPageBreak/>
        <w:drawing>
          <wp:inline distT="0" distB="0" distL="0" distR="0" wp14:anchorId="512B0A2D" wp14:editId="7B322F05">
            <wp:extent cx="5760720" cy="429006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4290060"/>
                    </a:xfrm>
                    <a:prstGeom prst="rect">
                      <a:avLst/>
                    </a:prstGeom>
                  </pic:spPr>
                </pic:pic>
              </a:graphicData>
            </a:graphic>
          </wp:inline>
        </w:drawing>
      </w:r>
      <w:r w:rsidRPr="00A36F29">
        <w:rPr>
          <w:rFonts w:ascii="Book Antiqua" w:hAnsi="Book Antiqua" w:cs="Times New Roman"/>
          <w:b/>
          <w:color w:val="000000" w:themeColor="text1"/>
          <w:sz w:val="24"/>
          <w:szCs w:val="24"/>
          <w:lang w:val="en-US"/>
        </w:rPr>
        <w:t>Figure 10 Histological presentation in rats with suprahepatic ligation of the inferior vena cava.</w:t>
      </w:r>
      <w:r w:rsidRPr="00A36F29">
        <w:rPr>
          <w:rFonts w:ascii="Book Antiqua" w:hAnsi="Book Antiqua" w:cs="Times New Roman"/>
          <w:color w:val="000000" w:themeColor="text1"/>
          <w:sz w:val="24"/>
          <w:szCs w:val="24"/>
          <w:lang w:val="en-US"/>
        </w:rPr>
        <w:t xml:space="preserve"> Assessment (stained with hematoxylin-eosin, magnification x 10</w:t>
      </w:r>
      <w:r w:rsidR="00D3601B" w:rsidRPr="00A36F29">
        <w:rPr>
          <w:rFonts w:ascii="Book Antiqua" w:hAnsi="Book Antiqua" w:cs="Times New Roman"/>
          <w:color w:val="000000" w:themeColor="text1"/>
          <w:sz w:val="24"/>
          <w:szCs w:val="24"/>
          <w:lang w:val="en-US"/>
        </w:rPr>
        <w:t>, scare bar: 50 µm</w:t>
      </w:r>
      <w:r w:rsidRPr="00A36F29">
        <w:rPr>
          <w:rFonts w:ascii="Book Antiqua" w:hAnsi="Book Antiqua" w:cs="Times New Roman"/>
          <w:color w:val="000000" w:themeColor="text1"/>
          <w:sz w:val="24"/>
          <w:szCs w:val="24"/>
          <w:lang w:val="en-US"/>
        </w:rPr>
        <w:t>) was at 48 h post-ligation, in controls (upper) and BPC 157-treated rats (lower), stomach (left upper, control; lower, BPC 157), duodenum (right upper, control; lower, BPC 157). Note, substantial congestion and dilatation of mucosal and submucosal capillaries, submucosal edema, ischemic changes, such as architectural distortion and foci of hemorrhage with fibrin deposition in controls (upper), which were markedly counteracted in BPC 157-treated rats (lower).</w:t>
      </w:r>
      <w:r w:rsidR="00D3601B" w:rsidRPr="00A36F29">
        <w:rPr>
          <w:rFonts w:ascii="Book Antiqua" w:hAnsi="Book Antiqua" w:cs="Times New Roman"/>
          <w:color w:val="000000" w:themeColor="text1"/>
          <w:sz w:val="24"/>
          <w:szCs w:val="24"/>
          <w:lang w:val="en-US"/>
        </w:rPr>
        <w:t xml:space="preserve"> </w:t>
      </w:r>
    </w:p>
    <w:p w14:paraId="3383D764" w14:textId="25C8F818"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63EAE3FA"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4538E70E"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3304D9E1"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5C2765C0"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noProof/>
          <w:color w:val="000000" w:themeColor="text1"/>
          <w:sz w:val="24"/>
          <w:szCs w:val="24"/>
          <w:lang w:val="bs-Latn-BA" w:eastAsia="bs-Latn-BA"/>
        </w:rPr>
        <w:lastRenderedPageBreak/>
        <w:drawing>
          <wp:inline distT="0" distB="0" distL="0" distR="0" wp14:anchorId="4F42C861" wp14:editId="500E0AED">
            <wp:extent cx="5760720" cy="295783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957830"/>
                    </a:xfrm>
                    <a:prstGeom prst="rect">
                      <a:avLst/>
                    </a:prstGeom>
                  </pic:spPr>
                </pic:pic>
              </a:graphicData>
            </a:graphic>
          </wp:inline>
        </w:drawing>
      </w:r>
    </w:p>
    <w:p w14:paraId="1007C1D3" w14:textId="20E0AD06" w:rsidR="00D3601B"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b/>
          <w:color w:val="000000" w:themeColor="text1"/>
          <w:sz w:val="24"/>
          <w:szCs w:val="24"/>
          <w:lang w:val="en-US"/>
        </w:rPr>
        <w:t>Figure 11 Histological presentation in rats with suprahepatic ligation of the inferior vena cava.</w:t>
      </w:r>
      <w:r w:rsidRPr="00A36F29">
        <w:rPr>
          <w:rFonts w:ascii="Book Antiqua" w:hAnsi="Book Antiqua" w:cs="Times New Roman"/>
          <w:color w:val="000000" w:themeColor="text1"/>
          <w:sz w:val="24"/>
          <w:szCs w:val="24"/>
          <w:lang w:val="en-US"/>
        </w:rPr>
        <w:t xml:space="preserve"> Assessment (stained with hematoxylin-eosin, magnification x 10</w:t>
      </w:r>
      <w:r w:rsidR="00D3601B" w:rsidRPr="00A36F29">
        <w:rPr>
          <w:rFonts w:ascii="Book Antiqua" w:hAnsi="Book Antiqua" w:cs="Times New Roman"/>
          <w:color w:val="000000" w:themeColor="text1"/>
          <w:sz w:val="24"/>
          <w:szCs w:val="24"/>
          <w:lang w:val="en-US"/>
        </w:rPr>
        <w:t>, scare bar: 50 µm</w:t>
      </w:r>
      <w:r w:rsidRPr="00A36F29">
        <w:rPr>
          <w:rFonts w:ascii="Book Antiqua" w:hAnsi="Book Antiqua" w:cs="Times New Roman"/>
          <w:color w:val="000000" w:themeColor="text1"/>
          <w:sz w:val="24"/>
          <w:szCs w:val="24"/>
          <w:lang w:val="en-US"/>
        </w:rPr>
        <w:t>) w</w:t>
      </w:r>
      <w:r w:rsidR="00D3601B" w:rsidRPr="00A36F29">
        <w:rPr>
          <w:rFonts w:ascii="Book Antiqua" w:hAnsi="Book Antiqua" w:cs="Times New Roman"/>
          <w:color w:val="000000" w:themeColor="text1"/>
          <w:sz w:val="24"/>
          <w:szCs w:val="24"/>
          <w:lang w:val="en-US"/>
        </w:rPr>
        <w:t>aste</w:t>
      </w:r>
      <w:r w:rsidRPr="00A36F29">
        <w:rPr>
          <w:rFonts w:ascii="Book Antiqua" w:hAnsi="Book Antiqua" w:cs="Times New Roman"/>
          <w:color w:val="000000" w:themeColor="text1"/>
          <w:sz w:val="24"/>
          <w:szCs w:val="24"/>
          <w:lang w:val="en-US"/>
        </w:rPr>
        <w:t xml:space="preserve"> 48 h post-ligation, in controls (upper) and BPC 157-treated rats (lower), jejunum (left upper, control; lower, BPC 157), ileum (middle upper, control; lower, BPC 157), cecum (right upper, control; lower, BPC 157). Note, substantial capillary congestion with mild ischemic changes, loss of crypts with foci of haemorrhage, edema of the lamina propria and mild lymphocytic infiltration in controls (upper), which were markedly counteracted in BPC 157-treated rats (lower).</w:t>
      </w:r>
      <w:r w:rsidR="00D3601B" w:rsidRPr="00A36F29">
        <w:rPr>
          <w:rFonts w:ascii="Book Antiqua" w:hAnsi="Book Antiqua" w:cs="Times New Roman"/>
          <w:color w:val="000000" w:themeColor="text1"/>
          <w:sz w:val="24"/>
          <w:szCs w:val="24"/>
          <w:lang w:val="en-US"/>
        </w:rPr>
        <w:t xml:space="preserve"> </w:t>
      </w:r>
    </w:p>
    <w:p w14:paraId="76E4CE47" w14:textId="14A3799F" w:rsidR="00C871CF" w:rsidRPr="00A36F29" w:rsidRDefault="00C871CF" w:rsidP="00A36F29">
      <w:pPr>
        <w:spacing w:after="0" w:line="360" w:lineRule="auto"/>
        <w:jc w:val="both"/>
        <w:rPr>
          <w:rFonts w:ascii="Book Antiqua" w:eastAsia="Arial Unicode MS" w:hAnsi="Book Antiqua" w:cs="Courier New"/>
          <w:color w:val="000000" w:themeColor="text1"/>
          <w:sz w:val="24"/>
          <w:szCs w:val="24"/>
          <w:bdr w:val="nil"/>
          <w:lang w:val="en-US"/>
        </w:rPr>
      </w:pPr>
    </w:p>
    <w:p w14:paraId="42CA6A69" w14:textId="77777777" w:rsidR="00C871CF" w:rsidRPr="00A36F29" w:rsidRDefault="00C871CF" w:rsidP="00A36F29">
      <w:pPr>
        <w:pStyle w:val="ListParagraph"/>
        <w:shd w:val="clear" w:color="auto" w:fill="FFFFFF"/>
        <w:spacing w:after="0" w:line="360" w:lineRule="auto"/>
        <w:ind w:left="0"/>
        <w:jc w:val="both"/>
        <w:rPr>
          <w:rFonts w:ascii="Book Antiqua" w:hAnsi="Book Antiqua" w:cs="Courier New"/>
          <w:color w:val="000000" w:themeColor="text1"/>
          <w:sz w:val="24"/>
          <w:szCs w:val="24"/>
          <w:lang w:val="en-US"/>
        </w:rPr>
      </w:pPr>
    </w:p>
    <w:p w14:paraId="6A611848" w14:textId="77777777" w:rsidR="00F44F4A" w:rsidRPr="00A36F29" w:rsidRDefault="00F44F4A" w:rsidP="00A36F29">
      <w:pPr>
        <w:spacing w:after="0" w:line="360" w:lineRule="auto"/>
        <w:jc w:val="both"/>
        <w:rPr>
          <w:rFonts w:ascii="Book Antiqua" w:hAnsi="Book Antiqua"/>
          <w:color w:val="000000" w:themeColor="text1"/>
          <w:sz w:val="24"/>
          <w:szCs w:val="24"/>
        </w:rPr>
      </w:pPr>
    </w:p>
    <w:sectPr w:rsidR="00F44F4A" w:rsidRPr="00A36F29">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040B4" w14:textId="77777777" w:rsidR="00FC1E09" w:rsidRDefault="00FC1E09">
      <w:pPr>
        <w:spacing w:after="0" w:line="240" w:lineRule="auto"/>
      </w:pPr>
      <w:r>
        <w:separator/>
      </w:r>
    </w:p>
  </w:endnote>
  <w:endnote w:type="continuationSeparator" w:id="0">
    <w:p w14:paraId="3F330B65" w14:textId="77777777" w:rsidR="00FC1E09" w:rsidRDefault="00FC1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17812" w14:textId="77777777" w:rsidR="00FC1E09" w:rsidRDefault="00FC1E09">
      <w:pPr>
        <w:spacing w:after="0" w:line="240" w:lineRule="auto"/>
      </w:pPr>
      <w:r>
        <w:separator/>
      </w:r>
    </w:p>
  </w:footnote>
  <w:footnote w:type="continuationSeparator" w:id="0">
    <w:p w14:paraId="2E707D57" w14:textId="77777777" w:rsidR="00FC1E09" w:rsidRDefault="00FC1E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4482060"/>
      <w:docPartObj>
        <w:docPartGallery w:val="Page Numbers (Top of Page)"/>
        <w:docPartUnique/>
      </w:docPartObj>
    </w:sdtPr>
    <w:sdtEndPr/>
    <w:sdtContent>
      <w:p w14:paraId="2EC5F8D0" w14:textId="77777777" w:rsidR="009241D5" w:rsidRDefault="009241D5">
        <w:pPr>
          <w:pStyle w:val="Header"/>
          <w:jc w:val="right"/>
        </w:pPr>
        <w:r>
          <w:fldChar w:fldCharType="begin"/>
        </w:r>
        <w:r>
          <w:instrText>PAGE   \* MERGEFORMAT</w:instrText>
        </w:r>
        <w:r>
          <w:fldChar w:fldCharType="separate"/>
        </w:r>
        <w:r>
          <w:rPr>
            <w:noProof/>
          </w:rPr>
          <w:t>49</w:t>
        </w:r>
        <w:r>
          <w:fldChar w:fldCharType="end"/>
        </w:r>
      </w:p>
    </w:sdtContent>
  </w:sdt>
  <w:p w14:paraId="7BE71E72" w14:textId="77777777" w:rsidR="009241D5" w:rsidRDefault="009241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635626"/>
    <w:multiLevelType w:val="hybridMultilevel"/>
    <w:tmpl w:val="CE1471D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1CF"/>
    <w:rsid w:val="00106C16"/>
    <w:rsid w:val="00112F2D"/>
    <w:rsid w:val="00113582"/>
    <w:rsid w:val="001F56DA"/>
    <w:rsid w:val="00235717"/>
    <w:rsid w:val="00262325"/>
    <w:rsid w:val="002B3DE3"/>
    <w:rsid w:val="00333F1A"/>
    <w:rsid w:val="003B48DE"/>
    <w:rsid w:val="003C5053"/>
    <w:rsid w:val="003C5443"/>
    <w:rsid w:val="003D622D"/>
    <w:rsid w:val="004063EB"/>
    <w:rsid w:val="0043591A"/>
    <w:rsid w:val="00436CAD"/>
    <w:rsid w:val="00495D29"/>
    <w:rsid w:val="004B5EB2"/>
    <w:rsid w:val="005954C9"/>
    <w:rsid w:val="005A7C3E"/>
    <w:rsid w:val="005B60A9"/>
    <w:rsid w:val="005D4F7A"/>
    <w:rsid w:val="00621EC8"/>
    <w:rsid w:val="00652346"/>
    <w:rsid w:val="00682FC2"/>
    <w:rsid w:val="00720236"/>
    <w:rsid w:val="00752E85"/>
    <w:rsid w:val="00753E90"/>
    <w:rsid w:val="00767746"/>
    <w:rsid w:val="00770200"/>
    <w:rsid w:val="00771869"/>
    <w:rsid w:val="00840B82"/>
    <w:rsid w:val="00865D3C"/>
    <w:rsid w:val="0089555B"/>
    <w:rsid w:val="00895DD7"/>
    <w:rsid w:val="008E1028"/>
    <w:rsid w:val="009241D5"/>
    <w:rsid w:val="0093390D"/>
    <w:rsid w:val="009B25B5"/>
    <w:rsid w:val="009B418D"/>
    <w:rsid w:val="00A26579"/>
    <w:rsid w:val="00A36F29"/>
    <w:rsid w:val="00A46DB1"/>
    <w:rsid w:val="00A7272D"/>
    <w:rsid w:val="00A86709"/>
    <w:rsid w:val="00AD5E41"/>
    <w:rsid w:val="00B3463D"/>
    <w:rsid w:val="00B34D77"/>
    <w:rsid w:val="00B51A48"/>
    <w:rsid w:val="00B53FBE"/>
    <w:rsid w:val="00B63611"/>
    <w:rsid w:val="00B93D20"/>
    <w:rsid w:val="00BA0247"/>
    <w:rsid w:val="00BC4D23"/>
    <w:rsid w:val="00BE7E94"/>
    <w:rsid w:val="00C316ED"/>
    <w:rsid w:val="00C410B4"/>
    <w:rsid w:val="00C73EBE"/>
    <w:rsid w:val="00C871CF"/>
    <w:rsid w:val="00D3601B"/>
    <w:rsid w:val="00DD702D"/>
    <w:rsid w:val="00E15C16"/>
    <w:rsid w:val="00EA28B9"/>
    <w:rsid w:val="00F05FC8"/>
    <w:rsid w:val="00F44F4A"/>
    <w:rsid w:val="00FC1E09"/>
    <w:rsid w:val="00FD09AD"/>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ED716"/>
  <w15:docId w15:val="{06CC9BC1-7858-4241-98CD-A287D563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71C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871CF"/>
    <w:pPr>
      <w:autoSpaceDE w:val="0"/>
      <w:autoSpaceDN w:val="0"/>
      <w:adjustRightInd w:val="0"/>
      <w:spacing w:after="0" w:line="240" w:lineRule="auto"/>
    </w:pPr>
    <w:rPr>
      <w:rFonts w:ascii="Times" w:hAnsi="Times" w:cs="Times"/>
      <w:color w:val="000000"/>
      <w:sz w:val="24"/>
      <w:szCs w:val="24"/>
    </w:rPr>
  </w:style>
  <w:style w:type="character" w:styleId="CommentReference">
    <w:name w:val="annotation reference"/>
    <w:basedOn w:val="DefaultParagraphFont"/>
    <w:uiPriority w:val="99"/>
    <w:unhideWhenUsed/>
    <w:qFormat/>
    <w:rsid w:val="00C871CF"/>
    <w:rPr>
      <w:sz w:val="16"/>
      <w:szCs w:val="16"/>
    </w:rPr>
  </w:style>
  <w:style w:type="paragraph" w:styleId="CommentText">
    <w:name w:val="annotation text"/>
    <w:basedOn w:val="Normal"/>
    <w:link w:val="CommentTextChar"/>
    <w:uiPriority w:val="99"/>
    <w:unhideWhenUsed/>
    <w:qFormat/>
    <w:rsid w:val="00C871CF"/>
    <w:pPr>
      <w:spacing w:line="240" w:lineRule="auto"/>
    </w:pPr>
    <w:rPr>
      <w:sz w:val="20"/>
      <w:szCs w:val="20"/>
    </w:rPr>
  </w:style>
  <w:style w:type="character" w:customStyle="1" w:styleId="CommentTextChar">
    <w:name w:val="Comment Text Char"/>
    <w:basedOn w:val="DefaultParagraphFont"/>
    <w:link w:val="CommentText"/>
    <w:uiPriority w:val="99"/>
    <w:qFormat/>
    <w:rsid w:val="00C871C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871CF"/>
    <w:rPr>
      <w:b/>
      <w:bCs/>
    </w:rPr>
  </w:style>
  <w:style w:type="character" w:customStyle="1" w:styleId="CommentSubjectChar">
    <w:name w:val="Comment Subject Char"/>
    <w:basedOn w:val="CommentTextChar"/>
    <w:link w:val="CommentSubject"/>
    <w:uiPriority w:val="99"/>
    <w:semiHidden/>
    <w:rsid w:val="00C871CF"/>
    <w:rPr>
      <w:rFonts w:eastAsiaTheme="minorEastAsia"/>
      <w:b/>
      <w:bCs/>
      <w:sz w:val="20"/>
      <w:szCs w:val="20"/>
    </w:rPr>
  </w:style>
  <w:style w:type="paragraph" w:styleId="BalloonText">
    <w:name w:val="Balloon Text"/>
    <w:basedOn w:val="Normal"/>
    <w:link w:val="BalloonTextChar"/>
    <w:uiPriority w:val="99"/>
    <w:semiHidden/>
    <w:unhideWhenUsed/>
    <w:rsid w:val="00C871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1CF"/>
    <w:rPr>
      <w:rFonts w:ascii="Segoe UI" w:eastAsiaTheme="minorEastAsia" w:hAnsi="Segoe UI" w:cs="Segoe UI"/>
      <w:sz w:val="18"/>
      <w:szCs w:val="18"/>
    </w:rPr>
  </w:style>
  <w:style w:type="paragraph" w:styleId="ListParagraph">
    <w:name w:val="List Paragraph"/>
    <w:basedOn w:val="Normal"/>
    <w:uiPriority w:val="34"/>
    <w:qFormat/>
    <w:rsid w:val="00C871CF"/>
    <w:pPr>
      <w:ind w:left="720"/>
      <w:contextualSpacing/>
    </w:pPr>
  </w:style>
  <w:style w:type="character" w:styleId="Hyperlink">
    <w:name w:val="Hyperlink"/>
    <w:basedOn w:val="DefaultParagraphFont"/>
    <w:uiPriority w:val="99"/>
    <w:unhideWhenUsed/>
    <w:rsid w:val="00C871CF"/>
    <w:rPr>
      <w:color w:val="0563C1" w:themeColor="hyperlink"/>
      <w:u w:val="single"/>
    </w:rPr>
  </w:style>
  <w:style w:type="paragraph" w:customStyle="1" w:styleId="title1">
    <w:name w:val="title1"/>
    <w:basedOn w:val="Normal"/>
    <w:rsid w:val="00C871CF"/>
    <w:pPr>
      <w:spacing w:after="0" w:line="240" w:lineRule="auto"/>
    </w:pPr>
    <w:rPr>
      <w:rFonts w:ascii="Times New Roman" w:eastAsia="Times New Roman" w:hAnsi="Times New Roman" w:cs="Times New Roman"/>
      <w:sz w:val="27"/>
      <w:szCs w:val="27"/>
      <w:lang w:eastAsia="hr-HR"/>
    </w:rPr>
  </w:style>
  <w:style w:type="paragraph" w:customStyle="1" w:styleId="desc2">
    <w:name w:val="desc2"/>
    <w:basedOn w:val="Normal"/>
    <w:rsid w:val="00C871CF"/>
    <w:pPr>
      <w:spacing w:after="0" w:line="240" w:lineRule="auto"/>
    </w:pPr>
    <w:rPr>
      <w:rFonts w:ascii="Times New Roman" w:eastAsia="Times New Roman" w:hAnsi="Times New Roman" w:cs="Times New Roman"/>
      <w:sz w:val="26"/>
      <w:szCs w:val="26"/>
      <w:lang w:eastAsia="hr-HR"/>
    </w:rPr>
  </w:style>
  <w:style w:type="character" w:customStyle="1" w:styleId="jrnl">
    <w:name w:val="jrnl"/>
    <w:basedOn w:val="DefaultParagraphFont"/>
    <w:rsid w:val="00C871CF"/>
  </w:style>
  <w:style w:type="paragraph" w:styleId="Header">
    <w:name w:val="header"/>
    <w:basedOn w:val="Normal"/>
    <w:link w:val="HeaderChar"/>
    <w:uiPriority w:val="99"/>
    <w:unhideWhenUsed/>
    <w:rsid w:val="00C871C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871CF"/>
    <w:rPr>
      <w:rFonts w:eastAsiaTheme="minorEastAsia"/>
    </w:rPr>
  </w:style>
  <w:style w:type="paragraph" w:styleId="Footer">
    <w:name w:val="footer"/>
    <w:basedOn w:val="Normal"/>
    <w:link w:val="FooterChar"/>
    <w:uiPriority w:val="99"/>
    <w:unhideWhenUsed/>
    <w:rsid w:val="00C871C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871C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11944</Words>
  <Characters>68087</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predrag.sikiric</dc:creator>
  <cp:lastModifiedBy>Na Ma</cp:lastModifiedBy>
  <cp:revision>2</cp:revision>
  <dcterms:created xsi:type="dcterms:W3CDTF">2020-01-20T00:19:00Z</dcterms:created>
  <dcterms:modified xsi:type="dcterms:W3CDTF">2020-01-20T00:19:00Z</dcterms:modified>
</cp:coreProperties>
</file>