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Name of journal: World Journal of Gastroenterology</w:t>
      </w: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ESPS Manuscript NO: 5120</w:t>
      </w: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Columns: BRIEF ATICLE</w:t>
      </w:r>
    </w:p>
    <w:p w:rsidR="00114FF2" w:rsidRPr="008D49C9" w:rsidRDefault="00114FF2" w:rsidP="008D49C9">
      <w:pPr>
        <w:spacing w:line="360" w:lineRule="auto"/>
        <w:rPr>
          <w:rFonts w:ascii="Book Antiqua" w:hAnsi="Book Antiqua"/>
          <w:b/>
          <w:sz w:val="24"/>
          <w:szCs w:val="24"/>
        </w:rPr>
      </w:pPr>
    </w:p>
    <w:p w:rsidR="00114FF2" w:rsidRDefault="00114FF2" w:rsidP="008D49C9">
      <w:pPr>
        <w:spacing w:line="360" w:lineRule="auto"/>
        <w:rPr>
          <w:rFonts w:ascii="Book Antiqua" w:hAnsi="Book Antiqua"/>
          <w:b/>
          <w:sz w:val="24"/>
          <w:szCs w:val="24"/>
        </w:rPr>
      </w:pPr>
      <w:r w:rsidRPr="008D49C9">
        <w:rPr>
          <w:rFonts w:ascii="Book Antiqua" w:hAnsi="Book Antiqua"/>
          <w:b/>
          <w:sz w:val="24"/>
          <w:szCs w:val="24"/>
        </w:rPr>
        <w:t xml:space="preserve">Efficacy of neoadjuvant therapy and surgical rescue for locally advanced </w:t>
      </w:r>
      <w:r>
        <w:rPr>
          <w:rFonts w:ascii="Book Antiqua" w:hAnsi="Book Antiqua"/>
          <w:b/>
          <w:sz w:val="24"/>
          <w:szCs w:val="24"/>
        </w:rPr>
        <w:t>hepatoblastomas</w:t>
      </w:r>
      <w:r w:rsidRPr="008D49C9">
        <w:rPr>
          <w:rFonts w:ascii="Book Antiqua" w:hAnsi="Book Antiqua"/>
          <w:b/>
          <w:sz w:val="24"/>
          <w:szCs w:val="24"/>
        </w:rPr>
        <w:t>: 10 years single-center e</w:t>
      </w:r>
      <w:r>
        <w:rPr>
          <w:rFonts w:ascii="Book Antiqua" w:hAnsi="Book Antiqua"/>
          <w:b/>
          <w:sz w:val="24"/>
          <w:szCs w:val="24"/>
        </w:rPr>
        <w:t>xperience and literature review</w:t>
      </w:r>
    </w:p>
    <w:p w:rsidR="00114FF2" w:rsidRPr="00A2470A" w:rsidRDefault="00114FF2" w:rsidP="008D49C9">
      <w:pPr>
        <w:spacing w:line="360" w:lineRule="auto"/>
        <w:rPr>
          <w:rFonts w:ascii="Book Antiqua" w:hAnsi="Book Antiqua"/>
          <w:b/>
          <w:sz w:val="24"/>
          <w:szCs w:val="24"/>
        </w:rPr>
      </w:pPr>
    </w:p>
    <w:p w:rsidR="00114FF2" w:rsidRPr="008D49C9" w:rsidRDefault="00114FF2" w:rsidP="00AB00DD">
      <w:pPr>
        <w:spacing w:line="360" w:lineRule="auto"/>
        <w:rPr>
          <w:rFonts w:ascii="Book Antiqua" w:hAnsi="Book Antiqua"/>
          <w:sz w:val="24"/>
          <w:szCs w:val="24"/>
        </w:rPr>
      </w:pPr>
      <w:r w:rsidRPr="00544AB9">
        <w:rPr>
          <w:rFonts w:ascii="Book Antiqua" w:hAnsi="Book Antiqua"/>
          <w:sz w:val="24"/>
          <w:szCs w:val="24"/>
        </w:rPr>
        <w:t xml:space="preserve">Ayllon Teran D </w:t>
      </w:r>
      <w:r w:rsidRPr="00AB00DD">
        <w:rPr>
          <w:rFonts w:ascii="Book Antiqua" w:hAnsi="Book Antiqua"/>
          <w:i/>
          <w:sz w:val="24"/>
          <w:szCs w:val="24"/>
        </w:rPr>
        <w:t xml:space="preserve">et al. </w:t>
      </w:r>
      <w:r w:rsidRPr="008D49C9">
        <w:rPr>
          <w:rFonts w:ascii="Book Antiqua" w:hAnsi="Book Antiqua"/>
          <w:sz w:val="24"/>
          <w:szCs w:val="24"/>
        </w:rPr>
        <w:t>Neodjuvancy and surgery on locally advanced hepatoblastomas</w:t>
      </w:r>
    </w:p>
    <w:p w:rsidR="00114FF2" w:rsidRPr="00AB00DD" w:rsidRDefault="00114FF2" w:rsidP="008D49C9">
      <w:pPr>
        <w:spacing w:line="360" w:lineRule="auto"/>
        <w:rPr>
          <w:rFonts w:ascii="Book Antiqua" w:hAnsi="Book Antiqua"/>
          <w:sz w:val="24"/>
          <w:szCs w:val="24"/>
        </w:rPr>
      </w:pPr>
    </w:p>
    <w:p w:rsidR="00114FF2" w:rsidRPr="00544AB9" w:rsidRDefault="00114FF2" w:rsidP="008D49C9">
      <w:pPr>
        <w:spacing w:line="360" w:lineRule="auto"/>
        <w:rPr>
          <w:rFonts w:ascii="Book Antiqua" w:hAnsi="Book Antiqua"/>
          <w:sz w:val="24"/>
          <w:szCs w:val="24"/>
        </w:rPr>
      </w:pPr>
      <w:r w:rsidRPr="00544AB9">
        <w:rPr>
          <w:rFonts w:ascii="Book Antiqua" w:hAnsi="Book Antiqua"/>
          <w:sz w:val="24"/>
          <w:szCs w:val="24"/>
        </w:rPr>
        <w:t>Dolores Ayllon Teran, Oscar</w:t>
      </w:r>
      <w:r>
        <w:rPr>
          <w:rFonts w:ascii="Book Antiqua" w:hAnsi="Book Antiqua"/>
          <w:sz w:val="24"/>
          <w:szCs w:val="24"/>
        </w:rPr>
        <w:t xml:space="preserve"> </w:t>
      </w:r>
      <w:r w:rsidRPr="00544AB9">
        <w:rPr>
          <w:rFonts w:ascii="Book Antiqua" w:hAnsi="Book Antiqua"/>
          <w:sz w:val="24"/>
          <w:szCs w:val="24"/>
        </w:rPr>
        <w:t>Gómez Beltran, Rubén</w:t>
      </w:r>
      <w:r>
        <w:rPr>
          <w:rFonts w:ascii="Book Antiqua" w:hAnsi="Book Antiqua"/>
          <w:sz w:val="24"/>
          <w:szCs w:val="24"/>
        </w:rPr>
        <w:t xml:space="preserve"> </w:t>
      </w:r>
      <w:r w:rsidRPr="00544AB9">
        <w:rPr>
          <w:rFonts w:ascii="Book Antiqua" w:hAnsi="Book Antiqua"/>
          <w:sz w:val="24"/>
          <w:szCs w:val="24"/>
        </w:rPr>
        <w:t>Ciria Bru, Elena</w:t>
      </w:r>
      <w:r>
        <w:rPr>
          <w:rFonts w:ascii="Book Antiqua" w:hAnsi="Book Antiqua"/>
          <w:sz w:val="24"/>
          <w:szCs w:val="24"/>
        </w:rPr>
        <w:t xml:space="preserve"> </w:t>
      </w:r>
      <w:r w:rsidRPr="00544AB9">
        <w:rPr>
          <w:rFonts w:ascii="Book Antiqua" w:hAnsi="Book Antiqua"/>
          <w:sz w:val="24"/>
          <w:szCs w:val="24"/>
        </w:rPr>
        <w:t>Mateos González, María José</w:t>
      </w:r>
      <w:r>
        <w:rPr>
          <w:rFonts w:ascii="Book Antiqua" w:hAnsi="Book Antiqua"/>
          <w:sz w:val="24"/>
          <w:szCs w:val="24"/>
        </w:rPr>
        <w:t xml:space="preserve"> </w:t>
      </w:r>
      <w:r w:rsidRPr="00544AB9">
        <w:rPr>
          <w:rFonts w:ascii="Book Antiqua" w:hAnsi="Book Antiqua"/>
          <w:sz w:val="24"/>
          <w:szCs w:val="24"/>
        </w:rPr>
        <w:t>Peña Rosa, Antonio</w:t>
      </w:r>
      <w:r>
        <w:rPr>
          <w:rFonts w:ascii="Book Antiqua" w:hAnsi="Book Antiqua"/>
          <w:sz w:val="24"/>
          <w:szCs w:val="24"/>
        </w:rPr>
        <w:t xml:space="preserve"> </w:t>
      </w:r>
      <w:r w:rsidRPr="00544AB9">
        <w:rPr>
          <w:rFonts w:ascii="Book Antiqua" w:hAnsi="Book Antiqua"/>
          <w:sz w:val="24"/>
          <w:szCs w:val="24"/>
        </w:rPr>
        <w:t>Luque Molina, Pedro</w:t>
      </w:r>
      <w:r>
        <w:rPr>
          <w:rFonts w:ascii="Book Antiqua" w:hAnsi="Book Antiqua"/>
          <w:sz w:val="24"/>
          <w:szCs w:val="24"/>
        </w:rPr>
        <w:t xml:space="preserve"> </w:t>
      </w:r>
      <w:r w:rsidRPr="00544AB9">
        <w:rPr>
          <w:rFonts w:ascii="Book Antiqua" w:hAnsi="Book Antiqua"/>
          <w:sz w:val="24"/>
          <w:szCs w:val="24"/>
        </w:rPr>
        <w:t>López Cillero, Javier</w:t>
      </w:r>
      <w:r>
        <w:rPr>
          <w:rFonts w:ascii="Book Antiqua" w:hAnsi="Book Antiqua"/>
          <w:sz w:val="24"/>
          <w:szCs w:val="24"/>
        </w:rPr>
        <w:t xml:space="preserve"> </w:t>
      </w:r>
      <w:r w:rsidRPr="00544AB9">
        <w:rPr>
          <w:rFonts w:ascii="Book Antiqua" w:hAnsi="Book Antiqua"/>
          <w:sz w:val="24"/>
          <w:szCs w:val="24"/>
        </w:rPr>
        <w:t>Briceño Delgado</w:t>
      </w:r>
    </w:p>
    <w:p w:rsidR="00114FF2" w:rsidRPr="008D49C9" w:rsidRDefault="002A000C" w:rsidP="008D49C9">
      <w:pPr>
        <w:spacing w:line="360" w:lineRule="auto"/>
        <w:rPr>
          <w:rFonts w:ascii="Book Antiqua" w:hAnsi="Book Antiqua"/>
          <w:sz w:val="24"/>
          <w:szCs w:val="24"/>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-4445</wp:posOffset>
                </wp:positionH>
                <wp:positionV relativeFrom="paragraph">
                  <wp:posOffset>165099</wp:posOffset>
                </wp:positionV>
                <wp:extent cx="5296535" cy="0"/>
                <wp:effectExtent l="0" t="19050" r="1841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65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3pt" to="41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" strokecolor="gray" strokeweight="3pt"/>
            </w:pict>
          </mc:Fallback>
        </mc:AlternateContent>
      </w:r>
    </w:p>
    <w:p w:rsidR="00114FF2" w:rsidRDefault="00114FF2" w:rsidP="008D49C9">
      <w:pPr>
        <w:spacing w:line="360" w:lineRule="auto"/>
        <w:rPr>
          <w:rFonts w:ascii="Book Antiqua" w:hAnsi="Book Antiqua"/>
          <w:sz w:val="24"/>
          <w:szCs w:val="24"/>
        </w:rPr>
      </w:pPr>
      <w:r w:rsidRPr="008D49C9">
        <w:rPr>
          <w:rFonts w:ascii="Book Antiqua" w:hAnsi="Book Antiqua"/>
          <w:b/>
          <w:sz w:val="24"/>
          <w:szCs w:val="24"/>
        </w:rPr>
        <w:t>Dolores</w:t>
      </w:r>
      <w:r>
        <w:rPr>
          <w:rFonts w:ascii="Book Antiqua" w:hAnsi="Book Antiqua"/>
          <w:b/>
          <w:sz w:val="24"/>
          <w:szCs w:val="24"/>
        </w:rPr>
        <w:t xml:space="preserve"> </w:t>
      </w:r>
      <w:r w:rsidRPr="008D49C9">
        <w:rPr>
          <w:rFonts w:ascii="Book Antiqua" w:hAnsi="Book Antiqua"/>
          <w:b/>
          <w:sz w:val="24"/>
          <w:szCs w:val="24"/>
        </w:rPr>
        <w:t>Ayllon Teran, Rubén</w:t>
      </w:r>
      <w:r>
        <w:rPr>
          <w:rFonts w:ascii="Book Antiqua" w:hAnsi="Book Antiqua"/>
          <w:b/>
          <w:sz w:val="24"/>
          <w:szCs w:val="24"/>
        </w:rPr>
        <w:t xml:space="preserve"> </w:t>
      </w:r>
      <w:r w:rsidRPr="008D49C9">
        <w:rPr>
          <w:rFonts w:ascii="Book Antiqua" w:hAnsi="Book Antiqua"/>
          <w:b/>
          <w:sz w:val="24"/>
          <w:szCs w:val="24"/>
        </w:rPr>
        <w:t>Ciria Bru, Antonio</w:t>
      </w:r>
      <w:r>
        <w:rPr>
          <w:rFonts w:ascii="Book Antiqua" w:hAnsi="Book Antiqua"/>
          <w:b/>
          <w:sz w:val="24"/>
          <w:szCs w:val="24"/>
        </w:rPr>
        <w:t xml:space="preserve"> </w:t>
      </w:r>
      <w:r w:rsidRPr="008D49C9">
        <w:rPr>
          <w:rFonts w:ascii="Book Antiqua" w:hAnsi="Book Antiqua"/>
          <w:b/>
          <w:sz w:val="24"/>
          <w:szCs w:val="24"/>
        </w:rPr>
        <w:t>Luque Molina, Pedro</w:t>
      </w:r>
      <w:r>
        <w:rPr>
          <w:rFonts w:ascii="Book Antiqua" w:hAnsi="Book Antiqua"/>
          <w:b/>
          <w:sz w:val="24"/>
          <w:szCs w:val="24"/>
        </w:rPr>
        <w:t xml:space="preserve"> </w:t>
      </w:r>
      <w:r w:rsidRPr="008D49C9">
        <w:rPr>
          <w:rFonts w:ascii="Book Antiqua" w:hAnsi="Book Antiqua"/>
          <w:b/>
          <w:sz w:val="24"/>
          <w:szCs w:val="24"/>
        </w:rPr>
        <w:t>López Cillero, Javie</w:t>
      </w:r>
      <w:r>
        <w:rPr>
          <w:rFonts w:ascii="Book Antiqua" w:hAnsi="Book Antiqua"/>
          <w:b/>
          <w:sz w:val="24"/>
          <w:szCs w:val="24"/>
        </w:rPr>
        <w:t xml:space="preserve">r </w:t>
      </w:r>
      <w:r w:rsidRPr="008D49C9">
        <w:rPr>
          <w:rFonts w:ascii="Book Antiqua" w:hAnsi="Book Antiqua"/>
          <w:b/>
          <w:sz w:val="24"/>
          <w:szCs w:val="24"/>
        </w:rPr>
        <w:t xml:space="preserve">Briceño Delgado, </w:t>
      </w:r>
      <w:r w:rsidRPr="008D49C9">
        <w:rPr>
          <w:rFonts w:ascii="Book Antiqua" w:hAnsi="Book Antiqua"/>
          <w:sz w:val="24"/>
          <w:szCs w:val="24"/>
        </w:rPr>
        <w:t>Department of Surgery, Reina Sofia Hospital, 14005 Córdoba, Spain</w:t>
      </w:r>
    </w:p>
    <w:p w:rsidR="00114FF2" w:rsidRPr="00642FF2" w:rsidRDefault="00114FF2" w:rsidP="008D49C9">
      <w:pPr>
        <w:spacing w:line="360" w:lineRule="auto"/>
        <w:rPr>
          <w:rFonts w:ascii="Book Antiqua" w:hAnsi="Book Antiqua"/>
          <w:sz w:val="24"/>
          <w:szCs w:val="24"/>
        </w:rPr>
      </w:pPr>
    </w:p>
    <w:p w:rsidR="00114FF2" w:rsidRDefault="00114FF2" w:rsidP="008D49C9">
      <w:pPr>
        <w:spacing w:line="360" w:lineRule="auto"/>
        <w:rPr>
          <w:rFonts w:ascii="Book Antiqua" w:hAnsi="Book Antiqua"/>
          <w:sz w:val="24"/>
          <w:szCs w:val="24"/>
        </w:rPr>
      </w:pPr>
      <w:r w:rsidRPr="00544AB9">
        <w:rPr>
          <w:rFonts w:ascii="Book Antiqua" w:hAnsi="Book Antiqua"/>
          <w:b/>
          <w:sz w:val="24"/>
          <w:szCs w:val="24"/>
        </w:rPr>
        <w:t>Oscar Gómez Beltran</w:t>
      </w:r>
      <w:r>
        <w:rPr>
          <w:rFonts w:ascii="Book Antiqua" w:hAnsi="Book Antiqua"/>
          <w:b/>
          <w:sz w:val="24"/>
          <w:szCs w:val="24"/>
        </w:rPr>
        <w:t>,</w:t>
      </w:r>
      <w:r w:rsidRPr="008D49C9">
        <w:rPr>
          <w:rFonts w:ascii="Book Antiqua" w:hAnsi="Book Antiqua"/>
          <w:b/>
          <w:sz w:val="24"/>
          <w:szCs w:val="24"/>
        </w:rPr>
        <w:t xml:space="preserve"> </w:t>
      </w:r>
      <w:r w:rsidRPr="008D49C9">
        <w:rPr>
          <w:rFonts w:ascii="Book Antiqua" w:hAnsi="Book Antiqua"/>
          <w:sz w:val="24"/>
          <w:szCs w:val="24"/>
        </w:rPr>
        <w:t>Department of Pediatric Surgery, Reina Sofia Hospital, 14005 Córdoba, Spain</w:t>
      </w:r>
      <w:r w:rsidRPr="008D49C9">
        <w:rPr>
          <w:rFonts w:ascii="Book Antiqua" w:hAnsi="Book Antiqua"/>
          <w:sz w:val="24"/>
          <w:szCs w:val="24"/>
        </w:rPr>
        <w:tab/>
      </w:r>
    </w:p>
    <w:p w:rsidR="00114FF2" w:rsidRPr="008D49C9" w:rsidRDefault="00114FF2" w:rsidP="008D49C9">
      <w:pPr>
        <w:spacing w:line="360" w:lineRule="auto"/>
        <w:rPr>
          <w:rFonts w:ascii="Book Antiqua" w:hAnsi="Book Antiqua"/>
          <w:sz w:val="24"/>
          <w:szCs w:val="24"/>
        </w:rPr>
      </w:pPr>
    </w:p>
    <w:p w:rsidR="00114FF2" w:rsidRDefault="00114FF2" w:rsidP="008D49C9">
      <w:pPr>
        <w:spacing w:line="360" w:lineRule="auto"/>
        <w:rPr>
          <w:rFonts w:ascii="Book Antiqua" w:hAnsi="Book Antiqua"/>
          <w:sz w:val="24"/>
          <w:szCs w:val="24"/>
        </w:rPr>
      </w:pPr>
      <w:r w:rsidRPr="00642FF2">
        <w:rPr>
          <w:rFonts w:ascii="Book Antiqua" w:hAnsi="Book Antiqua"/>
          <w:b/>
          <w:sz w:val="24"/>
          <w:szCs w:val="24"/>
        </w:rPr>
        <w:t>Elena Mateos González</w:t>
      </w:r>
      <w:r w:rsidRPr="008D49C9">
        <w:rPr>
          <w:rFonts w:ascii="Book Antiqua" w:hAnsi="Book Antiqua"/>
          <w:b/>
          <w:sz w:val="24"/>
          <w:szCs w:val="24"/>
        </w:rPr>
        <w:t xml:space="preserve">, </w:t>
      </w:r>
      <w:r w:rsidRPr="00642FF2">
        <w:rPr>
          <w:rFonts w:ascii="Book Antiqua" w:hAnsi="Book Antiqua"/>
          <w:b/>
          <w:sz w:val="24"/>
          <w:szCs w:val="24"/>
        </w:rPr>
        <w:t>María José Peña Rosa</w:t>
      </w:r>
      <w:r w:rsidRPr="008D49C9">
        <w:rPr>
          <w:rFonts w:ascii="Book Antiqua" w:hAnsi="Book Antiqua"/>
          <w:b/>
          <w:sz w:val="24"/>
          <w:szCs w:val="24"/>
        </w:rPr>
        <w:t xml:space="preserve">, </w:t>
      </w:r>
      <w:r w:rsidRPr="008D49C9">
        <w:rPr>
          <w:rFonts w:ascii="Book Antiqua" w:hAnsi="Book Antiqua"/>
          <w:sz w:val="24"/>
          <w:szCs w:val="24"/>
        </w:rPr>
        <w:t>Department of Pediatric Oncology, Reina Sofia Hospital, 14005 Córdoba, Spain</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sz w:val="24"/>
          <w:szCs w:val="24"/>
        </w:rPr>
      </w:pPr>
      <w:r>
        <w:rPr>
          <w:rFonts w:ascii="Book Antiqua" w:hAnsi="Book Antiqua"/>
          <w:b/>
          <w:sz w:val="24"/>
          <w:szCs w:val="24"/>
        </w:rPr>
        <w:t xml:space="preserve">Author contributions: </w:t>
      </w:r>
      <w:r w:rsidRPr="00544AB9">
        <w:rPr>
          <w:rFonts w:ascii="Book Antiqua" w:hAnsi="Book Antiqua"/>
          <w:sz w:val="24"/>
          <w:szCs w:val="24"/>
        </w:rPr>
        <w:t>Ayllon Teran D, Gomez Beltran O and Ciria Bru R</w:t>
      </w:r>
      <w:r w:rsidRPr="008D49C9">
        <w:rPr>
          <w:rFonts w:ascii="Book Antiqua" w:hAnsi="Book Antiqua"/>
          <w:sz w:val="24"/>
          <w:szCs w:val="24"/>
        </w:rPr>
        <w:t xml:space="preserve"> have designed the study, took part in acquisition of data and wrote the paper</w:t>
      </w:r>
      <w:r>
        <w:rPr>
          <w:rFonts w:ascii="Book Antiqua" w:hAnsi="Book Antiqua"/>
          <w:sz w:val="24"/>
          <w:szCs w:val="24"/>
        </w:rPr>
        <w:t>;</w:t>
      </w:r>
      <w:r>
        <w:rPr>
          <w:rFonts w:ascii="Book Antiqua" w:hAnsi="Book Antiqua"/>
          <w:b/>
          <w:sz w:val="24"/>
          <w:szCs w:val="24"/>
        </w:rPr>
        <w:t xml:space="preserve"> </w:t>
      </w:r>
      <w:r w:rsidRPr="00544AB9">
        <w:rPr>
          <w:rFonts w:ascii="Book Antiqua" w:hAnsi="Book Antiqua"/>
          <w:sz w:val="24"/>
          <w:szCs w:val="24"/>
        </w:rPr>
        <w:t>Mateos Gonzales E, Peña Rosa MJ, Luque Molina A and Briceño Delgado F</w:t>
      </w:r>
      <w:r w:rsidRPr="008D49C9">
        <w:rPr>
          <w:rFonts w:ascii="Book Antiqua" w:hAnsi="Book Antiqua"/>
          <w:sz w:val="24"/>
          <w:szCs w:val="24"/>
        </w:rPr>
        <w:t xml:space="preserve"> have analyzed the data and revised the article critically for</w:t>
      </w:r>
      <w:r>
        <w:rPr>
          <w:rFonts w:ascii="Book Antiqua" w:hAnsi="Book Antiqua"/>
          <w:sz w:val="24"/>
          <w:szCs w:val="24"/>
        </w:rPr>
        <w:t xml:space="preserve"> important intellectual content; </w:t>
      </w:r>
      <w:r w:rsidRPr="00544AB9">
        <w:rPr>
          <w:rFonts w:ascii="Book Antiqua" w:hAnsi="Book Antiqua"/>
          <w:sz w:val="24"/>
          <w:szCs w:val="24"/>
        </w:rPr>
        <w:t>Lopez Cillero P and Briceño Delgado J</w:t>
      </w:r>
      <w:r>
        <w:rPr>
          <w:rFonts w:ascii="Book Antiqua" w:hAnsi="Book Antiqua"/>
          <w:sz w:val="24"/>
          <w:szCs w:val="24"/>
        </w:rPr>
        <w:t xml:space="preserve"> </w:t>
      </w:r>
      <w:r w:rsidRPr="008D49C9">
        <w:rPr>
          <w:rFonts w:ascii="Book Antiqua" w:hAnsi="Book Antiqua"/>
          <w:sz w:val="24"/>
          <w:szCs w:val="24"/>
        </w:rPr>
        <w:t>have approved the final version of the paper to be published.</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r w:rsidRPr="008D49C9">
        <w:rPr>
          <w:rFonts w:ascii="Book Antiqua" w:hAnsi="Book Antiqua"/>
          <w:b/>
          <w:sz w:val="24"/>
          <w:szCs w:val="24"/>
        </w:rPr>
        <w:t xml:space="preserve">Correspondence to: </w:t>
      </w:r>
      <w:r>
        <w:rPr>
          <w:rFonts w:ascii="Book Antiqua" w:hAnsi="Book Antiqua"/>
          <w:b/>
          <w:sz w:val="24"/>
          <w:szCs w:val="24"/>
        </w:rPr>
        <w:t xml:space="preserve">Dr. </w:t>
      </w:r>
      <w:r w:rsidRPr="00642FF2">
        <w:rPr>
          <w:rFonts w:ascii="Book Antiqua" w:hAnsi="Book Antiqua"/>
          <w:b/>
          <w:sz w:val="24"/>
          <w:szCs w:val="24"/>
        </w:rPr>
        <w:t>Dolores Ayllon Teran</w:t>
      </w:r>
      <w:r w:rsidRPr="008D49C9">
        <w:rPr>
          <w:rFonts w:ascii="Book Antiqua" w:hAnsi="Book Antiqua"/>
          <w:b/>
          <w:sz w:val="24"/>
          <w:szCs w:val="24"/>
        </w:rPr>
        <w:t xml:space="preserve">, </w:t>
      </w:r>
      <w:r w:rsidRPr="008D49C9">
        <w:rPr>
          <w:rFonts w:ascii="Book Antiqua" w:hAnsi="Book Antiqua"/>
          <w:sz w:val="24"/>
          <w:szCs w:val="24"/>
        </w:rPr>
        <w:t>Department of Surge</w:t>
      </w:r>
      <w:r>
        <w:rPr>
          <w:rFonts w:ascii="Book Antiqua" w:hAnsi="Book Antiqua"/>
          <w:sz w:val="24"/>
          <w:szCs w:val="24"/>
        </w:rPr>
        <w:t>ry, Reina Sofia Hospital, Avda,</w:t>
      </w:r>
      <w:r w:rsidRPr="008D49C9">
        <w:rPr>
          <w:rFonts w:ascii="Book Antiqua" w:hAnsi="Book Antiqua"/>
          <w:sz w:val="24"/>
          <w:szCs w:val="24"/>
        </w:rPr>
        <w:t xml:space="preserve"> Menéndez Pidal s/n, 14005 Córdoba, Spain. lolesat83@hotmail.com</w:t>
      </w:r>
    </w:p>
    <w:p w:rsidR="00114FF2" w:rsidRDefault="00114FF2" w:rsidP="008D49C9">
      <w:pPr>
        <w:spacing w:line="360" w:lineRule="auto"/>
        <w:rPr>
          <w:rFonts w:ascii="Book Antiqua" w:hAnsi="Book Antiqua"/>
          <w:sz w:val="24"/>
          <w:szCs w:val="24"/>
        </w:rPr>
      </w:pPr>
      <w:r w:rsidRPr="008D49C9">
        <w:rPr>
          <w:rFonts w:ascii="Book Antiqua" w:hAnsi="Book Antiqua"/>
          <w:b/>
          <w:sz w:val="24"/>
          <w:szCs w:val="24"/>
        </w:rPr>
        <w:t xml:space="preserve">Telephone: </w:t>
      </w:r>
      <w:r w:rsidRPr="008D49C9">
        <w:rPr>
          <w:rFonts w:ascii="Book Antiqua" w:hAnsi="Book Antiqua"/>
          <w:sz w:val="24"/>
          <w:szCs w:val="24"/>
        </w:rPr>
        <w:t>+34-95-7010439</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8D49C9">
        <w:rPr>
          <w:rFonts w:ascii="Book Antiqua" w:hAnsi="Book Antiqua"/>
          <w:b/>
          <w:sz w:val="24"/>
          <w:szCs w:val="24"/>
        </w:rPr>
        <w:t xml:space="preserve">Fax: </w:t>
      </w:r>
      <w:r w:rsidRPr="008D49C9">
        <w:rPr>
          <w:rFonts w:ascii="Book Antiqua" w:hAnsi="Book Antiqua"/>
          <w:sz w:val="24"/>
          <w:szCs w:val="24"/>
        </w:rPr>
        <w:t>+34-95-7012876</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r w:rsidRPr="008D49C9">
        <w:rPr>
          <w:rFonts w:ascii="Book Antiqua" w:hAnsi="Book Antiqua"/>
          <w:b/>
          <w:sz w:val="24"/>
          <w:szCs w:val="24"/>
        </w:rPr>
        <w:t>Received:</w:t>
      </w:r>
      <w:r w:rsidRPr="008D49C9">
        <w:rPr>
          <w:rFonts w:ascii="Book Antiqua" w:hAnsi="Book Antiqua"/>
          <w:sz w:val="24"/>
          <w:szCs w:val="24"/>
        </w:rPr>
        <w:t xml:space="preserve"> August 16, 2013      </w:t>
      </w:r>
      <w:r w:rsidRPr="008D49C9">
        <w:rPr>
          <w:rFonts w:ascii="Book Antiqua" w:hAnsi="Book Antiqua"/>
          <w:b/>
          <w:sz w:val="24"/>
          <w:szCs w:val="24"/>
        </w:rPr>
        <w:t xml:space="preserve">   Revised: </w:t>
      </w:r>
      <w:r w:rsidRPr="00AB00DD">
        <w:rPr>
          <w:rFonts w:ascii="Book Antiqua" w:hAnsi="Book Antiqua"/>
          <w:sz w:val="24"/>
          <w:szCs w:val="24"/>
        </w:rPr>
        <w:t>October 18, 2013</w:t>
      </w:r>
    </w:p>
    <w:p w:rsidR="0034119E" w:rsidRPr="007E736F" w:rsidRDefault="00114FF2" w:rsidP="0034119E">
      <w:pPr>
        <w:rPr>
          <w:rFonts w:ascii="Book Antiqua" w:hAnsi="Book Antiqua"/>
          <w:sz w:val="24"/>
          <w:szCs w:val="24"/>
        </w:rPr>
      </w:pPr>
      <w:r w:rsidRPr="008D49C9">
        <w:rPr>
          <w:rFonts w:ascii="Book Antiqua" w:hAnsi="Book Antiqua"/>
          <w:b/>
          <w:sz w:val="24"/>
          <w:szCs w:val="24"/>
        </w:rPr>
        <w:t>Accepted:</w:t>
      </w:r>
      <w:r w:rsidR="0034119E">
        <w:rPr>
          <w:rFonts w:ascii="Book Antiqua" w:hAnsi="Book Antiqua" w:hint="eastAsia"/>
          <w:b/>
          <w:sz w:val="24"/>
          <w:szCs w:val="24"/>
        </w:rPr>
        <w:t xml:space="preserve"> </w:t>
      </w:r>
      <w:r w:rsidR="0034119E" w:rsidRPr="007E736F">
        <w:rPr>
          <w:rFonts w:ascii="Book Antiqua" w:hAnsi="Book Antiqua"/>
          <w:sz w:val="24"/>
          <w:szCs w:val="24"/>
        </w:rPr>
        <w:t>December 5, 2013</w:t>
      </w:r>
    </w:p>
    <w:p w:rsidR="00114FF2" w:rsidRPr="008D49C9" w:rsidRDefault="00114FF2" w:rsidP="008D49C9">
      <w:pPr>
        <w:spacing w:line="360" w:lineRule="auto"/>
        <w:rPr>
          <w:rFonts w:ascii="Book Antiqua" w:hAnsi="Book Antiqua"/>
          <w:b/>
          <w:sz w:val="24"/>
          <w:szCs w:val="24"/>
        </w:rPr>
      </w:pPr>
      <w:bookmarkStart w:id="0" w:name="_GoBack"/>
      <w:bookmarkEnd w:id="0"/>
      <w:r w:rsidRPr="008D49C9">
        <w:rPr>
          <w:rFonts w:ascii="Book Antiqua" w:hAnsi="Book Antiqua"/>
          <w:b/>
          <w:sz w:val="24"/>
          <w:szCs w:val="24"/>
        </w:rPr>
        <w:t xml:space="preserve"> </w:t>
      </w: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 xml:space="preserve">Published online: </w:t>
      </w:r>
    </w:p>
    <w:p w:rsidR="00114FF2" w:rsidRDefault="00114FF2">
      <w:pPr>
        <w:widowControl/>
        <w:jc w:val="left"/>
        <w:rPr>
          <w:rFonts w:ascii="Book Antiqua" w:hAnsi="Book Antiqua"/>
          <w:sz w:val="24"/>
          <w:szCs w:val="24"/>
        </w:rPr>
      </w:pPr>
      <w:r>
        <w:rPr>
          <w:rFonts w:ascii="Book Antiqua" w:hAnsi="Book Antiqua"/>
          <w:sz w:val="24"/>
          <w:szCs w:val="24"/>
        </w:rPr>
        <w:br w:type="page"/>
      </w: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Abstract</w:t>
      </w:r>
    </w:p>
    <w:p w:rsidR="00114FF2" w:rsidRPr="0000017A" w:rsidRDefault="00114FF2" w:rsidP="008D49C9">
      <w:pPr>
        <w:spacing w:line="360" w:lineRule="auto"/>
        <w:rPr>
          <w:rFonts w:ascii="Book Antiqua" w:hAnsi="Book Antiqua"/>
          <w:sz w:val="24"/>
          <w:szCs w:val="24"/>
        </w:rPr>
      </w:pPr>
      <w:r>
        <w:rPr>
          <w:rFonts w:ascii="Book Antiqua" w:hAnsi="Book Antiqua"/>
          <w:b/>
          <w:sz w:val="24"/>
          <w:szCs w:val="24"/>
        </w:rPr>
        <w:t xml:space="preserve">AIM: </w:t>
      </w:r>
      <w:r w:rsidRPr="0000017A">
        <w:rPr>
          <w:rFonts w:ascii="Book Antiqua" w:hAnsi="Book Antiqua"/>
          <w:sz w:val="24"/>
          <w:szCs w:val="24"/>
        </w:rPr>
        <w:t>To report our experience with long-term outcomes after a multimodal management therapy.</w:t>
      </w:r>
    </w:p>
    <w:p w:rsidR="00114FF2" w:rsidRPr="008D49C9" w:rsidRDefault="00114FF2" w:rsidP="008D49C9">
      <w:pPr>
        <w:spacing w:line="360" w:lineRule="auto"/>
        <w:rPr>
          <w:rFonts w:ascii="Book Antiqua" w:hAnsi="Book Antiqua"/>
          <w:sz w:val="24"/>
          <w:szCs w:val="24"/>
        </w:rPr>
      </w:pPr>
    </w:p>
    <w:p w:rsidR="00114FF2" w:rsidRDefault="00114FF2" w:rsidP="008D49C9">
      <w:pPr>
        <w:spacing w:line="360" w:lineRule="auto"/>
        <w:rPr>
          <w:rFonts w:ascii="Book Antiqua" w:hAnsi="Book Antiqua"/>
          <w:sz w:val="24"/>
          <w:szCs w:val="24"/>
        </w:rPr>
      </w:pPr>
      <w:r w:rsidRPr="008D49C9">
        <w:rPr>
          <w:rFonts w:ascii="Book Antiqua" w:hAnsi="Book Antiqua"/>
          <w:b/>
          <w:sz w:val="24"/>
          <w:szCs w:val="24"/>
        </w:rPr>
        <w:t>METHODS:</w:t>
      </w:r>
      <w:r w:rsidRPr="008D49C9">
        <w:rPr>
          <w:rFonts w:ascii="Book Antiqua" w:hAnsi="Book Antiqua"/>
          <w:sz w:val="24"/>
          <w:szCs w:val="24"/>
        </w:rPr>
        <w:t xml:space="preserve"> An observational retrospective study was performed, including seven patients with Hbl treated in our institution, a tertiary referral center, from 2003 to 2011. Demographic, preoperative, surgical and outcome variables were col</w:t>
      </w:r>
      <w:r>
        <w:rPr>
          <w:rFonts w:ascii="Book Antiqua" w:hAnsi="Book Antiqua"/>
          <w:sz w:val="24"/>
          <w:szCs w:val="24"/>
        </w:rPr>
        <w:t xml:space="preserve">lected. </w:t>
      </w:r>
      <w:r w:rsidRPr="008D49C9">
        <w:rPr>
          <w:rFonts w:ascii="Book Antiqua" w:hAnsi="Book Antiqua"/>
          <w:sz w:val="24"/>
          <w:szCs w:val="24"/>
        </w:rPr>
        <w:t>A survival analysis and a review of current literature related to a combination neoadjuvant chemotherapy and surgical resection on Hbl were performed.</w:t>
      </w:r>
    </w:p>
    <w:p w:rsidR="00114FF2" w:rsidRPr="008D49C9" w:rsidRDefault="00114FF2" w:rsidP="008D49C9">
      <w:pPr>
        <w:spacing w:line="360" w:lineRule="auto"/>
        <w:rPr>
          <w:rFonts w:ascii="Book Antiqua" w:hAnsi="Book Antiqua"/>
          <w:sz w:val="24"/>
          <w:szCs w:val="24"/>
        </w:rPr>
      </w:pPr>
    </w:p>
    <w:p w:rsidR="00114FF2" w:rsidRDefault="00114FF2" w:rsidP="008D49C9">
      <w:pPr>
        <w:spacing w:line="360" w:lineRule="auto"/>
        <w:rPr>
          <w:rFonts w:ascii="Book Antiqua" w:hAnsi="Book Antiqua"/>
          <w:sz w:val="24"/>
          <w:szCs w:val="24"/>
        </w:rPr>
      </w:pPr>
      <w:r w:rsidRPr="008D49C9">
        <w:rPr>
          <w:rFonts w:ascii="Book Antiqua" w:hAnsi="Book Antiqua"/>
          <w:b/>
          <w:sz w:val="24"/>
          <w:szCs w:val="24"/>
        </w:rPr>
        <w:t xml:space="preserve">RESULTS: </w:t>
      </w:r>
      <w:r w:rsidRPr="008D49C9">
        <w:rPr>
          <w:rFonts w:ascii="Book Antiqua" w:hAnsi="Book Antiqua"/>
          <w:sz w:val="24"/>
          <w:szCs w:val="24"/>
        </w:rPr>
        <w:t>The median age at surgery was 14.4 mo, with a male to female ratio of 4:3. Pretext staging at diagnosis was as follows: stage I, 4 cases; stage II, 2 patients and stage III, 1 case. Mean pretreatment tumor volume was 735 cm3. Five out to seven patients received neoadjuvant chemotherapy according to SIOPEL-3 or SIOPEL-6 protocols. Tumor volume and alpha-fetoprotein levels significantly dropped after neoadjuvant therapy. Surgical procedures performed included hemihepatectomies, segmentectomies and atypical resection. All patients receiv</w:t>
      </w:r>
      <w:r>
        <w:rPr>
          <w:rFonts w:ascii="Book Antiqua" w:hAnsi="Book Antiqua"/>
          <w:sz w:val="24"/>
          <w:szCs w:val="24"/>
        </w:rPr>
        <w:t xml:space="preserve">ed chemotherapy after surgery. </w:t>
      </w:r>
      <w:r w:rsidRPr="008D49C9">
        <w:rPr>
          <w:rFonts w:ascii="Book Antiqua" w:hAnsi="Book Antiqua"/>
          <w:sz w:val="24"/>
          <w:szCs w:val="24"/>
        </w:rPr>
        <w:t>Median postoperative hospital stay was 8 d. All patients were alive and free-of-disease after a median follow-up period of 23 mo. Regarding the review, seventeen articles were found related to our search.</w:t>
      </w:r>
    </w:p>
    <w:p w:rsidR="00114FF2" w:rsidRPr="008D49C9" w:rsidRDefault="00114FF2" w:rsidP="008D49C9">
      <w:pPr>
        <w:spacing w:line="360" w:lineRule="auto"/>
        <w:rPr>
          <w:rFonts w:ascii="Book Antiqua" w:hAnsi="Book Antiqua"/>
          <w:sz w:val="24"/>
          <w:szCs w:val="24"/>
        </w:rPr>
      </w:pPr>
    </w:p>
    <w:p w:rsidR="00114FF2" w:rsidRDefault="00114FF2" w:rsidP="008D49C9">
      <w:pPr>
        <w:spacing w:line="360" w:lineRule="auto"/>
        <w:rPr>
          <w:rFonts w:ascii="Book Antiqua" w:hAnsi="Book Antiqua"/>
          <w:sz w:val="24"/>
          <w:szCs w:val="24"/>
        </w:rPr>
      </w:pPr>
      <w:r w:rsidRPr="008D49C9">
        <w:rPr>
          <w:rFonts w:ascii="Book Antiqua" w:hAnsi="Book Antiqua"/>
          <w:b/>
          <w:sz w:val="24"/>
          <w:szCs w:val="24"/>
        </w:rPr>
        <w:t>CONCLUSION:</w:t>
      </w:r>
      <w:r>
        <w:rPr>
          <w:rFonts w:ascii="Book Antiqua" w:hAnsi="Book Antiqua"/>
          <w:sz w:val="24"/>
          <w:szCs w:val="24"/>
        </w:rPr>
        <w:t xml:space="preserve"> </w:t>
      </w:r>
      <w:r w:rsidRPr="008D49C9">
        <w:rPr>
          <w:rFonts w:ascii="Book Antiqua" w:hAnsi="Book Antiqua"/>
          <w:sz w:val="24"/>
          <w:szCs w:val="24"/>
        </w:rPr>
        <w:t xml:space="preserve">Our series shows how a multimodal management on Hbl, exhaustive control and meticulous surgical approach leads to almost 100% complete resection with optimal postoperative results. </w:t>
      </w:r>
    </w:p>
    <w:p w:rsidR="00114FF2" w:rsidRPr="008D49C9" w:rsidRDefault="00114FF2" w:rsidP="008D49C9">
      <w:pPr>
        <w:spacing w:line="360" w:lineRule="auto"/>
        <w:rPr>
          <w:rFonts w:ascii="Book Antiqua" w:hAnsi="Book Antiqua"/>
          <w:sz w:val="24"/>
          <w:szCs w:val="24"/>
        </w:rPr>
      </w:pPr>
    </w:p>
    <w:p w:rsidR="00114FF2" w:rsidRPr="00A7393F" w:rsidRDefault="00114FF2" w:rsidP="00BA28C8">
      <w:pPr>
        <w:spacing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2013 Baishideng Publishing Group Co., Limited. All rights reserved.</w:t>
      </w:r>
    </w:p>
    <w:p w:rsidR="00114FF2" w:rsidRPr="00BA28C8" w:rsidRDefault="00114FF2" w:rsidP="008D49C9">
      <w:pPr>
        <w:spacing w:line="360" w:lineRule="auto"/>
        <w:rPr>
          <w:rFonts w:ascii="Book Antiqua" w:hAnsi="Book Antiqua"/>
          <w:sz w:val="24"/>
          <w:szCs w:val="24"/>
        </w:rPr>
      </w:pPr>
    </w:p>
    <w:p w:rsidR="00114FF2" w:rsidRDefault="00114FF2" w:rsidP="008D49C9">
      <w:pPr>
        <w:spacing w:line="360" w:lineRule="auto"/>
        <w:rPr>
          <w:rFonts w:ascii="Book Antiqua" w:hAnsi="Book Antiqua"/>
          <w:sz w:val="24"/>
          <w:szCs w:val="24"/>
        </w:rPr>
      </w:pPr>
      <w:r w:rsidRPr="008D49C9">
        <w:rPr>
          <w:rFonts w:ascii="Book Antiqua" w:hAnsi="Book Antiqua"/>
          <w:b/>
          <w:sz w:val="24"/>
          <w:szCs w:val="24"/>
        </w:rPr>
        <w:lastRenderedPageBreak/>
        <w:t xml:space="preserve">Key words: </w:t>
      </w:r>
      <w:r w:rsidRPr="008D49C9">
        <w:rPr>
          <w:rFonts w:ascii="Book Antiqua" w:hAnsi="Book Antiqua"/>
          <w:sz w:val="24"/>
          <w:szCs w:val="24"/>
        </w:rPr>
        <w:t>Liver tumours</w:t>
      </w:r>
      <w:r>
        <w:rPr>
          <w:rFonts w:ascii="Book Antiqua" w:hAnsi="Book Antiqua"/>
          <w:sz w:val="24"/>
          <w:szCs w:val="24"/>
        </w:rPr>
        <w:t xml:space="preserve">; </w:t>
      </w:r>
      <w:r w:rsidRPr="008D49C9">
        <w:rPr>
          <w:rFonts w:ascii="Book Antiqua" w:hAnsi="Book Antiqua"/>
          <w:sz w:val="24"/>
          <w:szCs w:val="24"/>
        </w:rPr>
        <w:t>Chemotherapy</w:t>
      </w:r>
      <w:r>
        <w:rPr>
          <w:rFonts w:ascii="Book Antiqua" w:hAnsi="Book Antiqua"/>
          <w:sz w:val="24"/>
          <w:szCs w:val="24"/>
        </w:rPr>
        <w:t>;</w:t>
      </w:r>
      <w:r w:rsidRPr="008D49C9">
        <w:rPr>
          <w:rFonts w:ascii="Book Antiqua" w:hAnsi="Book Antiqua"/>
          <w:sz w:val="24"/>
          <w:szCs w:val="24"/>
        </w:rPr>
        <w:t xml:space="preserve"> Liver surgery</w:t>
      </w:r>
      <w:r>
        <w:rPr>
          <w:rFonts w:ascii="Book Antiqua" w:hAnsi="Book Antiqua"/>
          <w:sz w:val="24"/>
          <w:szCs w:val="24"/>
        </w:rPr>
        <w:t>;</w:t>
      </w:r>
      <w:r w:rsidRPr="008D49C9">
        <w:rPr>
          <w:rFonts w:ascii="Book Antiqua" w:hAnsi="Book Antiqua"/>
          <w:sz w:val="24"/>
          <w:szCs w:val="24"/>
        </w:rPr>
        <w:t xml:space="preserve"> M</w:t>
      </w:r>
      <w:r>
        <w:rPr>
          <w:rFonts w:ascii="Book Antiqua" w:hAnsi="Book Antiqua"/>
          <w:sz w:val="24"/>
          <w:szCs w:val="24"/>
        </w:rPr>
        <w:t>ultimodal Management</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r w:rsidRPr="008D49C9">
        <w:rPr>
          <w:rFonts w:ascii="Book Antiqua" w:hAnsi="Book Antiqua"/>
          <w:b/>
          <w:sz w:val="24"/>
          <w:szCs w:val="24"/>
        </w:rPr>
        <w:t xml:space="preserve">Core tip: </w:t>
      </w:r>
      <w:r w:rsidRPr="008D49C9">
        <w:rPr>
          <w:rFonts w:ascii="Book Antiqua" w:hAnsi="Book Antiqua"/>
          <w:sz w:val="24"/>
          <w:szCs w:val="24"/>
        </w:rPr>
        <w:t xml:space="preserve">Complete surgical resection is the cornerstone of treatment for </w:t>
      </w:r>
      <w:r w:rsidRPr="00E24835">
        <w:rPr>
          <w:rFonts w:ascii="Book Antiqua" w:hAnsi="Book Antiqua"/>
          <w:sz w:val="24"/>
          <w:szCs w:val="24"/>
        </w:rPr>
        <w:t>hepatoblastoma (Hbl)</w:t>
      </w:r>
      <w:r w:rsidRPr="008D49C9">
        <w:rPr>
          <w:rFonts w:ascii="Book Antiqua" w:hAnsi="Book Antiqua"/>
          <w:sz w:val="24"/>
          <w:szCs w:val="24"/>
        </w:rPr>
        <w:t xml:space="preserve">, but less than 40% of patients have resectable disease at diagnosis. Our experience with long-term outcomes after a multimodal management therapy and a review of literature are reported. An observational retrospective study was performed, including seven patients with Hbl treated in our institution, a tertiary referral center, from 2003 to 2011. Our series shows how a multimodal management on Hbl, exhaustive control and meticulous surgical approach leads to almost 100% complete resection with optimal postoperative results. </w:t>
      </w:r>
    </w:p>
    <w:p w:rsidR="00114FF2" w:rsidRPr="008D49C9" w:rsidRDefault="00114FF2" w:rsidP="008D49C9">
      <w:pPr>
        <w:spacing w:line="360" w:lineRule="auto"/>
        <w:rPr>
          <w:rFonts w:ascii="Book Antiqua" w:hAnsi="Book Antiqua"/>
          <w:sz w:val="24"/>
          <w:szCs w:val="24"/>
        </w:rPr>
      </w:pPr>
    </w:p>
    <w:p w:rsidR="00114FF2" w:rsidRDefault="00114FF2" w:rsidP="00AB00DD">
      <w:pPr>
        <w:spacing w:line="360" w:lineRule="auto"/>
        <w:rPr>
          <w:rFonts w:ascii="Book Antiqua" w:hAnsi="Book Antiqua"/>
          <w:sz w:val="24"/>
          <w:szCs w:val="24"/>
        </w:rPr>
      </w:pPr>
      <w:r w:rsidRPr="00544AB9">
        <w:rPr>
          <w:rFonts w:ascii="Book Antiqua" w:hAnsi="Book Antiqua"/>
          <w:sz w:val="24"/>
          <w:szCs w:val="24"/>
        </w:rPr>
        <w:t>Ayllon Teran D, Gomez Beltran O, Ciria Bru R, Mateos Gonzalez E, Peña Rosa MJ, Luque Molina A, Lopez Cillero P, Briceño Delgado J.</w:t>
      </w:r>
      <w:r w:rsidRPr="00AB00DD">
        <w:t xml:space="preserve"> </w:t>
      </w:r>
      <w:r w:rsidRPr="00AB00DD">
        <w:rPr>
          <w:rFonts w:ascii="Book Antiqua" w:hAnsi="Book Antiqua"/>
          <w:sz w:val="24"/>
          <w:szCs w:val="24"/>
        </w:rPr>
        <w:t>Efficacy of neoadjuvant therapy and surgical rescue for locally advanced hepatoblastomas: 10 years single-center experience and literature review.</w:t>
      </w:r>
    </w:p>
    <w:p w:rsidR="00114FF2" w:rsidRPr="00AB00DD" w:rsidRDefault="00114FF2" w:rsidP="008D49C9">
      <w:pPr>
        <w:spacing w:line="360" w:lineRule="auto"/>
        <w:rPr>
          <w:rFonts w:ascii="Book Antiqua" w:hAnsi="Book Antiqua"/>
          <w:i/>
          <w:sz w:val="24"/>
          <w:szCs w:val="24"/>
        </w:rPr>
      </w:pPr>
      <w:r w:rsidRPr="00AB00DD">
        <w:rPr>
          <w:rFonts w:ascii="Book Antiqua" w:hAnsi="Book Antiqua"/>
          <w:i/>
          <w:sz w:val="24"/>
          <w:szCs w:val="24"/>
        </w:rPr>
        <w:t xml:space="preserve">World J Gastroenterol 2013;  </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Available from:</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DOI:</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 xml:space="preserve"> </w:t>
      </w:r>
    </w:p>
    <w:p w:rsidR="00114FF2" w:rsidRDefault="00114FF2">
      <w:pPr>
        <w:widowControl/>
        <w:jc w:val="left"/>
        <w:rPr>
          <w:rFonts w:ascii="Book Antiqua" w:hAnsi="Book Antiqua"/>
          <w:sz w:val="24"/>
          <w:szCs w:val="24"/>
        </w:rPr>
      </w:pPr>
      <w:r>
        <w:rPr>
          <w:rFonts w:ascii="Book Antiqua" w:hAnsi="Book Antiqua"/>
          <w:sz w:val="24"/>
          <w:szCs w:val="24"/>
        </w:rPr>
        <w:br w:type="page"/>
      </w: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INTRODUCTION</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Hepatic neoplasms represent 1% of the malignant tumors in the childhood</w:t>
      </w:r>
      <w:r w:rsidRPr="008D49C9">
        <w:rPr>
          <w:rFonts w:ascii="Book Antiqua" w:hAnsi="Book Antiqua"/>
          <w:sz w:val="24"/>
          <w:szCs w:val="24"/>
          <w:vertAlign w:val="superscript"/>
        </w:rPr>
        <w:t>[1]</w:t>
      </w:r>
      <w:r w:rsidRPr="008D49C9">
        <w:rPr>
          <w:rFonts w:ascii="Book Antiqua" w:hAnsi="Book Antiqua"/>
          <w:sz w:val="24"/>
          <w:szCs w:val="24"/>
        </w:rPr>
        <w:t>. Hepatoblastoma (Hbl) is the most frequent tumor type, accounting for almost two-thirds of primary malignant liver tumors in children, with an overall incidence of 1.5 cases per million population</w:t>
      </w:r>
      <w:r w:rsidRPr="008D49C9">
        <w:rPr>
          <w:rFonts w:ascii="Book Antiqua" w:hAnsi="Book Antiqua"/>
          <w:sz w:val="24"/>
          <w:szCs w:val="24"/>
          <w:vertAlign w:val="superscript"/>
        </w:rPr>
        <w:t>[2,3]</w:t>
      </w:r>
      <w:r w:rsidRPr="008D49C9">
        <w:rPr>
          <w:rFonts w:ascii="Book Antiqua" w:hAnsi="Book Antiqua"/>
          <w:sz w:val="24"/>
          <w:szCs w:val="24"/>
        </w:rPr>
        <w:t>. Two thirds of these tumors occur in the first 2 years of age</w:t>
      </w:r>
      <w:r w:rsidRPr="008D49C9">
        <w:rPr>
          <w:rFonts w:ascii="Book Antiqua" w:hAnsi="Book Antiqua"/>
          <w:sz w:val="24"/>
          <w:szCs w:val="24"/>
          <w:vertAlign w:val="superscript"/>
        </w:rPr>
        <w:t>[4]</w:t>
      </w:r>
      <w:r w:rsidRPr="008D49C9">
        <w:rPr>
          <w:rFonts w:ascii="Book Antiqua" w:hAnsi="Book Antiqua"/>
          <w:sz w:val="24"/>
          <w:szCs w:val="24"/>
        </w:rPr>
        <w:t>.</w:t>
      </w:r>
    </w:p>
    <w:p w:rsidR="00114FF2" w:rsidRPr="008D49C9" w:rsidRDefault="00114FF2" w:rsidP="008D49C9">
      <w:pPr>
        <w:spacing w:line="360" w:lineRule="auto"/>
        <w:ind w:firstLineChars="200" w:firstLine="480"/>
        <w:rPr>
          <w:rFonts w:ascii="Book Antiqua" w:hAnsi="Book Antiqua"/>
          <w:sz w:val="24"/>
          <w:szCs w:val="24"/>
        </w:rPr>
      </w:pPr>
      <w:r w:rsidRPr="008D49C9">
        <w:rPr>
          <w:rFonts w:ascii="Book Antiqua" w:hAnsi="Book Antiqua"/>
          <w:sz w:val="24"/>
          <w:szCs w:val="24"/>
        </w:rPr>
        <w:t>Most children with Hbl present with an enlarging abdominal mass and in 70% of cases are in an advanced stage at diagnosis</w:t>
      </w:r>
      <w:r w:rsidRPr="008D49C9">
        <w:rPr>
          <w:rFonts w:ascii="Book Antiqua" w:hAnsi="Book Antiqua"/>
          <w:sz w:val="24"/>
          <w:szCs w:val="24"/>
          <w:vertAlign w:val="superscript"/>
        </w:rPr>
        <w:t>[2]</w:t>
      </w:r>
      <w:r w:rsidRPr="008D49C9">
        <w:rPr>
          <w:rFonts w:ascii="Book Antiqua" w:hAnsi="Book Antiqua"/>
          <w:sz w:val="24"/>
          <w:szCs w:val="24"/>
        </w:rPr>
        <w:t>. Complete surgical resection is the cornerstone of treatment</w:t>
      </w:r>
      <w:r w:rsidRPr="008D49C9">
        <w:rPr>
          <w:rFonts w:ascii="Book Antiqua" w:hAnsi="Book Antiqua"/>
          <w:sz w:val="24"/>
          <w:szCs w:val="24"/>
          <w:vertAlign w:val="superscript"/>
        </w:rPr>
        <w:t>[5]</w:t>
      </w:r>
      <w:r w:rsidRPr="008D49C9">
        <w:rPr>
          <w:rFonts w:ascii="Book Antiqua" w:hAnsi="Book Antiqua"/>
          <w:sz w:val="24"/>
          <w:szCs w:val="24"/>
        </w:rPr>
        <w:t>; however less than 40% of the patients have resectable disease at diagnosis, because of local invasion, caval infiltration or distant metastases</w:t>
      </w:r>
      <w:r w:rsidRPr="008D49C9">
        <w:rPr>
          <w:rFonts w:ascii="Book Antiqua" w:hAnsi="Book Antiqua"/>
          <w:sz w:val="24"/>
          <w:szCs w:val="24"/>
          <w:vertAlign w:val="superscript"/>
        </w:rPr>
        <w:t>[6]</w:t>
      </w:r>
      <w:r w:rsidRPr="008D49C9">
        <w:rPr>
          <w:rFonts w:ascii="Book Antiqua" w:hAnsi="Book Antiqua"/>
          <w:sz w:val="24"/>
          <w:szCs w:val="24"/>
        </w:rPr>
        <w:t>. In the early 1970s, some studies reported the response of the Hbl to chemotherapy. The International Society of Pediatric Oncology (SIOP) was a pioneer in the concept of neoadjuvant chemotherapy for the management of hepatoblastoma</w:t>
      </w:r>
      <w:r w:rsidRPr="008D49C9">
        <w:rPr>
          <w:rFonts w:ascii="Book Antiqua" w:hAnsi="Book Antiqua"/>
          <w:sz w:val="24"/>
          <w:szCs w:val="24"/>
          <w:vertAlign w:val="superscript"/>
        </w:rPr>
        <w:t>[7,8]</w:t>
      </w:r>
      <w:r w:rsidRPr="008D49C9">
        <w:rPr>
          <w:rFonts w:ascii="Book Antiqua" w:hAnsi="Book Antiqua"/>
          <w:sz w:val="24"/>
          <w:szCs w:val="24"/>
        </w:rPr>
        <w:t>. Thereby, 28% of patients may be down staged, in 87%</w:t>
      </w:r>
      <w:r>
        <w:rPr>
          <w:rFonts w:ascii="Book Antiqua" w:hAnsi="Book Antiqua"/>
          <w:sz w:val="24"/>
          <w:szCs w:val="24"/>
        </w:rPr>
        <w:t>-</w:t>
      </w:r>
      <w:r w:rsidRPr="008D49C9">
        <w:rPr>
          <w:rFonts w:ascii="Book Antiqua" w:hAnsi="Book Antiqua"/>
          <w:sz w:val="24"/>
          <w:szCs w:val="24"/>
        </w:rPr>
        <w:t xml:space="preserve">91% of cases a complete macroscopic resection may be achieved and the morbidity and mortality rates have decreased to 18% and 5%, respectively, with the </w:t>
      </w:r>
      <w:r>
        <w:rPr>
          <w:rFonts w:ascii="Book Antiqua" w:hAnsi="Book Antiqua"/>
          <w:sz w:val="24"/>
          <w:szCs w:val="24"/>
        </w:rPr>
        <w:t>use of neoadjuvant chemotherapy</w:t>
      </w:r>
      <w:r w:rsidRPr="008D49C9">
        <w:rPr>
          <w:rFonts w:ascii="Book Antiqua" w:hAnsi="Book Antiqua"/>
          <w:sz w:val="24"/>
          <w:szCs w:val="24"/>
          <w:vertAlign w:val="superscript"/>
        </w:rPr>
        <w:t>[5,9]</w:t>
      </w:r>
      <w:r w:rsidRPr="008D49C9">
        <w:rPr>
          <w:rFonts w:ascii="Book Antiqua" w:hAnsi="Book Antiqua"/>
          <w:sz w:val="24"/>
          <w:szCs w:val="24"/>
        </w:rPr>
        <w:t>. Chemotherapy is used to reduce tumor size in lesions that appear unresectable at diagnosis and to control residual microscopic disease after definitive resection</w:t>
      </w:r>
      <w:r w:rsidRPr="008D49C9">
        <w:rPr>
          <w:rFonts w:ascii="Book Antiqua" w:hAnsi="Book Antiqua"/>
          <w:sz w:val="24"/>
          <w:szCs w:val="24"/>
          <w:vertAlign w:val="superscript"/>
        </w:rPr>
        <w:t>[9]</w:t>
      </w:r>
      <w:r>
        <w:rPr>
          <w:rFonts w:ascii="Book Antiqua" w:hAnsi="Book Antiqua"/>
          <w:sz w:val="24"/>
          <w:szCs w:val="24"/>
        </w:rPr>
        <w:t xml:space="preserve">. </w:t>
      </w:r>
      <w:r w:rsidRPr="008D49C9">
        <w:rPr>
          <w:rFonts w:ascii="Book Antiqua" w:hAnsi="Book Antiqua"/>
          <w:sz w:val="24"/>
          <w:szCs w:val="24"/>
        </w:rPr>
        <w:t>Orthotopic liver transpalantation (OLT) is an effective therapy for selected malignancies in the childhood, as multifocal Hbl without extrahepatic disease, type-2 hemangioendotheliomas and hepatocarcinoma with tumours &lt; 5 cm without vascular invasion</w:t>
      </w:r>
      <w:r w:rsidRPr="008D49C9">
        <w:rPr>
          <w:rFonts w:ascii="Book Antiqua" w:hAnsi="Book Antiqua"/>
          <w:sz w:val="24"/>
          <w:szCs w:val="24"/>
          <w:vertAlign w:val="superscript"/>
        </w:rPr>
        <w:t>[10]</w:t>
      </w:r>
      <w:r w:rsidRPr="008D49C9">
        <w:rPr>
          <w:rFonts w:ascii="Book Antiqua" w:hAnsi="Book Antiqua"/>
          <w:sz w:val="24"/>
          <w:szCs w:val="24"/>
        </w:rPr>
        <w:t xml:space="preserve">. </w:t>
      </w:r>
    </w:p>
    <w:p w:rsidR="00114FF2" w:rsidRPr="008D49C9" w:rsidRDefault="00114FF2" w:rsidP="008D49C9">
      <w:pPr>
        <w:spacing w:line="360" w:lineRule="auto"/>
        <w:ind w:firstLineChars="300" w:firstLine="720"/>
        <w:rPr>
          <w:rFonts w:ascii="Book Antiqua" w:hAnsi="Book Antiqua"/>
          <w:sz w:val="24"/>
          <w:szCs w:val="24"/>
        </w:rPr>
      </w:pPr>
      <w:r w:rsidRPr="008D49C9">
        <w:rPr>
          <w:rFonts w:ascii="Book Antiqua" w:hAnsi="Book Antiqua"/>
          <w:sz w:val="24"/>
          <w:szCs w:val="24"/>
        </w:rPr>
        <w:t xml:space="preserve">Despite its effectiveness, isolated surgical resections may not be enough to control disease spread. Moreover, locally advanced Hbl may require extensive liver resections that may lead to increased postoperative morbidity and mortality. Few series have reported the efficacy of neoadyuvant chemotherapy and surgical resection for Hbl. Hereby we report our experience with long-term outcomes on Hbl after a multimodal </w:t>
      </w:r>
      <w:r w:rsidRPr="008D49C9">
        <w:rPr>
          <w:rFonts w:ascii="Book Antiqua" w:hAnsi="Book Antiqua"/>
          <w:sz w:val="24"/>
          <w:szCs w:val="24"/>
        </w:rPr>
        <w:lastRenderedPageBreak/>
        <w:t xml:space="preserve">management therapy. </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MATERIALS AND METHODS</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All the patients diagnosed of Hbl and treated at our institution, a tertiary referral center, between 2003 and 2011 were included in this observational retrospective analysis. According to image techniques such as computerized tomography (CT) scan or magnetic resonance imaging (MRI), all patients were assigned to PRETEXT (Pre-treatment extent of disease) stage and four groups of patients were identified as PRETEXT I-IV, both at diagnosis and after preoperative chemotherapy, according to the classification proposed by Liver Tumors Strategy Group (SIOPEL) for their SIOPEL-1 study</w:t>
      </w:r>
      <w:r w:rsidRPr="008D49C9">
        <w:rPr>
          <w:rFonts w:ascii="Book Antiqua" w:hAnsi="Book Antiqua"/>
          <w:sz w:val="24"/>
          <w:szCs w:val="24"/>
          <w:vertAlign w:val="superscript"/>
        </w:rPr>
        <w:t>[11]</w:t>
      </w:r>
      <w:r w:rsidRPr="008D49C9">
        <w:rPr>
          <w:rFonts w:ascii="Book Antiqua" w:hAnsi="Book Antiqua"/>
          <w:sz w:val="24"/>
          <w:szCs w:val="24"/>
        </w:rPr>
        <w:t>. Standard follow up was based on serial AFP levels every three months for the first year and every six months for the next ten years. MRI every six months was our protocolized imaging technique for the immediate 5 years after surgery.</w:t>
      </w:r>
    </w:p>
    <w:p w:rsidR="00114FF2" w:rsidRPr="008D49C9" w:rsidRDefault="00114FF2" w:rsidP="008D49C9">
      <w:pPr>
        <w:spacing w:line="360" w:lineRule="auto"/>
        <w:ind w:firstLineChars="300" w:firstLine="720"/>
        <w:rPr>
          <w:rFonts w:ascii="Book Antiqua" w:hAnsi="Book Antiqua"/>
          <w:sz w:val="24"/>
          <w:szCs w:val="24"/>
        </w:rPr>
      </w:pPr>
      <w:r w:rsidRPr="008D49C9">
        <w:rPr>
          <w:rFonts w:ascii="Book Antiqua" w:hAnsi="Book Antiqua"/>
          <w:sz w:val="24"/>
          <w:szCs w:val="24"/>
        </w:rPr>
        <w:t xml:space="preserve">Demographic (age, gender and weight); preoperative (initial presentation, alpha-fetoprotein (αFP) levels, location and volume of the tumor, method of diagnosis, tumor spread at diagnosis, preoperative chemotherapy; surgical procedure performed, tumor characteristics, histology, margins and vascular invasions and outcomes (complications of treatment, length of hospital stay, recurrence, overall and disease-free survival) variables were collected. Data were expressed as median and range. Independent and paired non-parametric tests were used for baseline comparisons. SPSS software 14.0 was used for statistical analysis. </w:t>
      </w:r>
    </w:p>
    <w:p w:rsidR="00114FF2" w:rsidRPr="008D49C9" w:rsidRDefault="00114FF2" w:rsidP="008D49C9">
      <w:pPr>
        <w:spacing w:line="360" w:lineRule="auto"/>
        <w:ind w:firstLineChars="300" w:firstLine="720"/>
        <w:rPr>
          <w:rFonts w:ascii="Book Antiqua" w:hAnsi="Book Antiqua"/>
          <w:sz w:val="24"/>
          <w:szCs w:val="24"/>
        </w:rPr>
      </w:pPr>
      <w:r w:rsidRPr="008D49C9">
        <w:rPr>
          <w:rFonts w:ascii="Book Antiqua" w:hAnsi="Book Antiqua"/>
          <w:sz w:val="24"/>
          <w:szCs w:val="24"/>
        </w:rPr>
        <w:t xml:space="preserve">A review of the literature was carried out to identify all series reported of hepatoblastomas treated with a combination of neoadjuvant chemotherapy and surgical resection. The Cochrane Database of systematic reviews, the Cochrane central register of controlled trials, and MEDLINE databases were searched using the keywords (preoperative chemotherapy OR neoadjuvant treatment OR locally advanced) AND (hepatoblastoma) to identify studies published up to September 2012. Free text words were used instead of MeSH </w:t>
      </w:r>
      <w:r w:rsidRPr="008D49C9">
        <w:rPr>
          <w:rFonts w:ascii="Book Antiqua" w:hAnsi="Book Antiqua"/>
          <w:sz w:val="24"/>
          <w:szCs w:val="24"/>
        </w:rPr>
        <w:lastRenderedPageBreak/>
        <w:t xml:space="preserve">terms to avoid missing recent articles that had not yet been given a MeSH </w:t>
      </w:r>
      <w:r>
        <w:rPr>
          <w:rFonts w:ascii="Book Antiqua" w:hAnsi="Book Antiqua"/>
          <w:sz w:val="24"/>
          <w:szCs w:val="24"/>
        </w:rPr>
        <w:t>label. Two investigators (MDA and OG</w:t>
      </w:r>
      <w:r w:rsidRPr="008D49C9">
        <w:rPr>
          <w:rFonts w:ascii="Book Antiqua" w:hAnsi="Book Antiqua"/>
          <w:sz w:val="24"/>
          <w:szCs w:val="24"/>
        </w:rPr>
        <w:t>) independently performed the literature search. Electronic links to related articles and references of selected articles were hand-searched as well. The search was not restricted to any language but only studies published in English were taken into account.</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RESULTS</w:t>
      </w:r>
    </w:p>
    <w:p w:rsidR="00114FF2" w:rsidRPr="008D49C9" w:rsidRDefault="00114FF2" w:rsidP="008D49C9">
      <w:pPr>
        <w:spacing w:line="360" w:lineRule="auto"/>
        <w:rPr>
          <w:rFonts w:ascii="Book Antiqua" w:hAnsi="Book Antiqua"/>
          <w:b/>
          <w:i/>
          <w:sz w:val="24"/>
          <w:szCs w:val="24"/>
        </w:rPr>
      </w:pPr>
      <w:r w:rsidRPr="008D49C9">
        <w:rPr>
          <w:rFonts w:ascii="Book Antiqua" w:hAnsi="Book Antiqua"/>
          <w:b/>
          <w:i/>
          <w:sz w:val="24"/>
          <w:szCs w:val="24"/>
        </w:rPr>
        <w:t>Descriptive results</w:t>
      </w:r>
    </w:p>
    <w:p w:rsidR="00114FF2" w:rsidRDefault="00114FF2" w:rsidP="008D49C9">
      <w:pPr>
        <w:spacing w:line="360" w:lineRule="auto"/>
        <w:rPr>
          <w:rFonts w:ascii="Book Antiqua" w:hAnsi="Book Antiqua"/>
          <w:sz w:val="24"/>
          <w:szCs w:val="24"/>
        </w:rPr>
      </w:pPr>
      <w:r w:rsidRPr="008D49C9">
        <w:rPr>
          <w:rFonts w:ascii="Book Antiqua" w:hAnsi="Book Antiqua"/>
          <w:sz w:val="24"/>
          <w:szCs w:val="24"/>
        </w:rPr>
        <w:t>Seven children with Hbl were referred to our hospital between 2003 and 2012. Male to female ratio was 4</w:t>
      </w:r>
      <w:r w:rsidRPr="007D27A0">
        <w:rPr>
          <w:rFonts w:ascii="Book Antiqua" w:hAnsi="Book Antiqua"/>
          <w:b/>
          <w:sz w:val="24"/>
          <w:szCs w:val="24"/>
        </w:rPr>
        <w:t>:</w:t>
      </w:r>
      <w:r w:rsidRPr="008D49C9">
        <w:rPr>
          <w:rFonts w:ascii="Book Antiqua" w:hAnsi="Book Antiqua"/>
          <w:sz w:val="24"/>
          <w:szCs w:val="24"/>
        </w:rPr>
        <w:t>3. The median age at surgery was 14.4 mo (range, 3-31 mo). Golabi-Behmel syndrome (congenital syndrome X-linked with an increased risk of embryonal cancers)</w:t>
      </w:r>
      <w:r w:rsidRPr="008D49C9">
        <w:rPr>
          <w:rFonts w:ascii="Book Antiqua" w:hAnsi="Book Antiqua"/>
          <w:sz w:val="24"/>
          <w:szCs w:val="24"/>
          <w:vertAlign w:val="superscript"/>
        </w:rPr>
        <w:t>[12]</w:t>
      </w:r>
      <w:r w:rsidRPr="008D49C9">
        <w:rPr>
          <w:rFonts w:ascii="Book Antiqua" w:hAnsi="Book Antiqua"/>
          <w:sz w:val="24"/>
          <w:szCs w:val="24"/>
        </w:rPr>
        <w:t xml:space="preserve"> was associated in a male patient, but none of the patients were preterm. Median weight of the patients prior to the surgery was 9.26</w:t>
      </w:r>
      <w:r>
        <w:rPr>
          <w:rFonts w:ascii="Book Antiqua" w:hAnsi="Book Antiqua"/>
          <w:sz w:val="24"/>
          <w:szCs w:val="24"/>
        </w:rPr>
        <w:t xml:space="preserve"> kg (range, 4.8-</w:t>
      </w:r>
      <w:r w:rsidRPr="008D49C9">
        <w:rPr>
          <w:rFonts w:ascii="Book Antiqua" w:hAnsi="Book Antiqua"/>
          <w:sz w:val="24"/>
          <w:szCs w:val="24"/>
        </w:rPr>
        <w:t>13.5 kg). The most common symptom found was a palpable abdominal mass (85%). The median alpha-fetoprotein (αFP) level at diagnosis was 141.7 ng/mL (range, 379-483756 ng/mL). Thrombocytosis was found in 71.4% of cases. PRETEXT staging at diagnosis was as follows: Stage I 4 patients, Stage II 2 cases and Stage III 1 patient. There were not any metastases at diagnosis. P1, an additional criteria of PRETEXT staging (involvement of either the left or right branch of the portal vein) was suspected in three cases (two right branch, one left branch)</w:t>
      </w:r>
      <w:r w:rsidRPr="008D49C9">
        <w:rPr>
          <w:rFonts w:ascii="Book Antiqua" w:hAnsi="Book Antiqua"/>
          <w:sz w:val="24"/>
          <w:szCs w:val="24"/>
          <w:vertAlign w:val="superscript"/>
        </w:rPr>
        <w:t>[13]</w:t>
      </w:r>
      <w:r>
        <w:rPr>
          <w:rFonts w:ascii="Book Antiqua" w:hAnsi="Book Antiqua"/>
          <w:sz w:val="24"/>
          <w:szCs w:val="24"/>
        </w:rPr>
        <w:t>.</w:t>
      </w:r>
      <w:r w:rsidRPr="008D49C9">
        <w:rPr>
          <w:rFonts w:ascii="Book Antiqua" w:hAnsi="Book Antiqua"/>
          <w:sz w:val="24"/>
          <w:szCs w:val="24"/>
        </w:rPr>
        <w:t xml:space="preserve"> Mean tumor volume at diagnosis was 735 cm</w:t>
      </w:r>
      <w:r w:rsidRPr="00063235">
        <w:rPr>
          <w:rFonts w:ascii="Book Antiqua" w:hAnsi="Book Antiqua"/>
          <w:sz w:val="24"/>
          <w:szCs w:val="24"/>
          <w:vertAlign w:val="superscript"/>
        </w:rPr>
        <w:t>3</w:t>
      </w:r>
      <w:r>
        <w:rPr>
          <w:rFonts w:ascii="Book Antiqua" w:hAnsi="Book Antiqua"/>
          <w:sz w:val="24"/>
          <w:szCs w:val="24"/>
        </w:rPr>
        <w:t xml:space="preserve"> (range, 150-</w:t>
      </w:r>
      <w:r w:rsidRPr="008D49C9">
        <w:rPr>
          <w:rFonts w:ascii="Book Antiqua" w:hAnsi="Book Antiqua"/>
          <w:sz w:val="24"/>
          <w:szCs w:val="24"/>
        </w:rPr>
        <w:t>1950 cm</w:t>
      </w:r>
      <w:r w:rsidRPr="004D4190">
        <w:rPr>
          <w:rFonts w:ascii="Book Antiqua" w:hAnsi="Book Antiqua"/>
          <w:sz w:val="24"/>
          <w:szCs w:val="24"/>
          <w:vertAlign w:val="superscript"/>
        </w:rPr>
        <w:t>3</w:t>
      </w:r>
      <w:r w:rsidRPr="008D49C9">
        <w:rPr>
          <w:rFonts w:ascii="Book Antiqua" w:hAnsi="Book Antiqua"/>
          <w:sz w:val="24"/>
          <w:szCs w:val="24"/>
        </w:rPr>
        <w:t>)</w:t>
      </w:r>
      <w:r>
        <w:rPr>
          <w:rFonts w:ascii="Book Antiqua" w:hAnsi="Book Antiqua"/>
          <w:sz w:val="24"/>
          <w:szCs w:val="24"/>
        </w:rPr>
        <w:t xml:space="preserve"> (Table 1)</w:t>
      </w:r>
      <w:r w:rsidRPr="008D49C9">
        <w:rPr>
          <w:rFonts w:ascii="Book Antiqua" w:hAnsi="Book Antiqua"/>
          <w:sz w:val="24"/>
          <w:szCs w:val="24"/>
        </w:rPr>
        <w:t xml:space="preserve">. </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i/>
          <w:sz w:val="24"/>
          <w:szCs w:val="24"/>
        </w:rPr>
      </w:pPr>
      <w:r w:rsidRPr="008D49C9">
        <w:rPr>
          <w:rFonts w:ascii="Book Antiqua" w:hAnsi="Book Antiqua"/>
          <w:b/>
          <w:i/>
          <w:sz w:val="24"/>
          <w:szCs w:val="24"/>
        </w:rPr>
        <w:t>Therapeutic approach to locally advanced hepatoblastoma</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Chemotherapy was given to all patients. Five of seven patients received neoadjuvant chemotherapy, completing four cycles before surgery and two more after the surgery. The remaining two underwent primary surgery and received four</w:t>
      </w:r>
      <w:r>
        <w:rPr>
          <w:rFonts w:ascii="Book Antiqua" w:hAnsi="Book Antiqua"/>
          <w:sz w:val="24"/>
          <w:szCs w:val="24"/>
        </w:rPr>
        <w:t xml:space="preserve"> cycles adjuvant chemotherapy.</w:t>
      </w:r>
      <w:r w:rsidRPr="008D49C9">
        <w:rPr>
          <w:rFonts w:ascii="Book Antiqua" w:hAnsi="Book Antiqua"/>
          <w:sz w:val="24"/>
          <w:szCs w:val="24"/>
        </w:rPr>
        <w:t xml:space="preserve"> The pathological diagnosis of Hbl was confirmed by percutaneous biopsy previous to neoadyuvant chemotherapy in all cases. Chemotherapy regimens included the SIOPEL </w:t>
      </w:r>
      <w:r w:rsidRPr="008D49C9">
        <w:rPr>
          <w:rFonts w:ascii="Book Antiqua" w:hAnsi="Book Antiqua"/>
          <w:sz w:val="24"/>
          <w:szCs w:val="24"/>
        </w:rPr>
        <w:lastRenderedPageBreak/>
        <w:t>study protocols. PLADO regimen or SIOPEL-3 protocols (Platinum on day 1 at a dose of 2.7 mg/kg</w:t>
      </w:r>
      <w:r>
        <w:rPr>
          <w:rFonts w:ascii="Book Antiqua" w:hAnsi="Book Antiqua"/>
          <w:sz w:val="24"/>
          <w:szCs w:val="24"/>
        </w:rPr>
        <w:t xml:space="preserve"> per </w:t>
      </w:r>
      <w:r w:rsidRPr="008D49C9">
        <w:rPr>
          <w:rFonts w:ascii="Book Antiqua" w:hAnsi="Book Antiqua"/>
          <w:sz w:val="24"/>
          <w:szCs w:val="24"/>
        </w:rPr>
        <w:t>day and Doxorubicin at a dose of 1 mg/kg</w:t>
      </w:r>
      <w:r>
        <w:rPr>
          <w:rFonts w:ascii="Book Antiqua" w:hAnsi="Book Antiqua"/>
          <w:sz w:val="24"/>
          <w:szCs w:val="24"/>
        </w:rPr>
        <w:t xml:space="preserve"> per day</w:t>
      </w:r>
      <w:r w:rsidRPr="008D49C9">
        <w:rPr>
          <w:rFonts w:ascii="Book Antiqua" w:hAnsi="Book Antiqua"/>
          <w:sz w:val="24"/>
          <w:szCs w:val="24"/>
        </w:rPr>
        <w:t xml:space="preserve"> on 2</w:t>
      </w:r>
      <w:r>
        <w:rPr>
          <w:rFonts w:ascii="Book Antiqua" w:hAnsi="Book Antiqua"/>
          <w:sz w:val="24"/>
          <w:szCs w:val="24"/>
        </w:rPr>
        <w:t xml:space="preserve"> d</w:t>
      </w:r>
      <w:r w:rsidRPr="008D49C9">
        <w:rPr>
          <w:rFonts w:ascii="Book Antiqua" w:hAnsi="Book Antiqua"/>
          <w:sz w:val="24"/>
          <w:szCs w:val="24"/>
        </w:rPr>
        <w:t xml:space="preserve"> and 3 every 20 d) was used in four patients, and Cisplatin alone or SIOPEL-6 (at a dose of 2.7 mg/kg</w:t>
      </w:r>
      <w:r>
        <w:rPr>
          <w:rFonts w:ascii="Book Antiqua" w:hAnsi="Book Antiqua"/>
          <w:sz w:val="24"/>
          <w:szCs w:val="24"/>
        </w:rPr>
        <w:t xml:space="preserve"> per </w:t>
      </w:r>
      <w:r w:rsidRPr="008D49C9">
        <w:rPr>
          <w:rFonts w:ascii="Book Antiqua" w:hAnsi="Book Antiqua"/>
          <w:sz w:val="24"/>
          <w:szCs w:val="24"/>
        </w:rPr>
        <w:t xml:space="preserve">day) was used in three patients. Neutropenia cases were treated with granulocyte stimulating grow factor and trimethopin/sulfamethoxazole was used for prophylaxis </w:t>
      </w:r>
      <w:r>
        <w:rPr>
          <w:rFonts w:ascii="Book Antiqua" w:hAnsi="Book Antiqua"/>
          <w:sz w:val="24"/>
          <w:szCs w:val="24"/>
        </w:rPr>
        <w:t>against Pneumocystis pneumonia.</w:t>
      </w:r>
      <w:r w:rsidRPr="008D49C9">
        <w:rPr>
          <w:rFonts w:ascii="Book Antiqua" w:hAnsi="Book Antiqua"/>
          <w:sz w:val="24"/>
          <w:szCs w:val="24"/>
        </w:rPr>
        <w:t xml:space="preserve"> Neither mortality nor long-term toxicity related with chemotherapy was reported. The patients who underwent neoadjuvant chemotherapy were reassessed every two months and all of them received four cycles before surgery. </w:t>
      </w:r>
    </w:p>
    <w:p w:rsidR="00114FF2" w:rsidRPr="008D49C9" w:rsidRDefault="00114FF2" w:rsidP="008D49C9">
      <w:pPr>
        <w:spacing w:line="360" w:lineRule="auto"/>
        <w:ind w:firstLineChars="200" w:firstLine="480"/>
        <w:rPr>
          <w:rFonts w:ascii="Book Antiqua" w:hAnsi="Book Antiqua"/>
          <w:sz w:val="24"/>
          <w:szCs w:val="24"/>
        </w:rPr>
      </w:pPr>
      <w:r w:rsidRPr="008D49C9">
        <w:rPr>
          <w:rFonts w:ascii="Book Antiqua" w:hAnsi="Book Antiqua"/>
          <w:sz w:val="24"/>
          <w:szCs w:val="24"/>
        </w:rPr>
        <w:t>Tumor volume significantly dropped after neoadjuvant chemotherapy (from an initial median of 735</w:t>
      </w:r>
      <w:r>
        <w:rPr>
          <w:rFonts w:ascii="Book Antiqua" w:hAnsi="Book Antiqua"/>
          <w:sz w:val="24"/>
          <w:szCs w:val="24"/>
        </w:rPr>
        <w:t>-</w:t>
      </w:r>
      <w:r w:rsidRPr="008D49C9">
        <w:rPr>
          <w:rFonts w:ascii="Book Antiqua" w:hAnsi="Book Antiqua"/>
          <w:sz w:val="24"/>
          <w:szCs w:val="24"/>
        </w:rPr>
        <w:t>287 cm</w:t>
      </w:r>
      <w:r w:rsidRPr="00642FF2">
        <w:rPr>
          <w:rFonts w:ascii="Book Antiqua" w:hAnsi="Book Antiqua"/>
          <w:sz w:val="24"/>
          <w:szCs w:val="24"/>
          <w:vertAlign w:val="superscript"/>
        </w:rPr>
        <w:t>3</w:t>
      </w:r>
      <w:r w:rsidRPr="008D49C9">
        <w:rPr>
          <w:rFonts w:ascii="Book Antiqua" w:hAnsi="Book Antiqua"/>
          <w:sz w:val="24"/>
          <w:szCs w:val="24"/>
        </w:rPr>
        <w:t xml:space="preserve">; </w:t>
      </w:r>
      <w:r w:rsidRPr="008D49C9">
        <w:rPr>
          <w:rFonts w:ascii="Book Antiqua" w:hAnsi="Book Antiqua"/>
          <w:i/>
          <w:sz w:val="24"/>
          <w:szCs w:val="24"/>
        </w:rPr>
        <w:t>P</w:t>
      </w:r>
      <w:r w:rsidRPr="008D49C9">
        <w:rPr>
          <w:rFonts w:ascii="Book Antiqua" w:hAnsi="Book Antiqua"/>
          <w:sz w:val="24"/>
          <w:szCs w:val="24"/>
        </w:rPr>
        <w:t xml:space="preserve"> = 0</w:t>
      </w:r>
      <w:r>
        <w:rPr>
          <w:rFonts w:ascii="Book Antiqua" w:hAnsi="Book Antiqua"/>
          <w:sz w:val="24"/>
          <w:szCs w:val="24"/>
        </w:rPr>
        <w:t>.</w:t>
      </w:r>
      <w:r w:rsidRPr="008D49C9">
        <w:rPr>
          <w:rFonts w:ascii="Book Antiqua" w:hAnsi="Book Antiqua"/>
          <w:sz w:val="24"/>
          <w:szCs w:val="24"/>
        </w:rPr>
        <w:t xml:space="preserve">02). The same happened to </w:t>
      </w:r>
      <w:r>
        <w:rPr>
          <w:rFonts w:ascii="Book Antiqua" w:hAnsi="Book Antiqua"/>
          <w:sz w:val="24"/>
          <w:szCs w:val="24"/>
        </w:rPr>
        <w:t></w:t>
      </w:r>
      <w:r w:rsidRPr="008D49C9">
        <w:rPr>
          <w:rFonts w:ascii="Book Antiqua" w:hAnsi="Book Antiqua"/>
          <w:sz w:val="24"/>
          <w:szCs w:val="24"/>
        </w:rPr>
        <w:t>FP levels, although statistical significance was not reached (from pretreatment median of 141</w:t>
      </w:r>
      <w:r>
        <w:rPr>
          <w:rFonts w:ascii="Book Antiqua" w:hAnsi="Book Antiqua"/>
          <w:sz w:val="24"/>
          <w:szCs w:val="24"/>
        </w:rPr>
        <w:t>-</w:t>
      </w:r>
      <w:r w:rsidRPr="008D49C9">
        <w:rPr>
          <w:rFonts w:ascii="Book Antiqua" w:hAnsi="Book Antiqua"/>
          <w:sz w:val="24"/>
          <w:szCs w:val="24"/>
        </w:rPr>
        <w:t xml:space="preserve">7.9 ng/mL; </w:t>
      </w:r>
      <w:r w:rsidRPr="004D4190">
        <w:rPr>
          <w:rFonts w:ascii="Book Antiqua" w:hAnsi="Book Antiqua"/>
          <w:i/>
          <w:sz w:val="24"/>
          <w:szCs w:val="24"/>
        </w:rPr>
        <w:t>P</w:t>
      </w:r>
      <w:r w:rsidRPr="008D49C9">
        <w:rPr>
          <w:rFonts w:ascii="Book Antiqua" w:hAnsi="Book Antiqua"/>
          <w:sz w:val="24"/>
          <w:szCs w:val="24"/>
        </w:rPr>
        <w:t xml:space="preserve"> = 0</w:t>
      </w:r>
      <w:r>
        <w:rPr>
          <w:rFonts w:ascii="Book Antiqua" w:hAnsi="Book Antiqua"/>
          <w:sz w:val="24"/>
          <w:szCs w:val="24"/>
        </w:rPr>
        <w:t>.</w:t>
      </w:r>
      <w:r w:rsidRPr="008D49C9">
        <w:rPr>
          <w:rFonts w:ascii="Book Antiqua" w:hAnsi="Book Antiqua"/>
          <w:sz w:val="24"/>
          <w:szCs w:val="24"/>
        </w:rPr>
        <w:t>1</w:t>
      </w:r>
      <w:r>
        <w:rPr>
          <w:rFonts w:ascii="Book Antiqua" w:hAnsi="Book Antiqua"/>
          <w:sz w:val="24"/>
          <w:szCs w:val="24"/>
        </w:rPr>
        <w:t>0</w:t>
      </w:r>
      <w:r w:rsidRPr="008D49C9">
        <w:rPr>
          <w:rFonts w:ascii="Book Antiqua" w:hAnsi="Book Antiqua"/>
          <w:sz w:val="24"/>
          <w:szCs w:val="24"/>
        </w:rPr>
        <w:t>) (Figure 1).</w:t>
      </w:r>
    </w:p>
    <w:p w:rsidR="00114FF2" w:rsidRPr="008D49C9" w:rsidRDefault="00114FF2" w:rsidP="008D49C9">
      <w:pPr>
        <w:spacing w:line="360" w:lineRule="auto"/>
        <w:ind w:firstLineChars="200" w:firstLine="480"/>
        <w:rPr>
          <w:rFonts w:ascii="Book Antiqua" w:hAnsi="Book Antiqua"/>
          <w:sz w:val="24"/>
          <w:szCs w:val="24"/>
        </w:rPr>
      </w:pPr>
      <w:r w:rsidRPr="008D49C9">
        <w:rPr>
          <w:rFonts w:ascii="Book Antiqua" w:hAnsi="Book Antiqua"/>
          <w:sz w:val="24"/>
          <w:szCs w:val="24"/>
        </w:rPr>
        <w:t>Surgical procedures performed included right hepatectomy in two patients, left hepatectomy in one, bisegmentectomy VII-VII in one, segmentectomy VI and IVb in two, and an atypical resection of pediculated tumor arising from segment VI in one patient. The only postoperative complication was a subphrenic abscess that required percutaneous drainage. Median postoperative hospital stay was 8 days (range, 5-26 d).</w:t>
      </w:r>
    </w:p>
    <w:p w:rsidR="00114FF2" w:rsidRPr="008D49C9" w:rsidRDefault="00114FF2" w:rsidP="008D49C9">
      <w:pPr>
        <w:spacing w:line="360" w:lineRule="auto"/>
        <w:ind w:firstLineChars="200" w:firstLine="480"/>
        <w:rPr>
          <w:rFonts w:ascii="Book Antiqua" w:hAnsi="Book Antiqua"/>
          <w:sz w:val="24"/>
          <w:szCs w:val="24"/>
        </w:rPr>
      </w:pPr>
      <w:r w:rsidRPr="008D49C9">
        <w:rPr>
          <w:rFonts w:ascii="Book Antiqua" w:hAnsi="Book Antiqua"/>
          <w:sz w:val="24"/>
          <w:szCs w:val="24"/>
        </w:rPr>
        <w:t>The histological types encountered were as follows: embryonal and mixed embryonal/fetal subtype in three patients, mixed epithelial and mesenchymal type in two patients and purely fetal type in two patients. All specimens had tumor-free margins.</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i/>
          <w:sz w:val="24"/>
          <w:szCs w:val="24"/>
        </w:rPr>
      </w:pPr>
      <w:r w:rsidRPr="008D49C9">
        <w:rPr>
          <w:rFonts w:ascii="Book Antiqua" w:hAnsi="Book Antiqua"/>
          <w:b/>
          <w:i/>
          <w:sz w:val="24"/>
          <w:szCs w:val="24"/>
        </w:rPr>
        <w:t xml:space="preserve">Review of current literature </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 xml:space="preserve">Using the aforementioned criteria, seventeen articles were found including case reports. We selected articles in which most of their patients had been treated with neoadjuvant chemotherapy and surgical resection and those reporting locally advanced hepatoblastomas (stage post-TEST III or IV). Seven </w:t>
      </w:r>
      <w:r w:rsidRPr="008D49C9">
        <w:rPr>
          <w:rFonts w:ascii="Book Antiqua" w:hAnsi="Book Antiqua"/>
          <w:sz w:val="24"/>
          <w:szCs w:val="24"/>
        </w:rPr>
        <w:lastRenderedPageBreak/>
        <w:t xml:space="preserve">studies were included (Table 2). </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i/>
          <w:sz w:val="24"/>
          <w:szCs w:val="24"/>
        </w:rPr>
      </w:pPr>
      <w:r w:rsidRPr="008D49C9">
        <w:rPr>
          <w:rFonts w:ascii="Book Antiqua" w:hAnsi="Book Antiqua"/>
          <w:b/>
          <w:i/>
          <w:sz w:val="24"/>
          <w:szCs w:val="24"/>
        </w:rPr>
        <w:t>Statistical analysis</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 xml:space="preserve">All the patients are alive after a median follow-up period of 23 mo (range, 18-111 mo). The median disease-free survival is 23 mo (range, 6-111 mo). One patient developed six months later distant metastases in the middle right lobe lung requiring a pulmonary atypical resection; after 18-mo follow up the patient is free of disease. The remaining 6 cases have not evidence of recurrence or rise in the AFP levels. </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b/>
          <w:sz w:val="24"/>
          <w:szCs w:val="24"/>
        </w:rPr>
      </w:pPr>
      <w:r w:rsidRPr="008D49C9">
        <w:rPr>
          <w:rFonts w:ascii="Book Antiqua" w:hAnsi="Book Antiqua"/>
          <w:b/>
          <w:sz w:val="24"/>
          <w:szCs w:val="24"/>
        </w:rPr>
        <w:t>DISCUSSION</w:t>
      </w:r>
    </w:p>
    <w:p w:rsidR="00114FF2" w:rsidRPr="008D49C9" w:rsidRDefault="00114FF2" w:rsidP="008D49C9">
      <w:pPr>
        <w:spacing w:line="360" w:lineRule="auto"/>
        <w:rPr>
          <w:rFonts w:ascii="Book Antiqua" w:hAnsi="Book Antiqua"/>
          <w:sz w:val="24"/>
          <w:szCs w:val="24"/>
        </w:rPr>
      </w:pPr>
      <w:r w:rsidRPr="008D49C9">
        <w:rPr>
          <w:rFonts w:ascii="Book Antiqua" w:hAnsi="Book Antiqua"/>
          <w:sz w:val="24"/>
          <w:szCs w:val="24"/>
        </w:rPr>
        <w:t>Management of Hbl has evolved from unresectable or extensive surgical resections with high rates of morbidity and mortality to the current standard of care of neoadjuvant chemotherapy followed by surgery</w:t>
      </w:r>
      <w:r w:rsidRPr="008D49C9">
        <w:rPr>
          <w:rFonts w:ascii="Book Antiqua" w:hAnsi="Book Antiqua"/>
          <w:sz w:val="24"/>
          <w:szCs w:val="24"/>
          <w:vertAlign w:val="superscript"/>
        </w:rPr>
        <w:t>[20]</w:t>
      </w:r>
      <w:r w:rsidRPr="008D49C9">
        <w:rPr>
          <w:rFonts w:ascii="Book Antiqua" w:hAnsi="Book Antiqua"/>
          <w:sz w:val="24"/>
          <w:szCs w:val="24"/>
        </w:rPr>
        <w:t>. Complete tumor resection is essential for cure; therefore, any strategy that may reduce tumor volume leading to an increased resection rate would provide survival benefit</w:t>
      </w:r>
      <w:r w:rsidRPr="008D49C9">
        <w:rPr>
          <w:rFonts w:ascii="Book Antiqua" w:hAnsi="Book Antiqua"/>
          <w:sz w:val="24"/>
          <w:szCs w:val="24"/>
          <w:vertAlign w:val="superscript"/>
        </w:rPr>
        <w:t>[21]</w:t>
      </w:r>
      <w:r>
        <w:rPr>
          <w:rFonts w:ascii="Book Antiqua" w:hAnsi="Book Antiqua"/>
          <w:sz w:val="24"/>
          <w:szCs w:val="24"/>
        </w:rPr>
        <w:t xml:space="preserve">. </w:t>
      </w:r>
      <w:r w:rsidRPr="008D49C9">
        <w:rPr>
          <w:rFonts w:ascii="Book Antiqua" w:hAnsi="Book Antiqua"/>
          <w:sz w:val="24"/>
          <w:szCs w:val="24"/>
        </w:rPr>
        <w:t>An initial surgical approach may be acceptable for resectable disease, but a combined approach may be preferable in advanced stages</w:t>
      </w:r>
      <w:r w:rsidRPr="008D49C9">
        <w:rPr>
          <w:rFonts w:ascii="Book Antiqua" w:hAnsi="Book Antiqua"/>
          <w:sz w:val="24"/>
          <w:szCs w:val="24"/>
          <w:vertAlign w:val="superscript"/>
        </w:rPr>
        <w:t>[18]</w:t>
      </w:r>
      <w:r w:rsidRPr="008D49C9">
        <w:rPr>
          <w:rFonts w:ascii="Book Antiqua" w:hAnsi="Book Antiqua"/>
          <w:sz w:val="24"/>
          <w:szCs w:val="24"/>
        </w:rPr>
        <w:t>. Our series shows how multimodal management, exhaustive control and meticulous surgical approach leads to almost 100% complete resection with optimal postoperative results. Otherwise, we are aware one limitation of our study is that we have few patients included.</w:t>
      </w:r>
    </w:p>
    <w:p w:rsidR="00114FF2" w:rsidRPr="008D49C9" w:rsidRDefault="00114FF2" w:rsidP="008D49C9">
      <w:pPr>
        <w:spacing w:line="360" w:lineRule="auto"/>
        <w:ind w:firstLineChars="250" w:firstLine="600"/>
        <w:rPr>
          <w:rFonts w:ascii="Book Antiqua" w:hAnsi="Book Antiqua"/>
          <w:sz w:val="24"/>
          <w:szCs w:val="24"/>
        </w:rPr>
      </w:pPr>
      <w:r w:rsidRPr="008D49C9">
        <w:rPr>
          <w:rFonts w:ascii="Book Antiqua" w:hAnsi="Book Antiqua"/>
          <w:sz w:val="24"/>
          <w:szCs w:val="24"/>
        </w:rPr>
        <w:t>The prognosis for children with Hbl has improved over last decades. The survival in 1970s with surgical resection alone was about 10%-20%</w:t>
      </w:r>
      <w:r w:rsidRPr="008D49C9">
        <w:rPr>
          <w:rFonts w:ascii="Book Antiqua" w:hAnsi="Book Antiqua"/>
          <w:sz w:val="24"/>
          <w:szCs w:val="24"/>
          <w:vertAlign w:val="superscript"/>
        </w:rPr>
        <w:t>[22]</w:t>
      </w:r>
      <w:r w:rsidRPr="008D49C9">
        <w:rPr>
          <w:rFonts w:ascii="Book Antiqua" w:hAnsi="Book Antiqua"/>
          <w:sz w:val="24"/>
          <w:szCs w:val="24"/>
        </w:rPr>
        <w:t>. After the routine use of preoperative cisplatin and doxorubicin (PLADO regimen), surgical resection was achieved in 87% of the cases whereas historically only 30% of the cases were operable upfront</w:t>
      </w:r>
      <w:r w:rsidRPr="008D49C9">
        <w:rPr>
          <w:rFonts w:ascii="Book Antiqua" w:hAnsi="Book Antiqua"/>
          <w:sz w:val="24"/>
          <w:szCs w:val="24"/>
          <w:vertAlign w:val="superscript"/>
        </w:rPr>
        <w:t>[23]</w:t>
      </w:r>
      <w:r w:rsidRPr="008D49C9">
        <w:rPr>
          <w:rFonts w:ascii="Book Antiqua" w:hAnsi="Book Antiqua"/>
          <w:sz w:val="24"/>
          <w:szCs w:val="24"/>
        </w:rPr>
        <w:t xml:space="preserve">. Later, Liver transplantation proved to be an effective treatment for certain children with Hbl. Criteria established by SIOPEL recommend that it should be considered in patients with neoplasm in all 4 liver sections, tumor extension into the vena </w:t>
      </w:r>
      <w:r w:rsidRPr="008D49C9">
        <w:rPr>
          <w:rFonts w:ascii="Book Antiqua" w:hAnsi="Book Antiqua"/>
          <w:sz w:val="24"/>
          <w:szCs w:val="24"/>
        </w:rPr>
        <w:lastRenderedPageBreak/>
        <w:t>cava or all 3 hepatic veins, invasion of the main and/or left and right portal veins, or recurrent disease after resection (rescue transplant)</w:t>
      </w:r>
      <w:r w:rsidRPr="008D49C9">
        <w:rPr>
          <w:rFonts w:ascii="Book Antiqua" w:hAnsi="Book Antiqua"/>
          <w:sz w:val="24"/>
          <w:szCs w:val="24"/>
          <w:vertAlign w:val="superscript"/>
        </w:rPr>
        <w:t>[24]</w:t>
      </w:r>
      <w:r w:rsidRPr="008D49C9">
        <w:rPr>
          <w:rFonts w:ascii="Book Antiqua" w:hAnsi="Book Antiqua"/>
          <w:sz w:val="24"/>
          <w:szCs w:val="24"/>
        </w:rPr>
        <w:t>. In our cohort, liver transplant was not performed in any patient.</w:t>
      </w:r>
    </w:p>
    <w:p w:rsidR="00114FF2" w:rsidRPr="008D49C9" w:rsidRDefault="00114FF2" w:rsidP="008D49C9">
      <w:pPr>
        <w:spacing w:line="360" w:lineRule="auto"/>
        <w:ind w:firstLineChars="200" w:firstLine="480"/>
        <w:rPr>
          <w:rFonts w:ascii="Book Antiqua" w:hAnsi="Book Antiqua"/>
          <w:sz w:val="24"/>
          <w:szCs w:val="24"/>
        </w:rPr>
      </w:pPr>
      <w:r w:rsidRPr="008D49C9">
        <w:rPr>
          <w:rFonts w:ascii="Book Antiqua" w:hAnsi="Book Antiqua"/>
          <w:sz w:val="24"/>
          <w:szCs w:val="24"/>
        </w:rPr>
        <w:t xml:space="preserve">Pritchard </w:t>
      </w:r>
      <w:r w:rsidRPr="008D49C9">
        <w:rPr>
          <w:rFonts w:ascii="Book Antiqua" w:hAnsi="Book Antiqua"/>
          <w:i/>
          <w:sz w:val="24"/>
          <w:szCs w:val="24"/>
        </w:rPr>
        <w:t>et al</w:t>
      </w:r>
      <w:r w:rsidRPr="008D49C9">
        <w:rPr>
          <w:rFonts w:ascii="Book Antiqua" w:hAnsi="Book Antiqua"/>
          <w:sz w:val="24"/>
          <w:szCs w:val="24"/>
          <w:vertAlign w:val="superscript"/>
        </w:rPr>
        <w:t>[8]</w:t>
      </w:r>
      <w:r w:rsidRPr="008D49C9">
        <w:rPr>
          <w:rFonts w:ascii="Book Antiqua" w:hAnsi="Book Antiqua"/>
          <w:sz w:val="24"/>
          <w:szCs w:val="24"/>
        </w:rPr>
        <w:t xml:space="preserve"> published in 2000 the first international study (SIOPEL-1), applying preoperative chemotherapy (PLADO: cisplatin plus doxorubicin) and delayed surgery. However, the prognosis with advanced stages remained unsatisfactory. To improve the survival of these patients, the SIOPEL group intensified the chemotherapy in their subsequent studies. Thus, in the SIOPEL-2 study the patients were classified in two groups: one for patients with Hbl confined to the liver and involving no more than three hepatic sectors (standard-risk Hbl) treated with cisplatin alone every 14 d; and one for those with Hbl extending into all four sectors and/or with lung metastases or intra-abdominal extra hepatic spread (high-risk Hbl) treated with cisplatin alternating every 14 d with carboplatin and doxorubicin. In 2004, Perilongo </w:t>
      </w:r>
      <w:r w:rsidRPr="008D49C9">
        <w:rPr>
          <w:rFonts w:ascii="Book Antiqua" w:hAnsi="Book Antiqua"/>
          <w:i/>
          <w:sz w:val="24"/>
          <w:szCs w:val="24"/>
        </w:rPr>
        <w:t>et al</w:t>
      </w:r>
      <w:r w:rsidRPr="008D49C9">
        <w:rPr>
          <w:rFonts w:ascii="Book Antiqua" w:hAnsi="Book Antiqua"/>
          <w:sz w:val="24"/>
          <w:szCs w:val="24"/>
          <w:vertAlign w:val="superscript"/>
        </w:rPr>
        <w:t>[1</w:t>
      </w:r>
      <w:r>
        <w:rPr>
          <w:rFonts w:ascii="Book Antiqua" w:hAnsi="Book Antiqua"/>
          <w:sz w:val="24"/>
          <w:szCs w:val="24"/>
          <w:vertAlign w:val="superscript"/>
        </w:rPr>
        <w:t>5</w:t>
      </w:r>
      <w:r w:rsidRPr="008D49C9">
        <w:rPr>
          <w:rFonts w:ascii="Book Antiqua" w:hAnsi="Book Antiqua"/>
          <w:sz w:val="24"/>
          <w:szCs w:val="24"/>
          <w:vertAlign w:val="superscript"/>
        </w:rPr>
        <w:t>]</w:t>
      </w:r>
      <w:r w:rsidRPr="008D49C9">
        <w:rPr>
          <w:rFonts w:ascii="Book Antiqua" w:hAnsi="Book Antiqua"/>
          <w:sz w:val="24"/>
          <w:szCs w:val="24"/>
        </w:rPr>
        <w:t xml:space="preserve"> published their results in which, despite chemotherapy intensification, only half of the high-risk Hbl patients were long-term survi</w:t>
      </w:r>
      <w:r>
        <w:rPr>
          <w:rFonts w:ascii="Book Antiqua" w:hAnsi="Book Antiqua"/>
          <w:sz w:val="24"/>
          <w:szCs w:val="24"/>
        </w:rPr>
        <w:t>vors. Later, the SIOPEL-3 study</w:t>
      </w:r>
      <w:r w:rsidRPr="008D49C9">
        <w:rPr>
          <w:rFonts w:ascii="Book Antiqua" w:hAnsi="Book Antiqua"/>
          <w:sz w:val="24"/>
          <w:szCs w:val="24"/>
        </w:rPr>
        <w:t xml:space="preserve"> showed an improved survival in this group of patients. This study was designed to test the efficacy of this treatment strategy including only high-risk Hbl patients: tumor in all liver sections, vascular invasion, extrahepatic extension, metastatic disease or </w:t>
      </w:r>
      <w:r>
        <w:rPr>
          <w:rFonts w:ascii="Book Antiqua" w:hAnsi="Book Antiqua"/>
          <w:sz w:val="24"/>
          <w:szCs w:val="24"/>
        </w:rPr>
        <w:t></w:t>
      </w:r>
      <w:r w:rsidRPr="008D49C9">
        <w:rPr>
          <w:rFonts w:ascii="Book Antiqua" w:hAnsi="Book Antiqua"/>
          <w:sz w:val="24"/>
          <w:szCs w:val="24"/>
        </w:rPr>
        <w:t xml:space="preserve">FP less than 100 ng/mL at diagnosis. </w:t>
      </w:r>
    </w:p>
    <w:p w:rsidR="00114FF2" w:rsidRPr="008D49C9" w:rsidRDefault="00114FF2" w:rsidP="008D49C9">
      <w:pPr>
        <w:spacing w:line="360" w:lineRule="auto"/>
        <w:ind w:firstLineChars="250" w:firstLine="600"/>
        <w:rPr>
          <w:rFonts w:ascii="Book Antiqua" w:hAnsi="Book Antiqua"/>
          <w:sz w:val="24"/>
          <w:szCs w:val="24"/>
        </w:rPr>
      </w:pPr>
      <w:r w:rsidRPr="008D49C9">
        <w:rPr>
          <w:rFonts w:ascii="Book Antiqua" w:hAnsi="Book Antiqua"/>
          <w:sz w:val="24"/>
          <w:szCs w:val="24"/>
        </w:rPr>
        <w:t>Some other series have reported their results with advanced Hbl, incl</w:t>
      </w:r>
      <w:r>
        <w:rPr>
          <w:rFonts w:ascii="Book Antiqua" w:hAnsi="Book Antiqua"/>
          <w:sz w:val="24"/>
          <w:szCs w:val="24"/>
        </w:rPr>
        <w:t>uding specific surgical results</w:t>
      </w:r>
      <w:r w:rsidRPr="008D49C9">
        <w:rPr>
          <w:rFonts w:ascii="Book Antiqua" w:hAnsi="Book Antiqua"/>
          <w:sz w:val="24"/>
          <w:szCs w:val="24"/>
          <w:vertAlign w:val="superscript"/>
        </w:rPr>
        <w:t>[16,17]</w:t>
      </w:r>
      <w:r w:rsidRPr="008D49C9">
        <w:rPr>
          <w:rFonts w:ascii="Book Antiqua" w:hAnsi="Book Antiqua"/>
          <w:sz w:val="24"/>
          <w:szCs w:val="24"/>
        </w:rPr>
        <w:t>. Some other series have been published with a foc</w:t>
      </w:r>
      <w:r>
        <w:rPr>
          <w:rFonts w:ascii="Book Antiqua" w:hAnsi="Book Antiqua"/>
          <w:sz w:val="24"/>
          <w:szCs w:val="24"/>
        </w:rPr>
        <w:t>us on advanced stage III-IV Hbl</w:t>
      </w:r>
      <w:r w:rsidRPr="008D49C9">
        <w:rPr>
          <w:rFonts w:ascii="Book Antiqua" w:hAnsi="Book Antiqua"/>
          <w:sz w:val="24"/>
          <w:szCs w:val="24"/>
          <w:vertAlign w:val="superscript"/>
        </w:rPr>
        <w:t>[18-19]</w:t>
      </w:r>
      <w:r w:rsidRPr="008D49C9">
        <w:rPr>
          <w:rFonts w:ascii="Book Antiqua" w:hAnsi="Book Antiqua"/>
          <w:sz w:val="24"/>
          <w:szCs w:val="24"/>
        </w:rPr>
        <w:t>. Unfortunately, although results have improved, complete resection rates are still between 60</w:t>
      </w:r>
      <w:r>
        <w:rPr>
          <w:rFonts w:ascii="Book Antiqua" w:hAnsi="Book Antiqua"/>
          <w:sz w:val="24"/>
          <w:szCs w:val="24"/>
        </w:rPr>
        <w:t>%</w:t>
      </w:r>
      <w:r w:rsidRPr="008D49C9">
        <w:rPr>
          <w:rFonts w:ascii="Book Antiqua" w:hAnsi="Book Antiqua"/>
          <w:sz w:val="24"/>
          <w:szCs w:val="24"/>
        </w:rPr>
        <w:t>-75% and free-of-disease survival rates between 65</w:t>
      </w:r>
      <w:r>
        <w:rPr>
          <w:rFonts w:ascii="Book Antiqua" w:hAnsi="Book Antiqua"/>
          <w:sz w:val="24"/>
          <w:szCs w:val="24"/>
        </w:rPr>
        <w:t>%</w:t>
      </w:r>
      <w:r w:rsidRPr="008D49C9">
        <w:rPr>
          <w:rFonts w:ascii="Book Antiqua" w:hAnsi="Book Antiqua"/>
          <w:sz w:val="24"/>
          <w:szCs w:val="24"/>
        </w:rPr>
        <w:t xml:space="preserve">-80%. In our series, surgical outcomes and hospital stay are in accordance with literature. The experience of an active paediatric liver transplant program surely is helpful for this multidisciplinary approach and for getting optimal surgical resections. </w:t>
      </w:r>
    </w:p>
    <w:p w:rsidR="00114FF2" w:rsidRPr="008D49C9" w:rsidRDefault="00114FF2" w:rsidP="008D49C9">
      <w:pPr>
        <w:spacing w:line="360" w:lineRule="auto"/>
        <w:ind w:firstLineChars="200" w:firstLine="480"/>
        <w:rPr>
          <w:rFonts w:ascii="Book Antiqua" w:hAnsi="Book Antiqua"/>
          <w:sz w:val="24"/>
          <w:szCs w:val="24"/>
        </w:rPr>
      </w:pPr>
      <w:r w:rsidRPr="008D49C9">
        <w:rPr>
          <w:rFonts w:ascii="Book Antiqua" w:hAnsi="Book Antiqua"/>
          <w:sz w:val="24"/>
          <w:szCs w:val="24"/>
        </w:rPr>
        <w:t xml:space="preserve">Our results support the key role for the neoadjuvant chemotherapy when </w:t>
      </w:r>
      <w:r w:rsidRPr="008D49C9">
        <w:rPr>
          <w:rFonts w:ascii="Book Antiqua" w:hAnsi="Book Antiqua"/>
          <w:sz w:val="24"/>
          <w:szCs w:val="24"/>
        </w:rPr>
        <w:lastRenderedPageBreak/>
        <w:t xml:space="preserve">the tumor appears in advanced stages and a complete resection at initial diagnosis is unlikely to happen.  In addition, preoperative chemotherapy has led to an increase in surgical resection rates, allowing more limited hepatectomies and decreasing the rate of postoperative complications. Postoperative chemotherapy shows also good results, therefore avoids reoperation for positive resection margins. Multidisciplinary management of Hbl is mandatory, as children population is especially susceptible for complications in the surgical procedure. The combination of chemotherapeutic regimes and surgical techniques has shown to be the best option and has led to improve free-of-disease rates and long-term survival. </w:t>
      </w:r>
    </w:p>
    <w:p w:rsidR="00114FF2" w:rsidRPr="008D49C9" w:rsidRDefault="00114FF2" w:rsidP="008D49C9">
      <w:pPr>
        <w:spacing w:line="360" w:lineRule="auto"/>
        <w:rPr>
          <w:rFonts w:ascii="Book Antiqua" w:hAnsi="Book Antiqua"/>
          <w:sz w:val="24"/>
          <w:szCs w:val="24"/>
        </w:rPr>
      </w:pPr>
    </w:p>
    <w:p w:rsidR="00114FF2" w:rsidRPr="00DF6D97" w:rsidRDefault="00114FF2" w:rsidP="005B166C">
      <w:pPr>
        <w:widowControl/>
        <w:jc w:val="left"/>
        <w:rPr>
          <w:rFonts w:ascii="Book Antiqua" w:hAnsi="Book Antiqua"/>
          <w:b/>
          <w:sz w:val="24"/>
          <w:szCs w:val="24"/>
        </w:rPr>
      </w:pPr>
      <w:r w:rsidRPr="00DF6D97">
        <w:rPr>
          <w:rFonts w:ascii="Book Antiqua" w:hAnsi="Book Antiqua"/>
          <w:b/>
          <w:sz w:val="24"/>
          <w:szCs w:val="24"/>
        </w:rPr>
        <w:t>COMMENTS</w:t>
      </w:r>
    </w:p>
    <w:p w:rsidR="00114FF2" w:rsidRPr="00642FF2" w:rsidRDefault="00114FF2" w:rsidP="008D49C9">
      <w:pPr>
        <w:spacing w:line="360" w:lineRule="auto"/>
        <w:rPr>
          <w:rFonts w:ascii="Book Antiqua" w:hAnsi="Book Antiqua"/>
          <w:b/>
          <w:i/>
          <w:sz w:val="24"/>
          <w:szCs w:val="24"/>
        </w:rPr>
      </w:pPr>
      <w:r w:rsidRPr="00642FF2">
        <w:rPr>
          <w:rFonts w:ascii="Book Antiqua" w:hAnsi="Book Antiqua"/>
          <w:b/>
          <w:i/>
          <w:sz w:val="24"/>
          <w:szCs w:val="24"/>
        </w:rPr>
        <w:t>Background</w:t>
      </w:r>
    </w:p>
    <w:p w:rsidR="00114FF2" w:rsidRDefault="00114FF2" w:rsidP="00DF6D97">
      <w:pPr>
        <w:spacing w:line="360" w:lineRule="auto"/>
        <w:rPr>
          <w:rFonts w:ascii="Book Antiqua" w:hAnsi="Book Antiqua"/>
          <w:sz w:val="24"/>
          <w:szCs w:val="24"/>
        </w:rPr>
      </w:pPr>
      <w:r w:rsidRPr="008D49C9">
        <w:rPr>
          <w:rFonts w:ascii="Book Antiqua" w:hAnsi="Book Antiqua"/>
          <w:sz w:val="24"/>
          <w:szCs w:val="24"/>
        </w:rPr>
        <w:t>Hepatoblastoma</w:t>
      </w:r>
      <w:r>
        <w:rPr>
          <w:rFonts w:ascii="Book Antiqua" w:hAnsi="Book Antiqua"/>
          <w:sz w:val="24"/>
          <w:szCs w:val="24"/>
        </w:rPr>
        <w:t xml:space="preserve"> (Hbl)</w:t>
      </w:r>
      <w:r w:rsidRPr="008D49C9">
        <w:rPr>
          <w:rFonts w:ascii="Book Antiqua" w:hAnsi="Book Antiqua"/>
          <w:sz w:val="24"/>
          <w:szCs w:val="24"/>
        </w:rPr>
        <w:t xml:space="preserve"> </w:t>
      </w:r>
      <w:r>
        <w:rPr>
          <w:rFonts w:ascii="Book Antiqua" w:hAnsi="Book Antiqua"/>
          <w:sz w:val="24"/>
          <w:szCs w:val="24"/>
        </w:rPr>
        <w:t xml:space="preserve">is the most frequent </w:t>
      </w:r>
      <w:r w:rsidRPr="008D49C9">
        <w:rPr>
          <w:rFonts w:ascii="Book Antiqua" w:hAnsi="Book Antiqua"/>
          <w:sz w:val="24"/>
          <w:szCs w:val="24"/>
        </w:rPr>
        <w:t>malignant liver tumor in child</w:t>
      </w:r>
      <w:r>
        <w:rPr>
          <w:rFonts w:ascii="Book Antiqua" w:hAnsi="Book Antiqua"/>
          <w:sz w:val="24"/>
          <w:szCs w:val="24"/>
        </w:rPr>
        <w:t>hood</w:t>
      </w:r>
      <w:r w:rsidRPr="008D49C9">
        <w:rPr>
          <w:rFonts w:ascii="Book Antiqua" w:hAnsi="Book Antiqua"/>
          <w:sz w:val="24"/>
          <w:szCs w:val="24"/>
        </w:rPr>
        <w:t>. Complete surgi</w:t>
      </w:r>
      <w:r>
        <w:rPr>
          <w:rFonts w:ascii="Book Antiqua" w:hAnsi="Book Antiqua"/>
          <w:sz w:val="24"/>
          <w:szCs w:val="24"/>
        </w:rPr>
        <w:t>cal resection is the most important</w:t>
      </w:r>
      <w:r w:rsidRPr="008D49C9">
        <w:rPr>
          <w:rFonts w:ascii="Book Antiqua" w:hAnsi="Book Antiqua"/>
          <w:sz w:val="24"/>
          <w:szCs w:val="24"/>
        </w:rPr>
        <w:t xml:space="preserve"> treatment, but </w:t>
      </w:r>
      <w:r>
        <w:rPr>
          <w:rFonts w:ascii="Book Antiqua" w:hAnsi="Book Antiqua"/>
          <w:sz w:val="24"/>
          <w:szCs w:val="24"/>
        </w:rPr>
        <w:t xml:space="preserve">a limited percentage of them </w:t>
      </w:r>
      <w:r w:rsidRPr="008D49C9">
        <w:rPr>
          <w:rFonts w:ascii="Book Antiqua" w:hAnsi="Book Antiqua"/>
          <w:sz w:val="24"/>
          <w:szCs w:val="24"/>
        </w:rPr>
        <w:t>have resectable disease at diagnosis. The International Society of Pediatric Oncology (SIOP) was a pioneer in the concept of neoadjuvant chemotherapy for the management of</w:t>
      </w:r>
      <w:r>
        <w:rPr>
          <w:rFonts w:ascii="Book Antiqua" w:hAnsi="Book Antiqua"/>
          <w:sz w:val="24"/>
          <w:szCs w:val="24"/>
        </w:rPr>
        <w:t xml:space="preserve"> these neoplasms. Currently, a multimodal management is the best option for Hbl.</w:t>
      </w:r>
    </w:p>
    <w:p w:rsidR="00114FF2" w:rsidRDefault="00114FF2" w:rsidP="008D49C9">
      <w:pPr>
        <w:spacing w:line="360" w:lineRule="auto"/>
        <w:rPr>
          <w:rFonts w:ascii="Book Antiqua" w:hAnsi="Book Antiqua"/>
          <w:sz w:val="24"/>
          <w:szCs w:val="24"/>
        </w:rPr>
      </w:pPr>
    </w:p>
    <w:p w:rsidR="00114FF2" w:rsidRPr="00642FF2" w:rsidRDefault="00114FF2" w:rsidP="008D49C9">
      <w:pPr>
        <w:spacing w:line="360" w:lineRule="auto"/>
        <w:rPr>
          <w:rFonts w:ascii="Book Antiqua" w:hAnsi="Book Antiqua"/>
          <w:b/>
          <w:i/>
          <w:sz w:val="24"/>
          <w:szCs w:val="24"/>
        </w:rPr>
      </w:pPr>
      <w:r w:rsidRPr="00642FF2">
        <w:rPr>
          <w:rFonts w:ascii="Book Antiqua" w:hAnsi="Book Antiqua"/>
          <w:b/>
          <w:i/>
          <w:sz w:val="24"/>
          <w:szCs w:val="24"/>
        </w:rPr>
        <w:t>Research frontiers</w:t>
      </w:r>
    </w:p>
    <w:p w:rsidR="00114FF2" w:rsidRDefault="00114FF2" w:rsidP="00DF6D97">
      <w:pPr>
        <w:spacing w:line="360" w:lineRule="auto"/>
        <w:rPr>
          <w:rFonts w:ascii="Book Antiqua" w:hAnsi="Book Antiqua"/>
          <w:sz w:val="24"/>
          <w:szCs w:val="24"/>
        </w:rPr>
      </w:pPr>
      <w:r w:rsidRPr="00E4203A">
        <w:rPr>
          <w:rFonts w:ascii="Book Antiqua" w:hAnsi="Book Antiqua"/>
          <w:sz w:val="24"/>
          <w:szCs w:val="24"/>
        </w:rPr>
        <w:t>The neoadjuvant chemotherapy is used in many tumours in order to reduce the tumour size and allow compl</w:t>
      </w:r>
      <w:r>
        <w:rPr>
          <w:rFonts w:ascii="Book Antiqua" w:hAnsi="Book Antiqua"/>
          <w:sz w:val="24"/>
          <w:szCs w:val="24"/>
        </w:rPr>
        <w:t>ete resection, and secondly</w:t>
      </w:r>
      <w:r w:rsidRPr="00E4203A">
        <w:rPr>
          <w:rFonts w:ascii="Book Antiqua" w:hAnsi="Book Antiqua"/>
          <w:sz w:val="24"/>
          <w:szCs w:val="24"/>
        </w:rPr>
        <w:t xml:space="preserve"> to control residual microscopic disease. In the area of Hbl management, the research hotspot is how a multimodal therapy</w:t>
      </w:r>
      <w:r>
        <w:rPr>
          <w:rFonts w:ascii="Book Antiqua" w:hAnsi="Book Antiqua"/>
          <w:sz w:val="24"/>
          <w:szCs w:val="24"/>
        </w:rPr>
        <w:t xml:space="preserve"> with several regimes of preoperativ</w:t>
      </w:r>
      <w:r w:rsidRPr="00E4203A">
        <w:rPr>
          <w:rFonts w:ascii="Book Antiqua" w:hAnsi="Book Antiqua"/>
          <w:sz w:val="24"/>
          <w:szCs w:val="24"/>
        </w:rPr>
        <w:t xml:space="preserve"> chemotherapy may increase the rate of feasible surgical resection, improve the postoperative morbidity and consequently get better long-term survival outcomes</w:t>
      </w:r>
      <w:r>
        <w:rPr>
          <w:rFonts w:ascii="Book Antiqua" w:hAnsi="Book Antiqua"/>
          <w:sz w:val="24"/>
          <w:szCs w:val="24"/>
        </w:rPr>
        <w:t>, especially in advanced Hbl at diagnosis</w:t>
      </w:r>
      <w:r w:rsidRPr="00E4203A">
        <w:rPr>
          <w:rFonts w:ascii="Book Antiqua" w:hAnsi="Book Antiqua"/>
          <w:sz w:val="24"/>
          <w:szCs w:val="24"/>
        </w:rPr>
        <w:t>.</w:t>
      </w:r>
    </w:p>
    <w:p w:rsidR="00114FF2" w:rsidRDefault="00114FF2" w:rsidP="008D49C9">
      <w:pPr>
        <w:spacing w:line="360" w:lineRule="auto"/>
        <w:rPr>
          <w:rFonts w:ascii="Book Antiqua" w:hAnsi="Book Antiqua"/>
          <w:sz w:val="24"/>
          <w:szCs w:val="24"/>
        </w:rPr>
      </w:pPr>
    </w:p>
    <w:p w:rsidR="00114FF2" w:rsidRPr="0065006A" w:rsidRDefault="00114FF2" w:rsidP="008D49C9">
      <w:pPr>
        <w:spacing w:line="360" w:lineRule="auto"/>
        <w:rPr>
          <w:rFonts w:ascii="Book Antiqua" w:hAnsi="Book Antiqua"/>
          <w:b/>
          <w:i/>
          <w:sz w:val="24"/>
          <w:szCs w:val="24"/>
        </w:rPr>
      </w:pPr>
      <w:r w:rsidRPr="0065006A">
        <w:rPr>
          <w:rFonts w:ascii="Book Antiqua" w:hAnsi="Book Antiqua"/>
          <w:b/>
          <w:i/>
          <w:sz w:val="24"/>
          <w:szCs w:val="24"/>
        </w:rPr>
        <w:t>Innovations and breakthroughs</w:t>
      </w:r>
    </w:p>
    <w:p w:rsidR="00114FF2" w:rsidRDefault="00114FF2" w:rsidP="00E46E4D">
      <w:pPr>
        <w:spacing w:line="360" w:lineRule="auto"/>
        <w:rPr>
          <w:rFonts w:ascii="Book Antiqua" w:hAnsi="Book Antiqua"/>
          <w:sz w:val="24"/>
          <w:szCs w:val="24"/>
        </w:rPr>
      </w:pPr>
      <w:r>
        <w:rPr>
          <w:rFonts w:ascii="Book Antiqua" w:hAnsi="Book Antiqua"/>
          <w:sz w:val="24"/>
          <w:szCs w:val="24"/>
        </w:rPr>
        <w:lastRenderedPageBreak/>
        <w:t>There are several studies in literature that report the benefit of a multidisciplinary treatment for Hbl in last decades, however in the case of advances stages, there are no so many papers and their prognosis remained unsatisfactory till recently. Three international studies conducted by the SIOP published their results applying preoperative chemotherapy in progressive stages. Their survival outcomes showed an improvement along the sequential studies, especially, in regard to high-risk Hbl. Unfortunately, although results have improved, complete resection rates cannot be always achieved. This report a series of cases, advanced stages Hbl included, with very good surgical and survival outcomes.</w:t>
      </w:r>
    </w:p>
    <w:p w:rsidR="00114FF2" w:rsidRPr="008D49C9" w:rsidRDefault="00114FF2" w:rsidP="008D49C9">
      <w:pPr>
        <w:spacing w:line="360" w:lineRule="auto"/>
        <w:rPr>
          <w:rFonts w:ascii="Book Antiqua" w:hAnsi="Book Antiqua"/>
          <w:sz w:val="24"/>
          <w:szCs w:val="24"/>
        </w:rPr>
      </w:pPr>
    </w:p>
    <w:p w:rsidR="00114FF2" w:rsidRPr="0065006A" w:rsidRDefault="00114FF2" w:rsidP="008D49C9">
      <w:pPr>
        <w:spacing w:line="360" w:lineRule="auto"/>
        <w:rPr>
          <w:rFonts w:ascii="Book Antiqua" w:hAnsi="Book Antiqua"/>
          <w:b/>
          <w:i/>
          <w:sz w:val="24"/>
          <w:szCs w:val="24"/>
        </w:rPr>
      </w:pPr>
      <w:r w:rsidRPr="0065006A">
        <w:rPr>
          <w:rFonts w:ascii="Book Antiqua" w:hAnsi="Book Antiqua"/>
          <w:b/>
          <w:i/>
          <w:sz w:val="24"/>
          <w:szCs w:val="24"/>
        </w:rPr>
        <w:t>Applications</w:t>
      </w:r>
    </w:p>
    <w:p w:rsidR="00114FF2" w:rsidRDefault="00114FF2" w:rsidP="00DF6D97">
      <w:pPr>
        <w:spacing w:line="360" w:lineRule="auto"/>
        <w:rPr>
          <w:rFonts w:ascii="Book Antiqua" w:hAnsi="Book Antiqua"/>
          <w:sz w:val="24"/>
          <w:szCs w:val="24"/>
        </w:rPr>
      </w:pPr>
      <w:r>
        <w:rPr>
          <w:rFonts w:ascii="Book Antiqua" w:hAnsi="Book Antiqua"/>
          <w:sz w:val="24"/>
          <w:szCs w:val="24"/>
        </w:rPr>
        <w:t>This results support the key role for the multidisciplinary therapy,</w:t>
      </w:r>
      <w:r>
        <w:rPr>
          <w:rFonts w:ascii="Book Antiqua" w:hAnsi="Book Antiqua"/>
          <w:color w:val="FF0000"/>
          <w:sz w:val="24"/>
          <w:szCs w:val="24"/>
        </w:rPr>
        <w:t xml:space="preserve"> </w:t>
      </w:r>
      <w:r>
        <w:rPr>
          <w:rFonts w:ascii="Book Antiqua" w:hAnsi="Book Antiqua"/>
          <w:sz w:val="24"/>
          <w:szCs w:val="24"/>
        </w:rPr>
        <w:t>such a</w:t>
      </w:r>
      <w:r w:rsidRPr="00DF6D97">
        <w:rPr>
          <w:rFonts w:ascii="Book Antiqua" w:hAnsi="Book Antiqua"/>
          <w:sz w:val="24"/>
          <w:szCs w:val="24"/>
        </w:rPr>
        <w:t xml:space="preserve">s </w:t>
      </w:r>
      <w:r>
        <w:rPr>
          <w:rFonts w:ascii="Book Antiqua" w:hAnsi="Book Antiqua"/>
          <w:sz w:val="24"/>
          <w:szCs w:val="24"/>
        </w:rPr>
        <w:t>neoadjuvant chemotherapy in unresectable tumors upfront, complete surgical resection and postoperative chemotherapy.</w:t>
      </w:r>
    </w:p>
    <w:p w:rsidR="00114FF2" w:rsidRDefault="00114FF2" w:rsidP="00DF6D97">
      <w:pPr>
        <w:spacing w:line="360" w:lineRule="auto"/>
        <w:rPr>
          <w:rFonts w:ascii="Book Antiqua" w:hAnsi="Book Antiqua"/>
          <w:sz w:val="24"/>
          <w:szCs w:val="24"/>
        </w:rPr>
      </w:pPr>
    </w:p>
    <w:p w:rsidR="00114FF2" w:rsidRPr="0065006A" w:rsidRDefault="00114FF2" w:rsidP="008D49C9">
      <w:pPr>
        <w:spacing w:line="360" w:lineRule="auto"/>
        <w:rPr>
          <w:rFonts w:ascii="Book Antiqua" w:hAnsi="Book Antiqua"/>
          <w:b/>
          <w:i/>
          <w:sz w:val="24"/>
          <w:szCs w:val="24"/>
        </w:rPr>
      </w:pPr>
      <w:r w:rsidRPr="0065006A">
        <w:rPr>
          <w:rFonts w:ascii="Book Antiqua" w:hAnsi="Book Antiqua"/>
          <w:b/>
          <w:i/>
          <w:sz w:val="24"/>
          <w:szCs w:val="24"/>
        </w:rPr>
        <w:t>Terminology</w:t>
      </w:r>
    </w:p>
    <w:p w:rsidR="00114FF2" w:rsidRPr="00117B4E" w:rsidRDefault="00114FF2" w:rsidP="008D49C9">
      <w:pPr>
        <w:spacing w:line="360" w:lineRule="auto"/>
        <w:rPr>
          <w:rFonts w:ascii="Book Antiqua" w:hAnsi="Book Antiqua"/>
          <w:sz w:val="24"/>
          <w:szCs w:val="24"/>
        </w:rPr>
      </w:pPr>
      <w:r w:rsidRPr="00117B4E">
        <w:rPr>
          <w:rFonts w:ascii="Book Antiqua" w:hAnsi="Book Antiqua"/>
          <w:sz w:val="24"/>
          <w:szCs w:val="24"/>
        </w:rPr>
        <w:t>Cisplatin</w:t>
      </w:r>
      <w:r>
        <w:rPr>
          <w:rFonts w:ascii="Book Antiqua" w:hAnsi="Book Antiqua"/>
          <w:sz w:val="24"/>
          <w:szCs w:val="24"/>
        </w:rPr>
        <w:t xml:space="preserve"> is a chemotherapy drug. It was the first member of a class of platinum-containing anti-cancer drugs, which now also includes carboplatin and oxaliplatin. Doxorubicin is also an antineoplastic chemotherapy drug that is a standard component in treating many types of tumours.</w:t>
      </w:r>
    </w:p>
    <w:p w:rsidR="00114FF2" w:rsidRPr="008D49C9" w:rsidRDefault="00114FF2" w:rsidP="008D49C9">
      <w:pPr>
        <w:spacing w:line="360" w:lineRule="auto"/>
        <w:rPr>
          <w:rFonts w:ascii="Book Antiqua" w:hAnsi="Book Antiqua"/>
          <w:sz w:val="24"/>
          <w:szCs w:val="24"/>
        </w:rPr>
      </w:pPr>
    </w:p>
    <w:p w:rsidR="00114FF2" w:rsidRPr="0065006A" w:rsidRDefault="00114FF2" w:rsidP="008D49C9">
      <w:pPr>
        <w:spacing w:line="360" w:lineRule="auto"/>
        <w:rPr>
          <w:rFonts w:ascii="Book Antiqua" w:hAnsi="Book Antiqua"/>
          <w:b/>
          <w:i/>
          <w:sz w:val="24"/>
          <w:szCs w:val="24"/>
        </w:rPr>
      </w:pPr>
      <w:r w:rsidRPr="0065006A">
        <w:rPr>
          <w:rFonts w:ascii="Book Antiqua" w:hAnsi="Book Antiqua"/>
          <w:b/>
          <w:i/>
          <w:sz w:val="24"/>
          <w:szCs w:val="24"/>
        </w:rPr>
        <w:t>Peer review</w:t>
      </w:r>
    </w:p>
    <w:p w:rsidR="00114FF2" w:rsidRPr="008D49C9" w:rsidRDefault="00114FF2" w:rsidP="008D49C9">
      <w:pPr>
        <w:spacing w:line="360" w:lineRule="auto"/>
        <w:rPr>
          <w:rFonts w:ascii="Book Antiqua" w:hAnsi="Book Antiqua"/>
          <w:sz w:val="24"/>
          <w:szCs w:val="24"/>
        </w:rPr>
      </w:pPr>
      <w:r>
        <w:rPr>
          <w:rFonts w:ascii="Book Antiqua" w:hAnsi="Book Antiqua"/>
          <w:sz w:val="24"/>
          <w:szCs w:val="24"/>
        </w:rPr>
        <w:t>This is an interesting study in which the authors reported the experience of a single-center in the management of Hbl in last ten years, with a multimodal management therapy. The results are in accordance with literature and suggest that it has been the best way to improve the prognosis of Hbl.</w:t>
      </w:r>
    </w:p>
    <w:p w:rsidR="00114FF2" w:rsidRPr="008D49C9" w:rsidRDefault="00114FF2" w:rsidP="0039738F">
      <w:pPr>
        <w:spacing w:line="360" w:lineRule="auto"/>
        <w:rPr>
          <w:rFonts w:ascii="Book Antiqua" w:hAnsi="Book Antiqua"/>
          <w:sz w:val="24"/>
          <w:szCs w:val="24"/>
        </w:rPr>
      </w:pPr>
    </w:p>
    <w:p w:rsidR="00114FF2" w:rsidRPr="008D49C9" w:rsidRDefault="00114FF2" w:rsidP="008D49C9">
      <w:pPr>
        <w:widowControl/>
        <w:spacing w:line="360" w:lineRule="auto"/>
        <w:rPr>
          <w:rFonts w:ascii="Book Antiqua" w:hAnsi="Book Antiqua"/>
          <w:sz w:val="24"/>
          <w:szCs w:val="24"/>
        </w:rPr>
      </w:pPr>
      <w:r w:rsidRPr="008D49C9">
        <w:rPr>
          <w:rFonts w:ascii="Book Antiqua" w:hAnsi="Book Antiqua"/>
          <w:sz w:val="24"/>
          <w:szCs w:val="24"/>
        </w:rPr>
        <w:br w:type="page"/>
      </w:r>
    </w:p>
    <w:p w:rsidR="00114FF2" w:rsidRPr="0065006A" w:rsidRDefault="00114FF2" w:rsidP="008D49C9">
      <w:pPr>
        <w:spacing w:line="360" w:lineRule="auto"/>
        <w:rPr>
          <w:rFonts w:ascii="Book Antiqua" w:hAnsi="Book Antiqua"/>
          <w:b/>
          <w:sz w:val="24"/>
          <w:szCs w:val="24"/>
        </w:rPr>
      </w:pPr>
      <w:r w:rsidRPr="0065006A">
        <w:rPr>
          <w:rFonts w:ascii="Book Antiqua" w:hAnsi="Book Antiqua"/>
          <w:b/>
          <w:sz w:val="24"/>
          <w:szCs w:val="24"/>
        </w:rPr>
        <w:t>REFERENCES</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1 </w:t>
      </w:r>
      <w:r w:rsidRPr="00483C11">
        <w:rPr>
          <w:rFonts w:ascii="Book Antiqua" w:hAnsi="Book Antiqua" w:cs="宋体"/>
          <w:b/>
          <w:bCs/>
          <w:kern w:val="0"/>
          <w:sz w:val="24"/>
          <w:szCs w:val="24"/>
        </w:rPr>
        <w:t>Ishak KG</w:t>
      </w:r>
      <w:r w:rsidRPr="00483C11">
        <w:rPr>
          <w:rFonts w:ascii="Book Antiqua" w:hAnsi="Book Antiqua" w:cs="宋体"/>
          <w:kern w:val="0"/>
          <w:sz w:val="24"/>
          <w:szCs w:val="24"/>
        </w:rPr>
        <w:t>, Glunz PR. Hepatoblastoma and hepatocarcinoma in infancy and childhood. Report of 47 cases. </w:t>
      </w:r>
      <w:r w:rsidRPr="00483C11">
        <w:rPr>
          <w:rFonts w:ascii="Book Antiqua" w:hAnsi="Book Antiqua" w:cs="宋体"/>
          <w:i/>
          <w:iCs/>
          <w:kern w:val="0"/>
          <w:sz w:val="24"/>
          <w:szCs w:val="24"/>
        </w:rPr>
        <w:t>Cancer</w:t>
      </w:r>
      <w:r w:rsidRPr="00483C11">
        <w:rPr>
          <w:rFonts w:ascii="Book Antiqua" w:hAnsi="Book Antiqua" w:cs="宋体"/>
          <w:kern w:val="0"/>
          <w:sz w:val="24"/>
          <w:szCs w:val="24"/>
        </w:rPr>
        <w:t> 1967; </w:t>
      </w:r>
      <w:r w:rsidRPr="00483C11">
        <w:rPr>
          <w:rFonts w:ascii="Book Antiqua" w:hAnsi="Book Antiqua" w:cs="宋体"/>
          <w:b/>
          <w:bCs/>
          <w:kern w:val="0"/>
          <w:sz w:val="24"/>
          <w:szCs w:val="24"/>
        </w:rPr>
        <w:t>20</w:t>
      </w:r>
      <w:r w:rsidRPr="00483C11">
        <w:rPr>
          <w:rFonts w:ascii="Book Antiqua" w:hAnsi="Book Antiqua" w:cs="宋体"/>
          <w:kern w:val="0"/>
          <w:sz w:val="24"/>
          <w:szCs w:val="24"/>
        </w:rPr>
        <w:t>: 396-422 [PMID: 4290059 DOI: 10.</w:t>
      </w:r>
      <w:r>
        <w:rPr>
          <w:rFonts w:ascii="Book Antiqua" w:hAnsi="Book Antiqua" w:cs="宋体"/>
          <w:kern w:val="0"/>
          <w:sz w:val="24"/>
          <w:szCs w:val="24"/>
        </w:rPr>
        <w:t>1002/1097-0142(1967)20</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2 </w:t>
      </w:r>
      <w:r w:rsidRPr="00483C11">
        <w:rPr>
          <w:rFonts w:ascii="Book Antiqua" w:hAnsi="Book Antiqua" w:cs="宋体"/>
          <w:b/>
          <w:bCs/>
          <w:kern w:val="0"/>
          <w:sz w:val="24"/>
          <w:szCs w:val="24"/>
        </w:rPr>
        <w:t>Herzog CE</w:t>
      </w:r>
      <w:r w:rsidRPr="00483C11">
        <w:rPr>
          <w:rFonts w:ascii="Book Antiqua" w:hAnsi="Book Antiqua" w:cs="宋体"/>
          <w:kern w:val="0"/>
          <w:sz w:val="24"/>
          <w:szCs w:val="24"/>
        </w:rPr>
        <w:t>, Andrassy RJ, Eftekhari F. Childhood cancers: hepatoblastoma. </w:t>
      </w:r>
      <w:r w:rsidRPr="00483C11">
        <w:rPr>
          <w:rFonts w:ascii="Book Antiqua" w:hAnsi="Book Antiqua" w:cs="宋体"/>
          <w:i/>
          <w:iCs/>
          <w:kern w:val="0"/>
          <w:sz w:val="24"/>
          <w:szCs w:val="24"/>
        </w:rPr>
        <w:t>Oncologist</w:t>
      </w:r>
      <w:r w:rsidRPr="00483C11">
        <w:rPr>
          <w:rFonts w:ascii="Book Antiqua" w:hAnsi="Book Antiqua" w:cs="宋体"/>
          <w:kern w:val="0"/>
          <w:sz w:val="24"/>
          <w:szCs w:val="24"/>
        </w:rPr>
        <w:t> 2000; </w:t>
      </w:r>
      <w:r w:rsidRPr="00483C11">
        <w:rPr>
          <w:rFonts w:ascii="Book Antiqua" w:hAnsi="Book Antiqua" w:cs="宋体"/>
          <w:b/>
          <w:bCs/>
          <w:kern w:val="0"/>
          <w:sz w:val="24"/>
          <w:szCs w:val="24"/>
        </w:rPr>
        <w:t>5</w:t>
      </w:r>
      <w:r w:rsidRPr="00483C11">
        <w:rPr>
          <w:rFonts w:ascii="Book Antiqua" w:hAnsi="Book Antiqua" w:cs="宋体"/>
          <w:kern w:val="0"/>
          <w:sz w:val="24"/>
          <w:szCs w:val="24"/>
        </w:rPr>
        <w:t>: 445-453 [PMID: 11110595 DOI</w:t>
      </w:r>
      <w:r>
        <w:rPr>
          <w:rFonts w:ascii="Book Antiqua" w:hAnsi="Book Antiqua" w:cs="宋体"/>
          <w:kern w:val="0"/>
          <w:sz w:val="24"/>
          <w:szCs w:val="24"/>
        </w:rPr>
        <w:t>: 10.1634/theoncologist.5-6-445</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3 </w:t>
      </w:r>
      <w:r w:rsidRPr="00483C11">
        <w:rPr>
          <w:rFonts w:ascii="Book Antiqua" w:hAnsi="Book Antiqua" w:cs="宋体"/>
          <w:b/>
          <w:bCs/>
          <w:kern w:val="0"/>
          <w:sz w:val="24"/>
          <w:szCs w:val="24"/>
        </w:rPr>
        <w:t>Reyes JD</w:t>
      </w:r>
      <w:r w:rsidRPr="00483C11">
        <w:rPr>
          <w:rFonts w:ascii="Book Antiqua" w:hAnsi="Book Antiqua" w:cs="宋体"/>
          <w:kern w:val="0"/>
          <w:sz w:val="24"/>
          <w:szCs w:val="24"/>
        </w:rPr>
        <w:t>, Carr B, Dvorchik I, Kocoshis S, Jaffe R, Gerber D, Mazariegos GV, Bueno J, Selby R. Liver transplantation and chemotherapy for hepatoblastoma and hepatocellular cancer in childhood and adolescence. </w:t>
      </w:r>
      <w:r w:rsidRPr="00483C11">
        <w:rPr>
          <w:rFonts w:ascii="Book Antiqua" w:hAnsi="Book Antiqua" w:cs="宋体"/>
          <w:i/>
          <w:iCs/>
          <w:kern w:val="0"/>
          <w:sz w:val="24"/>
          <w:szCs w:val="24"/>
        </w:rPr>
        <w:t>J Pediatr</w:t>
      </w:r>
      <w:r w:rsidRPr="00483C11">
        <w:rPr>
          <w:rFonts w:ascii="Book Antiqua" w:hAnsi="Book Antiqua" w:cs="宋体"/>
          <w:kern w:val="0"/>
          <w:sz w:val="24"/>
          <w:szCs w:val="24"/>
        </w:rPr>
        <w:t> 2000; </w:t>
      </w:r>
      <w:r w:rsidRPr="00483C11">
        <w:rPr>
          <w:rFonts w:ascii="Book Antiqua" w:hAnsi="Book Antiqua" w:cs="宋体"/>
          <w:b/>
          <w:bCs/>
          <w:kern w:val="0"/>
          <w:sz w:val="24"/>
          <w:szCs w:val="24"/>
        </w:rPr>
        <w:t>136</w:t>
      </w:r>
      <w:r w:rsidRPr="00483C11">
        <w:rPr>
          <w:rFonts w:ascii="Book Antiqua" w:hAnsi="Book Antiqua" w:cs="宋体"/>
          <w:kern w:val="0"/>
          <w:sz w:val="24"/>
          <w:szCs w:val="24"/>
        </w:rPr>
        <w:t>: 795-804 [PMID: 10839879 DOI</w:t>
      </w:r>
      <w:r>
        <w:rPr>
          <w:rFonts w:ascii="Book Antiqua" w:hAnsi="Book Antiqua" w:cs="宋体"/>
          <w:kern w:val="0"/>
          <w:sz w:val="24"/>
          <w:szCs w:val="24"/>
        </w:rPr>
        <w:t>: 10.1016/S0022-3476(00)44469-0</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4 </w:t>
      </w:r>
      <w:r w:rsidRPr="00483C11">
        <w:rPr>
          <w:rFonts w:ascii="Book Antiqua" w:hAnsi="Book Antiqua" w:cs="宋体"/>
          <w:b/>
          <w:bCs/>
          <w:kern w:val="0"/>
          <w:sz w:val="24"/>
          <w:szCs w:val="24"/>
        </w:rPr>
        <w:t>Ross JA</w:t>
      </w:r>
      <w:r w:rsidRPr="00483C11">
        <w:rPr>
          <w:rFonts w:ascii="Book Antiqua" w:hAnsi="Book Antiqua" w:cs="宋体"/>
          <w:kern w:val="0"/>
          <w:sz w:val="24"/>
          <w:szCs w:val="24"/>
        </w:rPr>
        <w:t>. Hepatoblastoma and birth weight: too little, too big, or just right? </w:t>
      </w:r>
      <w:r w:rsidRPr="00483C11">
        <w:rPr>
          <w:rFonts w:ascii="Book Antiqua" w:hAnsi="Book Antiqua" w:cs="宋体"/>
          <w:i/>
          <w:iCs/>
          <w:kern w:val="0"/>
          <w:sz w:val="24"/>
          <w:szCs w:val="24"/>
        </w:rPr>
        <w:t>J Pediatr</w:t>
      </w:r>
      <w:r w:rsidRPr="00483C11">
        <w:rPr>
          <w:rFonts w:ascii="Book Antiqua" w:hAnsi="Book Antiqua" w:cs="宋体"/>
          <w:kern w:val="0"/>
          <w:sz w:val="24"/>
          <w:szCs w:val="24"/>
        </w:rPr>
        <w:t> 1997; </w:t>
      </w:r>
      <w:r w:rsidRPr="00483C11">
        <w:rPr>
          <w:rFonts w:ascii="Book Antiqua" w:hAnsi="Book Antiqua" w:cs="宋体"/>
          <w:b/>
          <w:bCs/>
          <w:kern w:val="0"/>
          <w:sz w:val="24"/>
          <w:szCs w:val="24"/>
        </w:rPr>
        <w:t>130</w:t>
      </w:r>
      <w:r w:rsidRPr="00483C11">
        <w:rPr>
          <w:rFonts w:ascii="Book Antiqua" w:hAnsi="Book Antiqua" w:cs="宋体"/>
          <w:kern w:val="0"/>
          <w:sz w:val="24"/>
          <w:szCs w:val="24"/>
        </w:rPr>
        <w:t>: 516-517 [PMID: 9108845]</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5 </w:t>
      </w:r>
      <w:r w:rsidRPr="00483C11">
        <w:rPr>
          <w:rFonts w:ascii="Book Antiqua" w:hAnsi="Book Antiqua" w:cs="宋体"/>
          <w:b/>
          <w:bCs/>
          <w:kern w:val="0"/>
          <w:sz w:val="24"/>
          <w:szCs w:val="24"/>
        </w:rPr>
        <w:t>Schnater JM</w:t>
      </w:r>
      <w:r w:rsidRPr="00483C11">
        <w:rPr>
          <w:rFonts w:ascii="Book Antiqua" w:hAnsi="Book Antiqua" w:cs="宋体"/>
          <w:kern w:val="0"/>
          <w:sz w:val="24"/>
          <w:szCs w:val="24"/>
        </w:rPr>
        <w:t>, Aronson DC, Plaschkes J, Perilongo G, Brown J, Otte JB, Brugieres L, Czauderna P, MacKinlay G, Vos A. Surgical view of the treatment of patients with hepatoblastoma: results from the first prospective trial of the International Society of Pediatric Oncology Liver Tumor Study Group. </w:t>
      </w:r>
      <w:r w:rsidRPr="00483C11">
        <w:rPr>
          <w:rFonts w:ascii="Book Antiqua" w:hAnsi="Book Antiqua" w:cs="宋体"/>
          <w:i/>
          <w:iCs/>
          <w:kern w:val="0"/>
          <w:sz w:val="24"/>
          <w:szCs w:val="24"/>
        </w:rPr>
        <w:t>Cancer</w:t>
      </w:r>
      <w:r w:rsidRPr="00483C11">
        <w:rPr>
          <w:rFonts w:ascii="Book Antiqua" w:hAnsi="Book Antiqua" w:cs="宋体"/>
          <w:kern w:val="0"/>
          <w:sz w:val="24"/>
          <w:szCs w:val="24"/>
        </w:rPr>
        <w:t> 2002; </w:t>
      </w:r>
      <w:r w:rsidRPr="00483C11">
        <w:rPr>
          <w:rFonts w:ascii="Book Antiqua" w:hAnsi="Book Antiqua" w:cs="宋体"/>
          <w:b/>
          <w:bCs/>
          <w:kern w:val="0"/>
          <w:sz w:val="24"/>
          <w:szCs w:val="24"/>
        </w:rPr>
        <w:t>94</w:t>
      </w:r>
      <w:r w:rsidRPr="00483C11">
        <w:rPr>
          <w:rFonts w:ascii="Book Antiqua" w:hAnsi="Book Antiqua" w:cs="宋体"/>
          <w:kern w:val="0"/>
          <w:sz w:val="24"/>
          <w:szCs w:val="24"/>
        </w:rPr>
        <w:t>: 1111-1120 [PMID: 1</w:t>
      </w:r>
      <w:r>
        <w:rPr>
          <w:rFonts w:ascii="Book Antiqua" w:hAnsi="Book Antiqua" w:cs="宋体"/>
          <w:kern w:val="0"/>
          <w:sz w:val="24"/>
          <w:szCs w:val="24"/>
        </w:rPr>
        <w:t>1920482 DOI: 10.1002/cncr.10282</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6 </w:t>
      </w:r>
      <w:r w:rsidRPr="00483C11">
        <w:rPr>
          <w:rFonts w:ascii="Book Antiqua" w:hAnsi="Book Antiqua" w:cs="宋体"/>
          <w:b/>
          <w:bCs/>
          <w:kern w:val="0"/>
          <w:sz w:val="24"/>
          <w:szCs w:val="24"/>
        </w:rPr>
        <w:t>Shukla PJ</w:t>
      </w:r>
      <w:r w:rsidRPr="00483C11">
        <w:rPr>
          <w:rFonts w:ascii="Book Antiqua" w:hAnsi="Book Antiqua" w:cs="宋体"/>
          <w:kern w:val="0"/>
          <w:sz w:val="24"/>
          <w:szCs w:val="24"/>
        </w:rPr>
        <w:t>, Barreto SG, Qureshi SS, Hawaldar R, Shrikhande SV, Ramadwar MR, Banavali S. Hepatoblastoma: a single institutional experience of 18 cases. </w:t>
      </w:r>
      <w:r w:rsidRPr="00483C11">
        <w:rPr>
          <w:rFonts w:ascii="Book Antiqua" w:hAnsi="Book Antiqua" w:cs="宋体"/>
          <w:i/>
          <w:iCs/>
          <w:kern w:val="0"/>
          <w:sz w:val="24"/>
          <w:szCs w:val="24"/>
        </w:rPr>
        <w:t>Pediatr Surg Int</w:t>
      </w:r>
      <w:r w:rsidRPr="00483C11">
        <w:rPr>
          <w:rFonts w:ascii="Book Antiqua" w:hAnsi="Book Antiqua" w:cs="宋体"/>
          <w:kern w:val="0"/>
          <w:sz w:val="24"/>
          <w:szCs w:val="24"/>
        </w:rPr>
        <w:t> 2008; </w:t>
      </w:r>
      <w:r w:rsidRPr="00483C11">
        <w:rPr>
          <w:rFonts w:ascii="Book Antiqua" w:hAnsi="Book Antiqua" w:cs="宋体"/>
          <w:b/>
          <w:bCs/>
          <w:kern w:val="0"/>
          <w:sz w:val="24"/>
          <w:szCs w:val="24"/>
        </w:rPr>
        <w:t>24</w:t>
      </w:r>
      <w:r w:rsidRPr="00483C11">
        <w:rPr>
          <w:rFonts w:ascii="Book Antiqua" w:hAnsi="Book Antiqua" w:cs="宋体"/>
          <w:kern w:val="0"/>
          <w:sz w:val="24"/>
          <w:szCs w:val="24"/>
        </w:rPr>
        <w:t>: 799-802 [PMID: 18458915</w:t>
      </w:r>
      <w:r>
        <w:rPr>
          <w:rFonts w:ascii="Book Antiqua" w:hAnsi="Book Antiqua" w:cs="宋体"/>
          <w:kern w:val="0"/>
          <w:sz w:val="24"/>
          <w:szCs w:val="24"/>
        </w:rPr>
        <w:t xml:space="preserve"> DOI: 10.1007/s00383-008-2169-x</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7 </w:t>
      </w:r>
      <w:r w:rsidRPr="00483C11">
        <w:rPr>
          <w:rFonts w:ascii="Book Antiqua" w:hAnsi="Book Antiqua" w:cs="宋体"/>
          <w:b/>
          <w:bCs/>
          <w:kern w:val="0"/>
          <w:sz w:val="24"/>
          <w:szCs w:val="24"/>
        </w:rPr>
        <w:t>von Schweinitz D</w:t>
      </w:r>
      <w:r w:rsidRPr="00483C11">
        <w:rPr>
          <w:rFonts w:ascii="Book Antiqua" w:hAnsi="Book Antiqua" w:cs="宋体"/>
          <w:kern w:val="0"/>
          <w:sz w:val="24"/>
          <w:szCs w:val="24"/>
        </w:rPr>
        <w:t>, Byrd DJ, Hecker H, Weinel P, Bode U, Bürger D, Erttmann R, Harms D, Mildenberger H. Efficiency and toxicity of ifosfamide, cisplatin and doxorubicin in the treatment of childhood hepatoblastoma. Study Committee of the Cooperative Paediatric Liver Tumour Study HB89 of the German Society for Paediatric Oncology and Haematology. </w:t>
      </w:r>
      <w:r w:rsidRPr="00483C11">
        <w:rPr>
          <w:rFonts w:ascii="Book Antiqua" w:hAnsi="Book Antiqua" w:cs="宋体"/>
          <w:i/>
          <w:iCs/>
          <w:kern w:val="0"/>
          <w:sz w:val="24"/>
          <w:szCs w:val="24"/>
        </w:rPr>
        <w:t>Eur J Cancer</w:t>
      </w:r>
      <w:r w:rsidRPr="00483C11">
        <w:rPr>
          <w:rFonts w:ascii="Book Antiqua" w:hAnsi="Book Antiqua" w:cs="宋体"/>
          <w:kern w:val="0"/>
          <w:sz w:val="24"/>
          <w:szCs w:val="24"/>
        </w:rPr>
        <w:t> 1997; </w:t>
      </w:r>
      <w:r w:rsidRPr="00483C11">
        <w:rPr>
          <w:rFonts w:ascii="Book Antiqua" w:hAnsi="Book Antiqua" w:cs="宋体"/>
          <w:b/>
          <w:bCs/>
          <w:kern w:val="0"/>
          <w:sz w:val="24"/>
          <w:szCs w:val="24"/>
        </w:rPr>
        <w:t>33</w:t>
      </w:r>
      <w:r w:rsidRPr="00483C11">
        <w:rPr>
          <w:rFonts w:ascii="Book Antiqua" w:hAnsi="Book Antiqua" w:cs="宋体"/>
          <w:kern w:val="0"/>
          <w:sz w:val="24"/>
          <w:szCs w:val="24"/>
        </w:rPr>
        <w:t>: 1243-1249 [PMID: 9301450 DOI</w:t>
      </w:r>
      <w:r>
        <w:rPr>
          <w:rFonts w:ascii="Book Antiqua" w:hAnsi="Book Antiqua" w:cs="宋体"/>
          <w:kern w:val="0"/>
          <w:sz w:val="24"/>
          <w:szCs w:val="24"/>
        </w:rPr>
        <w:t>: 10.1016/S0959-8049(97)00095-6</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lastRenderedPageBreak/>
        <w:t>8 </w:t>
      </w:r>
      <w:r w:rsidRPr="00483C11">
        <w:rPr>
          <w:rFonts w:ascii="Book Antiqua" w:hAnsi="Book Antiqua" w:cs="宋体"/>
          <w:b/>
          <w:bCs/>
          <w:kern w:val="0"/>
          <w:sz w:val="24"/>
          <w:szCs w:val="24"/>
        </w:rPr>
        <w:t>Pritchard J</w:t>
      </w:r>
      <w:r w:rsidRPr="00483C11">
        <w:rPr>
          <w:rFonts w:ascii="Book Antiqua" w:hAnsi="Book Antiqua" w:cs="宋体"/>
          <w:kern w:val="0"/>
          <w:sz w:val="24"/>
          <w:szCs w:val="24"/>
        </w:rPr>
        <w:t>, Brown J, Shafford E, Perilongo G, Brock P, Dicks-Mireaux C, Keeling J, Phillips A, Vos A, Plaschkes J. Cisplatin, doxorubicin, and delayed surgery for childhood hepatoblastoma: a successful approach--results of the first prospective study of the International Society of Pediatric Oncology. </w:t>
      </w:r>
      <w:r w:rsidRPr="00483C11">
        <w:rPr>
          <w:rFonts w:ascii="Book Antiqua" w:hAnsi="Book Antiqua" w:cs="宋体"/>
          <w:i/>
          <w:iCs/>
          <w:kern w:val="0"/>
          <w:sz w:val="24"/>
          <w:szCs w:val="24"/>
        </w:rPr>
        <w:t>J Clin Oncol</w:t>
      </w:r>
      <w:r w:rsidRPr="00483C11">
        <w:rPr>
          <w:rFonts w:ascii="Book Antiqua" w:hAnsi="Book Antiqua" w:cs="宋体"/>
          <w:kern w:val="0"/>
          <w:sz w:val="24"/>
          <w:szCs w:val="24"/>
        </w:rPr>
        <w:t> 2000; </w:t>
      </w:r>
      <w:r w:rsidRPr="00483C11">
        <w:rPr>
          <w:rFonts w:ascii="Book Antiqua" w:hAnsi="Book Antiqua" w:cs="宋体"/>
          <w:b/>
          <w:bCs/>
          <w:kern w:val="0"/>
          <w:sz w:val="24"/>
          <w:szCs w:val="24"/>
        </w:rPr>
        <w:t>18</w:t>
      </w:r>
      <w:r w:rsidRPr="00483C11">
        <w:rPr>
          <w:rFonts w:ascii="Book Antiqua" w:hAnsi="Book Antiqua" w:cs="宋体"/>
          <w:kern w:val="0"/>
          <w:sz w:val="24"/>
          <w:szCs w:val="24"/>
        </w:rPr>
        <w:t>: 3819-3828 [PMID: 11078495]</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9 </w:t>
      </w:r>
      <w:r w:rsidRPr="00483C11">
        <w:rPr>
          <w:rFonts w:ascii="Book Antiqua" w:hAnsi="Book Antiqua" w:cs="宋体"/>
          <w:b/>
          <w:bCs/>
          <w:kern w:val="0"/>
          <w:sz w:val="24"/>
          <w:szCs w:val="24"/>
        </w:rPr>
        <w:t>Towu E</w:t>
      </w:r>
      <w:r w:rsidRPr="00483C11">
        <w:rPr>
          <w:rFonts w:ascii="Book Antiqua" w:hAnsi="Book Antiqua" w:cs="宋体"/>
          <w:kern w:val="0"/>
          <w:sz w:val="24"/>
          <w:szCs w:val="24"/>
        </w:rPr>
        <w:t>, Kiely E, Pierro A, Spitz L. Outcome and complications after resection of hepatoblastoma. </w:t>
      </w:r>
      <w:r w:rsidRPr="00483C11">
        <w:rPr>
          <w:rFonts w:ascii="Book Antiqua" w:hAnsi="Book Antiqua" w:cs="宋体"/>
          <w:i/>
          <w:iCs/>
          <w:kern w:val="0"/>
          <w:sz w:val="24"/>
          <w:szCs w:val="24"/>
        </w:rPr>
        <w:t>J Pediatr Surg</w:t>
      </w:r>
      <w:r w:rsidRPr="00483C11">
        <w:rPr>
          <w:rFonts w:ascii="Book Antiqua" w:hAnsi="Book Antiqua" w:cs="宋体"/>
          <w:kern w:val="0"/>
          <w:sz w:val="24"/>
          <w:szCs w:val="24"/>
        </w:rPr>
        <w:t> 2004; </w:t>
      </w:r>
      <w:r w:rsidRPr="00483C11">
        <w:rPr>
          <w:rFonts w:ascii="Book Antiqua" w:hAnsi="Book Antiqua" w:cs="宋体"/>
          <w:b/>
          <w:bCs/>
          <w:kern w:val="0"/>
          <w:sz w:val="24"/>
          <w:szCs w:val="24"/>
        </w:rPr>
        <w:t>39</w:t>
      </w:r>
      <w:r w:rsidRPr="00483C11">
        <w:rPr>
          <w:rFonts w:ascii="Book Antiqua" w:hAnsi="Book Antiqua" w:cs="宋体"/>
          <w:kern w:val="0"/>
          <w:sz w:val="24"/>
          <w:szCs w:val="24"/>
        </w:rPr>
        <w:t>: 199-202; discussion 199-202 [PMID: 14966740 DOI:</w:t>
      </w:r>
      <w:r>
        <w:rPr>
          <w:rFonts w:ascii="Book Antiqua" w:hAnsi="Book Antiqua" w:cs="宋体"/>
          <w:kern w:val="0"/>
          <w:sz w:val="24"/>
          <w:szCs w:val="24"/>
        </w:rPr>
        <w:t xml:space="preserve"> 10.1016/j.jpedsurg.2003.10.013</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10 </w:t>
      </w:r>
      <w:r w:rsidRPr="00483C11">
        <w:rPr>
          <w:rFonts w:ascii="Book Antiqua" w:hAnsi="Book Antiqua" w:cs="宋体"/>
          <w:b/>
          <w:bCs/>
          <w:kern w:val="0"/>
          <w:sz w:val="24"/>
          <w:szCs w:val="24"/>
        </w:rPr>
        <w:t>Tsay PK</w:t>
      </w:r>
      <w:r w:rsidRPr="00483C11">
        <w:rPr>
          <w:rFonts w:ascii="Book Antiqua" w:hAnsi="Book Antiqua" w:cs="宋体"/>
          <w:kern w:val="0"/>
          <w:sz w:val="24"/>
          <w:szCs w:val="24"/>
        </w:rPr>
        <w:t>, Lai JY, Yang CP, Hung IJ, Hsueh C, Tsai MH, Jaing TH. Treatment outcomes for hepatoblastoma: experience of 35 cases at a single institution. </w:t>
      </w:r>
      <w:r w:rsidRPr="00483C11">
        <w:rPr>
          <w:rFonts w:ascii="Book Antiqua" w:hAnsi="Book Antiqua" w:cs="宋体"/>
          <w:i/>
          <w:iCs/>
          <w:kern w:val="0"/>
          <w:sz w:val="24"/>
          <w:szCs w:val="24"/>
        </w:rPr>
        <w:t>J Formos Med Assoc</w:t>
      </w:r>
      <w:r w:rsidRPr="00483C11">
        <w:rPr>
          <w:rFonts w:ascii="Book Antiqua" w:hAnsi="Book Antiqua" w:cs="宋体"/>
          <w:kern w:val="0"/>
          <w:sz w:val="24"/>
          <w:szCs w:val="24"/>
        </w:rPr>
        <w:t> 2011; </w:t>
      </w:r>
      <w:r w:rsidRPr="00483C11">
        <w:rPr>
          <w:rFonts w:ascii="Book Antiqua" w:hAnsi="Book Antiqua" w:cs="宋体"/>
          <w:b/>
          <w:bCs/>
          <w:kern w:val="0"/>
          <w:sz w:val="24"/>
          <w:szCs w:val="24"/>
        </w:rPr>
        <w:t>110</w:t>
      </w:r>
      <w:r w:rsidRPr="00483C11">
        <w:rPr>
          <w:rFonts w:ascii="Book Antiqua" w:hAnsi="Book Antiqua" w:cs="宋体"/>
          <w:kern w:val="0"/>
          <w:sz w:val="24"/>
          <w:szCs w:val="24"/>
        </w:rPr>
        <w:t>: 322-325 [PMID: 21621153 DOI</w:t>
      </w:r>
      <w:r>
        <w:rPr>
          <w:rFonts w:ascii="Book Antiqua" w:hAnsi="Book Antiqua" w:cs="宋体"/>
          <w:kern w:val="0"/>
          <w:sz w:val="24"/>
          <w:szCs w:val="24"/>
        </w:rPr>
        <w:t>: 10.1016/S0929-6646(11)60048-X</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11 </w:t>
      </w:r>
      <w:r w:rsidRPr="00483C11">
        <w:rPr>
          <w:rFonts w:ascii="Book Antiqua" w:hAnsi="Book Antiqua" w:cs="宋体"/>
          <w:b/>
          <w:bCs/>
          <w:kern w:val="0"/>
          <w:sz w:val="24"/>
          <w:szCs w:val="24"/>
        </w:rPr>
        <w:t>Malek MM</w:t>
      </w:r>
      <w:r w:rsidRPr="00483C11">
        <w:rPr>
          <w:rFonts w:ascii="Book Antiqua" w:hAnsi="Book Antiqua" w:cs="宋体"/>
          <w:kern w:val="0"/>
          <w:sz w:val="24"/>
          <w:szCs w:val="24"/>
        </w:rPr>
        <w:t>, Shah SR, Atri P, Paredes JL, DiCicco LA, Sindhi R, Soltys KA, Mazariegos GV, Kane TD. Review of outcomes of primary liver cancers in children: our institutional experience with resection and transplantation. </w:t>
      </w:r>
      <w:r w:rsidRPr="00483C11">
        <w:rPr>
          <w:rFonts w:ascii="Book Antiqua" w:hAnsi="Book Antiqua" w:cs="宋体"/>
          <w:i/>
          <w:iCs/>
          <w:kern w:val="0"/>
          <w:sz w:val="24"/>
          <w:szCs w:val="24"/>
        </w:rPr>
        <w:t>Surgery</w:t>
      </w:r>
      <w:r w:rsidRPr="00483C11">
        <w:rPr>
          <w:rFonts w:ascii="Book Antiqua" w:hAnsi="Book Antiqua" w:cs="宋体"/>
          <w:kern w:val="0"/>
          <w:sz w:val="24"/>
          <w:szCs w:val="24"/>
        </w:rPr>
        <w:t> 2010; </w:t>
      </w:r>
      <w:r w:rsidRPr="00483C11">
        <w:rPr>
          <w:rFonts w:ascii="Book Antiqua" w:hAnsi="Book Antiqua" w:cs="宋体"/>
          <w:b/>
          <w:bCs/>
          <w:kern w:val="0"/>
          <w:sz w:val="24"/>
          <w:szCs w:val="24"/>
        </w:rPr>
        <w:t>148</w:t>
      </w:r>
      <w:r w:rsidRPr="00483C11">
        <w:rPr>
          <w:rFonts w:ascii="Book Antiqua" w:hAnsi="Book Antiqua" w:cs="宋体"/>
          <w:kern w:val="0"/>
          <w:sz w:val="24"/>
          <w:szCs w:val="24"/>
        </w:rPr>
        <w:t xml:space="preserve">: 778-82; discussion 782-4 [PMID: 20728194 </w:t>
      </w:r>
      <w:r>
        <w:rPr>
          <w:rFonts w:ascii="Book Antiqua" w:hAnsi="Book Antiqua" w:cs="宋体"/>
          <w:kern w:val="0"/>
          <w:sz w:val="24"/>
          <w:szCs w:val="24"/>
        </w:rPr>
        <w:t>DOI: 10.1016/j.surg.2010.07.021</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12 </w:t>
      </w:r>
      <w:r w:rsidRPr="00483C11">
        <w:rPr>
          <w:rFonts w:ascii="Book Antiqua" w:hAnsi="Book Antiqua" w:cs="宋体"/>
          <w:b/>
          <w:bCs/>
          <w:kern w:val="0"/>
          <w:sz w:val="24"/>
          <w:szCs w:val="24"/>
        </w:rPr>
        <w:t>Perilongo G</w:t>
      </w:r>
      <w:r w:rsidRPr="00483C11">
        <w:rPr>
          <w:rFonts w:ascii="Book Antiqua" w:hAnsi="Book Antiqua" w:cs="宋体"/>
          <w:kern w:val="0"/>
          <w:sz w:val="24"/>
          <w:szCs w:val="24"/>
        </w:rPr>
        <w:t>, Shafford E, Plaschkes J. SIOPEL trials using preoperative chemotherapy in hepatoblastoma. </w:t>
      </w:r>
      <w:r w:rsidRPr="00483C11">
        <w:rPr>
          <w:rFonts w:ascii="Book Antiqua" w:hAnsi="Book Antiqua" w:cs="宋体"/>
          <w:i/>
          <w:iCs/>
          <w:kern w:val="0"/>
          <w:sz w:val="24"/>
          <w:szCs w:val="24"/>
        </w:rPr>
        <w:t>Lancet Oncol</w:t>
      </w:r>
      <w:r w:rsidRPr="00483C11">
        <w:rPr>
          <w:rFonts w:ascii="Book Antiqua" w:hAnsi="Book Antiqua" w:cs="宋体"/>
          <w:kern w:val="0"/>
          <w:sz w:val="24"/>
          <w:szCs w:val="24"/>
        </w:rPr>
        <w:t> 2000; </w:t>
      </w:r>
      <w:r w:rsidRPr="00483C11">
        <w:rPr>
          <w:rFonts w:ascii="Book Antiqua" w:hAnsi="Book Antiqua" w:cs="宋体"/>
          <w:b/>
          <w:bCs/>
          <w:kern w:val="0"/>
          <w:sz w:val="24"/>
          <w:szCs w:val="24"/>
        </w:rPr>
        <w:t>1</w:t>
      </w:r>
      <w:r w:rsidRPr="00483C11">
        <w:rPr>
          <w:rFonts w:ascii="Book Antiqua" w:hAnsi="Book Antiqua" w:cs="宋体"/>
          <w:kern w:val="0"/>
          <w:sz w:val="24"/>
          <w:szCs w:val="24"/>
        </w:rPr>
        <w:t>: 94-100 [PMID: 11905674 DOI</w:t>
      </w:r>
      <w:r>
        <w:rPr>
          <w:rFonts w:ascii="Book Antiqua" w:hAnsi="Book Antiqua" w:cs="宋体"/>
          <w:kern w:val="0"/>
          <w:sz w:val="24"/>
          <w:szCs w:val="24"/>
        </w:rPr>
        <w:t>: 10.1016/S1470-2045(00)00018-8</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13 </w:t>
      </w:r>
      <w:r w:rsidRPr="00483C11">
        <w:rPr>
          <w:rFonts w:ascii="Book Antiqua" w:hAnsi="Book Antiqua" w:cs="宋体"/>
          <w:b/>
          <w:bCs/>
          <w:kern w:val="0"/>
          <w:sz w:val="24"/>
          <w:szCs w:val="24"/>
        </w:rPr>
        <w:t>DeBaun MR</w:t>
      </w:r>
      <w:r w:rsidRPr="00483C11">
        <w:rPr>
          <w:rFonts w:ascii="Book Antiqua" w:hAnsi="Book Antiqua" w:cs="宋体"/>
          <w:kern w:val="0"/>
          <w:sz w:val="24"/>
          <w:szCs w:val="24"/>
        </w:rPr>
        <w:t>, Ess J, Saunders S. Simpson Golabi Behmel syndrome: progress toward understanding the molecular basis for overgrowth, malformation, and cancer predisposition. </w:t>
      </w:r>
      <w:r w:rsidRPr="00483C11">
        <w:rPr>
          <w:rFonts w:ascii="Book Antiqua" w:hAnsi="Book Antiqua" w:cs="宋体"/>
          <w:i/>
          <w:iCs/>
          <w:kern w:val="0"/>
          <w:sz w:val="24"/>
          <w:szCs w:val="24"/>
        </w:rPr>
        <w:t>Mol Genet Metab</w:t>
      </w:r>
      <w:r w:rsidRPr="00483C11">
        <w:rPr>
          <w:rFonts w:ascii="Book Antiqua" w:hAnsi="Book Antiqua" w:cs="宋体"/>
          <w:kern w:val="0"/>
          <w:sz w:val="24"/>
          <w:szCs w:val="24"/>
        </w:rPr>
        <w:t> 2001; </w:t>
      </w:r>
      <w:r w:rsidRPr="00483C11">
        <w:rPr>
          <w:rFonts w:ascii="Book Antiqua" w:hAnsi="Book Antiqua" w:cs="宋体"/>
          <w:b/>
          <w:bCs/>
          <w:kern w:val="0"/>
          <w:sz w:val="24"/>
          <w:szCs w:val="24"/>
        </w:rPr>
        <w:t>72</w:t>
      </w:r>
      <w:r w:rsidRPr="00483C11">
        <w:rPr>
          <w:rFonts w:ascii="Book Antiqua" w:hAnsi="Book Antiqua" w:cs="宋体"/>
          <w:kern w:val="0"/>
          <w:sz w:val="24"/>
          <w:szCs w:val="24"/>
        </w:rPr>
        <w:t>: 279-286 [PMID: 11286</w:t>
      </w:r>
      <w:r>
        <w:rPr>
          <w:rFonts w:ascii="Book Antiqua" w:hAnsi="Book Antiqua" w:cs="宋体"/>
          <w:kern w:val="0"/>
          <w:sz w:val="24"/>
          <w:szCs w:val="24"/>
        </w:rPr>
        <w:t>501 DOI: 10.1006/mgme.2001.3150</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14 </w:t>
      </w:r>
      <w:r w:rsidRPr="00483C11">
        <w:rPr>
          <w:rFonts w:ascii="Book Antiqua" w:hAnsi="Book Antiqua" w:cs="宋体"/>
          <w:b/>
          <w:bCs/>
          <w:kern w:val="0"/>
          <w:sz w:val="24"/>
          <w:szCs w:val="24"/>
        </w:rPr>
        <w:t>Otte JB</w:t>
      </w:r>
      <w:r w:rsidRPr="00483C11">
        <w:rPr>
          <w:rFonts w:ascii="Book Antiqua" w:hAnsi="Book Antiqua" w:cs="宋体"/>
          <w:kern w:val="0"/>
          <w:sz w:val="24"/>
          <w:szCs w:val="24"/>
        </w:rPr>
        <w:t>. Progress in the surgical treatment of malignant liver tumors in children. </w:t>
      </w:r>
      <w:r w:rsidRPr="00483C11">
        <w:rPr>
          <w:rFonts w:ascii="Book Antiqua" w:hAnsi="Book Antiqua" w:cs="宋体"/>
          <w:i/>
          <w:iCs/>
          <w:kern w:val="0"/>
          <w:sz w:val="24"/>
          <w:szCs w:val="24"/>
        </w:rPr>
        <w:t>Cancer Treat Rev</w:t>
      </w:r>
      <w:r w:rsidRPr="00483C11">
        <w:rPr>
          <w:rFonts w:ascii="Book Antiqua" w:hAnsi="Book Antiqua" w:cs="宋体"/>
          <w:kern w:val="0"/>
          <w:sz w:val="24"/>
          <w:szCs w:val="24"/>
        </w:rPr>
        <w:t> 2010; </w:t>
      </w:r>
      <w:r w:rsidRPr="00483C11">
        <w:rPr>
          <w:rFonts w:ascii="Book Antiqua" w:hAnsi="Book Antiqua" w:cs="宋体"/>
          <w:b/>
          <w:bCs/>
          <w:kern w:val="0"/>
          <w:sz w:val="24"/>
          <w:szCs w:val="24"/>
        </w:rPr>
        <w:t>36</w:t>
      </w:r>
      <w:r w:rsidRPr="00483C11">
        <w:rPr>
          <w:rFonts w:ascii="Book Antiqua" w:hAnsi="Book Antiqua" w:cs="宋体"/>
          <w:kern w:val="0"/>
          <w:sz w:val="24"/>
          <w:szCs w:val="24"/>
        </w:rPr>
        <w:t xml:space="preserve">: 360-371 [PMID: 20227190 </w:t>
      </w:r>
      <w:r>
        <w:rPr>
          <w:rFonts w:ascii="Book Antiqua" w:hAnsi="Book Antiqua" w:cs="宋体"/>
          <w:kern w:val="0"/>
          <w:sz w:val="24"/>
          <w:szCs w:val="24"/>
        </w:rPr>
        <w:t>DOI: 10.1016/j.ctrv.2010.02.013</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15 </w:t>
      </w:r>
      <w:r w:rsidRPr="00483C11">
        <w:rPr>
          <w:rFonts w:ascii="Book Antiqua" w:hAnsi="Book Antiqua" w:cs="宋体"/>
          <w:b/>
          <w:bCs/>
          <w:kern w:val="0"/>
          <w:sz w:val="24"/>
          <w:szCs w:val="24"/>
        </w:rPr>
        <w:t>Perilongo G</w:t>
      </w:r>
      <w:r w:rsidRPr="00483C11">
        <w:rPr>
          <w:rFonts w:ascii="Book Antiqua" w:hAnsi="Book Antiqua" w:cs="宋体"/>
          <w:kern w:val="0"/>
          <w:sz w:val="24"/>
          <w:szCs w:val="24"/>
        </w:rPr>
        <w:t xml:space="preserve">, Shafford E, Maibach R, Aronson D, Brugières L, Brock P, Childs M, Czauderna P, MacKinlay G, Otte JB, Pritchard J, Rondelli R, Scopinaro M, Staalman C, Plaschkes J. Risk-adapted treatment for childhood </w:t>
      </w:r>
      <w:r w:rsidRPr="00483C11">
        <w:rPr>
          <w:rFonts w:ascii="Book Antiqua" w:hAnsi="Book Antiqua" w:cs="宋体"/>
          <w:kern w:val="0"/>
          <w:sz w:val="24"/>
          <w:szCs w:val="24"/>
        </w:rPr>
        <w:lastRenderedPageBreak/>
        <w:t>hepatoblastoma. final report of the second study of the International Society of Paediatric Oncology--SIOPEL 2. </w:t>
      </w:r>
      <w:r w:rsidRPr="00483C11">
        <w:rPr>
          <w:rFonts w:ascii="Book Antiqua" w:hAnsi="Book Antiqua" w:cs="宋体"/>
          <w:i/>
          <w:iCs/>
          <w:kern w:val="0"/>
          <w:sz w:val="24"/>
          <w:szCs w:val="24"/>
        </w:rPr>
        <w:t>Eur J Cancer</w:t>
      </w:r>
      <w:r w:rsidRPr="00483C11">
        <w:rPr>
          <w:rFonts w:ascii="Book Antiqua" w:hAnsi="Book Antiqua" w:cs="宋体"/>
          <w:kern w:val="0"/>
          <w:sz w:val="24"/>
          <w:szCs w:val="24"/>
        </w:rPr>
        <w:t> 2004; </w:t>
      </w:r>
      <w:r w:rsidRPr="00483C11">
        <w:rPr>
          <w:rFonts w:ascii="Book Antiqua" w:hAnsi="Book Antiqua" w:cs="宋体"/>
          <w:b/>
          <w:bCs/>
          <w:kern w:val="0"/>
          <w:sz w:val="24"/>
          <w:szCs w:val="24"/>
        </w:rPr>
        <w:t>40</w:t>
      </w:r>
      <w:r w:rsidRPr="00483C11">
        <w:rPr>
          <w:rFonts w:ascii="Book Antiqua" w:hAnsi="Book Antiqua" w:cs="宋体"/>
          <w:kern w:val="0"/>
          <w:sz w:val="24"/>
          <w:szCs w:val="24"/>
        </w:rPr>
        <w:t xml:space="preserve">: 411-421 [PMID: 14746860 </w:t>
      </w:r>
      <w:r>
        <w:rPr>
          <w:rFonts w:ascii="Book Antiqua" w:hAnsi="Book Antiqua" w:cs="宋体"/>
          <w:kern w:val="0"/>
          <w:sz w:val="24"/>
          <w:szCs w:val="24"/>
        </w:rPr>
        <w:t>DOI: 10.1016/j.ejca.2003.06.003</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16 </w:t>
      </w:r>
      <w:r w:rsidRPr="00483C11">
        <w:rPr>
          <w:rFonts w:ascii="Book Antiqua" w:hAnsi="Book Antiqua" w:cs="宋体"/>
          <w:b/>
          <w:bCs/>
          <w:kern w:val="0"/>
          <w:sz w:val="24"/>
          <w:szCs w:val="24"/>
        </w:rPr>
        <w:t>Zsíros J</w:t>
      </w:r>
      <w:r w:rsidRPr="00483C11">
        <w:rPr>
          <w:rFonts w:ascii="Book Antiqua" w:hAnsi="Book Antiqua" w:cs="宋体"/>
          <w:kern w:val="0"/>
          <w:sz w:val="24"/>
          <w:szCs w:val="24"/>
        </w:rPr>
        <w:t>, Maibach R, Shafford E, Brugieres L, Brock P, Czauderna P, Roebuck D, Childs M, Zimmermann A, Laithier V, Otte JB, de Camargo B, MacKinlay G, Scopinaro M, Aronson D, Plaschkes J, Perilongo G. Successful treatment of childhood high-risk hepatoblastoma with dose-intensive multiagent chemotherapy and surgery: final results of the SIOPEL-3HR study. </w:t>
      </w:r>
      <w:r w:rsidRPr="00483C11">
        <w:rPr>
          <w:rFonts w:ascii="Book Antiqua" w:hAnsi="Book Antiqua" w:cs="宋体"/>
          <w:i/>
          <w:iCs/>
          <w:kern w:val="0"/>
          <w:sz w:val="24"/>
          <w:szCs w:val="24"/>
        </w:rPr>
        <w:t>J Clin Oncol</w:t>
      </w:r>
      <w:r w:rsidRPr="00483C11">
        <w:rPr>
          <w:rFonts w:ascii="Book Antiqua" w:hAnsi="Book Antiqua" w:cs="宋体"/>
          <w:kern w:val="0"/>
          <w:sz w:val="24"/>
          <w:szCs w:val="24"/>
        </w:rPr>
        <w:t> 2010; </w:t>
      </w:r>
      <w:r w:rsidRPr="00483C11">
        <w:rPr>
          <w:rFonts w:ascii="Book Antiqua" w:hAnsi="Book Antiqua" w:cs="宋体"/>
          <w:b/>
          <w:bCs/>
          <w:kern w:val="0"/>
          <w:sz w:val="24"/>
          <w:szCs w:val="24"/>
        </w:rPr>
        <w:t>28</w:t>
      </w:r>
      <w:r w:rsidRPr="00483C11">
        <w:rPr>
          <w:rFonts w:ascii="Book Antiqua" w:hAnsi="Book Antiqua" w:cs="宋体"/>
          <w:kern w:val="0"/>
          <w:sz w:val="24"/>
          <w:szCs w:val="24"/>
        </w:rPr>
        <w:t>: 2584-2590 [PMID: 2040694</w:t>
      </w:r>
      <w:r>
        <w:rPr>
          <w:rFonts w:ascii="Book Antiqua" w:hAnsi="Book Antiqua" w:cs="宋体"/>
          <w:kern w:val="0"/>
          <w:sz w:val="24"/>
          <w:szCs w:val="24"/>
        </w:rPr>
        <w:t>3 DOI: 10.1200/JCO.2009.22.4857</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17 </w:t>
      </w:r>
      <w:r w:rsidRPr="00483C11">
        <w:rPr>
          <w:rFonts w:ascii="Book Antiqua" w:hAnsi="Book Antiqua" w:cs="宋体"/>
          <w:b/>
          <w:bCs/>
          <w:kern w:val="0"/>
          <w:sz w:val="24"/>
          <w:szCs w:val="24"/>
        </w:rPr>
        <w:t>Hishiki T</w:t>
      </w:r>
      <w:r w:rsidRPr="00483C11">
        <w:rPr>
          <w:rFonts w:ascii="Book Antiqua" w:hAnsi="Book Antiqua" w:cs="宋体"/>
          <w:kern w:val="0"/>
          <w:sz w:val="24"/>
          <w:szCs w:val="24"/>
        </w:rPr>
        <w:t>, Matsunaga T, Sasaki F, Yano M, Ida K, Horie H, Kondo S, Watanabe K, Oue T, Tajiri T, Kamimatsuse A, Ohnuma N, Hiyama E. Outcome of hepatoblastomas treated using the Japanese Study Group for Pediatric Liver Tumor (JPLT) protocol-2: report from the JPLT. </w:t>
      </w:r>
      <w:r w:rsidRPr="00483C11">
        <w:rPr>
          <w:rFonts w:ascii="Book Antiqua" w:hAnsi="Book Antiqua" w:cs="宋体"/>
          <w:i/>
          <w:iCs/>
          <w:kern w:val="0"/>
          <w:sz w:val="24"/>
          <w:szCs w:val="24"/>
        </w:rPr>
        <w:t>Pediatr Surg Int</w:t>
      </w:r>
      <w:r w:rsidRPr="00483C11">
        <w:rPr>
          <w:rFonts w:ascii="Book Antiqua" w:hAnsi="Book Antiqua" w:cs="宋体"/>
          <w:kern w:val="0"/>
          <w:sz w:val="24"/>
          <w:szCs w:val="24"/>
        </w:rPr>
        <w:t> 2011; </w:t>
      </w:r>
      <w:r w:rsidRPr="00483C11">
        <w:rPr>
          <w:rFonts w:ascii="Book Antiqua" w:hAnsi="Book Antiqua" w:cs="宋体"/>
          <w:b/>
          <w:bCs/>
          <w:kern w:val="0"/>
          <w:sz w:val="24"/>
          <w:szCs w:val="24"/>
        </w:rPr>
        <w:t>27</w:t>
      </w:r>
      <w:r w:rsidRPr="00483C11">
        <w:rPr>
          <w:rFonts w:ascii="Book Antiqua" w:hAnsi="Book Antiqua" w:cs="宋体"/>
          <w:kern w:val="0"/>
          <w:sz w:val="24"/>
          <w:szCs w:val="24"/>
        </w:rPr>
        <w:t>: 1-8 [PMID: 20922397 DOI: 10.1007/s00383-010-2</w:t>
      </w:r>
      <w:r>
        <w:rPr>
          <w:rFonts w:ascii="Book Antiqua" w:hAnsi="Book Antiqua" w:cs="宋体"/>
          <w:kern w:val="0"/>
          <w:sz w:val="24"/>
          <w:szCs w:val="24"/>
        </w:rPr>
        <w:t>708-0</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18 </w:t>
      </w:r>
      <w:r w:rsidRPr="00483C11">
        <w:rPr>
          <w:rFonts w:ascii="Book Antiqua" w:hAnsi="Book Antiqua" w:cs="宋体"/>
          <w:b/>
          <w:bCs/>
          <w:kern w:val="0"/>
          <w:sz w:val="24"/>
          <w:szCs w:val="24"/>
        </w:rPr>
        <w:t>Katzenstein HM</w:t>
      </w:r>
      <w:r w:rsidRPr="00483C11">
        <w:rPr>
          <w:rFonts w:ascii="Book Antiqua" w:hAnsi="Book Antiqua" w:cs="宋体"/>
          <w:kern w:val="0"/>
          <w:sz w:val="24"/>
          <w:szCs w:val="24"/>
        </w:rPr>
        <w:t>, Krailo MD, Malogolowkin MH, Ortega JA, Liu-Mares W, Douglass EC, Feusner JH, Reynolds M, Quinn JJ, Newman K, Finegold MJ, Haas JE, Sensel MG, Castleberry RP, Bowman LC. Hepatocellular carcinoma in children and adolescents: results from the Pediatric Oncology Group and the Children's Cancer Group intergroup study. </w:t>
      </w:r>
      <w:r w:rsidRPr="00483C11">
        <w:rPr>
          <w:rFonts w:ascii="Book Antiqua" w:hAnsi="Book Antiqua" w:cs="宋体"/>
          <w:i/>
          <w:iCs/>
          <w:kern w:val="0"/>
          <w:sz w:val="24"/>
          <w:szCs w:val="24"/>
        </w:rPr>
        <w:t>J Clin Oncol</w:t>
      </w:r>
      <w:r w:rsidRPr="00483C11">
        <w:rPr>
          <w:rFonts w:ascii="Book Antiqua" w:hAnsi="Book Antiqua" w:cs="宋体"/>
          <w:kern w:val="0"/>
          <w:sz w:val="24"/>
          <w:szCs w:val="24"/>
        </w:rPr>
        <w:t> 2002; </w:t>
      </w:r>
      <w:r w:rsidRPr="00483C11">
        <w:rPr>
          <w:rFonts w:ascii="Book Antiqua" w:hAnsi="Book Antiqua" w:cs="宋体"/>
          <w:b/>
          <w:bCs/>
          <w:kern w:val="0"/>
          <w:sz w:val="24"/>
          <w:szCs w:val="24"/>
        </w:rPr>
        <w:t>20</w:t>
      </w:r>
      <w:r w:rsidRPr="00483C11">
        <w:rPr>
          <w:rFonts w:ascii="Book Antiqua" w:hAnsi="Book Antiqua" w:cs="宋体"/>
          <w:kern w:val="0"/>
          <w:sz w:val="24"/>
          <w:szCs w:val="24"/>
        </w:rPr>
        <w:t>: 2789-2797 [PMID: 120655</w:t>
      </w:r>
      <w:r>
        <w:rPr>
          <w:rFonts w:ascii="Book Antiqua" w:hAnsi="Book Antiqua" w:cs="宋体"/>
          <w:kern w:val="0"/>
          <w:sz w:val="24"/>
          <w:szCs w:val="24"/>
        </w:rPr>
        <w:t>55 DOI: 10.1200/JCO.2002.06.155</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19 </w:t>
      </w:r>
      <w:r w:rsidRPr="00483C11">
        <w:rPr>
          <w:rFonts w:ascii="Book Antiqua" w:hAnsi="Book Antiqua" w:cs="宋体"/>
          <w:b/>
          <w:bCs/>
          <w:kern w:val="0"/>
          <w:sz w:val="24"/>
          <w:szCs w:val="24"/>
        </w:rPr>
        <w:t>Lautz TB</w:t>
      </w:r>
      <w:r w:rsidRPr="00483C11">
        <w:rPr>
          <w:rFonts w:ascii="Book Antiqua" w:hAnsi="Book Antiqua" w:cs="宋体"/>
          <w:kern w:val="0"/>
          <w:sz w:val="24"/>
          <w:szCs w:val="24"/>
        </w:rPr>
        <w:t>, Ben-Ami T, Tantemsapya N, Gosiengfiao Y, Superina RA. Successful nontransplant resection of POST-TEXT III and IV hepatoblastoma. </w:t>
      </w:r>
      <w:r w:rsidRPr="00483C11">
        <w:rPr>
          <w:rFonts w:ascii="Book Antiqua" w:hAnsi="Book Antiqua" w:cs="宋体"/>
          <w:i/>
          <w:iCs/>
          <w:kern w:val="0"/>
          <w:sz w:val="24"/>
          <w:szCs w:val="24"/>
        </w:rPr>
        <w:t>Cancer</w:t>
      </w:r>
      <w:r w:rsidRPr="00483C11">
        <w:rPr>
          <w:rFonts w:ascii="Book Antiqua" w:hAnsi="Book Antiqua" w:cs="宋体"/>
          <w:kern w:val="0"/>
          <w:sz w:val="24"/>
          <w:szCs w:val="24"/>
        </w:rPr>
        <w:t> 2011; </w:t>
      </w:r>
      <w:r w:rsidRPr="00483C11">
        <w:rPr>
          <w:rFonts w:ascii="Book Antiqua" w:hAnsi="Book Antiqua" w:cs="宋体"/>
          <w:b/>
          <w:bCs/>
          <w:kern w:val="0"/>
          <w:sz w:val="24"/>
          <w:szCs w:val="24"/>
        </w:rPr>
        <w:t>117</w:t>
      </w:r>
      <w:r w:rsidRPr="00483C11">
        <w:rPr>
          <w:rFonts w:ascii="Book Antiqua" w:hAnsi="Book Antiqua" w:cs="宋体"/>
          <w:kern w:val="0"/>
          <w:sz w:val="24"/>
          <w:szCs w:val="24"/>
        </w:rPr>
        <w:t>: 1976-1983 [PMID: 2</w:t>
      </w:r>
      <w:r>
        <w:rPr>
          <w:rFonts w:ascii="Book Antiqua" w:hAnsi="Book Antiqua" w:cs="宋体"/>
          <w:kern w:val="0"/>
          <w:sz w:val="24"/>
          <w:szCs w:val="24"/>
        </w:rPr>
        <w:t>1509775 DOI: 10.1002/cncr.25722</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20 </w:t>
      </w:r>
      <w:r w:rsidRPr="00483C11">
        <w:rPr>
          <w:rFonts w:ascii="Book Antiqua" w:hAnsi="Book Antiqua" w:cs="宋体"/>
          <w:b/>
          <w:bCs/>
          <w:kern w:val="0"/>
          <w:sz w:val="24"/>
          <w:szCs w:val="24"/>
        </w:rPr>
        <w:t>Cyriac S</w:t>
      </w:r>
      <w:r w:rsidRPr="00483C11">
        <w:rPr>
          <w:rFonts w:ascii="Book Antiqua" w:hAnsi="Book Antiqua" w:cs="宋体"/>
          <w:kern w:val="0"/>
          <w:sz w:val="24"/>
          <w:szCs w:val="24"/>
        </w:rPr>
        <w:t>, Seshadri RA, Warrier A, Sagar TG. Hepatoblastoma: Analysis of treatment outcome from a tertiary care center. </w:t>
      </w:r>
      <w:r w:rsidRPr="00483C11">
        <w:rPr>
          <w:rFonts w:ascii="Book Antiqua" w:hAnsi="Book Antiqua" w:cs="宋体"/>
          <w:i/>
          <w:iCs/>
          <w:kern w:val="0"/>
          <w:sz w:val="24"/>
          <w:szCs w:val="24"/>
        </w:rPr>
        <w:t>J Indian Assoc Pediatr Surg</w:t>
      </w:r>
      <w:r w:rsidRPr="00483C11">
        <w:rPr>
          <w:rFonts w:ascii="Book Antiqua" w:hAnsi="Book Antiqua" w:cs="宋体"/>
          <w:kern w:val="0"/>
          <w:sz w:val="24"/>
          <w:szCs w:val="24"/>
        </w:rPr>
        <w:t> 2011; </w:t>
      </w:r>
      <w:r w:rsidRPr="00483C11">
        <w:rPr>
          <w:rFonts w:ascii="Book Antiqua" w:hAnsi="Book Antiqua" w:cs="宋体"/>
          <w:b/>
          <w:bCs/>
          <w:kern w:val="0"/>
          <w:sz w:val="24"/>
          <w:szCs w:val="24"/>
        </w:rPr>
        <w:t>16</w:t>
      </w:r>
      <w:r w:rsidRPr="00483C11">
        <w:rPr>
          <w:rFonts w:ascii="Book Antiqua" w:hAnsi="Book Antiqua" w:cs="宋体"/>
          <w:kern w:val="0"/>
          <w:sz w:val="24"/>
          <w:szCs w:val="24"/>
        </w:rPr>
        <w:t>: 11-14 [PMID: 214308</w:t>
      </w:r>
      <w:r>
        <w:rPr>
          <w:rFonts w:ascii="Book Antiqua" w:hAnsi="Book Antiqua" w:cs="宋体"/>
          <w:kern w:val="0"/>
          <w:sz w:val="24"/>
          <w:szCs w:val="24"/>
        </w:rPr>
        <w:t>41 DOI: 10.4103/0971-9261.74514</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21 </w:t>
      </w:r>
      <w:r w:rsidRPr="00483C11">
        <w:rPr>
          <w:rFonts w:ascii="Book Antiqua" w:hAnsi="Book Antiqua" w:cs="宋体"/>
          <w:b/>
          <w:bCs/>
          <w:kern w:val="0"/>
          <w:sz w:val="24"/>
          <w:szCs w:val="24"/>
        </w:rPr>
        <w:t>Rana AN</w:t>
      </w:r>
      <w:r w:rsidRPr="00483C11">
        <w:rPr>
          <w:rFonts w:ascii="Book Antiqua" w:hAnsi="Book Antiqua" w:cs="宋体"/>
          <w:kern w:val="0"/>
          <w:sz w:val="24"/>
          <w:szCs w:val="24"/>
        </w:rPr>
        <w:t>, Qidwai A, Pritchard J, Ashraf MS. Successful treatment of multifocal unresectable hepatoblastoma with chemotherapy only. </w:t>
      </w:r>
      <w:r w:rsidRPr="00483C11">
        <w:rPr>
          <w:rFonts w:ascii="Book Antiqua" w:hAnsi="Book Antiqua" w:cs="宋体"/>
          <w:i/>
          <w:iCs/>
          <w:kern w:val="0"/>
          <w:sz w:val="24"/>
          <w:szCs w:val="24"/>
        </w:rPr>
        <w:t xml:space="preserve">Pediatr </w:t>
      </w:r>
      <w:r w:rsidRPr="00483C11">
        <w:rPr>
          <w:rFonts w:ascii="Book Antiqua" w:hAnsi="Book Antiqua" w:cs="宋体"/>
          <w:i/>
          <w:iCs/>
          <w:kern w:val="0"/>
          <w:sz w:val="24"/>
          <w:szCs w:val="24"/>
        </w:rPr>
        <w:lastRenderedPageBreak/>
        <w:t>Hematol Oncol</w:t>
      </w:r>
      <w:r w:rsidRPr="00483C11">
        <w:rPr>
          <w:rFonts w:ascii="Book Antiqua" w:hAnsi="Book Antiqua" w:cs="宋体"/>
          <w:kern w:val="0"/>
          <w:sz w:val="24"/>
          <w:szCs w:val="24"/>
        </w:rPr>
        <w:t> 2006; </w:t>
      </w:r>
      <w:r w:rsidRPr="00483C11">
        <w:rPr>
          <w:rFonts w:ascii="Book Antiqua" w:hAnsi="Book Antiqua" w:cs="宋体"/>
          <w:b/>
          <w:bCs/>
          <w:kern w:val="0"/>
          <w:sz w:val="24"/>
          <w:szCs w:val="24"/>
        </w:rPr>
        <w:t>23</w:t>
      </w:r>
      <w:r w:rsidRPr="00483C11">
        <w:rPr>
          <w:rFonts w:ascii="Book Antiqua" w:hAnsi="Book Antiqua" w:cs="宋体"/>
          <w:kern w:val="0"/>
          <w:sz w:val="24"/>
          <w:szCs w:val="24"/>
        </w:rPr>
        <w:t xml:space="preserve">: 153-158 [PMID: 16651244 </w:t>
      </w:r>
      <w:r>
        <w:rPr>
          <w:rFonts w:ascii="Book Antiqua" w:hAnsi="Book Antiqua" w:cs="宋体"/>
          <w:kern w:val="0"/>
          <w:sz w:val="24"/>
          <w:szCs w:val="24"/>
        </w:rPr>
        <w:t>DOI: 10.1080/08880010500457566]</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22 </w:t>
      </w:r>
      <w:r w:rsidRPr="00483C11">
        <w:rPr>
          <w:rFonts w:ascii="Book Antiqua" w:hAnsi="Book Antiqua" w:cs="宋体"/>
          <w:b/>
          <w:bCs/>
          <w:kern w:val="0"/>
          <w:sz w:val="24"/>
          <w:szCs w:val="24"/>
        </w:rPr>
        <w:t>Hermann RE</w:t>
      </w:r>
      <w:r w:rsidRPr="00483C11">
        <w:rPr>
          <w:rFonts w:ascii="Book Antiqua" w:hAnsi="Book Antiqua" w:cs="宋体"/>
          <w:kern w:val="0"/>
          <w:sz w:val="24"/>
          <w:szCs w:val="24"/>
        </w:rPr>
        <w:t>, Lonsdale D. Chemotherapy, radiotherapy, and hepatic lobectomy for hepatoblastoma in an infant: report of a survival. </w:t>
      </w:r>
      <w:r w:rsidRPr="00483C11">
        <w:rPr>
          <w:rFonts w:ascii="Book Antiqua" w:hAnsi="Book Antiqua" w:cs="宋体"/>
          <w:i/>
          <w:iCs/>
          <w:kern w:val="0"/>
          <w:sz w:val="24"/>
          <w:szCs w:val="24"/>
        </w:rPr>
        <w:t>Surgery</w:t>
      </w:r>
      <w:r w:rsidRPr="00483C11">
        <w:rPr>
          <w:rFonts w:ascii="Book Antiqua" w:hAnsi="Book Antiqua" w:cs="宋体"/>
          <w:kern w:val="0"/>
          <w:sz w:val="24"/>
          <w:szCs w:val="24"/>
        </w:rPr>
        <w:t> 1970; </w:t>
      </w:r>
      <w:r w:rsidRPr="00483C11">
        <w:rPr>
          <w:rFonts w:ascii="Book Antiqua" w:hAnsi="Book Antiqua" w:cs="宋体"/>
          <w:b/>
          <w:bCs/>
          <w:kern w:val="0"/>
          <w:sz w:val="24"/>
          <w:szCs w:val="24"/>
        </w:rPr>
        <w:t>68</w:t>
      </w:r>
      <w:r w:rsidRPr="00483C11">
        <w:rPr>
          <w:rFonts w:ascii="Book Antiqua" w:hAnsi="Book Antiqua" w:cs="宋体"/>
          <w:kern w:val="0"/>
          <w:sz w:val="24"/>
          <w:szCs w:val="24"/>
        </w:rPr>
        <w:t>: 383-388 [PMID: 4317928]</w:t>
      </w:r>
    </w:p>
    <w:p w:rsidR="00114FF2" w:rsidRPr="00483C11" w:rsidRDefault="00114FF2" w:rsidP="00BE0F44">
      <w:pPr>
        <w:widowControl/>
        <w:spacing w:line="360" w:lineRule="auto"/>
        <w:rPr>
          <w:rFonts w:ascii="Book Antiqua" w:hAnsi="Book Antiqua" w:cs="宋体"/>
          <w:kern w:val="0"/>
          <w:sz w:val="24"/>
          <w:szCs w:val="24"/>
        </w:rPr>
      </w:pPr>
      <w:r w:rsidRPr="00483C11">
        <w:rPr>
          <w:rFonts w:ascii="Book Antiqua" w:hAnsi="Book Antiqua" w:cs="宋体"/>
          <w:kern w:val="0"/>
          <w:sz w:val="24"/>
          <w:szCs w:val="24"/>
        </w:rPr>
        <w:t>23 </w:t>
      </w:r>
      <w:r w:rsidRPr="00483C11">
        <w:rPr>
          <w:rFonts w:ascii="Book Antiqua" w:hAnsi="Book Antiqua" w:cs="宋体"/>
          <w:b/>
          <w:bCs/>
          <w:kern w:val="0"/>
          <w:sz w:val="24"/>
          <w:szCs w:val="24"/>
        </w:rPr>
        <w:t>Ninane J</w:t>
      </w:r>
      <w:r w:rsidRPr="00483C11">
        <w:rPr>
          <w:rFonts w:ascii="Book Antiqua" w:hAnsi="Book Antiqua" w:cs="宋体"/>
          <w:kern w:val="0"/>
          <w:sz w:val="24"/>
          <w:szCs w:val="24"/>
        </w:rPr>
        <w:t>, Perilongo G, Stalens JP, Guglielmi M, Otte JB, Mancini A. Effectiveness and toxicity of cisplatin and doxorubicin (PLADO) in childhood hepatoblastoma and hepatocellular carcinoma: a SIOP pilot study. </w:t>
      </w:r>
      <w:r w:rsidRPr="00483C11">
        <w:rPr>
          <w:rFonts w:ascii="Book Antiqua" w:hAnsi="Book Antiqua" w:cs="宋体"/>
          <w:i/>
          <w:iCs/>
          <w:kern w:val="0"/>
          <w:sz w:val="24"/>
          <w:szCs w:val="24"/>
        </w:rPr>
        <w:t>Med Pediatr Oncol</w:t>
      </w:r>
      <w:r w:rsidRPr="00483C11">
        <w:rPr>
          <w:rFonts w:ascii="Book Antiqua" w:hAnsi="Book Antiqua" w:cs="宋体"/>
          <w:kern w:val="0"/>
          <w:sz w:val="24"/>
          <w:szCs w:val="24"/>
        </w:rPr>
        <w:t> 1991; </w:t>
      </w:r>
      <w:r w:rsidRPr="00483C11">
        <w:rPr>
          <w:rFonts w:ascii="Book Antiqua" w:hAnsi="Book Antiqua" w:cs="宋体"/>
          <w:b/>
          <w:bCs/>
          <w:kern w:val="0"/>
          <w:sz w:val="24"/>
          <w:szCs w:val="24"/>
        </w:rPr>
        <w:t>19</w:t>
      </w:r>
      <w:r w:rsidRPr="00483C11">
        <w:rPr>
          <w:rFonts w:ascii="Book Antiqua" w:hAnsi="Book Antiqua" w:cs="宋体"/>
          <w:kern w:val="0"/>
          <w:sz w:val="24"/>
          <w:szCs w:val="24"/>
        </w:rPr>
        <w:t>: 199-203 [PMID: 1850</w:t>
      </w:r>
      <w:r>
        <w:rPr>
          <w:rFonts w:ascii="Book Antiqua" w:hAnsi="Book Antiqua" w:cs="宋体"/>
          <w:kern w:val="0"/>
          <w:sz w:val="24"/>
          <w:szCs w:val="24"/>
        </w:rPr>
        <w:t>817 DOI: 10.1002/mpo.2950190310</w:t>
      </w:r>
      <w:r w:rsidRPr="00483C11">
        <w:rPr>
          <w:rFonts w:ascii="Book Antiqua" w:hAnsi="Book Antiqua" w:cs="宋体"/>
          <w:kern w:val="0"/>
          <w:sz w:val="24"/>
          <w:szCs w:val="24"/>
        </w:rPr>
        <w:t>]</w:t>
      </w:r>
    </w:p>
    <w:p w:rsidR="00114FF2" w:rsidRPr="00483C11" w:rsidRDefault="00114FF2" w:rsidP="00BE0F44">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24 </w:t>
      </w:r>
      <w:r w:rsidRPr="00483C11">
        <w:rPr>
          <w:rFonts w:ascii="Book Antiqua" w:hAnsi="Book Antiqua" w:cs="宋体"/>
          <w:b/>
          <w:kern w:val="0"/>
          <w:sz w:val="24"/>
          <w:szCs w:val="24"/>
        </w:rPr>
        <w:t xml:space="preserve">Brown J, </w:t>
      </w:r>
      <w:r w:rsidRPr="00483C11">
        <w:rPr>
          <w:rFonts w:ascii="Book Antiqua" w:hAnsi="Book Antiqua" w:cs="宋体"/>
          <w:kern w:val="0"/>
          <w:sz w:val="24"/>
          <w:szCs w:val="24"/>
        </w:rPr>
        <w:t xml:space="preserve">Perilongo G, Shafford E, Keeling J, Pritchard J, Brock P, Dicks-Mireaux C, Philips A, Vos A, Plaschkes J. Pretreatment prognostic factors for children with hepatoblastoma-results from the International Society of Paediatric Oncology (SIOP) study SIOPEL 1. </w:t>
      </w:r>
      <w:r w:rsidRPr="00483C11">
        <w:rPr>
          <w:rFonts w:ascii="Book Antiqua" w:hAnsi="Book Antiqua" w:cs="宋体"/>
          <w:i/>
          <w:kern w:val="0"/>
          <w:sz w:val="24"/>
          <w:szCs w:val="24"/>
        </w:rPr>
        <w:t>Eur J Cancer</w:t>
      </w:r>
      <w:r>
        <w:rPr>
          <w:rFonts w:ascii="Book Antiqua" w:hAnsi="Book Antiqua" w:cs="宋体"/>
          <w:kern w:val="0"/>
          <w:sz w:val="24"/>
          <w:szCs w:val="24"/>
        </w:rPr>
        <w:t xml:space="preserve"> </w:t>
      </w:r>
      <w:r w:rsidRPr="00483C11">
        <w:rPr>
          <w:rFonts w:ascii="Book Antiqua" w:hAnsi="Book Antiqua" w:cs="宋体"/>
          <w:kern w:val="0"/>
          <w:sz w:val="24"/>
          <w:szCs w:val="24"/>
        </w:rPr>
        <w:t xml:space="preserve">2000; </w:t>
      </w:r>
      <w:r w:rsidRPr="00483C11">
        <w:rPr>
          <w:rFonts w:ascii="Book Antiqua" w:hAnsi="Book Antiqua" w:cs="宋体"/>
          <w:b/>
          <w:kern w:val="0"/>
          <w:sz w:val="24"/>
          <w:szCs w:val="24"/>
        </w:rPr>
        <w:t xml:space="preserve">36: </w:t>
      </w:r>
      <w:r>
        <w:rPr>
          <w:rFonts w:ascii="Book Antiqua" w:hAnsi="Book Antiqua" w:cs="宋体"/>
          <w:kern w:val="0"/>
          <w:sz w:val="24"/>
          <w:szCs w:val="24"/>
        </w:rPr>
        <w:t>1418-1425</w:t>
      </w:r>
      <w:r w:rsidRPr="00483C11">
        <w:rPr>
          <w:rFonts w:ascii="Book Antiqua" w:hAnsi="Book Antiqua" w:cs="宋体"/>
          <w:kern w:val="0"/>
          <w:sz w:val="24"/>
          <w:szCs w:val="24"/>
        </w:rPr>
        <w:t xml:space="preserve"> [PMID: 10899656 DOI</w:t>
      </w:r>
      <w:r>
        <w:rPr>
          <w:rFonts w:ascii="Book Antiqua" w:hAnsi="Book Antiqua" w:cs="宋体"/>
          <w:kern w:val="0"/>
          <w:sz w:val="24"/>
          <w:szCs w:val="24"/>
        </w:rPr>
        <w:t>: 10.1016/S0959-8049(00)00074-5]</w:t>
      </w:r>
    </w:p>
    <w:p w:rsidR="00114FF2" w:rsidRPr="008D49C9" w:rsidRDefault="00114FF2" w:rsidP="008D49C9">
      <w:pPr>
        <w:spacing w:line="360" w:lineRule="auto"/>
        <w:rPr>
          <w:rFonts w:ascii="Book Antiqua" w:hAnsi="Book Antiqua"/>
          <w:sz w:val="24"/>
          <w:szCs w:val="24"/>
        </w:rPr>
      </w:pPr>
    </w:p>
    <w:p w:rsidR="00114FF2" w:rsidRPr="009611BC" w:rsidRDefault="00114FF2" w:rsidP="009611BC">
      <w:pPr>
        <w:spacing w:line="360" w:lineRule="auto"/>
        <w:jc w:val="right"/>
        <w:rPr>
          <w:rFonts w:ascii="Book Antiqua" w:hAnsi="Book Antiqua"/>
          <w:b/>
          <w:sz w:val="24"/>
          <w:szCs w:val="24"/>
        </w:rPr>
      </w:pPr>
      <w:r w:rsidRPr="009611BC">
        <w:rPr>
          <w:rFonts w:ascii="Book Antiqua" w:hAnsi="Book Antiqua"/>
          <w:b/>
          <w:sz w:val="24"/>
          <w:szCs w:val="24"/>
        </w:rPr>
        <w:t xml:space="preserve">P-Reviewers </w:t>
      </w:r>
      <w:r w:rsidRPr="00732D18">
        <w:rPr>
          <w:rFonts w:ascii="Book Antiqua" w:hAnsi="Book Antiqua"/>
          <w:sz w:val="24"/>
          <w:szCs w:val="24"/>
        </w:rPr>
        <w:t>Dziri C, Wang JG</w:t>
      </w:r>
      <w:r w:rsidRPr="009611BC">
        <w:rPr>
          <w:rFonts w:ascii="Book Antiqua" w:hAnsi="Book Antiqua"/>
          <w:b/>
          <w:sz w:val="24"/>
          <w:szCs w:val="24"/>
        </w:rPr>
        <w:t xml:space="preserve"> S-Editor</w:t>
      </w:r>
      <w:r w:rsidRPr="009611BC">
        <w:rPr>
          <w:rFonts w:ascii="Book Antiqua" w:hAnsi="Book Antiqua"/>
          <w:sz w:val="24"/>
          <w:szCs w:val="24"/>
        </w:rPr>
        <w:t xml:space="preserve"> Qi Y </w:t>
      </w:r>
      <w:r w:rsidRPr="009611BC">
        <w:rPr>
          <w:rFonts w:ascii="Book Antiqua" w:hAnsi="Book Antiqua"/>
          <w:b/>
          <w:sz w:val="24"/>
          <w:szCs w:val="24"/>
        </w:rPr>
        <w:t>L-Editor   E-Editor</w:t>
      </w: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Pr="008D49C9" w:rsidRDefault="00114FF2" w:rsidP="008D49C9">
      <w:pPr>
        <w:spacing w:line="360" w:lineRule="auto"/>
        <w:rPr>
          <w:rFonts w:ascii="Book Antiqua" w:hAnsi="Book Antiqua"/>
          <w:sz w:val="24"/>
          <w:szCs w:val="24"/>
        </w:rPr>
      </w:pPr>
    </w:p>
    <w:p w:rsidR="00114FF2" w:rsidRDefault="00114FF2" w:rsidP="0065006A">
      <w:pPr>
        <w:widowControl/>
        <w:jc w:val="left"/>
        <w:rPr>
          <w:rFonts w:ascii="Book Antiqua" w:hAnsi="Book Antiqua"/>
          <w:b/>
          <w:sz w:val="32"/>
          <w:szCs w:val="32"/>
          <w:vertAlign w:val="subscript"/>
        </w:rPr>
        <w:sectPr w:rsidR="00114FF2">
          <w:pgSz w:w="11906" w:h="16838"/>
          <w:pgMar w:top="1440" w:right="1800" w:bottom="1440" w:left="1800" w:header="851" w:footer="992" w:gutter="0"/>
          <w:cols w:space="425"/>
          <w:docGrid w:type="lines" w:linePitch="312"/>
        </w:sectPr>
      </w:pPr>
    </w:p>
    <w:p w:rsidR="00114FF2" w:rsidRPr="0065006A" w:rsidRDefault="00114FF2" w:rsidP="0065006A">
      <w:pPr>
        <w:rPr>
          <w:rFonts w:ascii="Book Antiqua" w:hAnsi="Book Antiqua"/>
          <w:b/>
          <w:sz w:val="32"/>
          <w:szCs w:val="32"/>
          <w:vertAlign w:val="subscript"/>
        </w:rPr>
      </w:pPr>
      <w:r w:rsidRPr="0065006A">
        <w:rPr>
          <w:rFonts w:ascii="Book Antiqua" w:hAnsi="Book Antiqua"/>
          <w:b/>
          <w:sz w:val="32"/>
          <w:szCs w:val="32"/>
          <w:vertAlign w:val="subscript"/>
        </w:rPr>
        <w:lastRenderedPageBreak/>
        <w:t>Table 1 Patients features and outcomes</w:t>
      </w:r>
    </w:p>
    <w:tbl>
      <w:tblPr>
        <w:tblW w:w="12441" w:type="dxa"/>
        <w:tblBorders>
          <w:top w:val="single" w:sz="4" w:space="0" w:color="000000"/>
          <w:bottom w:val="single" w:sz="4" w:space="0" w:color="000000"/>
        </w:tblBorders>
        <w:tblLayout w:type="fixed"/>
        <w:tblLook w:val="00A0" w:firstRow="1" w:lastRow="0" w:firstColumn="1" w:lastColumn="0" w:noHBand="0" w:noVBand="0"/>
      </w:tblPr>
      <w:tblGrid>
        <w:gridCol w:w="551"/>
        <w:gridCol w:w="1117"/>
        <w:gridCol w:w="1134"/>
        <w:gridCol w:w="992"/>
        <w:gridCol w:w="1026"/>
        <w:gridCol w:w="1525"/>
        <w:gridCol w:w="993"/>
        <w:gridCol w:w="1275"/>
        <w:gridCol w:w="1276"/>
        <w:gridCol w:w="1276"/>
        <w:gridCol w:w="1276"/>
      </w:tblGrid>
      <w:tr w:rsidR="00114FF2" w:rsidRPr="00120394" w:rsidTr="0065006A">
        <w:trPr>
          <w:trHeight w:val="1417"/>
        </w:trPr>
        <w:tc>
          <w:tcPr>
            <w:tcW w:w="551"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Age (yr)</w:t>
            </w:r>
          </w:p>
        </w:tc>
        <w:tc>
          <w:tcPr>
            <w:tcW w:w="1117"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 xml:space="preserve">PRETEXT </w:t>
            </w:r>
          </w:p>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pre-QT</w:t>
            </w:r>
          </w:p>
        </w:tc>
        <w:tc>
          <w:tcPr>
            <w:tcW w:w="1134"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Segments involved at diagnosis</w:t>
            </w:r>
          </w:p>
        </w:tc>
        <w:tc>
          <w:tcPr>
            <w:tcW w:w="992"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lang w:val="da-DK"/>
              </w:rPr>
            </w:pPr>
            <w:r w:rsidRPr="00120394">
              <w:rPr>
                <w:rFonts w:ascii="Book Antiqua" w:hAnsi="Book Antiqua"/>
                <w:b/>
                <w:sz w:val="24"/>
                <w:szCs w:val="24"/>
                <w:vertAlign w:val="subscript"/>
                <w:lang w:val="da-DK"/>
              </w:rPr>
              <w:t>AFP at diagnosis (ng/mL)</w:t>
            </w:r>
          </w:p>
        </w:tc>
        <w:tc>
          <w:tcPr>
            <w:tcW w:w="1026"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Histology</w:t>
            </w:r>
          </w:p>
        </w:tc>
        <w:tc>
          <w:tcPr>
            <w:tcW w:w="1525"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Chemotherapy (No. of cycles)</w:t>
            </w:r>
          </w:p>
        </w:tc>
        <w:tc>
          <w:tcPr>
            <w:tcW w:w="993"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POSTEXT at surgery (localization)</w:t>
            </w:r>
          </w:p>
        </w:tc>
        <w:tc>
          <w:tcPr>
            <w:tcW w:w="1275"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Surgery</w:t>
            </w:r>
          </w:p>
        </w:tc>
        <w:tc>
          <w:tcPr>
            <w:tcW w:w="1276"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Postoperative events</w:t>
            </w:r>
          </w:p>
        </w:tc>
        <w:tc>
          <w:tcPr>
            <w:tcW w:w="1276"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Follow-up (mo)</w:t>
            </w:r>
          </w:p>
        </w:tc>
        <w:tc>
          <w:tcPr>
            <w:tcW w:w="1276" w:type="dxa"/>
            <w:tcBorders>
              <w:top w:val="single" w:sz="4" w:space="0" w:color="000000"/>
              <w:bottom w:val="single" w:sz="4" w:space="0" w:color="000000"/>
            </w:tcBorders>
          </w:tcPr>
          <w:p w:rsidR="00114FF2" w:rsidRPr="00120394" w:rsidRDefault="00114FF2" w:rsidP="0065006A">
            <w:pPr>
              <w:rPr>
                <w:rFonts w:ascii="Book Antiqua" w:hAnsi="Book Antiqua"/>
                <w:b/>
                <w:sz w:val="24"/>
                <w:szCs w:val="24"/>
                <w:vertAlign w:val="subscript"/>
              </w:rPr>
            </w:pPr>
            <w:r w:rsidRPr="00120394">
              <w:rPr>
                <w:rFonts w:ascii="Book Antiqua" w:hAnsi="Book Antiqua"/>
                <w:b/>
                <w:sz w:val="24"/>
                <w:szCs w:val="24"/>
                <w:vertAlign w:val="subscript"/>
              </w:rPr>
              <w:t>Current status</w:t>
            </w:r>
          </w:p>
        </w:tc>
      </w:tr>
      <w:tr w:rsidR="00114FF2" w:rsidRPr="00120394" w:rsidTr="0065006A">
        <w:tc>
          <w:tcPr>
            <w:tcW w:w="551"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3</w:t>
            </w:r>
          </w:p>
        </w:tc>
        <w:tc>
          <w:tcPr>
            <w:tcW w:w="1117"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III, P1 (right branch)</w:t>
            </w:r>
          </w:p>
        </w:tc>
        <w:tc>
          <w:tcPr>
            <w:tcW w:w="1134" w:type="dxa"/>
            <w:tcBorders>
              <w:top w:val="single" w:sz="4" w:space="0" w:color="000000"/>
            </w:tcBorders>
          </w:tcPr>
          <w:p w:rsidR="00114FF2" w:rsidRPr="00120394" w:rsidRDefault="00114FF2" w:rsidP="0065006A">
            <w:pPr>
              <w:rPr>
                <w:rFonts w:ascii="Book Antiqua" w:hAnsi="Book Antiqua"/>
                <w:sz w:val="24"/>
                <w:szCs w:val="24"/>
                <w:vertAlign w:val="subscript"/>
                <w:lang w:val="da-DK"/>
              </w:rPr>
            </w:pPr>
            <w:r w:rsidRPr="00120394">
              <w:rPr>
                <w:rFonts w:ascii="Book Antiqua" w:hAnsi="Book Antiqua"/>
                <w:sz w:val="24"/>
                <w:szCs w:val="24"/>
                <w:vertAlign w:val="subscript"/>
                <w:lang w:val="da-DK"/>
              </w:rPr>
              <w:t>I,V,VI,VII,VIII</w:t>
            </w:r>
          </w:p>
        </w:tc>
        <w:tc>
          <w:tcPr>
            <w:tcW w:w="992"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18597.37</w:t>
            </w:r>
          </w:p>
        </w:tc>
        <w:tc>
          <w:tcPr>
            <w:tcW w:w="1026"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Embryonal</w:t>
            </w:r>
          </w:p>
        </w:tc>
        <w:tc>
          <w:tcPr>
            <w:tcW w:w="1525"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Neoadjuvant PLA (4 cycles)+ Adjuvant (2c)</w:t>
            </w:r>
          </w:p>
        </w:tc>
        <w:tc>
          <w:tcPr>
            <w:tcW w:w="993" w:type="dxa"/>
            <w:tcBorders>
              <w:top w:val="single" w:sz="4" w:space="0" w:color="000000"/>
            </w:tcBorders>
          </w:tcPr>
          <w:p w:rsidR="00114FF2" w:rsidRPr="00120394" w:rsidRDefault="00114FF2" w:rsidP="0065006A">
            <w:pPr>
              <w:rPr>
                <w:rFonts w:ascii="Book Antiqua" w:hAnsi="Book Antiqua"/>
                <w:sz w:val="24"/>
                <w:szCs w:val="24"/>
                <w:vertAlign w:val="subscript"/>
                <w:lang w:val="da-DK"/>
              </w:rPr>
            </w:pPr>
            <w:r w:rsidRPr="00120394">
              <w:rPr>
                <w:rFonts w:ascii="Book Antiqua" w:hAnsi="Book Antiqua"/>
                <w:sz w:val="24"/>
                <w:szCs w:val="24"/>
                <w:vertAlign w:val="subscript"/>
                <w:lang w:val="da-DK"/>
              </w:rPr>
              <w:t>II (V,VI,VII,VIII)</w:t>
            </w:r>
          </w:p>
        </w:tc>
        <w:tc>
          <w:tcPr>
            <w:tcW w:w="1275"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Right hepatectomy</w:t>
            </w:r>
          </w:p>
        </w:tc>
        <w:tc>
          <w:tcPr>
            <w:tcW w:w="1276"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Subphrenic abscess (drainage)</w:t>
            </w:r>
          </w:p>
        </w:tc>
        <w:tc>
          <w:tcPr>
            <w:tcW w:w="1276"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18</w:t>
            </w:r>
          </w:p>
        </w:tc>
        <w:tc>
          <w:tcPr>
            <w:tcW w:w="1276" w:type="dxa"/>
            <w:tcBorders>
              <w:top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CR</w:t>
            </w:r>
          </w:p>
        </w:tc>
      </w:tr>
      <w:tr w:rsidR="00114FF2" w:rsidRPr="00120394" w:rsidTr="0065006A">
        <w:tc>
          <w:tcPr>
            <w:tcW w:w="551"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4</w:t>
            </w:r>
          </w:p>
        </w:tc>
        <w:tc>
          <w:tcPr>
            <w:tcW w:w="1117"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II, P1 (left branch)</w:t>
            </w:r>
          </w:p>
        </w:tc>
        <w:tc>
          <w:tcPr>
            <w:tcW w:w="1134"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IVb,V,VIII</w:t>
            </w:r>
          </w:p>
        </w:tc>
        <w:tc>
          <w:tcPr>
            <w:tcW w:w="992"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551.21</w:t>
            </w:r>
          </w:p>
        </w:tc>
        <w:tc>
          <w:tcPr>
            <w:tcW w:w="102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Epithelial mesenchymal mixed</w:t>
            </w:r>
          </w:p>
        </w:tc>
        <w:tc>
          <w:tcPr>
            <w:tcW w:w="152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Neoadjuvant PLA (4c) + Adjuvant (2c)</w:t>
            </w:r>
          </w:p>
        </w:tc>
        <w:tc>
          <w:tcPr>
            <w:tcW w:w="993"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 (IVb)</w:t>
            </w:r>
          </w:p>
        </w:tc>
        <w:tc>
          <w:tcPr>
            <w:tcW w:w="127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Segmentectomy IVb</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Uneventful</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19</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CR</w:t>
            </w:r>
          </w:p>
        </w:tc>
      </w:tr>
      <w:tr w:rsidR="00114FF2" w:rsidRPr="00120394" w:rsidTr="0065006A">
        <w:tc>
          <w:tcPr>
            <w:tcW w:w="551"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8</w:t>
            </w:r>
          </w:p>
        </w:tc>
        <w:tc>
          <w:tcPr>
            <w:tcW w:w="1117"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w:t>
            </w:r>
          </w:p>
        </w:tc>
        <w:tc>
          <w:tcPr>
            <w:tcW w:w="1134"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II,III</w:t>
            </w:r>
          </w:p>
        </w:tc>
        <w:tc>
          <w:tcPr>
            <w:tcW w:w="992"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473856</w:t>
            </w:r>
          </w:p>
        </w:tc>
        <w:tc>
          <w:tcPr>
            <w:tcW w:w="102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Epithelial fetal</w:t>
            </w:r>
          </w:p>
        </w:tc>
        <w:tc>
          <w:tcPr>
            <w:tcW w:w="152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Neoadjuvant PLADO (4c) + Adjuv (2c)</w:t>
            </w:r>
          </w:p>
        </w:tc>
        <w:tc>
          <w:tcPr>
            <w:tcW w:w="993"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 (II,III)</w:t>
            </w:r>
          </w:p>
        </w:tc>
        <w:tc>
          <w:tcPr>
            <w:tcW w:w="127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Left hepatectomy</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Uneventful</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56</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CR</w:t>
            </w:r>
          </w:p>
        </w:tc>
      </w:tr>
      <w:tr w:rsidR="00114FF2" w:rsidRPr="00120394" w:rsidTr="0065006A">
        <w:tc>
          <w:tcPr>
            <w:tcW w:w="551"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13</w:t>
            </w:r>
          </w:p>
        </w:tc>
        <w:tc>
          <w:tcPr>
            <w:tcW w:w="1117"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w:t>
            </w:r>
          </w:p>
        </w:tc>
        <w:tc>
          <w:tcPr>
            <w:tcW w:w="1134"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VIII</w:t>
            </w:r>
          </w:p>
        </w:tc>
        <w:tc>
          <w:tcPr>
            <w:tcW w:w="992"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14277</w:t>
            </w:r>
          </w:p>
        </w:tc>
        <w:tc>
          <w:tcPr>
            <w:tcW w:w="102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Epithelial fetal</w:t>
            </w:r>
          </w:p>
        </w:tc>
        <w:tc>
          <w:tcPr>
            <w:tcW w:w="152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Neoadjuvant PLA (4c) + Adjuv (2c)</w:t>
            </w:r>
          </w:p>
        </w:tc>
        <w:tc>
          <w:tcPr>
            <w:tcW w:w="993"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 (VIII)</w:t>
            </w:r>
          </w:p>
        </w:tc>
        <w:tc>
          <w:tcPr>
            <w:tcW w:w="127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Right hepatectomy</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Uneventful</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28</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CR</w:t>
            </w:r>
          </w:p>
        </w:tc>
      </w:tr>
      <w:tr w:rsidR="00114FF2" w:rsidRPr="00120394" w:rsidTr="0065006A">
        <w:tc>
          <w:tcPr>
            <w:tcW w:w="551"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15</w:t>
            </w:r>
          </w:p>
        </w:tc>
        <w:tc>
          <w:tcPr>
            <w:tcW w:w="1117"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w:t>
            </w:r>
          </w:p>
        </w:tc>
        <w:tc>
          <w:tcPr>
            <w:tcW w:w="1134"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VI</w:t>
            </w:r>
          </w:p>
        </w:tc>
        <w:tc>
          <w:tcPr>
            <w:tcW w:w="992"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401800</w:t>
            </w:r>
          </w:p>
        </w:tc>
        <w:tc>
          <w:tcPr>
            <w:tcW w:w="102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Epithelial mesenchymal mixed</w:t>
            </w:r>
          </w:p>
        </w:tc>
        <w:tc>
          <w:tcPr>
            <w:tcW w:w="152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Adyuvant PLADO (4c)</w:t>
            </w:r>
          </w:p>
        </w:tc>
        <w:tc>
          <w:tcPr>
            <w:tcW w:w="993"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 (VI)</w:t>
            </w:r>
          </w:p>
        </w:tc>
        <w:tc>
          <w:tcPr>
            <w:tcW w:w="127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Tumorectomy</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Uneventful</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106</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CR</w:t>
            </w:r>
          </w:p>
        </w:tc>
      </w:tr>
      <w:tr w:rsidR="00114FF2" w:rsidRPr="00120394" w:rsidTr="0065006A">
        <w:tc>
          <w:tcPr>
            <w:tcW w:w="551"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25</w:t>
            </w:r>
          </w:p>
        </w:tc>
        <w:tc>
          <w:tcPr>
            <w:tcW w:w="1117"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II, P1 (right branch)</w:t>
            </w:r>
          </w:p>
        </w:tc>
        <w:tc>
          <w:tcPr>
            <w:tcW w:w="1134"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V,VI,VII,VIII</w:t>
            </w:r>
          </w:p>
        </w:tc>
        <w:tc>
          <w:tcPr>
            <w:tcW w:w="992"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83100.5</w:t>
            </w:r>
          </w:p>
        </w:tc>
        <w:tc>
          <w:tcPr>
            <w:tcW w:w="102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Embryonal fetal epithelial</w:t>
            </w:r>
          </w:p>
        </w:tc>
        <w:tc>
          <w:tcPr>
            <w:tcW w:w="152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Neoadyuvant PLADO (4c) + Adjuv (2c)</w:t>
            </w:r>
          </w:p>
        </w:tc>
        <w:tc>
          <w:tcPr>
            <w:tcW w:w="993"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II, P0        (VII, VIII)</w:t>
            </w:r>
          </w:p>
        </w:tc>
        <w:tc>
          <w:tcPr>
            <w:tcW w:w="1275"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Bisegmentectomy VII, VIII</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Uneventful</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13</w:t>
            </w:r>
          </w:p>
        </w:tc>
        <w:tc>
          <w:tcPr>
            <w:tcW w:w="1276" w:type="dxa"/>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Lung metastasis</w:t>
            </w:r>
          </w:p>
        </w:tc>
      </w:tr>
      <w:tr w:rsidR="00114FF2" w:rsidRPr="00120394" w:rsidTr="0065006A">
        <w:tc>
          <w:tcPr>
            <w:tcW w:w="551"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31</w:t>
            </w:r>
          </w:p>
        </w:tc>
        <w:tc>
          <w:tcPr>
            <w:tcW w:w="1117"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w:t>
            </w:r>
          </w:p>
        </w:tc>
        <w:tc>
          <w:tcPr>
            <w:tcW w:w="1134"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VI</w:t>
            </w:r>
          </w:p>
        </w:tc>
        <w:tc>
          <w:tcPr>
            <w:tcW w:w="992"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379</w:t>
            </w:r>
          </w:p>
        </w:tc>
        <w:tc>
          <w:tcPr>
            <w:tcW w:w="1026"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Epithelial</w:t>
            </w:r>
          </w:p>
        </w:tc>
        <w:tc>
          <w:tcPr>
            <w:tcW w:w="1525"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Adyuvant PLADO (4c)</w:t>
            </w:r>
          </w:p>
        </w:tc>
        <w:tc>
          <w:tcPr>
            <w:tcW w:w="993"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I (VI)</w:t>
            </w:r>
          </w:p>
        </w:tc>
        <w:tc>
          <w:tcPr>
            <w:tcW w:w="1275"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Segmentectomy VI</w:t>
            </w:r>
          </w:p>
        </w:tc>
        <w:tc>
          <w:tcPr>
            <w:tcW w:w="1276"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Uneventful</w:t>
            </w:r>
          </w:p>
        </w:tc>
        <w:tc>
          <w:tcPr>
            <w:tcW w:w="1276"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50</w:t>
            </w:r>
          </w:p>
        </w:tc>
        <w:tc>
          <w:tcPr>
            <w:tcW w:w="1276" w:type="dxa"/>
            <w:tcBorders>
              <w:bottom w:val="single" w:sz="4" w:space="0" w:color="000000"/>
            </w:tcBorders>
          </w:tcPr>
          <w:p w:rsidR="00114FF2" w:rsidRPr="00120394" w:rsidRDefault="00114FF2" w:rsidP="0065006A">
            <w:pPr>
              <w:rPr>
                <w:rFonts w:ascii="Book Antiqua" w:hAnsi="Book Antiqua"/>
                <w:sz w:val="24"/>
                <w:szCs w:val="24"/>
                <w:vertAlign w:val="subscript"/>
              </w:rPr>
            </w:pPr>
            <w:r w:rsidRPr="00120394">
              <w:rPr>
                <w:rFonts w:ascii="Book Antiqua" w:hAnsi="Book Antiqua"/>
                <w:sz w:val="24"/>
                <w:szCs w:val="24"/>
                <w:vertAlign w:val="subscript"/>
              </w:rPr>
              <w:t>CR</w:t>
            </w:r>
          </w:p>
        </w:tc>
      </w:tr>
    </w:tbl>
    <w:p w:rsidR="00114FF2" w:rsidRDefault="00114FF2" w:rsidP="0065006A">
      <w:pPr>
        <w:rPr>
          <w:rFonts w:ascii="Book Antiqua" w:hAnsi="Book Antiqua"/>
          <w:sz w:val="24"/>
          <w:szCs w:val="24"/>
          <w:vertAlign w:val="subscript"/>
        </w:rPr>
      </w:pPr>
      <w:r w:rsidRPr="0065006A">
        <w:rPr>
          <w:rFonts w:ascii="Book Antiqua" w:hAnsi="Book Antiqua"/>
          <w:sz w:val="24"/>
          <w:szCs w:val="24"/>
          <w:vertAlign w:val="subscript"/>
        </w:rPr>
        <w:t>PLA</w:t>
      </w:r>
      <w:r>
        <w:rPr>
          <w:rFonts w:ascii="Book Antiqua" w:hAnsi="Book Antiqua"/>
          <w:sz w:val="24"/>
          <w:szCs w:val="24"/>
          <w:vertAlign w:val="subscript"/>
        </w:rPr>
        <w:t xml:space="preserve">: </w:t>
      </w:r>
      <w:r w:rsidRPr="0065006A">
        <w:rPr>
          <w:rFonts w:ascii="Book Antiqua" w:hAnsi="Book Antiqua"/>
          <w:sz w:val="24"/>
          <w:szCs w:val="24"/>
          <w:vertAlign w:val="subscript"/>
        </w:rPr>
        <w:t>Cisplatin; DO</w:t>
      </w:r>
      <w:r>
        <w:rPr>
          <w:rFonts w:ascii="Book Antiqua" w:hAnsi="Book Antiqua"/>
          <w:sz w:val="24"/>
          <w:szCs w:val="24"/>
          <w:vertAlign w:val="subscript"/>
        </w:rPr>
        <w:t>:</w:t>
      </w:r>
      <w:r w:rsidRPr="0065006A">
        <w:rPr>
          <w:rFonts w:ascii="Book Antiqua" w:hAnsi="Book Antiqua"/>
          <w:sz w:val="24"/>
          <w:szCs w:val="24"/>
          <w:vertAlign w:val="subscript"/>
        </w:rPr>
        <w:t xml:space="preserve"> Doxorubicin; P1</w:t>
      </w:r>
      <w:r>
        <w:rPr>
          <w:rFonts w:ascii="Book Antiqua" w:hAnsi="Book Antiqua"/>
          <w:sz w:val="24"/>
          <w:szCs w:val="24"/>
          <w:vertAlign w:val="subscript"/>
        </w:rPr>
        <w:t xml:space="preserve">: </w:t>
      </w:r>
      <w:r w:rsidRPr="0065006A">
        <w:rPr>
          <w:rFonts w:ascii="Book Antiqua" w:hAnsi="Book Antiqua"/>
          <w:sz w:val="24"/>
          <w:szCs w:val="24"/>
          <w:vertAlign w:val="subscript"/>
        </w:rPr>
        <w:t>Involvement of either the left or the right branch of the portal vein; CR</w:t>
      </w:r>
      <w:r>
        <w:rPr>
          <w:rFonts w:ascii="Book Antiqua" w:hAnsi="Book Antiqua"/>
          <w:sz w:val="24"/>
          <w:szCs w:val="24"/>
          <w:vertAlign w:val="subscript"/>
        </w:rPr>
        <w:t>:</w:t>
      </w:r>
      <w:r w:rsidRPr="0065006A">
        <w:rPr>
          <w:rFonts w:ascii="Book Antiqua" w:hAnsi="Book Antiqua"/>
          <w:sz w:val="24"/>
          <w:szCs w:val="24"/>
          <w:vertAlign w:val="subscript"/>
        </w:rPr>
        <w:t xml:space="preserve"> Complete remission.</w:t>
      </w:r>
    </w:p>
    <w:p w:rsidR="00114FF2" w:rsidRDefault="00114FF2" w:rsidP="0065006A">
      <w:pPr>
        <w:rPr>
          <w:rFonts w:ascii="Book Antiqua" w:hAnsi="Book Antiqua"/>
          <w:sz w:val="24"/>
          <w:szCs w:val="24"/>
          <w:vertAlign w:val="subscript"/>
        </w:rPr>
      </w:pPr>
    </w:p>
    <w:p w:rsidR="00114FF2" w:rsidRPr="003823B4" w:rsidRDefault="00114FF2" w:rsidP="0065006A">
      <w:pPr>
        <w:rPr>
          <w:rFonts w:ascii="Book Antiqua" w:hAnsi="Book Antiqua"/>
          <w:b/>
          <w:sz w:val="32"/>
          <w:szCs w:val="32"/>
          <w:vertAlign w:val="subscript"/>
        </w:rPr>
      </w:pPr>
      <w:r w:rsidRPr="003823B4">
        <w:rPr>
          <w:rFonts w:ascii="Book Antiqua" w:hAnsi="Book Antiqua"/>
          <w:b/>
          <w:sz w:val="32"/>
          <w:szCs w:val="32"/>
          <w:vertAlign w:val="subscript"/>
        </w:rPr>
        <w:t>Table 2 Review of current literature</w:t>
      </w:r>
    </w:p>
    <w:p w:rsidR="00114FF2" w:rsidRDefault="00114FF2" w:rsidP="0065006A">
      <w:pPr>
        <w:rPr>
          <w:rFonts w:ascii="Book Antiqua" w:hAnsi="Book Antiqua"/>
          <w:sz w:val="24"/>
          <w:szCs w:val="24"/>
          <w:vertAlign w:val="subscript"/>
        </w:rPr>
      </w:pPr>
    </w:p>
    <w:tbl>
      <w:tblPr>
        <w:tblW w:w="0" w:type="auto"/>
        <w:jc w:val="center"/>
        <w:tblBorders>
          <w:top w:val="single" w:sz="4" w:space="0" w:color="auto"/>
          <w:bottom w:val="single" w:sz="4" w:space="0" w:color="auto"/>
        </w:tblBorders>
        <w:tblLayout w:type="fixed"/>
        <w:tblLook w:val="00A0" w:firstRow="1" w:lastRow="0" w:firstColumn="1" w:lastColumn="0" w:noHBand="0" w:noVBand="0"/>
      </w:tblPr>
      <w:tblGrid>
        <w:gridCol w:w="1384"/>
        <w:gridCol w:w="1134"/>
        <w:gridCol w:w="992"/>
        <w:gridCol w:w="993"/>
        <w:gridCol w:w="1134"/>
        <w:gridCol w:w="1559"/>
        <w:gridCol w:w="1276"/>
        <w:gridCol w:w="1275"/>
        <w:gridCol w:w="1560"/>
        <w:gridCol w:w="1275"/>
        <w:gridCol w:w="1276"/>
      </w:tblGrid>
      <w:tr w:rsidR="00114FF2" w:rsidRPr="00120394" w:rsidTr="003823B4">
        <w:trPr>
          <w:jc w:val="center"/>
        </w:trPr>
        <w:tc>
          <w:tcPr>
            <w:tcW w:w="1384"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Study</w:t>
            </w:r>
          </w:p>
        </w:tc>
        <w:tc>
          <w:tcPr>
            <w:tcW w:w="1134" w:type="dxa"/>
            <w:tcBorders>
              <w:top w:val="single" w:sz="4" w:space="0" w:color="auto"/>
              <w:bottom w:val="single" w:sz="4" w:space="0" w:color="auto"/>
            </w:tcBorders>
          </w:tcPr>
          <w:p w:rsidR="00114FF2" w:rsidRPr="00120394" w:rsidRDefault="00114FF2" w:rsidP="0076406D">
            <w:pPr>
              <w:spacing w:line="360" w:lineRule="auto"/>
              <w:contextualSpacing/>
              <w:rPr>
                <w:rFonts w:ascii="Book Antiqua" w:hAnsi="Book Antiqua"/>
                <w:b/>
                <w:bCs/>
                <w:sz w:val="24"/>
                <w:szCs w:val="24"/>
                <w:vertAlign w:val="subscript"/>
              </w:rPr>
            </w:pPr>
            <w:r w:rsidRPr="00120394">
              <w:rPr>
                <w:rFonts w:ascii="Book Antiqua" w:hAnsi="Book Antiqua"/>
                <w:b/>
                <w:bCs/>
                <w:sz w:val="24"/>
                <w:szCs w:val="24"/>
                <w:vertAlign w:val="subscript"/>
              </w:rPr>
              <w:t>N NACH/</w:t>
            </w:r>
          </w:p>
          <w:p w:rsidR="00114FF2" w:rsidRPr="00120394" w:rsidRDefault="00114FF2" w:rsidP="0076406D">
            <w:pPr>
              <w:spacing w:line="360" w:lineRule="auto"/>
              <w:contextualSpacing/>
              <w:rPr>
                <w:rFonts w:ascii="Book Antiqua" w:hAnsi="Book Antiqua"/>
                <w:b/>
                <w:bCs/>
                <w:sz w:val="24"/>
                <w:szCs w:val="24"/>
                <w:vertAlign w:val="subscript"/>
              </w:rPr>
            </w:pPr>
            <w:r w:rsidRPr="00120394">
              <w:rPr>
                <w:rFonts w:ascii="Book Antiqua" w:hAnsi="Book Antiqua"/>
                <w:b/>
                <w:bCs/>
                <w:sz w:val="24"/>
                <w:szCs w:val="24"/>
                <w:vertAlign w:val="subscript"/>
              </w:rPr>
              <w:t>N</w:t>
            </w:r>
          </w:p>
        </w:tc>
        <w:tc>
          <w:tcPr>
            <w:tcW w:w="992"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Gender  (M/F)</w:t>
            </w:r>
          </w:p>
        </w:tc>
        <w:tc>
          <w:tcPr>
            <w:tcW w:w="993" w:type="dxa"/>
            <w:tcBorders>
              <w:top w:val="single" w:sz="4" w:space="0" w:color="auto"/>
              <w:bottom w:val="single" w:sz="4" w:space="0" w:color="auto"/>
            </w:tcBorders>
          </w:tcPr>
          <w:p w:rsidR="00114FF2" w:rsidRPr="00120394" w:rsidRDefault="00114FF2" w:rsidP="003823B4">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Age          (mo)</w:t>
            </w:r>
          </w:p>
        </w:tc>
        <w:tc>
          <w:tcPr>
            <w:tcW w:w="1134"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CH               Regimen</w:t>
            </w:r>
          </w:p>
        </w:tc>
        <w:tc>
          <w:tcPr>
            <w:tcW w:w="1559"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CH Morbidity</w:t>
            </w:r>
          </w:p>
        </w:tc>
        <w:tc>
          <w:tcPr>
            <w:tcW w:w="1276"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PR CH</w:t>
            </w:r>
          </w:p>
        </w:tc>
        <w:tc>
          <w:tcPr>
            <w:tcW w:w="1275"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Complete resection</w:t>
            </w:r>
          </w:p>
        </w:tc>
        <w:tc>
          <w:tcPr>
            <w:tcW w:w="1560"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Postoperative events</w:t>
            </w:r>
          </w:p>
        </w:tc>
        <w:tc>
          <w:tcPr>
            <w:tcW w:w="1275"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OS</w:t>
            </w:r>
          </w:p>
        </w:tc>
        <w:tc>
          <w:tcPr>
            <w:tcW w:w="1276" w:type="dxa"/>
            <w:tcBorders>
              <w:top w:val="single" w:sz="4" w:space="0" w:color="auto"/>
              <w:bottom w:val="single" w:sz="4" w:space="0" w:color="auto"/>
            </w:tcBorders>
          </w:tcPr>
          <w:p w:rsidR="00114FF2" w:rsidRPr="00120394" w:rsidRDefault="00114FF2" w:rsidP="0076406D">
            <w:pPr>
              <w:spacing w:line="360" w:lineRule="auto"/>
              <w:rPr>
                <w:rFonts w:ascii="Book Antiqua" w:hAnsi="Book Antiqua"/>
                <w:b/>
                <w:bCs/>
                <w:sz w:val="24"/>
                <w:szCs w:val="24"/>
                <w:vertAlign w:val="subscript"/>
              </w:rPr>
            </w:pPr>
            <w:r w:rsidRPr="00120394">
              <w:rPr>
                <w:rFonts w:ascii="Book Antiqua" w:hAnsi="Book Antiqua"/>
                <w:b/>
                <w:bCs/>
                <w:sz w:val="24"/>
                <w:szCs w:val="24"/>
                <w:vertAlign w:val="subscript"/>
              </w:rPr>
              <w:t>FDS</w:t>
            </w:r>
          </w:p>
        </w:tc>
      </w:tr>
      <w:tr w:rsidR="00114FF2" w:rsidRPr="00120394" w:rsidTr="003823B4">
        <w:trPr>
          <w:trHeight w:val="790"/>
          <w:jc w:val="center"/>
        </w:trPr>
        <w:tc>
          <w:tcPr>
            <w:tcW w:w="1384" w:type="dxa"/>
            <w:tcBorders>
              <w:top w:val="single" w:sz="4" w:space="0" w:color="auto"/>
            </w:tcBorders>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3823B4">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 xml:space="preserve">Pritchard </w:t>
            </w:r>
            <w:r w:rsidRPr="00120394">
              <w:rPr>
                <w:rFonts w:ascii="Book Antiqua" w:hAnsi="Book Antiqua"/>
                <w:bCs/>
                <w:i/>
                <w:sz w:val="24"/>
                <w:szCs w:val="24"/>
                <w:vertAlign w:val="subscript"/>
              </w:rPr>
              <w:t>et al</w:t>
            </w:r>
            <w:r w:rsidRPr="00120394">
              <w:rPr>
                <w:rFonts w:ascii="Book Antiqua" w:hAnsi="Book Antiqua"/>
                <w:bCs/>
                <w:szCs w:val="21"/>
                <w:vertAlign w:val="superscript"/>
              </w:rPr>
              <w:t xml:space="preserve">[8] </w:t>
            </w:r>
            <w:r w:rsidRPr="00120394">
              <w:rPr>
                <w:rFonts w:ascii="Book Antiqua" w:hAnsi="Book Antiqua"/>
                <w:bCs/>
                <w:sz w:val="24"/>
                <w:szCs w:val="24"/>
                <w:vertAlign w:val="subscript"/>
              </w:rPr>
              <w:t>2000 SIOPEL-1</w:t>
            </w:r>
          </w:p>
        </w:tc>
        <w:tc>
          <w:tcPr>
            <w:tcW w:w="1134"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138/154</w:t>
            </w:r>
          </w:p>
        </w:tc>
        <w:tc>
          <w:tcPr>
            <w:tcW w:w="992"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97/ 57</w:t>
            </w:r>
          </w:p>
        </w:tc>
        <w:tc>
          <w:tcPr>
            <w:tcW w:w="993"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16.5</w:t>
            </w:r>
          </w:p>
        </w:tc>
        <w:tc>
          <w:tcPr>
            <w:tcW w:w="1134"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PLADO (cis+dox)</w:t>
            </w:r>
          </w:p>
        </w:tc>
        <w:tc>
          <w:tcPr>
            <w:tcW w:w="1559"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 xml:space="preserve">2% death              6% myelotoxicity &lt; 2% others  </w:t>
            </w:r>
          </w:p>
        </w:tc>
        <w:tc>
          <w:tcPr>
            <w:tcW w:w="1276"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82 %</w:t>
            </w:r>
          </w:p>
        </w:tc>
        <w:tc>
          <w:tcPr>
            <w:tcW w:w="1275"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92%</w:t>
            </w:r>
          </w:p>
        </w:tc>
        <w:tc>
          <w:tcPr>
            <w:tcW w:w="1560"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5 deaths                8% infections       3% bleeding         9% others</w:t>
            </w:r>
          </w:p>
        </w:tc>
        <w:tc>
          <w:tcPr>
            <w:tcW w:w="1275"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75%</w:t>
            </w:r>
          </w:p>
        </w:tc>
        <w:tc>
          <w:tcPr>
            <w:tcW w:w="1276" w:type="dxa"/>
            <w:tcBorders>
              <w:top w:val="single" w:sz="4" w:space="0" w:color="auto"/>
            </w:tcBorders>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66%</w:t>
            </w:r>
          </w:p>
        </w:tc>
      </w:tr>
      <w:tr w:rsidR="00114FF2" w:rsidRPr="00120394" w:rsidTr="003823B4">
        <w:trPr>
          <w:trHeight w:val="695"/>
          <w:jc w:val="center"/>
        </w:trPr>
        <w:tc>
          <w:tcPr>
            <w:tcW w:w="1384" w:type="dxa"/>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76406D">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 xml:space="preserve">Katzenstein </w:t>
            </w:r>
            <w:r w:rsidRPr="00120394">
              <w:rPr>
                <w:rFonts w:ascii="Book Antiqua" w:hAnsi="Book Antiqua"/>
                <w:bCs/>
                <w:i/>
                <w:sz w:val="24"/>
                <w:szCs w:val="24"/>
                <w:vertAlign w:val="subscript"/>
              </w:rPr>
              <w:t>et al</w:t>
            </w:r>
            <w:r w:rsidRPr="00120394">
              <w:rPr>
                <w:rFonts w:ascii="Book Antiqua" w:hAnsi="Book Antiqua"/>
                <w:bCs/>
                <w:szCs w:val="21"/>
                <w:vertAlign w:val="superscript"/>
              </w:rPr>
              <w:t>[18]</w:t>
            </w:r>
            <w:r w:rsidRPr="00120394">
              <w:rPr>
                <w:rFonts w:ascii="Book Antiqua" w:hAnsi="Book Antiqua"/>
                <w:bCs/>
                <w:sz w:val="24"/>
                <w:szCs w:val="24"/>
                <w:vertAlign w:val="subscript"/>
              </w:rPr>
              <w:t xml:space="preserve">    2002</w:t>
            </w:r>
          </w:p>
        </w:tc>
        <w:tc>
          <w:tcPr>
            <w:tcW w:w="1134" w:type="dxa"/>
          </w:tcPr>
          <w:p w:rsidR="00114FF2" w:rsidRPr="00120394" w:rsidRDefault="00114FF2" w:rsidP="0076406D">
            <w:pPr>
              <w:tabs>
                <w:tab w:val="center" w:pos="459"/>
              </w:tabs>
              <w:spacing w:line="360" w:lineRule="auto"/>
              <w:rPr>
                <w:rFonts w:ascii="Book Antiqua" w:hAnsi="Book Antiqua"/>
                <w:sz w:val="24"/>
                <w:szCs w:val="24"/>
                <w:vertAlign w:val="subscript"/>
              </w:rPr>
            </w:pPr>
            <w:r w:rsidRPr="00120394">
              <w:rPr>
                <w:rFonts w:ascii="Book Antiqua" w:hAnsi="Book Antiqua"/>
                <w:sz w:val="24"/>
                <w:szCs w:val="24"/>
                <w:vertAlign w:val="subscript"/>
              </w:rPr>
              <w:tab/>
            </w:r>
          </w:p>
          <w:p w:rsidR="00114FF2" w:rsidRPr="00120394" w:rsidRDefault="00114FF2" w:rsidP="0076406D">
            <w:pPr>
              <w:tabs>
                <w:tab w:val="center" w:pos="459"/>
              </w:tabs>
              <w:spacing w:line="360" w:lineRule="auto"/>
              <w:rPr>
                <w:rFonts w:ascii="Book Antiqua" w:hAnsi="Book Antiqua"/>
                <w:sz w:val="24"/>
                <w:szCs w:val="24"/>
                <w:vertAlign w:val="subscript"/>
              </w:rPr>
            </w:pPr>
            <w:r w:rsidRPr="00120394">
              <w:rPr>
                <w:rFonts w:ascii="Book Antiqua" w:hAnsi="Book Antiqua"/>
                <w:sz w:val="24"/>
                <w:szCs w:val="24"/>
                <w:vertAlign w:val="subscript"/>
              </w:rPr>
              <w:t>33/33</w:t>
            </w:r>
          </w:p>
        </w:tc>
        <w:tc>
          <w:tcPr>
            <w:tcW w:w="992"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21/12</w:t>
            </w:r>
          </w:p>
        </w:tc>
        <w:tc>
          <w:tcPr>
            <w:tcW w:w="993"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22</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Car-vin-5FU</w:t>
            </w:r>
          </w:p>
        </w:tc>
        <w:tc>
          <w:tcPr>
            <w:tcW w:w="1559"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 xml:space="preserve">60% myelotoxicity      </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82%</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58%</w:t>
            </w:r>
          </w:p>
        </w:tc>
        <w:tc>
          <w:tcPr>
            <w:tcW w:w="1560"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57%</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48%</w:t>
            </w:r>
          </w:p>
        </w:tc>
      </w:tr>
      <w:tr w:rsidR="00114FF2" w:rsidRPr="00120394" w:rsidTr="003823B4">
        <w:trPr>
          <w:trHeight w:val="843"/>
          <w:jc w:val="center"/>
        </w:trPr>
        <w:tc>
          <w:tcPr>
            <w:tcW w:w="1384" w:type="dxa"/>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3823B4">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 xml:space="preserve">Perilongo </w:t>
            </w:r>
            <w:r w:rsidRPr="00120394">
              <w:rPr>
                <w:rFonts w:ascii="Book Antiqua" w:hAnsi="Book Antiqua"/>
                <w:bCs/>
                <w:i/>
                <w:sz w:val="24"/>
                <w:szCs w:val="24"/>
                <w:vertAlign w:val="subscript"/>
              </w:rPr>
              <w:t>et al</w:t>
            </w:r>
            <w:r w:rsidRPr="00120394">
              <w:rPr>
                <w:rFonts w:ascii="Book Antiqua" w:hAnsi="Book Antiqua"/>
                <w:bCs/>
                <w:szCs w:val="21"/>
                <w:vertAlign w:val="superscript"/>
              </w:rPr>
              <w:t>[15]</w:t>
            </w:r>
            <w:r w:rsidRPr="00120394">
              <w:rPr>
                <w:rFonts w:ascii="Book Antiqua" w:hAnsi="Book Antiqua"/>
                <w:bCs/>
                <w:sz w:val="24"/>
                <w:szCs w:val="24"/>
                <w:vertAlign w:val="subscript"/>
              </w:rPr>
              <w:t xml:space="preserve"> 2004 SIOPEL-2</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135/135</w:t>
            </w:r>
          </w:p>
        </w:tc>
        <w:tc>
          <w:tcPr>
            <w:tcW w:w="992"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81 / 54</w:t>
            </w:r>
          </w:p>
        </w:tc>
        <w:tc>
          <w:tcPr>
            <w:tcW w:w="993"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16-25</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Cis         Carb-Dox-Cis</w:t>
            </w:r>
          </w:p>
        </w:tc>
        <w:tc>
          <w:tcPr>
            <w:tcW w:w="1559"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Neutropenia 43-81%   Infections 40-76%   Transfusion 19-76%</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90% (SR HB)           78% (HR HB)          90% (SR-HR)</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97 % (SR HB)   67% (HR HB)    100% (SR-HR)</w:t>
            </w:r>
          </w:p>
        </w:tc>
        <w:tc>
          <w:tcPr>
            <w:tcW w:w="1560"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91% (SR HB) 53% (HR HB) 86% (SR-HR)     (*)</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89% (SR HB) 48% (HR HB) 89% (SR-HR)</w:t>
            </w:r>
          </w:p>
        </w:tc>
      </w:tr>
      <w:tr w:rsidR="00114FF2" w:rsidRPr="00120394" w:rsidTr="003823B4">
        <w:trPr>
          <w:trHeight w:val="843"/>
          <w:jc w:val="center"/>
        </w:trPr>
        <w:tc>
          <w:tcPr>
            <w:tcW w:w="1384" w:type="dxa"/>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3823B4">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 xml:space="preserve">Towu </w:t>
            </w:r>
            <w:r w:rsidRPr="00120394">
              <w:rPr>
                <w:rFonts w:ascii="Book Antiqua" w:hAnsi="Book Antiqua"/>
                <w:bCs/>
                <w:i/>
                <w:sz w:val="24"/>
                <w:szCs w:val="24"/>
                <w:vertAlign w:val="subscript"/>
              </w:rPr>
              <w:t>et al</w:t>
            </w:r>
            <w:r w:rsidRPr="00120394">
              <w:rPr>
                <w:rFonts w:ascii="Book Antiqua" w:hAnsi="Book Antiqua"/>
                <w:bCs/>
                <w:szCs w:val="21"/>
                <w:vertAlign w:val="superscript"/>
              </w:rPr>
              <w:t>[9]</w:t>
            </w:r>
            <w:r w:rsidRPr="00120394">
              <w:rPr>
                <w:rFonts w:ascii="Book Antiqua" w:hAnsi="Book Antiqua"/>
                <w:bCs/>
                <w:sz w:val="24"/>
                <w:szCs w:val="24"/>
                <w:vertAlign w:val="subscript"/>
              </w:rPr>
              <w:t xml:space="preserve">      2004</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54 / 56</w:t>
            </w:r>
          </w:p>
        </w:tc>
        <w:tc>
          <w:tcPr>
            <w:tcW w:w="992"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34 / 22</w:t>
            </w:r>
          </w:p>
        </w:tc>
        <w:tc>
          <w:tcPr>
            <w:tcW w:w="993"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12</w:t>
            </w:r>
          </w:p>
        </w:tc>
        <w:tc>
          <w:tcPr>
            <w:tcW w:w="1134" w:type="dxa"/>
          </w:tcPr>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22 PLADO 14 SIOPEL-2 17 SIOPEL-3</w:t>
            </w:r>
          </w:p>
        </w:tc>
        <w:tc>
          <w:tcPr>
            <w:tcW w:w="1559"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92%</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74%</w:t>
            </w:r>
          </w:p>
        </w:tc>
        <w:tc>
          <w:tcPr>
            <w:tcW w:w="1560" w:type="dxa"/>
          </w:tcPr>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 death               22% (bile leakage, collections, others)</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75%</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w:t>
            </w:r>
          </w:p>
        </w:tc>
      </w:tr>
      <w:tr w:rsidR="00114FF2" w:rsidRPr="00120394" w:rsidTr="003823B4">
        <w:trPr>
          <w:trHeight w:val="843"/>
          <w:jc w:val="center"/>
        </w:trPr>
        <w:tc>
          <w:tcPr>
            <w:tcW w:w="1384" w:type="dxa"/>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D2684B">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Zsíros</w:t>
            </w:r>
            <w:r w:rsidRPr="00120394">
              <w:rPr>
                <w:rFonts w:ascii="Book Antiqua" w:hAnsi="Book Antiqua"/>
                <w:bCs/>
                <w:i/>
                <w:sz w:val="24"/>
                <w:szCs w:val="24"/>
                <w:vertAlign w:val="subscript"/>
              </w:rPr>
              <w:t xml:space="preserve"> et al</w:t>
            </w:r>
            <w:r w:rsidRPr="00120394">
              <w:rPr>
                <w:rFonts w:ascii="Book Antiqua" w:hAnsi="Book Antiqua"/>
                <w:bCs/>
                <w:szCs w:val="21"/>
                <w:vertAlign w:val="superscript"/>
              </w:rPr>
              <w:t>[16]</w:t>
            </w:r>
            <w:r w:rsidRPr="00120394">
              <w:rPr>
                <w:rFonts w:ascii="Book Antiqua" w:hAnsi="Book Antiqua"/>
                <w:bCs/>
                <w:sz w:val="24"/>
                <w:szCs w:val="24"/>
                <w:vertAlign w:val="subscript"/>
              </w:rPr>
              <w:t xml:space="preserve">  2010 SIOPEL-3</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150 / 151</w:t>
            </w:r>
          </w:p>
        </w:tc>
        <w:tc>
          <w:tcPr>
            <w:tcW w:w="992"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90 / 61</w:t>
            </w:r>
          </w:p>
        </w:tc>
        <w:tc>
          <w:tcPr>
            <w:tcW w:w="993"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21</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Cis / Car-dox</w:t>
            </w:r>
          </w:p>
        </w:tc>
        <w:tc>
          <w:tcPr>
            <w:tcW w:w="1559" w:type="dxa"/>
          </w:tcPr>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 death                      76% neutropenia       51% infections          33% renal toxicity</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78.7%</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76.2%</w:t>
            </w:r>
          </w:p>
        </w:tc>
        <w:tc>
          <w:tcPr>
            <w:tcW w:w="1560"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4 deaths</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D2684B">
            <w:pPr>
              <w:spacing w:line="360" w:lineRule="auto"/>
              <w:rPr>
                <w:rFonts w:ascii="Book Antiqua" w:hAnsi="Book Antiqua"/>
                <w:sz w:val="24"/>
                <w:szCs w:val="24"/>
                <w:vertAlign w:val="subscript"/>
              </w:rPr>
            </w:pPr>
            <w:r w:rsidRPr="00120394">
              <w:rPr>
                <w:rFonts w:ascii="Book Antiqua" w:hAnsi="Book Antiqua"/>
                <w:sz w:val="24"/>
                <w:szCs w:val="24"/>
                <w:vertAlign w:val="subscript"/>
              </w:rPr>
              <w:t>69%</w:t>
            </w:r>
            <w:r w:rsidRPr="00120394">
              <w:rPr>
                <w:rFonts w:ascii="Book Antiqua" w:hAnsi="Book Antiqua"/>
                <w:szCs w:val="21"/>
                <w:vertAlign w:val="superscript"/>
              </w:rPr>
              <w:t>1</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65%</w:t>
            </w:r>
          </w:p>
        </w:tc>
      </w:tr>
      <w:tr w:rsidR="00114FF2" w:rsidRPr="00120394" w:rsidTr="003823B4">
        <w:trPr>
          <w:trHeight w:val="677"/>
          <w:jc w:val="center"/>
        </w:trPr>
        <w:tc>
          <w:tcPr>
            <w:tcW w:w="1384" w:type="dxa"/>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76406D">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 xml:space="preserve">Lautz </w:t>
            </w:r>
            <w:r w:rsidRPr="00120394">
              <w:rPr>
                <w:rFonts w:ascii="Book Antiqua" w:hAnsi="Book Antiqua"/>
                <w:bCs/>
                <w:i/>
                <w:sz w:val="24"/>
                <w:szCs w:val="24"/>
                <w:vertAlign w:val="subscript"/>
              </w:rPr>
              <w:t>et al</w:t>
            </w:r>
            <w:r w:rsidRPr="00120394">
              <w:rPr>
                <w:rFonts w:ascii="Book Antiqua" w:hAnsi="Book Antiqua"/>
                <w:bCs/>
                <w:szCs w:val="21"/>
                <w:vertAlign w:val="superscript"/>
              </w:rPr>
              <w:t>[19]</w:t>
            </w:r>
            <w:r w:rsidRPr="00120394">
              <w:rPr>
                <w:rFonts w:ascii="Book Antiqua" w:hAnsi="Book Antiqua"/>
                <w:bCs/>
                <w:sz w:val="24"/>
                <w:szCs w:val="24"/>
                <w:vertAlign w:val="subscript"/>
              </w:rPr>
              <w:t xml:space="preserve">            2010</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14 / 14</w:t>
            </w:r>
          </w:p>
        </w:tc>
        <w:tc>
          <w:tcPr>
            <w:tcW w:w="992"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 / 7</w:t>
            </w:r>
          </w:p>
        </w:tc>
        <w:tc>
          <w:tcPr>
            <w:tcW w:w="993"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Cis-vin-5FU Others</w:t>
            </w:r>
          </w:p>
        </w:tc>
        <w:tc>
          <w:tcPr>
            <w:tcW w:w="1559"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61%</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85%</w:t>
            </w:r>
          </w:p>
        </w:tc>
        <w:tc>
          <w:tcPr>
            <w:tcW w:w="1560"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 Iscq Colangiop      1 portal thrombosis</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88%</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77%</w:t>
            </w:r>
          </w:p>
        </w:tc>
      </w:tr>
      <w:tr w:rsidR="00114FF2" w:rsidRPr="00120394" w:rsidTr="003823B4">
        <w:trPr>
          <w:trHeight w:val="845"/>
          <w:jc w:val="center"/>
        </w:trPr>
        <w:tc>
          <w:tcPr>
            <w:tcW w:w="1384" w:type="dxa"/>
          </w:tcPr>
          <w:p w:rsidR="00114FF2" w:rsidRPr="00120394" w:rsidRDefault="00114FF2" w:rsidP="0076406D">
            <w:pPr>
              <w:spacing w:line="360" w:lineRule="auto"/>
              <w:rPr>
                <w:rFonts w:ascii="Book Antiqua" w:hAnsi="Book Antiqua"/>
                <w:bCs/>
                <w:sz w:val="24"/>
                <w:szCs w:val="24"/>
                <w:vertAlign w:val="subscript"/>
              </w:rPr>
            </w:pPr>
          </w:p>
          <w:p w:rsidR="00114FF2" w:rsidRPr="00120394" w:rsidRDefault="00114FF2" w:rsidP="003823B4">
            <w:pPr>
              <w:spacing w:line="360" w:lineRule="auto"/>
              <w:rPr>
                <w:rFonts w:ascii="Book Antiqua" w:hAnsi="Book Antiqua"/>
                <w:bCs/>
                <w:sz w:val="24"/>
                <w:szCs w:val="24"/>
                <w:vertAlign w:val="subscript"/>
              </w:rPr>
            </w:pPr>
            <w:r w:rsidRPr="00120394">
              <w:rPr>
                <w:rFonts w:ascii="Book Antiqua" w:hAnsi="Book Antiqua"/>
                <w:bCs/>
                <w:sz w:val="24"/>
                <w:szCs w:val="24"/>
                <w:vertAlign w:val="subscript"/>
              </w:rPr>
              <w:t xml:space="preserve">Hishiki </w:t>
            </w:r>
            <w:r w:rsidRPr="00120394">
              <w:rPr>
                <w:rFonts w:ascii="Book Antiqua" w:hAnsi="Book Antiqua"/>
                <w:bCs/>
                <w:i/>
                <w:sz w:val="24"/>
                <w:szCs w:val="24"/>
                <w:vertAlign w:val="subscript"/>
              </w:rPr>
              <w:t>et al</w:t>
            </w:r>
            <w:r w:rsidRPr="00120394">
              <w:rPr>
                <w:rFonts w:ascii="Book Antiqua" w:hAnsi="Book Antiqua"/>
                <w:bCs/>
                <w:szCs w:val="21"/>
                <w:vertAlign w:val="superscript"/>
              </w:rPr>
              <w:t>[17]</w:t>
            </w:r>
            <w:r w:rsidRPr="00120394">
              <w:rPr>
                <w:rFonts w:ascii="Book Antiqua" w:hAnsi="Book Antiqua"/>
                <w:bCs/>
                <w:sz w:val="24"/>
                <w:szCs w:val="24"/>
                <w:vertAlign w:val="subscript"/>
              </w:rPr>
              <w:t xml:space="preserve">         2011</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185 / 212</w:t>
            </w:r>
          </w:p>
        </w:tc>
        <w:tc>
          <w:tcPr>
            <w:tcW w:w="992"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132 / 80</w:t>
            </w:r>
          </w:p>
        </w:tc>
        <w:tc>
          <w:tcPr>
            <w:tcW w:w="993"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17</w:t>
            </w:r>
          </w:p>
        </w:tc>
        <w:tc>
          <w:tcPr>
            <w:tcW w:w="1134"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Cis-Pir      Iof-car-pir-eto</w:t>
            </w:r>
          </w:p>
        </w:tc>
        <w:tc>
          <w:tcPr>
            <w:tcW w:w="1559"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90% neutropenia       10% infections       &lt; 10% others</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65%</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63 %</w:t>
            </w:r>
          </w:p>
        </w:tc>
        <w:tc>
          <w:tcPr>
            <w:tcW w:w="1560"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w:t>
            </w:r>
          </w:p>
        </w:tc>
        <w:tc>
          <w:tcPr>
            <w:tcW w:w="1275"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81 %</w:t>
            </w:r>
          </w:p>
        </w:tc>
        <w:tc>
          <w:tcPr>
            <w:tcW w:w="1276" w:type="dxa"/>
          </w:tcPr>
          <w:p w:rsidR="00114FF2" w:rsidRPr="00120394" w:rsidRDefault="00114FF2" w:rsidP="0076406D">
            <w:pPr>
              <w:spacing w:line="360" w:lineRule="auto"/>
              <w:rPr>
                <w:rFonts w:ascii="Book Antiqua" w:hAnsi="Book Antiqua"/>
                <w:sz w:val="24"/>
                <w:szCs w:val="24"/>
                <w:vertAlign w:val="subscript"/>
              </w:rPr>
            </w:pPr>
          </w:p>
          <w:p w:rsidR="00114FF2" w:rsidRPr="00120394" w:rsidRDefault="00114FF2" w:rsidP="0076406D">
            <w:pPr>
              <w:spacing w:line="360" w:lineRule="auto"/>
              <w:rPr>
                <w:rFonts w:ascii="Book Antiqua" w:hAnsi="Book Antiqua"/>
                <w:sz w:val="24"/>
                <w:szCs w:val="24"/>
                <w:vertAlign w:val="subscript"/>
              </w:rPr>
            </w:pPr>
            <w:r w:rsidRPr="00120394">
              <w:rPr>
                <w:rFonts w:ascii="Book Antiqua" w:hAnsi="Book Antiqua"/>
                <w:sz w:val="24"/>
                <w:szCs w:val="24"/>
                <w:vertAlign w:val="subscript"/>
              </w:rPr>
              <w:t>62.4%</w:t>
            </w:r>
          </w:p>
        </w:tc>
      </w:tr>
      <w:tr w:rsidR="00114FF2" w:rsidRPr="00120394" w:rsidTr="003823B4">
        <w:trPr>
          <w:jc w:val="center"/>
        </w:trPr>
        <w:tc>
          <w:tcPr>
            <w:tcW w:w="1384" w:type="dxa"/>
            <w:tcBorders>
              <w:bottom w:val="single" w:sz="4" w:space="0" w:color="auto"/>
            </w:tcBorders>
          </w:tcPr>
          <w:p w:rsidR="00114FF2" w:rsidRPr="00120394" w:rsidRDefault="00114FF2" w:rsidP="0076406D">
            <w:pPr>
              <w:spacing w:line="360" w:lineRule="auto"/>
              <w:rPr>
                <w:rFonts w:ascii="Book Antiqua" w:hAnsi="Book Antiqua"/>
                <w:bCs/>
                <w:sz w:val="24"/>
                <w:szCs w:val="24"/>
                <w:vertAlign w:val="subscript"/>
              </w:rPr>
            </w:pPr>
          </w:p>
        </w:tc>
        <w:tc>
          <w:tcPr>
            <w:tcW w:w="1134"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992"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993"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134"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559"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276"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275"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560"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275"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c>
          <w:tcPr>
            <w:tcW w:w="1276" w:type="dxa"/>
            <w:tcBorders>
              <w:bottom w:val="single" w:sz="4" w:space="0" w:color="auto"/>
            </w:tcBorders>
          </w:tcPr>
          <w:p w:rsidR="00114FF2" w:rsidRPr="00120394" w:rsidRDefault="00114FF2" w:rsidP="0076406D">
            <w:pPr>
              <w:spacing w:line="360" w:lineRule="auto"/>
              <w:rPr>
                <w:rFonts w:ascii="Book Antiqua" w:hAnsi="Book Antiqua"/>
                <w:sz w:val="24"/>
                <w:szCs w:val="24"/>
                <w:vertAlign w:val="subscript"/>
              </w:rPr>
            </w:pPr>
          </w:p>
        </w:tc>
      </w:tr>
    </w:tbl>
    <w:p w:rsidR="00114FF2" w:rsidRPr="0040398C" w:rsidRDefault="00114FF2" w:rsidP="003823B4">
      <w:pPr>
        <w:spacing w:line="360" w:lineRule="auto"/>
        <w:rPr>
          <w:rFonts w:ascii="Book Antiqua" w:hAnsi="Book Antiqua"/>
          <w:sz w:val="24"/>
          <w:szCs w:val="24"/>
          <w:vertAlign w:val="subscript"/>
        </w:rPr>
      </w:pPr>
      <w:r w:rsidRPr="00D2684B">
        <w:rPr>
          <w:rFonts w:ascii="Book Antiqua" w:hAnsi="Book Antiqua"/>
          <w:sz w:val="18"/>
          <w:szCs w:val="18"/>
          <w:vertAlign w:val="superscript"/>
        </w:rPr>
        <w:t>1</w:t>
      </w:r>
      <w:r w:rsidRPr="0040398C">
        <w:rPr>
          <w:rFonts w:ascii="Book Antiqua" w:hAnsi="Book Antiqua"/>
          <w:sz w:val="24"/>
          <w:szCs w:val="24"/>
          <w:vertAlign w:val="subscript"/>
        </w:rPr>
        <w:t>3-years overall survival.</w:t>
      </w:r>
      <w:r>
        <w:rPr>
          <w:rFonts w:ascii="Book Antiqua" w:hAnsi="Book Antiqua"/>
          <w:sz w:val="24"/>
          <w:szCs w:val="24"/>
          <w:vertAlign w:val="subscript"/>
        </w:rPr>
        <w:t xml:space="preserve"> </w:t>
      </w:r>
      <w:r w:rsidRPr="0040398C">
        <w:rPr>
          <w:rFonts w:ascii="Book Antiqua" w:hAnsi="Book Antiqua"/>
          <w:sz w:val="24"/>
          <w:szCs w:val="24"/>
          <w:vertAlign w:val="subscript"/>
        </w:rPr>
        <w:t xml:space="preserve">NACH: Number of pacients with neoadjuvant chemotherapy; N: Total number of patients; CH: Chemotherapy; PR: Partial response; OS: 5-years overall Survival; FDS: Free </w:t>
      </w:r>
      <w:r w:rsidRPr="0040398C">
        <w:rPr>
          <w:rFonts w:ascii="Book Antiqua" w:hAnsi="Book Antiqua"/>
          <w:sz w:val="24"/>
          <w:szCs w:val="24"/>
          <w:vertAlign w:val="subscript"/>
        </w:rPr>
        <w:lastRenderedPageBreak/>
        <w:t>disease survival; cis: cisplatin; dox: Doxorubicin; carb: carboplatin; pir: Pirarubicin; iof: Iofosfamide; eto: Etopoxido; vin: Vin</w:t>
      </w:r>
      <w:r>
        <w:rPr>
          <w:rFonts w:ascii="Book Antiqua" w:hAnsi="Book Antiqua"/>
          <w:sz w:val="24"/>
          <w:szCs w:val="24"/>
          <w:vertAlign w:val="subscript"/>
        </w:rPr>
        <w:t xml:space="preserve">cristine; 5FU: 5-fluoracilo. SR </w:t>
      </w:r>
      <w:r w:rsidRPr="0040398C">
        <w:rPr>
          <w:rFonts w:ascii="Book Antiqua" w:hAnsi="Book Antiqua"/>
          <w:sz w:val="24"/>
          <w:szCs w:val="24"/>
          <w:vertAlign w:val="subscript"/>
        </w:rPr>
        <w:t>HB: S</w:t>
      </w:r>
      <w:r>
        <w:rPr>
          <w:rFonts w:ascii="Book Antiqua" w:hAnsi="Book Antiqua"/>
          <w:sz w:val="24"/>
          <w:szCs w:val="24"/>
          <w:vertAlign w:val="subscript"/>
        </w:rPr>
        <w:t xml:space="preserve">tandard risk hepatoblastoma; HR </w:t>
      </w:r>
      <w:r w:rsidRPr="0040398C">
        <w:rPr>
          <w:rFonts w:ascii="Book Antiqua" w:hAnsi="Book Antiqua"/>
          <w:sz w:val="24"/>
          <w:szCs w:val="24"/>
          <w:vertAlign w:val="subscript"/>
        </w:rPr>
        <w:t>HB: High risk hepatoblastoma; SR-HR: Standard risk hepatoblastoma treated as high risk hepatoblastoma.</w:t>
      </w:r>
    </w:p>
    <w:p w:rsidR="00114FF2" w:rsidRPr="0065006A" w:rsidRDefault="00114FF2" w:rsidP="0065006A">
      <w:pPr>
        <w:rPr>
          <w:rFonts w:ascii="Book Antiqua" w:hAnsi="Book Antiqua"/>
          <w:sz w:val="24"/>
          <w:szCs w:val="24"/>
          <w:vertAlign w:val="subscript"/>
        </w:rPr>
      </w:pPr>
    </w:p>
    <w:p w:rsidR="00114FF2" w:rsidRDefault="00114FF2" w:rsidP="0065006A">
      <w:pPr>
        <w:rPr>
          <w:sz w:val="24"/>
          <w:szCs w:val="24"/>
          <w:vertAlign w:val="subscript"/>
        </w:rPr>
        <w:sectPr w:rsidR="00114FF2" w:rsidSect="0065006A">
          <w:pgSz w:w="16838" w:h="11906" w:orient="landscape"/>
          <w:pgMar w:top="1800" w:right="1440" w:bottom="1800" w:left="1440" w:header="851" w:footer="992" w:gutter="0"/>
          <w:cols w:space="425"/>
          <w:docGrid w:type="lines" w:linePitch="312"/>
        </w:sectPr>
      </w:pPr>
      <w:r>
        <w:rPr>
          <w:rFonts w:ascii="Book Antiqua" w:hAnsi="Book Antiqua"/>
          <w:sz w:val="24"/>
          <w:szCs w:val="24"/>
          <w:vertAlign w:val="subscript"/>
        </w:rPr>
        <w:t xml:space="preserve"> </w:t>
      </w:r>
    </w:p>
    <w:p w:rsidR="00114FF2" w:rsidRPr="0065006A" w:rsidRDefault="00114FF2" w:rsidP="0065006A">
      <w:pPr>
        <w:spacing w:line="360" w:lineRule="auto"/>
        <w:rPr>
          <w:rFonts w:ascii="Book Antiqua" w:hAnsi="Book Antiqua"/>
          <w:sz w:val="24"/>
          <w:szCs w:val="24"/>
          <w:vertAlign w:val="subscript"/>
        </w:rPr>
      </w:pPr>
      <w:r>
        <w:rPr>
          <w:rFonts w:ascii="Book Antiqua" w:hAnsi="Book Antiqua"/>
          <w:b/>
          <w:sz w:val="24"/>
          <w:szCs w:val="24"/>
        </w:rPr>
        <w:lastRenderedPageBreak/>
        <w:t>F</w:t>
      </w:r>
      <w:r w:rsidRPr="00366D3A">
        <w:rPr>
          <w:rFonts w:ascii="Book Antiqua" w:hAnsi="Book Antiqua"/>
          <w:b/>
          <w:sz w:val="24"/>
          <w:szCs w:val="24"/>
        </w:rPr>
        <w:t xml:space="preserve">igure 1 Changes after neoadjuvant chemotherapy. </w:t>
      </w:r>
      <w:r w:rsidRPr="00366D3A">
        <w:rPr>
          <w:rFonts w:ascii="Book Antiqua" w:hAnsi="Book Antiqua"/>
          <w:sz w:val="24"/>
          <w:szCs w:val="24"/>
        </w:rPr>
        <w:t>A: CT- Down-staging effect of neoadjuvant chemotherapy; B</w:t>
      </w:r>
      <w:r>
        <w:rPr>
          <w:rFonts w:ascii="Book Antiqua" w:hAnsi="Book Antiqua"/>
          <w:sz w:val="24"/>
          <w:szCs w:val="24"/>
        </w:rPr>
        <w:t>:</w:t>
      </w:r>
      <w:r w:rsidRPr="00366D3A">
        <w:rPr>
          <w:rFonts w:ascii="Book Antiqua" w:hAnsi="Book Antiqua"/>
          <w:sz w:val="24"/>
          <w:szCs w:val="24"/>
        </w:rPr>
        <w:t xml:space="preserve"> Tumor volume at diagnosis and before surgery; C: AFP level at diagnosis and before surgery.</w:t>
      </w:r>
    </w:p>
    <w:p w:rsidR="00114FF2" w:rsidRPr="00A566C0" w:rsidRDefault="00114FF2" w:rsidP="009611BC">
      <w:pPr>
        <w:spacing w:line="360" w:lineRule="auto"/>
        <w:rPr>
          <w:rFonts w:ascii="Book Antiqua" w:hAnsi="Book Antiqua"/>
          <w:b/>
          <w:sz w:val="24"/>
          <w:szCs w:val="24"/>
          <w:vertAlign w:val="subscript"/>
        </w:rPr>
      </w:pPr>
    </w:p>
    <w:p w:rsidR="00114FF2" w:rsidRPr="009611BC" w:rsidRDefault="002A000C" w:rsidP="009611BC">
      <w:pPr>
        <w:spacing w:line="360" w:lineRule="auto"/>
        <w:rPr>
          <w:rFonts w:ascii="Book Antiqua" w:hAnsi="Book Antiqua"/>
          <w:b/>
          <w:sz w:val="24"/>
          <w:szCs w:val="24"/>
          <w:vertAlign w:val="subscript"/>
        </w:rPr>
      </w:pPr>
      <w:r>
        <w:rPr>
          <w:rFonts w:ascii="Book Antiqua" w:hAnsi="Book Antiqua"/>
          <w:noProof/>
          <w:sz w:val="24"/>
          <w:szCs w:val="24"/>
          <w:vertAlign w:val="subscript"/>
        </w:rPr>
        <w:drawing>
          <wp:inline distT="0" distB="0" distL="0" distR="0">
            <wp:extent cx="2226310" cy="1471295"/>
            <wp:effectExtent l="0" t="0" r="254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extLst>
                        <a:ext uri="{28A0092B-C50C-407E-A947-70E740481C1C}">
                          <a14:useLocalDpi xmlns:a14="http://schemas.microsoft.com/office/drawing/2010/main" val="0"/>
                        </a:ext>
                      </a:extLst>
                    </a:blip>
                    <a:srcRect l="17906" t="32596" r="40405" b="22951"/>
                    <a:stretch>
                      <a:fillRect/>
                    </a:stretch>
                  </pic:blipFill>
                  <pic:spPr bwMode="auto">
                    <a:xfrm>
                      <a:off x="0" y="0"/>
                      <a:ext cx="2226310" cy="1471295"/>
                    </a:xfrm>
                    <a:prstGeom prst="rect">
                      <a:avLst/>
                    </a:prstGeom>
                    <a:noFill/>
                    <a:ln>
                      <a:noFill/>
                    </a:ln>
                  </pic:spPr>
                </pic:pic>
              </a:graphicData>
            </a:graphic>
          </wp:inline>
        </w:drawing>
      </w:r>
    </w:p>
    <w:p w:rsidR="00114FF2" w:rsidRPr="0065006A" w:rsidRDefault="00114FF2" w:rsidP="009611BC">
      <w:pPr>
        <w:spacing w:line="360" w:lineRule="auto"/>
        <w:rPr>
          <w:rFonts w:ascii="Book Antiqua" w:hAnsi="Book Antiqua"/>
          <w:sz w:val="32"/>
          <w:szCs w:val="32"/>
          <w:vertAlign w:val="subscript"/>
        </w:rPr>
      </w:pPr>
      <w:r w:rsidRPr="0065006A">
        <w:rPr>
          <w:rFonts w:ascii="Book Antiqua" w:hAnsi="Book Antiqua"/>
          <w:sz w:val="32"/>
          <w:szCs w:val="32"/>
          <w:vertAlign w:val="subscript"/>
        </w:rPr>
        <w:t>A</w:t>
      </w:r>
    </w:p>
    <w:p w:rsidR="00114FF2" w:rsidRPr="00676F81" w:rsidRDefault="002A000C" w:rsidP="009611BC">
      <w:pPr>
        <w:spacing w:line="360" w:lineRule="auto"/>
        <w:rPr>
          <w:rFonts w:ascii="Book Antiqua" w:hAnsi="Book Antiqua"/>
          <w:sz w:val="24"/>
          <w:szCs w:val="24"/>
          <w:vertAlign w:val="subscript"/>
        </w:rPr>
      </w:pPr>
      <w:r>
        <w:rPr>
          <w:rFonts w:ascii="Book Antiqua" w:hAnsi="Book Antiqua"/>
          <w:noProof/>
          <w:sz w:val="24"/>
          <w:szCs w:val="24"/>
          <w:vertAlign w:val="subscript"/>
        </w:rPr>
        <w:drawing>
          <wp:inline distT="0" distB="0" distL="0" distR="0">
            <wp:extent cx="3490595" cy="232981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b="5598"/>
                    <a:stretch>
                      <a:fillRect/>
                    </a:stretch>
                  </pic:blipFill>
                  <pic:spPr bwMode="auto">
                    <a:xfrm>
                      <a:off x="0" y="0"/>
                      <a:ext cx="3490595" cy="23298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456"/>
        <w:gridCol w:w="456"/>
        <w:gridCol w:w="456"/>
        <w:gridCol w:w="456"/>
        <w:gridCol w:w="536"/>
        <w:gridCol w:w="456"/>
        <w:gridCol w:w="456"/>
      </w:tblGrid>
      <w:tr w:rsidR="00114FF2" w:rsidRPr="00120394" w:rsidTr="001B303C">
        <w:trPr>
          <w:trHeight w:val="425"/>
        </w:trPr>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At diagnosis</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712</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150</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378</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486</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1950</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840</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631</w:t>
            </w:r>
          </w:p>
        </w:tc>
      </w:tr>
      <w:tr w:rsidR="00114FF2" w:rsidRPr="00120394" w:rsidTr="001B303C">
        <w:trPr>
          <w:trHeight w:val="113"/>
        </w:trPr>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Pre-Qx</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140</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150</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172</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486</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86</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86</w:t>
            </w:r>
          </w:p>
        </w:tc>
        <w:tc>
          <w:tcPr>
            <w:tcW w:w="0" w:type="auto"/>
            <w:vAlign w:val="center"/>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135</w:t>
            </w:r>
          </w:p>
        </w:tc>
      </w:tr>
    </w:tbl>
    <w:p w:rsidR="00114FF2" w:rsidRPr="0065006A" w:rsidRDefault="00114FF2" w:rsidP="009611BC">
      <w:pPr>
        <w:spacing w:line="360" w:lineRule="auto"/>
        <w:rPr>
          <w:rFonts w:ascii="Book Antiqua" w:hAnsi="Book Antiqua"/>
          <w:sz w:val="32"/>
          <w:szCs w:val="32"/>
          <w:vertAlign w:val="subscript"/>
        </w:rPr>
      </w:pPr>
      <w:r w:rsidRPr="0065006A">
        <w:rPr>
          <w:rFonts w:ascii="Book Antiqua" w:hAnsi="Book Antiqua"/>
          <w:sz w:val="32"/>
          <w:szCs w:val="32"/>
          <w:vertAlign w:val="subscript"/>
        </w:rPr>
        <w:t>B</w:t>
      </w:r>
    </w:p>
    <w:p w:rsidR="00114FF2" w:rsidRPr="00676F81" w:rsidRDefault="00114FF2" w:rsidP="009611BC">
      <w:pPr>
        <w:spacing w:line="360" w:lineRule="auto"/>
        <w:rPr>
          <w:rFonts w:ascii="Book Antiqua" w:hAnsi="Book Antiqua"/>
          <w:sz w:val="24"/>
          <w:szCs w:val="24"/>
          <w:vertAlign w:val="subscript"/>
        </w:rPr>
      </w:pPr>
    </w:p>
    <w:p w:rsidR="00114FF2" w:rsidRPr="00676F81" w:rsidRDefault="00114FF2" w:rsidP="009611BC">
      <w:pPr>
        <w:spacing w:line="360" w:lineRule="auto"/>
        <w:rPr>
          <w:rFonts w:ascii="Book Antiqua" w:hAnsi="Book Antiqua"/>
          <w:sz w:val="24"/>
          <w:szCs w:val="24"/>
          <w:vertAlign w:val="subscript"/>
        </w:rPr>
      </w:pPr>
    </w:p>
    <w:p w:rsidR="00114FF2" w:rsidRPr="00676F81" w:rsidRDefault="00114FF2" w:rsidP="009611BC">
      <w:pPr>
        <w:spacing w:line="360" w:lineRule="auto"/>
        <w:rPr>
          <w:rFonts w:ascii="Book Antiqua" w:hAnsi="Book Antiqua"/>
          <w:sz w:val="24"/>
          <w:szCs w:val="24"/>
          <w:vertAlign w:val="subscript"/>
        </w:rPr>
      </w:pPr>
    </w:p>
    <w:p w:rsidR="00114FF2" w:rsidRPr="00676F81" w:rsidRDefault="00114FF2" w:rsidP="009611BC">
      <w:pPr>
        <w:spacing w:line="360" w:lineRule="auto"/>
        <w:rPr>
          <w:rFonts w:ascii="Book Antiqua" w:hAnsi="Book Antiqua"/>
          <w:sz w:val="24"/>
          <w:szCs w:val="24"/>
          <w:vertAlign w:val="subscript"/>
        </w:rPr>
      </w:pPr>
    </w:p>
    <w:p w:rsidR="00114FF2" w:rsidRDefault="00114FF2" w:rsidP="009611BC">
      <w:pPr>
        <w:spacing w:line="360" w:lineRule="auto"/>
        <w:rPr>
          <w:rFonts w:ascii="Book Antiqua" w:hAnsi="Book Antiqua"/>
          <w:sz w:val="24"/>
          <w:szCs w:val="24"/>
          <w:vertAlign w:val="subscript"/>
        </w:rPr>
      </w:pPr>
    </w:p>
    <w:p w:rsidR="00114FF2" w:rsidRDefault="00114FF2" w:rsidP="009611BC">
      <w:pPr>
        <w:spacing w:line="360" w:lineRule="auto"/>
        <w:rPr>
          <w:rFonts w:ascii="Book Antiqua" w:hAnsi="Book Antiqua"/>
          <w:sz w:val="24"/>
          <w:szCs w:val="24"/>
          <w:vertAlign w:val="subscript"/>
        </w:rPr>
      </w:pPr>
    </w:p>
    <w:p w:rsidR="00114FF2" w:rsidRDefault="00114FF2" w:rsidP="009611BC">
      <w:pPr>
        <w:spacing w:line="360" w:lineRule="auto"/>
        <w:rPr>
          <w:rFonts w:ascii="Book Antiqua" w:hAnsi="Book Antiqua"/>
          <w:sz w:val="24"/>
          <w:szCs w:val="24"/>
          <w:vertAlign w:val="subscript"/>
        </w:rPr>
      </w:pPr>
    </w:p>
    <w:p w:rsidR="00114FF2" w:rsidRPr="00676F81" w:rsidRDefault="00114FF2" w:rsidP="009611BC">
      <w:pPr>
        <w:spacing w:line="360" w:lineRule="auto"/>
        <w:rPr>
          <w:rFonts w:ascii="Book Antiqua" w:hAnsi="Book Antiqua"/>
          <w:sz w:val="24"/>
          <w:szCs w:val="24"/>
          <w:vertAlign w:val="subscript"/>
        </w:rPr>
      </w:pPr>
    </w:p>
    <w:p w:rsidR="00114FF2" w:rsidRPr="00676F81" w:rsidRDefault="002A000C" w:rsidP="009611BC">
      <w:pPr>
        <w:spacing w:line="360" w:lineRule="auto"/>
        <w:rPr>
          <w:rFonts w:ascii="Book Antiqua" w:hAnsi="Book Antiqua"/>
          <w:sz w:val="24"/>
          <w:szCs w:val="24"/>
          <w:vertAlign w:val="subscript"/>
        </w:rPr>
      </w:pPr>
      <w:r>
        <w:rPr>
          <w:rFonts w:ascii="Book Antiqua" w:hAnsi="Book Antiqua"/>
          <w:noProof/>
          <w:sz w:val="24"/>
          <w:szCs w:val="24"/>
          <w:vertAlign w:val="subscript"/>
        </w:rPr>
        <w:drawing>
          <wp:inline distT="0" distB="0" distL="0" distR="0">
            <wp:extent cx="3331845" cy="2321560"/>
            <wp:effectExtent l="0" t="0" r="1905" b="254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b="3223"/>
                    <a:stretch>
                      <a:fillRect/>
                    </a:stretch>
                  </pic:blipFill>
                  <pic:spPr bwMode="auto">
                    <a:xfrm>
                      <a:off x="0" y="0"/>
                      <a:ext cx="3331845" cy="23215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696"/>
        <w:gridCol w:w="456"/>
        <w:gridCol w:w="656"/>
        <w:gridCol w:w="736"/>
        <w:gridCol w:w="816"/>
        <w:gridCol w:w="616"/>
        <w:gridCol w:w="696"/>
      </w:tblGrid>
      <w:tr w:rsidR="00114FF2" w:rsidRPr="00120394" w:rsidTr="001B303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AFP at diagnosis</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401800</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379</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551.21</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83100.5</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18597.37</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14277</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473856</w:t>
            </w:r>
          </w:p>
        </w:tc>
      </w:tr>
      <w:tr w:rsidR="00114FF2" w:rsidRPr="00120394" w:rsidTr="001B303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AFP Pre-Qx</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23</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3.7</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298.5</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30126.6</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2461.2</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125</w:t>
            </w:r>
          </w:p>
        </w:tc>
        <w:tc>
          <w:tcPr>
            <w:tcW w:w="0" w:type="auto"/>
          </w:tcPr>
          <w:p w:rsidR="00114FF2" w:rsidRPr="00120394" w:rsidRDefault="00114FF2" w:rsidP="001B303C">
            <w:pPr>
              <w:spacing w:line="360" w:lineRule="auto"/>
              <w:rPr>
                <w:rFonts w:ascii="Book Antiqua" w:hAnsi="Book Antiqua"/>
                <w:sz w:val="24"/>
                <w:szCs w:val="24"/>
                <w:vertAlign w:val="subscript"/>
              </w:rPr>
            </w:pPr>
            <w:r w:rsidRPr="00120394">
              <w:rPr>
                <w:rFonts w:ascii="Book Antiqua" w:hAnsi="Book Antiqua"/>
                <w:sz w:val="24"/>
                <w:szCs w:val="24"/>
                <w:vertAlign w:val="subscript"/>
              </w:rPr>
              <w:t>1078.8</w:t>
            </w:r>
          </w:p>
        </w:tc>
      </w:tr>
    </w:tbl>
    <w:p w:rsidR="00114FF2" w:rsidRPr="0065006A" w:rsidRDefault="00114FF2" w:rsidP="009611BC">
      <w:pPr>
        <w:spacing w:line="360" w:lineRule="auto"/>
        <w:rPr>
          <w:rFonts w:ascii="Book Antiqua" w:hAnsi="Book Antiqua"/>
          <w:sz w:val="32"/>
          <w:szCs w:val="32"/>
          <w:vertAlign w:val="subscript"/>
        </w:rPr>
      </w:pPr>
      <w:r w:rsidRPr="0065006A">
        <w:rPr>
          <w:rFonts w:ascii="Book Antiqua" w:hAnsi="Book Antiqua"/>
          <w:sz w:val="32"/>
          <w:szCs w:val="32"/>
          <w:vertAlign w:val="subscript"/>
        </w:rPr>
        <w:t>C</w:t>
      </w:r>
    </w:p>
    <w:sectPr w:rsidR="00114FF2" w:rsidRPr="0065006A" w:rsidSect="005F1D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1D" w:rsidRDefault="0076421D" w:rsidP="00544AB9">
      <w:r>
        <w:separator/>
      </w:r>
    </w:p>
  </w:endnote>
  <w:endnote w:type="continuationSeparator" w:id="0">
    <w:p w:rsidR="0076421D" w:rsidRDefault="0076421D" w:rsidP="0054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1D" w:rsidRDefault="0076421D" w:rsidP="00544AB9">
      <w:r>
        <w:separator/>
      </w:r>
    </w:p>
  </w:footnote>
  <w:footnote w:type="continuationSeparator" w:id="0">
    <w:p w:rsidR="0076421D" w:rsidRDefault="0076421D" w:rsidP="00544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C9"/>
    <w:rsid w:val="0000017A"/>
    <w:rsid w:val="000116DB"/>
    <w:rsid w:val="000118D2"/>
    <w:rsid w:val="00044CB1"/>
    <w:rsid w:val="00051FD3"/>
    <w:rsid w:val="00063235"/>
    <w:rsid w:val="000D4419"/>
    <w:rsid w:val="000E3BC4"/>
    <w:rsid w:val="00102F31"/>
    <w:rsid w:val="001131BB"/>
    <w:rsid w:val="00114FF2"/>
    <w:rsid w:val="00117B4E"/>
    <w:rsid w:val="00120394"/>
    <w:rsid w:val="00163EFD"/>
    <w:rsid w:val="001843FA"/>
    <w:rsid w:val="001A71EF"/>
    <w:rsid w:val="001B303C"/>
    <w:rsid w:val="001F79B0"/>
    <w:rsid w:val="00204420"/>
    <w:rsid w:val="00231DA4"/>
    <w:rsid w:val="00266B70"/>
    <w:rsid w:val="0029240A"/>
    <w:rsid w:val="002A000C"/>
    <w:rsid w:val="002A3C57"/>
    <w:rsid w:val="002E5718"/>
    <w:rsid w:val="002F01D3"/>
    <w:rsid w:val="00337146"/>
    <w:rsid w:val="0034119E"/>
    <w:rsid w:val="00366D3A"/>
    <w:rsid w:val="003823B4"/>
    <w:rsid w:val="0039738F"/>
    <w:rsid w:val="003A76C7"/>
    <w:rsid w:val="003E032A"/>
    <w:rsid w:val="003E6FF8"/>
    <w:rsid w:val="0040398C"/>
    <w:rsid w:val="00461E38"/>
    <w:rsid w:val="00483C11"/>
    <w:rsid w:val="004A7BC5"/>
    <w:rsid w:val="004D4190"/>
    <w:rsid w:val="0052559D"/>
    <w:rsid w:val="00544AB9"/>
    <w:rsid w:val="005B166C"/>
    <w:rsid w:val="005C22EF"/>
    <w:rsid w:val="005F1D5C"/>
    <w:rsid w:val="00606183"/>
    <w:rsid w:val="006328E7"/>
    <w:rsid w:val="00642FF2"/>
    <w:rsid w:val="00646EEC"/>
    <w:rsid w:val="0065006A"/>
    <w:rsid w:val="00676F81"/>
    <w:rsid w:val="006866C6"/>
    <w:rsid w:val="006A74F3"/>
    <w:rsid w:val="00714BBC"/>
    <w:rsid w:val="00716F43"/>
    <w:rsid w:val="00725759"/>
    <w:rsid w:val="00732D18"/>
    <w:rsid w:val="00756DF1"/>
    <w:rsid w:val="0076406D"/>
    <w:rsid w:val="0076421D"/>
    <w:rsid w:val="00765026"/>
    <w:rsid w:val="00767A74"/>
    <w:rsid w:val="007722C5"/>
    <w:rsid w:val="00784964"/>
    <w:rsid w:val="007A0BDF"/>
    <w:rsid w:val="007D27A0"/>
    <w:rsid w:val="00856B71"/>
    <w:rsid w:val="00867507"/>
    <w:rsid w:val="00875C84"/>
    <w:rsid w:val="008B5817"/>
    <w:rsid w:val="008C696A"/>
    <w:rsid w:val="008D0442"/>
    <w:rsid w:val="008D49C9"/>
    <w:rsid w:val="008E31C5"/>
    <w:rsid w:val="00955216"/>
    <w:rsid w:val="0096119D"/>
    <w:rsid w:val="009611BC"/>
    <w:rsid w:val="009A309C"/>
    <w:rsid w:val="00A2470A"/>
    <w:rsid w:val="00A559EB"/>
    <w:rsid w:val="00A5615B"/>
    <w:rsid w:val="00A566C0"/>
    <w:rsid w:val="00A7393F"/>
    <w:rsid w:val="00A75E38"/>
    <w:rsid w:val="00A82C3B"/>
    <w:rsid w:val="00AB00DD"/>
    <w:rsid w:val="00B02EC4"/>
    <w:rsid w:val="00B230D7"/>
    <w:rsid w:val="00B5458B"/>
    <w:rsid w:val="00BA28C8"/>
    <w:rsid w:val="00BE0F44"/>
    <w:rsid w:val="00C51163"/>
    <w:rsid w:val="00D2684B"/>
    <w:rsid w:val="00D312C9"/>
    <w:rsid w:val="00D31D11"/>
    <w:rsid w:val="00D86440"/>
    <w:rsid w:val="00DA0EC6"/>
    <w:rsid w:val="00DF6D97"/>
    <w:rsid w:val="00E24835"/>
    <w:rsid w:val="00E3072B"/>
    <w:rsid w:val="00E365CE"/>
    <w:rsid w:val="00E40742"/>
    <w:rsid w:val="00E4203A"/>
    <w:rsid w:val="00E46E4D"/>
    <w:rsid w:val="00E524D1"/>
    <w:rsid w:val="00E56F19"/>
    <w:rsid w:val="00E741B8"/>
    <w:rsid w:val="00E96B85"/>
    <w:rsid w:val="00EC7255"/>
    <w:rsid w:val="00EF442D"/>
    <w:rsid w:val="00F06A09"/>
    <w:rsid w:val="00F34905"/>
    <w:rsid w:val="00FF6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D49C9"/>
    <w:rPr>
      <w:kern w:val="0"/>
      <w:sz w:val="18"/>
      <w:szCs w:val="18"/>
    </w:rPr>
  </w:style>
  <w:style w:type="character" w:customStyle="1" w:styleId="Char">
    <w:name w:val="批注框文本 Char"/>
    <w:basedOn w:val="a0"/>
    <w:link w:val="a3"/>
    <w:uiPriority w:val="99"/>
    <w:semiHidden/>
    <w:locked/>
    <w:rsid w:val="008D49C9"/>
    <w:rPr>
      <w:sz w:val="18"/>
    </w:rPr>
  </w:style>
  <w:style w:type="character" w:styleId="a4">
    <w:name w:val="annotation reference"/>
    <w:basedOn w:val="a0"/>
    <w:uiPriority w:val="99"/>
    <w:rsid w:val="008D49C9"/>
    <w:rPr>
      <w:rFonts w:cs="Times New Roman"/>
      <w:sz w:val="21"/>
    </w:rPr>
  </w:style>
  <w:style w:type="paragraph" w:styleId="a5">
    <w:name w:val="annotation text"/>
    <w:basedOn w:val="a"/>
    <w:link w:val="Char0"/>
    <w:uiPriority w:val="99"/>
    <w:rsid w:val="008D49C9"/>
    <w:pPr>
      <w:jc w:val="left"/>
    </w:pPr>
    <w:rPr>
      <w:kern w:val="0"/>
      <w:sz w:val="20"/>
      <w:szCs w:val="20"/>
    </w:rPr>
  </w:style>
  <w:style w:type="character" w:customStyle="1" w:styleId="Char0">
    <w:name w:val="批注文字 Char"/>
    <w:basedOn w:val="a0"/>
    <w:link w:val="a5"/>
    <w:uiPriority w:val="99"/>
    <w:locked/>
    <w:rsid w:val="008D49C9"/>
  </w:style>
  <w:style w:type="paragraph" w:styleId="a6">
    <w:name w:val="annotation subject"/>
    <w:basedOn w:val="a5"/>
    <w:next w:val="a5"/>
    <w:link w:val="Char1"/>
    <w:uiPriority w:val="99"/>
    <w:semiHidden/>
    <w:rsid w:val="008D49C9"/>
    <w:rPr>
      <w:b/>
      <w:bCs/>
    </w:rPr>
  </w:style>
  <w:style w:type="character" w:customStyle="1" w:styleId="Char1">
    <w:name w:val="批注主题 Char"/>
    <w:basedOn w:val="Char0"/>
    <w:link w:val="a6"/>
    <w:uiPriority w:val="99"/>
    <w:semiHidden/>
    <w:locked/>
    <w:rsid w:val="008D49C9"/>
    <w:rPr>
      <w:b/>
    </w:rPr>
  </w:style>
  <w:style w:type="character" w:customStyle="1" w:styleId="labellist1">
    <w:name w:val="label_list1"/>
    <w:uiPriority w:val="99"/>
    <w:rsid w:val="009611BC"/>
  </w:style>
  <w:style w:type="paragraph" w:styleId="a7">
    <w:name w:val="header"/>
    <w:basedOn w:val="a"/>
    <w:link w:val="Char2"/>
    <w:uiPriority w:val="99"/>
    <w:rsid w:val="00544AB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7"/>
    <w:uiPriority w:val="99"/>
    <w:locked/>
    <w:rsid w:val="00544AB9"/>
    <w:rPr>
      <w:sz w:val="18"/>
    </w:rPr>
  </w:style>
  <w:style w:type="paragraph" w:styleId="a8">
    <w:name w:val="footer"/>
    <w:basedOn w:val="a"/>
    <w:link w:val="Char3"/>
    <w:uiPriority w:val="99"/>
    <w:rsid w:val="00544AB9"/>
    <w:pPr>
      <w:tabs>
        <w:tab w:val="center" w:pos="4153"/>
        <w:tab w:val="right" w:pos="8306"/>
      </w:tabs>
      <w:snapToGrid w:val="0"/>
      <w:jc w:val="left"/>
    </w:pPr>
    <w:rPr>
      <w:kern w:val="0"/>
      <w:sz w:val="18"/>
      <w:szCs w:val="18"/>
    </w:rPr>
  </w:style>
  <w:style w:type="character" w:customStyle="1" w:styleId="Char3">
    <w:name w:val="页脚 Char"/>
    <w:basedOn w:val="a0"/>
    <w:link w:val="a8"/>
    <w:uiPriority w:val="99"/>
    <w:locked/>
    <w:rsid w:val="00544AB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D49C9"/>
    <w:rPr>
      <w:kern w:val="0"/>
      <w:sz w:val="18"/>
      <w:szCs w:val="18"/>
    </w:rPr>
  </w:style>
  <w:style w:type="character" w:customStyle="1" w:styleId="Char">
    <w:name w:val="批注框文本 Char"/>
    <w:basedOn w:val="a0"/>
    <w:link w:val="a3"/>
    <w:uiPriority w:val="99"/>
    <w:semiHidden/>
    <w:locked/>
    <w:rsid w:val="008D49C9"/>
    <w:rPr>
      <w:sz w:val="18"/>
    </w:rPr>
  </w:style>
  <w:style w:type="character" w:styleId="a4">
    <w:name w:val="annotation reference"/>
    <w:basedOn w:val="a0"/>
    <w:uiPriority w:val="99"/>
    <w:rsid w:val="008D49C9"/>
    <w:rPr>
      <w:rFonts w:cs="Times New Roman"/>
      <w:sz w:val="21"/>
    </w:rPr>
  </w:style>
  <w:style w:type="paragraph" w:styleId="a5">
    <w:name w:val="annotation text"/>
    <w:basedOn w:val="a"/>
    <w:link w:val="Char0"/>
    <w:uiPriority w:val="99"/>
    <w:rsid w:val="008D49C9"/>
    <w:pPr>
      <w:jc w:val="left"/>
    </w:pPr>
    <w:rPr>
      <w:kern w:val="0"/>
      <w:sz w:val="20"/>
      <w:szCs w:val="20"/>
    </w:rPr>
  </w:style>
  <w:style w:type="character" w:customStyle="1" w:styleId="Char0">
    <w:name w:val="批注文字 Char"/>
    <w:basedOn w:val="a0"/>
    <w:link w:val="a5"/>
    <w:uiPriority w:val="99"/>
    <w:locked/>
    <w:rsid w:val="008D49C9"/>
  </w:style>
  <w:style w:type="paragraph" w:styleId="a6">
    <w:name w:val="annotation subject"/>
    <w:basedOn w:val="a5"/>
    <w:next w:val="a5"/>
    <w:link w:val="Char1"/>
    <w:uiPriority w:val="99"/>
    <w:semiHidden/>
    <w:rsid w:val="008D49C9"/>
    <w:rPr>
      <w:b/>
      <w:bCs/>
    </w:rPr>
  </w:style>
  <w:style w:type="character" w:customStyle="1" w:styleId="Char1">
    <w:name w:val="批注主题 Char"/>
    <w:basedOn w:val="Char0"/>
    <w:link w:val="a6"/>
    <w:uiPriority w:val="99"/>
    <w:semiHidden/>
    <w:locked/>
    <w:rsid w:val="008D49C9"/>
    <w:rPr>
      <w:b/>
    </w:rPr>
  </w:style>
  <w:style w:type="character" w:customStyle="1" w:styleId="labellist1">
    <w:name w:val="label_list1"/>
    <w:uiPriority w:val="99"/>
    <w:rsid w:val="009611BC"/>
  </w:style>
  <w:style w:type="paragraph" w:styleId="a7">
    <w:name w:val="header"/>
    <w:basedOn w:val="a"/>
    <w:link w:val="Char2"/>
    <w:uiPriority w:val="99"/>
    <w:rsid w:val="00544AB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7"/>
    <w:uiPriority w:val="99"/>
    <w:locked/>
    <w:rsid w:val="00544AB9"/>
    <w:rPr>
      <w:sz w:val="18"/>
    </w:rPr>
  </w:style>
  <w:style w:type="paragraph" w:styleId="a8">
    <w:name w:val="footer"/>
    <w:basedOn w:val="a"/>
    <w:link w:val="Char3"/>
    <w:uiPriority w:val="99"/>
    <w:rsid w:val="00544AB9"/>
    <w:pPr>
      <w:tabs>
        <w:tab w:val="center" w:pos="4153"/>
        <w:tab w:val="right" w:pos="8306"/>
      </w:tabs>
      <w:snapToGrid w:val="0"/>
      <w:jc w:val="left"/>
    </w:pPr>
    <w:rPr>
      <w:kern w:val="0"/>
      <w:sz w:val="18"/>
      <w:szCs w:val="18"/>
    </w:rPr>
  </w:style>
  <w:style w:type="character" w:customStyle="1" w:styleId="Char3">
    <w:name w:val="页脚 Char"/>
    <w:basedOn w:val="a0"/>
    <w:link w:val="a8"/>
    <w:uiPriority w:val="99"/>
    <w:locked/>
    <w:rsid w:val="00544AB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4447</Words>
  <Characters>25348</Characters>
  <Application>Microsoft Office Word</Application>
  <DocSecurity>0</DocSecurity>
  <Lines>211</Lines>
  <Paragraphs>59</Paragraphs>
  <ScaleCrop>false</ScaleCrop>
  <Company>微软中国</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2013-12-05T01:27:00Z</dcterms:created>
  <dcterms:modified xsi:type="dcterms:W3CDTF">2013-12-05T01:27:00Z</dcterms:modified>
</cp:coreProperties>
</file>