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0F" w:rsidRPr="00FE6084" w:rsidRDefault="00C6670F" w:rsidP="00FE6084">
      <w:pPr>
        <w:adjustRightInd w:val="0"/>
        <w:snapToGrid w:val="0"/>
        <w:spacing w:after="0" w:line="360" w:lineRule="auto"/>
        <w:jc w:val="both"/>
        <w:rPr>
          <w:rFonts w:ascii="Book Antiqua" w:hAnsi="Book Antiqua"/>
          <w:b/>
          <w:sz w:val="24"/>
          <w:szCs w:val="24"/>
          <w:lang w:val="en-US"/>
        </w:rPr>
      </w:pPr>
      <w:bookmarkStart w:id="0" w:name="_GoBack"/>
      <w:bookmarkEnd w:id="0"/>
      <w:r w:rsidRPr="00FE6084">
        <w:rPr>
          <w:rFonts w:ascii="Book Antiqua" w:hAnsi="Book Antiqua"/>
          <w:b/>
          <w:sz w:val="24"/>
          <w:szCs w:val="24"/>
          <w:lang w:val="en-US"/>
        </w:rPr>
        <w:t xml:space="preserve">Name of Journal: </w:t>
      </w:r>
      <w:r w:rsidRPr="00FE6084">
        <w:rPr>
          <w:rFonts w:ascii="Book Antiqua" w:hAnsi="Book Antiqua"/>
          <w:b/>
          <w:i/>
          <w:iCs/>
          <w:sz w:val="24"/>
          <w:szCs w:val="24"/>
          <w:lang w:val="en-US"/>
        </w:rPr>
        <w:t>World Journal of Gastroenterology</w:t>
      </w:r>
    </w:p>
    <w:p w:rsidR="00C6670F" w:rsidRPr="00FE6084" w:rsidRDefault="00C6670F"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b/>
          <w:sz w:val="24"/>
          <w:szCs w:val="24"/>
          <w:lang w:val="en-US"/>
        </w:rPr>
        <w:t>Manuscript NO:</w:t>
      </w:r>
      <w:r w:rsidR="007C5607" w:rsidRPr="00FE6084">
        <w:rPr>
          <w:rFonts w:ascii="Book Antiqua" w:hAnsi="Book Antiqua"/>
          <w:b/>
          <w:sz w:val="24"/>
          <w:szCs w:val="24"/>
          <w:lang w:val="en-US"/>
        </w:rPr>
        <w:t xml:space="preserve"> 51207</w:t>
      </w:r>
    </w:p>
    <w:p w:rsidR="00C6670F" w:rsidRPr="00FE6084" w:rsidRDefault="00C6670F" w:rsidP="00FE6084">
      <w:pPr>
        <w:adjustRightInd w:val="0"/>
        <w:snapToGrid w:val="0"/>
        <w:spacing w:after="0" w:line="360" w:lineRule="auto"/>
        <w:jc w:val="both"/>
        <w:rPr>
          <w:rFonts w:ascii="Book Antiqua" w:hAnsi="Book Antiqua"/>
          <w:b/>
          <w:sz w:val="24"/>
          <w:szCs w:val="24"/>
        </w:rPr>
      </w:pPr>
      <w:r w:rsidRPr="00FE6084">
        <w:rPr>
          <w:rFonts w:ascii="Book Antiqua" w:hAnsi="Book Antiqua"/>
          <w:b/>
          <w:sz w:val="24"/>
          <w:szCs w:val="24"/>
          <w:lang w:val="en-US"/>
        </w:rPr>
        <w:t>Manuscript Type:</w:t>
      </w:r>
      <w:r w:rsidR="007C5607" w:rsidRPr="00FE6084">
        <w:rPr>
          <w:rFonts w:ascii="Book Antiqua" w:hAnsi="Book Antiqua"/>
          <w:b/>
          <w:sz w:val="24"/>
          <w:szCs w:val="24"/>
          <w:lang w:val="en-US"/>
        </w:rPr>
        <w:t xml:space="preserve"> </w:t>
      </w:r>
      <w:bookmarkStart w:id="1" w:name="OLE_LINK12"/>
      <w:bookmarkStart w:id="2" w:name="OLE_LINK13"/>
      <w:r w:rsidR="001322C9" w:rsidRPr="00FE6084">
        <w:rPr>
          <w:rFonts w:ascii="Book Antiqua" w:hAnsi="Book Antiqua"/>
          <w:b/>
          <w:sz w:val="24"/>
          <w:szCs w:val="24"/>
        </w:rPr>
        <w:t>ORIGINAL ARTICLE</w:t>
      </w:r>
      <w:bookmarkEnd w:id="1"/>
      <w:bookmarkEnd w:id="2"/>
    </w:p>
    <w:p w:rsidR="001322C9" w:rsidRPr="00FE6084" w:rsidRDefault="001322C9" w:rsidP="00FE6084">
      <w:pPr>
        <w:adjustRightInd w:val="0"/>
        <w:snapToGrid w:val="0"/>
        <w:spacing w:after="0" w:line="360" w:lineRule="auto"/>
        <w:jc w:val="both"/>
        <w:rPr>
          <w:rFonts w:ascii="Book Antiqua" w:hAnsi="Book Antiqua"/>
          <w:b/>
          <w:sz w:val="24"/>
          <w:szCs w:val="24"/>
          <w:lang w:val="en-US"/>
        </w:rPr>
      </w:pPr>
    </w:p>
    <w:p w:rsidR="001322C9" w:rsidRPr="00FE6084" w:rsidRDefault="001322C9" w:rsidP="00FE6084">
      <w:pPr>
        <w:adjustRightInd w:val="0"/>
        <w:snapToGrid w:val="0"/>
        <w:spacing w:after="0" w:line="360" w:lineRule="auto"/>
        <w:jc w:val="both"/>
        <w:rPr>
          <w:rFonts w:ascii="Book Antiqua" w:hAnsi="Book Antiqua"/>
          <w:b/>
          <w:i/>
          <w:iCs/>
          <w:sz w:val="24"/>
          <w:szCs w:val="24"/>
          <w:lang w:val="en-US"/>
        </w:rPr>
      </w:pPr>
      <w:r w:rsidRPr="00FE6084">
        <w:rPr>
          <w:rFonts w:ascii="Book Antiqua" w:hAnsi="Book Antiqua"/>
          <w:b/>
          <w:i/>
          <w:iCs/>
          <w:sz w:val="24"/>
          <w:szCs w:val="24"/>
          <w:lang w:val="en-US"/>
        </w:rPr>
        <w:t>Observational Study</w:t>
      </w:r>
    </w:p>
    <w:p w:rsidR="00A76BBE" w:rsidRPr="00FE6084" w:rsidRDefault="00A76BBE"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b/>
          <w:sz w:val="24"/>
          <w:szCs w:val="24"/>
          <w:lang w:val="en-US"/>
        </w:rPr>
        <w:t xml:space="preserve">Epidemiologic characteristics of </w:t>
      </w:r>
      <w:r w:rsidR="00DA7C1F" w:rsidRPr="00FE6084">
        <w:rPr>
          <w:rFonts w:ascii="Book Antiqua" w:hAnsi="Book Antiqua"/>
          <w:b/>
          <w:i/>
          <w:iCs/>
          <w:sz w:val="24"/>
          <w:szCs w:val="24"/>
          <w:lang w:val="en-US"/>
        </w:rPr>
        <w:t>Helicobacter pylori</w:t>
      </w:r>
      <w:r w:rsidRPr="00FE6084">
        <w:rPr>
          <w:rFonts w:ascii="Book Antiqua" w:hAnsi="Book Antiqua"/>
          <w:b/>
          <w:sz w:val="24"/>
          <w:szCs w:val="24"/>
          <w:lang w:val="en-US"/>
        </w:rPr>
        <w:t xml:space="preserve"> infection in </w:t>
      </w:r>
      <w:r w:rsidR="008E580E" w:rsidRPr="00FE6084">
        <w:rPr>
          <w:rFonts w:ascii="Book Antiqua" w:hAnsi="Book Antiqua"/>
          <w:b/>
          <w:sz w:val="24"/>
          <w:szCs w:val="24"/>
          <w:lang w:val="en-US"/>
        </w:rPr>
        <w:t>s</w:t>
      </w:r>
      <w:r w:rsidRPr="00FE6084">
        <w:rPr>
          <w:rFonts w:ascii="Book Antiqua" w:hAnsi="Book Antiqua"/>
          <w:b/>
          <w:sz w:val="24"/>
          <w:szCs w:val="24"/>
          <w:lang w:val="en-US"/>
        </w:rPr>
        <w:t>outheast Hungary</w:t>
      </w:r>
    </w:p>
    <w:p w:rsidR="008E580E" w:rsidRPr="00FE6084" w:rsidRDefault="008E580E" w:rsidP="00FE6084">
      <w:pPr>
        <w:adjustRightInd w:val="0"/>
        <w:snapToGrid w:val="0"/>
        <w:spacing w:after="0" w:line="360" w:lineRule="auto"/>
        <w:jc w:val="both"/>
        <w:rPr>
          <w:rFonts w:ascii="Book Antiqua" w:hAnsi="Book Antiqua"/>
          <w:b/>
          <w:sz w:val="24"/>
          <w:szCs w:val="24"/>
          <w:lang w:val="en-US"/>
        </w:rPr>
      </w:pPr>
    </w:p>
    <w:p w:rsidR="00C6670F" w:rsidRPr="00FE6084" w:rsidRDefault="001322C9"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sz w:val="24"/>
          <w:szCs w:val="24"/>
          <w:lang w:val="en-US"/>
        </w:rPr>
        <w:t>Bálint</w:t>
      </w:r>
      <w:r w:rsidRPr="00FE6084">
        <w:rPr>
          <w:rFonts w:ascii="Book Antiqua" w:hAnsi="Book Antiqua"/>
          <w:b/>
          <w:sz w:val="24"/>
          <w:szCs w:val="24"/>
          <w:lang w:val="en-US"/>
        </w:rPr>
        <w:t xml:space="preserve"> </w:t>
      </w:r>
      <w:r w:rsidRPr="00FE6084">
        <w:rPr>
          <w:rFonts w:ascii="Book Antiqua" w:hAnsi="Book Antiqua"/>
          <w:bCs/>
          <w:sz w:val="24"/>
          <w:szCs w:val="24"/>
          <w:lang w:val="en-US"/>
        </w:rPr>
        <w:t xml:space="preserve">L </w:t>
      </w:r>
      <w:r w:rsidRPr="00FE6084">
        <w:rPr>
          <w:rFonts w:ascii="Book Antiqua" w:hAnsi="Book Antiqua"/>
          <w:bCs/>
          <w:i/>
          <w:iCs/>
          <w:sz w:val="24"/>
          <w:szCs w:val="24"/>
          <w:lang w:val="en-US" w:eastAsia="zh-CN"/>
        </w:rPr>
        <w:t>et</w:t>
      </w:r>
      <w:r w:rsidRPr="00FE6084">
        <w:rPr>
          <w:rFonts w:ascii="Book Antiqua" w:hAnsi="Book Antiqua"/>
          <w:bCs/>
          <w:i/>
          <w:iCs/>
          <w:sz w:val="24"/>
          <w:szCs w:val="24"/>
          <w:lang w:val="en-US"/>
        </w:rPr>
        <w:t xml:space="preserve"> al.</w:t>
      </w:r>
      <w:r w:rsidRPr="00FE6084">
        <w:rPr>
          <w:rFonts w:ascii="Book Antiqua" w:hAnsi="Book Antiqua"/>
          <w:bCs/>
          <w:sz w:val="24"/>
          <w:szCs w:val="24"/>
          <w:lang w:val="en-US"/>
        </w:rPr>
        <w:t xml:space="preserve"> </w:t>
      </w:r>
      <w:r w:rsidR="00910EBB" w:rsidRPr="00FE6084">
        <w:rPr>
          <w:rFonts w:ascii="Book Antiqua" w:hAnsi="Book Antiqua"/>
          <w:bCs/>
          <w:sz w:val="24"/>
          <w:szCs w:val="24"/>
          <w:lang w:val="en-US"/>
        </w:rPr>
        <w:t>Helicobacter seroprevalence</w:t>
      </w:r>
      <w:r w:rsidR="00BC442A" w:rsidRPr="00FE6084">
        <w:rPr>
          <w:rFonts w:ascii="Book Antiqua" w:hAnsi="Book Antiqua"/>
          <w:bCs/>
          <w:sz w:val="24"/>
          <w:szCs w:val="24"/>
          <w:lang w:val="en-US"/>
        </w:rPr>
        <w:t xml:space="preserve"> in Hungary</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8E580E" w:rsidRPr="00FE6084" w:rsidRDefault="008E580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Lenke Bálint, Andrea Tiszai, Gábor Kozák, Ilona Dóczi, Veronika Szekeres, Orsolya Inczefi, Georgina Ollé, Krisztina Helle, Richárd Róka, András Rosztóczy</w:t>
      </w:r>
    </w:p>
    <w:p w:rsidR="008E580E" w:rsidRPr="00FE6084" w:rsidRDefault="008E580E" w:rsidP="00FE6084">
      <w:pPr>
        <w:adjustRightInd w:val="0"/>
        <w:snapToGrid w:val="0"/>
        <w:spacing w:after="0" w:line="360" w:lineRule="auto"/>
        <w:jc w:val="both"/>
        <w:rPr>
          <w:rFonts w:ascii="Book Antiqua" w:hAnsi="Book Antiqua"/>
          <w:b/>
          <w:sz w:val="24"/>
          <w:szCs w:val="24"/>
          <w:lang w:val="en-US"/>
        </w:rPr>
      </w:pPr>
    </w:p>
    <w:p w:rsidR="00BC442A"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Lenke Bálint</w:t>
      </w:r>
      <w:r w:rsidR="00BC442A" w:rsidRPr="00FE6084">
        <w:rPr>
          <w:rFonts w:ascii="Book Antiqua" w:hAnsi="Book Antiqua"/>
          <w:b/>
          <w:bCs/>
          <w:sz w:val="24"/>
          <w:szCs w:val="24"/>
          <w:lang w:val="en-US"/>
        </w:rPr>
        <w:t xml:space="preserve">, </w:t>
      </w:r>
      <w:r w:rsidRPr="00FE6084">
        <w:rPr>
          <w:rFonts w:ascii="Book Antiqua" w:hAnsi="Book Antiqua"/>
          <w:b/>
          <w:bCs/>
          <w:sz w:val="24"/>
          <w:szCs w:val="24"/>
          <w:lang w:val="en-US"/>
        </w:rPr>
        <w:t>Andrea Tiszai</w:t>
      </w:r>
      <w:r w:rsidR="00BC442A" w:rsidRPr="00FE6084">
        <w:rPr>
          <w:rFonts w:ascii="Book Antiqua" w:hAnsi="Book Antiqua"/>
          <w:b/>
          <w:bCs/>
          <w:sz w:val="24"/>
          <w:szCs w:val="24"/>
          <w:lang w:val="en-US"/>
        </w:rPr>
        <w:t xml:space="preserve">, </w:t>
      </w:r>
      <w:r w:rsidR="006E3EB1" w:rsidRPr="00FE6084">
        <w:rPr>
          <w:rFonts w:ascii="Book Antiqua" w:hAnsi="Book Antiqua"/>
          <w:b/>
          <w:bCs/>
          <w:sz w:val="24"/>
          <w:szCs w:val="24"/>
          <w:lang w:val="en-US"/>
        </w:rPr>
        <w:t>Orsolya Inczefi, Georgina Ollé, Krisztina Helle, Richárd Róka, András Rosztóczy,</w:t>
      </w:r>
      <w:r w:rsidR="006E3EB1" w:rsidRPr="00FE6084">
        <w:rPr>
          <w:rFonts w:ascii="Book Antiqua" w:hAnsi="Book Antiqua"/>
          <w:sz w:val="24"/>
          <w:szCs w:val="24"/>
          <w:lang w:val="en-US"/>
        </w:rPr>
        <w:t xml:space="preserve"> </w:t>
      </w:r>
      <w:r w:rsidR="007F1D8A" w:rsidRPr="00FE6084">
        <w:rPr>
          <w:rFonts w:ascii="Book Antiqua" w:hAnsi="Book Antiqua"/>
          <w:sz w:val="24"/>
          <w:szCs w:val="24"/>
          <w:lang w:val="en-US"/>
        </w:rPr>
        <w:t xml:space="preserve">Division of Gastroenterology, </w:t>
      </w:r>
      <w:r w:rsidR="006E3EB1" w:rsidRPr="00FE6084">
        <w:rPr>
          <w:rFonts w:ascii="Book Antiqua" w:hAnsi="Book Antiqua"/>
          <w:sz w:val="24"/>
          <w:szCs w:val="24"/>
          <w:lang w:val="en-US"/>
        </w:rPr>
        <w:t>First Department of Medicine, University of Szeged, Szeged 6720, Hungary</w:t>
      </w:r>
    </w:p>
    <w:p w:rsidR="008E580E" w:rsidRPr="00FE6084" w:rsidRDefault="008E580E" w:rsidP="00FE6084">
      <w:pPr>
        <w:adjustRightInd w:val="0"/>
        <w:snapToGrid w:val="0"/>
        <w:spacing w:after="0" w:line="360" w:lineRule="auto"/>
        <w:jc w:val="both"/>
        <w:rPr>
          <w:rFonts w:ascii="Book Antiqua" w:hAnsi="Book Antiqua"/>
          <w:sz w:val="24"/>
          <w:szCs w:val="24"/>
          <w:lang w:val="en-US"/>
        </w:rPr>
      </w:pPr>
    </w:p>
    <w:p w:rsidR="00BC442A"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Gábor Kozák</w:t>
      </w:r>
      <w:r w:rsidR="00BC442A" w:rsidRPr="00FE6084">
        <w:rPr>
          <w:rFonts w:ascii="Book Antiqua" w:hAnsi="Book Antiqua"/>
          <w:b/>
          <w:bCs/>
          <w:sz w:val="24"/>
          <w:szCs w:val="24"/>
          <w:lang w:val="en-US"/>
        </w:rPr>
        <w:t>,</w:t>
      </w:r>
      <w:r w:rsidR="00BC442A" w:rsidRPr="00FE6084">
        <w:rPr>
          <w:rFonts w:ascii="Book Antiqua" w:hAnsi="Book Antiqua"/>
          <w:sz w:val="24"/>
          <w:szCs w:val="24"/>
          <w:lang w:val="en-US"/>
        </w:rPr>
        <w:t xml:space="preserve"> Department of Physiology, University of Szeged, </w:t>
      </w:r>
      <w:r w:rsidR="006E3EB1" w:rsidRPr="00FE6084">
        <w:rPr>
          <w:rFonts w:ascii="Book Antiqua" w:hAnsi="Book Antiqua"/>
          <w:sz w:val="24"/>
          <w:szCs w:val="24"/>
          <w:lang w:val="en-US"/>
        </w:rPr>
        <w:t xml:space="preserve">Szeged </w:t>
      </w:r>
      <w:r w:rsidR="00BC442A" w:rsidRPr="00FE6084">
        <w:rPr>
          <w:rFonts w:ascii="Book Antiqua" w:hAnsi="Book Antiqua"/>
          <w:sz w:val="24"/>
          <w:szCs w:val="24"/>
          <w:shd w:val="clear" w:color="auto" w:fill="FFFFFF"/>
        </w:rPr>
        <w:t xml:space="preserve">6720, </w:t>
      </w:r>
      <w:r w:rsidR="00BC442A" w:rsidRPr="00FE6084">
        <w:rPr>
          <w:rFonts w:ascii="Book Antiqua" w:hAnsi="Book Antiqua"/>
          <w:sz w:val="24"/>
          <w:szCs w:val="24"/>
          <w:lang w:val="en-US"/>
        </w:rPr>
        <w:t>Hungary</w:t>
      </w:r>
    </w:p>
    <w:p w:rsidR="008E580E" w:rsidRPr="00FE6084" w:rsidRDefault="008E580E" w:rsidP="00FE6084">
      <w:pPr>
        <w:adjustRightInd w:val="0"/>
        <w:snapToGrid w:val="0"/>
        <w:spacing w:after="0" w:line="360" w:lineRule="auto"/>
        <w:jc w:val="both"/>
        <w:rPr>
          <w:rFonts w:ascii="Book Antiqua" w:hAnsi="Book Antiqua"/>
          <w:sz w:val="24"/>
          <w:szCs w:val="24"/>
          <w:lang w:val="en-US"/>
        </w:rPr>
      </w:pPr>
    </w:p>
    <w:p w:rsidR="00BC442A"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Ilona Dóczi</w:t>
      </w:r>
      <w:r w:rsidR="00BC442A" w:rsidRPr="00FE6084">
        <w:rPr>
          <w:rFonts w:ascii="Book Antiqua" w:hAnsi="Book Antiqua"/>
          <w:b/>
          <w:bCs/>
          <w:sz w:val="24"/>
          <w:szCs w:val="24"/>
          <w:lang w:val="en-US"/>
        </w:rPr>
        <w:t>,</w:t>
      </w:r>
      <w:r w:rsidR="00BC442A" w:rsidRPr="00FE6084">
        <w:rPr>
          <w:rFonts w:ascii="Book Antiqua" w:hAnsi="Book Antiqua"/>
          <w:sz w:val="24"/>
          <w:szCs w:val="24"/>
          <w:lang w:val="en-US"/>
        </w:rPr>
        <w:t xml:space="preserve"> Department of Clinical Microbiology, University of Szeged, </w:t>
      </w:r>
      <w:r w:rsidR="006E3EB1" w:rsidRPr="00FE6084">
        <w:rPr>
          <w:rFonts w:ascii="Book Antiqua" w:hAnsi="Book Antiqua"/>
          <w:sz w:val="24"/>
          <w:szCs w:val="24"/>
          <w:lang w:val="en-US"/>
        </w:rPr>
        <w:t>Szeged 6725,</w:t>
      </w:r>
      <w:r w:rsidR="00BC442A" w:rsidRPr="00FE6084">
        <w:rPr>
          <w:rFonts w:ascii="Book Antiqua" w:hAnsi="Book Antiqua"/>
          <w:sz w:val="24"/>
          <w:szCs w:val="24"/>
          <w:lang w:val="en-US"/>
        </w:rPr>
        <w:t xml:space="preserve"> Hungary</w:t>
      </w:r>
    </w:p>
    <w:p w:rsidR="008E580E" w:rsidRPr="00FE6084" w:rsidRDefault="008E580E" w:rsidP="00FE6084">
      <w:pPr>
        <w:adjustRightInd w:val="0"/>
        <w:snapToGrid w:val="0"/>
        <w:spacing w:after="0" w:line="360" w:lineRule="auto"/>
        <w:jc w:val="both"/>
        <w:rPr>
          <w:rFonts w:ascii="Book Antiqua" w:hAnsi="Book Antiqua"/>
          <w:sz w:val="24"/>
          <w:szCs w:val="24"/>
          <w:lang w:val="en-US"/>
        </w:rPr>
      </w:pPr>
    </w:p>
    <w:p w:rsidR="00BC442A"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Veronika Szekeres</w:t>
      </w:r>
      <w:r w:rsidR="00BC442A" w:rsidRPr="00FE6084">
        <w:rPr>
          <w:rFonts w:ascii="Book Antiqua" w:hAnsi="Book Antiqua"/>
          <w:b/>
          <w:bCs/>
          <w:sz w:val="24"/>
          <w:szCs w:val="24"/>
          <w:lang w:val="en-US"/>
        </w:rPr>
        <w:t>,</w:t>
      </w:r>
      <w:r w:rsidR="00BC442A" w:rsidRPr="00FE6084">
        <w:rPr>
          <w:rFonts w:ascii="Book Antiqua" w:hAnsi="Book Antiqua"/>
          <w:sz w:val="24"/>
          <w:szCs w:val="24"/>
          <w:lang w:val="en-US"/>
        </w:rPr>
        <w:t xml:space="preserve"> Hungarian National Blood Transfusion Service, </w:t>
      </w:r>
      <w:r w:rsidR="006E3EB1" w:rsidRPr="00FE6084">
        <w:rPr>
          <w:rFonts w:ascii="Book Antiqua" w:hAnsi="Book Antiqua"/>
          <w:sz w:val="24"/>
          <w:szCs w:val="24"/>
          <w:lang w:val="en-US"/>
        </w:rPr>
        <w:t xml:space="preserve">Szeged </w:t>
      </w:r>
      <w:r w:rsidR="00BC442A" w:rsidRPr="00FE6084">
        <w:rPr>
          <w:rFonts w:ascii="Book Antiqua" w:hAnsi="Book Antiqua"/>
          <w:sz w:val="24"/>
          <w:szCs w:val="24"/>
          <w:shd w:val="clear" w:color="auto" w:fill="FFFFFF"/>
        </w:rPr>
        <w:t>6722</w:t>
      </w:r>
      <w:r w:rsidR="006E3EB1" w:rsidRPr="00FE6084">
        <w:rPr>
          <w:rFonts w:ascii="Book Antiqua" w:hAnsi="Book Antiqua"/>
          <w:sz w:val="24"/>
          <w:szCs w:val="24"/>
          <w:shd w:val="clear" w:color="auto" w:fill="FFFFFF"/>
        </w:rPr>
        <w:t>,</w:t>
      </w:r>
      <w:r w:rsidR="00BC442A" w:rsidRPr="00FE6084">
        <w:rPr>
          <w:rFonts w:ascii="Book Antiqua" w:hAnsi="Book Antiqua"/>
          <w:sz w:val="24"/>
          <w:szCs w:val="24"/>
          <w:shd w:val="clear" w:color="auto" w:fill="FFFFFF"/>
        </w:rPr>
        <w:t xml:space="preserve"> </w:t>
      </w:r>
      <w:r w:rsidR="00BC442A" w:rsidRPr="00FE6084">
        <w:rPr>
          <w:rFonts w:ascii="Book Antiqua" w:hAnsi="Book Antiqua"/>
          <w:sz w:val="24"/>
          <w:szCs w:val="24"/>
          <w:lang w:val="en-US"/>
        </w:rPr>
        <w:t>Hungary</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BC442A" w:rsidRPr="00FE6084" w:rsidRDefault="007C5607"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b/>
          <w:sz w:val="24"/>
          <w:szCs w:val="24"/>
          <w:lang w:val="en-US"/>
        </w:rPr>
        <w:t>ORCID number:</w:t>
      </w:r>
      <w:r w:rsidR="008E580E" w:rsidRPr="00FE6084">
        <w:rPr>
          <w:rFonts w:ascii="Book Antiqua" w:hAnsi="Book Antiqua"/>
          <w:b/>
          <w:sz w:val="24"/>
          <w:szCs w:val="24"/>
          <w:lang w:val="en-US" w:eastAsia="zh-CN"/>
        </w:rPr>
        <w:t xml:space="preserve"> </w:t>
      </w:r>
      <w:r w:rsidR="006E3EB1" w:rsidRPr="00FE6084">
        <w:rPr>
          <w:rFonts w:ascii="Book Antiqua" w:hAnsi="Book Antiqua"/>
          <w:sz w:val="24"/>
          <w:szCs w:val="24"/>
        </w:rPr>
        <w:t>Lenke Bálint</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0000-0002-5814-3114</w:t>
      </w:r>
      <w:r w:rsidR="006E3EB1" w:rsidRPr="00FE6084">
        <w:rPr>
          <w:rFonts w:ascii="Book Antiqua" w:hAnsi="Book Antiqua"/>
          <w:sz w:val="24"/>
          <w:szCs w:val="24"/>
        </w:rPr>
        <w:t>); Andrea Tiszai</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0000-0001-5608-0730</w:t>
      </w:r>
      <w:r w:rsidR="006E3EB1" w:rsidRPr="00FE6084">
        <w:rPr>
          <w:rFonts w:ascii="Book Antiqua" w:hAnsi="Book Antiqua"/>
          <w:sz w:val="24"/>
          <w:szCs w:val="24"/>
        </w:rPr>
        <w:t>); Gábor Kozák</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0000-0002-3473-9351</w:t>
      </w:r>
      <w:r w:rsidR="006E3EB1" w:rsidRPr="00FE6084">
        <w:rPr>
          <w:rFonts w:ascii="Book Antiqua" w:hAnsi="Book Antiqua"/>
          <w:sz w:val="24"/>
          <w:szCs w:val="24"/>
        </w:rPr>
        <w:t>); Ilona Dóczi</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cs="Arial"/>
          <w:sz w:val="24"/>
          <w:szCs w:val="24"/>
          <w:shd w:val="clear" w:color="auto" w:fill="FFFFFF"/>
        </w:rPr>
        <w:t>0000-0003-4512-6486</w:t>
      </w:r>
      <w:r w:rsidR="006E3EB1" w:rsidRPr="00FE6084">
        <w:rPr>
          <w:rFonts w:ascii="Book Antiqua" w:hAnsi="Book Antiqua" w:cs="Arial"/>
          <w:sz w:val="24"/>
          <w:szCs w:val="24"/>
          <w:shd w:val="clear" w:color="auto" w:fill="FFFFFF"/>
        </w:rPr>
        <w:t xml:space="preserve">); </w:t>
      </w:r>
      <w:r w:rsidR="006E3EB1" w:rsidRPr="00FE6084">
        <w:rPr>
          <w:rFonts w:ascii="Book Antiqua" w:hAnsi="Book Antiqua"/>
          <w:sz w:val="24"/>
          <w:szCs w:val="24"/>
        </w:rPr>
        <w:t>Veronika Szekeres (</w:t>
      </w:r>
      <w:r w:rsidR="00BC442A" w:rsidRPr="00FE6084">
        <w:rPr>
          <w:rFonts w:ascii="Book Antiqua" w:hAnsi="Book Antiqua" w:cs="Arial"/>
          <w:sz w:val="24"/>
          <w:szCs w:val="24"/>
          <w:shd w:val="clear" w:color="auto" w:fill="FFFFFF"/>
        </w:rPr>
        <w:t>0000-0001-8455-6484</w:t>
      </w:r>
      <w:r w:rsidR="006E3EB1" w:rsidRPr="00FE6084">
        <w:rPr>
          <w:rFonts w:ascii="Book Antiqua" w:hAnsi="Book Antiqua" w:cs="Arial"/>
          <w:sz w:val="24"/>
          <w:szCs w:val="24"/>
          <w:shd w:val="clear" w:color="auto" w:fill="FFFFFF"/>
        </w:rPr>
        <w:t xml:space="preserve">); </w:t>
      </w:r>
      <w:r w:rsidR="00BC442A" w:rsidRPr="00FE6084">
        <w:rPr>
          <w:rFonts w:ascii="Book Antiqua" w:hAnsi="Book Antiqua"/>
          <w:sz w:val="24"/>
          <w:szCs w:val="24"/>
        </w:rPr>
        <w:t>Orsol</w:t>
      </w:r>
      <w:r w:rsidR="006E3EB1" w:rsidRPr="00FE6084">
        <w:rPr>
          <w:rFonts w:ascii="Book Antiqua" w:hAnsi="Book Antiqua"/>
          <w:sz w:val="24"/>
          <w:szCs w:val="24"/>
        </w:rPr>
        <w:t>ya Inczefi</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0000-0001-7974-1263</w:t>
      </w:r>
      <w:r w:rsidR="006E3EB1" w:rsidRPr="00FE6084">
        <w:rPr>
          <w:rFonts w:ascii="Book Antiqua" w:hAnsi="Book Antiqua"/>
          <w:sz w:val="24"/>
          <w:szCs w:val="24"/>
        </w:rPr>
        <w:t>); Georgina Ollé</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0000-0003-1726-8436</w:t>
      </w:r>
      <w:r w:rsidR="006E3EB1" w:rsidRPr="00FE6084">
        <w:rPr>
          <w:rFonts w:ascii="Book Antiqua" w:hAnsi="Book Antiqua"/>
          <w:sz w:val="24"/>
          <w:szCs w:val="24"/>
        </w:rPr>
        <w:t>); Krisztina Helle</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0000-0002-5477-2618</w:t>
      </w:r>
      <w:r w:rsidR="006E3EB1" w:rsidRPr="00FE6084">
        <w:rPr>
          <w:rFonts w:ascii="Book Antiqua" w:hAnsi="Book Antiqua"/>
          <w:sz w:val="24"/>
          <w:szCs w:val="24"/>
        </w:rPr>
        <w:t>); Richárd Róka</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0000-0003-2373-2194</w:t>
      </w:r>
      <w:r w:rsidR="006E3EB1" w:rsidRPr="00FE6084">
        <w:rPr>
          <w:rFonts w:ascii="Book Antiqua" w:hAnsi="Book Antiqua"/>
          <w:sz w:val="24"/>
          <w:szCs w:val="24"/>
        </w:rPr>
        <w:t>); András Rosztóczy</w:t>
      </w:r>
      <w:r w:rsidR="00BC442A" w:rsidRPr="00FE6084">
        <w:rPr>
          <w:rFonts w:ascii="Book Antiqua" w:hAnsi="Book Antiqua"/>
          <w:sz w:val="24"/>
          <w:szCs w:val="24"/>
        </w:rPr>
        <w:t xml:space="preserve"> </w:t>
      </w:r>
      <w:r w:rsidR="006E3EB1" w:rsidRPr="00FE6084">
        <w:rPr>
          <w:rFonts w:ascii="Book Antiqua" w:hAnsi="Book Antiqua"/>
          <w:sz w:val="24"/>
          <w:szCs w:val="24"/>
        </w:rPr>
        <w:t>(</w:t>
      </w:r>
      <w:r w:rsidR="00BC442A" w:rsidRPr="00FE6084">
        <w:rPr>
          <w:rFonts w:ascii="Book Antiqua" w:hAnsi="Book Antiqua"/>
          <w:sz w:val="24"/>
          <w:szCs w:val="24"/>
        </w:rPr>
        <w:t>0000-0002-8597-8934</w:t>
      </w:r>
      <w:r w:rsidR="006E3EB1" w:rsidRPr="00FE6084">
        <w:rPr>
          <w:rFonts w:ascii="Book Antiqua" w:hAnsi="Book Antiqua"/>
          <w:sz w:val="24"/>
          <w:szCs w:val="24"/>
        </w:rPr>
        <w:t>)</w:t>
      </w:r>
      <w:r w:rsidR="008E580E" w:rsidRPr="00FE6084">
        <w:rPr>
          <w:rFonts w:ascii="Book Antiqua" w:hAnsi="Book Antiqua"/>
          <w:sz w:val="24"/>
          <w:szCs w:val="24"/>
          <w:lang w:eastAsia="zh-CN"/>
        </w:rPr>
        <w:t>.</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8353D8" w:rsidRPr="00FE6084" w:rsidRDefault="007C5607"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Author contributions:</w:t>
      </w:r>
      <w:r w:rsidR="008E580E" w:rsidRPr="00FE6084">
        <w:rPr>
          <w:rFonts w:ascii="Book Antiqua" w:hAnsi="Book Antiqua"/>
          <w:b/>
          <w:sz w:val="24"/>
          <w:szCs w:val="24"/>
          <w:lang w:val="en-US" w:eastAsia="zh-CN"/>
        </w:rPr>
        <w:t xml:space="preserve"> </w:t>
      </w:r>
      <w:r w:rsidR="007B110E" w:rsidRPr="00FE6084">
        <w:rPr>
          <w:rFonts w:ascii="Book Antiqua" w:hAnsi="Book Antiqua"/>
          <w:sz w:val="24"/>
          <w:szCs w:val="24"/>
          <w:lang w:val="en-US"/>
        </w:rPr>
        <w:t>Bálint L</w:t>
      </w:r>
      <w:r w:rsidR="008E580E" w:rsidRPr="00FE6084">
        <w:rPr>
          <w:rFonts w:ascii="Book Antiqua" w:hAnsi="Book Antiqua"/>
          <w:sz w:val="24"/>
          <w:szCs w:val="24"/>
          <w:lang w:val="en-US"/>
        </w:rPr>
        <w:t>, Rosztóczy A</w:t>
      </w:r>
      <w:r w:rsidR="007B110E" w:rsidRPr="00FE6084">
        <w:rPr>
          <w:rFonts w:ascii="Book Antiqua" w:hAnsi="Book Antiqua"/>
          <w:sz w:val="24"/>
          <w:szCs w:val="24"/>
          <w:lang w:val="en-US"/>
        </w:rPr>
        <w:t xml:space="preserve"> designed research, performed research, </w:t>
      </w:r>
      <w:r w:rsidR="008E580E" w:rsidRPr="00FE6084">
        <w:rPr>
          <w:rFonts w:ascii="Book Antiqua" w:hAnsi="Book Antiqua"/>
          <w:sz w:val="24"/>
          <w:szCs w:val="24"/>
          <w:lang w:val="en-US"/>
        </w:rPr>
        <w:t xml:space="preserve">and </w:t>
      </w:r>
      <w:r w:rsidR="007B110E" w:rsidRPr="00FE6084">
        <w:rPr>
          <w:rFonts w:ascii="Book Antiqua" w:hAnsi="Book Antiqua"/>
          <w:sz w:val="24"/>
          <w:szCs w:val="24"/>
          <w:lang w:val="en-US"/>
        </w:rPr>
        <w:t>wrote the paper</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Tiszai A performed research</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Kozák G designed research</w:t>
      </w:r>
      <w:r w:rsidR="008E580E" w:rsidRPr="00FE6084">
        <w:rPr>
          <w:rFonts w:ascii="Book Antiqua" w:hAnsi="Book Antiqua"/>
          <w:sz w:val="24"/>
          <w:szCs w:val="24"/>
          <w:lang w:val="en-US"/>
        </w:rPr>
        <w:t xml:space="preserve"> and</w:t>
      </w:r>
      <w:r w:rsidR="007B110E" w:rsidRPr="00FE6084">
        <w:rPr>
          <w:rFonts w:ascii="Book Antiqua" w:hAnsi="Book Antiqua"/>
          <w:sz w:val="24"/>
          <w:szCs w:val="24"/>
          <w:lang w:val="en-US"/>
        </w:rPr>
        <w:t xml:space="preserve"> analyzed data</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Dóczi I contributed analytic tools</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Szekeres V</w:t>
      </w:r>
      <w:r w:rsidR="00910EBB" w:rsidRPr="00FE6084">
        <w:rPr>
          <w:rFonts w:ascii="Book Antiqua" w:hAnsi="Book Antiqua"/>
          <w:sz w:val="24"/>
          <w:szCs w:val="24"/>
          <w:lang w:val="en-US"/>
        </w:rPr>
        <w:t xml:space="preserve"> performed research</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Inczefi O performed research</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Ollé G performed research</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Helle K performed research</w:t>
      </w:r>
      <w:r w:rsidR="006E3EB1" w:rsidRPr="00FE6084">
        <w:rPr>
          <w:rFonts w:ascii="Book Antiqua" w:hAnsi="Book Antiqua"/>
          <w:sz w:val="24"/>
          <w:szCs w:val="24"/>
          <w:lang w:val="en-US"/>
        </w:rPr>
        <w:t xml:space="preserve">; </w:t>
      </w:r>
      <w:r w:rsidR="007B110E" w:rsidRPr="00FE6084">
        <w:rPr>
          <w:rFonts w:ascii="Book Antiqua" w:hAnsi="Book Antiqua"/>
          <w:sz w:val="24"/>
          <w:szCs w:val="24"/>
          <w:lang w:val="en-US"/>
        </w:rPr>
        <w:t>Róka R performed research</w:t>
      </w:r>
      <w:r w:rsidR="008E580E" w:rsidRPr="00FE6084">
        <w:rPr>
          <w:rFonts w:ascii="Book Antiqua" w:hAnsi="Book Antiqua"/>
          <w:sz w:val="24"/>
          <w:szCs w:val="24"/>
          <w:lang w:val="en-US"/>
        </w:rPr>
        <w:t>.</w:t>
      </w:r>
    </w:p>
    <w:p w:rsidR="008E580E" w:rsidRPr="00FE6084" w:rsidRDefault="008E580E" w:rsidP="00FE6084">
      <w:pPr>
        <w:adjustRightInd w:val="0"/>
        <w:snapToGrid w:val="0"/>
        <w:spacing w:after="0" w:line="360" w:lineRule="auto"/>
        <w:jc w:val="both"/>
        <w:rPr>
          <w:rFonts w:ascii="Book Antiqua" w:hAnsi="Book Antiqua"/>
          <w:b/>
          <w:sz w:val="24"/>
          <w:szCs w:val="24"/>
          <w:lang w:val="en-US"/>
        </w:rPr>
      </w:pPr>
    </w:p>
    <w:p w:rsidR="00BA264E" w:rsidRPr="00FE6084" w:rsidRDefault="00BA264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Institutional review board statement:</w:t>
      </w:r>
      <w:r w:rsidR="005C3B4C" w:rsidRPr="00FE6084">
        <w:rPr>
          <w:rFonts w:ascii="Book Antiqua" w:hAnsi="Book Antiqua"/>
          <w:sz w:val="24"/>
          <w:szCs w:val="24"/>
          <w:lang w:val="en-US"/>
        </w:rPr>
        <w:t xml:space="preserve"> The study was approved by the institutional review board of University of Szeged.</w:t>
      </w:r>
    </w:p>
    <w:p w:rsidR="003127A1" w:rsidRPr="00FE6084" w:rsidRDefault="003127A1" w:rsidP="00FE6084">
      <w:pPr>
        <w:adjustRightInd w:val="0"/>
        <w:snapToGrid w:val="0"/>
        <w:spacing w:after="0" w:line="360" w:lineRule="auto"/>
        <w:jc w:val="both"/>
        <w:rPr>
          <w:rFonts w:ascii="Book Antiqua" w:hAnsi="Book Antiqua"/>
          <w:sz w:val="24"/>
          <w:szCs w:val="24"/>
          <w:lang w:val="en-US"/>
        </w:rPr>
      </w:pPr>
    </w:p>
    <w:p w:rsidR="00BA264E" w:rsidRPr="00FE6084" w:rsidRDefault="00BA264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Informed consent statement:</w:t>
      </w:r>
      <w:r w:rsidR="005C3B4C" w:rsidRPr="00FE6084">
        <w:rPr>
          <w:rFonts w:ascii="Book Antiqua" w:hAnsi="Book Antiqua"/>
          <w:sz w:val="24"/>
          <w:szCs w:val="24"/>
          <w:lang w:val="en-US"/>
        </w:rPr>
        <w:t xml:space="preserve"> The institutional review board of University of Szeged waived the requirement to obtain informed consents from patients.</w:t>
      </w:r>
    </w:p>
    <w:p w:rsidR="00A313F7" w:rsidRPr="00FE6084" w:rsidRDefault="00A313F7" w:rsidP="00FE6084">
      <w:pPr>
        <w:adjustRightInd w:val="0"/>
        <w:snapToGrid w:val="0"/>
        <w:spacing w:after="0" w:line="360" w:lineRule="auto"/>
        <w:jc w:val="both"/>
        <w:rPr>
          <w:rFonts w:ascii="Book Antiqua" w:hAnsi="Book Antiqua"/>
          <w:sz w:val="24"/>
          <w:szCs w:val="24"/>
          <w:lang w:val="en-US"/>
        </w:rPr>
      </w:pPr>
    </w:p>
    <w:p w:rsidR="00A313F7" w:rsidRPr="00FE6084" w:rsidRDefault="00A313F7"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 xml:space="preserve">Conflict-of-interest statement: </w:t>
      </w:r>
      <w:r w:rsidRPr="00FE6084">
        <w:rPr>
          <w:rFonts w:ascii="Book Antiqua" w:hAnsi="Book Antiqua"/>
          <w:sz w:val="24"/>
          <w:szCs w:val="24"/>
          <w:lang w:val="en-US"/>
        </w:rPr>
        <w:t>The authors have no conflict of interest to disclose.</w:t>
      </w:r>
    </w:p>
    <w:p w:rsidR="00590838" w:rsidRPr="00FE6084" w:rsidRDefault="00590838" w:rsidP="00FE6084">
      <w:pPr>
        <w:adjustRightInd w:val="0"/>
        <w:snapToGrid w:val="0"/>
        <w:spacing w:after="0" w:line="360" w:lineRule="auto"/>
        <w:jc w:val="both"/>
        <w:rPr>
          <w:rFonts w:ascii="Book Antiqua" w:hAnsi="Book Antiqua"/>
          <w:sz w:val="24"/>
          <w:szCs w:val="24"/>
          <w:lang w:val="en-US"/>
        </w:rPr>
      </w:pPr>
    </w:p>
    <w:p w:rsidR="00590838" w:rsidRPr="00FE6084" w:rsidRDefault="00590838" w:rsidP="00FE6084">
      <w:pPr>
        <w:widowControl w:val="0"/>
        <w:adjustRightInd w:val="0"/>
        <w:snapToGrid w:val="0"/>
        <w:spacing w:after="0" w:line="360" w:lineRule="auto"/>
        <w:jc w:val="both"/>
        <w:rPr>
          <w:rFonts w:ascii="Book Antiqua" w:hAnsi="Book Antiqua"/>
          <w:bCs/>
          <w:kern w:val="2"/>
          <w:sz w:val="24"/>
          <w:szCs w:val="24"/>
        </w:rPr>
      </w:pPr>
      <w:r w:rsidRPr="00FE6084">
        <w:rPr>
          <w:rFonts w:ascii="Book Antiqua" w:hAnsi="Book Antiqua"/>
          <w:b/>
          <w:kern w:val="2"/>
          <w:sz w:val="24"/>
          <w:szCs w:val="24"/>
        </w:rPr>
        <w:t xml:space="preserve">Data sharing statement: </w:t>
      </w:r>
      <w:r w:rsidRPr="00FE6084">
        <w:rPr>
          <w:rFonts w:ascii="Book Antiqua" w:hAnsi="Book Antiqua"/>
          <w:bCs/>
          <w:kern w:val="2"/>
          <w:sz w:val="24"/>
          <w:szCs w:val="24"/>
        </w:rPr>
        <w:t>No additional data are available.</w:t>
      </w:r>
    </w:p>
    <w:p w:rsidR="00590838" w:rsidRPr="00FE6084" w:rsidRDefault="00590838" w:rsidP="00FE6084">
      <w:pPr>
        <w:adjustRightInd w:val="0"/>
        <w:snapToGrid w:val="0"/>
        <w:spacing w:after="0" w:line="360" w:lineRule="auto"/>
        <w:jc w:val="both"/>
        <w:rPr>
          <w:rFonts w:ascii="Book Antiqua" w:hAnsi="Book Antiqua"/>
          <w:sz w:val="24"/>
          <w:szCs w:val="24"/>
        </w:rPr>
      </w:pPr>
    </w:p>
    <w:p w:rsidR="00A313F7" w:rsidRPr="00FE6084" w:rsidRDefault="00A313F7"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 xml:space="preserve">STROBE statement: </w:t>
      </w:r>
      <w:r w:rsidRPr="00FE6084">
        <w:rPr>
          <w:rFonts w:ascii="Book Antiqua" w:hAnsi="Book Antiqua"/>
          <w:sz w:val="24"/>
          <w:szCs w:val="24"/>
          <w:lang w:val="en-US"/>
        </w:rPr>
        <w:t>This study adopted the guidelines of the STROBE Statement.</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590838" w:rsidRPr="00FE6084" w:rsidRDefault="00590838" w:rsidP="00FE6084">
      <w:pPr>
        <w:adjustRightInd w:val="0"/>
        <w:snapToGrid w:val="0"/>
        <w:spacing w:after="0" w:line="360" w:lineRule="auto"/>
        <w:jc w:val="both"/>
        <w:rPr>
          <w:rFonts w:ascii="Book Antiqua" w:eastAsia="宋体" w:hAnsi="Book Antiqua"/>
          <w:sz w:val="24"/>
          <w:szCs w:val="24"/>
          <w:lang w:val="en-US" w:eastAsia="zh-CN"/>
        </w:rPr>
      </w:pPr>
      <w:bookmarkStart w:id="3" w:name="OLE_LINK29"/>
      <w:bookmarkStart w:id="4" w:name="OLE_LINK36"/>
      <w:bookmarkStart w:id="5" w:name="OLE_LINK17"/>
      <w:bookmarkStart w:id="6" w:name="OLE_LINK25"/>
      <w:bookmarkStart w:id="7" w:name="OLE_LINK26"/>
      <w:bookmarkStart w:id="8" w:name="OLE_LINK375"/>
      <w:bookmarkStart w:id="9" w:name="OLE_LINK32"/>
      <w:bookmarkStart w:id="10" w:name="OLE_LINK381"/>
      <w:bookmarkStart w:id="11" w:name="OLE_LINK413"/>
      <w:bookmarkStart w:id="12" w:name="OLE_LINK61"/>
      <w:bookmarkStart w:id="13" w:name="OLE_LINK615"/>
      <w:bookmarkStart w:id="14" w:name="OLE_LINK69"/>
      <w:bookmarkStart w:id="15" w:name="OLE_LINK140"/>
      <w:r w:rsidRPr="00FE6084">
        <w:rPr>
          <w:rFonts w:ascii="Book Antiqua" w:eastAsia="宋体" w:hAnsi="Book Antiqua"/>
          <w:b/>
          <w:color w:val="000000"/>
          <w:sz w:val="24"/>
          <w:szCs w:val="24"/>
          <w:lang w:val="en-US" w:eastAsia="zh-CN"/>
        </w:rPr>
        <w:t xml:space="preserve">Open-Access: </w:t>
      </w:r>
      <w:r w:rsidRPr="00FE6084">
        <w:rPr>
          <w:rFonts w:ascii="Book Antiqua" w:eastAsia="宋体" w:hAnsi="Book Antiqua"/>
          <w:color w:val="000000"/>
          <w:sz w:val="24"/>
          <w:szCs w:val="24"/>
          <w:lang w:val="en-US" w:eastAsia="zh-CN"/>
        </w:rPr>
        <w:t xml:space="preserve">This is an </w:t>
      </w:r>
      <w:r w:rsidRPr="00FE6084">
        <w:rPr>
          <w:rFonts w:ascii="Book Antiqua" w:eastAsia="宋体" w:hAnsi="Book Antiqua" w:cs="宋体"/>
          <w:sz w:val="24"/>
          <w:szCs w:val="24"/>
          <w:lang w:val="en-US" w:eastAsia="zh-CN"/>
        </w:rPr>
        <w:t xml:space="preserve">open-access article that was </w:t>
      </w:r>
      <w:r w:rsidRPr="00FE6084">
        <w:rPr>
          <w:rFonts w:ascii="Book Antiqua" w:eastAsia="宋体" w:hAnsi="Book Antiqua"/>
          <w:sz w:val="24"/>
          <w:szCs w:val="24"/>
          <w:lang w:val="en-US" w:eastAsia="zh-CN"/>
        </w:rPr>
        <w:t xml:space="preserve">selected by an in-house editor and fully peer-reviewed by external reviewers. It is </w:t>
      </w:r>
      <w:r w:rsidRPr="00FE6084">
        <w:rPr>
          <w:rFonts w:ascii="Book Antiqua" w:eastAsia="宋体" w:hAnsi="Book Antiqua" w:cs="宋体"/>
          <w:sz w:val="24"/>
          <w:szCs w:val="24"/>
          <w:lang w:val="en-US" w:eastAsia="zh-CN"/>
        </w:rPr>
        <w:t xml:space="preserve">distributed in accordance with </w:t>
      </w:r>
      <w:r w:rsidRPr="00FE6084">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E6084">
          <w:rPr>
            <w:rFonts w:ascii="Book Antiqua" w:eastAsia="宋体" w:hAnsi="Book Antiqua"/>
            <w:color w:val="0000FF"/>
            <w:sz w:val="24"/>
            <w:szCs w:val="24"/>
            <w:u w:val="single"/>
            <w:lang w:val="en-US" w:eastAsia="zh-CN"/>
          </w:rPr>
          <w:t>http://creativecommons.org/licenses/by-nc/4.0/</w:t>
        </w:r>
      </w:hyperlink>
    </w:p>
    <w:p w:rsidR="00590838" w:rsidRPr="00FE6084" w:rsidRDefault="00590838" w:rsidP="00FE6084">
      <w:pPr>
        <w:adjustRightInd w:val="0"/>
        <w:snapToGrid w:val="0"/>
        <w:spacing w:after="0" w:line="360" w:lineRule="auto"/>
        <w:jc w:val="both"/>
        <w:rPr>
          <w:rFonts w:ascii="Book Antiqua" w:eastAsia="宋体" w:hAnsi="Book Antiqua"/>
          <w:sz w:val="24"/>
          <w:szCs w:val="24"/>
          <w:lang w:val="en-US" w:eastAsia="zh-CN"/>
        </w:rPr>
      </w:pPr>
    </w:p>
    <w:p w:rsidR="00590838" w:rsidRPr="00FE6084" w:rsidRDefault="00590838" w:rsidP="00FE6084">
      <w:pPr>
        <w:adjustRightInd w:val="0"/>
        <w:snapToGrid w:val="0"/>
        <w:spacing w:after="0" w:line="360" w:lineRule="auto"/>
        <w:jc w:val="both"/>
        <w:rPr>
          <w:rFonts w:ascii="Book Antiqua" w:eastAsia="宋体" w:hAnsi="Book Antiqua"/>
          <w:b/>
          <w:bCs/>
          <w:sz w:val="24"/>
          <w:szCs w:val="24"/>
          <w:highlight w:val="white"/>
          <w:lang w:val="en-US" w:eastAsia="pl-PL"/>
        </w:rPr>
      </w:pPr>
      <w:bookmarkStart w:id="16" w:name="OLE_LINK11"/>
      <w:r w:rsidRPr="00FE6084">
        <w:rPr>
          <w:rFonts w:ascii="Book Antiqua" w:eastAsia="宋体" w:hAnsi="Book Antiqua"/>
          <w:b/>
          <w:bCs/>
          <w:sz w:val="24"/>
          <w:szCs w:val="24"/>
          <w:highlight w:val="white"/>
          <w:lang w:val="en-US" w:eastAsia="pl-PL"/>
        </w:rPr>
        <w:t>Manuscript source:</w:t>
      </w:r>
      <w:r w:rsidRPr="00FE6084">
        <w:rPr>
          <w:rFonts w:ascii="Book Antiqua" w:eastAsia="宋体" w:hAnsi="Book Antiqua"/>
          <w:b/>
          <w:bCs/>
          <w:sz w:val="24"/>
          <w:szCs w:val="24"/>
          <w:highlight w:val="white"/>
          <w:lang w:val="en-US" w:eastAsia="zh-CN"/>
        </w:rPr>
        <w:t xml:space="preserve"> </w:t>
      </w:r>
      <w:r w:rsidRPr="00FE6084">
        <w:rPr>
          <w:rFonts w:ascii="Book Antiqua" w:eastAsia="宋体" w:hAnsi="Book Antiqua"/>
          <w:bCs/>
          <w:sz w:val="24"/>
          <w:szCs w:val="24"/>
          <w:highlight w:val="white"/>
          <w:lang w:val="en-US" w:eastAsia="pl-PL"/>
        </w:rPr>
        <w:t>Unsolicited manuscript</w:t>
      </w:r>
      <w:bookmarkEnd w:id="6"/>
      <w:bookmarkEnd w:id="7"/>
      <w:bookmarkEnd w:id="8"/>
      <w:bookmarkEnd w:id="9"/>
      <w:bookmarkEnd w:id="10"/>
      <w:bookmarkEnd w:id="11"/>
      <w:bookmarkEnd w:id="12"/>
      <w:bookmarkEnd w:id="13"/>
      <w:bookmarkEnd w:id="14"/>
      <w:bookmarkEnd w:id="15"/>
      <w:bookmarkEnd w:id="16"/>
      <w:r w:rsidRPr="00FE6084">
        <w:rPr>
          <w:rFonts w:ascii="Book Antiqua" w:eastAsia="宋体" w:hAnsi="Book Antiqua"/>
          <w:bCs/>
          <w:sz w:val="24"/>
          <w:szCs w:val="24"/>
          <w:highlight w:val="white"/>
          <w:lang w:val="en-US" w:eastAsia="pl-PL"/>
        </w:rPr>
        <w:t xml:space="preserve"> </w:t>
      </w:r>
      <w:bookmarkEnd w:id="3"/>
      <w:bookmarkEnd w:id="4"/>
      <w:bookmarkEnd w:id="5"/>
    </w:p>
    <w:p w:rsidR="00590838" w:rsidRPr="00FE6084" w:rsidRDefault="00590838" w:rsidP="00FE6084">
      <w:pPr>
        <w:adjustRightInd w:val="0"/>
        <w:snapToGrid w:val="0"/>
        <w:spacing w:after="0" w:line="360" w:lineRule="auto"/>
        <w:jc w:val="both"/>
        <w:rPr>
          <w:rFonts w:ascii="Book Antiqua" w:hAnsi="Book Antiqua"/>
          <w:b/>
          <w:sz w:val="24"/>
          <w:szCs w:val="24"/>
          <w:lang w:val="en-US"/>
        </w:rPr>
      </w:pPr>
    </w:p>
    <w:p w:rsidR="00A76BBE"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lastRenderedPageBreak/>
        <w:t>Corresponding author:</w:t>
      </w:r>
      <w:r w:rsidRPr="00FE6084">
        <w:rPr>
          <w:rFonts w:ascii="Book Antiqua" w:hAnsi="Book Antiqua"/>
          <w:sz w:val="24"/>
          <w:szCs w:val="24"/>
          <w:lang w:val="en-US"/>
        </w:rPr>
        <w:t xml:space="preserve"> </w:t>
      </w:r>
      <w:r w:rsidRPr="00FE6084">
        <w:rPr>
          <w:rFonts w:ascii="Book Antiqua" w:hAnsi="Book Antiqua"/>
          <w:b/>
          <w:bCs/>
          <w:sz w:val="24"/>
          <w:szCs w:val="24"/>
          <w:lang w:val="en-US"/>
        </w:rPr>
        <w:t>András Rosztóczy</w:t>
      </w:r>
      <w:r w:rsidR="00590838" w:rsidRPr="00FE6084">
        <w:rPr>
          <w:rFonts w:ascii="Book Antiqua" w:hAnsi="Book Antiqua"/>
          <w:b/>
          <w:bCs/>
          <w:sz w:val="24"/>
          <w:szCs w:val="24"/>
          <w:lang w:val="en-US"/>
        </w:rPr>
        <w:t>,</w:t>
      </w:r>
      <w:r w:rsidRPr="00FE6084">
        <w:rPr>
          <w:rFonts w:ascii="Book Antiqua" w:hAnsi="Book Antiqua"/>
          <w:sz w:val="24"/>
          <w:szCs w:val="24"/>
          <w:lang w:val="en-US"/>
        </w:rPr>
        <w:t xml:space="preserve"> </w:t>
      </w:r>
      <w:r w:rsidR="00590838" w:rsidRPr="00FE6084">
        <w:rPr>
          <w:rFonts w:ascii="Book Antiqua" w:hAnsi="Book Antiqua"/>
          <w:b/>
          <w:sz w:val="24"/>
          <w:szCs w:val="24"/>
          <w:lang w:val="en-US"/>
        </w:rPr>
        <w:t>MD, PhD, Associate Professor,</w:t>
      </w:r>
      <w:r w:rsidR="00590838" w:rsidRPr="00FE6084">
        <w:rPr>
          <w:rFonts w:ascii="Book Antiqua" w:hAnsi="Book Antiqua"/>
          <w:sz w:val="24"/>
          <w:szCs w:val="24"/>
          <w:lang w:val="en-US" w:eastAsia="zh-CN"/>
        </w:rPr>
        <w:t xml:space="preserve"> </w:t>
      </w:r>
      <w:r w:rsidRPr="00FE6084">
        <w:rPr>
          <w:rFonts w:ascii="Book Antiqua" w:hAnsi="Book Antiqua"/>
          <w:sz w:val="24"/>
          <w:szCs w:val="24"/>
          <w:lang w:val="en-US"/>
        </w:rPr>
        <w:t>Division of Gastroenterology, First Department of</w:t>
      </w:r>
      <w:r w:rsidR="007B110E" w:rsidRPr="00FE6084">
        <w:rPr>
          <w:rFonts w:ascii="Book Antiqua" w:hAnsi="Book Antiqua"/>
          <w:sz w:val="24"/>
          <w:szCs w:val="24"/>
          <w:lang w:val="en-US"/>
        </w:rPr>
        <w:t xml:space="preserve"> Medicine, University of Szeged</w:t>
      </w:r>
      <w:r w:rsidR="007F1D8A" w:rsidRPr="00FE6084">
        <w:rPr>
          <w:rFonts w:ascii="Book Antiqua" w:hAnsi="Book Antiqua"/>
          <w:sz w:val="24"/>
          <w:szCs w:val="24"/>
          <w:lang w:val="en-US"/>
        </w:rPr>
        <w:t>,</w:t>
      </w:r>
      <w:r w:rsidR="007B110E" w:rsidRPr="00FE6084">
        <w:rPr>
          <w:rFonts w:ascii="Book Antiqua" w:hAnsi="Book Antiqua"/>
          <w:sz w:val="24"/>
          <w:szCs w:val="24"/>
          <w:lang w:val="en-US"/>
        </w:rPr>
        <w:t xml:space="preserve"> </w:t>
      </w:r>
      <w:r w:rsidRPr="00FE6084">
        <w:rPr>
          <w:rFonts w:ascii="Book Antiqua" w:hAnsi="Book Antiqua"/>
          <w:sz w:val="24"/>
          <w:szCs w:val="24"/>
          <w:lang w:val="en-US"/>
        </w:rPr>
        <w:t>Korányi fasor 8-10</w:t>
      </w:r>
      <w:r w:rsidR="007F1D8A" w:rsidRPr="00FE6084">
        <w:rPr>
          <w:rFonts w:ascii="Book Antiqua" w:hAnsi="Book Antiqua"/>
          <w:sz w:val="24"/>
          <w:szCs w:val="24"/>
          <w:lang w:val="en-US"/>
        </w:rPr>
        <w:t>, Szeged 6720,</w:t>
      </w:r>
      <w:r w:rsidR="007B110E" w:rsidRPr="00FE6084">
        <w:rPr>
          <w:rFonts w:ascii="Book Antiqua" w:hAnsi="Book Antiqua"/>
          <w:sz w:val="24"/>
          <w:szCs w:val="24"/>
          <w:lang w:val="en-US"/>
        </w:rPr>
        <w:t xml:space="preserve"> Hungary</w:t>
      </w:r>
      <w:r w:rsidR="00590838" w:rsidRPr="00FE6084">
        <w:rPr>
          <w:rFonts w:ascii="Book Antiqua" w:hAnsi="Book Antiqua"/>
          <w:sz w:val="24"/>
          <w:szCs w:val="24"/>
          <w:lang w:val="en-US"/>
        </w:rPr>
        <w:t>.</w:t>
      </w:r>
      <w:r w:rsidR="007F1D8A" w:rsidRPr="00FE6084">
        <w:rPr>
          <w:rFonts w:ascii="Book Antiqua" w:hAnsi="Book Antiqua"/>
          <w:sz w:val="24"/>
          <w:szCs w:val="24"/>
          <w:lang w:val="en-US"/>
        </w:rPr>
        <w:t xml:space="preserve"> </w:t>
      </w:r>
      <w:hyperlink r:id="rId9" w:history="1">
        <w:r w:rsidR="008353D8" w:rsidRPr="00FE6084">
          <w:rPr>
            <w:rStyle w:val="a4"/>
            <w:rFonts w:ascii="Book Antiqua" w:hAnsi="Book Antiqua"/>
            <w:color w:val="auto"/>
            <w:sz w:val="24"/>
            <w:szCs w:val="24"/>
            <w:lang w:val="en-US"/>
          </w:rPr>
          <w:t>rosztoczy.andras@med.u-szeged.hu</w:t>
        </w:r>
      </w:hyperlink>
    </w:p>
    <w:p w:rsidR="008353D8" w:rsidRPr="00FE6084" w:rsidRDefault="008353D8"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Telephone:</w:t>
      </w:r>
      <w:r w:rsidRPr="00FE6084">
        <w:rPr>
          <w:rFonts w:ascii="Book Antiqua" w:hAnsi="Book Antiqua"/>
          <w:sz w:val="24"/>
          <w:szCs w:val="24"/>
          <w:lang w:val="en-US"/>
        </w:rPr>
        <w:t xml:space="preserve"> +36-62-545186</w:t>
      </w:r>
    </w:p>
    <w:p w:rsidR="008353D8" w:rsidRPr="00FE6084" w:rsidRDefault="008353D8"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bCs/>
          <w:sz w:val="24"/>
          <w:szCs w:val="24"/>
          <w:lang w:val="en-US"/>
        </w:rPr>
        <w:t xml:space="preserve">Fax: </w:t>
      </w:r>
      <w:r w:rsidRPr="00FE6084">
        <w:rPr>
          <w:rFonts w:ascii="Book Antiqua" w:hAnsi="Book Antiqua"/>
          <w:sz w:val="24"/>
          <w:szCs w:val="24"/>
          <w:lang w:val="en-US"/>
        </w:rPr>
        <w:t>+36-62-545185</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590838" w:rsidRPr="00FE6084" w:rsidRDefault="00590838" w:rsidP="00FE6084">
      <w:pPr>
        <w:adjustRightInd w:val="0"/>
        <w:snapToGrid w:val="0"/>
        <w:spacing w:after="0" w:line="360" w:lineRule="auto"/>
        <w:jc w:val="both"/>
        <w:rPr>
          <w:rFonts w:ascii="Book Antiqua" w:eastAsia="宋体" w:hAnsi="Book Antiqua"/>
          <w:b/>
          <w:sz w:val="24"/>
          <w:szCs w:val="24"/>
          <w:lang w:val="en-US" w:eastAsia="zh-CN"/>
        </w:rPr>
      </w:pPr>
      <w:bookmarkStart w:id="17" w:name="OLE_LINK14"/>
      <w:bookmarkStart w:id="18" w:name="OLE_LINK16"/>
      <w:bookmarkStart w:id="19" w:name="OLE_LINK51"/>
      <w:bookmarkStart w:id="20" w:name="OLE_LINK30"/>
      <w:bookmarkStart w:id="21" w:name="OLE_LINK27"/>
      <w:bookmarkStart w:id="22" w:name="OLE_LINK376"/>
      <w:bookmarkStart w:id="23" w:name="OLE_LINK382"/>
      <w:bookmarkStart w:id="24" w:name="OLE_LINK35"/>
      <w:bookmarkStart w:id="25" w:name="OLE_LINK64"/>
      <w:bookmarkStart w:id="26" w:name="OLE_LINK616"/>
      <w:bookmarkStart w:id="27" w:name="OLE_LINK141"/>
      <w:r w:rsidRPr="00FE6084">
        <w:rPr>
          <w:rFonts w:ascii="Book Antiqua" w:eastAsia="宋体" w:hAnsi="Book Antiqua"/>
          <w:b/>
          <w:sz w:val="24"/>
          <w:szCs w:val="24"/>
          <w:lang w:val="en-US" w:eastAsia="zh-CN"/>
        </w:rPr>
        <w:t xml:space="preserve">Received: </w:t>
      </w:r>
      <w:r w:rsidRPr="00FE6084">
        <w:rPr>
          <w:rFonts w:ascii="Book Antiqua" w:eastAsia="宋体" w:hAnsi="Book Antiqua"/>
          <w:sz w:val="24"/>
          <w:szCs w:val="24"/>
          <w:lang w:val="en-US" w:eastAsia="zh-CN"/>
        </w:rPr>
        <w:t>September</w:t>
      </w:r>
      <w:r w:rsidRPr="00FE6084">
        <w:rPr>
          <w:rFonts w:ascii="Book Antiqua" w:hAnsi="Book Antiqua"/>
          <w:sz w:val="24"/>
          <w:szCs w:val="24"/>
          <w:lang w:val="en-US" w:eastAsia="zh-CN"/>
        </w:rPr>
        <w:t xml:space="preserve"> 2, 2019</w:t>
      </w:r>
    </w:p>
    <w:p w:rsidR="00590838" w:rsidRPr="00FE6084" w:rsidRDefault="00590838" w:rsidP="00FE6084">
      <w:pPr>
        <w:adjustRightInd w:val="0"/>
        <w:snapToGrid w:val="0"/>
        <w:spacing w:after="0" w:line="360" w:lineRule="auto"/>
        <w:jc w:val="both"/>
        <w:rPr>
          <w:rFonts w:ascii="Book Antiqua" w:hAnsi="Book Antiqua"/>
          <w:b/>
          <w:sz w:val="24"/>
          <w:szCs w:val="24"/>
          <w:lang w:val="en-US" w:eastAsia="zh-CN"/>
        </w:rPr>
      </w:pPr>
      <w:r w:rsidRPr="00FE6084">
        <w:rPr>
          <w:rFonts w:ascii="Book Antiqua" w:eastAsia="宋体" w:hAnsi="Book Antiqua"/>
          <w:b/>
          <w:sz w:val="24"/>
          <w:szCs w:val="24"/>
          <w:lang w:val="en-US" w:eastAsia="zh-CN"/>
        </w:rPr>
        <w:t>Peer-review started:</w:t>
      </w:r>
      <w:r w:rsidRPr="00FE6084">
        <w:rPr>
          <w:rFonts w:ascii="Book Antiqua" w:hAnsi="Book Antiqua"/>
          <w:b/>
          <w:sz w:val="24"/>
          <w:szCs w:val="24"/>
          <w:lang w:val="en-US" w:eastAsia="zh-CN"/>
        </w:rPr>
        <w:t xml:space="preserve"> </w:t>
      </w:r>
      <w:r w:rsidRPr="00FE6084">
        <w:rPr>
          <w:rFonts w:ascii="Book Antiqua" w:eastAsia="宋体" w:hAnsi="Book Antiqua"/>
          <w:sz w:val="24"/>
          <w:szCs w:val="24"/>
          <w:lang w:val="en-US" w:eastAsia="zh-CN"/>
        </w:rPr>
        <w:t>September 2</w:t>
      </w:r>
      <w:r w:rsidRPr="00FE6084">
        <w:rPr>
          <w:rFonts w:ascii="Book Antiqua" w:hAnsi="Book Antiqua"/>
          <w:sz w:val="24"/>
          <w:szCs w:val="24"/>
          <w:lang w:val="en-US" w:eastAsia="zh-CN"/>
        </w:rPr>
        <w:t>, 2019</w:t>
      </w:r>
    </w:p>
    <w:p w:rsidR="00590838" w:rsidRPr="00FE6084" w:rsidRDefault="00590838" w:rsidP="00FE6084">
      <w:pPr>
        <w:adjustRightInd w:val="0"/>
        <w:snapToGrid w:val="0"/>
        <w:spacing w:after="0" w:line="360" w:lineRule="auto"/>
        <w:jc w:val="both"/>
        <w:rPr>
          <w:rFonts w:ascii="Book Antiqua" w:hAnsi="Book Antiqua"/>
          <w:b/>
          <w:sz w:val="24"/>
          <w:szCs w:val="24"/>
          <w:lang w:val="en-US" w:eastAsia="zh-CN"/>
        </w:rPr>
      </w:pPr>
      <w:r w:rsidRPr="00FE6084">
        <w:rPr>
          <w:rFonts w:ascii="Book Antiqua" w:eastAsia="宋体" w:hAnsi="Book Antiqua"/>
          <w:b/>
          <w:sz w:val="24"/>
          <w:szCs w:val="24"/>
          <w:lang w:val="en-US" w:eastAsia="zh-CN"/>
        </w:rPr>
        <w:t>First decision:</w:t>
      </w:r>
      <w:r w:rsidRPr="00FE6084">
        <w:rPr>
          <w:rFonts w:ascii="Book Antiqua" w:hAnsi="Book Antiqua"/>
          <w:b/>
          <w:sz w:val="24"/>
          <w:szCs w:val="24"/>
          <w:lang w:val="en-US" w:eastAsia="zh-CN"/>
        </w:rPr>
        <w:t xml:space="preserve"> </w:t>
      </w:r>
      <w:r w:rsidRPr="00FE6084">
        <w:rPr>
          <w:rFonts w:ascii="Book Antiqua" w:eastAsia="宋体" w:hAnsi="Book Antiqua"/>
          <w:sz w:val="24"/>
          <w:szCs w:val="24"/>
          <w:lang w:val="en-US" w:eastAsia="zh-CN"/>
        </w:rPr>
        <w:t>September</w:t>
      </w:r>
      <w:r w:rsidRPr="00FE6084">
        <w:rPr>
          <w:rFonts w:ascii="Book Antiqua" w:hAnsi="Book Antiqua"/>
          <w:sz w:val="24"/>
          <w:szCs w:val="24"/>
          <w:lang w:val="en-US" w:eastAsia="zh-CN"/>
        </w:rPr>
        <w:t xml:space="preserve"> 19, 2019</w:t>
      </w:r>
    </w:p>
    <w:p w:rsidR="00590838" w:rsidRPr="00FE6084" w:rsidRDefault="00590838" w:rsidP="00FE6084">
      <w:pPr>
        <w:adjustRightInd w:val="0"/>
        <w:snapToGrid w:val="0"/>
        <w:spacing w:after="0" w:line="360" w:lineRule="auto"/>
        <w:jc w:val="both"/>
        <w:rPr>
          <w:rFonts w:ascii="Book Antiqua" w:eastAsia="宋体" w:hAnsi="Book Antiqua"/>
          <w:b/>
          <w:sz w:val="24"/>
          <w:szCs w:val="24"/>
          <w:lang w:val="en-US" w:eastAsia="zh-CN"/>
        </w:rPr>
      </w:pPr>
      <w:r w:rsidRPr="00FE6084">
        <w:rPr>
          <w:rFonts w:ascii="Book Antiqua" w:eastAsia="宋体" w:hAnsi="Book Antiqua"/>
          <w:b/>
          <w:sz w:val="24"/>
          <w:szCs w:val="24"/>
          <w:lang w:val="en-US" w:eastAsia="zh-CN"/>
        </w:rPr>
        <w:t xml:space="preserve">Revised: </w:t>
      </w:r>
      <w:r w:rsidRPr="00FE6084">
        <w:rPr>
          <w:rFonts w:ascii="Book Antiqua" w:eastAsia="宋体" w:hAnsi="Book Antiqua"/>
          <w:sz w:val="24"/>
          <w:szCs w:val="24"/>
          <w:lang w:val="en-US" w:eastAsia="zh-CN"/>
        </w:rPr>
        <w:t>October 10, 2019</w:t>
      </w:r>
    </w:p>
    <w:p w:rsidR="00590838" w:rsidRPr="00FE6084" w:rsidRDefault="00590838" w:rsidP="00FE6084">
      <w:pPr>
        <w:adjustRightInd w:val="0"/>
        <w:snapToGrid w:val="0"/>
        <w:spacing w:after="0" w:line="360" w:lineRule="auto"/>
        <w:jc w:val="both"/>
        <w:rPr>
          <w:rFonts w:ascii="Book Antiqua" w:eastAsia="宋体" w:hAnsi="Book Antiqua"/>
          <w:b/>
          <w:sz w:val="24"/>
          <w:szCs w:val="24"/>
          <w:lang w:val="en-US" w:eastAsia="zh-CN"/>
        </w:rPr>
      </w:pPr>
      <w:r w:rsidRPr="00FE6084">
        <w:rPr>
          <w:rFonts w:ascii="Book Antiqua" w:eastAsia="宋体" w:hAnsi="Book Antiqua"/>
          <w:b/>
          <w:sz w:val="24"/>
          <w:szCs w:val="24"/>
          <w:lang w:val="en-US" w:eastAsia="zh-CN"/>
        </w:rPr>
        <w:t xml:space="preserve">Accepted: </w:t>
      </w:r>
      <w:r w:rsidR="00C4124B" w:rsidRPr="00FE6084">
        <w:rPr>
          <w:rFonts w:ascii="Book Antiqua" w:eastAsia="宋体" w:hAnsi="Book Antiqua"/>
          <w:sz w:val="24"/>
          <w:szCs w:val="24"/>
          <w:lang w:val="en-US" w:eastAsia="zh-CN"/>
        </w:rPr>
        <w:t xml:space="preserve">October </w:t>
      </w:r>
      <w:r w:rsidR="00C4124B">
        <w:rPr>
          <w:rFonts w:ascii="Book Antiqua" w:eastAsia="宋体" w:hAnsi="Book Antiqua"/>
          <w:sz w:val="24"/>
          <w:szCs w:val="24"/>
          <w:lang w:val="en-US" w:eastAsia="zh-CN"/>
        </w:rPr>
        <w:t>18</w:t>
      </w:r>
      <w:r w:rsidR="00C4124B" w:rsidRPr="00FE6084">
        <w:rPr>
          <w:rFonts w:ascii="Book Antiqua" w:eastAsia="宋体" w:hAnsi="Book Antiqua"/>
          <w:sz w:val="24"/>
          <w:szCs w:val="24"/>
          <w:lang w:val="en-US" w:eastAsia="zh-CN"/>
        </w:rPr>
        <w:t>, 2019</w:t>
      </w:r>
    </w:p>
    <w:p w:rsidR="00590838" w:rsidRPr="00FE6084" w:rsidRDefault="00590838" w:rsidP="00FE6084">
      <w:pPr>
        <w:adjustRightInd w:val="0"/>
        <w:snapToGrid w:val="0"/>
        <w:spacing w:after="0" w:line="360" w:lineRule="auto"/>
        <w:jc w:val="both"/>
        <w:rPr>
          <w:rFonts w:ascii="Book Antiqua" w:eastAsia="宋体" w:hAnsi="Book Antiqua"/>
          <w:b/>
          <w:sz w:val="24"/>
          <w:szCs w:val="24"/>
          <w:lang w:val="en-US" w:eastAsia="zh-CN"/>
        </w:rPr>
      </w:pPr>
      <w:r w:rsidRPr="00FE6084">
        <w:rPr>
          <w:rFonts w:ascii="Book Antiqua" w:eastAsia="宋体" w:hAnsi="Book Antiqua"/>
          <w:b/>
          <w:sz w:val="24"/>
          <w:szCs w:val="24"/>
          <w:lang w:val="en-US" w:eastAsia="zh-CN"/>
        </w:rPr>
        <w:t>Article in press:</w:t>
      </w:r>
      <w:r w:rsidR="00735BF7">
        <w:rPr>
          <w:rFonts w:ascii="Book Antiqua" w:eastAsia="宋体" w:hAnsi="Book Antiqua" w:hint="eastAsia"/>
          <w:b/>
          <w:sz w:val="24"/>
          <w:szCs w:val="24"/>
          <w:lang w:val="en-US" w:eastAsia="zh-CN"/>
        </w:rPr>
        <w:t xml:space="preserve"> </w:t>
      </w:r>
      <w:r w:rsidR="00735BF7" w:rsidRPr="00735BF7">
        <w:rPr>
          <w:rFonts w:ascii="Book Antiqua" w:eastAsia="宋体" w:hAnsi="Book Antiqua"/>
          <w:sz w:val="24"/>
          <w:szCs w:val="24"/>
          <w:lang w:val="en-US" w:eastAsia="zh-CN"/>
        </w:rPr>
        <w:t>October 18, 2019</w:t>
      </w:r>
    </w:p>
    <w:p w:rsidR="00590838" w:rsidRPr="00FE6084" w:rsidRDefault="00590838" w:rsidP="00FE6084">
      <w:pPr>
        <w:adjustRightInd w:val="0"/>
        <w:snapToGrid w:val="0"/>
        <w:spacing w:after="0" w:line="360" w:lineRule="auto"/>
        <w:jc w:val="both"/>
        <w:rPr>
          <w:rFonts w:ascii="Book Antiqua" w:eastAsia="宋体" w:hAnsi="Book Antiqua"/>
          <w:color w:val="000000"/>
          <w:sz w:val="24"/>
          <w:szCs w:val="24"/>
          <w:lang w:val="en-US" w:eastAsia="zh-CN"/>
        </w:rPr>
      </w:pPr>
      <w:r w:rsidRPr="00FE6084">
        <w:rPr>
          <w:rFonts w:ascii="Book Antiqua" w:eastAsia="宋体" w:hAnsi="Book Antiqua"/>
          <w:b/>
          <w:sz w:val="24"/>
          <w:szCs w:val="24"/>
          <w:lang w:val="en-US" w:eastAsia="zh-CN"/>
        </w:rPr>
        <w:t>Published online:</w:t>
      </w:r>
      <w:bookmarkEnd w:id="17"/>
      <w:bookmarkEnd w:id="18"/>
      <w:bookmarkEnd w:id="19"/>
      <w:bookmarkEnd w:id="21"/>
      <w:bookmarkEnd w:id="23"/>
      <w:r w:rsidR="00735BF7">
        <w:rPr>
          <w:rFonts w:ascii="Book Antiqua" w:eastAsia="宋体" w:hAnsi="Book Antiqua" w:hint="eastAsia"/>
          <w:b/>
          <w:sz w:val="24"/>
          <w:szCs w:val="24"/>
          <w:lang w:val="en-US" w:eastAsia="zh-CN"/>
        </w:rPr>
        <w:t xml:space="preserve"> </w:t>
      </w:r>
      <w:r w:rsidR="00735BF7" w:rsidRPr="00735BF7">
        <w:rPr>
          <w:rFonts w:ascii="Book Antiqua" w:eastAsia="宋体" w:hAnsi="Book Antiqua"/>
          <w:sz w:val="24"/>
          <w:szCs w:val="24"/>
          <w:lang w:val="en-US" w:eastAsia="zh-CN"/>
        </w:rPr>
        <w:t>November 14,2019</w:t>
      </w:r>
    </w:p>
    <w:bookmarkEnd w:id="20"/>
    <w:bookmarkEnd w:id="22"/>
    <w:bookmarkEnd w:id="24"/>
    <w:bookmarkEnd w:id="25"/>
    <w:bookmarkEnd w:id="26"/>
    <w:bookmarkEnd w:id="27"/>
    <w:p w:rsidR="00590838" w:rsidRPr="00FE6084" w:rsidRDefault="00590838" w:rsidP="00FE6084">
      <w:pPr>
        <w:adjustRightInd w:val="0"/>
        <w:snapToGrid w:val="0"/>
        <w:spacing w:after="0" w:line="360" w:lineRule="auto"/>
        <w:jc w:val="both"/>
        <w:rPr>
          <w:rFonts w:ascii="Book Antiqua" w:hAnsi="Book Antiqua"/>
          <w:b/>
          <w:sz w:val="24"/>
          <w:szCs w:val="24"/>
          <w:lang w:val="en-US"/>
        </w:rPr>
      </w:pPr>
    </w:p>
    <w:p w:rsidR="00A76BBE" w:rsidRPr="00FE6084" w:rsidRDefault="00590838"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b/>
          <w:sz w:val="24"/>
          <w:szCs w:val="24"/>
          <w:lang w:val="en-US"/>
        </w:rPr>
        <w:br w:type="page"/>
      </w:r>
      <w:r w:rsidR="00A76BBE" w:rsidRPr="00FE6084">
        <w:rPr>
          <w:rFonts w:ascii="Book Antiqua" w:hAnsi="Book Antiqua"/>
          <w:b/>
          <w:sz w:val="24"/>
          <w:szCs w:val="24"/>
          <w:lang w:val="en-US"/>
        </w:rPr>
        <w:lastRenderedPageBreak/>
        <w:t>Abstract</w:t>
      </w:r>
    </w:p>
    <w:p w:rsidR="008353D8" w:rsidRPr="00FE6084" w:rsidRDefault="008353D8" w:rsidP="00FE6084">
      <w:pPr>
        <w:adjustRightInd w:val="0"/>
        <w:snapToGrid w:val="0"/>
        <w:spacing w:after="0" w:line="360" w:lineRule="auto"/>
        <w:jc w:val="both"/>
        <w:rPr>
          <w:rFonts w:ascii="Book Antiqua" w:hAnsi="Book Antiqua"/>
          <w:b/>
          <w:i/>
          <w:iCs/>
          <w:caps/>
          <w:sz w:val="24"/>
          <w:szCs w:val="24"/>
          <w:lang w:val="en-US"/>
        </w:rPr>
      </w:pPr>
      <w:r w:rsidRPr="00FE6084">
        <w:rPr>
          <w:rFonts w:ascii="Book Antiqua" w:hAnsi="Book Antiqua"/>
          <w:b/>
          <w:i/>
          <w:iCs/>
          <w:caps/>
          <w:sz w:val="24"/>
          <w:szCs w:val="24"/>
          <w:lang w:val="en-US"/>
        </w:rPr>
        <w:t>Background</w:t>
      </w:r>
      <w:r w:rsidR="00A76BBE" w:rsidRPr="00FE6084">
        <w:rPr>
          <w:rFonts w:ascii="Book Antiqua" w:hAnsi="Book Antiqua"/>
          <w:b/>
          <w:i/>
          <w:iCs/>
          <w:caps/>
          <w:sz w:val="24"/>
          <w:szCs w:val="24"/>
          <w:lang w:val="en-US"/>
        </w:rPr>
        <w:t xml:space="preserve"> </w:t>
      </w:r>
    </w:p>
    <w:p w:rsidR="00410D86"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 xml:space="preserve">Epidemiologic studies have revealed a decrease in the prevalence of </w:t>
      </w:r>
      <w:r w:rsidR="00DA7C1F" w:rsidRPr="00FE6084">
        <w:rPr>
          <w:rFonts w:ascii="Book Antiqua" w:hAnsi="Book Antiqua"/>
          <w:i/>
          <w:sz w:val="24"/>
          <w:szCs w:val="24"/>
          <w:lang w:val="en-US"/>
        </w:rPr>
        <w:t>Helicobacter pylori</w:t>
      </w:r>
      <w:r w:rsidRPr="00FE6084">
        <w:rPr>
          <w:rFonts w:ascii="Book Antiqua" w:hAnsi="Book Antiqua"/>
          <w:b/>
          <w:sz w:val="24"/>
          <w:szCs w:val="24"/>
          <w:lang w:val="en-US"/>
        </w:rPr>
        <w:t xml:space="preserve"> </w:t>
      </w:r>
      <w:r w:rsidRPr="00FC7839">
        <w:rPr>
          <w:rFonts w:ascii="Book Antiqua" w:hAnsi="Book Antiqua"/>
          <w:bCs/>
          <w:sz w:val="24"/>
          <w:szCs w:val="24"/>
          <w:lang w:val="en-US"/>
        </w:rPr>
        <w:t>(</w:t>
      </w:r>
      <w:r w:rsidR="00FC7839" w:rsidRPr="00FC7839">
        <w:rPr>
          <w:rFonts w:ascii="Book Antiqua" w:hAnsi="Book Antiqua"/>
          <w:i/>
          <w:iCs/>
          <w:sz w:val="24"/>
          <w:szCs w:val="24"/>
          <w:lang w:val="en-US"/>
        </w:rPr>
        <w:t>H</w:t>
      </w:r>
      <w:r w:rsidR="00FC7839" w:rsidRPr="00FC7839">
        <w:rPr>
          <w:rFonts w:ascii="Book Antiqua" w:hAnsi="Book Antiqua" w:hint="eastAsia"/>
          <w:i/>
          <w:iCs/>
          <w:sz w:val="24"/>
          <w:szCs w:val="24"/>
          <w:lang w:val="en-US" w:eastAsia="zh-CN"/>
        </w:rPr>
        <w:t>.</w:t>
      </w:r>
      <w:r w:rsidR="00FC7839">
        <w:rPr>
          <w:rFonts w:ascii="Book Antiqua" w:hAnsi="Book Antiqua"/>
          <w:sz w:val="24"/>
          <w:szCs w:val="24"/>
          <w:lang w:val="en-US" w:eastAsia="zh-CN"/>
        </w:rPr>
        <w:t xml:space="preserve"> </w:t>
      </w:r>
      <w:r w:rsidR="00FC7839" w:rsidRPr="00FE6084">
        <w:rPr>
          <w:rFonts w:ascii="Book Antiqua" w:hAnsi="Book Antiqua"/>
          <w:i/>
          <w:sz w:val="24"/>
          <w:szCs w:val="24"/>
          <w:lang w:val="en-US"/>
        </w:rPr>
        <w:t>pylori</w:t>
      </w:r>
      <w:r w:rsidRPr="00FE6084">
        <w:rPr>
          <w:rFonts w:ascii="Book Antiqua" w:hAnsi="Book Antiqua"/>
          <w:sz w:val="24"/>
          <w:szCs w:val="24"/>
          <w:lang w:val="en-US"/>
        </w:rPr>
        <w:t xml:space="preserve">) infection in Western Europe. </w:t>
      </w:r>
    </w:p>
    <w:p w:rsidR="005873D3" w:rsidRPr="00FE6084" w:rsidRDefault="005873D3" w:rsidP="00FE6084">
      <w:pPr>
        <w:adjustRightInd w:val="0"/>
        <w:snapToGrid w:val="0"/>
        <w:spacing w:after="0" w:line="360" w:lineRule="auto"/>
        <w:jc w:val="both"/>
        <w:rPr>
          <w:rFonts w:ascii="Book Antiqua" w:hAnsi="Book Antiqua"/>
          <w:sz w:val="24"/>
          <w:szCs w:val="24"/>
          <w:lang w:val="en-US"/>
        </w:rPr>
      </w:pPr>
    </w:p>
    <w:p w:rsidR="008353D8" w:rsidRPr="00FE6084" w:rsidRDefault="005B3FA8" w:rsidP="00FE6084">
      <w:pPr>
        <w:adjustRightInd w:val="0"/>
        <w:snapToGrid w:val="0"/>
        <w:spacing w:after="0" w:line="360" w:lineRule="auto"/>
        <w:jc w:val="both"/>
        <w:rPr>
          <w:rFonts w:ascii="Book Antiqua" w:hAnsi="Book Antiqua"/>
          <w:i/>
          <w:iCs/>
          <w:caps/>
          <w:sz w:val="24"/>
          <w:szCs w:val="24"/>
          <w:lang w:val="en-US"/>
        </w:rPr>
      </w:pPr>
      <w:r w:rsidRPr="00FE6084">
        <w:rPr>
          <w:rFonts w:ascii="Book Antiqua" w:hAnsi="Book Antiqua"/>
          <w:b/>
          <w:i/>
          <w:iCs/>
          <w:caps/>
          <w:sz w:val="24"/>
          <w:szCs w:val="24"/>
          <w:lang w:val="en-US"/>
        </w:rPr>
        <w:t>Aim</w:t>
      </w:r>
      <w:r w:rsidRPr="00FE6084">
        <w:rPr>
          <w:rFonts w:ascii="Book Antiqua" w:hAnsi="Book Antiqua"/>
          <w:i/>
          <w:iCs/>
          <w:caps/>
          <w:sz w:val="24"/>
          <w:szCs w:val="24"/>
          <w:lang w:val="en-US"/>
        </w:rPr>
        <w:t xml:space="preserve"> </w:t>
      </w:r>
    </w:p>
    <w:p w:rsidR="00410D86" w:rsidRPr="00FE6084" w:rsidRDefault="005873D3"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T</w:t>
      </w:r>
      <w:r w:rsidR="00A76BBE" w:rsidRPr="00FE6084">
        <w:rPr>
          <w:rFonts w:ascii="Book Antiqua" w:hAnsi="Book Antiqua"/>
          <w:sz w:val="24"/>
          <w:szCs w:val="24"/>
          <w:lang w:val="en-US"/>
        </w:rPr>
        <w:t xml:space="preserve">o obtain data regarding the prevalence of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in Csongrád and Békés Counties in Hungary, evaluate the differences in its prevalence between urban and rural areas, and establish factors associated with positive seroprevalence. </w:t>
      </w:r>
    </w:p>
    <w:p w:rsidR="005873D3" w:rsidRPr="00FE6084" w:rsidRDefault="005873D3" w:rsidP="00FE6084">
      <w:pPr>
        <w:adjustRightInd w:val="0"/>
        <w:snapToGrid w:val="0"/>
        <w:spacing w:after="0" w:line="360" w:lineRule="auto"/>
        <w:jc w:val="both"/>
        <w:rPr>
          <w:rFonts w:ascii="Book Antiqua" w:hAnsi="Book Antiqua"/>
          <w:sz w:val="24"/>
          <w:szCs w:val="24"/>
          <w:lang w:val="en-US"/>
        </w:rPr>
      </w:pPr>
    </w:p>
    <w:p w:rsidR="008353D8" w:rsidRPr="00FE6084" w:rsidRDefault="00A76BBE" w:rsidP="00FE6084">
      <w:pPr>
        <w:adjustRightInd w:val="0"/>
        <w:snapToGrid w:val="0"/>
        <w:spacing w:after="0" w:line="360" w:lineRule="auto"/>
        <w:jc w:val="both"/>
        <w:rPr>
          <w:rFonts w:ascii="Book Antiqua" w:hAnsi="Book Antiqua"/>
          <w:i/>
          <w:iCs/>
          <w:sz w:val="24"/>
          <w:szCs w:val="24"/>
          <w:lang w:val="en-US"/>
        </w:rPr>
      </w:pPr>
      <w:r w:rsidRPr="00FE6084">
        <w:rPr>
          <w:rFonts w:ascii="Book Antiqua" w:hAnsi="Book Antiqua"/>
          <w:b/>
          <w:i/>
          <w:iCs/>
          <w:caps/>
          <w:sz w:val="24"/>
          <w:szCs w:val="24"/>
          <w:lang w:val="en-US"/>
        </w:rPr>
        <w:t>Methods</w:t>
      </w:r>
      <w:r w:rsidRPr="00FE6084">
        <w:rPr>
          <w:rFonts w:ascii="Book Antiqua" w:hAnsi="Book Antiqua"/>
          <w:i/>
          <w:iCs/>
          <w:sz w:val="24"/>
          <w:szCs w:val="24"/>
          <w:lang w:val="en-US"/>
        </w:rPr>
        <w:t xml:space="preserve"> </w:t>
      </w:r>
    </w:p>
    <w:p w:rsidR="00410D86"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 xml:space="preserve">One-thousand and one healthy blood donors </w:t>
      </w:r>
      <w:r w:rsidR="00071114">
        <w:rPr>
          <w:rFonts w:ascii="Book Antiqua" w:hAnsi="Book Antiqua"/>
          <w:sz w:val="24"/>
          <w:szCs w:val="24"/>
          <w:lang w:val="en-US"/>
        </w:rPr>
        <w:t>[</w:t>
      </w:r>
      <w:r w:rsidRPr="00FE6084">
        <w:rPr>
          <w:rFonts w:ascii="Book Antiqua" w:hAnsi="Book Antiqua"/>
          <w:sz w:val="24"/>
          <w:szCs w:val="24"/>
          <w:lang w:val="en-US"/>
        </w:rPr>
        <w:t xml:space="preserve">male/female: 501/500, mean age: </w:t>
      </w:r>
      <w:r w:rsidR="005A16DC" w:rsidRPr="00FE6084">
        <w:rPr>
          <w:rFonts w:ascii="Book Antiqua" w:hAnsi="Book Antiqua"/>
          <w:sz w:val="24"/>
          <w:szCs w:val="24"/>
          <w:lang w:val="en-US"/>
        </w:rPr>
        <w:t>40</w:t>
      </w:r>
      <w:r w:rsidRPr="00FE6084">
        <w:rPr>
          <w:rFonts w:ascii="Book Antiqua" w:hAnsi="Book Antiqua"/>
          <w:sz w:val="24"/>
          <w:szCs w:val="24"/>
          <w:lang w:val="en-US"/>
        </w:rPr>
        <w:t xml:space="preserve"> </w:t>
      </w:r>
      <w:r w:rsidR="00071114">
        <w:rPr>
          <w:rFonts w:ascii="Book Antiqua" w:hAnsi="Book Antiqua"/>
          <w:sz w:val="24"/>
          <w:szCs w:val="24"/>
          <w:lang w:val="en-US"/>
        </w:rPr>
        <w:t>(</w:t>
      </w:r>
      <w:r w:rsidRPr="00FE6084">
        <w:rPr>
          <w:rFonts w:ascii="Book Antiqua" w:hAnsi="Book Antiqua"/>
          <w:sz w:val="24"/>
          <w:szCs w:val="24"/>
          <w:lang w:val="en-US"/>
        </w:rPr>
        <w:t>19–65</w:t>
      </w:r>
      <w:r w:rsidR="00071114">
        <w:rPr>
          <w:rFonts w:ascii="Book Antiqua" w:hAnsi="Book Antiqua"/>
          <w:sz w:val="24"/>
          <w:szCs w:val="24"/>
          <w:lang w:val="en-US"/>
        </w:rPr>
        <w:t>)</w:t>
      </w:r>
      <w:r w:rsidRPr="00FE6084">
        <w:rPr>
          <w:rFonts w:ascii="Book Antiqua" w:hAnsi="Book Antiqua"/>
          <w:sz w:val="24"/>
          <w:szCs w:val="24"/>
          <w:lang w:val="en-US"/>
        </w:rPr>
        <w:t xml:space="preserve"> years</w:t>
      </w:r>
      <w:r w:rsidR="00071114">
        <w:rPr>
          <w:rFonts w:ascii="Book Antiqua" w:hAnsi="Book Antiqua"/>
          <w:sz w:val="24"/>
          <w:szCs w:val="24"/>
          <w:lang w:val="en-US"/>
        </w:rPr>
        <w:t>]</w:t>
      </w:r>
      <w:r w:rsidRPr="00FE6084">
        <w:rPr>
          <w:rFonts w:ascii="Book Antiqua" w:hAnsi="Book Antiqua"/>
          <w:sz w:val="24"/>
          <w:szCs w:val="24"/>
          <w:lang w:val="en-US"/>
        </w:rPr>
        <w:t xml:space="preserve"> were enrolled in this study. Subjects were tested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IgG antibody positivity </w:t>
      </w:r>
      <w:r w:rsidR="00DA7C1F" w:rsidRPr="00FE6084">
        <w:rPr>
          <w:rFonts w:ascii="Book Antiqua" w:hAnsi="Book Antiqua"/>
          <w:i/>
          <w:sz w:val="24"/>
          <w:szCs w:val="24"/>
          <w:lang w:val="en-US"/>
        </w:rPr>
        <w:t>via</w:t>
      </w:r>
      <w:r w:rsidRPr="00FE6084">
        <w:rPr>
          <w:rFonts w:ascii="Book Antiqua" w:hAnsi="Book Antiqua"/>
          <w:sz w:val="24"/>
          <w:szCs w:val="24"/>
          <w:lang w:val="en-US"/>
        </w:rPr>
        <w:t xml:space="preserve"> enzyme-linked immunosorbent assay. Subgroup analysis by age, gender, smoking habits, alcohol consumption, and urban </w:t>
      </w:r>
      <w:r w:rsidRPr="00FE6084">
        <w:rPr>
          <w:rFonts w:ascii="Book Antiqua" w:hAnsi="Book Antiqua"/>
          <w:i/>
          <w:iCs/>
          <w:sz w:val="24"/>
          <w:szCs w:val="24"/>
          <w:lang w:val="en-US"/>
        </w:rPr>
        <w:t>vs</w:t>
      </w:r>
      <w:r w:rsidRPr="00FE6084">
        <w:rPr>
          <w:rFonts w:ascii="Book Antiqua" w:hAnsi="Book Antiqua"/>
          <w:sz w:val="24"/>
          <w:szCs w:val="24"/>
          <w:lang w:val="en-US"/>
        </w:rPr>
        <w:t xml:space="preserve"> non-urban residence was also performed. </w:t>
      </w:r>
    </w:p>
    <w:p w:rsidR="00B3197A" w:rsidRPr="00FE6084" w:rsidRDefault="00B3197A" w:rsidP="00FE6084">
      <w:pPr>
        <w:adjustRightInd w:val="0"/>
        <w:snapToGrid w:val="0"/>
        <w:spacing w:after="0" w:line="360" w:lineRule="auto"/>
        <w:jc w:val="both"/>
        <w:rPr>
          <w:rFonts w:ascii="Book Antiqua" w:hAnsi="Book Antiqua"/>
          <w:sz w:val="24"/>
          <w:szCs w:val="24"/>
          <w:lang w:val="en-US"/>
        </w:rPr>
      </w:pPr>
    </w:p>
    <w:p w:rsidR="008353D8" w:rsidRPr="00FE6084" w:rsidRDefault="00A76BBE" w:rsidP="00FE6084">
      <w:pPr>
        <w:adjustRightInd w:val="0"/>
        <w:snapToGrid w:val="0"/>
        <w:spacing w:after="0" w:line="360" w:lineRule="auto"/>
        <w:jc w:val="both"/>
        <w:rPr>
          <w:rFonts w:ascii="Book Antiqua" w:hAnsi="Book Antiqua"/>
          <w:i/>
          <w:iCs/>
          <w:sz w:val="24"/>
          <w:szCs w:val="24"/>
          <w:lang w:val="en-US"/>
        </w:rPr>
      </w:pPr>
      <w:r w:rsidRPr="00FE6084">
        <w:rPr>
          <w:rFonts w:ascii="Book Antiqua" w:hAnsi="Book Antiqua"/>
          <w:b/>
          <w:i/>
          <w:iCs/>
          <w:caps/>
          <w:sz w:val="24"/>
          <w:szCs w:val="24"/>
          <w:lang w:val="en-US"/>
        </w:rPr>
        <w:t>Results</w:t>
      </w:r>
      <w:r w:rsidRPr="00FE6084">
        <w:rPr>
          <w:rFonts w:ascii="Book Antiqua" w:hAnsi="Book Antiqua"/>
          <w:i/>
          <w:iCs/>
          <w:sz w:val="24"/>
          <w:szCs w:val="24"/>
          <w:lang w:val="en-US"/>
        </w:rPr>
        <w:t xml:space="preserve"> </w:t>
      </w:r>
    </w:p>
    <w:p w:rsidR="00410D86"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 xml:space="preserve">The overall </w:t>
      </w:r>
      <w:r w:rsidR="005B3FA8" w:rsidRPr="00FE6084">
        <w:rPr>
          <w:rFonts w:ascii="Book Antiqua" w:hAnsi="Book Antiqua"/>
          <w:sz w:val="24"/>
          <w:szCs w:val="24"/>
          <w:lang w:val="en-US"/>
        </w:rPr>
        <w:t>seropositivity</w:t>
      </w:r>
      <w:r w:rsidRPr="00FE6084">
        <w:rPr>
          <w:rFonts w:ascii="Book Antiqua" w:hAnsi="Book Antiqua"/>
          <w:sz w:val="24"/>
          <w:szCs w:val="24"/>
          <w:lang w:val="en-US"/>
        </w:rPr>
        <w:t xml:space="preserve">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was 32%. It was higher in males (34.93% </w:t>
      </w:r>
      <w:r w:rsidR="00B3197A" w:rsidRPr="00FE6084">
        <w:rPr>
          <w:rFonts w:ascii="Book Antiqua" w:hAnsi="Book Antiqua"/>
          <w:i/>
          <w:sz w:val="24"/>
          <w:szCs w:val="24"/>
          <w:lang w:val="en-US"/>
        </w:rPr>
        <w:t>vs</w:t>
      </w:r>
      <w:r w:rsidRPr="00FE6084">
        <w:rPr>
          <w:rFonts w:ascii="Book Antiqua" w:hAnsi="Book Antiqua"/>
          <w:sz w:val="24"/>
          <w:szCs w:val="24"/>
          <w:lang w:val="en-US"/>
        </w:rPr>
        <w:t xml:space="preserve"> 29.2%, </w:t>
      </w:r>
      <w:r w:rsidR="00B3197A" w:rsidRPr="00FE6084">
        <w:rPr>
          <w:rFonts w:ascii="Book Antiqua" w:hAnsi="Book Antiqua"/>
          <w:i/>
          <w:iCs/>
          <w:sz w:val="24"/>
          <w:szCs w:val="24"/>
          <w:lang w:val="en-US"/>
        </w:rPr>
        <w:t>P</w:t>
      </w:r>
      <w:r w:rsidRPr="00FE6084">
        <w:rPr>
          <w:rFonts w:ascii="Book Antiqua" w:hAnsi="Book Antiqua"/>
          <w:sz w:val="24"/>
          <w:szCs w:val="24"/>
          <w:lang w:val="en-US"/>
        </w:rPr>
        <w:t xml:space="preserve"> = 0.0521) and in rural areas (36.2% </w:t>
      </w:r>
      <w:r w:rsidR="00B3197A" w:rsidRPr="00FE6084">
        <w:rPr>
          <w:rFonts w:ascii="Book Antiqua" w:hAnsi="Book Antiqua"/>
          <w:i/>
          <w:sz w:val="24"/>
          <w:szCs w:val="24"/>
          <w:lang w:val="en-US"/>
        </w:rPr>
        <w:t>vs</w:t>
      </w:r>
      <w:r w:rsidRPr="00FE6084">
        <w:rPr>
          <w:rFonts w:ascii="Book Antiqua" w:hAnsi="Book Antiqua"/>
          <w:sz w:val="24"/>
          <w:szCs w:val="24"/>
          <w:lang w:val="en-US"/>
        </w:rPr>
        <w:t xml:space="preserve"> 27.94%, </w:t>
      </w:r>
      <w:r w:rsidR="00B3197A" w:rsidRPr="00FE6084">
        <w:rPr>
          <w:rFonts w:ascii="Book Antiqua" w:hAnsi="Book Antiqua"/>
          <w:i/>
          <w:iCs/>
          <w:sz w:val="24"/>
          <w:szCs w:val="24"/>
          <w:lang w:val="en-US"/>
        </w:rPr>
        <w:t>P</w:t>
      </w:r>
      <w:r w:rsidRPr="00FE6084">
        <w:rPr>
          <w:rFonts w:ascii="Book Antiqua" w:hAnsi="Book Antiqua"/>
          <w:sz w:val="24"/>
          <w:szCs w:val="24"/>
          <w:lang w:val="en-US"/>
        </w:rPr>
        <w:t xml:space="preserve"> = 0.0051). </w:t>
      </w:r>
      <w:r w:rsidR="00AB617A" w:rsidRPr="00FE6084">
        <w:rPr>
          <w:rFonts w:ascii="Book Antiqua" w:hAnsi="Book Antiqua"/>
          <w:sz w:val="24"/>
          <w:szCs w:val="24"/>
          <w:lang w:val="en-US"/>
        </w:rPr>
        <w:t>Agricultural/industrial</w:t>
      </w:r>
      <w:r w:rsidRPr="00FE6084">
        <w:rPr>
          <w:rFonts w:ascii="Book Antiqua" w:hAnsi="Book Antiqua"/>
          <w:sz w:val="24"/>
          <w:szCs w:val="24"/>
          <w:lang w:val="en-US"/>
        </w:rPr>
        <w:t xml:space="preserve"> workers were more likely to be positive for infection than office workers (38.35% </w:t>
      </w:r>
      <w:r w:rsidR="00B3197A" w:rsidRPr="00FE6084">
        <w:rPr>
          <w:rFonts w:ascii="Book Antiqua" w:hAnsi="Book Antiqua"/>
          <w:i/>
          <w:sz w:val="24"/>
          <w:szCs w:val="24"/>
          <w:lang w:val="en-US"/>
        </w:rPr>
        <w:t>vs</w:t>
      </w:r>
      <w:r w:rsidRPr="00FE6084">
        <w:rPr>
          <w:rFonts w:ascii="Book Antiqua" w:hAnsi="Book Antiqua"/>
          <w:sz w:val="24"/>
          <w:szCs w:val="24"/>
          <w:lang w:val="en-US"/>
        </w:rPr>
        <w:t xml:space="preserve"> 30.11%, </w:t>
      </w:r>
      <w:r w:rsidR="00B3197A" w:rsidRPr="00FE6084">
        <w:rPr>
          <w:rFonts w:ascii="Book Antiqua" w:hAnsi="Book Antiqua"/>
          <w:i/>
          <w:iCs/>
          <w:sz w:val="24"/>
          <w:szCs w:val="24"/>
          <w:lang w:val="en-US"/>
        </w:rPr>
        <w:t>P</w:t>
      </w:r>
      <w:r w:rsidRPr="00FE6084">
        <w:rPr>
          <w:rFonts w:ascii="Book Antiqua" w:hAnsi="Book Antiqua"/>
          <w:sz w:val="24"/>
          <w:szCs w:val="24"/>
          <w:lang w:val="en-US"/>
        </w:rPr>
        <w:t xml:space="preserve"> = 0.0095)</w:t>
      </w:r>
      <w:r w:rsidR="005B3FA8" w:rsidRPr="00FE6084">
        <w:rPr>
          <w:rFonts w:ascii="Book Antiqua" w:hAnsi="Book Antiqua"/>
          <w:sz w:val="24"/>
          <w:szCs w:val="24"/>
          <w:lang w:val="en-US"/>
        </w:rPr>
        <w:t xml:space="preserve"> and rural </w:t>
      </w:r>
      <w:r w:rsidRPr="00FE6084">
        <w:rPr>
          <w:rFonts w:ascii="Book Antiqua" w:hAnsi="Book Antiqua"/>
          <w:sz w:val="24"/>
          <w:szCs w:val="24"/>
          <w:lang w:val="en-US"/>
        </w:rPr>
        <w:t xml:space="preserve">subjects in Békés County than those in Csongrád County (43.36% </w:t>
      </w:r>
      <w:r w:rsidR="00B3197A" w:rsidRPr="00FE6084">
        <w:rPr>
          <w:rFonts w:ascii="Book Antiqua" w:hAnsi="Book Antiqua"/>
          <w:i/>
          <w:sz w:val="24"/>
          <w:szCs w:val="24"/>
          <w:lang w:val="en-US"/>
        </w:rPr>
        <w:t>vs</w:t>
      </w:r>
      <w:r w:rsidRPr="00FE6084">
        <w:rPr>
          <w:rFonts w:ascii="Book Antiqua" w:hAnsi="Book Antiqua"/>
          <w:sz w:val="24"/>
          <w:szCs w:val="24"/>
          <w:lang w:val="en-US"/>
        </w:rPr>
        <w:t xml:space="preserve"> 33.33%, </w:t>
      </w:r>
      <w:r w:rsidR="00B3197A" w:rsidRPr="00FE6084">
        <w:rPr>
          <w:rFonts w:ascii="Book Antiqua" w:hAnsi="Book Antiqua"/>
          <w:i/>
          <w:iCs/>
          <w:sz w:val="24"/>
          <w:szCs w:val="24"/>
          <w:lang w:val="en-US"/>
        </w:rPr>
        <w:t>P</w:t>
      </w:r>
      <w:r w:rsidRPr="00FE6084">
        <w:rPr>
          <w:rFonts w:ascii="Book Antiqua" w:hAnsi="Book Antiqua"/>
          <w:sz w:val="24"/>
          <w:szCs w:val="24"/>
          <w:lang w:val="en-US"/>
        </w:rPr>
        <w:t xml:space="preserve"> = 0.0015). </w:t>
      </w:r>
    </w:p>
    <w:p w:rsidR="00B3197A" w:rsidRPr="00FE6084" w:rsidRDefault="00B3197A" w:rsidP="00FE6084">
      <w:pPr>
        <w:adjustRightInd w:val="0"/>
        <w:snapToGrid w:val="0"/>
        <w:spacing w:after="0" w:line="360" w:lineRule="auto"/>
        <w:jc w:val="both"/>
        <w:rPr>
          <w:rFonts w:ascii="Book Antiqua" w:hAnsi="Book Antiqua"/>
          <w:sz w:val="24"/>
          <w:szCs w:val="24"/>
          <w:lang w:val="en-US"/>
        </w:rPr>
      </w:pPr>
    </w:p>
    <w:p w:rsidR="008353D8" w:rsidRPr="00FE6084" w:rsidRDefault="00A313F7" w:rsidP="00FE6084">
      <w:pPr>
        <w:adjustRightInd w:val="0"/>
        <w:snapToGrid w:val="0"/>
        <w:spacing w:after="0" w:line="360" w:lineRule="auto"/>
        <w:jc w:val="both"/>
        <w:rPr>
          <w:rFonts w:ascii="Book Antiqua" w:hAnsi="Book Antiqua"/>
          <w:b/>
          <w:i/>
          <w:iCs/>
          <w:sz w:val="24"/>
          <w:szCs w:val="24"/>
          <w:lang w:val="en-US"/>
        </w:rPr>
      </w:pPr>
      <w:r w:rsidRPr="00FE6084">
        <w:rPr>
          <w:rFonts w:ascii="Book Antiqua" w:hAnsi="Book Antiqua"/>
          <w:b/>
          <w:i/>
          <w:iCs/>
          <w:caps/>
          <w:sz w:val="24"/>
          <w:szCs w:val="24"/>
          <w:lang w:val="en-US"/>
        </w:rPr>
        <w:t>Conclusion</w:t>
      </w:r>
      <w:r w:rsidR="00A76BBE" w:rsidRPr="00FE6084">
        <w:rPr>
          <w:rFonts w:ascii="Book Antiqua" w:hAnsi="Book Antiqua"/>
          <w:b/>
          <w:i/>
          <w:iCs/>
          <w:sz w:val="24"/>
          <w:szCs w:val="24"/>
          <w:lang w:val="en-US"/>
        </w:rPr>
        <w:t xml:space="preserve"> </w:t>
      </w:r>
    </w:p>
    <w:p w:rsidR="00A76BBE"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 xml:space="preserve">Although the prevalence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infection decreased in recent decades in Southeast Hungary, it remains high in middle-aged rural populations. Generally accepted risk factors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positivity appeared to be valid for the studied population.</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7C5607" w:rsidRPr="00FE6084" w:rsidRDefault="007C5607"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lastRenderedPageBreak/>
        <w:t>Key words:</w:t>
      </w:r>
      <w:r w:rsidR="00910EBB" w:rsidRPr="00FE6084">
        <w:rPr>
          <w:rFonts w:ascii="Book Antiqua" w:hAnsi="Book Antiqua"/>
          <w:b/>
          <w:sz w:val="24"/>
          <w:szCs w:val="24"/>
          <w:lang w:val="en-US"/>
        </w:rPr>
        <w:t xml:space="preserve"> </w:t>
      </w:r>
      <w:r w:rsidR="00DA7C1F" w:rsidRPr="00FE6084">
        <w:rPr>
          <w:rFonts w:ascii="Book Antiqua" w:hAnsi="Book Antiqua"/>
          <w:i/>
          <w:sz w:val="24"/>
          <w:szCs w:val="24"/>
          <w:lang w:val="en-US"/>
        </w:rPr>
        <w:t>Helicobacter pylori</w:t>
      </w:r>
      <w:r w:rsidR="001B0C04">
        <w:rPr>
          <w:rFonts w:ascii="Book Antiqua" w:hAnsi="Book Antiqua"/>
          <w:sz w:val="24"/>
          <w:szCs w:val="24"/>
          <w:lang w:val="en-US"/>
        </w:rPr>
        <w:t>;</w:t>
      </w:r>
      <w:r w:rsidR="00910EBB" w:rsidRPr="00FE6084">
        <w:rPr>
          <w:rFonts w:ascii="Book Antiqua" w:hAnsi="Book Antiqua"/>
          <w:sz w:val="24"/>
          <w:szCs w:val="24"/>
          <w:lang w:val="en-US"/>
        </w:rPr>
        <w:t xml:space="preserve"> </w:t>
      </w:r>
      <w:r w:rsidR="00B3197A" w:rsidRPr="00FE6084">
        <w:rPr>
          <w:rFonts w:ascii="Book Antiqua" w:hAnsi="Book Antiqua"/>
          <w:sz w:val="24"/>
          <w:szCs w:val="24"/>
          <w:lang w:val="en-US"/>
        </w:rPr>
        <w:t>E</w:t>
      </w:r>
      <w:r w:rsidR="00910EBB" w:rsidRPr="00FE6084">
        <w:rPr>
          <w:rFonts w:ascii="Book Antiqua" w:hAnsi="Book Antiqua"/>
          <w:sz w:val="24"/>
          <w:szCs w:val="24"/>
          <w:lang w:val="en-US"/>
        </w:rPr>
        <w:t>pidemiology</w:t>
      </w:r>
      <w:r w:rsidR="001B0C04">
        <w:rPr>
          <w:rFonts w:ascii="Book Antiqua" w:hAnsi="Book Antiqua"/>
          <w:sz w:val="24"/>
          <w:szCs w:val="24"/>
          <w:lang w:val="en-US"/>
        </w:rPr>
        <w:t>;</w:t>
      </w:r>
      <w:r w:rsidR="00B3197A" w:rsidRPr="00FE6084">
        <w:rPr>
          <w:rFonts w:ascii="Book Antiqua" w:hAnsi="Book Antiqua"/>
          <w:sz w:val="24"/>
          <w:szCs w:val="24"/>
          <w:lang w:val="en-US"/>
        </w:rPr>
        <w:t xml:space="preserve"> P</w:t>
      </w:r>
      <w:r w:rsidR="00910EBB" w:rsidRPr="00FE6084">
        <w:rPr>
          <w:rFonts w:ascii="Book Antiqua" w:hAnsi="Book Antiqua"/>
          <w:sz w:val="24"/>
          <w:szCs w:val="24"/>
          <w:lang w:val="en-US"/>
        </w:rPr>
        <w:t>revalence</w:t>
      </w:r>
      <w:r w:rsidR="001B0C04">
        <w:rPr>
          <w:rFonts w:ascii="Book Antiqua" w:hAnsi="Book Antiqua"/>
          <w:sz w:val="24"/>
          <w:szCs w:val="24"/>
          <w:lang w:val="en-US"/>
        </w:rPr>
        <w:t>;</w:t>
      </w:r>
      <w:r w:rsidR="00910EBB" w:rsidRPr="00FE6084">
        <w:rPr>
          <w:rFonts w:ascii="Book Antiqua" w:hAnsi="Book Antiqua"/>
          <w:sz w:val="24"/>
          <w:szCs w:val="24"/>
          <w:lang w:val="en-US"/>
        </w:rPr>
        <w:t xml:space="preserve"> Central E</w:t>
      </w:r>
      <w:r w:rsidR="007F1D8A" w:rsidRPr="00FE6084">
        <w:rPr>
          <w:rFonts w:ascii="Book Antiqua" w:hAnsi="Book Antiqua"/>
          <w:sz w:val="24"/>
          <w:szCs w:val="24"/>
          <w:lang w:val="en-US"/>
        </w:rPr>
        <w:t>urope</w:t>
      </w:r>
      <w:r w:rsidR="001B0C04">
        <w:rPr>
          <w:rFonts w:ascii="Book Antiqua" w:hAnsi="Book Antiqua"/>
          <w:sz w:val="24"/>
          <w:szCs w:val="24"/>
          <w:lang w:val="en-US"/>
        </w:rPr>
        <w:t>;</w:t>
      </w:r>
      <w:r w:rsidR="007F1D8A" w:rsidRPr="00FE6084">
        <w:rPr>
          <w:rFonts w:ascii="Book Antiqua" w:hAnsi="Book Antiqua"/>
          <w:sz w:val="24"/>
          <w:szCs w:val="24"/>
          <w:lang w:val="en-US"/>
        </w:rPr>
        <w:t xml:space="preserve"> </w:t>
      </w:r>
      <w:r w:rsidR="00B3197A" w:rsidRPr="00FE6084">
        <w:rPr>
          <w:rFonts w:ascii="Book Antiqua" w:hAnsi="Book Antiqua"/>
          <w:sz w:val="24"/>
          <w:szCs w:val="24"/>
          <w:lang w:val="en-US"/>
        </w:rPr>
        <w:t>H</w:t>
      </w:r>
      <w:r w:rsidR="007F1D8A" w:rsidRPr="00FE6084">
        <w:rPr>
          <w:rFonts w:ascii="Book Antiqua" w:hAnsi="Book Antiqua"/>
          <w:sz w:val="24"/>
          <w:szCs w:val="24"/>
          <w:lang w:val="en-US"/>
        </w:rPr>
        <w:t>ealthy volunteers</w:t>
      </w:r>
      <w:r w:rsidR="001B0C04">
        <w:rPr>
          <w:rFonts w:ascii="Book Antiqua" w:hAnsi="Book Antiqua"/>
          <w:sz w:val="24"/>
          <w:szCs w:val="24"/>
          <w:lang w:val="en-US"/>
        </w:rPr>
        <w:t>;</w:t>
      </w:r>
      <w:r w:rsidR="007F1D8A" w:rsidRPr="00FE6084">
        <w:rPr>
          <w:rFonts w:ascii="Book Antiqua" w:hAnsi="Book Antiqua"/>
          <w:sz w:val="24"/>
          <w:szCs w:val="24"/>
          <w:lang w:val="en-US"/>
        </w:rPr>
        <w:t xml:space="preserve"> </w:t>
      </w:r>
      <w:r w:rsidR="00B3197A" w:rsidRPr="00FE6084">
        <w:rPr>
          <w:rFonts w:ascii="Book Antiqua" w:hAnsi="Book Antiqua"/>
          <w:sz w:val="24"/>
          <w:szCs w:val="24"/>
          <w:lang w:val="en-US"/>
        </w:rPr>
        <w:t>E</w:t>
      </w:r>
      <w:r w:rsidR="007F1D8A" w:rsidRPr="00FE6084">
        <w:rPr>
          <w:rFonts w:ascii="Book Antiqua" w:hAnsi="Book Antiqua"/>
          <w:sz w:val="24"/>
          <w:szCs w:val="24"/>
          <w:lang w:val="en-US"/>
        </w:rPr>
        <w:t>nzyme-linked immunosorbent assay</w:t>
      </w:r>
      <w:r w:rsidR="001B0C04">
        <w:rPr>
          <w:rFonts w:ascii="Book Antiqua" w:hAnsi="Book Antiqua"/>
          <w:sz w:val="24"/>
          <w:szCs w:val="24"/>
          <w:lang w:val="en-US"/>
        </w:rPr>
        <w:t>;</w:t>
      </w:r>
      <w:r w:rsidR="007D1B20" w:rsidRPr="00FE6084">
        <w:rPr>
          <w:rFonts w:ascii="Book Antiqua" w:hAnsi="Book Antiqua"/>
          <w:sz w:val="24"/>
          <w:szCs w:val="24"/>
          <w:lang w:val="en-US"/>
        </w:rPr>
        <w:t xml:space="preserve"> </w:t>
      </w:r>
      <w:r w:rsidR="00B3197A" w:rsidRPr="00FE6084">
        <w:rPr>
          <w:rFonts w:ascii="Book Antiqua" w:hAnsi="Book Antiqua"/>
          <w:sz w:val="24"/>
          <w:szCs w:val="24"/>
          <w:lang w:val="en-US"/>
        </w:rPr>
        <w:t>D</w:t>
      </w:r>
      <w:r w:rsidR="007D1B20" w:rsidRPr="00FE6084">
        <w:rPr>
          <w:rFonts w:ascii="Book Antiqua" w:hAnsi="Book Antiqua"/>
          <w:sz w:val="24"/>
          <w:szCs w:val="24"/>
          <w:lang w:val="en-US"/>
        </w:rPr>
        <w:t>ifferences in urban and rural population</w:t>
      </w:r>
    </w:p>
    <w:p w:rsidR="008353D8" w:rsidRPr="00FE6084" w:rsidRDefault="008353D8" w:rsidP="00FE6084">
      <w:pPr>
        <w:adjustRightInd w:val="0"/>
        <w:snapToGrid w:val="0"/>
        <w:spacing w:after="0" w:line="360" w:lineRule="auto"/>
        <w:jc w:val="both"/>
        <w:rPr>
          <w:rFonts w:ascii="Book Antiqua" w:hAnsi="Book Antiqua"/>
          <w:b/>
          <w:sz w:val="24"/>
          <w:szCs w:val="24"/>
          <w:lang w:val="en-US"/>
        </w:rPr>
      </w:pPr>
    </w:p>
    <w:p w:rsidR="00B3197A" w:rsidRPr="00FE6084" w:rsidRDefault="00B3197A" w:rsidP="00FE6084">
      <w:pPr>
        <w:adjustRightInd w:val="0"/>
        <w:snapToGrid w:val="0"/>
        <w:spacing w:after="0" w:line="360" w:lineRule="auto"/>
        <w:jc w:val="both"/>
        <w:rPr>
          <w:rFonts w:ascii="Book Antiqua" w:eastAsia="宋体" w:hAnsi="Book Antiqua"/>
          <w:sz w:val="24"/>
          <w:szCs w:val="24"/>
          <w:lang w:val="en-US" w:eastAsia="zh-CN"/>
        </w:rPr>
      </w:pPr>
      <w:bookmarkStart w:id="28" w:name="OLE_LINK58"/>
      <w:bookmarkStart w:id="29" w:name="OLE_LINK59"/>
      <w:bookmarkStart w:id="30" w:name="OLE_LINK24"/>
      <w:bookmarkStart w:id="31" w:name="OLE_LINK43"/>
      <w:bookmarkStart w:id="32" w:name="OLE_LINK44"/>
      <w:bookmarkStart w:id="33" w:name="OLE_LINK67"/>
      <w:bookmarkStart w:id="34" w:name="OLE_LINK65"/>
      <w:bookmarkStart w:id="35" w:name="OLE_LINK71"/>
      <w:r w:rsidRPr="00FE6084">
        <w:rPr>
          <w:rFonts w:ascii="Book Antiqua" w:eastAsia="宋体" w:hAnsi="Book Antiqua"/>
          <w:b/>
          <w:sz w:val="24"/>
          <w:szCs w:val="24"/>
          <w:lang w:val="en-US" w:eastAsia="zh-CN"/>
        </w:rPr>
        <w:t xml:space="preserve">© The Author(s) 2019. </w:t>
      </w:r>
      <w:r w:rsidRPr="00FE6084">
        <w:rPr>
          <w:rFonts w:ascii="Book Antiqua" w:eastAsia="宋体" w:hAnsi="Book Antiqua"/>
          <w:sz w:val="24"/>
          <w:szCs w:val="24"/>
          <w:lang w:val="en-US" w:eastAsia="zh-CN"/>
        </w:rPr>
        <w:t>Published by Baishideng Publishing Group Inc. All rights reserved.</w:t>
      </w:r>
      <w:bookmarkEnd w:id="31"/>
      <w:bookmarkEnd w:id="32"/>
      <w:bookmarkEnd w:id="33"/>
      <w:bookmarkEnd w:id="34"/>
      <w:bookmarkEnd w:id="35"/>
      <w:r w:rsidRPr="00FE6084">
        <w:rPr>
          <w:rFonts w:ascii="Book Antiqua" w:eastAsia="宋体" w:hAnsi="Book Antiqua"/>
          <w:sz w:val="24"/>
          <w:szCs w:val="24"/>
          <w:lang w:val="en-US" w:eastAsia="zh-CN"/>
        </w:rPr>
        <w:t xml:space="preserve"> </w:t>
      </w:r>
      <w:bookmarkEnd w:id="28"/>
      <w:bookmarkEnd w:id="29"/>
      <w:bookmarkEnd w:id="30"/>
    </w:p>
    <w:p w:rsidR="00B3197A" w:rsidRPr="00FE6084" w:rsidRDefault="00B3197A" w:rsidP="00FE6084">
      <w:pPr>
        <w:adjustRightInd w:val="0"/>
        <w:snapToGrid w:val="0"/>
        <w:spacing w:after="0" w:line="360" w:lineRule="auto"/>
        <w:jc w:val="both"/>
        <w:rPr>
          <w:rFonts w:ascii="Book Antiqua" w:hAnsi="Book Antiqua"/>
          <w:b/>
          <w:sz w:val="24"/>
          <w:szCs w:val="24"/>
          <w:lang w:val="en-US"/>
        </w:rPr>
      </w:pPr>
    </w:p>
    <w:p w:rsidR="007C5607" w:rsidRPr="00FE6084" w:rsidRDefault="007C5607" w:rsidP="00FE6084">
      <w:pPr>
        <w:adjustRightInd w:val="0"/>
        <w:snapToGrid w:val="0"/>
        <w:spacing w:after="0" w:line="360" w:lineRule="auto"/>
        <w:jc w:val="both"/>
        <w:rPr>
          <w:rFonts w:ascii="Book Antiqua" w:eastAsia="Times New Roman" w:hAnsi="Book Antiqua"/>
          <w:sz w:val="24"/>
          <w:szCs w:val="24"/>
        </w:rPr>
      </w:pPr>
      <w:r w:rsidRPr="00FE6084">
        <w:rPr>
          <w:rFonts w:ascii="Book Antiqua" w:hAnsi="Book Antiqua"/>
          <w:b/>
          <w:sz w:val="24"/>
          <w:szCs w:val="24"/>
          <w:lang w:val="en-US"/>
        </w:rPr>
        <w:t>Core tip:</w:t>
      </w:r>
      <w:r w:rsidR="00A35A10" w:rsidRPr="00FE6084">
        <w:rPr>
          <w:rFonts w:ascii="Book Antiqua" w:hAnsi="Book Antiqua"/>
          <w:b/>
          <w:sz w:val="24"/>
          <w:szCs w:val="24"/>
          <w:lang w:val="en-US"/>
        </w:rPr>
        <w:t xml:space="preserve"> </w:t>
      </w:r>
      <w:r w:rsidR="00A35A10" w:rsidRPr="00FE6084">
        <w:rPr>
          <w:rFonts w:ascii="Book Antiqua" w:eastAsia="Times New Roman" w:hAnsi="Book Antiqua"/>
          <w:sz w:val="24"/>
          <w:szCs w:val="24"/>
        </w:rPr>
        <w:t xml:space="preserve">Whereas a decrease in the prevalence of </w:t>
      </w:r>
      <w:r w:rsidR="00DA7C1F" w:rsidRPr="00FE6084">
        <w:rPr>
          <w:rFonts w:ascii="Book Antiqua" w:eastAsia="Times New Roman" w:hAnsi="Book Antiqua"/>
          <w:i/>
          <w:sz w:val="24"/>
          <w:szCs w:val="24"/>
        </w:rPr>
        <w:t>Helicobacter pylori</w:t>
      </w:r>
      <w:r w:rsidR="008353D8" w:rsidRPr="00FE6084">
        <w:rPr>
          <w:rFonts w:ascii="Book Antiqua" w:eastAsia="Times New Roman" w:hAnsi="Book Antiqua"/>
          <w:sz w:val="24"/>
          <w:szCs w:val="24"/>
        </w:rPr>
        <w:t xml:space="preserve"> (</w:t>
      </w:r>
      <w:r w:rsidR="00FC7839" w:rsidRPr="00FC7839">
        <w:rPr>
          <w:rFonts w:ascii="Book Antiqua" w:eastAsia="Times New Roman" w:hAnsi="Book Antiqua"/>
          <w:i/>
          <w:sz w:val="24"/>
          <w:szCs w:val="24"/>
        </w:rPr>
        <w:t>H. pylori</w:t>
      </w:r>
      <w:r w:rsidR="008353D8" w:rsidRPr="00FE6084">
        <w:rPr>
          <w:rFonts w:ascii="Book Antiqua" w:eastAsia="Times New Roman" w:hAnsi="Book Antiqua"/>
          <w:sz w:val="24"/>
          <w:szCs w:val="24"/>
        </w:rPr>
        <w:t>)</w:t>
      </w:r>
      <w:r w:rsidR="00A35A10" w:rsidRPr="00FE6084">
        <w:rPr>
          <w:rFonts w:ascii="Book Antiqua" w:eastAsia="Times New Roman" w:hAnsi="Book Antiqua"/>
          <w:sz w:val="24"/>
          <w:szCs w:val="24"/>
        </w:rPr>
        <w:t xml:space="preserve"> has been confirmed in Western Europe, its prevalence in Central Europe, which has a substantial rural population, is unclear. Therefore, this study analyzed the prevalence of </w:t>
      </w:r>
      <w:r w:rsidR="00FC7839" w:rsidRPr="00FC7839">
        <w:rPr>
          <w:rFonts w:ascii="Book Antiqua" w:eastAsia="Times New Roman" w:hAnsi="Book Antiqua"/>
          <w:i/>
          <w:sz w:val="24"/>
          <w:szCs w:val="24"/>
        </w:rPr>
        <w:t>H. pylori</w:t>
      </w:r>
      <w:r w:rsidR="00A35A10" w:rsidRPr="00FE6084">
        <w:rPr>
          <w:rFonts w:ascii="Book Antiqua" w:eastAsia="Times New Roman" w:hAnsi="Book Antiqua"/>
          <w:sz w:val="24"/>
          <w:szCs w:val="24"/>
        </w:rPr>
        <w:t xml:space="preserve"> among healthy volunteers in two Hungarian counties. The results of the study illustrated that the seropositivity of </w:t>
      </w:r>
      <w:r w:rsidR="00FC7839" w:rsidRPr="00FC7839">
        <w:rPr>
          <w:rFonts w:ascii="Book Antiqua" w:eastAsia="Times New Roman" w:hAnsi="Book Antiqua"/>
          <w:i/>
          <w:sz w:val="24"/>
          <w:szCs w:val="24"/>
        </w:rPr>
        <w:t>H. pylori</w:t>
      </w:r>
      <w:r w:rsidR="00A35A10" w:rsidRPr="00FE6084">
        <w:rPr>
          <w:rFonts w:ascii="Book Antiqua" w:eastAsia="Times New Roman" w:hAnsi="Book Antiqua"/>
          <w:sz w:val="24"/>
          <w:szCs w:val="24"/>
        </w:rPr>
        <w:t xml:space="preserve"> in this area was 32%. The prevalence was higher in males, among people living in rural areas. Agricultural/industrial workers were more likely to be positive for infection than office workers. Meanwhile, rura</w:t>
      </w:r>
      <w:r w:rsidR="00A313F7" w:rsidRPr="00FE6084">
        <w:rPr>
          <w:rFonts w:ascii="Book Antiqua" w:eastAsia="Times New Roman" w:hAnsi="Book Antiqua"/>
          <w:sz w:val="24"/>
          <w:szCs w:val="24"/>
        </w:rPr>
        <w:t>l subjects in Békés County had</w:t>
      </w:r>
      <w:r w:rsidR="00A35A10" w:rsidRPr="00FE6084">
        <w:rPr>
          <w:rFonts w:ascii="Book Antiqua" w:eastAsia="Times New Roman" w:hAnsi="Book Antiqua"/>
          <w:sz w:val="24"/>
          <w:szCs w:val="24"/>
        </w:rPr>
        <w:t xml:space="preserve"> higher prevalen</w:t>
      </w:r>
      <w:r w:rsidR="008353D8" w:rsidRPr="00FE6084">
        <w:rPr>
          <w:rFonts w:ascii="Book Antiqua" w:eastAsia="Times New Roman" w:hAnsi="Book Antiqua"/>
          <w:sz w:val="24"/>
          <w:szCs w:val="24"/>
        </w:rPr>
        <w:t>ce than those in Csongrád</w:t>
      </w:r>
      <w:r w:rsidR="006564D5" w:rsidRPr="00FE6084">
        <w:rPr>
          <w:rFonts w:ascii="Book Antiqua" w:eastAsia="Times New Roman" w:hAnsi="Book Antiqua"/>
          <w:sz w:val="24"/>
          <w:szCs w:val="24"/>
        </w:rPr>
        <w:t xml:space="preserve"> County</w:t>
      </w:r>
      <w:r w:rsidR="00A35A10" w:rsidRPr="00FE6084">
        <w:rPr>
          <w:rFonts w:ascii="Book Antiqua" w:eastAsia="Times New Roman" w:hAnsi="Book Antiqua"/>
          <w:sz w:val="24"/>
          <w:szCs w:val="24"/>
        </w:rPr>
        <w:t>.</w:t>
      </w:r>
    </w:p>
    <w:p w:rsidR="005C3B4C" w:rsidRPr="00FE6084" w:rsidRDefault="005C3B4C" w:rsidP="00FE6084">
      <w:pPr>
        <w:adjustRightInd w:val="0"/>
        <w:snapToGrid w:val="0"/>
        <w:spacing w:after="0" w:line="360" w:lineRule="auto"/>
        <w:jc w:val="both"/>
        <w:rPr>
          <w:rFonts w:ascii="Book Antiqua" w:hAnsi="Book Antiqua"/>
          <w:sz w:val="24"/>
          <w:szCs w:val="24"/>
          <w:lang w:val="en-US"/>
        </w:rPr>
      </w:pPr>
    </w:p>
    <w:p w:rsidR="00735BF7" w:rsidRPr="00735BF7" w:rsidRDefault="005C3B4C" w:rsidP="00735BF7">
      <w:pPr>
        <w:adjustRightInd w:val="0"/>
        <w:snapToGrid w:val="0"/>
        <w:spacing w:line="360" w:lineRule="auto"/>
        <w:jc w:val="both"/>
        <w:rPr>
          <w:rFonts w:ascii="Book Antiqua" w:eastAsia="宋体" w:hAnsi="Book Antiqua" w:hint="eastAsia"/>
          <w:lang w:eastAsia="zh-CN"/>
        </w:rPr>
      </w:pPr>
      <w:r w:rsidRPr="00FE6084">
        <w:rPr>
          <w:rFonts w:ascii="Book Antiqua" w:hAnsi="Book Antiqua"/>
          <w:sz w:val="24"/>
          <w:szCs w:val="24"/>
          <w:lang w:val="en-US"/>
        </w:rPr>
        <w:t xml:space="preserve">Bálint L, Tiszai A, Kozák G, Dóczi I, Szekeres V, Inczefi O, Ollé G, Helle K, Róka R, Rosztóczy A. Epidemiologic characteristics of </w:t>
      </w:r>
      <w:r w:rsidR="00DA7C1F" w:rsidRPr="00FE6084">
        <w:rPr>
          <w:rFonts w:ascii="Book Antiqua" w:hAnsi="Book Antiqua"/>
          <w:i/>
          <w:sz w:val="24"/>
          <w:szCs w:val="24"/>
          <w:lang w:val="en-US"/>
        </w:rPr>
        <w:t>Helicobacter pylori</w:t>
      </w:r>
      <w:r w:rsidRPr="00FE6084">
        <w:rPr>
          <w:rFonts w:ascii="Book Antiqua" w:hAnsi="Book Antiqua"/>
          <w:sz w:val="24"/>
          <w:szCs w:val="24"/>
          <w:lang w:val="en-US"/>
        </w:rPr>
        <w:t xml:space="preserve"> infection in </w:t>
      </w:r>
      <w:r w:rsidR="00B3197A" w:rsidRPr="00FE6084">
        <w:rPr>
          <w:rFonts w:ascii="Book Antiqua" w:hAnsi="Book Antiqua"/>
          <w:sz w:val="24"/>
          <w:szCs w:val="24"/>
          <w:lang w:val="en-US"/>
        </w:rPr>
        <w:t>s</w:t>
      </w:r>
      <w:r w:rsidRPr="00FE6084">
        <w:rPr>
          <w:rFonts w:ascii="Book Antiqua" w:hAnsi="Book Antiqua"/>
          <w:sz w:val="24"/>
          <w:szCs w:val="24"/>
          <w:lang w:val="en-US"/>
        </w:rPr>
        <w:t xml:space="preserve">outheast Hungary. </w:t>
      </w:r>
      <w:r w:rsidRPr="00FE6084">
        <w:rPr>
          <w:rFonts w:ascii="Book Antiqua" w:hAnsi="Book Antiqua"/>
          <w:i/>
          <w:sz w:val="24"/>
          <w:szCs w:val="24"/>
          <w:lang w:val="en-US"/>
        </w:rPr>
        <w:t>World J Gastroenterol</w:t>
      </w:r>
      <w:r w:rsidRPr="00FE6084">
        <w:rPr>
          <w:rFonts w:ascii="Book Antiqua" w:hAnsi="Book Antiqua"/>
          <w:sz w:val="24"/>
          <w:szCs w:val="24"/>
          <w:lang w:val="en-US"/>
        </w:rPr>
        <w:t xml:space="preserve"> </w:t>
      </w:r>
      <w:r w:rsidR="00735BF7" w:rsidRPr="00C75DD1">
        <w:rPr>
          <w:rFonts w:ascii="Book Antiqua" w:hAnsi="Book Antiqua"/>
        </w:rPr>
        <w:t xml:space="preserve">2019; 25(42): </w:t>
      </w:r>
      <w:r w:rsidR="00735BF7">
        <w:rPr>
          <w:rFonts w:ascii="Book Antiqua" w:hAnsi="Book Antiqua" w:hint="eastAsia"/>
          <w:lang w:eastAsia="zh-CN"/>
        </w:rPr>
        <w:t>6365</w:t>
      </w:r>
      <w:r w:rsidR="00735BF7" w:rsidRPr="00C75DD1">
        <w:rPr>
          <w:rFonts w:ascii="Book Antiqua" w:hAnsi="Book Antiqua"/>
        </w:rPr>
        <w:t>-</w:t>
      </w:r>
      <w:r w:rsidR="00735BF7">
        <w:rPr>
          <w:rFonts w:ascii="Book Antiqua" w:hAnsi="Book Antiqua" w:hint="eastAsia"/>
          <w:lang w:eastAsia="zh-CN"/>
        </w:rPr>
        <w:t>6372</w:t>
      </w:r>
    </w:p>
    <w:p w:rsidR="00735BF7" w:rsidRPr="00735BF7" w:rsidRDefault="00735BF7" w:rsidP="00735BF7">
      <w:pPr>
        <w:adjustRightInd w:val="0"/>
        <w:snapToGrid w:val="0"/>
        <w:spacing w:line="360" w:lineRule="auto"/>
        <w:jc w:val="both"/>
        <w:rPr>
          <w:rFonts w:ascii="Book Antiqua" w:eastAsia="宋体" w:hAnsi="Book Antiqua" w:hint="eastAsia"/>
          <w:lang w:eastAsia="zh-CN"/>
        </w:rPr>
      </w:pPr>
      <w:r w:rsidRPr="00C75DD1">
        <w:rPr>
          <w:rFonts w:ascii="Book Antiqua" w:hAnsi="Book Antiqua"/>
          <w:b/>
        </w:rPr>
        <w:t>URL:</w:t>
      </w:r>
      <w:r w:rsidRPr="00C75DD1">
        <w:rPr>
          <w:rFonts w:ascii="Book Antiqua" w:hAnsi="Book Antiqua"/>
        </w:rPr>
        <w:t xml:space="preserve"> https://www.wjgnet.com/1007-9327/full/v25/i42/</w:t>
      </w:r>
      <w:r>
        <w:rPr>
          <w:rFonts w:ascii="Book Antiqua" w:hAnsi="Book Antiqua" w:hint="eastAsia"/>
          <w:lang w:eastAsia="zh-CN"/>
        </w:rPr>
        <w:t>6365</w:t>
      </w:r>
      <w:r w:rsidRPr="00C75DD1">
        <w:rPr>
          <w:rFonts w:ascii="Book Antiqua" w:hAnsi="Book Antiqua"/>
        </w:rPr>
        <w:t>.htm</w:t>
      </w:r>
    </w:p>
    <w:p w:rsidR="005C3B4C" w:rsidRPr="00FE6084" w:rsidRDefault="00735BF7" w:rsidP="00735BF7">
      <w:pPr>
        <w:adjustRightInd w:val="0"/>
        <w:snapToGrid w:val="0"/>
        <w:spacing w:after="0" w:line="360" w:lineRule="auto"/>
        <w:jc w:val="both"/>
        <w:rPr>
          <w:rFonts w:ascii="Book Antiqua" w:hAnsi="Book Antiqua"/>
          <w:sz w:val="24"/>
          <w:szCs w:val="24"/>
          <w:lang w:val="en-US"/>
        </w:rPr>
      </w:pPr>
      <w:r w:rsidRPr="00C75DD1">
        <w:rPr>
          <w:rFonts w:ascii="Book Antiqua" w:hAnsi="Book Antiqua"/>
          <w:b/>
        </w:rPr>
        <w:t>DOI:</w:t>
      </w:r>
      <w:r w:rsidRPr="00C75DD1">
        <w:rPr>
          <w:rFonts w:ascii="Book Antiqua" w:hAnsi="Book Antiqua"/>
        </w:rPr>
        <w:t xml:space="preserve"> https://dx.doi.org/10.3748/wjg.v25.i42.</w:t>
      </w:r>
      <w:r w:rsidRPr="00735BF7">
        <w:rPr>
          <w:rFonts w:ascii="Book Antiqua" w:hAnsi="Book Antiqua" w:hint="eastAsia"/>
          <w:lang w:eastAsia="zh-CN"/>
        </w:rPr>
        <w:t xml:space="preserve"> </w:t>
      </w:r>
      <w:r>
        <w:rPr>
          <w:rFonts w:ascii="Book Antiqua" w:hAnsi="Book Antiqua" w:hint="eastAsia"/>
          <w:lang w:eastAsia="zh-CN"/>
        </w:rPr>
        <w:t>6365</w:t>
      </w:r>
    </w:p>
    <w:p w:rsidR="00A76BBE" w:rsidRPr="00FE6084" w:rsidRDefault="00B3197A" w:rsidP="00FE6084">
      <w:pPr>
        <w:adjustRightInd w:val="0"/>
        <w:snapToGrid w:val="0"/>
        <w:spacing w:after="0" w:line="360" w:lineRule="auto"/>
        <w:jc w:val="both"/>
        <w:rPr>
          <w:rFonts w:ascii="Book Antiqua" w:hAnsi="Book Antiqua"/>
          <w:b/>
          <w:sz w:val="24"/>
          <w:szCs w:val="24"/>
          <w:lang w:val="en-US"/>
        </w:rPr>
      </w:pPr>
      <w:r w:rsidRPr="00FE6084">
        <w:rPr>
          <w:rFonts w:ascii="Book Antiqua" w:eastAsia="Times New Roman" w:hAnsi="Book Antiqua"/>
          <w:sz w:val="24"/>
          <w:szCs w:val="24"/>
        </w:rPr>
        <w:br w:type="page"/>
      </w:r>
      <w:r w:rsidR="00A76BBE" w:rsidRPr="00FE6084">
        <w:rPr>
          <w:rFonts w:ascii="Book Antiqua" w:hAnsi="Book Antiqua"/>
          <w:b/>
          <w:caps/>
          <w:sz w:val="24"/>
          <w:szCs w:val="24"/>
          <w:lang w:val="en-US"/>
        </w:rPr>
        <w:lastRenderedPageBreak/>
        <w:t>Introduction</w:t>
      </w:r>
    </w:p>
    <w:p w:rsidR="00A76BBE" w:rsidRPr="00FE6084" w:rsidRDefault="00DA7C1F" w:rsidP="00FE6084">
      <w:pPr>
        <w:pStyle w:val="a3"/>
        <w:adjustRightInd w:val="0"/>
        <w:snapToGrid w:val="0"/>
        <w:spacing w:line="360" w:lineRule="auto"/>
        <w:ind w:left="0"/>
        <w:contextualSpacing w:val="0"/>
        <w:jc w:val="both"/>
        <w:rPr>
          <w:rFonts w:ascii="Book Antiqua" w:eastAsia="Calibri" w:hAnsi="Book Antiqua"/>
          <w:lang w:val="en-US"/>
        </w:rPr>
      </w:pPr>
      <w:r w:rsidRPr="00FE6084">
        <w:rPr>
          <w:rFonts w:ascii="Book Antiqua" w:hAnsi="Book Antiqua"/>
          <w:i/>
          <w:lang w:val="en-US"/>
        </w:rPr>
        <w:t>Helicobacter pylori</w:t>
      </w:r>
      <w:r w:rsidR="00FC7839">
        <w:rPr>
          <w:rFonts w:ascii="Book Antiqua" w:hAnsi="Book Antiqua"/>
          <w:i/>
          <w:lang w:val="en-US"/>
        </w:rPr>
        <w:t xml:space="preserve"> </w:t>
      </w:r>
      <w:r w:rsidR="00FC7839" w:rsidRPr="00FC7839">
        <w:rPr>
          <w:rFonts w:ascii="Book Antiqua" w:hAnsi="Book Antiqua"/>
          <w:iCs/>
          <w:lang w:val="en-US"/>
        </w:rPr>
        <w:t>(</w:t>
      </w:r>
      <w:r w:rsidR="00FC7839">
        <w:rPr>
          <w:rFonts w:ascii="Book Antiqua" w:hAnsi="Book Antiqua"/>
          <w:i/>
          <w:lang w:val="en-US"/>
        </w:rPr>
        <w:t xml:space="preserve">H. </w:t>
      </w:r>
      <w:r w:rsidR="00FC7839" w:rsidRPr="00FC7839">
        <w:rPr>
          <w:rFonts w:ascii="Book Antiqua" w:hAnsi="Book Antiqua"/>
          <w:i/>
          <w:lang w:val="en-US"/>
        </w:rPr>
        <w:t>pylori</w:t>
      </w:r>
      <w:r w:rsidR="00FC7839" w:rsidRPr="00FC7839">
        <w:rPr>
          <w:rFonts w:ascii="Book Antiqua" w:hAnsi="Book Antiqua"/>
          <w:iCs/>
          <w:lang w:val="en-US"/>
        </w:rPr>
        <w:t>)</w:t>
      </w:r>
      <w:r w:rsidR="00A76BBE" w:rsidRPr="00FE6084">
        <w:rPr>
          <w:rFonts w:ascii="Book Antiqua" w:hAnsi="Book Antiqua"/>
          <w:b/>
          <w:lang w:val="en-US"/>
        </w:rPr>
        <w:t xml:space="preserve"> </w:t>
      </w:r>
      <w:r w:rsidR="00A76BBE" w:rsidRPr="00FE6084">
        <w:rPr>
          <w:rFonts w:ascii="Book Antiqua" w:hAnsi="Book Antiqua"/>
          <w:lang w:val="en-US"/>
        </w:rPr>
        <w:t>infection is one of the most common chronic human bacterial infections worldwide, affecting up to half of the world’s population. It is the main cause of gastritis, gastroduodenal ulcer, gastric adenocarcinoma, and mucosa-associated tissue lymphoma. Its prevalence is variable in relation to geography, ethnicity, age, and soci</w:t>
      </w:r>
      <w:r w:rsidR="005404DE" w:rsidRPr="00FE6084">
        <w:rPr>
          <w:rFonts w:ascii="Book Antiqua" w:hAnsi="Book Antiqua"/>
          <w:lang w:val="en-US"/>
        </w:rPr>
        <w:t>oeconomic factors</w:t>
      </w:r>
      <w:r w:rsidR="008353D8" w:rsidRPr="00FE6084">
        <w:rPr>
          <w:rFonts w:ascii="Book Antiqua" w:hAnsi="Book Antiqua"/>
          <w:vertAlign w:val="superscript"/>
        </w:rPr>
        <w:t>[1,2,3]</w:t>
      </w:r>
      <w:r w:rsidR="008353D8" w:rsidRPr="00FE6084">
        <w:rPr>
          <w:rFonts w:ascii="Book Antiqua" w:hAnsi="Book Antiqua"/>
          <w:lang w:val="en-US"/>
        </w:rPr>
        <w:t>.</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shd w:val="clear" w:color="auto" w:fill="FFFFFF"/>
          <w:lang w:val="en-US"/>
        </w:rPr>
      </w:pPr>
      <w:r w:rsidRPr="00FE6084">
        <w:rPr>
          <w:rFonts w:ascii="Book Antiqua" w:hAnsi="Book Antiqua"/>
          <w:shd w:val="clear" w:color="auto" w:fill="FFFFFF"/>
          <w:lang w:val="en-US"/>
        </w:rPr>
        <w:t xml:space="preserve">The prevalence of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has declined worldwide, although wide variation has been observed.</w:t>
      </w:r>
    </w:p>
    <w:p w:rsidR="00FE5F69" w:rsidRPr="00FE6084" w:rsidRDefault="00FE5F69" w:rsidP="00FE6084">
      <w:pPr>
        <w:pStyle w:val="a3"/>
        <w:adjustRightInd w:val="0"/>
        <w:snapToGrid w:val="0"/>
        <w:spacing w:line="360" w:lineRule="auto"/>
        <w:ind w:left="0" w:firstLineChars="100" w:firstLine="240"/>
        <w:contextualSpacing w:val="0"/>
        <w:jc w:val="both"/>
        <w:rPr>
          <w:rFonts w:ascii="Book Antiqua" w:hAnsi="Book Antiqua"/>
          <w:shd w:val="clear" w:color="auto" w:fill="FFFFFF"/>
          <w:lang w:val="en-US"/>
        </w:rPr>
      </w:pPr>
      <w:r w:rsidRPr="00FE6084">
        <w:rPr>
          <w:rFonts w:ascii="Book Antiqua" w:hAnsi="Book Antiqua"/>
          <w:shd w:val="clear" w:color="auto" w:fill="FFFFFF"/>
          <w:lang w:val="en-US"/>
        </w:rPr>
        <w:t>According to a</w:t>
      </w:r>
      <w:r w:rsidR="00DA4C46" w:rsidRPr="00FE6084">
        <w:rPr>
          <w:rFonts w:ascii="Book Antiqua" w:hAnsi="Book Antiqua"/>
          <w:shd w:val="clear" w:color="auto" w:fill="FFFFFF"/>
          <w:lang w:val="en-US"/>
        </w:rPr>
        <w:t xml:space="preserve"> 201</w:t>
      </w:r>
      <w:r w:rsidRPr="00FE6084">
        <w:rPr>
          <w:rFonts w:ascii="Book Antiqua" w:hAnsi="Book Antiqua"/>
          <w:shd w:val="clear" w:color="auto" w:fill="FFFFFF"/>
          <w:lang w:val="en-US"/>
        </w:rPr>
        <w:t xml:space="preserve">7 and a 2018 meta-analysis, the countries with the lowest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prevalence were Switzerland (13.1%</w:t>
      </w:r>
      <w:r w:rsidR="00D949FD">
        <w:rPr>
          <w:rFonts w:ascii="Book Antiqua" w:hAnsi="Book Antiqua"/>
          <w:shd w:val="clear" w:color="auto" w:fill="FFFFFF"/>
          <w:lang w:val="en-US"/>
        </w:rPr>
        <w:t>-</w:t>
      </w:r>
      <w:r w:rsidRPr="00FE6084">
        <w:rPr>
          <w:rFonts w:ascii="Book Antiqua" w:hAnsi="Book Antiqua"/>
          <w:shd w:val="clear" w:color="auto" w:fill="FFFFFF"/>
          <w:lang w:val="en-US"/>
        </w:rPr>
        <w:t>24.7%), Denmark (17.8%</w:t>
      </w:r>
      <w:r w:rsidR="00D949FD">
        <w:rPr>
          <w:rFonts w:ascii="Book Antiqua" w:hAnsi="Book Antiqua"/>
          <w:shd w:val="clear" w:color="auto" w:fill="FFFFFF"/>
          <w:lang w:val="en-US"/>
        </w:rPr>
        <w:t>-</w:t>
      </w:r>
      <w:r w:rsidRPr="00FE6084">
        <w:rPr>
          <w:rFonts w:ascii="Book Antiqua" w:hAnsi="Book Antiqua"/>
          <w:shd w:val="clear" w:color="auto" w:fill="FFFFFF"/>
          <w:lang w:val="en-US"/>
        </w:rPr>
        <w:t>26.5%), New Zealand (21.4%</w:t>
      </w:r>
      <w:r w:rsidR="00D949FD">
        <w:rPr>
          <w:rFonts w:ascii="Book Antiqua" w:hAnsi="Book Antiqua"/>
          <w:shd w:val="clear" w:color="auto" w:fill="FFFFFF"/>
          <w:lang w:val="en-US"/>
        </w:rPr>
        <w:t>-</w:t>
      </w:r>
      <w:r w:rsidRPr="00FE6084">
        <w:rPr>
          <w:rFonts w:ascii="Book Antiqua" w:hAnsi="Book Antiqua"/>
          <w:shd w:val="clear" w:color="auto" w:fill="FFFFFF"/>
          <w:lang w:val="en-US"/>
        </w:rPr>
        <w:t>26.5%), Australia (17.2%</w:t>
      </w:r>
      <w:r w:rsidR="00D949FD">
        <w:rPr>
          <w:rFonts w:ascii="Book Antiqua" w:hAnsi="Book Antiqua"/>
          <w:shd w:val="clear" w:color="auto" w:fill="FFFFFF"/>
          <w:lang w:val="en-US"/>
        </w:rPr>
        <w:t>-</w:t>
      </w:r>
      <w:r w:rsidRPr="00FE6084">
        <w:rPr>
          <w:rFonts w:ascii="Book Antiqua" w:hAnsi="Book Antiqua"/>
          <w:shd w:val="clear" w:color="auto" w:fill="FFFFFF"/>
          <w:lang w:val="en-US"/>
        </w:rPr>
        <w:t>32.1%), and Sweden (18.3%</w:t>
      </w:r>
      <w:r w:rsidR="00D949FD">
        <w:rPr>
          <w:rFonts w:ascii="Book Antiqua" w:hAnsi="Book Antiqua"/>
          <w:shd w:val="clear" w:color="auto" w:fill="FFFFFF"/>
          <w:lang w:val="en-US"/>
        </w:rPr>
        <w:t>-</w:t>
      </w:r>
      <w:r w:rsidRPr="00FE6084">
        <w:rPr>
          <w:rFonts w:ascii="Book Antiqua" w:hAnsi="Book Antiqua"/>
          <w:shd w:val="clear" w:color="auto" w:fill="FFFFFF"/>
          <w:lang w:val="en-US"/>
        </w:rPr>
        <w:t>34.1%) in the former meta-analysis, Indonesia (10.0%), Belgium (11.0%), Ghana (14.2%)</w:t>
      </w:r>
      <w:r w:rsidR="006F2EFF" w:rsidRPr="00FE6084">
        <w:rPr>
          <w:rFonts w:ascii="Book Antiqua" w:hAnsi="Book Antiqua"/>
          <w:shd w:val="clear" w:color="auto" w:fill="FFFFFF"/>
          <w:lang w:val="en-US"/>
        </w:rPr>
        <w:t>,</w:t>
      </w:r>
      <w:r w:rsidRPr="00FE6084">
        <w:rPr>
          <w:rFonts w:ascii="Book Antiqua" w:hAnsi="Book Antiqua"/>
          <w:shd w:val="clear" w:color="auto" w:fill="FFFFFF"/>
          <w:lang w:val="en-US"/>
        </w:rPr>
        <w:t xml:space="preserve"> and Sweden (15.0) in the latter, whereas those with the highest prevalence were Nigeria (83.1%</w:t>
      </w:r>
      <w:r w:rsidR="00D949FD">
        <w:rPr>
          <w:rFonts w:ascii="Book Antiqua" w:hAnsi="Book Antiqua"/>
          <w:shd w:val="clear" w:color="auto" w:fill="FFFFFF"/>
          <w:lang w:val="en-US"/>
        </w:rPr>
        <w:t>-</w:t>
      </w:r>
      <w:r w:rsidRPr="00FE6084">
        <w:rPr>
          <w:rFonts w:ascii="Book Antiqua" w:hAnsi="Book Antiqua"/>
          <w:shd w:val="clear" w:color="auto" w:fill="FFFFFF"/>
          <w:lang w:val="en-US"/>
        </w:rPr>
        <w:t>92.2%), Portugal (84.9%</w:t>
      </w:r>
      <w:r w:rsidR="00D949FD">
        <w:rPr>
          <w:rFonts w:ascii="Book Antiqua" w:hAnsi="Book Antiqua"/>
          <w:shd w:val="clear" w:color="auto" w:fill="FFFFFF"/>
          <w:lang w:val="en-US"/>
        </w:rPr>
        <w:t>-</w:t>
      </w:r>
      <w:r w:rsidRPr="00FE6084">
        <w:rPr>
          <w:rFonts w:ascii="Book Antiqua" w:hAnsi="Book Antiqua"/>
          <w:shd w:val="clear" w:color="auto" w:fill="FFFFFF"/>
          <w:lang w:val="en-US"/>
        </w:rPr>
        <w:t>87.9%), Estonia (75.1%</w:t>
      </w:r>
      <w:r w:rsidR="00D949FD">
        <w:rPr>
          <w:rFonts w:ascii="Book Antiqua" w:hAnsi="Book Antiqua"/>
          <w:shd w:val="clear" w:color="auto" w:fill="FFFFFF"/>
          <w:lang w:val="en-US"/>
        </w:rPr>
        <w:t>-</w:t>
      </w:r>
      <w:r w:rsidRPr="00FE6084">
        <w:rPr>
          <w:rFonts w:ascii="Book Antiqua" w:hAnsi="Book Antiqua"/>
          <w:shd w:val="clear" w:color="auto" w:fill="FFFFFF"/>
          <w:lang w:val="en-US"/>
        </w:rPr>
        <w:t>90.0%), Kazakhstan (74.9%–84.2%), and Pakistan (75.6%</w:t>
      </w:r>
      <w:r w:rsidR="00D949FD">
        <w:rPr>
          <w:rFonts w:ascii="Book Antiqua" w:hAnsi="Book Antiqua"/>
          <w:shd w:val="clear" w:color="auto" w:fill="FFFFFF"/>
          <w:lang w:val="en-US"/>
        </w:rPr>
        <w:t>-</w:t>
      </w:r>
      <w:r w:rsidRPr="00FE6084">
        <w:rPr>
          <w:rFonts w:ascii="Book Antiqua" w:hAnsi="Book Antiqua"/>
          <w:shd w:val="clear" w:color="auto" w:fill="FFFFFF"/>
          <w:lang w:val="en-US"/>
        </w:rPr>
        <w:t>86.4%) in the forme</w:t>
      </w:r>
      <w:r w:rsidR="00DA4C46" w:rsidRPr="00FE6084">
        <w:rPr>
          <w:rFonts w:ascii="Book Antiqua" w:hAnsi="Book Antiqua"/>
          <w:shd w:val="clear" w:color="auto" w:fill="FFFFFF"/>
          <w:lang w:val="en-US"/>
        </w:rPr>
        <w:t>r study</w:t>
      </w:r>
      <w:r w:rsidRPr="00FE6084">
        <w:rPr>
          <w:rFonts w:ascii="Book Antiqua" w:hAnsi="Book Antiqua"/>
          <w:shd w:val="clear" w:color="auto" w:fill="FFFFFF"/>
          <w:lang w:val="en-US"/>
        </w:rPr>
        <w:t>, Serbia (88.3%), South Africa (86.8%), Nicaragua (83.3)</w:t>
      </w:r>
      <w:r w:rsidR="005A16DC" w:rsidRPr="00FE6084">
        <w:rPr>
          <w:rFonts w:ascii="Book Antiqua" w:hAnsi="Book Antiqua"/>
          <w:shd w:val="clear" w:color="auto" w:fill="FFFFFF"/>
          <w:lang w:val="en-US"/>
        </w:rPr>
        <w:t>,</w:t>
      </w:r>
      <w:r w:rsidRPr="00FE6084">
        <w:rPr>
          <w:rFonts w:ascii="Book Antiqua" w:hAnsi="Book Antiqua"/>
          <w:shd w:val="clear" w:color="auto" w:fill="FFFFFF"/>
          <w:lang w:val="en-US"/>
        </w:rPr>
        <w:t xml:space="preserve"> and Colombia (83.1%) in the latter. The former study used two periods to analyze the prevalence trend over time. The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prevalence after 2000 was lower than that before 2000 in Europe (48.8 </w:t>
      </w:r>
      <w:r w:rsidR="00B3197A" w:rsidRPr="00FE6084">
        <w:rPr>
          <w:rFonts w:ascii="Book Antiqua" w:hAnsi="Book Antiqua"/>
          <w:i/>
          <w:shd w:val="clear" w:color="auto" w:fill="FFFFFF"/>
          <w:lang w:val="en-US"/>
        </w:rPr>
        <w:t>vs</w:t>
      </w:r>
      <w:r w:rsidRPr="00FE6084">
        <w:rPr>
          <w:rFonts w:ascii="Book Antiqua" w:hAnsi="Book Antiqua"/>
          <w:shd w:val="clear" w:color="auto" w:fill="FFFFFF"/>
          <w:lang w:val="en-US"/>
        </w:rPr>
        <w:t xml:space="preserve"> 39.8), North America (42.7% </w:t>
      </w:r>
      <w:r w:rsidR="00B3197A" w:rsidRPr="00FE6084">
        <w:rPr>
          <w:rFonts w:ascii="Book Antiqua" w:hAnsi="Book Antiqua"/>
          <w:i/>
          <w:shd w:val="clear" w:color="auto" w:fill="FFFFFF"/>
          <w:lang w:val="en-US"/>
        </w:rPr>
        <w:t>vs</w:t>
      </w:r>
      <w:r w:rsidRPr="00FE6084">
        <w:rPr>
          <w:rFonts w:ascii="Book Antiqua" w:hAnsi="Book Antiqua"/>
          <w:shd w:val="clear" w:color="auto" w:fill="FFFFFF"/>
          <w:lang w:val="en-US"/>
        </w:rPr>
        <w:t xml:space="preserve"> 26.6%), and O</w:t>
      </w:r>
      <w:r w:rsidR="005404DE" w:rsidRPr="00FE6084">
        <w:rPr>
          <w:rFonts w:ascii="Book Antiqua" w:hAnsi="Book Antiqua"/>
          <w:shd w:val="clear" w:color="auto" w:fill="FFFFFF"/>
          <w:lang w:val="en-US"/>
        </w:rPr>
        <w:t xml:space="preserve">ceania (26.6% </w:t>
      </w:r>
      <w:r w:rsidR="00B3197A" w:rsidRPr="00FE6084">
        <w:rPr>
          <w:rFonts w:ascii="Book Antiqua" w:hAnsi="Book Antiqua"/>
          <w:i/>
          <w:shd w:val="clear" w:color="auto" w:fill="FFFFFF"/>
          <w:lang w:val="en-US"/>
        </w:rPr>
        <w:t>vs</w:t>
      </w:r>
      <w:r w:rsidR="005404DE" w:rsidRPr="00FE6084">
        <w:rPr>
          <w:rFonts w:ascii="Book Antiqua" w:hAnsi="Book Antiqua"/>
          <w:shd w:val="clear" w:color="auto" w:fill="FFFFFF"/>
          <w:lang w:val="en-US"/>
        </w:rPr>
        <w:t xml:space="preserve"> 18.7%)</w:t>
      </w:r>
      <w:r w:rsidR="008353D8" w:rsidRPr="00FE6084">
        <w:rPr>
          <w:rFonts w:ascii="Book Antiqua" w:hAnsi="Book Antiqua"/>
          <w:vertAlign w:val="superscript"/>
        </w:rPr>
        <w:t>[4,5]</w:t>
      </w:r>
      <w:r w:rsidR="00FA0B5C" w:rsidRPr="00FE6084">
        <w:rPr>
          <w:rFonts w:ascii="Book Antiqua" w:hAnsi="Book Antiqua"/>
          <w:shd w:val="clear" w:color="auto" w:fill="FFFFFF"/>
          <w:lang w:val="en-US"/>
        </w:rPr>
        <w:t>.</w:t>
      </w:r>
      <w:r w:rsidR="005404DE" w:rsidRPr="00FE6084">
        <w:rPr>
          <w:rFonts w:ascii="Book Antiqua" w:hAnsi="Book Antiqua"/>
          <w:shd w:val="clear" w:color="auto" w:fill="FFFFFF"/>
          <w:lang w:val="en-US"/>
        </w:rPr>
        <w:t xml:space="preserve"> </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lang w:val="en-US"/>
        </w:rPr>
      </w:pPr>
      <w:r w:rsidRPr="00FE6084">
        <w:rPr>
          <w:rFonts w:ascii="Book Antiqua" w:hAnsi="Book Antiqua"/>
          <w:lang w:val="en-US"/>
        </w:rPr>
        <w:t xml:space="preserve">The major risk factors for </w:t>
      </w:r>
      <w:r w:rsidR="00FC7839" w:rsidRPr="00FC7839">
        <w:rPr>
          <w:rFonts w:ascii="Book Antiqua" w:hAnsi="Book Antiqua"/>
          <w:i/>
          <w:lang w:val="en-US"/>
        </w:rPr>
        <w:t>H. pylori</w:t>
      </w:r>
      <w:r w:rsidRPr="00FE6084">
        <w:rPr>
          <w:rFonts w:ascii="Book Antiqua" w:hAnsi="Book Antiqua"/>
          <w:lang w:val="en-US"/>
        </w:rPr>
        <w:t xml:space="preserve"> infection include socioeconomic status and the household hygiene of the patient and family during childhood. A previous Hungarian study revealed greater seropositivity among undereducated subjects, in persons living without sewers, those living in crowded homes or having three or more brothers and sisters, and those with high alcohol consumption, and they observed significant differences in prevalence between industrial and office workers. </w:t>
      </w:r>
      <w:r w:rsidR="005B3FA8" w:rsidRPr="00FE6084">
        <w:rPr>
          <w:rFonts w:ascii="Book Antiqua" w:hAnsi="Book Antiqua"/>
          <w:lang w:val="en-US"/>
        </w:rPr>
        <w:t xml:space="preserve">A Russian study reported that 88% of the Moscow working population is infected with </w:t>
      </w:r>
      <w:r w:rsidR="00FC7839" w:rsidRPr="00FC7839">
        <w:rPr>
          <w:rFonts w:ascii="Book Antiqua" w:hAnsi="Book Antiqua"/>
          <w:i/>
          <w:lang w:val="en-US"/>
        </w:rPr>
        <w:t>H. pylori</w:t>
      </w:r>
      <w:r w:rsidR="005B3FA8" w:rsidRPr="00FE6084">
        <w:rPr>
          <w:rFonts w:ascii="Book Antiqua" w:hAnsi="Book Antiqua"/>
          <w:lang w:val="en-US"/>
        </w:rPr>
        <w:t xml:space="preserve">, 78% in people younger than 30 years, 97% in individuals older than 60 years. </w:t>
      </w:r>
      <w:r w:rsidRPr="00FE6084">
        <w:rPr>
          <w:rFonts w:ascii="Book Antiqua" w:hAnsi="Book Antiqua"/>
          <w:lang w:val="en-US"/>
        </w:rPr>
        <w:t xml:space="preserve">Recent epidemiologic studies revealed decreases in the prevalence of </w:t>
      </w:r>
      <w:r w:rsidR="00FC7839" w:rsidRPr="00FC7839">
        <w:rPr>
          <w:rFonts w:ascii="Book Antiqua" w:hAnsi="Book Antiqua"/>
          <w:i/>
          <w:lang w:val="en-US"/>
        </w:rPr>
        <w:t>H. pylori</w:t>
      </w:r>
      <w:r w:rsidRPr="00FE6084">
        <w:rPr>
          <w:rFonts w:ascii="Book Antiqua" w:hAnsi="Book Antiqua"/>
          <w:lang w:val="en-US"/>
        </w:rPr>
        <w:t xml:space="preserve"> in Western Europe and the United States. Conversely, little is known regarding the prevalence of </w:t>
      </w:r>
      <w:r w:rsidR="00FC7839" w:rsidRPr="00FC7839">
        <w:rPr>
          <w:rFonts w:ascii="Book Antiqua" w:hAnsi="Book Antiqua"/>
          <w:i/>
          <w:lang w:val="en-US"/>
        </w:rPr>
        <w:t>H. pylori</w:t>
      </w:r>
      <w:r w:rsidRPr="00FE6084">
        <w:rPr>
          <w:rFonts w:ascii="Book Antiqua" w:hAnsi="Book Antiqua"/>
          <w:lang w:val="en-US"/>
        </w:rPr>
        <w:t xml:space="preserve"> in Central Europe, in which a substantial population resides in rural areas</w:t>
      </w:r>
      <w:r w:rsidR="008353D8" w:rsidRPr="00FE6084">
        <w:rPr>
          <w:rFonts w:ascii="Book Antiqua" w:hAnsi="Book Antiqua"/>
          <w:vertAlign w:val="superscript"/>
        </w:rPr>
        <w:t>[6,7,8,9,10]</w:t>
      </w:r>
      <w:r w:rsidR="00FA0B5C" w:rsidRPr="00FE6084">
        <w:rPr>
          <w:rFonts w:ascii="Book Antiqua" w:hAnsi="Book Antiqua"/>
          <w:lang w:val="en-US"/>
        </w:rPr>
        <w:t>.</w:t>
      </w:r>
      <w:r w:rsidR="005404DE" w:rsidRPr="00FE6084">
        <w:rPr>
          <w:rFonts w:ascii="Book Antiqua" w:hAnsi="Book Antiqua"/>
          <w:vertAlign w:val="superscript"/>
        </w:rPr>
        <w:t xml:space="preserve"> </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eastAsia="Calibri" w:hAnsi="Book Antiqua"/>
          <w:i/>
          <w:lang w:val="en-US"/>
        </w:rPr>
      </w:pPr>
      <w:r w:rsidRPr="00FE6084">
        <w:rPr>
          <w:rFonts w:ascii="Book Antiqua" w:hAnsi="Book Antiqua"/>
          <w:lang w:val="en-US"/>
        </w:rPr>
        <w:lastRenderedPageBreak/>
        <w:t xml:space="preserve">The aims of this study were to obtain data regarding </w:t>
      </w:r>
      <w:r w:rsidR="00FC7839" w:rsidRPr="00FC7839">
        <w:rPr>
          <w:rFonts w:ascii="Book Antiqua" w:hAnsi="Book Antiqua"/>
          <w:i/>
          <w:lang w:val="en-US"/>
        </w:rPr>
        <w:t>H. pylori</w:t>
      </w:r>
      <w:r w:rsidRPr="00FE6084">
        <w:rPr>
          <w:rFonts w:ascii="Book Antiqua" w:hAnsi="Book Antiqua"/>
          <w:lang w:val="en-US"/>
        </w:rPr>
        <w:t xml:space="preserve"> prevalence in Csongrád and Békés Counties in Hungary, evaluate differences in prevalence between urban and rural areas, and establish factors associated with positive seroprevalence.</w:t>
      </w:r>
    </w:p>
    <w:p w:rsidR="00A313F7" w:rsidRPr="00FE6084" w:rsidRDefault="00A313F7" w:rsidP="00FE6084">
      <w:pPr>
        <w:autoSpaceDE w:val="0"/>
        <w:autoSpaceDN w:val="0"/>
        <w:adjustRightInd w:val="0"/>
        <w:snapToGrid w:val="0"/>
        <w:spacing w:after="0" w:line="360" w:lineRule="auto"/>
        <w:jc w:val="both"/>
        <w:rPr>
          <w:rFonts w:ascii="Book Antiqua" w:hAnsi="Book Antiqua"/>
          <w:b/>
          <w:caps/>
          <w:sz w:val="24"/>
          <w:szCs w:val="24"/>
          <w:lang w:val="en-US"/>
        </w:rPr>
      </w:pPr>
    </w:p>
    <w:p w:rsidR="006F2EFF" w:rsidRPr="00FE6084" w:rsidRDefault="006F2EFF" w:rsidP="00FE6084">
      <w:pPr>
        <w:autoSpaceDE w:val="0"/>
        <w:autoSpaceDN w:val="0"/>
        <w:adjustRightInd w:val="0"/>
        <w:snapToGrid w:val="0"/>
        <w:spacing w:after="0" w:line="360" w:lineRule="auto"/>
        <w:jc w:val="both"/>
        <w:rPr>
          <w:rFonts w:ascii="Book Antiqua" w:hAnsi="Book Antiqua"/>
          <w:b/>
          <w:caps/>
          <w:sz w:val="24"/>
          <w:szCs w:val="24"/>
          <w:lang w:val="en-US"/>
        </w:rPr>
      </w:pPr>
      <w:r w:rsidRPr="00FE6084">
        <w:rPr>
          <w:rFonts w:ascii="Book Antiqua" w:hAnsi="Book Antiqua"/>
          <w:b/>
          <w:caps/>
          <w:sz w:val="24"/>
          <w:szCs w:val="24"/>
          <w:lang w:val="en-US"/>
        </w:rPr>
        <w:t>MATERIALS AND METHODS</w:t>
      </w:r>
    </w:p>
    <w:p w:rsidR="00A76BBE" w:rsidRPr="00FE6084" w:rsidRDefault="00A76BBE" w:rsidP="00FE6084">
      <w:pPr>
        <w:autoSpaceDE w:val="0"/>
        <w:autoSpaceDN w:val="0"/>
        <w:adjustRightInd w:val="0"/>
        <w:snapToGrid w:val="0"/>
        <w:spacing w:after="0" w:line="360" w:lineRule="auto"/>
        <w:jc w:val="both"/>
        <w:rPr>
          <w:rFonts w:ascii="Book Antiqua" w:hAnsi="Book Antiqua"/>
          <w:sz w:val="24"/>
          <w:szCs w:val="24"/>
          <w:shd w:val="clear" w:color="auto" w:fill="FFFFFF"/>
          <w:lang w:val="en-US"/>
        </w:rPr>
      </w:pPr>
      <w:r w:rsidRPr="00FE6084">
        <w:rPr>
          <w:rFonts w:ascii="Book Antiqua" w:hAnsi="Book Antiqua"/>
          <w:sz w:val="24"/>
          <w:szCs w:val="24"/>
          <w:lang w:val="en-US"/>
        </w:rPr>
        <w:t xml:space="preserve">One-thousand and one healthy blood donors </w:t>
      </w:r>
      <w:r w:rsidR="007643F4">
        <w:rPr>
          <w:rFonts w:ascii="Book Antiqua" w:hAnsi="Book Antiqua"/>
          <w:sz w:val="24"/>
          <w:szCs w:val="24"/>
          <w:lang w:val="en-US" w:eastAsia="zh-CN"/>
        </w:rPr>
        <w:t>[</w:t>
      </w:r>
      <w:r w:rsidRPr="00FE6084">
        <w:rPr>
          <w:rFonts w:ascii="Book Antiqua" w:hAnsi="Book Antiqua"/>
          <w:sz w:val="24"/>
          <w:szCs w:val="24"/>
          <w:lang w:val="en-US"/>
        </w:rPr>
        <w:t xml:space="preserve">male/female: 501/500, mean age: 40 </w:t>
      </w:r>
      <w:r w:rsidR="007643F4">
        <w:rPr>
          <w:rFonts w:ascii="Book Antiqua" w:hAnsi="Book Antiqua"/>
          <w:sz w:val="24"/>
          <w:szCs w:val="24"/>
          <w:lang w:val="en-US"/>
        </w:rPr>
        <w:t>(</w:t>
      </w:r>
      <w:r w:rsidRPr="00FE6084">
        <w:rPr>
          <w:rFonts w:ascii="Book Antiqua" w:hAnsi="Book Antiqua"/>
          <w:sz w:val="24"/>
          <w:szCs w:val="24"/>
          <w:lang w:val="en-US"/>
        </w:rPr>
        <w:t>18–65</w:t>
      </w:r>
      <w:r w:rsidR="007643F4">
        <w:rPr>
          <w:rFonts w:ascii="Book Antiqua" w:hAnsi="Book Antiqua"/>
          <w:sz w:val="24"/>
          <w:szCs w:val="24"/>
          <w:lang w:val="en-US"/>
        </w:rPr>
        <w:t>)</w:t>
      </w:r>
      <w:r w:rsidRPr="00FE6084">
        <w:rPr>
          <w:rFonts w:ascii="Book Antiqua" w:hAnsi="Book Antiqua"/>
          <w:sz w:val="24"/>
          <w:szCs w:val="24"/>
          <w:lang w:val="en-US"/>
        </w:rPr>
        <w:t xml:space="preserve"> years</w:t>
      </w:r>
      <w:r w:rsidR="007643F4">
        <w:rPr>
          <w:rFonts w:ascii="Book Antiqua" w:hAnsi="Book Antiqua"/>
          <w:sz w:val="24"/>
          <w:szCs w:val="24"/>
          <w:lang w:val="en-US"/>
        </w:rPr>
        <w:t>]</w:t>
      </w:r>
      <w:r w:rsidRPr="00FE6084">
        <w:rPr>
          <w:rFonts w:ascii="Book Antiqua" w:hAnsi="Book Antiqua"/>
          <w:sz w:val="24"/>
          <w:szCs w:val="24"/>
          <w:lang w:val="en-US"/>
        </w:rPr>
        <w:t xml:space="preserve"> were consecutively enrolled in </w:t>
      </w:r>
      <w:r w:rsidRPr="00FE6084">
        <w:rPr>
          <w:rFonts w:ascii="Book Antiqua" w:hAnsi="Book Antiqua"/>
          <w:sz w:val="24"/>
          <w:szCs w:val="24"/>
          <w:shd w:val="clear" w:color="auto" w:fill="FFFFFF"/>
          <w:lang w:val="en-US"/>
        </w:rPr>
        <w:t>Csongrád and Békés Counties. Detailed demographic data are shown in Figure 1</w:t>
      </w:r>
      <w:r w:rsidR="008353D8" w:rsidRPr="00FE6084">
        <w:rPr>
          <w:rFonts w:ascii="Book Antiqua" w:hAnsi="Book Antiqua"/>
          <w:sz w:val="24"/>
          <w:szCs w:val="24"/>
          <w:vertAlign w:val="superscript"/>
        </w:rPr>
        <w:t>[11,12,13]</w:t>
      </w:r>
      <w:r w:rsidR="00FA0B5C" w:rsidRPr="00FE6084">
        <w:rPr>
          <w:rFonts w:ascii="Book Antiqua" w:hAnsi="Book Antiqua"/>
          <w:sz w:val="24"/>
          <w:szCs w:val="24"/>
          <w:shd w:val="clear" w:color="auto" w:fill="FFFFFF"/>
          <w:lang w:val="en-US"/>
        </w:rPr>
        <w:t>.</w:t>
      </w:r>
      <w:r w:rsidR="005404DE" w:rsidRPr="00FE6084">
        <w:rPr>
          <w:rFonts w:ascii="Book Antiqua" w:hAnsi="Book Antiqua"/>
          <w:sz w:val="24"/>
          <w:szCs w:val="24"/>
          <w:vertAlign w:val="superscript"/>
        </w:rPr>
        <w:t xml:space="preserve"> </w:t>
      </w:r>
    </w:p>
    <w:p w:rsidR="00A76BBE" w:rsidRPr="00FE6084" w:rsidRDefault="00A76BBE" w:rsidP="00FE6084">
      <w:pPr>
        <w:autoSpaceDE w:val="0"/>
        <w:autoSpaceDN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FE6084">
        <w:rPr>
          <w:rFonts w:ascii="Book Antiqua" w:hAnsi="Book Antiqua"/>
          <w:sz w:val="24"/>
          <w:szCs w:val="24"/>
          <w:shd w:val="clear" w:color="auto" w:fill="FFFFFF"/>
          <w:lang w:val="en-US"/>
        </w:rPr>
        <w:t xml:space="preserve">In Hungary, blood donation is allowed for individuals weighing more than 50 kg and aged 18–65 years. </w:t>
      </w:r>
      <w:r w:rsidRPr="00FE6084">
        <w:rPr>
          <w:rFonts w:ascii="Book Antiqua" w:hAnsi="Book Antiqua"/>
          <w:sz w:val="24"/>
          <w:szCs w:val="24"/>
          <w:lang w:val="en-US"/>
        </w:rPr>
        <w:t xml:space="preserve">Data collection was performed using an anonymous questionnaire including </w:t>
      </w:r>
      <w:r w:rsidRPr="00FE6084">
        <w:rPr>
          <w:rFonts w:ascii="Book Antiqua" w:hAnsi="Book Antiqua"/>
          <w:sz w:val="24"/>
          <w:szCs w:val="24"/>
          <w:shd w:val="clear" w:color="auto" w:fill="FFFFFF"/>
          <w:lang w:val="en-US"/>
        </w:rPr>
        <w:t xml:space="preserve">26 questions associated with demographic parameters (gender, age, place of birth, childhood residence, marital status, current residence, crowding in family, and educational status) and medical status (symptoms associated with </w:t>
      </w:r>
      <w:r w:rsidR="00FC7839" w:rsidRPr="00FC7839">
        <w:rPr>
          <w:rFonts w:ascii="Book Antiqua" w:hAnsi="Book Antiqua"/>
          <w:i/>
          <w:sz w:val="24"/>
          <w:szCs w:val="24"/>
          <w:shd w:val="clear" w:color="auto" w:fill="FFFFFF"/>
          <w:lang w:val="en-US"/>
        </w:rPr>
        <w:t>H. pylori</w:t>
      </w:r>
      <w:r w:rsidRPr="00FE6084">
        <w:rPr>
          <w:rFonts w:ascii="Book Antiqua" w:hAnsi="Book Antiqua"/>
          <w:sz w:val="24"/>
          <w:szCs w:val="24"/>
          <w:shd w:val="clear" w:color="auto" w:fill="FFFFFF"/>
          <w:lang w:val="en-US"/>
        </w:rPr>
        <w:t xml:space="preserve"> infection and gastroduodenal ulcer disease, smoking habits, alcohol consumption, and family history of </w:t>
      </w:r>
      <w:r w:rsidR="00FC7839" w:rsidRPr="00FC7839">
        <w:rPr>
          <w:rFonts w:ascii="Book Antiqua" w:hAnsi="Book Antiqua"/>
          <w:i/>
          <w:sz w:val="24"/>
          <w:szCs w:val="24"/>
          <w:shd w:val="clear" w:color="auto" w:fill="FFFFFF"/>
          <w:lang w:val="en-US"/>
        </w:rPr>
        <w:t>H. pylori</w:t>
      </w:r>
      <w:r w:rsidRPr="00FE6084">
        <w:rPr>
          <w:rFonts w:ascii="Book Antiqua" w:hAnsi="Book Antiqua"/>
          <w:sz w:val="24"/>
          <w:szCs w:val="24"/>
          <w:shd w:val="clear" w:color="auto" w:fill="FFFFFF"/>
          <w:lang w:val="en-US"/>
        </w:rPr>
        <w:t xml:space="preserve"> infection, gastroduodenal ulcer disease, and gastric malignancy).</w:t>
      </w:r>
    </w:p>
    <w:p w:rsidR="00A76BBE" w:rsidRPr="00FE6084" w:rsidRDefault="00A76BBE" w:rsidP="00FE6084">
      <w:pPr>
        <w:autoSpaceDE w:val="0"/>
        <w:autoSpaceDN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FE6084">
        <w:rPr>
          <w:rFonts w:ascii="Book Antiqua" w:hAnsi="Book Antiqua"/>
          <w:sz w:val="24"/>
          <w:szCs w:val="24"/>
          <w:shd w:val="clear" w:color="auto" w:fill="FFFFFF"/>
          <w:lang w:val="en-US"/>
        </w:rPr>
        <w:t xml:space="preserve">On the basis of the childhood residence of the subjects, the following four groups of 250 subjects were established: </w:t>
      </w:r>
      <w:r w:rsidR="001E01E5" w:rsidRPr="00FE6084">
        <w:rPr>
          <w:rFonts w:ascii="Book Antiqua" w:hAnsi="Book Antiqua"/>
          <w:sz w:val="24"/>
          <w:szCs w:val="24"/>
          <w:shd w:val="clear" w:color="auto" w:fill="FFFFFF"/>
          <w:lang w:val="en-US"/>
        </w:rPr>
        <w:t>U</w:t>
      </w:r>
      <w:r w:rsidRPr="00FE6084">
        <w:rPr>
          <w:rFonts w:ascii="Book Antiqua" w:hAnsi="Book Antiqua"/>
          <w:sz w:val="24"/>
          <w:szCs w:val="24"/>
          <w:shd w:val="clear" w:color="auto" w:fill="FFFFFF"/>
          <w:lang w:val="en-US"/>
        </w:rPr>
        <w:t>rban males, urban females, rural males, and rural females. Groups were matched by age. S</w:t>
      </w:r>
      <w:r w:rsidRPr="00FE6084">
        <w:rPr>
          <w:rFonts w:ascii="Book Antiqua" w:hAnsi="Book Antiqua"/>
          <w:sz w:val="24"/>
          <w:szCs w:val="24"/>
          <w:lang w:val="en-US"/>
        </w:rPr>
        <w:t xml:space="preserve">ubgroup analysis was performed according to living circumstances, residence in Békés or Csongrád County, smoking habits, alcohol and coffee consumption, occupation, intermittent agricultural work, pet or domestic animal rearing, gastrointestinal complaints, and family history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infection, gastric ulcer, and gastric cancer.</w:t>
      </w:r>
    </w:p>
    <w:p w:rsidR="00A76BBE" w:rsidRPr="00FE6084" w:rsidRDefault="00A76BBE" w:rsidP="00FE6084">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FE6084">
        <w:rPr>
          <w:rFonts w:ascii="Book Antiqua" w:hAnsi="Book Antiqua"/>
          <w:sz w:val="24"/>
          <w:szCs w:val="24"/>
          <w:lang w:val="en-US"/>
        </w:rPr>
        <w:t xml:space="preserve">All subjects were tested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IgG antibody positivity using a Platelia </w:t>
      </w:r>
      <w:r w:rsidRPr="00FE6084">
        <w:rPr>
          <w:rFonts w:ascii="Book Antiqua" w:hAnsi="Book Antiqua"/>
          <w:i/>
          <w:iCs/>
          <w:sz w:val="24"/>
          <w:szCs w:val="24"/>
          <w:lang w:val="en-US"/>
        </w:rPr>
        <w:t>H. pylori</w:t>
      </w:r>
      <w:r w:rsidRPr="00FE6084">
        <w:rPr>
          <w:rFonts w:ascii="Book Antiqua" w:hAnsi="Book Antiqua"/>
          <w:sz w:val="24"/>
          <w:szCs w:val="24"/>
          <w:lang w:val="en-US"/>
        </w:rPr>
        <w:t xml:space="preserve"> IgG enzyme-linked immunosorbent </w:t>
      </w:r>
      <w:r w:rsidR="00FE5F69" w:rsidRPr="00FE6084">
        <w:rPr>
          <w:rFonts w:ascii="Book Antiqua" w:hAnsi="Book Antiqua"/>
          <w:sz w:val="24"/>
          <w:szCs w:val="24"/>
          <w:lang w:val="en-US"/>
        </w:rPr>
        <w:t>assay, which reportedly has 100% sensitivity and 90% specificit</w:t>
      </w:r>
      <w:r w:rsidR="00A06827" w:rsidRPr="00FE6084">
        <w:rPr>
          <w:rFonts w:ascii="Book Antiqua" w:hAnsi="Book Antiqua"/>
          <w:sz w:val="24"/>
          <w:szCs w:val="24"/>
          <w:lang w:val="en-US"/>
        </w:rPr>
        <w:t>y according to the manufacturer.</w:t>
      </w:r>
      <w:r w:rsidR="00FE5F69" w:rsidRPr="00FE6084">
        <w:rPr>
          <w:rFonts w:ascii="Book Antiqua" w:hAnsi="Book Antiqua"/>
          <w:sz w:val="24"/>
          <w:szCs w:val="24"/>
          <w:lang w:val="en-US"/>
        </w:rPr>
        <w:t xml:space="preserve"> </w:t>
      </w:r>
      <w:r w:rsidR="00A06827" w:rsidRPr="00FE6084">
        <w:rPr>
          <w:rFonts w:ascii="Book Antiqua" w:hAnsi="Book Antiqua"/>
          <w:sz w:val="24"/>
          <w:szCs w:val="24"/>
          <w:lang w:val="en-US"/>
        </w:rPr>
        <w:t xml:space="preserve">These values were </w:t>
      </w:r>
      <w:r w:rsidR="00FE5F69" w:rsidRPr="00FE6084">
        <w:rPr>
          <w:rFonts w:ascii="Book Antiqua" w:hAnsi="Book Antiqua"/>
          <w:sz w:val="24"/>
          <w:szCs w:val="24"/>
          <w:lang w:val="en-US"/>
        </w:rPr>
        <w:t xml:space="preserve">95.6% </w:t>
      </w:r>
      <w:r w:rsidR="00A06827" w:rsidRPr="00FE6084">
        <w:rPr>
          <w:rFonts w:ascii="Book Antiqua" w:hAnsi="Book Antiqua"/>
          <w:sz w:val="24"/>
          <w:szCs w:val="24"/>
          <w:lang w:val="en-US"/>
        </w:rPr>
        <w:t xml:space="preserve">and </w:t>
      </w:r>
      <w:r w:rsidR="005E5CBA" w:rsidRPr="00FE6084">
        <w:rPr>
          <w:rFonts w:ascii="Book Antiqua" w:hAnsi="Book Antiqua"/>
          <w:sz w:val="24"/>
          <w:szCs w:val="24"/>
          <w:lang w:val="en-US"/>
        </w:rPr>
        <w:t>85.1</w:t>
      </w:r>
      <w:r w:rsidRPr="00FE6084">
        <w:rPr>
          <w:rFonts w:ascii="Book Antiqua" w:hAnsi="Book Antiqua"/>
          <w:sz w:val="24"/>
          <w:szCs w:val="24"/>
          <w:lang w:val="en-US"/>
        </w:rPr>
        <w:t xml:space="preserve">% </w:t>
      </w:r>
      <w:r w:rsidR="00A06827" w:rsidRPr="00FE6084">
        <w:rPr>
          <w:rFonts w:ascii="Book Antiqua" w:hAnsi="Book Antiqua"/>
          <w:sz w:val="24"/>
          <w:szCs w:val="24"/>
          <w:lang w:val="en-US"/>
        </w:rPr>
        <w:t>in the validation study of</w:t>
      </w:r>
      <w:r w:rsidRPr="00FE6084">
        <w:rPr>
          <w:rFonts w:ascii="Book Antiqua" w:hAnsi="Book Antiqua"/>
          <w:sz w:val="24"/>
          <w:szCs w:val="24"/>
          <w:lang w:val="en-US"/>
        </w:rPr>
        <w:t xml:space="preserve"> </w:t>
      </w:r>
      <w:r w:rsidR="005E5CBA" w:rsidRPr="00FE6084">
        <w:rPr>
          <w:rFonts w:ascii="Book Antiqua" w:hAnsi="Book Antiqua"/>
          <w:sz w:val="24"/>
          <w:szCs w:val="24"/>
          <w:lang w:val="en-US"/>
        </w:rPr>
        <w:t xml:space="preserve">Burucoa </w:t>
      </w:r>
      <w:r w:rsidR="005E5CBA" w:rsidRPr="00FE6084">
        <w:rPr>
          <w:rFonts w:ascii="Book Antiqua" w:hAnsi="Book Antiqua"/>
          <w:i/>
          <w:iCs/>
          <w:sz w:val="24"/>
          <w:szCs w:val="24"/>
          <w:lang w:val="en-US"/>
        </w:rPr>
        <w:t>et al</w:t>
      </w:r>
      <w:r w:rsidR="006F2EFF" w:rsidRPr="00FE6084">
        <w:rPr>
          <w:rFonts w:ascii="Book Antiqua" w:hAnsi="Book Antiqua"/>
          <w:sz w:val="24"/>
          <w:szCs w:val="24"/>
          <w:vertAlign w:val="superscript"/>
        </w:rPr>
        <w:t>[14]</w:t>
      </w:r>
      <w:r w:rsidR="00A06827" w:rsidRPr="00FE6084">
        <w:rPr>
          <w:rFonts w:ascii="Book Antiqua" w:hAnsi="Book Antiqua"/>
          <w:sz w:val="24"/>
          <w:szCs w:val="24"/>
          <w:lang w:val="en-US"/>
        </w:rPr>
        <w:t xml:space="preserve"> respectively</w:t>
      </w:r>
      <w:r w:rsidR="00AB617A" w:rsidRPr="00FE6084">
        <w:rPr>
          <w:rFonts w:ascii="Book Antiqua" w:hAnsi="Book Antiqua"/>
          <w:sz w:val="24"/>
          <w:szCs w:val="24"/>
          <w:lang w:val="en-US"/>
        </w:rPr>
        <w:t xml:space="preserve"> (Bio-Rad</w:t>
      </w:r>
      <w:r w:rsidR="00B07778" w:rsidRPr="00FE6084">
        <w:rPr>
          <w:rFonts w:ascii="Book Antiqua" w:hAnsi="Book Antiqua"/>
          <w:sz w:val="24"/>
          <w:szCs w:val="24"/>
          <w:lang w:val="en-US"/>
        </w:rPr>
        <w:t>)</w:t>
      </w:r>
      <w:r w:rsidR="00FA0B5C" w:rsidRPr="00FE6084">
        <w:rPr>
          <w:rFonts w:ascii="Book Antiqua" w:hAnsi="Book Antiqua"/>
          <w:sz w:val="24"/>
          <w:szCs w:val="24"/>
          <w:lang w:val="en-US"/>
        </w:rPr>
        <w:t>.</w:t>
      </w:r>
      <w:r w:rsidR="005404DE" w:rsidRPr="00FE6084">
        <w:rPr>
          <w:rFonts w:ascii="Book Antiqua" w:hAnsi="Book Antiqua"/>
          <w:sz w:val="24"/>
          <w:szCs w:val="24"/>
          <w:lang w:val="en-US"/>
        </w:rPr>
        <w:t xml:space="preserve"> </w:t>
      </w:r>
    </w:p>
    <w:p w:rsidR="00A76BBE" w:rsidRPr="00FE6084" w:rsidRDefault="00A76BBE" w:rsidP="00FE6084">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FE6084">
        <w:rPr>
          <w:rFonts w:ascii="Book Antiqua" w:hAnsi="Book Antiqua"/>
          <w:sz w:val="24"/>
          <w:szCs w:val="24"/>
          <w:lang w:val="en-US"/>
        </w:rPr>
        <w:t xml:space="preserve">For the statistical analysis of different variables related to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infection, the chi-squared test or two-sample </w:t>
      </w:r>
      <w:r w:rsidRPr="00FE6084">
        <w:rPr>
          <w:rFonts w:ascii="Book Antiqua" w:hAnsi="Book Antiqua"/>
          <w:i/>
          <w:sz w:val="24"/>
          <w:szCs w:val="24"/>
          <w:lang w:val="en-US"/>
        </w:rPr>
        <w:t>t</w:t>
      </w:r>
      <w:r w:rsidRPr="00FE6084">
        <w:rPr>
          <w:rFonts w:ascii="Book Antiqua" w:hAnsi="Book Antiqua"/>
          <w:sz w:val="24"/>
          <w:szCs w:val="24"/>
          <w:lang w:val="en-US"/>
        </w:rPr>
        <w:t xml:space="preserve">-test was applied. The association between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infection and potential risk factors was established </w:t>
      </w:r>
      <w:r w:rsidR="00DA7C1F" w:rsidRPr="00FE6084">
        <w:rPr>
          <w:rFonts w:ascii="Book Antiqua" w:hAnsi="Book Antiqua"/>
          <w:i/>
          <w:sz w:val="24"/>
          <w:szCs w:val="24"/>
          <w:lang w:val="en-US"/>
        </w:rPr>
        <w:t>via</w:t>
      </w:r>
      <w:r w:rsidRPr="00FE6084">
        <w:rPr>
          <w:rFonts w:ascii="Book Antiqua" w:hAnsi="Book Antiqua"/>
          <w:sz w:val="24"/>
          <w:szCs w:val="24"/>
          <w:lang w:val="en-US"/>
        </w:rPr>
        <w:t xml:space="preserve"> univariate analysis, and odds </w:t>
      </w:r>
      <w:r w:rsidRPr="00FE6084">
        <w:rPr>
          <w:rFonts w:ascii="Book Antiqua" w:hAnsi="Book Antiqua"/>
          <w:sz w:val="24"/>
          <w:szCs w:val="24"/>
          <w:lang w:val="en-US"/>
        </w:rPr>
        <w:lastRenderedPageBreak/>
        <w:t xml:space="preserve">ratios and 95% confidence intervals were calculated. In addition, a stratified analysis according to age (18–35, 35–50, and 50–65 years) was performed. The final model was developed using a generalized linear regression model </w:t>
      </w:r>
      <w:r w:rsidR="00DA7C1F" w:rsidRPr="00FE6084">
        <w:rPr>
          <w:rFonts w:ascii="Book Antiqua" w:hAnsi="Book Antiqua"/>
          <w:i/>
          <w:sz w:val="24"/>
          <w:szCs w:val="24"/>
          <w:lang w:val="en-US"/>
        </w:rPr>
        <w:t>via</w:t>
      </w:r>
      <w:r w:rsidRPr="00FE6084">
        <w:rPr>
          <w:rFonts w:ascii="Book Antiqua" w:hAnsi="Book Antiqua"/>
          <w:sz w:val="24"/>
          <w:szCs w:val="24"/>
          <w:lang w:val="en-US"/>
        </w:rPr>
        <w:t xml:space="preserve"> stepwise regression, with inclusion and exclusion criteria set at significance levels of 0.05 and 0.10, respectively. A two-sided </w:t>
      </w:r>
      <w:r w:rsidR="005A16DC" w:rsidRPr="00FE6084">
        <w:rPr>
          <w:rFonts w:ascii="Book Antiqua" w:hAnsi="Book Antiqua"/>
          <w:i/>
          <w:iCs/>
          <w:sz w:val="24"/>
          <w:szCs w:val="24"/>
          <w:lang w:val="en-US"/>
        </w:rPr>
        <w:t>P</w:t>
      </w:r>
      <w:r w:rsidRPr="00FE6084">
        <w:rPr>
          <w:rFonts w:ascii="Book Antiqua" w:hAnsi="Book Antiqua"/>
          <w:sz w:val="24"/>
          <w:szCs w:val="24"/>
          <w:lang w:val="en-US"/>
        </w:rPr>
        <w:t xml:space="preserve">-value &lt; 0.05 was considered statistically significant. </w:t>
      </w:r>
      <w:r w:rsidRPr="00FE6084">
        <w:rPr>
          <w:rFonts w:ascii="Book Antiqua" w:hAnsi="Book Antiqua"/>
          <w:sz w:val="24"/>
          <w:szCs w:val="24"/>
          <w:shd w:val="clear" w:color="auto" w:fill="FFFFFF"/>
          <w:lang w:val="en-US"/>
        </w:rPr>
        <w:t>All statistical analyses were performed using MATLAB (Mathworks, Natwick, MA, U</w:t>
      </w:r>
      <w:r w:rsidR="005A16DC" w:rsidRPr="00FE6084">
        <w:rPr>
          <w:rFonts w:ascii="Book Antiqua" w:hAnsi="Book Antiqua"/>
          <w:sz w:val="24"/>
          <w:szCs w:val="24"/>
          <w:shd w:val="clear" w:color="auto" w:fill="FFFFFF"/>
          <w:lang w:val="en-US"/>
        </w:rPr>
        <w:t>nited States</w:t>
      </w:r>
      <w:r w:rsidRPr="00FE6084">
        <w:rPr>
          <w:rFonts w:ascii="Book Antiqua" w:hAnsi="Book Antiqua"/>
          <w:sz w:val="24"/>
          <w:szCs w:val="24"/>
          <w:shd w:val="clear" w:color="auto" w:fill="FFFFFF"/>
          <w:lang w:val="en-US"/>
        </w:rPr>
        <w:t>).</w:t>
      </w:r>
    </w:p>
    <w:p w:rsidR="00A313F7" w:rsidRPr="00FE6084" w:rsidRDefault="00A313F7" w:rsidP="00FE6084">
      <w:pPr>
        <w:adjustRightInd w:val="0"/>
        <w:snapToGrid w:val="0"/>
        <w:spacing w:after="0" w:line="360" w:lineRule="auto"/>
        <w:jc w:val="both"/>
        <w:rPr>
          <w:rFonts w:ascii="Book Antiqua" w:hAnsi="Book Antiqua"/>
          <w:b/>
          <w:sz w:val="24"/>
          <w:szCs w:val="24"/>
          <w:lang w:val="en-US"/>
        </w:rPr>
      </w:pPr>
    </w:p>
    <w:p w:rsidR="00A76BBE" w:rsidRPr="00FE6084" w:rsidRDefault="00A76BBE"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b/>
          <w:sz w:val="24"/>
          <w:szCs w:val="24"/>
          <w:lang w:val="en-US"/>
        </w:rPr>
        <w:t>RESULTS</w:t>
      </w:r>
    </w:p>
    <w:p w:rsidR="00A76BBE" w:rsidRPr="00FE6084" w:rsidRDefault="00B07778"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The overall sero</w:t>
      </w:r>
      <w:r w:rsidR="00B604EA" w:rsidRPr="00FE6084">
        <w:rPr>
          <w:rFonts w:ascii="Book Antiqua" w:hAnsi="Book Antiqua"/>
          <w:sz w:val="24"/>
          <w:szCs w:val="24"/>
          <w:lang w:val="en-US"/>
        </w:rPr>
        <w:t>positivity</w:t>
      </w:r>
      <w:r w:rsidRPr="00FE6084">
        <w:rPr>
          <w:rFonts w:ascii="Book Antiqua" w:hAnsi="Book Antiqua"/>
          <w:sz w:val="24"/>
          <w:szCs w:val="24"/>
          <w:lang w:val="en-US"/>
        </w:rPr>
        <w:t xml:space="preserve">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w:t>
      </w:r>
      <w:r w:rsidR="00A76BBE" w:rsidRPr="00FE6084">
        <w:rPr>
          <w:rFonts w:ascii="Book Antiqua" w:hAnsi="Book Antiqua"/>
          <w:sz w:val="24"/>
          <w:szCs w:val="24"/>
          <w:lang w:val="en-US"/>
        </w:rPr>
        <w:t xml:space="preserve">was 32% in the studied healthy subjects. There was no statistically significant difference in prevalence between males and females </w:t>
      </w:r>
      <w:r w:rsidRPr="00FE6084">
        <w:rPr>
          <w:rFonts w:ascii="Book Antiqua" w:hAnsi="Book Antiqua"/>
          <w:sz w:val="24"/>
          <w:szCs w:val="24"/>
          <w:lang w:val="en-US"/>
        </w:rPr>
        <w:t>(</w:t>
      </w:r>
      <w:r w:rsidR="007C789F" w:rsidRPr="00FE6084">
        <w:rPr>
          <w:rFonts w:ascii="Book Antiqua" w:hAnsi="Book Antiqua"/>
          <w:i/>
          <w:iCs/>
          <w:sz w:val="24"/>
          <w:szCs w:val="24"/>
          <w:lang w:val="en-US"/>
        </w:rPr>
        <w:t>P</w:t>
      </w:r>
      <w:r w:rsidR="007C789F" w:rsidRPr="00FE6084">
        <w:rPr>
          <w:rFonts w:ascii="Book Antiqua" w:hAnsi="Book Antiqua"/>
          <w:sz w:val="24"/>
          <w:szCs w:val="24"/>
          <w:lang w:val="en-US"/>
        </w:rPr>
        <w:t xml:space="preserve"> </w:t>
      </w:r>
      <w:r w:rsidRPr="00FE6084">
        <w:rPr>
          <w:rFonts w:ascii="Book Antiqua" w:hAnsi="Book Antiqua"/>
          <w:sz w:val="24"/>
          <w:szCs w:val="24"/>
          <w:lang w:val="en-US"/>
        </w:rPr>
        <w:t>=</w:t>
      </w:r>
      <w:r w:rsidR="007C789F" w:rsidRPr="00FE6084">
        <w:rPr>
          <w:rFonts w:ascii="Book Antiqua" w:hAnsi="Book Antiqua"/>
          <w:sz w:val="24"/>
          <w:szCs w:val="24"/>
          <w:lang w:val="en-US"/>
        </w:rPr>
        <w:t xml:space="preserve"> </w:t>
      </w:r>
      <w:r w:rsidRPr="00FE6084">
        <w:rPr>
          <w:rFonts w:ascii="Book Antiqua" w:hAnsi="Book Antiqua"/>
          <w:sz w:val="24"/>
          <w:szCs w:val="24"/>
          <w:lang w:val="en-US"/>
        </w:rPr>
        <w:t xml:space="preserve">0.0521) </w:t>
      </w:r>
      <w:r w:rsidR="00A76BBE" w:rsidRPr="00FE6084">
        <w:rPr>
          <w:rFonts w:ascii="Book Antiqua" w:hAnsi="Book Antiqua"/>
          <w:sz w:val="24"/>
          <w:szCs w:val="24"/>
          <w:lang w:val="en-US"/>
        </w:rPr>
        <w:t xml:space="preserve">in our study. According to residence, the prevalence of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was significantly higher in rural areas than in urban areas</w:t>
      </w:r>
      <w:r w:rsidRPr="00FE6084">
        <w:rPr>
          <w:rFonts w:ascii="Book Antiqua" w:hAnsi="Book Antiqua"/>
          <w:sz w:val="24"/>
          <w:szCs w:val="24"/>
          <w:lang w:val="en-US"/>
        </w:rPr>
        <w:t xml:space="preserve"> (</w:t>
      </w:r>
      <w:r w:rsidR="007C789F" w:rsidRPr="00FE6084">
        <w:rPr>
          <w:rFonts w:ascii="Book Antiqua" w:hAnsi="Book Antiqua"/>
          <w:i/>
          <w:iCs/>
          <w:sz w:val="24"/>
          <w:szCs w:val="24"/>
          <w:lang w:val="en-US"/>
        </w:rPr>
        <w:t>P</w:t>
      </w:r>
      <w:r w:rsidR="007C789F" w:rsidRPr="00FE6084">
        <w:rPr>
          <w:rFonts w:ascii="Book Antiqua" w:hAnsi="Book Antiqua"/>
          <w:sz w:val="24"/>
          <w:szCs w:val="24"/>
          <w:lang w:val="en-US"/>
        </w:rPr>
        <w:t xml:space="preserve"> </w:t>
      </w:r>
      <w:r w:rsidRPr="00FE6084">
        <w:rPr>
          <w:rFonts w:ascii="Book Antiqua" w:hAnsi="Book Antiqua"/>
          <w:sz w:val="24"/>
          <w:szCs w:val="24"/>
          <w:lang w:val="en-US"/>
        </w:rPr>
        <w:t>=</w:t>
      </w:r>
      <w:r w:rsidR="007C789F" w:rsidRPr="00FE6084">
        <w:rPr>
          <w:rFonts w:ascii="Book Antiqua" w:hAnsi="Book Antiqua"/>
          <w:sz w:val="24"/>
          <w:szCs w:val="24"/>
          <w:lang w:val="en-US"/>
        </w:rPr>
        <w:t xml:space="preserve"> </w:t>
      </w:r>
      <w:r w:rsidRPr="00FE6084">
        <w:rPr>
          <w:rFonts w:ascii="Book Antiqua" w:hAnsi="Book Antiqua"/>
          <w:sz w:val="24"/>
          <w:szCs w:val="24"/>
          <w:lang w:val="en-US"/>
        </w:rPr>
        <w:t>0.0051)</w:t>
      </w:r>
      <w:r w:rsidR="00A76BBE" w:rsidRPr="00FE6084">
        <w:rPr>
          <w:rFonts w:ascii="Book Antiqua" w:hAnsi="Book Antiqua"/>
          <w:sz w:val="24"/>
          <w:szCs w:val="24"/>
          <w:lang w:val="en-US"/>
        </w:rPr>
        <w:t>. Furthermore, residen</w:t>
      </w:r>
      <w:r w:rsidR="00F15420" w:rsidRPr="00FE6084">
        <w:rPr>
          <w:rFonts w:ascii="Book Antiqua" w:hAnsi="Book Antiqua"/>
          <w:sz w:val="24"/>
          <w:szCs w:val="24"/>
          <w:lang w:val="en-US"/>
        </w:rPr>
        <w:t>ce in rural areas for at least one</w:t>
      </w:r>
      <w:r w:rsidR="00A76BBE" w:rsidRPr="00FE6084">
        <w:rPr>
          <w:rFonts w:ascii="Book Antiqua" w:hAnsi="Book Antiqua"/>
          <w:sz w:val="24"/>
          <w:szCs w:val="24"/>
          <w:lang w:val="en-US"/>
        </w:rPr>
        <w:t xml:space="preserve"> year was associated with a significantly higher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prevalence than continuous urban residency</w:t>
      </w:r>
      <w:r w:rsidR="00F15420" w:rsidRPr="00FE6084">
        <w:rPr>
          <w:rFonts w:ascii="Book Antiqua" w:hAnsi="Book Antiqua"/>
          <w:sz w:val="24"/>
          <w:szCs w:val="24"/>
          <w:lang w:val="en-US"/>
        </w:rPr>
        <w:t xml:space="preserve"> (</w:t>
      </w:r>
      <w:r w:rsidR="007C789F" w:rsidRPr="00FE6084">
        <w:rPr>
          <w:rFonts w:ascii="Book Antiqua" w:hAnsi="Book Antiqua"/>
          <w:i/>
          <w:iCs/>
          <w:sz w:val="24"/>
          <w:szCs w:val="24"/>
          <w:lang w:val="en-US"/>
        </w:rPr>
        <w:t>P</w:t>
      </w:r>
      <w:r w:rsidR="007C789F" w:rsidRPr="00FE6084">
        <w:rPr>
          <w:rFonts w:ascii="Book Antiqua" w:hAnsi="Book Antiqua"/>
          <w:sz w:val="24"/>
          <w:szCs w:val="24"/>
          <w:lang w:val="en-US"/>
        </w:rPr>
        <w:t xml:space="preserve"> </w:t>
      </w:r>
      <w:r w:rsidR="00F15420" w:rsidRPr="00FE6084">
        <w:rPr>
          <w:rFonts w:ascii="Book Antiqua" w:hAnsi="Book Antiqua"/>
          <w:sz w:val="24"/>
          <w:szCs w:val="24"/>
          <w:lang w:val="en-US"/>
        </w:rPr>
        <w:t>=</w:t>
      </w:r>
      <w:r w:rsidR="007C789F" w:rsidRPr="00FE6084">
        <w:rPr>
          <w:rFonts w:ascii="Book Antiqua" w:hAnsi="Book Antiqua"/>
          <w:sz w:val="24"/>
          <w:szCs w:val="24"/>
          <w:lang w:val="en-US"/>
        </w:rPr>
        <w:t xml:space="preserve"> </w:t>
      </w:r>
      <w:r w:rsidR="00F15420" w:rsidRPr="00FE6084">
        <w:rPr>
          <w:rFonts w:ascii="Book Antiqua" w:hAnsi="Book Antiqua"/>
          <w:sz w:val="24"/>
          <w:szCs w:val="24"/>
          <w:lang w:val="en-US"/>
        </w:rPr>
        <w:t>0.0003)</w:t>
      </w:r>
      <w:r w:rsidR="00A76BBE" w:rsidRPr="00FE6084">
        <w:rPr>
          <w:rFonts w:ascii="Book Antiqua" w:hAnsi="Book Antiqua"/>
          <w:sz w:val="24"/>
          <w:szCs w:val="24"/>
          <w:lang w:val="en-US"/>
        </w:rPr>
        <w:t xml:space="preserve">. Parameters related to occupation were also associated with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infection. A higher prevalence was established for industrial workers and agricultural workers than for office workers and non-agricultural workers, respectively</w:t>
      </w:r>
      <w:r w:rsidR="0025447E" w:rsidRPr="00FE6084">
        <w:rPr>
          <w:rFonts w:ascii="Book Antiqua" w:hAnsi="Book Antiqua"/>
          <w:sz w:val="24"/>
          <w:szCs w:val="24"/>
          <w:lang w:val="en-US"/>
        </w:rPr>
        <w:t xml:space="preserve">. </w:t>
      </w:r>
      <w:r w:rsidR="00A76BBE" w:rsidRPr="00FE6084">
        <w:rPr>
          <w:rFonts w:ascii="Book Antiqua" w:hAnsi="Book Antiqua"/>
          <w:sz w:val="24"/>
          <w:szCs w:val="24"/>
          <w:lang w:val="en-US"/>
        </w:rPr>
        <w:t xml:space="preserve">Coffee consumption and pet or domesticated animal rearing were associated with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infection, whereas the rate of </w:t>
      </w:r>
      <w:r w:rsidR="00FC7839" w:rsidRPr="00FC7839">
        <w:rPr>
          <w:rFonts w:ascii="Book Antiqua" w:hAnsi="Book Antiqua"/>
          <w:i/>
          <w:sz w:val="24"/>
          <w:szCs w:val="24"/>
          <w:lang w:val="en-US"/>
        </w:rPr>
        <w:t>H. pylori</w:t>
      </w:r>
      <w:r w:rsidR="00A76BBE" w:rsidRPr="00FE6084">
        <w:rPr>
          <w:rFonts w:ascii="Book Antiqua" w:hAnsi="Book Antiqua"/>
          <w:sz w:val="24"/>
          <w:szCs w:val="24"/>
          <w:lang w:val="en-US"/>
        </w:rPr>
        <w:t xml:space="preserve"> positivity was similar for the remaining </w:t>
      </w:r>
      <w:r w:rsidR="00137A64" w:rsidRPr="00FE6084">
        <w:rPr>
          <w:rFonts w:ascii="Book Antiqua" w:hAnsi="Book Antiqua"/>
          <w:sz w:val="24"/>
          <w:szCs w:val="24"/>
          <w:lang w:val="en-US"/>
        </w:rPr>
        <w:t>parameters</w:t>
      </w:r>
      <w:r w:rsidR="0025447E" w:rsidRPr="00FE6084">
        <w:rPr>
          <w:rFonts w:ascii="Book Antiqua" w:hAnsi="Book Antiqua"/>
          <w:sz w:val="24"/>
          <w:szCs w:val="24"/>
          <w:lang w:val="en-US"/>
        </w:rPr>
        <w:t>.</w:t>
      </w:r>
      <w:r w:rsidR="00C64F17" w:rsidRPr="00FE6084">
        <w:rPr>
          <w:rFonts w:ascii="Book Antiqua" w:hAnsi="Book Antiqua"/>
          <w:sz w:val="24"/>
          <w:szCs w:val="24"/>
          <w:lang w:val="en-US"/>
        </w:rPr>
        <w:t xml:space="preserve"> </w:t>
      </w:r>
      <w:r w:rsidR="006D782A" w:rsidRPr="00FE6084">
        <w:rPr>
          <w:rFonts w:ascii="Book Antiqua" w:hAnsi="Book Antiqua"/>
          <w:sz w:val="24"/>
          <w:szCs w:val="24"/>
          <w:shd w:val="clear" w:color="auto" w:fill="FFFFFF"/>
          <w:lang w:val="en-US"/>
        </w:rPr>
        <w:t>Detailed data are shown in</w:t>
      </w:r>
      <w:r w:rsidR="006D782A" w:rsidRPr="00FE6084">
        <w:rPr>
          <w:rFonts w:ascii="Book Antiqua" w:hAnsi="Book Antiqua"/>
          <w:sz w:val="24"/>
          <w:szCs w:val="24"/>
          <w:lang w:val="en-US"/>
        </w:rPr>
        <w:t xml:space="preserve"> Table 1</w:t>
      </w:r>
      <w:r w:rsidR="007C789F" w:rsidRPr="00FE6084">
        <w:rPr>
          <w:rFonts w:ascii="Book Antiqua" w:hAnsi="Book Antiqua"/>
          <w:sz w:val="24"/>
          <w:szCs w:val="24"/>
          <w:lang w:val="en-US"/>
        </w:rPr>
        <w:t>-</w:t>
      </w:r>
      <w:r w:rsidR="006D782A" w:rsidRPr="00FE6084">
        <w:rPr>
          <w:rFonts w:ascii="Book Antiqua" w:hAnsi="Book Antiqua"/>
          <w:sz w:val="24"/>
          <w:szCs w:val="24"/>
          <w:lang w:val="en-US"/>
        </w:rPr>
        <w:t>3</w:t>
      </w:r>
      <w:r w:rsidR="0025447E" w:rsidRPr="00FE6084">
        <w:rPr>
          <w:rFonts w:ascii="Book Antiqua" w:hAnsi="Book Antiqua"/>
          <w:sz w:val="24"/>
          <w:szCs w:val="24"/>
          <w:lang w:val="en-US"/>
        </w:rPr>
        <w:t>.</w:t>
      </w:r>
    </w:p>
    <w:p w:rsidR="00A76BBE" w:rsidRPr="00FE6084" w:rsidRDefault="00A76BBE" w:rsidP="00FE6084">
      <w:pPr>
        <w:adjustRightInd w:val="0"/>
        <w:snapToGrid w:val="0"/>
        <w:spacing w:after="0" w:line="360" w:lineRule="auto"/>
        <w:ind w:firstLineChars="100" w:firstLine="240"/>
        <w:jc w:val="both"/>
        <w:rPr>
          <w:rFonts w:ascii="Book Antiqua" w:hAnsi="Book Antiqua"/>
          <w:sz w:val="24"/>
          <w:szCs w:val="24"/>
          <w:lang w:val="en-US"/>
        </w:rPr>
      </w:pPr>
      <w:r w:rsidRPr="00FE6084">
        <w:rPr>
          <w:rFonts w:ascii="Book Antiqua" w:hAnsi="Book Antiqua"/>
          <w:sz w:val="24"/>
          <w:szCs w:val="24"/>
          <w:lang w:val="en-US"/>
        </w:rPr>
        <w:t xml:space="preserve">A significant positive association was observed between age and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positivity (Table 1). To rule out this strong effect of age, three age groups were formed for further analysis. In the youngest group, the presence of epigastric pain was an independent risk factor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positivity. By contrast, animal rearing was a risk factor for the middle age group, and male sex and living in rural </w:t>
      </w:r>
      <w:r w:rsidR="00F15420" w:rsidRPr="00FE6084">
        <w:rPr>
          <w:rFonts w:ascii="Book Antiqua" w:hAnsi="Book Antiqua"/>
          <w:sz w:val="24"/>
          <w:szCs w:val="24"/>
          <w:lang w:val="en-US"/>
        </w:rPr>
        <w:t>areas for at least one</w:t>
      </w:r>
      <w:r w:rsidRPr="00FE6084">
        <w:rPr>
          <w:rFonts w:ascii="Book Antiqua" w:hAnsi="Book Antiqua"/>
          <w:sz w:val="24"/>
          <w:szCs w:val="24"/>
          <w:lang w:val="en-US"/>
        </w:rPr>
        <w:t xml:space="preserve"> year were risk factors </w:t>
      </w:r>
      <w:r w:rsidR="00C64F17" w:rsidRPr="00FE6084">
        <w:rPr>
          <w:rFonts w:ascii="Book Antiqua" w:hAnsi="Book Antiqua"/>
          <w:sz w:val="24"/>
          <w:szCs w:val="24"/>
          <w:lang w:val="en-US"/>
        </w:rPr>
        <w:t>in the oldest age group (Table 4</w:t>
      </w:r>
      <w:r w:rsidRPr="00FE6084">
        <w:rPr>
          <w:rFonts w:ascii="Book Antiqua" w:hAnsi="Book Antiqua"/>
          <w:sz w:val="24"/>
          <w:szCs w:val="24"/>
          <w:lang w:val="en-US"/>
        </w:rPr>
        <w:t>).</w:t>
      </w:r>
    </w:p>
    <w:p w:rsidR="00A313F7" w:rsidRPr="00FE6084" w:rsidRDefault="00A313F7" w:rsidP="00FE6084">
      <w:pPr>
        <w:adjustRightInd w:val="0"/>
        <w:snapToGrid w:val="0"/>
        <w:spacing w:after="0" w:line="360" w:lineRule="auto"/>
        <w:jc w:val="both"/>
        <w:rPr>
          <w:rFonts w:ascii="Book Antiqua" w:hAnsi="Book Antiqua"/>
          <w:b/>
          <w:caps/>
          <w:sz w:val="24"/>
          <w:szCs w:val="24"/>
          <w:lang w:val="en-US"/>
        </w:rPr>
      </w:pPr>
    </w:p>
    <w:p w:rsidR="00A76BBE" w:rsidRPr="00FE6084" w:rsidRDefault="00A76BBE" w:rsidP="00FE6084">
      <w:pPr>
        <w:adjustRightInd w:val="0"/>
        <w:snapToGrid w:val="0"/>
        <w:spacing w:after="0" w:line="360" w:lineRule="auto"/>
        <w:jc w:val="both"/>
        <w:rPr>
          <w:rFonts w:ascii="Book Antiqua" w:hAnsi="Book Antiqua"/>
          <w:b/>
          <w:sz w:val="24"/>
          <w:szCs w:val="24"/>
          <w:lang w:val="en-US"/>
        </w:rPr>
      </w:pPr>
      <w:r w:rsidRPr="00FE6084">
        <w:rPr>
          <w:rFonts w:ascii="Book Antiqua" w:hAnsi="Book Antiqua"/>
          <w:b/>
          <w:caps/>
          <w:sz w:val="24"/>
          <w:szCs w:val="24"/>
          <w:lang w:val="en-US"/>
        </w:rPr>
        <w:t>Discussion</w:t>
      </w:r>
    </w:p>
    <w:p w:rsidR="00B07778" w:rsidRPr="00FE6084" w:rsidRDefault="00A76BBE" w:rsidP="00FE6084">
      <w:pPr>
        <w:pStyle w:val="a3"/>
        <w:adjustRightInd w:val="0"/>
        <w:snapToGrid w:val="0"/>
        <w:spacing w:line="360" w:lineRule="auto"/>
        <w:ind w:left="0"/>
        <w:contextualSpacing w:val="0"/>
        <w:jc w:val="both"/>
        <w:rPr>
          <w:rFonts w:ascii="Book Antiqua" w:hAnsi="Book Antiqua"/>
          <w:shd w:val="clear" w:color="auto" w:fill="FFFFFF"/>
          <w:lang w:val="en-US"/>
        </w:rPr>
      </w:pPr>
      <w:r w:rsidRPr="00FE6084">
        <w:rPr>
          <w:rFonts w:ascii="Book Antiqua" w:hAnsi="Book Antiqua"/>
          <w:shd w:val="clear" w:color="auto" w:fill="FFFFFF"/>
          <w:lang w:val="en-US"/>
        </w:rPr>
        <w:t xml:space="preserve">This prospective study proved that the Hungarian prevalence of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infection has followed international trends, falling to 32% over the last two decades. The prevalence between 1990 and 2000 was similar throughout the country (58.6%–63.3%) </w:t>
      </w:r>
      <w:r w:rsidRPr="00FE6084">
        <w:rPr>
          <w:rFonts w:ascii="Book Antiqua" w:hAnsi="Book Antiqua"/>
          <w:shd w:val="clear" w:color="auto" w:fill="FFFFFF"/>
          <w:lang w:val="en-US"/>
        </w:rPr>
        <w:lastRenderedPageBreak/>
        <w:t>excluding the capital, in which the prevalence was only 47.3%</w:t>
      </w:r>
      <w:r w:rsidR="00C64F17" w:rsidRPr="00FE6084">
        <w:rPr>
          <w:rFonts w:ascii="Book Antiqua" w:hAnsi="Book Antiqua"/>
          <w:shd w:val="clear" w:color="auto" w:fill="FFFFFF"/>
          <w:lang w:val="en-US"/>
        </w:rPr>
        <w:t xml:space="preserve"> (Table 5</w:t>
      </w:r>
      <w:r w:rsidRPr="00FE6084">
        <w:rPr>
          <w:rFonts w:ascii="Book Antiqua" w:hAnsi="Book Antiqua"/>
          <w:shd w:val="clear" w:color="auto" w:fill="FFFFFF"/>
          <w:lang w:val="en-US"/>
        </w:rPr>
        <w:t>).</w:t>
      </w:r>
      <w:r w:rsidR="006D782A" w:rsidRPr="00FE6084">
        <w:rPr>
          <w:rFonts w:ascii="Book Antiqua" w:hAnsi="Book Antiqua"/>
          <w:shd w:val="clear" w:color="auto" w:fill="FFFFFF"/>
          <w:lang w:val="en-US"/>
        </w:rPr>
        <w:t xml:space="preserve"> </w:t>
      </w:r>
      <w:r w:rsidRPr="00FE6084">
        <w:rPr>
          <w:rFonts w:ascii="Book Antiqua" w:hAnsi="Book Antiqua"/>
          <w:shd w:val="clear" w:color="auto" w:fill="FFFFFF"/>
          <w:lang w:val="en-US"/>
        </w:rPr>
        <w:t xml:space="preserve">Although the Southeastern region of the country was not studied prospectively before this study, the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Workgroup of our institute conducted a retrospective analysis in 2005 and 2010 among patients with dyspepsia and gastroduodenal ulcer disease. </w:t>
      </w:r>
      <w:r w:rsidR="004E5CDF" w:rsidRPr="00FE6084">
        <w:rPr>
          <w:rFonts w:ascii="Book Antiqua" w:hAnsi="Book Antiqua"/>
          <w:shd w:val="clear" w:color="auto" w:fill="FFFFFF"/>
          <w:lang w:val="en-US"/>
        </w:rPr>
        <w:t>The rate of seropositivity decreased from 46% to 38%</w:t>
      </w:r>
      <w:r w:rsidR="00015C2D" w:rsidRPr="00FE6084">
        <w:rPr>
          <w:rFonts w:ascii="Book Antiqua" w:hAnsi="Book Antiqua"/>
          <w:shd w:val="clear" w:color="auto" w:fill="FFFFFF"/>
          <w:lang w:val="en-US"/>
        </w:rPr>
        <w:t xml:space="preserve">. </w:t>
      </w:r>
      <w:r w:rsidR="004E5CDF" w:rsidRPr="00FE6084">
        <w:rPr>
          <w:rFonts w:ascii="Book Antiqua" w:hAnsi="Book Antiqua"/>
          <w:shd w:val="clear" w:color="auto" w:fill="FFFFFF"/>
          <w:lang w:val="en-US"/>
        </w:rPr>
        <w:t xml:space="preserve">The 2017 meta-analysis used two periods to analyze the changes of prevalence trend. The </w:t>
      </w:r>
      <w:r w:rsidR="00FC7839" w:rsidRPr="00FC7839">
        <w:rPr>
          <w:rFonts w:ascii="Book Antiqua" w:hAnsi="Book Antiqua"/>
          <w:i/>
          <w:shd w:val="clear" w:color="auto" w:fill="FFFFFF"/>
          <w:lang w:val="en-US"/>
        </w:rPr>
        <w:t>H. pylori</w:t>
      </w:r>
      <w:r w:rsidR="004E5CDF" w:rsidRPr="00FE6084">
        <w:rPr>
          <w:rFonts w:ascii="Book Antiqua" w:hAnsi="Book Antiqua"/>
          <w:shd w:val="clear" w:color="auto" w:fill="FFFFFF"/>
          <w:lang w:val="en-US"/>
        </w:rPr>
        <w:t xml:space="preserve"> prevalence after 2000 was lower than that before 2000 in Europe (48.8 </w:t>
      </w:r>
      <w:r w:rsidR="00B3197A" w:rsidRPr="00FE6084">
        <w:rPr>
          <w:rFonts w:ascii="Book Antiqua" w:hAnsi="Book Antiqua"/>
          <w:i/>
          <w:shd w:val="clear" w:color="auto" w:fill="FFFFFF"/>
          <w:lang w:val="en-US"/>
        </w:rPr>
        <w:t>vs</w:t>
      </w:r>
      <w:r w:rsidR="004E5CDF" w:rsidRPr="00FE6084">
        <w:rPr>
          <w:rFonts w:ascii="Book Antiqua" w:hAnsi="Book Antiqua"/>
          <w:shd w:val="clear" w:color="auto" w:fill="FFFFFF"/>
          <w:lang w:val="en-US"/>
        </w:rPr>
        <w:t xml:space="preserve"> 39.8), North America (42.7% </w:t>
      </w:r>
      <w:r w:rsidR="00B3197A" w:rsidRPr="00FE6084">
        <w:rPr>
          <w:rFonts w:ascii="Book Antiqua" w:hAnsi="Book Antiqua"/>
          <w:i/>
          <w:shd w:val="clear" w:color="auto" w:fill="FFFFFF"/>
          <w:lang w:val="en-US"/>
        </w:rPr>
        <w:t>vs</w:t>
      </w:r>
      <w:r w:rsidR="004E5CDF" w:rsidRPr="00FE6084">
        <w:rPr>
          <w:rFonts w:ascii="Book Antiqua" w:hAnsi="Book Antiqua"/>
          <w:shd w:val="clear" w:color="auto" w:fill="FFFFFF"/>
          <w:lang w:val="en-US"/>
        </w:rPr>
        <w:t xml:space="preserve"> 26.6%), and Oceania (26.6% </w:t>
      </w:r>
      <w:r w:rsidR="00B3197A" w:rsidRPr="00FE6084">
        <w:rPr>
          <w:rFonts w:ascii="Book Antiqua" w:hAnsi="Book Antiqua"/>
          <w:i/>
          <w:shd w:val="clear" w:color="auto" w:fill="FFFFFF"/>
          <w:lang w:val="en-US"/>
        </w:rPr>
        <w:t>vs</w:t>
      </w:r>
      <w:r w:rsidR="004E5CDF" w:rsidRPr="00FE6084">
        <w:rPr>
          <w:rFonts w:ascii="Book Antiqua" w:hAnsi="Book Antiqua"/>
          <w:shd w:val="clear" w:color="auto" w:fill="FFFFFF"/>
          <w:lang w:val="en-US"/>
        </w:rPr>
        <w:t xml:space="preserve"> 18.7%). </w:t>
      </w:r>
      <w:r w:rsidRPr="00FE6084">
        <w:rPr>
          <w:rFonts w:ascii="Book Antiqua" w:hAnsi="Book Antiqua"/>
          <w:shd w:val="clear" w:color="auto" w:fill="FFFFFF"/>
          <w:lang w:val="en-US"/>
        </w:rPr>
        <w:t xml:space="preserve">In the surrounding Central European countries, such as the Czech Republic and Slovakia, the prevalence of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infection followed the trends of our region, decreasing from 42% to 23%</w:t>
      </w:r>
      <w:r w:rsidR="00B07778" w:rsidRPr="00FE6084">
        <w:rPr>
          <w:rFonts w:ascii="Book Antiqua" w:hAnsi="Book Antiqua"/>
          <w:shd w:val="clear" w:color="auto" w:fill="FFFFFF"/>
          <w:lang w:val="en-US"/>
        </w:rPr>
        <w:t xml:space="preserve"> after 10 years</w:t>
      </w:r>
      <w:r w:rsidRPr="00FE6084">
        <w:rPr>
          <w:rFonts w:ascii="Book Antiqua" w:hAnsi="Book Antiqua"/>
          <w:shd w:val="clear" w:color="auto" w:fill="FFFFFF"/>
          <w:lang w:val="en-US"/>
        </w:rPr>
        <w:t xml:space="preserve"> in the former from 62% to 35%</w:t>
      </w:r>
      <w:r w:rsidR="00B07778" w:rsidRPr="00FE6084">
        <w:rPr>
          <w:rFonts w:ascii="Book Antiqua" w:hAnsi="Book Antiqua"/>
          <w:shd w:val="clear" w:color="auto" w:fill="FFFFFF"/>
          <w:lang w:val="en-US"/>
        </w:rPr>
        <w:t xml:space="preserve"> after 15 years</w:t>
      </w:r>
      <w:r w:rsidRPr="00FE6084">
        <w:rPr>
          <w:rFonts w:ascii="Book Antiqua" w:hAnsi="Book Antiqua"/>
          <w:shd w:val="clear" w:color="auto" w:fill="FFFFFF"/>
          <w:lang w:val="en-US"/>
        </w:rPr>
        <w:t xml:space="preserve"> in the latter</w:t>
      </w:r>
      <w:r w:rsidR="008353D8" w:rsidRPr="00FE6084">
        <w:rPr>
          <w:rFonts w:ascii="Book Antiqua" w:hAnsi="Book Antiqua"/>
          <w:vertAlign w:val="superscript"/>
        </w:rPr>
        <w:t>[4,6,15</w:t>
      </w:r>
      <w:r w:rsidR="007C789F" w:rsidRPr="00FE6084">
        <w:rPr>
          <w:rFonts w:ascii="Book Antiqua" w:hAnsi="Book Antiqua"/>
          <w:vertAlign w:val="superscript"/>
        </w:rPr>
        <w:t>-</w:t>
      </w:r>
      <w:r w:rsidR="008353D8" w:rsidRPr="00FE6084">
        <w:rPr>
          <w:rFonts w:ascii="Book Antiqua" w:hAnsi="Book Antiqua"/>
          <w:vertAlign w:val="superscript"/>
        </w:rPr>
        <w:t>21]</w:t>
      </w:r>
      <w:r w:rsidR="00FA0B5C" w:rsidRPr="00FE6084">
        <w:rPr>
          <w:rFonts w:ascii="Book Antiqua" w:hAnsi="Book Antiqua"/>
          <w:shd w:val="clear" w:color="auto" w:fill="FFFFFF"/>
          <w:lang w:val="en-US"/>
        </w:rPr>
        <w:t>.</w:t>
      </w:r>
      <w:r w:rsidR="005404DE" w:rsidRPr="00FE6084">
        <w:rPr>
          <w:rFonts w:ascii="Book Antiqua" w:hAnsi="Book Antiqua"/>
          <w:vertAlign w:val="superscript"/>
        </w:rPr>
        <w:t xml:space="preserve"> </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shd w:val="clear" w:color="auto" w:fill="FFFFFF"/>
          <w:lang w:val="en-US"/>
        </w:rPr>
      </w:pPr>
      <w:r w:rsidRPr="00FE6084">
        <w:rPr>
          <w:rFonts w:ascii="Book Antiqua" w:hAnsi="Book Antiqua"/>
          <w:lang w:val="en-US"/>
        </w:rPr>
        <w:t xml:space="preserve">Having examined the potential factors associated with a higher </w:t>
      </w:r>
      <w:r w:rsidR="00FC7839" w:rsidRPr="00FC7839">
        <w:rPr>
          <w:rFonts w:ascii="Book Antiqua" w:hAnsi="Book Antiqua"/>
          <w:i/>
          <w:lang w:val="en-US"/>
        </w:rPr>
        <w:t>H. pylori</w:t>
      </w:r>
      <w:r w:rsidRPr="00FE6084">
        <w:rPr>
          <w:rFonts w:ascii="Book Antiqua" w:hAnsi="Book Antiqua"/>
          <w:lang w:val="en-US"/>
        </w:rPr>
        <w:t xml:space="preserve"> prevalence, our results were in concordance with previous observations revealing a positive linear association with age. </w:t>
      </w:r>
      <w:r w:rsidRPr="00FE6084">
        <w:rPr>
          <w:rFonts w:ascii="Book Antiqua" w:hAnsi="Book Antiqua"/>
          <w:shd w:val="clear" w:color="auto" w:fill="FFFFFF"/>
          <w:lang w:val="en-US"/>
        </w:rPr>
        <w:t xml:space="preserve">Furthermore, our study supported findings that rural subjects are more likely to be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-positive positive than urban residents. Although we could not establish a significant effect of gender on the seroprevalence, it is impressive that older rural males have an approximately sixfold higher risk of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positivity than young urban females (61.29% </w:t>
      </w:r>
      <w:r w:rsidR="00B3197A" w:rsidRPr="00FE6084">
        <w:rPr>
          <w:rFonts w:ascii="Book Antiqua" w:hAnsi="Book Antiqua"/>
          <w:i/>
          <w:shd w:val="clear" w:color="auto" w:fill="FFFFFF"/>
          <w:lang w:val="en-US"/>
        </w:rPr>
        <w:t>vs</w:t>
      </w:r>
      <w:r w:rsidRPr="00FE6084">
        <w:rPr>
          <w:rFonts w:ascii="Book Antiqua" w:hAnsi="Book Antiqua"/>
          <w:shd w:val="clear" w:color="auto" w:fill="FFFFFF"/>
          <w:lang w:val="en-US"/>
        </w:rPr>
        <w:t xml:space="preserve"> 11.11%</w:t>
      </w:r>
      <w:r w:rsidR="00DB5226" w:rsidRPr="00FE6084">
        <w:rPr>
          <w:rFonts w:ascii="Book Antiqua" w:hAnsi="Book Antiqua"/>
          <w:shd w:val="clear" w:color="auto" w:fill="FFFFFF"/>
          <w:lang w:val="en-US"/>
        </w:rPr>
        <w:t xml:space="preserve"> </w:t>
      </w:r>
      <w:r w:rsidR="001D4DFF" w:rsidRPr="00FE6084">
        <w:rPr>
          <w:rFonts w:ascii="Book Antiqua" w:hAnsi="Book Antiqua"/>
          <w:i/>
          <w:iCs/>
          <w:shd w:val="clear" w:color="auto" w:fill="FFFFFF"/>
          <w:lang w:val="en-US"/>
        </w:rPr>
        <w:t xml:space="preserve">P </w:t>
      </w:r>
      <w:r w:rsidR="00DB5226" w:rsidRPr="00FE6084">
        <w:rPr>
          <w:rFonts w:ascii="Book Antiqua" w:hAnsi="Book Antiqua"/>
          <w:shd w:val="clear" w:color="auto" w:fill="FFFFFF"/>
          <w:lang w:val="en-US"/>
        </w:rPr>
        <w:t>&lt;</w:t>
      </w:r>
      <w:r w:rsidR="001D4DFF" w:rsidRPr="00FE6084">
        <w:rPr>
          <w:rFonts w:ascii="Book Antiqua" w:hAnsi="Book Antiqua"/>
          <w:shd w:val="clear" w:color="auto" w:fill="FFFFFF"/>
          <w:lang w:val="en-US"/>
        </w:rPr>
        <w:t xml:space="preserve"> </w:t>
      </w:r>
      <w:r w:rsidR="00DB5226" w:rsidRPr="00FE6084">
        <w:rPr>
          <w:rFonts w:ascii="Book Antiqua" w:hAnsi="Book Antiqua"/>
          <w:shd w:val="clear" w:color="auto" w:fill="FFFFFF"/>
          <w:lang w:val="en-US"/>
        </w:rPr>
        <w:t>0.0001</w:t>
      </w:r>
      <w:r w:rsidRPr="00FE6084">
        <w:rPr>
          <w:rFonts w:ascii="Book Antiqua" w:hAnsi="Book Antiqua"/>
          <w:shd w:val="clear" w:color="auto" w:fill="FFFFFF"/>
          <w:lang w:val="en-US"/>
        </w:rPr>
        <w:t>).</w:t>
      </w:r>
      <w:r w:rsidRPr="00FE6084">
        <w:rPr>
          <w:rFonts w:ascii="Book Antiqua" w:hAnsi="Book Antiqua"/>
          <w:lang w:val="en-US"/>
        </w:rPr>
        <w:t xml:space="preserve"> Such results are most commonly explained by differences in socioeconomic status and household hygiene of the family during childhood. </w:t>
      </w:r>
      <w:r w:rsidR="00AB617A" w:rsidRPr="00FE6084">
        <w:rPr>
          <w:rFonts w:ascii="Book Antiqua" w:hAnsi="Book Antiqua"/>
          <w:lang w:val="en-US"/>
        </w:rPr>
        <w:t>Furthermore</w:t>
      </w:r>
      <w:r w:rsidR="00137A64" w:rsidRPr="00FE6084">
        <w:rPr>
          <w:rFonts w:ascii="Book Antiqua" w:hAnsi="Book Antiqua"/>
          <w:lang w:val="en-US"/>
        </w:rPr>
        <w:t>,</w:t>
      </w:r>
      <w:r w:rsidR="00AB617A" w:rsidRPr="00FE6084">
        <w:rPr>
          <w:rFonts w:ascii="Book Antiqua" w:hAnsi="Book Antiqua"/>
          <w:lang w:val="en-US"/>
        </w:rPr>
        <w:t xml:space="preserve"> </w:t>
      </w:r>
      <w:r w:rsidR="00960804" w:rsidRPr="00FE6084">
        <w:rPr>
          <w:rFonts w:ascii="Book Antiqua" w:hAnsi="Book Antiqua"/>
          <w:lang w:val="en-US"/>
        </w:rPr>
        <w:t>a new original finding is that</w:t>
      </w:r>
      <w:r w:rsidR="00AB617A" w:rsidRPr="00FE6084">
        <w:rPr>
          <w:rFonts w:ascii="Book Antiqua" w:hAnsi="Book Antiqua"/>
          <w:lang w:val="en-US"/>
        </w:rPr>
        <w:t xml:space="preserve"> people who lived </w:t>
      </w:r>
      <w:r w:rsidR="00467F77" w:rsidRPr="00FE6084">
        <w:rPr>
          <w:rFonts w:ascii="Book Antiqua" w:hAnsi="Book Antiqua"/>
          <w:lang w:val="en-US"/>
        </w:rPr>
        <w:t xml:space="preserve">in rural conditions for </w:t>
      </w:r>
      <w:r w:rsidR="00AB617A" w:rsidRPr="00FE6084">
        <w:rPr>
          <w:rFonts w:ascii="Book Antiqua" w:hAnsi="Book Antiqua"/>
          <w:lang w:val="en-US"/>
        </w:rPr>
        <w:t xml:space="preserve">at least </w:t>
      </w:r>
      <w:r w:rsidR="00F15420" w:rsidRPr="00FE6084">
        <w:rPr>
          <w:rFonts w:ascii="Book Antiqua" w:hAnsi="Book Antiqua"/>
          <w:lang w:val="en-US"/>
        </w:rPr>
        <w:t>one</w:t>
      </w:r>
      <w:r w:rsidR="00AB617A" w:rsidRPr="00FE6084">
        <w:rPr>
          <w:rFonts w:ascii="Book Antiqua" w:hAnsi="Book Antiqua"/>
          <w:lang w:val="en-US"/>
        </w:rPr>
        <w:t xml:space="preserve"> year also </w:t>
      </w:r>
      <w:r w:rsidR="00467F77" w:rsidRPr="00FE6084">
        <w:rPr>
          <w:rFonts w:ascii="Book Antiqua" w:hAnsi="Book Antiqua"/>
          <w:lang w:val="en-US"/>
        </w:rPr>
        <w:t xml:space="preserve">had </w:t>
      </w:r>
      <w:r w:rsidR="00AB617A" w:rsidRPr="00FE6084">
        <w:rPr>
          <w:rFonts w:ascii="Book Antiqua" w:hAnsi="Book Antiqua"/>
          <w:lang w:val="en-US"/>
        </w:rPr>
        <w:t>an increased risk</w:t>
      </w:r>
      <w:r w:rsidR="00960804" w:rsidRPr="00FE6084">
        <w:rPr>
          <w:rFonts w:ascii="Book Antiqua" w:hAnsi="Book Antiqua"/>
          <w:lang w:val="en-US"/>
        </w:rPr>
        <w:t xml:space="preserve"> for </w:t>
      </w:r>
      <w:r w:rsidR="00FC7839" w:rsidRPr="00FC7839">
        <w:rPr>
          <w:rFonts w:ascii="Book Antiqua" w:hAnsi="Book Antiqua"/>
          <w:i/>
          <w:lang w:val="en-US"/>
        </w:rPr>
        <w:t>H. pylori</w:t>
      </w:r>
      <w:r w:rsidR="00960804" w:rsidRPr="00FE6084">
        <w:rPr>
          <w:rFonts w:ascii="Book Antiqua" w:hAnsi="Book Antiqua"/>
          <w:lang w:val="en-US"/>
        </w:rPr>
        <w:t xml:space="preserve"> seropositivity</w:t>
      </w:r>
      <w:r w:rsidR="00AB617A" w:rsidRPr="00FE6084">
        <w:rPr>
          <w:rFonts w:ascii="Book Antiqua" w:hAnsi="Book Antiqua"/>
          <w:lang w:val="en-US"/>
        </w:rPr>
        <w:t xml:space="preserve">. </w:t>
      </w:r>
      <w:r w:rsidRPr="00FE6084">
        <w:rPr>
          <w:rFonts w:ascii="Book Antiqua" w:hAnsi="Book Antiqua"/>
          <w:lang w:val="en-US"/>
        </w:rPr>
        <w:t xml:space="preserve">An evaluation of the occupations of the subjects provided further proof that socioeconomic factors can influence </w:t>
      </w:r>
      <w:r w:rsidR="00FC7839" w:rsidRPr="00FC7839">
        <w:rPr>
          <w:rFonts w:ascii="Book Antiqua" w:hAnsi="Book Antiqua"/>
          <w:i/>
          <w:lang w:val="en-US"/>
        </w:rPr>
        <w:t>H. pylori</w:t>
      </w:r>
      <w:r w:rsidRPr="00FE6084">
        <w:rPr>
          <w:rFonts w:ascii="Book Antiqua" w:hAnsi="Book Antiqua"/>
          <w:lang w:val="en-US"/>
        </w:rPr>
        <w:t xml:space="preserve"> infection risk. </w:t>
      </w:r>
      <w:r w:rsidRPr="00FE6084">
        <w:rPr>
          <w:rFonts w:ascii="Book Antiqua" w:hAnsi="Book Antiqua"/>
          <w:shd w:val="clear" w:color="auto" w:fill="FFFFFF"/>
          <w:lang w:val="en-US"/>
        </w:rPr>
        <w:t>Meanwhile, the lack of difference in risk between urban and rural residence can be explained by the general improvement of living standards in our country over the last two decades, as most rural people currently have access to wat</w:t>
      </w:r>
      <w:r w:rsidR="001550D1" w:rsidRPr="00FE6084">
        <w:rPr>
          <w:rFonts w:ascii="Book Antiqua" w:hAnsi="Book Antiqua"/>
          <w:shd w:val="clear" w:color="auto" w:fill="FFFFFF"/>
          <w:lang w:val="en-US"/>
        </w:rPr>
        <w:t>er supply and sanitation</w:t>
      </w:r>
      <w:r w:rsidR="008353D8" w:rsidRPr="00FE6084">
        <w:rPr>
          <w:rFonts w:ascii="Book Antiqua" w:hAnsi="Book Antiqua"/>
          <w:vertAlign w:val="superscript"/>
        </w:rPr>
        <w:t>[6</w:t>
      </w:r>
      <w:r w:rsidR="001D4DFF" w:rsidRPr="00FE6084">
        <w:rPr>
          <w:rFonts w:ascii="Book Antiqua" w:hAnsi="Book Antiqua"/>
          <w:vertAlign w:val="superscript"/>
        </w:rPr>
        <w:t>-</w:t>
      </w:r>
      <w:r w:rsidR="008353D8" w:rsidRPr="00FE6084">
        <w:rPr>
          <w:rFonts w:ascii="Book Antiqua" w:hAnsi="Book Antiqua"/>
          <w:vertAlign w:val="superscript"/>
        </w:rPr>
        <w:t>8,16,20</w:t>
      </w:r>
      <w:r w:rsidR="001D4DFF" w:rsidRPr="00FE6084">
        <w:rPr>
          <w:rFonts w:ascii="Book Antiqua" w:hAnsi="Book Antiqua"/>
          <w:vertAlign w:val="superscript"/>
        </w:rPr>
        <w:t>-</w:t>
      </w:r>
      <w:r w:rsidR="008353D8" w:rsidRPr="00FE6084">
        <w:rPr>
          <w:rFonts w:ascii="Book Antiqua" w:hAnsi="Book Antiqua"/>
          <w:vertAlign w:val="superscript"/>
        </w:rPr>
        <w:t>23]</w:t>
      </w:r>
      <w:r w:rsidR="00FA0B5C" w:rsidRPr="00FE6084">
        <w:rPr>
          <w:rFonts w:ascii="Book Antiqua" w:hAnsi="Book Antiqua"/>
          <w:shd w:val="clear" w:color="auto" w:fill="FFFFFF"/>
          <w:lang w:val="en-US"/>
        </w:rPr>
        <w:t>.</w:t>
      </w:r>
      <w:r w:rsidR="00015C2D" w:rsidRPr="00FE6084">
        <w:rPr>
          <w:rFonts w:ascii="Book Antiqua" w:hAnsi="Book Antiqua"/>
          <w:vertAlign w:val="superscript"/>
        </w:rPr>
        <w:t xml:space="preserve"> </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lang w:val="en-US"/>
        </w:rPr>
      </w:pPr>
      <w:r w:rsidRPr="00FE6084">
        <w:rPr>
          <w:rFonts w:ascii="Book Antiqua" w:hAnsi="Book Antiqua"/>
          <w:shd w:val="clear" w:color="auto" w:fill="FFFFFF"/>
          <w:lang w:val="en-US"/>
        </w:rPr>
        <w:t xml:space="preserve">The link between epigastric pain and </w:t>
      </w:r>
      <w:r w:rsidR="00FC7839" w:rsidRPr="00FC7839">
        <w:rPr>
          <w:rFonts w:ascii="Book Antiqua" w:hAnsi="Book Antiqua"/>
          <w:i/>
          <w:shd w:val="clear" w:color="auto" w:fill="FFFFFF"/>
          <w:lang w:val="en-US"/>
        </w:rPr>
        <w:t>H. pylori</w:t>
      </w:r>
      <w:r w:rsidRPr="00FE6084">
        <w:rPr>
          <w:rFonts w:ascii="Book Antiqua" w:hAnsi="Book Antiqua"/>
          <w:shd w:val="clear" w:color="auto" w:fill="FFFFFF"/>
          <w:lang w:val="en-US"/>
        </w:rPr>
        <w:t xml:space="preserve"> seropositivity among young subjects </w:t>
      </w:r>
      <w:r w:rsidRPr="00FE6084">
        <w:rPr>
          <w:rFonts w:ascii="Book Antiqua" w:hAnsi="Book Antiqua"/>
          <w:lang w:val="en-US"/>
        </w:rPr>
        <w:t>supports the currently accepted</w:t>
      </w:r>
      <w:r w:rsidR="007D1B20" w:rsidRPr="00FE6084">
        <w:rPr>
          <w:rFonts w:ascii="Book Antiqua" w:hAnsi="Book Antiqua"/>
          <w:lang w:val="en-US"/>
        </w:rPr>
        <w:t>, Rome IV</w:t>
      </w:r>
      <w:r w:rsidRPr="00FE6084">
        <w:rPr>
          <w:rFonts w:ascii="Book Antiqua" w:hAnsi="Book Antiqua"/>
          <w:lang w:val="en-US"/>
        </w:rPr>
        <w:t xml:space="preserve"> diagnostic protocol for functional dyspepsia, which states the excluding </w:t>
      </w:r>
      <w:r w:rsidR="00FC7839" w:rsidRPr="00FC7839">
        <w:rPr>
          <w:rFonts w:ascii="Book Antiqua" w:hAnsi="Book Antiqua"/>
          <w:i/>
          <w:lang w:val="en-US"/>
        </w:rPr>
        <w:t>H. pylori</w:t>
      </w:r>
      <w:r w:rsidRPr="00FE6084">
        <w:rPr>
          <w:rFonts w:ascii="Book Antiqua" w:hAnsi="Book Antiqua"/>
          <w:lang w:val="en-US"/>
        </w:rPr>
        <w:t xml:space="preserve"> infection</w:t>
      </w:r>
      <w:r w:rsidR="007D1B20" w:rsidRPr="00FE6084">
        <w:rPr>
          <w:rFonts w:ascii="Book Antiqua" w:hAnsi="Book Antiqua"/>
          <w:lang w:val="en-US"/>
        </w:rPr>
        <w:t xml:space="preserve"> (known as “</w:t>
      </w:r>
      <w:r w:rsidR="00FC7839" w:rsidRPr="00FC7839">
        <w:rPr>
          <w:rFonts w:ascii="Book Antiqua" w:hAnsi="Book Antiqua"/>
          <w:i/>
          <w:lang w:val="en-US"/>
        </w:rPr>
        <w:t>H. pylori</w:t>
      </w:r>
      <w:r w:rsidR="007D1B20" w:rsidRPr="00FE6084">
        <w:rPr>
          <w:rFonts w:ascii="Book Antiqua" w:hAnsi="Book Antiqua"/>
          <w:lang w:val="en-US"/>
        </w:rPr>
        <w:t>-associated dyspepsia”)</w:t>
      </w:r>
      <w:r w:rsidRPr="00FE6084">
        <w:rPr>
          <w:rFonts w:ascii="Book Antiqua" w:hAnsi="Book Antiqua"/>
          <w:lang w:val="en-US"/>
        </w:rPr>
        <w:t xml:space="preserve"> should be the first step in the presence of such symptoms. </w:t>
      </w:r>
      <w:r w:rsidRPr="00FE6084">
        <w:rPr>
          <w:rFonts w:ascii="Book Antiqua" w:hAnsi="Book Antiqua"/>
          <w:lang w:val="en-US"/>
        </w:rPr>
        <w:lastRenderedPageBreak/>
        <w:t xml:space="preserve">Conversely, improved household hygiene in recent decades likely explains the lack of a relationship between socioeconomic status and </w:t>
      </w:r>
      <w:r w:rsidR="00FC7839" w:rsidRPr="00FC7839">
        <w:rPr>
          <w:rFonts w:ascii="Book Antiqua" w:hAnsi="Book Antiqua"/>
          <w:i/>
          <w:lang w:val="en-US"/>
        </w:rPr>
        <w:t>H. pylori</w:t>
      </w:r>
      <w:r w:rsidRPr="00FE6084">
        <w:rPr>
          <w:rFonts w:ascii="Book Antiqua" w:hAnsi="Book Antiqua"/>
          <w:lang w:val="en-US"/>
        </w:rPr>
        <w:t xml:space="preserve"> prevalence in this group. The findings </w:t>
      </w:r>
      <w:r w:rsidR="00691D58" w:rsidRPr="00FE6084">
        <w:rPr>
          <w:rFonts w:ascii="Book Antiqua" w:hAnsi="Book Antiqua"/>
          <w:lang w:val="en-US"/>
        </w:rPr>
        <w:t xml:space="preserve">further supported </w:t>
      </w:r>
      <w:r w:rsidRPr="00FE6084">
        <w:rPr>
          <w:rFonts w:ascii="Book Antiqua" w:hAnsi="Book Antiqua"/>
          <w:lang w:val="en-US"/>
        </w:rPr>
        <w:t xml:space="preserve">the hypothesis that </w:t>
      </w:r>
      <w:r w:rsidR="00691D58" w:rsidRPr="00FE6084">
        <w:rPr>
          <w:rFonts w:ascii="Book Antiqua" w:hAnsi="Book Antiqua"/>
          <w:lang w:val="en-US"/>
        </w:rPr>
        <w:t xml:space="preserve">hygiene </w:t>
      </w:r>
      <w:r w:rsidRPr="00FE6084">
        <w:rPr>
          <w:rFonts w:ascii="Book Antiqua" w:hAnsi="Book Antiqua"/>
          <w:lang w:val="en-US"/>
        </w:rPr>
        <w:t>differences between urban and rural</w:t>
      </w:r>
      <w:r w:rsidR="00467F77" w:rsidRPr="00FE6084">
        <w:rPr>
          <w:rFonts w:ascii="Book Antiqua" w:hAnsi="Book Antiqua"/>
          <w:lang w:val="en-US"/>
        </w:rPr>
        <w:t xml:space="preserve"> areas</w:t>
      </w:r>
      <w:r w:rsidRPr="00FE6084">
        <w:rPr>
          <w:rFonts w:ascii="Book Antiqua" w:hAnsi="Book Antiqua"/>
          <w:lang w:val="en-US"/>
        </w:rPr>
        <w:t xml:space="preserve"> were more significant </w:t>
      </w:r>
      <w:r w:rsidR="00691D58" w:rsidRPr="00FE6084">
        <w:rPr>
          <w:rFonts w:ascii="Book Antiqua" w:hAnsi="Book Antiqua"/>
          <w:lang w:val="en-US"/>
        </w:rPr>
        <w:t>at their childhood than nowadays</w:t>
      </w:r>
      <w:r w:rsidR="0025447E" w:rsidRPr="00FE6084">
        <w:rPr>
          <w:rFonts w:ascii="Book Antiqua" w:hAnsi="Book Antiqua"/>
          <w:lang w:val="en-US"/>
        </w:rPr>
        <w:t>.</w:t>
      </w:r>
      <w:r w:rsidR="00467F77" w:rsidRPr="00FE6084">
        <w:rPr>
          <w:rFonts w:ascii="Book Antiqua" w:hAnsi="Book Antiqua"/>
          <w:lang w:val="en-US"/>
        </w:rPr>
        <w:t xml:space="preserve"> In addition,</w:t>
      </w:r>
      <w:r w:rsidR="00691D58" w:rsidRPr="00FE6084">
        <w:rPr>
          <w:rFonts w:ascii="Book Antiqua" w:hAnsi="Book Antiqua"/>
          <w:lang w:val="en-US"/>
        </w:rPr>
        <w:t xml:space="preserve"> young males had poorer hygiene</w:t>
      </w:r>
      <w:r w:rsidR="0025447E" w:rsidRPr="00FE6084">
        <w:rPr>
          <w:rFonts w:ascii="Book Antiqua" w:hAnsi="Book Antiqua"/>
          <w:lang w:val="en-US"/>
        </w:rPr>
        <w:t>,</w:t>
      </w:r>
      <w:r w:rsidR="00691D58" w:rsidRPr="00FE6084">
        <w:rPr>
          <w:rFonts w:ascii="Book Antiqua" w:hAnsi="Book Antiqua"/>
          <w:lang w:val="en-US"/>
        </w:rPr>
        <w:t xml:space="preserve"> than young females at that </w:t>
      </w:r>
      <w:r w:rsidR="002B2C94" w:rsidRPr="00FE6084">
        <w:rPr>
          <w:rFonts w:ascii="Book Antiqua" w:hAnsi="Book Antiqua"/>
          <w:lang w:val="en-US"/>
        </w:rPr>
        <w:t>during childhood</w:t>
      </w:r>
      <w:r w:rsidR="008353D8" w:rsidRPr="00FE6084">
        <w:rPr>
          <w:rFonts w:ascii="Book Antiqua" w:hAnsi="Book Antiqua"/>
          <w:vertAlign w:val="superscript"/>
        </w:rPr>
        <w:t>[24]</w:t>
      </w:r>
      <w:r w:rsidR="00FA0B5C" w:rsidRPr="00FE6084">
        <w:rPr>
          <w:rFonts w:ascii="Book Antiqua" w:hAnsi="Book Antiqua"/>
          <w:lang w:val="en-US"/>
        </w:rPr>
        <w:t>.</w:t>
      </w:r>
      <w:r w:rsidR="00015C2D" w:rsidRPr="00FE6084">
        <w:rPr>
          <w:rFonts w:ascii="Book Antiqua" w:hAnsi="Book Antiqua"/>
          <w:lang w:val="en-US"/>
        </w:rPr>
        <w:t xml:space="preserve"> </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lang w:val="en-US"/>
        </w:rPr>
      </w:pPr>
      <w:r w:rsidRPr="00FE6084">
        <w:rPr>
          <w:rFonts w:ascii="Book Antiqua" w:hAnsi="Book Antiqua"/>
          <w:lang w:val="en-US"/>
        </w:rPr>
        <w:t>This study has a limitation. In Hungary, blood donors are unpaid, healthy, and conscious volunteers; therefore, they may not completely represent all segments of the population of Southeast Hungary.</w:t>
      </w:r>
    </w:p>
    <w:p w:rsidR="00A76BBE" w:rsidRPr="00FE6084" w:rsidRDefault="00A76BBE" w:rsidP="00FE6084">
      <w:pPr>
        <w:pStyle w:val="a3"/>
        <w:adjustRightInd w:val="0"/>
        <w:snapToGrid w:val="0"/>
        <w:spacing w:line="360" w:lineRule="auto"/>
        <w:ind w:left="0" w:firstLineChars="100" w:firstLine="240"/>
        <w:contextualSpacing w:val="0"/>
        <w:jc w:val="both"/>
        <w:rPr>
          <w:rFonts w:ascii="Book Antiqua" w:hAnsi="Book Antiqua"/>
          <w:lang w:val="en-US"/>
        </w:rPr>
      </w:pPr>
      <w:r w:rsidRPr="00FE6084">
        <w:rPr>
          <w:rFonts w:ascii="Book Antiqua" w:hAnsi="Book Antiqua"/>
          <w:lang w:val="en-US"/>
        </w:rPr>
        <w:t xml:space="preserve">In conclusion, we proved that in line with the worldwide trends, the prevalence of </w:t>
      </w:r>
      <w:r w:rsidR="00FC7839" w:rsidRPr="00FC7839">
        <w:rPr>
          <w:rFonts w:ascii="Book Antiqua" w:hAnsi="Book Antiqua"/>
          <w:i/>
          <w:lang w:val="en-US"/>
        </w:rPr>
        <w:t>H. pylori</w:t>
      </w:r>
      <w:r w:rsidRPr="00FE6084">
        <w:rPr>
          <w:rFonts w:ascii="Book Antiqua" w:hAnsi="Book Antiqua"/>
          <w:lang w:val="en-US"/>
        </w:rPr>
        <w:t xml:space="preserve"> infection has decreased in Southeast Hungary with changes of society, including improvements in socioeconomic status and living standards, during recent decades. Meanwhile, the prevalence remains high in the middle-aged and older rural populations. Generally accepted risk factors for </w:t>
      </w:r>
      <w:r w:rsidR="00FC7839" w:rsidRPr="00FC7839">
        <w:rPr>
          <w:rFonts w:ascii="Book Antiqua" w:hAnsi="Book Antiqua"/>
          <w:i/>
          <w:lang w:val="en-US"/>
        </w:rPr>
        <w:t>H. pylori</w:t>
      </w:r>
      <w:r w:rsidRPr="00FE6084">
        <w:rPr>
          <w:rFonts w:ascii="Book Antiqua" w:hAnsi="Book Antiqua"/>
          <w:lang w:val="en-US"/>
        </w:rPr>
        <w:t xml:space="preserve"> positivity appeared valid for the studied population, whereas the presence of dyspeptic symptoms was identified as an independent risk factor in the young population.</w:t>
      </w:r>
    </w:p>
    <w:p w:rsidR="00355C07" w:rsidRPr="00FE6084" w:rsidRDefault="00355C07" w:rsidP="00FE6084">
      <w:pPr>
        <w:pStyle w:val="a3"/>
        <w:adjustRightInd w:val="0"/>
        <w:snapToGrid w:val="0"/>
        <w:spacing w:line="360" w:lineRule="auto"/>
        <w:ind w:left="0"/>
        <w:contextualSpacing w:val="0"/>
        <w:jc w:val="both"/>
        <w:rPr>
          <w:rFonts w:ascii="Book Antiqua" w:hAnsi="Book Antiqua"/>
          <w:lang w:val="en-US"/>
        </w:rPr>
      </w:pPr>
    </w:p>
    <w:p w:rsidR="009F7D8D" w:rsidRPr="00FE6084" w:rsidRDefault="00355C07" w:rsidP="00FE6084">
      <w:pPr>
        <w:pStyle w:val="a3"/>
        <w:adjustRightInd w:val="0"/>
        <w:snapToGrid w:val="0"/>
        <w:spacing w:line="360" w:lineRule="auto"/>
        <w:ind w:left="0"/>
        <w:contextualSpacing w:val="0"/>
        <w:jc w:val="both"/>
        <w:rPr>
          <w:rFonts w:ascii="Book Antiqua" w:hAnsi="Book Antiqua"/>
          <w:b/>
          <w:lang w:val="en-US"/>
        </w:rPr>
      </w:pPr>
      <w:r w:rsidRPr="00FE6084">
        <w:rPr>
          <w:rFonts w:ascii="Book Antiqua" w:hAnsi="Book Antiqua"/>
          <w:b/>
          <w:lang w:val="en-US"/>
        </w:rPr>
        <w:t>ARTICLE HIGHLIGHTS</w:t>
      </w: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background</w:t>
      </w:r>
    </w:p>
    <w:p w:rsidR="00B05E2A" w:rsidRPr="00FE6084" w:rsidRDefault="00355C07" w:rsidP="00FE6084">
      <w:pPr>
        <w:pStyle w:val="a3"/>
        <w:adjustRightInd w:val="0"/>
        <w:snapToGrid w:val="0"/>
        <w:spacing w:line="360" w:lineRule="auto"/>
        <w:ind w:left="0"/>
        <w:contextualSpacing w:val="0"/>
        <w:jc w:val="both"/>
        <w:rPr>
          <w:rFonts w:ascii="Book Antiqua" w:hAnsi="Book Antiqua"/>
          <w:lang w:val="en-US"/>
        </w:rPr>
      </w:pPr>
      <w:r w:rsidRPr="00FE6084">
        <w:rPr>
          <w:rFonts w:ascii="Book Antiqua" w:hAnsi="Book Antiqua"/>
          <w:lang w:val="en-US"/>
        </w:rPr>
        <w:t xml:space="preserve">Epidemiologic studies have revealed a decrease in the prevalence of </w:t>
      </w:r>
      <w:r w:rsidR="00DA7C1F" w:rsidRPr="00FE6084">
        <w:rPr>
          <w:rFonts w:ascii="Book Antiqua" w:hAnsi="Book Antiqua"/>
          <w:i/>
          <w:lang w:val="en-US"/>
        </w:rPr>
        <w:t>Helicobacter pylori</w:t>
      </w:r>
      <w:r w:rsidRPr="00FE6084">
        <w:rPr>
          <w:rFonts w:ascii="Book Antiqua" w:hAnsi="Book Antiqua"/>
          <w:b/>
          <w:lang w:val="en-US"/>
        </w:rPr>
        <w:t xml:space="preserve"> </w:t>
      </w:r>
      <w:r w:rsidRPr="00FC7839">
        <w:rPr>
          <w:rFonts w:ascii="Book Antiqua" w:hAnsi="Book Antiqua"/>
          <w:bCs/>
          <w:lang w:val="en-US"/>
        </w:rPr>
        <w:t>(</w:t>
      </w:r>
      <w:r w:rsidR="00FC7839" w:rsidRPr="00FC7839">
        <w:rPr>
          <w:rFonts w:ascii="Book Antiqua" w:hAnsi="Book Antiqua"/>
          <w:i/>
          <w:lang w:val="en-US"/>
        </w:rPr>
        <w:t>H. pylori</w:t>
      </w:r>
      <w:r w:rsidRPr="00FE6084">
        <w:rPr>
          <w:rFonts w:ascii="Book Antiqua" w:hAnsi="Book Antiqua"/>
          <w:lang w:val="en-US"/>
        </w:rPr>
        <w:t>) infection in Western Europe. Conversely, little is known regarding its prevalence in Central Europe, in which a substantial pop</w:t>
      </w:r>
      <w:r w:rsidR="00B05E2A" w:rsidRPr="00FE6084">
        <w:rPr>
          <w:rFonts w:ascii="Book Antiqua" w:hAnsi="Book Antiqua"/>
          <w:lang w:val="en-US"/>
        </w:rPr>
        <w:t xml:space="preserve">ulation resides in rural areas. </w:t>
      </w:r>
    </w:p>
    <w:p w:rsidR="009F7D8D" w:rsidRPr="00FE6084" w:rsidRDefault="009F7D8D"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motivation</w:t>
      </w:r>
    </w:p>
    <w:p w:rsidR="00F401C4" w:rsidRPr="00FE6084" w:rsidRDefault="00F401C4" w:rsidP="00FE6084">
      <w:pPr>
        <w:pStyle w:val="a3"/>
        <w:adjustRightInd w:val="0"/>
        <w:snapToGrid w:val="0"/>
        <w:spacing w:line="360" w:lineRule="auto"/>
        <w:ind w:left="0"/>
        <w:contextualSpacing w:val="0"/>
        <w:jc w:val="both"/>
        <w:rPr>
          <w:rFonts w:ascii="Book Antiqua" w:hAnsi="Book Antiqua"/>
          <w:shd w:val="clear" w:color="auto" w:fill="FFFFFF"/>
        </w:rPr>
      </w:pPr>
      <w:r w:rsidRPr="00FE6084">
        <w:rPr>
          <w:rFonts w:ascii="Book Antiqua" w:hAnsi="Book Antiqua"/>
          <w:shd w:val="clear" w:color="auto" w:fill="FFFFFF"/>
        </w:rPr>
        <w:t xml:space="preserve">The last Hungarian epidemiologic studies on </w:t>
      </w:r>
      <w:r w:rsidR="00FC7839" w:rsidRPr="00FC7839">
        <w:rPr>
          <w:rFonts w:ascii="Book Antiqua" w:hAnsi="Book Antiqua"/>
          <w:i/>
          <w:shd w:val="clear" w:color="auto" w:fill="FFFFFF"/>
        </w:rPr>
        <w:t>H. pylori</w:t>
      </w:r>
      <w:r w:rsidR="00FC7839">
        <w:rPr>
          <w:rFonts w:ascii="Book Antiqua" w:hAnsi="Book Antiqua"/>
          <w:shd w:val="clear" w:color="auto" w:fill="FFFFFF"/>
        </w:rPr>
        <w:t xml:space="preserve"> </w:t>
      </w:r>
      <w:r w:rsidRPr="00FE6084">
        <w:rPr>
          <w:rFonts w:ascii="Book Antiqua" w:hAnsi="Book Antiqua"/>
          <w:shd w:val="clear" w:color="auto" w:fill="FFFFFF"/>
        </w:rPr>
        <w:t>were carried out approximately two decades ago and showed high seroprevalence rates. Therfore we aimed to obtain new data and to test whether it decreases similarly to the Western European tendencies. </w:t>
      </w:r>
    </w:p>
    <w:p w:rsidR="009F7D8D" w:rsidRPr="00FE6084" w:rsidRDefault="009F7D8D"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objectives</w:t>
      </w:r>
    </w:p>
    <w:p w:rsidR="00355C07" w:rsidRPr="00FE6084" w:rsidRDefault="00355C07" w:rsidP="00FE6084">
      <w:pPr>
        <w:pStyle w:val="a3"/>
        <w:adjustRightInd w:val="0"/>
        <w:snapToGrid w:val="0"/>
        <w:spacing w:line="360" w:lineRule="auto"/>
        <w:ind w:left="0"/>
        <w:contextualSpacing w:val="0"/>
        <w:jc w:val="both"/>
        <w:rPr>
          <w:rFonts w:ascii="Book Antiqua" w:hAnsi="Book Antiqua"/>
          <w:lang w:val="en-US"/>
        </w:rPr>
      </w:pPr>
      <w:r w:rsidRPr="00FE6084">
        <w:rPr>
          <w:rFonts w:ascii="Book Antiqua" w:hAnsi="Book Antiqua"/>
          <w:lang w:val="en-US"/>
        </w:rPr>
        <w:lastRenderedPageBreak/>
        <w:t xml:space="preserve">The aims of the present study were to obtain data regarding the prevalence of </w:t>
      </w:r>
      <w:r w:rsidR="00FC7839" w:rsidRPr="00FC7839">
        <w:rPr>
          <w:rFonts w:ascii="Book Antiqua" w:hAnsi="Book Antiqua"/>
          <w:i/>
          <w:lang w:val="en-US"/>
        </w:rPr>
        <w:t>H. pylori</w:t>
      </w:r>
      <w:r w:rsidRPr="00FE6084">
        <w:rPr>
          <w:rFonts w:ascii="Book Antiqua" w:hAnsi="Book Antiqua"/>
          <w:lang w:val="en-US"/>
        </w:rPr>
        <w:t xml:space="preserve"> in Csongrád and Békés Counties in Hungary, evaluate the differences in its prevalence between urban and rural areas, and establish factors associated with positive seroprevalence.</w:t>
      </w:r>
    </w:p>
    <w:p w:rsidR="009F7D8D" w:rsidRPr="00FE6084" w:rsidRDefault="009F7D8D"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methods</w:t>
      </w:r>
    </w:p>
    <w:p w:rsidR="00355C07" w:rsidRPr="00FE6084" w:rsidRDefault="00355C07" w:rsidP="00FE6084">
      <w:pPr>
        <w:autoSpaceDE w:val="0"/>
        <w:autoSpaceDN w:val="0"/>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One-thousand and one healthy blood donors were enrolled.</w:t>
      </w:r>
      <w:r w:rsidRPr="00FE6084">
        <w:rPr>
          <w:rFonts w:ascii="Book Antiqua" w:hAnsi="Book Antiqua"/>
          <w:sz w:val="24"/>
          <w:szCs w:val="24"/>
          <w:shd w:val="clear" w:color="auto" w:fill="FFFFFF"/>
          <w:lang w:val="en-US"/>
        </w:rPr>
        <w:t xml:space="preserve"> </w:t>
      </w:r>
      <w:r w:rsidRPr="00FE6084">
        <w:rPr>
          <w:rFonts w:ascii="Book Antiqua" w:hAnsi="Book Antiqua"/>
          <w:sz w:val="24"/>
          <w:szCs w:val="24"/>
          <w:lang w:val="en-US"/>
        </w:rPr>
        <w:t xml:space="preserve">Data collection was performed using an anonymous questionnaire including </w:t>
      </w:r>
      <w:r w:rsidRPr="00FE6084">
        <w:rPr>
          <w:rFonts w:ascii="Book Antiqua" w:hAnsi="Book Antiqua"/>
          <w:sz w:val="24"/>
          <w:szCs w:val="24"/>
          <w:shd w:val="clear" w:color="auto" w:fill="FFFFFF"/>
          <w:lang w:val="en-US"/>
        </w:rPr>
        <w:t xml:space="preserve">26 questions associated with demographic parameters and medical status. </w:t>
      </w:r>
      <w:r w:rsidRPr="00FE6084">
        <w:rPr>
          <w:rFonts w:ascii="Book Antiqua" w:hAnsi="Book Antiqua"/>
          <w:sz w:val="24"/>
          <w:szCs w:val="24"/>
          <w:lang w:val="en-US"/>
        </w:rPr>
        <w:t xml:space="preserve">All subjects were tested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IgG antibody positivity using IgG enzyme-linked immunosorbent assay.</w:t>
      </w:r>
    </w:p>
    <w:p w:rsidR="009F7D8D" w:rsidRPr="00FE6084" w:rsidRDefault="009F7D8D"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results</w:t>
      </w:r>
    </w:p>
    <w:p w:rsidR="006125DB" w:rsidRPr="00FE6084" w:rsidRDefault="006125DB" w:rsidP="00FE6084">
      <w:pPr>
        <w:adjustRightInd w:val="0"/>
        <w:snapToGrid w:val="0"/>
        <w:spacing w:after="0" w:line="360" w:lineRule="auto"/>
        <w:jc w:val="both"/>
        <w:rPr>
          <w:rFonts w:ascii="Book Antiqua" w:hAnsi="Book Antiqua"/>
          <w:sz w:val="24"/>
          <w:szCs w:val="24"/>
          <w:lang w:val="en-US"/>
        </w:rPr>
      </w:pPr>
      <w:r w:rsidRPr="00FE6084">
        <w:rPr>
          <w:rFonts w:ascii="Book Antiqua" w:hAnsi="Book Antiqua"/>
          <w:sz w:val="24"/>
          <w:szCs w:val="24"/>
          <w:lang w:val="en-US"/>
        </w:rPr>
        <w:t xml:space="preserve">The overall seropositivity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was 32%. The prevalence of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was significantly higher in rural areas than in urban areas. Residence in rural areas for at least one year was associated with a significantly higher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prevalence than continuous urban residency. A significant positive association was observed between age, occupation, coffee consumption, pet or domesticated animal rearing and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positivity. Three age groups were formed for further analysis, in the youngest group, the presence of epigastric pain was an independent risk factor for </w:t>
      </w:r>
      <w:r w:rsidR="00FC7839" w:rsidRPr="00FC7839">
        <w:rPr>
          <w:rFonts w:ascii="Book Antiqua" w:hAnsi="Book Antiqua"/>
          <w:i/>
          <w:sz w:val="24"/>
          <w:szCs w:val="24"/>
          <w:lang w:val="en-US"/>
        </w:rPr>
        <w:t>H. pylori</w:t>
      </w:r>
      <w:r w:rsidRPr="00FE6084">
        <w:rPr>
          <w:rFonts w:ascii="Book Antiqua" w:hAnsi="Book Antiqua"/>
          <w:sz w:val="24"/>
          <w:szCs w:val="24"/>
          <w:lang w:val="en-US"/>
        </w:rPr>
        <w:t xml:space="preserve"> positivity. </w:t>
      </w:r>
    </w:p>
    <w:p w:rsidR="009F7D8D" w:rsidRPr="00FE6084" w:rsidRDefault="009F7D8D"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conclusions</w:t>
      </w:r>
    </w:p>
    <w:p w:rsidR="009F7D8D" w:rsidRPr="00FE6084" w:rsidRDefault="006125DB" w:rsidP="00FE6084">
      <w:pPr>
        <w:pStyle w:val="a3"/>
        <w:adjustRightInd w:val="0"/>
        <w:snapToGrid w:val="0"/>
        <w:spacing w:line="360" w:lineRule="auto"/>
        <w:ind w:left="0"/>
        <w:contextualSpacing w:val="0"/>
        <w:jc w:val="both"/>
        <w:rPr>
          <w:rFonts w:ascii="Book Antiqua" w:hAnsi="Book Antiqua"/>
          <w:lang w:val="en-US"/>
        </w:rPr>
      </w:pPr>
      <w:r w:rsidRPr="00FE6084">
        <w:rPr>
          <w:rFonts w:ascii="Book Antiqua" w:hAnsi="Book Antiqua"/>
          <w:lang w:val="en-US"/>
        </w:rPr>
        <w:t xml:space="preserve">The prevalence of </w:t>
      </w:r>
      <w:r w:rsidR="00FC7839" w:rsidRPr="00FC7839">
        <w:rPr>
          <w:rFonts w:ascii="Book Antiqua" w:hAnsi="Book Antiqua"/>
          <w:i/>
          <w:lang w:val="en-US"/>
        </w:rPr>
        <w:t>H. pylori</w:t>
      </w:r>
      <w:r w:rsidRPr="00FE6084">
        <w:rPr>
          <w:rFonts w:ascii="Book Antiqua" w:hAnsi="Book Antiqua"/>
          <w:lang w:val="en-US"/>
        </w:rPr>
        <w:t xml:space="preserve"> infection decreased in recent decades in Southeast Hungary, it remains high in middle-aged rural populations. Generally accepted risk factors for </w:t>
      </w:r>
      <w:r w:rsidR="00FC7839" w:rsidRPr="00FC7839">
        <w:rPr>
          <w:rFonts w:ascii="Book Antiqua" w:hAnsi="Book Antiqua"/>
          <w:i/>
          <w:lang w:val="en-US"/>
        </w:rPr>
        <w:t>H. pylori</w:t>
      </w:r>
      <w:r w:rsidRPr="00FE6084">
        <w:rPr>
          <w:rFonts w:ascii="Book Antiqua" w:hAnsi="Book Antiqua"/>
          <w:lang w:val="en-US"/>
        </w:rPr>
        <w:t xml:space="preserve"> positivity appeared to be valid for the studied population. Furthermore, a new original finding is that people who lived in rural conditions for at least one year also had an increased risk for </w:t>
      </w:r>
      <w:r w:rsidR="00FC7839" w:rsidRPr="00FC7839">
        <w:rPr>
          <w:rFonts w:ascii="Book Antiqua" w:hAnsi="Book Antiqua"/>
          <w:i/>
          <w:lang w:val="en-US"/>
        </w:rPr>
        <w:t>H. pylori</w:t>
      </w:r>
      <w:r w:rsidRPr="00FE6084">
        <w:rPr>
          <w:rFonts w:ascii="Book Antiqua" w:hAnsi="Book Antiqua"/>
          <w:lang w:val="en-US"/>
        </w:rPr>
        <w:t xml:space="preserve"> seropositivity. </w:t>
      </w:r>
    </w:p>
    <w:p w:rsidR="0041774E" w:rsidRPr="00FE6084" w:rsidRDefault="0041774E" w:rsidP="00FE6084">
      <w:pPr>
        <w:pStyle w:val="a3"/>
        <w:adjustRightInd w:val="0"/>
        <w:snapToGrid w:val="0"/>
        <w:spacing w:line="360" w:lineRule="auto"/>
        <w:ind w:left="0"/>
        <w:contextualSpacing w:val="0"/>
        <w:jc w:val="both"/>
        <w:rPr>
          <w:rFonts w:ascii="Book Antiqua" w:hAnsi="Book Antiqua"/>
          <w:b/>
          <w:lang w:val="en-US"/>
        </w:rPr>
      </w:pPr>
    </w:p>
    <w:p w:rsidR="00355C07" w:rsidRPr="00FE6084" w:rsidRDefault="00355C07" w:rsidP="00FE6084">
      <w:pPr>
        <w:pStyle w:val="a3"/>
        <w:adjustRightInd w:val="0"/>
        <w:snapToGrid w:val="0"/>
        <w:spacing w:line="360" w:lineRule="auto"/>
        <w:ind w:left="0"/>
        <w:contextualSpacing w:val="0"/>
        <w:jc w:val="both"/>
        <w:rPr>
          <w:rFonts w:ascii="Book Antiqua" w:hAnsi="Book Antiqua"/>
          <w:b/>
          <w:i/>
          <w:iCs/>
          <w:lang w:val="en-US"/>
        </w:rPr>
      </w:pPr>
      <w:r w:rsidRPr="00FE6084">
        <w:rPr>
          <w:rFonts w:ascii="Book Antiqua" w:hAnsi="Book Antiqua"/>
          <w:b/>
          <w:i/>
          <w:iCs/>
          <w:lang w:val="en-US"/>
        </w:rPr>
        <w:t>Research perspectives</w:t>
      </w:r>
    </w:p>
    <w:p w:rsidR="00F401C4" w:rsidRDefault="00F401C4" w:rsidP="00FE6084">
      <w:pPr>
        <w:shd w:val="clear" w:color="auto" w:fill="FFFFFF"/>
        <w:adjustRightInd w:val="0"/>
        <w:snapToGrid w:val="0"/>
        <w:spacing w:after="0" w:line="360" w:lineRule="auto"/>
        <w:jc w:val="both"/>
        <w:rPr>
          <w:rFonts w:ascii="Book Antiqua" w:eastAsia="Times New Roman" w:hAnsi="Book Antiqua"/>
          <w:sz w:val="24"/>
          <w:szCs w:val="24"/>
          <w:lang w:val="en-US" w:eastAsia="hu-HU"/>
        </w:rPr>
      </w:pPr>
      <w:r w:rsidRPr="00FE6084">
        <w:rPr>
          <w:rFonts w:ascii="Book Antiqua" w:eastAsia="Times New Roman" w:hAnsi="Book Antiqua"/>
          <w:sz w:val="24"/>
          <w:szCs w:val="24"/>
          <w:lang w:val="en-US" w:eastAsia="hu-HU"/>
        </w:rPr>
        <w:t xml:space="preserve">The results of this study seems to consider the subsequent changes in seropositivity of </w:t>
      </w:r>
      <w:r w:rsidR="00FC7839" w:rsidRPr="00FC7839">
        <w:rPr>
          <w:rFonts w:ascii="Book Antiqua" w:eastAsia="Times New Roman" w:hAnsi="Book Antiqua"/>
          <w:i/>
          <w:sz w:val="24"/>
          <w:szCs w:val="24"/>
          <w:lang w:val="en-US" w:eastAsia="hu-HU"/>
        </w:rPr>
        <w:t>H. pylori</w:t>
      </w:r>
      <w:r w:rsidRPr="00FE6084">
        <w:rPr>
          <w:rFonts w:ascii="Book Antiqua" w:eastAsia="Times New Roman" w:hAnsi="Book Antiqua"/>
          <w:sz w:val="24"/>
          <w:szCs w:val="24"/>
          <w:lang w:val="en-US" w:eastAsia="hu-HU"/>
        </w:rPr>
        <w:t xml:space="preserve"> in Hungary. It would be interesting to test whether the significant </w:t>
      </w:r>
      <w:r w:rsidRPr="00FE6084">
        <w:rPr>
          <w:rFonts w:ascii="Book Antiqua" w:eastAsia="Times New Roman" w:hAnsi="Book Antiqua"/>
          <w:sz w:val="24"/>
          <w:szCs w:val="24"/>
          <w:lang w:val="en-US" w:eastAsia="hu-HU"/>
        </w:rPr>
        <w:lastRenderedPageBreak/>
        <w:t xml:space="preserve">positive association between age and </w:t>
      </w:r>
      <w:r w:rsidR="00FC7839" w:rsidRPr="00FC7839">
        <w:rPr>
          <w:rFonts w:ascii="Book Antiqua" w:eastAsia="Times New Roman" w:hAnsi="Book Antiqua"/>
          <w:i/>
          <w:sz w:val="24"/>
          <w:szCs w:val="24"/>
          <w:lang w:val="en-US" w:eastAsia="hu-HU"/>
        </w:rPr>
        <w:t>H. pylori</w:t>
      </w:r>
      <w:r w:rsidRPr="00FE6084">
        <w:rPr>
          <w:rFonts w:ascii="Book Antiqua" w:eastAsia="Times New Roman" w:hAnsi="Book Antiqua"/>
          <w:sz w:val="24"/>
          <w:szCs w:val="24"/>
          <w:lang w:val="en-US" w:eastAsia="hu-HU"/>
        </w:rPr>
        <w:t xml:space="preserve"> positivity continuous observed after 10 or 15 years or rather not, “new” infected will appear, or in the older age will stay low seropositivity.</w:t>
      </w:r>
      <w:r w:rsidRPr="00FE6084">
        <w:rPr>
          <w:rFonts w:ascii="Book Antiqua" w:eastAsia="Times New Roman" w:hAnsi="Book Antiqua"/>
          <w:sz w:val="24"/>
          <w:szCs w:val="24"/>
          <w:lang w:eastAsia="hu-HU"/>
        </w:rPr>
        <w:t xml:space="preserve"> </w:t>
      </w:r>
      <w:r w:rsidRPr="00FE6084">
        <w:rPr>
          <w:rFonts w:ascii="Book Antiqua" w:eastAsia="Times New Roman" w:hAnsi="Book Antiqua"/>
          <w:sz w:val="24"/>
          <w:szCs w:val="24"/>
          <w:lang w:val="en-US" w:eastAsia="hu-HU"/>
        </w:rPr>
        <w:t xml:space="preserve">The other experience of this study is the link between epigastric pain and </w:t>
      </w:r>
      <w:r w:rsidR="00FC7839" w:rsidRPr="00FC7839">
        <w:rPr>
          <w:rFonts w:ascii="Book Antiqua" w:eastAsia="Times New Roman" w:hAnsi="Book Antiqua"/>
          <w:i/>
          <w:sz w:val="24"/>
          <w:szCs w:val="24"/>
          <w:lang w:val="en-US" w:eastAsia="hu-HU"/>
        </w:rPr>
        <w:t>H. pylori</w:t>
      </w:r>
      <w:r w:rsidRPr="00FE6084">
        <w:rPr>
          <w:rFonts w:ascii="Book Antiqua" w:eastAsia="Times New Roman" w:hAnsi="Book Antiqua"/>
          <w:sz w:val="24"/>
          <w:szCs w:val="24"/>
          <w:lang w:val="en-US" w:eastAsia="hu-HU"/>
        </w:rPr>
        <w:t xml:space="preserve"> seropositivity among young subjects, which supports the recommendation in countries with high </w:t>
      </w:r>
      <w:r w:rsidR="00FC7839" w:rsidRPr="00FC7839">
        <w:rPr>
          <w:rFonts w:ascii="Book Antiqua" w:eastAsia="Times New Roman" w:hAnsi="Book Antiqua"/>
          <w:i/>
          <w:sz w:val="24"/>
          <w:szCs w:val="24"/>
          <w:lang w:val="en-US" w:eastAsia="hu-HU"/>
        </w:rPr>
        <w:t>H. pylori</w:t>
      </w:r>
      <w:r w:rsidRPr="00FE6084">
        <w:rPr>
          <w:rFonts w:ascii="Book Antiqua" w:eastAsia="Times New Roman" w:hAnsi="Book Antiqua"/>
          <w:sz w:val="24"/>
          <w:szCs w:val="24"/>
          <w:lang w:val="en-US" w:eastAsia="hu-HU"/>
        </w:rPr>
        <w:t xml:space="preserve"> seropositivity, that patients with dyspeptic symptoms should be examined for </w:t>
      </w:r>
      <w:r w:rsidR="00FC7839" w:rsidRPr="00FC7839">
        <w:rPr>
          <w:rFonts w:ascii="Book Antiqua" w:eastAsia="Times New Roman" w:hAnsi="Book Antiqua"/>
          <w:i/>
          <w:sz w:val="24"/>
          <w:szCs w:val="24"/>
          <w:lang w:val="en-US" w:eastAsia="hu-HU"/>
        </w:rPr>
        <w:t>H. pylori</w:t>
      </w:r>
      <w:r w:rsidRPr="00FE6084">
        <w:rPr>
          <w:rFonts w:ascii="Book Antiqua" w:eastAsia="Times New Roman" w:hAnsi="Book Antiqua"/>
          <w:sz w:val="24"/>
          <w:szCs w:val="24"/>
          <w:lang w:val="en-US" w:eastAsia="hu-HU"/>
        </w:rPr>
        <w:t xml:space="preserve"> infection (Rome IV diagnostic protocol).</w:t>
      </w:r>
    </w:p>
    <w:p w:rsidR="00A76BBE" w:rsidRPr="00FE6084" w:rsidRDefault="00FC7839" w:rsidP="00FC7839">
      <w:pPr>
        <w:shd w:val="clear" w:color="auto" w:fill="FFFFFF"/>
        <w:adjustRightInd w:val="0"/>
        <w:snapToGrid w:val="0"/>
        <w:spacing w:after="0" w:line="360" w:lineRule="auto"/>
        <w:jc w:val="both"/>
        <w:rPr>
          <w:rFonts w:ascii="Book Antiqua" w:hAnsi="Book Antiqua"/>
          <w:b/>
          <w:lang w:val="en-US"/>
        </w:rPr>
      </w:pPr>
      <w:r>
        <w:rPr>
          <w:rFonts w:ascii="Book Antiqua" w:eastAsia="Times New Roman" w:hAnsi="Book Antiqua"/>
          <w:sz w:val="24"/>
          <w:szCs w:val="24"/>
          <w:lang w:val="en-US" w:eastAsia="hu-HU"/>
        </w:rPr>
        <w:br w:type="page"/>
      </w:r>
      <w:r w:rsidR="001D4DFF" w:rsidRPr="00FE6084">
        <w:rPr>
          <w:rFonts w:ascii="Book Antiqua" w:hAnsi="Book Antiqua"/>
          <w:b/>
          <w:lang w:val="en-US"/>
        </w:rPr>
        <w:lastRenderedPageBreak/>
        <w:t>REFERENCES</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1 </w:t>
      </w:r>
      <w:r w:rsidRPr="00FE6084">
        <w:rPr>
          <w:rFonts w:ascii="Book Antiqua" w:eastAsia="宋体" w:hAnsi="Book Antiqua" w:cs="宋体"/>
          <w:b/>
          <w:bCs/>
          <w:sz w:val="24"/>
          <w:szCs w:val="24"/>
          <w:lang w:val="en-US" w:eastAsia="zh-CN"/>
        </w:rPr>
        <w:t>Hunt RH</w:t>
      </w:r>
      <w:r w:rsidRPr="00FE6084">
        <w:rPr>
          <w:rFonts w:ascii="Book Antiqua" w:eastAsia="宋体" w:hAnsi="Book Antiqua" w:cs="宋体"/>
          <w:sz w:val="24"/>
          <w:szCs w:val="24"/>
          <w:lang w:val="en-US" w:eastAsia="zh-CN"/>
        </w:rPr>
        <w:t xml:space="preserve">, Xiao SD, Megraud F, Leon-Barua R, Bazzoli F, van der Merwe S, Vaz Coelho LG, Fock M, Fedail S, Cohen H, Malfertheiner P, Vakil N, Hamid S, Goh KL, Wong BC, Krabshuis J, Le Mair A; World Gastroenterology Organization.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 developing countries. World Gastroenterology Organisation Global Guideline. </w:t>
      </w:r>
      <w:r w:rsidRPr="00FE6084">
        <w:rPr>
          <w:rFonts w:ascii="Book Antiqua" w:eastAsia="宋体" w:hAnsi="Book Antiqua" w:cs="宋体"/>
          <w:i/>
          <w:iCs/>
          <w:sz w:val="24"/>
          <w:szCs w:val="24"/>
          <w:lang w:val="en-US" w:eastAsia="zh-CN"/>
        </w:rPr>
        <w:t>J Gastrointestin Liver Dis</w:t>
      </w:r>
      <w:r w:rsidRPr="00FE6084">
        <w:rPr>
          <w:rFonts w:ascii="Book Antiqua" w:eastAsia="宋体" w:hAnsi="Book Antiqua" w:cs="宋体"/>
          <w:sz w:val="24"/>
          <w:szCs w:val="24"/>
          <w:lang w:val="en-US" w:eastAsia="zh-CN"/>
        </w:rPr>
        <w:t xml:space="preserve"> 2011; </w:t>
      </w:r>
      <w:r w:rsidRPr="00FE6084">
        <w:rPr>
          <w:rFonts w:ascii="Book Antiqua" w:eastAsia="宋体" w:hAnsi="Book Antiqua" w:cs="宋体"/>
          <w:b/>
          <w:bCs/>
          <w:sz w:val="24"/>
          <w:szCs w:val="24"/>
          <w:lang w:val="en-US" w:eastAsia="zh-CN"/>
        </w:rPr>
        <w:t>20</w:t>
      </w:r>
      <w:r w:rsidRPr="00FE6084">
        <w:rPr>
          <w:rFonts w:ascii="Book Antiqua" w:eastAsia="宋体" w:hAnsi="Book Antiqua" w:cs="宋体"/>
          <w:sz w:val="24"/>
          <w:szCs w:val="24"/>
          <w:lang w:val="en-US" w:eastAsia="zh-CN"/>
        </w:rPr>
        <w:t>: 299-304 [PMID: 21961099]</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 </w:t>
      </w:r>
      <w:r w:rsidRPr="00FE6084">
        <w:rPr>
          <w:rFonts w:ascii="Book Antiqua" w:eastAsia="宋体" w:hAnsi="Book Antiqua" w:cs="宋体"/>
          <w:b/>
          <w:bCs/>
          <w:sz w:val="24"/>
          <w:szCs w:val="24"/>
          <w:lang w:val="en-US" w:eastAsia="zh-CN"/>
        </w:rPr>
        <w:t>Selgrad M</w:t>
      </w:r>
      <w:r w:rsidRPr="00FE6084">
        <w:rPr>
          <w:rFonts w:ascii="Book Antiqua" w:eastAsia="宋体" w:hAnsi="Book Antiqua" w:cs="宋体"/>
          <w:sz w:val="24"/>
          <w:szCs w:val="24"/>
          <w:lang w:val="en-US" w:eastAsia="zh-CN"/>
        </w:rPr>
        <w:t xml:space="preserve">, Bornschein J, Malfertheiner P.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Infektion mit lokalen Komplikationen und systemischen Auswirkungen. </w:t>
      </w:r>
      <w:r w:rsidRPr="00FE6084">
        <w:rPr>
          <w:rFonts w:ascii="Book Antiqua" w:eastAsia="宋体" w:hAnsi="Book Antiqua" w:cs="宋体"/>
          <w:i/>
          <w:iCs/>
          <w:sz w:val="24"/>
          <w:szCs w:val="24"/>
          <w:lang w:val="en-US" w:eastAsia="zh-CN"/>
        </w:rPr>
        <w:t>Dtsch med Wochenschr</w:t>
      </w:r>
      <w:r w:rsidRPr="00FE6084">
        <w:rPr>
          <w:rFonts w:ascii="Book Antiqua" w:eastAsia="宋体" w:hAnsi="Book Antiqua" w:cs="宋体"/>
          <w:sz w:val="24"/>
          <w:szCs w:val="24"/>
          <w:lang w:val="en-US" w:eastAsia="zh-CN"/>
        </w:rPr>
        <w:t xml:space="preserve"> 2011; </w:t>
      </w:r>
      <w:r w:rsidRPr="00FE6084">
        <w:rPr>
          <w:rFonts w:ascii="Book Antiqua" w:eastAsia="宋体" w:hAnsi="Book Antiqua" w:cs="宋体"/>
          <w:b/>
          <w:bCs/>
          <w:sz w:val="24"/>
          <w:szCs w:val="24"/>
          <w:lang w:val="en-US" w:eastAsia="zh-CN"/>
        </w:rPr>
        <w:t>136</w:t>
      </w:r>
      <w:r w:rsidRPr="00FE6084">
        <w:rPr>
          <w:rFonts w:ascii="Book Antiqua" w:eastAsia="宋体" w:hAnsi="Book Antiqua" w:cs="宋体"/>
          <w:sz w:val="24"/>
          <w:szCs w:val="24"/>
          <w:lang w:val="en-US" w:eastAsia="zh-CN"/>
        </w:rPr>
        <w:t>: 1790-1795</w:t>
      </w:r>
      <w:r w:rsidR="007C1D6A" w:rsidRPr="00FE6084">
        <w:rPr>
          <w:rFonts w:ascii="Book Antiqua" w:eastAsia="宋体" w:hAnsi="Book Antiqua" w:cs="宋体"/>
          <w:sz w:val="24"/>
          <w:szCs w:val="24"/>
          <w:lang w:val="en-US" w:eastAsia="zh-CN"/>
        </w:rPr>
        <w:t xml:space="preserve"> [PMID: 21882136 DOI: 10.1055/s-0031-1286104]</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3 </w:t>
      </w:r>
      <w:r w:rsidRPr="00FE6084">
        <w:rPr>
          <w:rFonts w:ascii="Book Antiqua" w:eastAsia="宋体" w:hAnsi="Book Antiqua" w:cs="宋体"/>
          <w:b/>
          <w:bCs/>
          <w:sz w:val="24"/>
          <w:szCs w:val="24"/>
          <w:lang w:val="en-US" w:eastAsia="zh-CN"/>
        </w:rPr>
        <w:t>Fischbach W</w:t>
      </w:r>
      <w:r w:rsidRPr="00FE6084">
        <w:rPr>
          <w:rFonts w:ascii="Book Antiqua" w:eastAsia="宋体" w:hAnsi="Book Antiqua" w:cs="宋体"/>
          <w:sz w:val="24"/>
          <w:szCs w:val="24"/>
          <w:lang w:val="en-US" w:eastAsia="zh-CN"/>
        </w:rPr>
        <w:t xml:space="preserve">, Malfertheiner P, Hoffmann JC, Bolten W, Kist M, Koletzko S; Association of Scientific Medical Societies.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and gastroduodenal ulcer disease. </w:t>
      </w:r>
      <w:r w:rsidRPr="00FE6084">
        <w:rPr>
          <w:rFonts w:ascii="Book Antiqua" w:eastAsia="宋体" w:hAnsi="Book Antiqua" w:cs="宋体"/>
          <w:i/>
          <w:iCs/>
          <w:sz w:val="24"/>
          <w:szCs w:val="24"/>
          <w:lang w:val="en-US" w:eastAsia="zh-CN"/>
        </w:rPr>
        <w:t>Dtsch Arztebl Int</w:t>
      </w:r>
      <w:r w:rsidRPr="00FE6084">
        <w:rPr>
          <w:rFonts w:ascii="Book Antiqua" w:eastAsia="宋体" w:hAnsi="Book Antiqua" w:cs="宋体"/>
          <w:sz w:val="24"/>
          <w:szCs w:val="24"/>
          <w:lang w:val="en-US" w:eastAsia="zh-CN"/>
        </w:rPr>
        <w:t xml:space="preserve"> 2009; </w:t>
      </w:r>
      <w:r w:rsidRPr="00FE6084">
        <w:rPr>
          <w:rFonts w:ascii="Book Antiqua" w:eastAsia="宋体" w:hAnsi="Book Antiqua" w:cs="宋体"/>
          <w:b/>
          <w:bCs/>
          <w:sz w:val="24"/>
          <w:szCs w:val="24"/>
          <w:lang w:val="en-US" w:eastAsia="zh-CN"/>
        </w:rPr>
        <w:t>106</w:t>
      </w:r>
      <w:r w:rsidRPr="00FE6084">
        <w:rPr>
          <w:rFonts w:ascii="Book Antiqua" w:eastAsia="宋体" w:hAnsi="Book Antiqua" w:cs="宋体"/>
          <w:sz w:val="24"/>
          <w:szCs w:val="24"/>
          <w:lang w:val="en-US" w:eastAsia="zh-CN"/>
        </w:rPr>
        <w:t>: 801-808 [PMID: 20038978 DOI: 10.3238/arztebl.2009.0801]</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4 </w:t>
      </w:r>
      <w:r w:rsidRPr="00FE6084">
        <w:rPr>
          <w:rFonts w:ascii="Book Antiqua" w:eastAsia="宋体" w:hAnsi="Book Antiqua" w:cs="宋体"/>
          <w:b/>
          <w:bCs/>
          <w:sz w:val="24"/>
          <w:szCs w:val="24"/>
          <w:lang w:val="en-US" w:eastAsia="zh-CN"/>
        </w:rPr>
        <w:t>Hooi JKY</w:t>
      </w:r>
      <w:r w:rsidRPr="00FE6084">
        <w:rPr>
          <w:rFonts w:ascii="Book Antiqua" w:eastAsia="宋体" w:hAnsi="Book Antiqua" w:cs="宋体"/>
          <w:sz w:val="24"/>
          <w:szCs w:val="24"/>
          <w:lang w:val="en-US" w:eastAsia="zh-CN"/>
        </w:rPr>
        <w:t xml:space="preserve">, Lai WY, Ng WK, Suen MMY, Underwood FE, Tanyingoh D, Malfertheiner P, Graham DY, Wong VWS, Wu JCY, Chan FKL, Sung JJY, Kaplan GG, Ng SC. Global Prevalence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Systematic Review and Meta-Analysis. </w:t>
      </w:r>
      <w:r w:rsidRPr="00FE6084">
        <w:rPr>
          <w:rFonts w:ascii="Book Antiqua" w:eastAsia="宋体" w:hAnsi="Book Antiqua" w:cs="宋体"/>
          <w:i/>
          <w:iCs/>
          <w:sz w:val="24"/>
          <w:szCs w:val="24"/>
          <w:lang w:val="en-US" w:eastAsia="zh-CN"/>
        </w:rPr>
        <w:t>Gastroenterology</w:t>
      </w:r>
      <w:r w:rsidRPr="00FE6084">
        <w:rPr>
          <w:rFonts w:ascii="Book Antiqua" w:eastAsia="宋体" w:hAnsi="Book Antiqua" w:cs="宋体"/>
          <w:sz w:val="24"/>
          <w:szCs w:val="24"/>
          <w:lang w:val="en-US" w:eastAsia="zh-CN"/>
        </w:rPr>
        <w:t xml:space="preserve"> 2017; </w:t>
      </w:r>
      <w:r w:rsidRPr="00FE6084">
        <w:rPr>
          <w:rFonts w:ascii="Book Antiqua" w:eastAsia="宋体" w:hAnsi="Book Antiqua" w:cs="宋体"/>
          <w:b/>
          <w:bCs/>
          <w:sz w:val="24"/>
          <w:szCs w:val="24"/>
          <w:lang w:val="en-US" w:eastAsia="zh-CN"/>
        </w:rPr>
        <w:t>153</w:t>
      </w:r>
      <w:r w:rsidRPr="00FE6084">
        <w:rPr>
          <w:rFonts w:ascii="Book Antiqua" w:eastAsia="宋体" w:hAnsi="Book Antiqua" w:cs="宋体"/>
          <w:sz w:val="24"/>
          <w:szCs w:val="24"/>
          <w:lang w:val="en-US" w:eastAsia="zh-CN"/>
        </w:rPr>
        <w:t>: 420-429 [PMID: 28456631 DOI: 10.1053/j.gastro.2017.04.022]</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5 </w:t>
      </w:r>
      <w:r w:rsidRPr="00FE6084">
        <w:rPr>
          <w:rFonts w:ascii="Book Antiqua" w:eastAsia="宋体" w:hAnsi="Book Antiqua" w:cs="宋体"/>
          <w:b/>
          <w:bCs/>
          <w:sz w:val="24"/>
          <w:szCs w:val="24"/>
          <w:lang w:val="en-US" w:eastAsia="zh-CN"/>
        </w:rPr>
        <w:t>Zamani M</w:t>
      </w:r>
      <w:r w:rsidRPr="00FE6084">
        <w:rPr>
          <w:rFonts w:ascii="Book Antiqua" w:eastAsia="宋体" w:hAnsi="Book Antiqua" w:cs="宋体"/>
          <w:sz w:val="24"/>
          <w:szCs w:val="24"/>
          <w:lang w:val="en-US" w:eastAsia="zh-CN"/>
        </w:rPr>
        <w:t xml:space="preserve">, Ebrahimtabar F, Zamani V, Miller WH, Alizadeh-Navaei R, Shokri-Shirvani J, Derakhshan MH. Systematic review with meta-analysis: the worldwide prevalence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w:t>
      </w:r>
      <w:r w:rsidRPr="00FE6084">
        <w:rPr>
          <w:rFonts w:ascii="Book Antiqua" w:eastAsia="宋体" w:hAnsi="Book Antiqua" w:cs="宋体"/>
          <w:i/>
          <w:iCs/>
          <w:sz w:val="24"/>
          <w:szCs w:val="24"/>
          <w:lang w:val="en-US" w:eastAsia="zh-CN"/>
        </w:rPr>
        <w:t>Aliment Pharmacol Ther</w:t>
      </w:r>
      <w:r w:rsidRPr="00FE6084">
        <w:rPr>
          <w:rFonts w:ascii="Book Antiqua" w:eastAsia="宋体" w:hAnsi="Book Antiqua" w:cs="宋体"/>
          <w:sz w:val="24"/>
          <w:szCs w:val="24"/>
          <w:lang w:val="en-US" w:eastAsia="zh-CN"/>
        </w:rPr>
        <w:t xml:space="preserve"> 2018; </w:t>
      </w:r>
      <w:r w:rsidRPr="00FE6084">
        <w:rPr>
          <w:rFonts w:ascii="Book Antiqua" w:eastAsia="宋体" w:hAnsi="Book Antiqua" w:cs="宋体"/>
          <w:b/>
          <w:bCs/>
          <w:sz w:val="24"/>
          <w:szCs w:val="24"/>
          <w:lang w:val="en-US" w:eastAsia="zh-CN"/>
        </w:rPr>
        <w:t>47</w:t>
      </w:r>
      <w:r w:rsidRPr="00FE6084">
        <w:rPr>
          <w:rFonts w:ascii="Book Antiqua" w:eastAsia="宋体" w:hAnsi="Book Antiqua" w:cs="宋体"/>
          <w:sz w:val="24"/>
          <w:szCs w:val="24"/>
          <w:lang w:val="en-US" w:eastAsia="zh-CN"/>
        </w:rPr>
        <w:t>: 868-876 [PMID: 29430669 DOI: 10.1111/apt.14561]</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t xml:space="preserve">6 </w:t>
      </w:r>
      <w:r w:rsidRPr="00FE6084">
        <w:rPr>
          <w:rFonts w:ascii="Book Antiqua" w:eastAsia="宋体" w:hAnsi="Book Antiqua" w:cs="宋体"/>
          <w:b/>
          <w:bCs/>
          <w:sz w:val="24"/>
          <w:szCs w:val="24"/>
          <w:highlight w:val="yellow"/>
          <w:lang w:val="en-US" w:eastAsia="zh-CN"/>
        </w:rPr>
        <w:t>Lakner L</w:t>
      </w:r>
      <w:r w:rsidRPr="00FE6084">
        <w:rPr>
          <w:rFonts w:ascii="Book Antiqua" w:eastAsia="宋体" w:hAnsi="Book Antiqua" w:cs="宋体"/>
          <w:sz w:val="24"/>
          <w:szCs w:val="24"/>
          <w:highlight w:val="yellow"/>
          <w:lang w:val="en-US" w:eastAsia="zh-CN"/>
        </w:rPr>
        <w:t xml:space="preserve">, Jáger R, Toldy E, Sarang K, Varga L, Kovács LG, Döbrönte Z. A </w:t>
      </w:r>
      <w:r w:rsidR="00DA7C1F" w:rsidRPr="00FE6084">
        <w:rPr>
          <w:rFonts w:ascii="Book Antiqua" w:eastAsia="宋体" w:hAnsi="Book Antiqua" w:cs="宋体"/>
          <w:i/>
          <w:sz w:val="24"/>
          <w:szCs w:val="24"/>
          <w:highlight w:val="yellow"/>
          <w:lang w:val="en-US" w:eastAsia="zh-CN"/>
        </w:rPr>
        <w:t>Helicobacter pylori</w:t>
      </w:r>
      <w:r w:rsidRPr="00FE6084">
        <w:rPr>
          <w:rFonts w:ascii="Book Antiqua" w:eastAsia="宋体" w:hAnsi="Book Antiqua" w:cs="宋体"/>
          <w:sz w:val="24"/>
          <w:szCs w:val="24"/>
          <w:highlight w:val="yellow"/>
          <w:lang w:val="en-US" w:eastAsia="zh-CN"/>
        </w:rPr>
        <w:t xml:space="preserve"> infekció szeroepidemiológiai vizsgálata Vas megyében Magy Belorv Arch. 1999; </w:t>
      </w:r>
      <w:r w:rsidRPr="00FE6084">
        <w:rPr>
          <w:rFonts w:ascii="Book Antiqua" w:eastAsia="宋体" w:hAnsi="Book Antiqua" w:cs="宋体"/>
          <w:b/>
          <w:bCs/>
          <w:sz w:val="24"/>
          <w:szCs w:val="24"/>
          <w:highlight w:val="yellow"/>
          <w:lang w:val="en-US" w:eastAsia="zh-CN"/>
        </w:rPr>
        <w:t>52</w:t>
      </w:r>
      <w:r w:rsidRPr="00FE6084">
        <w:rPr>
          <w:rFonts w:ascii="Book Antiqua" w:eastAsia="宋体" w:hAnsi="Book Antiqua" w:cs="宋体"/>
          <w:sz w:val="24"/>
          <w:szCs w:val="24"/>
          <w:highlight w:val="yellow"/>
          <w:lang w:val="en-US" w:eastAsia="zh-CN"/>
        </w:rPr>
        <w:t>: 451-457</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7 </w:t>
      </w:r>
      <w:r w:rsidRPr="00FE6084">
        <w:rPr>
          <w:rFonts w:ascii="Book Antiqua" w:eastAsia="宋体" w:hAnsi="Book Antiqua" w:cs="宋体"/>
          <w:b/>
          <w:bCs/>
          <w:sz w:val="24"/>
          <w:szCs w:val="24"/>
          <w:lang w:val="en-US" w:eastAsia="zh-CN"/>
        </w:rPr>
        <w:t>Ford AC</w:t>
      </w:r>
      <w:r w:rsidRPr="00FE6084">
        <w:rPr>
          <w:rFonts w:ascii="Book Antiqua" w:eastAsia="宋体" w:hAnsi="Book Antiqua" w:cs="宋体"/>
          <w:sz w:val="24"/>
          <w:szCs w:val="24"/>
          <w:lang w:val="en-US" w:eastAsia="zh-CN"/>
        </w:rPr>
        <w:t xml:space="preserve">, Axon AT. Epidemiology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and public health implications. </w:t>
      </w:r>
      <w:r w:rsidRPr="00FE6084">
        <w:rPr>
          <w:rFonts w:ascii="Book Antiqua" w:eastAsia="宋体" w:hAnsi="Book Antiqua" w:cs="宋体"/>
          <w:i/>
          <w:iCs/>
          <w:sz w:val="24"/>
          <w:szCs w:val="24"/>
          <w:lang w:val="en-US" w:eastAsia="zh-CN"/>
        </w:rPr>
        <w:t>Helicobacter</w:t>
      </w:r>
      <w:r w:rsidRPr="00FE6084">
        <w:rPr>
          <w:rFonts w:ascii="Book Antiqua" w:eastAsia="宋体" w:hAnsi="Book Antiqua" w:cs="宋体"/>
          <w:sz w:val="24"/>
          <w:szCs w:val="24"/>
          <w:lang w:val="en-US" w:eastAsia="zh-CN"/>
        </w:rPr>
        <w:t xml:space="preserve"> 2010; </w:t>
      </w:r>
      <w:r w:rsidRPr="00FE6084">
        <w:rPr>
          <w:rFonts w:ascii="Book Antiqua" w:eastAsia="宋体" w:hAnsi="Book Antiqua" w:cs="宋体"/>
          <w:b/>
          <w:bCs/>
          <w:sz w:val="24"/>
          <w:szCs w:val="24"/>
          <w:lang w:val="en-US" w:eastAsia="zh-CN"/>
        </w:rPr>
        <w:t>15</w:t>
      </w:r>
      <w:r w:rsidRPr="00FE6084">
        <w:rPr>
          <w:rFonts w:ascii="Book Antiqua" w:eastAsia="宋体" w:hAnsi="Book Antiqua" w:cs="宋体"/>
          <w:sz w:val="24"/>
          <w:szCs w:val="24"/>
          <w:lang w:val="en-US" w:eastAsia="zh-CN"/>
        </w:rPr>
        <w:t>: 1-6 [PMID: 21054646 DOI: 10.1111/j.1523-5378.2010.00779.x]</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8 </w:t>
      </w:r>
      <w:r w:rsidRPr="00FE6084">
        <w:rPr>
          <w:rFonts w:ascii="Book Antiqua" w:eastAsia="宋体" w:hAnsi="Book Antiqua" w:cs="宋体"/>
          <w:b/>
          <w:bCs/>
          <w:sz w:val="24"/>
          <w:szCs w:val="24"/>
          <w:lang w:val="en-US" w:eastAsia="zh-CN"/>
        </w:rPr>
        <w:t>Goh KL</w:t>
      </w:r>
      <w:r w:rsidRPr="00FE6084">
        <w:rPr>
          <w:rFonts w:ascii="Book Antiqua" w:eastAsia="宋体" w:hAnsi="Book Antiqua" w:cs="宋体"/>
          <w:sz w:val="24"/>
          <w:szCs w:val="24"/>
          <w:lang w:val="en-US" w:eastAsia="zh-CN"/>
        </w:rPr>
        <w:t xml:space="preserve">, Chan WK, Shiota S, Yamaoka Y. Epidemiology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and public health implications. </w:t>
      </w:r>
      <w:r w:rsidRPr="00FE6084">
        <w:rPr>
          <w:rFonts w:ascii="Book Antiqua" w:eastAsia="宋体" w:hAnsi="Book Antiqua" w:cs="宋体"/>
          <w:i/>
          <w:iCs/>
          <w:sz w:val="24"/>
          <w:szCs w:val="24"/>
          <w:lang w:val="en-US" w:eastAsia="zh-CN"/>
        </w:rPr>
        <w:t>Helicobacter</w:t>
      </w:r>
      <w:r w:rsidRPr="00FE6084">
        <w:rPr>
          <w:rFonts w:ascii="Book Antiqua" w:eastAsia="宋体" w:hAnsi="Book Antiqua" w:cs="宋体"/>
          <w:sz w:val="24"/>
          <w:szCs w:val="24"/>
          <w:lang w:val="en-US" w:eastAsia="zh-CN"/>
        </w:rPr>
        <w:t xml:space="preserve"> 2011; </w:t>
      </w:r>
      <w:r w:rsidRPr="00FE6084">
        <w:rPr>
          <w:rFonts w:ascii="Book Antiqua" w:eastAsia="宋体" w:hAnsi="Book Antiqua" w:cs="宋体"/>
          <w:b/>
          <w:bCs/>
          <w:sz w:val="24"/>
          <w:szCs w:val="24"/>
          <w:lang w:val="en-US" w:eastAsia="zh-CN"/>
        </w:rPr>
        <w:t>16</w:t>
      </w:r>
      <w:r w:rsidRPr="00FE6084">
        <w:rPr>
          <w:rFonts w:ascii="Book Antiqua" w:eastAsia="宋体" w:hAnsi="Book Antiqua" w:cs="宋体"/>
          <w:sz w:val="24"/>
          <w:szCs w:val="24"/>
          <w:lang w:val="en-US" w:eastAsia="zh-CN"/>
        </w:rPr>
        <w:t>: 1-9 [PMID: 21896079 DOI: 10.1111/j.1523-5378.2011.00874.x]</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lastRenderedPageBreak/>
        <w:t xml:space="preserve">9 </w:t>
      </w:r>
      <w:r w:rsidRPr="00FE6084">
        <w:rPr>
          <w:rFonts w:ascii="Book Antiqua" w:eastAsia="宋体" w:hAnsi="Book Antiqua" w:cs="宋体"/>
          <w:b/>
          <w:bCs/>
          <w:sz w:val="24"/>
          <w:szCs w:val="24"/>
          <w:lang w:val="en-US" w:eastAsia="zh-CN"/>
        </w:rPr>
        <w:t>Reshetnyak VI</w:t>
      </w:r>
      <w:r w:rsidRPr="00FE6084">
        <w:rPr>
          <w:rFonts w:ascii="Book Antiqua" w:eastAsia="宋体" w:hAnsi="Book Antiqua" w:cs="宋体"/>
          <w:sz w:val="24"/>
          <w:szCs w:val="24"/>
          <w:lang w:val="en-US" w:eastAsia="zh-CN"/>
        </w:rPr>
        <w:t xml:space="preserve">, Reshetnyak TM. Significance of dormant forms of </w:t>
      </w:r>
      <w:r w:rsidR="00DA7C1F" w:rsidRPr="00FE6084">
        <w:rPr>
          <w:rFonts w:ascii="Book Antiqua" w:eastAsia="宋体" w:hAnsi="Book Antiqua" w:cs="宋体"/>
          <w:i/>
          <w:iCs/>
          <w:sz w:val="24"/>
          <w:szCs w:val="24"/>
          <w:lang w:val="en-US" w:eastAsia="zh-CN"/>
        </w:rPr>
        <w:t>Helicobacter pylori</w:t>
      </w:r>
      <w:r w:rsidRPr="00FE6084">
        <w:rPr>
          <w:rFonts w:ascii="Book Antiqua" w:eastAsia="宋体" w:hAnsi="Book Antiqua" w:cs="宋体"/>
          <w:sz w:val="24"/>
          <w:szCs w:val="24"/>
          <w:lang w:val="en-US" w:eastAsia="zh-CN"/>
        </w:rPr>
        <w:t xml:space="preserve"> in ulcerogenesis. </w:t>
      </w:r>
      <w:r w:rsidRPr="00FE6084">
        <w:rPr>
          <w:rFonts w:ascii="Book Antiqua" w:eastAsia="宋体" w:hAnsi="Book Antiqua" w:cs="宋体"/>
          <w:i/>
          <w:iCs/>
          <w:sz w:val="24"/>
          <w:szCs w:val="24"/>
          <w:lang w:val="en-US" w:eastAsia="zh-CN"/>
        </w:rPr>
        <w:t>World J Gastroenterol</w:t>
      </w:r>
      <w:r w:rsidRPr="00FE6084">
        <w:rPr>
          <w:rFonts w:ascii="Book Antiqua" w:eastAsia="宋体" w:hAnsi="Book Antiqua" w:cs="宋体"/>
          <w:sz w:val="24"/>
          <w:szCs w:val="24"/>
          <w:lang w:val="en-US" w:eastAsia="zh-CN"/>
        </w:rPr>
        <w:t xml:space="preserve"> 2017; </w:t>
      </w:r>
      <w:r w:rsidRPr="00FE6084">
        <w:rPr>
          <w:rFonts w:ascii="Book Antiqua" w:eastAsia="宋体" w:hAnsi="Book Antiqua" w:cs="宋体"/>
          <w:b/>
          <w:bCs/>
          <w:sz w:val="24"/>
          <w:szCs w:val="24"/>
          <w:lang w:val="en-US" w:eastAsia="zh-CN"/>
        </w:rPr>
        <w:t>23</w:t>
      </w:r>
      <w:r w:rsidRPr="00FE6084">
        <w:rPr>
          <w:rFonts w:ascii="Book Antiqua" w:eastAsia="宋体" w:hAnsi="Book Antiqua" w:cs="宋体"/>
          <w:sz w:val="24"/>
          <w:szCs w:val="24"/>
          <w:lang w:val="en-US" w:eastAsia="zh-CN"/>
        </w:rPr>
        <w:t>: 4867-4878 [PMID: 28785141 DOI: 10.3748/wjg.v23.i27.4867]</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10 </w:t>
      </w:r>
      <w:r w:rsidRPr="00FE6084">
        <w:rPr>
          <w:rFonts w:ascii="Book Antiqua" w:eastAsia="宋体" w:hAnsi="Book Antiqua" w:cs="宋体"/>
          <w:b/>
          <w:bCs/>
          <w:sz w:val="24"/>
          <w:szCs w:val="24"/>
          <w:lang w:val="en-US" w:eastAsia="zh-CN"/>
        </w:rPr>
        <w:t>German SV</w:t>
      </w:r>
      <w:r w:rsidRPr="00FE6084">
        <w:rPr>
          <w:rFonts w:ascii="Book Antiqua" w:eastAsia="宋体" w:hAnsi="Book Antiqua" w:cs="宋体"/>
          <w:sz w:val="24"/>
          <w:szCs w:val="24"/>
          <w:lang w:val="en-US" w:eastAsia="zh-CN"/>
        </w:rPr>
        <w:t xml:space="preserve">, Zykova IE, Modestova AV, Ermakov NV. Epidemiological characteristics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in Moscow. </w:t>
      </w:r>
      <w:r w:rsidRPr="00FE6084">
        <w:rPr>
          <w:rFonts w:ascii="Book Antiqua" w:eastAsia="宋体" w:hAnsi="Book Antiqua" w:cs="宋体"/>
          <w:i/>
          <w:iCs/>
          <w:sz w:val="24"/>
          <w:szCs w:val="24"/>
          <w:lang w:val="en-US" w:eastAsia="zh-CN"/>
        </w:rPr>
        <w:t>Gig Sanit</w:t>
      </w:r>
      <w:r w:rsidRPr="00FE6084">
        <w:rPr>
          <w:rFonts w:ascii="Book Antiqua" w:eastAsia="宋体" w:hAnsi="Book Antiqua" w:cs="宋体"/>
          <w:sz w:val="24"/>
          <w:szCs w:val="24"/>
          <w:lang w:val="en-US" w:eastAsia="zh-CN"/>
        </w:rPr>
        <w:t xml:space="preserve"> 2011; </w:t>
      </w:r>
      <w:r w:rsidR="007C1D6A" w:rsidRPr="00FE6084">
        <w:rPr>
          <w:rFonts w:ascii="Book Antiqua" w:eastAsia="宋体" w:hAnsi="Book Antiqua" w:cs="宋体"/>
          <w:b/>
          <w:bCs/>
          <w:sz w:val="24"/>
          <w:szCs w:val="24"/>
          <w:lang w:val="en-US" w:eastAsia="zh-CN"/>
        </w:rPr>
        <w:t>1</w:t>
      </w:r>
      <w:r w:rsidRPr="00FE6084">
        <w:rPr>
          <w:rFonts w:ascii="Book Antiqua" w:eastAsia="宋体" w:hAnsi="Book Antiqua" w:cs="宋体"/>
          <w:sz w:val="24"/>
          <w:szCs w:val="24"/>
          <w:lang w:val="en-US" w:eastAsia="zh-CN"/>
        </w:rPr>
        <w:t>: 44-48 [PMID: 21510047]</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highlight w:val="yellow"/>
          <w:lang w:val="en-US" w:eastAsia="zh-CN"/>
        </w:rPr>
      </w:pPr>
      <w:r w:rsidRPr="00FE6084">
        <w:rPr>
          <w:rFonts w:ascii="Book Antiqua" w:eastAsia="宋体" w:hAnsi="Book Antiqua" w:cs="宋体"/>
          <w:sz w:val="24"/>
          <w:szCs w:val="24"/>
          <w:highlight w:val="yellow"/>
          <w:lang w:val="en-US" w:eastAsia="zh-CN"/>
        </w:rPr>
        <w:t xml:space="preserve">11 </w:t>
      </w:r>
      <w:r w:rsidR="007329BD" w:rsidRPr="00FE6084">
        <w:rPr>
          <w:rFonts w:ascii="Book Antiqua" w:eastAsia="宋体" w:hAnsi="Book Antiqua" w:cs="宋体"/>
          <w:b/>
          <w:bCs/>
          <w:sz w:val="24"/>
          <w:szCs w:val="24"/>
          <w:highlight w:val="yellow"/>
          <w:lang w:val="en-US" w:eastAsia="zh-CN"/>
        </w:rPr>
        <w:t>Központi Statisztikai Hivatal</w:t>
      </w:r>
      <w:r w:rsidR="007329BD" w:rsidRPr="00FE6084">
        <w:rPr>
          <w:rFonts w:ascii="Book Antiqua" w:eastAsia="宋体" w:hAnsi="Book Antiqua" w:cs="宋体"/>
          <w:sz w:val="24"/>
          <w:szCs w:val="24"/>
          <w:highlight w:val="yellow"/>
          <w:lang w:val="en-US" w:eastAsia="zh-CN"/>
        </w:rPr>
        <w:t xml:space="preserve">, </w:t>
      </w:r>
      <w:r w:rsidRPr="00FE6084">
        <w:rPr>
          <w:rFonts w:ascii="Book Antiqua" w:eastAsia="宋体" w:hAnsi="Book Antiqua" w:cs="宋体"/>
          <w:sz w:val="24"/>
          <w:szCs w:val="24"/>
          <w:highlight w:val="yellow"/>
          <w:lang w:val="en-US" w:eastAsia="zh-CN"/>
        </w:rPr>
        <w:t>Hungarian Central Statistical Office</w:t>
      </w:r>
      <w:r w:rsidR="007329BD" w:rsidRPr="00FE6084">
        <w:rPr>
          <w:rFonts w:ascii="Book Antiqua" w:eastAsia="宋体" w:hAnsi="Book Antiqua" w:cs="宋体"/>
          <w:sz w:val="24"/>
          <w:szCs w:val="24"/>
          <w:highlight w:val="yellow"/>
          <w:lang w:val="en-US" w:eastAsia="zh-CN"/>
        </w:rPr>
        <w:t xml:space="preserve">. </w:t>
      </w:r>
      <w:r w:rsidR="00DA7C1F" w:rsidRPr="00FE6084">
        <w:rPr>
          <w:rFonts w:ascii="Book Antiqua" w:eastAsia="宋体" w:hAnsi="Book Antiqua" w:cs="宋体"/>
          <w:sz w:val="24"/>
          <w:szCs w:val="24"/>
          <w:highlight w:val="yellow"/>
          <w:lang w:val="en-US" w:eastAsia="zh-CN"/>
        </w:rPr>
        <w:t xml:space="preserve">Magyarország számokban, </w:t>
      </w:r>
      <w:r w:rsidR="007329BD" w:rsidRPr="00FE6084">
        <w:rPr>
          <w:rFonts w:ascii="Book Antiqua" w:eastAsia="宋体" w:hAnsi="Book Antiqua" w:cs="宋体"/>
          <w:sz w:val="24"/>
          <w:szCs w:val="24"/>
          <w:highlight w:val="yellow"/>
          <w:lang w:val="en-US" w:eastAsia="zh-CN"/>
        </w:rPr>
        <w:t xml:space="preserve">2014. Available from: </w:t>
      </w:r>
      <w:hyperlink r:id="rId10" w:history="1">
        <w:r w:rsidR="00521DF4" w:rsidRPr="00246002">
          <w:rPr>
            <w:rStyle w:val="a4"/>
            <w:rFonts w:ascii="Book Antiqua" w:eastAsia="宋体" w:hAnsi="Book Antiqua" w:cs="宋体"/>
            <w:sz w:val="24"/>
            <w:szCs w:val="24"/>
            <w:highlight w:val="yellow"/>
            <w:lang w:val="en-US" w:eastAsia="zh-CN"/>
          </w:rPr>
          <w:t>https://www.ksh.hu/docs/hun/xftp/idoszaki/mosz/mosz13.pdf</w:t>
        </w:r>
      </w:hyperlink>
      <w:r w:rsidR="00521DF4">
        <w:rPr>
          <w:rFonts w:ascii="Book Antiqua" w:eastAsia="宋体" w:hAnsi="Book Antiqua" w:cs="宋体"/>
          <w:sz w:val="24"/>
          <w:szCs w:val="24"/>
          <w:highlight w:val="yellow"/>
          <w:lang w:val="en-US" w:eastAsia="zh-CN"/>
        </w:rPr>
        <w:t xml:space="preserve"> </w:t>
      </w:r>
    </w:p>
    <w:p w:rsidR="007329BD" w:rsidRPr="00FE6084" w:rsidRDefault="001D4DFF" w:rsidP="00FE6084">
      <w:pPr>
        <w:adjustRightInd w:val="0"/>
        <w:snapToGrid w:val="0"/>
        <w:spacing w:after="0" w:line="360" w:lineRule="auto"/>
        <w:jc w:val="both"/>
        <w:rPr>
          <w:rFonts w:ascii="Book Antiqua" w:eastAsia="宋体" w:hAnsi="Book Antiqua" w:cs="宋体"/>
          <w:sz w:val="24"/>
          <w:szCs w:val="24"/>
          <w:highlight w:val="yellow"/>
          <w:lang w:val="en-US" w:eastAsia="zh-CN"/>
        </w:rPr>
      </w:pPr>
      <w:r w:rsidRPr="00FE6084">
        <w:rPr>
          <w:rFonts w:ascii="Book Antiqua" w:eastAsia="宋体" w:hAnsi="Book Antiqua" w:cs="宋体"/>
          <w:sz w:val="24"/>
          <w:szCs w:val="24"/>
          <w:highlight w:val="yellow"/>
          <w:lang w:val="en-US" w:eastAsia="zh-CN"/>
        </w:rPr>
        <w:t xml:space="preserve">12 </w:t>
      </w:r>
      <w:r w:rsidR="007329BD" w:rsidRPr="00FE6084">
        <w:rPr>
          <w:rFonts w:ascii="Book Antiqua" w:eastAsia="宋体" w:hAnsi="Book Antiqua" w:cs="宋体"/>
          <w:b/>
          <w:bCs/>
          <w:sz w:val="24"/>
          <w:szCs w:val="24"/>
          <w:highlight w:val="yellow"/>
          <w:lang w:val="en-US" w:eastAsia="zh-CN"/>
        </w:rPr>
        <w:t>Központi Statisztikai Hivatal</w:t>
      </w:r>
      <w:r w:rsidR="007329BD" w:rsidRPr="00FE6084">
        <w:rPr>
          <w:rFonts w:ascii="Book Antiqua" w:eastAsia="宋体" w:hAnsi="Book Antiqua" w:cs="宋体"/>
          <w:sz w:val="24"/>
          <w:szCs w:val="24"/>
          <w:highlight w:val="yellow"/>
          <w:lang w:val="en-US" w:eastAsia="zh-CN"/>
        </w:rPr>
        <w:t>,</w:t>
      </w:r>
      <w:r w:rsidR="007329BD" w:rsidRPr="00FE6084">
        <w:rPr>
          <w:rFonts w:ascii="Book Antiqua" w:eastAsia="宋体" w:hAnsi="Book Antiqua" w:cs="宋体"/>
          <w:b/>
          <w:bCs/>
          <w:sz w:val="24"/>
          <w:szCs w:val="24"/>
          <w:highlight w:val="yellow"/>
          <w:lang w:val="en-US" w:eastAsia="zh-CN"/>
        </w:rPr>
        <w:t xml:space="preserve"> </w:t>
      </w:r>
      <w:r w:rsidRPr="00FE6084">
        <w:rPr>
          <w:rFonts w:ascii="Book Antiqua" w:eastAsia="宋体" w:hAnsi="Book Antiqua" w:cs="宋体"/>
          <w:sz w:val="24"/>
          <w:szCs w:val="24"/>
          <w:highlight w:val="yellow"/>
          <w:lang w:val="en-US" w:eastAsia="zh-CN"/>
        </w:rPr>
        <w:t>Hungarian Central Statistical Office</w:t>
      </w:r>
      <w:r w:rsidR="007329BD" w:rsidRPr="00FE6084">
        <w:rPr>
          <w:rFonts w:ascii="Book Antiqua" w:eastAsia="宋体" w:hAnsi="Book Antiqua" w:cs="宋体"/>
          <w:sz w:val="24"/>
          <w:szCs w:val="24"/>
          <w:highlight w:val="yellow"/>
          <w:lang w:val="en-US" w:eastAsia="zh-CN"/>
        </w:rPr>
        <w:t xml:space="preserve">. </w:t>
      </w:r>
    </w:p>
    <w:p w:rsidR="001D4DFF" w:rsidRPr="00FE6084" w:rsidRDefault="007329BD"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t xml:space="preserve"> Csongrád megye számokban</w:t>
      </w:r>
      <w:r w:rsidRPr="00FE6084">
        <w:rPr>
          <w:rFonts w:ascii="Book Antiqua" w:eastAsia="宋体" w:hAnsi="Book Antiqua" w:cs="宋体"/>
          <w:bCs/>
          <w:sz w:val="24"/>
          <w:szCs w:val="24"/>
          <w:highlight w:val="yellow"/>
          <w:lang w:val="en-US" w:eastAsia="zh-CN"/>
        </w:rPr>
        <w:t xml:space="preserve">, 2015. </w:t>
      </w:r>
      <w:r w:rsidRPr="00FE6084">
        <w:rPr>
          <w:rFonts w:ascii="Book Antiqua" w:eastAsia="宋体" w:hAnsi="Book Antiqua" w:cs="Arial"/>
          <w:bCs/>
          <w:sz w:val="24"/>
          <w:szCs w:val="24"/>
          <w:highlight w:val="yellow"/>
        </w:rPr>
        <w:t xml:space="preserve">Available from: </w:t>
      </w:r>
      <w:r w:rsidR="001D4DFF" w:rsidRPr="00FE6084">
        <w:rPr>
          <w:rFonts w:ascii="Book Antiqua" w:eastAsia="宋体" w:hAnsi="Book Antiqua" w:cs="宋体"/>
          <w:sz w:val="24"/>
          <w:szCs w:val="24"/>
          <w:highlight w:val="yellow"/>
          <w:lang w:val="en-US" w:eastAsia="zh-CN"/>
        </w:rPr>
        <w:t>http://www.ksh.hu/docs/hun/xftp/idoszaki/regiok/mesz/06_cs_14.pdf</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t xml:space="preserve">13 </w:t>
      </w:r>
      <w:r w:rsidR="007329BD" w:rsidRPr="00FE6084">
        <w:rPr>
          <w:rFonts w:ascii="Book Antiqua" w:eastAsia="宋体" w:hAnsi="Book Antiqua" w:cs="宋体"/>
          <w:b/>
          <w:bCs/>
          <w:sz w:val="24"/>
          <w:szCs w:val="24"/>
          <w:highlight w:val="yellow"/>
          <w:lang w:val="en-US" w:eastAsia="zh-CN"/>
        </w:rPr>
        <w:t>Központi Statisztikai Hivatal,</w:t>
      </w:r>
      <w:r w:rsidR="007329BD" w:rsidRPr="00FE6084">
        <w:rPr>
          <w:rFonts w:ascii="Book Antiqua" w:eastAsia="宋体" w:hAnsi="Book Antiqua" w:cs="宋体"/>
          <w:sz w:val="24"/>
          <w:szCs w:val="24"/>
          <w:highlight w:val="yellow"/>
          <w:lang w:val="en-US" w:eastAsia="zh-CN"/>
        </w:rPr>
        <w:t xml:space="preserve"> </w:t>
      </w:r>
      <w:r w:rsidRPr="00FE6084">
        <w:rPr>
          <w:rFonts w:ascii="Book Antiqua" w:eastAsia="宋体" w:hAnsi="Book Antiqua" w:cs="宋体"/>
          <w:sz w:val="24"/>
          <w:szCs w:val="24"/>
          <w:highlight w:val="yellow"/>
          <w:lang w:val="en-US" w:eastAsia="zh-CN"/>
        </w:rPr>
        <w:t>Hungarian Central Statistical Office</w:t>
      </w:r>
      <w:r w:rsidR="007329BD" w:rsidRPr="00FE6084">
        <w:rPr>
          <w:rFonts w:ascii="Book Antiqua" w:eastAsia="宋体" w:hAnsi="Book Antiqua" w:cs="宋体"/>
          <w:sz w:val="24"/>
          <w:szCs w:val="24"/>
          <w:highlight w:val="yellow"/>
          <w:lang w:val="en-US" w:eastAsia="zh-CN"/>
        </w:rPr>
        <w:t xml:space="preserve">. Békés megye számokban, 2014. </w:t>
      </w:r>
      <w:r w:rsidR="007329BD" w:rsidRPr="00FE6084">
        <w:rPr>
          <w:rFonts w:ascii="Book Antiqua" w:eastAsia="宋体" w:hAnsi="Book Antiqua" w:cs="Arial"/>
          <w:bCs/>
          <w:sz w:val="24"/>
          <w:szCs w:val="24"/>
          <w:highlight w:val="yellow"/>
        </w:rPr>
        <w:t xml:space="preserve">Available from: </w:t>
      </w:r>
      <w:hyperlink r:id="rId11" w:history="1">
        <w:r w:rsidR="00521DF4" w:rsidRPr="00246002">
          <w:rPr>
            <w:rStyle w:val="a4"/>
            <w:rFonts w:ascii="Book Antiqua" w:eastAsia="宋体" w:hAnsi="Book Antiqua" w:cs="宋体"/>
            <w:sz w:val="24"/>
            <w:szCs w:val="24"/>
            <w:highlight w:val="yellow"/>
            <w:lang w:val="en-US" w:eastAsia="zh-CN"/>
          </w:rPr>
          <w:t>http://www.ksh.hu/docs/hun/xftp/idoszaki/regiok/mesz/04_be.pdf</w:t>
        </w:r>
      </w:hyperlink>
      <w:r w:rsidR="00521DF4">
        <w:rPr>
          <w:rFonts w:ascii="Book Antiqua" w:eastAsia="宋体" w:hAnsi="Book Antiqua" w:cs="宋体"/>
          <w:sz w:val="24"/>
          <w:szCs w:val="24"/>
          <w:lang w:val="en-US" w:eastAsia="zh-CN"/>
        </w:rPr>
        <w:t xml:space="preserve"> </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14 </w:t>
      </w:r>
      <w:r w:rsidRPr="00FE6084">
        <w:rPr>
          <w:rFonts w:ascii="Book Antiqua" w:eastAsia="宋体" w:hAnsi="Book Antiqua" w:cs="宋体"/>
          <w:b/>
          <w:bCs/>
          <w:sz w:val="24"/>
          <w:szCs w:val="24"/>
          <w:lang w:val="en-US" w:eastAsia="zh-CN"/>
        </w:rPr>
        <w:t>Burucoa C</w:t>
      </w:r>
      <w:r w:rsidRPr="00FE6084">
        <w:rPr>
          <w:rFonts w:ascii="Book Antiqua" w:eastAsia="宋体" w:hAnsi="Book Antiqua" w:cs="宋体"/>
          <w:sz w:val="24"/>
          <w:szCs w:val="24"/>
          <w:lang w:val="en-US" w:eastAsia="zh-CN"/>
        </w:rPr>
        <w:t xml:space="preserve">, Delchier JC, Courillon-Mallet A, de Korwin JD, Mégraud F, Zerbib F, Raymond J, Fauchère JL. Comparative evaluation of 29 commercial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serological kits. </w:t>
      </w:r>
      <w:r w:rsidRPr="00FE6084">
        <w:rPr>
          <w:rFonts w:ascii="Book Antiqua" w:eastAsia="宋体" w:hAnsi="Book Antiqua" w:cs="宋体"/>
          <w:i/>
          <w:iCs/>
          <w:sz w:val="24"/>
          <w:szCs w:val="24"/>
          <w:lang w:val="en-US" w:eastAsia="zh-CN"/>
        </w:rPr>
        <w:t>Helicobacter</w:t>
      </w:r>
      <w:r w:rsidRPr="00FE6084">
        <w:rPr>
          <w:rFonts w:ascii="Book Antiqua" w:eastAsia="宋体" w:hAnsi="Book Antiqua" w:cs="宋体"/>
          <w:sz w:val="24"/>
          <w:szCs w:val="24"/>
          <w:lang w:val="en-US" w:eastAsia="zh-CN"/>
        </w:rPr>
        <w:t xml:space="preserve"> 2013; </w:t>
      </w:r>
      <w:r w:rsidRPr="00FE6084">
        <w:rPr>
          <w:rFonts w:ascii="Book Antiqua" w:eastAsia="宋体" w:hAnsi="Book Antiqua" w:cs="宋体"/>
          <w:b/>
          <w:bCs/>
          <w:sz w:val="24"/>
          <w:szCs w:val="24"/>
          <w:lang w:val="en-US" w:eastAsia="zh-CN"/>
        </w:rPr>
        <w:t>18</w:t>
      </w:r>
      <w:r w:rsidRPr="00FE6084">
        <w:rPr>
          <w:rFonts w:ascii="Book Antiqua" w:eastAsia="宋体" w:hAnsi="Book Antiqua" w:cs="宋体"/>
          <w:sz w:val="24"/>
          <w:szCs w:val="24"/>
          <w:lang w:val="en-US" w:eastAsia="zh-CN"/>
        </w:rPr>
        <w:t>: 169-179 [PMID: 23316886 DOI: 10.1111/hel.12030]</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t xml:space="preserve">15 </w:t>
      </w:r>
      <w:r w:rsidRPr="00FE6084">
        <w:rPr>
          <w:rFonts w:ascii="Book Antiqua" w:eastAsia="宋体" w:hAnsi="Book Antiqua" w:cs="宋体"/>
          <w:b/>
          <w:bCs/>
          <w:sz w:val="24"/>
          <w:szCs w:val="24"/>
          <w:highlight w:val="yellow"/>
          <w:lang w:val="en-US" w:eastAsia="zh-CN"/>
        </w:rPr>
        <w:t>Tamássy K</w:t>
      </w:r>
      <w:r w:rsidRPr="00FE6084">
        <w:rPr>
          <w:rFonts w:ascii="Book Antiqua" w:eastAsia="宋体" w:hAnsi="Book Antiqua" w:cs="宋体"/>
          <w:sz w:val="24"/>
          <w:szCs w:val="24"/>
          <w:highlight w:val="yellow"/>
          <w:lang w:val="en-US" w:eastAsia="zh-CN"/>
        </w:rPr>
        <w:t xml:space="preserve">, Simon L, Mégraud F. </w:t>
      </w:r>
      <w:r w:rsidR="00DA7C1F" w:rsidRPr="00FE6084">
        <w:rPr>
          <w:rFonts w:ascii="Book Antiqua" w:eastAsia="宋体" w:hAnsi="Book Antiqua" w:cs="宋体"/>
          <w:i/>
          <w:sz w:val="24"/>
          <w:szCs w:val="24"/>
          <w:highlight w:val="yellow"/>
          <w:lang w:val="en-US" w:eastAsia="zh-CN"/>
        </w:rPr>
        <w:t>Helicobacter pylori</w:t>
      </w:r>
      <w:r w:rsidRPr="00FE6084">
        <w:rPr>
          <w:rFonts w:ascii="Book Antiqua" w:eastAsia="宋体" w:hAnsi="Book Antiqua" w:cs="宋体"/>
          <w:sz w:val="24"/>
          <w:szCs w:val="24"/>
          <w:highlight w:val="yellow"/>
          <w:lang w:val="en-US" w:eastAsia="zh-CN"/>
        </w:rPr>
        <w:t xml:space="preserve"> infekció magyarországi epidemiológiája (szeroepidemiológiai összehasonlító tanulmány). </w:t>
      </w:r>
      <w:r w:rsidRPr="00FE6084">
        <w:rPr>
          <w:rFonts w:ascii="Book Antiqua" w:eastAsia="宋体" w:hAnsi="Book Antiqua" w:cs="宋体"/>
          <w:i/>
          <w:iCs/>
          <w:sz w:val="24"/>
          <w:szCs w:val="24"/>
          <w:highlight w:val="yellow"/>
          <w:lang w:val="en-US" w:eastAsia="zh-CN"/>
        </w:rPr>
        <w:t xml:space="preserve">Orvosi Hetilap </w:t>
      </w:r>
      <w:r w:rsidRPr="00FE6084">
        <w:rPr>
          <w:rFonts w:ascii="Book Antiqua" w:eastAsia="宋体" w:hAnsi="Book Antiqua" w:cs="宋体"/>
          <w:sz w:val="24"/>
          <w:szCs w:val="24"/>
          <w:highlight w:val="yellow"/>
          <w:lang w:val="en-US" w:eastAsia="zh-CN"/>
        </w:rPr>
        <w:t xml:space="preserve">1995; </w:t>
      </w:r>
      <w:r w:rsidRPr="00FE6084">
        <w:rPr>
          <w:rFonts w:ascii="Book Antiqua" w:eastAsia="宋体" w:hAnsi="Book Antiqua" w:cs="宋体"/>
          <w:b/>
          <w:bCs/>
          <w:sz w:val="24"/>
          <w:szCs w:val="24"/>
          <w:highlight w:val="yellow"/>
          <w:lang w:val="en-US" w:eastAsia="zh-CN"/>
        </w:rPr>
        <w:t>136</w:t>
      </w:r>
      <w:r w:rsidRPr="00FE6084">
        <w:rPr>
          <w:rFonts w:ascii="Book Antiqua" w:eastAsia="宋体" w:hAnsi="Book Antiqua" w:cs="宋体"/>
          <w:sz w:val="24"/>
          <w:szCs w:val="24"/>
          <w:highlight w:val="yellow"/>
          <w:lang w:val="en-US" w:eastAsia="zh-CN"/>
        </w:rPr>
        <w:t>: 1387-1391</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t xml:space="preserve">16 </w:t>
      </w:r>
      <w:r w:rsidRPr="00FE6084">
        <w:rPr>
          <w:rFonts w:ascii="Book Antiqua" w:eastAsia="宋体" w:hAnsi="Book Antiqua" w:cs="宋体"/>
          <w:b/>
          <w:bCs/>
          <w:sz w:val="24"/>
          <w:szCs w:val="24"/>
          <w:highlight w:val="yellow"/>
          <w:lang w:val="en-US" w:eastAsia="zh-CN"/>
        </w:rPr>
        <w:t>Iszlai É</w:t>
      </w:r>
      <w:r w:rsidRPr="00FE6084">
        <w:rPr>
          <w:rFonts w:ascii="Book Antiqua" w:eastAsia="宋体" w:hAnsi="Book Antiqua" w:cs="宋体"/>
          <w:sz w:val="24"/>
          <w:szCs w:val="24"/>
          <w:highlight w:val="yellow"/>
          <w:lang w:val="en-US" w:eastAsia="zh-CN"/>
        </w:rPr>
        <w:t xml:space="preserve">, Kiss E, Toldy E, Ágoston S, Sipos B, Vén L, Rácz F, Szerafin L. </w:t>
      </w:r>
      <w:r w:rsidR="00DA7C1F" w:rsidRPr="00FE6084">
        <w:rPr>
          <w:rFonts w:ascii="Book Antiqua" w:eastAsia="宋体" w:hAnsi="Book Antiqua" w:cs="宋体"/>
          <w:i/>
          <w:sz w:val="24"/>
          <w:szCs w:val="24"/>
          <w:highlight w:val="yellow"/>
          <w:lang w:val="en-US" w:eastAsia="zh-CN"/>
        </w:rPr>
        <w:t>Helicobacter pylori</w:t>
      </w:r>
      <w:r w:rsidRPr="00FE6084">
        <w:rPr>
          <w:rFonts w:ascii="Book Antiqua" w:eastAsia="宋体" w:hAnsi="Book Antiqua" w:cs="宋体"/>
          <w:sz w:val="24"/>
          <w:szCs w:val="24"/>
          <w:highlight w:val="yellow"/>
          <w:lang w:val="en-US" w:eastAsia="zh-CN"/>
        </w:rPr>
        <w:t xml:space="preserve"> szeroprevalencia és anti-CagA pozitivitás Szabolcs-Szatmár-Bereg megyében. </w:t>
      </w:r>
      <w:r w:rsidRPr="00FE6084">
        <w:rPr>
          <w:rFonts w:ascii="Book Antiqua" w:eastAsia="宋体" w:hAnsi="Book Antiqua" w:cs="宋体"/>
          <w:i/>
          <w:iCs/>
          <w:sz w:val="24"/>
          <w:szCs w:val="24"/>
          <w:highlight w:val="yellow"/>
          <w:lang w:val="en-US" w:eastAsia="zh-CN"/>
        </w:rPr>
        <w:t>Orvosi Hetilap</w:t>
      </w:r>
      <w:r w:rsidRPr="00FE6084">
        <w:rPr>
          <w:rFonts w:ascii="Book Antiqua" w:eastAsia="宋体" w:hAnsi="Book Antiqua" w:cs="宋体"/>
          <w:sz w:val="24"/>
          <w:szCs w:val="24"/>
          <w:highlight w:val="yellow"/>
          <w:lang w:val="en-US" w:eastAsia="zh-CN"/>
        </w:rPr>
        <w:t xml:space="preserve"> 2003; </w:t>
      </w:r>
      <w:r w:rsidRPr="00FE6084">
        <w:rPr>
          <w:rFonts w:ascii="Book Antiqua" w:eastAsia="宋体" w:hAnsi="Book Antiqua" w:cs="宋体"/>
          <w:b/>
          <w:bCs/>
          <w:sz w:val="24"/>
          <w:szCs w:val="24"/>
          <w:highlight w:val="yellow"/>
          <w:lang w:val="en-US" w:eastAsia="zh-CN"/>
        </w:rPr>
        <w:t>144</w:t>
      </w:r>
      <w:r w:rsidRPr="00FE6084">
        <w:rPr>
          <w:rFonts w:ascii="Book Antiqua" w:eastAsia="宋体" w:hAnsi="Book Antiqua" w:cs="宋体"/>
          <w:sz w:val="24"/>
          <w:szCs w:val="24"/>
          <w:highlight w:val="yellow"/>
          <w:lang w:val="en-US" w:eastAsia="zh-CN"/>
        </w:rPr>
        <w:t>: 1713-1718</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17 </w:t>
      </w:r>
      <w:r w:rsidRPr="00FE6084">
        <w:rPr>
          <w:rFonts w:ascii="Book Antiqua" w:eastAsia="宋体" w:hAnsi="Book Antiqua" w:cs="宋体"/>
          <w:b/>
          <w:bCs/>
          <w:sz w:val="24"/>
          <w:szCs w:val="24"/>
          <w:lang w:val="en-US" w:eastAsia="zh-CN"/>
        </w:rPr>
        <w:t>Bálint L</w:t>
      </w:r>
      <w:r w:rsidRPr="00FE6084">
        <w:rPr>
          <w:rFonts w:ascii="Book Antiqua" w:eastAsia="宋体" w:hAnsi="Book Antiqua" w:cs="宋体"/>
          <w:sz w:val="24"/>
          <w:szCs w:val="24"/>
          <w:lang w:val="en-US" w:eastAsia="zh-CN"/>
        </w:rPr>
        <w:t xml:space="preserve">, Tiszai A, Lénárt Z, Makhajda E, Wittmann T.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and eradication therapy of our out patients in 2005 and 2010 years. What has been changed with time? </w:t>
      </w:r>
      <w:r w:rsidRPr="00FE6084">
        <w:rPr>
          <w:rFonts w:ascii="Book Antiqua" w:eastAsia="宋体" w:hAnsi="Book Antiqua" w:cs="宋体"/>
          <w:i/>
          <w:iCs/>
          <w:sz w:val="24"/>
          <w:szCs w:val="24"/>
          <w:lang w:val="en-US" w:eastAsia="zh-CN"/>
        </w:rPr>
        <w:t>Z Gastroenterol</w:t>
      </w:r>
      <w:r w:rsidRPr="00FE6084">
        <w:rPr>
          <w:rFonts w:ascii="Book Antiqua" w:eastAsia="宋体" w:hAnsi="Book Antiqua" w:cs="宋体"/>
          <w:sz w:val="24"/>
          <w:szCs w:val="24"/>
          <w:lang w:val="en-US" w:eastAsia="zh-CN"/>
        </w:rPr>
        <w:t xml:space="preserve"> 2011; 49: 638</w:t>
      </w:r>
      <w:r w:rsidR="007C1D6A" w:rsidRPr="00FE6084">
        <w:rPr>
          <w:rFonts w:ascii="Book Antiqua" w:eastAsia="宋体" w:hAnsi="Book Antiqua" w:cs="宋体"/>
          <w:sz w:val="24"/>
          <w:szCs w:val="24"/>
          <w:lang w:val="en-US" w:eastAsia="zh-CN"/>
        </w:rPr>
        <w:t xml:space="preserve"> [DOI: 10.1055/s-0031-1278434]</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18 </w:t>
      </w:r>
      <w:r w:rsidRPr="00FE6084">
        <w:rPr>
          <w:rFonts w:ascii="Book Antiqua" w:eastAsia="宋体" w:hAnsi="Book Antiqua" w:cs="宋体"/>
          <w:b/>
          <w:bCs/>
          <w:sz w:val="24"/>
          <w:szCs w:val="24"/>
          <w:lang w:val="en-US" w:eastAsia="zh-CN"/>
        </w:rPr>
        <w:t>Bálint L</w:t>
      </w:r>
      <w:r w:rsidRPr="00FE6084">
        <w:rPr>
          <w:rFonts w:ascii="Book Antiqua" w:eastAsia="宋体" w:hAnsi="Book Antiqua" w:cs="宋体"/>
          <w:sz w:val="24"/>
          <w:szCs w:val="24"/>
          <w:lang w:val="en-US" w:eastAsia="zh-CN"/>
        </w:rPr>
        <w:t xml:space="preserve">, Tiszai A, Dóczi I, Szekeres V, Makhajda E, Izbéki F, Róka R, Wittmann T, Rosztóczy A. Prevalence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w:t>
      </w:r>
      <w:r w:rsidR="00FC7839" w:rsidRPr="00FC7839">
        <w:rPr>
          <w:rFonts w:ascii="Book Antiqua" w:eastAsia="宋体" w:hAnsi="Book Antiqua" w:cs="宋体"/>
          <w:iCs/>
          <w:sz w:val="24"/>
          <w:szCs w:val="24"/>
          <w:lang w:val="en-US" w:eastAsia="zh-CN"/>
        </w:rPr>
        <w:t>HP</w:t>
      </w:r>
      <w:r w:rsidRPr="00FE6084">
        <w:rPr>
          <w:rFonts w:ascii="Book Antiqua" w:eastAsia="宋体" w:hAnsi="Book Antiqua" w:cs="宋体"/>
          <w:sz w:val="24"/>
          <w:szCs w:val="24"/>
          <w:lang w:val="en-US" w:eastAsia="zh-CN"/>
        </w:rPr>
        <w:t xml:space="preserve">) infection in south hungarian healthy subjects. </w:t>
      </w:r>
      <w:r w:rsidRPr="00FE6084">
        <w:rPr>
          <w:rFonts w:ascii="Book Antiqua" w:eastAsia="宋体" w:hAnsi="Book Antiqua" w:cs="宋体"/>
          <w:i/>
          <w:iCs/>
          <w:sz w:val="24"/>
          <w:szCs w:val="24"/>
          <w:lang w:val="en-US" w:eastAsia="zh-CN"/>
        </w:rPr>
        <w:t>Z Gastroenterol</w:t>
      </w:r>
      <w:r w:rsidRPr="00FE6084">
        <w:rPr>
          <w:rFonts w:ascii="Book Antiqua" w:eastAsia="宋体" w:hAnsi="Book Antiqua" w:cs="宋体"/>
          <w:sz w:val="24"/>
          <w:szCs w:val="24"/>
          <w:lang w:val="en-US" w:eastAsia="zh-CN"/>
        </w:rPr>
        <w:t xml:space="preserve"> 2012; 50: 476</w:t>
      </w:r>
      <w:r w:rsidR="00111C52" w:rsidRPr="00FE6084">
        <w:rPr>
          <w:rFonts w:ascii="Book Antiqua" w:eastAsia="宋体" w:hAnsi="Book Antiqua" w:cs="宋体"/>
          <w:sz w:val="24"/>
          <w:szCs w:val="24"/>
          <w:lang w:val="en-US" w:eastAsia="zh-CN"/>
        </w:rPr>
        <w:t xml:space="preserve"> [DOI: 10.1055/s-0032-1312357]</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highlight w:val="yellow"/>
          <w:lang w:val="en-US" w:eastAsia="zh-CN"/>
        </w:rPr>
        <w:lastRenderedPageBreak/>
        <w:t xml:space="preserve">19 </w:t>
      </w:r>
      <w:r w:rsidRPr="00FE6084">
        <w:rPr>
          <w:rFonts w:ascii="Book Antiqua" w:eastAsia="宋体" w:hAnsi="Book Antiqua" w:cs="宋体"/>
          <w:b/>
          <w:bCs/>
          <w:sz w:val="24"/>
          <w:szCs w:val="24"/>
          <w:highlight w:val="yellow"/>
          <w:lang w:val="en-US" w:eastAsia="zh-CN"/>
        </w:rPr>
        <w:t>Prónai L</w:t>
      </w:r>
      <w:r w:rsidRPr="00FE6084">
        <w:rPr>
          <w:rFonts w:ascii="Book Antiqua" w:eastAsia="宋体" w:hAnsi="Book Antiqua" w:cs="宋体"/>
          <w:sz w:val="24"/>
          <w:szCs w:val="24"/>
          <w:highlight w:val="yellow"/>
          <w:lang w:val="en-US" w:eastAsia="zh-CN"/>
        </w:rPr>
        <w:t xml:space="preserve">, Tulassay Zs. A </w:t>
      </w:r>
      <w:r w:rsidR="00DA7C1F" w:rsidRPr="00FE6084">
        <w:rPr>
          <w:rFonts w:ascii="Book Antiqua" w:eastAsia="宋体" w:hAnsi="Book Antiqua" w:cs="宋体"/>
          <w:i/>
          <w:sz w:val="24"/>
          <w:szCs w:val="24"/>
          <w:highlight w:val="yellow"/>
          <w:lang w:val="en-US" w:eastAsia="zh-CN"/>
        </w:rPr>
        <w:t>Helicobacter pylori</w:t>
      </w:r>
      <w:r w:rsidRPr="00FE6084">
        <w:rPr>
          <w:rFonts w:ascii="Book Antiqua" w:eastAsia="宋体" w:hAnsi="Book Antiqua" w:cs="宋体"/>
          <w:sz w:val="24"/>
          <w:szCs w:val="24"/>
          <w:highlight w:val="yellow"/>
          <w:lang w:val="en-US" w:eastAsia="zh-CN"/>
        </w:rPr>
        <w:t xml:space="preserve"> eradikációjának sikertelensége: szempontok a további kezelés megítéléséhez. </w:t>
      </w:r>
      <w:r w:rsidRPr="00FE6084">
        <w:rPr>
          <w:rFonts w:ascii="Book Antiqua" w:eastAsia="宋体" w:hAnsi="Book Antiqua" w:cs="宋体"/>
          <w:i/>
          <w:iCs/>
          <w:sz w:val="24"/>
          <w:szCs w:val="24"/>
          <w:highlight w:val="yellow"/>
          <w:lang w:val="en-US" w:eastAsia="zh-CN"/>
        </w:rPr>
        <w:t>Orvosi Hetilap</w:t>
      </w:r>
      <w:r w:rsidRPr="00FE6084">
        <w:rPr>
          <w:rFonts w:ascii="Book Antiqua" w:eastAsia="宋体" w:hAnsi="Book Antiqua" w:cs="宋体"/>
          <w:sz w:val="24"/>
          <w:szCs w:val="24"/>
          <w:highlight w:val="yellow"/>
          <w:lang w:val="en-US" w:eastAsia="zh-CN"/>
        </w:rPr>
        <w:t xml:space="preserve"> 2003; </w:t>
      </w:r>
      <w:r w:rsidRPr="00FE6084">
        <w:rPr>
          <w:rFonts w:ascii="Book Antiqua" w:eastAsia="宋体" w:hAnsi="Book Antiqua" w:cs="宋体"/>
          <w:b/>
          <w:bCs/>
          <w:sz w:val="24"/>
          <w:szCs w:val="24"/>
          <w:highlight w:val="yellow"/>
          <w:lang w:val="en-US" w:eastAsia="zh-CN"/>
        </w:rPr>
        <w:t>144</w:t>
      </w:r>
      <w:r w:rsidRPr="00FE6084">
        <w:rPr>
          <w:rFonts w:ascii="Book Antiqua" w:eastAsia="宋体" w:hAnsi="Book Antiqua" w:cs="宋体"/>
          <w:sz w:val="24"/>
          <w:szCs w:val="24"/>
          <w:highlight w:val="yellow"/>
          <w:lang w:val="en-US" w:eastAsia="zh-CN"/>
        </w:rPr>
        <w:t>: 1299-1302</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20 </w:t>
      </w:r>
      <w:r w:rsidRPr="00FE6084">
        <w:rPr>
          <w:rFonts w:ascii="Book Antiqua" w:eastAsia="宋体" w:hAnsi="Book Antiqua" w:cs="宋体"/>
          <w:b/>
          <w:bCs/>
          <w:sz w:val="24"/>
          <w:szCs w:val="24"/>
          <w:lang w:val="en-US" w:eastAsia="zh-CN"/>
        </w:rPr>
        <w:t>Kuzela L</w:t>
      </w:r>
      <w:r w:rsidRPr="00FE6084">
        <w:rPr>
          <w:rFonts w:ascii="Book Antiqua" w:eastAsia="宋体" w:hAnsi="Book Antiqua" w:cs="宋体"/>
          <w:sz w:val="24"/>
          <w:szCs w:val="24"/>
          <w:lang w:val="en-US" w:eastAsia="zh-CN"/>
        </w:rPr>
        <w:t xml:space="preserve">, Oltman M, Sutka J, Zacharova B, Nagy M. Epidemiology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in the Slovak Republic. </w:t>
      </w:r>
      <w:r w:rsidRPr="00FE6084">
        <w:rPr>
          <w:rFonts w:ascii="Book Antiqua" w:eastAsia="宋体" w:hAnsi="Book Antiqua" w:cs="宋体"/>
          <w:i/>
          <w:iCs/>
          <w:sz w:val="24"/>
          <w:szCs w:val="24"/>
          <w:lang w:val="en-US" w:eastAsia="zh-CN"/>
        </w:rPr>
        <w:t>Hepatogastroenterology</w:t>
      </w:r>
      <w:r w:rsidRPr="00FE6084">
        <w:rPr>
          <w:rFonts w:ascii="Book Antiqua" w:eastAsia="宋体" w:hAnsi="Book Antiqua" w:cs="宋体"/>
          <w:sz w:val="24"/>
          <w:szCs w:val="24"/>
          <w:lang w:val="en-US" w:eastAsia="zh-CN"/>
        </w:rPr>
        <w:t xml:space="preserve"> 2012; </w:t>
      </w:r>
      <w:r w:rsidRPr="00FE6084">
        <w:rPr>
          <w:rFonts w:ascii="Book Antiqua" w:eastAsia="宋体" w:hAnsi="Book Antiqua" w:cs="宋体"/>
          <w:b/>
          <w:bCs/>
          <w:sz w:val="24"/>
          <w:szCs w:val="24"/>
          <w:lang w:val="en-US" w:eastAsia="zh-CN"/>
        </w:rPr>
        <w:t>59</w:t>
      </w:r>
      <w:r w:rsidRPr="00FE6084">
        <w:rPr>
          <w:rFonts w:ascii="Book Antiqua" w:eastAsia="宋体" w:hAnsi="Book Antiqua" w:cs="宋体"/>
          <w:sz w:val="24"/>
          <w:szCs w:val="24"/>
          <w:lang w:val="en-US" w:eastAsia="zh-CN"/>
        </w:rPr>
        <w:t>: 754-756 [PMID: 22020911 DOI: 10.5754/hge11457]</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21 </w:t>
      </w:r>
      <w:r w:rsidRPr="00FE6084">
        <w:rPr>
          <w:rFonts w:ascii="Book Antiqua" w:eastAsia="宋体" w:hAnsi="Book Antiqua" w:cs="宋体"/>
          <w:b/>
          <w:bCs/>
          <w:sz w:val="24"/>
          <w:szCs w:val="24"/>
          <w:lang w:val="en-US" w:eastAsia="zh-CN"/>
        </w:rPr>
        <w:t>Bureš J</w:t>
      </w:r>
      <w:r w:rsidRPr="00FE6084">
        <w:rPr>
          <w:rFonts w:ascii="Book Antiqua" w:eastAsia="宋体" w:hAnsi="Book Antiqua" w:cs="宋体"/>
          <w:sz w:val="24"/>
          <w:szCs w:val="24"/>
          <w:lang w:val="en-US" w:eastAsia="zh-CN"/>
        </w:rPr>
        <w:t xml:space="preserve">, Kopáčová M, Koupil I, Seifert B, Skodová Fendrichová M, Spirková J, Voříšek V, Rejchrt S, Douda T, Král N, Tachecí I. Significant decrease in prevalence of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 the Czech Republic. </w:t>
      </w:r>
      <w:r w:rsidRPr="00FE6084">
        <w:rPr>
          <w:rFonts w:ascii="Book Antiqua" w:eastAsia="宋体" w:hAnsi="Book Antiqua" w:cs="宋体"/>
          <w:i/>
          <w:iCs/>
          <w:sz w:val="24"/>
          <w:szCs w:val="24"/>
          <w:lang w:val="en-US" w:eastAsia="zh-CN"/>
        </w:rPr>
        <w:t>World J Gastroenterol</w:t>
      </w:r>
      <w:r w:rsidRPr="00FE6084">
        <w:rPr>
          <w:rFonts w:ascii="Book Antiqua" w:eastAsia="宋体" w:hAnsi="Book Antiqua" w:cs="宋体"/>
          <w:sz w:val="24"/>
          <w:szCs w:val="24"/>
          <w:lang w:val="en-US" w:eastAsia="zh-CN"/>
        </w:rPr>
        <w:t xml:space="preserve"> 2012; </w:t>
      </w:r>
      <w:r w:rsidRPr="00FE6084">
        <w:rPr>
          <w:rFonts w:ascii="Book Antiqua" w:eastAsia="宋体" w:hAnsi="Book Antiqua" w:cs="宋体"/>
          <w:b/>
          <w:bCs/>
          <w:sz w:val="24"/>
          <w:szCs w:val="24"/>
          <w:lang w:val="en-US" w:eastAsia="zh-CN"/>
        </w:rPr>
        <w:t>18</w:t>
      </w:r>
      <w:r w:rsidRPr="00FE6084">
        <w:rPr>
          <w:rFonts w:ascii="Book Antiqua" w:eastAsia="宋体" w:hAnsi="Book Antiqua" w:cs="宋体"/>
          <w:sz w:val="24"/>
          <w:szCs w:val="24"/>
          <w:lang w:val="en-US" w:eastAsia="zh-CN"/>
        </w:rPr>
        <w:t>: 4412-4418 [PMID: 22969207 DOI: 10.3748/wjg.v18.i32.4412]</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22 </w:t>
      </w:r>
      <w:r w:rsidRPr="00FE6084">
        <w:rPr>
          <w:rFonts w:ascii="Book Antiqua" w:eastAsia="宋体" w:hAnsi="Book Antiqua" w:cs="宋体"/>
          <w:b/>
          <w:bCs/>
          <w:sz w:val="24"/>
          <w:szCs w:val="24"/>
          <w:lang w:val="en-US" w:eastAsia="zh-CN"/>
        </w:rPr>
        <w:t>de Martel C</w:t>
      </w:r>
      <w:r w:rsidRPr="00FE6084">
        <w:rPr>
          <w:rFonts w:ascii="Book Antiqua" w:eastAsia="宋体" w:hAnsi="Book Antiqua" w:cs="宋体"/>
          <w:sz w:val="24"/>
          <w:szCs w:val="24"/>
          <w:lang w:val="en-US" w:eastAsia="zh-CN"/>
        </w:rPr>
        <w:t xml:space="preserve">, Parsonnet J.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infection and gender: a meta-analysis of population-based prevalence surveys. </w:t>
      </w:r>
      <w:r w:rsidRPr="00FE6084">
        <w:rPr>
          <w:rFonts w:ascii="Book Antiqua" w:eastAsia="宋体" w:hAnsi="Book Antiqua" w:cs="宋体"/>
          <w:i/>
          <w:iCs/>
          <w:sz w:val="24"/>
          <w:szCs w:val="24"/>
          <w:lang w:val="en-US" w:eastAsia="zh-CN"/>
        </w:rPr>
        <w:t>Dig Dis Sci</w:t>
      </w:r>
      <w:r w:rsidRPr="00FE6084">
        <w:rPr>
          <w:rFonts w:ascii="Book Antiqua" w:eastAsia="宋体" w:hAnsi="Book Antiqua" w:cs="宋体"/>
          <w:sz w:val="24"/>
          <w:szCs w:val="24"/>
          <w:lang w:val="en-US" w:eastAsia="zh-CN"/>
        </w:rPr>
        <w:t xml:space="preserve"> 2006; </w:t>
      </w:r>
      <w:r w:rsidRPr="00FE6084">
        <w:rPr>
          <w:rFonts w:ascii="Book Antiqua" w:eastAsia="宋体" w:hAnsi="Book Antiqua" w:cs="宋体"/>
          <w:b/>
          <w:bCs/>
          <w:sz w:val="24"/>
          <w:szCs w:val="24"/>
          <w:lang w:val="en-US" w:eastAsia="zh-CN"/>
        </w:rPr>
        <w:t>51</w:t>
      </w:r>
      <w:r w:rsidRPr="00FE6084">
        <w:rPr>
          <w:rFonts w:ascii="Book Antiqua" w:eastAsia="宋体" w:hAnsi="Book Antiqua" w:cs="宋体"/>
          <w:sz w:val="24"/>
          <w:szCs w:val="24"/>
          <w:lang w:val="en-US" w:eastAsia="zh-CN"/>
        </w:rPr>
        <w:t>: 2292-2301 [PMID: 17089189 DOI: 10.1007/s10620-006-9210-5]</w:t>
      </w:r>
    </w:p>
    <w:p w:rsidR="001D4DFF" w:rsidRPr="00FE6084"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23 </w:t>
      </w:r>
      <w:r w:rsidRPr="00FE6084">
        <w:rPr>
          <w:rFonts w:ascii="Book Antiqua" w:eastAsia="宋体" w:hAnsi="Book Antiqua" w:cs="宋体"/>
          <w:b/>
          <w:bCs/>
          <w:sz w:val="24"/>
          <w:szCs w:val="24"/>
          <w:lang w:val="en-US" w:eastAsia="zh-CN"/>
        </w:rPr>
        <w:t>Brown LM</w:t>
      </w:r>
      <w:r w:rsidRPr="00FE6084">
        <w:rPr>
          <w:rFonts w:ascii="Book Antiqua" w:eastAsia="宋体" w:hAnsi="Book Antiqua" w:cs="宋体"/>
          <w:sz w:val="24"/>
          <w:szCs w:val="24"/>
          <w:lang w:val="en-US" w:eastAsia="zh-CN"/>
        </w:rPr>
        <w:t xml:space="preserve">. </w:t>
      </w:r>
      <w:r w:rsidR="00DA7C1F" w:rsidRPr="00FE6084">
        <w:rPr>
          <w:rFonts w:ascii="Book Antiqua" w:eastAsia="宋体" w:hAnsi="Book Antiqua" w:cs="宋体"/>
          <w:i/>
          <w:sz w:val="24"/>
          <w:szCs w:val="24"/>
          <w:lang w:val="en-US" w:eastAsia="zh-CN"/>
        </w:rPr>
        <w:t>Helicobacter pylori</w:t>
      </w:r>
      <w:r w:rsidRPr="00FE6084">
        <w:rPr>
          <w:rFonts w:ascii="Book Antiqua" w:eastAsia="宋体" w:hAnsi="Book Antiqua" w:cs="宋体"/>
          <w:sz w:val="24"/>
          <w:szCs w:val="24"/>
          <w:lang w:val="en-US" w:eastAsia="zh-CN"/>
        </w:rPr>
        <w:t xml:space="preserve">: epidemiology and routes of transmission. </w:t>
      </w:r>
      <w:r w:rsidRPr="00FE6084">
        <w:rPr>
          <w:rFonts w:ascii="Book Antiqua" w:eastAsia="宋体" w:hAnsi="Book Antiqua" w:cs="宋体"/>
          <w:i/>
          <w:iCs/>
          <w:sz w:val="24"/>
          <w:szCs w:val="24"/>
          <w:lang w:val="en-US" w:eastAsia="zh-CN"/>
        </w:rPr>
        <w:t>Epidemiol Rev</w:t>
      </w:r>
      <w:r w:rsidRPr="00FE6084">
        <w:rPr>
          <w:rFonts w:ascii="Book Antiqua" w:eastAsia="宋体" w:hAnsi="Book Antiqua" w:cs="宋体"/>
          <w:sz w:val="24"/>
          <w:szCs w:val="24"/>
          <w:lang w:val="en-US" w:eastAsia="zh-CN"/>
        </w:rPr>
        <w:t xml:space="preserve"> 2000; </w:t>
      </w:r>
      <w:r w:rsidRPr="00FE6084">
        <w:rPr>
          <w:rFonts w:ascii="Book Antiqua" w:eastAsia="宋体" w:hAnsi="Book Antiqua" w:cs="宋体"/>
          <w:b/>
          <w:bCs/>
          <w:sz w:val="24"/>
          <w:szCs w:val="24"/>
          <w:lang w:val="en-US" w:eastAsia="zh-CN"/>
        </w:rPr>
        <w:t>22</w:t>
      </w:r>
      <w:r w:rsidRPr="00FE6084">
        <w:rPr>
          <w:rFonts w:ascii="Book Antiqua" w:eastAsia="宋体" w:hAnsi="Book Antiqua" w:cs="宋体"/>
          <w:sz w:val="24"/>
          <w:szCs w:val="24"/>
          <w:lang w:val="en-US" w:eastAsia="zh-CN"/>
        </w:rPr>
        <w:t>: 283-297 [PMID: 11218379 DOI: 10.1093/oxfordjournals.epirev.a018040]</w:t>
      </w:r>
    </w:p>
    <w:p w:rsidR="003855F0" w:rsidRDefault="001D4DFF" w:rsidP="00FE6084">
      <w:pPr>
        <w:adjustRightInd w:val="0"/>
        <w:snapToGrid w:val="0"/>
        <w:spacing w:after="0" w:line="360" w:lineRule="auto"/>
        <w:jc w:val="both"/>
        <w:rPr>
          <w:rFonts w:ascii="Book Antiqua" w:eastAsia="宋体" w:hAnsi="Book Antiqua" w:cs="宋体"/>
          <w:sz w:val="24"/>
          <w:szCs w:val="24"/>
          <w:lang w:val="en-US" w:eastAsia="zh-CN"/>
        </w:rPr>
      </w:pPr>
      <w:r w:rsidRPr="00FE6084">
        <w:rPr>
          <w:rFonts w:ascii="Book Antiqua" w:eastAsia="宋体" w:hAnsi="Book Antiqua" w:cs="宋体"/>
          <w:sz w:val="24"/>
          <w:szCs w:val="24"/>
          <w:lang w:val="en-US" w:eastAsia="zh-CN"/>
        </w:rPr>
        <w:t xml:space="preserve">24 </w:t>
      </w:r>
      <w:r w:rsidRPr="00FE6084">
        <w:rPr>
          <w:rFonts w:ascii="Book Antiqua" w:eastAsia="宋体" w:hAnsi="Book Antiqua" w:cs="宋体"/>
          <w:b/>
          <w:bCs/>
          <w:sz w:val="24"/>
          <w:szCs w:val="24"/>
          <w:lang w:val="en-US" w:eastAsia="zh-CN"/>
        </w:rPr>
        <w:t>Stanghellini V</w:t>
      </w:r>
      <w:r w:rsidRPr="00FE6084">
        <w:rPr>
          <w:rFonts w:ascii="Book Antiqua" w:eastAsia="宋体" w:hAnsi="Book Antiqua" w:cs="宋体"/>
          <w:sz w:val="24"/>
          <w:szCs w:val="24"/>
          <w:lang w:val="en-US" w:eastAsia="zh-CN"/>
        </w:rPr>
        <w:t xml:space="preserve">, Chan FK, Hasler WL, Malagelada JR, Suzuki H, Tack J, Talley NJ. Gastroduodenal Disorders. </w:t>
      </w:r>
      <w:r w:rsidRPr="00FE6084">
        <w:rPr>
          <w:rFonts w:ascii="Book Antiqua" w:eastAsia="宋体" w:hAnsi="Book Antiqua" w:cs="宋体"/>
          <w:i/>
          <w:iCs/>
          <w:sz w:val="24"/>
          <w:szCs w:val="24"/>
          <w:lang w:val="en-US" w:eastAsia="zh-CN"/>
        </w:rPr>
        <w:t>Gastroenterology</w:t>
      </w:r>
      <w:r w:rsidRPr="00FE6084">
        <w:rPr>
          <w:rFonts w:ascii="Book Antiqua" w:eastAsia="宋体" w:hAnsi="Book Antiqua" w:cs="宋体"/>
          <w:sz w:val="24"/>
          <w:szCs w:val="24"/>
          <w:lang w:val="en-US" w:eastAsia="zh-CN"/>
        </w:rPr>
        <w:t xml:space="preserve"> 2016; </w:t>
      </w:r>
      <w:r w:rsidRPr="00FE6084">
        <w:rPr>
          <w:rFonts w:ascii="Book Antiqua" w:eastAsia="宋体" w:hAnsi="Book Antiqua" w:cs="宋体"/>
          <w:b/>
          <w:bCs/>
          <w:sz w:val="24"/>
          <w:szCs w:val="24"/>
          <w:lang w:val="en-US" w:eastAsia="zh-CN"/>
        </w:rPr>
        <w:t>150</w:t>
      </w:r>
      <w:r w:rsidRPr="00FE6084">
        <w:rPr>
          <w:rFonts w:ascii="Book Antiqua" w:eastAsia="宋体" w:hAnsi="Book Antiqua" w:cs="宋体"/>
          <w:sz w:val="24"/>
          <w:szCs w:val="24"/>
          <w:lang w:val="en-US" w:eastAsia="zh-CN"/>
        </w:rPr>
        <w:t>: 1380-1392 [PMID: 27147122 DOI: 10.1053/j.gastro.2016.02.011]</w:t>
      </w:r>
    </w:p>
    <w:p w:rsidR="007329BD" w:rsidRPr="00FE6084" w:rsidRDefault="007329BD" w:rsidP="00FE6084">
      <w:pPr>
        <w:adjustRightInd w:val="0"/>
        <w:snapToGrid w:val="0"/>
        <w:spacing w:after="0" w:line="360" w:lineRule="auto"/>
        <w:jc w:val="right"/>
        <w:rPr>
          <w:rFonts w:ascii="Book Antiqua" w:eastAsia="宋体" w:hAnsi="Book Antiqua"/>
          <w:b/>
          <w:bCs/>
          <w:sz w:val="24"/>
          <w:szCs w:val="24"/>
          <w:lang w:val="en-US" w:eastAsia="zh-CN"/>
        </w:rPr>
      </w:pPr>
      <w:bookmarkStart w:id="36" w:name="OLE_LINK148"/>
      <w:bookmarkStart w:id="37" w:name="OLE_LINK320"/>
      <w:bookmarkStart w:id="38" w:name="OLE_LINK387"/>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OLE_LINK33"/>
      <w:bookmarkStart w:id="136" w:name="OLE_LINK34"/>
      <w:bookmarkStart w:id="137" w:name="OLE_LINK386"/>
      <w:bookmarkStart w:id="138" w:name="OLE_LINK599"/>
      <w:bookmarkStart w:id="139" w:name="OLE_LINK87"/>
      <w:r w:rsidRPr="00FE6084">
        <w:rPr>
          <w:rFonts w:ascii="Book Antiqua" w:eastAsia="宋体" w:hAnsi="Book Antiqua"/>
          <w:b/>
          <w:bCs/>
          <w:sz w:val="24"/>
          <w:szCs w:val="24"/>
          <w:lang w:val="en-US" w:eastAsia="zh-CN"/>
        </w:rPr>
        <w:t xml:space="preserve">P-Reviewer: </w:t>
      </w:r>
      <w:r w:rsidRPr="00FE6084">
        <w:rPr>
          <w:rFonts w:ascii="Book Antiqua" w:eastAsia="宋体" w:hAnsi="Book Antiqua"/>
          <w:bCs/>
          <w:sz w:val="24"/>
          <w:szCs w:val="24"/>
          <w:lang w:val="en-US" w:eastAsia="zh-CN"/>
        </w:rPr>
        <w:t>Boyanova L, Mihara H, Reshetnyak VI, Triantafillidis JK</w:t>
      </w:r>
    </w:p>
    <w:p w:rsidR="007329BD" w:rsidRPr="00FE6084" w:rsidRDefault="007329BD" w:rsidP="00FE6084">
      <w:pPr>
        <w:adjustRightInd w:val="0"/>
        <w:snapToGrid w:val="0"/>
        <w:spacing w:after="0" w:line="360" w:lineRule="auto"/>
        <w:jc w:val="right"/>
        <w:rPr>
          <w:rFonts w:ascii="Book Antiqua" w:eastAsia="宋体" w:hAnsi="Book Antiqua"/>
          <w:sz w:val="24"/>
          <w:szCs w:val="24"/>
          <w:lang w:val="en-US" w:eastAsia="zh-CN"/>
        </w:rPr>
      </w:pPr>
      <w:r w:rsidRPr="00FE6084">
        <w:rPr>
          <w:rFonts w:ascii="Book Antiqua" w:eastAsia="宋体" w:hAnsi="Book Antiqua"/>
          <w:b/>
          <w:bCs/>
          <w:sz w:val="24"/>
          <w:szCs w:val="24"/>
          <w:lang w:val="en-US" w:eastAsia="zh-CN"/>
        </w:rPr>
        <w:t>S-Editor:</w:t>
      </w:r>
      <w:r w:rsidRPr="00FE6084">
        <w:rPr>
          <w:rFonts w:ascii="Book Antiqua" w:eastAsia="宋体" w:hAnsi="Book Antiqua"/>
          <w:sz w:val="24"/>
          <w:szCs w:val="24"/>
          <w:lang w:val="en-US" w:eastAsia="zh-CN"/>
        </w:rPr>
        <w:t xml:space="preserve"> Tang JZ </w:t>
      </w:r>
      <w:r w:rsidR="00BC40F4" w:rsidRPr="005D5EF0">
        <w:rPr>
          <w:rFonts w:ascii="Book Antiqua" w:eastAsia="宋体" w:hAnsi="Book Antiqua"/>
          <w:b/>
          <w:bCs/>
          <w:lang w:eastAsia="zh-CN"/>
        </w:rPr>
        <w:t>L-Editor:</w:t>
      </w:r>
      <w:r w:rsidR="00BC40F4">
        <w:rPr>
          <w:rFonts w:ascii="Book Antiqua" w:eastAsia="宋体" w:hAnsi="Book Antiqua" w:hint="eastAsia"/>
          <w:b/>
          <w:bCs/>
          <w:lang w:eastAsia="zh-CN"/>
        </w:rPr>
        <w:t xml:space="preserve"> </w:t>
      </w:r>
      <w:r w:rsidR="00BC40F4" w:rsidRPr="00C75DD1">
        <w:rPr>
          <w:rFonts w:ascii="Book Antiqua" w:eastAsia="宋体" w:hAnsi="Book Antiqua"/>
          <w:bCs/>
          <w:lang w:eastAsia="zh-CN"/>
        </w:rPr>
        <w:t>A</w:t>
      </w:r>
      <w:r w:rsidR="00BC40F4" w:rsidRPr="005D5EF0">
        <w:rPr>
          <w:rFonts w:ascii="Book Antiqua" w:eastAsia="宋体" w:hAnsi="Book Antiqua"/>
          <w:lang w:eastAsia="zh-CN"/>
        </w:rPr>
        <w:t xml:space="preserve"> </w:t>
      </w:r>
      <w:r w:rsidR="00BC40F4" w:rsidRPr="005D5EF0">
        <w:rPr>
          <w:rFonts w:ascii="Book Antiqua" w:eastAsia="宋体" w:hAnsi="Book Antiqua"/>
          <w:b/>
          <w:bCs/>
          <w:lang w:eastAsia="zh-CN"/>
        </w:rPr>
        <w:t>E-Editor:</w:t>
      </w:r>
      <w:r w:rsidR="00BC40F4">
        <w:rPr>
          <w:rFonts w:ascii="Book Antiqua" w:eastAsia="宋体" w:hAnsi="Book Antiqua" w:hint="eastAsia"/>
          <w:b/>
          <w:bCs/>
          <w:lang w:eastAsia="zh-CN"/>
        </w:rPr>
        <w:t xml:space="preserve"> </w:t>
      </w:r>
      <w:r w:rsidR="00BC40F4" w:rsidRPr="00C75DD1">
        <w:rPr>
          <w:rFonts w:ascii="Book Antiqua" w:eastAsia="宋体" w:hAnsi="Book Antiqua"/>
          <w:bCs/>
          <w:lang w:eastAsia="zh-CN"/>
        </w:rPr>
        <w:t>Zhang YL</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bookmarkStart w:id="140" w:name="OLE_LINK880"/>
      <w:bookmarkStart w:id="141" w:name="OLE_LINK88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FE6084">
        <w:rPr>
          <w:rFonts w:ascii="Book Antiqua" w:eastAsia="宋体" w:hAnsi="Book Antiqua" w:cs="Helvetica"/>
          <w:b/>
          <w:sz w:val="24"/>
          <w:szCs w:val="24"/>
          <w:lang w:val="en-US" w:eastAsia="zh-CN"/>
        </w:rPr>
        <w:t xml:space="preserve">Specialty type: </w:t>
      </w:r>
      <w:r w:rsidRPr="00FE6084">
        <w:rPr>
          <w:rFonts w:ascii="Book Antiqua" w:eastAsia="宋体" w:hAnsi="Book Antiqua" w:cs="Helvetica"/>
          <w:sz w:val="24"/>
          <w:szCs w:val="24"/>
          <w:lang w:val="en-US" w:eastAsia="zh-CN"/>
        </w:rPr>
        <w:t>Gastroenterology and hepatology</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FE6084">
        <w:rPr>
          <w:rFonts w:ascii="Book Antiqua" w:eastAsia="宋体" w:hAnsi="Book Antiqua" w:cs="Helvetica"/>
          <w:b/>
          <w:sz w:val="24"/>
          <w:szCs w:val="24"/>
          <w:lang w:val="en-US" w:eastAsia="zh-CN"/>
        </w:rPr>
        <w:t xml:space="preserve">Country of origin: </w:t>
      </w:r>
      <w:r w:rsidR="007E2FD7" w:rsidRPr="00FE6084">
        <w:rPr>
          <w:rFonts w:ascii="Book Antiqua" w:eastAsia="宋体" w:hAnsi="Book Antiqua" w:cs="Helvetica"/>
          <w:sz w:val="24"/>
          <w:szCs w:val="24"/>
          <w:lang w:val="en-US" w:eastAsia="zh-CN"/>
        </w:rPr>
        <w:t>Hungary</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FE6084">
        <w:rPr>
          <w:rFonts w:ascii="Book Antiqua" w:eastAsia="宋体" w:hAnsi="Book Antiqua" w:cs="Helvetica"/>
          <w:b/>
          <w:sz w:val="24"/>
          <w:szCs w:val="24"/>
          <w:lang w:val="en-US" w:eastAsia="zh-CN"/>
        </w:rPr>
        <w:t>Peer-review report classification</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FE6084">
        <w:rPr>
          <w:rFonts w:ascii="Book Antiqua" w:eastAsia="宋体" w:hAnsi="Book Antiqua" w:cs="Helvetica"/>
          <w:sz w:val="24"/>
          <w:szCs w:val="24"/>
          <w:lang w:val="en-US" w:eastAsia="zh-CN"/>
        </w:rPr>
        <w:t>Grade A (Excellent): 0</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FE6084">
        <w:rPr>
          <w:rFonts w:ascii="Book Antiqua" w:eastAsia="宋体" w:hAnsi="Book Antiqua" w:cs="Helvetica"/>
          <w:sz w:val="24"/>
          <w:szCs w:val="24"/>
          <w:lang w:val="en-US" w:eastAsia="zh-CN"/>
        </w:rPr>
        <w:t>Grade B (Very good): B</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FE6084">
        <w:rPr>
          <w:rFonts w:ascii="Book Antiqua" w:eastAsia="宋体" w:hAnsi="Book Antiqua" w:cs="Helvetica"/>
          <w:sz w:val="24"/>
          <w:szCs w:val="24"/>
          <w:lang w:val="en-US" w:eastAsia="zh-CN"/>
        </w:rPr>
        <w:t>Grade C (Good): C, C</w:t>
      </w:r>
      <w:r w:rsidR="007E2FD7" w:rsidRPr="00FE6084">
        <w:rPr>
          <w:rFonts w:ascii="Book Antiqua" w:eastAsia="宋体" w:hAnsi="Book Antiqua" w:cs="Helvetica"/>
          <w:sz w:val="24"/>
          <w:szCs w:val="24"/>
          <w:lang w:val="en-US" w:eastAsia="zh-CN"/>
        </w:rPr>
        <w:t>, C</w:t>
      </w:r>
    </w:p>
    <w:p w:rsidR="007329BD" w:rsidRPr="00FE6084" w:rsidRDefault="007329BD" w:rsidP="00FE6084">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FE6084">
        <w:rPr>
          <w:rFonts w:ascii="Book Antiqua" w:eastAsia="宋体" w:hAnsi="Book Antiqua" w:cs="Helvetica"/>
          <w:sz w:val="24"/>
          <w:szCs w:val="24"/>
          <w:lang w:val="en-US" w:eastAsia="zh-CN"/>
        </w:rPr>
        <w:t>Grade D (Fair): 0</w:t>
      </w:r>
    </w:p>
    <w:p w:rsidR="007329BD" w:rsidRPr="00FE6084" w:rsidRDefault="007329BD" w:rsidP="00FE6084">
      <w:pPr>
        <w:adjustRightInd w:val="0"/>
        <w:snapToGrid w:val="0"/>
        <w:spacing w:after="0" w:line="360" w:lineRule="auto"/>
        <w:jc w:val="both"/>
        <w:rPr>
          <w:rFonts w:ascii="Book Antiqua" w:eastAsia="宋体" w:hAnsi="Book Antiqua"/>
          <w:b/>
          <w:iCs/>
          <w:sz w:val="24"/>
          <w:szCs w:val="24"/>
          <w:lang w:val="en-US" w:eastAsia="zh-CN"/>
        </w:rPr>
      </w:pPr>
      <w:r w:rsidRPr="00FE6084">
        <w:rPr>
          <w:rFonts w:ascii="Book Antiqua" w:eastAsia="宋体" w:hAnsi="Book Antiqua" w:cs="Helvetica"/>
          <w:sz w:val="24"/>
          <w:szCs w:val="24"/>
          <w:lang w:val="en-US" w:eastAsia="zh-CN"/>
        </w:rPr>
        <w:t>Grade E (Poor): 0</w:t>
      </w:r>
      <w:bookmarkEnd w:id="137"/>
      <w:bookmarkEnd w:id="140"/>
      <w:bookmarkEnd w:id="141"/>
    </w:p>
    <w:bookmarkEnd w:id="135"/>
    <w:bookmarkEnd w:id="136"/>
    <w:bookmarkEnd w:id="138"/>
    <w:bookmarkEnd w:id="139"/>
    <w:p w:rsidR="007329BD" w:rsidRPr="00FE6084" w:rsidRDefault="007329BD" w:rsidP="00FE6084">
      <w:pPr>
        <w:adjustRightInd w:val="0"/>
        <w:snapToGrid w:val="0"/>
        <w:spacing w:after="0" w:line="360" w:lineRule="auto"/>
        <w:jc w:val="both"/>
        <w:rPr>
          <w:rFonts w:ascii="Book Antiqua" w:eastAsia="宋体" w:hAnsi="Book Antiqua" w:cs="宋体"/>
          <w:sz w:val="24"/>
          <w:szCs w:val="24"/>
          <w:lang w:val="en-US" w:eastAsia="zh-CN"/>
        </w:rPr>
      </w:pPr>
    </w:p>
    <w:p w:rsidR="008D6766" w:rsidRPr="00FE6084" w:rsidRDefault="001D4DFF" w:rsidP="00FE6084">
      <w:pPr>
        <w:pStyle w:val="a3"/>
        <w:adjustRightInd w:val="0"/>
        <w:snapToGrid w:val="0"/>
        <w:spacing w:line="360" w:lineRule="auto"/>
        <w:ind w:left="0"/>
        <w:contextualSpacing w:val="0"/>
        <w:jc w:val="both"/>
        <w:rPr>
          <w:rFonts w:ascii="Book Antiqua" w:hAnsi="Book Antiqua"/>
          <w:lang w:val="en-US"/>
        </w:rPr>
      </w:pPr>
      <w:r w:rsidRPr="00FE6084">
        <w:rPr>
          <w:rFonts w:ascii="Book Antiqua" w:hAnsi="Book Antiqua"/>
        </w:rPr>
        <w:br w:type="page"/>
      </w:r>
      <w:r w:rsidR="00321F55">
        <w:rPr>
          <w:rFonts w:ascii="Book Antiqua" w:hAnsi="Book Antiqua"/>
          <w:noProof/>
          <w:lang w:val="en-US" w:eastAsia="zh-CN"/>
        </w:rPr>
        <w:lastRenderedPageBreak/>
        <w:drawing>
          <wp:inline distT="0" distB="0" distL="0" distR="0">
            <wp:extent cx="5762625" cy="1885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1885950"/>
                    </a:xfrm>
                    <a:prstGeom prst="rect">
                      <a:avLst/>
                    </a:prstGeom>
                    <a:noFill/>
                    <a:ln>
                      <a:noFill/>
                    </a:ln>
                  </pic:spPr>
                </pic:pic>
              </a:graphicData>
            </a:graphic>
          </wp:inline>
        </w:drawing>
      </w:r>
    </w:p>
    <w:p w:rsidR="008D6766" w:rsidRPr="00FE6084" w:rsidRDefault="008D6766" w:rsidP="00FE6084">
      <w:pPr>
        <w:pStyle w:val="a3"/>
        <w:adjustRightInd w:val="0"/>
        <w:snapToGrid w:val="0"/>
        <w:spacing w:line="360" w:lineRule="auto"/>
        <w:ind w:left="0"/>
        <w:contextualSpacing w:val="0"/>
        <w:jc w:val="both"/>
        <w:rPr>
          <w:rFonts w:ascii="Book Antiqua" w:hAnsi="Book Antiqua"/>
          <w:b/>
          <w:bCs/>
          <w:lang w:val="en-US"/>
        </w:rPr>
      </w:pPr>
      <w:r w:rsidRPr="00FE6084">
        <w:rPr>
          <w:rFonts w:ascii="Book Antiqua" w:hAnsi="Book Antiqua"/>
          <w:b/>
          <w:bCs/>
          <w:lang w:val="en-US"/>
        </w:rPr>
        <w:t xml:space="preserve">Figure 1 </w:t>
      </w:r>
      <w:r w:rsidRPr="00FE6084">
        <w:rPr>
          <w:rFonts w:ascii="Book Antiqua" w:hAnsi="Book Antiqua"/>
          <w:b/>
          <w:bCs/>
          <w:shd w:val="clear" w:color="auto" w:fill="FFFFFF"/>
          <w:lang w:val="en-US"/>
        </w:rPr>
        <w:t>Csongrád and Békés Counties</w:t>
      </w:r>
      <w:r w:rsidR="00661DE6" w:rsidRPr="00FE6084">
        <w:rPr>
          <w:rFonts w:ascii="Book Antiqua" w:hAnsi="Book Antiqua"/>
          <w:b/>
          <w:bCs/>
          <w:shd w:val="clear" w:color="auto" w:fill="FFFFFF"/>
          <w:lang w:val="en-US"/>
        </w:rPr>
        <w:t xml:space="preserve"> and</w:t>
      </w:r>
      <w:r w:rsidRPr="00FE6084">
        <w:rPr>
          <w:rFonts w:ascii="Book Antiqua" w:hAnsi="Book Antiqua"/>
          <w:b/>
          <w:bCs/>
          <w:shd w:val="clear" w:color="auto" w:fill="FFFFFF"/>
          <w:lang w:val="en-US"/>
        </w:rPr>
        <w:t xml:space="preserve"> </w:t>
      </w:r>
      <w:r w:rsidR="00661DE6" w:rsidRPr="00FE6084">
        <w:rPr>
          <w:rFonts w:ascii="Book Antiqua" w:hAnsi="Book Antiqua"/>
          <w:b/>
          <w:bCs/>
          <w:shd w:val="clear" w:color="auto" w:fill="FFFFFF"/>
          <w:lang w:val="en-US"/>
        </w:rPr>
        <w:t>d</w:t>
      </w:r>
      <w:r w:rsidRPr="00FE6084">
        <w:rPr>
          <w:rFonts w:ascii="Book Antiqua" w:hAnsi="Book Antiqua"/>
          <w:b/>
          <w:bCs/>
          <w:shd w:val="clear" w:color="auto" w:fill="FFFFFF"/>
          <w:lang w:val="en-US"/>
        </w:rPr>
        <w:t>etailed demographic data regarding Csongrád and Békés Counties</w:t>
      </w:r>
      <w:r w:rsidR="00661DE6" w:rsidRPr="00FE6084">
        <w:rPr>
          <w:rFonts w:ascii="Book Antiqua" w:hAnsi="Book Antiqua"/>
          <w:b/>
          <w:bCs/>
          <w:shd w:val="clear" w:color="auto" w:fill="FFFFFF"/>
          <w:lang w:val="en-US"/>
        </w:rPr>
        <w:t>.</w:t>
      </w:r>
    </w:p>
    <w:p w:rsidR="00661DE6" w:rsidRPr="00FE6084" w:rsidRDefault="00661DE6" w:rsidP="00FE6084">
      <w:pPr>
        <w:pStyle w:val="a3"/>
        <w:adjustRightInd w:val="0"/>
        <w:snapToGrid w:val="0"/>
        <w:spacing w:line="360" w:lineRule="auto"/>
        <w:ind w:left="0"/>
        <w:contextualSpacing w:val="0"/>
        <w:jc w:val="both"/>
        <w:rPr>
          <w:rFonts w:ascii="Book Antiqua" w:hAnsi="Book Antiqua"/>
          <w:b/>
          <w:bCs/>
          <w:lang w:val="en-US"/>
        </w:rPr>
      </w:pPr>
      <w:r w:rsidRPr="00FE6084">
        <w:rPr>
          <w:rFonts w:ascii="Book Antiqua" w:hAnsi="Book Antiqua"/>
          <w:lang w:val="en-US"/>
        </w:rPr>
        <w:br w:type="page"/>
      </w:r>
      <w:r w:rsidRPr="00FE6084">
        <w:rPr>
          <w:rFonts w:ascii="Book Antiqua" w:hAnsi="Book Antiqua"/>
          <w:b/>
          <w:bCs/>
          <w:lang w:val="en-US"/>
        </w:rPr>
        <w:lastRenderedPageBreak/>
        <w:t xml:space="preserve">Table 1 Sociodemographic factors associated with </w:t>
      </w:r>
      <w:r w:rsidR="00DA7C1F" w:rsidRPr="00FE6084">
        <w:rPr>
          <w:rFonts w:ascii="Book Antiqua" w:hAnsi="Book Antiqua"/>
          <w:b/>
          <w:bCs/>
          <w:i/>
          <w:iCs/>
          <w:lang w:val="en-US"/>
        </w:rPr>
        <w:t>Helicobacter pylori</w:t>
      </w:r>
      <w:r w:rsidRPr="00FE6084">
        <w:rPr>
          <w:rFonts w:ascii="Book Antiqua" w:hAnsi="Book Antiqua"/>
          <w:b/>
          <w:bCs/>
          <w:i/>
          <w:iCs/>
          <w:lang w:val="en-US"/>
        </w:rPr>
        <w:t xml:space="preserve"> </w:t>
      </w:r>
      <w:r w:rsidRPr="00FE6084">
        <w:rPr>
          <w:rFonts w:ascii="Book Antiqua" w:hAnsi="Book Antiqua"/>
          <w:b/>
          <w:bCs/>
          <w:lang w:val="en-US"/>
        </w:rPr>
        <w:t>prevalence</w:t>
      </w:r>
    </w:p>
    <w:tbl>
      <w:tblPr>
        <w:tblW w:w="5537" w:type="pct"/>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489"/>
        <w:gridCol w:w="810"/>
        <w:gridCol w:w="810"/>
        <w:gridCol w:w="810"/>
        <w:gridCol w:w="810"/>
        <w:gridCol w:w="605"/>
        <w:gridCol w:w="690"/>
        <w:gridCol w:w="1310"/>
        <w:gridCol w:w="1746"/>
      </w:tblGrid>
      <w:tr w:rsidR="00661DE6" w:rsidRPr="00FE6084" w:rsidTr="00740BD2">
        <w:trPr>
          <w:trHeight w:val="303"/>
        </w:trPr>
        <w:tc>
          <w:tcPr>
            <w:tcW w:w="1234"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b/>
                <w:bCs/>
                <w:sz w:val="24"/>
                <w:szCs w:val="24"/>
                <w:lang w:val="en-US" w:eastAsia="zh-CN"/>
              </w:rPr>
            </w:pPr>
            <w:r w:rsidRPr="00FE6084">
              <w:rPr>
                <w:rFonts w:ascii="Book Antiqua" w:eastAsia="宋体" w:hAnsi="Book Antiqua" w:cs="Arial"/>
                <w:b/>
                <w:bCs/>
                <w:color w:val="000000"/>
                <w:kern w:val="24"/>
                <w:sz w:val="24"/>
                <w:szCs w:val="24"/>
                <w:lang w:eastAsia="zh-CN"/>
              </w:rPr>
              <w:t>Socio-demographic factors</w:t>
            </w:r>
          </w:p>
        </w:tc>
        <w:tc>
          <w:tcPr>
            <w:tcW w:w="804"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661DE6" w:rsidRPr="00FE6084">
              <w:rPr>
                <w:rFonts w:ascii="Book Antiqua" w:eastAsia="宋体" w:hAnsi="Book Antiqua" w:cs="Arial"/>
                <w:b/>
                <w:bCs/>
                <w:color w:val="000000"/>
                <w:kern w:val="24"/>
                <w:sz w:val="24"/>
                <w:szCs w:val="24"/>
                <w:lang w:eastAsia="zh-CN"/>
              </w:rPr>
              <w:t xml:space="preserve"> positive</w:t>
            </w:r>
          </w:p>
        </w:tc>
        <w:tc>
          <w:tcPr>
            <w:tcW w:w="804"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661DE6" w:rsidRPr="00FE6084">
              <w:rPr>
                <w:rFonts w:ascii="Book Antiqua" w:eastAsia="宋体" w:hAnsi="Book Antiqua" w:cs="Arial"/>
                <w:b/>
                <w:bCs/>
                <w:color w:val="000000"/>
                <w:kern w:val="24"/>
                <w:sz w:val="24"/>
                <w:szCs w:val="24"/>
                <w:lang w:eastAsia="zh-CN"/>
              </w:rPr>
              <w:t xml:space="preserve"> negative</w:t>
            </w:r>
          </w:p>
        </w:tc>
        <w:tc>
          <w:tcPr>
            <w:tcW w:w="300"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E6084">
              <w:rPr>
                <w:rFonts w:ascii="Book Antiqua" w:eastAsia="宋体" w:hAnsi="Book Antiqua" w:cs="Arial"/>
                <w:b/>
                <w:bCs/>
                <w:color w:val="000000"/>
                <w:kern w:val="24"/>
                <w:sz w:val="24"/>
                <w:szCs w:val="24"/>
                <w:lang w:eastAsia="zh-CN"/>
              </w:rPr>
              <w:t>Total</w:t>
            </w:r>
          </w:p>
        </w:tc>
        <w:tc>
          <w:tcPr>
            <w:tcW w:w="342"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CE64E2" w:rsidP="00FE6084">
            <w:pPr>
              <w:adjustRightInd w:val="0"/>
              <w:snapToGrid w:val="0"/>
              <w:spacing w:after="0" w:line="360" w:lineRule="auto"/>
              <w:jc w:val="center"/>
              <w:textAlignment w:val="bottom"/>
              <w:rPr>
                <w:rFonts w:ascii="Book Antiqua" w:eastAsia="Times New Roman" w:hAnsi="Book Antiqua"/>
                <w:b/>
                <w:bCs/>
                <w:i/>
                <w:iCs/>
                <w:sz w:val="24"/>
                <w:szCs w:val="24"/>
                <w:lang w:val="en-US" w:eastAsia="zh-CN"/>
              </w:rPr>
            </w:pPr>
            <w:r w:rsidRPr="00FE6084">
              <w:rPr>
                <w:rFonts w:ascii="Book Antiqua" w:eastAsia="宋体" w:hAnsi="Book Antiqua" w:cs="Arial"/>
                <w:b/>
                <w:bCs/>
                <w:i/>
                <w:iCs/>
                <w:color w:val="000000"/>
                <w:kern w:val="24"/>
                <w:sz w:val="24"/>
                <w:szCs w:val="24"/>
                <w:lang w:eastAsia="zh-CN"/>
              </w:rPr>
              <w:t>P</w:t>
            </w:r>
            <w:r w:rsidR="0096385C">
              <w:rPr>
                <w:rFonts w:ascii="Book Antiqua" w:eastAsia="宋体" w:hAnsi="Book Antiqua" w:cs="Arial"/>
                <w:b/>
                <w:bCs/>
                <w:i/>
                <w:iCs/>
                <w:color w:val="000000"/>
                <w:kern w:val="24"/>
                <w:sz w:val="24"/>
                <w:szCs w:val="24"/>
                <w:lang w:eastAsia="zh-CN"/>
              </w:rPr>
              <w:t xml:space="preserve"> </w:t>
            </w:r>
            <w:r w:rsidR="0096385C" w:rsidRPr="0096385C">
              <w:rPr>
                <w:rFonts w:ascii="Book Antiqua" w:eastAsia="宋体" w:hAnsi="Book Antiqua" w:cs="Arial"/>
                <w:b/>
                <w:bCs/>
                <w:color w:val="000000"/>
                <w:kern w:val="24"/>
                <w:sz w:val="24"/>
                <w:szCs w:val="24"/>
                <w:lang w:eastAsia="zh-CN"/>
              </w:rPr>
              <w:t>value</w:t>
            </w:r>
          </w:p>
        </w:tc>
        <w:tc>
          <w:tcPr>
            <w:tcW w:w="650"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FE6084">
              <w:rPr>
                <w:rFonts w:ascii="Book Antiqua" w:eastAsia="宋体" w:hAnsi="Book Antiqua" w:cs="Arial"/>
                <w:b/>
                <w:bCs/>
                <w:color w:val="000000"/>
                <w:kern w:val="24"/>
                <w:sz w:val="24"/>
                <w:szCs w:val="24"/>
                <w:lang w:eastAsia="zh-CN"/>
              </w:rPr>
              <w:t>Odds ratio (univariate)</w:t>
            </w:r>
          </w:p>
        </w:tc>
        <w:tc>
          <w:tcPr>
            <w:tcW w:w="867"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FE6084">
              <w:rPr>
                <w:rFonts w:ascii="Book Antiqua" w:eastAsia="宋体" w:hAnsi="Book Antiqua" w:cs="Arial"/>
                <w:b/>
                <w:bCs/>
                <w:color w:val="000000"/>
                <w:kern w:val="24"/>
                <w:sz w:val="24"/>
                <w:szCs w:val="24"/>
                <w:lang w:eastAsia="zh-CN"/>
              </w:rPr>
              <w:t>95%CI</w:t>
            </w:r>
          </w:p>
        </w:tc>
      </w:tr>
      <w:tr w:rsidR="00661DE6" w:rsidRPr="00FE6084" w:rsidTr="00740BD2">
        <w:trPr>
          <w:trHeight w:val="590"/>
        </w:trPr>
        <w:tc>
          <w:tcPr>
            <w:tcW w:w="1234" w:type="pct"/>
            <w:vMerge/>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rPr>
                <w:rFonts w:ascii="Book Antiqua" w:eastAsia="Times New Roman" w:hAnsi="Book Antiqua"/>
                <w:sz w:val="24"/>
                <w:szCs w:val="24"/>
                <w:lang w:val="en-US" w:eastAsia="zh-CN"/>
              </w:rPr>
            </w:pPr>
          </w:p>
        </w:tc>
        <w:tc>
          <w:tcPr>
            <w:tcW w:w="402"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FE6084">
              <w:rPr>
                <w:rFonts w:ascii="Book Antiqua" w:eastAsia="宋体" w:hAnsi="Book Antiqua" w:cs="Arial"/>
                <w:b/>
                <w:bCs/>
                <w:i/>
                <w:iCs/>
                <w:color w:val="000000"/>
                <w:kern w:val="24"/>
                <w:sz w:val="24"/>
                <w:szCs w:val="24"/>
                <w:lang w:eastAsia="zh-CN"/>
              </w:rPr>
              <w:t>n</w:t>
            </w:r>
          </w:p>
        </w:tc>
        <w:tc>
          <w:tcPr>
            <w:tcW w:w="402"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E6084">
              <w:rPr>
                <w:rFonts w:ascii="Book Antiqua" w:eastAsia="宋体" w:hAnsi="Book Antiqua" w:cs="Arial"/>
                <w:b/>
                <w:bCs/>
                <w:color w:val="000000"/>
                <w:kern w:val="24"/>
                <w:sz w:val="24"/>
                <w:szCs w:val="24"/>
                <w:lang w:eastAsia="zh-CN"/>
              </w:rPr>
              <w:t>%</w:t>
            </w:r>
          </w:p>
        </w:tc>
        <w:tc>
          <w:tcPr>
            <w:tcW w:w="402"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FE6084">
              <w:rPr>
                <w:rFonts w:ascii="Book Antiqua" w:eastAsia="宋体" w:hAnsi="Book Antiqua" w:cs="Arial"/>
                <w:b/>
                <w:bCs/>
                <w:i/>
                <w:iCs/>
                <w:color w:val="000000"/>
                <w:kern w:val="24"/>
                <w:sz w:val="24"/>
                <w:szCs w:val="24"/>
                <w:lang w:eastAsia="zh-CN"/>
              </w:rPr>
              <w:t>n</w:t>
            </w:r>
          </w:p>
        </w:tc>
        <w:tc>
          <w:tcPr>
            <w:tcW w:w="402"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E6084">
              <w:rPr>
                <w:rFonts w:ascii="Book Antiqua" w:eastAsia="宋体" w:hAnsi="Book Antiqua" w:cs="Arial"/>
                <w:b/>
                <w:bCs/>
                <w:color w:val="000000"/>
                <w:kern w:val="24"/>
                <w:sz w:val="24"/>
                <w:szCs w:val="24"/>
                <w:lang w:eastAsia="zh-CN"/>
              </w:rPr>
              <w:t>%</w:t>
            </w:r>
          </w:p>
        </w:tc>
        <w:tc>
          <w:tcPr>
            <w:tcW w:w="300" w:type="pct"/>
            <w:vMerge/>
            <w:tcBorders>
              <w:top w:val="nil"/>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342" w:type="pct"/>
            <w:vMerge/>
            <w:tcBorders>
              <w:top w:val="nil"/>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650" w:type="pct"/>
            <w:vMerge/>
            <w:tcBorders>
              <w:top w:val="nil"/>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867" w:type="pct"/>
            <w:vMerge/>
            <w:tcBorders>
              <w:top w:val="nil"/>
              <w:bottom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r>
      <w:tr w:rsidR="00661DE6" w:rsidRPr="00FE6084" w:rsidTr="00740BD2">
        <w:trPr>
          <w:trHeight w:val="303"/>
        </w:trPr>
        <w:tc>
          <w:tcPr>
            <w:tcW w:w="1234"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Sex</w:t>
            </w:r>
          </w:p>
        </w:tc>
        <w:tc>
          <w:tcPr>
            <w:tcW w:w="402"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402"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00"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2"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0.0521</w:t>
            </w:r>
          </w:p>
        </w:tc>
        <w:tc>
          <w:tcPr>
            <w:tcW w:w="650"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tcBorders>
              <w:top w:val="single" w:sz="4" w:space="0" w:color="000000"/>
            </w:tcBorders>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Female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146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29,2</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354</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70,8</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500</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Male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175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34,9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326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65,1</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501</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1.3016</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[0.9973</w:t>
            </w:r>
            <w:r w:rsidR="00740BD2">
              <w:rPr>
                <w:rFonts w:ascii="Book Antiqua" w:eastAsia="宋体" w:hAnsi="Book Antiqua" w:cs="Arial"/>
                <w:color w:val="000000"/>
                <w:kern w:val="24"/>
                <w:sz w:val="24"/>
                <w:szCs w:val="24"/>
                <w:lang w:eastAsia="zh-CN"/>
              </w:rPr>
              <w:t>,</w:t>
            </w:r>
            <w:r w:rsidRPr="00FE6084">
              <w:rPr>
                <w:rFonts w:ascii="Book Antiqua" w:eastAsia="宋体" w:hAnsi="Book Antiqua" w:cs="Arial"/>
                <w:color w:val="000000"/>
                <w:kern w:val="24"/>
                <w:sz w:val="24"/>
                <w:szCs w:val="24"/>
                <w:lang w:eastAsia="zh-CN"/>
              </w:rPr>
              <w:t xml:space="preserve"> 1.6987]</w:t>
            </w: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Age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0.000</w:t>
            </w: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C466B7" w:rsidRPr="00FE6084" w:rsidTr="00740BD2">
        <w:trPr>
          <w:trHeight w:val="788"/>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44.5638</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10.7693</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37.3599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11.9457</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0.9484</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[0.9363</w:t>
            </w:r>
            <w:r w:rsidR="00740BD2">
              <w:rPr>
                <w:rFonts w:ascii="Book Antiqua" w:eastAsia="宋体" w:hAnsi="Book Antiqua" w:cs="Arial"/>
                <w:color w:val="000000"/>
                <w:kern w:val="24"/>
                <w:sz w:val="24"/>
                <w:szCs w:val="24"/>
                <w:lang w:eastAsia="zh-CN"/>
              </w:rPr>
              <w:t>,</w:t>
            </w:r>
            <w:r w:rsidRPr="00FE6084">
              <w:rPr>
                <w:rFonts w:ascii="Book Antiqua" w:eastAsia="宋体" w:hAnsi="Book Antiqua" w:cs="Arial"/>
                <w:color w:val="000000"/>
                <w:kern w:val="24"/>
                <w:sz w:val="24"/>
                <w:szCs w:val="24"/>
                <w:lang w:eastAsia="zh-CN"/>
              </w:rPr>
              <w:t xml:space="preserve"> 0.9606]</w:t>
            </w: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18-25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14,9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143</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85,1</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168</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25-35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32</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16,9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157</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83,1</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189</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35-45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97</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34,4</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185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65,6</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282</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45-55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43,6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137</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56,4</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243</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55</w:t>
            </w:r>
            <w:r w:rsidR="003D18E5" w:rsidRPr="00FE6084">
              <w:rPr>
                <w:rFonts w:ascii="Book Antiqua" w:eastAsia="宋体" w:hAnsi="Book Antiqua" w:cs="Arial"/>
                <w:color w:val="000000"/>
                <w:kern w:val="24"/>
                <w:sz w:val="24"/>
                <w:szCs w:val="24"/>
                <w:lang w:eastAsia="zh-CN"/>
              </w:rPr>
              <w:t xml:space="preserve"> </w:t>
            </w:r>
            <w:r w:rsidRPr="00FE6084">
              <w:rPr>
                <w:rFonts w:ascii="Book Antiqua" w:eastAsia="宋体" w:hAnsi="Book Antiqua" w:cs="Arial"/>
                <w:color w:val="000000"/>
                <w:kern w:val="24"/>
                <w:sz w:val="24"/>
                <w:szCs w:val="24"/>
                <w:lang w:eastAsia="zh-CN"/>
              </w:rPr>
              <w:t>+</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61</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51,3</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58</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48,7</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119</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Residence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0.0809</w:t>
            </w: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Urban</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185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30,0</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431</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70,0</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616</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Rural</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136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35,3</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249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64,7</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385</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1.2725</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[0.9706</w:t>
            </w:r>
            <w:r w:rsidR="00740BD2">
              <w:rPr>
                <w:rFonts w:ascii="Book Antiqua" w:eastAsia="宋体" w:hAnsi="Book Antiqua" w:cs="Arial"/>
                <w:color w:val="000000"/>
                <w:kern w:val="24"/>
                <w:sz w:val="24"/>
                <w:szCs w:val="24"/>
                <w:lang w:eastAsia="zh-CN"/>
              </w:rPr>
              <w:t>,</w:t>
            </w:r>
            <w:r w:rsidRPr="00FE6084">
              <w:rPr>
                <w:rFonts w:ascii="Book Antiqua" w:eastAsia="宋体" w:hAnsi="Book Antiqua" w:cs="Arial"/>
                <w:color w:val="000000"/>
                <w:kern w:val="24"/>
                <w:sz w:val="24"/>
                <w:szCs w:val="24"/>
                <w:lang w:eastAsia="zh-CN"/>
              </w:rPr>
              <w:t xml:space="preserve"> 1.6683]</w:t>
            </w: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Childhood</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0.0051</w:t>
            </w: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Urban</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140</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27,9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361</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72,1</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501</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ind w:leftChars="50" w:left="110"/>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Rural</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181</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36,2</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319</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63,8</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500</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1.4631</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[1.1201</w:t>
            </w:r>
            <w:r w:rsidR="00740BD2">
              <w:rPr>
                <w:rFonts w:ascii="Book Antiqua" w:eastAsia="宋体" w:hAnsi="Book Antiqua" w:cs="Arial"/>
                <w:color w:val="000000"/>
                <w:kern w:val="24"/>
                <w:sz w:val="24"/>
                <w:szCs w:val="24"/>
                <w:lang w:eastAsia="zh-CN"/>
              </w:rPr>
              <w:t>,</w:t>
            </w:r>
            <w:r w:rsidRPr="00FE6084">
              <w:rPr>
                <w:rFonts w:ascii="Book Antiqua" w:eastAsia="宋体" w:hAnsi="Book Antiqua" w:cs="Arial"/>
                <w:color w:val="000000"/>
                <w:kern w:val="24"/>
                <w:sz w:val="24"/>
                <w:szCs w:val="24"/>
                <w:lang w:eastAsia="zh-CN"/>
              </w:rPr>
              <w:t xml:space="preserve"> 1.9110]</w:t>
            </w: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val="en-US" w:eastAsia="zh-CN"/>
              </w:rPr>
              <w:t xml:space="preserve">Min. </w:t>
            </w:r>
            <w:r w:rsidRPr="00FE6084">
              <w:rPr>
                <w:rFonts w:ascii="Book Antiqua" w:eastAsia="宋体" w:hAnsi="Book Antiqua" w:cs="Arial"/>
                <w:color w:val="000000"/>
                <w:kern w:val="24"/>
                <w:sz w:val="24"/>
                <w:szCs w:val="24"/>
                <w:lang w:eastAsia="zh-CN"/>
              </w:rPr>
              <w:t>one</w:t>
            </w:r>
            <w:r w:rsidRPr="00FE6084">
              <w:rPr>
                <w:rFonts w:ascii="Book Antiqua" w:eastAsia="宋体" w:hAnsi="Book Antiqua" w:cs="Arial"/>
                <w:color w:val="000000"/>
                <w:kern w:val="24"/>
                <w:sz w:val="24"/>
                <w:szCs w:val="24"/>
                <w:lang w:val="en-US" w:eastAsia="zh-CN"/>
              </w:rPr>
              <w:t xml:space="preserve"> year in rural enviroment</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0.0003</w:t>
            </w: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Pr="006C6526">
              <w:rPr>
                <w:rFonts w:ascii="Book Antiqua" w:eastAsia="宋体" w:hAnsi="Book Antiqua" w:cs="Arial"/>
                <w:color w:val="000000"/>
                <w:kern w:val="24"/>
                <w:sz w:val="24"/>
                <w:szCs w:val="24"/>
                <w:lang w:eastAsia="zh-CN"/>
              </w:rPr>
              <w:t>egative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104</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25,6</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303</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74,4</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407</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61DE6" w:rsidRPr="00FE6084" w:rsidTr="00740BD2">
        <w:trPr>
          <w:trHeight w:val="303"/>
        </w:trPr>
        <w:tc>
          <w:tcPr>
            <w:tcW w:w="1234" w:type="pct"/>
            <w:shd w:val="clear" w:color="auto" w:fill="auto"/>
            <w:tcMar>
              <w:top w:w="15" w:type="dxa"/>
              <w:left w:w="15" w:type="dxa"/>
              <w:bottom w:w="0" w:type="dxa"/>
              <w:right w:w="15" w:type="dxa"/>
            </w:tcMar>
            <w:vAlign w:val="center"/>
            <w:hideMark/>
          </w:tcPr>
          <w:p w:rsidR="00661DE6" w:rsidRPr="00FE6084"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Positive</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217</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36,5</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377</w:t>
            </w:r>
          </w:p>
        </w:tc>
        <w:tc>
          <w:tcPr>
            <w:tcW w:w="40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63,5</w:t>
            </w:r>
          </w:p>
        </w:tc>
        <w:tc>
          <w:tcPr>
            <w:tcW w:w="30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594</w:t>
            </w:r>
          </w:p>
        </w:tc>
        <w:tc>
          <w:tcPr>
            <w:tcW w:w="342"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1.6770</w:t>
            </w:r>
          </w:p>
        </w:tc>
        <w:tc>
          <w:tcPr>
            <w:tcW w:w="867" w:type="pct"/>
            <w:shd w:val="clear" w:color="auto" w:fill="auto"/>
            <w:tcMar>
              <w:top w:w="15" w:type="dxa"/>
              <w:left w:w="15" w:type="dxa"/>
              <w:bottom w:w="0" w:type="dxa"/>
              <w:right w:w="15" w:type="dxa"/>
            </w:tcMar>
            <w:vAlign w:val="center"/>
            <w:hideMark/>
          </w:tcPr>
          <w:p w:rsidR="00661DE6" w:rsidRPr="00FE6084" w:rsidRDefault="00661DE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[1.2695</w:t>
            </w:r>
            <w:r w:rsidR="00740BD2">
              <w:rPr>
                <w:rFonts w:ascii="Book Antiqua" w:eastAsia="宋体" w:hAnsi="Book Antiqua" w:cs="Arial"/>
                <w:color w:val="000000"/>
                <w:kern w:val="24"/>
                <w:sz w:val="24"/>
                <w:szCs w:val="24"/>
                <w:lang w:eastAsia="zh-CN"/>
              </w:rPr>
              <w:t>,</w:t>
            </w:r>
            <w:r w:rsidRPr="00FE6084">
              <w:rPr>
                <w:rFonts w:ascii="Book Antiqua" w:eastAsia="宋体" w:hAnsi="Book Antiqua" w:cs="Arial"/>
                <w:color w:val="000000"/>
                <w:kern w:val="24"/>
                <w:sz w:val="24"/>
                <w:szCs w:val="24"/>
                <w:lang w:eastAsia="zh-CN"/>
              </w:rPr>
              <w:t xml:space="preserve"> 2.2153]</w:t>
            </w:r>
          </w:p>
        </w:tc>
      </w:tr>
    </w:tbl>
    <w:p w:rsidR="008D6766" w:rsidRPr="00FE6084" w:rsidRDefault="00FC7839" w:rsidP="00FE6084">
      <w:pPr>
        <w:pStyle w:val="a3"/>
        <w:adjustRightInd w:val="0"/>
        <w:snapToGrid w:val="0"/>
        <w:spacing w:line="360" w:lineRule="auto"/>
        <w:ind w:left="0"/>
        <w:contextualSpacing w:val="0"/>
        <w:jc w:val="both"/>
        <w:rPr>
          <w:rFonts w:ascii="Book Antiqua" w:hAnsi="Book Antiqua"/>
          <w:lang w:val="en-US"/>
        </w:rPr>
      </w:pPr>
      <w:r w:rsidRPr="00FC7839">
        <w:rPr>
          <w:rFonts w:ascii="Book Antiqua" w:eastAsia="宋体" w:hAnsi="Book Antiqua" w:cs="Arial"/>
          <w:i/>
          <w:color w:val="000000"/>
          <w:kern w:val="24"/>
          <w:lang w:eastAsia="zh-CN"/>
        </w:rPr>
        <w:t>H. pylori</w:t>
      </w:r>
      <w:r w:rsidR="00CE64E2" w:rsidRPr="00FE6084">
        <w:rPr>
          <w:rFonts w:ascii="Book Antiqua" w:eastAsia="宋体" w:hAnsi="Book Antiqua" w:cs="Arial"/>
          <w:color w:val="000000"/>
          <w:kern w:val="24"/>
          <w:lang w:eastAsia="zh-CN"/>
        </w:rPr>
        <w:t>:</w:t>
      </w:r>
      <w:r w:rsidR="00CE64E2" w:rsidRPr="00FE6084">
        <w:rPr>
          <w:rFonts w:ascii="Book Antiqua" w:hAnsi="Book Antiqua"/>
        </w:rPr>
        <w:t xml:space="preserve"> </w:t>
      </w:r>
      <w:r w:rsidR="00DA7C1F" w:rsidRPr="00FE6084">
        <w:rPr>
          <w:rFonts w:ascii="Book Antiqua" w:eastAsia="宋体" w:hAnsi="Book Antiqua" w:cs="Arial"/>
          <w:i/>
          <w:iCs/>
          <w:color w:val="000000"/>
          <w:kern w:val="24"/>
          <w:lang w:eastAsia="zh-CN"/>
        </w:rPr>
        <w:t>Helicobacter pylori</w:t>
      </w:r>
      <w:r w:rsidR="00CE64E2" w:rsidRPr="00FE6084">
        <w:rPr>
          <w:rFonts w:ascii="Book Antiqua" w:eastAsia="宋体" w:hAnsi="Book Antiqua" w:cs="Arial"/>
          <w:color w:val="000000"/>
          <w:kern w:val="24"/>
          <w:lang w:eastAsia="zh-CN"/>
        </w:rPr>
        <w:t>; CI: Confidence intervel.</w:t>
      </w:r>
    </w:p>
    <w:p w:rsidR="008D6766" w:rsidRPr="00FE6084" w:rsidRDefault="008D6766" w:rsidP="00FE6084">
      <w:pPr>
        <w:pStyle w:val="a3"/>
        <w:adjustRightInd w:val="0"/>
        <w:snapToGrid w:val="0"/>
        <w:spacing w:line="360" w:lineRule="auto"/>
        <w:ind w:left="0"/>
        <w:contextualSpacing w:val="0"/>
        <w:jc w:val="both"/>
        <w:rPr>
          <w:rFonts w:ascii="Book Antiqua" w:hAnsi="Book Antiqua"/>
          <w:lang w:val="en-US"/>
        </w:rPr>
      </w:pPr>
    </w:p>
    <w:p w:rsidR="008D6766" w:rsidRPr="00FE6084" w:rsidRDefault="00661DE6" w:rsidP="00FE6084">
      <w:pPr>
        <w:pStyle w:val="a3"/>
        <w:adjustRightInd w:val="0"/>
        <w:snapToGrid w:val="0"/>
        <w:spacing w:line="360" w:lineRule="auto"/>
        <w:ind w:left="0"/>
        <w:contextualSpacing w:val="0"/>
        <w:jc w:val="both"/>
        <w:rPr>
          <w:rFonts w:ascii="Book Antiqua" w:hAnsi="Book Antiqua"/>
          <w:b/>
          <w:bCs/>
          <w:lang w:val="en-US"/>
        </w:rPr>
      </w:pPr>
      <w:r w:rsidRPr="00FE6084">
        <w:rPr>
          <w:rFonts w:ascii="Book Antiqua" w:hAnsi="Book Antiqua"/>
          <w:lang w:val="en-US"/>
        </w:rPr>
        <w:br w:type="page"/>
      </w:r>
      <w:r w:rsidR="00F60FC9" w:rsidRPr="00FE6084">
        <w:rPr>
          <w:rFonts w:ascii="Book Antiqua" w:hAnsi="Book Antiqua"/>
          <w:b/>
          <w:bCs/>
          <w:lang w:val="en-US"/>
        </w:rPr>
        <w:lastRenderedPageBreak/>
        <w:t xml:space="preserve">Table 2 Socioeconomic and lifestyle factors associated with </w:t>
      </w:r>
      <w:r w:rsidR="00DA7C1F" w:rsidRPr="00FE6084">
        <w:rPr>
          <w:rFonts w:ascii="Book Antiqua" w:hAnsi="Book Antiqua"/>
          <w:b/>
          <w:bCs/>
          <w:i/>
          <w:iCs/>
          <w:lang w:val="en-US"/>
        </w:rPr>
        <w:t>Helicobacter pylori</w:t>
      </w:r>
      <w:r w:rsidR="00F60FC9" w:rsidRPr="00FE6084">
        <w:rPr>
          <w:rFonts w:ascii="Book Antiqua" w:hAnsi="Book Antiqua"/>
          <w:b/>
          <w:bCs/>
          <w:i/>
          <w:iCs/>
          <w:lang w:val="en-US"/>
        </w:rPr>
        <w:t xml:space="preserve"> </w:t>
      </w:r>
      <w:r w:rsidR="00F60FC9" w:rsidRPr="00FE6084">
        <w:rPr>
          <w:rFonts w:ascii="Book Antiqua" w:hAnsi="Book Antiqua"/>
          <w:b/>
          <w:bCs/>
          <w:lang w:val="en-US"/>
        </w:rPr>
        <w:t>prevalence</w:t>
      </w:r>
    </w:p>
    <w:tbl>
      <w:tblPr>
        <w:tblW w:w="5693"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740"/>
        <w:gridCol w:w="640"/>
        <w:gridCol w:w="765"/>
        <w:gridCol w:w="643"/>
        <w:gridCol w:w="765"/>
        <w:gridCol w:w="705"/>
        <w:gridCol w:w="705"/>
        <w:gridCol w:w="1310"/>
        <w:gridCol w:w="2091"/>
      </w:tblGrid>
      <w:tr w:rsidR="00F60FC9" w:rsidRPr="00FE6084" w:rsidTr="009D3E74">
        <w:trPr>
          <w:trHeight w:val="303"/>
        </w:trPr>
        <w:tc>
          <w:tcPr>
            <w:tcW w:w="1322" w:type="pct"/>
            <w:vMerge w:val="restart"/>
            <w:tcBorders>
              <w:top w:val="single" w:sz="4" w:space="0" w:color="000000"/>
              <w:left w:val="nil"/>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F60FC9">
              <w:rPr>
                <w:rFonts w:ascii="Book Antiqua" w:eastAsia="宋体" w:hAnsi="Book Antiqua" w:cs="Arial"/>
                <w:b/>
                <w:bCs/>
                <w:color w:val="000000"/>
                <w:kern w:val="24"/>
                <w:sz w:val="24"/>
                <w:szCs w:val="24"/>
                <w:lang w:eastAsia="zh-CN"/>
              </w:rPr>
              <w:t>Socio-economic</w:t>
            </w:r>
            <w:r w:rsidRPr="00FE6084">
              <w:rPr>
                <w:rFonts w:ascii="Book Antiqua" w:eastAsia="宋体" w:hAnsi="Book Antiqua" w:cs="Arial"/>
                <w:b/>
                <w:bCs/>
                <w:color w:val="000000"/>
                <w:kern w:val="24"/>
                <w:sz w:val="24"/>
                <w:szCs w:val="24"/>
                <w:lang w:eastAsia="zh-CN"/>
              </w:rPr>
              <w:t xml:space="preserve"> </w:t>
            </w:r>
            <w:r w:rsidRPr="00F60FC9">
              <w:rPr>
                <w:rFonts w:ascii="Book Antiqua" w:eastAsia="宋体" w:hAnsi="Book Antiqua" w:cs="Arial"/>
                <w:color w:val="000000"/>
                <w:kern w:val="24"/>
                <w:sz w:val="24"/>
                <w:szCs w:val="24"/>
                <w:lang w:eastAsia="zh-CN"/>
              </w:rPr>
              <w:t>+</w:t>
            </w:r>
            <w:r w:rsidRPr="00FE6084">
              <w:rPr>
                <w:rFonts w:ascii="Book Antiqua" w:eastAsia="宋体" w:hAnsi="Book Antiqua" w:cs="Arial"/>
                <w:b/>
                <w:bCs/>
                <w:color w:val="000000"/>
                <w:kern w:val="24"/>
                <w:sz w:val="24"/>
                <w:szCs w:val="24"/>
                <w:lang w:eastAsia="zh-CN"/>
              </w:rPr>
              <w:t xml:space="preserve"> </w:t>
            </w:r>
            <w:r w:rsidRPr="00F60FC9">
              <w:rPr>
                <w:rFonts w:ascii="Book Antiqua" w:eastAsia="宋体" w:hAnsi="Book Antiqua" w:cs="Arial"/>
                <w:b/>
                <w:bCs/>
                <w:color w:val="000000"/>
                <w:kern w:val="24"/>
                <w:sz w:val="24"/>
                <w:szCs w:val="24"/>
                <w:lang w:eastAsia="zh-CN"/>
              </w:rPr>
              <w:t>lifestyle factors</w:t>
            </w:r>
          </w:p>
        </w:tc>
        <w:tc>
          <w:tcPr>
            <w:tcW w:w="678"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F60FC9" w:rsidRPr="00F60FC9">
              <w:rPr>
                <w:rFonts w:ascii="Book Antiqua" w:eastAsia="宋体" w:hAnsi="Book Antiqua" w:cs="Arial"/>
                <w:b/>
                <w:bCs/>
                <w:color w:val="000000"/>
                <w:kern w:val="24"/>
                <w:sz w:val="24"/>
                <w:szCs w:val="24"/>
                <w:lang w:eastAsia="zh-CN"/>
              </w:rPr>
              <w:t xml:space="preserve"> positive</w:t>
            </w:r>
          </w:p>
        </w:tc>
        <w:tc>
          <w:tcPr>
            <w:tcW w:w="679"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F60FC9" w:rsidRPr="00F60FC9">
              <w:rPr>
                <w:rFonts w:ascii="Book Antiqua" w:eastAsia="宋体" w:hAnsi="Book Antiqua" w:cs="Arial"/>
                <w:b/>
                <w:bCs/>
                <w:color w:val="000000"/>
                <w:kern w:val="24"/>
                <w:sz w:val="24"/>
                <w:szCs w:val="24"/>
                <w:lang w:eastAsia="zh-CN"/>
              </w:rPr>
              <w:t xml:space="preserve"> negative</w:t>
            </w:r>
          </w:p>
        </w:tc>
        <w:tc>
          <w:tcPr>
            <w:tcW w:w="340"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60FC9">
              <w:rPr>
                <w:rFonts w:ascii="Book Antiqua" w:eastAsia="宋体" w:hAnsi="Book Antiqua" w:cs="Arial"/>
                <w:b/>
                <w:bCs/>
                <w:color w:val="000000"/>
                <w:kern w:val="24"/>
                <w:sz w:val="24"/>
                <w:szCs w:val="24"/>
                <w:lang w:eastAsia="zh-CN"/>
              </w:rPr>
              <w:t>Total</w:t>
            </w:r>
          </w:p>
        </w:tc>
        <w:tc>
          <w:tcPr>
            <w:tcW w:w="340"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6C6526" w:rsidP="00FE6084">
            <w:pPr>
              <w:adjustRightInd w:val="0"/>
              <w:snapToGrid w:val="0"/>
              <w:spacing w:after="0" w:line="360" w:lineRule="auto"/>
              <w:jc w:val="center"/>
              <w:textAlignment w:val="bottom"/>
              <w:rPr>
                <w:rFonts w:ascii="Book Antiqua" w:eastAsia="Times New Roman" w:hAnsi="Book Antiqua"/>
                <w:b/>
                <w:bCs/>
                <w:i/>
                <w:iCs/>
                <w:sz w:val="24"/>
                <w:szCs w:val="24"/>
                <w:lang w:val="en-US" w:eastAsia="zh-CN"/>
              </w:rPr>
            </w:pPr>
            <w:r w:rsidRPr="00FE6084">
              <w:rPr>
                <w:rFonts w:ascii="Book Antiqua" w:eastAsia="宋体" w:hAnsi="Book Antiqua" w:cs="Arial"/>
                <w:b/>
                <w:bCs/>
                <w:i/>
                <w:iCs/>
                <w:color w:val="000000"/>
                <w:kern w:val="24"/>
                <w:sz w:val="24"/>
                <w:szCs w:val="24"/>
                <w:lang w:eastAsia="zh-CN"/>
              </w:rPr>
              <w:t>P</w:t>
            </w:r>
            <w:r w:rsidR="00CB135D">
              <w:rPr>
                <w:rFonts w:ascii="Book Antiqua" w:eastAsia="宋体" w:hAnsi="Book Antiqua" w:cs="Arial"/>
                <w:b/>
                <w:bCs/>
                <w:color w:val="000000"/>
                <w:kern w:val="24"/>
                <w:sz w:val="24"/>
                <w:szCs w:val="24"/>
                <w:lang w:eastAsia="zh-CN"/>
              </w:rPr>
              <w:t xml:space="preserve"> </w:t>
            </w:r>
            <w:r w:rsidR="00CB135D" w:rsidRPr="0096385C">
              <w:rPr>
                <w:rFonts w:ascii="Book Antiqua" w:eastAsia="宋体" w:hAnsi="Book Antiqua" w:cs="Arial"/>
                <w:b/>
                <w:bCs/>
                <w:color w:val="000000"/>
                <w:kern w:val="24"/>
                <w:sz w:val="24"/>
                <w:szCs w:val="24"/>
                <w:lang w:eastAsia="zh-CN"/>
              </w:rPr>
              <w:t>value</w:t>
            </w:r>
          </w:p>
        </w:tc>
        <w:tc>
          <w:tcPr>
            <w:tcW w:w="632"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F60FC9">
              <w:rPr>
                <w:rFonts w:ascii="Book Antiqua" w:eastAsia="宋体" w:hAnsi="Book Antiqua" w:cs="Arial"/>
                <w:b/>
                <w:bCs/>
                <w:color w:val="000000"/>
                <w:kern w:val="24"/>
                <w:sz w:val="24"/>
                <w:szCs w:val="24"/>
                <w:lang w:eastAsia="zh-CN"/>
              </w:rPr>
              <w:t>Odds ratio (univariate)</w:t>
            </w:r>
          </w:p>
        </w:tc>
        <w:tc>
          <w:tcPr>
            <w:tcW w:w="1009"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F60FC9">
              <w:rPr>
                <w:rFonts w:ascii="Book Antiqua" w:eastAsia="宋体" w:hAnsi="Book Antiqua" w:cs="Arial"/>
                <w:b/>
                <w:bCs/>
                <w:color w:val="000000"/>
                <w:kern w:val="24"/>
                <w:sz w:val="24"/>
                <w:szCs w:val="24"/>
                <w:lang w:eastAsia="zh-CN"/>
              </w:rPr>
              <w:t>95%CI</w:t>
            </w:r>
          </w:p>
        </w:tc>
      </w:tr>
      <w:tr w:rsidR="00F60FC9" w:rsidRPr="00FE6084" w:rsidTr="009D3E74">
        <w:trPr>
          <w:trHeight w:val="591"/>
        </w:trPr>
        <w:tc>
          <w:tcPr>
            <w:tcW w:w="1322" w:type="pct"/>
            <w:vMerge/>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rPr>
                <w:rFonts w:ascii="Book Antiqua" w:eastAsia="Times New Roman" w:hAnsi="Book Antiqua"/>
                <w:sz w:val="24"/>
                <w:szCs w:val="24"/>
                <w:lang w:val="en-US" w:eastAsia="zh-CN"/>
              </w:rPr>
            </w:pPr>
          </w:p>
        </w:tc>
        <w:tc>
          <w:tcPr>
            <w:tcW w:w="309"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F60FC9">
              <w:rPr>
                <w:rFonts w:ascii="Book Antiqua" w:eastAsia="宋体" w:hAnsi="Book Antiqua" w:cs="Arial"/>
                <w:b/>
                <w:bCs/>
                <w:i/>
                <w:iCs/>
                <w:color w:val="000000"/>
                <w:kern w:val="24"/>
                <w:sz w:val="24"/>
                <w:szCs w:val="24"/>
                <w:lang w:eastAsia="zh-CN"/>
              </w:rPr>
              <w:t>n</w:t>
            </w:r>
          </w:p>
        </w:tc>
        <w:tc>
          <w:tcPr>
            <w:tcW w:w="369"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60FC9">
              <w:rPr>
                <w:rFonts w:ascii="Book Antiqua" w:eastAsia="宋体" w:hAnsi="Book Antiqua" w:cs="Arial"/>
                <w:b/>
                <w:bCs/>
                <w:color w:val="000000"/>
                <w:kern w:val="24"/>
                <w:sz w:val="24"/>
                <w:szCs w:val="24"/>
                <w:lang w:eastAsia="zh-CN"/>
              </w:rPr>
              <w:t>%</w:t>
            </w:r>
          </w:p>
        </w:tc>
        <w:tc>
          <w:tcPr>
            <w:tcW w:w="310"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F60FC9">
              <w:rPr>
                <w:rFonts w:ascii="Book Antiqua" w:eastAsia="宋体" w:hAnsi="Book Antiqua" w:cs="Arial"/>
                <w:b/>
                <w:bCs/>
                <w:i/>
                <w:iCs/>
                <w:color w:val="000000"/>
                <w:kern w:val="24"/>
                <w:sz w:val="24"/>
                <w:szCs w:val="24"/>
                <w:lang w:eastAsia="zh-CN"/>
              </w:rPr>
              <w:t>n</w:t>
            </w:r>
          </w:p>
        </w:tc>
        <w:tc>
          <w:tcPr>
            <w:tcW w:w="369"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60FC9">
              <w:rPr>
                <w:rFonts w:ascii="Book Antiqua" w:eastAsia="宋体" w:hAnsi="Book Antiqua" w:cs="Arial"/>
                <w:b/>
                <w:bCs/>
                <w:color w:val="000000"/>
                <w:kern w:val="24"/>
                <w:sz w:val="24"/>
                <w:szCs w:val="24"/>
                <w:lang w:eastAsia="zh-CN"/>
              </w:rPr>
              <w:t>%</w:t>
            </w:r>
          </w:p>
        </w:tc>
        <w:tc>
          <w:tcPr>
            <w:tcW w:w="340" w:type="pct"/>
            <w:vMerge/>
            <w:tcBorders>
              <w:top w:val="nil"/>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340" w:type="pct"/>
            <w:vMerge/>
            <w:tcBorders>
              <w:top w:val="nil"/>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632" w:type="pct"/>
            <w:vMerge/>
            <w:tcBorders>
              <w:top w:val="nil"/>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1009" w:type="pct"/>
            <w:vMerge/>
            <w:tcBorders>
              <w:top w:val="nil"/>
              <w:bottom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r>
      <w:tr w:rsidR="00F60FC9" w:rsidRPr="00FE6084" w:rsidTr="009D3E74">
        <w:trPr>
          <w:trHeight w:val="303"/>
        </w:trPr>
        <w:tc>
          <w:tcPr>
            <w:tcW w:w="1322"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Smoking</w:t>
            </w:r>
          </w:p>
        </w:tc>
        <w:tc>
          <w:tcPr>
            <w:tcW w:w="309"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0.1121</w:t>
            </w:r>
          </w:p>
        </w:tc>
        <w:tc>
          <w:tcPr>
            <w:tcW w:w="632"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tcBorders>
              <w:top w:val="single" w:sz="4" w:space="0" w:color="000000"/>
            </w:tcBorders>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Non-smoker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169</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29,5</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403</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70,5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572</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Smoker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91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34,2</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175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65,8</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266</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1.2400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[0.9090</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1.6915]</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Former smoker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37,4</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102</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62,6</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163</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1.4261</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[0.9904</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2.0534]</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Alcohol consumption</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0.1420</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Never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95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36,0</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169</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64,0</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264</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Occasional</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216</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30,3</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497</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69,7</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713</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0.7731</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[0.5740</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1.0413]</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Regular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41,7</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14</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58,3</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24</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1.2707</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[0.5434</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2.9715]</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Coffee</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0.0390</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Never</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82</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26,7</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225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73,3</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307</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94</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36,3</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165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63,7</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259</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1.5632</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[1.0929</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2.2358]</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More than 1</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145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33,3</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290</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66,7</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435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1.3720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[0.9943</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1.8931]</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 xml:space="preserve">Household </w:t>
            </w:r>
            <w:r w:rsidRPr="00FE6084">
              <w:rPr>
                <w:rFonts w:ascii="Book Antiqua" w:eastAsia="宋体" w:hAnsi="Book Antiqua" w:cs="Arial"/>
                <w:color w:val="000000"/>
                <w:kern w:val="24"/>
                <w:sz w:val="24"/>
                <w:szCs w:val="24"/>
                <w:lang w:eastAsia="zh-CN"/>
              </w:rPr>
              <w:t>p</w:t>
            </w:r>
            <w:r w:rsidRPr="00F60FC9">
              <w:rPr>
                <w:rFonts w:ascii="Book Antiqua" w:eastAsia="宋体" w:hAnsi="Book Antiqua" w:cs="Arial"/>
                <w:color w:val="000000"/>
                <w:kern w:val="24"/>
                <w:sz w:val="24"/>
                <w:szCs w:val="24"/>
                <w:lang w:eastAsia="zh-CN"/>
              </w:rPr>
              <w:t>opulation</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0.1649</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Alone</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39,2</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79</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60,8</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130</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Adults only</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135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31,5</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294</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68,5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429</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0.7113</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[0.4736</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1.0683]</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Adults and children</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135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30,5</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307</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69,5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442</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0.6812</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[0.4538</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1.0224]</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Work</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0.0000</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 xml:space="preserve">Industrial </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186</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38,4</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299</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61,6</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485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Office</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135</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26,2</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381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73,8</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516</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0.5696</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[0.4355</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0.7450]</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Agricultural work</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0.0012</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No</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140</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27,4</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371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72,6</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511</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Yes</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181</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36,9</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309</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63,1</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490</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1.5523</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[1.1882</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2.0279]</w:t>
            </w: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Domestic animals</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0.0015</w:t>
            </w: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Times New Roman" w:hAnsi="Book Antiqua"/>
                <w:sz w:val="24"/>
                <w:szCs w:val="24"/>
                <w:lang w:val="en-US" w:eastAsia="zh-CN"/>
              </w:rPr>
            </w:pPr>
          </w:p>
        </w:tc>
      </w:tr>
      <w:tr w:rsidR="00F60FC9" w:rsidRPr="00FE6084" w:rsidTr="009D3E74">
        <w:trPr>
          <w:trHeight w:val="303"/>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No</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54</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23,5</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176</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76,5</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230</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1.0</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r>
      <w:tr w:rsidR="00F60FC9" w:rsidRPr="00FE6084" w:rsidTr="009D3E74">
        <w:trPr>
          <w:trHeight w:val="406"/>
        </w:trPr>
        <w:tc>
          <w:tcPr>
            <w:tcW w:w="132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lastRenderedPageBreak/>
              <w:t>Yes</w:t>
            </w:r>
          </w:p>
        </w:tc>
        <w:tc>
          <w:tcPr>
            <w:tcW w:w="3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267</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34,6</w:t>
            </w:r>
          </w:p>
        </w:tc>
        <w:tc>
          <w:tcPr>
            <w:tcW w:w="31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504</w:t>
            </w:r>
          </w:p>
        </w:tc>
        <w:tc>
          <w:tcPr>
            <w:tcW w:w="36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65,4</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771</w:t>
            </w:r>
          </w:p>
        </w:tc>
        <w:tc>
          <w:tcPr>
            <w:tcW w:w="340"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32"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1.7266</w:t>
            </w:r>
          </w:p>
        </w:tc>
        <w:tc>
          <w:tcPr>
            <w:tcW w:w="1009" w:type="pct"/>
            <w:shd w:val="clear" w:color="auto" w:fill="auto"/>
            <w:tcMar>
              <w:top w:w="15" w:type="dxa"/>
              <w:left w:w="15" w:type="dxa"/>
              <w:bottom w:w="0" w:type="dxa"/>
              <w:right w:w="15" w:type="dxa"/>
            </w:tcMar>
            <w:vAlign w:val="center"/>
            <w:hideMark/>
          </w:tcPr>
          <w:p w:rsidR="00F60FC9" w:rsidRPr="00F60FC9" w:rsidRDefault="00F60FC9"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60FC9">
              <w:rPr>
                <w:rFonts w:ascii="Book Antiqua" w:eastAsia="宋体" w:hAnsi="Book Antiqua" w:cs="Arial"/>
                <w:color w:val="000000"/>
                <w:kern w:val="24"/>
                <w:sz w:val="24"/>
                <w:szCs w:val="24"/>
                <w:lang w:eastAsia="zh-CN"/>
              </w:rPr>
              <w:t>[1.2301</w:t>
            </w:r>
            <w:r w:rsidR="009D3E74">
              <w:rPr>
                <w:rFonts w:ascii="Book Antiqua" w:eastAsia="宋体" w:hAnsi="Book Antiqua" w:cs="Arial"/>
                <w:color w:val="000000"/>
                <w:kern w:val="24"/>
                <w:sz w:val="24"/>
                <w:szCs w:val="24"/>
                <w:lang w:eastAsia="zh-CN"/>
              </w:rPr>
              <w:t>,</w:t>
            </w:r>
            <w:r w:rsidRPr="00F60FC9">
              <w:rPr>
                <w:rFonts w:ascii="Book Antiqua" w:eastAsia="宋体" w:hAnsi="Book Antiqua" w:cs="Arial"/>
                <w:color w:val="000000"/>
                <w:kern w:val="24"/>
                <w:sz w:val="24"/>
                <w:szCs w:val="24"/>
                <w:lang w:eastAsia="zh-CN"/>
              </w:rPr>
              <w:t xml:space="preserve"> 2.4236]</w:t>
            </w:r>
          </w:p>
        </w:tc>
      </w:tr>
    </w:tbl>
    <w:p w:rsidR="00FC2165" w:rsidRPr="00FE6084" w:rsidRDefault="00FC7839" w:rsidP="00FE6084">
      <w:pPr>
        <w:pStyle w:val="a3"/>
        <w:adjustRightInd w:val="0"/>
        <w:snapToGrid w:val="0"/>
        <w:spacing w:line="360" w:lineRule="auto"/>
        <w:ind w:left="0"/>
        <w:contextualSpacing w:val="0"/>
        <w:jc w:val="both"/>
        <w:rPr>
          <w:rFonts w:ascii="Book Antiqua" w:hAnsi="Book Antiqua"/>
          <w:lang w:val="en-US"/>
        </w:rPr>
      </w:pPr>
      <w:r w:rsidRPr="00FC7839">
        <w:rPr>
          <w:rFonts w:ascii="Book Antiqua" w:eastAsia="宋体" w:hAnsi="Book Antiqua" w:cs="Arial"/>
          <w:i/>
          <w:color w:val="000000"/>
          <w:kern w:val="24"/>
          <w:lang w:eastAsia="zh-CN"/>
        </w:rPr>
        <w:t>H. pylori</w:t>
      </w:r>
      <w:r w:rsidR="00FC2165" w:rsidRPr="00FE6084">
        <w:rPr>
          <w:rFonts w:ascii="Book Antiqua" w:eastAsia="宋体" w:hAnsi="Book Antiqua" w:cs="Arial"/>
          <w:color w:val="000000"/>
          <w:kern w:val="24"/>
          <w:lang w:eastAsia="zh-CN"/>
        </w:rPr>
        <w:t>:</w:t>
      </w:r>
      <w:r w:rsidR="00FC2165" w:rsidRPr="00FE6084">
        <w:rPr>
          <w:rFonts w:ascii="Book Antiqua" w:hAnsi="Book Antiqua"/>
        </w:rPr>
        <w:t xml:space="preserve"> </w:t>
      </w:r>
      <w:r w:rsidR="00DA7C1F" w:rsidRPr="00FE6084">
        <w:rPr>
          <w:rFonts w:ascii="Book Antiqua" w:eastAsia="宋体" w:hAnsi="Book Antiqua" w:cs="Arial"/>
          <w:i/>
          <w:iCs/>
          <w:color w:val="000000"/>
          <w:kern w:val="24"/>
          <w:lang w:eastAsia="zh-CN"/>
        </w:rPr>
        <w:t>Helicobacter pylori</w:t>
      </w:r>
      <w:r w:rsidR="00FC2165" w:rsidRPr="00FE6084">
        <w:rPr>
          <w:rFonts w:ascii="Book Antiqua" w:eastAsia="宋体" w:hAnsi="Book Antiqua" w:cs="Arial"/>
          <w:color w:val="000000"/>
          <w:kern w:val="24"/>
          <w:lang w:eastAsia="zh-CN"/>
        </w:rPr>
        <w:t>; CI: Confidence intervel.</w:t>
      </w:r>
    </w:p>
    <w:p w:rsidR="008D6766" w:rsidRPr="00FE6084" w:rsidRDefault="008D6766" w:rsidP="00FE6084">
      <w:pPr>
        <w:pStyle w:val="a3"/>
        <w:adjustRightInd w:val="0"/>
        <w:snapToGrid w:val="0"/>
        <w:spacing w:line="360" w:lineRule="auto"/>
        <w:ind w:left="0"/>
        <w:contextualSpacing w:val="0"/>
        <w:jc w:val="both"/>
        <w:rPr>
          <w:rFonts w:ascii="Book Antiqua" w:hAnsi="Book Antiqua"/>
          <w:lang w:val="en-US"/>
        </w:rPr>
      </w:pPr>
    </w:p>
    <w:p w:rsidR="006C6526" w:rsidRPr="00FE6084" w:rsidRDefault="00F60FC9" w:rsidP="00FE6084">
      <w:pPr>
        <w:pStyle w:val="a3"/>
        <w:adjustRightInd w:val="0"/>
        <w:snapToGrid w:val="0"/>
        <w:spacing w:line="360" w:lineRule="auto"/>
        <w:ind w:left="0"/>
        <w:contextualSpacing w:val="0"/>
        <w:jc w:val="both"/>
        <w:rPr>
          <w:rFonts w:ascii="Book Antiqua" w:hAnsi="Book Antiqua"/>
          <w:b/>
          <w:bCs/>
          <w:lang w:val="en-US"/>
        </w:rPr>
      </w:pPr>
      <w:r w:rsidRPr="00FE6084">
        <w:rPr>
          <w:rFonts w:ascii="Book Antiqua" w:hAnsi="Book Antiqua"/>
          <w:lang w:val="en-US"/>
        </w:rPr>
        <w:br w:type="page"/>
      </w:r>
      <w:r w:rsidR="006C6526" w:rsidRPr="00FE6084">
        <w:rPr>
          <w:rFonts w:ascii="Book Antiqua" w:hAnsi="Book Antiqua"/>
          <w:b/>
          <w:bCs/>
          <w:lang w:val="en-US"/>
        </w:rPr>
        <w:lastRenderedPageBreak/>
        <w:t xml:space="preserve">Table 3 Factors in patient history associated with </w:t>
      </w:r>
      <w:r w:rsidR="00DA7C1F" w:rsidRPr="00FE6084">
        <w:rPr>
          <w:rFonts w:ascii="Book Antiqua" w:hAnsi="Book Antiqua"/>
          <w:b/>
          <w:bCs/>
          <w:i/>
          <w:iCs/>
          <w:lang w:val="en-US"/>
        </w:rPr>
        <w:t>Helicobacter pylori</w:t>
      </w:r>
      <w:r w:rsidR="006C6526" w:rsidRPr="00FE6084">
        <w:rPr>
          <w:rFonts w:ascii="Book Antiqua" w:hAnsi="Book Antiqua"/>
          <w:b/>
          <w:bCs/>
          <w:lang w:val="en-US"/>
        </w:rPr>
        <w:t xml:space="preserve"> prevalence</w:t>
      </w:r>
    </w:p>
    <w:tbl>
      <w:tblPr>
        <w:tblW w:w="5537" w:type="pct"/>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2232"/>
        <w:gridCol w:w="1161"/>
        <w:gridCol w:w="772"/>
        <w:gridCol w:w="657"/>
        <w:gridCol w:w="766"/>
        <w:gridCol w:w="718"/>
        <w:gridCol w:w="718"/>
        <w:gridCol w:w="1310"/>
        <w:gridCol w:w="1746"/>
      </w:tblGrid>
      <w:tr w:rsidR="006C6526" w:rsidRPr="00FE6084" w:rsidTr="00371ED5">
        <w:trPr>
          <w:trHeight w:val="303"/>
        </w:trPr>
        <w:tc>
          <w:tcPr>
            <w:tcW w:w="1107"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b/>
                <w:bCs/>
                <w:color w:val="000000"/>
                <w:kern w:val="24"/>
                <w:sz w:val="24"/>
                <w:szCs w:val="24"/>
                <w:lang w:eastAsia="zh-CN"/>
              </w:rPr>
              <w:t>Patient history</w:t>
            </w:r>
          </w:p>
        </w:tc>
        <w:tc>
          <w:tcPr>
            <w:tcW w:w="959"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6C6526" w:rsidRPr="006C6526">
              <w:rPr>
                <w:rFonts w:ascii="Book Antiqua" w:eastAsia="宋体" w:hAnsi="Book Antiqua" w:cs="Arial"/>
                <w:b/>
                <w:bCs/>
                <w:color w:val="000000"/>
                <w:kern w:val="24"/>
                <w:sz w:val="24"/>
                <w:szCs w:val="24"/>
                <w:lang w:eastAsia="zh-CN"/>
              </w:rPr>
              <w:t xml:space="preserve"> positive</w:t>
            </w:r>
          </w:p>
        </w:tc>
        <w:tc>
          <w:tcPr>
            <w:tcW w:w="706" w:type="pct"/>
            <w:gridSpan w:val="2"/>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FC7839"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FC7839">
              <w:rPr>
                <w:rFonts w:ascii="Book Antiqua" w:eastAsia="宋体" w:hAnsi="Book Antiqua" w:cs="Arial"/>
                <w:b/>
                <w:bCs/>
                <w:i/>
                <w:color w:val="000000"/>
                <w:kern w:val="24"/>
                <w:sz w:val="24"/>
                <w:szCs w:val="24"/>
                <w:lang w:eastAsia="zh-CN"/>
              </w:rPr>
              <w:t>H. pylori</w:t>
            </w:r>
            <w:r w:rsidR="006C6526" w:rsidRPr="006C6526">
              <w:rPr>
                <w:rFonts w:ascii="Book Antiqua" w:eastAsia="宋体" w:hAnsi="Book Antiqua" w:cs="Arial"/>
                <w:b/>
                <w:bCs/>
                <w:color w:val="000000"/>
                <w:kern w:val="24"/>
                <w:sz w:val="24"/>
                <w:szCs w:val="24"/>
                <w:lang w:eastAsia="zh-CN"/>
              </w:rPr>
              <w:t xml:space="preserve"> negative</w:t>
            </w:r>
          </w:p>
        </w:tc>
        <w:tc>
          <w:tcPr>
            <w:tcW w:w="356"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Total</w:t>
            </w:r>
          </w:p>
        </w:tc>
        <w:tc>
          <w:tcPr>
            <w:tcW w:w="356"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Times New Roman" w:hAnsi="Book Antiqua"/>
                <w:b/>
                <w:bCs/>
                <w:i/>
                <w:iCs/>
                <w:sz w:val="24"/>
                <w:szCs w:val="24"/>
                <w:lang w:val="en-US" w:eastAsia="zh-CN"/>
              </w:rPr>
            </w:pPr>
            <w:r w:rsidRPr="00FE6084">
              <w:rPr>
                <w:rFonts w:ascii="Book Antiqua" w:eastAsia="宋体" w:hAnsi="Book Antiqua" w:cs="Arial"/>
                <w:b/>
                <w:bCs/>
                <w:i/>
                <w:iCs/>
                <w:color w:val="000000"/>
                <w:kern w:val="24"/>
                <w:sz w:val="24"/>
                <w:szCs w:val="24"/>
                <w:lang w:eastAsia="zh-CN"/>
              </w:rPr>
              <w:t>P</w:t>
            </w:r>
            <w:r w:rsidR="00CC1E94" w:rsidRPr="0096385C">
              <w:rPr>
                <w:rFonts w:ascii="Book Antiqua" w:eastAsia="宋体" w:hAnsi="Book Antiqua" w:cs="Arial"/>
                <w:b/>
                <w:bCs/>
                <w:color w:val="000000"/>
                <w:kern w:val="24"/>
                <w:sz w:val="24"/>
                <w:szCs w:val="24"/>
                <w:lang w:eastAsia="zh-CN"/>
              </w:rPr>
              <w:t xml:space="preserve"> value</w:t>
            </w:r>
          </w:p>
        </w:tc>
        <w:tc>
          <w:tcPr>
            <w:tcW w:w="650"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6C6526">
              <w:rPr>
                <w:rFonts w:ascii="Book Antiqua" w:eastAsia="宋体" w:hAnsi="Book Antiqua" w:cs="Arial"/>
                <w:b/>
                <w:bCs/>
                <w:color w:val="000000"/>
                <w:kern w:val="24"/>
                <w:sz w:val="24"/>
                <w:szCs w:val="24"/>
                <w:lang w:eastAsia="zh-CN"/>
              </w:rPr>
              <w:t>Odds ratio (univariate)</w:t>
            </w:r>
          </w:p>
        </w:tc>
        <w:tc>
          <w:tcPr>
            <w:tcW w:w="867" w:type="pct"/>
            <w:vMerge w:val="restar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Times New Roman" w:hAnsi="Book Antiqua"/>
                <w:b/>
                <w:bCs/>
                <w:sz w:val="24"/>
                <w:szCs w:val="24"/>
                <w:lang w:val="en-US" w:eastAsia="zh-CN"/>
              </w:rPr>
            </w:pPr>
            <w:r w:rsidRPr="006C6526">
              <w:rPr>
                <w:rFonts w:ascii="Book Antiqua" w:eastAsia="宋体" w:hAnsi="Book Antiqua" w:cs="Arial"/>
                <w:b/>
                <w:bCs/>
                <w:color w:val="000000"/>
                <w:kern w:val="24"/>
                <w:sz w:val="24"/>
                <w:szCs w:val="24"/>
                <w:lang w:eastAsia="zh-CN"/>
              </w:rPr>
              <w:t>95%CI</w:t>
            </w:r>
          </w:p>
        </w:tc>
      </w:tr>
      <w:tr w:rsidR="006C6526" w:rsidRPr="00FE6084" w:rsidTr="00371ED5">
        <w:trPr>
          <w:trHeight w:val="590"/>
        </w:trPr>
        <w:tc>
          <w:tcPr>
            <w:tcW w:w="1107" w:type="pct"/>
            <w:vMerge/>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Times New Roman" w:hAnsi="Book Antiqua"/>
                <w:sz w:val="24"/>
                <w:szCs w:val="24"/>
                <w:lang w:val="en-US" w:eastAsia="zh-CN"/>
              </w:rPr>
            </w:pPr>
          </w:p>
        </w:tc>
        <w:tc>
          <w:tcPr>
            <w:tcW w:w="576"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6C6526">
              <w:rPr>
                <w:rFonts w:ascii="Book Antiqua" w:eastAsia="宋体" w:hAnsi="Book Antiqua" w:cs="Arial"/>
                <w:b/>
                <w:bCs/>
                <w:i/>
                <w:iCs/>
                <w:color w:val="000000"/>
                <w:kern w:val="24"/>
                <w:sz w:val="24"/>
                <w:szCs w:val="24"/>
                <w:lang w:eastAsia="zh-CN"/>
              </w:rPr>
              <w:t>n</w:t>
            </w:r>
          </w:p>
        </w:tc>
        <w:tc>
          <w:tcPr>
            <w:tcW w:w="383"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w:t>
            </w:r>
          </w:p>
        </w:tc>
        <w:tc>
          <w:tcPr>
            <w:tcW w:w="326"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b/>
                <w:bCs/>
                <w:i/>
                <w:iCs/>
                <w:sz w:val="24"/>
                <w:szCs w:val="24"/>
                <w:lang w:val="en-US" w:eastAsia="zh-CN"/>
              </w:rPr>
            </w:pPr>
            <w:r w:rsidRPr="006C6526">
              <w:rPr>
                <w:rFonts w:ascii="Book Antiqua" w:eastAsia="宋体" w:hAnsi="Book Antiqua" w:cs="Arial"/>
                <w:b/>
                <w:bCs/>
                <w:i/>
                <w:iCs/>
                <w:color w:val="000000"/>
                <w:kern w:val="24"/>
                <w:sz w:val="24"/>
                <w:szCs w:val="24"/>
                <w:lang w:eastAsia="zh-CN"/>
              </w:rPr>
              <w:t>n</w:t>
            </w:r>
          </w:p>
        </w:tc>
        <w:tc>
          <w:tcPr>
            <w:tcW w:w="380" w:type="pct"/>
            <w:tcBorders>
              <w:top w:val="single" w:sz="4"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w:t>
            </w:r>
          </w:p>
        </w:tc>
        <w:tc>
          <w:tcPr>
            <w:tcW w:w="356" w:type="pct"/>
            <w:vMerge/>
            <w:tcBorders>
              <w:top w:val="nil"/>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356" w:type="pct"/>
            <w:vMerge/>
            <w:tcBorders>
              <w:top w:val="nil"/>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650" w:type="pct"/>
            <w:vMerge/>
            <w:tcBorders>
              <w:top w:val="nil"/>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c>
          <w:tcPr>
            <w:tcW w:w="867" w:type="pct"/>
            <w:vMerge/>
            <w:tcBorders>
              <w:top w:val="nil"/>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p>
        </w:tc>
      </w:tr>
      <w:tr w:rsidR="006C6526" w:rsidRPr="00FE6084" w:rsidTr="00371ED5">
        <w:trPr>
          <w:trHeight w:val="303"/>
        </w:trPr>
        <w:tc>
          <w:tcPr>
            <w:tcW w:w="1107"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 xml:space="preserve">Familiy history of </w:t>
            </w:r>
            <w:r w:rsidR="00FC7839" w:rsidRPr="00FC7839">
              <w:rPr>
                <w:rFonts w:ascii="Book Antiqua" w:eastAsia="宋体" w:hAnsi="Book Antiqua" w:cs="Arial"/>
                <w:i/>
                <w:color w:val="000000"/>
                <w:kern w:val="24"/>
                <w:sz w:val="24"/>
                <w:szCs w:val="24"/>
                <w:lang w:eastAsia="zh-CN"/>
              </w:rPr>
              <w:t>H. pylori</w:t>
            </w:r>
          </w:p>
        </w:tc>
        <w:tc>
          <w:tcPr>
            <w:tcW w:w="576"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83"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26"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80"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0.8829</w:t>
            </w:r>
          </w:p>
        </w:tc>
        <w:tc>
          <w:tcPr>
            <w:tcW w:w="650"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006C6526" w:rsidRPr="006C6526">
              <w:rPr>
                <w:rFonts w:ascii="Book Antiqua" w:eastAsia="宋体" w:hAnsi="Book Antiqua" w:cs="Arial"/>
                <w:color w:val="000000"/>
                <w:kern w:val="24"/>
                <w:sz w:val="24"/>
                <w:szCs w:val="24"/>
                <w:lang w:eastAsia="zh-CN"/>
              </w:rPr>
              <w:t>egative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161</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32,5</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335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67,5</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496</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w:t>
            </w:r>
            <w:r w:rsidR="006C6526" w:rsidRPr="006C6526">
              <w:rPr>
                <w:rFonts w:ascii="Book Antiqua" w:eastAsia="宋体" w:hAnsi="Book Antiqua" w:cs="Arial"/>
                <w:color w:val="000000"/>
                <w:kern w:val="24"/>
                <w:sz w:val="24"/>
                <w:szCs w:val="24"/>
                <w:lang w:eastAsia="zh-CN"/>
              </w:rPr>
              <w:t>ositive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18</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31,0</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40</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69,0</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58</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0.9363</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[0.5205</w:t>
            </w:r>
            <w:r w:rsidR="00371ED5">
              <w:rPr>
                <w:rFonts w:ascii="Book Antiqua" w:eastAsia="宋体" w:hAnsi="Book Antiqua" w:cs="Arial"/>
                <w:color w:val="000000"/>
                <w:kern w:val="24"/>
                <w:sz w:val="24"/>
                <w:szCs w:val="24"/>
                <w:lang w:eastAsia="zh-CN"/>
              </w:rPr>
              <w:t>,</w:t>
            </w:r>
            <w:r w:rsidRPr="006C6526">
              <w:rPr>
                <w:rFonts w:ascii="Book Antiqua" w:eastAsia="宋体" w:hAnsi="Book Antiqua" w:cs="Arial"/>
                <w:color w:val="000000"/>
                <w:kern w:val="24"/>
                <w:sz w:val="24"/>
                <w:szCs w:val="24"/>
                <w:lang w:eastAsia="zh-CN"/>
              </w:rPr>
              <w:t xml:space="preserve"> 1.6844]</w:t>
            </w: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DA5740"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DA5740">
              <w:rPr>
                <w:rFonts w:ascii="Book Antiqua" w:eastAsia="宋体" w:hAnsi="Book Antiqua" w:cs="Arial"/>
                <w:caps/>
                <w:color w:val="000000"/>
                <w:kern w:val="24"/>
                <w:lang w:eastAsia="zh-CN"/>
              </w:rPr>
              <w:t>na</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142</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31,8</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305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68,2</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447</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val="en-US" w:eastAsia="zh-CN"/>
              </w:rPr>
              <w:t>Family history of GI ulcer</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0.3810</w:t>
            </w: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006C6526" w:rsidRPr="006C6526">
              <w:rPr>
                <w:rFonts w:ascii="Book Antiqua" w:eastAsia="宋体" w:hAnsi="Book Antiqua" w:cs="Arial"/>
                <w:color w:val="000000"/>
                <w:kern w:val="24"/>
                <w:sz w:val="24"/>
                <w:szCs w:val="24"/>
                <w:lang w:eastAsia="zh-CN"/>
              </w:rPr>
              <w:t>egative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217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33,3</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435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66,7</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652</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w:t>
            </w:r>
            <w:r w:rsidR="006C6526" w:rsidRPr="006C6526">
              <w:rPr>
                <w:rFonts w:ascii="Book Antiqua" w:eastAsia="宋体" w:hAnsi="Book Antiqua" w:cs="Arial"/>
                <w:color w:val="000000"/>
                <w:kern w:val="24"/>
                <w:sz w:val="24"/>
                <w:szCs w:val="24"/>
                <w:lang w:eastAsia="zh-CN"/>
              </w:rPr>
              <w:t>ositive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29,7</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135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70,3</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192</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0.8464</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[0.5965</w:t>
            </w:r>
            <w:r w:rsidR="00371ED5">
              <w:rPr>
                <w:rFonts w:ascii="Book Antiqua" w:eastAsia="宋体" w:hAnsi="Book Antiqua" w:cs="Arial"/>
                <w:color w:val="000000"/>
                <w:kern w:val="24"/>
                <w:sz w:val="24"/>
                <w:szCs w:val="24"/>
                <w:lang w:eastAsia="zh-CN"/>
              </w:rPr>
              <w:t>,</w:t>
            </w:r>
            <w:r w:rsidRPr="006C6526">
              <w:rPr>
                <w:rFonts w:ascii="Book Antiqua" w:eastAsia="宋体" w:hAnsi="Book Antiqua" w:cs="Arial"/>
                <w:color w:val="000000"/>
                <w:kern w:val="24"/>
                <w:sz w:val="24"/>
                <w:szCs w:val="24"/>
                <w:lang w:eastAsia="zh-CN"/>
              </w:rPr>
              <w:t xml:space="preserve"> 1.2009]</w:t>
            </w: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DA5740"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DA5740">
              <w:rPr>
                <w:rFonts w:ascii="Book Antiqua" w:eastAsia="宋体" w:hAnsi="Book Antiqua" w:cs="Arial"/>
                <w:caps/>
                <w:color w:val="000000"/>
                <w:kern w:val="24"/>
                <w:lang w:eastAsia="zh-CN"/>
              </w:rPr>
              <w:t>na</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29,9</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110</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70,1</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157</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val="en-US" w:eastAsia="zh-CN"/>
              </w:rPr>
              <w:t>Family history of GI cancer</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0.0014</w:t>
            </w: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006C6526" w:rsidRPr="006C6526">
              <w:rPr>
                <w:rFonts w:ascii="Book Antiqua" w:eastAsia="宋体" w:hAnsi="Book Antiqua" w:cs="Arial"/>
                <w:color w:val="000000"/>
                <w:kern w:val="24"/>
                <w:sz w:val="24"/>
                <w:szCs w:val="24"/>
                <w:lang w:eastAsia="zh-CN"/>
              </w:rPr>
              <w:t>egative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277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32,1</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587</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67,9</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864</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w:t>
            </w:r>
            <w:r w:rsidR="006C6526" w:rsidRPr="006C6526">
              <w:rPr>
                <w:rFonts w:ascii="Book Antiqua" w:eastAsia="宋体" w:hAnsi="Book Antiqua" w:cs="Arial"/>
                <w:color w:val="000000"/>
                <w:kern w:val="24"/>
                <w:sz w:val="24"/>
                <w:szCs w:val="24"/>
                <w:lang w:eastAsia="zh-CN"/>
              </w:rPr>
              <w:t>ositive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63,0</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37,0</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27</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3.6025</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[1.6284</w:t>
            </w:r>
            <w:r w:rsidR="00371ED5">
              <w:rPr>
                <w:rFonts w:ascii="Book Antiqua" w:eastAsia="宋体" w:hAnsi="Book Antiqua" w:cs="Arial"/>
                <w:color w:val="000000"/>
                <w:kern w:val="24"/>
                <w:sz w:val="24"/>
                <w:szCs w:val="24"/>
                <w:lang w:eastAsia="zh-CN"/>
              </w:rPr>
              <w:t>,</w:t>
            </w:r>
            <w:r w:rsidRPr="006C6526">
              <w:rPr>
                <w:rFonts w:ascii="Book Antiqua" w:eastAsia="宋体" w:hAnsi="Book Antiqua" w:cs="Arial"/>
                <w:color w:val="000000"/>
                <w:kern w:val="24"/>
                <w:sz w:val="24"/>
                <w:szCs w:val="24"/>
                <w:lang w:eastAsia="zh-CN"/>
              </w:rPr>
              <w:t xml:space="preserve"> 7.9701]</w:t>
            </w: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DA5740"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DA5740">
              <w:rPr>
                <w:rFonts w:ascii="Book Antiqua" w:eastAsia="宋体" w:hAnsi="Book Antiqua" w:cs="Arial"/>
                <w:caps/>
                <w:color w:val="000000"/>
                <w:kern w:val="24"/>
                <w:lang w:eastAsia="zh-CN"/>
              </w:rPr>
              <w:t>na</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33,8</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53</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66,3</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80</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Abdominal pain</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0.8108</w:t>
            </w: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006C6526" w:rsidRPr="006C6526">
              <w:rPr>
                <w:rFonts w:ascii="Book Antiqua" w:eastAsia="宋体" w:hAnsi="Book Antiqua" w:cs="Arial"/>
                <w:color w:val="000000"/>
                <w:kern w:val="24"/>
                <w:sz w:val="24"/>
                <w:szCs w:val="24"/>
                <w:lang w:eastAsia="zh-CN"/>
              </w:rPr>
              <w:t>egative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264</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32,2</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555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67,8</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819</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w:t>
            </w:r>
            <w:r w:rsidR="006C6526" w:rsidRPr="006C6526">
              <w:rPr>
                <w:rFonts w:ascii="Book Antiqua" w:eastAsia="宋体" w:hAnsi="Book Antiqua" w:cs="Arial"/>
                <w:color w:val="000000"/>
                <w:kern w:val="24"/>
                <w:sz w:val="24"/>
                <w:szCs w:val="24"/>
                <w:lang w:eastAsia="zh-CN"/>
              </w:rPr>
              <w:t>ositive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31,3</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125</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68,7</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182</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0.9586</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[0.6784</w:t>
            </w:r>
            <w:r w:rsidR="00371ED5">
              <w:rPr>
                <w:rFonts w:ascii="Book Antiqua" w:eastAsia="宋体" w:hAnsi="Book Antiqua" w:cs="Arial"/>
                <w:color w:val="000000"/>
                <w:kern w:val="24"/>
                <w:sz w:val="24"/>
                <w:szCs w:val="24"/>
                <w:lang w:eastAsia="zh-CN"/>
              </w:rPr>
              <w:t>,</w:t>
            </w:r>
            <w:r w:rsidRPr="006C6526">
              <w:rPr>
                <w:rFonts w:ascii="Book Antiqua" w:eastAsia="宋体" w:hAnsi="Book Antiqua" w:cs="Arial"/>
                <w:color w:val="000000"/>
                <w:kern w:val="24"/>
                <w:sz w:val="24"/>
                <w:szCs w:val="24"/>
                <w:lang w:eastAsia="zh-CN"/>
              </w:rPr>
              <w:t xml:space="preserve"> 1.3547]</w:t>
            </w: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Epigastrial pain</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0.1105</w:t>
            </w: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Times New Roman" w:hAnsi="Book Antiqua"/>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N</w:t>
            </w:r>
            <w:r w:rsidR="006C6526" w:rsidRPr="006C6526">
              <w:rPr>
                <w:rFonts w:ascii="Book Antiqua" w:eastAsia="宋体" w:hAnsi="Book Antiqua" w:cs="Arial"/>
                <w:color w:val="000000"/>
                <w:kern w:val="24"/>
                <w:sz w:val="24"/>
                <w:szCs w:val="24"/>
                <w:lang w:eastAsia="zh-CN"/>
              </w:rPr>
              <w:t>egative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214</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30,5</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487</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69,5</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701</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r>
      <w:tr w:rsidR="006C6526" w:rsidRPr="00FE6084" w:rsidTr="00371ED5">
        <w:trPr>
          <w:trHeight w:val="303"/>
        </w:trPr>
        <w:tc>
          <w:tcPr>
            <w:tcW w:w="1107" w:type="pct"/>
            <w:shd w:val="clear" w:color="auto" w:fill="auto"/>
            <w:tcMar>
              <w:top w:w="15" w:type="dxa"/>
              <w:left w:w="15" w:type="dxa"/>
              <w:bottom w:w="0" w:type="dxa"/>
              <w:right w:w="15" w:type="dxa"/>
            </w:tcMar>
            <w:vAlign w:val="center"/>
            <w:hideMark/>
          </w:tcPr>
          <w:p w:rsidR="006C6526" w:rsidRPr="006C6526" w:rsidRDefault="00C61B9F" w:rsidP="00FE6084">
            <w:pPr>
              <w:adjustRightInd w:val="0"/>
              <w:snapToGrid w:val="0"/>
              <w:spacing w:after="0" w:line="360" w:lineRule="auto"/>
              <w:ind w:leftChars="50" w:left="110"/>
              <w:jc w:val="both"/>
              <w:textAlignment w:val="bottom"/>
              <w:rPr>
                <w:rFonts w:ascii="Book Antiqua" w:eastAsia="宋体" w:hAnsi="Book Antiqua" w:cs="Arial"/>
                <w:sz w:val="24"/>
                <w:szCs w:val="24"/>
                <w:lang w:val="en-US" w:eastAsia="zh-CN"/>
              </w:rPr>
            </w:pPr>
            <w:r w:rsidRPr="00FE6084">
              <w:rPr>
                <w:rFonts w:ascii="Book Antiqua" w:eastAsia="宋体" w:hAnsi="Book Antiqua" w:cs="Arial"/>
                <w:color w:val="000000"/>
                <w:kern w:val="24"/>
                <w:sz w:val="24"/>
                <w:szCs w:val="24"/>
                <w:lang w:eastAsia="zh-CN"/>
              </w:rPr>
              <w:t>P</w:t>
            </w:r>
            <w:r w:rsidR="006C6526" w:rsidRPr="006C6526">
              <w:rPr>
                <w:rFonts w:ascii="Book Antiqua" w:eastAsia="宋体" w:hAnsi="Book Antiqua" w:cs="Arial"/>
                <w:color w:val="000000"/>
                <w:kern w:val="24"/>
                <w:sz w:val="24"/>
                <w:szCs w:val="24"/>
                <w:lang w:eastAsia="zh-CN"/>
              </w:rPr>
              <w:t>ositive</w:t>
            </w:r>
          </w:p>
        </w:tc>
        <w:tc>
          <w:tcPr>
            <w:tcW w:w="57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107</w:t>
            </w:r>
          </w:p>
        </w:tc>
        <w:tc>
          <w:tcPr>
            <w:tcW w:w="383"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35,7</w:t>
            </w:r>
          </w:p>
        </w:tc>
        <w:tc>
          <w:tcPr>
            <w:tcW w:w="32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193</w:t>
            </w:r>
          </w:p>
        </w:tc>
        <w:tc>
          <w:tcPr>
            <w:tcW w:w="38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64,3</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300</w:t>
            </w:r>
          </w:p>
        </w:tc>
        <w:tc>
          <w:tcPr>
            <w:tcW w:w="356"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rPr>
                <w:rFonts w:ascii="Book Antiqua" w:eastAsia="宋体" w:hAnsi="Book Antiqua" w:cs="Arial"/>
                <w:sz w:val="24"/>
                <w:szCs w:val="24"/>
                <w:lang w:val="en-US" w:eastAsia="zh-CN"/>
              </w:rPr>
            </w:pPr>
          </w:p>
        </w:tc>
        <w:tc>
          <w:tcPr>
            <w:tcW w:w="650"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1.2617</w:t>
            </w:r>
          </w:p>
        </w:tc>
        <w:tc>
          <w:tcPr>
            <w:tcW w:w="86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[0.9481</w:t>
            </w:r>
            <w:r w:rsidR="00371ED5">
              <w:rPr>
                <w:rFonts w:ascii="Book Antiqua" w:eastAsia="宋体" w:hAnsi="Book Antiqua" w:cs="Arial"/>
                <w:color w:val="000000"/>
                <w:kern w:val="24"/>
                <w:sz w:val="24"/>
                <w:szCs w:val="24"/>
                <w:lang w:eastAsia="zh-CN"/>
              </w:rPr>
              <w:t>,</w:t>
            </w:r>
            <w:r w:rsidRPr="006C6526">
              <w:rPr>
                <w:rFonts w:ascii="Book Antiqua" w:eastAsia="宋体" w:hAnsi="Book Antiqua" w:cs="Arial"/>
                <w:color w:val="000000"/>
                <w:kern w:val="24"/>
                <w:sz w:val="24"/>
                <w:szCs w:val="24"/>
                <w:lang w:eastAsia="zh-CN"/>
              </w:rPr>
              <w:t xml:space="preserve"> 1.6789]</w:t>
            </w:r>
          </w:p>
        </w:tc>
      </w:tr>
    </w:tbl>
    <w:p w:rsidR="008D6766" w:rsidRPr="00FE6084" w:rsidRDefault="00FC7839" w:rsidP="00FE6084">
      <w:pPr>
        <w:pStyle w:val="a3"/>
        <w:adjustRightInd w:val="0"/>
        <w:snapToGrid w:val="0"/>
        <w:spacing w:line="360" w:lineRule="auto"/>
        <w:ind w:left="0"/>
        <w:contextualSpacing w:val="0"/>
        <w:jc w:val="both"/>
        <w:rPr>
          <w:rFonts w:ascii="Book Antiqua" w:hAnsi="Book Antiqua"/>
          <w:lang w:val="en-US"/>
        </w:rPr>
      </w:pPr>
      <w:r w:rsidRPr="00FC7839">
        <w:rPr>
          <w:rFonts w:ascii="Book Antiqua" w:eastAsia="宋体" w:hAnsi="Book Antiqua" w:cs="Arial"/>
          <w:i/>
          <w:color w:val="000000"/>
          <w:kern w:val="24"/>
          <w:lang w:eastAsia="zh-CN"/>
        </w:rPr>
        <w:t>H. pylori</w:t>
      </w:r>
      <w:r w:rsidR="00FC2165" w:rsidRPr="00FE6084">
        <w:rPr>
          <w:rFonts w:ascii="Book Antiqua" w:eastAsia="宋体" w:hAnsi="Book Antiqua" w:cs="Arial"/>
          <w:color w:val="000000"/>
          <w:kern w:val="24"/>
          <w:lang w:eastAsia="zh-CN"/>
        </w:rPr>
        <w:t>:</w:t>
      </w:r>
      <w:r w:rsidR="00FC2165" w:rsidRPr="00FE6084">
        <w:rPr>
          <w:rFonts w:ascii="Book Antiqua" w:hAnsi="Book Antiqua"/>
        </w:rPr>
        <w:t xml:space="preserve"> </w:t>
      </w:r>
      <w:r w:rsidR="00DA7C1F" w:rsidRPr="00FE6084">
        <w:rPr>
          <w:rFonts w:ascii="Book Antiqua" w:eastAsia="宋体" w:hAnsi="Book Antiqua" w:cs="Arial"/>
          <w:i/>
          <w:iCs/>
          <w:color w:val="000000"/>
          <w:kern w:val="24"/>
          <w:lang w:eastAsia="zh-CN"/>
        </w:rPr>
        <w:t>Helicobacter pylori</w:t>
      </w:r>
      <w:r w:rsidR="00FC2165" w:rsidRPr="00FE6084">
        <w:rPr>
          <w:rFonts w:ascii="Book Antiqua" w:eastAsia="宋体" w:hAnsi="Book Antiqua" w:cs="Arial"/>
          <w:color w:val="000000"/>
          <w:kern w:val="24"/>
          <w:lang w:eastAsia="zh-CN"/>
        </w:rPr>
        <w:t>; CI: Confidence intervel</w:t>
      </w:r>
      <w:r w:rsidR="006F2EFF" w:rsidRPr="00FE6084">
        <w:rPr>
          <w:rFonts w:ascii="Book Antiqua" w:eastAsia="宋体" w:hAnsi="Book Antiqua" w:cs="Arial"/>
          <w:color w:val="000000"/>
          <w:kern w:val="24"/>
          <w:lang w:eastAsia="zh-CN"/>
        </w:rPr>
        <w:t xml:space="preserve">; </w:t>
      </w:r>
      <w:r w:rsidR="006F2EFF" w:rsidRPr="00DA5740">
        <w:rPr>
          <w:rFonts w:ascii="Book Antiqua" w:eastAsia="宋体" w:hAnsi="Book Antiqua" w:cs="Arial"/>
          <w:caps/>
          <w:color w:val="000000"/>
          <w:kern w:val="24"/>
          <w:lang w:eastAsia="zh-CN"/>
        </w:rPr>
        <w:t>na</w:t>
      </w:r>
      <w:r w:rsidR="006F2EFF" w:rsidRPr="00FE6084">
        <w:rPr>
          <w:rFonts w:ascii="Book Antiqua" w:eastAsia="宋体" w:hAnsi="Book Antiqua" w:cs="Arial"/>
          <w:color w:val="000000"/>
          <w:kern w:val="24"/>
          <w:lang w:eastAsia="zh-CN"/>
        </w:rPr>
        <w:t>: Not applicable</w:t>
      </w:r>
      <w:r w:rsidR="00FE6084">
        <w:rPr>
          <w:rFonts w:ascii="Book Antiqua" w:eastAsia="宋体" w:hAnsi="Book Antiqua" w:cs="Arial"/>
          <w:color w:val="000000"/>
          <w:kern w:val="24"/>
          <w:lang w:eastAsia="zh-CN"/>
        </w:rPr>
        <w:t>; GI</w:t>
      </w:r>
      <w:r w:rsidR="00FE6084">
        <w:rPr>
          <w:rFonts w:ascii="Book Antiqua" w:eastAsia="宋体" w:hAnsi="Book Antiqua" w:cs="Arial" w:hint="eastAsia"/>
          <w:color w:val="000000"/>
          <w:kern w:val="24"/>
          <w:lang w:eastAsia="zh-CN"/>
        </w:rPr>
        <w:t>:</w:t>
      </w:r>
      <w:r w:rsidR="00FE6084">
        <w:rPr>
          <w:rFonts w:ascii="Book Antiqua" w:eastAsia="宋体" w:hAnsi="Book Antiqua" w:cs="Arial"/>
          <w:color w:val="000000"/>
          <w:kern w:val="24"/>
          <w:lang w:eastAsia="zh-CN"/>
        </w:rPr>
        <w:t xml:space="preserve"> </w:t>
      </w:r>
      <w:r w:rsidR="005A6C81">
        <w:rPr>
          <w:rStyle w:val="highlight"/>
        </w:rPr>
        <w:t>G</w:t>
      </w:r>
      <w:r w:rsidR="00FE6084">
        <w:rPr>
          <w:rStyle w:val="highlight"/>
        </w:rPr>
        <w:t>astrointestinal</w:t>
      </w:r>
      <w:r w:rsidR="005A6C81">
        <w:rPr>
          <w:rStyle w:val="highlight"/>
          <w:rFonts w:ascii="宋体" w:eastAsia="宋体" w:hAnsi="宋体" w:cs="宋体" w:hint="eastAsia"/>
          <w:lang w:eastAsia="zh-CN"/>
        </w:rPr>
        <w:t>.</w:t>
      </w:r>
    </w:p>
    <w:p w:rsidR="008D6766" w:rsidRPr="00FE6084" w:rsidRDefault="006C6526" w:rsidP="00FE6084">
      <w:pPr>
        <w:adjustRightInd w:val="0"/>
        <w:snapToGrid w:val="0"/>
        <w:spacing w:after="0" w:line="360" w:lineRule="auto"/>
        <w:jc w:val="both"/>
        <w:rPr>
          <w:rFonts w:ascii="Book Antiqua" w:hAnsi="Book Antiqua"/>
          <w:b/>
          <w:bCs/>
          <w:sz w:val="24"/>
          <w:szCs w:val="24"/>
          <w:lang w:val="en-US"/>
        </w:rPr>
      </w:pPr>
      <w:r w:rsidRPr="00FE6084">
        <w:rPr>
          <w:rFonts w:ascii="Book Antiqua" w:hAnsi="Book Antiqua"/>
          <w:sz w:val="24"/>
          <w:szCs w:val="24"/>
          <w:lang w:val="en-US"/>
        </w:rPr>
        <w:br w:type="page"/>
      </w:r>
      <w:r w:rsidRPr="00FE6084">
        <w:rPr>
          <w:rFonts w:ascii="Book Antiqua" w:hAnsi="Book Antiqua"/>
          <w:b/>
          <w:bCs/>
          <w:sz w:val="24"/>
          <w:szCs w:val="24"/>
          <w:lang w:val="en-US"/>
        </w:rPr>
        <w:lastRenderedPageBreak/>
        <w:t xml:space="preserve">Table 4 Independent risk factors associated with </w:t>
      </w:r>
      <w:r w:rsidR="00DA7C1F" w:rsidRPr="00FE6084">
        <w:rPr>
          <w:rFonts w:ascii="Book Antiqua" w:hAnsi="Book Antiqua"/>
          <w:b/>
          <w:bCs/>
          <w:i/>
          <w:iCs/>
          <w:sz w:val="24"/>
          <w:szCs w:val="24"/>
          <w:lang w:val="en-US"/>
        </w:rPr>
        <w:t>Helicobacter pylori</w:t>
      </w:r>
      <w:r w:rsidRPr="00FE6084">
        <w:rPr>
          <w:rFonts w:ascii="Book Antiqua" w:hAnsi="Book Antiqua"/>
          <w:b/>
          <w:bCs/>
          <w:sz w:val="24"/>
          <w:szCs w:val="24"/>
          <w:lang w:val="en-US"/>
        </w:rPr>
        <w:t xml:space="preserve"> prevalence</w:t>
      </w:r>
    </w:p>
    <w:tbl>
      <w:tblPr>
        <w:tblW w:w="5000"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646"/>
        <w:gridCol w:w="2428"/>
        <w:gridCol w:w="2672"/>
        <w:gridCol w:w="2356"/>
      </w:tblGrid>
      <w:tr w:rsidR="006C6526" w:rsidRPr="006C6526" w:rsidTr="00FC2165">
        <w:trPr>
          <w:trHeight w:val="254"/>
        </w:trPr>
        <w:tc>
          <w:tcPr>
            <w:tcW w:w="904"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宋体"/>
                <w:sz w:val="24"/>
                <w:szCs w:val="24"/>
                <w:lang w:val="en-US" w:eastAsia="zh-CN"/>
              </w:rPr>
            </w:pPr>
          </w:p>
        </w:tc>
        <w:tc>
          <w:tcPr>
            <w:tcW w:w="1334"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b/>
                <w:bCs/>
                <w:color w:val="000000"/>
                <w:kern w:val="24"/>
                <w:sz w:val="24"/>
                <w:szCs w:val="24"/>
                <w:lang w:eastAsia="zh-CN"/>
              </w:rPr>
              <w:t>Age 18-35</w:t>
            </w:r>
          </w:p>
        </w:tc>
        <w:tc>
          <w:tcPr>
            <w:tcW w:w="1468"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b/>
                <w:bCs/>
                <w:color w:val="000000"/>
                <w:kern w:val="24"/>
                <w:sz w:val="24"/>
                <w:szCs w:val="24"/>
                <w:lang w:eastAsia="zh-CN"/>
              </w:rPr>
              <w:t>Age 35-50</w:t>
            </w:r>
          </w:p>
        </w:tc>
        <w:tc>
          <w:tcPr>
            <w:tcW w:w="1294"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b/>
                <w:bCs/>
                <w:color w:val="000000"/>
                <w:kern w:val="24"/>
                <w:sz w:val="24"/>
                <w:szCs w:val="24"/>
                <w:lang w:eastAsia="zh-CN"/>
              </w:rPr>
              <w:t>Age 50-65</w:t>
            </w:r>
          </w:p>
        </w:tc>
      </w:tr>
      <w:tr w:rsidR="006C6526" w:rsidRPr="006C6526" w:rsidTr="00FC2165">
        <w:trPr>
          <w:trHeight w:val="254"/>
        </w:trPr>
        <w:tc>
          <w:tcPr>
            <w:tcW w:w="904"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Male sex</w:t>
            </w:r>
          </w:p>
        </w:tc>
        <w:tc>
          <w:tcPr>
            <w:tcW w:w="1334"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468"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294"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i/>
                <w:iCs/>
                <w:color w:val="000000"/>
                <w:kern w:val="24"/>
                <w:sz w:val="24"/>
                <w:szCs w:val="24"/>
                <w:lang w:eastAsia="zh-CN"/>
              </w:rPr>
              <w:t>P</w:t>
            </w:r>
            <w:r w:rsidRPr="006C6526">
              <w:rPr>
                <w:rFonts w:ascii="Book Antiqua" w:eastAsia="宋体" w:hAnsi="Book Antiqua" w:cs="Arial"/>
                <w:color w:val="000000"/>
                <w:kern w:val="24"/>
                <w:sz w:val="24"/>
                <w:szCs w:val="24"/>
                <w:lang w:eastAsia="zh-CN"/>
              </w:rPr>
              <w:t xml:space="preserve"> = 0.0389; OR</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 xml:space="preserve"> 0.5847; CI</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[0.0753 1.0940]</w:t>
            </w:r>
          </w:p>
        </w:tc>
      </w:tr>
      <w:tr w:rsidR="006C6526" w:rsidRPr="006C6526" w:rsidTr="00FC2165">
        <w:trPr>
          <w:trHeight w:val="254"/>
        </w:trPr>
        <w:tc>
          <w:tcPr>
            <w:tcW w:w="90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Rural residence in childhood</w:t>
            </w:r>
          </w:p>
        </w:tc>
        <w:tc>
          <w:tcPr>
            <w:tcW w:w="13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468"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29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i/>
                <w:iCs/>
                <w:color w:val="000000"/>
                <w:kern w:val="24"/>
                <w:sz w:val="24"/>
                <w:szCs w:val="24"/>
                <w:lang w:eastAsia="zh-CN"/>
              </w:rPr>
              <w:t>P</w:t>
            </w:r>
            <w:r w:rsidRPr="006C6526">
              <w:rPr>
                <w:rFonts w:ascii="Book Antiqua" w:eastAsia="宋体" w:hAnsi="Book Antiqua" w:cs="Arial"/>
                <w:color w:val="000000"/>
                <w:kern w:val="24"/>
                <w:sz w:val="24"/>
                <w:szCs w:val="24"/>
                <w:lang w:eastAsia="zh-CN"/>
              </w:rPr>
              <w:t xml:space="preserve"> = 0.0246; OR</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 xml:space="preserve"> 1.8537; CI</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[1.3154 2.3920]</w:t>
            </w:r>
          </w:p>
        </w:tc>
      </w:tr>
      <w:tr w:rsidR="006C6526" w:rsidRPr="006C6526" w:rsidTr="00FC2165">
        <w:trPr>
          <w:trHeight w:val="254"/>
        </w:trPr>
        <w:tc>
          <w:tcPr>
            <w:tcW w:w="90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Animal rearing</w:t>
            </w:r>
          </w:p>
        </w:tc>
        <w:tc>
          <w:tcPr>
            <w:tcW w:w="13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468"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i/>
                <w:iCs/>
                <w:color w:val="000000"/>
                <w:kern w:val="24"/>
                <w:sz w:val="24"/>
                <w:szCs w:val="24"/>
                <w:lang w:eastAsia="zh-CN"/>
              </w:rPr>
              <w:t>P</w:t>
            </w:r>
            <w:r w:rsidRPr="006C6526">
              <w:rPr>
                <w:rFonts w:ascii="Book Antiqua" w:eastAsia="宋体" w:hAnsi="Book Antiqua" w:cs="Arial"/>
                <w:color w:val="000000"/>
                <w:kern w:val="24"/>
                <w:sz w:val="24"/>
                <w:szCs w:val="24"/>
                <w:lang w:eastAsia="zh-CN"/>
              </w:rPr>
              <w:t xml:space="preserve"> = 0.0036; OR</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 xml:space="preserve"> 2.0855; CI</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[1.5897 2.5812]</w:t>
            </w:r>
          </w:p>
        </w:tc>
        <w:tc>
          <w:tcPr>
            <w:tcW w:w="129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r>
      <w:tr w:rsidR="006C6526" w:rsidRPr="006C6526" w:rsidTr="00FC2165">
        <w:trPr>
          <w:trHeight w:val="254"/>
        </w:trPr>
        <w:tc>
          <w:tcPr>
            <w:tcW w:w="90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Epigastrial pain complaint</w:t>
            </w:r>
          </w:p>
        </w:tc>
        <w:tc>
          <w:tcPr>
            <w:tcW w:w="13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FE6084">
              <w:rPr>
                <w:rFonts w:ascii="Book Antiqua" w:eastAsia="宋体" w:hAnsi="Book Antiqua" w:cs="Arial"/>
                <w:i/>
                <w:iCs/>
                <w:color w:val="000000"/>
                <w:kern w:val="24"/>
                <w:sz w:val="24"/>
                <w:szCs w:val="24"/>
                <w:lang w:eastAsia="zh-CN"/>
              </w:rPr>
              <w:t>P</w:t>
            </w:r>
            <w:r w:rsidRPr="006C6526">
              <w:rPr>
                <w:rFonts w:ascii="Book Antiqua" w:eastAsia="宋体" w:hAnsi="Book Antiqua" w:cs="Arial"/>
                <w:color w:val="000000"/>
                <w:kern w:val="24"/>
                <w:sz w:val="24"/>
                <w:szCs w:val="24"/>
                <w:lang w:eastAsia="zh-CN"/>
              </w:rPr>
              <w:t xml:space="preserve"> = 0.0026; OR</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 xml:space="preserve"> 2.5514; CI</w:t>
            </w:r>
            <w:r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[1.9422 3.1606]</w:t>
            </w:r>
          </w:p>
        </w:tc>
        <w:tc>
          <w:tcPr>
            <w:tcW w:w="1468"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c>
          <w:tcPr>
            <w:tcW w:w="129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center"/>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Not significant</w:t>
            </w:r>
          </w:p>
        </w:tc>
      </w:tr>
    </w:tbl>
    <w:p w:rsidR="008D6766" w:rsidRPr="00FE6084" w:rsidRDefault="00FC2165" w:rsidP="00FE6084">
      <w:pPr>
        <w:pStyle w:val="a3"/>
        <w:adjustRightInd w:val="0"/>
        <w:snapToGrid w:val="0"/>
        <w:spacing w:line="360" w:lineRule="auto"/>
        <w:ind w:left="0"/>
        <w:contextualSpacing w:val="0"/>
        <w:jc w:val="both"/>
        <w:rPr>
          <w:rFonts w:ascii="Book Antiqua" w:hAnsi="Book Antiqua"/>
          <w:lang w:val="en-US"/>
        </w:rPr>
      </w:pPr>
      <w:r w:rsidRPr="00FE6084">
        <w:rPr>
          <w:rFonts w:ascii="Book Antiqua" w:eastAsia="宋体" w:hAnsi="Book Antiqua" w:cs="Arial"/>
          <w:color w:val="000000"/>
          <w:kern w:val="24"/>
          <w:lang w:eastAsia="zh-CN"/>
        </w:rPr>
        <w:t>OR: Odds ratio; CI: Confidence intervel.</w:t>
      </w:r>
    </w:p>
    <w:p w:rsidR="006C6526" w:rsidRPr="00FE6084" w:rsidRDefault="006C6526" w:rsidP="00FE6084">
      <w:pPr>
        <w:adjustRightInd w:val="0"/>
        <w:snapToGrid w:val="0"/>
        <w:spacing w:after="0" w:line="360" w:lineRule="auto"/>
        <w:jc w:val="both"/>
        <w:rPr>
          <w:rFonts w:ascii="Book Antiqua" w:hAnsi="Book Antiqua"/>
          <w:b/>
          <w:bCs/>
          <w:sz w:val="24"/>
          <w:szCs w:val="24"/>
          <w:shd w:val="clear" w:color="auto" w:fill="FFFFFF"/>
          <w:lang w:val="en-US"/>
        </w:rPr>
      </w:pPr>
      <w:r w:rsidRPr="00FE6084">
        <w:rPr>
          <w:rFonts w:ascii="Book Antiqua" w:hAnsi="Book Antiqua"/>
          <w:sz w:val="24"/>
          <w:szCs w:val="24"/>
          <w:lang w:val="en-US"/>
        </w:rPr>
        <w:br w:type="page"/>
      </w:r>
      <w:r w:rsidRPr="00FE6084">
        <w:rPr>
          <w:rFonts w:ascii="Book Antiqua" w:hAnsi="Book Antiqua"/>
          <w:b/>
          <w:bCs/>
          <w:sz w:val="24"/>
          <w:szCs w:val="24"/>
          <w:lang w:val="en-US"/>
        </w:rPr>
        <w:lastRenderedPageBreak/>
        <w:t xml:space="preserve">Table 5 </w:t>
      </w:r>
      <w:r w:rsidRPr="00FE6084">
        <w:rPr>
          <w:rFonts w:ascii="Book Antiqua" w:hAnsi="Book Antiqua"/>
          <w:b/>
          <w:bCs/>
          <w:sz w:val="24"/>
          <w:szCs w:val="24"/>
          <w:shd w:val="clear" w:color="auto" w:fill="FFFFFF"/>
          <w:lang w:val="en-US"/>
        </w:rPr>
        <w:t>The prevalence between 1990 and 2000 throughout the country</w:t>
      </w:r>
    </w:p>
    <w:tbl>
      <w:tblPr>
        <w:tblW w:w="5000"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233"/>
        <w:gridCol w:w="1700"/>
        <w:gridCol w:w="1677"/>
        <w:gridCol w:w="1746"/>
        <w:gridCol w:w="1746"/>
      </w:tblGrid>
      <w:tr w:rsidR="006C6526" w:rsidRPr="006C6526" w:rsidTr="00A51C86">
        <w:trPr>
          <w:trHeight w:val="369"/>
        </w:trPr>
        <w:tc>
          <w:tcPr>
            <w:tcW w:w="1227"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Date</w:t>
            </w:r>
          </w:p>
        </w:tc>
        <w:tc>
          <w:tcPr>
            <w:tcW w:w="934"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1993</w:t>
            </w:r>
          </w:p>
        </w:tc>
        <w:tc>
          <w:tcPr>
            <w:tcW w:w="921"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1999</w:t>
            </w:r>
          </w:p>
        </w:tc>
        <w:tc>
          <w:tcPr>
            <w:tcW w:w="959"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2000</w:t>
            </w:r>
          </w:p>
        </w:tc>
        <w:tc>
          <w:tcPr>
            <w:tcW w:w="959" w:type="pct"/>
            <w:tcBorders>
              <w:top w:val="single" w:sz="8" w:space="0" w:color="000000"/>
              <w:bottom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b/>
                <w:bCs/>
                <w:sz w:val="24"/>
                <w:szCs w:val="24"/>
                <w:lang w:val="en-US" w:eastAsia="zh-CN"/>
              </w:rPr>
            </w:pPr>
            <w:r w:rsidRPr="006C6526">
              <w:rPr>
                <w:rFonts w:ascii="Book Antiqua" w:eastAsia="宋体" w:hAnsi="Book Antiqua" w:cs="Arial"/>
                <w:b/>
                <w:bCs/>
                <w:color w:val="000000"/>
                <w:kern w:val="24"/>
                <w:sz w:val="24"/>
                <w:szCs w:val="24"/>
                <w:lang w:eastAsia="zh-CN"/>
              </w:rPr>
              <w:t>1998-2000</w:t>
            </w:r>
          </w:p>
        </w:tc>
      </w:tr>
      <w:tr w:rsidR="006C6526" w:rsidRPr="006C6526" w:rsidTr="00A51C86">
        <w:trPr>
          <w:trHeight w:val="511"/>
        </w:trPr>
        <w:tc>
          <w:tcPr>
            <w:tcW w:w="1227"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Region</w:t>
            </w:r>
          </w:p>
        </w:tc>
        <w:tc>
          <w:tcPr>
            <w:tcW w:w="934"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Tolna</w:t>
            </w:r>
          </w:p>
        </w:tc>
        <w:tc>
          <w:tcPr>
            <w:tcW w:w="921"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Vas</w:t>
            </w:r>
          </w:p>
        </w:tc>
        <w:tc>
          <w:tcPr>
            <w:tcW w:w="959"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Szabolcs-Szatmár-Bereg</w:t>
            </w:r>
          </w:p>
        </w:tc>
        <w:tc>
          <w:tcPr>
            <w:tcW w:w="959" w:type="pct"/>
            <w:tcBorders>
              <w:top w:val="single" w:sz="4" w:space="0" w:color="000000"/>
            </w:tcBorders>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Pest</w:t>
            </w:r>
          </w:p>
        </w:tc>
      </w:tr>
      <w:tr w:rsidR="006C6526" w:rsidRPr="006C6526" w:rsidTr="00A51C86">
        <w:trPr>
          <w:trHeight w:val="500"/>
        </w:trPr>
        <w:tc>
          <w:tcPr>
            <w:tcW w:w="122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Authors</w:t>
            </w:r>
          </w:p>
        </w:tc>
        <w:tc>
          <w:tcPr>
            <w:tcW w:w="9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 xml:space="preserve">Tamássy </w:t>
            </w:r>
            <w:r w:rsidRPr="006C6526">
              <w:rPr>
                <w:rFonts w:ascii="Book Antiqua" w:eastAsia="宋体" w:hAnsi="Book Antiqua" w:cs="Arial"/>
                <w:i/>
                <w:iCs/>
                <w:color w:val="000000"/>
                <w:kern w:val="24"/>
                <w:sz w:val="24"/>
                <w:szCs w:val="24"/>
                <w:lang w:eastAsia="zh-CN"/>
              </w:rPr>
              <w:t>et al</w:t>
            </w:r>
            <w:r w:rsidR="00192304" w:rsidRPr="00FE6084">
              <w:rPr>
                <w:rFonts w:ascii="Book Antiqua" w:eastAsia="宋体" w:hAnsi="Book Antiqua" w:cs="Arial"/>
                <w:color w:val="000000"/>
                <w:kern w:val="24"/>
                <w:sz w:val="24"/>
                <w:szCs w:val="24"/>
                <w:vertAlign w:val="superscript"/>
                <w:lang w:eastAsia="zh-CN"/>
              </w:rPr>
              <w:t>[15]</w:t>
            </w:r>
          </w:p>
        </w:tc>
        <w:tc>
          <w:tcPr>
            <w:tcW w:w="921"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Lakner</w:t>
            </w:r>
            <w:r w:rsidRPr="006C6526">
              <w:rPr>
                <w:rFonts w:ascii="Book Antiqua" w:eastAsia="宋体" w:hAnsi="Book Antiqua" w:cs="Arial"/>
                <w:i/>
                <w:iCs/>
                <w:color w:val="000000"/>
                <w:kern w:val="24"/>
                <w:sz w:val="24"/>
                <w:szCs w:val="24"/>
                <w:lang w:eastAsia="zh-CN"/>
              </w:rPr>
              <w:t xml:space="preserve"> et al</w:t>
            </w:r>
            <w:r w:rsidR="00192304" w:rsidRPr="00FE6084">
              <w:rPr>
                <w:rFonts w:ascii="Book Antiqua" w:eastAsia="宋体" w:hAnsi="Book Antiqua" w:cs="Arial"/>
                <w:color w:val="000000"/>
                <w:kern w:val="24"/>
                <w:sz w:val="24"/>
                <w:szCs w:val="24"/>
                <w:vertAlign w:val="superscript"/>
                <w:lang w:eastAsia="zh-CN"/>
              </w:rPr>
              <w:t>[6]</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 xml:space="preserve">Iszlai </w:t>
            </w:r>
            <w:r w:rsidRPr="006C6526">
              <w:rPr>
                <w:rFonts w:ascii="Book Antiqua" w:eastAsia="宋体" w:hAnsi="Book Antiqua" w:cs="Arial"/>
                <w:i/>
                <w:iCs/>
                <w:color w:val="000000"/>
                <w:kern w:val="24"/>
                <w:sz w:val="24"/>
                <w:szCs w:val="24"/>
                <w:lang w:eastAsia="zh-CN"/>
              </w:rPr>
              <w:t>et al</w:t>
            </w:r>
            <w:r w:rsidR="00192304" w:rsidRPr="00FE6084">
              <w:rPr>
                <w:rFonts w:ascii="Book Antiqua" w:eastAsia="宋体" w:hAnsi="Book Antiqua" w:cs="Arial"/>
                <w:color w:val="000000"/>
                <w:kern w:val="24"/>
                <w:sz w:val="24"/>
                <w:szCs w:val="24"/>
                <w:vertAlign w:val="superscript"/>
                <w:lang w:eastAsia="zh-CN"/>
              </w:rPr>
              <w:t>[16]</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 xml:space="preserve">Prónai </w:t>
            </w:r>
            <w:r w:rsidRPr="006C6526">
              <w:rPr>
                <w:rFonts w:ascii="Book Antiqua" w:eastAsia="宋体" w:hAnsi="Book Antiqua" w:cs="Arial"/>
                <w:i/>
                <w:iCs/>
                <w:color w:val="000000"/>
                <w:kern w:val="24"/>
                <w:sz w:val="24"/>
                <w:szCs w:val="24"/>
                <w:lang w:eastAsia="zh-CN"/>
              </w:rPr>
              <w:t>et al</w:t>
            </w:r>
            <w:r w:rsidR="00192304" w:rsidRPr="00FE6084">
              <w:rPr>
                <w:rFonts w:ascii="Book Antiqua" w:eastAsia="宋体" w:hAnsi="Book Antiqua" w:cs="Arial"/>
                <w:color w:val="000000"/>
                <w:kern w:val="24"/>
                <w:sz w:val="24"/>
                <w:szCs w:val="24"/>
                <w:vertAlign w:val="superscript"/>
                <w:lang w:eastAsia="zh-CN"/>
              </w:rPr>
              <w:t>[19]</w:t>
            </w:r>
          </w:p>
        </w:tc>
      </w:tr>
      <w:tr w:rsidR="006C6526" w:rsidRPr="006C6526" w:rsidTr="00A51C86">
        <w:trPr>
          <w:trHeight w:val="513"/>
        </w:trPr>
        <w:tc>
          <w:tcPr>
            <w:tcW w:w="122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Method</w:t>
            </w:r>
          </w:p>
        </w:tc>
        <w:tc>
          <w:tcPr>
            <w:tcW w:w="9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Serology</w:t>
            </w:r>
          </w:p>
        </w:tc>
        <w:tc>
          <w:tcPr>
            <w:tcW w:w="921"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Serology</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Serology</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13C-UBT</w:t>
            </w:r>
          </w:p>
        </w:tc>
      </w:tr>
      <w:tr w:rsidR="006C6526" w:rsidRPr="006C6526" w:rsidTr="00A51C86">
        <w:trPr>
          <w:trHeight w:val="464"/>
        </w:trPr>
        <w:tc>
          <w:tcPr>
            <w:tcW w:w="122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Population</w:t>
            </w:r>
          </w:p>
        </w:tc>
        <w:tc>
          <w:tcPr>
            <w:tcW w:w="9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Blood donors</w:t>
            </w:r>
          </w:p>
        </w:tc>
        <w:tc>
          <w:tcPr>
            <w:tcW w:w="921"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Blood donors</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Healthy volunteers</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Symptomatic patients</w:t>
            </w:r>
          </w:p>
        </w:tc>
      </w:tr>
      <w:tr w:rsidR="006C6526" w:rsidRPr="006C6526" w:rsidTr="00A51C86">
        <w:trPr>
          <w:trHeight w:val="520"/>
        </w:trPr>
        <w:tc>
          <w:tcPr>
            <w:tcW w:w="122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i/>
                <w:iCs/>
                <w:color w:val="000000"/>
                <w:kern w:val="24"/>
                <w:sz w:val="24"/>
                <w:szCs w:val="24"/>
                <w:lang w:eastAsia="zh-CN"/>
              </w:rPr>
              <w:t>n</w:t>
            </w:r>
            <w:r w:rsidR="000A0437"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w:t>
            </w:r>
          </w:p>
        </w:tc>
        <w:tc>
          <w:tcPr>
            <w:tcW w:w="9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400</w:t>
            </w:r>
          </w:p>
        </w:tc>
        <w:tc>
          <w:tcPr>
            <w:tcW w:w="921"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533</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756</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1027</w:t>
            </w:r>
          </w:p>
        </w:tc>
      </w:tr>
      <w:tr w:rsidR="006C6526" w:rsidRPr="006C6526" w:rsidTr="00A51C86">
        <w:trPr>
          <w:trHeight w:val="561"/>
        </w:trPr>
        <w:tc>
          <w:tcPr>
            <w:tcW w:w="1227"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 xml:space="preserve">Prevalence of </w:t>
            </w:r>
            <w:r w:rsidR="00FC7839" w:rsidRPr="00FC7839">
              <w:rPr>
                <w:rFonts w:ascii="Book Antiqua" w:eastAsia="宋体" w:hAnsi="Book Antiqua" w:cs="Arial"/>
                <w:i/>
                <w:color w:val="000000"/>
                <w:kern w:val="24"/>
                <w:sz w:val="24"/>
                <w:szCs w:val="24"/>
                <w:lang w:eastAsia="zh-CN"/>
              </w:rPr>
              <w:t>H. pylori</w:t>
            </w:r>
            <w:r w:rsidRPr="006C6526">
              <w:rPr>
                <w:rFonts w:ascii="Book Antiqua" w:eastAsia="宋体" w:hAnsi="Book Antiqua" w:cs="Arial"/>
                <w:color w:val="000000"/>
                <w:kern w:val="24"/>
                <w:sz w:val="24"/>
                <w:szCs w:val="24"/>
                <w:lang w:eastAsia="zh-CN"/>
              </w:rPr>
              <w:t xml:space="preserve"> (%)</w:t>
            </w:r>
          </w:p>
        </w:tc>
        <w:tc>
          <w:tcPr>
            <w:tcW w:w="934"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63,</w:t>
            </w:r>
            <w:r w:rsidR="00192304"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3</w:t>
            </w:r>
          </w:p>
        </w:tc>
        <w:tc>
          <w:tcPr>
            <w:tcW w:w="921"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62,</w:t>
            </w:r>
            <w:r w:rsidR="00192304"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3</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58,</w:t>
            </w:r>
            <w:r w:rsidR="00192304"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6</w:t>
            </w:r>
          </w:p>
        </w:tc>
        <w:tc>
          <w:tcPr>
            <w:tcW w:w="959" w:type="pct"/>
            <w:shd w:val="clear" w:color="auto" w:fill="auto"/>
            <w:tcMar>
              <w:top w:w="15" w:type="dxa"/>
              <w:left w:w="15" w:type="dxa"/>
              <w:bottom w:w="0" w:type="dxa"/>
              <w:right w:w="15" w:type="dxa"/>
            </w:tcMar>
            <w:vAlign w:val="center"/>
            <w:hideMark/>
          </w:tcPr>
          <w:p w:rsidR="006C6526" w:rsidRPr="006C6526" w:rsidRDefault="006C6526" w:rsidP="00FE6084">
            <w:pPr>
              <w:adjustRightInd w:val="0"/>
              <w:snapToGrid w:val="0"/>
              <w:spacing w:after="0" w:line="360" w:lineRule="auto"/>
              <w:jc w:val="both"/>
              <w:textAlignment w:val="bottom"/>
              <w:rPr>
                <w:rFonts w:ascii="Book Antiqua" w:eastAsia="宋体" w:hAnsi="Book Antiqua" w:cs="Arial"/>
                <w:sz w:val="24"/>
                <w:szCs w:val="24"/>
                <w:lang w:val="en-US" w:eastAsia="zh-CN"/>
              </w:rPr>
            </w:pPr>
            <w:r w:rsidRPr="006C6526">
              <w:rPr>
                <w:rFonts w:ascii="Book Antiqua" w:eastAsia="宋体" w:hAnsi="Book Antiqua" w:cs="Arial"/>
                <w:color w:val="000000"/>
                <w:kern w:val="24"/>
                <w:sz w:val="24"/>
                <w:szCs w:val="24"/>
                <w:lang w:eastAsia="zh-CN"/>
              </w:rPr>
              <w:t>47,</w:t>
            </w:r>
            <w:r w:rsidR="00192304" w:rsidRPr="00FE6084">
              <w:rPr>
                <w:rFonts w:ascii="Book Antiqua" w:eastAsia="宋体" w:hAnsi="Book Antiqua" w:cs="Arial"/>
                <w:color w:val="000000"/>
                <w:kern w:val="24"/>
                <w:sz w:val="24"/>
                <w:szCs w:val="24"/>
                <w:lang w:eastAsia="zh-CN"/>
              </w:rPr>
              <w:t xml:space="preserve"> </w:t>
            </w:r>
            <w:r w:rsidRPr="006C6526">
              <w:rPr>
                <w:rFonts w:ascii="Book Antiqua" w:eastAsia="宋体" w:hAnsi="Book Antiqua" w:cs="Arial"/>
                <w:color w:val="000000"/>
                <w:kern w:val="24"/>
                <w:sz w:val="24"/>
                <w:szCs w:val="24"/>
                <w:lang w:eastAsia="zh-CN"/>
              </w:rPr>
              <w:t>3</w:t>
            </w:r>
          </w:p>
        </w:tc>
      </w:tr>
    </w:tbl>
    <w:p w:rsidR="00E72362" w:rsidRPr="00E71CF6" w:rsidRDefault="00FC7839" w:rsidP="00E71CF6">
      <w:pPr>
        <w:pStyle w:val="a3"/>
        <w:adjustRightInd w:val="0"/>
        <w:snapToGrid w:val="0"/>
        <w:spacing w:line="360" w:lineRule="auto"/>
        <w:ind w:left="0"/>
        <w:contextualSpacing w:val="0"/>
        <w:jc w:val="both"/>
        <w:rPr>
          <w:rFonts w:ascii="Book Antiqua" w:hAnsi="Book Antiqua"/>
          <w:lang w:val="en-US"/>
        </w:rPr>
      </w:pPr>
      <w:r w:rsidRPr="00FC7839">
        <w:rPr>
          <w:rFonts w:ascii="Book Antiqua" w:eastAsia="宋体" w:hAnsi="Book Antiqua" w:cs="Arial"/>
          <w:i/>
          <w:color w:val="000000"/>
          <w:kern w:val="24"/>
          <w:lang w:eastAsia="zh-CN"/>
        </w:rPr>
        <w:t>H. pylori</w:t>
      </w:r>
      <w:r w:rsidR="00FC2165" w:rsidRPr="00FE6084">
        <w:rPr>
          <w:rFonts w:ascii="Book Antiqua" w:eastAsia="宋体" w:hAnsi="Book Antiqua" w:cs="Arial"/>
          <w:color w:val="000000"/>
          <w:kern w:val="24"/>
          <w:lang w:eastAsia="zh-CN"/>
        </w:rPr>
        <w:t>:</w:t>
      </w:r>
      <w:r w:rsidR="00FC2165" w:rsidRPr="00FE6084">
        <w:rPr>
          <w:rFonts w:ascii="Book Antiqua" w:hAnsi="Book Antiqua"/>
        </w:rPr>
        <w:t xml:space="preserve"> </w:t>
      </w:r>
      <w:r w:rsidR="00DA7C1F" w:rsidRPr="00FE6084">
        <w:rPr>
          <w:rFonts w:ascii="Book Antiqua" w:eastAsia="宋体" w:hAnsi="Book Antiqua" w:cs="Arial"/>
          <w:i/>
          <w:iCs/>
          <w:color w:val="000000"/>
          <w:kern w:val="24"/>
          <w:lang w:eastAsia="zh-CN"/>
        </w:rPr>
        <w:t>Helicobacter pylori</w:t>
      </w:r>
      <w:r w:rsidR="00FC2165" w:rsidRPr="00FE6084">
        <w:rPr>
          <w:rFonts w:ascii="Book Antiqua" w:eastAsia="宋体" w:hAnsi="Book Antiqua" w:cs="Arial"/>
          <w:color w:val="000000"/>
          <w:kern w:val="24"/>
          <w:lang w:eastAsia="zh-CN"/>
        </w:rPr>
        <w:t>.</w:t>
      </w:r>
    </w:p>
    <w:sectPr w:rsidR="00E72362" w:rsidRPr="00E71CF6" w:rsidSect="00FC377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EF" w:rsidRDefault="009D42EF" w:rsidP="00203A73">
      <w:pPr>
        <w:spacing w:after="0" w:line="240" w:lineRule="auto"/>
      </w:pPr>
      <w:r>
        <w:separator/>
      </w:r>
    </w:p>
  </w:endnote>
  <w:endnote w:type="continuationSeparator" w:id="0">
    <w:p w:rsidR="009D42EF" w:rsidRDefault="009D42EF" w:rsidP="00203A73">
      <w:pPr>
        <w:spacing w:after="0" w:line="240" w:lineRule="auto"/>
      </w:pPr>
      <w:r>
        <w:continuationSeparator/>
      </w:r>
    </w:p>
  </w:endnote>
  <w:endnote w:type="continuationNotice" w:id="1">
    <w:p w:rsidR="009D42EF" w:rsidRDefault="009D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84" w:rsidRDefault="00FE6084">
    <w:pPr>
      <w:pStyle w:val="ae"/>
      <w:jc w:val="center"/>
    </w:pPr>
  </w:p>
  <w:p w:rsidR="00FE6084" w:rsidRDefault="00FE60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EF" w:rsidRDefault="009D42EF" w:rsidP="00203A73">
      <w:pPr>
        <w:spacing w:after="0" w:line="240" w:lineRule="auto"/>
      </w:pPr>
      <w:r>
        <w:separator/>
      </w:r>
    </w:p>
  </w:footnote>
  <w:footnote w:type="continuationSeparator" w:id="0">
    <w:p w:rsidR="009D42EF" w:rsidRDefault="009D42EF" w:rsidP="00203A73">
      <w:pPr>
        <w:spacing w:after="0" w:line="240" w:lineRule="auto"/>
      </w:pPr>
      <w:r>
        <w:continuationSeparator/>
      </w:r>
    </w:p>
  </w:footnote>
  <w:footnote w:type="continuationNotice" w:id="1">
    <w:p w:rsidR="009D42EF" w:rsidRDefault="009D42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C46"/>
    <w:multiLevelType w:val="hybridMultilevel"/>
    <w:tmpl w:val="45240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17445A"/>
    <w:multiLevelType w:val="hybridMultilevel"/>
    <w:tmpl w:val="F73ECF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90454C4"/>
    <w:multiLevelType w:val="hybridMultilevel"/>
    <w:tmpl w:val="300A4A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A744D61"/>
    <w:multiLevelType w:val="hybridMultilevel"/>
    <w:tmpl w:val="82C66882"/>
    <w:lvl w:ilvl="0" w:tplc="CD4EBBEA">
      <w:start w:val="1"/>
      <w:numFmt w:val="bullet"/>
      <w:lvlText w:val=""/>
      <w:lvlJc w:val="left"/>
      <w:pPr>
        <w:tabs>
          <w:tab w:val="num" w:pos="720"/>
        </w:tabs>
        <w:ind w:left="720" w:hanging="360"/>
      </w:pPr>
      <w:rPr>
        <w:rFonts w:ascii="Wingdings" w:hAnsi="Wingdings" w:hint="default"/>
      </w:rPr>
    </w:lvl>
    <w:lvl w:ilvl="1" w:tplc="B748CFAC" w:tentative="1">
      <w:start w:val="1"/>
      <w:numFmt w:val="bullet"/>
      <w:lvlText w:val=""/>
      <w:lvlJc w:val="left"/>
      <w:pPr>
        <w:tabs>
          <w:tab w:val="num" w:pos="1440"/>
        </w:tabs>
        <w:ind w:left="1440" w:hanging="360"/>
      </w:pPr>
      <w:rPr>
        <w:rFonts w:ascii="Wingdings" w:hAnsi="Wingdings" w:hint="default"/>
      </w:rPr>
    </w:lvl>
    <w:lvl w:ilvl="2" w:tplc="B47A2EAC" w:tentative="1">
      <w:start w:val="1"/>
      <w:numFmt w:val="bullet"/>
      <w:lvlText w:val=""/>
      <w:lvlJc w:val="left"/>
      <w:pPr>
        <w:tabs>
          <w:tab w:val="num" w:pos="2160"/>
        </w:tabs>
        <w:ind w:left="2160" w:hanging="360"/>
      </w:pPr>
      <w:rPr>
        <w:rFonts w:ascii="Wingdings" w:hAnsi="Wingdings" w:hint="default"/>
      </w:rPr>
    </w:lvl>
    <w:lvl w:ilvl="3" w:tplc="0660EE60" w:tentative="1">
      <w:start w:val="1"/>
      <w:numFmt w:val="bullet"/>
      <w:lvlText w:val=""/>
      <w:lvlJc w:val="left"/>
      <w:pPr>
        <w:tabs>
          <w:tab w:val="num" w:pos="2880"/>
        </w:tabs>
        <w:ind w:left="2880" w:hanging="360"/>
      </w:pPr>
      <w:rPr>
        <w:rFonts w:ascii="Wingdings" w:hAnsi="Wingdings" w:hint="default"/>
      </w:rPr>
    </w:lvl>
    <w:lvl w:ilvl="4" w:tplc="8604C98C" w:tentative="1">
      <w:start w:val="1"/>
      <w:numFmt w:val="bullet"/>
      <w:lvlText w:val=""/>
      <w:lvlJc w:val="left"/>
      <w:pPr>
        <w:tabs>
          <w:tab w:val="num" w:pos="3600"/>
        </w:tabs>
        <w:ind w:left="3600" w:hanging="360"/>
      </w:pPr>
      <w:rPr>
        <w:rFonts w:ascii="Wingdings" w:hAnsi="Wingdings" w:hint="default"/>
      </w:rPr>
    </w:lvl>
    <w:lvl w:ilvl="5" w:tplc="794E1BFE" w:tentative="1">
      <w:start w:val="1"/>
      <w:numFmt w:val="bullet"/>
      <w:lvlText w:val=""/>
      <w:lvlJc w:val="left"/>
      <w:pPr>
        <w:tabs>
          <w:tab w:val="num" w:pos="4320"/>
        </w:tabs>
        <w:ind w:left="4320" w:hanging="360"/>
      </w:pPr>
      <w:rPr>
        <w:rFonts w:ascii="Wingdings" w:hAnsi="Wingdings" w:hint="default"/>
      </w:rPr>
    </w:lvl>
    <w:lvl w:ilvl="6" w:tplc="252EBA74" w:tentative="1">
      <w:start w:val="1"/>
      <w:numFmt w:val="bullet"/>
      <w:lvlText w:val=""/>
      <w:lvlJc w:val="left"/>
      <w:pPr>
        <w:tabs>
          <w:tab w:val="num" w:pos="5040"/>
        </w:tabs>
        <w:ind w:left="5040" w:hanging="360"/>
      </w:pPr>
      <w:rPr>
        <w:rFonts w:ascii="Wingdings" w:hAnsi="Wingdings" w:hint="default"/>
      </w:rPr>
    </w:lvl>
    <w:lvl w:ilvl="7" w:tplc="63C87C2A" w:tentative="1">
      <w:start w:val="1"/>
      <w:numFmt w:val="bullet"/>
      <w:lvlText w:val=""/>
      <w:lvlJc w:val="left"/>
      <w:pPr>
        <w:tabs>
          <w:tab w:val="num" w:pos="5760"/>
        </w:tabs>
        <w:ind w:left="5760" w:hanging="360"/>
      </w:pPr>
      <w:rPr>
        <w:rFonts w:ascii="Wingdings" w:hAnsi="Wingdings" w:hint="default"/>
      </w:rPr>
    </w:lvl>
    <w:lvl w:ilvl="8" w:tplc="F40AD03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BE"/>
    <w:rsid w:val="000074F5"/>
    <w:rsid w:val="000102F0"/>
    <w:rsid w:val="000113B4"/>
    <w:rsid w:val="0001464F"/>
    <w:rsid w:val="000158F7"/>
    <w:rsid w:val="00015C2D"/>
    <w:rsid w:val="00021DFA"/>
    <w:rsid w:val="000312D0"/>
    <w:rsid w:val="00034D4A"/>
    <w:rsid w:val="0003667D"/>
    <w:rsid w:val="00041F61"/>
    <w:rsid w:val="00047AE4"/>
    <w:rsid w:val="000620C5"/>
    <w:rsid w:val="000629B6"/>
    <w:rsid w:val="00062F7A"/>
    <w:rsid w:val="00071114"/>
    <w:rsid w:val="00082179"/>
    <w:rsid w:val="00084271"/>
    <w:rsid w:val="00091A12"/>
    <w:rsid w:val="00091BF8"/>
    <w:rsid w:val="0009786D"/>
    <w:rsid w:val="000A0437"/>
    <w:rsid w:val="000A5C93"/>
    <w:rsid w:val="000B2B15"/>
    <w:rsid w:val="000B4714"/>
    <w:rsid w:val="000B47C8"/>
    <w:rsid w:val="000B78BD"/>
    <w:rsid w:val="000C46D0"/>
    <w:rsid w:val="000C5106"/>
    <w:rsid w:val="000D3076"/>
    <w:rsid w:val="000D3569"/>
    <w:rsid w:val="000D54B8"/>
    <w:rsid w:val="000E7252"/>
    <w:rsid w:val="000E7F2F"/>
    <w:rsid w:val="000F0109"/>
    <w:rsid w:val="000F0BA6"/>
    <w:rsid w:val="000F4A52"/>
    <w:rsid w:val="000F6CDD"/>
    <w:rsid w:val="000F7B0D"/>
    <w:rsid w:val="000F7E08"/>
    <w:rsid w:val="00103775"/>
    <w:rsid w:val="00104002"/>
    <w:rsid w:val="00110778"/>
    <w:rsid w:val="00111C52"/>
    <w:rsid w:val="00111E0D"/>
    <w:rsid w:val="00114815"/>
    <w:rsid w:val="00120267"/>
    <w:rsid w:val="001240E8"/>
    <w:rsid w:val="001322C9"/>
    <w:rsid w:val="00133FF0"/>
    <w:rsid w:val="00137A64"/>
    <w:rsid w:val="0014055A"/>
    <w:rsid w:val="0014094D"/>
    <w:rsid w:val="001445F4"/>
    <w:rsid w:val="0014526F"/>
    <w:rsid w:val="00146437"/>
    <w:rsid w:val="00151EE1"/>
    <w:rsid w:val="001529E9"/>
    <w:rsid w:val="001550D1"/>
    <w:rsid w:val="00167934"/>
    <w:rsid w:val="00176F55"/>
    <w:rsid w:val="001801DB"/>
    <w:rsid w:val="00181FA9"/>
    <w:rsid w:val="00192304"/>
    <w:rsid w:val="001A0573"/>
    <w:rsid w:val="001A0C84"/>
    <w:rsid w:val="001B0909"/>
    <w:rsid w:val="001B0C04"/>
    <w:rsid w:val="001C44BC"/>
    <w:rsid w:val="001C5CF9"/>
    <w:rsid w:val="001D425B"/>
    <w:rsid w:val="001D4DFF"/>
    <w:rsid w:val="001E01E5"/>
    <w:rsid w:val="001E4F53"/>
    <w:rsid w:val="00200CDA"/>
    <w:rsid w:val="00203A73"/>
    <w:rsid w:val="00207B6D"/>
    <w:rsid w:val="00214BB1"/>
    <w:rsid w:val="00214F66"/>
    <w:rsid w:val="00222FD9"/>
    <w:rsid w:val="00225B05"/>
    <w:rsid w:val="00227886"/>
    <w:rsid w:val="00230514"/>
    <w:rsid w:val="002338AD"/>
    <w:rsid w:val="00233EDE"/>
    <w:rsid w:val="00243165"/>
    <w:rsid w:val="00245AE2"/>
    <w:rsid w:val="0025447E"/>
    <w:rsid w:val="00256D78"/>
    <w:rsid w:val="002641AB"/>
    <w:rsid w:val="00266CF9"/>
    <w:rsid w:val="002714D0"/>
    <w:rsid w:val="00271CC7"/>
    <w:rsid w:val="0027223B"/>
    <w:rsid w:val="00272278"/>
    <w:rsid w:val="00280EE5"/>
    <w:rsid w:val="0029297E"/>
    <w:rsid w:val="00292995"/>
    <w:rsid w:val="002A1BBC"/>
    <w:rsid w:val="002A5821"/>
    <w:rsid w:val="002B2C94"/>
    <w:rsid w:val="002B3848"/>
    <w:rsid w:val="002B47C6"/>
    <w:rsid w:val="002C3FFB"/>
    <w:rsid w:val="002C4AFF"/>
    <w:rsid w:val="002C4B90"/>
    <w:rsid w:val="002C595A"/>
    <w:rsid w:val="002C6290"/>
    <w:rsid w:val="002D1D11"/>
    <w:rsid w:val="002E1226"/>
    <w:rsid w:val="002E28E5"/>
    <w:rsid w:val="002E43EC"/>
    <w:rsid w:val="002F1574"/>
    <w:rsid w:val="002F2C58"/>
    <w:rsid w:val="002F2D56"/>
    <w:rsid w:val="002F6C55"/>
    <w:rsid w:val="003127A1"/>
    <w:rsid w:val="00313757"/>
    <w:rsid w:val="00314A40"/>
    <w:rsid w:val="00321CFB"/>
    <w:rsid w:val="00321F55"/>
    <w:rsid w:val="0032692D"/>
    <w:rsid w:val="00327D70"/>
    <w:rsid w:val="00331D00"/>
    <w:rsid w:val="00337764"/>
    <w:rsid w:val="00350664"/>
    <w:rsid w:val="00351EF3"/>
    <w:rsid w:val="00355C07"/>
    <w:rsid w:val="00356070"/>
    <w:rsid w:val="00357683"/>
    <w:rsid w:val="00367DE6"/>
    <w:rsid w:val="00371ED5"/>
    <w:rsid w:val="00372343"/>
    <w:rsid w:val="00376296"/>
    <w:rsid w:val="00377B91"/>
    <w:rsid w:val="003824BA"/>
    <w:rsid w:val="00383FA3"/>
    <w:rsid w:val="003855F0"/>
    <w:rsid w:val="00390635"/>
    <w:rsid w:val="003932E1"/>
    <w:rsid w:val="00395647"/>
    <w:rsid w:val="003A19A1"/>
    <w:rsid w:val="003C0812"/>
    <w:rsid w:val="003C3CD8"/>
    <w:rsid w:val="003D173B"/>
    <w:rsid w:val="003D18E5"/>
    <w:rsid w:val="003D6BFC"/>
    <w:rsid w:val="003F41D1"/>
    <w:rsid w:val="00400CBA"/>
    <w:rsid w:val="00410D86"/>
    <w:rsid w:val="0041109F"/>
    <w:rsid w:val="00413F62"/>
    <w:rsid w:val="004147BD"/>
    <w:rsid w:val="00416B93"/>
    <w:rsid w:val="0041774E"/>
    <w:rsid w:val="004177B7"/>
    <w:rsid w:val="00423F90"/>
    <w:rsid w:val="00431C61"/>
    <w:rsid w:val="0043495C"/>
    <w:rsid w:val="00443016"/>
    <w:rsid w:val="00444A72"/>
    <w:rsid w:val="004478BA"/>
    <w:rsid w:val="0046264F"/>
    <w:rsid w:val="00464E3B"/>
    <w:rsid w:val="00467F77"/>
    <w:rsid w:val="00472529"/>
    <w:rsid w:val="004A4979"/>
    <w:rsid w:val="004A7AAA"/>
    <w:rsid w:val="004B3A76"/>
    <w:rsid w:val="004B4171"/>
    <w:rsid w:val="004C753A"/>
    <w:rsid w:val="004D1ECA"/>
    <w:rsid w:val="004D5A85"/>
    <w:rsid w:val="004D69F3"/>
    <w:rsid w:val="004E5CDF"/>
    <w:rsid w:val="004E6CB2"/>
    <w:rsid w:val="004F5F0C"/>
    <w:rsid w:val="0050027F"/>
    <w:rsid w:val="00501B11"/>
    <w:rsid w:val="00505A8D"/>
    <w:rsid w:val="00512D06"/>
    <w:rsid w:val="005133D3"/>
    <w:rsid w:val="005142A1"/>
    <w:rsid w:val="00521DF4"/>
    <w:rsid w:val="00522765"/>
    <w:rsid w:val="00527A86"/>
    <w:rsid w:val="005318FE"/>
    <w:rsid w:val="00535A1C"/>
    <w:rsid w:val="005404DE"/>
    <w:rsid w:val="0054501D"/>
    <w:rsid w:val="00554A67"/>
    <w:rsid w:val="00556A5F"/>
    <w:rsid w:val="005617E6"/>
    <w:rsid w:val="0056522D"/>
    <w:rsid w:val="00580834"/>
    <w:rsid w:val="005873D3"/>
    <w:rsid w:val="00590838"/>
    <w:rsid w:val="005A117B"/>
    <w:rsid w:val="005A16DC"/>
    <w:rsid w:val="005A3C6F"/>
    <w:rsid w:val="005A6C81"/>
    <w:rsid w:val="005B3B32"/>
    <w:rsid w:val="005B3FA8"/>
    <w:rsid w:val="005B5073"/>
    <w:rsid w:val="005C05DA"/>
    <w:rsid w:val="005C3B4C"/>
    <w:rsid w:val="005C3E15"/>
    <w:rsid w:val="005D0EBB"/>
    <w:rsid w:val="005E5CBA"/>
    <w:rsid w:val="005F1DCC"/>
    <w:rsid w:val="005F275C"/>
    <w:rsid w:val="0060283A"/>
    <w:rsid w:val="006042B0"/>
    <w:rsid w:val="0060530B"/>
    <w:rsid w:val="00605AF9"/>
    <w:rsid w:val="006125DB"/>
    <w:rsid w:val="00613E02"/>
    <w:rsid w:val="00616FD4"/>
    <w:rsid w:val="00625007"/>
    <w:rsid w:val="00626088"/>
    <w:rsid w:val="00640A0C"/>
    <w:rsid w:val="006506EC"/>
    <w:rsid w:val="006531E1"/>
    <w:rsid w:val="0065452D"/>
    <w:rsid w:val="0065488D"/>
    <w:rsid w:val="006563DC"/>
    <w:rsid w:val="006564D5"/>
    <w:rsid w:val="00661DE6"/>
    <w:rsid w:val="0066345D"/>
    <w:rsid w:val="0066392D"/>
    <w:rsid w:val="0066686B"/>
    <w:rsid w:val="00677104"/>
    <w:rsid w:val="00684805"/>
    <w:rsid w:val="00691D58"/>
    <w:rsid w:val="00692890"/>
    <w:rsid w:val="006940A6"/>
    <w:rsid w:val="00696E01"/>
    <w:rsid w:val="00697ED2"/>
    <w:rsid w:val="006A17B9"/>
    <w:rsid w:val="006A3FA7"/>
    <w:rsid w:val="006A611E"/>
    <w:rsid w:val="006C6526"/>
    <w:rsid w:val="006D0F42"/>
    <w:rsid w:val="006D3CC9"/>
    <w:rsid w:val="006D7010"/>
    <w:rsid w:val="006D782A"/>
    <w:rsid w:val="006E1828"/>
    <w:rsid w:val="006E3EB1"/>
    <w:rsid w:val="006F0AC0"/>
    <w:rsid w:val="006F1CD4"/>
    <w:rsid w:val="006F1F02"/>
    <w:rsid w:val="006F2EFF"/>
    <w:rsid w:val="006F52E8"/>
    <w:rsid w:val="007035C3"/>
    <w:rsid w:val="0070717E"/>
    <w:rsid w:val="00715356"/>
    <w:rsid w:val="007204DA"/>
    <w:rsid w:val="00721511"/>
    <w:rsid w:val="0072601D"/>
    <w:rsid w:val="00731B07"/>
    <w:rsid w:val="007329BD"/>
    <w:rsid w:val="00735BF7"/>
    <w:rsid w:val="00736370"/>
    <w:rsid w:val="00737FC6"/>
    <w:rsid w:val="00740BD2"/>
    <w:rsid w:val="007423C9"/>
    <w:rsid w:val="007470D8"/>
    <w:rsid w:val="00747766"/>
    <w:rsid w:val="00763981"/>
    <w:rsid w:val="007643F4"/>
    <w:rsid w:val="00765B00"/>
    <w:rsid w:val="007679DE"/>
    <w:rsid w:val="00770CCB"/>
    <w:rsid w:val="00772F33"/>
    <w:rsid w:val="00775E5C"/>
    <w:rsid w:val="0077798A"/>
    <w:rsid w:val="00783EC1"/>
    <w:rsid w:val="00792C03"/>
    <w:rsid w:val="007B110E"/>
    <w:rsid w:val="007C1D60"/>
    <w:rsid w:val="007C1D6A"/>
    <w:rsid w:val="007C5607"/>
    <w:rsid w:val="007C789F"/>
    <w:rsid w:val="007D1B20"/>
    <w:rsid w:val="007D75CD"/>
    <w:rsid w:val="007E0D3C"/>
    <w:rsid w:val="007E1864"/>
    <w:rsid w:val="007E1A59"/>
    <w:rsid w:val="007E24D8"/>
    <w:rsid w:val="007E26A8"/>
    <w:rsid w:val="007E2FD7"/>
    <w:rsid w:val="007E4F8C"/>
    <w:rsid w:val="007E65D4"/>
    <w:rsid w:val="007F1D8A"/>
    <w:rsid w:val="007F75B8"/>
    <w:rsid w:val="008322C6"/>
    <w:rsid w:val="008353D8"/>
    <w:rsid w:val="00860EE5"/>
    <w:rsid w:val="00871252"/>
    <w:rsid w:val="008713F8"/>
    <w:rsid w:val="00872A0F"/>
    <w:rsid w:val="00875E78"/>
    <w:rsid w:val="00885906"/>
    <w:rsid w:val="00885927"/>
    <w:rsid w:val="00890125"/>
    <w:rsid w:val="008920F6"/>
    <w:rsid w:val="008A0348"/>
    <w:rsid w:val="008A6EAF"/>
    <w:rsid w:val="008C4629"/>
    <w:rsid w:val="008D6766"/>
    <w:rsid w:val="008E3C30"/>
    <w:rsid w:val="008E42BB"/>
    <w:rsid w:val="008E580E"/>
    <w:rsid w:val="008E7DA1"/>
    <w:rsid w:val="00907F20"/>
    <w:rsid w:val="00910EBB"/>
    <w:rsid w:val="009172E1"/>
    <w:rsid w:val="00936AF9"/>
    <w:rsid w:val="00940FAE"/>
    <w:rsid w:val="00944B70"/>
    <w:rsid w:val="00960804"/>
    <w:rsid w:val="00963284"/>
    <w:rsid w:val="0096337C"/>
    <w:rsid w:val="0096385C"/>
    <w:rsid w:val="00965A5D"/>
    <w:rsid w:val="009715FE"/>
    <w:rsid w:val="0097194F"/>
    <w:rsid w:val="0097350B"/>
    <w:rsid w:val="00981495"/>
    <w:rsid w:val="00982ADD"/>
    <w:rsid w:val="00983BE5"/>
    <w:rsid w:val="0099122E"/>
    <w:rsid w:val="00994498"/>
    <w:rsid w:val="00996F38"/>
    <w:rsid w:val="009A5ABB"/>
    <w:rsid w:val="009B08C1"/>
    <w:rsid w:val="009B17EB"/>
    <w:rsid w:val="009C026E"/>
    <w:rsid w:val="009C027A"/>
    <w:rsid w:val="009D17D6"/>
    <w:rsid w:val="009D3E74"/>
    <w:rsid w:val="009D42EF"/>
    <w:rsid w:val="009D710E"/>
    <w:rsid w:val="009D7804"/>
    <w:rsid w:val="009E2F21"/>
    <w:rsid w:val="009E3067"/>
    <w:rsid w:val="009F7D8D"/>
    <w:rsid w:val="00A00475"/>
    <w:rsid w:val="00A01F4E"/>
    <w:rsid w:val="00A06827"/>
    <w:rsid w:val="00A27804"/>
    <w:rsid w:val="00A313F7"/>
    <w:rsid w:val="00A3438A"/>
    <w:rsid w:val="00A34C22"/>
    <w:rsid w:val="00A35A10"/>
    <w:rsid w:val="00A36794"/>
    <w:rsid w:val="00A37784"/>
    <w:rsid w:val="00A42C43"/>
    <w:rsid w:val="00A447E8"/>
    <w:rsid w:val="00A46FAB"/>
    <w:rsid w:val="00A47BA3"/>
    <w:rsid w:val="00A51C86"/>
    <w:rsid w:val="00A556C3"/>
    <w:rsid w:val="00A621D4"/>
    <w:rsid w:val="00A6357E"/>
    <w:rsid w:val="00A63B1E"/>
    <w:rsid w:val="00A70573"/>
    <w:rsid w:val="00A755DE"/>
    <w:rsid w:val="00A7648D"/>
    <w:rsid w:val="00A76BBE"/>
    <w:rsid w:val="00A812F1"/>
    <w:rsid w:val="00A826E2"/>
    <w:rsid w:val="00A84D20"/>
    <w:rsid w:val="00A93161"/>
    <w:rsid w:val="00A95006"/>
    <w:rsid w:val="00AA650F"/>
    <w:rsid w:val="00AA66CA"/>
    <w:rsid w:val="00AB617A"/>
    <w:rsid w:val="00AC03BF"/>
    <w:rsid w:val="00AC1B6D"/>
    <w:rsid w:val="00AC214E"/>
    <w:rsid w:val="00AC7F3D"/>
    <w:rsid w:val="00AD04A8"/>
    <w:rsid w:val="00AD0C57"/>
    <w:rsid w:val="00AF115D"/>
    <w:rsid w:val="00AF1AD0"/>
    <w:rsid w:val="00AF3162"/>
    <w:rsid w:val="00AF674B"/>
    <w:rsid w:val="00B01819"/>
    <w:rsid w:val="00B05E2A"/>
    <w:rsid w:val="00B061CB"/>
    <w:rsid w:val="00B07778"/>
    <w:rsid w:val="00B127CA"/>
    <w:rsid w:val="00B2455C"/>
    <w:rsid w:val="00B3197A"/>
    <w:rsid w:val="00B36379"/>
    <w:rsid w:val="00B525A5"/>
    <w:rsid w:val="00B604EA"/>
    <w:rsid w:val="00B67F8E"/>
    <w:rsid w:val="00B70D37"/>
    <w:rsid w:val="00B75594"/>
    <w:rsid w:val="00B7779C"/>
    <w:rsid w:val="00B85C56"/>
    <w:rsid w:val="00B9211C"/>
    <w:rsid w:val="00B97198"/>
    <w:rsid w:val="00BA264E"/>
    <w:rsid w:val="00BB1E24"/>
    <w:rsid w:val="00BC2CEE"/>
    <w:rsid w:val="00BC40F4"/>
    <w:rsid w:val="00BC442A"/>
    <w:rsid w:val="00BC48BE"/>
    <w:rsid w:val="00BC69E3"/>
    <w:rsid w:val="00BD38CD"/>
    <w:rsid w:val="00BE207F"/>
    <w:rsid w:val="00BE2795"/>
    <w:rsid w:val="00BE2E35"/>
    <w:rsid w:val="00BE52EB"/>
    <w:rsid w:val="00BF7561"/>
    <w:rsid w:val="00C04B4B"/>
    <w:rsid w:val="00C07A6D"/>
    <w:rsid w:val="00C1192C"/>
    <w:rsid w:val="00C22086"/>
    <w:rsid w:val="00C2314F"/>
    <w:rsid w:val="00C2799B"/>
    <w:rsid w:val="00C32D9F"/>
    <w:rsid w:val="00C3668F"/>
    <w:rsid w:val="00C4124B"/>
    <w:rsid w:val="00C466B7"/>
    <w:rsid w:val="00C472BF"/>
    <w:rsid w:val="00C50116"/>
    <w:rsid w:val="00C5044D"/>
    <w:rsid w:val="00C52AE3"/>
    <w:rsid w:val="00C54200"/>
    <w:rsid w:val="00C56BB9"/>
    <w:rsid w:val="00C60DE1"/>
    <w:rsid w:val="00C61B9F"/>
    <w:rsid w:val="00C64F17"/>
    <w:rsid w:val="00C6670F"/>
    <w:rsid w:val="00C667E2"/>
    <w:rsid w:val="00C671A9"/>
    <w:rsid w:val="00C757E6"/>
    <w:rsid w:val="00C920C4"/>
    <w:rsid w:val="00C94E5A"/>
    <w:rsid w:val="00CA429E"/>
    <w:rsid w:val="00CA5A55"/>
    <w:rsid w:val="00CB135D"/>
    <w:rsid w:val="00CC1E94"/>
    <w:rsid w:val="00CC7372"/>
    <w:rsid w:val="00CE17B9"/>
    <w:rsid w:val="00CE2583"/>
    <w:rsid w:val="00CE64E2"/>
    <w:rsid w:val="00CF245A"/>
    <w:rsid w:val="00CF4434"/>
    <w:rsid w:val="00D0091A"/>
    <w:rsid w:val="00D06091"/>
    <w:rsid w:val="00D12281"/>
    <w:rsid w:val="00D15E48"/>
    <w:rsid w:val="00D15EEB"/>
    <w:rsid w:val="00D23DAC"/>
    <w:rsid w:val="00D373F4"/>
    <w:rsid w:val="00D41137"/>
    <w:rsid w:val="00D41D27"/>
    <w:rsid w:val="00D629A3"/>
    <w:rsid w:val="00D63414"/>
    <w:rsid w:val="00D638EB"/>
    <w:rsid w:val="00D66202"/>
    <w:rsid w:val="00D74DDF"/>
    <w:rsid w:val="00D7658C"/>
    <w:rsid w:val="00D83EDF"/>
    <w:rsid w:val="00D8642A"/>
    <w:rsid w:val="00D949FD"/>
    <w:rsid w:val="00D96D39"/>
    <w:rsid w:val="00DA045F"/>
    <w:rsid w:val="00DA4C46"/>
    <w:rsid w:val="00DA5740"/>
    <w:rsid w:val="00DA7C1F"/>
    <w:rsid w:val="00DB0772"/>
    <w:rsid w:val="00DB0CF3"/>
    <w:rsid w:val="00DB1921"/>
    <w:rsid w:val="00DB22DA"/>
    <w:rsid w:val="00DB297E"/>
    <w:rsid w:val="00DB3C8D"/>
    <w:rsid w:val="00DB5226"/>
    <w:rsid w:val="00DB78F0"/>
    <w:rsid w:val="00DD39F9"/>
    <w:rsid w:val="00DD400F"/>
    <w:rsid w:val="00DD6F82"/>
    <w:rsid w:val="00DE5A2A"/>
    <w:rsid w:val="00DF100E"/>
    <w:rsid w:val="00DF2F38"/>
    <w:rsid w:val="00DF65AA"/>
    <w:rsid w:val="00DF7585"/>
    <w:rsid w:val="00E03BE8"/>
    <w:rsid w:val="00E053B5"/>
    <w:rsid w:val="00E0745B"/>
    <w:rsid w:val="00E134A9"/>
    <w:rsid w:val="00E136B6"/>
    <w:rsid w:val="00E20796"/>
    <w:rsid w:val="00E20A97"/>
    <w:rsid w:val="00E24580"/>
    <w:rsid w:val="00E25E68"/>
    <w:rsid w:val="00E330B2"/>
    <w:rsid w:val="00E44A93"/>
    <w:rsid w:val="00E47879"/>
    <w:rsid w:val="00E52E35"/>
    <w:rsid w:val="00E5385B"/>
    <w:rsid w:val="00E53F06"/>
    <w:rsid w:val="00E548A2"/>
    <w:rsid w:val="00E548FF"/>
    <w:rsid w:val="00E61A44"/>
    <w:rsid w:val="00E674CA"/>
    <w:rsid w:val="00E7156D"/>
    <w:rsid w:val="00E71CF6"/>
    <w:rsid w:val="00E72362"/>
    <w:rsid w:val="00E9017E"/>
    <w:rsid w:val="00E94055"/>
    <w:rsid w:val="00EA3F2C"/>
    <w:rsid w:val="00EA63ED"/>
    <w:rsid w:val="00EA6D22"/>
    <w:rsid w:val="00EC0232"/>
    <w:rsid w:val="00EC5850"/>
    <w:rsid w:val="00EC58DB"/>
    <w:rsid w:val="00ED295B"/>
    <w:rsid w:val="00ED6D0A"/>
    <w:rsid w:val="00EE0347"/>
    <w:rsid w:val="00EE5397"/>
    <w:rsid w:val="00EE784B"/>
    <w:rsid w:val="00EF14BF"/>
    <w:rsid w:val="00EF34B6"/>
    <w:rsid w:val="00EF3DDF"/>
    <w:rsid w:val="00F05DF0"/>
    <w:rsid w:val="00F05FF7"/>
    <w:rsid w:val="00F06652"/>
    <w:rsid w:val="00F15420"/>
    <w:rsid w:val="00F17BEC"/>
    <w:rsid w:val="00F20DA5"/>
    <w:rsid w:val="00F36095"/>
    <w:rsid w:val="00F3727D"/>
    <w:rsid w:val="00F401C4"/>
    <w:rsid w:val="00F446D0"/>
    <w:rsid w:val="00F56D64"/>
    <w:rsid w:val="00F56E22"/>
    <w:rsid w:val="00F60FC9"/>
    <w:rsid w:val="00F629AF"/>
    <w:rsid w:val="00F63E7B"/>
    <w:rsid w:val="00F65E6A"/>
    <w:rsid w:val="00F73DE5"/>
    <w:rsid w:val="00F7448C"/>
    <w:rsid w:val="00F74560"/>
    <w:rsid w:val="00F8029F"/>
    <w:rsid w:val="00F803DB"/>
    <w:rsid w:val="00F84035"/>
    <w:rsid w:val="00F87148"/>
    <w:rsid w:val="00F87F9C"/>
    <w:rsid w:val="00F9425D"/>
    <w:rsid w:val="00F9656A"/>
    <w:rsid w:val="00FA0B5C"/>
    <w:rsid w:val="00FB0D3A"/>
    <w:rsid w:val="00FB65FC"/>
    <w:rsid w:val="00FB7F95"/>
    <w:rsid w:val="00FC1D25"/>
    <w:rsid w:val="00FC2165"/>
    <w:rsid w:val="00FC3774"/>
    <w:rsid w:val="00FC7839"/>
    <w:rsid w:val="00FD24A4"/>
    <w:rsid w:val="00FD7754"/>
    <w:rsid w:val="00FE0F88"/>
    <w:rsid w:val="00FE3CD7"/>
    <w:rsid w:val="00FE5F69"/>
    <w:rsid w:val="00FE6084"/>
    <w:rsid w:val="00FF305F"/>
    <w:rsid w:val="00FF4011"/>
    <w:rsid w:val="00FF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BE"/>
    <w:pPr>
      <w:spacing w:after="200" w:line="276" w:lineRule="auto"/>
    </w:pPr>
    <w:rPr>
      <w:sz w:val="22"/>
      <w:szCs w:val="22"/>
      <w:lang w:val="hu-HU" w:eastAsia="en-US"/>
    </w:rPr>
  </w:style>
  <w:style w:type="paragraph" w:styleId="1">
    <w:name w:val="heading 1"/>
    <w:basedOn w:val="a"/>
    <w:link w:val="10"/>
    <w:uiPriority w:val="9"/>
    <w:qFormat/>
    <w:rsid w:val="00A76BBE"/>
    <w:pPr>
      <w:spacing w:before="100" w:beforeAutospacing="1" w:after="100" w:afterAutospacing="1" w:line="240" w:lineRule="auto"/>
      <w:outlineLvl w:val="0"/>
    </w:pPr>
    <w:rPr>
      <w:rFonts w:ascii="Times New Roman" w:eastAsia="Times New Roman" w:hAnsi="Times New Roman"/>
      <w:b/>
      <w:bCs/>
      <w:kern w:val="36"/>
      <w:sz w:val="48"/>
      <w:szCs w:val="48"/>
      <w:lang w:val="x-none" w:eastAsia="hu-HU"/>
    </w:rPr>
  </w:style>
  <w:style w:type="paragraph" w:styleId="3">
    <w:name w:val="heading 3"/>
    <w:basedOn w:val="a"/>
    <w:next w:val="a"/>
    <w:link w:val="30"/>
    <w:uiPriority w:val="9"/>
    <w:unhideWhenUsed/>
    <w:qFormat/>
    <w:rsid w:val="00BC442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A76BBE"/>
    <w:rPr>
      <w:rFonts w:ascii="Times New Roman" w:eastAsia="Times New Roman" w:hAnsi="Times New Roman" w:cs="Times New Roman"/>
      <w:b/>
      <w:bCs/>
      <w:kern w:val="36"/>
      <w:sz w:val="48"/>
      <w:szCs w:val="48"/>
      <w:lang w:val="x-none" w:eastAsia="hu-HU"/>
    </w:rPr>
  </w:style>
  <w:style w:type="paragraph" w:styleId="a3">
    <w:name w:val="列表段落"/>
    <w:basedOn w:val="a"/>
    <w:uiPriority w:val="34"/>
    <w:qFormat/>
    <w:rsid w:val="00A76BBE"/>
    <w:pPr>
      <w:spacing w:after="0" w:line="240" w:lineRule="auto"/>
      <w:ind w:left="720"/>
      <w:contextualSpacing/>
    </w:pPr>
    <w:rPr>
      <w:rFonts w:ascii="Times New Roman" w:eastAsia="Times New Roman" w:hAnsi="Times New Roman"/>
      <w:sz w:val="24"/>
      <w:szCs w:val="24"/>
      <w:lang w:eastAsia="hu-HU"/>
    </w:rPr>
  </w:style>
  <w:style w:type="character" w:customStyle="1" w:styleId="apple-converted-space">
    <w:name w:val="apple-converted-space"/>
    <w:basedOn w:val="a0"/>
    <w:rsid w:val="00A76BBE"/>
  </w:style>
  <w:style w:type="character" w:styleId="a4">
    <w:name w:val="Hyperlink"/>
    <w:uiPriority w:val="99"/>
    <w:unhideWhenUsed/>
    <w:rsid w:val="00A76BBE"/>
    <w:rPr>
      <w:color w:val="0000FF"/>
      <w:u w:val="single"/>
    </w:rPr>
  </w:style>
  <w:style w:type="paragraph" w:styleId="a5">
    <w:name w:val="Balloon Text"/>
    <w:basedOn w:val="a"/>
    <w:link w:val="a6"/>
    <w:uiPriority w:val="99"/>
    <w:semiHidden/>
    <w:unhideWhenUsed/>
    <w:rsid w:val="00A76BBE"/>
    <w:pPr>
      <w:spacing w:after="0" w:line="240" w:lineRule="auto"/>
    </w:pPr>
    <w:rPr>
      <w:rFonts w:ascii="Tahoma" w:hAnsi="Tahoma"/>
      <w:sz w:val="16"/>
      <w:szCs w:val="16"/>
      <w:lang w:val="x-none" w:eastAsia="x-none"/>
    </w:rPr>
  </w:style>
  <w:style w:type="character" w:customStyle="1" w:styleId="a6">
    <w:name w:val="批注框文本 字符"/>
    <w:link w:val="a5"/>
    <w:uiPriority w:val="99"/>
    <w:semiHidden/>
    <w:rsid w:val="00A76BBE"/>
    <w:rPr>
      <w:rFonts w:ascii="Tahoma" w:eastAsia="Calibri" w:hAnsi="Tahoma" w:cs="Times New Roman"/>
      <w:sz w:val="16"/>
      <w:szCs w:val="16"/>
      <w:lang w:val="x-none" w:eastAsia="x-none"/>
    </w:rPr>
  </w:style>
  <w:style w:type="character" w:customStyle="1" w:styleId="highlight">
    <w:name w:val="highlight"/>
    <w:basedOn w:val="a0"/>
    <w:rsid w:val="00A76BBE"/>
  </w:style>
  <w:style w:type="character" w:styleId="a7">
    <w:name w:val="annotation reference"/>
    <w:uiPriority w:val="99"/>
    <w:semiHidden/>
    <w:rsid w:val="00A76BBE"/>
    <w:rPr>
      <w:sz w:val="16"/>
      <w:szCs w:val="16"/>
    </w:rPr>
  </w:style>
  <w:style w:type="paragraph" w:styleId="a8">
    <w:name w:val="annotation text"/>
    <w:basedOn w:val="a"/>
    <w:link w:val="a9"/>
    <w:uiPriority w:val="99"/>
    <w:rsid w:val="00A76BBE"/>
    <w:rPr>
      <w:sz w:val="20"/>
      <w:szCs w:val="20"/>
      <w:lang w:val="x-none" w:eastAsia="x-none"/>
    </w:rPr>
  </w:style>
  <w:style w:type="character" w:customStyle="1" w:styleId="a9">
    <w:name w:val="批注文字 字符"/>
    <w:link w:val="a8"/>
    <w:uiPriority w:val="99"/>
    <w:rsid w:val="00A76BBE"/>
    <w:rPr>
      <w:rFonts w:ascii="Calibri" w:eastAsia="Calibri" w:hAnsi="Calibri" w:cs="Times New Roman"/>
      <w:sz w:val="20"/>
      <w:szCs w:val="20"/>
    </w:rPr>
  </w:style>
  <w:style w:type="character" w:customStyle="1" w:styleId="aa">
    <w:name w:val="批注主题 字符"/>
    <w:link w:val="ab"/>
    <w:semiHidden/>
    <w:rsid w:val="00A76BBE"/>
    <w:rPr>
      <w:rFonts w:ascii="Calibri" w:eastAsia="Calibri" w:hAnsi="Calibri" w:cs="Times New Roman"/>
      <w:b/>
      <w:bCs/>
      <w:sz w:val="20"/>
      <w:szCs w:val="20"/>
    </w:rPr>
  </w:style>
  <w:style w:type="paragraph" w:styleId="ab">
    <w:name w:val="annotation subject"/>
    <w:basedOn w:val="a8"/>
    <w:next w:val="a8"/>
    <w:link w:val="aa"/>
    <w:semiHidden/>
    <w:rsid w:val="00A76BBE"/>
    <w:rPr>
      <w:b/>
      <w:bCs/>
    </w:rPr>
  </w:style>
  <w:style w:type="paragraph" w:styleId="ac">
    <w:name w:val="header"/>
    <w:basedOn w:val="a"/>
    <w:link w:val="ad"/>
    <w:uiPriority w:val="99"/>
    <w:unhideWhenUsed/>
    <w:rsid w:val="00A76BBE"/>
    <w:pPr>
      <w:tabs>
        <w:tab w:val="center" w:pos="4536"/>
        <w:tab w:val="right" w:pos="9072"/>
      </w:tabs>
    </w:pPr>
    <w:rPr>
      <w:sz w:val="20"/>
      <w:szCs w:val="20"/>
      <w:lang w:val="x-none" w:eastAsia="x-none"/>
    </w:rPr>
  </w:style>
  <w:style w:type="character" w:customStyle="1" w:styleId="ad">
    <w:name w:val="页眉 字符"/>
    <w:link w:val="ac"/>
    <w:uiPriority w:val="99"/>
    <w:rsid w:val="00A76BBE"/>
    <w:rPr>
      <w:rFonts w:ascii="Calibri" w:eastAsia="Calibri" w:hAnsi="Calibri" w:cs="Times New Roman"/>
      <w:lang w:val="x-none"/>
    </w:rPr>
  </w:style>
  <w:style w:type="paragraph" w:styleId="ae">
    <w:name w:val="footer"/>
    <w:basedOn w:val="a"/>
    <w:link w:val="af"/>
    <w:uiPriority w:val="99"/>
    <w:unhideWhenUsed/>
    <w:rsid w:val="00A76BBE"/>
    <w:pPr>
      <w:tabs>
        <w:tab w:val="center" w:pos="4536"/>
        <w:tab w:val="right" w:pos="9072"/>
      </w:tabs>
    </w:pPr>
    <w:rPr>
      <w:sz w:val="20"/>
      <w:szCs w:val="20"/>
      <w:lang w:val="x-none" w:eastAsia="x-none"/>
    </w:rPr>
  </w:style>
  <w:style w:type="character" w:customStyle="1" w:styleId="af">
    <w:name w:val="页脚 字符"/>
    <w:link w:val="ae"/>
    <w:uiPriority w:val="99"/>
    <w:rsid w:val="00A76BBE"/>
    <w:rPr>
      <w:rFonts w:ascii="Calibri" w:eastAsia="Calibri" w:hAnsi="Calibri" w:cs="Times New Roman"/>
      <w:lang w:val="x-none"/>
    </w:rPr>
  </w:style>
  <w:style w:type="character" w:styleId="af0">
    <w:name w:val="FollowedHyperlink"/>
    <w:uiPriority w:val="99"/>
    <w:semiHidden/>
    <w:unhideWhenUsed/>
    <w:rsid w:val="00A76BBE"/>
    <w:rPr>
      <w:color w:val="800080"/>
      <w:u w:val="single"/>
    </w:rPr>
  </w:style>
  <w:style w:type="paragraph" w:styleId="af1">
    <w:name w:val="caption"/>
    <w:basedOn w:val="a"/>
    <w:next w:val="a"/>
    <w:uiPriority w:val="35"/>
    <w:unhideWhenUsed/>
    <w:qFormat/>
    <w:rsid w:val="00A76BBE"/>
    <w:rPr>
      <w:b/>
      <w:bCs/>
      <w:sz w:val="20"/>
      <w:szCs w:val="20"/>
    </w:rPr>
  </w:style>
  <w:style w:type="paragraph" w:styleId="af2">
    <w:name w:val="Revision"/>
    <w:hidden/>
    <w:uiPriority w:val="99"/>
    <w:semiHidden/>
    <w:rsid w:val="00A76BBE"/>
    <w:rPr>
      <w:sz w:val="22"/>
      <w:szCs w:val="22"/>
      <w:lang w:val="hu-HU" w:eastAsia="en-US"/>
    </w:rPr>
  </w:style>
  <w:style w:type="table" w:customStyle="1" w:styleId="Vilgoslista1jellszn1">
    <w:name w:val="Világos lista – 1. jelölőszín1"/>
    <w:basedOn w:val="a1"/>
    <w:uiPriority w:val="61"/>
    <w:rsid w:val="00203A7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
    <w:name w:val="Light List - Accent 1"/>
    <w:basedOn w:val="a1"/>
    <w:uiPriority w:val="61"/>
    <w:rsid w:val="00203A7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it">
    <w:name w:val="cit"/>
    <w:basedOn w:val="a0"/>
    <w:rsid w:val="003932E1"/>
  </w:style>
  <w:style w:type="character" w:customStyle="1" w:styleId="fm-vol-iss-date">
    <w:name w:val="fm-vol-iss-date"/>
    <w:basedOn w:val="a0"/>
    <w:rsid w:val="003932E1"/>
  </w:style>
  <w:style w:type="character" w:customStyle="1" w:styleId="doi">
    <w:name w:val="doi"/>
    <w:basedOn w:val="a0"/>
    <w:rsid w:val="003932E1"/>
  </w:style>
  <w:style w:type="character" w:customStyle="1" w:styleId="fm-citation-ids-label">
    <w:name w:val="fm-citation-ids-label"/>
    <w:basedOn w:val="a0"/>
    <w:rsid w:val="003932E1"/>
  </w:style>
  <w:style w:type="character" w:customStyle="1" w:styleId="30">
    <w:name w:val="标题 3 字符"/>
    <w:link w:val="3"/>
    <w:uiPriority w:val="9"/>
    <w:rsid w:val="00BC442A"/>
    <w:rPr>
      <w:rFonts w:ascii="Cambria" w:eastAsia="Times New Roman" w:hAnsi="Cambria" w:cs="Times New Roman"/>
      <w:b/>
      <w:bCs/>
      <w:sz w:val="26"/>
      <w:szCs w:val="26"/>
      <w:lang w:eastAsia="en-US"/>
    </w:rPr>
  </w:style>
  <w:style w:type="paragraph" w:customStyle="1" w:styleId="11">
    <w:name w:val="正文1"/>
    <w:uiPriority w:val="99"/>
    <w:rsid w:val="00BA264E"/>
    <w:pPr>
      <w:spacing w:line="276" w:lineRule="auto"/>
    </w:pPr>
    <w:rPr>
      <w:rFonts w:ascii="Arial" w:eastAsia="宋体" w:hAnsi="Arial" w:cs="Arial"/>
      <w:color w:val="000000"/>
      <w:sz w:val="22"/>
      <w:lang w:val="pl-PL" w:eastAsia="pl-PL"/>
    </w:rPr>
  </w:style>
  <w:style w:type="paragraph" w:styleId="af3">
    <w:name w:val="Normal (Web)"/>
    <w:basedOn w:val="a"/>
    <w:uiPriority w:val="99"/>
    <w:semiHidden/>
    <w:unhideWhenUsed/>
    <w:rsid w:val="00F401C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f4">
    <w:name w:val="未处理的提及"/>
    <w:uiPriority w:val="99"/>
    <w:semiHidden/>
    <w:unhideWhenUsed/>
    <w:rsid w:val="00521D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BE"/>
    <w:pPr>
      <w:spacing w:after="200" w:line="276" w:lineRule="auto"/>
    </w:pPr>
    <w:rPr>
      <w:sz w:val="22"/>
      <w:szCs w:val="22"/>
      <w:lang w:val="hu-HU" w:eastAsia="en-US"/>
    </w:rPr>
  </w:style>
  <w:style w:type="paragraph" w:styleId="1">
    <w:name w:val="heading 1"/>
    <w:basedOn w:val="a"/>
    <w:link w:val="10"/>
    <w:uiPriority w:val="9"/>
    <w:qFormat/>
    <w:rsid w:val="00A76BBE"/>
    <w:pPr>
      <w:spacing w:before="100" w:beforeAutospacing="1" w:after="100" w:afterAutospacing="1" w:line="240" w:lineRule="auto"/>
      <w:outlineLvl w:val="0"/>
    </w:pPr>
    <w:rPr>
      <w:rFonts w:ascii="Times New Roman" w:eastAsia="Times New Roman" w:hAnsi="Times New Roman"/>
      <w:b/>
      <w:bCs/>
      <w:kern w:val="36"/>
      <w:sz w:val="48"/>
      <w:szCs w:val="48"/>
      <w:lang w:val="x-none" w:eastAsia="hu-HU"/>
    </w:rPr>
  </w:style>
  <w:style w:type="paragraph" w:styleId="3">
    <w:name w:val="heading 3"/>
    <w:basedOn w:val="a"/>
    <w:next w:val="a"/>
    <w:link w:val="30"/>
    <w:uiPriority w:val="9"/>
    <w:unhideWhenUsed/>
    <w:qFormat/>
    <w:rsid w:val="00BC442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A76BBE"/>
    <w:rPr>
      <w:rFonts w:ascii="Times New Roman" w:eastAsia="Times New Roman" w:hAnsi="Times New Roman" w:cs="Times New Roman"/>
      <w:b/>
      <w:bCs/>
      <w:kern w:val="36"/>
      <w:sz w:val="48"/>
      <w:szCs w:val="48"/>
      <w:lang w:val="x-none" w:eastAsia="hu-HU"/>
    </w:rPr>
  </w:style>
  <w:style w:type="paragraph" w:styleId="a3">
    <w:name w:val="列表段落"/>
    <w:basedOn w:val="a"/>
    <w:uiPriority w:val="34"/>
    <w:qFormat/>
    <w:rsid w:val="00A76BBE"/>
    <w:pPr>
      <w:spacing w:after="0" w:line="240" w:lineRule="auto"/>
      <w:ind w:left="720"/>
      <w:contextualSpacing/>
    </w:pPr>
    <w:rPr>
      <w:rFonts w:ascii="Times New Roman" w:eastAsia="Times New Roman" w:hAnsi="Times New Roman"/>
      <w:sz w:val="24"/>
      <w:szCs w:val="24"/>
      <w:lang w:eastAsia="hu-HU"/>
    </w:rPr>
  </w:style>
  <w:style w:type="character" w:customStyle="1" w:styleId="apple-converted-space">
    <w:name w:val="apple-converted-space"/>
    <w:basedOn w:val="a0"/>
    <w:rsid w:val="00A76BBE"/>
  </w:style>
  <w:style w:type="character" w:styleId="a4">
    <w:name w:val="Hyperlink"/>
    <w:uiPriority w:val="99"/>
    <w:unhideWhenUsed/>
    <w:rsid w:val="00A76BBE"/>
    <w:rPr>
      <w:color w:val="0000FF"/>
      <w:u w:val="single"/>
    </w:rPr>
  </w:style>
  <w:style w:type="paragraph" w:styleId="a5">
    <w:name w:val="Balloon Text"/>
    <w:basedOn w:val="a"/>
    <w:link w:val="a6"/>
    <w:uiPriority w:val="99"/>
    <w:semiHidden/>
    <w:unhideWhenUsed/>
    <w:rsid w:val="00A76BBE"/>
    <w:pPr>
      <w:spacing w:after="0" w:line="240" w:lineRule="auto"/>
    </w:pPr>
    <w:rPr>
      <w:rFonts w:ascii="Tahoma" w:hAnsi="Tahoma"/>
      <w:sz w:val="16"/>
      <w:szCs w:val="16"/>
      <w:lang w:val="x-none" w:eastAsia="x-none"/>
    </w:rPr>
  </w:style>
  <w:style w:type="character" w:customStyle="1" w:styleId="a6">
    <w:name w:val="批注框文本 字符"/>
    <w:link w:val="a5"/>
    <w:uiPriority w:val="99"/>
    <w:semiHidden/>
    <w:rsid w:val="00A76BBE"/>
    <w:rPr>
      <w:rFonts w:ascii="Tahoma" w:eastAsia="Calibri" w:hAnsi="Tahoma" w:cs="Times New Roman"/>
      <w:sz w:val="16"/>
      <w:szCs w:val="16"/>
      <w:lang w:val="x-none" w:eastAsia="x-none"/>
    </w:rPr>
  </w:style>
  <w:style w:type="character" w:customStyle="1" w:styleId="highlight">
    <w:name w:val="highlight"/>
    <w:basedOn w:val="a0"/>
    <w:rsid w:val="00A76BBE"/>
  </w:style>
  <w:style w:type="character" w:styleId="a7">
    <w:name w:val="annotation reference"/>
    <w:uiPriority w:val="99"/>
    <w:semiHidden/>
    <w:rsid w:val="00A76BBE"/>
    <w:rPr>
      <w:sz w:val="16"/>
      <w:szCs w:val="16"/>
    </w:rPr>
  </w:style>
  <w:style w:type="paragraph" w:styleId="a8">
    <w:name w:val="annotation text"/>
    <w:basedOn w:val="a"/>
    <w:link w:val="a9"/>
    <w:uiPriority w:val="99"/>
    <w:rsid w:val="00A76BBE"/>
    <w:rPr>
      <w:sz w:val="20"/>
      <w:szCs w:val="20"/>
      <w:lang w:val="x-none" w:eastAsia="x-none"/>
    </w:rPr>
  </w:style>
  <w:style w:type="character" w:customStyle="1" w:styleId="a9">
    <w:name w:val="批注文字 字符"/>
    <w:link w:val="a8"/>
    <w:uiPriority w:val="99"/>
    <w:rsid w:val="00A76BBE"/>
    <w:rPr>
      <w:rFonts w:ascii="Calibri" w:eastAsia="Calibri" w:hAnsi="Calibri" w:cs="Times New Roman"/>
      <w:sz w:val="20"/>
      <w:szCs w:val="20"/>
    </w:rPr>
  </w:style>
  <w:style w:type="character" w:customStyle="1" w:styleId="aa">
    <w:name w:val="批注主题 字符"/>
    <w:link w:val="ab"/>
    <w:semiHidden/>
    <w:rsid w:val="00A76BBE"/>
    <w:rPr>
      <w:rFonts w:ascii="Calibri" w:eastAsia="Calibri" w:hAnsi="Calibri" w:cs="Times New Roman"/>
      <w:b/>
      <w:bCs/>
      <w:sz w:val="20"/>
      <w:szCs w:val="20"/>
    </w:rPr>
  </w:style>
  <w:style w:type="paragraph" w:styleId="ab">
    <w:name w:val="annotation subject"/>
    <w:basedOn w:val="a8"/>
    <w:next w:val="a8"/>
    <w:link w:val="aa"/>
    <w:semiHidden/>
    <w:rsid w:val="00A76BBE"/>
    <w:rPr>
      <w:b/>
      <w:bCs/>
    </w:rPr>
  </w:style>
  <w:style w:type="paragraph" w:styleId="ac">
    <w:name w:val="header"/>
    <w:basedOn w:val="a"/>
    <w:link w:val="ad"/>
    <w:uiPriority w:val="99"/>
    <w:unhideWhenUsed/>
    <w:rsid w:val="00A76BBE"/>
    <w:pPr>
      <w:tabs>
        <w:tab w:val="center" w:pos="4536"/>
        <w:tab w:val="right" w:pos="9072"/>
      </w:tabs>
    </w:pPr>
    <w:rPr>
      <w:sz w:val="20"/>
      <w:szCs w:val="20"/>
      <w:lang w:val="x-none" w:eastAsia="x-none"/>
    </w:rPr>
  </w:style>
  <w:style w:type="character" w:customStyle="1" w:styleId="ad">
    <w:name w:val="页眉 字符"/>
    <w:link w:val="ac"/>
    <w:uiPriority w:val="99"/>
    <w:rsid w:val="00A76BBE"/>
    <w:rPr>
      <w:rFonts w:ascii="Calibri" w:eastAsia="Calibri" w:hAnsi="Calibri" w:cs="Times New Roman"/>
      <w:lang w:val="x-none"/>
    </w:rPr>
  </w:style>
  <w:style w:type="paragraph" w:styleId="ae">
    <w:name w:val="footer"/>
    <w:basedOn w:val="a"/>
    <w:link w:val="af"/>
    <w:uiPriority w:val="99"/>
    <w:unhideWhenUsed/>
    <w:rsid w:val="00A76BBE"/>
    <w:pPr>
      <w:tabs>
        <w:tab w:val="center" w:pos="4536"/>
        <w:tab w:val="right" w:pos="9072"/>
      </w:tabs>
    </w:pPr>
    <w:rPr>
      <w:sz w:val="20"/>
      <w:szCs w:val="20"/>
      <w:lang w:val="x-none" w:eastAsia="x-none"/>
    </w:rPr>
  </w:style>
  <w:style w:type="character" w:customStyle="1" w:styleId="af">
    <w:name w:val="页脚 字符"/>
    <w:link w:val="ae"/>
    <w:uiPriority w:val="99"/>
    <w:rsid w:val="00A76BBE"/>
    <w:rPr>
      <w:rFonts w:ascii="Calibri" w:eastAsia="Calibri" w:hAnsi="Calibri" w:cs="Times New Roman"/>
      <w:lang w:val="x-none"/>
    </w:rPr>
  </w:style>
  <w:style w:type="character" w:styleId="af0">
    <w:name w:val="FollowedHyperlink"/>
    <w:uiPriority w:val="99"/>
    <w:semiHidden/>
    <w:unhideWhenUsed/>
    <w:rsid w:val="00A76BBE"/>
    <w:rPr>
      <w:color w:val="800080"/>
      <w:u w:val="single"/>
    </w:rPr>
  </w:style>
  <w:style w:type="paragraph" w:styleId="af1">
    <w:name w:val="caption"/>
    <w:basedOn w:val="a"/>
    <w:next w:val="a"/>
    <w:uiPriority w:val="35"/>
    <w:unhideWhenUsed/>
    <w:qFormat/>
    <w:rsid w:val="00A76BBE"/>
    <w:rPr>
      <w:b/>
      <w:bCs/>
      <w:sz w:val="20"/>
      <w:szCs w:val="20"/>
    </w:rPr>
  </w:style>
  <w:style w:type="paragraph" w:styleId="af2">
    <w:name w:val="Revision"/>
    <w:hidden/>
    <w:uiPriority w:val="99"/>
    <w:semiHidden/>
    <w:rsid w:val="00A76BBE"/>
    <w:rPr>
      <w:sz w:val="22"/>
      <w:szCs w:val="22"/>
      <w:lang w:val="hu-HU" w:eastAsia="en-US"/>
    </w:rPr>
  </w:style>
  <w:style w:type="table" w:customStyle="1" w:styleId="Vilgoslista1jellszn1">
    <w:name w:val="Világos lista – 1. jelölőszín1"/>
    <w:basedOn w:val="a1"/>
    <w:uiPriority w:val="61"/>
    <w:rsid w:val="00203A7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
    <w:name w:val="Light List - Accent 1"/>
    <w:basedOn w:val="a1"/>
    <w:uiPriority w:val="61"/>
    <w:rsid w:val="00203A7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it">
    <w:name w:val="cit"/>
    <w:basedOn w:val="a0"/>
    <w:rsid w:val="003932E1"/>
  </w:style>
  <w:style w:type="character" w:customStyle="1" w:styleId="fm-vol-iss-date">
    <w:name w:val="fm-vol-iss-date"/>
    <w:basedOn w:val="a0"/>
    <w:rsid w:val="003932E1"/>
  </w:style>
  <w:style w:type="character" w:customStyle="1" w:styleId="doi">
    <w:name w:val="doi"/>
    <w:basedOn w:val="a0"/>
    <w:rsid w:val="003932E1"/>
  </w:style>
  <w:style w:type="character" w:customStyle="1" w:styleId="fm-citation-ids-label">
    <w:name w:val="fm-citation-ids-label"/>
    <w:basedOn w:val="a0"/>
    <w:rsid w:val="003932E1"/>
  </w:style>
  <w:style w:type="character" w:customStyle="1" w:styleId="30">
    <w:name w:val="标题 3 字符"/>
    <w:link w:val="3"/>
    <w:uiPriority w:val="9"/>
    <w:rsid w:val="00BC442A"/>
    <w:rPr>
      <w:rFonts w:ascii="Cambria" w:eastAsia="Times New Roman" w:hAnsi="Cambria" w:cs="Times New Roman"/>
      <w:b/>
      <w:bCs/>
      <w:sz w:val="26"/>
      <w:szCs w:val="26"/>
      <w:lang w:eastAsia="en-US"/>
    </w:rPr>
  </w:style>
  <w:style w:type="paragraph" w:customStyle="1" w:styleId="11">
    <w:name w:val="正文1"/>
    <w:uiPriority w:val="99"/>
    <w:rsid w:val="00BA264E"/>
    <w:pPr>
      <w:spacing w:line="276" w:lineRule="auto"/>
    </w:pPr>
    <w:rPr>
      <w:rFonts w:ascii="Arial" w:eastAsia="宋体" w:hAnsi="Arial" w:cs="Arial"/>
      <w:color w:val="000000"/>
      <w:sz w:val="22"/>
      <w:lang w:val="pl-PL" w:eastAsia="pl-PL"/>
    </w:rPr>
  </w:style>
  <w:style w:type="paragraph" w:styleId="af3">
    <w:name w:val="Normal (Web)"/>
    <w:basedOn w:val="a"/>
    <w:uiPriority w:val="99"/>
    <w:semiHidden/>
    <w:unhideWhenUsed/>
    <w:rsid w:val="00F401C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f4">
    <w:name w:val="未处理的提及"/>
    <w:uiPriority w:val="99"/>
    <w:semiHidden/>
    <w:unhideWhenUsed/>
    <w:rsid w:val="0052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705">
      <w:bodyDiv w:val="1"/>
      <w:marLeft w:val="0"/>
      <w:marRight w:val="0"/>
      <w:marTop w:val="0"/>
      <w:marBottom w:val="0"/>
      <w:divBdr>
        <w:top w:val="none" w:sz="0" w:space="0" w:color="auto"/>
        <w:left w:val="none" w:sz="0" w:space="0" w:color="auto"/>
        <w:bottom w:val="none" w:sz="0" w:space="0" w:color="auto"/>
        <w:right w:val="none" w:sz="0" w:space="0" w:color="auto"/>
      </w:divBdr>
    </w:div>
    <w:div w:id="153035695">
      <w:bodyDiv w:val="1"/>
      <w:marLeft w:val="0"/>
      <w:marRight w:val="0"/>
      <w:marTop w:val="0"/>
      <w:marBottom w:val="0"/>
      <w:divBdr>
        <w:top w:val="none" w:sz="0" w:space="0" w:color="auto"/>
        <w:left w:val="none" w:sz="0" w:space="0" w:color="auto"/>
        <w:bottom w:val="none" w:sz="0" w:space="0" w:color="auto"/>
        <w:right w:val="none" w:sz="0" w:space="0" w:color="auto"/>
      </w:divBdr>
    </w:div>
    <w:div w:id="237980285">
      <w:bodyDiv w:val="1"/>
      <w:marLeft w:val="0"/>
      <w:marRight w:val="0"/>
      <w:marTop w:val="0"/>
      <w:marBottom w:val="0"/>
      <w:divBdr>
        <w:top w:val="none" w:sz="0" w:space="0" w:color="auto"/>
        <w:left w:val="none" w:sz="0" w:space="0" w:color="auto"/>
        <w:bottom w:val="none" w:sz="0" w:space="0" w:color="auto"/>
        <w:right w:val="none" w:sz="0" w:space="0" w:color="auto"/>
      </w:divBdr>
    </w:div>
    <w:div w:id="257762169">
      <w:bodyDiv w:val="1"/>
      <w:marLeft w:val="0"/>
      <w:marRight w:val="0"/>
      <w:marTop w:val="0"/>
      <w:marBottom w:val="0"/>
      <w:divBdr>
        <w:top w:val="none" w:sz="0" w:space="0" w:color="auto"/>
        <w:left w:val="none" w:sz="0" w:space="0" w:color="auto"/>
        <w:bottom w:val="none" w:sz="0" w:space="0" w:color="auto"/>
        <w:right w:val="none" w:sz="0" w:space="0" w:color="auto"/>
      </w:divBdr>
    </w:div>
    <w:div w:id="450511340">
      <w:bodyDiv w:val="1"/>
      <w:marLeft w:val="0"/>
      <w:marRight w:val="0"/>
      <w:marTop w:val="0"/>
      <w:marBottom w:val="0"/>
      <w:divBdr>
        <w:top w:val="none" w:sz="0" w:space="0" w:color="auto"/>
        <w:left w:val="none" w:sz="0" w:space="0" w:color="auto"/>
        <w:bottom w:val="none" w:sz="0" w:space="0" w:color="auto"/>
        <w:right w:val="none" w:sz="0" w:space="0" w:color="auto"/>
      </w:divBdr>
    </w:div>
    <w:div w:id="470947039">
      <w:bodyDiv w:val="1"/>
      <w:marLeft w:val="0"/>
      <w:marRight w:val="0"/>
      <w:marTop w:val="0"/>
      <w:marBottom w:val="0"/>
      <w:divBdr>
        <w:top w:val="none" w:sz="0" w:space="0" w:color="auto"/>
        <w:left w:val="none" w:sz="0" w:space="0" w:color="auto"/>
        <w:bottom w:val="none" w:sz="0" w:space="0" w:color="auto"/>
        <w:right w:val="none" w:sz="0" w:space="0" w:color="auto"/>
      </w:divBdr>
    </w:div>
    <w:div w:id="479346852">
      <w:bodyDiv w:val="1"/>
      <w:marLeft w:val="0"/>
      <w:marRight w:val="0"/>
      <w:marTop w:val="0"/>
      <w:marBottom w:val="0"/>
      <w:divBdr>
        <w:top w:val="none" w:sz="0" w:space="0" w:color="auto"/>
        <w:left w:val="none" w:sz="0" w:space="0" w:color="auto"/>
        <w:bottom w:val="none" w:sz="0" w:space="0" w:color="auto"/>
        <w:right w:val="none" w:sz="0" w:space="0" w:color="auto"/>
      </w:divBdr>
    </w:div>
    <w:div w:id="483199977">
      <w:bodyDiv w:val="1"/>
      <w:marLeft w:val="0"/>
      <w:marRight w:val="0"/>
      <w:marTop w:val="0"/>
      <w:marBottom w:val="0"/>
      <w:divBdr>
        <w:top w:val="none" w:sz="0" w:space="0" w:color="auto"/>
        <w:left w:val="none" w:sz="0" w:space="0" w:color="auto"/>
        <w:bottom w:val="none" w:sz="0" w:space="0" w:color="auto"/>
        <w:right w:val="none" w:sz="0" w:space="0" w:color="auto"/>
      </w:divBdr>
      <w:divsChild>
        <w:div w:id="65735954">
          <w:marLeft w:val="0"/>
          <w:marRight w:val="0"/>
          <w:marTop w:val="0"/>
          <w:marBottom w:val="0"/>
          <w:divBdr>
            <w:top w:val="none" w:sz="0" w:space="0" w:color="auto"/>
            <w:left w:val="none" w:sz="0" w:space="0" w:color="auto"/>
            <w:bottom w:val="none" w:sz="0" w:space="0" w:color="auto"/>
            <w:right w:val="none" w:sz="0" w:space="0" w:color="auto"/>
          </w:divBdr>
        </w:div>
        <w:div w:id="103382826">
          <w:marLeft w:val="0"/>
          <w:marRight w:val="0"/>
          <w:marTop w:val="0"/>
          <w:marBottom w:val="0"/>
          <w:divBdr>
            <w:top w:val="none" w:sz="0" w:space="0" w:color="auto"/>
            <w:left w:val="none" w:sz="0" w:space="0" w:color="auto"/>
            <w:bottom w:val="none" w:sz="0" w:space="0" w:color="auto"/>
            <w:right w:val="none" w:sz="0" w:space="0" w:color="auto"/>
          </w:divBdr>
        </w:div>
        <w:div w:id="524708929">
          <w:marLeft w:val="0"/>
          <w:marRight w:val="0"/>
          <w:marTop w:val="0"/>
          <w:marBottom w:val="0"/>
          <w:divBdr>
            <w:top w:val="none" w:sz="0" w:space="0" w:color="auto"/>
            <w:left w:val="none" w:sz="0" w:space="0" w:color="auto"/>
            <w:bottom w:val="none" w:sz="0" w:space="0" w:color="auto"/>
            <w:right w:val="none" w:sz="0" w:space="0" w:color="auto"/>
          </w:divBdr>
        </w:div>
      </w:divsChild>
    </w:div>
    <w:div w:id="493835544">
      <w:bodyDiv w:val="1"/>
      <w:marLeft w:val="0"/>
      <w:marRight w:val="0"/>
      <w:marTop w:val="0"/>
      <w:marBottom w:val="0"/>
      <w:divBdr>
        <w:top w:val="none" w:sz="0" w:space="0" w:color="auto"/>
        <w:left w:val="none" w:sz="0" w:space="0" w:color="auto"/>
        <w:bottom w:val="none" w:sz="0" w:space="0" w:color="auto"/>
        <w:right w:val="none" w:sz="0" w:space="0" w:color="auto"/>
      </w:divBdr>
      <w:divsChild>
        <w:div w:id="257644835">
          <w:marLeft w:val="432"/>
          <w:marRight w:val="0"/>
          <w:marTop w:val="86"/>
          <w:marBottom w:val="0"/>
          <w:divBdr>
            <w:top w:val="none" w:sz="0" w:space="0" w:color="auto"/>
            <w:left w:val="none" w:sz="0" w:space="0" w:color="auto"/>
            <w:bottom w:val="none" w:sz="0" w:space="0" w:color="auto"/>
            <w:right w:val="none" w:sz="0" w:space="0" w:color="auto"/>
          </w:divBdr>
        </w:div>
        <w:div w:id="415131581">
          <w:marLeft w:val="432"/>
          <w:marRight w:val="0"/>
          <w:marTop w:val="86"/>
          <w:marBottom w:val="0"/>
          <w:divBdr>
            <w:top w:val="none" w:sz="0" w:space="0" w:color="auto"/>
            <w:left w:val="none" w:sz="0" w:space="0" w:color="auto"/>
            <w:bottom w:val="none" w:sz="0" w:space="0" w:color="auto"/>
            <w:right w:val="none" w:sz="0" w:space="0" w:color="auto"/>
          </w:divBdr>
        </w:div>
        <w:div w:id="503397156">
          <w:marLeft w:val="432"/>
          <w:marRight w:val="0"/>
          <w:marTop w:val="86"/>
          <w:marBottom w:val="0"/>
          <w:divBdr>
            <w:top w:val="none" w:sz="0" w:space="0" w:color="auto"/>
            <w:left w:val="none" w:sz="0" w:space="0" w:color="auto"/>
            <w:bottom w:val="none" w:sz="0" w:space="0" w:color="auto"/>
            <w:right w:val="none" w:sz="0" w:space="0" w:color="auto"/>
          </w:divBdr>
        </w:div>
        <w:div w:id="842167666">
          <w:marLeft w:val="432"/>
          <w:marRight w:val="0"/>
          <w:marTop w:val="86"/>
          <w:marBottom w:val="0"/>
          <w:divBdr>
            <w:top w:val="none" w:sz="0" w:space="0" w:color="auto"/>
            <w:left w:val="none" w:sz="0" w:space="0" w:color="auto"/>
            <w:bottom w:val="none" w:sz="0" w:space="0" w:color="auto"/>
            <w:right w:val="none" w:sz="0" w:space="0" w:color="auto"/>
          </w:divBdr>
        </w:div>
        <w:div w:id="945112868">
          <w:marLeft w:val="432"/>
          <w:marRight w:val="0"/>
          <w:marTop w:val="86"/>
          <w:marBottom w:val="0"/>
          <w:divBdr>
            <w:top w:val="none" w:sz="0" w:space="0" w:color="auto"/>
            <w:left w:val="none" w:sz="0" w:space="0" w:color="auto"/>
            <w:bottom w:val="none" w:sz="0" w:space="0" w:color="auto"/>
            <w:right w:val="none" w:sz="0" w:space="0" w:color="auto"/>
          </w:divBdr>
        </w:div>
        <w:div w:id="1433621994">
          <w:marLeft w:val="432"/>
          <w:marRight w:val="0"/>
          <w:marTop w:val="86"/>
          <w:marBottom w:val="0"/>
          <w:divBdr>
            <w:top w:val="none" w:sz="0" w:space="0" w:color="auto"/>
            <w:left w:val="none" w:sz="0" w:space="0" w:color="auto"/>
            <w:bottom w:val="none" w:sz="0" w:space="0" w:color="auto"/>
            <w:right w:val="none" w:sz="0" w:space="0" w:color="auto"/>
          </w:divBdr>
        </w:div>
        <w:div w:id="1997419064">
          <w:marLeft w:val="432"/>
          <w:marRight w:val="0"/>
          <w:marTop w:val="86"/>
          <w:marBottom w:val="0"/>
          <w:divBdr>
            <w:top w:val="none" w:sz="0" w:space="0" w:color="auto"/>
            <w:left w:val="none" w:sz="0" w:space="0" w:color="auto"/>
            <w:bottom w:val="none" w:sz="0" w:space="0" w:color="auto"/>
            <w:right w:val="none" w:sz="0" w:space="0" w:color="auto"/>
          </w:divBdr>
        </w:div>
        <w:div w:id="2040277472">
          <w:marLeft w:val="432"/>
          <w:marRight w:val="0"/>
          <w:marTop w:val="86"/>
          <w:marBottom w:val="0"/>
          <w:divBdr>
            <w:top w:val="none" w:sz="0" w:space="0" w:color="auto"/>
            <w:left w:val="none" w:sz="0" w:space="0" w:color="auto"/>
            <w:bottom w:val="none" w:sz="0" w:space="0" w:color="auto"/>
            <w:right w:val="none" w:sz="0" w:space="0" w:color="auto"/>
          </w:divBdr>
        </w:div>
      </w:divsChild>
    </w:div>
    <w:div w:id="556430408">
      <w:bodyDiv w:val="1"/>
      <w:marLeft w:val="0"/>
      <w:marRight w:val="0"/>
      <w:marTop w:val="0"/>
      <w:marBottom w:val="0"/>
      <w:divBdr>
        <w:top w:val="none" w:sz="0" w:space="0" w:color="auto"/>
        <w:left w:val="none" w:sz="0" w:space="0" w:color="auto"/>
        <w:bottom w:val="none" w:sz="0" w:space="0" w:color="auto"/>
        <w:right w:val="none" w:sz="0" w:space="0" w:color="auto"/>
      </w:divBdr>
    </w:div>
    <w:div w:id="567810067">
      <w:bodyDiv w:val="1"/>
      <w:marLeft w:val="0"/>
      <w:marRight w:val="0"/>
      <w:marTop w:val="0"/>
      <w:marBottom w:val="0"/>
      <w:divBdr>
        <w:top w:val="none" w:sz="0" w:space="0" w:color="auto"/>
        <w:left w:val="none" w:sz="0" w:space="0" w:color="auto"/>
        <w:bottom w:val="none" w:sz="0" w:space="0" w:color="auto"/>
        <w:right w:val="none" w:sz="0" w:space="0" w:color="auto"/>
      </w:divBdr>
      <w:divsChild>
        <w:div w:id="168182541">
          <w:marLeft w:val="0"/>
          <w:marRight w:val="0"/>
          <w:marTop w:val="0"/>
          <w:marBottom w:val="0"/>
          <w:divBdr>
            <w:top w:val="none" w:sz="0" w:space="0" w:color="auto"/>
            <w:left w:val="none" w:sz="0" w:space="0" w:color="auto"/>
            <w:bottom w:val="none" w:sz="0" w:space="0" w:color="auto"/>
            <w:right w:val="none" w:sz="0" w:space="0" w:color="auto"/>
          </w:divBdr>
          <w:divsChild>
            <w:div w:id="1133447528">
              <w:marLeft w:val="0"/>
              <w:marRight w:val="0"/>
              <w:marTop w:val="0"/>
              <w:marBottom w:val="0"/>
              <w:divBdr>
                <w:top w:val="none" w:sz="0" w:space="0" w:color="auto"/>
                <w:left w:val="none" w:sz="0" w:space="0" w:color="auto"/>
                <w:bottom w:val="none" w:sz="0" w:space="0" w:color="auto"/>
                <w:right w:val="none" w:sz="0" w:space="0" w:color="auto"/>
              </w:divBdr>
            </w:div>
            <w:div w:id="1637754352">
              <w:marLeft w:val="0"/>
              <w:marRight w:val="0"/>
              <w:marTop w:val="0"/>
              <w:marBottom w:val="0"/>
              <w:divBdr>
                <w:top w:val="none" w:sz="0" w:space="0" w:color="auto"/>
                <w:left w:val="none" w:sz="0" w:space="0" w:color="auto"/>
                <w:bottom w:val="none" w:sz="0" w:space="0" w:color="auto"/>
                <w:right w:val="none" w:sz="0" w:space="0" w:color="auto"/>
              </w:divBdr>
            </w:div>
          </w:divsChild>
        </w:div>
        <w:div w:id="1869023740">
          <w:marLeft w:val="0"/>
          <w:marRight w:val="0"/>
          <w:marTop w:val="0"/>
          <w:marBottom w:val="0"/>
          <w:divBdr>
            <w:top w:val="none" w:sz="0" w:space="0" w:color="auto"/>
            <w:left w:val="none" w:sz="0" w:space="0" w:color="auto"/>
            <w:bottom w:val="none" w:sz="0" w:space="0" w:color="auto"/>
            <w:right w:val="none" w:sz="0" w:space="0" w:color="auto"/>
          </w:divBdr>
          <w:divsChild>
            <w:div w:id="689113872">
              <w:marLeft w:val="0"/>
              <w:marRight w:val="0"/>
              <w:marTop w:val="0"/>
              <w:marBottom w:val="0"/>
              <w:divBdr>
                <w:top w:val="none" w:sz="0" w:space="0" w:color="auto"/>
                <w:left w:val="none" w:sz="0" w:space="0" w:color="auto"/>
                <w:bottom w:val="none" w:sz="0" w:space="0" w:color="auto"/>
                <w:right w:val="none" w:sz="0" w:space="0" w:color="auto"/>
              </w:divBdr>
            </w:div>
            <w:div w:id="1611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2225">
      <w:bodyDiv w:val="1"/>
      <w:marLeft w:val="0"/>
      <w:marRight w:val="0"/>
      <w:marTop w:val="0"/>
      <w:marBottom w:val="0"/>
      <w:divBdr>
        <w:top w:val="none" w:sz="0" w:space="0" w:color="auto"/>
        <w:left w:val="none" w:sz="0" w:space="0" w:color="auto"/>
        <w:bottom w:val="none" w:sz="0" w:space="0" w:color="auto"/>
        <w:right w:val="none" w:sz="0" w:space="0" w:color="auto"/>
      </w:divBdr>
    </w:div>
    <w:div w:id="577130449">
      <w:bodyDiv w:val="1"/>
      <w:marLeft w:val="0"/>
      <w:marRight w:val="0"/>
      <w:marTop w:val="0"/>
      <w:marBottom w:val="0"/>
      <w:divBdr>
        <w:top w:val="none" w:sz="0" w:space="0" w:color="auto"/>
        <w:left w:val="none" w:sz="0" w:space="0" w:color="auto"/>
        <w:bottom w:val="none" w:sz="0" w:space="0" w:color="auto"/>
        <w:right w:val="none" w:sz="0" w:space="0" w:color="auto"/>
      </w:divBdr>
    </w:div>
    <w:div w:id="626082778">
      <w:bodyDiv w:val="1"/>
      <w:marLeft w:val="0"/>
      <w:marRight w:val="0"/>
      <w:marTop w:val="0"/>
      <w:marBottom w:val="0"/>
      <w:divBdr>
        <w:top w:val="none" w:sz="0" w:space="0" w:color="auto"/>
        <w:left w:val="none" w:sz="0" w:space="0" w:color="auto"/>
        <w:bottom w:val="none" w:sz="0" w:space="0" w:color="auto"/>
        <w:right w:val="none" w:sz="0" w:space="0" w:color="auto"/>
      </w:divBdr>
    </w:div>
    <w:div w:id="655185566">
      <w:bodyDiv w:val="1"/>
      <w:marLeft w:val="0"/>
      <w:marRight w:val="0"/>
      <w:marTop w:val="0"/>
      <w:marBottom w:val="0"/>
      <w:divBdr>
        <w:top w:val="none" w:sz="0" w:space="0" w:color="auto"/>
        <w:left w:val="none" w:sz="0" w:space="0" w:color="auto"/>
        <w:bottom w:val="none" w:sz="0" w:space="0" w:color="auto"/>
        <w:right w:val="none" w:sz="0" w:space="0" w:color="auto"/>
      </w:divBdr>
    </w:div>
    <w:div w:id="672681911">
      <w:bodyDiv w:val="1"/>
      <w:marLeft w:val="0"/>
      <w:marRight w:val="0"/>
      <w:marTop w:val="0"/>
      <w:marBottom w:val="0"/>
      <w:divBdr>
        <w:top w:val="none" w:sz="0" w:space="0" w:color="auto"/>
        <w:left w:val="none" w:sz="0" w:space="0" w:color="auto"/>
        <w:bottom w:val="none" w:sz="0" w:space="0" w:color="auto"/>
        <w:right w:val="none" w:sz="0" w:space="0" w:color="auto"/>
      </w:divBdr>
    </w:div>
    <w:div w:id="683482466">
      <w:bodyDiv w:val="1"/>
      <w:marLeft w:val="0"/>
      <w:marRight w:val="0"/>
      <w:marTop w:val="0"/>
      <w:marBottom w:val="0"/>
      <w:divBdr>
        <w:top w:val="none" w:sz="0" w:space="0" w:color="auto"/>
        <w:left w:val="none" w:sz="0" w:space="0" w:color="auto"/>
        <w:bottom w:val="none" w:sz="0" w:space="0" w:color="auto"/>
        <w:right w:val="none" w:sz="0" w:space="0" w:color="auto"/>
      </w:divBdr>
    </w:div>
    <w:div w:id="729688915">
      <w:bodyDiv w:val="1"/>
      <w:marLeft w:val="0"/>
      <w:marRight w:val="0"/>
      <w:marTop w:val="0"/>
      <w:marBottom w:val="0"/>
      <w:divBdr>
        <w:top w:val="none" w:sz="0" w:space="0" w:color="auto"/>
        <w:left w:val="none" w:sz="0" w:space="0" w:color="auto"/>
        <w:bottom w:val="none" w:sz="0" w:space="0" w:color="auto"/>
        <w:right w:val="none" w:sz="0" w:space="0" w:color="auto"/>
      </w:divBdr>
    </w:div>
    <w:div w:id="822087863">
      <w:bodyDiv w:val="1"/>
      <w:marLeft w:val="0"/>
      <w:marRight w:val="0"/>
      <w:marTop w:val="0"/>
      <w:marBottom w:val="0"/>
      <w:divBdr>
        <w:top w:val="none" w:sz="0" w:space="0" w:color="auto"/>
        <w:left w:val="none" w:sz="0" w:space="0" w:color="auto"/>
        <w:bottom w:val="none" w:sz="0" w:space="0" w:color="auto"/>
        <w:right w:val="none" w:sz="0" w:space="0" w:color="auto"/>
      </w:divBdr>
    </w:div>
    <w:div w:id="898826703">
      <w:bodyDiv w:val="1"/>
      <w:marLeft w:val="0"/>
      <w:marRight w:val="0"/>
      <w:marTop w:val="0"/>
      <w:marBottom w:val="0"/>
      <w:divBdr>
        <w:top w:val="none" w:sz="0" w:space="0" w:color="auto"/>
        <w:left w:val="none" w:sz="0" w:space="0" w:color="auto"/>
        <w:bottom w:val="none" w:sz="0" w:space="0" w:color="auto"/>
        <w:right w:val="none" w:sz="0" w:space="0" w:color="auto"/>
      </w:divBdr>
      <w:divsChild>
        <w:div w:id="346251035">
          <w:marLeft w:val="0"/>
          <w:marRight w:val="0"/>
          <w:marTop w:val="0"/>
          <w:marBottom w:val="0"/>
          <w:divBdr>
            <w:top w:val="none" w:sz="0" w:space="0" w:color="auto"/>
            <w:left w:val="none" w:sz="0" w:space="0" w:color="auto"/>
            <w:bottom w:val="none" w:sz="0" w:space="0" w:color="auto"/>
            <w:right w:val="none" w:sz="0" w:space="0" w:color="auto"/>
          </w:divBdr>
        </w:div>
        <w:div w:id="906844758">
          <w:marLeft w:val="0"/>
          <w:marRight w:val="0"/>
          <w:marTop w:val="0"/>
          <w:marBottom w:val="0"/>
          <w:divBdr>
            <w:top w:val="none" w:sz="0" w:space="0" w:color="auto"/>
            <w:left w:val="none" w:sz="0" w:space="0" w:color="auto"/>
            <w:bottom w:val="none" w:sz="0" w:space="0" w:color="auto"/>
            <w:right w:val="none" w:sz="0" w:space="0" w:color="auto"/>
          </w:divBdr>
        </w:div>
        <w:div w:id="1091126755">
          <w:marLeft w:val="0"/>
          <w:marRight w:val="0"/>
          <w:marTop w:val="0"/>
          <w:marBottom w:val="0"/>
          <w:divBdr>
            <w:top w:val="none" w:sz="0" w:space="0" w:color="auto"/>
            <w:left w:val="none" w:sz="0" w:space="0" w:color="auto"/>
            <w:bottom w:val="none" w:sz="0" w:space="0" w:color="auto"/>
            <w:right w:val="none" w:sz="0" w:space="0" w:color="auto"/>
          </w:divBdr>
        </w:div>
      </w:divsChild>
    </w:div>
    <w:div w:id="1020935796">
      <w:bodyDiv w:val="1"/>
      <w:marLeft w:val="0"/>
      <w:marRight w:val="0"/>
      <w:marTop w:val="0"/>
      <w:marBottom w:val="0"/>
      <w:divBdr>
        <w:top w:val="none" w:sz="0" w:space="0" w:color="auto"/>
        <w:left w:val="none" w:sz="0" w:space="0" w:color="auto"/>
        <w:bottom w:val="none" w:sz="0" w:space="0" w:color="auto"/>
        <w:right w:val="none" w:sz="0" w:space="0" w:color="auto"/>
      </w:divBdr>
    </w:div>
    <w:div w:id="1047993759">
      <w:bodyDiv w:val="1"/>
      <w:marLeft w:val="0"/>
      <w:marRight w:val="0"/>
      <w:marTop w:val="0"/>
      <w:marBottom w:val="0"/>
      <w:divBdr>
        <w:top w:val="none" w:sz="0" w:space="0" w:color="auto"/>
        <w:left w:val="none" w:sz="0" w:space="0" w:color="auto"/>
        <w:bottom w:val="none" w:sz="0" w:space="0" w:color="auto"/>
        <w:right w:val="none" w:sz="0" w:space="0" w:color="auto"/>
      </w:divBdr>
    </w:div>
    <w:div w:id="1056586564">
      <w:bodyDiv w:val="1"/>
      <w:marLeft w:val="0"/>
      <w:marRight w:val="0"/>
      <w:marTop w:val="0"/>
      <w:marBottom w:val="0"/>
      <w:divBdr>
        <w:top w:val="none" w:sz="0" w:space="0" w:color="auto"/>
        <w:left w:val="none" w:sz="0" w:space="0" w:color="auto"/>
        <w:bottom w:val="none" w:sz="0" w:space="0" w:color="auto"/>
        <w:right w:val="none" w:sz="0" w:space="0" w:color="auto"/>
      </w:divBdr>
    </w:div>
    <w:div w:id="1324353519">
      <w:bodyDiv w:val="1"/>
      <w:marLeft w:val="0"/>
      <w:marRight w:val="0"/>
      <w:marTop w:val="0"/>
      <w:marBottom w:val="0"/>
      <w:divBdr>
        <w:top w:val="none" w:sz="0" w:space="0" w:color="auto"/>
        <w:left w:val="none" w:sz="0" w:space="0" w:color="auto"/>
        <w:bottom w:val="none" w:sz="0" w:space="0" w:color="auto"/>
        <w:right w:val="none" w:sz="0" w:space="0" w:color="auto"/>
      </w:divBdr>
    </w:div>
    <w:div w:id="1364359659">
      <w:bodyDiv w:val="1"/>
      <w:marLeft w:val="0"/>
      <w:marRight w:val="0"/>
      <w:marTop w:val="0"/>
      <w:marBottom w:val="0"/>
      <w:divBdr>
        <w:top w:val="none" w:sz="0" w:space="0" w:color="auto"/>
        <w:left w:val="none" w:sz="0" w:space="0" w:color="auto"/>
        <w:bottom w:val="none" w:sz="0" w:space="0" w:color="auto"/>
        <w:right w:val="none" w:sz="0" w:space="0" w:color="auto"/>
      </w:divBdr>
    </w:div>
    <w:div w:id="1456827886">
      <w:bodyDiv w:val="1"/>
      <w:marLeft w:val="0"/>
      <w:marRight w:val="0"/>
      <w:marTop w:val="0"/>
      <w:marBottom w:val="0"/>
      <w:divBdr>
        <w:top w:val="none" w:sz="0" w:space="0" w:color="auto"/>
        <w:left w:val="none" w:sz="0" w:space="0" w:color="auto"/>
        <w:bottom w:val="none" w:sz="0" w:space="0" w:color="auto"/>
        <w:right w:val="none" w:sz="0" w:space="0" w:color="auto"/>
      </w:divBdr>
    </w:div>
    <w:div w:id="1576015220">
      <w:bodyDiv w:val="1"/>
      <w:marLeft w:val="0"/>
      <w:marRight w:val="0"/>
      <w:marTop w:val="0"/>
      <w:marBottom w:val="0"/>
      <w:divBdr>
        <w:top w:val="none" w:sz="0" w:space="0" w:color="auto"/>
        <w:left w:val="none" w:sz="0" w:space="0" w:color="auto"/>
        <w:bottom w:val="none" w:sz="0" w:space="0" w:color="auto"/>
        <w:right w:val="none" w:sz="0" w:space="0" w:color="auto"/>
      </w:divBdr>
    </w:div>
    <w:div w:id="1686323516">
      <w:bodyDiv w:val="1"/>
      <w:marLeft w:val="0"/>
      <w:marRight w:val="0"/>
      <w:marTop w:val="0"/>
      <w:marBottom w:val="0"/>
      <w:divBdr>
        <w:top w:val="none" w:sz="0" w:space="0" w:color="auto"/>
        <w:left w:val="none" w:sz="0" w:space="0" w:color="auto"/>
        <w:bottom w:val="none" w:sz="0" w:space="0" w:color="auto"/>
        <w:right w:val="none" w:sz="0" w:space="0" w:color="auto"/>
      </w:divBdr>
      <w:divsChild>
        <w:div w:id="1529492610">
          <w:marLeft w:val="0"/>
          <w:marRight w:val="0"/>
          <w:marTop w:val="0"/>
          <w:marBottom w:val="0"/>
          <w:divBdr>
            <w:top w:val="none" w:sz="0" w:space="0" w:color="auto"/>
            <w:left w:val="none" w:sz="0" w:space="0" w:color="auto"/>
            <w:bottom w:val="none" w:sz="0" w:space="0" w:color="auto"/>
            <w:right w:val="none" w:sz="0" w:space="0" w:color="auto"/>
          </w:divBdr>
        </w:div>
        <w:div w:id="1892501511">
          <w:marLeft w:val="0"/>
          <w:marRight w:val="0"/>
          <w:marTop w:val="0"/>
          <w:marBottom w:val="0"/>
          <w:divBdr>
            <w:top w:val="none" w:sz="0" w:space="0" w:color="auto"/>
            <w:left w:val="none" w:sz="0" w:space="0" w:color="auto"/>
            <w:bottom w:val="none" w:sz="0" w:space="0" w:color="auto"/>
            <w:right w:val="none" w:sz="0" w:space="0" w:color="auto"/>
          </w:divBdr>
        </w:div>
      </w:divsChild>
    </w:div>
    <w:div w:id="1743215865">
      <w:bodyDiv w:val="1"/>
      <w:marLeft w:val="0"/>
      <w:marRight w:val="0"/>
      <w:marTop w:val="0"/>
      <w:marBottom w:val="0"/>
      <w:divBdr>
        <w:top w:val="none" w:sz="0" w:space="0" w:color="auto"/>
        <w:left w:val="none" w:sz="0" w:space="0" w:color="auto"/>
        <w:bottom w:val="none" w:sz="0" w:space="0" w:color="auto"/>
        <w:right w:val="none" w:sz="0" w:space="0" w:color="auto"/>
      </w:divBdr>
    </w:div>
    <w:div w:id="1784567373">
      <w:bodyDiv w:val="1"/>
      <w:marLeft w:val="0"/>
      <w:marRight w:val="0"/>
      <w:marTop w:val="0"/>
      <w:marBottom w:val="0"/>
      <w:divBdr>
        <w:top w:val="none" w:sz="0" w:space="0" w:color="auto"/>
        <w:left w:val="none" w:sz="0" w:space="0" w:color="auto"/>
        <w:bottom w:val="none" w:sz="0" w:space="0" w:color="auto"/>
        <w:right w:val="none" w:sz="0" w:space="0" w:color="auto"/>
      </w:divBdr>
    </w:div>
    <w:div w:id="1860510690">
      <w:bodyDiv w:val="1"/>
      <w:marLeft w:val="0"/>
      <w:marRight w:val="0"/>
      <w:marTop w:val="0"/>
      <w:marBottom w:val="0"/>
      <w:divBdr>
        <w:top w:val="none" w:sz="0" w:space="0" w:color="auto"/>
        <w:left w:val="none" w:sz="0" w:space="0" w:color="auto"/>
        <w:bottom w:val="none" w:sz="0" w:space="0" w:color="auto"/>
        <w:right w:val="none" w:sz="0" w:space="0" w:color="auto"/>
      </w:divBdr>
    </w:div>
    <w:div w:id="1861042432">
      <w:bodyDiv w:val="1"/>
      <w:marLeft w:val="0"/>
      <w:marRight w:val="0"/>
      <w:marTop w:val="0"/>
      <w:marBottom w:val="0"/>
      <w:divBdr>
        <w:top w:val="none" w:sz="0" w:space="0" w:color="auto"/>
        <w:left w:val="none" w:sz="0" w:space="0" w:color="auto"/>
        <w:bottom w:val="none" w:sz="0" w:space="0" w:color="auto"/>
        <w:right w:val="none" w:sz="0" w:space="0" w:color="auto"/>
      </w:divBdr>
      <w:divsChild>
        <w:div w:id="681930161">
          <w:marLeft w:val="0"/>
          <w:marRight w:val="0"/>
          <w:marTop w:val="0"/>
          <w:marBottom w:val="0"/>
          <w:divBdr>
            <w:top w:val="none" w:sz="0" w:space="0" w:color="auto"/>
            <w:left w:val="none" w:sz="0" w:space="0" w:color="auto"/>
            <w:bottom w:val="none" w:sz="0" w:space="0" w:color="auto"/>
            <w:right w:val="none" w:sz="0" w:space="0" w:color="auto"/>
          </w:divBdr>
        </w:div>
        <w:div w:id="1790973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7593067">
              <w:marLeft w:val="0"/>
              <w:marRight w:val="0"/>
              <w:marTop w:val="0"/>
              <w:marBottom w:val="0"/>
              <w:divBdr>
                <w:top w:val="none" w:sz="0" w:space="0" w:color="auto"/>
                <w:left w:val="none" w:sz="0" w:space="0" w:color="auto"/>
                <w:bottom w:val="none" w:sz="0" w:space="0" w:color="auto"/>
                <w:right w:val="none" w:sz="0" w:space="0" w:color="auto"/>
              </w:divBdr>
            </w:div>
          </w:divsChild>
        </w:div>
        <w:div w:id="184038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301796">
              <w:marLeft w:val="0"/>
              <w:marRight w:val="0"/>
              <w:marTop w:val="0"/>
              <w:marBottom w:val="0"/>
              <w:divBdr>
                <w:top w:val="none" w:sz="0" w:space="0" w:color="auto"/>
                <w:left w:val="none" w:sz="0" w:space="0" w:color="auto"/>
                <w:bottom w:val="none" w:sz="0" w:space="0" w:color="auto"/>
                <w:right w:val="none" w:sz="0" w:space="0" w:color="auto"/>
              </w:divBdr>
              <w:divsChild>
                <w:div w:id="315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6547">
      <w:bodyDiv w:val="1"/>
      <w:marLeft w:val="0"/>
      <w:marRight w:val="0"/>
      <w:marTop w:val="0"/>
      <w:marBottom w:val="0"/>
      <w:divBdr>
        <w:top w:val="none" w:sz="0" w:space="0" w:color="auto"/>
        <w:left w:val="none" w:sz="0" w:space="0" w:color="auto"/>
        <w:bottom w:val="none" w:sz="0" w:space="0" w:color="auto"/>
        <w:right w:val="none" w:sz="0" w:space="0" w:color="auto"/>
      </w:divBdr>
    </w:div>
    <w:div w:id="1898121969">
      <w:bodyDiv w:val="1"/>
      <w:marLeft w:val="0"/>
      <w:marRight w:val="0"/>
      <w:marTop w:val="0"/>
      <w:marBottom w:val="0"/>
      <w:divBdr>
        <w:top w:val="none" w:sz="0" w:space="0" w:color="auto"/>
        <w:left w:val="none" w:sz="0" w:space="0" w:color="auto"/>
        <w:bottom w:val="none" w:sz="0" w:space="0" w:color="auto"/>
        <w:right w:val="none" w:sz="0" w:space="0" w:color="auto"/>
      </w:divBdr>
    </w:div>
    <w:div w:id="1923026126">
      <w:bodyDiv w:val="1"/>
      <w:marLeft w:val="0"/>
      <w:marRight w:val="0"/>
      <w:marTop w:val="0"/>
      <w:marBottom w:val="0"/>
      <w:divBdr>
        <w:top w:val="none" w:sz="0" w:space="0" w:color="auto"/>
        <w:left w:val="none" w:sz="0" w:space="0" w:color="auto"/>
        <w:bottom w:val="none" w:sz="0" w:space="0" w:color="auto"/>
        <w:right w:val="none" w:sz="0" w:space="0" w:color="auto"/>
      </w:divBdr>
    </w:div>
    <w:div w:id="2014796331">
      <w:bodyDiv w:val="1"/>
      <w:marLeft w:val="0"/>
      <w:marRight w:val="0"/>
      <w:marTop w:val="0"/>
      <w:marBottom w:val="0"/>
      <w:divBdr>
        <w:top w:val="none" w:sz="0" w:space="0" w:color="auto"/>
        <w:left w:val="none" w:sz="0" w:space="0" w:color="auto"/>
        <w:bottom w:val="none" w:sz="0" w:space="0" w:color="auto"/>
        <w:right w:val="none" w:sz="0" w:space="0" w:color="auto"/>
      </w:divBdr>
    </w:div>
    <w:div w:id="2076850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h.hu/docs/hun/xftp/idoszaki/regiok/mesz/04_b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sh.hu/docs/hun/xftp/idoszaki/mosz/mosz13.pdf" TargetMode="External"/><Relationship Id="rId4" Type="http://schemas.openxmlformats.org/officeDocument/2006/relationships/settings" Target="settings.xml"/><Relationship Id="rId9" Type="http://schemas.openxmlformats.org/officeDocument/2006/relationships/hyperlink" Target="mailto:rosztoczy.andras@med.u-szeged.h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4415</Words>
  <Characters>25167</Characters>
  <Application>Microsoft Office Word</Application>
  <DocSecurity>0</DocSecurity>
  <Lines>209</Lines>
  <Paragraphs>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China</Company>
  <LinksUpToDate>false</LinksUpToDate>
  <CharactersWithSpaces>29523</CharactersWithSpaces>
  <SharedDoc>false</SharedDoc>
  <HLinks>
    <vt:vector size="24" baseType="variant">
      <vt:variant>
        <vt:i4>2031726</vt:i4>
      </vt:variant>
      <vt:variant>
        <vt:i4>9</vt:i4>
      </vt:variant>
      <vt:variant>
        <vt:i4>0</vt:i4>
      </vt:variant>
      <vt:variant>
        <vt:i4>5</vt:i4>
      </vt:variant>
      <vt:variant>
        <vt:lpwstr>http://www.ksh.hu/docs/hun/xftp/idoszaki/regiok/mesz/04_be.pdf</vt:lpwstr>
      </vt:variant>
      <vt:variant>
        <vt:lpwstr/>
      </vt:variant>
      <vt:variant>
        <vt:i4>4980805</vt:i4>
      </vt:variant>
      <vt:variant>
        <vt:i4>6</vt:i4>
      </vt:variant>
      <vt:variant>
        <vt:i4>0</vt:i4>
      </vt:variant>
      <vt:variant>
        <vt:i4>5</vt:i4>
      </vt:variant>
      <vt:variant>
        <vt:lpwstr>https://www.ksh.hu/docs/hun/xftp/idoszaki/mosz/mosz13.pdf</vt:lpwstr>
      </vt:variant>
      <vt:variant>
        <vt:lpwstr/>
      </vt:variant>
      <vt:variant>
        <vt:i4>6160426</vt:i4>
      </vt:variant>
      <vt:variant>
        <vt:i4>3</vt:i4>
      </vt:variant>
      <vt:variant>
        <vt:i4>0</vt:i4>
      </vt:variant>
      <vt:variant>
        <vt:i4>5</vt:i4>
      </vt:variant>
      <vt:variant>
        <vt:lpwstr>mailto:rosztoczy.andras@med.u-szeged.hu</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Felber Magdolna</dc:creator>
  <cp:lastModifiedBy>User</cp:lastModifiedBy>
  <cp:revision>2</cp:revision>
  <cp:lastPrinted>2019-10-10T07:30:00Z</cp:lastPrinted>
  <dcterms:created xsi:type="dcterms:W3CDTF">2019-11-14T02:31:00Z</dcterms:created>
  <dcterms:modified xsi:type="dcterms:W3CDTF">2019-11-14T02:31:00Z</dcterms:modified>
</cp:coreProperties>
</file>