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C6CB2" w14:textId="15A0EB6C" w:rsidR="00163109" w:rsidRPr="003B1108" w:rsidRDefault="002874D3" w:rsidP="003B1108">
      <w:pPr>
        <w:adjustRightInd w:val="0"/>
        <w:snapToGrid w:val="0"/>
        <w:spacing w:line="360" w:lineRule="auto"/>
        <w:rPr>
          <w:rFonts w:ascii="Book Antiqua" w:eastAsiaTheme="minorEastAsia" w:hAnsi="Book Antiqua"/>
          <w:i/>
          <w:sz w:val="24"/>
          <w:szCs w:val="24"/>
        </w:rPr>
      </w:pPr>
      <w:r w:rsidRPr="003B1108">
        <w:rPr>
          <w:rFonts w:ascii="Book Antiqua" w:eastAsia="Arial" w:hAnsi="Book Antiqua"/>
          <w:b/>
          <w:bCs/>
          <w:sz w:val="24"/>
          <w:szCs w:val="24"/>
        </w:rPr>
        <w:t>Name of Journal:</w:t>
      </w:r>
      <w:r w:rsidRPr="003B1108">
        <w:rPr>
          <w:rFonts w:ascii="Book Antiqua" w:eastAsia="Arial" w:hAnsi="Book Antiqua"/>
          <w:sz w:val="24"/>
          <w:szCs w:val="24"/>
        </w:rPr>
        <w:t xml:space="preserve"> </w:t>
      </w:r>
      <w:r w:rsidRPr="003B1108">
        <w:rPr>
          <w:rFonts w:ascii="Book Antiqua" w:eastAsia="Arial" w:hAnsi="Book Antiqua"/>
          <w:b/>
          <w:bCs/>
          <w:i/>
          <w:sz w:val="24"/>
          <w:szCs w:val="24"/>
        </w:rPr>
        <w:t>World Journal of Gastroenterology</w:t>
      </w:r>
    </w:p>
    <w:p w14:paraId="09C3B462" w14:textId="5803675B" w:rsidR="00163109" w:rsidRPr="003B1108" w:rsidRDefault="002874D3" w:rsidP="003B1108">
      <w:pPr>
        <w:pStyle w:val="1"/>
        <w:adjustRightInd w:val="0"/>
        <w:snapToGrid w:val="0"/>
        <w:spacing w:line="360" w:lineRule="auto"/>
        <w:jc w:val="both"/>
        <w:rPr>
          <w:rFonts w:ascii="Book Antiqua" w:hAnsi="Book Antiqua" w:cs="Times New Roman"/>
          <w:bCs/>
          <w:color w:val="auto"/>
          <w:sz w:val="24"/>
          <w:szCs w:val="24"/>
          <w:highlight w:val="white"/>
          <w:lang w:eastAsia="zh-CN"/>
        </w:rPr>
      </w:pPr>
      <w:r w:rsidRPr="003B1108">
        <w:rPr>
          <w:rFonts w:ascii="Book Antiqua" w:hAnsi="Book Antiqua" w:cs="Times New Roman"/>
          <w:b/>
          <w:color w:val="auto"/>
          <w:sz w:val="24"/>
          <w:szCs w:val="24"/>
          <w:highlight w:val="white"/>
          <w:lang w:eastAsia="zh-CN"/>
        </w:rPr>
        <w:t>Manuscript NO:</w:t>
      </w:r>
      <w:r w:rsidRPr="003B1108">
        <w:rPr>
          <w:rFonts w:ascii="Book Antiqua" w:hAnsi="Book Antiqua" w:cs="Times New Roman"/>
          <w:bCs/>
          <w:color w:val="auto"/>
          <w:sz w:val="24"/>
          <w:szCs w:val="24"/>
          <w:highlight w:val="white"/>
          <w:lang w:eastAsia="zh-CN"/>
        </w:rPr>
        <w:t xml:space="preserve"> </w:t>
      </w:r>
      <w:r w:rsidRPr="003B1108">
        <w:rPr>
          <w:rFonts w:ascii="Book Antiqua" w:hAnsi="Book Antiqua" w:cs="Times New Roman"/>
          <w:b/>
          <w:color w:val="auto"/>
          <w:sz w:val="24"/>
          <w:szCs w:val="24"/>
          <w:highlight w:val="white"/>
          <w:lang w:eastAsia="zh-CN"/>
        </w:rPr>
        <w:t>51278</w:t>
      </w:r>
    </w:p>
    <w:p w14:paraId="55CD3401" w14:textId="05753515" w:rsidR="000F136E" w:rsidRPr="003B1108" w:rsidRDefault="002874D3" w:rsidP="003B1108">
      <w:pPr>
        <w:adjustRightInd w:val="0"/>
        <w:snapToGrid w:val="0"/>
        <w:spacing w:line="360" w:lineRule="auto"/>
        <w:rPr>
          <w:rFonts w:ascii="Book Antiqua" w:eastAsia="Arial" w:hAnsi="Book Antiqua"/>
          <w:b/>
          <w:bCs/>
          <w:sz w:val="24"/>
          <w:szCs w:val="24"/>
        </w:rPr>
      </w:pPr>
      <w:r w:rsidRPr="003B1108">
        <w:rPr>
          <w:rFonts w:ascii="Book Antiqua" w:eastAsia="Arial" w:hAnsi="Book Antiqua"/>
          <w:b/>
          <w:bCs/>
          <w:sz w:val="24"/>
          <w:szCs w:val="24"/>
        </w:rPr>
        <w:t>Manuscript Type:</w:t>
      </w:r>
      <w:r w:rsidR="000F136E" w:rsidRPr="003B1108">
        <w:rPr>
          <w:rFonts w:ascii="Book Antiqua" w:eastAsia="Arial" w:hAnsi="Book Antiqua"/>
          <w:b/>
          <w:bCs/>
          <w:sz w:val="24"/>
          <w:szCs w:val="24"/>
        </w:rPr>
        <w:t xml:space="preserve"> </w:t>
      </w:r>
      <w:bookmarkStart w:id="0" w:name="OLE_LINK12"/>
      <w:bookmarkStart w:id="1" w:name="OLE_LINK13"/>
      <w:r w:rsidR="000F136E" w:rsidRPr="003B1108">
        <w:rPr>
          <w:rFonts w:ascii="Book Antiqua" w:hAnsi="Book Antiqua"/>
          <w:b/>
          <w:color w:val="000000"/>
          <w:sz w:val="24"/>
          <w:szCs w:val="24"/>
        </w:rPr>
        <w:t>ORIGINAL ARTICLE</w:t>
      </w:r>
      <w:bookmarkEnd w:id="0"/>
      <w:bookmarkEnd w:id="1"/>
    </w:p>
    <w:p w14:paraId="0B500BEC" w14:textId="6BB7E64C" w:rsidR="002874D3" w:rsidRPr="003B1108" w:rsidRDefault="002874D3" w:rsidP="003B1108">
      <w:pPr>
        <w:adjustRightInd w:val="0"/>
        <w:snapToGrid w:val="0"/>
        <w:spacing w:line="360" w:lineRule="auto"/>
        <w:rPr>
          <w:rFonts w:ascii="Book Antiqua" w:eastAsia="Arial" w:hAnsi="Book Antiqua"/>
          <w:sz w:val="24"/>
          <w:szCs w:val="24"/>
        </w:rPr>
      </w:pPr>
    </w:p>
    <w:p w14:paraId="5E2A3494" w14:textId="473C3486" w:rsidR="002874D3" w:rsidRPr="003B1108" w:rsidRDefault="000F136E" w:rsidP="003B1108">
      <w:pPr>
        <w:adjustRightInd w:val="0"/>
        <w:snapToGrid w:val="0"/>
        <w:spacing w:line="360" w:lineRule="auto"/>
        <w:rPr>
          <w:rFonts w:ascii="Book Antiqua" w:eastAsia="Arial" w:hAnsi="Book Antiqua"/>
          <w:b/>
          <w:bCs/>
          <w:i/>
          <w:iCs/>
          <w:sz w:val="24"/>
          <w:szCs w:val="24"/>
        </w:rPr>
      </w:pPr>
      <w:r w:rsidRPr="003B1108">
        <w:rPr>
          <w:rFonts w:ascii="Book Antiqua" w:eastAsia="Arial" w:hAnsi="Book Antiqua"/>
          <w:b/>
          <w:bCs/>
          <w:i/>
          <w:iCs/>
          <w:sz w:val="24"/>
          <w:szCs w:val="24"/>
        </w:rPr>
        <w:t>Observational Study</w:t>
      </w:r>
    </w:p>
    <w:p w14:paraId="615E1E73" w14:textId="6BDA2527" w:rsidR="002874D3" w:rsidRPr="003B1108" w:rsidRDefault="002874D3" w:rsidP="003B1108">
      <w:pPr>
        <w:adjustRightInd w:val="0"/>
        <w:snapToGrid w:val="0"/>
        <w:spacing w:line="360" w:lineRule="auto"/>
        <w:rPr>
          <w:rFonts w:ascii="Book Antiqua" w:hAnsi="Book Antiqua"/>
          <w:b/>
          <w:sz w:val="24"/>
          <w:szCs w:val="24"/>
        </w:rPr>
      </w:pPr>
      <w:r w:rsidRPr="003B1108">
        <w:rPr>
          <w:rFonts w:ascii="Book Antiqua" w:hAnsi="Book Antiqua"/>
          <w:b/>
          <w:sz w:val="24"/>
          <w:szCs w:val="24"/>
        </w:rPr>
        <w:t>Real life efficacy and safety of direct-acting antiviral therapy for treatment of</w:t>
      </w:r>
      <w:r w:rsidR="004C5F2D">
        <w:rPr>
          <w:rFonts w:ascii="Book Antiqua" w:hAnsi="Book Antiqua"/>
          <w:b/>
          <w:sz w:val="24"/>
          <w:szCs w:val="24"/>
        </w:rPr>
        <w:t xml:space="preserve"> </w:t>
      </w:r>
      <w:r w:rsidRPr="003B1108">
        <w:rPr>
          <w:rFonts w:ascii="Book Antiqua" w:hAnsi="Book Antiqua"/>
          <w:b/>
          <w:sz w:val="24"/>
          <w:szCs w:val="24"/>
        </w:rPr>
        <w:t xml:space="preserve">patients </w:t>
      </w:r>
      <w:r w:rsidR="004C5F2D">
        <w:rPr>
          <w:rFonts w:ascii="Book Antiqua" w:hAnsi="Book Antiqua"/>
          <w:b/>
          <w:sz w:val="24"/>
          <w:szCs w:val="24"/>
        </w:rPr>
        <w:t xml:space="preserve">infected </w:t>
      </w:r>
      <w:r w:rsidRPr="003B1108">
        <w:rPr>
          <w:rFonts w:ascii="Book Antiqua" w:hAnsi="Book Antiqua"/>
          <w:b/>
          <w:sz w:val="24"/>
          <w:szCs w:val="24"/>
        </w:rPr>
        <w:t xml:space="preserve">with </w:t>
      </w:r>
      <w:r w:rsidR="004C5F2D" w:rsidRPr="003B1108">
        <w:rPr>
          <w:rFonts w:ascii="Book Antiqua" w:hAnsi="Book Antiqua"/>
          <w:b/>
          <w:sz w:val="24"/>
          <w:szCs w:val="24"/>
        </w:rPr>
        <w:t xml:space="preserve">hepatitis C </w:t>
      </w:r>
      <w:r w:rsidR="004C5F2D">
        <w:rPr>
          <w:rFonts w:ascii="Book Antiqua" w:hAnsi="Book Antiqua"/>
          <w:b/>
          <w:sz w:val="24"/>
          <w:szCs w:val="24"/>
        </w:rPr>
        <w:t xml:space="preserve">virus </w:t>
      </w:r>
      <w:r w:rsidRPr="003B1108">
        <w:rPr>
          <w:rFonts w:ascii="Book Antiqua" w:hAnsi="Book Antiqua"/>
          <w:b/>
          <w:sz w:val="24"/>
          <w:szCs w:val="24"/>
        </w:rPr>
        <w:t>genotypes 1, 2 and 3 in northwest China</w:t>
      </w:r>
    </w:p>
    <w:p w14:paraId="72C30D99" w14:textId="1AA83F1C" w:rsidR="002874D3" w:rsidRPr="003B1108" w:rsidRDefault="002874D3" w:rsidP="003B1108">
      <w:pPr>
        <w:adjustRightInd w:val="0"/>
        <w:snapToGrid w:val="0"/>
        <w:spacing w:line="360" w:lineRule="auto"/>
        <w:rPr>
          <w:rFonts w:ascii="Book Antiqua" w:hAnsi="Book Antiqua"/>
          <w:bCs/>
          <w:sz w:val="24"/>
          <w:szCs w:val="24"/>
        </w:rPr>
      </w:pPr>
    </w:p>
    <w:p w14:paraId="18E8EE36" w14:textId="10C1741C" w:rsidR="00E64B70" w:rsidRPr="003B1108" w:rsidRDefault="00E64B70" w:rsidP="003B1108">
      <w:pPr>
        <w:adjustRightInd w:val="0"/>
        <w:snapToGrid w:val="0"/>
        <w:spacing w:line="360" w:lineRule="auto"/>
        <w:rPr>
          <w:rFonts w:ascii="Book Antiqua" w:hAnsi="Book Antiqua"/>
          <w:bCs/>
          <w:sz w:val="24"/>
          <w:szCs w:val="24"/>
        </w:rPr>
      </w:pPr>
      <w:r w:rsidRPr="003B1108">
        <w:rPr>
          <w:rFonts w:ascii="Book Antiqua" w:hAnsi="Book Antiqua"/>
          <w:bCs/>
          <w:sz w:val="24"/>
          <w:szCs w:val="24"/>
        </w:rPr>
        <w:t xml:space="preserve">Yang Y </w:t>
      </w:r>
      <w:r w:rsidRPr="003B1108">
        <w:rPr>
          <w:rFonts w:ascii="Book Antiqua" w:hAnsi="Book Antiqua"/>
          <w:bCs/>
          <w:i/>
          <w:iCs/>
          <w:sz w:val="24"/>
          <w:szCs w:val="24"/>
        </w:rPr>
        <w:t>et al</w:t>
      </w:r>
      <w:r w:rsidRPr="003B1108">
        <w:rPr>
          <w:rFonts w:ascii="Book Antiqua" w:hAnsi="Book Antiqua"/>
          <w:bCs/>
          <w:sz w:val="24"/>
          <w:szCs w:val="24"/>
        </w:rPr>
        <w:t xml:space="preserve">. </w:t>
      </w:r>
      <w:r w:rsidR="003B1108" w:rsidRPr="003B1108">
        <w:rPr>
          <w:rFonts w:ascii="Book Antiqua" w:hAnsi="Book Antiqua"/>
          <w:bCs/>
          <w:sz w:val="24"/>
          <w:szCs w:val="24"/>
        </w:rPr>
        <w:t>DAAs</w:t>
      </w:r>
      <w:r w:rsidRPr="003B1108">
        <w:rPr>
          <w:rFonts w:ascii="Book Antiqua" w:hAnsi="Book Antiqua"/>
          <w:bCs/>
          <w:sz w:val="24"/>
          <w:szCs w:val="24"/>
        </w:rPr>
        <w:t xml:space="preserve"> for the treatment of genotype 1, 2 and 3 </w:t>
      </w:r>
      <w:r w:rsidR="004C5F2D" w:rsidRPr="003B1108">
        <w:rPr>
          <w:rFonts w:ascii="Book Antiqua" w:hAnsi="Book Antiqua"/>
          <w:bCs/>
          <w:sz w:val="24"/>
          <w:szCs w:val="24"/>
        </w:rPr>
        <w:t>HCV</w:t>
      </w:r>
      <w:r w:rsidR="004C5F2D">
        <w:rPr>
          <w:rFonts w:ascii="Book Antiqua" w:hAnsi="Book Antiqua"/>
          <w:bCs/>
          <w:sz w:val="24"/>
          <w:szCs w:val="24"/>
        </w:rPr>
        <w:t xml:space="preserve"> infection</w:t>
      </w:r>
    </w:p>
    <w:p w14:paraId="4389CF77" w14:textId="77777777" w:rsidR="00E64B70" w:rsidRPr="003B1108" w:rsidRDefault="00E64B70" w:rsidP="003B1108">
      <w:pPr>
        <w:adjustRightInd w:val="0"/>
        <w:snapToGrid w:val="0"/>
        <w:spacing w:line="360" w:lineRule="auto"/>
        <w:rPr>
          <w:rFonts w:ascii="Book Antiqua" w:hAnsi="Book Antiqua"/>
          <w:bCs/>
          <w:sz w:val="24"/>
          <w:szCs w:val="24"/>
        </w:rPr>
      </w:pPr>
    </w:p>
    <w:p w14:paraId="04CC6DE2" w14:textId="77777777" w:rsidR="00A01A48" w:rsidRPr="003B1108" w:rsidRDefault="00A01A48" w:rsidP="003B1108">
      <w:pPr>
        <w:adjustRightInd w:val="0"/>
        <w:snapToGrid w:val="0"/>
        <w:spacing w:line="360" w:lineRule="auto"/>
        <w:rPr>
          <w:rFonts w:ascii="Book Antiqua" w:hAnsi="Book Antiqua"/>
          <w:bCs/>
          <w:sz w:val="24"/>
          <w:szCs w:val="24"/>
        </w:rPr>
      </w:pPr>
      <w:r w:rsidRPr="003B1108">
        <w:rPr>
          <w:rFonts w:ascii="Book Antiqua" w:hAnsi="Book Antiqua"/>
          <w:bCs/>
          <w:sz w:val="24"/>
          <w:szCs w:val="24"/>
        </w:rPr>
        <w:t xml:space="preserve">Ying Yang, Feng-Ping Wu, Wen-Jun Wang, Juan-Juan Shi, </w:t>
      </w:r>
      <w:proofErr w:type="spellStart"/>
      <w:r w:rsidRPr="003B1108">
        <w:rPr>
          <w:rFonts w:ascii="Book Antiqua" w:hAnsi="Book Antiqua"/>
          <w:bCs/>
          <w:sz w:val="24"/>
          <w:szCs w:val="24"/>
        </w:rPr>
        <w:t>Ya</w:t>
      </w:r>
      <w:proofErr w:type="spellEnd"/>
      <w:r w:rsidRPr="003B1108">
        <w:rPr>
          <w:rFonts w:ascii="Book Antiqua" w:hAnsi="Book Antiqua"/>
          <w:bCs/>
          <w:sz w:val="24"/>
          <w:szCs w:val="24"/>
        </w:rPr>
        <w:t xml:space="preserve">-Ping Li, </w:t>
      </w:r>
      <w:proofErr w:type="spellStart"/>
      <w:r w:rsidRPr="003B1108">
        <w:rPr>
          <w:rFonts w:ascii="Book Antiqua" w:hAnsi="Book Antiqua"/>
          <w:bCs/>
          <w:sz w:val="24"/>
          <w:szCs w:val="24"/>
        </w:rPr>
        <w:t>Xin</w:t>
      </w:r>
      <w:proofErr w:type="spellEnd"/>
      <w:r w:rsidRPr="003B1108">
        <w:rPr>
          <w:rFonts w:ascii="Book Antiqua" w:hAnsi="Book Antiqua"/>
          <w:bCs/>
          <w:sz w:val="24"/>
          <w:szCs w:val="24"/>
        </w:rPr>
        <w:t xml:space="preserve"> Zhang, Shang-Suo Dang</w:t>
      </w:r>
    </w:p>
    <w:p w14:paraId="453E09D3" w14:textId="780BBC97" w:rsidR="00163109" w:rsidRPr="003B1108" w:rsidRDefault="00163109" w:rsidP="003B1108">
      <w:pPr>
        <w:adjustRightInd w:val="0"/>
        <w:snapToGrid w:val="0"/>
        <w:spacing w:line="360" w:lineRule="auto"/>
        <w:rPr>
          <w:rFonts w:ascii="Book Antiqua" w:hAnsi="Book Antiqua"/>
          <w:bCs/>
          <w:sz w:val="24"/>
          <w:szCs w:val="24"/>
        </w:rPr>
      </w:pPr>
    </w:p>
    <w:p w14:paraId="754EDDFF" w14:textId="2714CC75" w:rsidR="00163109" w:rsidRPr="003B1108" w:rsidRDefault="00163109" w:rsidP="003B1108">
      <w:pPr>
        <w:adjustRightInd w:val="0"/>
        <w:snapToGrid w:val="0"/>
        <w:spacing w:line="360" w:lineRule="auto"/>
        <w:rPr>
          <w:rFonts w:ascii="Book Antiqua" w:hAnsi="Book Antiqua"/>
          <w:bCs/>
          <w:sz w:val="24"/>
          <w:szCs w:val="24"/>
        </w:rPr>
      </w:pPr>
      <w:bookmarkStart w:id="2" w:name="_Hlk24064445"/>
      <w:r w:rsidRPr="003B1108">
        <w:rPr>
          <w:rFonts w:ascii="Book Antiqua" w:hAnsi="Book Antiqua"/>
          <w:b/>
          <w:sz w:val="24"/>
          <w:szCs w:val="24"/>
        </w:rPr>
        <w:t xml:space="preserve">Ying Yang, Feng-Ping Wu, Wen-Jun Wang, Juan-Juan Shi, </w:t>
      </w:r>
      <w:proofErr w:type="spellStart"/>
      <w:r w:rsidRPr="003B1108">
        <w:rPr>
          <w:rFonts w:ascii="Book Antiqua" w:hAnsi="Book Antiqua"/>
          <w:b/>
          <w:sz w:val="24"/>
          <w:szCs w:val="24"/>
        </w:rPr>
        <w:t>Ya</w:t>
      </w:r>
      <w:proofErr w:type="spellEnd"/>
      <w:r w:rsidRPr="003B1108">
        <w:rPr>
          <w:rFonts w:ascii="Book Antiqua" w:hAnsi="Book Antiqua"/>
          <w:b/>
          <w:sz w:val="24"/>
          <w:szCs w:val="24"/>
        </w:rPr>
        <w:t xml:space="preserve">-Ping Li, </w:t>
      </w:r>
      <w:proofErr w:type="spellStart"/>
      <w:r w:rsidRPr="003B1108">
        <w:rPr>
          <w:rFonts w:ascii="Book Antiqua" w:hAnsi="Book Antiqua"/>
          <w:b/>
          <w:sz w:val="24"/>
          <w:szCs w:val="24"/>
        </w:rPr>
        <w:t>Xin</w:t>
      </w:r>
      <w:proofErr w:type="spellEnd"/>
      <w:r w:rsidRPr="003B1108">
        <w:rPr>
          <w:rFonts w:ascii="Book Antiqua" w:hAnsi="Book Antiqua"/>
          <w:b/>
          <w:sz w:val="24"/>
          <w:szCs w:val="24"/>
        </w:rPr>
        <w:t xml:space="preserve"> Zhang, Shang-Suo Dang</w:t>
      </w:r>
      <w:bookmarkEnd w:id="2"/>
      <w:r w:rsidRPr="00E52584">
        <w:rPr>
          <w:rFonts w:ascii="Book Antiqua" w:hAnsi="Book Antiqua"/>
          <w:b/>
          <w:sz w:val="24"/>
          <w:szCs w:val="24"/>
        </w:rPr>
        <w:t>,</w:t>
      </w:r>
      <w:r w:rsidRPr="003B1108">
        <w:rPr>
          <w:rFonts w:ascii="Book Antiqua" w:hAnsi="Book Antiqua"/>
          <w:bCs/>
          <w:sz w:val="24"/>
          <w:szCs w:val="24"/>
        </w:rPr>
        <w:t xml:space="preserve"> Department of Infectious Diseases, the Second Affiliated Hospital of Xi’</w:t>
      </w:r>
      <w:r w:rsidR="00300BFA" w:rsidRPr="003B1108">
        <w:rPr>
          <w:rFonts w:ascii="Book Antiqua" w:hAnsi="Book Antiqua"/>
          <w:bCs/>
          <w:sz w:val="24"/>
          <w:szCs w:val="24"/>
        </w:rPr>
        <w:t>a</w:t>
      </w:r>
      <w:r w:rsidRPr="003B1108">
        <w:rPr>
          <w:rFonts w:ascii="Book Antiqua" w:hAnsi="Book Antiqua"/>
          <w:bCs/>
          <w:sz w:val="24"/>
          <w:szCs w:val="24"/>
        </w:rPr>
        <w:t xml:space="preserve">n </w:t>
      </w:r>
      <w:proofErr w:type="spellStart"/>
      <w:r w:rsidRPr="003B1108">
        <w:rPr>
          <w:rFonts w:ascii="Book Antiqua" w:hAnsi="Book Antiqua"/>
          <w:bCs/>
          <w:sz w:val="24"/>
          <w:szCs w:val="24"/>
        </w:rPr>
        <w:t>Jiaotong</w:t>
      </w:r>
      <w:proofErr w:type="spellEnd"/>
      <w:r w:rsidRPr="003B1108">
        <w:rPr>
          <w:rFonts w:ascii="Book Antiqua" w:hAnsi="Book Antiqua"/>
          <w:bCs/>
          <w:sz w:val="24"/>
          <w:szCs w:val="24"/>
        </w:rPr>
        <w:t xml:space="preserve"> University, Xi’</w:t>
      </w:r>
      <w:r w:rsidR="00300BFA" w:rsidRPr="003B1108">
        <w:rPr>
          <w:rFonts w:ascii="Book Antiqua" w:hAnsi="Book Antiqua"/>
          <w:bCs/>
          <w:sz w:val="24"/>
          <w:szCs w:val="24"/>
        </w:rPr>
        <w:t>a</w:t>
      </w:r>
      <w:r w:rsidRPr="003B1108">
        <w:rPr>
          <w:rFonts w:ascii="Book Antiqua" w:hAnsi="Book Antiqua"/>
          <w:bCs/>
          <w:sz w:val="24"/>
          <w:szCs w:val="24"/>
        </w:rPr>
        <w:t>n 710004, Shaanxi Province, China</w:t>
      </w:r>
    </w:p>
    <w:p w14:paraId="79BF3F39" w14:textId="38E9734E" w:rsidR="00163109" w:rsidRPr="003B1108" w:rsidRDefault="00163109" w:rsidP="003B1108">
      <w:pPr>
        <w:adjustRightInd w:val="0"/>
        <w:snapToGrid w:val="0"/>
        <w:spacing w:line="360" w:lineRule="auto"/>
        <w:rPr>
          <w:rFonts w:ascii="Book Antiqua" w:hAnsi="Book Antiqua"/>
          <w:bCs/>
          <w:sz w:val="24"/>
          <w:szCs w:val="24"/>
        </w:rPr>
      </w:pPr>
    </w:p>
    <w:p w14:paraId="6EF94C14" w14:textId="17613AD8" w:rsidR="00163109" w:rsidRPr="003B1108" w:rsidRDefault="006D1A3F" w:rsidP="003B1108">
      <w:pPr>
        <w:adjustRightInd w:val="0"/>
        <w:snapToGrid w:val="0"/>
        <w:spacing w:line="360" w:lineRule="auto"/>
        <w:rPr>
          <w:rFonts w:ascii="Book Antiqua" w:hAnsi="Book Antiqua"/>
          <w:bCs/>
          <w:sz w:val="24"/>
          <w:szCs w:val="24"/>
        </w:rPr>
      </w:pPr>
      <w:r w:rsidRPr="003B1108">
        <w:rPr>
          <w:rFonts w:ascii="Book Antiqua" w:hAnsi="Book Antiqua"/>
          <w:b/>
          <w:sz w:val="24"/>
          <w:szCs w:val="24"/>
        </w:rPr>
        <w:t>ORCID number:</w:t>
      </w:r>
      <w:r w:rsidRPr="003B1108">
        <w:rPr>
          <w:rFonts w:ascii="Book Antiqua" w:hAnsi="Book Antiqua"/>
          <w:bCs/>
          <w:sz w:val="24"/>
          <w:szCs w:val="24"/>
        </w:rPr>
        <w:t xml:space="preserve"> Ying Yang (0000-0002-8718-0993)</w:t>
      </w:r>
      <w:r w:rsidR="007A5288" w:rsidRPr="003B1108">
        <w:rPr>
          <w:rFonts w:ascii="Book Antiqua" w:hAnsi="Book Antiqua"/>
          <w:bCs/>
          <w:sz w:val="24"/>
          <w:szCs w:val="24"/>
        </w:rPr>
        <w:t>;</w:t>
      </w:r>
      <w:r w:rsidRPr="003B1108">
        <w:rPr>
          <w:rFonts w:ascii="Book Antiqua" w:hAnsi="Book Antiqua"/>
          <w:bCs/>
          <w:sz w:val="24"/>
          <w:szCs w:val="24"/>
        </w:rPr>
        <w:t xml:space="preserve"> Feng-Ping Wu (0000-0002-4572-3873)</w:t>
      </w:r>
      <w:r w:rsidR="007A5288" w:rsidRPr="003B1108">
        <w:rPr>
          <w:rFonts w:ascii="Book Antiqua" w:hAnsi="Book Antiqua"/>
          <w:bCs/>
          <w:sz w:val="24"/>
          <w:szCs w:val="24"/>
        </w:rPr>
        <w:t>;</w:t>
      </w:r>
      <w:r w:rsidRPr="003B1108">
        <w:rPr>
          <w:rFonts w:ascii="Book Antiqua" w:hAnsi="Book Antiqua"/>
          <w:bCs/>
          <w:sz w:val="24"/>
          <w:szCs w:val="24"/>
        </w:rPr>
        <w:t xml:space="preserve"> Wen-Jun Wang (0000-0001-9861-1763)</w:t>
      </w:r>
      <w:r w:rsidR="007A5288" w:rsidRPr="003B1108">
        <w:rPr>
          <w:rFonts w:ascii="Book Antiqua" w:hAnsi="Book Antiqua"/>
          <w:bCs/>
          <w:sz w:val="24"/>
          <w:szCs w:val="24"/>
        </w:rPr>
        <w:t>;</w:t>
      </w:r>
      <w:r w:rsidRPr="003B1108">
        <w:rPr>
          <w:rFonts w:ascii="Book Antiqua" w:hAnsi="Book Antiqua"/>
          <w:bCs/>
          <w:sz w:val="24"/>
          <w:szCs w:val="24"/>
        </w:rPr>
        <w:t xml:space="preserve"> Juan-Juan Shi (0000-0002-5626-9821)</w:t>
      </w:r>
      <w:r w:rsidR="007A5288" w:rsidRPr="003B1108">
        <w:rPr>
          <w:rFonts w:ascii="Book Antiqua" w:hAnsi="Book Antiqua"/>
          <w:bCs/>
          <w:sz w:val="24"/>
          <w:szCs w:val="24"/>
        </w:rPr>
        <w:t>;</w:t>
      </w:r>
      <w:r w:rsidRPr="003B1108">
        <w:rPr>
          <w:rFonts w:ascii="Book Antiqua" w:hAnsi="Book Antiqua"/>
          <w:bCs/>
          <w:sz w:val="24"/>
          <w:szCs w:val="24"/>
        </w:rPr>
        <w:t xml:space="preserve"> </w:t>
      </w:r>
      <w:proofErr w:type="spellStart"/>
      <w:r w:rsidRPr="003B1108">
        <w:rPr>
          <w:rFonts w:ascii="Book Antiqua" w:hAnsi="Book Antiqua"/>
          <w:bCs/>
          <w:sz w:val="24"/>
          <w:szCs w:val="24"/>
        </w:rPr>
        <w:t>Ya</w:t>
      </w:r>
      <w:proofErr w:type="spellEnd"/>
      <w:r w:rsidRPr="003B1108">
        <w:rPr>
          <w:rFonts w:ascii="Book Antiqua" w:hAnsi="Book Antiqua"/>
          <w:bCs/>
          <w:sz w:val="24"/>
          <w:szCs w:val="24"/>
        </w:rPr>
        <w:t>-Ping Li (</w:t>
      </w:r>
      <w:r w:rsidR="00DC767D" w:rsidRPr="003B1108">
        <w:rPr>
          <w:rFonts w:ascii="Book Antiqua" w:hAnsi="Book Antiqua"/>
          <w:bCs/>
          <w:sz w:val="24"/>
          <w:szCs w:val="24"/>
        </w:rPr>
        <w:tab/>
        <w:t>0000-0002-0900-5559</w:t>
      </w:r>
      <w:r w:rsidRPr="003B1108">
        <w:rPr>
          <w:rFonts w:ascii="Book Antiqua" w:hAnsi="Book Antiqua"/>
          <w:bCs/>
          <w:sz w:val="24"/>
          <w:szCs w:val="24"/>
        </w:rPr>
        <w:t>)</w:t>
      </w:r>
      <w:r w:rsidR="007A5288" w:rsidRPr="003B1108">
        <w:rPr>
          <w:rFonts w:ascii="Book Antiqua" w:hAnsi="Book Antiqua"/>
          <w:bCs/>
          <w:sz w:val="24"/>
          <w:szCs w:val="24"/>
        </w:rPr>
        <w:t>;</w:t>
      </w:r>
      <w:r w:rsidRPr="003B1108">
        <w:rPr>
          <w:rFonts w:ascii="Book Antiqua" w:hAnsi="Book Antiqua"/>
          <w:bCs/>
          <w:sz w:val="24"/>
          <w:szCs w:val="24"/>
        </w:rPr>
        <w:t xml:space="preserve"> Xin Zhang (</w:t>
      </w:r>
      <w:r w:rsidR="00DC767D" w:rsidRPr="003B1108">
        <w:rPr>
          <w:rFonts w:ascii="Book Antiqua" w:hAnsi="Book Antiqua"/>
          <w:bCs/>
          <w:sz w:val="24"/>
          <w:szCs w:val="24"/>
        </w:rPr>
        <w:t>0000-0002-5966-0471</w:t>
      </w:r>
      <w:r w:rsidRPr="003B1108">
        <w:rPr>
          <w:rFonts w:ascii="Book Antiqua" w:hAnsi="Book Antiqua"/>
          <w:bCs/>
          <w:sz w:val="24"/>
          <w:szCs w:val="24"/>
        </w:rPr>
        <w:t>)</w:t>
      </w:r>
      <w:r w:rsidR="007A5288" w:rsidRPr="003B1108">
        <w:rPr>
          <w:rFonts w:ascii="Book Antiqua" w:hAnsi="Book Antiqua"/>
          <w:bCs/>
          <w:sz w:val="24"/>
          <w:szCs w:val="24"/>
        </w:rPr>
        <w:t>;</w:t>
      </w:r>
      <w:r w:rsidRPr="003B1108">
        <w:rPr>
          <w:rFonts w:ascii="Book Antiqua" w:hAnsi="Book Antiqua"/>
          <w:bCs/>
          <w:sz w:val="24"/>
          <w:szCs w:val="24"/>
        </w:rPr>
        <w:t xml:space="preserve"> Shang-Suo Dang (</w:t>
      </w:r>
      <w:r w:rsidR="00DC767D" w:rsidRPr="003B1108">
        <w:rPr>
          <w:rFonts w:ascii="Book Antiqua" w:hAnsi="Book Antiqua"/>
          <w:bCs/>
          <w:sz w:val="24"/>
          <w:szCs w:val="24"/>
        </w:rPr>
        <w:t>0000-0003-0918-9535</w:t>
      </w:r>
      <w:r w:rsidRPr="003B1108">
        <w:rPr>
          <w:rFonts w:ascii="Book Antiqua" w:hAnsi="Book Antiqua"/>
          <w:bCs/>
          <w:sz w:val="24"/>
          <w:szCs w:val="24"/>
        </w:rPr>
        <w:t>)</w:t>
      </w:r>
      <w:r w:rsidR="00DC767D" w:rsidRPr="003B1108">
        <w:rPr>
          <w:rFonts w:ascii="Book Antiqua" w:hAnsi="Book Antiqua"/>
          <w:bCs/>
          <w:sz w:val="24"/>
          <w:szCs w:val="24"/>
        </w:rPr>
        <w:t>.</w:t>
      </w:r>
    </w:p>
    <w:p w14:paraId="2978D2ED" w14:textId="1B409D26" w:rsidR="00A61C15" w:rsidRPr="003B1108" w:rsidRDefault="00A61C15" w:rsidP="003B1108">
      <w:pPr>
        <w:adjustRightInd w:val="0"/>
        <w:snapToGrid w:val="0"/>
        <w:spacing w:line="360" w:lineRule="auto"/>
        <w:rPr>
          <w:rFonts w:ascii="Book Antiqua" w:hAnsi="Book Antiqua"/>
          <w:bCs/>
          <w:sz w:val="24"/>
          <w:szCs w:val="24"/>
        </w:rPr>
      </w:pPr>
    </w:p>
    <w:p w14:paraId="18D9867C" w14:textId="2ABAC82F" w:rsidR="00A61C15" w:rsidRPr="003B1108" w:rsidRDefault="00A61C15" w:rsidP="003B1108">
      <w:pPr>
        <w:adjustRightInd w:val="0"/>
        <w:snapToGrid w:val="0"/>
        <w:spacing w:line="360" w:lineRule="auto"/>
        <w:rPr>
          <w:rFonts w:ascii="Book Antiqua" w:hAnsi="Book Antiqua"/>
          <w:bCs/>
          <w:sz w:val="24"/>
          <w:szCs w:val="24"/>
        </w:rPr>
      </w:pPr>
      <w:r w:rsidRPr="003B1108">
        <w:rPr>
          <w:rFonts w:ascii="Book Antiqua" w:hAnsi="Book Antiqua"/>
          <w:b/>
          <w:sz w:val="24"/>
          <w:szCs w:val="24"/>
        </w:rPr>
        <w:t>Author contributions:</w:t>
      </w:r>
      <w:r w:rsidRPr="003B1108">
        <w:rPr>
          <w:rFonts w:ascii="Book Antiqua" w:hAnsi="Book Antiqua"/>
          <w:bCs/>
          <w:sz w:val="24"/>
          <w:szCs w:val="24"/>
        </w:rPr>
        <w:t xml:space="preserve"> Yang</w:t>
      </w:r>
      <w:r w:rsidR="007A5288" w:rsidRPr="003B1108">
        <w:rPr>
          <w:rFonts w:ascii="Book Antiqua" w:hAnsi="Book Antiqua"/>
          <w:bCs/>
          <w:sz w:val="24"/>
          <w:szCs w:val="24"/>
        </w:rPr>
        <w:t xml:space="preserve"> Y</w:t>
      </w:r>
      <w:r w:rsidRPr="003B1108">
        <w:rPr>
          <w:rFonts w:ascii="Book Antiqua" w:hAnsi="Book Antiqua"/>
          <w:bCs/>
          <w:sz w:val="24"/>
          <w:szCs w:val="24"/>
        </w:rPr>
        <w:t>, Wu</w:t>
      </w:r>
      <w:r w:rsidR="007A5288" w:rsidRPr="003B1108">
        <w:rPr>
          <w:rFonts w:ascii="Book Antiqua" w:hAnsi="Book Antiqua"/>
          <w:bCs/>
          <w:sz w:val="24"/>
          <w:szCs w:val="24"/>
        </w:rPr>
        <w:t xml:space="preserve"> FP</w:t>
      </w:r>
      <w:r w:rsidRPr="003B1108">
        <w:rPr>
          <w:rFonts w:ascii="Book Antiqua" w:hAnsi="Book Antiqua"/>
          <w:bCs/>
          <w:sz w:val="24"/>
          <w:szCs w:val="24"/>
        </w:rPr>
        <w:t>, Shi</w:t>
      </w:r>
      <w:r w:rsidR="007A5288" w:rsidRPr="003B1108">
        <w:rPr>
          <w:rFonts w:ascii="Book Antiqua" w:hAnsi="Book Antiqua"/>
          <w:bCs/>
          <w:sz w:val="24"/>
          <w:szCs w:val="24"/>
        </w:rPr>
        <w:t xml:space="preserve"> JJ</w:t>
      </w:r>
      <w:r w:rsidRPr="003B1108">
        <w:rPr>
          <w:rFonts w:ascii="Book Antiqua" w:hAnsi="Book Antiqua"/>
          <w:bCs/>
          <w:sz w:val="24"/>
          <w:szCs w:val="24"/>
        </w:rPr>
        <w:t>, Li</w:t>
      </w:r>
      <w:r w:rsidR="007A5288" w:rsidRPr="003B1108">
        <w:rPr>
          <w:rFonts w:ascii="Book Antiqua" w:hAnsi="Book Antiqua"/>
          <w:bCs/>
          <w:sz w:val="24"/>
          <w:szCs w:val="24"/>
        </w:rPr>
        <w:t xml:space="preserve"> YP</w:t>
      </w:r>
      <w:r w:rsidRPr="003B1108">
        <w:rPr>
          <w:rFonts w:ascii="Book Antiqua" w:hAnsi="Book Antiqua"/>
          <w:bCs/>
          <w:sz w:val="24"/>
          <w:szCs w:val="24"/>
        </w:rPr>
        <w:t xml:space="preserve"> and Zhang </w:t>
      </w:r>
      <w:r w:rsidR="007A5288" w:rsidRPr="003B1108">
        <w:rPr>
          <w:rFonts w:ascii="Book Antiqua" w:hAnsi="Book Antiqua"/>
          <w:bCs/>
          <w:sz w:val="24"/>
          <w:szCs w:val="24"/>
        </w:rPr>
        <w:t xml:space="preserve">X </w:t>
      </w:r>
      <w:r w:rsidRPr="003B1108">
        <w:rPr>
          <w:rFonts w:ascii="Book Antiqua" w:hAnsi="Book Antiqua"/>
          <w:bCs/>
          <w:sz w:val="24"/>
          <w:szCs w:val="24"/>
        </w:rPr>
        <w:t xml:space="preserve">collected </w:t>
      </w:r>
      <w:r w:rsidR="004C5F2D">
        <w:rPr>
          <w:rFonts w:ascii="Book Antiqua" w:hAnsi="Book Antiqua"/>
          <w:bCs/>
          <w:sz w:val="24"/>
          <w:szCs w:val="24"/>
        </w:rPr>
        <w:t xml:space="preserve">the </w:t>
      </w:r>
      <w:r w:rsidRPr="003B1108">
        <w:rPr>
          <w:rFonts w:ascii="Book Antiqua" w:hAnsi="Book Antiqua"/>
          <w:bCs/>
          <w:sz w:val="24"/>
          <w:szCs w:val="24"/>
        </w:rPr>
        <w:t>data; Yang</w:t>
      </w:r>
      <w:r w:rsidR="007A5288" w:rsidRPr="003B1108">
        <w:rPr>
          <w:rFonts w:ascii="Book Antiqua" w:hAnsi="Book Antiqua"/>
          <w:bCs/>
          <w:sz w:val="24"/>
          <w:szCs w:val="24"/>
        </w:rPr>
        <w:t xml:space="preserve"> Y</w:t>
      </w:r>
      <w:r w:rsidRPr="003B1108">
        <w:rPr>
          <w:rFonts w:ascii="Book Antiqua" w:hAnsi="Book Antiqua"/>
          <w:bCs/>
          <w:sz w:val="24"/>
          <w:szCs w:val="24"/>
        </w:rPr>
        <w:t xml:space="preserve"> analyzed </w:t>
      </w:r>
      <w:r w:rsidR="004C5F2D">
        <w:rPr>
          <w:rFonts w:ascii="Book Antiqua" w:hAnsi="Book Antiqua"/>
          <w:bCs/>
          <w:sz w:val="24"/>
          <w:szCs w:val="24"/>
        </w:rPr>
        <w:t xml:space="preserve">the </w:t>
      </w:r>
      <w:r w:rsidRPr="003B1108">
        <w:rPr>
          <w:rFonts w:ascii="Book Antiqua" w:hAnsi="Book Antiqua"/>
          <w:bCs/>
          <w:sz w:val="24"/>
          <w:szCs w:val="24"/>
        </w:rPr>
        <w:t>data and wrote the paper; Dang</w:t>
      </w:r>
      <w:r w:rsidR="007A5288" w:rsidRPr="003B1108">
        <w:rPr>
          <w:rFonts w:ascii="Book Antiqua" w:hAnsi="Book Antiqua"/>
          <w:bCs/>
          <w:sz w:val="24"/>
          <w:szCs w:val="24"/>
        </w:rPr>
        <w:t xml:space="preserve"> SS</w:t>
      </w:r>
      <w:r w:rsidRPr="003B1108">
        <w:rPr>
          <w:rFonts w:ascii="Book Antiqua" w:hAnsi="Book Antiqua"/>
          <w:bCs/>
          <w:sz w:val="24"/>
          <w:szCs w:val="24"/>
        </w:rPr>
        <w:t xml:space="preserve"> and Wang</w:t>
      </w:r>
      <w:r w:rsidR="007A5288" w:rsidRPr="003B1108">
        <w:rPr>
          <w:rFonts w:ascii="Book Antiqua" w:hAnsi="Book Antiqua"/>
          <w:bCs/>
          <w:sz w:val="24"/>
          <w:szCs w:val="24"/>
        </w:rPr>
        <w:t xml:space="preserve"> WJ</w:t>
      </w:r>
      <w:r w:rsidRPr="003B1108">
        <w:rPr>
          <w:rFonts w:ascii="Book Antiqua" w:hAnsi="Book Antiqua"/>
          <w:bCs/>
          <w:sz w:val="24"/>
          <w:szCs w:val="24"/>
        </w:rPr>
        <w:t xml:space="preserve"> reviewed the manuscript; all authors read and approved the manuscript.</w:t>
      </w:r>
    </w:p>
    <w:p w14:paraId="2DD63399" w14:textId="0D8649C7" w:rsidR="00A01A48" w:rsidRPr="003B1108" w:rsidRDefault="00A01A48" w:rsidP="003B1108">
      <w:pPr>
        <w:adjustRightInd w:val="0"/>
        <w:snapToGrid w:val="0"/>
        <w:spacing w:line="360" w:lineRule="auto"/>
        <w:rPr>
          <w:rFonts w:ascii="Book Antiqua" w:hAnsi="Book Antiqua"/>
          <w:bCs/>
          <w:sz w:val="24"/>
          <w:szCs w:val="24"/>
        </w:rPr>
      </w:pPr>
    </w:p>
    <w:p w14:paraId="785C8432" w14:textId="2E3BAD01" w:rsidR="00A01A48" w:rsidRPr="003B1108" w:rsidRDefault="00A01A48" w:rsidP="003B1108">
      <w:pPr>
        <w:pStyle w:val="1"/>
        <w:adjustRightInd w:val="0"/>
        <w:snapToGrid w:val="0"/>
        <w:spacing w:line="360" w:lineRule="auto"/>
        <w:jc w:val="both"/>
        <w:rPr>
          <w:rFonts w:ascii="Book Antiqua" w:hAnsi="Book Antiqua" w:cs="Times New Roman"/>
          <w:iCs/>
          <w:color w:val="auto"/>
          <w:sz w:val="24"/>
          <w:szCs w:val="24"/>
          <w:highlight w:val="white"/>
          <w:lang w:val="en-US" w:eastAsia="zh-CN"/>
        </w:rPr>
      </w:pPr>
      <w:bookmarkStart w:id="3" w:name="OLE_LINK815"/>
      <w:bookmarkStart w:id="4" w:name="OLE_LINK863"/>
      <w:bookmarkStart w:id="5" w:name="OLE_LINK960"/>
      <w:bookmarkStart w:id="6" w:name="OLE_LINK657"/>
      <w:bookmarkStart w:id="7" w:name="OLE_LINK433"/>
      <w:bookmarkStart w:id="8" w:name="OLE_LINK434"/>
      <w:r w:rsidRPr="003B1108">
        <w:rPr>
          <w:rFonts w:ascii="Book Antiqua" w:hAnsi="Book Antiqua" w:cs="Times New Roman"/>
          <w:b/>
          <w:bCs/>
          <w:iCs/>
          <w:color w:val="auto"/>
          <w:sz w:val="24"/>
          <w:szCs w:val="24"/>
          <w:highlight w:val="white"/>
          <w:lang w:val="en-US" w:eastAsia="zh-CN"/>
        </w:rPr>
        <w:t>Institutional review board statement:</w:t>
      </w:r>
      <w:bookmarkEnd w:id="3"/>
      <w:bookmarkEnd w:id="4"/>
      <w:bookmarkEnd w:id="5"/>
      <w:r w:rsidRPr="003B1108">
        <w:rPr>
          <w:rFonts w:ascii="Book Antiqua" w:hAnsi="Book Antiqua" w:cs="Times New Roman"/>
          <w:b/>
          <w:bCs/>
          <w:iCs/>
          <w:color w:val="auto"/>
          <w:sz w:val="24"/>
          <w:szCs w:val="24"/>
          <w:highlight w:val="white"/>
          <w:lang w:val="en-US" w:eastAsia="zh-CN"/>
        </w:rPr>
        <w:t xml:space="preserve"> </w:t>
      </w:r>
      <w:bookmarkEnd w:id="6"/>
      <w:bookmarkEnd w:id="7"/>
      <w:bookmarkEnd w:id="8"/>
      <w:r w:rsidR="007E5E34" w:rsidRPr="003B1108">
        <w:rPr>
          <w:rFonts w:ascii="Book Antiqua" w:hAnsi="Book Antiqua" w:cs="Times New Roman"/>
          <w:iCs/>
          <w:color w:val="auto"/>
          <w:sz w:val="24"/>
          <w:szCs w:val="24"/>
          <w:lang w:val="en-US" w:eastAsia="zh-CN"/>
        </w:rPr>
        <w:t>This study was approved by the Institutional Review Board of</w:t>
      </w:r>
      <w:r w:rsidR="00300BFA">
        <w:rPr>
          <w:rFonts w:ascii="Book Antiqua" w:hAnsi="Book Antiqua" w:cs="Times New Roman"/>
          <w:iCs/>
          <w:color w:val="auto"/>
          <w:sz w:val="24"/>
          <w:szCs w:val="24"/>
          <w:lang w:val="en-US" w:eastAsia="zh-CN"/>
        </w:rPr>
        <w:t xml:space="preserve"> </w:t>
      </w:r>
      <w:r w:rsidR="007E5E34" w:rsidRPr="003B1108">
        <w:rPr>
          <w:rFonts w:ascii="Book Antiqua" w:hAnsi="Book Antiqua"/>
          <w:bCs/>
          <w:sz w:val="24"/>
          <w:szCs w:val="24"/>
        </w:rPr>
        <w:t>Xi’</w:t>
      </w:r>
      <w:r w:rsidR="00173FA7" w:rsidRPr="003B1108">
        <w:rPr>
          <w:rFonts w:ascii="Book Antiqua" w:hAnsi="Book Antiqua"/>
          <w:bCs/>
          <w:sz w:val="24"/>
          <w:szCs w:val="24"/>
        </w:rPr>
        <w:t>a</w:t>
      </w:r>
      <w:r w:rsidR="007E5E34" w:rsidRPr="003B1108">
        <w:rPr>
          <w:rFonts w:ascii="Book Antiqua" w:hAnsi="Book Antiqua"/>
          <w:bCs/>
          <w:sz w:val="24"/>
          <w:szCs w:val="24"/>
        </w:rPr>
        <w:t>n Jiaotong University</w:t>
      </w:r>
      <w:r w:rsidR="007E5E34" w:rsidRPr="003B1108">
        <w:rPr>
          <w:rFonts w:ascii="Book Antiqua" w:hAnsi="Book Antiqua" w:cs="Times New Roman"/>
          <w:iCs/>
          <w:color w:val="auto"/>
          <w:sz w:val="24"/>
          <w:szCs w:val="24"/>
          <w:lang w:val="en-US" w:eastAsia="zh-CN"/>
        </w:rPr>
        <w:t>.</w:t>
      </w:r>
    </w:p>
    <w:p w14:paraId="433C15CB" w14:textId="77777777" w:rsidR="00A01A48" w:rsidRPr="003B1108" w:rsidRDefault="00A01A48" w:rsidP="003B1108">
      <w:pPr>
        <w:adjustRightInd w:val="0"/>
        <w:snapToGrid w:val="0"/>
        <w:spacing w:line="360" w:lineRule="auto"/>
        <w:rPr>
          <w:rFonts w:ascii="Book Antiqua" w:hAnsi="Book Antiqua"/>
          <w:bCs/>
          <w:sz w:val="24"/>
          <w:szCs w:val="24"/>
        </w:rPr>
      </w:pPr>
    </w:p>
    <w:p w14:paraId="3764F30D" w14:textId="68901B1B" w:rsidR="00A01A48" w:rsidRPr="003B1108" w:rsidRDefault="00A01A48" w:rsidP="003B1108">
      <w:pPr>
        <w:adjustRightInd w:val="0"/>
        <w:snapToGrid w:val="0"/>
        <w:spacing w:line="360" w:lineRule="auto"/>
        <w:rPr>
          <w:rFonts w:ascii="Book Antiqua" w:hAnsi="Book Antiqua"/>
          <w:bCs/>
          <w:sz w:val="24"/>
          <w:szCs w:val="24"/>
        </w:rPr>
      </w:pPr>
      <w:r w:rsidRPr="003B1108">
        <w:rPr>
          <w:rFonts w:ascii="Book Antiqua" w:hAnsi="Book Antiqua"/>
          <w:b/>
          <w:sz w:val="24"/>
          <w:szCs w:val="24"/>
        </w:rPr>
        <w:lastRenderedPageBreak/>
        <w:t xml:space="preserve">Informed consent statement: </w:t>
      </w:r>
      <w:r w:rsidR="00AB5982" w:rsidRPr="003B1108">
        <w:rPr>
          <w:rFonts w:ascii="Book Antiqua" w:hAnsi="Book Antiqua"/>
          <w:bCs/>
          <w:sz w:val="24"/>
          <w:szCs w:val="24"/>
        </w:rPr>
        <w:t xml:space="preserve">All study participants, or their legal guardian, provided </w:t>
      </w:r>
      <w:r w:rsidR="004C5F2D" w:rsidRPr="003B1108">
        <w:rPr>
          <w:rFonts w:ascii="Book Antiqua" w:hAnsi="Book Antiqua"/>
          <w:bCs/>
          <w:sz w:val="24"/>
          <w:szCs w:val="24"/>
        </w:rPr>
        <w:t xml:space="preserve">written </w:t>
      </w:r>
      <w:r w:rsidR="00AB5982" w:rsidRPr="003B1108">
        <w:rPr>
          <w:rFonts w:ascii="Book Antiqua" w:hAnsi="Book Antiqua"/>
          <w:bCs/>
          <w:sz w:val="24"/>
          <w:szCs w:val="24"/>
        </w:rPr>
        <w:t>informed consent prior to study enrollment.</w:t>
      </w:r>
    </w:p>
    <w:p w14:paraId="74ED078D" w14:textId="77777777" w:rsidR="00A01A48" w:rsidRPr="003B1108" w:rsidRDefault="00A01A48" w:rsidP="003B1108">
      <w:pPr>
        <w:adjustRightInd w:val="0"/>
        <w:snapToGrid w:val="0"/>
        <w:spacing w:line="360" w:lineRule="auto"/>
        <w:rPr>
          <w:rFonts w:ascii="Book Antiqua" w:hAnsi="Book Antiqua"/>
          <w:bCs/>
          <w:sz w:val="24"/>
          <w:szCs w:val="24"/>
        </w:rPr>
      </w:pPr>
    </w:p>
    <w:p w14:paraId="5E823547" w14:textId="24CE1B3D" w:rsidR="00A01A48" w:rsidRPr="003B1108" w:rsidRDefault="00A01A48" w:rsidP="003B1108">
      <w:pPr>
        <w:adjustRightInd w:val="0"/>
        <w:snapToGrid w:val="0"/>
        <w:spacing w:line="360" w:lineRule="auto"/>
        <w:rPr>
          <w:rFonts w:ascii="Book Antiqua" w:hAnsi="Book Antiqua"/>
          <w:bCs/>
          <w:sz w:val="24"/>
          <w:szCs w:val="24"/>
        </w:rPr>
      </w:pPr>
      <w:r w:rsidRPr="003B1108">
        <w:rPr>
          <w:rFonts w:ascii="Book Antiqua" w:hAnsi="Book Antiqua"/>
          <w:b/>
          <w:sz w:val="24"/>
          <w:szCs w:val="24"/>
        </w:rPr>
        <w:t xml:space="preserve">Conflict of interest statement: </w:t>
      </w:r>
      <w:r w:rsidR="004C5F2D" w:rsidRPr="001D2613">
        <w:rPr>
          <w:rFonts w:ascii="Book Antiqua" w:hAnsi="Book Antiqua"/>
          <w:sz w:val="24"/>
          <w:szCs w:val="24"/>
        </w:rPr>
        <w:t>The</w:t>
      </w:r>
      <w:r w:rsidR="004C5F2D">
        <w:rPr>
          <w:rFonts w:ascii="Book Antiqua" w:hAnsi="Book Antiqua"/>
          <w:b/>
          <w:sz w:val="24"/>
          <w:szCs w:val="24"/>
        </w:rPr>
        <w:t xml:space="preserve"> </w:t>
      </w:r>
      <w:r w:rsidR="004C5F2D">
        <w:rPr>
          <w:rFonts w:ascii="Book Antiqua" w:hAnsi="Book Antiqua"/>
          <w:bCs/>
          <w:sz w:val="24"/>
          <w:szCs w:val="24"/>
        </w:rPr>
        <w:t>a</w:t>
      </w:r>
      <w:r w:rsidR="004C5F2D" w:rsidRPr="003B1108">
        <w:rPr>
          <w:rFonts w:ascii="Book Antiqua" w:hAnsi="Book Antiqua"/>
          <w:bCs/>
          <w:sz w:val="24"/>
          <w:szCs w:val="24"/>
        </w:rPr>
        <w:t xml:space="preserve">uthors </w:t>
      </w:r>
      <w:r w:rsidR="00AB5982" w:rsidRPr="003B1108">
        <w:rPr>
          <w:rFonts w:ascii="Book Antiqua" w:hAnsi="Book Antiqua"/>
          <w:bCs/>
          <w:sz w:val="24"/>
          <w:szCs w:val="24"/>
        </w:rPr>
        <w:t>do not have any conflict</w:t>
      </w:r>
      <w:r w:rsidR="004C5F2D">
        <w:rPr>
          <w:rFonts w:ascii="Book Antiqua" w:hAnsi="Book Antiqua"/>
          <w:bCs/>
          <w:sz w:val="24"/>
          <w:szCs w:val="24"/>
        </w:rPr>
        <w:t xml:space="preserve"> </w:t>
      </w:r>
      <w:r w:rsidR="00AB5982" w:rsidRPr="003B1108">
        <w:rPr>
          <w:rFonts w:ascii="Book Antiqua" w:hAnsi="Book Antiqua"/>
          <w:bCs/>
          <w:sz w:val="24"/>
          <w:szCs w:val="24"/>
        </w:rPr>
        <w:t>of</w:t>
      </w:r>
      <w:r w:rsidR="004C5F2D">
        <w:rPr>
          <w:rFonts w:ascii="Book Antiqua" w:hAnsi="Book Antiqua"/>
          <w:bCs/>
          <w:sz w:val="24"/>
          <w:szCs w:val="24"/>
        </w:rPr>
        <w:t xml:space="preserve"> </w:t>
      </w:r>
      <w:r w:rsidR="00AB5982" w:rsidRPr="003B1108">
        <w:rPr>
          <w:rFonts w:ascii="Book Antiqua" w:hAnsi="Book Antiqua"/>
          <w:bCs/>
          <w:sz w:val="24"/>
          <w:szCs w:val="24"/>
        </w:rPr>
        <w:t>interest to disclose</w:t>
      </w:r>
      <w:r w:rsidRPr="003B1108">
        <w:rPr>
          <w:rFonts w:ascii="Book Antiqua" w:hAnsi="Book Antiqua"/>
          <w:bCs/>
          <w:sz w:val="24"/>
          <w:szCs w:val="24"/>
        </w:rPr>
        <w:t>.</w:t>
      </w:r>
    </w:p>
    <w:p w14:paraId="50FF6E5B" w14:textId="77777777" w:rsidR="00A01A48" w:rsidRPr="00780E82" w:rsidRDefault="00A01A48" w:rsidP="003B1108">
      <w:pPr>
        <w:adjustRightInd w:val="0"/>
        <w:snapToGrid w:val="0"/>
        <w:spacing w:line="360" w:lineRule="auto"/>
        <w:rPr>
          <w:rFonts w:ascii="Book Antiqua" w:hAnsi="Book Antiqua"/>
          <w:bCs/>
          <w:sz w:val="24"/>
          <w:szCs w:val="24"/>
        </w:rPr>
      </w:pPr>
    </w:p>
    <w:p w14:paraId="2132F429" w14:textId="55B54767" w:rsidR="00A01A48" w:rsidRPr="003B1108" w:rsidRDefault="00A01A48" w:rsidP="003B1108">
      <w:pPr>
        <w:adjustRightInd w:val="0"/>
        <w:snapToGrid w:val="0"/>
        <w:spacing w:line="360" w:lineRule="auto"/>
        <w:rPr>
          <w:rFonts w:ascii="Book Antiqua" w:hAnsi="Book Antiqua"/>
          <w:bCs/>
          <w:sz w:val="24"/>
          <w:szCs w:val="24"/>
        </w:rPr>
      </w:pPr>
      <w:r w:rsidRPr="003B1108">
        <w:rPr>
          <w:rFonts w:ascii="Book Antiqua" w:hAnsi="Book Antiqua"/>
          <w:b/>
          <w:sz w:val="24"/>
          <w:szCs w:val="24"/>
        </w:rPr>
        <w:t xml:space="preserve">Data sharing statement: </w:t>
      </w:r>
      <w:r w:rsidR="007E5E34" w:rsidRPr="003B1108">
        <w:rPr>
          <w:rFonts w:ascii="Book Antiqua" w:hAnsi="Book Antiqua"/>
          <w:bCs/>
          <w:sz w:val="24"/>
          <w:szCs w:val="24"/>
        </w:rPr>
        <w:t>No additional data are available.</w:t>
      </w:r>
    </w:p>
    <w:p w14:paraId="54515726" w14:textId="77777777" w:rsidR="00A01A48" w:rsidRPr="003B1108" w:rsidRDefault="00A01A48" w:rsidP="003B1108">
      <w:pPr>
        <w:adjustRightInd w:val="0"/>
        <w:snapToGrid w:val="0"/>
        <w:spacing w:line="360" w:lineRule="auto"/>
        <w:rPr>
          <w:rFonts w:ascii="Book Antiqua" w:hAnsi="Book Antiqua"/>
          <w:bCs/>
          <w:sz w:val="24"/>
          <w:szCs w:val="24"/>
        </w:rPr>
      </w:pPr>
    </w:p>
    <w:p w14:paraId="73C91EEC" w14:textId="11F7BDF1" w:rsidR="00A01A48" w:rsidRPr="003B1108" w:rsidRDefault="00A01A48" w:rsidP="003B1108">
      <w:pPr>
        <w:adjustRightInd w:val="0"/>
        <w:snapToGrid w:val="0"/>
        <w:spacing w:line="360" w:lineRule="auto"/>
        <w:rPr>
          <w:rFonts w:ascii="Book Antiqua" w:hAnsi="Book Antiqua"/>
          <w:bCs/>
          <w:sz w:val="24"/>
          <w:szCs w:val="24"/>
        </w:rPr>
      </w:pPr>
      <w:r w:rsidRPr="003B1108">
        <w:rPr>
          <w:rFonts w:ascii="Book Antiqua" w:hAnsi="Book Antiqua"/>
          <w:b/>
          <w:sz w:val="24"/>
          <w:szCs w:val="24"/>
        </w:rPr>
        <w:t xml:space="preserve">STROBE statement: </w:t>
      </w:r>
      <w:r w:rsidR="004C5F2D" w:rsidRPr="001D2613">
        <w:rPr>
          <w:rFonts w:ascii="Book Antiqua" w:hAnsi="Book Antiqua"/>
          <w:sz w:val="24"/>
          <w:szCs w:val="24"/>
        </w:rPr>
        <w:t>The</w:t>
      </w:r>
      <w:r w:rsidR="004C5F2D">
        <w:rPr>
          <w:rFonts w:ascii="Book Antiqua" w:hAnsi="Book Antiqua"/>
          <w:b/>
          <w:sz w:val="24"/>
          <w:szCs w:val="24"/>
        </w:rPr>
        <w:t xml:space="preserve"> </w:t>
      </w:r>
      <w:r w:rsidR="004C5F2D">
        <w:rPr>
          <w:rFonts w:ascii="Book Antiqua" w:hAnsi="Book Antiqua"/>
          <w:bCs/>
          <w:sz w:val="24"/>
          <w:szCs w:val="24"/>
        </w:rPr>
        <w:t>a</w:t>
      </w:r>
      <w:r w:rsidR="004C5F2D" w:rsidRPr="003B1108">
        <w:rPr>
          <w:rFonts w:ascii="Book Antiqua" w:hAnsi="Book Antiqua"/>
          <w:bCs/>
          <w:sz w:val="24"/>
          <w:szCs w:val="24"/>
        </w:rPr>
        <w:t xml:space="preserve">uthors </w:t>
      </w:r>
      <w:r w:rsidR="00AB5982" w:rsidRPr="003B1108">
        <w:rPr>
          <w:rFonts w:ascii="Book Antiqua" w:hAnsi="Book Antiqua"/>
          <w:bCs/>
          <w:sz w:val="24"/>
          <w:szCs w:val="24"/>
        </w:rPr>
        <w:t>have read the STROBE Statement-checklist of items and the manuscript was prepared and revised accordingly.</w:t>
      </w:r>
    </w:p>
    <w:p w14:paraId="5D5425D3" w14:textId="6573AF7C" w:rsidR="00A01A48" w:rsidRPr="003B1108" w:rsidRDefault="00A01A48" w:rsidP="003B1108">
      <w:pPr>
        <w:adjustRightInd w:val="0"/>
        <w:snapToGrid w:val="0"/>
        <w:spacing w:line="360" w:lineRule="auto"/>
        <w:rPr>
          <w:rFonts w:ascii="Book Antiqua" w:hAnsi="Book Antiqua"/>
          <w:bCs/>
          <w:sz w:val="24"/>
          <w:szCs w:val="24"/>
        </w:rPr>
      </w:pPr>
    </w:p>
    <w:p w14:paraId="28185AB7" w14:textId="77777777" w:rsidR="008978D5" w:rsidRPr="003B1108" w:rsidRDefault="008978D5" w:rsidP="003B1108">
      <w:pPr>
        <w:widowControl/>
        <w:adjustRightInd w:val="0"/>
        <w:snapToGrid w:val="0"/>
        <w:spacing w:line="360" w:lineRule="auto"/>
        <w:rPr>
          <w:rFonts w:ascii="Book Antiqua" w:eastAsia="宋体" w:hAnsi="Book Antiqua"/>
          <w:kern w:val="0"/>
          <w:sz w:val="24"/>
          <w:szCs w:val="24"/>
        </w:rPr>
      </w:pPr>
      <w:bookmarkStart w:id="9" w:name="OLE_LINK25"/>
      <w:bookmarkStart w:id="10" w:name="OLE_LINK26"/>
      <w:bookmarkStart w:id="11" w:name="OLE_LINK375"/>
      <w:bookmarkStart w:id="12" w:name="OLE_LINK32"/>
      <w:bookmarkStart w:id="13" w:name="OLE_LINK381"/>
      <w:bookmarkStart w:id="14" w:name="OLE_LINK413"/>
      <w:bookmarkStart w:id="15" w:name="OLE_LINK61"/>
      <w:bookmarkStart w:id="16" w:name="OLE_LINK615"/>
      <w:bookmarkStart w:id="17" w:name="OLE_LINK69"/>
      <w:bookmarkStart w:id="18" w:name="OLE_LINK140"/>
      <w:r w:rsidRPr="003B1108">
        <w:rPr>
          <w:rFonts w:ascii="Book Antiqua" w:eastAsia="宋体" w:hAnsi="Book Antiqua"/>
          <w:b/>
          <w:color w:val="000000"/>
          <w:kern w:val="0"/>
          <w:sz w:val="24"/>
          <w:szCs w:val="24"/>
        </w:rPr>
        <w:t xml:space="preserve">Open-Access: </w:t>
      </w:r>
      <w:r w:rsidRPr="003B1108">
        <w:rPr>
          <w:rFonts w:ascii="Book Antiqua" w:eastAsia="宋体" w:hAnsi="Book Antiqua"/>
          <w:color w:val="000000"/>
          <w:kern w:val="0"/>
          <w:sz w:val="24"/>
          <w:szCs w:val="24"/>
        </w:rPr>
        <w:t xml:space="preserve">This is an </w:t>
      </w:r>
      <w:r w:rsidRPr="003B1108">
        <w:rPr>
          <w:rFonts w:ascii="Book Antiqua" w:eastAsia="宋体" w:hAnsi="Book Antiqua" w:cs="宋体"/>
          <w:kern w:val="0"/>
          <w:sz w:val="24"/>
          <w:szCs w:val="24"/>
        </w:rPr>
        <w:t xml:space="preserve">open-access article that was </w:t>
      </w:r>
      <w:r w:rsidRPr="003B1108">
        <w:rPr>
          <w:rFonts w:ascii="Book Antiqua" w:eastAsia="宋体" w:hAnsi="Book Antiqua"/>
          <w:kern w:val="0"/>
          <w:sz w:val="24"/>
          <w:szCs w:val="24"/>
        </w:rPr>
        <w:t xml:space="preserve">selected by an in-house editor and fully peer-reviewed by external reviewers. It is </w:t>
      </w:r>
      <w:r w:rsidRPr="003B1108">
        <w:rPr>
          <w:rFonts w:ascii="Book Antiqua" w:eastAsia="宋体" w:hAnsi="Book Antiqua" w:cs="宋体"/>
          <w:kern w:val="0"/>
          <w:sz w:val="24"/>
          <w:szCs w:val="24"/>
        </w:rPr>
        <w:t xml:space="preserve">distributed in accordance with </w:t>
      </w:r>
      <w:r w:rsidRPr="003B1108">
        <w:rPr>
          <w:rFonts w:ascii="Book Antiqua" w:eastAsia="宋体" w:hAnsi="Book Antiqua"/>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B1108">
          <w:rPr>
            <w:rFonts w:ascii="Book Antiqua" w:eastAsia="宋体" w:hAnsi="Book Antiqua"/>
            <w:color w:val="0000FF"/>
            <w:kern w:val="0"/>
            <w:sz w:val="24"/>
            <w:szCs w:val="24"/>
            <w:u w:val="single"/>
          </w:rPr>
          <w:t>http://creativecommons.org/licenses/by-nc/4.0/</w:t>
        </w:r>
      </w:hyperlink>
    </w:p>
    <w:p w14:paraId="495CDA7F" w14:textId="77777777" w:rsidR="008978D5" w:rsidRPr="003B1108" w:rsidRDefault="008978D5" w:rsidP="003B1108">
      <w:pPr>
        <w:widowControl/>
        <w:adjustRightInd w:val="0"/>
        <w:snapToGrid w:val="0"/>
        <w:spacing w:line="360" w:lineRule="auto"/>
        <w:rPr>
          <w:rFonts w:ascii="Book Antiqua" w:eastAsia="宋体" w:hAnsi="Book Antiqua"/>
          <w:kern w:val="0"/>
          <w:sz w:val="24"/>
          <w:szCs w:val="24"/>
        </w:rPr>
      </w:pPr>
    </w:p>
    <w:p w14:paraId="22202481" w14:textId="0A3726F0" w:rsidR="008978D5" w:rsidRPr="003B1108" w:rsidRDefault="008978D5" w:rsidP="003B1108">
      <w:pPr>
        <w:adjustRightInd w:val="0"/>
        <w:snapToGrid w:val="0"/>
        <w:spacing w:line="360" w:lineRule="auto"/>
        <w:rPr>
          <w:rFonts w:ascii="Book Antiqua" w:hAnsi="Book Antiqua"/>
          <w:bCs/>
          <w:sz w:val="24"/>
          <w:szCs w:val="24"/>
        </w:rPr>
      </w:pPr>
      <w:bookmarkStart w:id="19" w:name="OLE_LINK11"/>
      <w:r w:rsidRPr="003B1108">
        <w:rPr>
          <w:rFonts w:ascii="Book Antiqua" w:eastAsia="宋体" w:hAnsi="Book Antiqua"/>
          <w:b/>
          <w:bCs/>
          <w:kern w:val="0"/>
          <w:sz w:val="24"/>
          <w:szCs w:val="24"/>
          <w:highlight w:val="white"/>
        </w:rPr>
        <w:t xml:space="preserve">Manuscript source: </w:t>
      </w:r>
      <w:r w:rsidRPr="003B1108">
        <w:rPr>
          <w:rFonts w:ascii="Book Antiqua" w:eastAsia="宋体" w:hAnsi="Book Antiqua"/>
          <w:bCs/>
          <w:kern w:val="0"/>
          <w:sz w:val="24"/>
          <w:szCs w:val="24"/>
          <w:highlight w:val="white"/>
        </w:rPr>
        <w:t>Unsolicited manuscript</w:t>
      </w:r>
      <w:bookmarkEnd w:id="9"/>
      <w:bookmarkEnd w:id="10"/>
      <w:bookmarkEnd w:id="11"/>
      <w:bookmarkEnd w:id="12"/>
      <w:bookmarkEnd w:id="13"/>
      <w:bookmarkEnd w:id="14"/>
      <w:bookmarkEnd w:id="15"/>
      <w:bookmarkEnd w:id="16"/>
      <w:bookmarkEnd w:id="17"/>
      <w:bookmarkEnd w:id="18"/>
      <w:bookmarkEnd w:id="19"/>
    </w:p>
    <w:p w14:paraId="1CCAB898" w14:textId="77777777" w:rsidR="008978D5" w:rsidRPr="003B1108" w:rsidRDefault="008978D5" w:rsidP="003B1108">
      <w:pPr>
        <w:adjustRightInd w:val="0"/>
        <w:snapToGrid w:val="0"/>
        <w:spacing w:line="360" w:lineRule="auto"/>
        <w:rPr>
          <w:rFonts w:ascii="Book Antiqua" w:hAnsi="Book Antiqua"/>
          <w:bCs/>
          <w:sz w:val="24"/>
          <w:szCs w:val="24"/>
        </w:rPr>
      </w:pPr>
    </w:p>
    <w:p w14:paraId="4EF01EF1" w14:textId="329E94C0" w:rsidR="00AE0580" w:rsidRPr="003B1108" w:rsidRDefault="00AE0580" w:rsidP="003B1108">
      <w:pPr>
        <w:adjustRightInd w:val="0"/>
        <w:snapToGrid w:val="0"/>
        <w:spacing w:line="360" w:lineRule="auto"/>
        <w:rPr>
          <w:rFonts w:ascii="Book Antiqua" w:hAnsi="Book Antiqua"/>
          <w:bCs/>
          <w:sz w:val="24"/>
          <w:szCs w:val="24"/>
        </w:rPr>
      </w:pPr>
      <w:r w:rsidRPr="003B1108">
        <w:rPr>
          <w:rFonts w:ascii="Book Antiqua" w:hAnsi="Book Antiqua"/>
          <w:b/>
          <w:sz w:val="24"/>
          <w:szCs w:val="24"/>
        </w:rPr>
        <w:t xml:space="preserve">Corresponding author: Shuang-Suo Dang, </w:t>
      </w:r>
      <w:r w:rsidR="008978D5" w:rsidRPr="003B1108">
        <w:rPr>
          <w:rFonts w:ascii="Book Antiqua" w:hAnsi="Book Antiqua"/>
          <w:b/>
          <w:sz w:val="24"/>
          <w:szCs w:val="24"/>
        </w:rPr>
        <w:t>MD, PhD, Academic Fellow, Academic Research, Doctor, Professor,</w:t>
      </w:r>
      <w:r w:rsidRPr="003B1108">
        <w:rPr>
          <w:rFonts w:ascii="Book Antiqua" w:hAnsi="Book Antiqua"/>
          <w:bCs/>
          <w:sz w:val="24"/>
          <w:szCs w:val="24"/>
        </w:rPr>
        <w:t xml:space="preserve"> Department of Infectious Diseases, the Second Affiliated Hospital of </w:t>
      </w:r>
      <w:bookmarkStart w:id="20" w:name="_Hlk24068044"/>
      <w:r w:rsidRPr="003B1108">
        <w:rPr>
          <w:rFonts w:ascii="Book Antiqua" w:hAnsi="Book Antiqua"/>
          <w:bCs/>
          <w:sz w:val="24"/>
          <w:szCs w:val="24"/>
        </w:rPr>
        <w:t>Xi’</w:t>
      </w:r>
      <w:r w:rsidR="00173FA7" w:rsidRPr="003B1108">
        <w:rPr>
          <w:rFonts w:ascii="Book Antiqua" w:hAnsi="Book Antiqua"/>
          <w:bCs/>
          <w:sz w:val="24"/>
          <w:szCs w:val="24"/>
        </w:rPr>
        <w:t>a</w:t>
      </w:r>
      <w:r w:rsidRPr="003B1108">
        <w:rPr>
          <w:rFonts w:ascii="Book Antiqua" w:hAnsi="Book Antiqua"/>
          <w:bCs/>
          <w:sz w:val="24"/>
          <w:szCs w:val="24"/>
        </w:rPr>
        <w:t xml:space="preserve">n </w:t>
      </w:r>
      <w:proofErr w:type="spellStart"/>
      <w:r w:rsidRPr="003B1108">
        <w:rPr>
          <w:rFonts w:ascii="Book Antiqua" w:hAnsi="Book Antiqua"/>
          <w:bCs/>
          <w:sz w:val="24"/>
          <w:szCs w:val="24"/>
        </w:rPr>
        <w:t>Jiaotong</w:t>
      </w:r>
      <w:proofErr w:type="spellEnd"/>
      <w:r w:rsidRPr="003B1108">
        <w:rPr>
          <w:rFonts w:ascii="Book Antiqua" w:hAnsi="Book Antiqua"/>
          <w:bCs/>
          <w:sz w:val="24"/>
          <w:szCs w:val="24"/>
        </w:rPr>
        <w:t xml:space="preserve"> University</w:t>
      </w:r>
      <w:bookmarkEnd w:id="20"/>
      <w:r w:rsidRPr="003B1108">
        <w:rPr>
          <w:rFonts w:ascii="Book Antiqua" w:hAnsi="Book Antiqua"/>
          <w:bCs/>
          <w:sz w:val="24"/>
          <w:szCs w:val="24"/>
        </w:rPr>
        <w:t xml:space="preserve">, 157 </w:t>
      </w:r>
      <w:proofErr w:type="spellStart"/>
      <w:r w:rsidRPr="003B1108">
        <w:rPr>
          <w:rFonts w:ascii="Book Antiqua" w:hAnsi="Book Antiqua"/>
          <w:bCs/>
          <w:sz w:val="24"/>
          <w:szCs w:val="24"/>
        </w:rPr>
        <w:t>Xiwu</w:t>
      </w:r>
      <w:proofErr w:type="spellEnd"/>
      <w:r w:rsidRPr="003B1108">
        <w:rPr>
          <w:rFonts w:ascii="Book Antiqua" w:hAnsi="Book Antiqua"/>
          <w:bCs/>
          <w:sz w:val="24"/>
          <w:szCs w:val="24"/>
        </w:rPr>
        <w:t xml:space="preserve"> Road, </w:t>
      </w:r>
      <w:proofErr w:type="spellStart"/>
      <w:r w:rsidRPr="003B1108">
        <w:rPr>
          <w:rFonts w:ascii="Book Antiqua" w:hAnsi="Book Antiqua"/>
          <w:bCs/>
          <w:sz w:val="24"/>
          <w:szCs w:val="24"/>
        </w:rPr>
        <w:t>Xincheng</w:t>
      </w:r>
      <w:proofErr w:type="spellEnd"/>
      <w:r w:rsidRPr="003B1108">
        <w:rPr>
          <w:rFonts w:ascii="Book Antiqua" w:hAnsi="Book Antiqua"/>
          <w:bCs/>
          <w:sz w:val="24"/>
          <w:szCs w:val="24"/>
        </w:rPr>
        <w:t xml:space="preserve"> District, Xi’</w:t>
      </w:r>
      <w:r w:rsidR="00173FA7" w:rsidRPr="003B1108">
        <w:rPr>
          <w:rFonts w:ascii="Book Antiqua" w:hAnsi="Book Antiqua"/>
          <w:bCs/>
          <w:sz w:val="24"/>
          <w:szCs w:val="24"/>
        </w:rPr>
        <w:t>a</w:t>
      </w:r>
      <w:r w:rsidRPr="003B1108">
        <w:rPr>
          <w:rFonts w:ascii="Book Antiqua" w:hAnsi="Book Antiqua"/>
          <w:bCs/>
          <w:sz w:val="24"/>
          <w:szCs w:val="24"/>
        </w:rPr>
        <w:t xml:space="preserve">n 710004, Shaanxi Province, China. </w:t>
      </w:r>
      <w:r w:rsidR="00091979" w:rsidRPr="003B1108">
        <w:rPr>
          <w:rFonts w:ascii="Book Antiqua" w:hAnsi="Book Antiqua"/>
          <w:bCs/>
          <w:sz w:val="24"/>
          <w:szCs w:val="24"/>
          <w:u w:val="single"/>
        </w:rPr>
        <w:t>dangshuangsuo123@xjtu.edu.cn</w:t>
      </w:r>
    </w:p>
    <w:p w14:paraId="18A6D3D9" w14:textId="4CBA8A2E" w:rsidR="00A01A48" w:rsidRPr="003B1108" w:rsidRDefault="00AE0580" w:rsidP="003B1108">
      <w:pPr>
        <w:adjustRightInd w:val="0"/>
        <w:snapToGrid w:val="0"/>
        <w:spacing w:line="360" w:lineRule="auto"/>
        <w:rPr>
          <w:rFonts w:ascii="Book Antiqua" w:hAnsi="Book Antiqua"/>
          <w:bCs/>
          <w:sz w:val="24"/>
          <w:szCs w:val="24"/>
        </w:rPr>
      </w:pPr>
      <w:r w:rsidRPr="003B1108">
        <w:rPr>
          <w:rFonts w:ascii="Book Antiqua" w:hAnsi="Book Antiqua"/>
          <w:b/>
          <w:sz w:val="24"/>
          <w:szCs w:val="24"/>
        </w:rPr>
        <w:t xml:space="preserve">Telephone: </w:t>
      </w:r>
      <w:r w:rsidRPr="003B1108">
        <w:rPr>
          <w:rFonts w:ascii="Book Antiqua" w:hAnsi="Book Antiqua"/>
          <w:bCs/>
          <w:sz w:val="24"/>
          <w:szCs w:val="24"/>
        </w:rPr>
        <w:t>+86-29-87679688</w:t>
      </w:r>
    </w:p>
    <w:p w14:paraId="531C77DC" w14:textId="062F1E5F" w:rsidR="00AE0580" w:rsidRPr="003B1108" w:rsidRDefault="00AE0580" w:rsidP="003B1108">
      <w:pPr>
        <w:adjustRightInd w:val="0"/>
        <w:snapToGrid w:val="0"/>
        <w:spacing w:line="360" w:lineRule="auto"/>
        <w:rPr>
          <w:rFonts w:ascii="Book Antiqua" w:hAnsi="Book Antiqua"/>
          <w:bCs/>
          <w:sz w:val="24"/>
          <w:szCs w:val="24"/>
        </w:rPr>
      </w:pPr>
    </w:p>
    <w:p w14:paraId="603E9B71" w14:textId="2BDFD021" w:rsidR="008978D5" w:rsidRPr="003B1108" w:rsidRDefault="008978D5" w:rsidP="003B1108">
      <w:pPr>
        <w:widowControl/>
        <w:adjustRightInd w:val="0"/>
        <w:snapToGrid w:val="0"/>
        <w:spacing w:line="360" w:lineRule="auto"/>
        <w:rPr>
          <w:rFonts w:ascii="Book Antiqua" w:eastAsia="宋体" w:hAnsi="Book Antiqua"/>
          <w:b/>
          <w:kern w:val="0"/>
          <w:sz w:val="24"/>
          <w:szCs w:val="24"/>
        </w:rPr>
      </w:pPr>
      <w:bookmarkStart w:id="21" w:name="OLE_LINK14"/>
      <w:bookmarkStart w:id="22" w:name="OLE_LINK16"/>
      <w:bookmarkStart w:id="23" w:name="OLE_LINK51"/>
      <w:bookmarkStart w:id="24" w:name="OLE_LINK27"/>
      <w:bookmarkStart w:id="25" w:name="OLE_LINK382"/>
      <w:bookmarkStart w:id="26" w:name="OLE_LINK30"/>
      <w:bookmarkStart w:id="27" w:name="OLE_LINK376"/>
      <w:bookmarkStart w:id="28" w:name="OLE_LINK35"/>
      <w:bookmarkStart w:id="29" w:name="OLE_LINK64"/>
      <w:bookmarkStart w:id="30" w:name="OLE_LINK616"/>
      <w:bookmarkStart w:id="31" w:name="OLE_LINK141"/>
      <w:r w:rsidRPr="003B1108">
        <w:rPr>
          <w:rFonts w:ascii="Book Antiqua" w:eastAsia="宋体" w:hAnsi="Book Antiqua"/>
          <w:b/>
          <w:kern w:val="0"/>
          <w:sz w:val="24"/>
          <w:szCs w:val="24"/>
        </w:rPr>
        <w:t xml:space="preserve">Received: </w:t>
      </w:r>
      <w:r w:rsidRPr="003B1108">
        <w:rPr>
          <w:rFonts w:ascii="Book Antiqua" w:eastAsia="宋体" w:hAnsi="Book Antiqua"/>
          <w:kern w:val="0"/>
          <w:sz w:val="24"/>
          <w:szCs w:val="24"/>
        </w:rPr>
        <w:t xml:space="preserve">September </w:t>
      </w:r>
      <w:r w:rsidRPr="003B1108">
        <w:rPr>
          <w:rFonts w:ascii="Book Antiqua" w:hAnsi="Book Antiqua"/>
          <w:kern w:val="0"/>
          <w:sz w:val="24"/>
          <w:szCs w:val="24"/>
        </w:rPr>
        <w:t>6, 2019</w:t>
      </w:r>
    </w:p>
    <w:p w14:paraId="5CDE2659" w14:textId="4E13947C" w:rsidR="008978D5" w:rsidRPr="003B1108" w:rsidRDefault="008978D5" w:rsidP="003B1108">
      <w:pPr>
        <w:widowControl/>
        <w:adjustRightInd w:val="0"/>
        <w:snapToGrid w:val="0"/>
        <w:spacing w:line="360" w:lineRule="auto"/>
        <w:rPr>
          <w:rFonts w:ascii="Book Antiqua" w:hAnsi="Book Antiqua"/>
          <w:b/>
          <w:kern w:val="0"/>
          <w:sz w:val="24"/>
          <w:szCs w:val="24"/>
        </w:rPr>
      </w:pPr>
      <w:r w:rsidRPr="003B1108">
        <w:rPr>
          <w:rFonts w:ascii="Book Antiqua" w:eastAsia="宋体" w:hAnsi="Book Antiqua"/>
          <w:b/>
          <w:kern w:val="0"/>
          <w:sz w:val="24"/>
          <w:szCs w:val="24"/>
        </w:rPr>
        <w:t>Peer-review started:</w:t>
      </w:r>
      <w:r w:rsidRPr="003B1108">
        <w:rPr>
          <w:rFonts w:ascii="Book Antiqua" w:hAnsi="Book Antiqua"/>
          <w:b/>
          <w:kern w:val="0"/>
          <w:sz w:val="24"/>
          <w:szCs w:val="24"/>
        </w:rPr>
        <w:t xml:space="preserve"> </w:t>
      </w:r>
      <w:r w:rsidRPr="003B1108">
        <w:rPr>
          <w:rFonts w:ascii="Book Antiqua" w:eastAsia="宋体" w:hAnsi="Book Antiqua"/>
          <w:kern w:val="0"/>
          <w:sz w:val="24"/>
          <w:szCs w:val="24"/>
        </w:rPr>
        <w:t>September 6</w:t>
      </w:r>
      <w:r w:rsidRPr="003B1108">
        <w:rPr>
          <w:rFonts w:ascii="Book Antiqua" w:hAnsi="Book Antiqua"/>
          <w:kern w:val="0"/>
          <w:sz w:val="24"/>
          <w:szCs w:val="24"/>
        </w:rPr>
        <w:t>, 2019</w:t>
      </w:r>
    </w:p>
    <w:p w14:paraId="51721E8A" w14:textId="4E4D4628" w:rsidR="008978D5" w:rsidRPr="003B1108" w:rsidRDefault="008978D5" w:rsidP="003B1108">
      <w:pPr>
        <w:widowControl/>
        <w:adjustRightInd w:val="0"/>
        <w:snapToGrid w:val="0"/>
        <w:spacing w:line="360" w:lineRule="auto"/>
        <w:rPr>
          <w:rFonts w:ascii="Book Antiqua" w:hAnsi="Book Antiqua"/>
          <w:b/>
          <w:kern w:val="0"/>
          <w:sz w:val="24"/>
          <w:szCs w:val="24"/>
        </w:rPr>
      </w:pPr>
      <w:r w:rsidRPr="003B1108">
        <w:rPr>
          <w:rFonts w:ascii="Book Antiqua" w:eastAsia="宋体" w:hAnsi="Book Antiqua"/>
          <w:b/>
          <w:kern w:val="0"/>
          <w:sz w:val="24"/>
          <w:szCs w:val="24"/>
        </w:rPr>
        <w:t>First decision:</w:t>
      </w:r>
      <w:r w:rsidRPr="003B1108">
        <w:rPr>
          <w:rFonts w:ascii="Book Antiqua" w:hAnsi="Book Antiqua"/>
          <w:b/>
          <w:kern w:val="0"/>
          <w:sz w:val="24"/>
          <w:szCs w:val="24"/>
        </w:rPr>
        <w:t xml:space="preserve"> </w:t>
      </w:r>
      <w:r w:rsidRPr="003B1108">
        <w:rPr>
          <w:rFonts w:ascii="Book Antiqua" w:eastAsia="宋体" w:hAnsi="Book Antiqua"/>
          <w:kern w:val="0"/>
          <w:sz w:val="24"/>
          <w:szCs w:val="24"/>
        </w:rPr>
        <w:t>October</w:t>
      </w:r>
      <w:r w:rsidRPr="003B1108">
        <w:rPr>
          <w:rFonts w:ascii="Book Antiqua" w:hAnsi="Book Antiqua"/>
          <w:kern w:val="0"/>
          <w:sz w:val="24"/>
          <w:szCs w:val="24"/>
        </w:rPr>
        <w:t xml:space="preserve"> 1</w:t>
      </w:r>
      <w:r w:rsidR="00653973" w:rsidRPr="003B1108">
        <w:rPr>
          <w:rFonts w:ascii="Book Antiqua" w:hAnsi="Book Antiqua"/>
          <w:kern w:val="0"/>
          <w:sz w:val="24"/>
          <w:szCs w:val="24"/>
        </w:rPr>
        <w:t>4</w:t>
      </w:r>
      <w:r w:rsidRPr="003B1108">
        <w:rPr>
          <w:rFonts w:ascii="Book Antiqua" w:hAnsi="Book Antiqua"/>
          <w:kern w:val="0"/>
          <w:sz w:val="24"/>
          <w:szCs w:val="24"/>
        </w:rPr>
        <w:t>, 2019</w:t>
      </w:r>
    </w:p>
    <w:p w14:paraId="220A77CA" w14:textId="3BA31EAD" w:rsidR="008978D5" w:rsidRPr="003B1108" w:rsidRDefault="008978D5" w:rsidP="003B1108">
      <w:pPr>
        <w:widowControl/>
        <w:adjustRightInd w:val="0"/>
        <w:snapToGrid w:val="0"/>
        <w:spacing w:line="360" w:lineRule="auto"/>
        <w:rPr>
          <w:rFonts w:ascii="Book Antiqua" w:eastAsia="宋体" w:hAnsi="Book Antiqua"/>
          <w:b/>
          <w:kern w:val="0"/>
          <w:sz w:val="24"/>
          <w:szCs w:val="24"/>
        </w:rPr>
      </w:pPr>
      <w:r w:rsidRPr="003B1108">
        <w:rPr>
          <w:rFonts w:ascii="Book Antiqua" w:eastAsia="宋体" w:hAnsi="Book Antiqua"/>
          <w:b/>
          <w:kern w:val="0"/>
          <w:sz w:val="24"/>
          <w:szCs w:val="24"/>
        </w:rPr>
        <w:lastRenderedPageBreak/>
        <w:t xml:space="preserve">Revised: </w:t>
      </w:r>
      <w:r w:rsidR="00653973" w:rsidRPr="003B1108">
        <w:rPr>
          <w:rFonts w:ascii="Book Antiqua" w:eastAsia="宋体" w:hAnsi="Book Antiqua"/>
          <w:kern w:val="0"/>
          <w:sz w:val="24"/>
          <w:szCs w:val="24"/>
        </w:rPr>
        <w:t>November</w:t>
      </w:r>
      <w:r w:rsidRPr="003B1108">
        <w:rPr>
          <w:rFonts w:ascii="Book Antiqua" w:eastAsia="宋体" w:hAnsi="Book Antiqua"/>
          <w:kern w:val="0"/>
          <w:sz w:val="24"/>
          <w:szCs w:val="24"/>
        </w:rPr>
        <w:t xml:space="preserve"> </w:t>
      </w:r>
      <w:r w:rsidR="00653973" w:rsidRPr="003B1108">
        <w:rPr>
          <w:rFonts w:ascii="Book Antiqua" w:eastAsia="宋体" w:hAnsi="Book Antiqua"/>
          <w:kern w:val="0"/>
          <w:sz w:val="24"/>
          <w:szCs w:val="24"/>
        </w:rPr>
        <w:t>8</w:t>
      </w:r>
      <w:r w:rsidRPr="003B1108">
        <w:rPr>
          <w:rFonts w:ascii="Book Antiqua" w:eastAsia="宋体" w:hAnsi="Book Antiqua"/>
          <w:kern w:val="0"/>
          <w:sz w:val="24"/>
          <w:szCs w:val="24"/>
        </w:rPr>
        <w:t>, 2019</w:t>
      </w:r>
      <w:r w:rsidR="00F549B2">
        <w:rPr>
          <w:rFonts w:ascii="Book Antiqua" w:eastAsia="宋体" w:hAnsi="Book Antiqua"/>
          <w:kern w:val="0"/>
          <w:sz w:val="24"/>
          <w:szCs w:val="24"/>
        </w:rPr>
        <w:t xml:space="preserve">  </w:t>
      </w:r>
    </w:p>
    <w:p w14:paraId="06A24A31" w14:textId="5A13DCEB" w:rsidR="008978D5" w:rsidRPr="003B1108" w:rsidRDefault="008978D5" w:rsidP="003B1108">
      <w:pPr>
        <w:widowControl/>
        <w:adjustRightInd w:val="0"/>
        <w:snapToGrid w:val="0"/>
        <w:spacing w:line="360" w:lineRule="auto"/>
        <w:rPr>
          <w:rFonts w:ascii="Book Antiqua" w:eastAsia="宋体" w:hAnsi="Book Antiqua"/>
          <w:b/>
          <w:kern w:val="0"/>
          <w:sz w:val="24"/>
          <w:szCs w:val="24"/>
        </w:rPr>
      </w:pPr>
      <w:r w:rsidRPr="003B1108">
        <w:rPr>
          <w:rFonts w:ascii="Book Antiqua" w:eastAsia="宋体" w:hAnsi="Book Antiqua"/>
          <w:b/>
          <w:kern w:val="0"/>
          <w:sz w:val="24"/>
          <w:szCs w:val="24"/>
        </w:rPr>
        <w:t>Accepted:</w:t>
      </w:r>
      <w:r w:rsidR="00F42FA1" w:rsidRPr="00F42FA1">
        <w:t xml:space="preserve"> </w:t>
      </w:r>
      <w:r w:rsidR="00F42FA1" w:rsidRPr="00F42FA1">
        <w:rPr>
          <w:rFonts w:ascii="Book Antiqua" w:eastAsia="宋体" w:hAnsi="Book Antiqua"/>
          <w:kern w:val="0"/>
          <w:sz w:val="24"/>
          <w:szCs w:val="24"/>
        </w:rPr>
        <w:t>November 13, 2019</w:t>
      </w:r>
      <w:r w:rsidRPr="00F42FA1">
        <w:rPr>
          <w:rFonts w:ascii="Book Antiqua" w:eastAsia="宋体" w:hAnsi="Book Antiqua"/>
          <w:kern w:val="0"/>
          <w:sz w:val="24"/>
          <w:szCs w:val="24"/>
        </w:rPr>
        <w:t xml:space="preserve"> </w:t>
      </w:r>
    </w:p>
    <w:p w14:paraId="1B04EA0F" w14:textId="61B06C91" w:rsidR="008978D5" w:rsidRPr="003B1108" w:rsidRDefault="008978D5" w:rsidP="003B1108">
      <w:pPr>
        <w:widowControl/>
        <w:adjustRightInd w:val="0"/>
        <w:snapToGrid w:val="0"/>
        <w:spacing w:line="360" w:lineRule="auto"/>
        <w:rPr>
          <w:rFonts w:ascii="Book Antiqua" w:eastAsia="宋体" w:hAnsi="Book Antiqua"/>
          <w:b/>
          <w:kern w:val="0"/>
          <w:sz w:val="24"/>
          <w:szCs w:val="24"/>
        </w:rPr>
      </w:pPr>
      <w:r w:rsidRPr="003B1108">
        <w:rPr>
          <w:rFonts w:ascii="Book Antiqua" w:eastAsia="宋体" w:hAnsi="Book Antiqua"/>
          <w:b/>
          <w:kern w:val="0"/>
          <w:sz w:val="24"/>
          <w:szCs w:val="24"/>
        </w:rPr>
        <w:t>Article in press:</w:t>
      </w:r>
      <w:r w:rsidR="00E40BAD">
        <w:rPr>
          <w:rFonts w:ascii="Book Antiqua" w:eastAsia="宋体" w:hAnsi="Book Antiqua" w:hint="eastAsia"/>
          <w:b/>
          <w:kern w:val="0"/>
          <w:sz w:val="24"/>
          <w:szCs w:val="24"/>
        </w:rPr>
        <w:t xml:space="preserve"> </w:t>
      </w:r>
      <w:r w:rsidR="00E40BAD" w:rsidRPr="00E40BAD">
        <w:rPr>
          <w:rFonts w:ascii="Book Antiqua" w:eastAsia="宋体" w:hAnsi="Book Antiqua"/>
          <w:kern w:val="0"/>
          <w:sz w:val="24"/>
          <w:szCs w:val="24"/>
        </w:rPr>
        <w:t>November 13, 2019</w:t>
      </w:r>
    </w:p>
    <w:p w14:paraId="2693F407" w14:textId="4B684EA4" w:rsidR="008978D5" w:rsidRPr="003B1108" w:rsidRDefault="008978D5" w:rsidP="003B1108">
      <w:pPr>
        <w:widowControl/>
        <w:adjustRightInd w:val="0"/>
        <w:snapToGrid w:val="0"/>
        <w:spacing w:line="360" w:lineRule="auto"/>
        <w:rPr>
          <w:rFonts w:ascii="Book Antiqua" w:eastAsia="宋体" w:hAnsi="Book Antiqua"/>
          <w:color w:val="000000"/>
          <w:kern w:val="0"/>
          <w:sz w:val="24"/>
          <w:szCs w:val="24"/>
        </w:rPr>
      </w:pPr>
      <w:r w:rsidRPr="003B1108">
        <w:rPr>
          <w:rFonts w:ascii="Book Antiqua" w:eastAsia="宋体" w:hAnsi="Book Antiqua"/>
          <w:b/>
          <w:kern w:val="0"/>
          <w:sz w:val="24"/>
          <w:szCs w:val="24"/>
        </w:rPr>
        <w:t>Published online:</w:t>
      </w:r>
      <w:bookmarkEnd w:id="21"/>
      <w:bookmarkEnd w:id="22"/>
      <w:bookmarkEnd w:id="23"/>
      <w:bookmarkEnd w:id="24"/>
      <w:bookmarkEnd w:id="25"/>
      <w:r w:rsidR="00E40BAD">
        <w:rPr>
          <w:rFonts w:ascii="Book Antiqua" w:eastAsia="宋体" w:hAnsi="Book Antiqua" w:hint="eastAsia"/>
          <w:b/>
          <w:kern w:val="0"/>
          <w:sz w:val="24"/>
          <w:szCs w:val="24"/>
        </w:rPr>
        <w:t xml:space="preserve"> </w:t>
      </w:r>
      <w:r w:rsidR="00E40BAD" w:rsidRPr="00E40BAD">
        <w:rPr>
          <w:rFonts w:ascii="Book Antiqua" w:eastAsia="宋体" w:hAnsi="Book Antiqua"/>
          <w:kern w:val="0"/>
          <w:sz w:val="24"/>
          <w:szCs w:val="24"/>
        </w:rPr>
        <w:t>November 28</w:t>
      </w:r>
      <w:proofErr w:type="gramStart"/>
      <w:r w:rsidR="00E40BAD" w:rsidRPr="00E40BAD">
        <w:rPr>
          <w:rFonts w:ascii="Book Antiqua" w:eastAsia="宋体" w:hAnsi="Book Antiqua"/>
          <w:kern w:val="0"/>
          <w:sz w:val="24"/>
          <w:szCs w:val="24"/>
        </w:rPr>
        <w:t>,2019</w:t>
      </w:r>
      <w:proofErr w:type="gramEnd"/>
    </w:p>
    <w:bookmarkEnd w:id="26"/>
    <w:bookmarkEnd w:id="27"/>
    <w:bookmarkEnd w:id="28"/>
    <w:bookmarkEnd w:id="29"/>
    <w:bookmarkEnd w:id="30"/>
    <w:bookmarkEnd w:id="31"/>
    <w:p w14:paraId="58ACE81E" w14:textId="45C4E995" w:rsidR="00E64B70" w:rsidRPr="003B1108" w:rsidRDefault="00E64B70" w:rsidP="003B1108">
      <w:pPr>
        <w:widowControl/>
        <w:adjustRightInd w:val="0"/>
        <w:snapToGrid w:val="0"/>
        <w:spacing w:line="360" w:lineRule="auto"/>
        <w:jc w:val="left"/>
        <w:rPr>
          <w:rFonts w:ascii="Book Antiqua" w:hAnsi="Book Antiqua"/>
          <w:bCs/>
          <w:sz w:val="24"/>
          <w:szCs w:val="24"/>
        </w:rPr>
      </w:pPr>
      <w:r w:rsidRPr="003B1108">
        <w:rPr>
          <w:rFonts w:ascii="Book Antiqua" w:hAnsi="Book Antiqua"/>
          <w:bCs/>
          <w:sz w:val="24"/>
          <w:szCs w:val="24"/>
        </w:rPr>
        <w:br w:type="page"/>
      </w:r>
    </w:p>
    <w:p w14:paraId="2ED4F526" w14:textId="77777777" w:rsidR="00AE0580" w:rsidRPr="003B1108" w:rsidRDefault="00AE0580" w:rsidP="003B1108">
      <w:pPr>
        <w:adjustRightInd w:val="0"/>
        <w:snapToGrid w:val="0"/>
        <w:spacing w:line="360" w:lineRule="auto"/>
        <w:rPr>
          <w:rFonts w:ascii="Book Antiqua" w:hAnsi="Book Antiqua"/>
          <w:b/>
          <w:sz w:val="24"/>
          <w:szCs w:val="24"/>
        </w:rPr>
      </w:pPr>
      <w:r w:rsidRPr="003B1108">
        <w:rPr>
          <w:rFonts w:ascii="Book Antiqua" w:hAnsi="Book Antiqua"/>
          <w:b/>
          <w:sz w:val="24"/>
          <w:szCs w:val="24"/>
        </w:rPr>
        <w:lastRenderedPageBreak/>
        <w:t>Abstract</w:t>
      </w:r>
    </w:p>
    <w:p w14:paraId="3ACD7F4F" w14:textId="3D332AE3" w:rsidR="00AE0580" w:rsidRPr="003B1108" w:rsidRDefault="00AE0580" w:rsidP="003B1108">
      <w:pPr>
        <w:adjustRightInd w:val="0"/>
        <w:snapToGrid w:val="0"/>
        <w:spacing w:line="360" w:lineRule="auto"/>
        <w:rPr>
          <w:rFonts w:ascii="Book Antiqua" w:hAnsi="Book Antiqua"/>
          <w:b/>
          <w:i/>
          <w:iCs/>
          <w:sz w:val="24"/>
          <w:szCs w:val="24"/>
        </w:rPr>
      </w:pPr>
      <w:r w:rsidRPr="003B1108">
        <w:rPr>
          <w:rFonts w:ascii="Book Antiqua" w:hAnsi="Book Antiqua"/>
          <w:b/>
          <w:i/>
          <w:iCs/>
          <w:sz w:val="24"/>
          <w:szCs w:val="24"/>
        </w:rPr>
        <w:t>BACKGROUND</w:t>
      </w:r>
    </w:p>
    <w:p w14:paraId="6F011ECE" w14:textId="683E84AA" w:rsidR="00AE0580" w:rsidRPr="003B1108" w:rsidRDefault="008D4625" w:rsidP="003B1108">
      <w:pPr>
        <w:adjustRightInd w:val="0"/>
        <w:snapToGrid w:val="0"/>
        <w:spacing w:line="360" w:lineRule="auto"/>
        <w:rPr>
          <w:rFonts w:ascii="Book Antiqua" w:hAnsi="Book Antiqua"/>
          <w:bCs/>
          <w:sz w:val="24"/>
          <w:szCs w:val="24"/>
        </w:rPr>
      </w:pPr>
      <w:r w:rsidRPr="003B1108">
        <w:rPr>
          <w:rFonts w:ascii="Book Antiqua" w:hAnsi="Book Antiqua"/>
          <w:sz w:val="24"/>
          <w:szCs w:val="24"/>
        </w:rPr>
        <w:t xml:space="preserve">Regimens involving </w:t>
      </w:r>
      <w:bookmarkStart w:id="32" w:name="_Hlk24119387"/>
      <w:r w:rsidRPr="003B1108">
        <w:rPr>
          <w:rFonts w:ascii="Book Antiqua" w:hAnsi="Book Antiqua"/>
          <w:sz w:val="24"/>
          <w:szCs w:val="24"/>
        </w:rPr>
        <w:t>direct-acting antiviral agents</w:t>
      </w:r>
      <w:bookmarkEnd w:id="32"/>
      <w:r w:rsidRPr="003B1108">
        <w:rPr>
          <w:rFonts w:ascii="Book Antiqua" w:hAnsi="Book Antiqua"/>
          <w:sz w:val="24"/>
          <w:szCs w:val="24"/>
        </w:rPr>
        <w:t xml:space="preserve"> (DAAs) are recommended for the treatment of</w:t>
      </w:r>
      <w:r w:rsidR="004C5F2D">
        <w:rPr>
          <w:rFonts w:ascii="Book Antiqua" w:hAnsi="Book Antiqua"/>
          <w:sz w:val="24"/>
          <w:szCs w:val="24"/>
        </w:rPr>
        <w:t xml:space="preserve"> infection with</w:t>
      </w:r>
      <w:r w:rsidRPr="003B1108">
        <w:rPr>
          <w:rFonts w:ascii="Book Antiqua" w:hAnsi="Book Antiqua"/>
          <w:sz w:val="24"/>
          <w:szCs w:val="24"/>
        </w:rPr>
        <w:t xml:space="preserve"> hepatitis C virus (HCV)</w:t>
      </w:r>
      <w:r w:rsidR="004C5F2D">
        <w:rPr>
          <w:rFonts w:ascii="Book Antiqua" w:hAnsi="Book Antiqua"/>
          <w:sz w:val="24"/>
          <w:szCs w:val="24"/>
        </w:rPr>
        <w:t xml:space="preserve"> </w:t>
      </w:r>
      <w:r w:rsidRPr="003B1108">
        <w:rPr>
          <w:rFonts w:ascii="Book Antiqua" w:hAnsi="Book Antiqua"/>
          <w:sz w:val="24"/>
          <w:szCs w:val="24"/>
        </w:rPr>
        <w:t>genotypes 1, 2 and 3. But real-world data is still not enough, especially in Asia.</w:t>
      </w:r>
    </w:p>
    <w:p w14:paraId="32576142" w14:textId="77777777" w:rsidR="00BD2FE0" w:rsidRPr="00780E82" w:rsidRDefault="00BD2FE0" w:rsidP="003B1108">
      <w:pPr>
        <w:adjustRightInd w:val="0"/>
        <w:snapToGrid w:val="0"/>
        <w:spacing w:line="360" w:lineRule="auto"/>
        <w:rPr>
          <w:rFonts w:ascii="Book Antiqua" w:hAnsi="Book Antiqua"/>
          <w:bCs/>
          <w:sz w:val="24"/>
          <w:szCs w:val="24"/>
        </w:rPr>
      </w:pPr>
    </w:p>
    <w:p w14:paraId="5F9BD691" w14:textId="1907A499" w:rsidR="00AE0580" w:rsidRPr="003B1108" w:rsidRDefault="00AE0580" w:rsidP="003B1108">
      <w:pPr>
        <w:adjustRightInd w:val="0"/>
        <w:snapToGrid w:val="0"/>
        <w:spacing w:line="360" w:lineRule="auto"/>
        <w:rPr>
          <w:rFonts w:ascii="Book Antiqua" w:hAnsi="Book Antiqua"/>
          <w:b/>
          <w:i/>
          <w:iCs/>
          <w:sz w:val="24"/>
          <w:szCs w:val="24"/>
        </w:rPr>
      </w:pPr>
      <w:r w:rsidRPr="003B1108">
        <w:rPr>
          <w:rFonts w:ascii="Book Antiqua" w:hAnsi="Book Antiqua"/>
          <w:b/>
          <w:i/>
          <w:iCs/>
          <w:sz w:val="24"/>
          <w:szCs w:val="24"/>
        </w:rPr>
        <w:t>AIM</w:t>
      </w:r>
    </w:p>
    <w:p w14:paraId="55423A74" w14:textId="17CC3DD1" w:rsidR="00AE0580" w:rsidRPr="003B1108" w:rsidRDefault="00AE0580" w:rsidP="003B1108">
      <w:pPr>
        <w:adjustRightInd w:val="0"/>
        <w:snapToGrid w:val="0"/>
        <w:spacing w:line="360" w:lineRule="auto"/>
        <w:rPr>
          <w:rFonts w:ascii="Book Antiqua" w:hAnsi="Book Antiqua"/>
          <w:bCs/>
          <w:sz w:val="24"/>
          <w:szCs w:val="24"/>
        </w:rPr>
      </w:pPr>
      <w:r w:rsidRPr="003B1108">
        <w:rPr>
          <w:rFonts w:ascii="Book Antiqua" w:hAnsi="Book Antiqua"/>
          <w:bCs/>
          <w:sz w:val="24"/>
          <w:szCs w:val="24"/>
        </w:rPr>
        <w:t xml:space="preserve">To </w:t>
      </w:r>
      <w:r w:rsidR="008D4625" w:rsidRPr="003B1108">
        <w:rPr>
          <w:rFonts w:ascii="Book Antiqua" w:hAnsi="Book Antiqua"/>
          <w:sz w:val="24"/>
          <w:szCs w:val="24"/>
        </w:rPr>
        <w:t xml:space="preserve">investigate </w:t>
      </w:r>
      <w:r w:rsidR="008D4625" w:rsidRPr="003B1108">
        <w:rPr>
          <w:rFonts w:ascii="Book Antiqua" w:hAnsi="Book Antiqua"/>
          <w:noProof/>
          <w:sz w:val="24"/>
          <w:szCs w:val="24"/>
        </w:rPr>
        <w:t>the efficacy</w:t>
      </w:r>
      <w:r w:rsidR="008D4625" w:rsidRPr="003B1108">
        <w:rPr>
          <w:rFonts w:ascii="Book Antiqua" w:hAnsi="Book Antiqua"/>
          <w:sz w:val="24"/>
          <w:szCs w:val="24"/>
        </w:rPr>
        <w:t xml:space="preserve"> and safety of DAA-based regimens in a real-life setting in China.</w:t>
      </w:r>
    </w:p>
    <w:p w14:paraId="695C6BCB" w14:textId="77777777" w:rsidR="00BD2FE0" w:rsidRPr="003B1108" w:rsidRDefault="00BD2FE0" w:rsidP="003B1108">
      <w:pPr>
        <w:adjustRightInd w:val="0"/>
        <w:snapToGrid w:val="0"/>
        <w:spacing w:line="360" w:lineRule="auto"/>
        <w:rPr>
          <w:rFonts w:ascii="Book Antiqua" w:hAnsi="Book Antiqua"/>
          <w:bCs/>
          <w:sz w:val="24"/>
          <w:szCs w:val="24"/>
        </w:rPr>
      </w:pPr>
    </w:p>
    <w:p w14:paraId="0CFB10C8" w14:textId="1E1D6CA7" w:rsidR="00AE0580" w:rsidRPr="003B1108" w:rsidRDefault="00AE0580" w:rsidP="003B1108">
      <w:pPr>
        <w:adjustRightInd w:val="0"/>
        <w:snapToGrid w:val="0"/>
        <w:spacing w:line="360" w:lineRule="auto"/>
        <w:rPr>
          <w:rFonts w:ascii="Book Antiqua" w:hAnsi="Book Antiqua"/>
          <w:b/>
          <w:i/>
          <w:iCs/>
          <w:sz w:val="24"/>
          <w:szCs w:val="24"/>
        </w:rPr>
      </w:pPr>
      <w:r w:rsidRPr="003B1108">
        <w:rPr>
          <w:rFonts w:ascii="Book Antiqua" w:hAnsi="Book Antiqua"/>
          <w:b/>
          <w:i/>
          <w:iCs/>
          <w:sz w:val="24"/>
          <w:szCs w:val="24"/>
        </w:rPr>
        <w:t>METHODS</w:t>
      </w:r>
    </w:p>
    <w:p w14:paraId="69DDFA6A" w14:textId="780635CF" w:rsidR="00AE0580" w:rsidRPr="003B1108" w:rsidRDefault="008D4625" w:rsidP="003B1108">
      <w:pPr>
        <w:adjustRightInd w:val="0"/>
        <w:snapToGrid w:val="0"/>
        <w:spacing w:line="360" w:lineRule="auto"/>
        <w:rPr>
          <w:rFonts w:ascii="Book Antiqua" w:hAnsi="Book Antiqua"/>
          <w:bCs/>
          <w:sz w:val="24"/>
          <w:szCs w:val="24"/>
        </w:rPr>
      </w:pPr>
      <w:r w:rsidRPr="003B1108">
        <w:rPr>
          <w:rFonts w:ascii="Book Antiqua" w:hAnsi="Book Antiqua"/>
          <w:bCs/>
          <w:sz w:val="24"/>
          <w:szCs w:val="24"/>
        </w:rPr>
        <w:t>This study included 366 patients infected with HCV genotypes 1,</w:t>
      </w:r>
      <w:r w:rsidR="00E64B70" w:rsidRPr="003B1108">
        <w:rPr>
          <w:rFonts w:ascii="Book Antiqua" w:hAnsi="Book Antiqua"/>
          <w:bCs/>
          <w:sz w:val="24"/>
          <w:szCs w:val="24"/>
        </w:rPr>
        <w:t xml:space="preserve"> </w:t>
      </w:r>
      <w:r w:rsidRPr="003B1108">
        <w:rPr>
          <w:rFonts w:ascii="Book Antiqua" w:hAnsi="Book Antiqua"/>
          <w:bCs/>
          <w:sz w:val="24"/>
          <w:szCs w:val="24"/>
        </w:rPr>
        <w:t xml:space="preserve">2 and 3, with or without cirrhosis, who were observed between May 2015 and December 2018. They were treated with </w:t>
      </w:r>
      <w:r w:rsidR="004C5F2D">
        <w:rPr>
          <w:rFonts w:ascii="Book Antiqua" w:hAnsi="Book Antiqua"/>
          <w:bCs/>
          <w:sz w:val="24"/>
          <w:szCs w:val="24"/>
        </w:rPr>
        <w:t>l</w:t>
      </w:r>
      <w:r w:rsidR="004C5F2D" w:rsidRPr="003B1108">
        <w:rPr>
          <w:rFonts w:ascii="Book Antiqua" w:hAnsi="Book Antiqua"/>
          <w:bCs/>
          <w:sz w:val="24"/>
          <w:szCs w:val="24"/>
        </w:rPr>
        <w:t xml:space="preserve">edipasvir </w:t>
      </w:r>
      <w:r w:rsidRPr="003B1108">
        <w:rPr>
          <w:rFonts w:ascii="Book Antiqua" w:hAnsi="Book Antiqua"/>
          <w:bCs/>
          <w:sz w:val="24"/>
          <w:szCs w:val="24"/>
        </w:rPr>
        <w:t xml:space="preserve">and </w:t>
      </w:r>
      <w:r w:rsidR="004C5F2D">
        <w:rPr>
          <w:rFonts w:ascii="Book Antiqua" w:hAnsi="Book Antiqua"/>
          <w:bCs/>
          <w:sz w:val="24"/>
          <w:szCs w:val="24"/>
        </w:rPr>
        <w:t>s</w:t>
      </w:r>
      <w:r w:rsidR="004C5F2D" w:rsidRPr="003B1108">
        <w:rPr>
          <w:rFonts w:ascii="Book Antiqua" w:hAnsi="Book Antiqua"/>
          <w:bCs/>
          <w:sz w:val="24"/>
          <w:szCs w:val="24"/>
        </w:rPr>
        <w:t xml:space="preserve">ofosbuvir </w:t>
      </w:r>
      <w:r w:rsidR="00A613CF" w:rsidRPr="003B1108">
        <w:rPr>
          <w:rFonts w:ascii="Book Antiqua" w:hAnsi="Book Antiqua"/>
          <w:bCs/>
          <w:sz w:val="24"/>
          <w:szCs w:val="24"/>
        </w:rPr>
        <w:t>(SOF)</w:t>
      </w:r>
      <w:r w:rsidRPr="003B1108">
        <w:rPr>
          <w:rFonts w:ascii="Book Antiqua" w:hAnsi="Book Antiqua"/>
          <w:bCs/>
          <w:sz w:val="24"/>
          <w:szCs w:val="24"/>
        </w:rPr>
        <w:t xml:space="preserve"> (genotype 1) with or without </w:t>
      </w:r>
      <w:r w:rsidR="004C5F2D">
        <w:rPr>
          <w:rFonts w:ascii="Book Antiqua" w:hAnsi="Book Antiqua"/>
          <w:bCs/>
          <w:sz w:val="24"/>
          <w:szCs w:val="24"/>
        </w:rPr>
        <w:t>r</w:t>
      </w:r>
      <w:r w:rsidR="004C5F2D" w:rsidRPr="003B1108">
        <w:rPr>
          <w:rFonts w:ascii="Book Antiqua" w:hAnsi="Book Antiqua"/>
          <w:bCs/>
          <w:sz w:val="24"/>
          <w:szCs w:val="24"/>
        </w:rPr>
        <w:t xml:space="preserve">ibavirin </w:t>
      </w:r>
      <w:r w:rsidRPr="003B1108">
        <w:rPr>
          <w:rFonts w:ascii="Book Antiqua" w:hAnsi="Book Antiqua"/>
          <w:bCs/>
          <w:sz w:val="24"/>
          <w:szCs w:val="24"/>
        </w:rPr>
        <w:t xml:space="preserve">(RBV), SOF and RBV (genotype 2), or SOF and </w:t>
      </w:r>
      <w:r w:rsidR="004C5F2D">
        <w:rPr>
          <w:rFonts w:ascii="Book Antiqua" w:hAnsi="Book Antiqua"/>
          <w:bCs/>
          <w:sz w:val="24"/>
          <w:szCs w:val="24"/>
        </w:rPr>
        <w:t>d</w:t>
      </w:r>
      <w:r w:rsidR="004C5F2D" w:rsidRPr="003B1108">
        <w:rPr>
          <w:rFonts w:ascii="Book Antiqua" w:hAnsi="Book Antiqua"/>
          <w:bCs/>
          <w:sz w:val="24"/>
          <w:szCs w:val="24"/>
        </w:rPr>
        <w:t xml:space="preserve">aclatasvir </w:t>
      </w:r>
      <w:r w:rsidRPr="003B1108">
        <w:rPr>
          <w:rFonts w:ascii="Book Antiqua" w:hAnsi="Book Antiqua"/>
          <w:bCs/>
          <w:sz w:val="24"/>
          <w:szCs w:val="24"/>
        </w:rPr>
        <w:t xml:space="preserve">(genotype 3), with or without RBV, for 12 or more </w:t>
      </w:r>
      <w:r w:rsidR="00DE2FDA" w:rsidRPr="003B1108">
        <w:rPr>
          <w:rFonts w:ascii="Book Antiqua" w:hAnsi="Book Antiqua"/>
          <w:bCs/>
          <w:sz w:val="24"/>
          <w:szCs w:val="24"/>
        </w:rPr>
        <w:t>w</w:t>
      </w:r>
      <w:r w:rsidR="004C5F2D">
        <w:rPr>
          <w:rFonts w:ascii="Book Antiqua" w:hAnsi="Book Antiqua"/>
          <w:bCs/>
          <w:sz w:val="24"/>
          <w:szCs w:val="24"/>
        </w:rPr>
        <w:t>ee</w:t>
      </w:r>
      <w:r w:rsidR="00DE2FDA" w:rsidRPr="003B1108">
        <w:rPr>
          <w:rFonts w:ascii="Book Antiqua" w:hAnsi="Book Antiqua"/>
          <w:bCs/>
          <w:sz w:val="24"/>
          <w:szCs w:val="24"/>
        </w:rPr>
        <w:t>k</w:t>
      </w:r>
      <w:r w:rsidR="004C5F2D">
        <w:rPr>
          <w:rFonts w:ascii="Book Antiqua" w:hAnsi="Book Antiqua"/>
          <w:bCs/>
          <w:sz w:val="24"/>
          <w:szCs w:val="24"/>
        </w:rPr>
        <w:t>s</w:t>
      </w:r>
      <w:r w:rsidRPr="003B1108">
        <w:rPr>
          <w:rFonts w:ascii="Book Antiqua" w:hAnsi="Book Antiqua"/>
          <w:bCs/>
          <w:sz w:val="24"/>
          <w:szCs w:val="24"/>
        </w:rPr>
        <w:t xml:space="preserve">. The participants’ sustained </w:t>
      </w:r>
      <w:proofErr w:type="spellStart"/>
      <w:r w:rsidR="00547844" w:rsidRPr="003B1108">
        <w:rPr>
          <w:rFonts w:ascii="Book Antiqua" w:hAnsi="Book Antiqua"/>
          <w:bCs/>
          <w:sz w:val="24"/>
          <w:szCs w:val="24"/>
        </w:rPr>
        <w:t>virological</w:t>
      </w:r>
      <w:proofErr w:type="spellEnd"/>
      <w:r w:rsidRPr="003B1108">
        <w:rPr>
          <w:rFonts w:ascii="Book Antiqua" w:hAnsi="Book Antiqua"/>
          <w:bCs/>
          <w:sz w:val="24"/>
          <w:szCs w:val="24"/>
        </w:rPr>
        <w:t xml:space="preserve"> responses (SVR) </w:t>
      </w:r>
      <w:bookmarkStart w:id="33" w:name="_Hlk24357860"/>
      <w:r w:rsidRPr="003B1108">
        <w:rPr>
          <w:rFonts w:ascii="Book Antiqua" w:hAnsi="Book Antiqua"/>
          <w:bCs/>
          <w:sz w:val="24"/>
          <w:szCs w:val="24"/>
        </w:rPr>
        <w:t>at post-treatment week 12</w:t>
      </w:r>
      <w:bookmarkEnd w:id="33"/>
      <w:r w:rsidRPr="003B1108">
        <w:rPr>
          <w:rFonts w:ascii="Book Antiqua" w:hAnsi="Book Antiqua"/>
          <w:bCs/>
          <w:sz w:val="24"/>
          <w:szCs w:val="24"/>
        </w:rPr>
        <w:t xml:space="preserve"> (SVR12) was the primary endpoint. The occurrence of adverse events and drug-drug interactions were recorded.</w:t>
      </w:r>
    </w:p>
    <w:p w14:paraId="36C402FE" w14:textId="77777777" w:rsidR="00BD2FE0" w:rsidRPr="003B1108" w:rsidRDefault="00BD2FE0" w:rsidP="003B1108">
      <w:pPr>
        <w:adjustRightInd w:val="0"/>
        <w:snapToGrid w:val="0"/>
        <w:spacing w:line="360" w:lineRule="auto"/>
        <w:rPr>
          <w:rFonts w:ascii="Book Antiqua" w:hAnsi="Book Antiqua"/>
          <w:bCs/>
          <w:sz w:val="24"/>
          <w:szCs w:val="24"/>
        </w:rPr>
      </w:pPr>
    </w:p>
    <w:p w14:paraId="401CB4B1" w14:textId="0C90A438" w:rsidR="00AE0580" w:rsidRPr="003B1108" w:rsidRDefault="00AE0580" w:rsidP="003B1108">
      <w:pPr>
        <w:adjustRightInd w:val="0"/>
        <w:snapToGrid w:val="0"/>
        <w:spacing w:line="360" w:lineRule="auto"/>
        <w:rPr>
          <w:rFonts w:ascii="Book Antiqua" w:hAnsi="Book Antiqua"/>
          <w:b/>
          <w:i/>
          <w:iCs/>
          <w:sz w:val="24"/>
          <w:szCs w:val="24"/>
        </w:rPr>
      </w:pPr>
      <w:r w:rsidRPr="003B1108">
        <w:rPr>
          <w:rFonts w:ascii="Book Antiqua" w:hAnsi="Book Antiqua"/>
          <w:b/>
          <w:i/>
          <w:iCs/>
          <w:sz w:val="24"/>
          <w:szCs w:val="24"/>
        </w:rPr>
        <w:t>RESULTS</w:t>
      </w:r>
    </w:p>
    <w:p w14:paraId="23F8B1E4" w14:textId="68E85F62" w:rsidR="00AE0580" w:rsidRPr="003B1108" w:rsidRDefault="004C5F2D" w:rsidP="003B1108">
      <w:pPr>
        <w:adjustRightInd w:val="0"/>
        <w:snapToGrid w:val="0"/>
        <w:spacing w:line="360" w:lineRule="auto"/>
        <w:rPr>
          <w:rFonts w:ascii="Book Antiqua" w:hAnsi="Book Antiqua"/>
          <w:bCs/>
          <w:sz w:val="24"/>
          <w:szCs w:val="24"/>
        </w:rPr>
      </w:pPr>
      <w:r>
        <w:rPr>
          <w:rFonts w:ascii="Book Antiqua" w:hAnsi="Book Antiqua"/>
          <w:sz w:val="24"/>
          <w:szCs w:val="24"/>
        </w:rPr>
        <w:t>In</w:t>
      </w:r>
      <w:r w:rsidRPr="003B1108">
        <w:rPr>
          <w:rFonts w:ascii="Book Antiqua" w:hAnsi="Book Antiqua"/>
          <w:sz w:val="24"/>
          <w:szCs w:val="24"/>
        </w:rPr>
        <w:t xml:space="preserve"> </w:t>
      </w:r>
      <w:r w:rsidR="00677352" w:rsidRPr="003B1108">
        <w:rPr>
          <w:rFonts w:ascii="Book Antiqua" w:hAnsi="Book Antiqua"/>
          <w:sz w:val="24"/>
          <w:szCs w:val="24"/>
        </w:rPr>
        <w:t xml:space="preserve">the 366 patients, genotype 1 (59.0%) was the most common genotype, followed by genotypes 2 (34.4%) and 3 (6.6%). Liver cirrhosis was diagnosed in 154 (42.1%) patients. </w:t>
      </w:r>
      <w:r>
        <w:rPr>
          <w:rFonts w:ascii="Book Antiqua" w:hAnsi="Book Antiqua"/>
          <w:sz w:val="24"/>
          <w:szCs w:val="24"/>
        </w:rPr>
        <w:t>Fifty</w:t>
      </w:r>
      <w:r w:rsidRPr="003B1108">
        <w:rPr>
          <w:rFonts w:ascii="Book Antiqua" w:hAnsi="Book Antiqua"/>
          <w:sz w:val="24"/>
          <w:szCs w:val="24"/>
        </w:rPr>
        <w:t xml:space="preserve"> </w:t>
      </w:r>
      <w:r w:rsidR="00677352" w:rsidRPr="003B1108">
        <w:rPr>
          <w:rFonts w:ascii="Book Antiqua" w:hAnsi="Book Antiqua"/>
          <w:sz w:val="24"/>
          <w:szCs w:val="24"/>
        </w:rPr>
        <w:t xml:space="preserve">(13.7%) patients were </w:t>
      </w:r>
      <w:r w:rsidRPr="003B1108">
        <w:rPr>
          <w:rFonts w:ascii="Book Antiqua" w:hAnsi="Book Antiqua"/>
          <w:sz w:val="24"/>
          <w:szCs w:val="24"/>
        </w:rPr>
        <w:t>treat</w:t>
      </w:r>
      <w:r>
        <w:rPr>
          <w:rFonts w:ascii="Book Antiqua" w:hAnsi="Book Antiqua"/>
          <w:sz w:val="24"/>
          <w:szCs w:val="24"/>
        </w:rPr>
        <w:t>ment</w:t>
      </w:r>
      <w:r w:rsidR="00677352" w:rsidRPr="003B1108">
        <w:rPr>
          <w:rFonts w:ascii="Book Antiqua" w:hAnsi="Book Antiqua"/>
          <w:sz w:val="24"/>
          <w:szCs w:val="24"/>
        </w:rPr>
        <w:t xml:space="preserve">-experienced. </w:t>
      </w:r>
      <w:r w:rsidR="0070039B">
        <w:rPr>
          <w:rFonts w:ascii="Book Antiqua" w:hAnsi="Book Antiqua"/>
          <w:sz w:val="24"/>
          <w:szCs w:val="24"/>
        </w:rPr>
        <w:t>I</w:t>
      </w:r>
      <w:r w:rsidR="00677352" w:rsidRPr="003B1108">
        <w:rPr>
          <w:rFonts w:ascii="Book Antiqua" w:hAnsi="Book Antiqua"/>
          <w:sz w:val="24"/>
          <w:szCs w:val="24"/>
        </w:rPr>
        <w:t xml:space="preserve">ntention-to-treat analysis </w:t>
      </w:r>
      <w:r w:rsidR="0070039B" w:rsidRPr="003B1108">
        <w:rPr>
          <w:rFonts w:ascii="Book Antiqua" w:hAnsi="Book Antiqua"/>
          <w:sz w:val="24"/>
          <w:szCs w:val="24"/>
        </w:rPr>
        <w:t>reveal</w:t>
      </w:r>
      <w:r w:rsidR="0070039B">
        <w:rPr>
          <w:rFonts w:ascii="Book Antiqua" w:hAnsi="Book Antiqua"/>
          <w:sz w:val="24"/>
          <w:szCs w:val="24"/>
        </w:rPr>
        <w:t>ed</w:t>
      </w:r>
      <w:r w:rsidR="0070039B" w:rsidRPr="003B1108">
        <w:rPr>
          <w:rFonts w:ascii="Book Antiqua" w:hAnsi="Book Antiqua"/>
          <w:sz w:val="24"/>
          <w:szCs w:val="24"/>
        </w:rPr>
        <w:t xml:space="preserve"> </w:t>
      </w:r>
      <w:r w:rsidR="00677352" w:rsidRPr="003B1108">
        <w:rPr>
          <w:rFonts w:ascii="Book Antiqua" w:hAnsi="Book Antiqua"/>
          <w:sz w:val="24"/>
          <w:szCs w:val="24"/>
        </w:rPr>
        <w:t xml:space="preserve">that SVR12 was 86.3% (316/366). </w:t>
      </w:r>
      <w:r w:rsidR="00677352" w:rsidRPr="00E538DF">
        <w:rPr>
          <w:rFonts w:ascii="Book Antiqua" w:hAnsi="Book Antiqua"/>
          <w:sz w:val="24"/>
          <w:szCs w:val="24"/>
        </w:rPr>
        <w:t>For modified intention-to-treat</w:t>
      </w:r>
      <w:r w:rsidR="00E538DF">
        <w:rPr>
          <w:rFonts w:ascii="Book Antiqua" w:hAnsi="Book Antiqua"/>
          <w:sz w:val="24"/>
          <w:szCs w:val="24"/>
        </w:rPr>
        <w:t xml:space="preserve"> analysis,</w:t>
      </w:r>
      <w:r w:rsidR="00677352" w:rsidRPr="003B1108">
        <w:rPr>
          <w:rFonts w:ascii="Book Antiqua" w:hAnsi="Book Antiqua"/>
          <w:sz w:val="24"/>
          <w:szCs w:val="24"/>
        </w:rPr>
        <w:t xml:space="preserve"> SVR12 was achieved </w:t>
      </w:r>
      <w:r w:rsidR="009D75ED">
        <w:rPr>
          <w:rFonts w:ascii="Book Antiqua" w:hAnsi="Book Antiqua"/>
          <w:sz w:val="24"/>
          <w:szCs w:val="24"/>
        </w:rPr>
        <w:t>in</w:t>
      </w:r>
      <w:r w:rsidR="009D75ED" w:rsidRPr="003B1108">
        <w:rPr>
          <w:rFonts w:ascii="Book Antiqua" w:hAnsi="Book Antiqua"/>
          <w:sz w:val="24"/>
          <w:szCs w:val="24"/>
        </w:rPr>
        <w:t xml:space="preserve"> </w:t>
      </w:r>
      <w:r w:rsidR="00677352" w:rsidRPr="003B1108">
        <w:rPr>
          <w:rFonts w:ascii="Book Antiqua" w:hAnsi="Book Antiqua"/>
          <w:sz w:val="24"/>
          <w:szCs w:val="24"/>
        </w:rPr>
        <w:t xml:space="preserve">96.6% of </w:t>
      </w:r>
      <w:r w:rsidR="00244708">
        <w:rPr>
          <w:rFonts w:ascii="Book Antiqua" w:hAnsi="Book Antiqua"/>
          <w:sz w:val="24"/>
          <w:szCs w:val="24"/>
        </w:rPr>
        <w:t xml:space="preserve">overall </w:t>
      </w:r>
      <w:r w:rsidR="00677352" w:rsidRPr="003B1108">
        <w:rPr>
          <w:rFonts w:ascii="Book Antiqua" w:hAnsi="Book Antiqua"/>
          <w:sz w:val="24"/>
          <w:szCs w:val="24"/>
        </w:rPr>
        <w:t>patients (316/327</w:t>
      </w:r>
      <w:r w:rsidR="0070039B" w:rsidRPr="003B1108">
        <w:rPr>
          <w:rFonts w:ascii="Book Antiqua" w:hAnsi="Book Antiqua"/>
          <w:sz w:val="24"/>
          <w:szCs w:val="24"/>
        </w:rPr>
        <w:t>)</w:t>
      </w:r>
      <w:r w:rsidR="0070039B">
        <w:rPr>
          <w:rFonts w:ascii="Book Antiqua" w:hAnsi="Book Antiqua"/>
          <w:sz w:val="24"/>
          <w:szCs w:val="24"/>
        </w:rPr>
        <w:t>,</w:t>
      </w:r>
      <w:r w:rsidR="0070039B" w:rsidRPr="003B1108">
        <w:rPr>
          <w:rFonts w:ascii="Book Antiqua" w:hAnsi="Book Antiqua"/>
          <w:sz w:val="24"/>
          <w:szCs w:val="24"/>
        </w:rPr>
        <w:t xml:space="preserve"> </w:t>
      </w:r>
      <w:r w:rsidR="00677352" w:rsidRPr="003B1108">
        <w:rPr>
          <w:rFonts w:ascii="Book Antiqua" w:hAnsi="Book Antiqua"/>
          <w:sz w:val="24"/>
          <w:szCs w:val="24"/>
        </w:rPr>
        <w:t xml:space="preserve">96.3% in </w:t>
      </w:r>
      <w:r w:rsidR="00244708">
        <w:rPr>
          <w:rFonts w:ascii="Book Antiqua" w:hAnsi="Book Antiqua"/>
          <w:sz w:val="24"/>
          <w:szCs w:val="24"/>
        </w:rPr>
        <w:t xml:space="preserve">patients with </w:t>
      </w:r>
      <w:r w:rsidR="00677352" w:rsidRPr="003B1108">
        <w:rPr>
          <w:rFonts w:ascii="Book Antiqua" w:hAnsi="Book Antiqua"/>
          <w:sz w:val="24"/>
          <w:szCs w:val="24"/>
        </w:rPr>
        <w:t xml:space="preserve">genotype 1, 97.5% in </w:t>
      </w:r>
      <w:r w:rsidR="00244708">
        <w:rPr>
          <w:rFonts w:ascii="Book Antiqua" w:hAnsi="Book Antiqua"/>
          <w:sz w:val="24"/>
          <w:szCs w:val="24"/>
        </w:rPr>
        <w:t xml:space="preserve">those with </w:t>
      </w:r>
      <w:r w:rsidR="00677352" w:rsidRPr="003B1108">
        <w:rPr>
          <w:rFonts w:ascii="Book Antiqua" w:hAnsi="Book Antiqua"/>
          <w:sz w:val="24"/>
          <w:szCs w:val="24"/>
        </w:rPr>
        <w:t xml:space="preserve">genotype 2, and 95.0% in </w:t>
      </w:r>
      <w:r w:rsidR="00244708">
        <w:rPr>
          <w:rFonts w:ascii="Book Antiqua" w:hAnsi="Book Antiqua"/>
          <w:sz w:val="24"/>
          <w:szCs w:val="24"/>
        </w:rPr>
        <w:t xml:space="preserve">those with </w:t>
      </w:r>
      <w:r w:rsidR="00677352" w:rsidRPr="003B1108">
        <w:rPr>
          <w:rFonts w:ascii="Book Antiqua" w:hAnsi="Book Antiqua"/>
          <w:sz w:val="24"/>
          <w:szCs w:val="24"/>
        </w:rPr>
        <w:t xml:space="preserve">genotype 3. Most of the </w:t>
      </w:r>
      <w:r w:rsidR="00677352" w:rsidRPr="003B1108">
        <w:rPr>
          <w:rFonts w:ascii="Book Antiqua" w:eastAsia="Times New Roman" w:hAnsi="Book Antiqua"/>
          <w:color w:val="212121"/>
          <w:sz w:val="24"/>
          <w:szCs w:val="24"/>
          <w:shd w:val="clear" w:color="auto" w:fill="FFFFFF"/>
        </w:rPr>
        <w:t>treatment failures were due to lack of follow-up (3 cases</w:t>
      </w:r>
      <w:r w:rsidR="00A613CF" w:rsidRPr="003B1108">
        <w:rPr>
          <w:rFonts w:ascii="Book Antiqua" w:eastAsia="Times New Roman" w:hAnsi="Book Antiqua"/>
          <w:color w:val="212121"/>
          <w:sz w:val="24"/>
          <w:szCs w:val="24"/>
          <w:shd w:val="clear" w:color="auto" w:fill="FFFFFF"/>
        </w:rPr>
        <w:t xml:space="preserve"> had non-responses</w:t>
      </w:r>
      <w:r w:rsidR="00677352" w:rsidRPr="003B1108">
        <w:rPr>
          <w:rFonts w:ascii="Book Antiqua" w:eastAsia="Times New Roman" w:hAnsi="Book Antiqua"/>
          <w:color w:val="212121"/>
          <w:sz w:val="24"/>
          <w:szCs w:val="24"/>
          <w:shd w:val="clear" w:color="auto" w:fill="FFFFFF"/>
        </w:rPr>
        <w:t xml:space="preserve">, </w:t>
      </w:r>
      <w:r w:rsidR="0070039B">
        <w:rPr>
          <w:rFonts w:ascii="Book Antiqua" w:eastAsia="Times New Roman" w:hAnsi="Book Antiqua"/>
          <w:color w:val="212121"/>
          <w:sz w:val="24"/>
          <w:szCs w:val="24"/>
          <w:shd w:val="clear" w:color="auto" w:fill="FFFFFF"/>
        </w:rPr>
        <w:t>1</w:t>
      </w:r>
      <w:r w:rsidR="0070039B" w:rsidRPr="003B1108">
        <w:rPr>
          <w:rFonts w:ascii="Book Antiqua" w:eastAsia="Times New Roman" w:hAnsi="Book Antiqua"/>
          <w:color w:val="212121"/>
          <w:sz w:val="24"/>
          <w:szCs w:val="24"/>
          <w:shd w:val="clear" w:color="auto" w:fill="FFFFFF"/>
        </w:rPr>
        <w:t xml:space="preserve"> </w:t>
      </w:r>
      <w:r w:rsidR="00A613CF" w:rsidRPr="003B1108">
        <w:rPr>
          <w:rFonts w:ascii="Book Antiqua" w:eastAsia="Times New Roman" w:hAnsi="Book Antiqua"/>
          <w:noProof/>
          <w:color w:val="212121"/>
          <w:sz w:val="24"/>
          <w:szCs w:val="24"/>
          <w:shd w:val="clear" w:color="auto" w:fill="FFFFFF"/>
        </w:rPr>
        <w:t>had</w:t>
      </w:r>
      <w:r w:rsidR="00677352" w:rsidRPr="003B1108">
        <w:rPr>
          <w:rFonts w:ascii="Book Antiqua" w:eastAsia="Times New Roman" w:hAnsi="Book Antiqua"/>
          <w:noProof/>
          <w:color w:val="212121"/>
          <w:sz w:val="24"/>
          <w:szCs w:val="24"/>
          <w:shd w:val="clear" w:color="auto" w:fill="FFFFFF"/>
        </w:rPr>
        <w:t xml:space="preserve"> virological</w:t>
      </w:r>
      <w:r w:rsidR="00677352" w:rsidRPr="003B1108">
        <w:rPr>
          <w:rFonts w:ascii="Book Antiqua" w:eastAsia="Times New Roman" w:hAnsi="Book Antiqua"/>
          <w:color w:val="212121"/>
          <w:sz w:val="24"/>
          <w:szCs w:val="24"/>
          <w:shd w:val="clear" w:color="auto" w:fill="FFFFFF"/>
        </w:rPr>
        <w:t xml:space="preserve"> breakthrough, 11</w:t>
      </w:r>
      <w:r w:rsidR="0070039B">
        <w:rPr>
          <w:rFonts w:ascii="Book Antiqua" w:eastAsia="Times New Roman" w:hAnsi="Book Antiqua"/>
          <w:color w:val="212121"/>
          <w:sz w:val="24"/>
          <w:szCs w:val="24"/>
          <w:shd w:val="clear" w:color="auto" w:fill="FFFFFF"/>
        </w:rPr>
        <w:t xml:space="preserve"> </w:t>
      </w:r>
      <w:r w:rsidR="00677352" w:rsidRPr="003B1108">
        <w:rPr>
          <w:rFonts w:ascii="Book Antiqua" w:eastAsia="Times New Roman" w:hAnsi="Book Antiqua"/>
          <w:color w:val="212121"/>
          <w:sz w:val="24"/>
          <w:szCs w:val="24"/>
          <w:shd w:val="clear" w:color="auto" w:fill="FFFFFF"/>
        </w:rPr>
        <w:t xml:space="preserve">relapsed and 36 did not participate in the follow-up). There was no significant difference in SVR between different </w:t>
      </w:r>
      <w:r w:rsidR="00677352" w:rsidRPr="003B1108">
        <w:rPr>
          <w:rFonts w:ascii="Book Antiqua" w:eastAsia="Times New Roman" w:hAnsi="Book Antiqua"/>
          <w:color w:val="212121"/>
          <w:sz w:val="24"/>
          <w:szCs w:val="24"/>
          <w:shd w:val="clear" w:color="auto" w:fill="FFFFFF"/>
        </w:rPr>
        <w:lastRenderedPageBreak/>
        <w:t>genotypes and liver statuses (</w:t>
      </w:r>
      <w:r w:rsidR="00E64B70" w:rsidRPr="003B1108">
        <w:rPr>
          <w:rFonts w:ascii="Book Antiqua" w:hAnsi="Book Antiqua"/>
          <w:i/>
          <w:color w:val="212121"/>
          <w:sz w:val="24"/>
          <w:szCs w:val="24"/>
          <w:shd w:val="clear" w:color="auto" w:fill="FFFFFF"/>
        </w:rPr>
        <w:t>P</w:t>
      </w:r>
      <w:r w:rsidR="00767613" w:rsidRPr="003B1108">
        <w:rPr>
          <w:rFonts w:ascii="Book Antiqua" w:hAnsi="Book Antiqua"/>
          <w:i/>
          <w:color w:val="212121"/>
          <w:sz w:val="24"/>
          <w:szCs w:val="24"/>
          <w:shd w:val="clear" w:color="auto" w:fill="FFFFFF"/>
        </w:rPr>
        <w:t xml:space="preserve"> </w:t>
      </w:r>
      <w:r w:rsidR="00677352" w:rsidRPr="003B1108">
        <w:rPr>
          <w:rFonts w:ascii="Book Antiqua" w:hAnsi="Book Antiqua"/>
          <w:color w:val="212121"/>
          <w:sz w:val="24"/>
          <w:szCs w:val="24"/>
          <w:shd w:val="clear" w:color="auto" w:fill="FFFFFF"/>
        </w:rPr>
        <w:t>&lt; 0.05</w:t>
      </w:r>
      <w:r w:rsidR="00677352" w:rsidRPr="003B1108">
        <w:rPr>
          <w:rFonts w:ascii="Book Antiqua" w:eastAsia="Times New Roman" w:hAnsi="Book Antiqua"/>
          <w:color w:val="212121"/>
          <w:sz w:val="24"/>
          <w:szCs w:val="24"/>
          <w:shd w:val="clear" w:color="auto" w:fill="FFFFFF"/>
        </w:rPr>
        <w:t xml:space="preserve">). </w:t>
      </w:r>
      <w:bookmarkStart w:id="34" w:name="_Hlk3728443"/>
      <w:r w:rsidR="00677352" w:rsidRPr="003B1108">
        <w:rPr>
          <w:rFonts w:ascii="Book Antiqua" w:eastAsia="Times New Roman" w:hAnsi="Book Antiqua"/>
          <w:color w:val="212121"/>
          <w:sz w:val="24"/>
          <w:szCs w:val="24"/>
          <w:shd w:val="clear" w:color="auto" w:fill="FFFFFF"/>
        </w:rPr>
        <w:t>Patients with lower alanine aminotransferase levels at baseline who achieved</w:t>
      </w:r>
      <w:bookmarkEnd w:id="34"/>
      <w:r w:rsidR="00677352" w:rsidRPr="003B1108">
        <w:rPr>
          <w:rFonts w:ascii="Book Antiqua" w:eastAsia="Times New Roman" w:hAnsi="Book Antiqua"/>
          <w:color w:val="212121"/>
          <w:sz w:val="24"/>
          <w:szCs w:val="24"/>
          <w:shd w:val="clear" w:color="auto" w:fill="FFFFFF"/>
        </w:rPr>
        <w:t xml:space="preserve"> an </w:t>
      </w:r>
      <w:r w:rsidR="00677352" w:rsidRPr="003B1108">
        <w:rPr>
          <w:rFonts w:ascii="Book Antiqua" w:hAnsi="Book Antiqua"/>
          <w:color w:val="212121"/>
          <w:sz w:val="24"/>
          <w:szCs w:val="24"/>
          <w:shd w:val="clear" w:color="auto" w:fill="FFFFFF"/>
        </w:rPr>
        <w:t>end of treatment response</w:t>
      </w:r>
      <w:r w:rsidR="00677352" w:rsidRPr="003B1108">
        <w:rPr>
          <w:rFonts w:ascii="Book Antiqua" w:eastAsia="Times New Roman" w:hAnsi="Book Antiqua"/>
          <w:color w:val="212121"/>
          <w:sz w:val="24"/>
          <w:szCs w:val="24"/>
          <w:shd w:val="clear" w:color="auto" w:fill="FFFFFF"/>
        </w:rPr>
        <w:t xml:space="preserve"> were more likely to </w:t>
      </w:r>
      <w:r w:rsidR="00677352" w:rsidRPr="003B1108">
        <w:rPr>
          <w:rFonts w:ascii="Book Antiqua" w:hAnsi="Book Antiqua"/>
          <w:color w:val="212121"/>
          <w:sz w:val="24"/>
          <w:szCs w:val="24"/>
          <w:shd w:val="clear" w:color="auto" w:fill="FFFFFF"/>
        </w:rPr>
        <w:t>achieve SVR12 (</w:t>
      </w:r>
      <w:r w:rsidR="00F7592C" w:rsidRPr="003B1108">
        <w:rPr>
          <w:rFonts w:ascii="Book Antiqua" w:hAnsi="Book Antiqua"/>
          <w:i/>
          <w:color w:val="212121"/>
          <w:sz w:val="24"/>
          <w:szCs w:val="24"/>
          <w:shd w:val="clear" w:color="auto" w:fill="FFFFFF"/>
        </w:rPr>
        <w:t>P</w:t>
      </w:r>
      <w:r w:rsidR="00767613" w:rsidRPr="003B1108">
        <w:rPr>
          <w:rFonts w:ascii="Book Antiqua" w:hAnsi="Book Antiqua"/>
          <w:i/>
          <w:color w:val="212121"/>
          <w:sz w:val="24"/>
          <w:szCs w:val="24"/>
          <w:shd w:val="clear" w:color="auto" w:fill="FFFFFF"/>
        </w:rPr>
        <w:t xml:space="preserve"> </w:t>
      </w:r>
      <w:r w:rsidR="00677352" w:rsidRPr="003B1108">
        <w:rPr>
          <w:rFonts w:ascii="Book Antiqua" w:hAnsi="Book Antiqua"/>
          <w:color w:val="212121"/>
          <w:sz w:val="24"/>
          <w:szCs w:val="24"/>
          <w:shd w:val="clear" w:color="auto" w:fill="FFFFFF"/>
        </w:rPr>
        <w:t xml:space="preserve">&lt; 0.05). High SVR was observed regardless of age, gender, liver status, </w:t>
      </w:r>
      <w:r w:rsidR="00023D3E" w:rsidRPr="00023D3E">
        <w:rPr>
          <w:rFonts w:ascii="Book Antiqua" w:hAnsi="Book Antiqua"/>
          <w:color w:val="212121"/>
          <w:sz w:val="24"/>
          <w:szCs w:val="24"/>
          <w:shd w:val="clear" w:color="auto" w:fill="FFFFFF"/>
        </w:rPr>
        <w:t>alpha</w:t>
      </w:r>
      <w:r w:rsidR="00677352" w:rsidRPr="003B1108">
        <w:rPr>
          <w:rFonts w:ascii="Book Antiqua" w:hAnsi="Book Antiqua"/>
          <w:color w:val="212121"/>
          <w:sz w:val="24"/>
          <w:szCs w:val="24"/>
          <w:shd w:val="clear" w:color="auto" w:fill="FFFFFF"/>
        </w:rPr>
        <w:t>-fetoprotein, HCV RNA levels or history of antiviral therapy (</w:t>
      </w:r>
      <w:r w:rsidR="00F7592C" w:rsidRPr="003B1108">
        <w:rPr>
          <w:rFonts w:ascii="Book Antiqua" w:hAnsi="Book Antiqua"/>
          <w:i/>
          <w:color w:val="212121"/>
          <w:sz w:val="24"/>
          <w:szCs w:val="24"/>
          <w:shd w:val="clear" w:color="auto" w:fill="FFFFFF"/>
        </w:rPr>
        <w:t>P</w:t>
      </w:r>
      <w:r w:rsidR="00F7592C" w:rsidRPr="003B1108">
        <w:rPr>
          <w:rFonts w:ascii="Book Antiqua" w:hAnsi="Book Antiqua"/>
          <w:color w:val="212121"/>
          <w:sz w:val="24"/>
          <w:szCs w:val="24"/>
          <w:shd w:val="clear" w:color="auto" w:fill="FFFFFF"/>
        </w:rPr>
        <w:t xml:space="preserve"> </w:t>
      </w:r>
      <w:r w:rsidR="00677352" w:rsidRPr="003B1108">
        <w:rPr>
          <w:rFonts w:ascii="Book Antiqua" w:hAnsi="Book Antiqua"/>
          <w:color w:val="212121"/>
          <w:sz w:val="24"/>
          <w:szCs w:val="24"/>
          <w:shd w:val="clear" w:color="auto" w:fill="FFFFFF"/>
        </w:rPr>
        <w:t xml:space="preserve">&gt; 0.05 for all). The cumulative hepatocellular carcinoma occurrence and recurrence rate after using the DAAs was 0.9%. Most of the adverse events were mild. </w:t>
      </w:r>
      <w:bookmarkStart w:id="35" w:name="OLE_LINK1"/>
      <w:bookmarkStart w:id="36" w:name="OLE_LINK2"/>
      <w:r w:rsidR="00677352" w:rsidRPr="003B1108">
        <w:rPr>
          <w:rFonts w:ascii="Book Antiqua" w:hAnsi="Book Antiqua"/>
          <w:color w:val="212121"/>
          <w:sz w:val="24"/>
          <w:szCs w:val="24"/>
          <w:shd w:val="clear" w:color="auto" w:fill="FFFFFF"/>
        </w:rPr>
        <w:t xml:space="preserve">We found two cases of </w:t>
      </w:r>
      <w:r w:rsidR="005D2660" w:rsidRPr="003B1108">
        <w:rPr>
          <w:rFonts w:ascii="Book Antiqua" w:hAnsi="Book Antiqua"/>
          <w:color w:val="212121"/>
          <w:sz w:val="24"/>
          <w:szCs w:val="24"/>
          <w:shd w:val="clear" w:color="auto" w:fill="FFFFFF"/>
        </w:rPr>
        <w:t>special adverse events</w:t>
      </w:r>
      <w:r w:rsidR="00677352" w:rsidRPr="003B1108">
        <w:rPr>
          <w:rFonts w:ascii="Book Antiqua" w:hAnsi="Book Antiqua"/>
          <w:color w:val="212121"/>
          <w:sz w:val="24"/>
          <w:szCs w:val="24"/>
          <w:shd w:val="clear" w:color="auto" w:fill="FFFFFF"/>
        </w:rPr>
        <w:t>. One case involved facial and bilateral lower extremity edema, and the other case showed an interesting change in</w:t>
      </w:r>
      <w:r w:rsidR="00677352" w:rsidRPr="003B1108">
        <w:rPr>
          <w:rFonts w:ascii="Book Antiqua" w:hAnsi="Book Antiqua"/>
          <w:sz w:val="24"/>
          <w:szCs w:val="24"/>
        </w:rPr>
        <w:t xml:space="preserve"> </w:t>
      </w:r>
      <w:r w:rsidR="00677352" w:rsidRPr="003B1108">
        <w:rPr>
          <w:rFonts w:ascii="Book Antiqua" w:hAnsi="Book Antiqua"/>
          <w:color w:val="212121"/>
          <w:sz w:val="24"/>
          <w:szCs w:val="24"/>
          <w:shd w:val="clear" w:color="auto" w:fill="FFFFFF"/>
        </w:rPr>
        <w:t>lipid levels while on medication.</w:t>
      </w:r>
      <w:bookmarkEnd w:id="35"/>
      <w:bookmarkEnd w:id="36"/>
      <w:r w:rsidR="00677352" w:rsidRPr="003B1108">
        <w:rPr>
          <w:rFonts w:ascii="Book Antiqua" w:hAnsi="Book Antiqua"/>
          <w:color w:val="212121"/>
          <w:sz w:val="24"/>
          <w:szCs w:val="24"/>
          <w:shd w:val="clear" w:color="auto" w:fill="FFFFFF"/>
        </w:rPr>
        <w:t xml:space="preserve"> No </w:t>
      </w:r>
      <w:r w:rsidR="00677352" w:rsidRPr="003B1108">
        <w:rPr>
          <w:rFonts w:ascii="Book Antiqua" w:hAnsi="Book Antiqua"/>
          <w:sz w:val="24"/>
          <w:szCs w:val="24"/>
        </w:rPr>
        <w:t>severe adverse events were noted.</w:t>
      </w:r>
    </w:p>
    <w:p w14:paraId="3CE87283" w14:textId="77777777" w:rsidR="00BD2FE0" w:rsidRPr="003B1108" w:rsidRDefault="00BD2FE0" w:rsidP="003B1108">
      <w:pPr>
        <w:adjustRightInd w:val="0"/>
        <w:snapToGrid w:val="0"/>
        <w:spacing w:line="360" w:lineRule="auto"/>
        <w:rPr>
          <w:rFonts w:ascii="Book Antiqua" w:hAnsi="Book Antiqua"/>
          <w:bCs/>
          <w:sz w:val="24"/>
          <w:szCs w:val="24"/>
        </w:rPr>
      </w:pPr>
    </w:p>
    <w:p w14:paraId="5D0A8B18" w14:textId="6A388117" w:rsidR="00AE0580" w:rsidRPr="003B1108" w:rsidRDefault="00AE0580" w:rsidP="003B1108">
      <w:pPr>
        <w:adjustRightInd w:val="0"/>
        <w:snapToGrid w:val="0"/>
        <w:spacing w:line="360" w:lineRule="auto"/>
        <w:rPr>
          <w:rFonts w:ascii="Book Antiqua" w:hAnsi="Book Antiqua"/>
          <w:b/>
          <w:i/>
          <w:iCs/>
          <w:sz w:val="24"/>
          <w:szCs w:val="24"/>
        </w:rPr>
      </w:pPr>
      <w:r w:rsidRPr="003B1108">
        <w:rPr>
          <w:rFonts w:ascii="Book Antiqua" w:hAnsi="Book Antiqua"/>
          <w:b/>
          <w:i/>
          <w:iCs/>
          <w:sz w:val="24"/>
          <w:szCs w:val="24"/>
        </w:rPr>
        <w:t>CONCLUSION</w:t>
      </w:r>
    </w:p>
    <w:p w14:paraId="14BD48AB" w14:textId="5D1B616C" w:rsidR="00AE0580" w:rsidRPr="003B1108" w:rsidRDefault="00E538DF" w:rsidP="003B1108">
      <w:pPr>
        <w:adjustRightInd w:val="0"/>
        <w:snapToGrid w:val="0"/>
        <w:spacing w:line="360" w:lineRule="auto"/>
        <w:rPr>
          <w:rFonts w:ascii="Book Antiqua" w:hAnsi="Book Antiqua"/>
          <w:bCs/>
          <w:sz w:val="24"/>
          <w:szCs w:val="24"/>
        </w:rPr>
      </w:pPr>
      <w:r>
        <w:rPr>
          <w:rFonts w:ascii="Book Antiqua" w:hAnsi="Book Antiqua"/>
          <w:bCs/>
          <w:sz w:val="24"/>
          <w:szCs w:val="24"/>
        </w:rPr>
        <w:t>T</w:t>
      </w:r>
      <w:r w:rsidR="00D31693" w:rsidRPr="00E538DF">
        <w:rPr>
          <w:rFonts w:ascii="Book Antiqua" w:hAnsi="Book Antiqua"/>
          <w:bCs/>
          <w:sz w:val="24"/>
          <w:szCs w:val="24"/>
        </w:rPr>
        <w:t xml:space="preserve">he DAA-based regimens tested in </w:t>
      </w:r>
      <w:r>
        <w:rPr>
          <w:rFonts w:ascii="Book Antiqua" w:hAnsi="Book Antiqua"/>
          <w:bCs/>
          <w:sz w:val="24"/>
          <w:szCs w:val="24"/>
        </w:rPr>
        <w:t>this study have</w:t>
      </w:r>
      <w:r w:rsidR="00D31693" w:rsidRPr="00E538DF">
        <w:rPr>
          <w:rFonts w:ascii="Book Antiqua" w:hAnsi="Book Antiqua"/>
          <w:bCs/>
          <w:sz w:val="24"/>
          <w:szCs w:val="24"/>
        </w:rPr>
        <w:t xml:space="preserve"> excellent effectiveness and safety in</w:t>
      </w:r>
      <w:r>
        <w:rPr>
          <w:rFonts w:ascii="Book Antiqua" w:hAnsi="Book Antiqua"/>
          <w:bCs/>
          <w:sz w:val="24"/>
          <w:szCs w:val="24"/>
        </w:rPr>
        <w:t xml:space="preserve"> </w:t>
      </w:r>
      <w:r w:rsidR="00D31693" w:rsidRPr="00E538DF">
        <w:rPr>
          <w:rFonts w:ascii="Book Antiqua" w:hAnsi="Book Antiqua"/>
          <w:bCs/>
          <w:sz w:val="24"/>
          <w:szCs w:val="24"/>
        </w:rPr>
        <w:t>all</w:t>
      </w:r>
      <w:r>
        <w:rPr>
          <w:rFonts w:ascii="Book Antiqua" w:hAnsi="Book Antiqua"/>
          <w:bCs/>
          <w:sz w:val="24"/>
          <w:szCs w:val="24"/>
        </w:rPr>
        <w:t xml:space="preserve"> patients infected with </w:t>
      </w:r>
      <w:r w:rsidRPr="007A2815">
        <w:rPr>
          <w:rFonts w:ascii="Book Antiqua" w:hAnsi="Book Antiqua"/>
          <w:bCs/>
          <w:sz w:val="24"/>
          <w:szCs w:val="24"/>
        </w:rPr>
        <w:t>HCV genotypes 1, 2 and 3</w:t>
      </w:r>
      <w:r w:rsidR="00D31693" w:rsidRPr="003B1108">
        <w:rPr>
          <w:rFonts w:ascii="Book Antiqua" w:hAnsi="Book Antiqua"/>
          <w:bCs/>
          <w:sz w:val="24"/>
          <w:szCs w:val="24"/>
        </w:rPr>
        <w:t>, including those with cirrhosis.</w:t>
      </w:r>
    </w:p>
    <w:p w14:paraId="67978935" w14:textId="3C7DDFCF" w:rsidR="00AE0580" w:rsidRPr="003B1108" w:rsidRDefault="00AE0580" w:rsidP="003B1108">
      <w:pPr>
        <w:adjustRightInd w:val="0"/>
        <w:snapToGrid w:val="0"/>
        <w:spacing w:line="360" w:lineRule="auto"/>
        <w:rPr>
          <w:rFonts w:ascii="Book Antiqua" w:hAnsi="Book Antiqua"/>
          <w:bCs/>
          <w:sz w:val="24"/>
          <w:szCs w:val="24"/>
        </w:rPr>
      </w:pPr>
    </w:p>
    <w:p w14:paraId="43FFE855" w14:textId="57B2A139" w:rsidR="00BD2FE0" w:rsidRPr="003B1108" w:rsidRDefault="00BD2FE0" w:rsidP="003B1108">
      <w:pPr>
        <w:adjustRightInd w:val="0"/>
        <w:snapToGrid w:val="0"/>
        <w:spacing w:line="360" w:lineRule="auto"/>
        <w:rPr>
          <w:rFonts w:ascii="Book Antiqua" w:hAnsi="Book Antiqua"/>
          <w:bCs/>
          <w:sz w:val="24"/>
          <w:szCs w:val="24"/>
        </w:rPr>
      </w:pPr>
      <w:r w:rsidRPr="003B1108">
        <w:rPr>
          <w:rFonts w:ascii="Book Antiqua" w:hAnsi="Book Antiqua"/>
          <w:b/>
          <w:sz w:val="24"/>
          <w:szCs w:val="24"/>
        </w:rPr>
        <w:t xml:space="preserve">Key words: </w:t>
      </w:r>
      <w:r w:rsidR="00D31693" w:rsidRPr="003B1108">
        <w:rPr>
          <w:rFonts w:ascii="Book Antiqua" w:hAnsi="Book Antiqua"/>
          <w:bCs/>
          <w:sz w:val="24"/>
          <w:szCs w:val="24"/>
        </w:rPr>
        <w:t>Hepatitis C</w:t>
      </w:r>
      <w:r w:rsidR="0070039B">
        <w:rPr>
          <w:rFonts w:ascii="Book Antiqua" w:hAnsi="Book Antiqua"/>
          <w:bCs/>
          <w:sz w:val="24"/>
          <w:szCs w:val="24"/>
        </w:rPr>
        <w:t xml:space="preserve"> virus</w:t>
      </w:r>
      <w:r w:rsidR="00D31693" w:rsidRPr="003B1108">
        <w:rPr>
          <w:rFonts w:ascii="Book Antiqua" w:hAnsi="Book Antiqua"/>
          <w:bCs/>
          <w:sz w:val="24"/>
          <w:szCs w:val="24"/>
        </w:rPr>
        <w:t>; Direct-acting antiviral agents; Efficacy; Safety; Drug-drug interactions; Real-life experience</w:t>
      </w:r>
    </w:p>
    <w:p w14:paraId="5B9821AF" w14:textId="2118E8E2" w:rsidR="00BD2FE0" w:rsidRPr="003B1108" w:rsidRDefault="00BD2FE0" w:rsidP="003B1108">
      <w:pPr>
        <w:adjustRightInd w:val="0"/>
        <w:snapToGrid w:val="0"/>
        <w:spacing w:line="360" w:lineRule="auto"/>
        <w:rPr>
          <w:rFonts w:ascii="Book Antiqua" w:hAnsi="Book Antiqua"/>
          <w:bCs/>
          <w:sz w:val="24"/>
          <w:szCs w:val="24"/>
        </w:rPr>
      </w:pPr>
    </w:p>
    <w:p w14:paraId="5FB9CE49" w14:textId="77777777" w:rsidR="00F7592C" w:rsidRPr="003B1108" w:rsidRDefault="00F7592C" w:rsidP="003B1108">
      <w:pPr>
        <w:widowControl/>
        <w:adjustRightInd w:val="0"/>
        <w:snapToGrid w:val="0"/>
        <w:spacing w:line="360" w:lineRule="auto"/>
        <w:rPr>
          <w:rFonts w:ascii="Book Antiqua" w:eastAsia="宋体" w:hAnsi="Book Antiqua"/>
          <w:kern w:val="0"/>
          <w:sz w:val="24"/>
          <w:szCs w:val="24"/>
        </w:rPr>
      </w:pPr>
      <w:bookmarkStart w:id="37" w:name="OLE_LINK43"/>
      <w:bookmarkStart w:id="38" w:name="OLE_LINK44"/>
      <w:bookmarkStart w:id="39" w:name="OLE_LINK67"/>
      <w:bookmarkStart w:id="40" w:name="OLE_LINK65"/>
      <w:bookmarkStart w:id="41" w:name="OLE_LINK71"/>
      <w:bookmarkStart w:id="42" w:name="OLE_LINK58"/>
      <w:bookmarkStart w:id="43" w:name="OLE_LINK59"/>
      <w:bookmarkStart w:id="44" w:name="OLE_LINK24"/>
      <w:r w:rsidRPr="003B1108">
        <w:rPr>
          <w:rFonts w:ascii="Book Antiqua" w:eastAsia="宋体" w:hAnsi="Book Antiqua"/>
          <w:b/>
          <w:kern w:val="0"/>
          <w:sz w:val="24"/>
          <w:szCs w:val="24"/>
        </w:rPr>
        <w:t xml:space="preserve">© The Author(s) 2019. </w:t>
      </w:r>
      <w:r w:rsidRPr="003B1108">
        <w:rPr>
          <w:rFonts w:ascii="Book Antiqua" w:eastAsia="宋体" w:hAnsi="Book Antiqua"/>
          <w:kern w:val="0"/>
          <w:sz w:val="24"/>
          <w:szCs w:val="24"/>
        </w:rPr>
        <w:t xml:space="preserve">Published by </w:t>
      </w:r>
      <w:proofErr w:type="spellStart"/>
      <w:r w:rsidRPr="003B1108">
        <w:rPr>
          <w:rFonts w:ascii="Book Antiqua" w:eastAsia="宋体" w:hAnsi="Book Antiqua"/>
          <w:kern w:val="0"/>
          <w:sz w:val="24"/>
          <w:szCs w:val="24"/>
        </w:rPr>
        <w:t>Baishideng</w:t>
      </w:r>
      <w:proofErr w:type="spellEnd"/>
      <w:r w:rsidRPr="003B1108">
        <w:rPr>
          <w:rFonts w:ascii="Book Antiqua" w:eastAsia="宋体" w:hAnsi="Book Antiqua"/>
          <w:kern w:val="0"/>
          <w:sz w:val="24"/>
          <w:szCs w:val="24"/>
        </w:rPr>
        <w:t xml:space="preserve"> Publishing Group Inc. All rights reserved.</w:t>
      </w:r>
      <w:bookmarkEnd w:id="37"/>
      <w:bookmarkEnd w:id="38"/>
      <w:bookmarkEnd w:id="39"/>
      <w:bookmarkEnd w:id="40"/>
      <w:bookmarkEnd w:id="41"/>
      <w:r w:rsidRPr="003B1108">
        <w:rPr>
          <w:rFonts w:ascii="Book Antiqua" w:eastAsia="宋体" w:hAnsi="Book Antiqua"/>
          <w:kern w:val="0"/>
          <w:sz w:val="24"/>
          <w:szCs w:val="24"/>
        </w:rPr>
        <w:t xml:space="preserve"> </w:t>
      </w:r>
    </w:p>
    <w:bookmarkEnd w:id="42"/>
    <w:bookmarkEnd w:id="43"/>
    <w:bookmarkEnd w:id="44"/>
    <w:p w14:paraId="53AAEFAE" w14:textId="77777777" w:rsidR="00F7592C" w:rsidRPr="003B1108" w:rsidRDefault="00F7592C" w:rsidP="003B1108">
      <w:pPr>
        <w:adjustRightInd w:val="0"/>
        <w:snapToGrid w:val="0"/>
        <w:spacing w:line="360" w:lineRule="auto"/>
        <w:rPr>
          <w:rFonts w:ascii="Book Antiqua" w:hAnsi="Book Antiqua"/>
          <w:bCs/>
          <w:sz w:val="24"/>
          <w:szCs w:val="24"/>
        </w:rPr>
      </w:pPr>
    </w:p>
    <w:p w14:paraId="142AA6A2" w14:textId="7B8AECDC" w:rsidR="00BD2FE0" w:rsidRPr="00885A97" w:rsidRDefault="00BD2FE0" w:rsidP="003B1108">
      <w:pPr>
        <w:adjustRightInd w:val="0"/>
        <w:snapToGrid w:val="0"/>
        <w:spacing w:line="360" w:lineRule="auto"/>
        <w:rPr>
          <w:rFonts w:ascii="Book Antiqua" w:hAnsi="Book Antiqua"/>
          <w:bCs/>
          <w:sz w:val="24"/>
          <w:szCs w:val="24"/>
        </w:rPr>
      </w:pPr>
      <w:r w:rsidRPr="003B1108">
        <w:rPr>
          <w:rFonts w:ascii="Book Antiqua" w:hAnsi="Book Antiqua"/>
          <w:b/>
          <w:sz w:val="24"/>
          <w:szCs w:val="24"/>
        </w:rPr>
        <w:t xml:space="preserve">Core tip: </w:t>
      </w:r>
      <w:r w:rsidR="00EC4EEB" w:rsidRPr="003B1108">
        <w:rPr>
          <w:rFonts w:ascii="Book Antiqua" w:hAnsi="Book Antiqua"/>
          <w:sz w:val="24"/>
          <w:szCs w:val="24"/>
        </w:rPr>
        <w:t xml:space="preserve">Direct-acting antiviral </w:t>
      </w:r>
      <w:r w:rsidR="0070039B" w:rsidRPr="003B1108">
        <w:rPr>
          <w:rFonts w:ascii="Book Antiqua" w:hAnsi="Book Antiqua"/>
          <w:sz w:val="24"/>
          <w:szCs w:val="24"/>
        </w:rPr>
        <w:t>agent</w:t>
      </w:r>
      <w:r w:rsidR="0070039B">
        <w:rPr>
          <w:rFonts w:ascii="Book Antiqua" w:hAnsi="Book Antiqua"/>
          <w:sz w:val="24"/>
          <w:szCs w:val="24"/>
        </w:rPr>
        <w:t xml:space="preserve"> </w:t>
      </w:r>
      <w:r w:rsidR="00EC4EEB" w:rsidRPr="003B1108">
        <w:rPr>
          <w:rFonts w:ascii="Book Antiqua" w:hAnsi="Book Antiqua"/>
          <w:bCs/>
          <w:sz w:val="24"/>
          <w:szCs w:val="24"/>
        </w:rPr>
        <w:t>(</w:t>
      </w:r>
      <w:r w:rsidR="0065754A" w:rsidRPr="003B1108">
        <w:rPr>
          <w:rFonts w:ascii="Book Antiqua" w:hAnsi="Book Antiqua"/>
          <w:bCs/>
          <w:sz w:val="24"/>
          <w:szCs w:val="24"/>
        </w:rPr>
        <w:t>DAA</w:t>
      </w:r>
      <w:r w:rsidR="00EC4EEB" w:rsidRPr="003B1108">
        <w:rPr>
          <w:rFonts w:ascii="Book Antiqua" w:hAnsi="Book Antiqua"/>
          <w:bCs/>
          <w:sz w:val="24"/>
          <w:szCs w:val="24"/>
        </w:rPr>
        <w:t>)</w:t>
      </w:r>
      <w:r w:rsidR="0070039B">
        <w:rPr>
          <w:rFonts w:ascii="Book Antiqua" w:hAnsi="Book Antiqua"/>
          <w:bCs/>
          <w:sz w:val="24"/>
          <w:szCs w:val="24"/>
        </w:rPr>
        <w:t>-</w:t>
      </w:r>
      <w:r w:rsidR="0065754A" w:rsidRPr="003B1108">
        <w:rPr>
          <w:rFonts w:ascii="Book Antiqua" w:hAnsi="Book Antiqua"/>
          <w:bCs/>
          <w:sz w:val="24"/>
          <w:szCs w:val="24"/>
        </w:rPr>
        <w:t xml:space="preserve">based regimens are currently the preferred treatment for hepatitis C. However, there is not enough data reporting the results of real-world research, especially in countries such as China where DAAs have only been approved for using in recent years. We found that there was no significant difference in </w:t>
      </w:r>
      <w:r w:rsidR="00EC4EEB" w:rsidRPr="003B1108">
        <w:rPr>
          <w:rFonts w:ascii="Book Antiqua" w:hAnsi="Book Antiqua"/>
          <w:bCs/>
          <w:sz w:val="24"/>
          <w:szCs w:val="24"/>
        </w:rPr>
        <w:t xml:space="preserve">sustained </w:t>
      </w:r>
      <w:proofErr w:type="spellStart"/>
      <w:r w:rsidR="00EC4EEB" w:rsidRPr="003B1108">
        <w:rPr>
          <w:rFonts w:ascii="Book Antiqua" w:hAnsi="Book Antiqua"/>
          <w:bCs/>
          <w:sz w:val="24"/>
          <w:szCs w:val="24"/>
        </w:rPr>
        <w:t>virological</w:t>
      </w:r>
      <w:proofErr w:type="spellEnd"/>
      <w:r w:rsidR="00EC4EEB" w:rsidRPr="003B1108">
        <w:rPr>
          <w:rFonts w:ascii="Book Antiqua" w:hAnsi="Book Antiqua"/>
          <w:bCs/>
          <w:sz w:val="24"/>
          <w:szCs w:val="24"/>
        </w:rPr>
        <w:t xml:space="preserve"> responses (</w:t>
      </w:r>
      <w:r w:rsidR="0065754A" w:rsidRPr="003B1108">
        <w:rPr>
          <w:rFonts w:ascii="Book Antiqua" w:hAnsi="Book Antiqua"/>
          <w:bCs/>
          <w:sz w:val="24"/>
          <w:szCs w:val="24"/>
        </w:rPr>
        <w:t>SVR</w:t>
      </w:r>
      <w:r w:rsidR="00EC4EEB" w:rsidRPr="003B1108">
        <w:rPr>
          <w:rFonts w:ascii="Book Antiqua" w:hAnsi="Book Antiqua"/>
          <w:bCs/>
          <w:sz w:val="24"/>
          <w:szCs w:val="24"/>
        </w:rPr>
        <w:t>)</w:t>
      </w:r>
      <w:r w:rsidR="0065754A" w:rsidRPr="003B1108">
        <w:rPr>
          <w:rFonts w:ascii="Book Antiqua" w:hAnsi="Book Antiqua"/>
          <w:bCs/>
          <w:sz w:val="24"/>
          <w:szCs w:val="24"/>
        </w:rPr>
        <w:t xml:space="preserve"> between patients with different genotypes and liver statuses. Patients with lower </w:t>
      </w:r>
      <w:r w:rsidR="00EC4EEB" w:rsidRPr="003B1108">
        <w:rPr>
          <w:rFonts w:ascii="Book Antiqua" w:eastAsia="Times New Roman" w:hAnsi="Book Antiqua"/>
          <w:color w:val="212121"/>
          <w:sz w:val="24"/>
          <w:szCs w:val="24"/>
          <w:shd w:val="clear" w:color="auto" w:fill="FFFFFF"/>
        </w:rPr>
        <w:t>alanine aminotransferase</w:t>
      </w:r>
      <w:r w:rsidR="0065754A" w:rsidRPr="003B1108">
        <w:rPr>
          <w:rFonts w:ascii="Book Antiqua" w:hAnsi="Book Antiqua"/>
          <w:bCs/>
          <w:sz w:val="24"/>
          <w:szCs w:val="24"/>
        </w:rPr>
        <w:t xml:space="preserve"> levels at baseline who achieved </w:t>
      </w:r>
      <w:r w:rsidR="00EC4EEB" w:rsidRPr="003B1108">
        <w:rPr>
          <w:rFonts w:ascii="Book Antiqua" w:hAnsi="Book Antiqua"/>
          <w:color w:val="212121"/>
          <w:sz w:val="24"/>
          <w:szCs w:val="24"/>
          <w:shd w:val="clear" w:color="auto" w:fill="FFFFFF"/>
        </w:rPr>
        <w:t>end of treatment response</w:t>
      </w:r>
      <w:r w:rsidR="0065754A" w:rsidRPr="003B1108">
        <w:rPr>
          <w:rFonts w:ascii="Book Antiqua" w:hAnsi="Book Antiqua"/>
          <w:bCs/>
          <w:sz w:val="24"/>
          <w:szCs w:val="24"/>
        </w:rPr>
        <w:t xml:space="preserve"> were more likely to achieve SVR</w:t>
      </w:r>
      <w:r w:rsidR="0046302D" w:rsidRPr="0046302D">
        <w:t xml:space="preserve"> </w:t>
      </w:r>
      <w:r w:rsidR="0046302D" w:rsidRPr="0046302D">
        <w:rPr>
          <w:rFonts w:ascii="Book Antiqua" w:hAnsi="Book Antiqua"/>
          <w:bCs/>
          <w:sz w:val="24"/>
          <w:szCs w:val="24"/>
        </w:rPr>
        <w:t>at post-treatment week 12</w:t>
      </w:r>
      <w:r w:rsidR="0065754A" w:rsidRPr="003B1108">
        <w:rPr>
          <w:rFonts w:ascii="Book Antiqua" w:hAnsi="Book Antiqua"/>
          <w:bCs/>
          <w:sz w:val="24"/>
          <w:szCs w:val="24"/>
        </w:rPr>
        <w:t xml:space="preserve">. Also, we found two cases of </w:t>
      </w:r>
      <w:r w:rsidR="00820AF8" w:rsidRPr="003B1108">
        <w:rPr>
          <w:rFonts w:ascii="Book Antiqua" w:hAnsi="Book Antiqua"/>
          <w:bCs/>
          <w:sz w:val="24"/>
          <w:szCs w:val="24"/>
        </w:rPr>
        <w:t>special adverse events. One</w:t>
      </w:r>
      <w:r w:rsidR="0065754A" w:rsidRPr="003B1108">
        <w:rPr>
          <w:rFonts w:ascii="Book Antiqua" w:hAnsi="Book Antiqua"/>
          <w:bCs/>
          <w:sz w:val="24"/>
          <w:szCs w:val="24"/>
        </w:rPr>
        <w:t xml:space="preserve"> case </w:t>
      </w:r>
      <w:r w:rsidR="0065754A" w:rsidRPr="003B1108">
        <w:rPr>
          <w:rFonts w:ascii="Book Antiqua" w:hAnsi="Book Antiqua"/>
          <w:bCs/>
          <w:sz w:val="24"/>
          <w:szCs w:val="24"/>
        </w:rPr>
        <w:lastRenderedPageBreak/>
        <w:t>involved facial and bilateral lower extremity edema,</w:t>
      </w:r>
      <w:r w:rsidR="00820AF8" w:rsidRPr="003B1108">
        <w:rPr>
          <w:rFonts w:ascii="Book Antiqua" w:hAnsi="Book Antiqua"/>
          <w:bCs/>
          <w:sz w:val="24"/>
          <w:szCs w:val="24"/>
        </w:rPr>
        <w:t xml:space="preserve"> which was due to drug-drug interactions</w:t>
      </w:r>
      <w:r w:rsidR="0070039B">
        <w:rPr>
          <w:rFonts w:ascii="Book Antiqua" w:hAnsi="Book Antiqua"/>
          <w:bCs/>
          <w:sz w:val="24"/>
          <w:szCs w:val="24"/>
        </w:rPr>
        <w:t>,</w:t>
      </w:r>
      <w:r w:rsidR="0065754A" w:rsidRPr="003B1108">
        <w:rPr>
          <w:rFonts w:ascii="Book Antiqua" w:hAnsi="Book Antiqua"/>
          <w:bCs/>
          <w:sz w:val="24"/>
          <w:szCs w:val="24"/>
        </w:rPr>
        <w:t xml:space="preserve"> and the other case showed an interesting change in lipid levels while the patient was on medication.</w:t>
      </w:r>
    </w:p>
    <w:p w14:paraId="0C0121A6" w14:textId="77777777" w:rsidR="00D31693" w:rsidRPr="003B1108" w:rsidRDefault="00D31693" w:rsidP="003B1108">
      <w:pPr>
        <w:adjustRightInd w:val="0"/>
        <w:snapToGrid w:val="0"/>
        <w:spacing w:line="360" w:lineRule="auto"/>
        <w:rPr>
          <w:rFonts w:ascii="Book Antiqua" w:hAnsi="Book Antiqua"/>
          <w:bCs/>
          <w:sz w:val="24"/>
          <w:szCs w:val="24"/>
        </w:rPr>
      </w:pPr>
    </w:p>
    <w:p w14:paraId="475F4E5C" w14:textId="70DC040B" w:rsidR="00E40BAD" w:rsidRDefault="00077DBC" w:rsidP="00E40BAD">
      <w:pPr>
        <w:adjustRightInd w:val="0"/>
        <w:snapToGrid w:val="0"/>
        <w:spacing w:line="360" w:lineRule="auto"/>
        <w:rPr>
          <w:rFonts w:ascii="Book Antiqua" w:hAnsi="Book Antiqua"/>
          <w:kern w:val="0"/>
          <w:sz w:val="24"/>
          <w:szCs w:val="24"/>
        </w:rPr>
      </w:pPr>
      <w:r w:rsidRPr="003B1108">
        <w:rPr>
          <w:rFonts w:ascii="Book Antiqua" w:hAnsi="Book Antiqua"/>
          <w:bCs/>
          <w:sz w:val="24"/>
          <w:szCs w:val="24"/>
        </w:rPr>
        <w:t>Y</w:t>
      </w:r>
      <w:r w:rsidR="00B33195" w:rsidRPr="003B1108">
        <w:rPr>
          <w:rFonts w:ascii="Book Antiqua" w:hAnsi="Book Antiqua"/>
          <w:bCs/>
          <w:sz w:val="24"/>
          <w:szCs w:val="24"/>
        </w:rPr>
        <w:t>a</w:t>
      </w:r>
      <w:r w:rsidRPr="003B1108">
        <w:rPr>
          <w:rFonts w:ascii="Book Antiqua" w:hAnsi="Book Antiqua"/>
          <w:bCs/>
          <w:sz w:val="24"/>
          <w:szCs w:val="24"/>
        </w:rPr>
        <w:t xml:space="preserve">ng Y, </w:t>
      </w:r>
      <w:r w:rsidR="00B33195" w:rsidRPr="003B1108">
        <w:rPr>
          <w:rFonts w:ascii="Book Antiqua" w:hAnsi="Book Antiqua"/>
          <w:bCs/>
          <w:sz w:val="24"/>
          <w:szCs w:val="24"/>
        </w:rPr>
        <w:t>Wu FP</w:t>
      </w:r>
      <w:r w:rsidRPr="003B1108">
        <w:rPr>
          <w:rFonts w:ascii="Book Antiqua" w:hAnsi="Book Antiqua"/>
          <w:bCs/>
          <w:sz w:val="24"/>
          <w:szCs w:val="24"/>
        </w:rPr>
        <w:t xml:space="preserve">, </w:t>
      </w:r>
      <w:r w:rsidR="00B33195" w:rsidRPr="003B1108">
        <w:rPr>
          <w:rFonts w:ascii="Book Antiqua" w:hAnsi="Book Antiqua"/>
          <w:bCs/>
          <w:sz w:val="24"/>
          <w:szCs w:val="24"/>
        </w:rPr>
        <w:t>Wang WJ</w:t>
      </w:r>
      <w:r w:rsidRPr="003B1108">
        <w:rPr>
          <w:rFonts w:ascii="Book Antiqua" w:hAnsi="Book Antiqua"/>
          <w:bCs/>
          <w:sz w:val="24"/>
          <w:szCs w:val="24"/>
        </w:rPr>
        <w:t xml:space="preserve">, </w:t>
      </w:r>
      <w:r w:rsidR="00B33195" w:rsidRPr="003B1108">
        <w:rPr>
          <w:rFonts w:ascii="Book Antiqua" w:hAnsi="Book Antiqua"/>
          <w:bCs/>
          <w:sz w:val="24"/>
          <w:szCs w:val="24"/>
        </w:rPr>
        <w:t>Shi JJ</w:t>
      </w:r>
      <w:r w:rsidRPr="003B1108">
        <w:rPr>
          <w:rFonts w:ascii="Book Antiqua" w:hAnsi="Book Antiqua"/>
          <w:bCs/>
          <w:sz w:val="24"/>
          <w:szCs w:val="24"/>
        </w:rPr>
        <w:t xml:space="preserve">, </w:t>
      </w:r>
      <w:r w:rsidR="00B33195" w:rsidRPr="003B1108">
        <w:rPr>
          <w:rFonts w:ascii="Book Antiqua" w:hAnsi="Book Antiqua"/>
          <w:bCs/>
          <w:sz w:val="24"/>
          <w:szCs w:val="24"/>
        </w:rPr>
        <w:t>Li YP</w:t>
      </w:r>
      <w:r w:rsidRPr="003B1108">
        <w:rPr>
          <w:rFonts w:ascii="Book Antiqua" w:hAnsi="Book Antiqua"/>
          <w:bCs/>
          <w:sz w:val="24"/>
          <w:szCs w:val="24"/>
        </w:rPr>
        <w:t xml:space="preserve">, </w:t>
      </w:r>
      <w:r w:rsidR="00B33195" w:rsidRPr="003B1108">
        <w:rPr>
          <w:rFonts w:ascii="Book Antiqua" w:hAnsi="Book Antiqua"/>
          <w:bCs/>
          <w:sz w:val="24"/>
          <w:szCs w:val="24"/>
        </w:rPr>
        <w:t>Zhang X</w:t>
      </w:r>
      <w:r w:rsidRPr="003B1108">
        <w:rPr>
          <w:rFonts w:ascii="Book Antiqua" w:hAnsi="Book Antiqua"/>
          <w:bCs/>
          <w:sz w:val="24"/>
          <w:szCs w:val="24"/>
        </w:rPr>
        <w:t xml:space="preserve">, </w:t>
      </w:r>
      <w:r w:rsidR="00B33195" w:rsidRPr="003B1108">
        <w:rPr>
          <w:rFonts w:ascii="Book Antiqua" w:hAnsi="Book Antiqua"/>
          <w:bCs/>
          <w:sz w:val="24"/>
          <w:szCs w:val="24"/>
        </w:rPr>
        <w:t>Dang SS</w:t>
      </w:r>
      <w:r w:rsidRPr="003B1108">
        <w:rPr>
          <w:rFonts w:ascii="Book Antiqua" w:hAnsi="Book Antiqua"/>
          <w:bCs/>
          <w:sz w:val="24"/>
          <w:szCs w:val="24"/>
        </w:rPr>
        <w:t xml:space="preserve">. </w:t>
      </w:r>
      <w:r w:rsidR="003B1108" w:rsidRPr="003B1108">
        <w:rPr>
          <w:rFonts w:ascii="Book Antiqua" w:hAnsi="Book Antiqua"/>
          <w:bCs/>
          <w:sz w:val="24"/>
          <w:szCs w:val="24"/>
        </w:rPr>
        <w:t>Real life efficacy and safety of direct-acting antiviral therapy for treatment of</w:t>
      </w:r>
      <w:r w:rsidR="0070039B">
        <w:rPr>
          <w:rFonts w:ascii="Book Antiqua" w:hAnsi="Book Antiqua"/>
          <w:bCs/>
          <w:sz w:val="24"/>
          <w:szCs w:val="24"/>
        </w:rPr>
        <w:t xml:space="preserve"> </w:t>
      </w:r>
      <w:r w:rsidR="003B1108" w:rsidRPr="003B1108">
        <w:rPr>
          <w:rFonts w:ascii="Book Antiqua" w:hAnsi="Book Antiqua"/>
          <w:bCs/>
          <w:sz w:val="24"/>
          <w:szCs w:val="24"/>
        </w:rPr>
        <w:t xml:space="preserve">patients </w:t>
      </w:r>
      <w:r w:rsidR="0070039B">
        <w:rPr>
          <w:rFonts w:ascii="Book Antiqua" w:hAnsi="Book Antiqua"/>
          <w:bCs/>
          <w:sz w:val="24"/>
          <w:szCs w:val="24"/>
        </w:rPr>
        <w:t xml:space="preserve">infected </w:t>
      </w:r>
      <w:r w:rsidR="003B1108" w:rsidRPr="003B1108">
        <w:rPr>
          <w:rFonts w:ascii="Book Antiqua" w:hAnsi="Book Antiqua"/>
          <w:bCs/>
          <w:sz w:val="24"/>
          <w:szCs w:val="24"/>
        </w:rPr>
        <w:t xml:space="preserve">with </w:t>
      </w:r>
      <w:r w:rsidR="0070039B" w:rsidRPr="003B1108">
        <w:rPr>
          <w:rFonts w:ascii="Book Antiqua" w:hAnsi="Book Antiqua"/>
          <w:bCs/>
          <w:sz w:val="24"/>
          <w:szCs w:val="24"/>
        </w:rPr>
        <w:t xml:space="preserve">hepatitis C </w:t>
      </w:r>
      <w:r w:rsidR="0070039B">
        <w:rPr>
          <w:rFonts w:ascii="Book Antiqua" w:hAnsi="Book Antiqua"/>
          <w:bCs/>
          <w:sz w:val="24"/>
          <w:szCs w:val="24"/>
        </w:rPr>
        <w:t xml:space="preserve">virus </w:t>
      </w:r>
      <w:r w:rsidR="003B1108" w:rsidRPr="003B1108">
        <w:rPr>
          <w:rFonts w:ascii="Book Antiqua" w:hAnsi="Book Antiqua"/>
          <w:bCs/>
          <w:sz w:val="24"/>
          <w:szCs w:val="24"/>
        </w:rPr>
        <w:t>genotypes 1, 2 and 3 in northwest China</w:t>
      </w:r>
      <w:r w:rsidRPr="003B1108">
        <w:rPr>
          <w:rFonts w:ascii="Book Antiqua" w:hAnsi="Book Antiqua"/>
          <w:bCs/>
          <w:sz w:val="24"/>
          <w:szCs w:val="24"/>
        </w:rPr>
        <w:t xml:space="preserve">. </w:t>
      </w:r>
      <w:bookmarkStart w:id="45" w:name="OLE_LINK1105"/>
      <w:bookmarkStart w:id="46" w:name="OLE_LINK1107"/>
      <w:r w:rsidRPr="003B1108">
        <w:rPr>
          <w:rFonts w:ascii="Book Antiqua" w:hAnsi="Book Antiqua"/>
          <w:i/>
          <w:sz w:val="24"/>
          <w:szCs w:val="24"/>
        </w:rPr>
        <w:t xml:space="preserve">World J </w:t>
      </w:r>
      <w:proofErr w:type="spellStart"/>
      <w:r w:rsidRPr="003B1108">
        <w:rPr>
          <w:rFonts w:ascii="Book Antiqua" w:hAnsi="Book Antiqua"/>
          <w:i/>
          <w:sz w:val="24"/>
          <w:szCs w:val="24"/>
        </w:rPr>
        <w:t>Gastroenterol</w:t>
      </w:r>
      <w:proofErr w:type="spellEnd"/>
      <w:r w:rsidRPr="003B1108">
        <w:rPr>
          <w:rFonts w:ascii="Book Antiqua" w:hAnsi="Book Antiqua"/>
          <w:i/>
          <w:sz w:val="24"/>
          <w:szCs w:val="24"/>
        </w:rPr>
        <w:t xml:space="preserve"> </w:t>
      </w:r>
      <w:bookmarkEnd w:id="45"/>
      <w:bookmarkEnd w:id="46"/>
      <w:r w:rsidR="00E40BAD">
        <w:rPr>
          <w:rFonts w:ascii="Book Antiqua" w:hAnsi="Book Antiqua"/>
          <w:kern w:val="0"/>
          <w:sz w:val="24"/>
          <w:szCs w:val="24"/>
        </w:rPr>
        <w:t xml:space="preserve">2019; 25(44): </w:t>
      </w:r>
      <w:r w:rsidR="00E40BAD">
        <w:rPr>
          <w:rFonts w:ascii="Book Antiqua" w:hAnsi="Book Antiqua" w:hint="eastAsia"/>
          <w:kern w:val="0"/>
          <w:sz w:val="24"/>
          <w:szCs w:val="24"/>
        </w:rPr>
        <w:t>65</w:t>
      </w:r>
      <w:r w:rsidR="00E40BAD">
        <w:rPr>
          <w:rFonts w:ascii="Book Antiqua" w:hAnsi="Book Antiqua" w:hint="eastAsia"/>
          <w:kern w:val="0"/>
          <w:sz w:val="24"/>
          <w:szCs w:val="24"/>
        </w:rPr>
        <w:t>51</w:t>
      </w:r>
      <w:r w:rsidR="00E40BAD">
        <w:rPr>
          <w:rFonts w:ascii="Book Antiqua" w:hAnsi="Book Antiqua"/>
          <w:kern w:val="0"/>
          <w:sz w:val="24"/>
          <w:szCs w:val="24"/>
        </w:rPr>
        <w:t>-</w:t>
      </w:r>
      <w:r w:rsidR="00E40BAD">
        <w:rPr>
          <w:rFonts w:ascii="Book Antiqua" w:hAnsi="Book Antiqua" w:hint="eastAsia"/>
          <w:kern w:val="0"/>
          <w:sz w:val="24"/>
          <w:szCs w:val="24"/>
        </w:rPr>
        <w:t>65</w:t>
      </w:r>
      <w:r w:rsidR="00E40BAD">
        <w:rPr>
          <w:rFonts w:ascii="Book Antiqua" w:hAnsi="Book Antiqua" w:hint="eastAsia"/>
          <w:kern w:val="0"/>
          <w:sz w:val="24"/>
          <w:szCs w:val="24"/>
        </w:rPr>
        <w:t>60</w:t>
      </w:r>
      <w:r w:rsidR="00E40BAD">
        <w:rPr>
          <w:rFonts w:ascii="Book Antiqua" w:hAnsi="Book Antiqua"/>
          <w:kern w:val="0"/>
          <w:sz w:val="24"/>
          <w:szCs w:val="24"/>
        </w:rPr>
        <w:t xml:space="preserve">  </w:t>
      </w:r>
    </w:p>
    <w:p w14:paraId="2E4DFF7C" w14:textId="7D0EBF6F" w:rsidR="00E40BAD" w:rsidRDefault="00E40BAD" w:rsidP="00E40BAD">
      <w:pPr>
        <w:adjustRightInd w:val="0"/>
        <w:snapToGrid w:val="0"/>
        <w:spacing w:line="360" w:lineRule="auto"/>
        <w:rPr>
          <w:rFonts w:ascii="Book Antiqua" w:hAnsi="Book Antiqua"/>
          <w:kern w:val="0"/>
          <w:sz w:val="24"/>
          <w:szCs w:val="24"/>
        </w:rPr>
      </w:pPr>
      <w:r w:rsidRPr="003A0F77">
        <w:rPr>
          <w:rFonts w:ascii="Book Antiqua" w:hAnsi="Book Antiqua"/>
          <w:b/>
          <w:kern w:val="0"/>
          <w:sz w:val="24"/>
          <w:szCs w:val="24"/>
        </w:rPr>
        <w:t>URL:</w:t>
      </w:r>
      <w:r>
        <w:rPr>
          <w:rFonts w:ascii="Book Antiqua" w:hAnsi="Book Antiqua"/>
          <w:kern w:val="0"/>
          <w:sz w:val="24"/>
          <w:szCs w:val="24"/>
        </w:rPr>
        <w:t xml:space="preserve"> https://www.wjgnet.com/1007-9327/full/v25/i44/</w:t>
      </w:r>
      <w:r>
        <w:rPr>
          <w:rFonts w:ascii="Book Antiqua" w:hAnsi="Book Antiqua" w:hint="eastAsia"/>
          <w:kern w:val="0"/>
          <w:sz w:val="24"/>
          <w:szCs w:val="24"/>
        </w:rPr>
        <w:t>65</w:t>
      </w:r>
      <w:r>
        <w:rPr>
          <w:rFonts w:ascii="Book Antiqua" w:hAnsi="Book Antiqua" w:hint="eastAsia"/>
          <w:kern w:val="0"/>
          <w:sz w:val="24"/>
          <w:szCs w:val="24"/>
        </w:rPr>
        <w:t>51</w:t>
      </w:r>
      <w:r>
        <w:rPr>
          <w:rFonts w:ascii="Book Antiqua" w:hAnsi="Book Antiqua"/>
          <w:kern w:val="0"/>
          <w:sz w:val="24"/>
          <w:szCs w:val="24"/>
        </w:rPr>
        <w:t xml:space="preserve">.htm  </w:t>
      </w:r>
    </w:p>
    <w:p w14:paraId="3D55082E" w14:textId="5FB21570" w:rsidR="00077DBC" w:rsidRPr="003B1108" w:rsidRDefault="00E40BAD" w:rsidP="00E40BAD">
      <w:pPr>
        <w:adjustRightInd w:val="0"/>
        <w:snapToGrid w:val="0"/>
        <w:spacing w:line="360" w:lineRule="auto"/>
        <w:rPr>
          <w:rFonts w:ascii="Book Antiqua" w:hAnsi="Book Antiqua"/>
          <w:color w:val="FF0000"/>
          <w:sz w:val="24"/>
          <w:szCs w:val="24"/>
        </w:rPr>
      </w:pPr>
      <w:r w:rsidRPr="003A0F77">
        <w:rPr>
          <w:rFonts w:ascii="Book Antiqua" w:hAnsi="Book Antiqua"/>
          <w:b/>
          <w:kern w:val="0"/>
          <w:sz w:val="24"/>
          <w:szCs w:val="24"/>
        </w:rPr>
        <w:t>DOI:</w:t>
      </w:r>
      <w:r>
        <w:rPr>
          <w:rFonts w:ascii="Book Antiqua" w:hAnsi="Book Antiqua"/>
          <w:kern w:val="0"/>
          <w:sz w:val="24"/>
          <w:szCs w:val="24"/>
        </w:rPr>
        <w:t xml:space="preserve"> https://dx.doi.org/10.3748/wjg.v25.i44.</w:t>
      </w:r>
      <w:r>
        <w:rPr>
          <w:rFonts w:ascii="Book Antiqua" w:hAnsi="Book Antiqua" w:hint="eastAsia"/>
          <w:kern w:val="0"/>
          <w:sz w:val="24"/>
          <w:szCs w:val="24"/>
        </w:rPr>
        <w:t>65</w:t>
      </w:r>
      <w:r>
        <w:rPr>
          <w:rFonts w:ascii="Book Antiqua" w:hAnsi="Book Antiqua" w:hint="eastAsia"/>
          <w:kern w:val="0"/>
          <w:sz w:val="24"/>
          <w:szCs w:val="24"/>
        </w:rPr>
        <w:t>51</w:t>
      </w:r>
    </w:p>
    <w:p w14:paraId="22819C1A" w14:textId="79A9C88A" w:rsidR="00552F81" w:rsidRPr="003B1108" w:rsidRDefault="00552F81" w:rsidP="003B1108">
      <w:pPr>
        <w:widowControl/>
        <w:adjustRightInd w:val="0"/>
        <w:snapToGrid w:val="0"/>
        <w:spacing w:line="360" w:lineRule="auto"/>
        <w:jc w:val="left"/>
        <w:rPr>
          <w:rFonts w:ascii="Book Antiqua" w:hAnsi="Book Antiqua"/>
          <w:bCs/>
          <w:sz w:val="24"/>
          <w:szCs w:val="24"/>
        </w:rPr>
      </w:pPr>
      <w:r w:rsidRPr="003B1108">
        <w:rPr>
          <w:rFonts w:ascii="Book Antiqua" w:hAnsi="Book Antiqua"/>
          <w:bCs/>
          <w:sz w:val="24"/>
          <w:szCs w:val="24"/>
        </w:rPr>
        <w:br w:type="page"/>
      </w:r>
    </w:p>
    <w:p w14:paraId="1F08A359" w14:textId="4E0A9F8A" w:rsidR="00C9527A" w:rsidRPr="003B1108" w:rsidRDefault="00C9527A" w:rsidP="003B1108">
      <w:pPr>
        <w:adjustRightInd w:val="0"/>
        <w:snapToGrid w:val="0"/>
        <w:spacing w:line="360" w:lineRule="auto"/>
        <w:rPr>
          <w:rFonts w:ascii="Book Antiqua" w:hAnsi="Book Antiqua"/>
          <w:b/>
          <w:sz w:val="24"/>
          <w:szCs w:val="24"/>
        </w:rPr>
      </w:pPr>
      <w:r w:rsidRPr="003B1108">
        <w:rPr>
          <w:rFonts w:ascii="Book Antiqua" w:hAnsi="Book Antiqua"/>
          <w:b/>
          <w:sz w:val="24"/>
          <w:szCs w:val="24"/>
        </w:rPr>
        <w:lastRenderedPageBreak/>
        <w:t>INTRODUCTION</w:t>
      </w:r>
    </w:p>
    <w:p w14:paraId="08973DCA" w14:textId="38EB2BE2" w:rsidR="00C9527A" w:rsidRPr="003B1108" w:rsidRDefault="00A613CF" w:rsidP="003B1108">
      <w:pPr>
        <w:adjustRightInd w:val="0"/>
        <w:snapToGrid w:val="0"/>
        <w:spacing w:line="360" w:lineRule="auto"/>
        <w:rPr>
          <w:rFonts w:ascii="Book Antiqua" w:hAnsi="Book Antiqua"/>
          <w:bCs/>
          <w:sz w:val="24"/>
          <w:szCs w:val="24"/>
        </w:rPr>
      </w:pPr>
      <w:r w:rsidRPr="003B1108">
        <w:rPr>
          <w:rFonts w:ascii="Book Antiqua" w:hAnsi="Book Antiqua"/>
          <w:bCs/>
          <w:sz w:val="24"/>
          <w:szCs w:val="24"/>
        </w:rPr>
        <w:t xml:space="preserve">Hepatitis C virus (HCV) </w:t>
      </w:r>
      <w:r w:rsidR="0070039B">
        <w:rPr>
          <w:rFonts w:ascii="Book Antiqua" w:hAnsi="Book Antiqua"/>
          <w:bCs/>
          <w:sz w:val="24"/>
          <w:szCs w:val="24"/>
        </w:rPr>
        <w:t xml:space="preserve">has </w:t>
      </w:r>
      <w:r w:rsidRPr="003B1108">
        <w:rPr>
          <w:rFonts w:ascii="Book Antiqua" w:hAnsi="Book Antiqua"/>
          <w:bCs/>
          <w:sz w:val="24"/>
          <w:szCs w:val="24"/>
        </w:rPr>
        <w:t xml:space="preserve">infected approximately 3% of the world's </w:t>
      </w:r>
      <w:proofErr w:type="gramStart"/>
      <w:r w:rsidRPr="003B1108">
        <w:rPr>
          <w:rFonts w:ascii="Book Antiqua" w:hAnsi="Book Antiqua"/>
          <w:bCs/>
          <w:sz w:val="24"/>
          <w:szCs w:val="24"/>
        </w:rPr>
        <w:t>population</w:t>
      </w:r>
      <w:r w:rsidRPr="003B1108">
        <w:rPr>
          <w:rFonts w:ascii="Book Antiqua" w:hAnsi="Book Antiqua"/>
          <w:bCs/>
          <w:sz w:val="24"/>
          <w:szCs w:val="24"/>
          <w:vertAlign w:val="superscript"/>
        </w:rPr>
        <w:t>[</w:t>
      </w:r>
      <w:proofErr w:type="gramEnd"/>
      <w:r w:rsidRPr="003B1108">
        <w:rPr>
          <w:rFonts w:ascii="Book Antiqua" w:hAnsi="Book Antiqua"/>
          <w:bCs/>
          <w:sz w:val="24"/>
          <w:szCs w:val="24"/>
          <w:vertAlign w:val="superscript"/>
        </w:rPr>
        <w:t>1-3]</w:t>
      </w:r>
      <w:r w:rsidR="00226072" w:rsidRPr="003B1108">
        <w:rPr>
          <w:rFonts w:ascii="Book Antiqua" w:hAnsi="Book Antiqua"/>
          <w:bCs/>
          <w:sz w:val="24"/>
          <w:szCs w:val="24"/>
        </w:rPr>
        <w:t xml:space="preserve">, and 70% to 80% of patients have chronic hepatitis. </w:t>
      </w:r>
      <w:r w:rsidR="00573936" w:rsidRPr="003B1108">
        <w:rPr>
          <w:rFonts w:ascii="Book Antiqua" w:hAnsi="Book Antiqua"/>
          <w:bCs/>
          <w:sz w:val="24"/>
          <w:szCs w:val="24"/>
        </w:rPr>
        <w:t xml:space="preserve">The leading cause of liver cirrhosis and hepatocellular carcinoma (HCC) is hepatitis. </w:t>
      </w:r>
      <w:r w:rsidR="00226072" w:rsidRPr="003B1108">
        <w:rPr>
          <w:rFonts w:ascii="Book Antiqua" w:hAnsi="Book Antiqua"/>
          <w:bCs/>
          <w:sz w:val="24"/>
          <w:szCs w:val="24"/>
        </w:rPr>
        <w:t xml:space="preserve">No effective vaccine to prevent hepatitis C is currently </w:t>
      </w:r>
      <w:proofErr w:type="gramStart"/>
      <w:r w:rsidR="00226072" w:rsidRPr="003B1108">
        <w:rPr>
          <w:rFonts w:ascii="Book Antiqua" w:hAnsi="Book Antiqua"/>
          <w:bCs/>
          <w:sz w:val="24"/>
          <w:szCs w:val="24"/>
        </w:rPr>
        <w:t>available</w:t>
      </w:r>
      <w:r w:rsidR="00226072" w:rsidRPr="003B1108">
        <w:rPr>
          <w:rFonts w:ascii="Book Antiqua" w:hAnsi="Book Antiqua"/>
          <w:bCs/>
          <w:sz w:val="24"/>
          <w:szCs w:val="24"/>
          <w:vertAlign w:val="superscript"/>
        </w:rPr>
        <w:t>[</w:t>
      </w:r>
      <w:proofErr w:type="gramEnd"/>
      <w:r w:rsidR="00226072" w:rsidRPr="003B1108">
        <w:rPr>
          <w:rFonts w:ascii="Book Antiqua" w:hAnsi="Book Antiqua"/>
          <w:bCs/>
          <w:sz w:val="24"/>
          <w:szCs w:val="24"/>
          <w:vertAlign w:val="superscript"/>
        </w:rPr>
        <w:t>4-6]</w:t>
      </w:r>
      <w:r w:rsidR="00226072" w:rsidRPr="003B1108">
        <w:rPr>
          <w:rFonts w:ascii="Book Antiqua" w:hAnsi="Book Antiqua"/>
          <w:bCs/>
          <w:sz w:val="24"/>
          <w:szCs w:val="24"/>
        </w:rPr>
        <w:t xml:space="preserve">. Thus, the treatment of hepatitis C is particularly important. There are several HCV genotypes, </w:t>
      </w:r>
      <w:r w:rsidR="0070039B">
        <w:rPr>
          <w:rFonts w:ascii="Book Antiqua" w:hAnsi="Book Antiqua"/>
          <w:bCs/>
          <w:sz w:val="24"/>
          <w:szCs w:val="24"/>
        </w:rPr>
        <w:t xml:space="preserve">including </w:t>
      </w:r>
      <w:r w:rsidR="00226072" w:rsidRPr="003B1108">
        <w:rPr>
          <w:rFonts w:ascii="Book Antiqua" w:hAnsi="Book Antiqua"/>
          <w:bCs/>
          <w:sz w:val="24"/>
          <w:szCs w:val="24"/>
        </w:rPr>
        <w:t xml:space="preserve">1a, 1b, 1c, 2a, 2b, 2c, 3a, 3b, 4, 5 and 6, which correspond to the number of HCV gene sequences, of which </w:t>
      </w:r>
      <w:r w:rsidR="00842063" w:rsidRPr="003B1108">
        <w:rPr>
          <w:rFonts w:ascii="Book Antiqua" w:hAnsi="Book Antiqua"/>
          <w:bCs/>
          <w:sz w:val="24"/>
          <w:szCs w:val="24"/>
        </w:rPr>
        <w:t>genotypes</w:t>
      </w:r>
      <w:r w:rsidR="00842063" w:rsidRPr="003B1108" w:rsidDel="00842063">
        <w:rPr>
          <w:rFonts w:ascii="Book Antiqua" w:hAnsi="Book Antiqua"/>
          <w:bCs/>
          <w:sz w:val="24"/>
          <w:szCs w:val="24"/>
        </w:rPr>
        <w:t xml:space="preserve"> </w:t>
      </w:r>
      <w:r w:rsidR="00226072" w:rsidRPr="003B1108">
        <w:rPr>
          <w:rFonts w:ascii="Book Antiqua" w:hAnsi="Book Antiqua"/>
          <w:bCs/>
          <w:sz w:val="24"/>
          <w:szCs w:val="24"/>
        </w:rPr>
        <w:t xml:space="preserve">1, </w:t>
      </w:r>
      <w:r w:rsidR="00842063">
        <w:rPr>
          <w:rFonts w:ascii="Book Antiqua" w:hAnsi="Book Antiqua"/>
          <w:bCs/>
          <w:sz w:val="24"/>
          <w:szCs w:val="24"/>
        </w:rPr>
        <w:t>2</w:t>
      </w:r>
      <w:r w:rsidR="0070039B">
        <w:rPr>
          <w:rFonts w:ascii="Book Antiqua" w:hAnsi="Book Antiqua"/>
          <w:bCs/>
          <w:sz w:val="24"/>
          <w:szCs w:val="24"/>
        </w:rPr>
        <w:t xml:space="preserve"> </w:t>
      </w:r>
      <w:r w:rsidR="00226072" w:rsidRPr="003B1108">
        <w:rPr>
          <w:rFonts w:ascii="Book Antiqua" w:hAnsi="Book Antiqua"/>
          <w:bCs/>
          <w:sz w:val="24"/>
          <w:szCs w:val="24"/>
        </w:rPr>
        <w:t xml:space="preserve">and </w:t>
      </w:r>
      <w:r w:rsidR="00842063">
        <w:rPr>
          <w:rFonts w:ascii="Book Antiqua" w:hAnsi="Book Antiqua"/>
          <w:bCs/>
          <w:sz w:val="24"/>
          <w:szCs w:val="24"/>
        </w:rPr>
        <w:t>3</w:t>
      </w:r>
      <w:r w:rsidR="00226072" w:rsidRPr="003B1108">
        <w:rPr>
          <w:rFonts w:ascii="Book Antiqua" w:hAnsi="Book Antiqua"/>
          <w:bCs/>
          <w:sz w:val="24"/>
          <w:szCs w:val="24"/>
        </w:rPr>
        <w:t xml:space="preserve"> are the most common </w:t>
      </w:r>
      <w:proofErr w:type="gramStart"/>
      <w:r w:rsidR="00226072" w:rsidRPr="003B1108">
        <w:rPr>
          <w:rFonts w:ascii="Book Antiqua" w:hAnsi="Book Antiqua"/>
          <w:bCs/>
          <w:sz w:val="24"/>
          <w:szCs w:val="24"/>
        </w:rPr>
        <w:t>types</w:t>
      </w:r>
      <w:r w:rsidR="00226072" w:rsidRPr="003B1108">
        <w:rPr>
          <w:rFonts w:ascii="Book Antiqua" w:hAnsi="Book Antiqua"/>
          <w:bCs/>
          <w:sz w:val="24"/>
          <w:szCs w:val="24"/>
          <w:vertAlign w:val="superscript"/>
        </w:rPr>
        <w:t>[</w:t>
      </w:r>
      <w:proofErr w:type="gramEnd"/>
      <w:r w:rsidR="00226072" w:rsidRPr="003B1108">
        <w:rPr>
          <w:rFonts w:ascii="Book Antiqua" w:hAnsi="Book Antiqua"/>
          <w:bCs/>
          <w:sz w:val="24"/>
          <w:szCs w:val="24"/>
          <w:vertAlign w:val="superscript"/>
        </w:rPr>
        <w:t>7-10]</w:t>
      </w:r>
      <w:r w:rsidR="00226072" w:rsidRPr="003B1108">
        <w:rPr>
          <w:rFonts w:ascii="Book Antiqua" w:hAnsi="Book Antiqua"/>
          <w:bCs/>
          <w:sz w:val="24"/>
          <w:szCs w:val="24"/>
        </w:rPr>
        <w:t>. Clinical care has advanced for patients with HCV-related liver disease in recent years. But, in some countries, such as China, the standard care has been a combination therapy using pegylated interferon and ribavirin</w:t>
      </w:r>
      <w:r w:rsidR="0046302D">
        <w:rPr>
          <w:rFonts w:ascii="Book Antiqua" w:hAnsi="Book Antiqua"/>
          <w:bCs/>
          <w:sz w:val="24"/>
          <w:szCs w:val="24"/>
        </w:rPr>
        <w:t xml:space="preserve"> (</w:t>
      </w:r>
      <w:r w:rsidR="0046302D" w:rsidRPr="003B1108">
        <w:rPr>
          <w:rFonts w:ascii="Book Antiqua" w:hAnsi="Book Antiqua"/>
          <w:bCs/>
          <w:sz w:val="24"/>
          <w:szCs w:val="24"/>
        </w:rPr>
        <w:t>RBV</w:t>
      </w:r>
      <w:r w:rsidR="0046302D">
        <w:rPr>
          <w:rFonts w:ascii="Book Antiqua" w:hAnsi="Book Antiqua"/>
          <w:bCs/>
          <w:sz w:val="24"/>
          <w:szCs w:val="24"/>
        </w:rPr>
        <w:t>)</w:t>
      </w:r>
      <w:r w:rsidR="00226072" w:rsidRPr="003B1108">
        <w:rPr>
          <w:rFonts w:ascii="Book Antiqua" w:hAnsi="Book Antiqua"/>
          <w:bCs/>
          <w:sz w:val="24"/>
          <w:szCs w:val="24"/>
        </w:rPr>
        <w:t>. However, this treatment has shown a low rate of effectiveness. Due to severe adverse reactions and harsh indications, many patients cannot tolerate this treatment. Since the advent of direct-acting antiviral drugs (DAAs) in 2011, the landscape of HCV treatment has changed remarkably. These oral combinations make it possible to achieve exceptional cure rates with better tolerability, minimal side effects and a shorter duration of treatment.</w:t>
      </w:r>
    </w:p>
    <w:p w14:paraId="23CE6CA4" w14:textId="44D879FA" w:rsidR="00226072" w:rsidRPr="003B1108" w:rsidRDefault="00547844" w:rsidP="003B1108">
      <w:pPr>
        <w:adjustRightInd w:val="0"/>
        <w:snapToGrid w:val="0"/>
        <w:spacing w:line="360" w:lineRule="auto"/>
        <w:ind w:firstLineChars="100" w:firstLine="240"/>
        <w:rPr>
          <w:rFonts w:ascii="Book Antiqua" w:hAnsi="Book Antiqua"/>
          <w:bCs/>
          <w:sz w:val="24"/>
          <w:szCs w:val="24"/>
        </w:rPr>
      </w:pPr>
      <w:r w:rsidRPr="003B1108">
        <w:rPr>
          <w:rFonts w:ascii="Book Antiqua" w:hAnsi="Book Antiqua"/>
          <w:bCs/>
          <w:sz w:val="24"/>
          <w:szCs w:val="24"/>
        </w:rPr>
        <w:t xml:space="preserve">Among the NS5B polymerase nucleoside inhibitors, sofosbuvir (SOF) is a potent pan-genotypic inhibitor. Many clinical trials based on SOF have shown high rates of sustained </w:t>
      </w:r>
      <w:proofErr w:type="spellStart"/>
      <w:r w:rsidRPr="003B1108">
        <w:rPr>
          <w:rFonts w:ascii="Book Antiqua" w:hAnsi="Book Antiqua"/>
          <w:bCs/>
          <w:sz w:val="24"/>
          <w:szCs w:val="24"/>
        </w:rPr>
        <w:t>virological</w:t>
      </w:r>
      <w:proofErr w:type="spellEnd"/>
      <w:r w:rsidRPr="003B1108">
        <w:rPr>
          <w:rFonts w:ascii="Book Antiqua" w:hAnsi="Book Antiqua"/>
          <w:bCs/>
          <w:sz w:val="24"/>
          <w:szCs w:val="24"/>
        </w:rPr>
        <w:t xml:space="preserve"> response (SVR). A phase 3, randomized, open-label study involving patients infected with HCV genotype 1 with or without cirrhosis</w:t>
      </w:r>
      <w:r w:rsidR="00F67C65" w:rsidRPr="003B1108">
        <w:rPr>
          <w:rFonts w:ascii="Book Antiqua" w:hAnsi="Book Antiqua"/>
          <w:bCs/>
          <w:sz w:val="24"/>
          <w:szCs w:val="24"/>
        </w:rPr>
        <w:t xml:space="preserve"> </w:t>
      </w:r>
      <w:r w:rsidRPr="003B1108">
        <w:rPr>
          <w:rFonts w:ascii="Book Antiqua" w:hAnsi="Book Antiqua"/>
          <w:bCs/>
          <w:sz w:val="24"/>
          <w:szCs w:val="24"/>
        </w:rPr>
        <w:t>achieved SVR rates between 94% and 99%</w:t>
      </w:r>
      <w:r w:rsidR="00F67C65" w:rsidRPr="003B1108">
        <w:rPr>
          <w:rFonts w:ascii="Book Antiqua" w:hAnsi="Book Antiqua"/>
          <w:bCs/>
          <w:sz w:val="24"/>
          <w:szCs w:val="24"/>
        </w:rPr>
        <w:t xml:space="preserve"> with SOF and </w:t>
      </w:r>
      <w:proofErr w:type="gramStart"/>
      <w:r w:rsidR="00E740B2">
        <w:rPr>
          <w:rFonts w:ascii="Book Antiqua" w:hAnsi="Book Antiqua"/>
          <w:bCs/>
          <w:sz w:val="24"/>
          <w:szCs w:val="24"/>
        </w:rPr>
        <w:t>l</w:t>
      </w:r>
      <w:r w:rsidR="00E740B2" w:rsidRPr="003B1108">
        <w:rPr>
          <w:rFonts w:ascii="Book Antiqua" w:hAnsi="Book Antiqua"/>
          <w:bCs/>
          <w:sz w:val="24"/>
          <w:szCs w:val="24"/>
        </w:rPr>
        <w:t>edipasvir</w:t>
      </w:r>
      <w:r w:rsidRPr="003B1108">
        <w:rPr>
          <w:rFonts w:ascii="Book Antiqua" w:hAnsi="Book Antiqua"/>
          <w:bCs/>
          <w:sz w:val="24"/>
          <w:szCs w:val="24"/>
          <w:vertAlign w:val="superscript"/>
        </w:rPr>
        <w:t>[</w:t>
      </w:r>
      <w:proofErr w:type="gramEnd"/>
      <w:r w:rsidRPr="003B1108">
        <w:rPr>
          <w:rFonts w:ascii="Book Antiqua" w:hAnsi="Book Antiqua"/>
          <w:bCs/>
          <w:sz w:val="24"/>
          <w:szCs w:val="24"/>
          <w:vertAlign w:val="superscript"/>
        </w:rPr>
        <w:t>11]</w:t>
      </w:r>
      <w:r w:rsidRPr="003B1108">
        <w:rPr>
          <w:rFonts w:ascii="Book Antiqua" w:hAnsi="Book Antiqua"/>
          <w:bCs/>
          <w:sz w:val="24"/>
          <w:szCs w:val="24"/>
        </w:rPr>
        <w:t xml:space="preserve">. Among patients </w:t>
      </w:r>
      <w:r w:rsidR="00E740B2">
        <w:rPr>
          <w:rFonts w:ascii="Book Antiqua" w:hAnsi="Book Antiqua"/>
          <w:bCs/>
          <w:sz w:val="24"/>
          <w:szCs w:val="24"/>
        </w:rPr>
        <w:t xml:space="preserve">infected </w:t>
      </w:r>
      <w:r w:rsidRPr="003B1108">
        <w:rPr>
          <w:rFonts w:ascii="Book Antiqua" w:hAnsi="Book Antiqua"/>
          <w:bCs/>
          <w:sz w:val="24"/>
          <w:szCs w:val="24"/>
        </w:rPr>
        <w:t xml:space="preserve">with HCV genotype 2, the VALENCE trial reported that therapy with SOF-RBV for 12 </w:t>
      </w:r>
      <w:proofErr w:type="spellStart"/>
      <w:r w:rsidR="00DE2FDA" w:rsidRPr="003B1108">
        <w:rPr>
          <w:rFonts w:ascii="Book Antiqua" w:hAnsi="Book Antiqua"/>
          <w:bCs/>
          <w:sz w:val="24"/>
          <w:szCs w:val="24"/>
        </w:rPr>
        <w:t>wk</w:t>
      </w:r>
      <w:proofErr w:type="spellEnd"/>
      <w:r w:rsidRPr="003B1108">
        <w:rPr>
          <w:rFonts w:ascii="Book Antiqua" w:hAnsi="Book Antiqua"/>
          <w:bCs/>
          <w:sz w:val="24"/>
          <w:szCs w:val="24"/>
        </w:rPr>
        <w:t xml:space="preserve"> resulted in </w:t>
      </w:r>
      <w:r w:rsidR="00E740B2">
        <w:rPr>
          <w:rFonts w:ascii="Book Antiqua" w:hAnsi="Book Antiqua"/>
          <w:bCs/>
          <w:sz w:val="24"/>
          <w:szCs w:val="24"/>
        </w:rPr>
        <w:t xml:space="preserve">a </w:t>
      </w:r>
      <w:r w:rsidRPr="003B1108">
        <w:rPr>
          <w:rFonts w:ascii="Book Antiqua" w:hAnsi="Book Antiqua"/>
          <w:bCs/>
          <w:sz w:val="24"/>
          <w:szCs w:val="24"/>
        </w:rPr>
        <w:t>high rate of SVR (93%</w:t>
      </w:r>
      <w:proofErr w:type="gramStart"/>
      <w:r w:rsidRPr="003B1108">
        <w:rPr>
          <w:rFonts w:ascii="Book Antiqua" w:hAnsi="Book Antiqua"/>
          <w:bCs/>
          <w:sz w:val="24"/>
          <w:szCs w:val="24"/>
        </w:rPr>
        <w:t>)</w:t>
      </w:r>
      <w:r w:rsidRPr="003B1108">
        <w:rPr>
          <w:rFonts w:ascii="Book Antiqua" w:hAnsi="Book Antiqua"/>
          <w:bCs/>
          <w:sz w:val="24"/>
          <w:szCs w:val="24"/>
          <w:vertAlign w:val="superscript"/>
        </w:rPr>
        <w:t>[</w:t>
      </w:r>
      <w:proofErr w:type="gramEnd"/>
      <w:r w:rsidRPr="003B1108">
        <w:rPr>
          <w:rFonts w:ascii="Book Antiqua" w:hAnsi="Book Antiqua"/>
          <w:bCs/>
          <w:sz w:val="24"/>
          <w:szCs w:val="24"/>
          <w:vertAlign w:val="superscript"/>
        </w:rPr>
        <w:t>12]</w:t>
      </w:r>
      <w:r w:rsidRPr="003B1108">
        <w:rPr>
          <w:rFonts w:ascii="Book Antiqua" w:hAnsi="Book Antiqua"/>
          <w:bCs/>
          <w:sz w:val="24"/>
          <w:szCs w:val="24"/>
        </w:rPr>
        <w:t xml:space="preserve">. One year later, another </w:t>
      </w:r>
      <w:r w:rsidR="00E740B2">
        <w:rPr>
          <w:rFonts w:ascii="Book Antiqua" w:hAnsi="Book Antiqua"/>
          <w:bCs/>
          <w:sz w:val="24"/>
          <w:szCs w:val="24"/>
        </w:rPr>
        <w:t>p</w:t>
      </w:r>
      <w:r w:rsidR="00E740B2" w:rsidRPr="003B1108">
        <w:rPr>
          <w:rFonts w:ascii="Book Antiqua" w:hAnsi="Book Antiqua"/>
          <w:bCs/>
          <w:sz w:val="24"/>
          <w:szCs w:val="24"/>
        </w:rPr>
        <w:t xml:space="preserve">hase </w:t>
      </w:r>
      <w:r w:rsidRPr="003B1108">
        <w:rPr>
          <w:rFonts w:ascii="Book Antiqua" w:hAnsi="Book Antiqua"/>
          <w:bCs/>
          <w:sz w:val="24"/>
          <w:szCs w:val="24"/>
        </w:rPr>
        <w:t>III trial, ASTRAL-3, reported a higher rate of SVR</w:t>
      </w:r>
      <w:r w:rsidR="00E740B2">
        <w:rPr>
          <w:rFonts w:ascii="Book Antiqua" w:hAnsi="Book Antiqua"/>
          <w:bCs/>
          <w:sz w:val="24"/>
          <w:szCs w:val="24"/>
        </w:rPr>
        <w:t xml:space="preserve"> (</w:t>
      </w:r>
      <w:r w:rsidRPr="003B1108">
        <w:rPr>
          <w:rFonts w:ascii="Book Antiqua" w:hAnsi="Book Antiqua"/>
          <w:bCs/>
          <w:sz w:val="24"/>
          <w:szCs w:val="24"/>
        </w:rPr>
        <w:t>99%</w:t>
      </w:r>
      <w:r w:rsidR="00E740B2">
        <w:rPr>
          <w:rFonts w:ascii="Book Antiqua" w:hAnsi="Book Antiqua"/>
          <w:bCs/>
          <w:sz w:val="24"/>
          <w:szCs w:val="24"/>
        </w:rPr>
        <w:t xml:space="preserve">) </w:t>
      </w:r>
      <w:r w:rsidRPr="003B1108">
        <w:rPr>
          <w:rFonts w:ascii="Book Antiqua" w:hAnsi="Book Antiqua"/>
          <w:bCs/>
          <w:sz w:val="24"/>
          <w:szCs w:val="24"/>
        </w:rPr>
        <w:t>using a regimen of SOF-</w:t>
      </w:r>
      <w:proofErr w:type="spellStart"/>
      <w:r w:rsidRPr="003B1108">
        <w:rPr>
          <w:rFonts w:ascii="Book Antiqua" w:hAnsi="Book Antiqua"/>
          <w:bCs/>
          <w:sz w:val="24"/>
          <w:szCs w:val="24"/>
        </w:rPr>
        <w:t>velpatasvir</w:t>
      </w:r>
      <w:proofErr w:type="spellEnd"/>
      <w:r w:rsidRPr="003B1108">
        <w:rPr>
          <w:rFonts w:ascii="Book Antiqua" w:hAnsi="Book Antiqua"/>
          <w:bCs/>
          <w:sz w:val="24"/>
          <w:szCs w:val="24"/>
        </w:rPr>
        <w:t xml:space="preserve"> (VEL</w:t>
      </w:r>
      <w:proofErr w:type="gramStart"/>
      <w:r w:rsidRPr="003B1108">
        <w:rPr>
          <w:rFonts w:ascii="Book Antiqua" w:hAnsi="Book Antiqua"/>
          <w:bCs/>
          <w:sz w:val="24"/>
          <w:szCs w:val="24"/>
        </w:rPr>
        <w:t>)</w:t>
      </w:r>
      <w:r w:rsidRPr="003B1108">
        <w:rPr>
          <w:rFonts w:ascii="Book Antiqua" w:hAnsi="Book Antiqua"/>
          <w:bCs/>
          <w:sz w:val="24"/>
          <w:szCs w:val="24"/>
          <w:vertAlign w:val="superscript"/>
        </w:rPr>
        <w:t>[</w:t>
      </w:r>
      <w:proofErr w:type="gramEnd"/>
      <w:r w:rsidRPr="003B1108">
        <w:rPr>
          <w:rFonts w:ascii="Book Antiqua" w:hAnsi="Book Antiqua"/>
          <w:bCs/>
          <w:sz w:val="24"/>
          <w:szCs w:val="24"/>
          <w:vertAlign w:val="superscript"/>
        </w:rPr>
        <w:t>13]</w:t>
      </w:r>
      <w:r w:rsidRPr="003B1108">
        <w:rPr>
          <w:rFonts w:ascii="Book Antiqua" w:hAnsi="Book Antiqua"/>
          <w:bCs/>
          <w:sz w:val="24"/>
          <w:szCs w:val="24"/>
        </w:rPr>
        <w:t xml:space="preserve">. In patients </w:t>
      </w:r>
      <w:r w:rsidR="00E740B2">
        <w:rPr>
          <w:rFonts w:ascii="Book Antiqua" w:hAnsi="Book Antiqua"/>
          <w:bCs/>
          <w:sz w:val="24"/>
          <w:szCs w:val="24"/>
        </w:rPr>
        <w:t xml:space="preserve">infected </w:t>
      </w:r>
      <w:r w:rsidRPr="003B1108">
        <w:rPr>
          <w:rFonts w:ascii="Book Antiqua" w:hAnsi="Book Antiqua"/>
          <w:bCs/>
          <w:sz w:val="24"/>
          <w:szCs w:val="24"/>
        </w:rPr>
        <w:t xml:space="preserve">with genotype 3, the ALLY-3 trial showed that patients treated with a regimen of daclatasvir </w:t>
      </w:r>
      <w:r w:rsidR="00D560AB" w:rsidRPr="003B1108">
        <w:rPr>
          <w:rFonts w:ascii="Book Antiqua" w:hAnsi="Book Antiqua"/>
          <w:bCs/>
          <w:sz w:val="24"/>
          <w:szCs w:val="24"/>
        </w:rPr>
        <w:t>and</w:t>
      </w:r>
      <w:r w:rsidRPr="003B1108">
        <w:rPr>
          <w:rFonts w:ascii="Book Antiqua" w:hAnsi="Book Antiqua"/>
          <w:bCs/>
          <w:sz w:val="24"/>
          <w:szCs w:val="24"/>
        </w:rPr>
        <w:t xml:space="preserve"> SOF achieved SVR rates of 63% and 96%, with and without cirrhosis, </w:t>
      </w:r>
      <w:proofErr w:type="gramStart"/>
      <w:r w:rsidRPr="003B1108">
        <w:rPr>
          <w:rFonts w:ascii="Book Antiqua" w:hAnsi="Book Antiqua"/>
          <w:bCs/>
          <w:sz w:val="24"/>
          <w:szCs w:val="24"/>
        </w:rPr>
        <w:t>respectively</w:t>
      </w:r>
      <w:r w:rsidRPr="003B1108">
        <w:rPr>
          <w:rFonts w:ascii="Book Antiqua" w:hAnsi="Book Antiqua"/>
          <w:bCs/>
          <w:sz w:val="24"/>
          <w:szCs w:val="24"/>
          <w:vertAlign w:val="superscript"/>
        </w:rPr>
        <w:t>[</w:t>
      </w:r>
      <w:proofErr w:type="gramEnd"/>
      <w:r w:rsidRPr="003B1108">
        <w:rPr>
          <w:rFonts w:ascii="Book Antiqua" w:hAnsi="Book Antiqua"/>
          <w:bCs/>
          <w:sz w:val="24"/>
          <w:szCs w:val="24"/>
          <w:vertAlign w:val="superscript"/>
        </w:rPr>
        <w:t>14]</w:t>
      </w:r>
      <w:r w:rsidRPr="003B1108">
        <w:rPr>
          <w:rFonts w:ascii="Book Antiqua" w:hAnsi="Book Antiqua"/>
          <w:bCs/>
          <w:sz w:val="24"/>
          <w:szCs w:val="24"/>
        </w:rPr>
        <w:t>.</w:t>
      </w:r>
    </w:p>
    <w:p w14:paraId="6D3B3EC2" w14:textId="3FCC48CF" w:rsidR="00473A31" w:rsidRPr="003B1108" w:rsidRDefault="00E740B2" w:rsidP="003B1108">
      <w:pPr>
        <w:adjustRightInd w:val="0"/>
        <w:snapToGrid w:val="0"/>
        <w:spacing w:line="360" w:lineRule="auto"/>
        <w:ind w:firstLineChars="100" w:firstLine="240"/>
        <w:rPr>
          <w:rFonts w:ascii="Book Antiqua" w:hAnsi="Book Antiqua"/>
          <w:bCs/>
          <w:sz w:val="24"/>
          <w:szCs w:val="24"/>
        </w:rPr>
      </w:pPr>
      <w:r>
        <w:rPr>
          <w:rFonts w:ascii="Book Antiqua" w:hAnsi="Book Antiqua"/>
          <w:bCs/>
          <w:sz w:val="24"/>
          <w:szCs w:val="24"/>
        </w:rPr>
        <w:t>Alt</w:t>
      </w:r>
      <w:r w:rsidRPr="003B1108">
        <w:rPr>
          <w:rFonts w:ascii="Book Antiqua" w:hAnsi="Book Antiqua"/>
          <w:bCs/>
          <w:sz w:val="24"/>
          <w:szCs w:val="24"/>
        </w:rPr>
        <w:t xml:space="preserve">hough </w:t>
      </w:r>
      <w:r w:rsidR="001A7198" w:rsidRPr="003B1108">
        <w:rPr>
          <w:rFonts w:ascii="Book Antiqua" w:hAnsi="Book Antiqua"/>
          <w:bCs/>
          <w:sz w:val="24"/>
          <w:szCs w:val="24"/>
        </w:rPr>
        <w:t xml:space="preserve">high rates of SVR have been shown, results derived from </w:t>
      </w:r>
      <w:r w:rsidR="001A7198" w:rsidRPr="003B1108">
        <w:rPr>
          <w:rFonts w:ascii="Book Antiqua" w:hAnsi="Book Antiqua"/>
          <w:bCs/>
          <w:sz w:val="24"/>
          <w:szCs w:val="24"/>
        </w:rPr>
        <w:lastRenderedPageBreak/>
        <w:t xml:space="preserve">controlled settings may not be </w:t>
      </w:r>
      <w:r w:rsidR="00951177" w:rsidRPr="003B1108">
        <w:rPr>
          <w:rFonts w:ascii="Book Antiqua" w:hAnsi="Book Antiqua"/>
          <w:bCs/>
          <w:sz w:val="24"/>
          <w:szCs w:val="24"/>
        </w:rPr>
        <w:t>representative</w:t>
      </w:r>
      <w:r w:rsidR="001A7198" w:rsidRPr="003B1108">
        <w:rPr>
          <w:rFonts w:ascii="Book Antiqua" w:hAnsi="Book Antiqua"/>
          <w:bCs/>
          <w:sz w:val="24"/>
          <w:szCs w:val="24"/>
        </w:rPr>
        <w:t xml:space="preserve"> to the real world. Also, data gathered from different races is insufficient. Therefore, evaluations of drugs in real-world settings are critical, </w:t>
      </w:r>
      <w:r w:rsidR="008009DC" w:rsidRPr="003B1108">
        <w:rPr>
          <w:rFonts w:ascii="Book Antiqua" w:hAnsi="Book Antiqua"/>
          <w:bCs/>
          <w:sz w:val="24"/>
          <w:szCs w:val="24"/>
        </w:rPr>
        <w:t>especially</w:t>
      </w:r>
      <w:r w:rsidR="001A7198" w:rsidRPr="003B1108">
        <w:rPr>
          <w:rFonts w:ascii="Book Antiqua" w:hAnsi="Book Antiqua"/>
          <w:bCs/>
          <w:sz w:val="24"/>
          <w:szCs w:val="24"/>
        </w:rPr>
        <w:t xml:space="preserve"> in patients such as those from northwest China, where clinical trial data is limited.</w:t>
      </w:r>
    </w:p>
    <w:p w14:paraId="370168D9" w14:textId="77777777" w:rsidR="001A7198" w:rsidRPr="003B1108" w:rsidRDefault="001A7198" w:rsidP="003B1108">
      <w:pPr>
        <w:adjustRightInd w:val="0"/>
        <w:snapToGrid w:val="0"/>
        <w:spacing w:line="360" w:lineRule="auto"/>
        <w:rPr>
          <w:rFonts w:ascii="Book Antiqua" w:hAnsi="Book Antiqua"/>
          <w:bCs/>
          <w:sz w:val="24"/>
          <w:szCs w:val="24"/>
        </w:rPr>
      </w:pPr>
    </w:p>
    <w:p w14:paraId="4356729F" w14:textId="3E2D6588" w:rsidR="00C9527A" w:rsidRPr="003B1108" w:rsidRDefault="00C9527A" w:rsidP="003B1108">
      <w:pPr>
        <w:adjustRightInd w:val="0"/>
        <w:snapToGrid w:val="0"/>
        <w:spacing w:line="360" w:lineRule="auto"/>
        <w:rPr>
          <w:rFonts w:ascii="Book Antiqua" w:hAnsi="Book Antiqua"/>
          <w:b/>
          <w:sz w:val="24"/>
          <w:szCs w:val="24"/>
        </w:rPr>
      </w:pPr>
      <w:r w:rsidRPr="003B1108">
        <w:rPr>
          <w:rFonts w:ascii="Book Antiqua" w:hAnsi="Book Antiqua"/>
          <w:b/>
          <w:sz w:val="24"/>
          <w:szCs w:val="24"/>
        </w:rPr>
        <w:t>MATERIALS AND METHODS</w:t>
      </w:r>
    </w:p>
    <w:p w14:paraId="6E9CEE6A" w14:textId="1A4962FA" w:rsidR="00C9527A" w:rsidRPr="003B1108" w:rsidRDefault="005D5E43" w:rsidP="003B1108">
      <w:pPr>
        <w:adjustRightInd w:val="0"/>
        <w:snapToGrid w:val="0"/>
        <w:spacing w:line="360" w:lineRule="auto"/>
        <w:rPr>
          <w:rFonts w:ascii="Book Antiqua" w:hAnsi="Book Antiqua"/>
          <w:bCs/>
          <w:sz w:val="24"/>
          <w:szCs w:val="24"/>
        </w:rPr>
      </w:pPr>
      <w:r w:rsidRPr="003B1108">
        <w:rPr>
          <w:rFonts w:ascii="Book Antiqua" w:hAnsi="Book Antiqua"/>
          <w:bCs/>
          <w:sz w:val="24"/>
          <w:szCs w:val="24"/>
        </w:rPr>
        <w:t xml:space="preserve">Our study was a single center, prospective, observational study. Prospective patients were identified by a search of the clinical records </w:t>
      </w:r>
      <w:r w:rsidR="00E740B2">
        <w:rPr>
          <w:rFonts w:ascii="Book Antiqua" w:hAnsi="Book Antiqua"/>
          <w:bCs/>
          <w:sz w:val="24"/>
          <w:szCs w:val="24"/>
        </w:rPr>
        <w:t>at</w:t>
      </w:r>
      <w:r w:rsidR="00E740B2" w:rsidRPr="003B1108">
        <w:rPr>
          <w:rFonts w:ascii="Book Antiqua" w:hAnsi="Book Antiqua"/>
          <w:bCs/>
          <w:sz w:val="24"/>
          <w:szCs w:val="24"/>
        </w:rPr>
        <w:t xml:space="preserve"> </w:t>
      </w:r>
      <w:r w:rsidRPr="003B1108">
        <w:rPr>
          <w:rFonts w:ascii="Book Antiqua" w:hAnsi="Book Antiqua"/>
          <w:bCs/>
          <w:sz w:val="24"/>
          <w:szCs w:val="24"/>
        </w:rPr>
        <w:t xml:space="preserve">the Department of Infectious Diseases </w:t>
      </w:r>
      <w:r w:rsidR="00E740B2">
        <w:rPr>
          <w:rFonts w:ascii="Book Antiqua" w:hAnsi="Book Antiqua"/>
          <w:bCs/>
          <w:sz w:val="24"/>
          <w:szCs w:val="24"/>
        </w:rPr>
        <w:t>of</w:t>
      </w:r>
      <w:r w:rsidR="00E740B2" w:rsidRPr="003B1108">
        <w:rPr>
          <w:rFonts w:ascii="Book Antiqua" w:hAnsi="Book Antiqua"/>
          <w:bCs/>
          <w:sz w:val="24"/>
          <w:szCs w:val="24"/>
        </w:rPr>
        <w:t xml:space="preserve"> </w:t>
      </w:r>
      <w:r w:rsidRPr="003B1108">
        <w:rPr>
          <w:rFonts w:ascii="Book Antiqua" w:hAnsi="Book Antiqua"/>
          <w:bCs/>
          <w:sz w:val="24"/>
          <w:szCs w:val="24"/>
        </w:rPr>
        <w:t>the Second Affiliated Hospital of Xi'</w:t>
      </w:r>
      <w:r w:rsidR="00F549B2" w:rsidRPr="003B1108">
        <w:rPr>
          <w:rFonts w:ascii="Book Antiqua" w:hAnsi="Book Antiqua"/>
          <w:bCs/>
          <w:sz w:val="24"/>
          <w:szCs w:val="24"/>
        </w:rPr>
        <w:t>a</w:t>
      </w:r>
      <w:r w:rsidRPr="003B1108">
        <w:rPr>
          <w:rFonts w:ascii="Book Antiqua" w:hAnsi="Book Antiqua"/>
          <w:bCs/>
          <w:sz w:val="24"/>
          <w:szCs w:val="24"/>
        </w:rPr>
        <w:t xml:space="preserve">n </w:t>
      </w:r>
      <w:proofErr w:type="spellStart"/>
      <w:r w:rsidRPr="003B1108">
        <w:rPr>
          <w:rFonts w:ascii="Book Antiqua" w:hAnsi="Book Antiqua"/>
          <w:bCs/>
          <w:sz w:val="24"/>
          <w:szCs w:val="24"/>
        </w:rPr>
        <w:t>Jiaotong</w:t>
      </w:r>
      <w:proofErr w:type="spellEnd"/>
      <w:r w:rsidRPr="003B1108">
        <w:rPr>
          <w:rFonts w:ascii="Book Antiqua" w:hAnsi="Book Antiqua"/>
          <w:bCs/>
          <w:sz w:val="24"/>
          <w:szCs w:val="24"/>
        </w:rPr>
        <w:t xml:space="preserve"> University, in order to evaluate the treatment outcomes in a real-world cohort of patients </w:t>
      </w:r>
      <w:r w:rsidR="00E740B2">
        <w:rPr>
          <w:rFonts w:ascii="Book Antiqua" w:hAnsi="Book Antiqua"/>
          <w:bCs/>
          <w:sz w:val="24"/>
          <w:szCs w:val="24"/>
        </w:rPr>
        <w:t xml:space="preserve">infected </w:t>
      </w:r>
      <w:r w:rsidRPr="003B1108">
        <w:rPr>
          <w:rFonts w:ascii="Book Antiqua" w:hAnsi="Book Antiqua"/>
          <w:bCs/>
          <w:sz w:val="24"/>
          <w:szCs w:val="24"/>
        </w:rPr>
        <w:t>with HCV genotypes 1, 2 and 3 who were evaluated between May 2015 and December 2018.</w:t>
      </w:r>
    </w:p>
    <w:p w14:paraId="7A08CA0E" w14:textId="77777777" w:rsidR="005D5E43" w:rsidRPr="003B1108" w:rsidRDefault="005D5E43" w:rsidP="003B1108">
      <w:pPr>
        <w:adjustRightInd w:val="0"/>
        <w:snapToGrid w:val="0"/>
        <w:spacing w:line="360" w:lineRule="auto"/>
        <w:rPr>
          <w:rFonts w:ascii="Book Antiqua" w:hAnsi="Book Antiqua"/>
          <w:bCs/>
          <w:sz w:val="24"/>
          <w:szCs w:val="24"/>
        </w:rPr>
      </w:pPr>
    </w:p>
    <w:p w14:paraId="056F8C3F" w14:textId="3CC4B58E" w:rsidR="00C9527A" w:rsidRPr="003B1108" w:rsidRDefault="00C9527A" w:rsidP="003B1108">
      <w:pPr>
        <w:adjustRightInd w:val="0"/>
        <w:snapToGrid w:val="0"/>
        <w:spacing w:line="360" w:lineRule="auto"/>
        <w:rPr>
          <w:rFonts w:ascii="Book Antiqua" w:hAnsi="Book Antiqua"/>
          <w:b/>
          <w:i/>
          <w:iCs/>
          <w:sz w:val="24"/>
          <w:szCs w:val="24"/>
        </w:rPr>
      </w:pPr>
      <w:r w:rsidRPr="003B1108">
        <w:rPr>
          <w:rFonts w:ascii="Book Antiqua" w:hAnsi="Book Antiqua"/>
          <w:b/>
          <w:i/>
          <w:iCs/>
          <w:sz w:val="24"/>
          <w:szCs w:val="24"/>
        </w:rPr>
        <w:t xml:space="preserve">Patients and </w:t>
      </w:r>
      <w:r w:rsidR="00552F81" w:rsidRPr="003B1108">
        <w:rPr>
          <w:rFonts w:ascii="Book Antiqua" w:hAnsi="Book Antiqua"/>
          <w:b/>
          <w:i/>
          <w:iCs/>
          <w:sz w:val="24"/>
          <w:szCs w:val="24"/>
        </w:rPr>
        <w:t>t</w:t>
      </w:r>
      <w:r w:rsidRPr="003B1108">
        <w:rPr>
          <w:rFonts w:ascii="Book Antiqua" w:hAnsi="Book Antiqua"/>
          <w:b/>
          <w:i/>
          <w:iCs/>
          <w:sz w:val="24"/>
          <w:szCs w:val="24"/>
        </w:rPr>
        <w:t>reatment</w:t>
      </w:r>
    </w:p>
    <w:p w14:paraId="017D4E7C" w14:textId="0C66C86C" w:rsidR="00FC65F4" w:rsidRPr="003B1108" w:rsidRDefault="00FC65F4" w:rsidP="003B1108">
      <w:pPr>
        <w:adjustRightInd w:val="0"/>
        <w:snapToGrid w:val="0"/>
        <w:spacing w:line="360" w:lineRule="auto"/>
        <w:rPr>
          <w:rFonts w:ascii="Book Antiqua" w:hAnsi="Book Antiqua"/>
          <w:bCs/>
          <w:sz w:val="24"/>
          <w:szCs w:val="24"/>
        </w:rPr>
      </w:pPr>
      <w:r w:rsidRPr="003B1108">
        <w:rPr>
          <w:rFonts w:ascii="Book Antiqua" w:hAnsi="Book Antiqua"/>
          <w:bCs/>
          <w:sz w:val="24"/>
          <w:szCs w:val="24"/>
        </w:rPr>
        <w:t>All the patients who had been diagnosed as having a chronic HCV infection (positive anti-HCV antibody</w:t>
      </w:r>
      <w:r w:rsidRPr="003B1108">
        <w:rPr>
          <w:rFonts w:ascii="Times New Roman" w:hAnsi="Times New Roman"/>
          <w:bCs/>
          <w:sz w:val="24"/>
          <w:szCs w:val="24"/>
        </w:rPr>
        <w:t> </w:t>
      </w:r>
      <w:r w:rsidRPr="003B1108">
        <w:rPr>
          <w:rFonts w:ascii="Book Antiqua" w:hAnsi="Book Antiqua"/>
          <w:bCs/>
          <w:sz w:val="24"/>
          <w:szCs w:val="24"/>
        </w:rPr>
        <w:t>for greater than</w:t>
      </w:r>
      <w:r w:rsidRPr="003B1108">
        <w:rPr>
          <w:rFonts w:ascii="Times New Roman" w:hAnsi="Times New Roman"/>
          <w:bCs/>
          <w:sz w:val="24"/>
          <w:szCs w:val="24"/>
        </w:rPr>
        <w:t> </w:t>
      </w:r>
      <w:r w:rsidRPr="003B1108">
        <w:rPr>
          <w:rFonts w:ascii="Book Antiqua" w:hAnsi="Book Antiqua"/>
          <w:bCs/>
          <w:sz w:val="24"/>
          <w:szCs w:val="24"/>
        </w:rPr>
        <w:t>six months with detectable HCV RNA), with or without cirrhosis, including those who were treatment na</w:t>
      </w:r>
      <w:r w:rsidRPr="003B1108">
        <w:rPr>
          <w:rFonts w:ascii="Book Antiqua" w:hAnsi="Book Antiqua" w:cs="Book Antiqua"/>
          <w:bCs/>
          <w:sz w:val="24"/>
          <w:szCs w:val="24"/>
        </w:rPr>
        <w:t>ï</w:t>
      </w:r>
      <w:r w:rsidRPr="003B1108">
        <w:rPr>
          <w:rFonts w:ascii="Book Antiqua" w:hAnsi="Book Antiqua"/>
          <w:bCs/>
          <w:sz w:val="24"/>
          <w:szCs w:val="24"/>
        </w:rPr>
        <w:t>ve or had previously been exposed to interferon or direct-acting antiviral therapy, were included in our study. Patients who had co-infections with hepatitis B</w:t>
      </w:r>
      <w:r w:rsidR="00CD452E" w:rsidRPr="003B1108">
        <w:rPr>
          <w:rFonts w:ascii="Book Antiqua" w:hAnsi="Book Antiqua"/>
          <w:bCs/>
          <w:sz w:val="24"/>
          <w:szCs w:val="24"/>
        </w:rPr>
        <w:t xml:space="preserve"> virus</w:t>
      </w:r>
      <w:r w:rsidRPr="003B1108">
        <w:rPr>
          <w:rFonts w:ascii="Book Antiqua" w:hAnsi="Book Antiqua"/>
          <w:bCs/>
          <w:sz w:val="24"/>
          <w:szCs w:val="24"/>
        </w:rPr>
        <w:t xml:space="preserve"> (HBV) were also included. Patients </w:t>
      </w:r>
      <w:r w:rsidR="0070558F">
        <w:rPr>
          <w:rFonts w:ascii="Book Antiqua" w:hAnsi="Book Antiqua"/>
          <w:bCs/>
          <w:sz w:val="24"/>
          <w:szCs w:val="24"/>
        </w:rPr>
        <w:t>meeting</w:t>
      </w:r>
      <w:r w:rsidR="0070558F" w:rsidRPr="003B1108">
        <w:rPr>
          <w:rFonts w:ascii="Book Antiqua" w:hAnsi="Book Antiqua"/>
          <w:bCs/>
          <w:sz w:val="24"/>
          <w:szCs w:val="24"/>
        </w:rPr>
        <w:t xml:space="preserve"> </w:t>
      </w:r>
      <w:r w:rsidRPr="003B1108">
        <w:rPr>
          <w:rFonts w:ascii="Book Antiqua" w:hAnsi="Book Antiqua"/>
          <w:bCs/>
          <w:sz w:val="24"/>
          <w:szCs w:val="24"/>
        </w:rPr>
        <w:t xml:space="preserve">the following criteria were excluded: </w:t>
      </w:r>
      <w:bookmarkStart w:id="47" w:name="_Hlk24118642"/>
      <w:r w:rsidR="00552F81" w:rsidRPr="003B1108">
        <w:rPr>
          <w:rFonts w:ascii="Book Antiqua" w:hAnsi="Book Antiqua"/>
          <w:bCs/>
          <w:sz w:val="24"/>
          <w:szCs w:val="24"/>
        </w:rPr>
        <w:t>H</w:t>
      </w:r>
      <w:r w:rsidRPr="003B1108">
        <w:rPr>
          <w:rFonts w:ascii="Book Antiqua" w:hAnsi="Book Antiqua"/>
          <w:bCs/>
          <w:sz w:val="24"/>
          <w:szCs w:val="24"/>
        </w:rPr>
        <w:t>uman immunodeficiency virus</w:t>
      </w:r>
      <w:bookmarkEnd w:id="47"/>
      <w:r w:rsidRPr="003B1108">
        <w:rPr>
          <w:rFonts w:ascii="Book Antiqua" w:hAnsi="Book Antiqua"/>
          <w:bCs/>
          <w:sz w:val="24"/>
          <w:szCs w:val="24"/>
        </w:rPr>
        <w:t xml:space="preserve"> co-infection, pregnant and lactating female patients, male patients with fertility willingness, patients under the age of 18, those with chronic kidney disease, and those with advanced liver disease (Child-Pugh C). All the patients clearly understood the potential benefits and risks and were willing to receive antiviral treatment. All the patients voluntarily joined this study after giving informed consent.</w:t>
      </w:r>
    </w:p>
    <w:p w14:paraId="5E2C2E0D" w14:textId="5E23822B" w:rsidR="00C9527A" w:rsidRPr="003B1108" w:rsidRDefault="00FC65F4" w:rsidP="003B1108">
      <w:pPr>
        <w:adjustRightInd w:val="0"/>
        <w:snapToGrid w:val="0"/>
        <w:spacing w:line="360" w:lineRule="auto"/>
        <w:ind w:firstLineChars="100" w:firstLine="240"/>
        <w:rPr>
          <w:rFonts w:ascii="Book Antiqua" w:hAnsi="Book Antiqua"/>
          <w:bCs/>
          <w:sz w:val="24"/>
          <w:szCs w:val="24"/>
        </w:rPr>
      </w:pPr>
      <w:r w:rsidRPr="003B1108">
        <w:rPr>
          <w:rFonts w:ascii="Book Antiqua" w:hAnsi="Book Antiqua"/>
          <w:bCs/>
          <w:sz w:val="24"/>
          <w:szCs w:val="24"/>
        </w:rPr>
        <w:t>The treatment</w:t>
      </w:r>
      <w:r w:rsidR="0070558F">
        <w:rPr>
          <w:rFonts w:ascii="Book Antiqua" w:hAnsi="Book Antiqua"/>
          <w:bCs/>
          <w:sz w:val="24"/>
          <w:szCs w:val="24"/>
        </w:rPr>
        <w:t xml:space="preserve"> </w:t>
      </w:r>
      <w:r w:rsidRPr="003B1108">
        <w:rPr>
          <w:rFonts w:ascii="Book Antiqua" w:hAnsi="Book Antiqua"/>
          <w:bCs/>
          <w:sz w:val="24"/>
          <w:szCs w:val="24"/>
        </w:rPr>
        <w:t>regime</w:t>
      </w:r>
      <w:r w:rsidR="0070558F">
        <w:rPr>
          <w:rFonts w:ascii="Book Antiqua" w:hAnsi="Book Antiqua"/>
          <w:bCs/>
          <w:sz w:val="24"/>
          <w:szCs w:val="24"/>
        </w:rPr>
        <w:t>n</w:t>
      </w:r>
      <w:r w:rsidRPr="003B1108">
        <w:rPr>
          <w:rFonts w:ascii="Book Antiqua" w:hAnsi="Book Antiqua"/>
          <w:bCs/>
          <w:sz w:val="24"/>
          <w:szCs w:val="24"/>
        </w:rPr>
        <w:t>s used are in accordance with the European Association of Study of the Liver guidelines (2015) and are summarized in Table 1. Before the treatment, the patients were informed about the potential drug-drug interactions (DDIs) and were advised to consult pharmacists before starting any new treatment.</w:t>
      </w:r>
    </w:p>
    <w:p w14:paraId="5D18101F" w14:textId="77777777" w:rsidR="008C2804" w:rsidRPr="003B1108" w:rsidRDefault="008C2804" w:rsidP="003B1108">
      <w:pPr>
        <w:adjustRightInd w:val="0"/>
        <w:snapToGrid w:val="0"/>
        <w:spacing w:line="360" w:lineRule="auto"/>
        <w:ind w:firstLineChars="100" w:firstLine="240"/>
        <w:rPr>
          <w:rFonts w:ascii="Book Antiqua" w:hAnsi="Book Antiqua"/>
          <w:bCs/>
          <w:sz w:val="24"/>
          <w:szCs w:val="24"/>
        </w:rPr>
      </w:pPr>
    </w:p>
    <w:p w14:paraId="05B51A5B" w14:textId="0E91181C" w:rsidR="00C9527A" w:rsidRPr="003B1108" w:rsidRDefault="00C9527A" w:rsidP="003B1108">
      <w:pPr>
        <w:adjustRightInd w:val="0"/>
        <w:snapToGrid w:val="0"/>
        <w:spacing w:line="360" w:lineRule="auto"/>
        <w:rPr>
          <w:rFonts w:ascii="Book Antiqua" w:hAnsi="Book Antiqua"/>
          <w:b/>
          <w:i/>
          <w:iCs/>
          <w:sz w:val="24"/>
          <w:szCs w:val="24"/>
        </w:rPr>
      </w:pPr>
      <w:r w:rsidRPr="003B1108">
        <w:rPr>
          <w:rFonts w:ascii="Book Antiqua" w:hAnsi="Book Antiqua"/>
          <w:b/>
          <w:i/>
          <w:iCs/>
          <w:sz w:val="24"/>
          <w:szCs w:val="24"/>
        </w:rPr>
        <w:t>Measurements</w:t>
      </w:r>
    </w:p>
    <w:p w14:paraId="419D4F0E" w14:textId="2D3DCF18" w:rsidR="00D300A5" w:rsidRPr="003B1108" w:rsidRDefault="00D300A5" w:rsidP="003B1108">
      <w:pPr>
        <w:adjustRightInd w:val="0"/>
        <w:snapToGrid w:val="0"/>
        <w:spacing w:line="360" w:lineRule="auto"/>
        <w:rPr>
          <w:rFonts w:ascii="Book Antiqua" w:hAnsi="Book Antiqua"/>
          <w:bCs/>
          <w:sz w:val="24"/>
          <w:szCs w:val="24"/>
        </w:rPr>
      </w:pPr>
      <w:r w:rsidRPr="003B1108">
        <w:rPr>
          <w:rFonts w:ascii="Book Antiqua" w:hAnsi="Book Antiqua"/>
          <w:bCs/>
          <w:sz w:val="24"/>
          <w:szCs w:val="24"/>
        </w:rPr>
        <w:t>Each patient’s detailed medical history was recorded</w:t>
      </w:r>
      <w:r w:rsidR="00AD6129" w:rsidRPr="003B1108">
        <w:rPr>
          <w:rFonts w:ascii="Book Antiqua" w:hAnsi="Book Antiqua"/>
          <w:bCs/>
          <w:sz w:val="24"/>
          <w:szCs w:val="24"/>
        </w:rPr>
        <w:t>. C</w:t>
      </w:r>
      <w:r w:rsidRPr="003B1108">
        <w:rPr>
          <w:rFonts w:ascii="Book Antiqua" w:hAnsi="Book Antiqua"/>
          <w:bCs/>
          <w:sz w:val="24"/>
          <w:szCs w:val="24"/>
        </w:rPr>
        <w:t xml:space="preserve">linical examinations were performed on all patients. Baseline laboratory values were collected in all patients within </w:t>
      </w:r>
      <w:r w:rsidR="0070558F">
        <w:rPr>
          <w:rFonts w:ascii="Book Antiqua" w:hAnsi="Book Antiqua"/>
          <w:bCs/>
          <w:sz w:val="24"/>
          <w:szCs w:val="24"/>
        </w:rPr>
        <w:t>3</w:t>
      </w:r>
      <w:r w:rsidR="0070558F" w:rsidRPr="003B1108">
        <w:rPr>
          <w:rFonts w:ascii="Book Antiqua" w:hAnsi="Book Antiqua"/>
          <w:bCs/>
          <w:sz w:val="24"/>
          <w:szCs w:val="24"/>
        </w:rPr>
        <w:t xml:space="preserve"> </w:t>
      </w:r>
      <w:proofErr w:type="spellStart"/>
      <w:r w:rsidRPr="003B1108">
        <w:rPr>
          <w:rFonts w:ascii="Book Antiqua" w:hAnsi="Book Antiqua"/>
          <w:bCs/>
          <w:sz w:val="24"/>
          <w:szCs w:val="24"/>
        </w:rPr>
        <w:t>mo</w:t>
      </w:r>
      <w:proofErr w:type="spellEnd"/>
      <w:r w:rsidR="001D2613">
        <w:rPr>
          <w:rFonts w:ascii="Book Antiqua" w:hAnsi="Book Antiqua"/>
          <w:bCs/>
          <w:sz w:val="24"/>
          <w:szCs w:val="24"/>
        </w:rPr>
        <w:t xml:space="preserve"> </w:t>
      </w:r>
      <w:r w:rsidRPr="003B1108">
        <w:rPr>
          <w:rFonts w:ascii="Book Antiqua" w:hAnsi="Book Antiqua"/>
          <w:bCs/>
          <w:sz w:val="24"/>
          <w:szCs w:val="24"/>
        </w:rPr>
        <w:t xml:space="preserve">before starting treatment. The following data were recorded at the time of enrollment: </w:t>
      </w:r>
      <w:r w:rsidR="00552F81" w:rsidRPr="003B1108">
        <w:rPr>
          <w:rFonts w:ascii="Book Antiqua" w:hAnsi="Book Antiqua"/>
          <w:bCs/>
          <w:sz w:val="24"/>
          <w:szCs w:val="24"/>
        </w:rPr>
        <w:t>A</w:t>
      </w:r>
      <w:r w:rsidRPr="003B1108">
        <w:rPr>
          <w:rFonts w:ascii="Book Antiqua" w:hAnsi="Book Antiqua"/>
          <w:bCs/>
          <w:sz w:val="24"/>
          <w:szCs w:val="24"/>
        </w:rPr>
        <w:t>ge, gender, fibrosis stage, history of treatment, anti-HCV antibody (ELISCAN HCV; RFCL Limited, Dehradun, India), genotype (Abbott Molecular Inc., Des Plaines, IL, U</w:t>
      </w:r>
      <w:r w:rsidR="00DE2FDA" w:rsidRPr="003B1108">
        <w:rPr>
          <w:rFonts w:ascii="Book Antiqua" w:hAnsi="Book Antiqua"/>
          <w:bCs/>
          <w:sz w:val="24"/>
          <w:szCs w:val="24"/>
        </w:rPr>
        <w:t>nited States</w:t>
      </w:r>
      <w:r w:rsidRPr="003B1108">
        <w:rPr>
          <w:rFonts w:ascii="Book Antiqua" w:hAnsi="Book Antiqua"/>
          <w:bCs/>
          <w:sz w:val="24"/>
          <w:szCs w:val="24"/>
        </w:rPr>
        <w:t xml:space="preserve">), and any comorbidities, such as diabetes, HBV co-infection, hypertension and fatty liver disease. The baseline clinical chemistry results are shown in Table 2. HCV RNA was analyzed using COBAS TaqMan HCV Test 2.0 (Roche Diagnostics Corporation, Indianapolis, IN, </w:t>
      </w:r>
      <w:r w:rsidR="00DE2FDA" w:rsidRPr="003B1108">
        <w:rPr>
          <w:rFonts w:ascii="Book Antiqua" w:hAnsi="Book Antiqua"/>
          <w:bCs/>
          <w:sz w:val="24"/>
          <w:szCs w:val="24"/>
        </w:rPr>
        <w:t>United States</w:t>
      </w:r>
      <w:r w:rsidRPr="003B1108">
        <w:rPr>
          <w:rFonts w:ascii="Book Antiqua" w:hAnsi="Book Antiqua"/>
          <w:bCs/>
          <w:sz w:val="24"/>
          <w:szCs w:val="24"/>
        </w:rPr>
        <w:t xml:space="preserve">). </w:t>
      </w:r>
      <w:proofErr w:type="spellStart"/>
      <w:r w:rsidRPr="003B1108">
        <w:rPr>
          <w:rFonts w:ascii="Book Antiqua" w:hAnsi="Book Antiqua"/>
          <w:bCs/>
          <w:sz w:val="24"/>
          <w:szCs w:val="24"/>
        </w:rPr>
        <w:t>FibroScan</w:t>
      </w:r>
      <w:proofErr w:type="spellEnd"/>
      <w:r w:rsidRPr="003B1108">
        <w:rPr>
          <w:rFonts w:ascii="Book Antiqua" w:hAnsi="Book Antiqua"/>
          <w:bCs/>
          <w:sz w:val="24"/>
          <w:szCs w:val="24"/>
        </w:rPr>
        <w:t xml:space="preserve"> </w:t>
      </w:r>
      <w:proofErr w:type="spellStart"/>
      <w:r w:rsidRPr="003B1108">
        <w:rPr>
          <w:rFonts w:ascii="Book Antiqua" w:hAnsi="Book Antiqua"/>
          <w:bCs/>
          <w:sz w:val="24"/>
          <w:szCs w:val="24"/>
        </w:rPr>
        <w:t>transabdominal</w:t>
      </w:r>
      <w:proofErr w:type="spellEnd"/>
      <w:r w:rsidRPr="003B1108">
        <w:rPr>
          <w:rFonts w:ascii="Book Antiqua" w:hAnsi="Book Antiqua"/>
          <w:bCs/>
          <w:sz w:val="24"/>
          <w:szCs w:val="24"/>
        </w:rPr>
        <w:t xml:space="preserve"> ultrasound and abdominal computerized tomography were also performed on the patients. </w:t>
      </w:r>
      <w:r w:rsidRPr="00E538DF">
        <w:rPr>
          <w:rFonts w:ascii="Book Antiqua" w:hAnsi="Book Antiqua"/>
          <w:bCs/>
          <w:sz w:val="24"/>
          <w:szCs w:val="24"/>
        </w:rPr>
        <w:t xml:space="preserve">Liver stiffness value &gt; 12.5 </w:t>
      </w:r>
      <w:proofErr w:type="spellStart"/>
      <w:r w:rsidRPr="00E538DF">
        <w:rPr>
          <w:rFonts w:ascii="Book Antiqua" w:hAnsi="Book Antiqua"/>
          <w:bCs/>
          <w:sz w:val="24"/>
          <w:szCs w:val="24"/>
        </w:rPr>
        <w:t>kPa</w:t>
      </w:r>
      <w:proofErr w:type="spellEnd"/>
      <w:r w:rsidRPr="00E538DF">
        <w:rPr>
          <w:rFonts w:ascii="Book Antiqua" w:hAnsi="Book Antiqua"/>
          <w:bCs/>
          <w:sz w:val="24"/>
          <w:szCs w:val="24"/>
        </w:rPr>
        <w:t xml:space="preserve"> (</w:t>
      </w:r>
      <w:proofErr w:type="spellStart"/>
      <w:r w:rsidRPr="00E538DF">
        <w:rPr>
          <w:rFonts w:ascii="Book Antiqua" w:hAnsi="Book Antiqua"/>
          <w:bCs/>
          <w:sz w:val="24"/>
          <w:szCs w:val="24"/>
        </w:rPr>
        <w:t>FibroScan</w:t>
      </w:r>
      <w:proofErr w:type="spellEnd"/>
      <w:r w:rsidRPr="00E538DF">
        <w:rPr>
          <w:rFonts w:ascii="Book Antiqua" w:hAnsi="Book Antiqua"/>
          <w:bCs/>
          <w:sz w:val="24"/>
          <w:szCs w:val="24"/>
        </w:rPr>
        <w:t xml:space="preserve">®, </w:t>
      </w:r>
      <w:proofErr w:type="spellStart"/>
      <w:r w:rsidRPr="00E538DF">
        <w:rPr>
          <w:rFonts w:ascii="Book Antiqua" w:hAnsi="Book Antiqua"/>
          <w:bCs/>
          <w:sz w:val="24"/>
          <w:szCs w:val="24"/>
        </w:rPr>
        <w:t>Echosens</w:t>
      </w:r>
      <w:proofErr w:type="spellEnd"/>
      <w:r w:rsidRPr="00E538DF">
        <w:rPr>
          <w:rFonts w:ascii="Book Antiqua" w:hAnsi="Book Antiqua"/>
          <w:bCs/>
          <w:sz w:val="24"/>
          <w:szCs w:val="24"/>
        </w:rPr>
        <w:t>, France), clinical manifestations such as esophageal varices</w:t>
      </w:r>
      <w:r w:rsidR="00E538DF">
        <w:rPr>
          <w:rFonts w:ascii="Book Antiqua" w:hAnsi="Book Antiqua"/>
          <w:bCs/>
          <w:sz w:val="24"/>
          <w:szCs w:val="24"/>
        </w:rPr>
        <w:t xml:space="preserve"> and</w:t>
      </w:r>
      <w:r w:rsidR="00E538DF" w:rsidRPr="00E538DF">
        <w:rPr>
          <w:rFonts w:ascii="Book Antiqua" w:hAnsi="Book Antiqua"/>
          <w:bCs/>
          <w:sz w:val="24"/>
          <w:szCs w:val="24"/>
        </w:rPr>
        <w:t xml:space="preserve"> </w:t>
      </w:r>
      <w:r w:rsidRPr="00E538DF">
        <w:rPr>
          <w:rFonts w:ascii="Book Antiqua" w:hAnsi="Book Antiqua"/>
          <w:bCs/>
          <w:sz w:val="24"/>
          <w:szCs w:val="24"/>
        </w:rPr>
        <w:t>ascites</w:t>
      </w:r>
      <w:r w:rsidR="00E538DF">
        <w:rPr>
          <w:rFonts w:ascii="Book Antiqua" w:hAnsi="Book Antiqua"/>
          <w:bCs/>
          <w:sz w:val="24"/>
          <w:szCs w:val="24"/>
        </w:rPr>
        <w:t xml:space="preserve"> or </w:t>
      </w:r>
      <w:r w:rsidRPr="00E538DF">
        <w:rPr>
          <w:rFonts w:ascii="Book Antiqua" w:hAnsi="Book Antiqua"/>
          <w:bCs/>
          <w:sz w:val="24"/>
          <w:szCs w:val="24"/>
        </w:rPr>
        <w:t>distinct sonographic signs of portal hypertension indicate</w:t>
      </w:r>
      <w:r w:rsidR="00E538DF">
        <w:rPr>
          <w:rFonts w:ascii="Book Antiqua" w:hAnsi="Book Antiqua"/>
          <w:bCs/>
          <w:sz w:val="24"/>
          <w:szCs w:val="24"/>
        </w:rPr>
        <w:t>d</w:t>
      </w:r>
      <w:r w:rsidRPr="00E538DF">
        <w:rPr>
          <w:rFonts w:ascii="Book Antiqua" w:hAnsi="Book Antiqua"/>
          <w:bCs/>
          <w:sz w:val="24"/>
          <w:szCs w:val="24"/>
        </w:rPr>
        <w:t xml:space="preserve"> cirrhosis</w:t>
      </w:r>
      <w:r w:rsidRPr="003B1108">
        <w:rPr>
          <w:rFonts w:ascii="Book Antiqua" w:hAnsi="Book Antiqua"/>
          <w:bCs/>
          <w:sz w:val="24"/>
          <w:szCs w:val="24"/>
        </w:rPr>
        <w:t>.</w:t>
      </w:r>
    </w:p>
    <w:p w14:paraId="6F5698DA" w14:textId="287189C0" w:rsidR="00C9527A" w:rsidRPr="003B1108" w:rsidRDefault="00D300A5" w:rsidP="003B1108">
      <w:pPr>
        <w:adjustRightInd w:val="0"/>
        <w:snapToGrid w:val="0"/>
        <w:spacing w:line="360" w:lineRule="auto"/>
        <w:ind w:firstLineChars="100" w:firstLine="240"/>
        <w:rPr>
          <w:rFonts w:ascii="Book Antiqua" w:hAnsi="Book Antiqua"/>
          <w:bCs/>
          <w:sz w:val="24"/>
          <w:szCs w:val="24"/>
        </w:rPr>
      </w:pPr>
      <w:r w:rsidRPr="003B1108">
        <w:rPr>
          <w:rFonts w:ascii="Book Antiqua" w:hAnsi="Book Antiqua"/>
          <w:bCs/>
          <w:sz w:val="24"/>
          <w:szCs w:val="24"/>
        </w:rPr>
        <w:t>This study was approved by the Ethics Committee of the Second Affiliated Hospital of Xi'</w:t>
      </w:r>
      <w:r w:rsidR="00F549B2" w:rsidRPr="003B1108">
        <w:rPr>
          <w:rFonts w:ascii="Book Antiqua" w:hAnsi="Book Antiqua"/>
          <w:bCs/>
          <w:sz w:val="24"/>
          <w:szCs w:val="24"/>
        </w:rPr>
        <w:t>a</w:t>
      </w:r>
      <w:r w:rsidRPr="003B1108">
        <w:rPr>
          <w:rFonts w:ascii="Book Antiqua" w:hAnsi="Book Antiqua"/>
          <w:bCs/>
          <w:sz w:val="24"/>
          <w:szCs w:val="24"/>
        </w:rPr>
        <w:t xml:space="preserve">n </w:t>
      </w:r>
      <w:proofErr w:type="spellStart"/>
      <w:r w:rsidRPr="003B1108">
        <w:rPr>
          <w:rFonts w:ascii="Book Antiqua" w:hAnsi="Book Antiqua"/>
          <w:bCs/>
          <w:sz w:val="24"/>
          <w:szCs w:val="24"/>
        </w:rPr>
        <w:t>Jiaotong</w:t>
      </w:r>
      <w:proofErr w:type="spellEnd"/>
      <w:r w:rsidRPr="003B1108">
        <w:rPr>
          <w:rFonts w:ascii="Book Antiqua" w:hAnsi="Book Antiqua"/>
          <w:bCs/>
          <w:sz w:val="24"/>
          <w:szCs w:val="24"/>
        </w:rPr>
        <w:t xml:space="preserve"> University.</w:t>
      </w:r>
    </w:p>
    <w:p w14:paraId="39345F07" w14:textId="77777777" w:rsidR="00D300A5" w:rsidRPr="003B1108" w:rsidRDefault="00D300A5" w:rsidP="003B1108">
      <w:pPr>
        <w:adjustRightInd w:val="0"/>
        <w:snapToGrid w:val="0"/>
        <w:spacing w:line="360" w:lineRule="auto"/>
        <w:rPr>
          <w:rFonts w:ascii="Book Antiqua" w:hAnsi="Book Antiqua"/>
          <w:bCs/>
          <w:sz w:val="24"/>
          <w:szCs w:val="24"/>
        </w:rPr>
      </w:pPr>
    </w:p>
    <w:p w14:paraId="7E79695B" w14:textId="33C6BA2C" w:rsidR="00C9527A" w:rsidRPr="003B1108" w:rsidRDefault="00C9527A" w:rsidP="003B1108">
      <w:pPr>
        <w:adjustRightInd w:val="0"/>
        <w:snapToGrid w:val="0"/>
        <w:spacing w:line="360" w:lineRule="auto"/>
        <w:rPr>
          <w:rFonts w:ascii="Book Antiqua" w:hAnsi="Book Antiqua"/>
          <w:b/>
          <w:i/>
          <w:iCs/>
          <w:sz w:val="24"/>
          <w:szCs w:val="24"/>
        </w:rPr>
      </w:pPr>
      <w:r w:rsidRPr="003B1108">
        <w:rPr>
          <w:rFonts w:ascii="Book Antiqua" w:hAnsi="Book Antiqua"/>
          <w:b/>
          <w:i/>
          <w:iCs/>
          <w:sz w:val="24"/>
          <w:szCs w:val="24"/>
        </w:rPr>
        <w:t xml:space="preserve">Efficacy </w:t>
      </w:r>
      <w:r w:rsidR="00DE2FDA" w:rsidRPr="003B1108">
        <w:rPr>
          <w:rFonts w:ascii="Book Antiqua" w:hAnsi="Book Antiqua"/>
          <w:b/>
          <w:i/>
          <w:iCs/>
          <w:sz w:val="24"/>
          <w:szCs w:val="24"/>
        </w:rPr>
        <w:t>a</w:t>
      </w:r>
      <w:r w:rsidRPr="003B1108">
        <w:rPr>
          <w:rFonts w:ascii="Book Antiqua" w:hAnsi="Book Antiqua"/>
          <w:b/>
          <w:i/>
          <w:iCs/>
          <w:sz w:val="24"/>
          <w:szCs w:val="24"/>
        </w:rPr>
        <w:t>ssessment</w:t>
      </w:r>
    </w:p>
    <w:p w14:paraId="7A3C12CB" w14:textId="373EA555" w:rsidR="00C9527A" w:rsidRPr="003B1108" w:rsidRDefault="007B3A60" w:rsidP="003B1108">
      <w:pPr>
        <w:adjustRightInd w:val="0"/>
        <w:snapToGrid w:val="0"/>
        <w:spacing w:line="360" w:lineRule="auto"/>
        <w:rPr>
          <w:rFonts w:ascii="Book Antiqua" w:hAnsi="Book Antiqua"/>
          <w:bCs/>
          <w:sz w:val="24"/>
          <w:szCs w:val="24"/>
        </w:rPr>
      </w:pPr>
      <w:r w:rsidRPr="003B1108">
        <w:rPr>
          <w:rFonts w:ascii="Book Antiqua" w:hAnsi="Book Antiqua"/>
          <w:bCs/>
          <w:sz w:val="24"/>
          <w:szCs w:val="24"/>
        </w:rPr>
        <w:t xml:space="preserve">HCV RNA was monitored at </w:t>
      </w:r>
      <w:r w:rsidR="00DE2FDA" w:rsidRPr="003B1108">
        <w:rPr>
          <w:rFonts w:ascii="Book Antiqua" w:hAnsi="Book Antiqua"/>
          <w:bCs/>
          <w:sz w:val="24"/>
          <w:szCs w:val="24"/>
        </w:rPr>
        <w:t>4</w:t>
      </w:r>
      <w:r w:rsidRPr="003B1108">
        <w:rPr>
          <w:rFonts w:ascii="Book Antiqua" w:hAnsi="Book Antiqua"/>
          <w:bCs/>
          <w:sz w:val="24"/>
          <w:szCs w:val="24"/>
        </w:rPr>
        <w:t xml:space="preserve"> </w:t>
      </w:r>
      <w:proofErr w:type="spellStart"/>
      <w:r w:rsidRPr="003B1108">
        <w:rPr>
          <w:rFonts w:ascii="Book Antiqua" w:hAnsi="Book Antiqua"/>
          <w:bCs/>
          <w:sz w:val="24"/>
          <w:szCs w:val="24"/>
        </w:rPr>
        <w:t>wk</w:t>
      </w:r>
      <w:proofErr w:type="spellEnd"/>
      <w:r w:rsidRPr="003B1108">
        <w:rPr>
          <w:rFonts w:ascii="Book Antiqua" w:hAnsi="Book Antiqua"/>
          <w:bCs/>
          <w:sz w:val="24"/>
          <w:szCs w:val="24"/>
        </w:rPr>
        <w:t xml:space="preserve"> </w:t>
      </w:r>
      <w:r w:rsidR="00023D3E">
        <w:rPr>
          <w:rFonts w:ascii="Book Antiqua" w:hAnsi="Book Antiqua"/>
          <w:bCs/>
          <w:sz w:val="24"/>
          <w:szCs w:val="24"/>
        </w:rPr>
        <w:t>[</w:t>
      </w:r>
      <w:r w:rsidRPr="003B1108">
        <w:rPr>
          <w:rFonts w:ascii="Book Antiqua" w:hAnsi="Book Antiqua"/>
          <w:bCs/>
          <w:sz w:val="24"/>
          <w:szCs w:val="24"/>
        </w:rPr>
        <w:t xml:space="preserve">rapid </w:t>
      </w:r>
      <w:proofErr w:type="spellStart"/>
      <w:r w:rsidRPr="003B1108">
        <w:rPr>
          <w:rFonts w:ascii="Book Antiqua" w:hAnsi="Book Antiqua"/>
          <w:bCs/>
          <w:sz w:val="24"/>
          <w:szCs w:val="24"/>
        </w:rPr>
        <w:t>virological</w:t>
      </w:r>
      <w:proofErr w:type="spellEnd"/>
      <w:r w:rsidRPr="003B1108">
        <w:rPr>
          <w:rFonts w:ascii="Book Antiqua" w:hAnsi="Book Antiqua"/>
          <w:bCs/>
          <w:sz w:val="24"/>
          <w:szCs w:val="24"/>
        </w:rPr>
        <w:t xml:space="preserve"> response</w:t>
      </w:r>
      <w:r w:rsidR="00023D3E">
        <w:rPr>
          <w:rFonts w:ascii="Book Antiqua" w:hAnsi="Book Antiqua" w:hint="eastAsia"/>
          <w:bCs/>
          <w:sz w:val="24"/>
          <w:szCs w:val="24"/>
        </w:rPr>
        <w:t xml:space="preserve"> </w:t>
      </w:r>
      <w:r w:rsidR="00023D3E">
        <w:rPr>
          <w:rFonts w:ascii="Book Antiqua" w:hAnsi="Book Antiqua"/>
          <w:bCs/>
          <w:sz w:val="24"/>
          <w:szCs w:val="24"/>
        </w:rPr>
        <w:t>(</w:t>
      </w:r>
      <w:r w:rsidRPr="003B1108">
        <w:rPr>
          <w:rFonts w:ascii="Book Antiqua" w:hAnsi="Book Antiqua"/>
          <w:bCs/>
          <w:sz w:val="24"/>
          <w:szCs w:val="24"/>
        </w:rPr>
        <w:t>RVR</w:t>
      </w:r>
      <w:r w:rsidR="00023D3E">
        <w:rPr>
          <w:rFonts w:ascii="Book Antiqua" w:hAnsi="Book Antiqua"/>
          <w:bCs/>
          <w:sz w:val="24"/>
          <w:szCs w:val="24"/>
        </w:rPr>
        <w:t>)]</w:t>
      </w:r>
      <w:r w:rsidRPr="003B1108">
        <w:rPr>
          <w:rFonts w:ascii="Book Antiqua" w:hAnsi="Book Antiqua"/>
          <w:bCs/>
          <w:sz w:val="24"/>
          <w:szCs w:val="24"/>
        </w:rPr>
        <w:t xml:space="preserve">, the end of therapy </w:t>
      </w:r>
      <w:r w:rsidR="00885A97">
        <w:rPr>
          <w:rFonts w:ascii="Book Antiqua" w:hAnsi="Book Antiqua"/>
          <w:bCs/>
          <w:sz w:val="24"/>
          <w:szCs w:val="24"/>
        </w:rPr>
        <w:t>[</w:t>
      </w:r>
      <w:r w:rsidRPr="003B1108">
        <w:rPr>
          <w:rFonts w:ascii="Book Antiqua" w:hAnsi="Book Antiqua"/>
          <w:bCs/>
          <w:sz w:val="24"/>
          <w:szCs w:val="24"/>
        </w:rPr>
        <w:t xml:space="preserve">end of treatment response </w:t>
      </w:r>
      <w:r w:rsidR="00885A97">
        <w:rPr>
          <w:rFonts w:ascii="Book Antiqua" w:hAnsi="Book Antiqua"/>
          <w:bCs/>
          <w:sz w:val="24"/>
          <w:szCs w:val="24"/>
        </w:rPr>
        <w:t>(</w:t>
      </w:r>
      <w:r w:rsidRPr="003B1108">
        <w:rPr>
          <w:rFonts w:ascii="Book Antiqua" w:hAnsi="Book Antiqua"/>
          <w:bCs/>
          <w:sz w:val="24"/>
          <w:szCs w:val="24"/>
        </w:rPr>
        <w:t>ETR</w:t>
      </w:r>
      <w:r w:rsidR="00885A97">
        <w:rPr>
          <w:rFonts w:ascii="Book Antiqua" w:hAnsi="Book Antiqua"/>
          <w:bCs/>
          <w:sz w:val="24"/>
          <w:szCs w:val="24"/>
        </w:rPr>
        <w:t>)]</w:t>
      </w:r>
      <w:r w:rsidRPr="003B1108">
        <w:rPr>
          <w:rFonts w:ascii="Book Antiqua" w:hAnsi="Book Antiqua"/>
          <w:bCs/>
          <w:sz w:val="24"/>
          <w:szCs w:val="24"/>
        </w:rPr>
        <w:t xml:space="preserve"> and 12 </w:t>
      </w:r>
      <w:proofErr w:type="spellStart"/>
      <w:r w:rsidR="00DE2FDA" w:rsidRPr="003B1108">
        <w:rPr>
          <w:rFonts w:ascii="Book Antiqua" w:hAnsi="Book Antiqua"/>
          <w:bCs/>
          <w:sz w:val="24"/>
          <w:szCs w:val="24"/>
        </w:rPr>
        <w:t>wk</w:t>
      </w:r>
      <w:proofErr w:type="spellEnd"/>
      <w:r w:rsidRPr="003B1108">
        <w:rPr>
          <w:rFonts w:ascii="Book Antiqua" w:hAnsi="Book Antiqua"/>
          <w:bCs/>
          <w:sz w:val="24"/>
          <w:szCs w:val="24"/>
        </w:rPr>
        <w:t xml:space="preserve"> after the treatment (SVR12). Viral relapse was defined as detectable HCV RNA after treatment. Non-response was defined as failure to achieve a 1 log 10 reduction in HCV RNA after 12 </w:t>
      </w:r>
      <w:proofErr w:type="spellStart"/>
      <w:r w:rsidR="00DE2FDA" w:rsidRPr="003B1108">
        <w:rPr>
          <w:rFonts w:ascii="Book Antiqua" w:hAnsi="Book Antiqua"/>
          <w:bCs/>
          <w:sz w:val="24"/>
          <w:szCs w:val="24"/>
        </w:rPr>
        <w:t>wk</w:t>
      </w:r>
      <w:proofErr w:type="spellEnd"/>
      <w:r w:rsidRPr="003B1108">
        <w:rPr>
          <w:rFonts w:ascii="Book Antiqua" w:hAnsi="Book Antiqua"/>
          <w:bCs/>
          <w:sz w:val="24"/>
          <w:szCs w:val="24"/>
        </w:rPr>
        <w:t xml:space="preserve"> of treatment. Viral breakthrough was defined as detectable HCV RNA after a period of initial response while still on therapy.</w:t>
      </w:r>
    </w:p>
    <w:p w14:paraId="4D367D0E" w14:textId="77777777" w:rsidR="00EF30AB" w:rsidRPr="003B1108" w:rsidRDefault="00EF30AB" w:rsidP="003B1108">
      <w:pPr>
        <w:adjustRightInd w:val="0"/>
        <w:snapToGrid w:val="0"/>
        <w:spacing w:line="360" w:lineRule="auto"/>
        <w:rPr>
          <w:rFonts w:ascii="Book Antiqua" w:hAnsi="Book Antiqua"/>
          <w:bCs/>
          <w:sz w:val="24"/>
          <w:szCs w:val="24"/>
        </w:rPr>
      </w:pPr>
    </w:p>
    <w:p w14:paraId="2AFFCC07" w14:textId="125EEC27" w:rsidR="00C9527A" w:rsidRPr="003B1108" w:rsidRDefault="00C9527A" w:rsidP="003B1108">
      <w:pPr>
        <w:adjustRightInd w:val="0"/>
        <w:snapToGrid w:val="0"/>
        <w:spacing w:line="360" w:lineRule="auto"/>
        <w:rPr>
          <w:rFonts w:ascii="Book Antiqua" w:hAnsi="Book Antiqua"/>
          <w:b/>
          <w:i/>
          <w:iCs/>
          <w:sz w:val="24"/>
          <w:szCs w:val="24"/>
        </w:rPr>
      </w:pPr>
      <w:r w:rsidRPr="003B1108">
        <w:rPr>
          <w:rFonts w:ascii="Book Antiqua" w:hAnsi="Book Antiqua"/>
          <w:b/>
          <w:i/>
          <w:iCs/>
          <w:sz w:val="24"/>
          <w:szCs w:val="24"/>
        </w:rPr>
        <w:t xml:space="preserve">Safety </w:t>
      </w:r>
      <w:r w:rsidR="00DE2FDA" w:rsidRPr="003B1108">
        <w:rPr>
          <w:rFonts w:ascii="Book Antiqua" w:hAnsi="Book Antiqua"/>
          <w:b/>
          <w:i/>
          <w:iCs/>
          <w:sz w:val="24"/>
          <w:szCs w:val="24"/>
        </w:rPr>
        <w:t>a</w:t>
      </w:r>
      <w:r w:rsidRPr="003B1108">
        <w:rPr>
          <w:rFonts w:ascii="Book Antiqua" w:hAnsi="Book Antiqua"/>
          <w:b/>
          <w:i/>
          <w:iCs/>
          <w:sz w:val="24"/>
          <w:szCs w:val="24"/>
        </w:rPr>
        <w:t>ssessments</w:t>
      </w:r>
    </w:p>
    <w:p w14:paraId="4FB37FA4" w14:textId="3C993B27" w:rsidR="00C9527A" w:rsidRPr="003B1108" w:rsidRDefault="00EF30AB" w:rsidP="003B1108">
      <w:pPr>
        <w:adjustRightInd w:val="0"/>
        <w:snapToGrid w:val="0"/>
        <w:spacing w:line="360" w:lineRule="auto"/>
        <w:rPr>
          <w:rFonts w:ascii="Book Antiqua" w:hAnsi="Book Antiqua"/>
          <w:bCs/>
          <w:sz w:val="24"/>
          <w:szCs w:val="24"/>
        </w:rPr>
      </w:pPr>
      <w:r w:rsidRPr="003B1108">
        <w:rPr>
          <w:rFonts w:ascii="Book Antiqua" w:hAnsi="Book Antiqua"/>
          <w:bCs/>
          <w:sz w:val="24"/>
          <w:szCs w:val="24"/>
        </w:rPr>
        <w:t xml:space="preserve">All the patients were assessed for adverse reactions, including severe fatigue, depression, insomnia, skin reactions, and dyspnea. Adverse hematological </w:t>
      </w:r>
      <w:r w:rsidRPr="003B1108">
        <w:rPr>
          <w:rFonts w:ascii="Book Antiqua" w:hAnsi="Book Antiqua"/>
          <w:bCs/>
          <w:sz w:val="24"/>
          <w:szCs w:val="24"/>
        </w:rPr>
        <w:lastRenderedPageBreak/>
        <w:t xml:space="preserve">reactions included neutropenia and anemia. If </w:t>
      </w:r>
      <w:proofErr w:type="spellStart"/>
      <w:r w:rsidRPr="003B1108">
        <w:rPr>
          <w:rFonts w:ascii="Book Antiqua" w:hAnsi="Book Antiqua"/>
          <w:bCs/>
          <w:sz w:val="24"/>
          <w:szCs w:val="24"/>
        </w:rPr>
        <w:t>hypocytosis</w:t>
      </w:r>
      <w:proofErr w:type="spellEnd"/>
      <w:r w:rsidRPr="003B1108">
        <w:rPr>
          <w:rFonts w:ascii="Book Antiqua" w:hAnsi="Book Antiqua"/>
          <w:bCs/>
          <w:sz w:val="24"/>
          <w:szCs w:val="24"/>
        </w:rPr>
        <w:t xml:space="preserve"> occurred, routine </w:t>
      </w:r>
      <w:proofErr w:type="spellStart"/>
      <w:r w:rsidRPr="003B1108">
        <w:rPr>
          <w:rFonts w:ascii="Book Antiqua" w:hAnsi="Book Antiqua"/>
          <w:bCs/>
          <w:sz w:val="24"/>
          <w:szCs w:val="24"/>
        </w:rPr>
        <w:t>bloodwork</w:t>
      </w:r>
      <w:proofErr w:type="spellEnd"/>
      <w:r w:rsidRPr="003B1108">
        <w:rPr>
          <w:rFonts w:ascii="Book Antiqua" w:hAnsi="Book Antiqua"/>
          <w:bCs/>
          <w:sz w:val="24"/>
          <w:szCs w:val="24"/>
        </w:rPr>
        <w:t xml:space="preserve"> would be examined more frequently. When hemoglobin was &lt; 100 g/L or ≥ 85 g/L with no significant cardiovascular disease, the following steps were taken: </w:t>
      </w:r>
      <w:r w:rsidR="00DE2FDA" w:rsidRPr="003B1108">
        <w:rPr>
          <w:rFonts w:ascii="Book Antiqua" w:hAnsi="Book Antiqua"/>
          <w:bCs/>
          <w:sz w:val="24"/>
          <w:szCs w:val="24"/>
        </w:rPr>
        <w:t>D</w:t>
      </w:r>
      <w:r w:rsidRPr="003B1108">
        <w:rPr>
          <w:rFonts w:ascii="Book Antiqua" w:hAnsi="Book Antiqua"/>
          <w:bCs/>
          <w:sz w:val="24"/>
          <w:szCs w:val="24"/>
        </w:rPr>
        <w:t xml:space="preserve">uring the subsequent </w:t>
      </w:r>
      <w:r w:rsidR="00DE2FDA" w:rsidRPr="003B1108">
        <w:rPr>
          <w:rFonts w:ascii="Book Antiqua" w:hAnsi="Book Antiqua"/>
          <w:bCs/>
          <w:sz w:val="24"/>
          <w:szCs w:val="24"/>
        </w:rPr>
        <w:t>4</w:t>
      </w:r>
      <w:r w:rsidRPr="003B1108">
        <w:rPr>
          <w:rFonts w:ascii="Book Antiqua" w:hAnsi="Book Antiqua"/>
          <w:bCs/>
          <w:sz w:val="24"/>
          <w:szCs w:val="24"/>
        </w:rPr>
        <w:t xml:space="preserve"> </w:t>
      </w:r>
      <w:proofErr w:type="spellStart"/>
      <w:r w:rsidR="00DE2FDA" w:rsidRPr="003B1108">
        <w:rPr>
          <w:rFonts w:ascii="Book Antiqua" w:hAnsi="Book Antiqua"/>
          <w:bCs/>
          <w:sz w:val="24"/>
          <w:szCs w:val="24"/>
        </w:rPr>
        <w:t>wk</w:t>
      </w:r>
      <w:proofErr w:type="spellEnd"/>
      <w:r w:rsidRPr="003B1108">
        <w:rPr>
          <w:rFonts w:ascii="Book Antiqua" w:hAnsi="Book Antiqua"/>
          <w:bCs/>
          <w:sz w:val="24"/>
          <w:szCs w:val="24"/>
        </w:rPr>
        <w:t xml:space="preserve"> of treatment, if hemoglobin decreased by ≥ 20 g/L, RBV was reduced to 600 mg/d (200 mg in the morning and 400 mg at night), and if</w:t>
      </w:r>
      <w:r w:rsidR="00780E82">
        <w:rPr>
          <w:rFonts w:ascii="Book Antiqua" w:hAnsi="Book Antiqua"/>
          <w:bCs/>
          <w:sz w:val="24"/>
          <w:szCs w:val="24"/>
        </w:rPr>
        <w:t xml:space="preserve"> </w:t>
      </w:r>
      <w:r w:rsidRPr="003B1108">
        <w:rPr>
          <w:rFonts w:ascii="Book Antiqua" w:hAnsi="Book Antiqua"/>
          <w:bCs/>
          <w:sz w:val="24"/>
          <w:szCs w:val="24"/>
        </w:rPr>
        <w:t xml:space="preserve">hemoglobin decreased to 85 g/L or remained below 120 g/L after </w:t>
      </w:r>
      <w:r w:rsidR="00DE2FDA" w:rsidRPr="003B1108">
        <w:rPr>
          <w:rFonts w:ascii="Book Antiqua" w:hAnsi="Book Antiqua"/>
          <w:bCs/>
          <w:sz w:val="24"/>
          <w:szCs w:val="24"/>
        </w:rPr>
        <w:t>4</w:t>
      </w:r>
      <w:r w:rsidRPr="003B1108">
        <w:rPr>
          <w:rFonts w:ascii="Book Antiqua" w:hAnsi="Book Antiqua"/>
          <w:bCs/>
          <w:sz w:val="24"/>
          <w:szCs w:val="24"/>
        </w:rPr>
        <w:t xml:space="preserve"> </w:t>
      </w:r>
      <w:proofErr w:type="spellStart"/>
      <w:r w:rsidR="00DE2FDA" w:rsidRPr="003B1108">
        <w:rPr>
          <w:rFonts w:ascii="Book Antiqua" w:hAnsi="Book Antiqua"/>
          <w:bCs/>
          <w:sz w:val="24"/>
          <w:szCs w:val="24"/>
        </w:rPr>
        <w:t>wk</w:t>
      </w:r>
      <w:proofErr w:type="spellEnd"/>
      <w:r w:rsidRPr="003B1108">
        <w:rPr>
          <w:rFonts w:ascii="Book Antiqua" w:hAnsi="Book Antiqua"/>
          <w:bCs/>
          <w:sz w:val="24"/>
          <w:szCs w:val="24"/>
        </w:rPr>
        <w:t xml:space="preserve"> of RBV reduction, RBV was discontinued.</w:t>
      </w:r>
    </w:p>
    <w:p w14:paraId="0161247E" w14:textId="77777777" w:rsidR="00EF30AB" w:rsidRPr="003B1108" w:rsidRDefault="00EF30AB" w:rsidP="003B1108">
      <w:pPr>
        <w:adjustRightInd w:val="0"/>
        <w:snapToGrid w:val="0"/>
        <w:spacing w:line="360" w:lineRule="auto"/>
        <w:rPr>
          <w:rFonts w:ascii="Book Antiqua" w:hAnsi="Book Antiqua"/>
          <w:bCs/>
          <w:sz w:val="24"/>
          <w:szCs w:val="24"/>
        </w:rPr>
      </w:pPr>
    </w:p>
    <w:p w14:paraId="6204EE7A" w14:textId="724789E5" w:rsidR="00C9527A" w:rsidRPr="003B1108" w:rsidRDefault="00C9527A" w:rsidP="003B1108">
      <w:pPr>
        <w:adjustRightInd w:val="0"/>
        <w:snapToGrid w:val="0"/>
        <w:spacing w:line="360" w:lineRule="auto"/>
        <w:rPr>
          <w:rFonts w:ascii="Book Antiqua" w:hAnsi="Book Antiqua"/>
          <w:b/>
          <w:i/>
          <w:iCs/>
          <w:sz w:val="24"/>
          <w:szCs w:val="24"/>
        </w:rPr>
      </w:pPr>
      <w:r w:rsidRPr="003B1108">
        <w:rPr>
          <w:rFonts w:ascii="Book Antiqua" w:hAnsi="Book Antiqua"/>
          <w:b/>
          <w:i/>
          <w:iCs/>
          <w:sz w:val="24"/>
          <w:szCs w:val="24"/>
        </w:rPr>
        <w:t xml:space="preserve">Statistical </w:t>
      </w:r>
      <w:r w:rsidR="00DE2FDA" w:rsidRPr="003B1108">
        <w:rPr>
          <w:rFonts w:ascii="Book Antiqua" w:hAnsi="Book Antiqua"/>
          <w:b/>
          <w:i/>
          <w:iCs/>
          <w:sz w:val="24"/>
          <w:szCs w:val="24"/>
        </w:rPr>
        <w:t>a</w:t>
      </w:r>
      <w:r w:rsidRPr="003B1108">
        <w:rPr>
          <w:rFonts w:ascii="Book Antiqua" w:hAnsi="Book Antiqua"/>
          <w:b/>
          <w:i/>
          <w:iCs/>
          <w:sz w:val="24"/>
          <w:szCs w:val="24"/>
        </w:rPr>
        <w:t>nalysis</w:t>
      </w:r>
    </w:p>
    <w:p w14:paraId="1246C585" w14:textId="6C23C034" w:rsidR="00C9527A" w:rsidRPr="003B1108" w:rsidRDefault="003A1827" w:rsidP="003B1108">
      <w:pPr>
        <w:adjustRightInd w:val="0"/>
        <w:snapToGrid w:val="0"/>
        <w:spacing w:line="360" w:lineRule="auto"/>
        <w:rPr>
          <w:rFonts w:ascii="Book Antiqua" w:hAnsi="Book Antiqua"/>
          <w:bCs/>
          <w:sz w:val="24"/>
          <w:szCs w:val="24"/>
        </w:rPr>
      </w:pPr>
      <w:r w:rsidRPr="003B1108">
        <w:rPr>
          <w:rFonts w:ascii="Book Antiqua" w:hAnsi="Book Antiqua"/>
          <w:bCs/>
          <w:sz w:val="24"/>
          <w:szCs w:val="24"/>
        </w:rPr>
        <w:t>The statistical methods of this study were reviewed by Lei-Lei Pei from Institute of Public Health Xi’</w:t>
      </w:r>
      <w:r w:rsidR="00F549B2" w:rsidRPr="003B1108">
        <w:rPr>
          <w:rFonts w:ascii="Book Antiqua" w:hAnsi="Book Antiqua"/>
          <w:bCs/>
          <w:sz w:val="24"/>
          <w:szCs w:val="24"/>
        </w:rPr>
        <w:t>a</w:t>
      </w:r>
      <w:r w:rsidRPr="003B1108">
        <w:rPr>
          <w:rFonts w:ascii="Book Antiqua" w:hAnsi="Book Antiqua"/>
          <w:bCs/>
          <w:sz w:val="24"/>
          <w:szCs w:val="24"/>
        </w:rPr>
        <w:t xml:space="preserve">n </w:t>
      </w:r>
      <w:proofErr w:type="spellStart"/>
      <w:r w:rsidRPr="003B1108">
        <w:rPr>
          <w:rFonts w:ascii="Book Antiqua" w:hAnsi="Book Antiqua"/>
          <w:bCs/>
          <w:sz w:val="24"/>
          <w:szCs w:val="24"/>
        </w:rPr>
        <w:t>Jiaotong</w:t>
      </w:r>
      <w:proofErr w:type="spellEnd"/>
      <w:r w:rsidRPr="003B1108">
        <w:rPr>
          <w:rFonts w:ascii="Book Antiqua" w:hAnsi="Book Antiqua"/>
          <w:bCs/>
          <w:sz w:val="24"/>
          <w:szCs w:val="24"/>
        </w:rPr>
        <w:t xml:space="preserve"> University.</w:t>
      </w:r>
    </w:p>
    <w:p w14:paraId="0DD354ED" w14:textId="54AAC245" w:rsidR="00EF30AB" w:rsidRPr="003B1108" w:rsidRDefault="00EF30AB" w:rsidP="003B1108">
      <w:pPr>
        <w:adjustRightInd w:val="0"/>
        <w:snapToGrid w:val="0"/>
        <w:spacing w:line="360" w:lineRule="auto"/>
        <w:ind w:firstLineChars="100" w:firstLine="240"/>
        <w:rPr>
          <w:rFonts w:ascii="Book Antiqua" w:hAnsi="Book Antiqua"/>
          <w:bCs/>
          <w:sz w:val="24"/>
          <w:szCs w:val="24"/>
        </w:rPr>
      </w:pPr>
      <w:r w:rsidRPr="003B1108">
        <w:rPr>
          <w:rFonts w:ascii="Book Antiqua" w:hAnsi="Book Antiqua"/>
          <w:bCs/>
          <w:sz w:val="24"/>
          <w:szCs w:val="24"/>
        </w:rPr>
        <w:t xml:space="preserve">For continuous variables, the outcome </w:t>
      </w:r>
      <w:r w:rsidR="00780E82">
        <w:rPr>
          <w:rFonts w:ascii="Book Antiqua" w:hAnsi="Book Antiqua"/>
          <w:bCs/>
          <w:sz w:val="24"/>
          <w:szCs w:val="24"/>
        </w:rPr>
        <w:t>i</w:t>
      </w:r>
      <w:r w:rsidR="00780E82" w:rsidRPr="003B1108">
        <w:rPr>
          <w:rFonts w:ascii="Book Antiqua" w:hAnsi="Book Antiqua"/>
          <w:bCs/>
          <w:sz w:val="24"/>
          <w:szCs w:val="24"/>
        </w:rPr>
        <w:t xml:space="preserve">s </w:t>
      </w:r>
      <w:r w:rsidRPr="003B1108">
        <w:rPr>
          <w:rFonts w:ascii="Book Antiqua" w:hAnsi="Book Antiqua"/>
          <w:bCs/>
          <w:sz w:val="24"/>
          <w:szCs w:val="24"/>
        </w:rPr>
        <w:t xml:space="preserve">expressed as </w:t>
      </w:r>
      <w:r w:rsidR="00780E82">
        <w:rPr>
          <w:rFonts w:ascii="Book Antiqua" w:hAnsi="Book Antiqua"/>
          <w:bCs/>
          <w:sz w:val="24"/>
          <w:szCs w:val="24"/>
        </w:rPr>
        <w:t xml:space="preserve">the </w:t>
      </w:r>
      <w:r w:rsidRPr="003B1108">
        <w:rPr>
          <w:rFonts w:ascii="Book Antiqua" w:hAnsi="Book Antiqua"/>
          <w:bCs/>
          <w:sz w:val="24"/>
          <w:szCs w:val="24"/>
        </w:rPr>
        <w:t>mean</w:t>
      </w:r>
      <w:r w:rsidRPr="003B1108">
        <w:rPr>
          <w:rFonts w:ascii="Times New Roman" w:hAnsi="Times New Roman"/>
          <w:bCs/>
          <w:sz w:val="24"/>
          <w:szCs w:val="24"/>
        </w:rPr>
        <w:t> </w:t>
      </w:r>
      <w:r w:rsidRPr="003B1108">
        <w:rPr>
          <w:rFonts w:ascii="Book Antiqua" w:hAnsi="Book Antiqua" w:cs="Book Antiqua"/>
          <w:bCs/>
          <w:sz w:val="24"/>
          <w:szCs w:val="24"/>
        </w:rPr>
        <w:t>±</w:t>
      </w:r>
      <w:r w:rsidRPr="003B1108">
        <w:rPr>
          <w:rFonts w:ascii="Times New Roman" w:hAnsi="Times New Roman"/>
          <w:bCs/>
          <w:sz w:val="24"/>
          <w:szCs w:val="24"/>
        </w:rPr>
        <w:t> </w:t>
      </w:r>
      <w:r w:rsidRPr="003B1108">
        <w:rPr>
          <w:rFonts w:ascii="Book Antiqua" w:hAnsi="Book Antiqua"/>
          <w:bCs/>
          <w:sz w:val="24"/>
          <w:szCs w:val="24"/>
        </w:rPr>
        <w:t xml:space="preserve">standard deviation or as median and range. It was compared using the Kruskal-Wallis </w:t>
      </w:r>
      <w:r w:rsidRPr="001D2613">
        <w:rPr>
          <w:rFonts w:ascii="Book Antiqua" w:hAnsi="Book Antiqua"/>
          <w:bCs/>
          <w:i/>
          <w:sz w:val="24"/>
          <w:szCs w:val="24"/>
        </w:rPr>
        <w:t>H</w:t>
      </w:r>
      <w:r w:rsidRPr="003B1108">
        <w:rPr>
          <w:rFonts w:ascii="Book Antiqua" w:hAnsi="Book Antiqua"/>
          <w:bCs/>
          <w:sz w:val="24"/>
          <w:szCs w:val="24"/>
        </w:rPr>
        <w:t xml:space="preserve"> test or the Mann-Whitney </w:t>
      </w:r>
      <w:r w:rsidRPr="001D2613">
        <w:rPr>
          <w:rFonts w:ascii="Book Antiqua" w:hAnsi="Book Antiqua"/>
          <w:bCs/>
          <w:i/>
          <w:sz w:val="24"/>
          <w:szCs w:val="24"/>
        </w:rPr>
        <w:t>U</w:t>
      </w:r>
      <w:r w:rsidRPr="003B1108">
        <w:rPr>
          <w:rFonts w:ascii="Book Antiqua" w:hAnsi="Book Antiqua"/>
          <w:bCs/>
          <w:sz w:val="24"/>
          <w:szCs w:val="24"/>
        </w:rPr>
        <w:t xml:space="preserve"> test. For categorical data, the outcome </w:t>
      </w:r>
      <w:r w:rsidR="00780E82">
        <w:rPr>
          <w:rFonts w:ascii="Book Antiqua" w:hAnsi="Book Antiqua"/>
          <w:bCs/>
          <w:sz w:val="24"/>
          <w:szCs w:val="24"/>
        </w:rPr>
        <w:t>i</w:t>
      </w:r>
      <w:r w:rsidR="00780E82" w:rsidRPr="003B1108">
        <w:rPr>
          <w:rFonts w:ascii="Book Antiqua" w:hAnsi="Book Antiqua"/>
          <w:bCs/>
          <w:sz w:val="24"/>
          <w:szCs w:val="24"/>
        </w:rPr>
        <w:t xml:space="preserve">s </w:t>
      </w:r>
      <w:r w:rsidRPr="003B1108">
        <w:rPr>
          <w:rFonts w:ascii="Book Antiqua" w:hAnsi="Book Antiqua"/>
          <w:bCs/>
          <w:sz w:val="24"/>
          <w:szCs w:val="24"/>
        </w:rPr>
        <w:t>presented as</w:t>
      </w:r>
      <w:r w:rsidR="00780E82">
        <w:rPr>
          <w:rFonts w:ascii="Book Antiqua" w:hAnsi="Book Antiqua"/>
          <w:bCs/>
          <w:sz w:val="24"/>
          <w:szCs w:val="24"/>
        </w:rPr>
        <w:t xml:space="preserve"> </w:t>
      </w:r>
      <w:r w:rsidRPr="003B1108">
        <w:rPr>
          <w:rFonts w:ascii="Book Antiqua" w:hAnsi="Book Antiqua"/>
          <w:bCs/>
          <w:sz w:val="24"/>
          <w:szCs w:val="24"/>
        </w:rPr>
        <w:t>percentage, and the differences were tested using the</w:t>
      </w:r>
      <w:r w:rsidR="00F06707" w:rsidRPr="003B1108">
        <w:rPr>
          <w:rFonts w:ascii="Book Antiqua" w:hAnsi="Book Antiqua"/>
          <w:bCs/>
          <w:sz w:val="24"/>
          <w:szCs w:val="24"/>
        </w:rPr>
        <w:t xml:space="preserve"> </w:t>
      </w:r>
      <w:r w:rsidR="00F06707" w:rsidRPr="003B1108">
        <w:rPr>
          <w:rFonts w:ascii="Book Antiqua" w:hAnsi="Book Antiqua"/>
          <w:bCs/>
          <w:sz w:val="24"/>
          <w:szCs w:val="24"/>
        </w:rPr>
        <w:sym w:font="Symbol" w:char="F063"/>
      </w:r>
      <w:r w:rsidR="00F06707" w:rsidRPr="003B1108">
        <w:rPr>
          <w:rFonts w:ascii="Book Antiqua" w:hAnsi="Book Antiqua"/>
          <w:bCs/>
          <w:sz w:val="24"/>
          <w:szCs w:val="24"/>
          <w:vertAlign w:val="superscript"/>
        </w:rPr>
        <w:t xml:space="preserve">2 </w:t>
      </w:r>
      <w:r w:rsidRPr="003B1108">
        <w:rPr>
          <w:rFonts w:ascii="Book Antiqua" w:hAnsi="Book Antiqua"/>
          <w:bCs/>
          <w:sz w:val="24"/>
          <w:szCs w:val="24"/>
        </w:rPr>
        <w:t>test. Logistic regression was used to analyze which variables had a statistical impact on SVR. SVR12 was evaluated by an intention-to-treat (ITT) analysis, which was based on the initial treatment assignment, including all patients who received at least one dose of the medicine. SVR12 was also analyzed by a modified ITT (</w:t>
      </w:r>
      <w:proofErr w:type="spellStart"/>
      <w:r w:rsidRPr="003B1108">
        <w:rPr>
          <w:rFonts w:ascii="Book Antiqua" w:hAnsi="Book Antiqua"/>
          <w:bCs/>
          <w:sz w:val="24"/>
          <w:szCs w:val="24"/>
        </w:rPr>
        <w:t>mITT</w:t>
      </w:r>
      <w:proofErr w:type="spellEnd"/>
      <w:r w:rsidRPr="003B1108">
        <w:rPr>
          <w:rFonts w:ascii="Book Antiqua" w:hAnsi="Book Antiqua"/>
          <w:bCs/>
          <w:sz w:val="24"/>
          <w:szCs w:val="24"/>
        </w:rPr>
        <w:t xml:space="preserve">) analysis. The significance level was set at </w:t>
      </w:r>
      <w:r w:rsidR="00DE2FDA" w:rsidRPr="003B1108">
        <w:rPr>
          <w:rFonts w:ascii="Book Antiqua" w:hAnsi="Book Antiqua"/>
          <w:bCs/>
          <w:i/>
          <w:iCs/>
          <w:sz w:val="24"/>
          <w:szCs w:val="24"/>
        </w:rPr>
        <w:t>P</w:t>
      </w:r>
      <w:r w:rsidR="00767613" w:rsidRPr="003B1108">
        <w:rPr>
          <w:rFonts w:ascii="Book Antiqua" w:hAnsi="Book Antiqua"/>
          <w:bCs/>
          <w:i/>
          <w:iCs/>
          <w:sz w:val="24"/>
          <w:szCs w:val="24"/>
        </w:rPr>
        <w:t xml:space="preserve"> </w:t>
      </w:r>
      <w:r w:rsidRPr="003B1108">
        <w:rPr>
          <w:rFonts w:ascii="Book Antiqua" w:hAnsi="Book Antiqua"/>
          <w:bCs/>
          <w:sz w:val="24"/>
          <w:szCs w:val="24"/>
        </w:rPr>
        <w:t>&lt;</w:t>
      </w:r>
      <w:r w:rsidRPr="003B1108">
        <w:rPr>
          <w:rFonts w:ascii="MS Gothic" w:eastAsia="MS Gothic" w:hAnsi="MS Gothic" w:cs="MS Gothic" w:hint="eastAsia"/>
          <w:bCs/>
          <w:sz w:val="24"/>
          <w:szCs w:val="24"/>
        </w:rPr>
        <w:t> </w:t>
      </w:r>
      <w:r w:rsidRPr="003B1108">
        <w:rPr>
          <w:rFonts w:ascii="Book Antiqua" w:hAnsi="Book Antiqua"/>
          <w:bCs/>
          <w:sz w:val="24"/>
          <w:szCs w:val="24"/>
        </w:rPr>
        <w:t xml:space="preserve">0.05. All </w:t>
      </w:r>
      <w:r w:rsidR="00780E82" w:rsidRPr="003B1108">
        <w:rPr>
          <w:rFonts w:ascii="Book Antiqua" w:hAnsi="Book Antiqua"/>
          <w:bCs/>
          <w:sz w:val="24"/>
          <w:szCs w:val="24"/>
        </w:rPr>
        <w:t>analys</w:t>
      </w:r>
      <w:r w:rsidR="00780E82">
        <w:rPr>
          <w:rFonts w:ascii="Book Antiqua" w:hAnsi="Book Antiqua"/>
          <w:bCs/>
          <w:sz w:val="24"/>
          <w:szCs w:val="24"/>
        </w:rPr>
        <w:t>e</w:t>
      </w:r>
      <w:r w:rsidR="00780E82" w:rsidRPr="003B1108">
        <w:rPr>
          <w:rFonts w:ascii="Book Antiqua" w:hAnsi="Book Antiqua"/>
          <w:bCs/>
          <w:sz w:val="24"/>
          <w:szCs w:val="24"/>
        </w:rPr>
        <w:t>s w</w:t>
      </w:r>
      <w:r w:rsidR="00780E82">
        <w:rPr>
          <w:rFonts w:ascii="Book Antiqua" w:hAnsi="Book Antiqua"/>
          <w:bCs/>
          <w:sz w:val="24"/>
          <w:szCs w:val="24"/>
        </w:rPr>
        <w:t>ere</w:t>
      </w:r>
      <w:r w:rsidR="00780E82" w:rsidRPr="003B1108">
        <w:rPr>
          <w:rFonts w:ascii="Book Antiqua" w:hAnsi="Book Antiqua"/>
          <w:bCs/>
          <w:sz w:val="24"/>
          <w:szCs w:val="24"/>
        </w:rPr>
        <w:t xml:space="preserve"> </w:t>
      </w:r>
      <w:r w:rsidRPr="003B1108">
        <w:rPr>
          <w:rFonts w:ascii="Book Antiqua" w:hAnsi="Book Antiqua"/>
          <w:bCs/>
          <w:sz w:val="24"/>
          <w:szCs w:val="24"/>
        </w:rPr>
        <w:t>performed using</w:t>
      </w:r>
      <w:r w:rsidR="00780E82">
        <w:rPr>
          <w:rFonts w:ascii="Book Antiqua" w:hAnsi="Book Antiqua"/>
          <w:bCs/>
          <w:sz w:val="24"/>
          <w:szCs w:val="24"/>
        </w:rPr>
        <w:t xml:space="preserve"> </w:t>
      </w:r>
      <w:r w:rsidRPr="003B1108">
        <w:rPr>
          <w:rFonts w:ascii="Book Antiqua" w:hAnsi="Book Antiqua"/>
          <w:bCs/>
          <w:sz w:val="24"/>
          <w:szCs w:val="24"/>
        </w:rPr>
        <w:t>SPSS 25.0 software.</w:t>
      </w:r>
    </w:p>
    <w:p w14:paraId="549E00C7" w14:textId="77777777" w:rsidR="003A1827" w:rsidRPr="003B1108" w:rsidRDefault="003A1827" w:rsidP="003B1108">
      <w:pPr>
        <w:adjustRightInd w:val="0"/>
        <w:snapToGrid w:val="0"/>
        <w:spacing w:line="360" w:lineRule="auto"/>
        <w:rPr>
          <w:rFonts w:ascii="Book Antiqua" w:hAnsi="Book Antiqua"/>
          <w:bCs/>
          <w:sz w:val="24"/>
          <w:szCs w:val="24"/>
        </w:rPr>
      </w:pPr>
    </w:p>
    <w:p w14:paraId="17FE0F22" w14:textId="7E9838FE" w:rsidR="00C9527A" w:rsidRPr="003B1108" w:rsidRDefault="00C9527A" w:rsidP="003B1108">
      <w:pPr>
        <w:adjustRightInd w:val="0"/>
        <w:snapToGrid w:val="0"/>
        <w:spacing w:line="360" w:lineRule="auto"/>
        <w:rPr>
          <w:rFonts w:ascii="Book Antiqua" w:hAnsi="Book Antiqua"/>
          <w:b/>
          <w:sz w:val="24"/>
          <w:szCs w:val="24"/>
        </w:rPr>
      </w:pPr>
      <w:r w:rsidRPr="003B1108">
        <w:rPr>
          <w:rFonts w:ascii="Book Antiqua" w:hAnsi="Book Antiqua"/>
          <w:b/>
          <w:sz w:val="24"/>
          <w:szCs w:val="24"/>
        </w:rPr>
        <w:t>RESULTS</w:t>
      </w:r>
    </w:p>
    <w:p w14:paraId="30CF60D6" w14:textId="79DC3FD4" w:rsidR="00C9527A" w:rsidRPr="003B1108" w:rsidRDefault="00C9527A" w:rsidP="003B1108">
      <w:pPr>
        <w:adjustRightInd w:val="0"/>
        <w:snapToGrid w:val="0"/>
        <w:spacing w:line="360" w:lineRule="auto"/>
        <w:rPr>
          <w:rFonts w:ascii="Book Antiqua" w:hAnsi="Book Antiqua"/>
          <w:b/>
          <w:i/>
          <w:iCs/>
          <w:sz w:val="24"/>
          <w:szCs w:val="24"/>
        </w:rPr>
      </w:pPr>
      <w:r w:rsidRPr="003B1108">
        <w:rPr>
          <w:rFonts w:ascii="Book Antiqua" w:hAnsi="Book Antiqua"/>
          <w:b/>
          <w:i/>
          <w:iCs/>
          <w:sz w:val="24"/>
          <w:szCs w:val="24"/>
        </w:rPr>
        <w:t>Characteristics of patients</w:t>
      </w:r>
    </w:p>
    <w:p w14:paraId="1189A66C" w14:textId="64E6DA92" w:rsidR="00C9527A" w:rsidRPr="003B1108" w:rsidRDefault="008009DC" w:rsidP="003B1108">
      <w:pPr>
        <w:adjustRightInd w:val="0"/>
        <w:snapToGrid w:val="0"/>
        <w:spacing w:line="360" w:lineRule="auto"/>
        <w:rPr>
          <w:rFonts w:ascii="Book Antiqua" w:hAnsi="Book Antiqua"/>
          <w:bCs/>
          <w:sz w:val="24"/>
          <w:szCs w:val="24"/>
        </w:rPr>
      </w:pPr>
      <w:r w:rsidRPr="003B1108">
        <w:rPr>
          <w:rFonts w:ascii="Book Antiqua" w:hAnsi="Book Antiqua"/>
          <w:bCs/>
          <w:sz w:val="24"/>
          <w:szCs w:val="24"/>
        </w:rPr>
        <w:t>Between May 2015 and December 2018, a</w:t>
      </w:r>
      <w:r w:rsidR="00C001A4" w:rsidRPr="003B1108">
        <w:rPr>
          <w:rFonts w:ascii="Book Antiqua" w:hAnsi="Book Antiqua"/>
          <w:bCs/>
          <w:sz w:val="24"/>
          <w:szCs w:val="24"/>
        </w:rPr>
        <w:t xml:space="preserve"> total of 498 patients were diagnosed with HCV infection, and 366 of them commenced treatment with DAAs (Figure 1). There were 216 patients with genotype 1 (1a</w:t>
      </w:r>
      <w:r w:rsidR="00606174">
        <w:rPr>
          <w:rFonts w:ascii="Book Antiqua" w:hAnsi="Book Antiqua"/>
          <w:bCs/>
          <w:sz w:val="24"/>
          <w:szCs w:val="24"/>
        </w:rPr>
        <w:t>,</w:t>
      </w:r>
      <w:r w:rsidR="00C001A4" w:rsidRPr="003B1108">
        <w:rPr>
          <w:rFonts w:ascii="Book Antiqua" w:hAnsi="Book Antiqua"/>
          <w:bCs/>
          <w:sz w:val="24"/>
          <w:szCs w:val="24"/>
        </w:rPr>
        <w:t xml:space="preserve"> 10.2</w:t>
      </w:r>
      <w:r w:rsidR="00606174" w:rsidRPr="003B1108">
        <w:rPr>
          <w:rFonts w:ascii="Book Antiqua" w:hAnsi="Book Antiqua"/>
          <w:bCs/>
          <w:sz w:val="24"/>
          <w:szCs w:val="24"/>
        </w:rPr>
        <w:t>%</w:t>
      </w:r>
      <w:r w:rsidR="00606174">
        <w:rPr>
          <w:rFonts w:ascii="Book Antiqua" w:hAnsi="Book Antiqua"/>
          <w:bCs/>
          <w:sz w:val="24"/>
          <w:szCs w:val="24"/>
        </w:rPr>
        <w:t>;</w:t>
      </w:r>
      <w:r w:rsidR="00606174" w:rsidRPr="003B1108">
        <w:rPr>
          <w:rFonts w:ascii="Book Antiqua" w:hAnsi="Book Antiqua"/>
          <w:bCs/>
          <w:sz w:val="24"/>
          <w:szCs w:val="24"/>
        </w:rPr>
        <w:t xml:space="preserve"> </w:t>
      </w:r>
      <w:r w:rsidR="00C001A4" w:rsidRPr="003B1108">
        <w:rPr>
          <w:rFonts w:ascii="Book Antiqua" w:hAnsi="Book Antiqua"/>
          <w:bCs/>
          <w:sz w:val="24"/>
          <w:szCs w:val="24"/>
        </w:rPr>
        <w:t>1b</w:t>
      </w:r>
      <w:r w:rsidR="00606174">
        <w:rPr>
          <w:rFonts w:ascii="Book Antiqua" w:hAnsi="Book Antiqua"/>
          <w:bCs/>
          <w:sz w:val="24"/>
          <w:szCs w:val="24"/>
        </w:rPr>
        <w:t>,</w:t>
      </w:r>
      <w:r w:rsidR="00C001A4" w:rsidRPr="003B1108">
        <w:rPr>
          <w:rFonts w:ascii="Book Antiqua" w:hAnsi="Book Antiqua"/>
          <w:bCs/>
          <w:sz w:val="24"/>
          <w:szCs w:val="24"/>
        </w:rPr>
        <w:t xml:space="preserve"> 68.5</w:t>
      </w:r>
      <w:r w:rsidR="00606174" w:rsidRPr="003B1108">
        <w:rPr>
          <w:rFonts w:ascii="Book Antiqua" w:hAnsi="Book Antiqua"/>
          <w:bCs/>
          <w:sz w:val="24"/>
          <w:szCs w:val="24"/>
        </w:rPr>
        <w:t>%</w:t>
      </w:r>
      <w:r w:rsidR="00606174">
        <w:rPr>
          <w:rFonts w:ascii="Book Antiqua" w:hAnsi="Book Antiqua"/>
          <w:bCs/>
          <w:sz w:val="24"/>
          <w:szCs w:val="24"/>
        </w:rPr>
        <w:t>;</w:t>
      </w:r>
      <w:r w:rsidR="00606174" w:rsidRPr="003B1108">
        <w:rPr>
          <w:rFonts w:ascii="Book Antiqua" w:hAnsi="Book Antiqua"/>
          <w:bCs/>
          <w:sz w:val="24"/>
          <w:szCs w:val="24"/>
        </w:rPr>
        <w:t xml:space="preserve"> </w:t>
      </w:r>
      <w:r w:rsidR="00C001A4" w:rsidRPr="003B1108">
        <w:rPr>
          <w:rFonts w:ascii="Book Antiqua" w:hAnsi="Book Antiqua"/>
          <w:bCs/>
          <w:sz w:val="24"/>
          <w:szCs w:val="24"/>
        </w:rPr>
        <w:t>subtype not specified</w:t>
      </w:r>
      <w:r w:rsidR="00606174">
        <w:rPr>
          <w:rFonts w:ascii="Book Antiqua" w:hAnsi="Book Antiqua"/>
          <w:bCs/>
          <w:sz w:val="24"/>
          <w:szCs w:val="24"/>
        </w:rPr>
        <w:t>,</w:t>
      </w:r>
      <w:r w:rsidR="00C001A4" w:rsidRPr="003B1108">
        <w:rPr>
          <w:rFonts w:ascii="Book Antiqua" w:hAnsi="Book Antiqua"/>
          <w:bCs/>
          <w:sz w:val="24"/>
          <w:szCs w:val="24"/>
        </w:rPr>
        <w:t xml:space="preserve"> 21.3%), 108 with genotype 2 (2a</w:t>
      </w:r>
      <w:r w:rsidR="00606174">
        <w:rPr>
          <w:rFonts w:ascii="Book Antiqua" w:hAnsi="Book Antiqua"/>
          <w:bCs/>
          <w:sz w:val="24"/>
          <w:szCs w:val="24"/>
        </w:rPr>
        <w:t>,</w:t>
      </w:r>
      <w:r w:rsidR="00C001A4" w:rsidRPr="003B1108">
        <w:rPr>
          <w:rFonts w:ascii="Book Antiqua" w:hAnsi="Book Antiqua"/>
          <w:bCs/>
          <w:sz w:val="24"/>
          <w:szCs w:val="24"/>
        </w:rPr>
        <w:t xml:space="preserve"> 68.3</w:t>
      </w:r>
      <w:r w:rsidR="00606174" w:rsidRPr="003B1108">
        <w:rPr>
          <w:rFonts w:ascii="Book Antiqua" w:hAnsi="Book Antiqua"/>
          <w:bCs/>
          <w:sz w:val="24"/>
          <w:szCs w:val="24"/>
        </w:rPr>
        <w:t>%</w:t>
      </w:r>
      <w:r w:rsidR="00606174">
        <w:rPr>
          <w:rFonts w:ascii="Book Antiqua" w:hAnsi="Book Antiqua"/>
          <w:bCs/>
          <w:sz w:val="24"/>
          <w:szCs w:val="24"/>
        </w:rPr>
        <w:t>;</w:t>
      </w:r>
      <w:r w:rsidR="00606174" w:rsidRPr="003B1108">
        <w:rPr>
          <w:rFonts w:ascii="Book Antiqua" w:hAnsi="Book Antiqua"/>
          <w:bCs/>
          <w:sz w:val="24"/>
          <w:szCs w:val="24"/>
        </w:rPr>
        <w:t xml:space="preserve"> </w:t>
      </w:r>
      <w:r w:rsidR="00C001A4" w:rsidRPr="003B1108">
        <w:rPr>
          <w:rFonts w:ascii="Book Antiqua" w:hAnsi="Book Antiqua"/>
          <w:bCs/>
          <w:sz w:val="24"/>
          <w:szCs w:val="24"/>
        </w:rPr>
        <w:t>2b</w:t>
      </w:r>
      <w:r w:rsidR="00606174">
        <w:rPr>
          <w:rFonts w:ascii="Book Antiqua" w:hAnsi="Book Antiqua"/>
          <w:bCs/>
          <w:sz w:val="24"/>
          <w:szCs w:val="24"/>
        </w:rPr>
        <w:t>,</w:t>
      </w:r>
      <w:r w:rsidR="00C001A4" w:rsidRPr="003B1108">
        <w:rPr>
          <w:rFonts w:ascii="Book Antiqua" w:hAnsi="Book Antiqua"/>
          <w:bCs/>
          <w:sz w:val="24"/>
          <w:szCs w:val="24"/>
        </w:rPr>
        <w:t xml:space="preserve"> 5.6</w:t>
      </w:r>
      <w:r w:rsidR="00606174" w:rsidRPr="003B1108">
        <w:rPr>
          <w:rFonts w:ascii="Book Antiqua" w:hAnsi="Book Antiqua"/>
          <w:bCs/>
          <w:sz w:val="24"/>
          <w:szCs w:val="24"/>
        </w:rPr>
        <w:t>%</w:t>
      </w:r>
      <w:r w:rsidR="00606174">
        <w:rPr>
          <w:rFonts w:ascii="Book Antiqua" w:hAnsi="Book Antiqua"/>
          <w:bCs/>
          <w:sz w:val="24"/>
          <w:szCs w:val="24"/>
        </w:rPr>
        <w:t>;</w:t>
      </w:r>
      <w:r w:rsidR="00606174" w:rsidRPr="003B1108">
        <w:rPr>
          <w:rFonts w:ascii="Book Antiqua" w:hAnsi="Book Antiqua"/>
          <w:bCs/>
          <w:sz w:val="24"/>
          <w:szCs w:val="24"/>
        </w:rPr>
        <w:t xml:space="preserve"> </w:t>
      </w:r>
      <w:r w:rsidR="00C001A4" w:rsidRPr="003B1108">
        <w:rPr>
          <w:rFonts w:ascii="Book Antiqua" w:hAnsi="Book Antiqua"/>
          <w:bCs/>
          <w:sz w:val="24"/>
          <w:szCs w:val="24"/>
        </w:rPr>
        <w:t>subtype not specified</w:t>
      </w:r>
      <w:r w:rsidR="00606174">
        <w:rPr>
          <w:rFonts w:ascii="Book Antiqua" w:hAnsi="Book Antiqua"/>
          <w:bCs/>
          <w:sz w:val="24"/>
          <w:szCs w:val="24"/>
        </w:rPr>
        <w:t>,</w:t>
      </w:r>
      <w:r w:rsidR="00C001A4" w:rsidRPr="003B1108">
        <w:rPr>
          <w:rFonts w:ascii="Book Antiqua" w:hAnsi="Book Antiqua"/>
          <w:bCs/>
          <w:sz w:val="24"/>
          <w:szCs w:val="24"/>
        </w:rPr>
        <w:t xml:space="preserve"> 26.2%) and 24 with genotype 3 (3a</w:t>
      </w:r>
      <w:r w:rsidR="00606174">
        <w:rPr>
          <w:rFonts w:ascii="Book Antiqua" w:hAnsi="Book Antiqua"/>
          <w:bCs/>
          <w:sz w:val="24"/>
          <w:szCs w:val="24"/>
        </w:rPr>
        <w:t>,</w:t>
      </w:r>
      <w:r w:rsidR="00C001A4" w:rsidRPr="003B1108">
        <w:rPr>
          <w:rFonts w:ascii="Book Antiqua" w:hAnsi="Book Antiqua"/>
          <w:bCs/>
          <w:sz w:val="24"/>
          <w:szCs w:val="24"/>
        </w:rPr>
        <w:t xml:space="preserve"> 25.0</w:t>
      </w:r>
      <w:r w:rsidR="00606174" w:rsidRPr="003B1108">
        <w:rPr>
          <w:rFonts w:ascii="Book Antiqua" w:hAnsi="Book Antiqua"/>
          <w:bCs/>
          <w:sz w:val="24"/>
          <w:szCs w:val="24"/>
        </w:rPr>
        <w:t>%</w:t>
      </w:r>
      <w:r w:rsidR="00606174">
        <w:rPr>
          <w:rFonts w:ascii="Book Antiqua" w:hAnsi="Book Antiqua"/>
          <w:bCs/>
          <w:sz w:val="24"/>
          <w:szCs w:val="24"/>
        </w:rPr>
        <w:t>;</w:t>
      </w:r>
      <w:r w:rsidR="00606174" w:rsidRPr="003B1108">
        <w:rPr>
          <w:rFonts w:ascii="Book Antiqua" w:hAnsi="Book Antiqua"/>
          <w:bCs/>
          <w:sz w:val="24"/>
          <w:szCs w:val="24"/>
        </w:rPr>
        <w:t xml:space="preserve"> </w:t>
      </w:r>
      <w:r w:rsidR="00C001A4" w:rsidRPr="003B1108">
        <w:rPr>
          <w:rFonts w:ascii="Book Antiqua" w:hAnsi="Book Antiqua"/>
          <w:bCs/>
          <w:sz w:val="24"/>
          <w:szCs w:val="24"/>
        </w:rPr>
        <w:t>3b</w:t>
      </w:r>
      <w:r w:rsidR="00606174">
        <w:rPr>
          <w:rFonts w:ascii="Book Antiqua" w:hAnsi="Book Antiqua"/>
          <w:bCs/>
          <w:sz w:val="24"/>
          <w:szCs w:val="24"/>
        </w:rPr>
        <w:t>,</w:t>
      </w:r>
      <w:r w:rsidR="00C001A4" w:rsidRPr="003B1108">
        <w:rPr>
          <w:rFonts w:ascii="Book Antiqua" w:hAnsi="Book Antiqua"/>
          <w:bCs/>
          <w:sz w:val="24"/>
          <w:szCs w:val="24"/>
        </w:rPr>
        <w:t xml:space="preserve"> 12.5</w:t>
      </w:r>
      <w:r w:rsidR="00606174" w:rsidRPr="003B1108">
        <w:rPr>
          <w:rFonts w:ascii="Book Antiqua" w:hAnsi="Book Antiqua"/>
          <w:bCs/>
          <w:sz w:val="24"/>
          <w:szCs w:val="24"/>
        </w:rPr>
        <w:t>%</w:t>
      </w:r>
      <w:r w:rsidR="00606174">
        <w:rPr>
          <w:rFonts w:ascii="Book Antiqua" w:hAnsi="Book Antiqua"/>
          <w:bCs/>
          <w:sz w:val="24"/>
          <w:szCs w:val="24"/>
        </w:rPr>
        <w:t>;</w:t>
      </w:r>
      <w:r w:rsidR="00606174" w:rsidRPr="003B1108">
        <w:rPr>
          <w:rFonts w:ascii="Book Antiqua" w:hAnsi="Book Antiqua"/>
          <w:bCs/>
          <w:sz w:val="24"/>
          <w:szCs w:val="24"/>
        </w:rPr>
        <w:t xml:space="preserve"> </w:t>
      </w:r>
      <w:r w:rsidR="00C001A4" w:rsidRPr="003B1108">
        <w:rPr>
          <w:rFonts w:ascii="Book Antiqua" w:hAnsi="Book Antiqua"/>
          <w:bCs/>
          <w:sz w:val="24"/>
          <w:szCs w:val="24"/>
        </w:rPr>
        <w:t>subtype not specified</w:t>
      </w:r>
      <w:r w:rsidR="00606174">
        <w:rPr>
          <w:rFonts w:ascii="Book Antiqua" w:hAnsi="Book Antiqua"/>
          <w:bCs/>
          <w:sz w:val="24"/>
          <w:szCs w:val="24"/>
        </w:rPr>
        <w:t>,</w:t>
      </w:r>
      <w:r w:rsidR="00C001A4" w:rsidRPr="003B1108">
        <w:rPr>
          <w:rFonts w:ascii="Book Antiqua" w:hAnsi="Book Antiqua"/>
          <w:bCs/>
          <w:sz w:val="24"/>
          <w:szCs w:val="24"/>
        </w:rPr>
        <w:t xml:space="preserve"> 62.5%). Of the patients, 12 (3.3%) were found to have controlled co-existing HCC. Table 2 shows the baseline characteristics of the </w:t>
      </w:r>
      <w:r w:rsidR="00C001A4" w:rsidRPr="003B1108">
        <w:rPr>
          <w:rFonts w:ascii="Book Antiqua" w:hAnsi="Book Antiqua"/>
          <w:bCs/>
          <w:sz w:val="24"/>
          <w:szCs w:val="24"/>
        </w:rPr>
        <w:lastRenderedPageBreak/>
        <w:t>patients. The mean age of the patients was 52.2 ± 12.0 years, and 192 (47.5%) were male. Fifty</w:t>
      </w:r>
      <w:r w:rsidR="00606174">
        <w:rPr>
          <w:rFonts w:ascii="Book Antiqua" w:hAnsi="Book Antiqua"/>
          <w:bCs/>
          <w:sz w:val="24"/>
          <w:szCs w:val="24"/>
        </w:rPr>
        <w:t xml:space="preserve"> </w:t>
      </w:r>
      <w:r w:rsidR="00C001A4" w:rsidRPr="003B1108">
        <w:rPr>
          <w:rFonts w:ascii="Book Antiqua" w:hAnsi="Book Antiqua"/>
          <w:bCs/>
          <w:sz w:val="24"/>
          <w:szCs w:val="24"/>
        </w:rPr>
        <w:t xml:space="preserve">(13.7%) </w:t>
      </w:r>
      <w:r w:rsidR="00606174" w:rsidRPr="003B1108">
        <w:rPr>
          <w:rFonts w:ascii="Book Antiqua" w:hAnsi="Book Antiqua"/>
          <w:bCs/>
          <w:sz w:val="24"/>
          <w:szCs w:val="24"/>
        </w:rPr>
        <w:t xml:space="preserve">patients </w:t>
      </w:r>
      <w:r w:rsidR="00C001A4" w:rsidRPr="003B1108">
        <w:rPr>
          <w:rFonts w:ascii="Book Antiqua" w:hAnsi="Book Antiqua"/>
          <w:bCs/>
          <w:sz w:val="24"/>
          <w:szCs w:val="24"/>
        </w:rPr>
        <w:t>had been treated with interferon (IFN) or DAAs before. Some of the patients (154, 42.1%) had cirrhosis. Most of the cirrhotic patients (123, 79.9%) had a Child-Pugh score of A, while the rest of them had a Child-Pugh score of B. A total of 25 (6.8%) of the patients had HBV co-infection, 17 (4.6%) had diabetes mellitus, 24 (6.6) had hypertension, and 52 (14.2%) had fatty liver disease.</w:t>
      </w:r>
    </w:p>
    <w:p w14:paraId="6E3195AB" w14:textId="7138B041" w:rsidR="00C001A4" w:rsidRPr="003B1108" w:rsidRDefault="00343177" w:rsidP="003B1108">
      <w:pPr>
        <w:adjustRightInd w:val="0"/>
        <w:snapToGrid w:val="0"/>
        <w:spacing w:line="360" w:lineRule="auto"/>
        <w:ind w:firstLineChars="100" w:firstLine="240"/>
        <w:rPr>
          <w:rFonts w:ascii="Book Antiqua" w:hAnsi="Book Antiqua"/>
          <w:bCs/>
          <w:sz w:val="24"/>
          <w:szCs w:val="24"/>
        </w:rPr>
      </w:pPr>
      <w:r w:rsidRPr="003B1108">
        <w:rPr>
          <w:rFonts w:ascii="Book Antiqua" w:hAnsi="Book Antiqua"/>
          <w:bCs/>
          <w:sz w:val="24"/>
          <w:szCs w:val="24"/>
        </w:rPr>
        <w:t xml:space="preserve">The baseline clinical, biochemical, hematological and virologic characteristics of the patients based on the severity of their liver disease </w:t>
      </w:r>
      <w:r w:rsidR="00F92DD0">
        <w:rPr>
          <w:rFonts w:ascii="Book Antiqua" w:hAnsi="Book Antiqua"/>
          <w:bCs/>
          <w:sz w:val="24"/>
          <w:szCs w:val="24"/>
        </w:rPr>
        <w:t>are</w:t>
      </w:r>
      <w:r w:rsidR="00F92DD0" w:rsidRPr="003B1108">
        <w:rPr>
          <w:rFonts w:ascii="Book Antiqua" w:hAnsi="Book Antiqua"/>
          <w:bCs/>
          <w:sz w:val="24"/>
          <w:szCs w:val="24"/>
        </w:rPr>
        <w:t xml:space="preserve"> </w:t>
      </w:r>
      <w:r w:rsidRPr="003B1108">
        <w:rPr>
          <w:rFonts w:ascii="Book Antiqua" w:hAnsi="Book Antiqua"/>
          <w:bCs/>
          <w:sz w:val="24"/>
          <w:szCs w:val="24"/>
        </w:rPr>
        <w:t xml:space="preserve">shown in Table 3. Patients with cirrhosis (including compensated and decompensated cirrhosis) were older. They had higher levels of total bilirubin, alanine transaminase (ALT), aspartate aminotransferase (AST), alpha-fetoprotein (AFP), liver stiffness measurement (LSM) score, fibrosis 4 score, and </w:t>
      </w:r>
      <w:bookmarkStart w:id="48" w:name="_Hlk24118803"/>
      <w:r w:rsidRPr="003B1108">
        <w:rPr>
          <w:rFonts w:ascii="Book Antiqua" w:hAnsi="Book Antiqua"/>
          <w:bCs/>
          <w:sz w:val="24"/>
          <w:szCs w:val="24"/>
        </w:rPr>
        <w:t>AST-to-platelet ratio index</w:t>
      </w:r>
      <w:bookmarkEnd w:id="48"/>
      <w:r w:rsidRPr="003B1108">
        <w:rPr>
          <w:rFonts w:ascii="Book Antiqua" w:hAnsi="Book Antiqua"/>
          <w:bCs/>
          <w:sz w:val="24"/>
          <w:szCs w:val="24"/>
        </w:rPr>
        <w:t xml:space="preserve"> (APRI). Patients with cirrhosis had lower levels of albumin, hemoglobin, platelets, and HCV RNA compared to patients without (</w:t>
      </w:r>
      <w:r w:rsidR="0018436F" w:rsidRPr="003B1108">
        <w:rPr>
          <w:rFonts w:ascii="Book Antiqua" w:hAnsi="Book Antiqua"/>
          <w:bCs/>
          <w:i/>
          <w:iCs/>
          <w:sz w:val="24"/>
          <w:szCs w:val="24"/>
        </w:rPr>
        <w:t>P</w:t>
      </w:r>
      <w:r w:rsidRPr="003B1108">
        <w:rPr>
          <w:rFonts w:ascii="Book Antiqua" w:hAnsi="Book Antiqua"/>
          <w:bCs/>
          <w:sz w:val="24"/>
          <w:szCs w:val="24"/>
        </w:rPr>
        <w:t xml:space="preserve"> &lt; 0.05 for all).</w:t>
      </w:r>
    </w:p>
    <w:p w14:paraId="7A1BF502" w14:textId="77777777" w:rsidR="00C001A4" w:rsidRPr="003B1108" w:rsidRDefault="00C001A4" w:rsidP="003B1108">
      <w:pPr>
        <w:adjustRightInd w:val="0"/>
        <w:snapToGrid w:val="0"/>
        <w:spacing w:line="360" w:lineRule="auto"/>
        <w:rPr>
          <w:rFonts w:ascii="Book Antiqua" w:hAnsi="Book Antiqua"/>
          <w:bCs/>
          <w:sz w:val="24"/>
          <w:szCs w:val="24"/>
        </w:rPr>
      </w:pPr>
    </w:p>
    <w:p w14:paraId="7F4BEB55" w14:textId="1FCF1677" w:rsidR="00C9527A" w:rsidRPr="003B1108" w:rsidRDefault="004131BF" w:rsidP="003B1108">
      <w:pPr>
        <w:adjustRightInd w:val="0"/>
        <w:snapToGrid w:val="0"/>
        <w:spacing w:line="360" w:lineRule="auto"/>
        <w:rPr>
          <w:rFonts w:ascii="Book Antiqua" w:hAnsi="Book Antiqua"/>
          <w:b/>
          <w:i/>
          <w:iCs/>
          <w:sz w:val="24"/>
          <w:szCs w:val="24"/>
        </w:rPr>
      </w:pPr>
      <w:r w:rsidRPr="003B1108">
        <w:rPr>
          <w:rFonts w:ascii="Book Antiqua" w:hAnsi="Book Antiqua"/>
          <w:b/>
          <w:i/>
          <w:iCs/>
          <w:sz w:val="24"/>
          <w:szCs w:val="24"/>
        </w:rPr>
        <w:t>Efficacy of treatment</w:t>
      </w:r>
    </w:p>
    <w:p w14:paraId="669D8907" w14:textId="4CD46A66" w:rsidR="004131BF" w:rsidRPr="003B1108" w:rsidRDefault="00010101" w:rsidP="003B1108">
      <w:pPr>
        <w:adjustRightInd w:val="0"/>
        <w:snapToGrid w:val="0"/>
        <w:spacing w:line="360" w:lineRule="auto"/>
        <w:rPr>
          <w:rFonts w:ascii="Book Antiqua" w:hAnsi="Book Antiqua"/>
          <w:bCs/>
          <w:sz w:val="24"/>
          <w:szCs w:val="24"/>
        </w:rPr>
      </w:pPr>
      <w:r w:rsidRPr="003B1108">
        <w:rPr>
          <w:rFonts w:ascii="Book Antiqua" w:hAnsi="Book Antiqua"/>
          <w:bCs/>
          <w:sz w:val="24"/>
          <w:szCs w:val="24"/>
        </w:rPr>
        <w:t xml:space="preserve">In our study, RVR was achieved in 321 </w:t>
      </w:r>
      <w:r w:rsidR="00F92DD0" w:rsidRPr="003B1108">
        <w:rPr>
          <w:rFonts w:ascii="Book Antiqua" w:hAnsi="Book Antiqua"/>
          <w:bCs/>
          <w:sz w:val="24"/>
          <w:szCs w:val="24"/>
        </w:rPr>
        <w:t>(87.7%)</w:t>
      </w:r>
      <w:r w:rsidR="00F92DD0">
        <w:rPr>
          <w:rFonts w:ascii="Book Antiqua" w:hAnsi="Book Antiqua"/>
          <w:bCs/>
          <w:sz w:val="24"/>
          <w:szCs w:val="24"/>
        </w:rPr>
        <w:t xml:space="preserve"> </w:t>
      </w:r>
      <w:r w:rsidRPr="003B1108">
        <w:rPr>
          <w:rFonts w:ascii="Book Antiqua" w:hAnsi="Book Antiqua"/>
          <w:bCs/>
          <w:sz w:val="24"/>
          <w:szCs w:val="24"/>
        </w:rPr>
        <w:t>of 366</w:t>
      </w:r>
      <w:r w:rsidR="00F92DD0">
        <w:rPr>
          <w:rFonts w:ascii="Book Antiqua" w:hAnsi="Book Antiqua"/>
          <w:bCs/>
          <w:sz w:val="24"/>
          <w:szCs w:val="24"/>
        </w:rPr>
        <w:t xml:space="preserve"> </w:t>
      </w:r>
      <w:r w:rsidRPr="003B1108">
        <w:rPr>
          <w:rFonts w:ascii="Book Antiqua" w:hAnsi="Book Antiqua"/>
          <w:bCs/>
          <w:sz w:val="24"/>
          <w:szCs w:val="24"/>
        </w:rPr>
        <w:t xml:space="preserve">patients, and ETR was achieved in 338 </w:t>
      </w:r>
      <w:r w:rsidR="00F92DD0" w:rsidRPr="003B1108">
        <w:rPr>
          <w:rFonts w:ascii="Book Antiqua" w:hAnsi="Book Antiqua"/>
          <w:bCs/>
          <w:sz w:val="24"/>
          <w:szCs w:val="24"/>
        </w:rPr>
        <w:t>(98.5%)</w:t>
      </w:r>
      <w:r w:rsidR="00F92DD0">
        <w:rPr>
          <w:rFonts w:ascii="Book Antiqua" w:hAnsi="Book Antiqua"/>
          <w:bCs/>
          <w:sz w:val="24"/>
          <w:szCs w:val="24"/>
        </w:rPr>
        <w:t xml:space="preserve"> </w:t>
      </w:r>
      <w:r w:rsidRPr="003B1108">
        <w:rPr>
          <w:rFonts w:ascii="Book Antiqua" w:hAnsi="Book Antiqua"/>
          <w:bCs/>
          <w:sz w:val="24"/>
          <w:szCs w:val="24"/>
        </w:rPr>
        <w:t>of 343</w:t>
      </w:r>
      <w:r w:rsidR="00F92DD0">
        <w:rPr>
          <w:rFonts w:ascii="Book Antiqua" w:hAnsi="Book Antiqua"/>
          <w:bCs/>
          <w:sz w:val="24"/>
          <w:szCs w:val="24"/>
        </w:rPr>
        <w:t xml:space="preserve"> </w:t>
      </w:r>
      <w:r w:rsidRPr="003B1108">
        <w:rPr>
          <w:rFonts w:ascii="Book Antiqua" w:hAnsi="Book Antiqua"/>
          <w:bCs/>
          <w:sz w:val="24"/>
          <w:szCs w:val="24"/>
        </w:rPr>
        <w:t xml:space="preserve">patients. ITT analysis </w:t>
      </w:r>
      <w:r w:rsidR="00F92DD0" w:rsidRPr="003B1108">
        <w:rPr>
          <w:rFonts w:ascii="Book Antiqua" w:hAnsi="Book Antiqua"/>
          <w:bCs/>
          <w:sz w:val="24"/>
          <w:szCs w:val="24"/>
        </w:rPr>
        <w:t>show</w:t>
      </w:r>
      <w:r w:rsidR="00F92DD0">
        <w:rPr>
          <w:rFonts w:ascii="Book Antiqua" w:hAnsi="Book Antiqua"/>
          <w:bCs/>
          <w:sz w:val="24"/>
          <w:szCs w:val="24"/>
        </w:rPr>
        <w:t>ed</w:t>
      </w:r>
      <w:r w:rsidR="00F92DD0" w:rsidRPr="003B1108">
        <w:rPr>
          <w:rFonts w:ascii="Book Antiqua" w:hAnsi="Book Antiqua"/>
          <w:bCs/>
          <w:sz w:val="24"/>
          <w:szCs w:val="24"/>
        </w:rPr>
        <w:t xml:space="preserve"> </w:t>
      </w:r>
      <w:r w:rsidRPr="003B1108">
        <w:rPr>
          <w:rFonts w:ascii="Book Antiqua" w:hAnsi="Book Antiqua"/>
          <w:bCs/>
          <w:sz w:val="24"/>
          <w:szCs w:val="24"/>
        </w:rPr>
        <w:t>that 316</w:t>
      </w:r>
      <w:r w:rsidR="00F92DD0">
        <w:rPr>
          <w:rFonts w:ascii="Book Antiqua" w:hAnsi="Book Antiqua"/>
          <w:bCs/>
          <w:sz w:val="24"/>
          <w:szCs w:val="24"/>
        </w:rPr>
        <w:t xml:space="preserve"> </w:t>
      </w:r>
      <w:r w:rsidRPr="003B1108">
        <w:rPr>
          <w:rFonts w:ascii="Book Antiqua" w:hAnsi="Book Antiqua"/>
          <w:bCs/>
          <w:sz w:val="24"/>
          <w:szCs w:val="24"/>
        </w:rPr>
        <w:t xml:space="preserve">(86.3%) </w:t>
      </w:r>
      <w:r w:rsidR="00F92DD0" w:rsidRPr="003B1108">
        <w:rPr>
          <w:rFonts w:ascii="Book Antiqua" w:hAnsi="Book Antiqua"/>
          <w:bCs/>
          <w:sz w:val="24"/>
          <w:szCs w:val="24"/>
        </w:rPr>
        <w:t xml:space="preserve">patients </w:t>
      </w:r>
      <w:r w:rsidRPr="003B1108">
        <w:rPr>
          <w:rFonts w:ascii="Book Antiqua" w:hAnsi="Book Antiqua"/>
          <w:bCs/>
          <w:sz w:val="24"/>
          <w:szCs w:val="24"/>
        </w:rPr>
        <w:t xml:space="preserve">reached SVR12, accounting for 182 </w:t>
      </w:r>
      <w:r w:rsidR="00F92DD0" w:rsidRPr="003B1108">
        <w:rPr>
          <w:rFonts w:ascii="Book Antiqua" w:hAnsi="Book Antiqua"/>
          <w:bCs/>
          <w:sz w:val="24"/>
          <w:szCs w:val="24"/>
        </w:rPr>
        <w:t>(84.3%)</w:t>
      </w:r>
      <w:r w:rsidR="00F92DD0">
        <w:rPr>
          <w:rFonts w:ascii="Book Antiqua" w:hAnsi="Book Antiqua"/>
          <w:bCs/>
          <w:sz w:val="24"/>
          <w:szCs w:val="24"/>
        </w:rPr>
        <w:t xml:space="preserve"> </w:t>
      </w:r>
      <w:r w:rsidRPr="003B1108">
        <w:rPr>
          <w:rFonts w:ascii="Book Antiqua" w:hAnsi="Book Antiqua"/>
          <w:bCs/>
          <w:sz w:val="24"/>
          <w:szCs w:val="24"/>
        </w:rPr>
        <w:t xml:space="preserve">of 216 </w:t>
      </w:r>
      <w:r w:rsidR="00F92DD0">
        <w:rPr>
          <w:rFonts w:ascii="Book Antiqua" w:hAnsi="Book Antiqua"/>
          <w:bCs/>
          <w:sz w:val="24"/>
          <w:szCs w:val="24"/>
        </w:rPr>
        <w:t>patients with</w:t>
      </w:r>
      <w:r w:rsidRPr="003B1108">
        <w:rPr>
          <w:rFonts w:ascii="Book Antiqua" w:hAnsi="Book Antiqua"/>
          <w:bCs/>
          <w:sz w:val="24"/>
          <w:szCs w:val="24"/>
        </w:rPr>
        <w:t xml:space="preserve"> genotype 1, 115 </w:t>
      </w:r>
      <w:r w:rsidR="00F92DD0" w:rsidRPr="003B1108">
        <w:rPr>
          <w:rFonts w:ascii="Book Antiqua" w:hAnsi="Book Antiqua"/>
          <w:bCs/>
          <w:sz w:val="24"/>
          <w:szCs w:val="24"/>
        </w:rPr>
        <w:t xml:space="preserve">(91.3%) </w:t>
      </w:r>
      <w:r w:rsidRPr="003B1108">
        <w:rPr>
          <w:rFonts w:ascii="Book Antiqua" w:hAnsi="Book Antiqua"/>
          <w:bCs/>
          <w:sz w:val="24"/>
          <w:szCs w:val="24"/>
        </w:rPr>
        <w:t xml:space="preserve">of 126 </w:t>
      </w:r>
      <w:r w:rsidR="00F92DD0">
        <w:rPr>
          <w:rFonts w:ascii="Book Antiqua" w:hAnsi="Book Antiqua"/>
          <w:bCs/>
          <w:sz w:val="24"/>
          <w:szCs w:val="24"/>
        </w:rPr>
        <w:t>with</w:t>
      </w:r>
      <w:r w:rsidRPr="003B1108">
        <w:rPr>
          <w:rFonts w:ascii="Book Antiqua" w:hAnsi="Book Antiqua"/>
          <w:bCs/>
          <w:sz w:val="24"/>
          <w:szCs w:val="24"/>
        </w:rPr>
        <w:t xml:space="preserve"> genotype 2, and 19 </w:t>
      </w:r>
      <w:r w:rsidR="00F92DD0" w:rsidRPr="003B1108">
        <w:rPr>
          <w:rFonts w:ascii="Book Antiqua" w:hAnsi="Book Antiqua"/>
          <w:bCs/>
          <w:sz w:val="24"/>
          <w:szCs w:val="24"/>
        </w:rPr>
        <w:t>(79.2%)</w:t>
      </w:r>
      <w:r w:rsidR="00F92DD0">
        <w:rPr>
          <w:rFonts w:ascii="Book Antiqua" w:hAnsi="Book Antiqua"/>
          <w:bCs/>
          <w:sz w:val="24"/>
          <w:szCs w:val="24"/>
        </w:rPr>
        <w:t xml:space="preserve"> </w:t>
      </w:r>
      <w:r w:rsidRPr="003B1108">
        <w:rPr>
          <w:rFonts w:ascii="Book Antiqua" w:hAnsi="Book Antiqua"/>
          <w:bCs/>
          <w:sz w:val="24"/>
          <w:szCs w:val="24"/>
        </w:rPr>
        <w:t>of 24 with genotype 3 (</w:t>
      </w:r>
      <w:r w:rsidR="00777E45" w:rsidRPr="003B1108">
        <w:rPr>
          <w:rFonts w:ascii="Book Antiqua" w:hAnsi="Book Antiqua"/>
          <w:bCs/>
          <w:i/>
          <w:iCs/>
          <w:sz w:val="24"/>
          <w:szCs w:val="24"/>
        </w:rPr>
        <w:t>P</w:t>
      </w:r>
      <w:r w:rsidRPr="003B1108">
        <w:rPr>
          <w:rFonts w:ascii="Book Antiqua" w:hAnsi="Book Antiqua"/>
          <w:bCs/>
          <w:sz w:val="24"/>
          <w:szCs w:val="24"/>
        </w:rPr>
        <w:t xml:space="preserve"> = 0.375). SVR (</w:t>
      </w:r>
      <w:proofErr w:type="spellStart"/>
      <w:r w:rsidRPr="003B1108">
        <w:rPr>
          <w:rFonts w:ascii="Book Antiqua" w:hAnsi="Book Antiqua"/>
          <w:bCs/>
          <w:sz w:val="24"/>
          <w:szCs w:val="24"/>
        </w:rPr>
        <w:t>mITT</w:t>
      </w:r>
      <w:proofErr w:type="spellEnd"/>
      <w:r w:rsidRPr="003B1108">
        <w:rPr>
          <w:rFonts w:ascii="Book Antiqua" w:hAnsi="Book Antiqua"/>
          <w:bCs/>
          <w:sz w:val="24"/>
          <w:szCs w:val="24"/>
        </w:rPr>
        <w:t xml:space="preserve"> analysis) was 96.3% in </w:t>
      </w:r>
      <w:r w:rsidR="00F92DD0">
        <w:rPr>
          <w:rFonts w:ascii="Book Antiqua" w:hAnsi="Book Antiqua"/>
          <w:bCs/>
          <w:sz w:val="24"/>
          <w:szCs w:val="24"/>
        </w:rPr>
        <w:t xml:space="preserve">patients with </w:t>
      </w:r>
      <w:r w:rsidRPr="003B1108">
        <w:rPr>
          <w:rFonts w:ascii="Book Antiqua" w:hAnsi="Book Antiqua"/>
          <w:bCs/>
          <w:sz w:val="24"/>
          <w:szCs w:val="24"/>
        </w:rPr>
        <w:t xml:space="preserve">genotype 1, 97.5% in </w:t>
      </w:r>
      <w:r w:rsidR="00F92DD0">
        <w:rPr>
          <w:rFonts w:ascii="Book Antiqua" w:hAnsi="Book Antiqua"/>
          <w:bCs/>
          <w:sz w:val="24"/>
          <w:szCs w:val="24"/>
        </w:rPr>
        <w:t xml:space="preserve">those with </w:t>
      </w:r>
      <w:r w:rsidRPr="003B1108">
        <w:rPr>
          <w:rFonts w:ascii="Book Antiqua" w:hAnsi="Book Antiqua"/>
          <w:bCs/>
          <w:sz w:val="24"/>
          <w:szCs w:val="24"/>
        </w:rPr>
        <w:t xml:space="preserve">genotype 2, and 95.0% in </w:t>
      </w:r>
      <w:r w:rsidR="00F92DD0">
        <w:rPr>
          <w:rFonts w:ascii="Book Antiqua" w:hAnsi="Book Antiqua"/>
          <w:bCs/>
          <w:sz w:val="24"/>
          <w:szCs w:val="24"/>
        </w:rPr>
        <w:t xml:space="preserve">those with </w:t>
      </w:r>
      <w:r w:rsidRPr="003B1108">
        <w:rPr>
          <w:rFonts w:ascii="Book Antiqua" w:hAnsi="Book Antiqua"/>
          <w:bCs/>
          <w:sz w:val="24"/>
          <w:szCs w:val="24"/>
        </w:rPr>
        <w:t>genotype 3. No statistically significant difference in SVR was found among patients with different genotypes (</w:t>
      </w:r>
      <w:r w:rsidR="00777E45" w:rsidRPr="003B1108">
        <w:rPr>
          <w:rFonts w:ascii="Book Antiqua" w:hAnsi="Book Antiqua"/>
          <w:bCs/>
          <w:i/>
          <w:iCs/>
          <w:sz w:val="24"/>
          <w:szCs w:val="24"/>
        </w:rPr>
        <w:t>P</w:t>
      </w:r>
      <w:r w:rsidRPr="003B1108">
        <w:rPr>
          <w:rFonts w:ascii="Book Antiqua" w:hAnsi="Book Antiqua"/>
          <w:bCs/>
          <w:sz w:val="24"/>
          <w:szCs w:val="24"/>
        </w:rPr>
        <w:t xml:space="preserve"> = 0.759). In patients without cirrhosis (96.2%), SVR12 rates were similar</w:t>
      </w:r>
      <w:r w:rsidR="00F549B2">
        <w:rPr>
          <w:rFonts w:ascii="Book Antiqua" w:hAnsi="Book Antiqua"/>
          <w:bCs/>
          <w:sz w:val="24"/>
          <w:szCs w:val="24"/>
        </w:rPr>
        <w:t xml:space="preserve"> </w:t>
      </w:r>
      <w:r w:rsidRPr="003B1108">
        <w:rPr>
          <w:rFonts w:ascii="Book Antiqua" w:hAnsi="Book Antiqua"/>
          <w:bCs/>
          <w:sz w:val="24"/>
          <w:szCs w:val="24"/>
        </w:rPr>
        <w:t xml:space="preserve">to those </w:t>
      </w:r>
      <w:r w:rsidR="00F92DD0">
        <w:rPr>
          <w:rFonts w:ascii="Book Antiqua" w:hAnsi="Book Antiqua"/>
          <w:bCs/>
          <w:sz w:val="24"/>
          <w:szCs w:val="24"/>
        </w:rPr>
        <w:t xml:space="preserve">of </w:t>
      </w:r>
      <w:r w:rsidRPr="003B1108">
        <w:rPr>
          <w:rFonts w:ascii="Book Antiqua" w:hAnsi="Book Antiqua"/>
          <w:bCs/>
          <w:sz w:val="24"/>
          <w:szCs w:val="24"/>
        </w:rPr>
        <w:t xml:space="preserve">patients with cirrhosis (97.2%, </w:t>
      </w:r>
      <w:r w:rsidR="00777E45" w:rsidRPr="003B1108">
        <w:rPr>
          <w:rFonts w:ascii="Book Antiqua" w:hAnsi="Book Antiqua"/>
          <w:bCs/>
          <w:i/>
          <w:iCs/>
          <w:sz w:val="24"/>
          <w:szCs w:val="24"/>
        </w:rPr>
        <w:t>P</w:t>
      </w:r>
      <w:r w:rsidRPr="003B1108">
        <w:rPr>
          <w:rFonts w:ascii="Times New Roman" w:hAnsi="Times New Roman"/>
          <w:bCs/>
          <w:sz w:val="24"/>
          <w:szCs w:val="24"/>
        </w:rPr>
        <w:t> </w:t>
      </w:r>
      <w:r w:rsidRPr="003B1108">
        <w:rPr>
          <w:rFonts w:ascii="Book Antiqua" w:hAnsi="Book Antiqua"/>
          <w:bCs/>
          <w:sz w:val="24"/>
          <w:szCs w:val="24"/>
        </w:rPr>
        <w:t>=</w:t>
      </w:r>
      <w:r w:rsidRPr="003B1108">
        <w:rPr>
          <w:rFonts w:ascii="Times New Roman" w:hAnsi="Times New Roman"/>
          <w:bCs/>
          <w:sz w:val="24"/>
          <w:szCs w:val="24"/>
        </w:rPr>
        <w:t> </w:t>
      </w:r>
      <w:r w:rsidRPr="003B1108">
        <w:rPr>
          <w:rFonts w:ascii="Book Antiqua" w:hAnsi="Book Antiqua"/>
          <w:bCs/>
          <w:sz w:val="24"/>
          <w:szCs w:val="24"/>
        </w:rPr>
        <w:t>0.971). Of all the patients, a total of 51 (13.6%) failed to achieve SVR, most of which (</w:t>
      </w:r>
      <w:r w:rsidRPr="003B1108">
        <w:rPr>
          <w:rFonts w:ascii="Book Antiqua" w:hAnsi="Book Antiqua"/>
          <w:bCs/>
          <w:i/>
          <w:iCs/>
          <w:sz w:val="24"/>
          <w:szCs w:val="24"/>
        </w:rPr>
        <w:t>n</w:t>
      </w:r>
      <w:r w:rsidRPr="003B1108">
        <w:rPr>
          <w:rFonts w:ascii="Book Antiqua" w:hAnsi="Book Antiqua"/>
          <w:bCs/>
          <w:sz w:val="24"/>
          <w:szCs w:val="24"/>
        </w:rPr>
        <w:t xml:space="preserve"> = 36) </w:t>
      </w:r>
      <w:r w:rsidR="00F92DD0" w:rsidRPr="003B1108">
        <w:rPr>
          <w:rFonts w:ascii="Book Antiqua" w:hAnsi="Book Antiqua"/>
          <w:bCs/>
          <w:sz w:val="24"/>
          <w:szCs w:val="24"/>
        </w:rPr>
        <w:t>w</w:t>
      </w:r>
      <w:r w:rsidR="00F92DD0">
        <w:rPr>
          <w:rFonts w:ascii="Book Antiqua" w:hAnsi="Book Antiqua"/>
          <w:bCs/>
          <w:sz w:val="24"/>
          <w:szCs w:val="24"/>
        </w:rPr>
        <w:t>ere</w:t>
      </w:r>
      <w:r w:rsidR="00F92DD0" w:rsidRPr="003B1108">
        <w:rPr>
          <w:rFonts w:ascii="Book Antiqua" w:hAnsi="Book Antiqua"/>
          <w:bCs/>
          <w:sz w:val="24"/>
          <w:szCs w:val="24"/>
        </w:rPr>
        <w:t xml:space="preserve"> </w:t>
      </w:r>
      <w:r w:rsidRPr="003B1108">
        <w:rPr>
          <w:rFonts w:ascii="Book Antiqua" w:hAnsi="Book Antiqua"/>
          <w:bCs/>
          <w:sz w:val="24"/>
          <w:szCs w:val="24"/>
        </w:rPr>
        <w:t>due to</w:t>
      </w:r>
      <w:r w:rsidR="00F92DD0">
        <w:rPr>
          <w:rFonts w:ascii="Book Antiqua" w:hAnsi="Book Antiqua"/>
          <w:bCs/>
          <w:sz w:val="24"/>
          <w:szCs w:val="24"/>
        </w:rPr>
        <w:t xml:space="preserve"> </w:t>
      </w:r>
      <w:r w:rsidRPr="003B1108">
        <w:rPr>
          <w:rFonts w:ascii="Book Antiqua" w:hAnsi="Book Antiqua"/>
          <w:bCs/>
          <w:sz w:val="24"/>
          <w:szCs w:val="24"/>
        </w:rPr>
        <w:t xml:space="preserve">loss </w:t>
      </w:r>
      <w:r w:rsidR="00F92DD0">
        <w:rPr>
          <w:rFonts w:ascii="Book Antiqua" w:hAnsi="Book Antiqua"/>
          <w:bCs/>
          <w:sz w:val="24"/>
          <w:szCs w:val="24"/>
        </w:rPr>
        <w:t xml:space="preserve">to </w:t>
      </w:r>
      <w:r w:rsidRPr="003B1108">
        <w:rPr>
          <w:rFonts w:ascii="Book Antiqua" w:hAnsi="Book Antiqua"/>
          <w:bCs/>
          <w:sz w:val="24"/>
          <w:szCs w:val="24"/>
        </w:rPr>
        <w:t xml:space="preserve">follow-up. In addition, 3 patients had non-responses, 1 had a viral breakthrough, and 11 relapsed. </w:t>
      </w:r>
      <w:r w:rsidR="00414BA6">
        <w:rPr>
          <w:rFonts w:ascii="Book Antiqua" w:hAnsi="Book Antiqua"/>
          <w:bCs/>
          <w:sz w:val="24"/>
          <w:szCs w:val="24"/>
        </w:rPr>
        <w:t>Patients with g</w:t>
      </w:r>
      <w:r w:rsidR="00414BA6" w:rsidRPr="003B1108">
        <w:rPr>
          <w:rFonts w:ascii="Book Antiqua" w:hAnsi="Book Antiqua"/>
          <w:bCs/>
          <w:sz w:val="24"/>
          <w:szCs w:val="24"/>
        </w:rPr>
        <w:t xml:space="preserve">enotype </w:t>
      </w:r>
      <w:r w:rsidRPr="003B1108">
        <w:rPr>
          <w:rFonts w:ascii="Book Antiqua" w:hAnsi="Book Antiqua"/>
          <w:bCs/>
          <w:sz w:val="24"/>
          <w:szCs w:val="24"/>
        </w:rPr>
        <w:t xml:space="preserve">3 had more treatment failures (non-response in 1, and 1 had a relapse). After </w:t>
      </w:r>
      <w:r w:rsidRPr="003B1108">
        <w:rPr>
          <w:rFonts w:ascii="Book Antiqua" w:hAnsi="Book Antiqua"/>
          <w:bCs/>
          <w:sz w:val="24"/>
          <w:szCs w:val="24"/>
        </w:rPr>
        <w:lastRenderedPageBreak/>
        <w:t xml:space="preserve">treatment, the patients’ liver stiffness as determined by </w:t>
      </w:r>
      <w:proofErr w:type="spellStart"/>
      <w:r w:rsidRPr="003B1108">
        <w:rPr>
          <w:rFonts w:ascii="Book Antiqua" w:hAnsi="Book Antiqua"/>
          <w:bCs/>
          <w:sz w:val="24"/>
          <w:szCs w:val="24"/>
        </w:rPr>
        <w:t>Fibroscan</w:t>
      </w:r>
      <w:proofErr w:type="spellEnd"/>
      <w:r w:rsidRPr="003B1108">
        <w:rPr>
          <w:rFonts w:ascii="Book Antiqua" w:hAnsi="Book Antiqua"/>
          <w:bCs/>
          <w:sz w:val="24"/>
          <w:szCs w:val="24"/>
        </w:rPr>
        <w:t xml:space="preserve"> decreased by 0.64 ± 1.1, and patients with cirrhosis </w:t>
      </w:r>
      <w:r w:rsidR="00F92DD0">
        <w:rPr>
          <w:rFonts w:ascii="Book Antiqua" w:hAnsi="Book Antiqua"/>
          <w:bCs/>
          <w:sz w:val="24"/>
          <w:szCs w:val="24"/>
        </w:rPr>
        <w:t>had an</w:t>
      </w:r>
      <w:r w:rsidR="00F92DD0" w:rsidRPr="003B1108">
        <w:rPr>
          <w:rFonts w:ascii="Book Antiqua" w:hAnsi="Book Antiqua"/>
          <w:bCs/>
          <w:sz w:val="24"/>
          <w:szCs w:val="24"/>
        </w:rPr>
        <w:t xml:space="preserve"> </w:t>
      </w:r>
      <w:r w:rsidRPr="003B1108">
        <w:rPr>
          <w:rFonts w:ascii="Book Antiqua" w:hAnsi="Book Antiqua"/>
          <w:bCs/>
          <w:sz w:val="24"/>
          <w:szCs w:val="24"/>
        </w:rPr>
        <w:t>even more</w:t>
      </w:r>
      <w:r w:rsidR="00F92DD0">
        <w:rPr>
          <w:rFonts w:ascii="Book Antiqua" w:hAnsi="Book Antiqua"/>
          <w:bCs/>
          <w:sz w:val="24"/>
          <w:szCs w:val="24"/>
        </w:rPr>
        <w:t xml:space="preserve"> decrease</w:t>
      </w:r>
      <w:r w:rsidRPr="003B1108">
        <w:rPr>
          <w:rFonts w:ascii="Book Antiqua" w:hAnsi="Book Antiqua"/>
          <w:bCs/>
          <w:sz w:val="24"/>
          <w:szCs w:val="24"/>
        </w:rPr>
        <w:t xml:space="preserve"> (</w:t>
      </w:r>
      <w:r w:rsidR="00777E45" w:rsidRPr="003B1108">
        <w:rPr>
          <w:rFonts w:ascii="Book Antiqua" w:hAnsi="Book Antiqua"/>
          <w:bCs/>
          <w:i/>
          <w:iCs/>
          <w:sz w:val="24"/>
          <w:szCs w:val="24"/>
        </w:rPr>
        <w:t>P</w:t>
      </w:r>
      <w:r w:rsidRPr="003B1108">
        <w:rPr>
          <w:rFonts w:ascii="Book Antiqua" w:hAnsi="Book Antiqua"/>
          <w:bCs/>
          <w:sz w:val="24"/>
          <w:szCs w:val="24"/>
        </w:rPr>
        <w:t xml:space="preserve"> = 0.023).</w:t>
      </w:r>
    </w:p>
    <w:p w14:paraId="0AFFE5A1" w14:textId="0C02A366" w:rsidR="00010101" w:rsidRPr="003B1108" w:rsidRDefault="00C51644" w:rsidP="003B1108">
      <w:pPr>
        <w:adjustRightInd w:val="0"/>
        <w:snapToGrid w:val="0"/>
        <w:spacing w:line="360" w:lineRule="auto"/>
        <w:ind w:firstLineChars="100" w:firstLine="240"/>
        <w:rPr>
          <w:rFonts w:ascii="Book Antiqua" w:hAnsi="Book Antiqua"/>
          <w:bCs/>
          <w:sz w:val="24"/>
          <w:szCs w:val="24"/>
        </w:rPr>
      </w:pPr>
      <w:r w:rsidRPr="003B1108">
        <w:rPr>
          <w:rFonts w:ascii="Book Antiqua" w:hAnsi="Book Antiqua"/>
          <w:bCs/>
          <w:sz w:val="24"/>
          <w:szCs w:val="24"/>
        </w:rPr>
        <w:t>In the correlation analysis between the baseline characteristics and SVR (Table 4), we</w:t>
      </w:r>
      <w:r w:rsidR="00F92DD0">
        <w:rPr>
          <w:rFonts w:ascii="Book Antiqua" w:hAnsi="Book Antiqua"/>
          <w:bCs/>
          <w:sz w:val="24"/>
          <w:szCs w:val="24"/>
        </w:rPr>
        <w:t xml:space="preserve"> </w:t>
      </w:r>
      <w:r w:rsidRPr="003B1108">
        <w:rPr>
          <w:rFonts w:ascii="Book Antiqua" w:hAnsi="Book Antiqua"/>
          <w:bCs/>
          <w:sz w:val="24"/>
          <w:szCs w:val="24"/>
        </w:rPr>
        <w:t>found that patients with lower ALT levels (</w:t>
      </w:r>
      <w:r w:rsidR="00777E45" w:rsidRPr="003B1108">
        <w:rPr>
          <w:rFonts w:ascii="Book Antiqua" w:hAnsi="Book Antiqua"/>
          <w:bCs/>
          <w:i/>
          <w:iCs/>
          <w:sz w:val="24"/>
          <w:szCs w:val="24"/>
        </w:rPr>
        <w:t>P</w:t>
      </w:r>
      <w:r w:rsidRPr="003B1108">
        <w:rPr>
          <w:rFonts w:ascii="Book Antiqua" w:hAnsi="Book Antiqua"/>
          <w:bCs/>
          <w:sz w:val="24"/>
          <w:szCs w:val="24"/>
        </w:rPr>
        <w:t xml:space="preserve"> = 0.034) were more likely to achieve SVR12. However, there were no significant difference in age, gender, bilirubin, AST, albumin, cholesterol, hemoglobin, platelets, AFP, liver status, or HCV RNA levels (</w:t>
      </w:r>
      <w:r w:rsidR="00777E45" w:rsidRPr="003B1108">
        <w:rPr>
          <w:rFonts w:ascii="Book Antiqua" w:hAnsi="Book Antiqua"/>
          <w:bCs/>
          <w:i/>
          <w:iCs/>
          <w:sz w:val="24"/>
          <w:szCs w:val="24"/>
        </w:rPr>
        <w:t>P</w:t>
      </w:r>
      <w:r w:rsidRPr="003B1108">
        <w:rPr>
          <w:rFonts w:ascii="Book Antiqua" w:hAnsi="Book Antiqua"/>
          <w:bCs/>
          <w:sz w:val="24"/>
          <w:szCs w:val="24"/>
        </w:rPr>
        <w:t xml:space="preserve"> &gt; 0.05 for all). Additionally, patients who achieved ETR were more likely to achieve SVR12.</w:t>
      </w:r>
    </w:p>
    <w:p w14:paraId="40460243" w14:textId="77777777" w:rsidR="00C51644" w:rsidRPr="003B1108" w:rsidRDefault="00C51644" w:rsidP="003B1108">
      <w:pPr>
        <w:adjustRightInd w:val="0"/>
        <w:snapToGrid w:val="0"/>
        <w:spacing w:line="360" w:lineRule="auto"/>
        <w:rPr>
          <w:rFonts w:ascii="Book Antiqua" w:hAnsi="Book Antiqua"/>
          <w:bCs/>
          <w:sz w:val="24"/>
          <w:szCs w:val="24"/>
        </w:rPr>
      </w:pPr>
    </w:p>
    <w:p w14:paraId="1888C49A" w14:textId="2C7BD65E" w:rsidR="004131BF" w:rsidRPr="003B1108" w:rsidRDefault="004131BF" w:rsidP="003B1108">
      <w:pPr>
        <w:adjustRightInd w:val="0"/>
        <w:snapToGrid w:val="0"/>
        <w:spacing w:line="360" w:lineRule="auto"/>
        <w:rPr>
          <w:rFonts w:ascii="Book Antiqua" w:hAnsi="Book Antiqua"/>
          <w:b/>
          <w:i/>
          <w:iCs/>
          <w:sz w:val="24"/>
          <w:szCs w:val="24"/>
        </w:rPr>
      </w:pPr>
      <w:r w:rsidRPr="003B1108">
        <w:rPr>
          <w:rFonts w:ascii="Book Antiqua" w:hAnsi="Book Antiqua"/>
          <w:b/>
          <w:i/>
          <w:iCs/>
          <w:sz w:val="24"/>
          <w:szCs w:val="24"/>
        </w:rPr>
        <w:t>Safety and tolerability</w:t>
      </w:r>
    </w:p>
    <w:p w14:paraId="25DBA84B" w14:textId="19FFCFDD" w:rsidR="004131BF" w:rsidRPr="003B1108" w:rsidRDefault="00E538DF" w:rsidP="003B1108">
      <w:pPr>
        <w:adjustRightInd w:val="0"/>
        <w:snapToGrid w:val="0"/>
        <w:spacing w:line="360" w:lineRule="auto"/>
        <w:rPr>
          <w:rFonts w:ascii="Book Antiqua" w:hAnsi="Book Antiqua"/>
          <w:bCs/>
          <w:sz w:val="24"/>
          <w:szCs w:val="24"/>
        </w:rPr>
      </w:pPr>
      <w:r>
        <w:rPr>
          <w:rFonts w:ascii="Book Antiqua" w:hAnsi="Book Antiqua"/>
          <w:bCs/>
          <w:sz w:val="24"/>
          <w:szCs w:val="24"/>
        </w:rPr>
        <w:t>A total of</w:t>
      </w:r>
      <w:r w:rsidR="006E7B04" w:rsidRPr="003B1108">
        <w:rPr>
          <w:rFonts w:ascii="Book Antiqua" w:hAnsi="Book Antiqua"/>
          <w:bCs/>
          <w:sz w:val="24"/>
          <w:szCs w:val="24"/>
        </w:rPr>
        <w:t xml:space="preserve"> 114 (31.1%) </w:t>
      </w:r>
      <w:r w:rsidRPr="003B1108">
        <w:rPr>
          <w:rFonts w:ascii="Book Antiqua" w:hAnsi="Book Antiqua"/>
          <w:bCs/>
          <w:sz w:val="24"/>
          <w:szCs w:val="24"/>
        </w:rPr>
        <w:t xml:space="preserve">patients </w:t>
      </w:r>
      <w:r w:rsidR="006E7B04" w:rsidRPr="003B1108">
        <w:rPr>
          <w:rFonts w:ascii="Book Antiqua" w:hAnsi="Book Antiqua"/>
          <w:bCs/>
          <w:sz w:val="24"/>
          <w:szCs w:val="24"/>
        </w:rPr>
        <w:t>reported that they had at least one adverse event, but no serious adverse reactions (</w:t>
      </w:r>
      <w:r w:rsidR="00E44C20" w:rsidRPr="003B1108">
        <w:rPr>
          <w:rFonts w:ascii="Book Antiqua" w:hAnsi="Book Antiqua"/>
          <w:bCs/>
          <w:sz w:val="24"/>
          <w:szCs w:val="24"/>
        </w:rPr>
        <w:t>SA</w:t>
      </w:r>
      <w:r w:rsidR="00E44C20">
        <w:rPr>
          <w:rFonts w:ascii="Book Antiqua" w:hAnsi="Book Antiqua"/>
          <w:bCs/>
          <w:sz w:val="24"/>
          <w:szCs w:val="24"/>
        </w:rPr>
        <w:t>R</w:t>
      </w:r>
      <w:r w:rsidR="00E44C20" w:rsidRPr="003B1108">
        <w:rPr>
          <w:rFonts w:ascii="Book Antiqua" w:hAnsi="Book Antiqua"/>
          <w:bCs/>
          <w:sz w:val="24"/>
          <w:szCs w:val="24"/>
        </w:rPr>
        <w:t>s</w:t>
      </w:r>
      <w:r w:rsidR="006E7B04" w:rsidRPr="003B1108">
        <w:rPr>
          <w:rFonts w:ascii="Book Antiqua" w:hAnsi="Book Antiqua"/>
          <w:bCs/>
          <w:sz w:val="24"/>
          <w:szCs w:val="24"/>
        </w:rPr>
        <w:t>) occurred. Most of the adverse events were mild or moderate, such as fatigue (66, 18.0%), rash (25, 6.8%), anemia (16, 4.4%), and myocardial enzymes abnormality (7, 1.9%), which were mainly due to the use of RBV. The patients with cirrhosis tended to have more adverse reactions (</w:t>
      </w:r>
      <w:r w:rsidR="00777E45" w:rsidRPr="003B1108">
        <w:rPr>
          <w:rFonts w:ascii="Book Antiqua" w:hAnsi="Book Antiqua"/>
          <w:bCs/>
          <w:i/>
          <w:iCs/>
          <w:sz w:val="24"/>
          <w:szCs w:val="24"/>
        </w:rPr>
        <w:t>P</w:t>
      </w:r>
      <w:r w:rsidR="006E7B04" w:rsidRPr="003B1108">
        <w:rPr>
          <w:rFonts w:ascii="Book Antiqua" w:hAnsi="Book Antiqua"/>
          <w:bCs/>
          <w:sz w:val="24"/>
          <w:szCs w:val="24"/>
        </w:rPr>
        <w:t xml:space="preserve"> = 0.027). Twelve weeks after the end of treatment, one patient had developed HCC, and two others had a recurrence of HCC. The cumulative HCC occurrence and recurrence rate after DAA treatment was 0.9%. The patient with newly discovered HCC also had cirrhosis and experienced treatment failure. These two cases of recurrence were in patients with cirrhosis and SVR.</w:t>
      </w:r>
    </w:p>
    <w:p w14:paraId="1114BA63" w14:textId="5FEE4871" w:rsidR="006E7B04" w:rsidRPr="003B1108" w:rsidRDefault="006E7B04" w:rsidP="003B1108">
      <w:pPr>
        <w:adjustRightInd w:val="0"/>
        <w:snapToGrid w:val="0"/>
        <w:spacing w:line="360" w:lineRule="auto"/>
        <w:ind w:firstLineChars="100" w:firstLine="240"/>
        <w:rPr>
          <w:rFonts w:ascii="Book Antiqua" w:hAnsi="Book Antiqua"/>
          <w:bCs/>
          <w:sz w:val="24"/>
          <w:szCs w:val="24"/>
        </w:rPr>
      </w:pPr>
      <w:r w:rsidRPr="003B1108">
        <w:rPr>
          <w:rFonts w:ascii="Book Antiqua" w:hAnsi="Book Antiqua"/>
          <w:bCs/>
          <w:sz w:val="24"/>
          <w:szCs w:val="24"/>
        </w:rPr>
        <w:t xml:space="preserve">We found two cases of </w:t>
      </w:r>
      <w:r w:rsidR="00574BFC" w:rsidRPr="003B1108">
        <w:rPr>
          <w:rFonts w:ascii="Book Antiqua" w:hAnsi="Book Antiqua"/>
          <w:bCs/>
          <w:sz w:val="24"/>
          <w:szCs w:val="24"/>
        </w:rPr>
        <w:t>special adverse events</w:t>
      </w:r>
      <w:r w:rsidRPr="003B1108">
        <w:rPr>
          <w:rFonts w:ascii="Book Antiqua" w:hAnsi="Book Antiqua"/>
          <w:bCs/>
          <w:sz w:val="24"/>
          <w:szCs w:val="24"/>
        </w:rPr>
        <w:t>. In one case, a patient had had benign prostatic hyperplasia in addition to hepatitis C. His HCV viral load was 5.8 log IU/mL, and his genotype was 3b. After 24 h of co-administration with tamsulosin hydrochloride, edema occurred in his face and the patient also had bilateral lower extremity edema. The edema disappeared after he discontinued</w:t>
      </w:r>
      <w:r w:rsidR="00E538DF">
        <w:rPr>
          <w:rFonts w:ascii="Book Antiqua" w:hAnsi="Book Antiqua"/>
          <w:bCs/>
          <w:sz w:val="24"/>
          <w:szCs w:val="24"/>
        </w:rPr>
        <w:t xml:space="preserve"> </w:t>
      </w:r>
      <w:r w:rsidRPr="003B1108">
        <w:rPr>
          <w:rFonts w:ascii="Book Antiqua" w:hAnsi="Book Antiqua"/>
          <w:bCs/>
          <w:sz w:val="24"/>
          <w:szCs w:val="24"/>
        </w:rPr>
        <w:t>tamsulosin hydrochloride.</w:t>
      </w:r>
      <w:r w:rsidR="00574BFC" w:rsidRPr="003B1108">
        <w:rPr>
          <w:rFonts w:ascii="Book Antiqua" w:hAnsi="Book Antiqua"/>
          <w:bCs/>
          <w:sz w:val="24"/>
          <w:szCs w:val="24"/>
        </w:rPr>
        <w:t xml:space="preserve"> </w:t>
      </w:r>
      <w:r w:rsidR="0084524E" w:rsidRPr="003B1108">
        <w:rPr>
          <w:rFonts w:ascii="Book Antiqua" w:hAnsi="Book Antiqua"/>
          <w:bCs/>
          <w:sz w:val="24"/>
          <w:szCs w:val="24"/>
        </w:rPr>
        <w:t>We checked medicine specification</w:t>
      </w:r>
      <w:r w:rsidR="00E538DF">
        <w:rPr>
          <w:rFonts w:ascii="Book Antiqua" w:hAnsi="Book Antiqua"/>
          <w:bCs/>
          <w:sz w:val="24"/>
          <w:szCs w:val="24"/>
        </w:rPr>
        <w:t>s</w:t>
      </w:r>
      <w:r w:rsidR="0084524E" w:rsidRPr="003B1108">
        <w:rPr>
          <w:rFonts w:ascii="Book Antiqua" w:hAnsi="Book Antiqua"/>
          <w:bCs/>
          <w:sz w:val="24"/>
          <w:szCs w:val="24"/>
        </w:rPr>
        <w:t xml:space="preserve"> of tamsulosin hydrochloride and the DAA regimens but none of them mentioned edema in adverse reactions. So, we believed that his edema was due to DDIs between tamsulosin hydrochloride and DAAs.</w:t>
      </w:r>
      <w:r w:rsidR="00734B05" w:rsidRPr="003B1108">
        <w:rPr>
          <w:rFonts w:ascii="Book Antiqua" w:hAnsi="Book Antiqua"/>
          <w:bCs/>
          <w:sz w:val="24"/>
          <w:szCs w:val="24"/>
        </w:rPr>
        <w:t xml:space="preserve"> </w:t>
      </w:r>
      <w:r w:rsidRPr="003B1108">
        <w:rPr>
          <w:rFonts w:ascii="Book Antiqua" w:hAnsi="Book Antiqua"/>
          <w:bCs/>
          <w:sz w:val="24"/>
          <w:szCs w:val="24"/>
        </w:rPr>
        <w:t xml:space="preserve">In </w:t>
      </w:r>
      <w:r w:rsidRPr="003B1108">
        <w:rPr>
          <w:rFonts w:ascii="Book Antiqua" w:hAnsi="Book Antiqua"/>
          <w:bCs/>
          <w:sz w:val="24"/>
          <w:szCs w:val="24"/>
        </w:rPr>
        <w:lastRenderedPageBreak/>
        <w:t xml:space="preserve">the other case, we observed </w:t>
      </w:r>
      <w:r w:rsidR="00E44C20">
        <w:rPr>
          <w:rFonts w:ascii="Book Antiqua" w:hAnsi="Book Antiqua"/>
          <w:bCs/>
          <w:sz w:val="24"/>
          <w:szCs w:val="24"/>
        </w:rPr>
        <w:t xml:space="preserve">an </w:t>
      </w:r>
      <w:r w:rsidRPr="003B1108">
        <w:rPr>
          <w:rFonts w:ascii="Book Antiqua" w:hAnsi="Book Antiqua"/>
          <w:bCs/>
          <w:sz w:val="24"/>
          <w:szCs w:val="24"/>
        </w:rPr>
        <w:t xml:space="preserve">interesting change in the serum lipids. A middle-aged man on stable methadone maintenance therapy took VEL/SOF for antiviral therapy. Before the new treatment started, his total cholesterol and triglyceride </w:t>
      </w:r>
      <w:r w:rsidR="00E538DF">
        <w:rPr>
          <w:rFonts w:ascii="Book Antiqua" w:hAnsi="Book Antiqua"/>
          <w:bCs/>
          <w:sz w:val="24"/>
          <w:szCs w:val="24"/>
        </w:rPr>
        <w:t>levels</w:t>
      </w:r>
      <w:r w:rsidR="00E538DF" w:rsidRPr="003B1108">
        <w:rPr>
          <w:rFonts w:ascii="Book Antiqua" w:hAnsi="Book Antiqua"/>
          <w:bCs/>
          <w:sz w:val="24"/>
          <w:szCs w:val="24"/>
        </w:rPr>
        <w:t xml:space="preserve"> </w:t>
      </w:r>
      <w:r w:rsidRPr="003B1108">
        <w:rPr>
          <w:rFonts w:ascii="Book Antiqua" w:hAnsi="Book Antiqua"/>
          <w:bCs/>
          <w:sz w:val="24"/>
          <w:szCs w:val="24"/>
        </w:rPr>
        <w:t xml:space="preserve">were basically normal. After starting antiviral treatment, his triglyceride </w:t>
      </w:r>
      <w:r w:rsidR="00E538DF">
        <w:rPr>
          <w:rFonts w:ascii="Book Antiqua" w:hAnsi="Book Antiqua"/>
          <w:bCs/>
          <w:sz w:val="24"/>
          <w:szCs w:val="24"/>
        </w:rPr>
        <w:t>level</w:t>
      </w:r>
      <w:r w:rsidR="00E538DF" w:rsidRPr="003B1108">
        <w:rPr>
          <w:rFonts w:ascii="Book Antiqua" w:hAnsi="Book Antiqua"/>
          <w:bCs/>
          <w:sz w:val="24"/>
          <w:szCs w:val="24"/>
        </w:rPr>
        <w:t xml:space="preserve"> </w:t>
      </w:r>
      <w:r w:rsidRPr="003B1108">
        <w:rPr>
          <w:rFonts w:ascii="Book Antiqua" w:hAnsi="Book Antiqua"/>
          <w:bCs/>
          <w:sz w:val="24"/>
          <w:szCs w:val="24"/>
        </w:rPr>
        <w:t xml:space="preserve">rose rapidly, and peaked </w:t>
      </w:r>
      <w:r w:rsidR="00DE2FDA" w:rsidRPr="003B1108">
        <w:rPr>
          <w:rFonts w:ascii="Book Antiqua" w:hAnsi="Book Antiqua"/>
          <w:bCs/>
          <w:sz w:val="24"/>
          <w:szCs w:val="24"/>
        </w:rPr>
        <w:t>8</w:t>
      </w:r>
      <w:r w:rsidRPr="003B1108">
        <w:rPr>
          <w:rFonts w:ascii="Book Antiqua" w:hAnsi="Book Antiqua"/>
          <w:bCs/>
          <w:sz w:val="24"/>
          <w:szCs w:val="24"/>
        </w:rPr>
        <w:t xml:space="preserve"> </w:t>
      </w:r>
      <w:proofErr w:type="spellStart"/>
      <w:r w:rsidR="00DE2FDA" w:rsidRPr="003B1108">
        <w:rPr>
          <w:rFonts w:ascii="Book Antiqua" w:hAnsi="Book Antiqua"/>
          <w:bCs/>
          <w:sz w:val="24"/>
          <w:szCs w:val="24"/>
        </w:rPr>
        <w:t>wk</w:t>
      </w:r>
      <w:proofErr w:type="spellEnd"/>
      <w:r w:rsidRPr="003B1108">
        <w:rPr>
          <w:rFonts w:ascii="Book Antiqua" w:hAnsi="Book Antiqua"/>
          <w:bCs/>
          <w:sz w:val="24"/>
          <w:szCs w:val="24"/>
        </w:rPr>
        <w:t xml:space="preserve"> later. His cholesterol increased slowly and then decreased slowly. But 24 h after withdrawing from VEL/SOF, his triglyceride and total cholesterol </w:t>
      </w:r>
      <w:r w:rsidR="00E538DF">
        <w:rPr>
          <w:rFonts w:ascii="Book Antiqua" w:hAnsi="Book Antiqua"/>
          <w:bCs/>
          <w:sz w:val="24"/>
          <w:szCs w:val="24"/>
        </w:rPr>
        <w:t>levels</w:t>
      </w:r>
      <w:r w:rsidR="00E538DF" w:rsidRPr="003B1108">
        <w:rPr>
          <w:rFonts w:ascii="Book Antiqua" w:hAnsi="Book Antiqua"/>
          <w:bCs/>
          <w:sz w:val="24"/>
          <w:szCs w:val="24"/>
        </w:rPr>
        <w:t xml:space="preserve"> </w:t>
      </w:r>
      <w:r w:rsidRPr="003B1108">
        <w:rPr>
          <w:rFonts w:ascii="Book Antiqua" w:hAnsi="Book Antiqua"/>
          <w:bCs/>
          <w:sz w:val="24"/>
          <w:szCs w:val="24"/>
        </w:rPr>
        <w:t>were basically normal. There was no severe adverse reaction during his antiviral therapy. The viral load was still negative at the end of the treatment.</w:t>
      </w:r>
    </w:p>
    <w:p w14:paraId="679E3A63" w14:textId="77777777" w:rsidR="006E7B04" w:rsidRPr="003B1108" w:rsidRDefault="006E7B04" w:rsidP="003B1108">
      <w:pPr>
        <w:adjustRightInd w:val="0"/>
        <w:snapToGrid w:val="0"/>
        <w:spacing w:line="360" w:lineRule="auto"/>
        <w:rPr>
          <w:rFonts w:ascii="Book Antiqua" w:hAnsi="Book Antiqua"/>
          <w:bCs/>
          <w:sz w:val="24"/>
          <w:szCs w:val="24"/>
        </w:rPr>
      </w:pPr>
    </w:p>
    <w:p w14:paraId="429F81D4" w14:textId="47D3AB05" w:rsidR="004131BF" w:rsidRPr="003B1108" w:rsidRDefault="004131BF" w:rsidP="003B1108">
      <w:pPr>
        <w:adjustRightInd w:val="0"/>
        <w:snapToGrid w:val="0"/>
        <w:spacing w:line="360" w:lineRule="auto"/>
        <w:rPr>
          <w:rFonts w:ascii="Book Antiqua" w:hAnsi="Book Antiqua"/>
          <w:b/>
          <w:sz w:val="24"/>
          <w:szCs w:val="24"/>
        </w:rPr>
      </w:pPr>
      <w:r w:rsidRPr="003B1108">
        <w:rPr>
          <w:rFonts w:ascii="Book Antiqua" w:hAnsi="Book Antiqua"/>
          <w:b/>
          <w:sz w:val="24"/>
          <w:szCs w:val="24"/>
        </w:rPr>
        <w:t>DISCUSSION</w:t>
      </w:r>
    </w:p>
    <w:p w14:paraId="1E54BBA8" w14:textId="6B18634C" w:rsidR="004131BF" w:rsidRPr="003B1108" w:rsidRDefault="009E574B" w:rsidP="003B1108">
      <w:pPr>
        <w:adjustRightInd w:val="0"/>
        <w:snapToGrid w:val="0"/>
        <w:spacing w:line="360" w:lineRule="auto"/>
        <w:rPr>
          <w:rFonts w:ascii="Book Antiqua" w:hAnsi="Book Antiqua"/>
          <w:bCs/>
          <w:sz w:val="24"/>
          <w:szCs w:val="24"/>
        </w:rPr>
      </w:pPr>
      <w:r w:rsidRPr="003B1108">
        <w:rPr>
          <w:rFonts w:ascii="Book Antiqua" w:hAnsi="Book Antiqua"/>
          <w:bCs/>
          <w:sz w:val="24"/>
          <w:szCs w:val="24"/>
        </w:rPr>
        <w:t>Chronic HCV infection is a global health problem</w:t>
      </w:r>
      <w:r w:rsidR="006110A3" w:rsidRPr="003B1108">
        <w:rPr>
          <w:rFonts w:ascii="Book Antiqua" w:hAnsi="Book Antiqua"/>
          <w:bCs/>
          <w:sz w:val="24"/>
          <w:szCs w:val="24"/>
        </w:rPr>
        <w:t>. It can be</w:t>
      </w:r>
      <w:r w:rsidRPr="003B1108">
        <w:rPr>
          <w:rFonts w:ascii="Book Antiqua" w:hAnsi="Book Antiqua"/>
          <w:bCs/>
          <w:sz w:val="24"/>
          <w:szCs w:val="24"/>
        </w:rPr>
        <w:t xml:space="preserve"> associated with many several hepatic and extrahepatic disorders. Of </w:t>
      </w:r>
      <w:r w:rsidR="00E538DF" w:rsidRPr="003B1108">
        <w:rPr>
          <w:rFonts w:ascii="Book Antiqua" w:hAnsi="Book Antiqua"/>
          <w:bCs/>
          <w:sz w:val="24"/>
          <w:szCs w:val="24"/>
        </w:rPr>
        <w:t xml:space="preserve">patients </w:t>
      </w:r>
      <w:r w:rsidRPr="003B1108">
        <w:rPr>
          <w:rFonts w:ascii="Book Antiqua" w:hAnsi="Book Antiqua"/>
          <w:bCs/>
          <w:sz w:val="24"/>
          <w:szCs w:val="24"/>
        </w:rPr>
        <w:t>with chronic infection, many</w:t>
      </w:r>
      <w:r w:rsidR="00E538DF">
        <w:rPr>
          <w:rFonts w:ascii="Book Antiqua" w:hAnsi="Book Antiqua"/>
          <w:bCs/>
          <w:sz w:val="24"/>
          <w:szCs w:val="24"/>
        </w:rPr>
        <w:t xml:space="preserve"> </w:t>
      </w:r>
      <w:r w:rsidRPr="003B1108">
        <w:rPr>
          <w:rFonts w:ascii="Book Antiqua" w:hAnsi="Book Antiqua"/>
          <w:bCs/>
          <w:sz w:val="24"/>
          <w:szCs w:val="24"/>
        </w:rPr>
        <w:t xml:space="preserve">develop cirrhosis and </w:t>
      </w:r>
      <w:r w:rsidR="00023D3E">
        <w:rPr>
          <w:rFonts w:ascii="Book Antiqua" w:hAnsi="Book Antiqua"/>
          <w:bCs/>
          <w:sz w:val="24"/>
          <w:szCs w:val="24"/>
        </w:rPr>
        <w:t>HCC</w:t>
      </w:r>
      <w:r w:rsidRPr="003B1108">
        <w:rPr>
          <w:rFonts w:ascii="Book Antiqua" w:hAnsi="Book Antiqua"/>
          <w:bCs/>
          <w:sz w:val="24"/>
          <w:szCs w:val="24"/>
        </w:rPr>
        <w:t xml:space="preserve">. Before 2011, the standard antiviral therapy was pegylated interferon-alpha </w:t>
      </w:r>
      <w:r w:rsidR="006110A3" w:rsidRPr="003B1108">
        <w:rPr>
          <w:rFonts w:ascii="Book Antiqua" w:hAnsi="Book Antiqua"/>
          <w:bCs/>
          <w:sz w:val="24"/>
          <w:szCs w:val="24"/>
        </w:rPr>
        <w:t>and</w:t>
      </w:r>
      <w:r w:rsidRPr="003B1108">
        <w:rPr>
          <w:rFonts w:ascii="Book Antiqua" w:hAnsi="Book Antiqua"/>
          <w:bCs/>
          <w:sz w:val="24"/>
          <w:szCs w:val="24"/>
        </w:rPr>
        <w:t xml:space="preserve"> RBV for 24–48 </w:t>
      </w:r>
      <w:proofErr w:type="spellStart"/>
      <w:proofErr w:type="gramStart"/>
      <w:r w:rsidR="00DE2FDA" w:rsidRPr="003B1108">
        <w:rPr>
          <w:rFonts w:ascii="Book Antiqua" w:hAnsi="Book Antiqua"/>
          <w:bCs/>
          <w:sz w:val="24"/>
          <w:szCs w:val="24"/>
        </w:rPr>
        <w:t>wk</w:t>
      </w:r>
      <w:proofErr w:type="spellEnd"/>
      <w:r w:rsidRPr="003B1108">
        <w:rPr>
          <w:rFonts w:ascii="Book Antiqua" w:hAnsi="Book Antiqua"/>
          <w:bCs/>
          <w:sz w:val="24"/>
          <w:szCs w:val="24"/>
          <w:vertAlign w:val="superscript"/>
        </w:rPr>
        <w:t>[</w:t>
      </w:r>
      <w:proofErr w:type="gramEnd"/>
      <w:r w:rsidRPr="003B1108">
        <w:rPr>
          <w:rFonts w:ascii="Book Antiqua" w:hAnsi="Book Antiqua"/>
          <w:bCs/>
          <w:sz w:val="24"/>
          <w:szCs w:val="24"/>
          <w:vertAlign w:val="superscript"/>
        </w:rPr>
        <w:t>15,16]</w:t>
      </w:r>
      <w:r w:rsidRPr="003B1108">
        <w:rPr>
          <w:rFonts w:ascii="Book Antiqua" w:hAnsi="Book Antiqua"/>
          <w:bCs/>
          <w:sz w:val="24"/>
          <w:szCs w:val="24"/>
        </w:rPr>
        <w:t xml:space="preserve">. </w:t>
      </w:r>
      <w:r w:rsidR="006110A3" w:rsidRPr="003B1108">
        <w:rPr>
          <w:rFonts w:ascii="Book Antiqua" w:hAnsi="Book Antiqua"/>
          <w:bCs/>
          <w:sz w:val="24"/>
          <w:szCs w:val="24"/>
        </w:rPr>
        <w:t>After a few years</w:t>
      </w:r>
      <w:r w:rsidRPr="003B1108">
        <w:rPr>
          <w:rFonts w:ascii="Book Antiqua" w:hAnsi="Book Antiqua"/>
          <w:bCs/>
          <w:sz w:val="24"/>
          <w:szCs w:val="24"/>
        </w:rPr>
        <w:t>, unremitting research has led to the discovery of several DAAs that target several molecular targets. DAA-based regimens can greatly increase the efficacy and shorten the duration of HCV therapy. Since about 2015, DAAs have had access to the Chinese market, and Chinese patients with hepatitis C have</w:t>
      </w:r>
      <w:r w:rsidR="00E538DF">
        <w:rPr>
          <w:rFonts w:ascii="Book Antiqua" w:hAnsi="Book Antiqua"/>
          <w:bCs/>
          <w:sz w:val="24"/>
          <w:szCs w:val="24"/>
        </w:rPr>
        <w:t xml:space="preserve"> </w:t>
      </w:r>
      <w:r w:rsidRPr="003B1108">
        <w:rPr>
          <w:rFonts w:ascii="Book Antiqua" w:hAnsi="Book Antiqua"/>
          <w:bCs/>
          <w:sz w:val="24"/>
          <w:szCs w:val="24"/>
        </w:rPr>
        <w:t>been treated with legal DAA regimens. Since this is such a short amount of time, the real-world data on the use of DAA drugs in China has not been sufficient.</w:t>
      </w:r>
    </w:p>
    <w:p w14:paraId="229047F3" w14:textId="10D18904" w:rsidR="009E574B" w:rsidRPr="003B1108" w:rsidRDefault="00387519" w:rsidP="003B1108">
      <w:pPr>
        <w:adjustRightInd w:val="0"/>
        <w:snapToGrid w:val="0"/>
        <w:spacing w:line="360" w:lineRule="auto"/>
        <w:ind w:firstLineChars="100" w:firstLine="240"/>
        <w:rPr>
          <w:rFonts w:ascii="Book Antiqua" w:hAnsi="Book Antiqua"/>
          <w:bCs/>
          <w:sz w:val="24"/>
          <w:szCs w:val="24"/>
        </w:rPr>
      </w:pPr>
      <w:r w:rsidRPr="003B1108">
        <w:rPr>
          <w:rFonts w:ascii="Book Antiqua" w:hAnsi="Book Antiqua"/>
          <w:bCs/>
          <w:sz w:val="24"/>
          <w:szCs w:val="24"/>
        </w:rPr>
        <w:t>Our study is a large, prospective</w:t>
      </w:r>
      <w:r w:rsidR="00E538DF">
        <w:rPr>
          <w:rFonts w:ascii="Book Antiqua" w:hAnsi="Book Antiqua"/>
          <w:bCs/>
          <w:sz w:val="24"/>
          <w:szCs w:val="24"/>
        </w:rPr>
        <w:t>,</w:t>
      </w:r>
      <w:r w:rsidRPr="003B1108">
        <w:rPr>
          <w:rFonts w:ascii="Book Antiqua" w:hAnsi="Book Antiqua"/>
          <w:bCs/>
          <w:sz w:val="24"/>
          <w:szCs w:val="24"/>
        </w:rPr>
        <w:t xml:space="preserve"> real-world study</w:t>
      </w:r>
      <w:r w:rsidR="00E538DF">
        <w:rPr>
          <w:rFonts w:ascii="Book Antiqua" w:hAnsi="Book Antiqua"/>
          <w:bCs/>
          <w:sz w:val="24"/>
          <w:szCs w:val="24"/>
        </w:rPr>
        <w:t xml:space="preserve"> </w:t>
      </w:r>
      <w:r w:rsidRPr="003B1108">
        <w:rPr>
          <w:rFonts w:ascii="Book Antiqua" w:hAnsi="Book Antiqua"/>
          <w:bCs/>
          <w:sz w:val="24"/>
          <w:szCs w:val="24"/>
        </w:rPr>
        <w:t xml:space="preserve">evaluating the efficacy and safety of DAA-based regimens in patients infected with genotype 1, 2, and 3 observed from 2015 to 2018. In this study, a total of 498 patients were diagnosed with HCV infections, but only 366 (73.5%) of them received treatments. Most of the patients </w:t>
      </w:r>
      <w:r w:rsidR="00E538DF">
        <w:rPr>
          <w:rFonts w:ascii="Book Antiqua" w:hAnsi="Book Antiqua"/>
          <w:bCs/>
          <w:sz w:val="24"/>
          <w:szCs w:val="24"/>
        </w:rPr>
        <w:t>had</w:t>
      </w:r>
      <w:r w:rsidR="00E538DF" w:rsidRPr="003B1108">
        <w:rPr>
          <w:rFonts w:ascii="Book Antiqua" w:hAnsi="Book Antiqua"/>
          <w:bCs/>
          <w:sz w:val="24"/>
          <w:szCs w:val="24"/>
        </w:rPr>
        <w:t xml:space="preserve"> </w:t>
      </w:r>
      <w:r w:rsidRPr="003B1108">
        <w:rPr>
          <w:rFonts w:ascii="Book Antiqua" w:hAnsi="Book Antiqua"/>
          <w:bCs/>
          <w:sz w:val="24"/>
          <w:szCs w:val="24"/>
        </w:rPr>
        <w:t>genotype</w:t>
      </w:r>
      <w:r w:rsidR="00E538DF">
        <w:rPr>
          <w:rFonts w:ascii="Book Antiqua" w:hAnsi="Book Antiqua"/>
          <w:bCs/>
          <w:sz w:val="24"/>
          <w:szCs w:val="24"/>
        </w:rPr>
        <w:t>s</w:t>
      </w:r>
      <w:r w:rsidRPr="003B1108">
        <w:rPr>
          <w:rFonts w:ascii="Book Antiqua" w:hAnsi="Book Antiqua"/>
          <w:bCs/>
          <w:sz w:val="24"/>
          <w:szCs w:val="24"/>
        </w:rPr>
        <w:t xml:space="preserve"> 1 and 2, which basically reflects the prevalence of genotypes among HCV sufferers in </w:t>
      </w:r>
      <w:proofErr w:type="gramStart"/>
      <w:r w:rsidRPr="003B1108">
        <w:rPr>
          <w:rFonts w:ascii="Book Antiqua" w:hAnsi="Book Antiqua"/>
          <w:bCs/>
          <w:sz w:val="24"/>
          <w:szCs w:val="24"/>
        </w:rPr>
        <w:t>China</w:t>
      </w:r>
      <w:r w:rsidRPr="003B1108">
        <w:rPr>
          <w:rFonts w:ascii="Book Antiqua" w:hAnsi="Book Antiqua"/>
          <w:bCs/>
          <w:sz w:val="24"/>
          <w:szCs w:val="24"/>
          <w:vertAlign w:val="superscript"/>
        </w:rPr>
        <w:t>[</w:t>
      </w:r>
      <w:proofErr w:type="gramEnd"/>
      <w:r w:rsidRPr="003B1108">
        <w:rPr>
          <w:rFonts w:ascii="Book Antiqua" w:hAnsi="Book Antiqua"/>
          <w:bCs/>
          <w:sz w:val="24"/>
          <w:szCs w:val="24"/>
          <w:vertAlign w:val="superscript"/>
        </w:rPr>
        <w:t>17]</w:t>
      </w:r>
      <w:r w:rsidRPr="003B1108">
        <w:rPr>
          <w:rFonts w:ascii="Book Antiqua" w:hAnsi="Book Antiqua"/>
          <w:bCs/>
          <w:sz w:val="24"/>
          <w:szCs w:val="24"/>
        </w:rPr>
        <w:t>. We noticed that in our study, patients with genotype 3</w:t>
      </w:r>
      <w:r w:rsidR="00E538DF">
        <w:rPr>
          <w:rFonts w:ascii="Book Antiqua" w:hAnsi="Book Antiqua"/>
          <w:bCs/>
          <w:sz w:val="24"/>
          <w:szCs w:val="24"/>
        </w:rPr>
        <w:t xml:space="preserve"> </w:t>
      </w:r>
      <w:r w:rsidRPr="003B1108">
        <w:rPr>
          <w:rFonts w:ascii="Book Antiqua" w:hAnsi="Book Antiqua"/>
          <w:bCs/>
          <w:sz w:val="24"/>
          <w:szCs w:val="24"/>
        </w:rPr>
        <w:t>were younger than patients with genotypes 1 and 2</w:t>
      </w:r>
      <w:r w:rsidR="00E538DF">
        <w:rPr>
          <w:rFonts w:ascii="Book Antiqua" w:hAnsi="Book Antiqua"/>
          <w:bCs/>
          <w:sz w:val="24"/>
          <w:szCs w:val="24"/>
        </w:rPr>
        <w:t>,</w:t>
      </w:r>
      <w:r w:rsidR="00E538DF" w:rsidRPr="003B1108">
        <w:rPr>
          <w:rFonts w:ascii="Book Antiqua" w:hAnsi="Book Antiqua"/>
          <w:bCs/>
          <w:sz w:val="24"/>
          <w:szCs w:val="24"/>
        </w:rPr>
        <w:t xml:space="preserve"> </w:t>
      </w:r>
      <w:r w:rsidR="00E538DF">
        <w:rPr>
          <w:rFonts w:ascii="Book Antiqua" w:hAnsi="Book Antiqua"/>
          <w:bCs/>
          <w:sz w:val="24"/>
          <w:szCs w:val="24"/>
        </w:rPr>
        <w:t>a</w:t>
      </w:r>
      <w:r w:rsidR="00E538DF" w:rsidRPr="003B1108">
        <w:rPr>
          <w:rFonts w:ascii="Book Antiqua" w:hAnsi="Book Antiqua"/>
          <w:bCs/>
          <w:sz w:val="24"/>
          <w:szCs w:val="24"/>
        </w:rPr>
        <w:t>nd</w:t>
      </w:r>
      <w:r w:rsidR="00E538DF">
        <w:rPr>
          <w:rFonts w:ascii="Book Antiqua" w:hAnsi="Book Antiqua"/>
          <w:bCs/>
          <w:sz w:val="24"/>
          <w:szCs w:val="24"/>
        </w:rPr>
        <w:t xml:space="preserve"> </w:t>
      </w:r>
      <w:r w:rsidRPr="003B1108">
        <w:rPr>
          <w:rFonts w:ascii="Book Antiqua" w:hAnsi="Book Antiqua"/>
          <w:bCs/>
          <w:sz w:val="24"/>
          <w:szCs w:val="24"/>
        </w:rPr>
        <w:t xml:space="preserve">patients with genotype 3 had a higher proportion of HBV/HCV co-infections, though this difference was not </w:t>
      </w:r>
      <w:r w:rsidRPr="003B1108">
        <w:rPr>
          <w:rFonts w:ascii="Book Antiqua" w:hAnsi="Book Antiqua"/>
          <w:bCs/>
          <w:sz w:val="24"/>
          <w:szCs w:val="24"/>
        </w:rPr>
        <w:lastRenderedPageBreak/>
        <w:t>statistically significant. We discovered that genotype 3 was highly prevalent among intravenous drug users, who were younger and more likely to be associated with other blood-borne diseases. Also, we found that the patients with cirrhosis were older. Those patients had higher levels of total bilirubin, ALT, AST</w:t>
      </w:r>
      <w:r w:rsidR="00E44C20">
        <w:rPr>
          <w:rFonts w:ascii="Book Antiqua" w:hAnsi="Book Antiqua"/>
          <w:bCs/>
          <w:sz w:val="24"/>
          <w:szCs w:val="24"/>
        </w:rPr>
        <w:t xml:space="preserve"> and </w:t>
      </w:r>
      <w:r w:rsidRPr="003B1108">
        <w:rPr>
          <w:rFonts w:ascii="Book Antiqua" w:hAnsi="Book Antiqua"/>
          <w:bCs/>
          <w:sz w:val="24"/>
          <w:szCs w:val="24"/>
        </w:rPr>
        <w:t>AFP, LSM scores, fibrosis 4 scores</w:t>
      </w:r>
      <w:r w:rsidR="00E44C20">
        <w:rPr>
          <w:rFonts w:ascii="Book Antiqua" w:hAnsi="Book Antiqua"/>
          <w:bCs/>
          <w:sz w:val="24"/>
          <w:szCs w:val="24"/>
        </w:rPr>
        <w:t xml:space="preserve"> </w:t>
      </w:r>
      <w:r w:rsidRPr="003B1108">
        <w:rPr>
          <w:rFonts w:ascii="Book Antiqua" w:hAnsi="Book Antiqua"/>
          <w:bCs/>
          <w:sz w:val="24"/>
          <w:szCs w:val="24"/>
        </w:rPr>
        <w:t xml:space="preserve">and APRIs. They also had lower levels of albumin, hemoglobin, platelets and HCV RNA compared to the patients without cirrhosis, which </w:t>
      </w:r>
      <w:r w:rsidR="00E44C20">
        <w:rPr>
          <w:rFonts w:ascii="Book Antiqua" w:hAnsi="Book Antiqua"/>
          <w:bCs/>
          <w:sz w:val="24"/>
          <w:szCs w:val="24"/>
        </w:rPr>
        <w:t>i</w:t>
      </w:r>
      <w:r w:rsidR="00E44C20" w:rsidRPr="003B1108">
        <w:rPr>
          <w:rFonts w:ascii="Book Antiqua" w:hAnsi="Book Antiqua"/>
          <w:bCs/>
          <w:sz w:val="24"/>
          <w:szCs w:val="24"/>
        </w:rPr>
        <w:t xml:space="preserve">s </w:t>
      </w:r>
      <w:r w:rsidRPr="003B1108">
        <w:rPr>
          <w:rFonts w:ascii="Book Antiqua" w:hAnsi="Book Antiqua"/>
          <w:bCs/>
          <w:sz w:val="24"/>
          <w:szCs w:val="24"/>
        </w:rPr>
        <w:t>consistent with our clinical experiences.</w:t>
      </w:r>
    </w:p>
    <w:p w14:paraId="2ED4DC7A" w14:textId="277906F2" w:rsidR="00387519" w:rsidRPr="003B1108" w:rsidRDefault="00AB4646" w:rsidP="003B1108">
      <w:pPr>
        <w:adjustRightInd w:val="0"/>
        <w:snapToGrid w:val="0"/>
        <w:spacing w:line="360" w:lineRule="auto"/>
        <w:ind w:firstLineChars="100" w:firstLine="240"/>
        <w:rPr>
          <w:rFonts w:ascii="Book Antiqua" w:hAnsi="Book Antiqua"/>
          <w:bCs/>
          <w:sz w:val="24"/>
          <w:szCs w:val="24"/>
        </w:rPr>
      </w:pPr>
      <w:r w:rsidRPr="003B1108">
        <w:rPr>
          <w:rFonts w:ascii="Book Antiqua" w:hAnsi="Book Antiqua"/>
          <w:bCs/>
          <w:sz w:val="24"/>
          <w:szCs w:val="24"/>
        </w:rPr>
        <w:t xml:space="preserve">Overall, the patients in our study achieved high rates of SVR12 (96.6%) on the </w:t>
      </w:r>
      <w:proofErr w:type="spellStart"/>
      <w:r w:rsidRPr="003B1108">
        <w:rPr>
          <w:rFonts w:ascii="Book Antiqua" w:hAnsi="Book Antiqua"/>
          <w:bCs/>
          <w:sz w:val="24"/>
          <w:szCs w:val="24"/>
        </w:rPr>
        <w:t>mITT</w:t>
      </w:r>
      <w:proofErr w:type="spellEnd"/>
      <w:r w:rsidRPr="003B1108">
        <w:rPr>
          <w:rFonts w:ascii="Book Antiqua" w:hAnsi="Book Antiqua"/>
          <w:bCs/>
          <w:sz w:val="24"/>
          <w:szCs w:val="24"/>
        </w:rPr>
        <w:t xml:space="preserve"> analysis, which </w:t>
      </w:r>
      <w:r w:rsidR="00E44C20">
        <w:rPr>
          <w:rFonts w:ascii="Book Antiqua" w:hAnsi="Book Antiqua"/>
          <w:bCs/>
          <w:sz w:val="24"/>
          <w:szCs w:val="24"/>
        </w:rPr>
        <w:t>are</w:t>
      </w:r>
      <w:r w:rsidR="00E44C20" w:rsidRPr="003B1108">
        <w:rPr>
          <w:rFonts w:ascii="Book Antiqua" w:hAnsi="Book Antiqua"/>
          <w:bCs/>
          <w:sz w:val="24"/>
          <w:szCs w:val="24"/>
        </w:rPr>
        <w:t xml:space="preserve"> </w:t>
      </w:r>
      <w:r w:rsidRPr="003B1108">
        <w:rPr>
          <w:rFonts w:ascii="Book Antiqua" w:hAnsi="Book Antiqua"/>
          <w:bCs/>
          <w:sz w:val="24"/>
          <w:szCs w:val="24"/>
        </w:rPr>
        <w:t xml:space="preserve">roughly identical to </w:t>
      </w:r>
      <w:r w:rsidR="00E44C20">
        <w:rPr>
          <w:rFonts w:ascii="Book Antiqua" w:hAnsi="Book Antiqua"/>
          <w:bCs/>
          <w:sz w:val="24"/>
          <w:szCs w:val="24"/>
        </w:rPr>
        <w:t xml:space="preserve">those observed in </w:t>
      </w:r>
      <w:r w:rsidRPr="003B1108">
        <w:rPr>
          <w:rFonts w:ascii="Book Antiqua" w:hAnsi="Book Antiqua"/>
          <w:bCs/>
          <w:sz w:val="24"/>
          <w:szCs w:val="24"/>
        </w:rPr>
        <w:t xml:space="preserve">the </w:t>
      </w:r>
      <w:r w:rsidR="00E44C20">
        <w:rPr>
          <w:rFonts w:ascii="Book Antiqua" w:hAnsi="Book Antiqua"/>
          <w:bCs/>
          <w:sz w:val="24"/>
          <w:szCs w:val="24"/>
        </w:rPr>
        <w:t>p</w:t>
      </w:r>
      <w:r w:rsidR="00E44C20" w:rsidRPr="003B1108">
        <w:rPr>
          <w:rFonts w:ascii="Book Antiqua" w:hAnsi="Book Antiqua"/>
          <w:bCs/>
          <w:sz w:val="24"/>
          <w:szCs w:val="24"/>
        </w:rPr>
        <w:t xml:space="preserve">hase </w:t>
      </w:r>
      <w:r w:rsidRPr="003B1108">
        <w:rPr>
          <w:rFonts w:ascii="Book Antiqua" w:hAnsi="Book Antiqua"/>
          <w:bCs/>
          <w:sz w:val="24"/>
          <w:szCs w:val="24"/>
        </w:rPr>
        <w:t xml:space="preserve">III trials. The SVR rates were consistently high in all patients regardless of the regimens used. No statistically significant difference in SVR was found among patients with different genotypes and with different </w:t>
      </w:r>
      <w:r w:rsidR="00E44C20" w:rsidRPr="003B1108">
        <w:rPr>
          <w:rFonts w:ascii="Book Antiqua" w:hAnsi="Book Antiqua"/>
          <w:bCs/>
          <w:sz w:val="24"/>
          <w:szCs w:val="24"/>
        </w:rPr>
        <w:t xml:space="preserve">liver </w:t>
      </w:r>
      <w:r w:rsidRPr="003B1108">
        <w:rPr>
          <w:rFonts w:ascii="Book Antiqua" w:hAnsi="Book Antiqua"/>
          <w:bCs/>
          <w:sz w:val="24"/>
          <w:szCs w:val="24"/>
        </w:rPr>
        <w:t>status</w:t>
      </w:r>
      <w:r w:rsidR="00E44C20">
        <w:rPr>
          <w:rFonts w:ascii="Book Antiqua" w:hAnsi="Book Antiqua"/>
          <w:bCs/>
          <w:sz w:val="24"/>
          <w:szCs w:val="24"/>
        </w:rPr>
        <w:t>es</w:t>
      </w:r>
      <w:r w:rsidRPr="003B1108">
        <w:rPr>
          <w:rFonts w:ascii="Book Antiqua" w:hAnsi="Book Antiqua"/>
          <w:bCs/>
          <w:sz w:val="24"/>
          <w:szCs w:val="24"/>
        </w:rPr>
        <w:t xml:space="preserve">. In addition, patients with cirrhosis (97.2%) responded similarly to those without cirrhosis (96.2%) 12 </w:t>
      </w:r>
      <w:proofErr w:type="spellStart"/>
      <w:r w:rsidR="00DE2FDA" w:rsidRPr="003B1108">
        <w:rPr>
          <w:rFonts w:ascii="Book Antiqua" w:hAnsi="Book Antiqua"/>
          <w:bCs/>
          <w:sz w:val="24"/>
          <w:szCs w:val="24"/>
        </w:rPr>
        <w:t>wk</w:t>
      </w:r>
      <w:proofErr w:type="spellEnd"/>
      <w:r w:rsidRPr="003B1108">
        <w:rPr>
          <w:rFonts w:ascii="Book Antiqua" w:hAnsi="Book Antiqua"/>
          <w:bCs/>
          <w:sz w:val="24"/>
          <w:szCs w:val="24"/>
        </w:rPr>
        <w:t xml:space="preserve"> after the end of the treatment. Analysis of the changes of liver stiffness before and after treatment showed that the decrease of liver stiffness was significantly correlated with liver status. In patients with cirrhosis, LSM </w:t>
      </w:r>
      <w:r w:rsidR="00E44C20" w:rsidRPr="003B1108">
        <w:rPr>
          <w:rFonts w:ascii="Book Antiqua" w:hAnsi="Book Antiqua"/>
          <w:bCs/>
          <w:sz w:val="24"/>
          <w:szCs w:val="24"/>
        </w:rPr>
        <w:t>decrease</w:t>
      </w:r>
      <w:r w:rsidR="00E44C20">
        <w:rPr>
          <w:rFonts w:ascii="Book Antiqua" w:hAnsi="Book Antiqua"/>
          <w:bCs/>
          <w:sz w:val="24"/>
          <w:szCs w:val="24"/>
        </w:rPr>
        <w:t>d</w:t>
      </w:r>
      <w:r w:rsidR="00E44C20" w:rsidRPr="003B1108">
        <w:rPr>
          <w:rFonts w:ascii="Book Antiqua" w:hAnsi="Book Antiqua"/>
          <w:bCs/>
          <w:sz w:val="24"/>
          <w:szCs w:val="24"/>
        </w:rPr>
        <w:t xml:space="preserve"> </w:t>
      </w:r>
      <w:r w:rsidRPr="003B1108">
        <w:rPr>
          <w:rFonts w:ascii="Book Antiqua" w:hAnsi="Book Antiqua"/>
          <w:bCs/>
          <w:sz w:val="24"/>
          <w:szCs w:val="24"/>
        </w:rPr>
        <w:t>even more compared to patients with chronic infections. However, it should be noted that we divided our patients into cirrhotic (compensated cirrhosis and decompensated cirrhosis) and non-cirrhotic groups (chronic hepatitis and liver fibrosis), then we made the comparison, which may lead to bias.</w:t>
      </w:r>
    </w:p>
    <w:p w14:paraId="50F5971B" w14:textId="690C478E" w:rsidR="00CF2533" w:rsidRPr="003B1108" w:rsidRDefault="00CF2533" w:rsidP="003B1108">
      <w:pPr>
        <w:adjustRightInd w:val="0"/>
        <w:snapToGrid w:val="0"/>
        <w:spacing w:line="360" w:lineRule="auto"/>
        <w:ind w:firstLineChars="100" w:firstLine="240"/>
        <w:rPr>
          <w:rFonts w:ascii="Book Antiqua" w:hAnsi="Book Antiqua"/>
          <w:bCs/>
          <w:sz w:val="24"/>
          <w:szCs w:val="24"/>
        </w:rPr>
      </w:pPr>
      <w:r w:rsidRPr="003B1108">
        <w:rPr>
          <w:rFonts w:ascii="Book Antiqua" w:hAnsi="Book Antiqua"/>
          <w:bCs/>
          <w:sz w:val="24"/>
          <w:szCs w:val="24"/>
        </w:rPr>
        <w:t>Interestingly, by analyzing the treatment failures</w:t>
      </w:r>
      <w:r w:rsidR="00E44C20">
        <w:rPr>
          <w:rFonts w:ascii="Book Antiqua" w:hAnsi="Book Antiqua"/>
          <w:bCs/>
          <w:sz w:val="24"/>
          <w:szCs w:val="24"/>
        </w:rPr>
        <w:t>,</w:t>
      </w:r>
      <w:r w:rsidRPr="003B1108">
        <w:rPr>
          <w:rFonts w:ascii="Book Antiqua" w:hAnsi="Book Antiqua"/>
          <w:bCs/>
          <w:sz w:val="24"/>
          <w:szCs w:val="24"/>
        </w:rPr>
        <w:t xml:space="preserve"> we found that the patients with genotype 3 were more likely to relapse. Although the total number is small (24 patients), the proportion of patients experiencing a relapse or no response </w:t>
      </w:r>
      <w:r w:rsidR="00E44C20">
        <w:rPr>
          <w:rFonts w:ascii="Book Antiqua" w:hAnsi="Book Antiqua"/>
          <w:bCs/>
          <w:sz w:val="24"/>
          <w:szCs w:val="24"/>
        </w:rPr>
        <w:t>was</w:t>
      </w:r>
      <w:r w:rsidR="00E44C20" w:rsidRPr="003B1108">
        <w:rPr>
          <w:rFonts w:ascii="Book Antiqua" w:hAnsi="Book Antiqua"/>
          <w:bCs/>
          <w:sz w:val="24"/>
          <w:szCs w:val="24"/>
        </w:rPr>
        <w:t xml:space="preserve"> </w:t>
      </w:r>
      <w:r w:rsidRPr="003B1108">
        <w:rPr>
          <w:rFonts w:ascii="Book Antiqua" w:hAnsi="Book Antiqua"/>
          <w:bCs/>
          <w:sz w:val="24"/>
          <w:szCs w:val="24"/>
        </w:rPr>
        <w:t xml:space="preserve">much higher than </w:t>
      </w:r>
      <w:r w:rsidR="00E44C20">
        <w:rPr>
          <w:rFonts w:ascii="Book Antiqua" w:hAnsi="Book Antiqua"/>
          <w:bCs/>
          <w:sz w:val="24"/>
          <w:szCs w:val="24"/>
        </w:rPr>
        <w:t xml:space="preserve">that of </w:t>
      </w:r>
      <w:r w:rsidRPr="003B1108">
        <w:rPr>
          <w:rFonts w:ascii="Book Antiqua" w:hAnsi="Book Antiqua"/>
          <w:bCs/>
          <w:sz w:val="24"/>
          <w:szCs w:val="24"/>
        </w:rPr>
        <w:t xml:space="preserve">patients with the other genotypes. Other researchers have also found that genotype 3 patients had poorer clinical outcomes than patients with the other </w:t>
      </w:r>
      <w:proofErr w:type="gramStart"/>
      <w:r w:rsidRPr="003B1108">
        <w:rPr>
          <w:rFonts w:ascii="Book Antiqua" w:hAnsi="Book Antiqua"/>
          <w:bCs/>
          <w:sz w:val="24"/>
          <w:szCs w:val="24"/>
        </w:rPr>
        <w:t>genotypes</w:t>
      </w:r>
      <w:r w:rsidRPr="003B1108">
        <w:rPr>
          <w:rFonts w:ascii="Book Antiqua" w:hAnsi="Book Antiqua"/>
          <w:bCs/>
          <w:sz w:val="24"/>
          <w:szCs w:val="24"/>
          <w:vertAlign w:val="superscript"/>
        </w:rPr>
        <w:t>[</w:t>
      </w:r>
      <w:proofErr w:type="gramEnd"/>
      <w:r w:rsidRPr="003B1108">
        <w:rPr>
          <w:rFonts w:ascii="Book Antiqua" w:hAnsi="Book Antiqua"/>
          <w:bCs/>
          <w:sz w:val="24"/>
          <w:szCs w:val="24"/>
          <w:vertAlign w:val="superscript"/>
        </w:rPr>
        <w:t>18]</w:t>
      </w:r>
      <w:r w:rsidRPr="003B1108">
        <w:rPr>
          <w:rFonts w:ascii="Book Antiqua" w:hAnsi="Book Antiqua"/>
          <w:bCs/>
          <w:sz w:val="24"/>
          <w:szCs w:val="24"/>
        </w:rPr>
        <w:t xml:space="preserve">. In our study, 12 patients had controlled co-existing HCC at baseline. After DAA antiviral therapy, one patient developed HCC, and two had HCC recurrence. The incidence of HCC was lower than that in the untreated </w:t>
      </w:r>
      <w:proofErr w:type="gramStart"/>
      <w:r w:rsidRPr="003B1108">
        <w:rPr>
          <w:rFonts w:ascii="Book Antiqua" w:hAnsi="Book Antiqua"/>
          <w:bCs/>
          <w:sz w:val="24"/>
          <w:szCs w:val="24"/>
        </w:rPr>
        <w:t>patients</w:t>
      </w:r>
      <w:r w:rsidRPr="003B1108">
        <w:rPr>
          <w:rFonts w:ascii="Book Antiqua" w:hAnsi="Book Antiqua"/>
          <w:bCs/>
          <w:sz w:val="24"/>
          <w:szCs w:val="24"/>
          <w:vertAlign w:val="superscript"/>
        </w:rPr>
        <w:t>[</w:t>
      </w:r>
      <w:proofErr w:type="gramEnd"/>
      <w:r w:rsidRPr="003B1108">
        <w:rPr>
          <w:rFonts w:ascii="Book Antiqua" w:hAnsi="Book Antiqua"/>
          <w:bCs/>
          <w:sz w:val="24"/>
          <w:szCs w:val="24"/>
          <w:vertAlign w:val="superscript"/>
        </w:rPr>
        <w:t>19-21]</w:t>
      </w:r>
      <w:r w:rsidRPr="003B1108">
        <w:rPr>
          <w:rFonts w:ascii="Book Antiqua" w:hAnsi="Book Antiqua"/>
          <w:bCs/>
          <w:sz w:val="24"/>
          <w:szCs w:val="24"/>
        </w:rPr>
        <w:t xml:space="preserve">. The </w:t>
      </w:r>
      <w:r w:rsidRPr="003B1108">
        <w:rPr>
          <w:rFonts w:ascii="Book Antiqua" w:hAnsi="Book Antiqua"/>
          <w:bCs/>
          <w:sz w:val="24"/>
          <w:szCs w:val="24"/>
        </w:rPr>
        <w:lastRenderedPageBreak/>
        <w:t xml:space="preserve">patient with newly discovered HCC had cirrhosis and experienced treatment failure. These two cases of recurrence both had cirrhosis and SVR. These findings indicate that patients with cirrhosis and experience treatment failure are more likely to develop HCC. This is the same result as </w:t>
      </w:r>
      <w:r w:rsidR="00E44C20">
        <w:rPr>
          <w:rFonts w:ascii="Book Antiqua" w:hAnsi="Book Antiqua"/>
          <w:bCs/>
          <w:sz w:val="24"/>
          <w:szCs w:val="24"/>
        </w:rPr>
        <w:t xml:space="preserve">those </w:t>
      </w:r>
      <w:r w:rsidRPr="003B1108">
        <w:rPr>
          <w:rFonts w:ascii="Book Antiqua" w:hAnsi="Book Antiqua"/>
          <w:bCs/>
          <w:sz w:val="24"/>
          <w:szCs w:val="24"/>
        </w:rPr>
        <w:t xml:space="preserve">obtained in other </w:t>
      </w:r>
      <w:proofErr w:type="gramStart"/>
      <w:r w:rsidRPr="003B1108">
        <w:rPr>
          <w:rFonts w:ascii="Book Antiqua" w:hAnsi="Book Antiqua"/>
          <w:bCs/>
          <w:sz w:val="24"/>
          <w:szCs w:val="24"/>
        </w:rPr>
        <w:t>studies</w:t>
      </w:r>
      <w:r w:rsidRPr="003B1108">
        <w:rPr>
          <w:rFonts w:ascii="Book Antiqua" w:hAnsi="Book Antiqua"/>
          <w:bCs/>
          <w:sz w:val="24"/>
          <w:szCs w:val="24"/>
          <w:vertAlign w:val="superscript"/>
        </w:rPr>
        <w:t>[</w:t>
      </w:r>
      <w:proofErr w:type="gramEnd"/>
      <w:r w:rsidRPr="003B1108">
        <w:rPr>
          <w:rFonts w:ascii="Book Antiqua" w:hAnsi="Book Antiqua"/>
          <w:bCs/>
          <w:sz w:val="24"/>
          <w:szCs w:val="24"/>
          <w:vertAlign w:val="superscript"/>
        </w:rPr>
        <w:t>22-24]</w:t>
      </w:r>
      <w:r w:rsidRPr="003B1108">
        <w:rPr>
          <w:rFonts w:ascii="Book Antiqua" w:hAnsi="Book Antiqua"/>
          <w:bCs/>
          <w:sz w:val="24"/>
          <w:szCs w:val="24"/>
        </w:rPr>
        <w:t xml:space="preserve">. Therefore, when patients also have cirrhosis, especially those patients with treatment failure, we should pay more attention to their tumor markers and conduct regular </w:t>
      </w:r>
      <w:proofErr w:type="spellStart"/>
      <w:r w:rsidRPr="003B1108">
        <w:rPr>
          <w:rFonts w:ascii="Book Antiqua" w:hAnsi="Book Antiqua"/>
          <w:bCs/>
          <w:sz w:val="24"/>
          <w:szCs w:val="24"/>
        </w:rPr>
        <w:t>imageological</w:t>
      </w:r>
      <w:proofErr w:type="spellEnd"/>
      <w:r w:rsidRPr="003B1108">
        <w:rPr>
          <w:rFonts w:ascii="Book Antiqua" w:hAnsi="Book Antiqua"/>
          <w:bCs/>
          <w:sz w:val="24"/>
          <w:szCs w:val="24"/>
        </w:rPr>
        <w:t xml:space="preserve"> liver examinations.</w:t>
      </w:r>
    </w:p>
    <w:p w14:paraId="51D4393C" w14:textId="27DD7F19" w:rsidR="00CF2533" w:rsidRPr="003B1108" w:rsidRDefault="00CF2533" w:rsidP="003B1108">
      <w:pPr>
        <w:adjustRightInd w:val="0"/>
        <w:snapToGrid w:val="0"/>
        <w:spacing w:line="360" w:lineRule="auto"/>
        <w:ind w:firstLineChars="100" w:firstLine="240"/>
        <w:rPr>
          <w:rFonts w:ascii="Book Antiqua" w:hAnsi="Book Antiqua"/>
          <w:bCs/>
          <w:sz w:val="24"/>
          <w:szCs w:val="24"/>
        </w:rPr>
      </w:pPr>
      <w:r w:rsidRPr="003B1108">
        <w:rPr>
          <w:rFonts w:ascii="Book Antiqua" w:hAnsi="Book Antiqua"/>
          <w:bCs/>
          <w:sz w:val="24"/>
          <w:szCs w:val="24"/>
        </w:rPr>
        <w:t xml:space="preserve">Also, we found that the level of ALT at baseline was the only characteristic associated with SVR. Patients who had lower levels of ALT at baseline and achieved ETR were more likely to achieve SVR, which is consistent with other </w:t>
      </w:r>
      <w:proofErr w:type="gramStart"/>
      <w:r w:rsidRPr="003B1108">
        <w:rPr>
          <w:rFonts w:ascii="Book Antiqua" w:hAnsi="Book Antiqua"/>
          <w:bCs/>
          <w:sz w:val="24"/>
          <w:szCs w:val="24"/>
        </w:rPr>
        <w:t>research</w:t>
      </w:r>
      <w:r w:rsidRPr="003B1108">
        <w:rPr>
          <w:rFonts w:ascii="Book Antiqua" w:hAnsi="Book Antiqua"/>
          <w:bCs/>
          <w:sz w:val="24"/>
          <w:szCs w:val="24"/>
          <w:vertAlign w:val="superscript"/>
        </w:rPr>
        <w:t>[</w:t>
      </w:r>
      <w:proofErr w:type="gramEnd"/>
      <w:r w:rsidRPr="003B1108">
        <w:rPr>
          <w:rFonts w:ascii="Book Antiqua" w:hAnsi="Book Antiqua"/>
          <w:bCs/>
          <w:sz w:val="24"/>
          <w:szCs w:val="24"/>
          <w:vertAlign w:val="superscript"/>
        </w:rPr>
        <w:t>25]</w:t>
      </w:r>
      <w:r w:rsidRPr="003B1108">
        <w:rPr>
          <w:rFonts w:ascii="Book Antiqua" w:hAnsi="Book Antiqua"/>
          <w:bCs/>
          <w:sz w:val="24"/>
          <w:szCs w:val="24"/>
        </w:rPr>
        <w:t>. We also found that SVR rates were independent of either liver status or baseline HCV viral load. Furthermore, whether patients had received antiviral therapy before had no influence on SVR. Hence, based on these findings, and regardless of liver status, HCV viral load and prior treatment experience</w:t>
      </w:r>
      <w:r w:rsidR="00E44C20">
        <w:rPr>
          <w:rFonts w:ascii="Book Antiqua" w:hAnsi="Book Antiqua"/>
          <w:bCs/>
          <w:sz w:val="24"/>
          <w:szCs w:val="24"/>
        </w:rPr>
        <w:t>,</w:t>
      </w:r>
      <w:r w:rsidRPr="003B1108">
        <w:rPr>
          <w:rFonts w:ascii="Book Antiqua" w:hAnsi="Book Antiqua"/>
          <w:bCs/>
          <w:sz w:val="24"/>
          <w:szCs w:val="24"/>
        </w:rPr>
        <w:t xml:space="preserve"> the appropriate DAA-based regimens and an adequate course of treatment can achieve satisfactory curative effects.</w:t>
      </w:r>
    </w:p>
    <w:p w14:paraId="129D65F1" w14:textId="4D2F2FEB" w:rsidR="00CF2533" w:rsidRPr="003B1108" w:rsidRDefault="00CF2533" w:rsidP="003B1108">
      <w:pPr>
        <w:adjustRightInd w:val="0"/>
        <w:snapToGrid w:val="0"/>
        <w:spacing w:line="360" w:lineRule="auto"/>
        <w:ind w:firstLineChars="100" w:firstLine="240"/>
        <w:rPr>
          <w:rFonts w:ascii="Book Antiqua" w:hAnsi="Book Antiqua"/>
          <w:bCs/>
          <w:sz w:val="24"/>
          <w:szCs w:val="24"/>
        </w:rPr>
      </w:pPr>
      <w:r w:rsidRPr="003B1108">
        <w:rPr>
          <w:rFonts w:ascii="Book Antiqua" w:hAnsi="Book Antiqua"/>
          <w:bCs/>
          <w:sz w:val="24"/>
          <w:szCs w:val="24"/>
        </w:rPr>
        <w:t xml:space="preserve">The safety of our study was quite satisfactory. </w:t>
      </w:r>
      <w:r w:rsidR="00E44C20">
        <w:rPr>
          <w:rFonts w:ascii="Book Antiqua" w:hAnsi="Book Antiqua"/>
          <w:bCs/>
          <w:sz w:val="24"/>
          <w:szCs w:val="24"/>
        </w:rPr>
        <w:t>Alt</w:t>
      </w:r>
      <w:r w:rsidR="00E44C20" w:rsidRPr="003B1108">
        <w:rPr>
          <w:rFonts w:ascii="Book Antiqua" w:hAnsi="Book Antiqua"/>
          <w:bCs/>
          <w:sz w:val="24"/>
          <w:szCs w:val="24"/>
        </w:rPr>
        <w:t xml:space="preserve">hough </w:t>
      </w:r>
      <w:r w:rsidRPr="003B1108">
        <w:rPr>
          <w:rFonts w:ascii="Book Antiqua" w:hAnsi="Book Antiqua"/>
          <w:bCs/>
          <w:sz w:val="24"/>
          <w:szCs w:val="24"/>
        </w:rPr>
        <w:t xml:space="preserve">31.1% of patients experienced one or more adverse events, no </w:t>
      </w:r>
      <w:r w:rsidR="00E44C20" w:rsidRPr="003B1108">
        <w:rPr>
          <w:rFonts w:ascii="Book Antiqua" w:hAnsi="Book Antiqua"/>
          <w:bCs/>
          <w:sz w:val="24"/>
          <w:szCs w:val="24"/>
        </w:rPr>
        <w:t>SA</w:t>
      </w:r>
      <w:r w:rsidR="00E44C20">
        <w:rPr>
          <w:rFonts w:ascii="Book Antiqua" w:hAnsi="Book Antiqua"/>
          <w:bCs/>
          <w:sz w:val="24"/>
          <w:szCs w:val="24"/>
        </w:rPr>
        <w:t>R</w:t>
      </w:r>
      <w:r w:rsidR="00E44C20" w:rsidRPr="003B1108">
        <w:rPr>
          <w:rFonts w:ascii="Book Antiqua" w:hAnsi="Book Antiqua"/>
          <w:bCs/>
          <w:sz w:val="24"/>
          <w:szCs w:val="24"/>
        </w:rPr>
        <w:t>s w</w:t>
      </w:r>
      <w:r w:rsidR="00E44C20">
        <w:rPr>
          <w:rFonts w:ascii="Book Antiqua" w:hAnsi="Book Antiqua"/>
          <w:bCs/>
          <w:sz w:val="24"/>
          <w:szCs w:val="24"/>
        </w:rPr>
        <w:t>ere</w:t>
      </w:r>
      <w:r w:rsidR="00E44C20" w:rsidRPr="003B1108">
        <w:rPr>
          <w:rFonts w:ascii="Book Antiqua" w:hAnsi="Book Antiqua"/>
          <w:bCs/>
          <w:sz w:val="24"/>
          <w:szCs w:val="24"/>
        </w:rPr>
        <w:t xml:space="preserve"> </w:t>
      </w:r>
      <w:r w:rsidRPr="003B1108">
        <w:rPr>
          <w:rFonts w:ascii="Book Antiqua" w:hAnsi="Book Antiqua"/>
          <w:bCs/>
          <w:sz w:val="24"/>
          <w:szCs w:val="24"/>
        </w:rPr>
        <w:t xml:space="preserve">observed. Also, most of the adverse events were mild or moderate, of which fatigue was the most common adverse event. Patients with liver cirrhosis or who were given RBV in their regimens should receive more attention because they are more likely to have adverse reactions. In our study, patients with complications such </w:t>
      </w:r>
      <w:r w:rsidR="00E43FEA" w:rsidRPr="003B1108">
        <w:rPr>
          <w:rFonts w:ascii="Book Antiqua" w:hAnsi="Book Antiqua"/>
          <w:bCs/>
          <w:sz w:val="24"/>
          <w:szCs w:val="24"/>
        </w:rPr>
        <w:t xml:space="preserve">as </w:t>
      </w:r>
      <w:r w:rsidRPr="003B1108">
        <w:rPr>
          <w:rFonts w:ascii="Book Antiqua" w:hAnsi="Book Antiqua"/>
          <w:bCs/>
          <w:sz w:val="24"/>
          <w:szCs w:val="24"/>
        </w:rPr>
        <w:t xml:space="preserve">hypertension were told to try to avoid taking drugs that have potential DDIs with DAAs. However, we observed two cases of </w:t>
      </w:r>
      <w:r w:rsidR="00E43FEA" w:rsidRPr="003B1108">
        <w:rPr>
          <w:rFonts w:ascii="Book Antiqua" w:hAnsi="Book Antiqua"/>
          <w:bCs/>
          <w:sz w:val="24"/>
          <w:szCs w:val="24"/>
        </w:rPr>
        <w:t>special adverse events</w:t>
      </w:r>
      <w:r w:rsidRPr="003B1108">
        <w:rPr>
          <w:rFonts w:ascii="Book Antiqua" w:hAnsi="Book Antiqua"/>
          <w:bCs/>
          <w:sz w:val="24"/>
          <w:szCs w:val="24"/>
        </w:rPr>
        <w:t>. One was facial and bilateral lower extremity edema,</w:t>
      </w:r>
      <w:r w:rsidR="00E43FEA" w:rsidRPr="003B1108">
        <w:rPr>
          <w:rFonts w:ascii="Book Antiqua" w:hAnsi="Book Antiqua"/>
          <w:bCs/>
          <w:sz w:val="24"/>
          <w:szCs w:val="24"/>
        </w:rPr>
        <w:t xml:space="preserve"> which was due to DDIs</w:t>
      </w:r>
      <w:r w:rsidRPr="003B1108">
        <w:rPr>
          <w:rFonts w:ascii="Book Antiqua" w:hAnsi="Book Antiqua"/>
          <w:bCs/>
          <w:sz w:val="24"/>
          <w:szCs w:val="24"/>
        </w:rPr>
        <w:t xml:space="preserve"> and the other was an interesting change in lipid levels while on DAA medication. No similar cases have been reported yet. These adverse events indicate that even now, real-world data on the use of DAA drugs is still needed and meaningful.</w:t>
      </w:r>
    </w:p>
    <w:p w14:paraId="67106523" w14:textId="14DF3F8E" w:rsidR="009E574B" w:rsidRPr="003B1108" w:rsidRDefault="00FF39B0" w:rsidP="003B1108">
      <w:pPr>
        <w:adjustRightInd w:val="0"/>
        <w:snapToGrid w:val="0"/>
        <w:spacing w:line="360" w:lineRule="auto"/>
        <w:ind w:firstLineChars="100" w:firstLine="240"/>
        <w:rPr>
          <w:rFonts w:ascii="Book Antiqua" w:hAnsi="Book Antiqua"/>
          <w:bCs/>
          <w:sz w:val="24"/>
          <w:szCs w:val="24"/>
        </w:rPr>
      </w:pPr>
      <w:r w:rsidRPr="003B1108">
        <w:rPr>
          <w:rFonts w:ascii="Book Antiqua" w:hAnsi="Book Antiqua"/>
          <w:bCs/>
          <w:sz w:val="24"/>
          <w:szCs w:val="24"/>
        </w:rPr>
        <w:t xml:space="preserve">This study had a few limitations. It was a single center study and the number of genotype 3 patients was quite small. </w:t>
      </w:r>
      <w:r w:rsidR="00F828F5" w:rsidRPr="003B1108">
        <w:rPr>
          <w:rFonts w:ascii="Book Antiqua" w:hAnsi="Book Antiqua"/>
          <w:bCs/>
          <w:sz w:val="24"/>
          <w:szCs w:val="24"/>
        </w:rPr>
        <w:t>Some patients use</w:t>
      </w:r>
      <w:r w:rsidR="00244708">
        <w:rPr>
          <w:rFonts w:ascii="Book Antiqua" w:hAnsi="Book Antiqua"/>
          <w:bCs/>
          <w:sz w:val="24"/>
          <w:szCs w:val="24"/>
        </w:rPr>
        <w:t>d</w:t>
      </w:r>
      <w:r w:rsidR="00F828F5" w:rsidRPr="003B1108">
        <w:rPr>
          <w:rFonts w:ascii="Book Antiqua" w:hAnsi="Book Antiqua"/>
          <w:bCs/>
          <w:sz w:val="24"/>
          <w:szCs w:val="24"/>
        </w:rPr>
        <w:t xml:space="preserve"> Indian </w:t>
      </w:r>
      <w:r w:rsidR="00F828F5" w:rsidRPr="003B1108">
        <w:rPr>
          <w:rFonts w:ascii="Book Antiqua" w:hAnsi="Book Antiqua"/>
          <w:bCs/>
          <w:sz w:val="24"/>
          <w:szCs w:val="24"/>
        </w:rPr>
        <w:lastRenderedPageBreak/>
        <w:t xml:space="preserve">generics for antiviral therapy. </w:t>
      </w:r>
      <w:r w:rsidRPr="003B1108">
        <w:rPr>
          <w:rFonts w:ascii="Book Antiqua" w:hAnsi="Book Antiqua"/>
          <w:bCs/>
          <w:sz w:val="24"/>
          <w:szCs w:val="24"/>
        </w:rPr>
        <w:t xml:space="preserve">The drug availabilities may also lead to bias. However, our study </w:t>
      </w:r>
      <w:r w:rsidR="00244708" w:rsidRPr="003B1108">
        <w:rPr>
          <w:rFonts w:ascii="Book Antiqua" w:hAnsi="Book Antiqua"/>
          <w:bCs/>
          <w:sz w:val="24"/>
          <w:szCs w:val="24"/>
        </w:rPr>
        <w:t>provide</w:t>
      </w:r>
      <w:r w:rsidR="00244708">
        <w:rPr>
          <w:rFonts w:ascii="Book Antiqua" w:hAnsi="Book Antiqua"/>
          <w:bCs/>
          <w:sz w:val="24"/>
          <w:szCs w:val="24"/>
        </w:rPr>
        <w:t>d</w:t>
      </w:r>
      <w:r w:rsidR="00244708" w:rsidRPr="003B1108">
        <w:rPr>
          <w:rFonts w:ascii="Book Antiqua" w:hAnsi="Book Antiqua"/>
          <w:bCs/>
          <w:sz w:val="24"/>
          <w:szCs w:val="24"/>
        </w:rPr>
        <w:t xml:space="preserve"> </w:t>
      </w:r>
      <w:r w:rsidRPr="003B1108">
        <w:rPr>
          <w:rFonts w:ascii="Book Antiqua" w:hAnsi="Book Antiqua"/>
          <w:bCs/>
          <w:sz w:val="24"/>
          <w:szCs w:val="24"/>
        </w:rPr>
        <w:t xml:space="preserve">data from the real-life experience of using DAAs in northwest China, and confirmed their efficacy and safety, thus </w:t>
      </w:r>
      <w:r w:rsidR="00244708" w:rsidRPr="003B1108">
        <w:rPr>
          <w:rFonts w:ascii="Book Antiqua" w:hAnsi="Book Antiqua"/>
          <w:bCs/>
          <w:sz w:val="24"/>
          <w:szCs w:val="24"/>
        </w:rPr>
        <w:t>provid</w:t>
      </w:r>
      <w:r w:rsidR="00244708">
        <w:rPr>
          <w:rFonts w:ascii="Book Antiqua" w:hAnsi="Book Antiqua"/>
          <w:bCs/>
          <w:sz w:val="24"/>
          <w:szCs w:val="24"/>
        </w:rPr>
        <w:t>ing</w:t>
      </w:r>
      <w:r w:rsidR="00244708" w:rsidRPr="003B1108">
        <w:rPr>
          <w:rFonts w:ascii="Book Antiqua" w:hAnsi="Book Antiqua"/>
          <w:bCs/>
          <w:sz w:val="24"/>
          <w:szCs w:val="24"/>
        </w:rPr>
        <w:t xml:space="preserve"> </w:t>
      </w:r>
      <w:r w:rsidRPr="003B1108">
        <w:rPr>
          <w:rFonts w:ascii="Book Antiqua" w:hAnsi="Book Antiqua"/>
          <w:bCs/>
          <w:sz w:val="24"/>
          <w:szCs w:val="24"/>
        </w:rPr>
        <w:t>physicians with the data needed for potential positive treatment outcomes. The long-term efficacy and safety of DAAs need to be studied, but the short-term results are encouraging.</w:t>
      </w:r>
    </w:p>
    <w:p w14:paraId="79A6C60A" w14:textId="77777777" w:rsidR="00777E45" w:rsidRPr="003B1108" w:rsidRDefault="00777E45" w:rsidP="003B1108">
      <w:pPr>
        <w:adjustRightInd w:val="0"/>
        <w:snapToGrid w:val="0"/>
        <w:spacing w:line="360" w:lineRule="auto"/>
        <w:ind w:firstLineChars="100" w:firstLine="240"/>
        <w:rPr>
          <w:rFonts w:ascii="Book Antiqua" w:hAnsi="Book Antiqua"/>
          <w:bCs/>
          <w:sz w:val="24"/>
          <w:szCs w:val="24"/>
        </w:rPr>
      </w:pPr>
    </w:p>
    <w:p w14:paraId="05BEBB62" w14:textId="25666CF1" w:rsidR="004131BF" w:rsidRPr="003B1108" w:rsidRDefault="004131BF" w:rsidP="003B1108">
      <w:pPr>
        <w:widowControl/>
        <w:adjustRightInd w:val="0"/>
        <w:snapToGrid w:val="0"/>
        <w:spacing w:line="360" w:lineRule="auto"/>
        <w:rPr>
          <w:rFonts w:ascii="Book Antiqua" w:eastAsia="宋体" w:hAnsi="Book Antiqua" w:cs="宋体"/>
          <w:b/>
          <w:caps/>
          <w:kern w:val="0"/>
          <w:sz w:val="24"/>
          <w:szCs w:val="24"/>
        </w:rPr>
      </w:pPr>
      <w:bookmarkStart w:id="49" w:name="OLE_LINK151"/>
      <w:bookmarkStart w:id="50" w:name="OLE_LINK259"/>
      <w:r w:rsidRPr="003B1108">
        <w:rPr>
          <w:rFonts w:ascii="Book Antiqua" w:eastAsia="宋体" w:hAnsi="Book Antiqua" w:cs="Segoe UI"/>
          <w:b/>
          <w:caps/>
          <w:kern w:val="0"/>
          <w:sz w:val="24"/>
          <w:szCs w:val="24"/>
          <w:shd w:val="clear" w:color="auto" w:fill="FFFFFF"/>
        </w:rPr>
        <w:t>Article Highlights</w:t>
      </w:r>
    </w:p>
    <w:p w14:paraId="01275E85" w14:textId="77777777" w:rsidR="004131BF" w:rsidRPr="003B1108" w:rsidRDefault="004131BF" w:rsidP="003B1108">
      <w:pPr>
        <w:widowControl/>
        <w:adjustRightInd w:val="0"/>
        <w:snapToGrid w:val="0"/>
        <w:spacing w:line="360" w:lineRule="auto"/>
        <w:rPr>
          <w:rFonts w:ascii="Book Antiqua" w:eastAsia="宋体" w:hAnsi="Book Antiqua" w:cs="宋体"/>
          <w:b/>
          <w:i/>
          <w:kern w:val="0"/>
          <w:sz w:val="24"/>
          <w:szCs w:val="24"/>
        </w:rPr>
      </w:pPr>
      <w:r w:rsidRPr="003B1108">
        <w:rPr>
          <w:rFonts w:ascii="Book Antiqua" w:eastAsia="宋体" w:hAnsi="Book Antiqua" w:cs="宋体"/>
          <w:b/>
          <w:i/>
          <w:kern w:val="0"/>
          <w:sz w:val="24"/>
          <w:szCs w:val="24"/>
        </w:rPr>
        <w:t>Research background</w:t>
      </w:r>
    </w:p>
    <w:p w14:paraId="14B6244C" w14:textId="5395F4FD" w:rsidR="00467ADE" w:rsidRPr="003B1108" w:rsidRDefault="00467ADE" w:rsidP="003B1108">
      <w:pPr>
        <w:adjustRightInd w:val="0"/>
        <w:snapToGrid w:val="0"/>
        <w:spacing w:line="360" w:lineRule="auto"/>
        <w:rPr>
          <w:rFonts w:ascii="Book Antiqua" w:hAnsi="Book Antiqua"/>
          <w:bCs/>
          <w:sz w:val="24"/>
          <w:szCs w:val="24"/>
        </w:rPr>
      </w:pPr>
      <w:r w:rsidRPr="003B1108">
        <w:rPr>
          <w:rFonts w:ascii="Book Antiqua" w:hAnsi="Book Antiqua"/>
          <w:sz w:val="24"/>
          <w:szCs w:val="24"/>
        </w:rPr>
        <w:t xml:space="preserve">Regimens involving direct-acting antiviral agents (DAAs) are recommended for the treatment of </w:t>
      </w:r>
      <w:r w:rsidR="00244708">
        <w:rPr>
          <w:rFonts w:ascii="Book Antiqua" w:hAnsi="Book Antiqua"/>
          <w:sz w:val="24"/>
          <w:szCs w:val="24"/>
        </w:rPr>
        <w:t xml:space="preserve">infection with </w:t>
      </w:r>
      <w:r w:rsidRPr="003B1108">
        <w:rPr>
          <w:rFonts w:ascii="Book Antiqua" w:hAnsi="Book Antiqua"/>
          <w:sz w:val="24"/>
          <w:szCs w:val="24"/>
        </w:rPr>
        <w:t>hepatitis C virus (HCV) genotypes 1, 2 and 3. But real-world data is still not enough, especially in Asia.</w:t>
      </w:r>
    </w:p>
    <w:p w14:paraId="67E16C6D" w14:textId="77777777" w:rsidR="004131BF" w:rsidRPr="003B1108" w:rsidRDefault="004131BF" w:rsidP="003B1108">
      <w:pPr>
        <w:widowControl/>
        <w:adjustRightInd w:val="0"/>
        <w:snapToGrid w:val="0"/>
        <w:spacing w:line="360" w:lineRule="auto"/>
        <w:rPr>
          <w:rFonts w:ascii="Book Antiqua" w:eastAsia="宋体" w:hAnsi="Book Antiqua" w:cs="宋体"/>
          <w:kern w:val="0"/>
          <w:sz w:val="24"/>
          <w:szCs w:val="24"/>
        </w:rPr>
      </w:pPr>
    </w:p>
    <w:p w14:paraId="4E09831D" w14:textId="77777777" w:rsidR="004131BF" w:rsidRPr="003B1108" w:rsidRDefault="004131BF" w:rsidP="003B1108">
      <w:pPr>
        <w:widowControl/>
        <w:adjustRightInd w:val="0"/>
        <w:snapToGrid w:val="0"/>
        <w:spacing w:line="360" w:lineRule="auto"/>
        <w:rPr>
          <w:rFonts w:ascii="Book Antiqua" w:eastAsia="宋体" w:hAnsi="Book Antiqua" w:cs="宋体"/>
          <w:b/>
          <w:i/>
          <w:kern w:val="0"/>
          <w:sz w:val="24"/>
          <w:szCs w:val="24"/>
        </w:rPr>
      </w:pPr>
      <w:r w:rsidRPr="003B1108">
        <w:rPr>
          <w:rFonts w:ascii="Book Antiqua" w:eastAsia="宋体" w:hAnsi="Book Antiqua" w:cs="宋体"/>
          <w:b/>
          <w:i/>
          <w:kern w:val="0"/>
          <w:sz w:val="24"/>
          <w:szCs w:val="24"/>
        </w:rPr>
        <w:t>Research motivation</w:t>
      </w:r>
    </w:p>
    <w:p w14:paraId="64847147" w14:textId="3AE475E9" w:rsidR="00467ADE" w:rsidRPr="003B1108" w:rsidRDefault="00244708" w:rsidP="003B1108">
      <w:pPr>
        <w:adjustRightInd w:val="0"/>
        <w:snapToGrid w:val="0"/>
        <w:spacing w:line="360" w:lineRule="auto"/>
        <w:rPr>
          <w:rFonts w:ascii="Book Antiqua" w:hAnsi="Book Antiqua"/>
          <w:bCs/>
          <w:sz w:val="24"/>
          <w:szCs w:val="24"/>
        </w:rPr>
      </w:pPr>
      <w:r>
        <w:rPr>
          <w:rFonts w:ascii="Book Antiqua" w:hAnsi="Book Antiqua"/>
          <w:bCs/>
          <w:sz w:val="24"/>
          <w:szCs w:val="24"/>
        </w:rPr>
        <w:t>Alt</w:t>
      </w:r>
      <w:r w:rsidRPr="003B1108">
        <w:rPr>
          <w:rFonts w:ascii="Book Antiqua" w:hAnsi="Book Antiqua"/>
          <w:bCs/>
          <w:sz w:val="24"/>
          <w:szCs w:val="24"/>
        </w:rPr>
        <w:t xml:space="preserve">hough </w:t>
      </w:r>
      <w:r w:rsidR="00467ADE" w:rsidRPr="003B1108">
        <w:rPr>
          <w:rFonts w:ascii="Book Antiqua" w:hAnsi="Book Antiqua"/>
          <w:bCs/>
          <w:sz w:val="24"/>
          <w:szCs w:val="24"/>
        </w:rPr>
        <w:t xml:space="preserve">high rates of </w:t>
      </w:r>
      <w:r w:rsidR="002E7825" w:rsidRPr="003B1108">
        <w:rPr>
          <w:rFonts w:ascii="Book Antiqua" w:hAnsi="Book Antiqua"/>
          <w:bCs/>
          <w:sz w:val="24"/>
          <w:szCs w:val="24"/>
        </w:rPr>
        <w:t xml:space="preserve">sustained </w:t>
      </w:r>
      <w:proofErr w:type="spellStart"/>
      <w:r w:rsidR="002E7825" w:rsidRPr="003B1108">
        <w:rPr>
          <w:rFonts w:ascii="Book Antiqua" w:hAnsi="Book Antiqua"/>
          <w:bCs/>
          <w:sz w:val="24"/>
          <w:szCs w:val="24"/>
        </w:rPr>
        <w:t>virological</w:t>
      </w:r>
      <w:proofErr w:type="spellEnd"/>
      <w:r w:rsidR="002E7825" w:rsidRPr="003B1108">
        <w:rPr>
          <w:rFonts w:ascii="Book Antiqua" w:hAnsi="Book Antiqua"/>
          <w:bCs/>
          <w:sz w:val="24"/>
          <w:szCs w:val="24"/>
        </w:rPr>
        <w:t xml:space="preserve"> responses (SVR)</w:t>
      </w:r>
      <w:r w:rsidR="00467ADE" w:rsidRPr="003B1108">
        <w:rPr>
          <w:rFonts w:ascii="Book Antiqua" w:hAnsi="Book Antiqua"/>
          <w:bCs/>
          <w:sz w:val="24"/>
          <w:szCs w:val="24"/>
        </w:rPr>
        <w:t xml:space="preserve"> have been shown in trials, results derived from controlled settings may not be representative to the real world. Drugs may have many unexpected adverse events in clinical applications. Also, data gathered from different races is insufficient. Therefore, evaluations of drugs in real-world settings are critical, especially in patients such as those from northwest China, where clinical trial data is limited.</w:t>
      </w:r>
    </w:p>
    <w:p w14:paraId="2A539B95" w14:textId="77777777" w:rsidR="00467ADE" w:rsidRPr="003B1108" w:rsidRDefault="00467ADE" w:rsidP="003B1108">
      <w:pPr>
        <w:widowControl/>
        <w:adjustRightInd w:val="0"/>
        <w:snapToGrid w:val="0"/>
        <w:spacing w:line="360" w:lineRule="auto"/>
        <w:rPr>
          <w:rFonts w:ascii="Book Antiqua" w:eastAsia="宋体" w:hAnsi="Book Antiqua" w:cs="宋体"/>
          <w:kern w:val="0"/>
          <w:sz w:val="24"/>
          <w:szCs w:val="24"/>
        </w:rPr>
      </w:pPr>
    </w:p>
    <w:p w14:paraId="3CBAF139" w14:textId="2E7DAD87" w:rsidR="00467ADE" w:rsidRPr="003B1108" w:rsidRDefault="004131BF" w:rsidP="003B1108">
      <w:pPr>
        <w:widowControl/>
        <w:adjustRightInd w:val="0"/>
        <w:snapToGrid w:val="0"/>
        <w:spacing w:line="360" w:lineRule="auto"/>
        <w:rPr>
          <w:rFonts w:ascii="Book Antiqua" w:eastAsia="宋体" w:hAnsi="Book Antiqua" w:cs="宋体"/>
          <w:b/>
          <w:i/>
          <w:kern w:val="0"/>
          <w:sz w:val="24"/>
          <w:szCs w:val="24"/>
        </w:rPr>
      </w:pPr>
      <w:r w:rsidRPr="003B1108">
        <w:rPr>
          <w:rFonts w:ascii="Book Antiqua" w:eastAsia="宋体" w:hAnsi="Book Antiqua" w:cs="宋体"/>
          <w:b/>
          <w:i/>
          <w:kern w:val="0"/>
          <w:sz w:val="24"/>
          <w:szCs w:val="24"/>
        </w:rPr>
        <w:t>Research objectives</w:t>
      </w:r>
    </w:p>
    <w:p w14:paraId="62D8B3FC" w14:textId="698C49FA" w:rsidR="00467ADE" w:rsidRPr="003B1108" w:rsidRDefault="00467ADE" w:rsidP="003B1108">
      <w:pPr>
        <w:widowControl/>
        <w:adjustRightInd w:val="0"/>
        <w:snapToGrid w:val="0"/>
        <w:spacing w:line="360" w:lineRule="auto"/>
        <w:rPr>
          <w:rFonts w:ascii="Book Antiqua" w:eastAsia="宋体" w:hAnsi="Book Antiqua" w:cs="宋体"/>
          <w:kern w:val="0"/>
          <w:sz w:val="24"/>
          <w:szCs w:val="24"/>
        </w:rPr>
      </w:pPr>
      <w:r w:rsidRPr="003B1108">
        <w:rPr>
          <w:rFonts w:ascii="Book Antiqua" w:eastAsia="宋体" w:hAnsi="Book Antiqua" w:cs="宋体"/>
          <w:kern w:val="0"/>
          <w:sz w:val="24"/>
          <w:szCs w:val="24"/>
        </w:rPr>
        <w:t>Our study aimed to investigate the efficacy and safety of DAA-based regimens in a Chinese real-life setting in China</w:t>
      </w:r>
      <w:r w:rsidR="00244708">
        <w:rPr>
          <w:rFonts w:ascii="Book Antiqua" w:eastAsia="宋体" w:hAnsi="Book Antiqua" w:cs="宋体"/>
          <w:kern w:val="0"/>
          <w:sz w:val="24"/>
          <w:szCs w:val="24"/>
        </w:rPr>
        <w:t xml:space="preserve"> and</w:t>
      </w:r>
      <w:r w:rsidRPr="003B1108">
        <w:rPr>
          <w:rFonts w:ascii="Book Antiqua" w:eastAsia="宋体" w:hAnsi="Book Antiqua" w:cs="宋体"/>
          <w:kern w:val="0"/>
          <w:sz w:val="24"/>
          <w:szCs w:val="24"/>
        </w:rPr>
        <w:t xml:space="preserve"> find out whether there </w:t>
      </w:r>
      <w:r w:rsidR="002E7825" w:rsidRPr="003B1108">
        <w:rPr>
          <w:rFonts w:ascii="Book Antiqua" w:eastAsia="宋体" w:hAnsi="Book Antiqua" w:cs="宋体"/>
          <w:kern w:val="0"/>
          <w:sz w:val="24"/>
          <w:szCs w:val="24"/>
        </w:rPr>
        <w:t>are</w:t>
      </w:r>
      <w:r w:rsidRPr="003B1108">
        <w:rPr>
          <w:rFonts w:ascii="Book Antiqua" w:eastAsia="宋体" w:hAnsi="Book Antiqua" w:cs="宋体"/>
          <w:kern w:val="0"/>
          <w:sz w:val="24"/>
          <w:szCs w:val="24"/>
        </w:rPr>
        <w:t xml:space="preserve"> any differences in different genotypes and liver status</w:t>
      </w:r>
      <w:r w:rsidR="00244708">
        <w:rPr>
          <w:rFonts w:ascii="Book Antiqua" w:eastAsia="宋体" w:hAnsi="Book Antiqua" w:cs="宋体"/>
          <w:kern w:val="0"/>
          <w:sz w:val="24"/>
          <w:szCs w:val="24"/>
        </w:rPr>
        <w:t>es</w:t>
      </w:r>
      <w:r w:rsidRPr="003B1108">
        <w:rPr>
          <w:rFonts w:ascii="Book Antiqua" w:eastAsia="宋体" w:hAnsi="Book Antiqua" w:cs="宋体"/>
          <w:kern w:val="0"/>
          <w:sz w:val="24"/>
          <w:szCs w:val="24"/>
        </w:rPr>
        <w:t>.</w:t>
      </w:r>
    </w:p>
    <w:p w14:paraId="5B554220" w14:textId="77777777" w:rsidR="004131BF" w:rsidRPr="00244708" w:rsidRDefault="004131BF" w:rsidP="003B1108">
      <w:pPr>
        <w:widowControl/>
        <w:adjustRightInd w:val="0"/>
        <w:snapToGrid w:val="0"/>
        <w:spacing w:line="360" w:lineRule="auto"/>
        <w:rPr>
          <w:rFonts w:ascii="Book Antiqua" w:eastAsia="宋体" w:hAnsi="Book Antiqua" w:cs="宋体"/>
          <w:b/>
          <w:kern w:val="0"/>
          <w:sz w:val="24"/>
          <w:szCs w:val="24"/>
        </w:rPr>
      </w:pPr>
    </w:p>
    <w:p w14:paraId="70D6B724" w14:textId="77777777" w:rsidR="004131BF" w:rsidRPr="003B1108" w:rsidRDefault="004131BF" w:rsidP="003B1108">
      <w:pPr>
        <w:widowControl/>
        <w:adjustRightInd w:val="0"/>
        <w:snapToGrid w:val="0"/>
        <w:spacing w:line="360" w:lineRule="auto"/>
        <w:rPr>
          <w:rFonts w:ascii="Book Antiqua" w:eastAsia="宋体" w:hAnsi="Book Antiqua" w:cs="宋体"/>
          <w:b/>
          <w:i/>
          <w:kern w:val="0"/>
          <w:sz w:val="24"/>
          <w:szCs w:val="24"/>
        </w:rPr>
      </w:pPr>
      <w:r w:rsidRPr="003B1108">
        <w:rPr>
          <w:rFonts w:ascii="Book Antiqua" w:eastAsia="宋体" w:hAnsi="Book Antiqua" w:cs="宋体"/>
          <w:b/>
          <w:i/>
          <w:kern w:val="0"/>
          <w:sz w:val="24"/>
          <w:szCs w:val="24"/>
        </w:rPr>
        <w:t>Research methods</w:t>
      </w:r>
    </w:p>
    <w:p w14:paraId="2F381F85" w14:textId="57006712" w:rsidR="00467ADE" w:rsidRPr="003B1108" w:rsidRDefault="00467ADE" w:rsidP="003B1108">
      <w:pPr>
        <w:adjustRightInd w:val="0"/>
        <w:snapToGrid w:val="0"/>
        <w:spacing w:line="360" w:lineRule="auto"/>
        <w:rPr>
          <w:rFonts w:ascii="Book Antiqua" w:hAnsi="Book Antiqua"/>
          <w:bCs/>
          <w:sz w:val="24"/>
          <w:szCs w:val="24"/>
        </w:rPr>
      </w:pPr>
      <w:r w:rsidRPr="003B1108">
        <w:rPr>
          <w:rFonts w:ascii="Book Antiqua" w:hAnsi="Book Antiqua"/>
          <w:bCs/>
          <w:sz w:val="24"/>
          <w:szCs w:val="24"/>
        </w:rPr>
        <w:t>This study included 366 patients infected with HCV genotypes 1,</w:t>
      </w:r>
      <w:r w:rsidR="00777E45" w:rsidRPr="003B1108">
        <w:rPr>
          <w:rFonts w:ascii="Book Antiqua" w:hAnsi="Book Antiqua"/>
          <w:bCs/>
          <w:sz w:val="24"/>
          <w:szCs w:val="24"/>
        </w:rPr>
        <w:t xml:space="preserve"> </w:t>
      </w:r>
      <w:r w:rsidRPr="003B1108">
        <w:rPr>
          <w:rFonts w:ascii="Book Antiqua" w:hAnsi="Book Antiqua"/>
          <w:bCs/>
          <w:sz w:val="24"/>
          <w:szCs w:val="24"/>
        </w:rPr>
        <w:t xml:space="preserve">2 and 3, with or without cirrhosis, who were observed between May 2015 and December 2018. They were treated with </w:t>
      </w:r>
      <w:r w:rsidR="00244708">
        <w:rPr>
          <w:rFonts w:ascii="Book Antiqua" w:hAnsi="Book Antiqua"/>
          <w:bCs/>
          <w:sz w:val="24"/>
          <w:szCs w:val="24"/>
        </w:rPr>
        <w:t>l</w:t>
      </w:r>
      <w:r w:rsidR="00244708" w:rsidRPr="003B1108">
        <w:rPr>
          <w:rFonts w:ascii="Book Antiqua" w:hAnsi="Book Antiqua"/>
          <w:bCs/>
          <w:sz w:val="24"/>
          <w:szCs w:val="24"/>
        </w:rPr>
        <w:t xml:space="preserve">edipasvir </w:t>
      </w:r>
      <w:r w:rsidRPr="003B1108">
        <w:rPr>
          <w:rFonts w:ascii="Book Antiqua" w:hAnsi="Book Antiqua"/>
          <w:bCs/>
          <w:sz w:val="24"/>
          <w:szCs w:val="24"/>
        </w:rPr>
        <w:t xml:space="preserve">and </w:t>
      </w:r>
      <w:r w:rsidR="00244708">
        <w:rPr>
          <w:rFonts w:ascii="Book Antiqua" w:hAnsi="Book Antiqua"/>
          <w:bCs/>
          <w:sz w:val="24"/>
          <w:szCs w:val="24"/>
        </w:rPr>
        <w:t>s</w:t>
      </w:r>
      <w:r w:rsidR="00244708" w:rsidRPr="003B1108">
        <w:rPr>
          <w:rFonts w:ascii="Book Antiqua" w:hAnsi="Book Antiqua"/>
          <w:bCs/>
          <w:sz w:val="24"/>
          <w:szCs w:val="24"/>
        </w:rPr>
        <w:t xml:space="preserve">ofosbuvir </w:t>
      </w:r>
      <w:r w:rsidRPr="003B1108">
        <w:rPr>
          <w:rFonts w:ascii="Book Antiqua" w:hAnsi="Book Antiqua"/>
          <w:bCs/>
          <w:sz w:val="24"/>
          <w:szCs w:val="24"/>
        </w:rPr>
        <w:t xml:space="preserve">(SOF) </w:t>
      </w:r>
      <w:r w:rsidRPr="003B1108">
        <w:rPr>
          <w:rFonts w:ascii="Book Antiqua" w:hAnsi="Book Antiqua"/>
          <w:bCs/>
          <w:sz w:val="24"/>
          <w:szCs w:val="24"/>
        </w:rPr>
        <w:lastRenderedPageBreak/>
        <w:t xml:space="preserve">(genotype 1) with or without </w:t>
      </w:r>
      <w:r w:rsidR="00244708">
        <w:rPr>
          <w:rFonts w:ascii="Book Antiqua" w:hAnsi="Book Antiqua"/>
          <w:bCs/>
          <w:sz w:val="24"/>
          <w:szCs w:val="24"/>
        </w:rPr>
        <w:t>r</w:t>
      </w:r>
      <w:r w:rsidR="00244708" w:rsidRPr="003B1108">
        <w:rPr>
          <w:rFonts w:ascii="Book Antiqua" w:hAnsi="Book Antiqua"/>
          <w:bCs/>
          <w:sz w:val="24"/>
          <w:szCs w:val="24"/>
        </w:rPr>
        <w:t xml:space="preserve">ibavirin </w:t>
      </w:r>
      <w:r w:rsidRPr="003B1108">
        <w:rPr>
          <w:rFonts w:ascii="Book Antiqua" w:hAnsi="Book Antiqua"/>
          <w:bCs/>
          <w:sz w:val="24"/>
          <w:szCs w:val="24"/>
        </w:rPr>
        <w:t xml:space="preserve">(RBV), SOF and RBV (genotype 2), or SOF and </w:t>
      </w:r>
      <w:r w:rsidR="00244708">
        <w:rPr>
          <w:rFonts w:ascii="Book Antiqua" w:hAnsi="Book Antiqua"/>
          <w:bCs/>
          <w:sz w:val="24"/>
          <w:szCs w:val="24"/>
        </w:rPr>
        <w:t>d</w:t>
      </w:r>
      <w:r w:rsidR="00244708" w:rsidRPr="003B1108">
        <w:rPr>
          <w:rFonts w:ascii="Book Antiqua" w:hAnsi="Book Antiqua"/>
          <w:bCs/>
          <w:sz w:val="24"/>
          <w:szCs w:val="24"/>
        </w:rPr>
        <w:t xml:space="preserve">aclatasvir </w:t>
      </w:r>
      <w:r w:rsidRPr="003B1108">
        <w:rPr>
          <w:rFonts w:ascii="Book Antiqua" w:hAnsi="Book Antiqua"/>
          <w:bCs/>
          <w:sz w:val="24"/>
          <w:szCs w:val="24"/>
        </w:rPr>
        <w:t xml:space="preserve">(genotype 3), with or without RBV, for 12 or more </w:t>
      </w:r>
      <w:r w:rsidR="00DE2FDA" w:rsidRPr="003B1108">
        <w:rPr>
          <w:rFonts w:ascii="Book Antiqua" w:hAnsi="Book Antiqua"/>
          <w:bCs/>
          <w:sz w:val="24"/>
          <w:szCs w:val="24"/>
        </w:rPr>
        <w:t>wk</w:t>
      </w:r>
      <w:r w:rsidRPr="003B1108">
        <w:rPr>
          <w:rFonts w:ascii="Book Antiqua" w:hAnsi="Book Antiqua"/>
          <w:bCs/>
          <w:sz w:val="24"/>
          <w:szCs w:val="24"/>
        </w:rPr>
        <w:t>. The participants’ SVR at post-treatment week 12 (SVR12) was the primary endpoint. The occurrence of adverse events and drug-drug interactions were recorded.</w:t>
      </w:r>
    </w:p>
    <w:p w14:paraId="4DC651E8" w14:textId="77777777" w:rsidR="004131BF" w:rsidRPr="003B1108" w:rsidRDefault="004131BF" w:rsidP="003B1108">
      <w:pPr>
        <w:widowControl/>
        <w:adjustRightInd w:val="0"/>
        <w:snapToGrid w:val="0"/>
        <w:spacing w:line="360" w:lineRule="auto"/>
        <w:rPr>
          <w:rFonts w:ascii="Book Antiqua" w:eastAsia="宋体" w:hAnsi="Book Antiqua" w:cs="宋体"/>
          <w:b/>
          <w:kern w:val="0"/>
          <w:sz w:val="24"/>
          <w:szCs w:val="24"/>
        </w:rPr>
      </w:pPr>
    </w:p>
    <w:p w14:paraId="4C4110D0" w14:textId="77777777" w:rsidR="004131BF" w:rsidRPr="003B1108" w:rsidRDefault="004131BF" w:rsidP="003B1108">
      <w:pPr>
        <w:widowControl/>
        <w:adjustRightInd w:val="0"/>
        <w:snapToGrid w:val="0"/>
        <w:spacing w:line="360" w:lineRule="auto"/>
        <w:rPr>
          <w:rFonts w:ascii="Book Antiqua" w:eastAsia="宋体" w:hAnsi="Book Antiqua" w:cs="宋体"/>
          <w:b/>
          <w:i/>
          <w:kern w:val="0"/>
          <w:sz w:val="24"/>
          <w:szCs w:val="24"/>
        </w:rPr>
      </w:pPr>
      <w:r w:rsidRPr="003B1108">
        <w:rPr>
          <w:rFonts w:ascii="Book Antiqua" w:eastAsia="宋体" w:hAnsi="Book Antiqua" w:cs="宋体"/>
          <w:b/>
          <w:i/>
          <w:kern w:val="0"/>
          <w:sz w:val="24"/>
          <w:szCs w:val="24"/>
        </w:rPr>
        <w:t>Research results</w:t>
      </w:r>
    </w:p>
    <w:p w14:paraId="5678E4FE" w14:textId="04DB2A3E" w:rsidR="00BC0E37" w:rsidRPr="003B1108" w:rsidRDefault="00244708" w:rsidP="003B1108">
      <w:pPr>
        <w:adjustRightInd w:val="0"/>
        <w:snapToGrid w:val="0"/>
        <w:spacing w:line="360" w:lineRule="auto"/>
        <w:rPr>
          <w:rFonts w:ascii="Book Antiqua" w:hAnsi="Book Antiqua"/>
          <w:bCs/>
          <w:sz w:val="24"/>
          <w:szCs w:val="24"/>
        </w:rPr>
      </w:pPr>
      <w:r>
        <w:rPr>
          <w:rFonts w:ascii="Book Antiqua" w:hAnsi="Book Antiqua"/>
          <w:sz w:val="24"/>
          <w:szCs w:val="24"/>
        </w:rPr>
        <w:t>In</w:t>
      </w:r>
      <w:r w:rsidRPr="003B1108">
        <w:rPr>
          <w:rFonts w:ascii="Book Antiqua" w:hAnsi="Book Antiqua"/>
          <w:sz w:val="24"/>
          <w:szCs w:val="24"/>
        </w:rPr>
        <w:t xml:space="preserve"> </w:t>
      </w:r>
      <w:r w:rsidR="00BC0E37" w:rsidRPr="003B1108">
        <w:rPr>
          <w:rFonts w:ascii="Book Antiqua" w:hAnsi="Book Antiqua"/>
          <w:sz w:val="24"/>
          <w:szCs w:val="24"/>
        </w:rPr>
        <w:t xml:space="preserve">the 366 patients, genotype 1 (59.0%) was the most common genotype, followed by genotypes 2 (34.4%) and 3 (6.6%). Liver cirrhosis was diagnosed in 154 (42.1%) patients. </w:t>
      </w:r>
      <w:r>
        <w:rPr>
          <w:rFonts w:ascii="Book Antiqua" w:hAnsi="Book Antiqua"/>
          <w:sz w:val="24"/>
          <w:szCs w:val="24"/>
        </w:rPr>
        <w:t>Fifty</w:t>
      </w:r>
      <w:r w:rsidRPr="003B1108">
        <w:rPr>
          <w:rFonts w:ascii="Book Antiqua" w:hAnsi="Book Antiqua"/>
          <w:sz w:val="24"/>
          <w:szCs w:val="24"/>
        </w:rPr>
        <w:t xml:space="preserve"> </w:t>
      </w:r>
      <w:r w:rsidR="00BC0E37" w:rsidRPr="003B1108">
        <w:rPr>
          <w:rFonts w:ascii="Book Antiqua" w:hAnsi="Book Antiqua"/>
          <w:sz w:val="24"/>
          <w:szCs w:val="24"/>
        </w:rPr>
        <w:t xml:space="preserve">(13.7%) patients were </w:t>
      </w:r>
      <w:r w:rsidRPr="003B1108">
        <w:rPr>
          <w:rFonts w:ascii="Book Antiqua" w:hAnsi="Book Antiqua"/>
          <w:sz w:val="24"/>
          <w:szCs w:val="24"/>
        </w:rPr>
        <w:t>treat</w:t>
      </w:r>
      <w:r>
        <w:rPr>
          <w:rFonts w:ascii="Book Antiqua" w:hAnsi="Book Antiqua"/>
          <w:sz w:val="24"/>
          <w:szCs w:val="24"/>
        </w:rPr>
        <w:t>ment</w:t>
      </w:r>
      <w:r w:rsidR="00BC0E37" w:rsidRPr="003B1108">
        <w:rPr>
          <w:rFonts w:ascii="Book Antiqua" w:hAnsi="Book Antiqua"/>
          <w:sz w:val="24"/>
          <w:szCs w:val="24"/>
        </w:rPr>
        <w:t xml:space="preserve">-experienced. </w:t>
      </w:r>
      <w:r>
        <w:rPr>
          <w:rFonts w:ascii="Book Antiqua" w:hAnsi="Book Antiqua"/>
          <w:sz w:val="24"/>
          <w:szCs w:val="24"/>
        </w:rPr>
        <w:t>I</w:t>
      </w:r>
      <w:r w:rsidR="00BC0E37" w:rsidRPr="003B1108">
        <w:rPr>
          <w:rFonts w:ascii="Book Antiqua" w:hAnsi="Book Antiqua"/>
          <w:sz w:val="24"/>
          <w:szCs w:val="24"/>
        </w:rPr>
        <w:t xml:space="preserve">ntention-to-treat analysis </w:t>
      </w:r>
      <w:r w:rsidRPr="003B1108">
        <w:rPr>
          <w:rFonts w:ascii="Book Antiqua" w:hAnsi="Book Antiqua"/>
          <w:sz w:val="24"/>
          <w:szCs w:val="24"/>
        </w:rPr>
        <w:t>reveal</w:t>
      </w:r>
      <w:r>
        <w:rPr>
          <w:rFonts w:ascii="Book Antiqua" w:hAnsi="Book Antiqua"/>
          <w:sz w:val="24"/>
          <w:szCs w:val="24"/>
        </w:rPr>
        <w:t>ed</w:t>
      </w:r>
      <w:r w:rsidRPr="003B1108">
        <w:rPr>
          <w:rFonts w:ascii="Book Antiqua" w:hAnsi="Book Antiqua"/>
          <w:sz w:val="24"/>
          <w:szCs w:val="24"/>
        </w:rPr>
        <w:t xml:space="preserve"> </w:t>
      </w:r>
      <w:r w:rsidR="00BC0E37" w:rsidRPr="003B1108">
        <w:rPr>
          <w:rFonts w:ascii="Book Antiqua" w:hAnsi="Book Antiqua"/>
          <w:sz w:val="24"/>
          <w:szCs w:val="24"/>
        </w:rPr>
        <w:t xml:space="preserve">that SVR12 was 86.3% (316/366). For modified intention-to-treat </w:t>
      </w:r>
      <w:r>
        <w:rPr>
          <w:rFonts w:ascii="Book Antiqua" w:hAnsi="Book Antiqua"/>
          <w:sz w:val="24"/>
          <w:szCs w:val="24"/>
        </w:rPr>
        <w:t xml:space="preserve">analysis, </w:t>
      </w:r>
      <w:r w:rsidR="00BC0E37" w:rsidRPr="003B1108">
        <w:rPr>
          <w:rFonts w:ascii="Book Antiqua" w:hAnsi="Book Antiqua"/>
          <w:sz w:val="24"/>
          <w:szCs w:val="24"/>
        </w:rPr>
        <w:t xml:space="preserve">SVR12 was achieved </w:t>
      </w:r>
      <w:r>
        <w:rPr>
          <w:rFonts w:ascii="Book Antiqua" w:hAnsi="Book Antiqua"/>
          <w:sz w:val="24"/>
          <w:szCs w:val="24"/>
        </w:rPr>
        <w:t>in</w:t>
      </w:r>
      <w:r w:rsidRPr="003B1108">
        <w:rPr>
          <w:rFonts w:ascii="Book Antiqua" w:hAnsi="Book Antiqua"/>
          <w:sz w:val="24"/>
          <w:szCs w:val="24"/>
        </w:rPr>
        <w:t xml:space="preserve"> </w:t>
      </w:r>
      <w:r w:rsidR="00BC0E37" w:rsidRPr="003B1108">
        <w:rPr>
          <w:rFonts w:ascii="Book Antiqua" w:hAnsi="Book Antiqua"/>
          <w:sz w:val="24"/>
          <w:szCs w:val="24"/>
        </w:rPr>
        <w:t xml:space="preserve">96.6% of </w:t>
      </w:r>
      <w:r>
        <w:rPr>
          <w:rFonts w:ascii="Book Antiqua" w:hAnsi="Book Antiqua"/>
          <w:sz w:val="24"/>
          <w:szCs w:val="24"/>
        </w:rPr>
        <w:t xml:space="preserve">overall </w:t>
      </w:r>
      <w:r w:rsidR="00BC0E37" w:rsidRPr="003B1108">
        <w:rPr>
          <w:rFonts w:ascii="Book Antiqua" w:hAnsi="Book Antiqua"/>
          <w:sz w:val="24"/>
          <w:szCs w:val="24"/>
        </w:rPr>
        <w:t>patients (316/327</w:t>
      </w:r>
      <w:r w:rsidRPr="003B1108">
        <w:rPr>
          <w:rFonts w:ascii="Book Antiqua" w:hAnsi="Book Antiqua"/>
          <w:sz w:val="24"/>
          <w:szCs w:val="24"/>
        </w:rPr>
        <w:t>)</w:t>
      </w:r>
      <w:r>
        <w:rPr>
          <w:rFonts w:ascii="Book Antiqua" w:hAnsi="Book Antiqua"/>
          <w:sz w:val="24"/>
          <w:szCs w:val="24"/>
        </w:rPr>
        <w:t>,</w:t>
      </w:r>
      <w:r w:rsidRPr="003B1108">
        <w:rPr>
          <w:rFonts w:ascii="Book Antiqua" w:hAnsi="Book Antiqua"/>
          <w:sz w:val="24"/>
          <w:szCs w:val="24"/>
        </w:rPr>
        <w:t xml:space="preserve"> </w:t>
      </w:r>
      <w:r w:rsidR="00BC0E37" w:rsidRPr="003B1108">
        <w:rPr>
          <w:rFonts w:ascii="Book Antiqua" w:hAnsi="Book Antiqua"/>
          <w:sz w:val="24"/>
          <w:szCs w:val="24"/>
        </w:rPr>
        <w:t xml:space="preserve">96.3% in </w:t>
      </w:r>
      <w:r>
        <w:rPr>
          <w:rFonts w:ascii="Book Antiqua" w:hAnsi="Book Antiqua"/>
          <w:sz w:val="24"/>
          <w:szCs w:val="24"/>
        </w:rPr>
        <w:t xml:space="preserve">patients with </w:t>
      </w:r>
      <w:r w:rsidR="00BC0E37" w:rsidRPr="003B1108">
        <w:rPr>
          <w:rFonts w:ascii="Book Antiqua" w:hAnsi="Book Antiqua"/>
          <w:sz w:val="24"/>
          <w:szCs w:val="24"/>
        </w:rPr>
        <w:t xml:space="preserve">genotype 1, 97.5% in </w:t>
      </w:r>
      <w:r>
        <w:rPr>
          <w:rFonts w:ascii="Book Antiqua" w:hAnsi="Book Antiqua"/>
          <w:sz w:val="24"/>
          <w:szCs w:val="24"/>
        </w:rPr>
        <w:t xml:space="preserve">those with </w:t>
      </w:r>
      <w:r w:rsidR="00BC0E37" w:rsidRPr="003B1108">
        <w:rPr>
          <w:rFonts w:ascii="Book Antiqua" w:hAnsi="Book Antiqua"/>
          <w:sz w:val="24"/>
          <w:szCs w:val="24"/>
        </w:rPr>
        <w:t xml:space="preserve">genotype 2, and 95.0% in </w:t>
      </w:r>
      <w:r>
        <w:rPr>
          <w:rFonts w:ascii="Book Antiqua" w:hAnsi="Book Antiqua"/>
          <w:sz w:val="24"/>
          <w:szCs w:val="24"/>
        </w:rPr>
        <w:t xml:space="preserve">those with </w:t>
      </w:r>
      <w:r w:rsidR="00BC0E37" w:rsidRPr="003B1108">
        <w:rPr>
          <w:rFonts w:ascii="Book Antiqua" w:hAnsi="Book Antiqua"/>
          <w:sz w:val="24"/>
          <w:szCs w:val="24"/>
        </w:rPr>
        <w:t xml:space="preserve">genotype 3. Most of the </w:t>
      </w:r>
      <w:r w:rsidR="00BC0E37" w:rsidRPr="003B1108">
        <w:rPr>
          <w:rFonts w:ascii="Book Antiqua" w:eastAsia="Times New Roman" w:hAnsi="Book Antiqua"/>
          <w:color w:val="212121"/>
          <w:sz w:val="24"/>
          <w:szCs w:val="24"/>
          <w:shd w:val="clear" w:color="auto" w:fill="FFFFFF"/>
        </w:rPr>
        <w:t xml:space="preserve">treatment failures were due to lack of follow-up (3 cases had non-responses, </w:t>
      </w:r>
      <w:r>
        <w:rPr>
          <w:rFonts w:ascii="Book Antiqua" w:eastAsia="Times New Roman" w:hAnsi="Book Antiqua"/>
          <w:color w:val="212121"/>
          <w:sz w:val="24"/>
          <w:szCs w:val="24"/>
          <w:shd w:val="clear" w:color="auto" w:fill="FFFFFF"/>
        </w:rPr>
        <w:t>1</w:t>
      </w:r>
      <w:r w:rsidR="00BC0E37" w:rsidRPr="003B1108">
        <w:rPr>
          <w:rFonts w:ascii="Book Antiqua" w:eastAsia="Times New Roman" w:hAnsi="Book Antiqua"/>
          <w:noProof/>
          <w:color w:val="212121"/>
          <w:sz w:val="24"/>
          <w:szCs w:val="24"/>
          <w:shd w:val="clear" w:color="auto" w:fill="FFFFFF"/>
        </w:rPr>
        <w:t xml:space="preserve"> had virological</w:t>
      </w:r>
      <w:r w:rsidR="00BC0E37" w:rsidRPr="003B1108">
        <w:rPr>
          <w:rFonts w:ascii="Book Antiqua" w:eastAsia="Times New Roman" w:hAnsi="Book Antiqua"/>
          <w:color w:val="212121"/>
          <w:sz w:val="24"/>
          <w:szCs w:val="24"/>
          <w:shd w:val="clear" w:color="auto" w:fill="FFFFFF"/>
        </w:rPr>
        <w:t xml:space="preserve"> breakthrough, 11 relapsed and 36 did not participate in the follow-up). There was no significant difference in SVR between different genotypes and liver statuses (</w:t>
      </w:r>
      <w:r w:rsidR="00777E45" w:rsidRPr="003B1108">
        <w:rPr>
          <w:rFonts w:ascii="Book Antiqua" w:hAnsi="Book Antiqua"/>
          <w:i/>
          <w:color w:val="212121"/>
          <w:sz w:val="24"/>
          <w:szCs w:val="24"/>
          <w:shd w:val="clear" w:color="auto" w:fill="FFFFFF"/>
        </w:rPr>
        <w:t>P</w:t>
      </w:r>
      <w:r w:rsidR="00BC0E37" w:rsidRPr="003B1108">
        <w:rPr>
          <w:rFonts w:ascii="Book Antiqua" w:hAnsi="Book Antiqua"/>
          <w:i/>
          <w:color w:val="212121"/>
          <w:sz w:val="24"/>
          <w:szCs w:val="24"/>
          <w:shd w:val="clear" w:color="auto" w:fill="FFFFFF"/>
        </w:rPr>
        <w:t xml:space="preserve"> </w:t>
      </w:r>
      <w:r w:rsidR="00BC0E37" w:rsidRPr="003B1108">
        <w:rPr>
          <w:rFonts w:ascii="Book Antiqua" w:hAnsi="Book Antiqua"/>
          <w:color w:val="212121"/>
          <w:sz w:val="24"/>
          <w:szCs w:val="24"/>
          <w:shd w:val="clear" w:color="auto" w:fill="FFFFFF"/>
        </w:rPr>
        <w:t>&lt; 0.05</w:t>
      </w:r>
      <w:r w:rsidR="00BC0E37" w:rsidRPr="003B1108">
        <w:rPr>
          <w:rFonts w:ascii="Book Antiqua" w:eastAsia="Times New Roman" w:hAnsi="Book Antiqua"/>
          <w:color w:val="212121"/>
          <w:sz w:val="24"/>
          <w:szCs w:val="24"/>
          <w:shd w:val="clear" w:color="auto" w:fill="FFFFFF"/>
        </w:rPr>
        <w:t xml:space="preserve">). Patients with lower alanine aminotransferase levels at baseline who achieved an </w:t>
      </w:r>
      <w:r w:rsidR="00BC0E37" w:rsidRPr="003B1108">
        <w:rPr>
          <w:rFonts w:ascii="Book Antiqua" w:hAnsi="Book Antiqua"/>
          <w:color w:val="212121"/>
          <w:sz w:val="24"/>
          <w:szCs w:val="24"/>
          <w:shd w:val="clear" w:color="auto" w:fill="FFFFFF"/>
        </w:rPr>
        <w:t>end of treatment response</w:t>
      </w:r>
      <w:r w:rsidR="00BC0E37" w:rsidRPr="003B1108">
        <w:rPr>
          <w:rFonts w:ascii="Book Antiqua" w:eastAsia="Times New Roman" w:hAnsi="Book Antiqua"/>
          <w:color w:val="212121"/>
          <w:sz w:val="24"/>
          <w:szCs w:val="24"/>
          <w:shd w:val="clear" w:color="auto" w:fill="FFFFFF"/>
        </w:rPr>
        <w:t xml:space="preserve"> were more likely to </w:t>
      </w:r>
      <w:r w:rsidR="00BC0E37" w:rsidRPr="003B1108">
        <w:rPr>
          <w:rFonts w:ascii="Book Antiqua" w:hAnsi="Book Antiqua"/>
          <w:color w:val="212121"/>
          <w:sz w:val="24"/>
          <w:szCs w:val="24"/>
          <w:shd w:val="clear" w:color="auto" w:fill="FFFFFF"/>
        </w:rPr>
        <w:t>achieve SVR12 (</w:t>
      </w:r>
      <w:r w:rsidR="00777E45" w:rsidRPr="003B1108">
        <w:rPr>
          <w:rFonts w:ascii="Book Antiqua" w:hAnsi="Book Antiqua"/>
          <w:i/>
          <w:color w:val="212121"/>
          <w:sz w:val="24"/>
          <w:szCs w:val="24"/>
          <w:shd w:val="clear" w:color="auto" w:fill="FFFFFF"/>
        </w:rPr>
        <w:t>P</w:t>
      </w:r>
      <w:r w:rsidR="00BC0E37" w:rsidRPr="003B1108">
        <w:rPr>
          <w:rFonts w:ascii="Book Antiqua" w:hAnsi="Book Antiqua"/>
          <w:i/>
          <w:color w:val="212121"/>
          <w:sz w:val="24"/>
          <w:szCs w:val="24"/>
          <w:shd w:val="clear" w:color="auto" w:fill="FFFFFF"/>
        </w:rPr>
        <w:t xml:space="preserve"> </w:t>
      </w:r>
      <w:r w:rsidR="00BC0E37" w:rsidRPr="003B1108">
        <w:rPr>
          <w:rFonts w:ascii="Book Antiqua" w:hAnsi="Book Antiqua"/>
          <w:color w:val="212121"/>
          <w:sz w:val="24"/>
          <w:szCs w:val="24"/>
          <w:shd w:val="clear" w:color="auto" w:fill="FFFFFF"/>
        </w:rPr>
        <w:t xml:space="preserve">&lt; 0.05). High SVR was observed regardless of age, gender, liver status, </w:t>
      </w:r>
      <w:r w:rsidR="00023D3E" w:rsidRPr="00023D3E">
        <w:rPr>
          <w:rFonts w:ascii="Book Antiqua" w:hAnsi="Book Antiqua"/>
          <w:color w:val="212121"/>
          <w:sz w:val="24"/>
          <w:szCs w:val="24"/>
          <w:shd w:val="clear" w:color="auto" w:fill="FFFFFF"/>
        </w:rPr>
        <w:t>alpha</w:t>
      </w:r>
      <w:r w:rsidR="00BC0E37" w:rsidRPr="003B1108">
        <w:rPr>
          <w:rFonts w:ascii="Book Antiqua" w:hAnsi="Book Antiqua"/>
          <w:color w:val="212121"/>
          <w:sz w:val="24"/>
          <w:szCs w:val="24"/>
          <w:shd w:val="clear" w:color="auto" w:fill="FFFFFF"/>
        </w:rPr>
        <w:t xml:space="preserve">-fetoprotein, HCV </w:t>
      </w:r>
      <w:r w:rsidR="00023D3E">
        <w:rPr>
          <w:rFonts w:ascii="Book Antiqua" w:hAnsi="Book Antiqua"/>
          <w:color w:val="212121"/>
          <w:sz w:val="24"/>
          <w:szCs w:val="24"/>
          <w:shd w:val="clear" w:color="auto" w:fill="FFFFFF"/>
        </w:rPr>
        <w:t xml:space="preserve">RNA </w:t>
      </w:r>
      <w:r w:rsidR="00BC0E37" w:rsidRPr="003B1108">
        <w:rPr>
          <w:rFonts w:ascii="Book Antiqua" w:hAnsi="Book Antiqua"/>
          <w:color w:val="212121"/>
          <w:sz w:val="24"/>
          <w:szCs w:val="24"/>
          <w:shd w:val="clear" w:color="auto" w:fill="FFFFFF"/>
        </w:rPr>
        <w:t>levels or history of antiviral therapy (</w:t>
      </w:r>
      <w:r w:rsidR="00777E45" w:rsidRPr="003B1108">
        <w:rPr>
          <w:rFonts w:ascii="Book Antiqua" w:hAnsi="Book Antiqua"/>
          <w:i/>
          <w:color w:val="212121"/>
          <w:sz w:val="24"/>
          <w:szCs w:val="24"/>
          <w:shd w:val="clear" w:color="auto" w:fill="FFFFFF"/>
        </w:rPr>
        <w:t>P</w:t>
      </w:r>
      <w:r w:rsidR="00777E45" w:rsidRPr="003B1108">
        <w:rPr>
          <w:rFonts w:ascii="Book Antiqua" w:hAnsi="Book Antiqua"/>
          <w:color w:val="212121"/>
          <w:sz w:val="24"/>
          <w:szCs w:val="24"/>
          <w:shd w:val="clear" w:color="auto" w:fill="FFFFFF"/>
        </w:rPr>
        <w:t xml:space="preserve"> </w:t>
      </w:r>
      <w:r w:rsidR="00BC0E37" w:rsidRPr="003B1108">
        <w:rPr>
          <w:rFonts w:ascii="Book Antiqua" w:hAnsi="Book Antiqua"/>
          <w:color w:val="212121"/>
          <w:sz w:val="24"/>
          <w:szCs w:val="24"/>
          <w:shd w:val="clear" w:color="auto" w:fill="FFFFFF"/>
        </w:rPr>
        <w:t>&gt; 0.05 for all). The cumulative hepatocellular carcinoma occurrence and recurrence rate after using the DAAs was 0.9%. Most of the adverse events were mild. We found two cases of special adverse events. One case involved facial and bilateral lower extremity edema, and the other case showed an interesting change in</w:t>
      </w:r>
      <w:r w:rsidR="00BC0E37" w:rsidRPr="003B1108">
        <w:rPr>
          <w:rFonts w:ascii="Book Antiqua" w:hAnsi="Book Antiqua"/>
          <w:sz w:val="24"/>
          <w:szCs w:val="24"/>
        </w:rPr>
        <w:t xml:space="preserve"> </w:t>
      </w:r>
      <w:r w:rsidR="00BC0E37" w:rsidRPr="003B1108">
        <w:rPr>
          <w:rFonts w:ascii="Book Antiqua" w:hAnsi="Book Antiqua"/>
          <w:color w:val="212121"/>
          <w:sz w:val="24"/>
          <w:szCs w:val="24"/>
          <w:shd w:val="clear" w:color="auto" w:fill="FFFFFF"/>
        </w:rPr>
        <w:t xml:space="preserve">lipid levels while on medication. No </w:t>
      </w:r>
      <w:r w:rsidR="00BC0E37" w:rsidRPr="003B1108">
        <w:rPr>
          <w:rFonts w:ascii="Book Antiqua" w:hAnsi="Book Antiqua"/>
          <w:sz w:val="24"/>
          <w:szCs w:val="24"/>
        </w:rPr>
        <w:t>severe adverse events were noted.</w:t>
      </w:r>
    </w:p>
    <w:p w14:paraId="5E249AE7" w14:textId="77777777" w:rsidR="004131BF" w:rsidRPr="003B1108" w:rsidRDefault="004131BF" w:rsidP="003B1108">
      <w:pPr>
        <w:widowControl/>
        <w:adjustRightInd w:val="0"/>
        <w:snapToGrid w:val="0"/>
        <w:spacing w:line="360" w:lineRule="auto"/>
        <w:rPr>
          <w:rFonts w:ascii="Book Antiqua" w:eastAsia="宋体" w:hAnsi="Book Antiqua" w:cs="Segoe UI"/>
          <w:kern w:val="0"/>
          <w:sz w:val="24"/>
          <w:szCs w:val="24"/>
          <w:shd w:val="clear" w:color="auto" w:fill="FFFFFF"/>
        </w:rPr>
      </w:pPr>
    </w:p>
    <w:p w14:paraId="3D577AB1" w14:textId="77777777" w:rsidR="004131BF" w:rsidRPr="003B1108" w:rsidRDefault="004131BF" w:rsidP="003B1108">
      <w:pPr>
        <w:widowControl/>
        <w:adjustRightInd w:val="0"/>
        <w:snapToGrid w:val="0"/>
        <w:spacing w:line="360" w:lineRule="auto"/>
        <w:rPr>
          <w:rFonts w:ascii="Book Antiqua" w:eastAsia="宋体" w:hAnsi="Book Antiqua" w:cs="Segoe UI"/>
          <w:b/>
          <w:i/>
          <w:kern w:val="0"/>
          <w:sz w:val="24"/>
          <w:szCs w:val="24"/>
          <w:shd w:val="clear" w:color="auto" w:fill="FFFFFF"/>
        </w:rPr>
      </w:pPr>
      <w:r w:rsidRPr="003B1108">
        <w:rPr>
          <w:rFonts w:ascii="Book Antiqua" w:eastAsia="宋体" w:hAnsi="Book Antiqua" w:cs="宋体"/>
          <w:b/>
          <w:i/>
          <w:kern w:val="0"/>
          <w:sz w:val="24"/>
          <w:szCs w:val="24"/>
        </w:rPr>
        <w:t>Research conclusions</w:t>
      </w:r>
    </w:p>
    <w:p w14:paraId="6D64C899" w14:textId="774E001D" w:rsidR="00757C74" w:rsidRPr="003B1108" w:rsidRDefault="00244708" w:rsidP="003B1108">
      <w:pPr>
        <w:adjustRightInd w:val="0"/>
        <w:snapToGrid w:val="0"/>
        <w:spacing w:line="360" w:lineRule="auto"/>
        <w:rPr>
          <w:rFonts w:ascii="Book Antiqua" w:hAnsi="Book Antiqua"/>
          <w:bCs/>
          <w:sz w:val="24"/>
          <w:szCs w:val="24"/>
        </w:rPr>
      </w:pPr>
      <w:r>
        <w:rPr>
          <w:rFonts w:ascii="Book Antiqua" w:hAnsi="Book Antiqua"/>
          <w:bCs/>
          <w:sz w:val="24"/>
          <w:szCs w:val="24"/>
        </w:rPr>
        <w:t>T</w:t>
      </w:r>
      <w:r w:rsidR="00757C74" w:rsidRPr="003B1108">
        <w:rPr>
          <w:rFonts w:ascii="Book Antiqua" w:hAnsi="Book Antiqua"/>
          <w:bCs/>
          <w:sz w:val="24"/>
          <w:szCs w:val="24"/>
        </w:rPr>
        <w:t xml:space="preserve">he DAA-based regimens tested in </w:t>
      </w:r>
      <w:r>
        <w:rPr>
          <w:rFonts w:ascii="Book Antiqua" w:hAnsi="Book Antiqua"/>
          <w:bCs/>
          <w:sz w:val="24"/>
          <w:szCs w:val="24"/>
        </w:rPr>
        <w:t xml:space="preserve">this study have </w:t>
      </w:r>
      <w:r w:rsidR="00757C74" w:rsidRPr="003B1108">
        <w:rPr>
          <w:rFonts w:ascii="Book Antiqua" w:hAnsi="Book Antiqua"/>
          <w:bCs/>
          <w:sz w:val="24"/>
          <w:szCs w:val="24"/>
        </w:rPr>
        <w:t>excellent effectiveness and safety in all patients</w:t>
      </w:r>
      <w:r w:rsidRPr="00244708">
        <w:rPr>
          <w:rFonts w:ascii="Book Antiqua" w:hAnsi="Book Antiqua"/>
          <w:bCs/>
          <w:sz w:val="24"/>
          <w:szCs w:val="24"/>
        </w:rPr>
        <w:t xml:space="preserve"> </w:t>
      </w:r>
      <w:r>
        <w:rPr>
          <w:rFonts w:ascii="Book Antiqua" w:hAnsi="Book Antiqua"/>
          <w:bCs/>
          <w:sz w:val="24"/>
          <w:szCs w:val="24"/>
        </w:rPr>
        <w:t xml:space="preserve">infected with </w:t>
      </w:r>
      <w:r w:rsidRPr="003B1108">
        <w:rPr>
          <w:rFonts w:ascii="Book Antiqua" w:hAnsi="Book Antiqua"/>
          <w:bCs/>
          <w:sz w:val="24"/>
          <w:szCs w:val="24"/>
        </w:rPr>
        <w:t>HCV genotypes 1, 2 and 3</w:t>
      </w:r>
      <w:r w:rsidR="00757C74" w:rsidRPr="003B1108">
        <w:rPr>
          <w:rFonts w:ascii="Book Antiqua" w:hAnsi="Book Antiqua"/>
          <w:bCs/>
          <w:sz w:val="24"/>
          <w:szCs w:val="24"/>
        </w:rPr>
        <w:t xml:space="preserve">, including those </w:t>
      </w:r>
      <w:r w:rsidR="00757C74" w:rsidRPr="003B1108">
        <w:rPr>
          <w:rFonts w:ascii="Book Antiqua" w:hAnsi="Book Antiqua"/>
          <w:bCs/>
          <w:sz w:val="24"/>
          <w:szCs w:val="24"/>
        </w:rPr>
        <w:lastRenderedPageBreak/>
        <w:t>with cirrhosis. In clinical applications, there are indeed unexpected adverse events.</w:t>
      </w:r>
    </w:p>
    <w:p w14:paraId="30A6A85C" w14:textId="77777777" w:rsidR="004131BF" w:rsidRPr="003B1108" w:rsidRDefault="004131BF" w:rsidP="003B1108">
      <w:pPr>
        <w:widowControl/>
        <w:adjustRightInd w:val="0"/>
        <w:snapToGrid w:val="0"/>
        <w:spacing w:line="360" w:lineRule="auto"/>
        <w:rPr>
          <w:rFonts w:ascii="Book Antiqua" w:eastAsia="宋体" w:hAnsi="Book Antiqua" w:cs="Segoe UI"/>
          <w:kern w:val="0"/>
          <w:sz w:val="24"/>
          <w:szCs w:val="24"/>
          <w:shd w:val="clear" w:color="auto" w:fill="FFFFFF"/>
        </w:rPr>
      </w:pPr>
    </w:p>
    <w:p w14:paraId="04959C6E" w14:textId="77777777" w:rsidR="004131BF" w:rsidRPr="003B1108" w:rsidRDefault="004131BF" w:rsidP="003B1108">
      <w:pPr>
        <w:widowControl/>
        <w:adjustRightInd w:val="0"/>
        <w:snapToGrid w:val="0"/>
        <w:spacing w:line="360" w:lineRule="auto"/>
        <w:rPr>
          <w:rFonts w:ascii="Book Antiqua" w:eastAsia="宋体" w:hAnsi="Book Antiqua" w:cs="Segoe UI"/>
          <w:b/>
          <w:i/>
          <w:kern w:val="0"/>
          <w:sz w:val="24"/>
          <w:szCs w:val="24"/>
          <w:shd w:val="clear" w:color="auto" w:fill="FFFFFF"/>
        </w:rPr>
      </w:pPr>
      <w:r w:rsidRPr="003B1108">
        <w:rPr>
          <w:rFonts w:ascii="Book Antiqua" w:eastAsia="宋体" w:hAnsi="Book Antiqua" w:cs="Segoe UI"/>
          <w:b/>
          <w:i/>
          <w:kern w:val="0"/>
          <w:sz w:val="24"/>
          <w:szCs w:val="24"/>
          <w:shd w:val="clear" w:color="auto" w:fill="FFFFFF"/>
        </w:rPr>
        <w:t>Research perspectives</w:t>
      </w:r>
    </w:p>
    <w:p w14:paraId="1E99922F" w14:textId="45A47DC1" w:rsidR="00757C74" w:rsidRPr="003B1108" w:rsidRDefault="00757C74" w:rsidP="003B1108">
      <w:pPr>
        <w:widowControl/>
        <w:adjustRightInd w:val="0"/>
        <w:snapToGrid w:val="0"/>
        <w:spacing w:line="360" w:lineRule="auto"/>
        <w:rPr>
          <w:rFonts w:ascii="Book Antiqua" w:eastAsia="宋体" w:hAnsi="Book Antiqua" w:cs="Segoe UI"/>
          <w:kern w:val="0"/>
          <w:sz w:val="24"/>
          <w:szCs w:val="24"/>
          <w:shd w:val="clear" w:color="auto" w:fill="FFFFFF"/>
        </w:rPr>
      </w:pPr>
      <w:r w:rsidRPr="003B1108">
        <w:rPr>
          <w:rFonts w:ascii="Book Antiqua" w:hAnsi="Book Antiqua"/>
          <w:bCs/>
          <w:sz w:val="24"/>
          <w:szCs w:val="24"/>
        </w:rPr>
        <w:t xml:space="preserve">The antiviral effect of DAAs is quite satisfying. However, in the clinic, many adverse events may occur due to combination with other medications and individual variation. Strict monitoring is required for clinical use of DAAs. Besides, the long-term efficacy and safety of DAAs need to be studied. </w:t>
      </w:r>
    </w:p>
    <w:bookmarkEnd w:id="49"/>
    <w:bookmarkEnd w:id="50"/>
    <w:p w14:paraId="7B061C67" w14:textId="5D66D341" w:rsidR="00777E45" w:rsidRPr="003B1108" w:rsidRDefault="00777E45" w:rsidP="003B1108">
      <w:pPr>
        <w:widowControl/>
        <w:adjustRightInd w:val="0"/>
        <w:snapToGrid w:val="0"/>
        <w:spacing w:line="360" w:lineRule="auto"/>
        <w:jc w:val="left"/>
        <w:rPr>
          <w:rFonts w:ascii="Book Antiqua" w:eastAsia="宋体" w:hAnsi="Book Antiqua" w:cs="Segoe UI"/>
          <w:kern w:val="0"/>
          <w:sz w:val="24"/>
          <w:szCs w:val="24"/>
          <w:shd w:val="clear" w:color="auto" w:fill="FFFFFF"/>
        </w:rPr>
      </w:pPr>
      <w:r w:rsidRPr="003B1108">
        <w:rPr>
          <w:rFonts w:ascii="Book Antiqua" w:eastAsia="宋体" w:hAnsi="Book Antiqua" w:cs="Segoe UI"/>
          <w:kern w:val="0"/>
          <w:sz w:val="24"/>
          <w:szCs w:val="24"/>
          <w:shd w:val="clear" w:color="auto" w:fill="FFFFFF"/>
        </w:rPr>
        <w:br w:type="page"/>
      </w:r>
    </w:p>
    <w:p w14:paraId="6147F94F" w14:textId="4EA89F78" w:rsidR="003B1910" w:rsidRPr="003B1108" w:rsidRDefault="003B1910" w:rsidP="003B1108">
      <w:pPr>
        <w:adjustRightInd w:val="0"/>
        <w:snapToGrid w:val="0"/>
        <w:spacing w:line="360" w:lineRule="auto"/>
        <w:rPr>
          <w:rFonts w:ascii="Book Antiqua" w:hAnsi="Book Antiqua"/>
          <w:b/>
          <w:sz w:val="24"/>
          <w:szCs w:val="24"/>
        </w:rPr>
      </w:pPr>
      <w:r w:rsidRPr="003B1108">
        <w:rPr>
          <w:rFonts w:ascii="Book Antiqua" w:hAnsi="Book Antiqua"/>
          <w:b/>
          <w:sz w:val="24"/>
          <w:szCs w:val="24"/>
        </w:rPr>
        <w:lastRenderedPageBreak/>
        <w:t>REFERENCES</w:t>
      </w:r>
    </w:p>
    <w:p w14:paraId="5CCB38C6"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1 </w:t>
      </w:r>
      <w:r w:rsidRPr="003B1108">
        <w:rPr>
          <w:rFonts w:ascii="Book Antiqua" w:hAnsi="Book Antiqua"/>
          <w:b/>
          <w:bCs/>
        </w:rPr>
        <w:t>Spearman CW</w:t>
      </w:r>
      <w:r w:rsidRPr="003B1108">
        <w:rPr>
          <w:rFonts w:ascii="Book Antiqua" w:hAnsi="Book Antiqua"/>
        </w:rPr>
        <w:t xml:space="preserve">, </w:t>
      </w:r>
      <w:proofErr w:type="spellStart"/>
      <w:r w:rsidRPr="003B1108">
        <w:rPr>
          <w:rFonts w:ascii="Book Antiqua" w:hAnsi="Book Antiqua"/>
        </w:rPr>
        <w:t>Dusheiko</w:t>
      </w:r>
      <w:proofErr w:type="spellEnd"/>
      <w:r w:rsidRPr="003B1108">
        <w:rPr>
          <w:rFonts w:ascii="Book Antiqua" w:hAnsi="Book Antiqua"/>
        </w:rPr>
        <w:t xml:space="preserve"> GM, </w:t>
      </w:r>
      <w:proofErr w:type="spellStart"/>
      <w:r w:rsidRPr="003B1108">
        <w:rPr>
          <w:rFonts w:ascii="Book Antiqua" w:hAnsi="Book Antiqua"/>
        </w:rPr>
        <w:t>Hellard</w:t>
      </w:r>
      <w:proofErr w:type="spellEnd"/>
      <w:r w:rsidRPr="003B1108">
        <w:rPr>
          <w:rFonts w:ascii="Book Antiqua" w:hAnsi="Book Antiqua"/>
        </w:rPr>
        <w:t xml:space="preserve"> M, </w:t>
      </w:r>
      <w:proofErr w:type="spellStart"/>
      <w:r w:rsidRPr="003B1108">
        <w:rPr>
          <w:rFonts w:ascii="Book Antiqua" w:hAnsi="Book Antiqua"/>
        </w:rPr>
        <w:t>Sonderup</w:t>
      </w:r>
      <w:proofErr w:type="spellEnd"/>
      <w:r w:rsidRPr="003B1108">
        <w:rPr>
          <w:rFonts w:ascii="Book Antiqua" w:hAnsi="Book Antiqua"/>
        </w:rPr>
        <w:t xml:space="preserve"> M. Hepatitis C. </w:t>
      </w:r>
      <w:r w:rsidRPr="003B1108">
        <w:rPr>
          <w:rFonts w:ascii="Book Antiqua" w:hAnsi="Book Antiqua"/>
          <w:i/>
          <w:iCs/>
        </w:rPr>
        <w:t>Lancet</w:t>
      </w:r>
      <w:r w:rsidRPr="003B1108">
        <w:rPr>
          <w:rFonts w:ascii="Book Antiqua" w:hAnsi="Book Antiqua"/>
        </w:rPr>
        <w:t xml:space="preserve"> 2019; </w:t>
      </w:r>
      <w:r w:rsidRPr="003B1108">
        <w:rPr>
          <w:rFonts w:ascii="Book Antiqua" w:hAnsi="Book Antiqua"/>
          <w:b/>
          <w:bCs/>
        </w:rPr>
        <w:t>394</w:t>
      </w:r>
      <w:r w:rsidRPr="003B1108">
        <w:rPr>
          <w:rFonts w:ascii="Book Antiqua" w:hAnsi="Book Antiqua"/>
        </w:rPr>
        <w:t>: 1451-1466 [PMID: 31631857 DOI: 10.1016/S0140-6736(19)32320-7]</w:t>
      </w:r>
    </w:p>
    <w:p w14:paraId="7B4DF8F7"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2 </w:t>
      </w:r>
      <w:proofErr w:type="spellStart"/>
      <w:r w:rsidRPr="003B1108">
        <w:rPr>
          <w:rFonts w:ascii="Book Antiqua" w:hAnsi="Book Antiqua"/>
          <w:b/>
          <w:bCs/>
        </w:rPr>
        <w:t>Stepanova</w:t>
      </w:r>
      <w:proofErr w:type="spellEnd"/>
      <w:r w:rsidRPr="003B1108">
        <w:rPr>
          <w:rFonts w:ascii="Book Antiqua" w:hAnsi="Book Antiqua"/>
          <w:b/>
          <w:bCs/>
        </w:rPr>
        <w:t xml:space="preserve"> M</w:t>
      </w:r>
      <w:r w:rsidRPr="003B1108">
        <w:rPr>
          <w:rFonts w:ascii="Book Antiqua" w:hAnsi="Book Antiqua"/>
        </w:rPr>
        <w:t xml:space="preserve">, </w:t>
      </w:r>
      <w:proofErr w:type="spellStart"/>
      <w:r w:rsidRPr="003B1108">
        <w:rPr>
          <w:rFonts w:ascii="Book Antiqua" w:hAnsi="Book Antiqua"/>
        </w:rPr>
        <w:t>Younossi</w:t>
      </w:r>
      <w:proofErr w:type="spellEnd"/>
      <w:r w:rsidRPr="003B1108">
        <w:rPr>
          <w:rFonts w:ascii="Book Antiqua" w:hAnsi="Book Antiqua"/>
        </w:rPr>
        <w:t xml:space="preserve"> ZM. Economic Burden of Hepatitis C Infection. </w:t>
      </w:r>
      <w:r w:rsidRPr="003B1108">
        <w:rPr>
          <w:rFonts w:ascii="Book Antiqua" w:hAnsi="Book Antiqua"/>
          <w:i/>
          <w:iCs/>
        </w:rPr>
        <w:t>Clin Liver Dis</w:t>
      </w:r>
      <w:r w:rsidRPr="003B1108">
        <w:rPr>
          <w:rFonts w:ascii="Book Antiqua" w:hAnsi="Book Antiqua"/>
        </w:rPr>
        <w:t xml:space="preserve"> 2017; </w:t>
      </w:r>
      <w:r w:rsidRPr="003B1108">
        <w:rPr>
          <w:rFonts w:ascii="Book Antiqua" w:hAnsi="Book Antiqua"/>
          <w:b/>
          <w:bCs/>
        </w:rPr>
        <w:t>21</w:t>
      </w:r>
      <w:r w:rsidRPr="003B1108">
        <w:rPr>
          <w:rFonts w:ascii="Book Antiqua" w:hAnsi="Book Antiqua"/>
        </w:rPr>
        <w:t>: 579-594 [PMID: 28689595 DOI: 10.1016/j.cld.2017.03.012]</w:t>
      </w:r>
    </w:p>
    <w:p w14:paraId="7955114A"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3 </w:t>
      </w:r>
      <w:proofErr w:type="spellStart"/>
      <w:r w:rsidRPr="003B1108">
        <w:rPr>
          <w:rFonts w:ascii="Book Antiqua" w:hAnsi="Book Antiqua"/>
          <w:b/>
          <w:bCs/>
        </w:rPr>
        <w:t>Younossi</w:t>
      </w:r>
      <w:proofErr w:type="spellEnd"/>
      <w:r w:rsidRPr="003B1108">
        <w:rPr>
          <w:rFonts w:ascii="Book Antiqua" w:hAnsi="Book Antiqua"/>
          <w:b/>
          <w:bCs/>
        </w:rPr>
        <w:t xml:space="preserve"> ZM</w:t>
      </w:r>
      <w:r w:rsidRPr="003B1108">
        <w:rPr>
          <w:rFonts w:ascii="Book Antiqua" w:hAnsi="Book Antiqua"/>
        </w:rPr>
        <w:t xml:space="preserve">. Hepatitis C Infection: A Systemic Disease </w:t>
      </w:r>
      <w:r w:rsidRPr="003B1108">
        <w:rPr>
          <w:rFonts w:ascii="Book Antiqua" w:hAnsi="Book Antiqua"/>
          <w:i/>
          <w:iCs/>
        </w:rPr>
        <w:t>Clin Liver Dis</w:t>
      </w:r>
      <w:r w:rsidRPr="003B1108">
        <w:rPr>
          <w:rFonts w:ascii="Book Antiqua" w:hAnsi="Book Antiqua"/>
        </w:rPr>
        <w:t xml:space="preserve"> 2017; </w:t>
      </w:r>
      <w:r w:rsidRPr="003B1108">
        <w:rPr>
          <w:rFonts w:ascii="Book Antiqua" w:hAnsi="Book Antiqua"/>
          <w:b/>
          <w:bCs/>
        </w:rPr>
        <w:t>21</w:t>
      </w:r>
      <w:r w:rsidRPr="003B1108">
        <w:rPr>
          <w:rFonts w:ascii="Book Antiqua" w:hAnsi="Book Antiqua"/>
        </w:rPr>
        <w:t>: 449-453 [PMID: 28689584 DOI: 10.1016/j.cld.2017.03.001]</w:t>
      </w:r>
    </w:p>
    <w:p w14:paraId="4F8543EF"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4 </w:t>
      </w:r>
      <w:proofErr w:type="spellStart"/>
      <w:r w:rsidRPr="003B1108">
        <w:rPr>
          <w:rFonts w:ascii="Book Antiqua" w:hAnsi="Book Antiqua"/>
          <w:b/>
          <w:bCs/>
        </w:rPr>
        <w:t>Ghasemi</w:t>
      </w:r>
      <w:proofErr w:type="spellEnd"/>
      <w:r w:rsidRPr="003B1108">
        <w:rPr>
          <w:rFonts w:ascii="Book Antiqua" w:hAnsi="Book Antiqua"/>
          <w:b/>
          <w:bCs/>
        </w:rPr>
        <w:t xml:space="preserve"> F</w:t>
      </w:r>
      <w:r w:rsidRPr="003B1108">
        <w:rPr>
          <w:rFonts w:ascii="Book Antiqua" w:hAnsi="Book Antiqua"/>
        </w:rPr>
        <w:t xml:space="preserve">, </w:t>
      </w:r>
      <w:proofErr w:type="spellStart"/>
      <w:r w:rsidRPr="003B1108">
        <w:rPr>
          <w:rFonts w:ascii="Book Antiqua" w:hAnsi="Book Antiqua"/>
        </w:rPr>
        <w:t>Rostami</w:t>
      </w:r>
      <w:proofErr w:type="spellEnd"/>
      <w:r w:rsidRPr="003B1108">
        <w:rPr>
          <w:rFonts w:ascii="Book Antiqua" w:hAnsi="Book Antiqua"/>
        </w:rPr>
        <w:t xml:space="preserve"> S, </w:t>
      </w:r>
      <w:proofErr w:type="spellStart"/>
      <w:r w:rsidRPr="003B1108">
        <w:rPr>
          <w:rFonts w:ascii="Book Antiqua" w:hAnsi="Book Antiqua"/>
        </w:rPr>
        <w:t>Meshkat</w:t>
      </w:r>
      <w:proofErr w:type="spellEnd"/>
      <w:r w:rsidRPr="003B1108">
        <w:rPr>
          <w:rFonts w:ascii="Book Antiqua" w:hAnsi="Book Antiqua"/>
        </w:rPr>
        <w:t xml:space="preserve"> Z. Progress in the development of vaccines for hepatitis C virus infection. </w:t>
      </w:r>
      <w:r w:rsidRPr="003B1108">
        <w:rPr>
          <w:rFonts w:ascii="Book Antiqua" w:hAnsi="Book Antiqua"/>
          <w:i/>
          <w:iCs/>
        </w:rPr>
        <w:t>World J Gastroenterol</w:t>
      </w:r>
      <w:r w:rsidRPr="003B1108">
        <w:rPr>
          <w:rFonts w:ascii="Book Antiqua" w:hAnsi="Book Antiqua"/>
        </w:rPr>
        <w:t xml:space="preserve"> 2015; </w:t>
      </w:r>
      <w:r w:rsidRPr="003B1108">
        <w:rPr>
          <w:rFonts w:ascii="Book Antiqua" w:hAnsi="Book Antiqua"/>
          <w:b/>
          <w:bCs/>
        </w:rPr>
        <w:t>21</w:t>
      </w:r>
      <w:r w:rsidRPr="003B1108">
        <w:rPr>
          <w:rFonts w:ascii="Book Antiqua" w:hAnsi="Book Antiqua"/>
        </w:rPr>
        <w:t>: 11984-12002 [PMID: 26576087 DOI: 10.3748/wjg.v21.i42.11984]</w:t>
      </w:r>
    </w:p>
    <w:p w14:paraId="468C11FF"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5 </w:t>
      </w:r>
      <w:proofErr w:type="spellStart"/>
      <w:r w:rsidRPr="003B1108">
        <w:rPr>
          <w:rFonts w:ascii="Book Antiqua" w:hAnsi="Book Antiqua"/>
          <w:b/>
          <w:bCs/>
        </w:rPr>
        <w:t>Hesamizadeh</w:t>
      </w:r>
      <w:proofErr w:type="spellEnd"/>
      <w:r w:rsidRPr="003B1108">
        <w:rPr>
          <w:rFonts w:ascii="Book Antiqua" w:hAnsi="Book Antiqua"/>
          <w:b/>
          <w:bCs/>
        </w:rPr>
        <w:t xml:space="preserve"> K</w:t>
      </w:r>
      <w:r w:rsidRPr="003B1108">
        <w:rPr>
          <w:rFonts w:ascii="Book Antiqua" w:hAnsi="Book Antiqua"/>
        </w:rPr>
        <w:t xml:space="preserve">, </w:t>
      </w:r>
      <w:proofErr w:type="spellStart"/>
      <w:r w:rsidRPr="003B1108">
        <w:rPr>
          <w:rFonts w:ascii="Book Antiqua" w:hAnsi="Book Antiqua"/>
        </w:rPr>
        <w:t>Sharafi</w:t>
      </w:r>
      <w:proofErr w:type="spellEnd"/>
      <w:r w:rsidRPr="003B1108">
        <w:rPr>
          <w:rFonts w:ascii="Book Antiqua" w:hAnsi="Book Antiqua"/>
        </w:rPr>
        <w:t xml:space="preserve"> H, </w:t>
      </w:r>
      <w:proofErr w:type="spellStart"/>
      <w:r w:rsidRPr="003B1108">
        <w:rPr>
          <w:rFonts w:ascii="Book Antiqua" w:hAnsi="Book Antiqua"/>
        </w:rPr>
        <w:t>Rezaee-Zavareh</w:t>
      </w:r>
      <w:proofErr w:type="spellEnd"/>
      <w:r w:rsidRPr="003B1108">
        <w:rPr>
          <w:rFonts w:ascii="Book Antiqua" w:hAnsi="Book Antiqua"/>
        </w:rPr>
        <w:t xml:space="preserve"> MS, </w:t>
      </w:r>
      <w:proofErr w:type="spellStart"/>
      <w:r w:rsidRPr="003B1108">
        <w:rPr>
          <w:rFonts w:ascii="Book Antiqua" w:hAnsi="Book Antiqua"/>
        </w:rPr>
        <w:t>Behnava</w:t>
      </w:r>
      <w:proofErr w:type="spellEnd"/>
      <w:r w:rsidRPr="003B1108">
        <w:rPr>
          <w:rFonts w:ascii="Book Antiqua" w:hAnsi="Book Antiqua"/>
        </w:rPr>
        <w:t xml:space="preserve"> B, </w:t>
      </w:r>
      <w:proofErr w:type="spellStart"/>
      <w:r w:rsidRPr="003B1108">
        <w:rPr>
          <w:rFonts w:ascii="Book Antiqua" w:hAnsi="Book Antiqua"/>
        </w:rPr>
        <w:t>Alavian</w:t>
      </w:r>
      <w:proofErr w:type="spellEnd"/>
      <w:r w:rsidRPr="003B1108">
        <w:rPr>
          <w:rFonts w:ascii="Book Antiqua" w:hAnsi="Book Antiqua"/>
        </w:rPr>
        <w:t xml:space="preserve"> SM. Next Steps Toward Eradication of Hepatitis C in the Era of Direct Acting Antivirals. </w:t>
      </w:r>
      <w:proofErr w:type="spellStart"/>
      <w:r w:rsidRPr="003B1108">
        <w:rPr>
          <w:rFonts w:ascii="Book Antiqua" w:hAnsi="Book Antiqua"/>
          <w:i/>
          <w:iCs/>
        </w:rPr>
        <w:t>Hepat</w:t>
      </w:r>
      <w:proofErr w:type="spellEnd"/>
      <w:r w:rsidRPr="003B1108">
        <w:rPr>
          <w:rFonts w:ascii="Book Antiqua" w:hAnsi="Book Antiqua"/>
          <w:i/>
          <w:iCs/>
        </w:rPr>
        <w:t xml:space="preserve"> Mon</w:t>
      </w:r>
      <w:r w:rsidRPr="003B1108">
        <w:rPr>
          <w:rFonts w:ascii="Book Antiqua" w:hAnsi="Book Antiqua"/>
        </w:rPr>
        <w:t xml:space="preserve"> 2016; </w:t>
      </w:r>
      <w:r w:rsidRPr="003B1108">
        <w:rPr>
          <w:rFonts w:ascii="Book Antiqua" w:hAnsi="Book Antiqua"/>
          <w:b/>
          <w:bCs/>
        </w:rPr>
        <w:t>16</w:t>
      </w:r>
      <w:r w:rsidRPr="003B1108">
        <w:rPr>
          <w:rFonts w:ascii="Book Antiqua" w:hAnsi="Book Antiqua"/>
        </w:rPr>
        <w:t>: e37089 [PMID: 27275164 DOI: 10.5812/hepatmon.37089]</w:t>
      </w:r>
    </w:p>
    <w:p w14:paraId="069B4C3E"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6 </w:t>
      </w:r>
      <w:proofErr w:type="spellStart"/>
      <w:r w:rsidRPr="003B1108">
        <w:rPr>
          <w:rFonts w:ascii="Book Antiqua" w:hAnsi="Book Antiqua"/>
          <w:b/>
          <w:bCs/>
        </w:rPr>
        <w:t>Bukh</w:t>
      </w:r>
      <w:proofErr w:type="spellEnd"/>
      <w:r w:rsidRPr="003B1108">
        <w:rPr>
          <w:rFonts w:ascii="Book Antiqua" w:hAnsi="Book Antiqua"/>
          <w:b/>
          <w:bCs/>
        </w:rPr>
        <w:t xml:space="preserve"> J</w:t>
      </w:r>
      <w:r w:rsidRPr="003B1108">
        <w:rPr>
          <w:rFonts w:ascii="Book Antiqua" w:hAnsi="Book Antiqua"/>
        </w:rPr>
        <w:t xml:space="preserve">. The history of hepatitis C virus (HCV): Basic research reveals unique features in phylogeny, evolution and the viral life cycle with new perspectives for epidemic control. </w:t>
      </w:r>
      <w:r w:rsidRPr="003B1108">
        <w:rPr>
          <w:rFonts w:ascii="Book Antiqua" w:hAnsi="Book Antiqua"/>
          <w:i/>
          <w:iCs/>
        </w:rPr>
        <w:t xml:space="preserve">J </w:t>
      </w:r>
      <w:proofErr w:type="spellStart"/>
      <w:r w:rsidRPr="003B1108">
        <w:rPr>
          <w:rFonts w:ascii="Book Antiqua" w:hAnsi="Book Antiqua"/>
          <w:i/>
          <w:iCs/>
        </w:rPr>
        <w:t>Hepatol</w:t>
      </w:r>
      <w:proofErr w:type="spellEnd"/>
      <w:r w:rsidRPr="003B1108">
        <w:rPr>
          <w:rFonts w:ascii="Book Antiqua" w:hAnsi="Book Antiqua"/>
        </w:rPr>
        <w:t xml:space="preserve"> 2016; </w:t>
      </w:r>
      <w:r w:rsidRPr="003B1108">
        <w:rPr>
          <w:rFonts w:ascii="Book Antiqua" w:hAnsi="Book Antiqua"/>
          <w:b/>
          <w:bCs/>
        </w:rPr>
        <w:t>65</w:t>
      </w:r>
      <w:r w:rsidRPr="003B1108">
        <w:rPr>
          <w:rFonts w:ascii="Book Antiqua" w:hAnsi="Book Antiqua"/>
        </w:rPr>
        <w:t>: S2-S21 [PMID: 27641985 DOI: 10.1016/j.jhep.2016.07.035]</w:t>
      </w:r>
    </w:p>
    <w:p w14:paraId="0EC88985"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7 </w:t>
      </w:r>
      <w:proofErr w:type="spellStart"/>
      <w:r w:rsidRPr="003B1108">
        <w:rPr>
          <w:rFonts w:ascii="Book Antiqua" w:hAnsi="Book Antiqua"/>
          <w:b/>
          <w:bCs/>
        </w:rPr>
        <w:t>Petruzziello</w:t>
      </w:r>
      <w:proofErr w:type="spellEnd"/>
      <w:r w:rsidRPr="003B1108">
        <w:rPr>
          <w:rFonts w:ascii="Book Antiqua" w:hAnsi="Book Antiqua"/>
          <w:b/>
          <w:bCs/>
        </w:rPr>
        <w:t xml:space="preserve"> A</w:t>
      </w:r>
      <w:r w:rsidRPr="003B1108">
        <w:rPr>
          <w:rFonts w:ascii="Book Antiqua" w:hAnsi="Book Antiqua"/>
        </w:rPr>
        <w:t xml:space="preserve">, </w:t>
      </w:r>
      <w:proofErr w:type="spellStart"/>
      <w:r w:rsidRPr="003B1108">
        <w:rPr>
          <w:rFonts w:ascii="Book Antiqua" w:hAnsi="Book Antiqua"/>
        </w:rPr>
        <w:t>Marigliano</w:t>
      </w:r>
      <w:proofErr w:type="spellEnd"/>
      <w:r w:rsidRPr="003B1108">
        <w:rPr>
          <w:rFonts w:ascii="Book Antiqua" w:hAnsi="Book Antiqua"/>
        </w:rPr>
        <w:t xml:space="preserve"> S, </w:t>
      </w:r>
      <w:proofErr w:type="spellStart"/>
      <w:r w:rsidRPr="003B1108">
        <w:rPr>
          <w:rFonts w:ascii="Book Antiqua" w:hAnsi="Book Antiqua"/>
        </w:rPr>
        <w:t>Loquercio</w:t>
      </w:r>
      <w:proofErr w:type="spellEnd"/>
      <w:r w:rsidRPr="003B1108">
        <w:rPr>
          <w:rFonts w:ascii="Book Antiqua" w:hAnsi="Book Antiqua"/>
        </w:rPr>
        <w:t xml:space="preserve"> G, </w:t>
      </w:r>
      <w:proofErr w:type="spellStart"/>
      <w:r w:rsidRPr="003B1108">
        <w:rPr>
          <w:rFonts w:ascii="Book Antiqua" w:hAnsi="Book Antiqua"/>
        </w:rPr>
        <w:t>Cozzolino</w:t>
      </w:r>
      <w:proofErr w:type="spellEnd"/>
      <w:r w:rsidRPr="003B1108">
        <w:rPr>
          <w:rFonts w:ascii="Book Antiqua" w:hAnsi="Book Antiqua"/>
        </w:rPr>
        <w:t xml:space="preserve"> A, </w:t>
      </w:r>
      <w:proofErr w:type="spellStart"/>
      <w:r w:rsidRPr="003B1108">
        <w:rPr>
          <w:rFonts w:ascii="Book Antiqua" w:hAnsi="Book Antiqua"/>
        </w:rPr>
        <w:t>Cacciapuoti</w:t>
      </w:r>
      <w:proofErr w:type="spellEnd"/>
      <w:r w:rsidRPr="003B1108">
        <w:rPr>
          <w:rFonts w:ascii="Book Antiqua" w:hAnsi="Book Antiqua"/>
        </w:rPr>
        <w:t xml:space="preserve"> C. Global epidemiology of hepatitis C virus infection: An up-date of the distribution and circulation of hepatitis C virus genotypes. </w:t>
      </w:r>
      <w:r w:rsidRPr="003B1108">
        <w:rPr>
          <w:rFonts w:ascii="Book Antiqua" w:hAnsi="Book Antiqua"/>
          <w:i/>
          <w:iCs/>
        </w:rPr>
        <w:t>World J Gastroenterol</w:t>
      </w:r>
      <w:r w:rsidRPr="003B1108">
        <w:rPr>
          <w:rFonts w:ascii="Book Antiqua" w:hAnsi="Book Antiqua"/>
        </w:rPr>
        <w:t xml:space="preserve"> 2016; </w:t>
      </w:r>
      <w:r w:rsidRPr="003B1108">
        <w:rPr>
          <w:rFonts w:ascii="Book Antiqua" w:hAnsi="Book Antiqua"/>
          <w:b/>
          <w:bCs/>
        </w:rPr>
        <w:t>22</w:t>
      </w:r>
      <w:r w:rsidRPr="003B1108">
        <w:rPr>
          <w:rFonts w:ascii="Book Antiqua" w:hAnsi="Book Antiqua"/>
        </w:rPr>
        <w:t>: 7824-7840 [PMID: 27678366 DOI: 10.3748/wjg.v22.i34.7824]</w:t>
      </w:r>
    </w:p>
    <w:p w14:paraId="3E506020"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8 </w:t>
      </w:r>
      <w:proofErr w:type="spellStart"/>
      <w:r w:rsidRPr="003B1108">
        <w:rPr>
          <w:rFonts w:ascii="Book Antiqua" w:hAnsi="Book Antiqua"/>
          <w:b/>
          <w:bCs/>
        </w:rPr>
        <w:t>D'Ambrosio</w:t>
      </w:r>
      <w:proofErr w:type="spellEnd"/>
      <w:r w:rsidRPr="003B1108">
        <w:rPr>
          <w:rFonts w:ascii="Book Antiqua" w:hAnsi="Book Antiqua"/>
          <w:b/>
          <w:bCs/>
        </w:rPr>
        <w:t xml:space="preserve"> R</w:t>
      </w:r>
      <w:r w:rsidRPr="003B1108">
        <w:rPr>
          <w:rFonts w:ascii="Book Antiqua" w:hAnsi="Book Antiqua"/>
        </w:rPr>
        <w:t xml:space="preserve">, </w:t>
      </w:r>
      <w:proofErr w:type="spellStart"/>
      <w:r w:rsidRPr="003B1108">
        <w:rPr>
          <w:rFonts w:ascii="Book Antiqua" w:hAnsi="Book Antiqua"/>
        </w:rPr>
        <w:t>Degasperi</w:t>
      </w:r>
      <w:proofErr w:type="spellEnd"/>
      <w:r w:rsidRPr="003B1108">
        <w:rPr>
          <w:rFonts w:ascii="Book Antiqua" w:hAnsi="Book Antiqua"/>
        </w:rPr>
        <w:t xml:space="preserve"> E, Colombo M, </w:t>
      </w:r>
      <w:proofErr w:type="spellStart"/>
      <w:r w:rsidRPr="003B1108">
        <w:rPr>
          <w:rFonts w:ascii="Book Antiqua" w:hAnsi="Book Antiqua"/>
        </w:rPr>
        <w:t>Aghemo</w:t>
      </w:r>
      <w:proofErr w:type="spellEnd"/>
      <w:r w:rsidRPr="003B1108">
        <w:rPr>
          <w:rFonts w:ascii="Book Antiqua" w:hAnsi="Book Antiqua"/>
        </w:rPr>
        <w:t xml:space="preserve"> A. Direct-acting antivirals: the endgame for hepatitis C? </w:t>
      </w:r>
      <w:proofErr w:type="spellStart"/>
      <w:r w:rsidRPr="003B1108">
        <w:rPr>
          <w:rFonts w:ascii="Book Antiqua" w:hAnsi="Book Antiqua"/>
          <w:i/>
          <w:iCs/>
        </w:rPr>
        <w:t>Curr</w:t>
      </w:r>
      <w:proofErr w:type="spellEnd"/>
      <w:r w:rsidRPr="003B1108">
        <w:rPr>
          <w:rFonts w:ascii="Book Antiqua" w:hAnsi="Book Antiqua"/>
          <w:i/>
          <w:iCs/>
        </w:rPr>
        <w:t xml:space="preserve"> </w:t>
      </w:r>
      <w:proofErr w:type="spellStart"/>
      <w:r w:rsidRPr="003B1108">
        <w:rPr>
          <w:rFonts w:ascii="Book Antiqua" w:hAnsi="Book Antiqua"/>
          <w:i/>
          <w:iCs/>
        </w:rPr>
        <w:t>Opin</w:t>
      </w:r>
      <w:proofErr w:type="spellEnd"/>
      <w:r w:rsidRPr="003B1108">
        <w:rPr>
          <w:rFonts w:ascii="Book Antiqua" w:hAnsi="Book Antiqua"/>
          <w:i/>
          <w:iCs/>
        </w:rPr>
        <w:t xml:space="preserve"> </w:t>
      </w:r>
      <w:proofErr w:type="spellStart"/>
      <w:r w:rsidRPr="003B1108">
        <w:rPr>
          <w:rFonts w:ascii="Book Antiqua" w:hAnsi="Book Antiqua"/>
          <w:i/>
          <w:iCs/>
        </w:rPr>
        <w:t>Virol</w:t>
      </w:r>
      <w:proofErr w:type="spellEnd"/>
      <w:r w:rsidRPr="003B1108">
        <w:rPr>
          <w:rFonts w:ascii="Book Antiqua" w:hAnsi="Book Antiqua"/>
        </w:rPr>
        <w:t xml:space="preserve"> 2017; </w:t>
      </w:r>
      <w:r w:rsidRPr="003B1108">
        <w:rPr>
          <w:rFonts w:ascii="Book Antiqua" w:hAnsi="Book Antiqua"/>
          <w:b/>
          <w:bCs/>
        </w:rPr>
        <w:t>24</w:t>
      </w:r>
      <w:r w:rsidRPr="003B1108">
        <w:rPr>
          <w:rFonts w:ascii="Book Antiqua" w:hAnsi="Book Antiqua"/>
        </w:rPr>
        <w:t>: 31-37 [PMID: 28419938 DOI: 10.1016/j.coviro.2017.03.017]</w:t>
      </w:r>
    </w:p>
    <w:p w14:paraId="2C8476EE"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9 </w:t>
      </w:r>
      <w:proofErr w:type="spellStart"/>
      <w:r w:rsidRPr="003B1108">
        <w:rPr>
          <w:rFonts w:ascii="Book Antiqua" w:hAnsi="Book Antiqua"/>
          <w:b/>
          <w:bCs/>
        </w:rPr>
        <w:t>Manns</w:t>
      </w:r>
      <w:proofErr w:type="spellEnd"/>
      <w:r w:rsidRPr="003B1108">
        <w:rPr>
          <w:rFonts w:ascii="Book Antiqua" w:hAnsi="Book Antiqua"/>
          <w:b/>
          <w:bCs/>
        </w:rPr>
        <w:t xml:space="preserve"> MP</w:t>
      </w:r>
      <w:r w:rsidRPr="003B1108">
        <w:rPr>
          <w:rFonts w:ascii="Book Antiqua" w:hAnsi="Book Antiqua"/>
        </w:rPr>
        <w:t xml:space="preserve">, </w:t>
      </w:r>
      <w:proofErr w:type="spellStart"/>
      <w:r w:rsidRPr="003B1108">
        <w:rPr>
          <w:rFonts w:ascii="Book Antiqua" w:hAnsi="Book Antiqua"/>
        </w:rPr>
        <w:t>Buti</w:t>
      </w:r>
      <w:proofErr w:type="spellEnd"/>
      <w:r w:rsidRPr="003B1108">
        <w:rPr>
          <w:rFonts w:ascii="Book Antiqua" w:hAnsi="Book Antiqua"/>
        </w:rPr>
        <w:t xml:space="preserve"> M, </w:t>
      </w:r>
      <w:proofErr w:type="spellStart"/>
      <w:r w:rsidRPr="003B1108">
        <w:rPr>
          <w:rFonts w:ascii="Book Antiqua" w:hAnsi="Book Antiqua"/>
        </w:rPr>
        <w:t>Gane</w:t>
      </w:r>
      <w:proofErr w:type="spellEnd"/>
      <w:r w:rsidRPr="003B1108">
        <w:rPr>
          <w:rFonts w:ascii="Book Antiqua" w:hAnsi="Book Antiqua"/>
        </w:rPr>
        <w:t xml:space="preserve"> E, </w:t>
      </w:r>
      <w:proofErr w:type="spellStart"/>
      <w:r w:rsidRPr="003B1108">
        <w:rPr>
          <w:rFonts w:ascii="Book Antiqua" w:hAnsi="Book Antiqua"/>
        </w:rPr>
        <w:t>Pawlotsky</w:t>
      </w:r>
      <w:proofErr w:type="spellEnd"/>
      <w:r w:rsidRPr="003B1108">
        <w:rPr>
          <w:rFonts w:ascii="Book Antiqua" w:hAnsi="Book Antiqua"/>
        </w:rPr>
        <w:t xml:space="preserve"> JM, </w:t>
      </w:r>
      <w:proofErr w:type="spellStart"/>
      <w:r w:rsidRPr="003B1108">
        <w:rPr>
          <w:rFonts w:ascii="Book Antiqua" w:hAnsi="Book Antiqua"/>
        </w:rPr>
        <w:t>Razavi</w:t>
      </w:r>
      <w:proofErr w:type="spellEnd"/>
      <w:r w:rsidRPr="003B1108">
        <w:rPr>
          <w:rFonts w:ascii="Book Antiqua" w:hAnsi="Book Antiqua"/>
        </w:rPr>
        <w:t xml:space="preserve"> H, </w:t>
      </w:r>
      <w:proofErr w:type="spellStart"/>
      <w:r w:rsidRPr="003B1108">
        <w:rPr>
          <w:rFonts w:ascii="Book Antiqua" w:hAnsi="Book Antiqua"/>
        </w:rPr>
        <w:t>Terrault</w:t>
      </w:r>
      <w:proofErr w:type="spellEnd"/>
      <w:r w:rsidRPr="003B1108">
        <w:rPr>
          <w:rFonts w:ascii="Book Antiqua" w:hAnsi="Book Antiqua"/>
        </w:rPr>
        <w:t xml:space="preserve"> N, </w:t>
      </w:r>
      <w:proofErr w:type="spellStart"/>
      <w:r w:rsidRPr="003B1108">
        <w:rPr>
          <w:rFonts w:ascii="Book Antiqua" w:hAnsi="Book Antiqua"/>
        </w:rPr>
        <w:t>Younossi</w:t>
      </w:r>
      <w:proofErr w:type="spellEnd"/>
      <w:r w:rsidRPr="003B1108">
        <w:rPr>
          <w:rFonts w:ascii="Book Antiqua" w:hAnsi="Book Antiqua"/>
        </w:rPr>
        <w:t xml:space="preserve"> Z. Hepatitis C virus infection. </w:t>
      </w:r>
      <w:r w:rsidRPr="003B1108">
        <w:rPr>
          <w:rFonts w:ascii="Book Antiqua" w:hAnsi="Book Antiqua"/>
          <w:i/>
          <w:iCs/>
        </w:rPr>
        <w:t>Nat Rev Dis Primers</w:t>
      </w:r>
      <w:r w:rsidRPr="003B1108">
        <w:rPr>
          <w:rFonts w:ascii="Book Antiqua" w:hAnsi="Book Antiqua"/>
        </w:rPr>
        <w:t xml:space="preserve"> 2017; </w:t>
      </w:r>
      <w:r w:rsidRPr="003B1108">
        <w:rPr>
          <w:rFonts w:ascii="Book Antiqua" w:hAnsi="Book Antiqua"/>
          <w:b/>
          <w:bCs/>
        </w:rPr>
        <w:t>3</w:t>
      </w:r>
      <w:r w:rsidRPr="003B1108">
        <w:rPr>
          <w:rFonts w:ascii="Book Antiqua" w:hAnsi="Book Antiqua"/>
        </w:rPr>
        <w:t>: 17006 [PMID: 28252637 DOI: 10.1038/nrdp.2017.6]</w:t>
      </w:r>
    </w:p>
    <w:p w14:paraId="70D350FD" w14:textId="1209B441"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10 </w:t>
      </w:r>
      <w:r w:rsidRPr="003B1108">
        <w:rPr>
          <w:rFonts w:ascii="Book Antiqua" w:hAnsi="Book Antiqua"/>
          <w:b/>
          <w:bCs/>
        </w:rPr>
        <w:t>Polaris Observatory HCV Collaborators</w:t>
      </w:r>
      <w:r w:rsidRPr="003B1108">
        <w:rPr>
          <w:rFonts w:ascii="Book Antiqua" w:hAnsi="Book Antiqua"/>
        </w:rPr>
        <w:t xml:space="preserve">. Global prevalence and genotype distribution of hepatitis C virus infection in 2015: a modelling study. </w:t>
      </w:r>
      <w:r w:rsidRPr="003B1108">
        <w:rPr>
          <w:rFonts w:ascii="Book Antiqua" w:hAnsi="Book Antiqua"/>
          <w:i/>
          <w:iCs/>
        </w:rPr>
        <w:t xml:space="preserve">Lancet </w:t>
      </w:r>
      <w:proofErr w:type="spellStart"/>
      <w:r w:rsidRPr="003B1108">
        <w:rPr>
          <w:rFonts w:ascii="Book Antiqua" w:hAnsi="Book Antiqua"/>
          <w:i/>
          <w:iCs/>
        </w:rPr>
        <w:lastRenderedPageBreak/>
        <w:t>Gastroenterol</w:t>
      </w:r>
      <w:proofErr w:type="spellEnd"/>
      <w:r w:rsidRPr="003B1108">
        <w:rPr>
          <w:rFonts w:ascii="Book Antiqua" w:hAnsi="Book Antiqua"/>
          <w:i/>
          <w:iCs/>
        </w:rPr>
        <w:t xml:space="preserve"> </w:t>
      </w:r>
      <w:proofErr w:type="spellStart"/>
      <w:r w:rsidRPr="003B1108">
        <w:rPr>
          <w:rFonts w:ascii="Book Antiqua" w:hAnsi="Book Antiqua"/>
          <w:i/>
          <w:iCs/>
        </w:rPr>
        <w:t>Hepatol</w:t>
      </w:r>
      <w:proofErr w:type="spellEnd"/>
      <w:r w:rsidRPr="003B1108">
        <w:rPr>
          <w:rFonts w:ascii="Book Antiqua" w:hAnsi="Book Antiqua"/>
        </w:rPr>
        <w:t xml:space="preserve"> 2017; </w:t>
      </w:r>
      <w:r w:rsidRPr="003B1108">
        <w:rPr>
          <w:rFonts w:ascii="Book Antiqua" w:hAnsi="Book Antiqua"/>
          <w:b/>
          <w:bCs/>
        </w:rPr>
        <w:t>2</w:t>
      </w:r>
      <w:r w:rsidRPr="003B1108">
        <w:rPr>
          <w:rFonts w:ascii="Book Antiqua" w:hAnsi="Book Antiqua"/>
        </w:rPr>
        <w:t>: 161-176 [PMID: 28404132 DOI: 10.1016/S2468-1253(16)30181-9]</w:t>
      </w:r>
    </w:p>
    <w:p w14:paraId="75D6F384"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11 </w:t>
      </w:r>
      <w:proofErr w:type="spellStart"/>
      <w:r w:rsidRPr="003B1108">
        <w:rPr>
          <w:rFonts w:ascii="Book Antiqua" w:hAnsi="Book Antiqua"/>
          <w:b/>
          <w:bCs/>
        </w:rPr>
        <w:t>Afdhal</w:t>
      </w:r>
      <w:proofErr w:type="spellEnd"/>
      <w:r w:rsidRPr="003B1108">
        <w:rPr>
          <w:rFonts w:ascii="Book Antiqua" w:hAnsi="Book Antiqua"/>
          <w:b/>
          <w:bCs/>
        </w:rPr>
        <w:t xml:space="preserve"> N</w:t>
      </w:r>
      <w:r w:rsidRPr="003B1108">
        <w:rPr>
          <w:rFonts w:ascii="Book Antiqua" w:hAnsi="Book Antiqua"/>
        </w:rPr>
        <w:t xml:space="preserve">, Reddy KR, Nelson DR, </w:t>
      </w:r>
      <w:proofErr w:type="spellStart"/>
      <w:r w:rsidRPr="003B1108">
        <w:rPr>
          <w:rFonts w:ascii="Book Antiqua" w:hAnsi="Book Antiqua"/>
        </w:rPr>
        <w:t>Lawitz</w:t>
      </w:r>
      <w:proofErr w:type="spellEnd"/>
      <w:r w:rsidRPr="003B1108">
        <w:rPr>
          <w:rFonts w:ascii="Book Antiqua" w:hAnsi="Book Antiqua"/>
        </w:rPr>
        <w:t xml:space="preserve"> E, Gordon SC, Schiff E, Nahass R, Ghalib R, Gitlin N, Herring R, </w:t>
      </w:r>
      <w:proofErr w:type="spellStart"/>
      <w:r w:rsidRPr="003B1108">
        <w:rPr>
          <w:rFonts w:ascii="Book Antiqua" w:hAnsi="Book Antiqua"/>
        </w:rPr>
        <w:t>Lalezari</w:t>
      </w:r>
      <w:proofErr w:type="spellEnd"/>
      <w:r w:rsidRPr="003B1108">
        <w:rPr>
          <w:rFonts w:ascii="Book Antiqua" w:hAnsi="Book Antiqua"/>
        </w:rPr>
        <w:t xml:space="preserve"> J, </w:t>
      </w:r>
      <w:proofErr w:type="spellStart"/>
      <w:r w:rsidRPr="003B1108">
        <w:rPr>
          <w:rFonts w:ascii="Book Antiqua" w:hAnsi="Book Antiqua"/>
        </w:rPr>
        <w:t>Younes</w:t>
      </w:r>
      <w:proofErr w:type="spellEnd"/>
      <w:r w:rsidRPr="003B1108">
        <w:rPr>
          <w:rFonts w:ascii="Book Antiqua" w:hAnsi="Book Antiqua"/>
        </w:rPr>
        <w:t xml:space="preserve"> ZH, </w:t>
      </w:r>
      <w:proofErr w:type="spellStart"/>
      <w:r w:rsidRPr="003B1108">
        <w:rPr>
          <w:rFonts w:ascii="Book Antiqua" w:hAnsi="Book Antiqua"/>
        </w:rPr>
        <w:t>Pockros</w:t>
      </w:r>
      <w:proofErr w:type="spellEnd"/>
      <w:r w:rsidRPr="003B1108">
        <w:rPr>
          <w:rFonts w:ascii="Book Antiqua" w:hAnsi="Book Antiqua"/>
        </w:rPr>
        <w:t xml:space="preserve"> PJ, Di </w:t>
      </w:r>
      <w:proofErr w:type="spellStart"/>
      <w:r w:rsidRPr="003B1108">
        <w:rPr>
          <w:rFonts w:ascii="Book Antiqua" w:hAnsi="Book Antiqua"/>
        </w:rPr>
        <w:t>Bisceglie</w:t>
      </w:r>
      <w:proofErr w:type="spellEnd"/>
      <w:r w:rsidRPr="003B1108">
        <w:rPr>
          <w:rFonts w:ascii="Book Antiqua" w:hAnsi="Book Antiqua"/>
        </w:rPr>
        <w:t xml:space="preserve"> AM, Arora S, Subramanian GM, Zhu Y, </w:t>
      </w:r>
      <w:proofErr w:type="spellStart"/>
      <w:r w:rsidRPr="003B1108">
        <w:rPr>
          <w:rFonts w:ascii="Book Antiqua" w:hAnsi="Book Antiqua"/>
        </w:rPr>
        <w:t>Dvory-Sobol</w:t>
      </w:r>
      <w:proofErr w:type="spellEnd"/>
      <w:r w:rsidRPr="003B1108">
        <w:rPr>
          <w:rFonts w:ascii="Book Antiqua" w:hAnsi="Book Antiqua"/>
        </w:rPr>
        <w:t xml:space="preserve"> H, Yang JC, Pang PS, Symonds WT, </w:t>
      </w:r>
      <w:proofErr w:type="spellStart"/>
      <w:r w:rsidRPr="003B1108">
        <w:rPr>
          <w:rFonts w:ascii="Book Antiqua" w:hAnsi="Book Antiqua"/>
        </w:rPr>
        <w:t>McHutchison</w:t>
      </w:r>
      <w:proofErr w:type="spellEnd"/>
      <w:r w:rsidRPr="003B1108">
        <w:rPr>
          <w:rFonts w:ascii="Book Antiqua" w:hAnsi="Book Antiqua"/>
        </w:rPr>
        <w:t xml:space="preserve"> JG, Muir AJ, </w:t>
      </w:r>
      <w:proofErr w:type="spellStart"/>
      <w:r w:rsidRPr="003B1108">
        <w:rPr>
          <w:rFonts w:ascii="Book Antiqua" w:hAnsi="Book Antiqua"/>
        </w:rPr>
        <w:t>Sulkowski</w:t>
      </w:r>
      <w:proofErr w:type="spellEnd"/>
      <w:r w:rsidRPr="003B1108">
        <w:rPr>
          <w:rFonts w:ascii="Book Antiqua" w:hAnsi="Book Antiqua"/>
        </w:rPr>
        <w:t xml:space="preserve"> M, </w:t>
      </w:r>
      <w:proofErr w:type="spellStart"/>
      <w:r w:rsidRPr="003B1108">
        <w:rPr>
          <w:rFonts w:ascii="Book Antiqua" w:hAnsi="Book Antiqua"/>
        </w:rPr>
        <w:t>Kwo</w:t>
      </w:r>
      <w:proofErr w:type="spellEnd"/>
      <w:r w:rsidRPr="003B1108">
        <w:rPr>
          <w:rFonts w:ascii="Book Antiqua" w:hAnsi="Book Antiqua"/>
        </w:rPr>
        <w:t xml:space="preserve"> P; ION-2 Investigators. Ledipasvir and sofosbuvir for previously treated HCV genotype 1 infection. </w:t>
      </w:r>
      <w:r w:rsidRPr="003B1108">
        <w:rPr>
          <w:rFonts w:ascii="Book Antiqua" w:hAnsi="Book Antiqua"/>
          <w:i/>
          <w:iCs/>
        </w:rPr>
        <w:t xml:space="preserve">N </w:t>
      </w:r>
      <w:proofErr w:type="spellStart"/>
      <w:r w:rsidRPr="003B1108">
        <w:rPr>
          <w:rFonts w:ascii="Book Antiqua" w:hAnsi="Book Antiqua"/>
          <w:i/>
          <w:iCs/>
        </w:rPr>
        <w:t>Engl</w:t>
      </w:r>
      <w:proofErr w:type="spellEnd"/>
      <w:r w:rsidRPr="003B1108">
        <w:rPr>
          <w:rFonts w:ascii="Book Antiqua" w:hAnsi="Book Antiqua"/>
          <w:i/>
          <w:iCs/>
        </w:rPr>
        <w:t xml:space="preserve"> J Med</w:t>
      </w:r>
      <w:r w:rsidRPr="003B1108">
        <w:rPr>
          <w:rFonts w:ascii="Book Antiqua" w:hAnsi="Book Antiqua"/>
        </w:rPr>
        <w:t xml:space="preserve"> 2014; </w:t>
      </w:r>
      <w:r w:rsidRPr="003B1108">
        <w:rPr>
          <w:rFonts w:ascii="Book Antiqua" w:hAnsi="Book Antiqua"/>
          <w:b/>
          <w:bCs/>
        </w:rPr>
        <w:t>370</w:t>
      </w:r>
      <w:r w:rsidRPr="003B1108">
        <w:rPr>
          <w:rFonts w:ascii="Book Antiqua" w:hAnsi="Book Antiqua"/>
        </w:rPr>
        <w:t>: 1483-1493 [PMID: 24725238 DOI: 10.1056/NEJMoa1316366]</w:t>
      </w:r>
    </w:p>
    <w:p w14:paraId="524907A9"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12 </w:t>
      </w:r>
      <w:proofErr w:type="spellStart"/>
      <w:r w:rsidRPr="003B1108">
        <w:rPr>
          <w:rFonts w:ascii="Book Antiqua" w:hAnsi="Book Antiqua"/>
          <w:b/>
          <w:bCs/>
        </w:rPr>
        <w:t>Zeuzem</w:t>
      </w:r>
      <w:proofErr w:type="spellEnd"/>
      <w:r w:rsidRPr="003B1108">
        <w:rPr>
          <w:rFonts w:ascii="Book Antiqua" w:hAnsi="Book Antiqua"/>
          <w:b/>
          <w:bCs/>
        </w:rPr>
        <w:t xml:space="preserve"> S</w:t>
      </w:r>
      <w:r w:rsidRPr="003B1108">
        <w:rPr>
          <w:rFonts w:ascii="Book Antiqua" w:hAnsi="Book Antiqua"/>
        </w:rPr>
        <w:t xml:space="preserve">, </w:t>
      </w:r>
      <w:proofErr w:type="spellStart"/>
      <w:r w:rsidRPr="003B1108">
        <w:rPr>
          <w:rFonts w:ascii="Book Antiqua" w:hAnsi="Book Antiqua"/>
        </w:rPr>
        <w:t>Dusheiko</w:t>
      </w:r>
      <w:proofErr w:type="spellEnd"/>
      <w:r w:rsidRPr="003B1108">
        <w:rPr>
          <w:rFonts w:ascii="Book Antiqua" w:hAnsi="Book Antiqua"/>
        </w:rPr>
        <w:t xml:space="preserve"> GM, </w:t>
      </w:r>
      <w:proofErr w:type="spellStart"/>
      <w:r w:rsidRPr="003B1108">
        <w:rPr>
          <w:rFonts w:ascii="Book Antiqua" w:hAnsi="Book Antiqua"/>
        </w:rPr>
        <w:t>Salupere</w:t>
      </w:r>
      <w:proofErr w:type="spellEnd"/>
      <w:r w:rsidRPr="003B1108">
        <w:rPr>
          <w:rFonts w:ascii="Book Antiqua" w:hAnsi="Book Antiqua"/>
        </w:rPr>
        <w:t xml:space="preserve"> R, </w:t>
      </w:r>
      <w:proofErr w:type="spellStart"/>
      <w:r w:rsidRPr="003B1108">
        <w:rPr>
          <w:rFonts w:ascii="Book Antiqua" w:hAnsi="Book Antiqua"/>
        </w:rPr>
        <w:t>Mangia</w:t>
      </w:r>
      <w:proofErr w:type="spellEnd"/>
      <w:r w:rsidRPr="003B1108">
        <w:rPr>
          <w:rFonts w:ascii="Book Antiqua" w:hAnsi="Book Antiqua"/>
        </w:rPr>
        <w:t xml:space="preserve"> A, </w:t>
      </w:r>
      <w:proofErr w:type="spellStart"/>
      <w:r w:rsidRPr="003B1108">
        <w:rPr>
          <w:rFonts w:ascii="Book Antiqua" w:hAnsi="Book Antiqua"/>
        </w:rPr>
        <w:t>Flisiak</w:t>
      </w:r>
      <w:proofErr w:type="spellEnd"/>
      <w:r w:rsidRPr="003B1108">
        <w:rPr>
          <w:rFonts w:ascii="Book Antiqua" w:hAnsi="Book Antiqua"/>
        </w:rPr>
        <w:t xml:space="preserve"> R, Hyland RH, </w:t>
      </w:r>
      <w:proofErr w:type="spellStart"/>
      <w:r w:rsidRPr="003B1108">
        <w:rPr>
          <w:rFonts w:ascii="Book Antiqua" w:hAnsi="Book Antiqua"/>
        </w:rPr>
        <w:t>Illeperuma</w:t>
      </w:r>
      <w:proofErr w:type="spellEnd"/>
      <w:r w:rsidRPr="003B1108">
        <w:rPr>
          <w:rFonts w:ascii="Book Antiqua" w:hAnsi="Book Antiqua"/>
        </w:rPr>
        <w:t xml:space="preserve"> A, </w:t>
      </w:r>
      <w:proofErr w:type="spellStart"/>
      <w:r w:rsidRPr="003B1108">
        <w:rPr>
          <w:rFonts w:ascii="Book Antiqua" w:hAnsi="Book Antiqua"/>
        </w:rPr>
        <w:t>Svarovskaia</w:t>
      </w:r>
      <w:proofErr w:type="spellEnd"/>
      <w:r w:rsidRPr="003B1108">
        <w:rPr>
          <w:rFonts w:ascii="Book Antiqua" w:hAnsi="Book Antiqua"/>
        </w:rPr>
        <w:t xml:space="preserve"> E, Brainard DM, Symonds WT, Subramanian GM, </w:t>
      </w:r>
      <w:proofErr w:type="spellStart"/>
      <w:r w:rsidRPr="003B1108">
        <w:rPr>
          <w:rFonts w:ascii="Book Antiqua" w:hAnsi="Book Antiqua"/>
        </w:rPr>
        <w:t>McHutchison</w:t>
      </w:r>
      <w:proofErr w:type="spellEnd"/>
      <w:r w:rsidRPr="003B1108">
        <w:rPr>
          <w:rFonts w:ascii="Book Antiqua" w:hAnsi="Book Antiqua"/>
        </w:rPr>
        <w:t xml:space="preserve"> JG, </w:t>
      </w:r>
      <w:proofErr w:type="spellStart"/>
      <w:r w:rsidRPr="003B1108">
        <w:rPr>
          <w:rFonts w:ascii="Book Antiqua" w:hAnsi="Book Antiqua"/>
        </w:rPr>
        <w:t>Weiland</w:t>
      </w:r>
      <w:proofErr w:type="spellEnd"/>
      <w:r w:rsidRPr="003B1108">
        <w:rPr>
          <w:rFonts w:ascii="Book Antiqua" w:hAnsi="Book Antiqua"/>
        </w:rPr>
        <w:t xml:space="preserve"> O, </w:t>
      </w:r>
      <w:proofErr w:type="spellStart"/>
      <w:r w:rsidRPr="003B1108">
        <w:rPr>
          <w:rFonts w:ascii="Book Antiqua" w:hAnsi="Book Antiqua"/>
        </w:rPr>
        <w:t>Reesink</w:t>
      </w:r>
      <w:proofErr w:type="spellEnd"/>
      <w:r w:rsidRPr="003B1108">
        <w:rPr>
          <w:rFonts w:ascii="Book Antiqua" w:hAnsi="Book Antiqua"/>
        </w:rPr>
        <w:t xml:space="preserve"> HW, </w:t>
      </w:r>
      <w:proofErr w:type="spellStart"/>
      <w:r w:rsidRPr="003B1108">
        <w:rPr>
          <w:rFonts w:ascii="Book Antiqua" w:hAnsi="Book Antiqua"/>
        </w:rPr>
        <w:t>Ferenci</w:t>
      </w:r>
      <w:proofErr w:type="spellEnd"/>
      <w:r w:rsidRPr="003B1108">
        <w:rPr>
          <w:rFonts w:ascii="Book Antiqua" w:hAnsi="Book Antiqua"/>
        </w:rPr>
        <w:t xml:space="preserve"> P, </w:t>
      </w:r>
      <w:proofErr w:type="spellStart"/>
      <w:r w:rsidRPr="003B1108">
        <w:rPr>
          <w:rFonts w:ascii="Book Antiqua" w:hAnsi="Book Antiqua"/>
        </w:rPr>
        <w:t>Hézode</w:t>
      </w:r>
      <w:proofErr w:type="spellEnd"/>
      <w:r w:rsidRPr="003B1108">
        <w:rPr>
          <w:rFonts w:ascii="Book Antiqua" w:hAnsi="Book Antiqua"/>
        </w:rPr>
        <w:t xml:space="preserve"> C, Esteban R; VALENCE Investigators. Sofosbuvir and ribavirin in HCV genotypes 2 and 3. </w:t>
      </w:r>
      <w:r w:rsidRPr="003B1108">
        <w:rPr>
          <w:rFonts w:ascii="Book Antiqua" w:hAnsi="Book Antiqua"/>
          <w:i/>
          <w:iCs/>
        </w:rPr>
        <w:t xml:space="preserve">N </w:t>
      </w:r>
      <w:proofErr w:type="spellStart"/>
      <w:r w:rsidRPr="003B1108">
        <w:rPr>
          <w:rFonts w:ascii="Book Antiqua" w:hAnsi="Book Antiqua"/>
          <w:i/>
          <w:iCs/>
        </w:rPr>
        <w:t>Engl</w:t>
      </w:r>
      <w:proofErr w:type="spellEnd"/>
      <w:r w:rsidRPr="003B1108">
        <w:rPr>
          <w:rFonts w:ascii="Book Antiqua" w:hAnsi="Book Antiqua"/>
          <w:i/>
          <w:iCs/>
        </w:rPr>
        <w:t xml:space="preserve"> J Med</w:t>
      </w:r>
      <w:r w:rsidRPr="003B1108">
        <w:rPr>
          <w:rFonts w:ascii="Book Antiqua" w:hAnsi="Book Antiqua"/>
        </w:rPr>
        <w:t xml:space="preserve"> 2014; </w:t>
      </w:r>
      <w:r w:rsidRPr="003B1108">
        <w:rPr>
          <w:rFonts w:ascii="Book Antiqua" w:hAnsi="Book Antiqua"/>
          <w:b/>
          <w:bCs/>
        </w:rPr>
        <w:t>370</w:t>
      </w:r>
      <w:r w:rsidRPr="003B1108">
        <w:rPr>
          <w:rFonts w:ascii="Book Antiqua" w:hAnsi="Book Antiqua"/>
        </w:rPr>
        <w:t>: 1993-2001 [PMID: 24795201 DOI: 10.1056/NEJMoa1316145]</w:t>
      </w:r>
    </w:p>
    <w:p w14:paraId="56B7D036"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13 </w:t>
      </w:r>
      <w:r w:rsidRPr="003B1108">
        <w:rPr>
          <w:rFonts w:ascii="Book Antiqua" w:hAnsi="Book Antiqua"/>
          <w:b/>
          <w:bCs/>
        </w:rPr>
        <w:t>Foster GR</w:t>
      </w:r>
      <w:r w:rsidRPr="003B1108">
        <w:rPr>
          <w:rFonts w:ascii="Book Antiqua" w:hAnsi="Book Antiqua"/>
        </w:rPr>
        <w:t xml:space="preserve">, </w:t>
      </w:r>
      <w:proofErr w:type="spellStart"/>
      <w:r w:rsidRPr="003B1108">
        <w:rPr>
          <w:rFonts w:ascii="Book Antiqua" w:hAnsi="Book Antiqua"/>
        </w:rPr>
        <w:t>Afdhal</w:t>
      </w:r>
      <w:proofErr w:type="spellEnd"/>
      <w:r w:rsidRPr="003B1108">
        <w:rPr>
          <w:rFonts w:ascii="Book Antiqua" w:hAnsi="Book Antiqua"/>
        </w:rPr>
        <w:t xml:space="preserve"> N, Roberts SK, </w:t>
      </w:r>
      <w:proofErr w:type="spellStart"/>
      <w:r w:rsidRPr="003B1108">
        <w:rPr>
          <w:rFonts w:ascii="Book Antiqua" w:hAnsi="Book Antiqua"/>
        </w:rPr>
        <w:t>Bräu</w:t>
      </w:r>
      <w:proofErr w:type="spellEnd"/>
      <w:r w:rsidRPr="003B1108">
        <w:rPr>
          <w:rFonts w:ascii="Book Antiqua" w:hAnsi="Book Antiqua"/>
        </w:rPr>
        <w:t xml:space="preserve"> N, </w:t>
      </w:r>
      <w:proofErr w:type="spellStart"/>
      <w:r w:rsidRPr="003B1108">
        <w:rPr>
          <w:rFonts w:ascii="Book Antiqua" w:hAnsi="Book Antiqua"/>
        </w:rPr>
        <w:t>Gane</w:t>
      </w:r>
      <w:proofErr w:type="spellEnd"/>
      <w:r w:rsidRPr="003B1108">
        <w:rPr>
          <w:rFonts w:ascii="Book Antiqua" w:hAnsi="Book Antiqua"/>
        </w:rPr>
        <w:t xml:space="preserve"> EJ, </w:t>
      </w:r>
      <w:proofErr w:type="spellStart"/>
      <w:r w:rsidRPr="003B1108">
        <w:rPr>
          <w:rFonts w:ascii="Book Antiqua" w:hAnsi="Book Antiqua"/>
        </w:rPr>
        <w:t>Pianko</w:t>
      </w:r>
      <w:proofErr w:type="spellEnd"/>
      <w:r w:rsidRPr="003B1108">
        <w:rPr>
          <w:rFonts w:ascii="Book Antiqua" w:hAnsi="Book Antiqua"/>
        </w:rPr>
        <w:t xml:space="preserve"> S, </w:t>
      </w:r>
      <w:proofErr w:type="spellStart"/>
      <w:r w:rsidRPr="003B1108">
        <w:rPr>
          <w:rFonts w:ascii="Book Antiqua" w:hAnsi="Book Antiqua"/>
        </w:rPr>
        <w:t>Lawitz</w:t>
      </w:r>
      <w:proofErr w:type="spellEnd"/>
      <w:r w:rsidRPr="003B1108">
        <w:rPr>
          <w:rFonts w:ascii="Book Antiqua" w:hAnsi="Book Antiqua"/>
        </w:rPr>
        <w:t xml:space="preserve"> E, Thompson A, </w:t>
      </w:r>
      <w:proofErr w:type="spellStart"/>
      <w:r w:rsidRPr="003B1108">
        <w:rPr>
          <w:rFonts w:ascii="Book Antiqua" w:hAnsi="Book Antiqua"/>
        </w:rPr>
        <w:t>Shiffman</w:t>
      </w:r>
      <w:proofErr w:type="spellEnd"/>
      <w:r w:rsidRPr="003B1108">
        <w:rPr>
          <w:rFonts w:ascii="Book Antiqua" w:hAnsi="Book Antiqua"/>
        </w:rPr>
        <w:t xml:space="preserve"> ML, Cooper C, Towner WJ, Conway B, </w:t>
      </w:r>
      <w:proofErr w:type="spellStart"/>
      <w:r w:rsidRPr="003B1108">
        <w:rPr>
          <w:rFonts w:ascii="Book Antiqua" w:hAnsi="Book Antiqua"/>
        </w:rPr>
        <w:t>Ruane</w:t>
      </w:r>
      <w:proofErr w:type="spellEnd"/>
      <w:r w:rsidRPr="003B1108">
        <w:rPr>
          <w:rFonts w:ascii="Book Antiqua" w:hAnsi="Book Antiqua"/>
        </w:rPr>
        <w:t xml:space="preserve"> P, </w:t>
      </w:r>
      <w:proofErr w:type="spellStart"/>
      <w:r w:rsidRPr="003B1108">
        <w:rPr>
          <w:rFonts w:ascii="Book Antiqua" w:hAnsi="Book Antiqua"/>
        </w:rPr>
        <w:t>Bourlière</w:t>
      </w:r>
      <w:proofErr w:type="spellEnd"/>
      <w:r w:rsidRPr="003B1108">
        <w:rPr>
          <w:rFonts w:ascii="Book Antiqua" w:hAnsi="Book Antiqua"/>
        </w:rPr>
        <w:t xml:space="preserve"> M, </w:t>
      </w:r>
      <w:proofErr w:type="spellStart"/>
      <w:r w:rsidRPr="003B1108">
        <w:rPr>
          <w:rFonts w:ascii="Book Antiqua" w:hAnsi="Book Antiqua"/>
        </w:rPr>
        <w:t>Asselah</w:t>
      </w:r>
      <w:proofErr w:type="spellEnd"/>
      <w:r w:rsidRPr="003B1108">
        <w:rPr>
          <w:rFonts w:ascii="Book Antiqua" w:hAnsi="Book Antiqua"/>
        </w:rPr>
        <w:t xml:space="preserve"> T, Berg T, </w:t>
      </w:r>
      <w:proofErr w:type="spellStart"/>
      <w:r w:rsidRPr="003B1108">
        <w:rPr>
          <w:rFonts w:ascii="Book Antiqua" w:hAnsi="Book Antiqua"/>
        </w:rPr>
        <w:t>Zeuzem</w:t>
      </w:r>
      <w:proofErr w:type="spellEnd"/>
      <w:r w:rsidRPr="003B1108">
        <w:rPr>
          <w:rFonts w:ascii="Book Antiqua" w:hAnsi="Book Antiqua"/>
        </w:rPr>
        <w:t xml:space="preserve"> S, Rosenberg W, Agarwal K, Stedman CA, Mo H, </w:t>
      </w:r>
      <w:proofErr w:type="spellStart"/>
      <w:r w:rsidRPr="003B1108">
        <w:rPr>
          <w:rFonts w:ascii="Book Antiqua" w:hAnsi="Book Antiqua"/>
        </w:rPr>
        <w:t>Dvory-Sobol</w:t>
      </w:r>
      <w:proofErr w:type="spellEnd"/>
      <w:r w:rsidRPr="003B1108">
        <w:rPr>
          <w:rFonts w:ascii="Book Antiqua" w:hAnsi="Book Antiqua"/>
        </w:rPr>
        <w:t xml:space="preserve"> H, Han L, Wang J, McNally J, </w:t>
      </w:r>
      <w:proofErr w:type="spellStart"/>
      <w:r w:rsidRPr="003B1108">
        <w:rPr>
          <w:rFonts w:ascii="Book Antiqua" w:hAnsi="Book Antiqua"/>
        </w:rPr>
        <w:t>Osinusi</w:t>
      </w:r>
      <w:proofErr w:type="spellEnd"/>
      <w:r w:rsidRPr="003B1108">
        <w:rPr>
          <w:rFonts w:ascii="Book Antiqua" w:hAnsi="Book Antiqua"/>
        </w:rPr>
        <w:t xml:space="preserve"> A, </w:t>
      </w:r>
      <w:proofErr w:type="spellStart"/>
      <w:r w:rsidRPr="003B1108">
        <w:rPr>
          <w:rFonts w:ascii="Book Antiqua" w:hAnsi="Book Antiqua"/>
        </w:rPr>
        <w:t>Brainard</w:t>
      </w:r>
      <w:proofErr w:type="spellEnd"/>
      <w:r w:rsidRPr="003B1108">
        <w:rPr>
          <w:rFonts w:ascii="Book Antiqua" w:hAnsi="Book Antiqua"/>
        </w:rPr>
        <w:t xml:space="preserve"> DM, </w:t>
      </w:r>
      <w:proofErr w:type="spellStart"/>
      <w:r w:rsidRPr="003B1108">
        <w:rPr>
          <w:rFonts w:ascii="Book Antiqua" w:hAnsi="Book Antiqua"/>
        </w:rPr>
        <w:t>McHutchison</w:t>
      </w:r>
      <w:proofErr w:type="spellEnd"/>
      <w:r w:rsidRPr="003B1108">
        <w:rPr>
          <w:rFonts w:ascii="Book Antiqua" w:hAnsi="Book Antiqua"/>
        </w:rPr>
        <w:t xml:space="preserve"> JG, </w:t>
      </w:r>
      <w:proofErr w:type="spellStart"/>
      <w:r w:rsidRPr="003B1108">
        <w:rPr>
          <w:rFonts w:ascii="Book Antiqua" w:hAnsi="Book Antiqua"/>
        </w:rPr>
        <w:t>Mazzotta</w:t>
      </w:r>
      <w:proofErr w:type="spellEnd"/>
      <w:r w:rsidRPr="003B1108">
        <w:rPr>
          <w:rFonts w:ascii="Book Antiqua" w:hAnsi="Book Antiqua"/>
        </w:rPr>
        <w:t xml:space="preserve"> F, Tran TT, Gordon SC, Patel K, </w:t>
      </w:r>
      <w:proofErr w:type="spellStart"/>
      <w:r w:rsidRPr="003B1108">
        <w:rPr>
          <w:rFonts w:ascii="Book Antiqua" w:hAnsi="Book Antiqua"/>
        </w:rPr>
        <w:t>Reau</w:t>
      </w:r>
      <w:proofErr w:type="spellEnd"/>
      <w:r w:rsidRPr="003B1108">
        <w:rPr>
          <w:rFonts w:ascii="Book Antiqua" w:hAnsi="Book Antiqua"/>
        </w:rPr>
        <w:t xml:space="preserve"> N, </w:t>
      </w:r>
      <w:proofErr w:type="spellStart"/>
      <w:r w:rsidRPr="003B1108">
        <w:rPr>
          <w:rFonts w:ascii="Book Antiqua" w:hAnsi="Book Antiqua"/>
        </w:rPr>
        <w:t>Mangia</w:t>
      </w:r>
      <w:proofErr w:type="spellEnd"/>
      <w:r w:rsidRPr="003B1108">
        <w:rPr>
          <w:rFonts w:ascii="Book Antiqua" w:hAnsi="Book Antiqua"/>
        </w:rPr>
        <w:t xml:space="preserve"> A, </w:t>
      </w:r>
      <w:proofErr w:type="spellStart"/>
      <w:r w:rsidRPr="003B1108">
        <w:rPr>
          <w:rFonts w:ascii="Book Antiqua" w:hAnsi="Book Antiqua"/>
        </w:rPr>
        <w:t>Sulkowski</w:t>
      </w:r>
      <w:proofErr w:type="spellEnd"/>
      <w:r w:rsidRPr="003B1108">
        <w:rPr>
          <w:rFonts w:ascii="Book Antiqua" w:hAnsi="Book Antiqua"/>
        </w:rPr>
        <w:t xml:space="preserve"> M; ASTRAL-2 Investigators; ASTRAL-3 Investigators. </w:t>
      </w:r>
      <w:proofErr w:type="spellStart"/>
      <w:r w:rsidRPr="003B1108">
        <w:rPr>
          <w:rFonts w:ascii="Book Antiqua" w:hAnsi="Book Antiqua"/>
        </w:rPr>
        <w:t>Sofosbuvir</w:t>
      </w:r>
      <w:proofErr w:type="spellEnd"/>
      <w:r w:rsidRPr="003B1108">
        <w:rPr>
          <w:rFonts w:ascii="Book Antiqua" w:hAnsi="Book Antiqua"/>
        </w:rPr>
        <w:t xml:space="preserve"> and </w:t>
      </w:r>
      <w:proofErr w:type="spellStart"/>
      <w:r w:rsidRPr="003B1108">
        <w:rPr>
          <w:rFonts w:ascii="Book Antiqua" w:hAnsi="Book Antiqua"/>
        </w:rPr>
        <w:t>Velpatasvir</w:t>
      </w:r>
      <w:proofErr w:type="spellEnd"/>
      <w:r w:rsidRPr="003B1108">
        <w:rPr>
          <w:rFonts w:ascii="Book Antiqua" w:hAnsi="Book Antiqua"/>
        </w:rPr>
        <w:t xml:space="preserve"> for HCV Genotype 2 and 3 Infection. </w:t>
      </w:r>
      <w:r w:rsidRPr="003B1108">
        <w:rPr>
          <w:rFonts w:ascii="Book Antiqua" w:hAnsi="Book Antiqua"/>
          <w:i/>
          <w:iCs/>
        </w:rPr>
        <w:t xml:space="preserve">N </w:t>
      </w:r>
      <w:proofErr w:type="spellStart"/>
      <w:r w:rsidRPr="003B1108">
        <w:rPr>
          <w:rFonts w:ascii="Book Antiqua" w:hAnsi="Book Antiqua"/>
          <w:i/>
          <w:iCs/>
        </w:rPr>
        <w:t>Engl</w:t>
      </w:r>
      <w:proofErr w:type="spellEnd"/>
      <w:r w:rsidRPr="003B1108">
        <w:rPr>
          <w:rFonts w:ascii="Book Antiqua" w:hAnsi="Book Antiqua"/>
          <w:i/>
          <w:iCs/>
        </w:rPr>
        <w:t xml:space="preserve"> J Med</w:t>
      </w:r>
      <w:r w:rsidRPr="003B1108">
        <w:rPr>
          <w:rFonts w:ascii="Book Antiqua" w:hAnsi="Book Antiqua"/>
        </w:rPr>
        <w:t xml:space="preserve"> 2015; </w:t>
      </w:r>
      <w:r w:rsidRPr="003B1108">
        <w:rPr>
          <w:rFonts w:ascii="Book Antiqua" w:hAnsi="Book Antiqua"/>
          <w:b/>
          <w:bCs/>
        </w:rPr>
        <w:t>373</w:t>
      </w:r>
      <w:r w:rsidRPr="003B1108">
        <w:rPr>
          <w:rFonts w:ascii="Book Antiqua" w:hAnsi="Book Antiqua"/>
        </w:rPr>
        <w:t>: 2608-2617 [PMID: 26575258 DOI: 10.1056/NEJMoa1512612]</w:t>
      </w:r>
    </w:p>
    <w:p w14:paraId="64BB7E15"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14 </w:t>
      </w:r>
      <w:r w:rsidRPr="003B1108">
        <w:rPr>
          <w:rFonts w:ascii="Book Antiqua" w:hAnsi="Book Antiqua"/>
          <w:b/>
          <w:bCs/>
        </w:rPr>
        <w:t>Nelson DR</w:t>
      </w:r>
      <w:r w:rsidRPr="003B1108">
        <w:rPr>
          <w:rFonts w:ascii="Book Antiqua" w:hAnsi="Book Antiqua"/>
        </w:rPr>
        <w:t xml:space="preserve">, Cooper JN, </w:t>
      </w:r>
      <w:proofErr w:type="spellStart"/>
      <w:r w:rsidRPr="003B1108">
        <w:rPr>
          <w:rFonts w:ascii="Book Antiqua" w:hAnsi="Book Antiqua"/>
        </w:rPr>
        <w:t>Lalezari</w:t>
      </w:r>
      <w:proofErr w:type="spellEnd"/>
      <w:r w:rsidRPr="003B1108">
        <w:rPr>
          <w:rFonts w:ascii="Book Antiqua" w:hAnsi="Book Antiqua"/>
        </w:rPr>
        <w:t xml:space="preserve"> JP, </w:t>
      </w:r>
      <w:proofErr w:type="spellStart"/>
      <w:r w:rsidRPr="003B1108">
        <w:rPr>
          <w:rFonts w:ascii="Book Antiqua" w:hAnsi="Book Antiqua"/>
        </w:rPr>
        <w:t>Lawitz</w:t>
      </w:r>
      <w:proofErr w:type="spellEnd"/>
      <w:r w:rsidRPr="003B1108">
        <w:rPr>
          <w:rFonts w:ascii="Book Antiqua" w:hAnsi="Book Antiqua"/>
        </w:rPr>
        <w:t xml:space="preserve"> E, </w:t>
      </w:r>
      <w:proofErr w:type="spellStart"/>
      <w:r w:rsidRPr="003B1108">
        <w:rPr>
          <w:rFonts w:ascii="Book Antiqua" w:hAnsi="Book Antiqua"/>
        </w:rPr>
        <w:t>Pockros</w:t>
      </w:r>
      <w:proofErr w:type="spellEnd"/>
      <w:r w:rsidRPr="003B1108">
        <w:rPr>
          <w:rFonts w:ascii="Book Antiqua" w:hAnsi="Book Antiqua"/>
        </w:rPr>
        <w:t xml:space="preserve"> PJ, </w:t>
      </w:r>
      <w:proofErr w:type="spellStart"/>
      <w:r w:rsidRPr="003B1108">
        <w:rPr>
          <w:rFonts w:ascii="Book Antiqua" w:hAnsi="Book Antiqua"/>
        </w:rPr>
        <w:t>Gitlin</w:t>
      </w:r>
      <w:proofErr w:type="spellEnd"/>
      <w:r w:rsidRPr="003B1108">
        <w:rPr>
          <w:rFonts w:ascii="Book Antiqua" w:hAnsi="Book Antiqua"/>
        </w:rPr>
        <w:t xml:space="preserve"> N, </w:t>
      </w:r>
      <w:proofErr w:type="spellStart"/>
      <w:r w:rsidRPr="003B1108">
        <w:rPr>
          <w:rFonts w:ascii="Book Antiqua" w:hAnsi="Book Antiqua"/>
        </w:rPr>
        <w:t>Freilich</w:t>
      </w:r>
      <w:proofErr w:type="spellEnd"/>
      <w:r w:rsidRPr="003B1108">
        <w:rPr>
          <w:rFonts w:ascii="Book Antiqua" w:hAnsi="Book Antiqua"/>
        </w:rPr>
        <w:t xml:space="preserve"> BF, </w:t>
      </w:r>
      <w:proofErr w:type="spellStart"/>
      <w:r w:rsidRPr="003B1108">
        <w:rPr>
          <w:rFonts w:ascii="Book Antiqua" w:hAnsi="Book Antiqua"/>
        </w:rPr>
        <w:t>Younes</w:t>
      </w:r>
      <w:proofErr w:type="spellEnd"/>
      <w:r w:rsidRPr="003B1108">
        <w:rPr>
          <w:rFonts w:ascii="Book Antiqua" w:hAnsi="Book Antiqua"/>
        </w:rPr>
        <w:t xml:space="preserve"> ZH, Harlan W, </w:t>
      </w:r>
      <w:proofErr w:type="spellStart"/>
      <w:r w:rsidRPr="003B1108">
        <w:rPr>
          <w:rFonts w:ascii="Book Antiqua" w:hAnsi="Book Antiqua"/>
        </w:rPr>
        <w:t>Ghalib</w:t>
      </w:r>
      <w:proofErr w:type="spellEnd"/>
      <w:r w:rsidRPr="003B1108">
        <w:rPr>
          <w:rFonts w:ascii="Book Antiqua" w:hAnsi="Book Antiqua"/>
        </w:rPr>
        <w:t xml:space="preserve"> R, </w:t>
      </w:r>
      <w:proofErr w:type="spellStart"/>
      <w:r w:rsidRPr="003B1108">
        <w:rPr>
          <w:rFonts w:ascii="Book Antiqua" w:hAnsi="Book Antiqua"/>
        </w:rPr>
        <w:t>Oguchi</w:t>
      </w:r>
      <w:proofErr w:type="spellEnd"/>
      <w:r w:rsidRPr="003B1108">
        <w:rPr>
          <w:rFonts w:ascii="Book Antiqua" w:hAnsi="Book Antiqua"/>
        </w:rPr>
        <w:t xml:space="preserve"> G, </w:t>
      </w:r>
      <w:proofErr w:type="spellStart"/>
      <w:r w:rsidRPr="003B1108">
        <w:rPr>
          <w:rFonts w:ascii="Book Antiqua" w:hAnsi="Book Antiqua"/>
        </w:rPr>
        <w:t>Thuluvath</w:t>
      </w:r>
      <w:proofErr w:type="spellEnd"/>
      <w:r w:rsidRPr="003B1108">
        <w:rPr>
          <w:rFonts w:ascii="Book Antiqua" w:hAnsi="Book Antiqua"/>
        </w:rPr>
        <w:t xml:space="preserve"> PJ, Ortiz-</w:t>
      </w:r>
      <w:proofErr w:type="spellStart"/>
      <w:r w:rsidRPr="003B1108">
        <w:rPr>
          <w:rFonts w:ascii="Book Antiqua" w:hAnsi="Book Antiqua"/>
        </w:rPr>
        <w:t>Lasanta</w:t>
      </w:r>
      <w:proofErr w:type="spellEnd"/>
      <w:r w:rsidRPr="003B1108">
        <w:rPr>
          <w:rFonts w:ascii="Book Antiqua" w:hAnsi="Book Antiqua"/>
        </w:rPr>
        <w:t xml:space="preserve"> G, </w:t>
      </w:r>
      <w:proofErr w:type="spellStart"/>
      <w:r w:rsidRPr="003B1108">
        <w:rPr>
          <w:rFonts w:ascii="Book Antiqua" w:hAnsi="Book Antiqua"/>
        </w:rPr>
        <w:t>Rabinovitz</w:t>
      </w:r>
      <w:proofErr w:type="spellEnd"/>
      <w:r w:rsidRPr="003B1108">
        <w:rPr>
          <w:rFonts w:ascii="Book Antiqua" w:hAnsi="Book Antiqua"/>
        </w:rPr>
        <w:t xml:space="preserve"> M, Bernstein D, Bennett M, Hawkins T, </w:t>
      </w:r>
      <w:proofErr w:type="spellStart"/>
      <w:r w:rsidRPr="003B1108">
        <w:rPr>
          <w:rFonts w:ascii="Book Antiqua" w:hAnsi="Book Antiqua"/>
        </w:rPr>
        <w:t>Ravendhran</w:t>
      </w:r>
      <w:proofErr w:type="spellEnd"/>
      <w:r w:rsidRPr="003B1108">
        <w:rPr>
          <w:rFonts w:ascii="Book Antiqua" w:hAnsi="Book Antiqua"/>
        </w:rPr>
        <w:t xml:space="preserve"> N, Sheikh AM, </w:t>
      </w:r>
      <w:proofErr w:type="spellStart"/>
      <w:r w:rsidRPr="003B1108">
        <w:rPr>
          <w:rFonts w:ascii="Book Antiqua" w:hAnsi="Book Antiqua"/>
        </w:rPr>
        <w:t>Varunok</w:t>
      </w:r>
      <w:proofErr w:type="spellEnd"/>
      <w:r w:rsidRPr="003B1108">
        <w:rPr>
          <w:rFonts w:ascii="Book Antiqua" w:hAnsi="Book Antiqua"/>
        </w:rPr>
        <w:t xml:space="preserve"> P, </w:t>
      </w:r>
      <w:proofErr w:type="spellStart"/>
      <w:r w:rsidRPr="003B1108">
        <w:rPr>
          <w:rFonts w:ascii="Book Antiqua" w:hAnsi="Book Antiqua"/>
        </w:rPr>
        <w:t>Kowdley</w:t>
      </w:r>
      <w:proofErr w:type="spellEnd"/>
      <w:r w:rsidRPr="003B1108">
        <w:rPr>
          <w:rFonts w:ascii="Book Antiqua" w:hAnsi="Book Antiqua"/>
        </w:rPr>
        <w:t xml:space="preserve"> KV, </w:t>
      </w:r>
      <w:proofErr w:type="spellStart"/>
      <w:r w:rsidRPr="003B1108">
        <w:rPr>
          <w:rFonts w:ascii="Book Antiqua" w:hAnsi="Book Antiqua"/>
        </w:rPr>
        <w:t>Hennicken</w:t>
      </w:r>
      <w:proofErr w:type="spellEnd"/>
      <w:r w:rsidRPr="003B1108">
        <w:rPr>
          <w:rFonts w:ascii="Book Antiqua" w:hAnsi="Book Antiqua"/>
        </w:rPr>
        <w:t xml:space="preserve"> D, McPhee F, Rana K, Hughes EA; ALLY-3 Study Team. All-oral 12-week treatment with daclatasvir plus sofosbuvir in patients with hepatitis C virus genotype 3 infection: ALLY-3 phase III study. </w:t>
      </w:r>
      <w:r w:rsidRPr="003B1108">
        <w:rPr>
          <w:rFonts w:ascii="Book Antiqua" w:hAnsi="Book Antiqua"/>
          <w:i/>
          <w:iCs/>
        </w:rPr>
        <w:t>Hepatology</w:t>
      </w:r>
      <w:r w:rsidRPr="003B1108">
        <w:rPr>
          <w:rFonts w:ascii="Book Antiqua" w:hAnsi="Book Antiqua"/>
        </w:rPr>
        <w:t xml:space="preserve"> 2015; </w:t>
      </w:r>
      <w:r w:rsidRPr="003B1108">
        <w:rPr>
          <w:rFonts w:ascii="Book Antiqua" w:hAnsi="Book Antiqua"/>
          <w:b/>
          <w:bCs/>
        </w:rPr>
        <w:t>61</w:t>
      </w:r>
      <w:r w:rsidRPr="003B1108">
        <w:rPr>
          <w:rFonts w:ascii="Book Antiqua" w:hAnsi="Book Antiqua"/>
        </w:rPr>
        <w:t>: 1127-1135 [PMID: 25614962 DOI: 10.1002/hep.27726]</w:t>
      </w:r>
    </w:p>
    <w:p w14:paraId="07E0DD00"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lastRenderedPageBreak/>
        <w:t xml:space="preserve">15 </w:t>
      </w:r>
      <w:r w:rsidRPr="003B1108">
        <w:rPr>
          <w:rFonts w:ascii="Book Antiqua" w:hAnsi="Book Antiqua"/>
          <w:b/>
          <w:bCs/>
        </w:rPr>
        <w:t>Carter W</w:t>
      </w:r>
      <w:r w:rsidRPr="003B1108">
        <w:rPr>
          <w:rFonts w:ascii="Book Antiqua" w:hAnsi="Book Antiqua"/>
        </w:rPr>
        <w:t xml:space="preserve">, Connelly S, Struble K. Reinventing HCV Treatment: Past and Future Perspectives. </w:t>
      </w:r>
      <w:r w:rsidRPr="003B1108">
        <w:rPr>
          <w:rFonts w:ascii="Book Antiqua" w:hAnsi="Book Antiqua"/>
          <w:i/>
          <w:iCs/>
        </w:rPr>
        <w:t xml:space="preserve">J </w:t>
      </w:r>
      <w:proofErr w:type="spellStart"/>
      <w:r w:rsidRPr="003B1108">
        <w:rPr>
          <w:rFonts w:ascii="Book Antiqua" w:hAnsi="Book Antiqua"/>
          <w:i/>
          <w:iCs/>
        </w:rPr>
        <w:t>Clin</w:t>
      </w:r>
      <w:proofErr w:type="spellEnd"/>
      <w:r w:rsidRPr="003B1108">
        <w:rPr>
          <w:rFonts w:ascii="Book Antiqua" w:hAnsi="Book Antiqua"/>
          <w:i/>
          <w:iCs/>
        </w:rPr>
        <w:t xml:space="preserve"> </w:t>
      </w:r>
      <w:proofErr w:type="spellStart"/>
      <w:r w:rsidRPr="003B1108">
        <w:rPr>
          <w:rFonts w:ascii="Book Antiqua" w:hAnsi="Book Antiqua"/>
          <w:i/>
          <w:iCs/>
        </w:rPr>
        <w:t>Pharmacol</w:t>
      </w:r>
      <w:proofErr w:type="spellEnd"/>
      <w:r w:rsidRPr="003B1108">
        <w:rPr>
          <w:rFonts w:ascii="Book Antiqua" w:hAnsi="Book Antiqua"/>
        </w:rPr>
        <w:t xml:space="preserve"> 2017; </w:t>
      </w:r>
      <w:r w:rsidRPr="003B1108">
        <w:rPr>
          <w:rFonts w:ascii="Book Antiqua" w:hAnsi="Book Antiqua"/>
          <w:b/>
          <w:bCs/>
        </w:rPr>
        <w:t>57</w:t>
      </w:r>
      <w:r w:rsidRPr="003B1108">
        <w:rPr>
          <w:rFonts w:ascii="Book Antiqua" w:hAnsi="Book Antiqua"/>
        </w:rPr>
        <w:t>: 287-296 [PMID: 27654843 DOI: 10.1002/jcph.830]</w:t>
      </w:r>
    </w:p>
    <w:p w14:paraId="588AF5A8"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16 </w:t>
      </w:r>
      <w:r w:rsidRPr="003B1108">
        <w:rPr>
          <w:rFonts w:ascii="Book Antiqua" w:hAnsi="Book Antiqua"/>
          <w:b/>
          <w:bCs/>
        </w:rPr>
        <w:t>González-Grande R</w:t>
      </w:r>
      <w:r w:rsidRPr="003B1108">
        <w:rPr>
          <w:rFonts w:ascii="Book Antiqua" w:hAnsi="Book Antiqua"/>
        </w:rPr>
        <w:t xml:space="preserve">, Jiménez-Pérez M, González </w:t>
      </w:r>
      <w:proofErr w:type="spellStart"/>
      <w:r w:rsidRPr="003B1108">
        <w:rPr>
          <w:rFonts w:ascii="Book Antiqua" w:hAnsi="Book Antiqua"/>
        </w:rPr>
        <w:t>Arjona</w:t>
      </w:r>
      <w:proofErr w:type="spellEnd"/>
      <w:r w:rsidRPr="003B1108">
        <w:rPr>
          <w:rFonts w:ascii="Book Antiqua" w:hAnsi="Book Antiqua"/>
        </w:rPr>
        <w:t xml:space="preserve"> C, </w:t>
      </w:r>
      <w:proofErr w:type="spellStart"/>
      <w:r w:rsidRPr="003B1108">
        <w:rPr>
          <w:rFonts w:ascii="Book Antiqua" w:hAnsi="Book Antiqua"/>
        </w:rPr>
        <w:t>Mostazo</w:t>
      </w:r>
      <w:proofErr w:type="spellEnd"/>
      <w:r w:rsidRPr="003B1108">
        <w:rPr>
          <w:rFonts w:ascii="Book Antiqua" w:hAnsi="Book Antiqua"/>
        </w:rPr>
        <w:t xml:space="preserve"> Torres J. New approaches in the treatment of hepatitis C. </w:t>
      </w:r>
      <w:r w:rsidRPr="003B1108">
        <w:rPr>
          <w:rFonts w:ascii="Book Antiqua" w:hAnsi="Book Antiqua"/>
          <w:i/>
          <w:iCs/>
        </w:rPr>
        <w:t>World J Gastroenterol</w:t>
      </w:r>
      <w:r w:rsidRPr="003B1108">
        <w:rPr>
          <w:rFonts w:ascii="Book Antiqua" w:hAnsi="Book Antiqua"/>
        </w:rPr>
        <w:t xml:space="preserve"> 2016; </w:t>
      </w:r>
      <w:r w:rsidRPr="003B1108">
        <w:rPr>
          <w:rFonts w:ascii="Book Antiqua" w:hAnsi="Book Antiqua"/>
          <w:b/>
          <w:bCs/>
        </w:rPr>
        <w:t>22</w:t>
      </w:r>
      <w:r w:rsidRPr="003B1108">
        <w:rPr>
          <w:rFonts w:ascii="Book Antiqua" w:hAnsi="Book Antiqua"/>
        </w:rPr>
        <w:t>: 1421-1432 [PMID: 26819511 DOI: 10.3748/wjg.v22.i4.1421]</w:t>
      </w:r>
    </w:p>
    <w:p w14:paraId="65FF11C2"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17 </w:t>
      </w:r>
      <w:proofErr w:type="spellStart"/>
      <w:r w:rsidRPr="003B1108">
        <w:rPr>
          <w:rFonts w:ascii="Book Antiqua" w:hAnsi="Book Antiqua"/>
          <w:b/>
          <w:bCs/>
        </w:rPr>
        <w:t>Duan</w:t>
      </w:r>
      <w:proofErr w:type="spellEnd"/>
      <w:r w:rsidRPr="003B1108">
        <w:rPr>
          <w:rFonts w:ascii="Book Antiqua" w:hAnsi="Book Antiqua"/>
          <w:b/>
          <w:bCs/>
        </w:rPr>
        <w:t xml:space="preserve"> Z</w:t>
      </w:r>
      <w:r w:rsidRPr="003B1108">
        <w:rPr>
          <w:rFonts w:ascii="Book Antiqua" w:hAnsi="Book Antiqua"/>
        </w:rPr>
        <w:t xml:space="preserve">, </w:t>
      </w:r>
      <w:proofErr w:type="spellStart"/>
      <w:r w:rsidRPr="003B1108">
        <w:rPr>
          <w:rFonts w:ascii="Book Antiqua" w:hAnsi="Book Antiqua"/>
        </w:rPr>
        <w:t>Jia</w:t>
      </w:r>
      <w:proofErr w:type="spellEnd"/>
      <w:r w:rsidRPr="003B1108">
        <w:rPr>
          <w:rFonts w:ascii="Book Antiqua" w:hAnsi="Book Antiqua"/>
        </w:rPr>
        <w:t xml:space="preserve"> JD, Hou J, Lou L, Tobias H, Xu XY, Wei L, Zhuang H, Pan CQ. Current challenges and the management of chronic hepatitis C in mainland China. </w:t>
      </w:r>
      <w:r w:rsidRPr="003B1108">
        <w:rPr>
          <w:rFonts w:ascii="Book Antiqua" w:hAnsi="Book Antiqua"/>
          <w:i/>
          <w:iCs/>
        </w:rPr>
        <w:t>J Clin Gastroenterol</w:t>
      </w:r>
      <w:r w:rsidRPr="003B1108">
        <w:rPr>
          <w:rFonts w:ascii="Book Antiqua" w:hAnsi="Book Antiqua"/>
        </w:rPr>
        <w:t xml:space="preserve"> 2014; </w:t>
      </w:r>
      <w:r w:rsidRPr="003B1108">
        <w:rPr>
          <w:rFonts w:ascii="Book Antiqua" w:hAnsi="Book Antiqua"/>
          <w:b/>
          <w:bCs/>
        </w:rPr>
        <w:t>48</w:t>
      </w:r>
      <w:r w:rsidRPr="003B1108">
        <w:rPr>
          <w:rFonts w:ascii="Book Antiqua" w:hAnsi="Book Antiqua"/>
        </w:rPr>
        <w:t>: 679-686 [PMID: 24921215 DOI: 10.1097/MCG.0000000000000109]</w:t>
      </w:r>
    </w:p>
    <w:p w14:paraId="0559369E"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18 </w:t>
      </w:r>
      <w:r w:rsidRPr="003B1108">
        <w:rPr>
          <w:rFonts w:ascii="Book Antiqua" w:hAnsi="Book Antiqua"/>
          <w:b/>
          <w:bCs/>
        </w:rPr>
        <w:t>Huang JF</w:t>
      </w:r>
      <w:r w:rsidRPr="003B1108">
        <w:rPr>
          <w:rFonts w:ascii="Book Antiqua" w:hAnsi="Book Antiqua"/>
        </w:rPr>
        <w:t xml:space="preserve">, Huang CF, Yeh ML, Dai CY, Yu ML, Chuang WL. Updates in the management and treatment of HCV genotype 3, what are the remaining challenges? </w:t>
      </w:r>
      <w:r w:rsidRPr="003B1108">
        <w:rPr>
          <w:rFonts w:ascii="Book Antiqua" w:hAnsi="Book Antiqua"/>
          <w:i/>
          <w:iCs/>
        </w:rPr>
        <w:t xml:space="preserve">Expert Rev Anti Infect </w:t>
      </w:r>
      <w:proofErr w:type="spellStart"/>
      <w:r w:rsidRPr="003B1108">
        <w:rPr>
          <w:rFonts w:ascii="Book Antiqua" w:hAnsi="Book Antiqua"/>
          <w:i/>
          <w:iCs/>
        </w:rPr>
        <w:t>Ther</w:t>
      </w:r>
      <w:proofErr w:type="spellEnd"/>
      <w:r w:rsidRPr="003B1108">
        <w:rPr>
          <w:rFonts w:ascii="Book Antiqua" w:hAnsi="Book Antiqua"/>
        </w:rPr>
        <w:t xml:space="preserve"> 2018; </w:t>
      </w:r>
      <w:r w:rsidRPr="003B1108">
        <w:rPr>
          <w:rFonts w:ascii="Book Antiqua" w:hAnsi="Book Antiqua"/>
          <w:b/>
          <w:bCs/>
        </w:rPr>
        <w:t>16</w:t>
      </w:r>
      <w:r w:rsidRPr="003B1108">
        <w:rPr>
          <w:rFonts w:ascii="Book Antiqua" w:hAnsi="Book Antiqua"/>
        </w:rPr>
        <w:t>: 907-912 [PMID: 30396303 DOI: 10.1080/14787210.2018.1544492]</w:t>
      </w:r>
    </w:p>
    <w:p w14:paraId="4A90F788"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19 </w:t>
      </w:r>
      <w:proofErr w:type="spellStart"/>
      <w:r w:rsidRPr="003B1108">
        <w:rPr>
          <w:rFonts w:ascii="Book Antiqua" w:hAnsi="Book Antiqua"/>
          <w:b/>
          <w:bCs/>
        </w:rPr>
        <w:t>Dimitroulis</w:t>
      </w:r>
      <w:proofErr w:type="spellEnd"/>
      <w:r w:rsidRPr="003B1108">
        <w:rPr>
          <w:rFonts w:ascii="Book Antiqua" w:hAnsi="Book Antiqua"/>
          <w:b/>
          <w:bCs/>
        </w:rPr>
        <w:t xml:space="preserve"> D</w:t>
      </w:r>
      <w:r w:rsidRPr="003B1108">
        <w:rPr>
          <w:rFonts w:ascii="Book Antiqua" w:hAnsi="Book Antiqua"/>
        </w:rPr>
        <w:t xml:space="preserve">, </w:t>
      </w:r>
      <w:proofErr w:type="spellStart"/>
      <w:r w:rsidRPr="003B1108">
        <w:rPr>
          <w:rFonts w:ascii="Book Antiqua" w:hAnsi="Book Antiqua"/>
        </w:rPr>
        <w:t>Damaskos</w:t>
      </w:r>
      <w:proofErr w:type="spellEnd"/>
      <w:r w:rsidRPr="003B1108">
        <w:rPr>
          <w:rFonts w:ascii="Book Antiqua" w:hAnsi="Book Antiqua"/>
        </w:rPr>
        <w:t xml:space="preserve"> C, </w:t>
      </w:r>
      <w:proofErr w:type="spellStart"/>
      <w:r w:rsidRPr="003B1108">
        <w:rPr>
          <w:rFonts w:ascii="Book Antiqua" w:hAnsi="Book Antiqua"/>
        </w:rPr>
        <w:t>Valsami</w:t>
      </w:r>
      <w:proofErr w:type="spellEnd"/>
      <w:r w:rsidRPr="003B1108">
        <w:rPr>
          <w:rFonts w:ascii="Book Antiqua" w:hAnsi="Book Antiqua"/>
        </w:rPr>
        <w:t xml:space="preserve"> S, </w:t>
      </w:r>
      <w:proofErr w:type="spellStart"/>
      <w:r w:rsidRPr="003B1108">
        <w:rPr>
          <w:rFonts w:ascii="Book Antiqua" w:hAnsi="Book Antiqua"/>
        </w:rPr>
        <w:t>Davakis</w:t>
      </w:r>
      <w:proofErr w:type="spellEnd"/>
      <w:r w:rsidRPr="003B1108">
        <w:rPr>
          <w:rFonts w:ascii="Book Antiqua" w:hAnsi="Book Antiqua"/>
        </w:rPr>
        <w:t xml:space="preserve"> S, </w:t>
      </w:r>
      <w:proofErr w:type="spellStart"/>
      <w:r w:rsidRPr="003B1108">
        <w:rPr>
          <w:rFonts w:ascii="Book Antiqua" w:hAnsi="Book Antiqua"/>
        </w:rPr>
        <w:t>Garmpis</w:t>
      </w:r>
      <w:proofErr w:type="spellEnd"/>
      <w:r w:rsidRPr="003B1108">
        <w:rPr>
          <w:rFonts w:ascii="Book Antiqua" w:hAnsi="Book Antiqua"/>
        </w:rPr>
        <w:t xml:space="preserve"> N, </w:t>
      </w:r>
      <w:proofErr w:type="spellStart"/>
      <w:r w:rsidRPr="003B1108">
        <w:rPr>
          <w:rFonts w:ascii="Book Antiqua" w:hAnsi="Book Antiqua"/>
        </w:rPr>
        <w:t>Spartalis</w:t>
      </w:r>
      <w:proofErr w:type="spellEnd"/>
      <w:r w:rsidRPr="003B1108">
        <w:rPr>
          <w:rFonts w:ascii="Book Antiqua" w:hAnsi="Book Antiqua"/>
        </w:rPr>
        <w:t xml:space="preserve"> E, </w:t>
      </w:r>
      <w:proofErr w:type="spellStart"/>
      <w:r w:rsidRPr="003B1108">
        <w:rPr>
          <w:rFonts w:ascii="Book Antiqua" w:hAnsi="Book Antiqua"/>
        </w:rPr>
        <w:t>Athanasiou</w:t>
      </w:r>
      <w:proofErr w:type="spellEnd"/>
      <w:r w:rsidRPr="003B1108">
        <w:rPr>
          <w:rFonts w:ascii="Book Antiqua" w:hAnsi="Book Antiqua"/>
        </w:rPr>
        <w:t xml:space="preserve"> A, </w:t>
      </w:r>
      <w:proofErr w:type="spellStart"/>
      <w:r w:rsidRPr="003B1108">
        <w:rPr>
          <w:rFonts w:ascii="Book Antiqua" w:hAnsi="Book Antiqua"/>
        </w:rPr>
        <w:t>Moris</w:t>
      </w:r>
      <w:proofErr w:type="spellEnd"/>
      <w:r w:rsidRPr="003B1108">
        <w:rPr>
          <w:rFonts w:ascii="Book Antiqua" w:hAnsi="Book Antiqua"/>
        </w:rPr>
        <w:t xml:space="preserve"> D, </w:t>
      </w:r>
      <w:proofErr w:type="spellStart"/>
      <w:r w:rsidRPr="003B1108">
        <w:rPr>
          <w:rFonts w:ascii="Book Antiqua" w:hAnsi="Book Antiqua"/>
        </w:rPr>
        <w:t>Sakellariou</w:t>
      </w:r>
      <w:proofErr w:type="spellEnd"/>
      <w:r w:rsidRPr="003B1108">
        <w:rPr>
          <w:rFonts w:ascii="Book Antiqua" w:hAnsi="Book Antiqua"/>
        </w:rPr>
        <w:t xml:space="preserve"> S, </w:t>
      </w:r>
      <w:proofErr w:type="spellStart"/>
      <w:r w:rsidRPr="003B1108">
        <w:rPr>
          <w:rFonts w:ascii="Book Antiqua" w:hAnsi="Book Antiqua"/>
        </w:rPr>
        <w:t>Kykalos</w:t>
      </w:r>
      <w:proofErr w:type="spellEnd"/>
      <w:r w:rsidRPr="003B1108">
        <w:rPr>
          <w:rFonts w:ascii="Book Antiqua" w:hAnsi="Book Antiqua"/>
        </w:rPr>
        <w:t xml:space="preserve"> S, </w:t>
      </w:r>
      <w:proofErr w:type="spellStart"/>
      <w:r w:rsidRPr="003B1108">
        <w:rPr>
          <w:rFonts w:ascii="Book Antiqua" w:hAnsi="Book Antiqua"/>
        </w:rPr>
        <w:t>Tsourouflis</w:t>
      </w:r>
      <w:proofErr w:type="spellEnd"/>
      <w:r w:rsidRPr="003B1108">
        <w:rPr>
          <w:rFonts w:ascii="Book Antiqua" w:hAnsi="Book Antiqua"/>
        </w:rPr>
        <w:t xml:space="preserve"> G, </w:t>
      </w:r>
      <w:proofErr w:type="spellStart"/>
      <w:r w:rsidRPr="003B1108">
        <w:rPr>
          <w:rFonts w:ascii="Book Antiqua" w:hAnsi="Book Antiqua"/>
        </w:rPr>
        <w:t>Garmpi</w:t>
      </w:r>
      <w:proofErr w:type="spellEnd"/>
      <w:r w:rsidRPr="003B1108">
        <w:rPr>
          <w:rFonts w:ascii="Book Antiqua" w:hAnsi="Book Antiqua"/>
        </w:rPr>
        <w:t xml:space="preserve"> A, </w:t>
      </w:r>
      <w:proofErr w:type="spellStart"/>
      <w:r w:rsidRPr="003B1108">
        <w:rPr>
          <w:rFonts w:ascii="Book Antiqua" w:hAnsi="Book Antiqua"/>
        </w:rPr>
        <w:t>Delladetsima</w:t>
      </w:r>
      <w:proofErr w:type="spellEnd"/>
      <w:r w:rsidRPr="003B1108">
        <w:rPr>
          <w:rFonts w:ascii="Book Antiqua" w:hAnsi="Book Antiqua"/>
        </w:rPr>
        <w:t xml:space="preserve"> I, </w:t>
      </w:r>
      <w:proofErr w:type="spellStart"/>
      <w:r w:rsidRPr="003B1108">
        <w:rPr>
          <w:rFonts w:ascii="Book Antiqua" w:hAnsi="Book Antiqua"/>
        </w:rPr>
        <w:t>Kontzoglou</w:t>
      </w:r>
      <w:proofErr w:type="spellEnd"/>
      <w:r w:rsidRPr="003B1108">
        <w:rPr>
          <w:rFonts w:ascii="Book Antiqua" w:hAnsi="Book Antiqua"/>
        </w:rPr>
        <w:t xml:space="preserve"> K, </w:t>
      </w:r>
      <w:proofErr w:type="spellStart"/>
      <w:r w:rsidRPr="003B1108">
        <w:rPr>
          <w:rFonts w:ascii="Book Antiqua" w:hAnsi="Book Antiqua"/>
        </w:rPr>
        <w:t>Kouraklis</w:t>
      </w:r>
      <w:proofErr w:type="spellEnd"/>
      <w:r w:rsidRPr="003B1108">
        <w:rPr>
          <w:rFonts w:ascii="Book Antiqua" w:hAnsi="Book Antiqua"/>
        </w:rPr>
        <w:t xml:space="preserve"> G. From diagnosis to treatment of hepatocellular carcinoma: An epidemic problem for both developed and developing world. </w:t>
      </w:r>
      <w:r w:rsidRPr="003B1108">
        <w:rPr>
          <w:rFonts w:ascii="Book Antiqua" w:hAnsi="Book Antiqua"/>
          <w:i/>
          <w:iCs/>
        </w:rPr>
        <w:t>World J Gastroenterol</w:t>
      </w:r>
      <w:r w:rsidRPr="003B1108">
        <w:rPr>
          <w:rFonts w:ascii="Book Antiqua" w:hAnsi="Book Antiqua"/>
        </w:rPr>
        <w:t xml:space="preserve"> 2017; </w:t>
      </w:r>
      <w:r w:rsidRPr="003B1108">
        <w:rPr>
          <w:rFonts w:ascii="Book Antiqua" w:hAnsi="Book Antiqua"/>
          <w:b/>
          <w:bCs/>
        </w:rPr>
        <w:t>23</w:t>
      </w:r>
      <w:r w:rsidRPr="003B1108">
        <w:rPr>
          <w:rFonts w:ascii="Book Antiqua" w:hAnsi="Book Antiqua"/>
        </w:rPr>
        <w:t>: 5282-5294 [PMID: 28839428 DOI: 10.3748/wjg.v23.i29.5282]</w:t>
      </w:r>
    </w:p>
    <w:p w14:paraId="3674F5B9"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20 </w:t>
      </w:r>
      <w:proofErr w:type="spellStart"/>
      <w:r w:rsidRPr="003B1108">
        <w:rPr>
          <w:rFonts w:ascii="Book Antiqua" w:hAnsi="Book Antiqua"/>
          <w:b/>
          <w:bCs/>
        </w:rPr>
        <w:t>Meringer</w:t>
      </w:r>
      <w:proofErr w:type="spellEnd"/>
      <w:r w:rsidRPr="003B1108">
        <w:rPr>
          <w:rFonts w:ascii="Book Antiqua" w:hAnsi="Book Antiqua"/>
          <w:b/>
          <w:bCs/>
        </w:rPr>
        <w:t xml:space="preserve"> H</w:t>
      </w:r>
      <w:r w:rsidRPr="003B1108">
        <w:rPr>
          <w:rFonts w:ascii="Book Antiqua" w:hAnsi="Book Antiqua"/>
        </w:rPr>
        <w:t xml:space="preserve">, </w:t>
      </w:r>
      <w:proofErr w:type="spellStart"/>
      <w:r w:rsidRPr="003B1108">
        <w:rPr>
          <w:rFonts w:ascii="Book Antiqua" w:hAnsi="Book Antiqua"/>
        </w:rPr>
        <w:t>Shibolet</w:t>
      </w:r>
      <w:proofErr w:type="spellEnd"/>
      <w:r w:rsidRPr="003B1108">
        <w:rPr>
          <w:rFonts w:ascii="Book Antiqua" w:hAnsi="Book Antiqua"/>
        </w:rPr>
        <w:t xml:space="preserve"> O, Deutsch L. Hepatocellular carcinoma in the post-hepatitis C virus era: Should we change the paradigm? </w:t>
      </w:r>
      <w:r w:rsidRPr="003B1108">
        <w:rPr>
          <w:rFonts w:ascii="Book Antiqua" w:hAnsi="Book Antiqua"/>
          <w:i/>
          <w:iCs/>
        </w:rPr>
        <w:t>World J Gastroenterol</w:t>
      </w:r>
      <w:r w:rsidRPr="003B1108">
        <w:rPr>
          <w:rFonts w:ascii="Book Antiqua" w:hAnsi="Book Antiqua"/>
        </w:rPr>
        <w:t xml:space="preserve"> 2019; </w:t>
      </w:r>
      <w:r w:rsidRPr="003B1108">
        <w:rPr>
          <w:rFonts w:ascii="Book Antiqua" w:hAnsi="Book Antiqua"/>
          <w:b/>
          <w:bCs/>
        </w:rPr>
        <w:t>25</w:t>
      </w:r>
      <w:r w:rsidRPr="003B1108">
        <w:rPr>
          <w:rFonts w:ascii="Book Antiqua" w:hAnsi="Book Antiqua"/>
        </w:rPr>
        <w:t>: 3929-3940 [PMID: 31413528 DOI: 10.3748/wjg.v25.i29.3929]</w:t>
      </w:r>
    </w:p>
    <w:p w14:paraId="40038177"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21 </w:t>
      </w:r>
      <w:proofErr w:type="spellStart"/>
      <w:r w:rsidRPr="003B1108">
        <w:rPr>
          <w:rFonts w:ascii="Book Antiqua" w:hAnsi="Book Antiqua"/>
          <w:b/>
          <w:bCs/>
        </w:rPr>
        <w:t>Ferrarese</w:t>
      </w:r>
      <w:proofErr w:type="spellEnd"/>
      <w:r w:rsidRPr="003B1108">
        <w:rPr>
          <w:rFonts w:ascii="Book Antiqua" w:hAnsi="Book Antiqua"/>
          <w:b/>
          <w:bCs/>
        </w:rPr>
        <w:t xml:space="preserve"> A</w:t>
      </w:r>
      <w:r w:rsidRPr="003B1108">
        <w:rPr>
          <w:rFonts w:ascii="Book Antiqua" w:hAnsi="Book Antiqua"/>
        </w:rPr>
        <w:t xml:space="preserve">, </w:t>
      </w:r>
      <w:proofErr w:type="spellStart"/>
      <w:r w:rsidRPr="003B1108">
        <w:rPr>
          <w:rFonts w:ascii="Book Antiqua" w:hAnsi="Book Antiqua"/>
        </w:rPr>
        <w:t>Germani</w:t>
      </w:r>
      <w:proofErr w:type="spellEnd"/>
      <w:r w:rsidRPr="003B1108">
        <w:rPr>
          <w:rFonts w:ascii="Book Antiqua" w:hAnsi="Book Antiqua"/>
        </w:rPr>
        <w:t xml:space="preserve"> G, </w:t>
      </w:r>
      <w:proofErr w:type="spellStart"/>
      <w:r w:rsidRPr="003B1108">
        <w:rPr>
          <w:rFonts w:ascii="Book Antiqua" w:hAnsi="Book Antiqua"/>
        </w:rPr>
        <w:t>Gambato</w:t>
      </w:r>
      <w:proofErr w:type="spellEnd"/>
      <w:r w:rsidRPr="003B1108">
        <w:rPr>
          <w:rFonts w:ascii="Book Antiqua" w:hAnsi="Book Antiqua"/>
        </w:rPr>
        <w:t xml:space="preserve"> M, Russo FP, </w:t>
      </w:r>
      <w:proofErr w:type="spellStart"/>
      <w:r w:rsidRPr="003B1108">
        <w:rPr>
          <w:rFonts w:ascii="Book Antiqua" w:hAnsi="Book Antiqua"/>
        </w:rPr>
        <w:t>Senzolo</w:t>
      </w:r>
      <w:proofErr w:type="spellEnd"/>
      <w:r w:rsidRPr="003B1108">
        <w:rPr>
          <w:rFonts w:ascii="Book Antiqua" w:hAnsi="Book Antiqua"/>
        </w:rPr>
        <w:t xml:space="preserve"> M, </w:t>
      </w:r>
      <w:proofErr w:type="spellStart"/>
      <w:r w:rsidRPr="003B1108">
        <w:rPr>
          <w:rFonts w:ascii="Book Antiqua" w:hAnsi="Book Antiqua"/>
        </w:rPr>
        <w:t>Zanetto</w:t>
      </w:r>
      <w:proofErr w:type="spellEnd"/>
      <w:r w:rsidRPr="003B1108">
        <w:rPr>
          <w:rFonts w:ascii="Book Antiqua" w:hAnsi="Book Antiqua"/>
        </w:rPr>
        <w:t xml:space="preserve"> A, </w:t>
      </w:r>
      <w:proofErr w:type="spellStart"/>
      <w:r w:rsidRPr="003B1108">
        <w:rPr>
          <w:rFonts w:ascii="Book Antiqua" w:hAnsi="Book Antiqua"/>
        </w:rPr>
        <w:t>Shalaby</w:t>
      </w:r>
      <w:proofErr w:type="spellEnd"/>
      <w:r w:rsidRPr="003B1108">
        <w:rPr>
          <w:rFonts w:ascii="Book Antiqua" w:hAnsi="Book Antiqua"/>
        </w:rPr>
        <w:t xml:space="preserve"> S, </w:t>
      </w:r>
      <w:proofErr w:type="spellStart"/>
      <w:r w:rsidRPr="003B1108">
        <w:rPr>
          <w:rFonts w:ascii="Book Antiqua" w:hAnsi="Book Antiqua"/>
        </w:rPr>
        <w:t>Cillo</w:t>
      </w:r>
      <w:proofErr w:type="spellEnd"/>
      <w:r w:rsidRPr="003B1108">
        <w:rPr>
          <w:rFonts w:ascii="Book Antiqua" w:hAnsi="Book Antiqua"/>
        </w:rPr>
        <w:t xml:space="preserve"> U, </w:t>
      </w:r>
      <w:proofErr w:type="spellStart"/>
      <w:r w:rsidRPr="003B1108">
        <w:rPr>
          <w:rFonts w:ascii="Book Antiqua" w:hAnsi="Book Antiqua"/>
        </w:rPr>
        <w:t>Zanus</w:t>
      </w:r>
      <w:proofErr w:type="spellEnd"/>
      <w:r w:rsidRPr="003B1108">
        <w:rPr>
          <w:rFonts w:ascii="Book Antiqua" w:hAnsi="Book Antiqua"/>
        </w:rPr>
        <w:t xml:space="preserve"> G, </w:t>
      </w:r>
      <w:proofErr w:type="spellStart"/>
      <w:r w:rsidRPr="003B1108">
        <w:rPr>
          <w:rFonts w:ascii="Book Antiqua" w:hAnsi="Book Antiqua"/>
        </w:rPr>
        <w:t>Angeli</w:t>
      </w:r>
      <w:proofErr w:type="spellEnd"/>
      <w:r w:rsidRPr="003B1108">
        <w:rPr>
          <w:rFonts w:ascii="Book Antiqua" w:hAnsi="Book Antiqua"/>
        </w:rPr>
        <w:t xml:space="preserve"> P, Burra P. Hepatitis C virus related cirrhosis decreased as indication to liver transplantation since the introduction of direct-acting antivirals: A single-center study. </w:t>
      </w:r>
      <w:r w:rsidRPr="003B1108">
        <w:rPr>
          <w:rFonts w:ascii="Book Antiqua" w:hAnsi="Book Antiqua"/>
          <w:i/>
          <w:iCs/>
        </w:rPr>
        <w:t>World J Gastroenterol</w:t>
      </w:r>
      <w:r w:rsidRPr="003B1108">
        <w:rPr>
          <w:rFonts w:ascii="Book Antiqua" w:hAnsi="Book Antiqua"/>
        </w:rPr>
        <w:t xml:space="preserve"> 2018; </w:t>
      </w:r>
      <w:r w:rsidRPr="003B1108">
        <w:rPr>
          <w:rFonts w:ascii="Book Antiqua" w:hAnsi="Book Antiqua"/>
          <w:b/>
          <w:bCs/>
        </w:rPr>
        <w:t>24</w:t>
      </w:r>
      <w:r w:rsidRPr="003B1108">
        <w:rPr>
          <w:rFonts w:ascii="Book Antiqua" w:hAnsi="Book Antiqua"/>
        </w:rPr>
        <w:t>: 4403-4411 [PMID: 30344424 DOI: 10.3748/wjg.v24.i38.4403]</w:t>
      </w:r>
    </w:p>
    <w:p w14:paraId="618A821A" w14:textId="61D58DA9"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lastRenderedPageBreak/>
        <w:t xml:space="preserve">22 </w:t>
      </w:r>
      <w:proofErr w:type="spellStart"/>
      <w:r w:rsidRPr="003B1108">
        <w:rPr>
          <w:rFonts w:ascii="Book Antiqua" w:hAnsi="Book Antiqua"/>
          <w:b/>
          <w:bCs/>
        </w:rPr>
        <w:t>Ioannou</w:t>
      </w:r>
      <w:proofErr w:type="spellEnd"/>
      <w:r w:rsidRPr="003B1108">
        <w:rPr>
          <w:rFonts w:ascii="Book Antiqua" w:hAnsi="Book Antiqua"/>
          <w:b/>
          <w:bCs/>
        </w:rPr>
        <w:t xml:space="preserve"> GN</w:t>
      </w:r>
      <w:r w:rsidRPr="003B1108">
        <w:rPr>
          <w:rFonts w:ascii="Book Antiqua" w:hAnsi="Book Antiqua"/>
        </w:rPr>
        <w:t xml:space="preserve">, Green PK, Berry K. HCV eradication induced by direct-acting antiviral agents reduces the risk of hepatocellular carcinoma. </w:t>
      </w:r>
      <w:r w:rsidRPr="003B1108">
        <w:rPr>
          <w:rFonts w:ascii="Book Antiqua" w:hAnsi="Book Antiqua"/>
          <w:i/>
          <w:iCs/>
        </w:rPr>
        <w:t xml:space="preserve">J </w:t>
      </w:r>
      <w:proofErr w:type="spellStart"/>
      <w:r w:rsidRPr="003B1108">
        <w:rPr>
          <w:rFonts w:ascii="Book Antiqua" w:hAnsi="Book Antiqua"/>
          <w:i/>
          <w:iCs/>
        </w:rPr>
        <w:t>Hepatol</w:t>
      </w:r>
      <w:proofErr w:type="spellEnd"/>
      <w:r w:rsidRPr="003B1108">
        <w:rPr>
          <w:rFonts w:ascii="Book Antiqua" w:hAnsi="Book Antiqua"/>
        </w:rPr>
        <w:t xml:space="preserve"> 2017; [PMID: 28887168 DOI: 10.1016/j.jhep.2017.08.030]</w:t>
      </w:r>
    </w:p>
    <w:p w14:paraId="19AE116A" w14:textId="070938BF"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23 </w:t>
      </w:r>
      <w:r w:rsidRPr="003B1108">
        <w:rPr>
          <w:rFonts w:ascii="Book Antiqua" w:hAnsi="Book Antiqua"/>
          <w:b/>
          <w:bCs/>
        </w:rPr>
        <w:t xml:space="preserve">ANRS collaborative study group on hepatocellular carcinoma (ANRS CO22 HEPATHER, CO12 </w:t>
      </w:r>
      <w:proofErr w:type="spellStart"/>
      <w:r w:rsidRPr="003B1108">
        <w:rPr>
          <w:rFonts w:ascii="Book Antiqua" w:hAnsi="Book Antiqua"/>
          <w:b/>
          <w:bCs/>
        </w:rPr>
        <w:t>CirVir</w:t>
      </w:r>
      <w:proofErr w:type="spellEnd"/>
      <w:r w:rsidRPr="003B1108">
        <w:rPr>
          <w:rFonts w:ascii="Book Antiqua" w:hAnsi="Book Antiqua"/>
          <w:b/>
          <w:bCs/>
        </w:rPr>
        <w:t xml:space="preserve"> and CO23 CUPILT cohorts).</w:t>
      </w:r>
      <w:r w:rsidR="006F20BC">
        <w:rPr>
          <w:rFonts w:ascii="Book Antiqua" w:hAnsi="Book Antiqua"/>
          <w:b/>
          <w:bCs/>
        </w:rPr>
        <w:t xml:space="preserve"> </w:t>
      </w:r>
      <w:r w:rsidRPr="003B1108">
        <w:rPr>
          <w:rFonts w:ascii="Book Antiqua" w:hAnsi="Book Antiqua"/>
        </w:rPr>
        <w:t xml:space="preserve">Lack of evidence of an effect of direct-acting antivirals on the recurrence of hepatocellular carcinoma: Data from three ANRS cohorts. </w:t>
      </w:r>
      <w:r w:rsidRPr="003B1108">
        <w:rPr>
          <w:rFonts w:ascii="Book Antiqua" w:hAnsi="Book Antiqua"/>
          <w:i/>
          <w:iCs/>
        </w:rPr>
        <w:t xml:space="preserve">J </w:t>
      </w:r>
      <w:proofErr w:type="spellStart"/>
      <w:r w:rsidRPr="003B1108">
        <w:rPr>
          <w:rFonts w:ascii="Book Antiqua" w:hAnsi="Book Antiqua"/>
          <w:i/>
          <w:iCs/>
        </w:rPr>
        <w:t>Hepatol</w:t>
      </w:r>
      <w:proofErr w:type="spellEnd"/>
      <w:r w:rsidRPr="003B1108">
        <w:rPr>
          <w:rFonts w:ascii="Book Antiqua" w:hAnsi="Book Antiqua"/>
        </w:rPr>
        <w:t xml:space="preserve"> 2016; </w:t>
      </w:r>
      <w:r w:rsidRPr="003B1108">
        <w:rPr>
          <w:rFonts w:ascii="Book Antiqua" w:hAnsi="Book Antiqua"/>
          <w:b/>
          <w:bCs/>
        </w:rPr>
        <w:t>65</w:t>
      </w:r>
      <w:r w:rsidRPr="003B1108">
        <w:rPr>
          <w:rFonts w:ascii="Book Antiqua" w:hAnsi="Book Antiqua"/>
        </w:rPr>
        <w:t>: 734-740 [PMID: 27288051 DOI: 10.1016/j.jhep.2016.05.045]</w:t>
      </w:r>
    </w:p>
    <w:p w14:paraId="45DECD8C" w14:textId="77777777"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24 </w:t>
      </w:r>
      <w:r w:rsidRPr="003B1108">
        <w:rPr>
          <w:rFonts w:ascii="Book Antiqua" w:hAnsi="Book Antiqua"/>
          <w:b/>
          <w:bCs/>
        </w:rPr>
        <w:t>Conti F</w:t>
      </w:r>
      <w:r w:rsidRPr="003B1108">
        <w:rPr>
          <w:rFonts w:ascii="Book Antiqua" w:hAnsi="Book Antiqua"/>
        </w:rPr>
        <w:t xml:space="preserve">, </w:t>
      </w:r>
      <w:proofErr w:type="spellStart"/>
      <w:r w:rsidRPr="003B1108">
        <w:rPr>
          <w:rFonts w:ascii="Book Antiqua" w:hAnsi="Book Antiqua"/>
        </w:rPr>
        <w:t>Buonfiglioli</w:t>
      </w:r>
      <w:proofErr w:type="spellEnd"/>
      <w:r w:rsidRPr="003B1108">
        <w:rPr>
          <w:rFonts w:ascii="Book Antiqua" w:hAnsi="Book Antiqua"/>
        </w:rPr>
        <w:t xml:space="preserve"> F, </w:t>
      </w:r>
      <w:proofErr w:type="spellStart"/>
      <w:r w:rsidRPr="003B1108">
        <w:rPr>
          <w:rFonts w:ascii="Book Antiqua" w:hAnsi="Book Antiqua"/>
        </w:rPr>
        <w:t>Scuteri</w:t>
      </w:r>
      <w:proofErr w:type="spellEnd"/>
      <w:r w:rsidRPr="003B1108">
        <w:rPr>
          <w:rFonts w:ascii="Book Antiqua" w:hAnsi="Book Antiqua"/>
        </w:rPr>
        <w:t xml:space="preserve"> A, </w:t>
      </w:r>
      <w:proofErr w:type="spellStart"/>
      <w:r w:rsidRPr="003B1108">
        <w:rPr>
          <w:rFonts w:ascii="Book Antiqua" w:hAnsi="Book Antiqua"/>
        </w:rPr>
        <w:t>Crespi</w:t>
      </w:r>
      <w:proofErr w:type="spellEnd"/>
      <w:r w:rsidRPr="003B1108">
        <w:rPr>
          <w:rFonts w:ascii="Book Antiqua" w:hAnsi="Book Antiqua"/>
        </w:rPr>
        <w:t xml:space="preserve"> C, </w:t>
      </w:r>
      <w:proofErr w:type="spellStart"/>
      <w:r w:rsidRPr="003B1108">
        <w:rPr>
          <w:rFonts w:ascii="Book Antiqua" w:hAnsi="Book Antiqua"/>
        </w:rPr>
        <w:t>Bolondi</w:t>
      </w:r>
      <w:proofErr w:type="spellEnd"/>
      <w:r w:rsidRPr="003B1108">
        <w:rPr>
          <w:rFonts w:ascii="Book Antiqua" w:hAnsi="Book Antiqua"/>
        </w:rPr>
        <w:t xml:space="preserve"> L, </w:t>
      </w:r>
      <w:proofErr w:type="spellStart"/>
      <w:r w:rsidRPr="003B1108">
        <w:rPr>
          <w:rFonts w:ascii="Book Antiqua" w:hAnsi="Book Antiqua"/>
        </w:rPr>
        <w:t>Caraceni</w:t>
      </w:r>
      <w:proofErr w:type="spellEnd"/>
      <w:r w:rsidRPr="003B1108">
        <w:rPr>
          <w:rFonts w:ascii="Book Antiqua" w:hAnsi="Book Antiqua"/>
        </w:rPr>
        <w:t xml:space="preserve"> P, </w:t>
      </w:r>
      <w:proofErr w:type="spellStart"/>
      <w:r w:rsidRPr="003B1108">
        <w:rPr>
          <w:rFonts w:ascii="Book Antiqua" w:hAnsi="Book Antiqua"/>
        </w:rPr>
        <w:t>Foschi</w:t>
      </w:r>
      <w:proofErr w:type="spellEnd"/>
      <w:r w:rsidRPr="003B1108">
        <w:rPr>
          <w:rFonts w:ascii="Book Antiqua" w:hAnsi="Book Antiqua"/>
        </w:rPr>
        <w:t xml:space="preserve"> FG, </w:t>
      </w:r>
      <w:proofErr w:type="spellStart"/>
      <w:r w:rsidRPr="003B1108">
        <w:rPr>
          <w:rFonts w:ascii="Book Antiqua" w:hAnsi="Book Antiqua"/>
        </w:rPr>
        <w:t>Lenzi</w:t>
      </w:r>
      <w:proofErr w:type="spellEnd"/>
      <w:r w:rsidRPr="003B1108">
        <w:rPr>
          <w:rFonts w:ascii="Book Antiqua" w:hAnsi="Book Antiqua"/>
        </w:rPr>
        <w:t xml:space="preserve"> M, </w:t>
      </w:r>
      <w:proofErr w:type="spellStart"/>
      <w:r w:rsidRPr="003B1108">
        <w:rPr>
          <w:rFonts w:ascii="Book Antiqua" w:hAnsi="Book Antiqua"/>
        </w:rPr>
        <w:t>Mazzella</w:t>
      </w:r>
      <w:proofErr w:type="spellEnd"/>
      <w:r w:rsidRPr="003B1108">
        <w:rPr>
          <w:rFonts w:ascii="Book Antiqua" w:hAnsi="Book Antiqua"/>
        </w:rPr>
        <w:t xml:space="preserve"> G, </w:t>
      </w:r>
      <w:proofErr w:type="spellStart"/>
      <w:r w:rsidRPr="003B1108">
        <w:rPr>
          <w:rFonts w:ascii="Book Antiqua" w:hAnsi="Book Antiqua"/>
        </w:rPr>
        <w:t>Verucchi</w:t>
      </w:r>
      <w:proofErr w:type="spellEnd"/>
      <w:r w:rsidRPr="003B1108">
        <w:rPr>
          <w:rFonts w:ascii="Book Antiqua" w:hAnsi="Book Antiqua"/>
        </w:rPr>
        <w:t xml:space="preserve"> G, </w:t>
      </w:r>
      <w:proofErr w:type="spellStart"/>
      <w:r w:rsidRPr="003B1108">
        <w:rPr>
          <w:rFonts w:ascii="Book Antiqua" w:hAnsi="Book Antiqua"/>
        </w:rPr>
        <w:t>Andreone</w:t>
      </w:r>
      <w:proofErr w:type="spellEnd"/>
      <w:r w:rsidRPr="003B1108">
        <w:rPr>
          <w:rFonts w:ascii="Book Antiqua" w:hAnsi="Book Antiqua"/>
        </w:rPr>
        <w:t xml:space="preserve"> P, </w:t>
      </w:r>
      <w:proofErr w:type="spellStart"/>
      <w:r w:rsidRPr="003B1108">
        <w:rPr>
          <w:rFonts w:ascii="Book Antiqua" w:hAnsi="Book Antiqua"/>
        </w:rPr>
        <w:t>Brillanti</w:t>
      </w:r>
      <w:proofErr w:type="spellEnd"/>
      <w:r w:rsidRPr="003B1108">
        <w:rPr>
          <w:rFonts w:ascii="Book Antiqua" w:hAnsi="Book Antiqua"/>
        </w:rPr>
        <w:t xml:space="preserve"> S. Early occurrence and recurrence of hepatocellular carcinoma in HCV-related cirrhosis treated with direct-acting antivirals. </w:t>
      </w:r>
      <w:r w:rsidRPr="003B1108">
        <w:rPr>
          <w:rFonts w:ascii="Book Antiqua" w:hAnsi="Book Antiqua"/>
          <w:i/>
          <w:iCs/>
        </w:rPr>
        <w:t xml:space="preserve">J </w:t>
      </w:r>
      <w:proofErr w:type="spellStart"/>
      <w:r w:rsidRPr="003B1108">
        <w:rPr>
          <w:rFonts w:ascii="Book Antiqua" w:hAnsi="Book Antiqua"/>
          <w:i/>
          <w:iCs/>
        </w:rPr>
        <w:t>Hepatol</w:t>
      </w:r>
      <w:proofErr w:type="spellEnd"/>
      <w:r w:rsidRPr="003B1108">
        <w:rPr>
          <w:rFonts w:ascii="Book Antiqua" w:hAnsi="Book Antiqua"/>
        </w:rPr>
        <w:t xml:space="preserve"> 2016; </w:t>
      </w:r>
      <w:r w:rsidRPr="003B1108">
        <w:rPr>
          <w:rFonts w:ascii="Book Antiqua" w:hAnsi="Book Antiqua"/>
          <w:b/>
          <w:bCs/>
        </w:rPr>
        <w:t>65</w:t>
      </w:r>
      <w:r w:rsidRPr="003B1108">
        <w:rPr>
          <w:rFonts w:ascii="Book Antiqua" w:hAnsi="Book Antiqua"/>
        </w:rPr>
        <w:t>: 727-733 [PMID: 27349488 DOI: 10.1016/j.jhep.2016.06.015]</w:t>
      </w:r>
    </w:p>
    <w:p w14:paraId="0F805CFD" w14:textId="04E6229E" w:rsidR="007C4D53" w:rsidRPr="003B1108" w:rsidRDefault="007C4D53" w:rsidP="003B1108">
      <w:pPr>
        <w:pStyle w:val="a8"/>
        <w:adjustRightInd w:val="0"/>
        <w:snapToGrid w:val="0"/>
        <w:spacing w:before="0" w:beforeAutospacing="0" w:after="0" w:afterAutospacing="0" w:line="360" w:lineRule="auto"/>
        <w:jc w:val="both"/>
        <w:rPr>
          <w:rFonts w:ascii="Book Antiqua" w:hAnsi="Book Antiqua"/>
        </w:rPr>
      </w:pPr>
      <w:r w:rsidRPr="003B1108">
        <w:rPr>
          <w:rFonts w:ascii="Book Antiqua" w:hAnsi="Book Antiqua"/>
        </w:rPr>
        <w:t xml:space="preserve">25 </w:t>
      </w:r>
      <w:r w:rsidRPr="003B1108">
        <w:rPr>
          <w:rFonts w:ascii="Book Antiqua" w:hAnsi="Book Antiqua"/>
          <w:b/>
          <w:bCs/>
        </w:rPr>
        <w:t>Kim NJ</w:t>
      </w:r>
      <w:r w:rsidRPr="003B1108">
        <w:rPr>
          <w:rFonts w:ascii="Book Antiqua" w:hAnsi="Book Antiqua"/>
        </w:rPr>
        <w:t xml:space="preserve">, Locke CJ, Park H, Magee C, </w:t>
      </w:r>
      <w:proofErr w:type="spellStart"/>
      <w:r w:rsidRPr="003B1108">
        <w:rPr>
          <w:rFonts w:ascii="Book Antiqua" w:hAnsi="Book Antiqua"/>
        </w:rPr>
        <w:t>Bacchetti</w:t>
      </w:r>
      <w:proofErr w:type="spellEnd"/>
      <w:r w:rsidRPr="003B1108">
        <w:rPr>
          <w:rFonts w:ascii="Book Antiqua" w:hAnsi="Book Antiqua"/>
        </w:rPr>
        <w:t xml:space="preserve"> P, </w:t>
      </w:r>
      <w:proofErr w:type="spellStart"/>
      <w:r w:rsidRPr="003B1108">
        <w:rPr>
          <w:rFonts w:ascii="Book Antiqua" w:hAnsi="Book Antiqua"/>
        </w:rPr>
        <w:t>Khalili</w:t>
      </w:r>
      <w:proofErr w:type="spellEnd"/>
      <w:r w:rsidRPr="003B1108">
        <w:rPr>
          <w:rFonts w:ascii="Book Antiqua" w:hAnsi="Book Antiqua"/>
        </w:rPr>
        <w:t xml:space="preserve"> M. Race and Hepatitis C Care Continuum in an Underserved Birth Cohort. </w:t>
      </w:r>
      <w:r w:rsidRPr="003B1108">
        <w:rPr>
          <w:rFonts w:ascii="Book Antiqua" w:hAnsi="Book Antiqua"/>
          <w:i/>
          <w:iCs/>
        </w:rPr>
        <w:t>J Gen Intern Med</w:t>
      </w:r>
      <w:r w:rsidRPr="003B1108">
        <w:rPr>
          <w:rFonts w:ascii="Book Antiqua" w:hAnsi="Book Antiqua"/>
        </w:rPr>
        <w:t xml:space="preserve"> 2019; </w:t>
      </w:r>
      <w:r w:rsidRPr="003B1108">
        <w:rPr>
          <w:rFonts w:ascii="Book Antiqua" w:hAnsi="Book Antiqua"/>
          <w:b/>
          <w:bCs/>
        </w:rPr>
        <w:t>34</w:t>
      </w:r>
      <w:r w:rsidRPr="003B1108">
        <w:rPr>
          <w:rFonts w:ascii="Book Antiqua" w:hAnsi="Book Antiqua"/>
        </w:rPr>
        <w:t>: 2005-2013 [PMID: 30238404 DOI: 10.1007/s11606-018-4649-6]</w:t>
      </w:r>
    </w:p>
    <w:p w14:paraId="573D6092" w14:textId="60226281" w:rsidR="007C4D53" w:rsidRPr="007C4D53" w:rsidRDefault="007C4D53" w:rsidP="003B1108">
      <w:pPr>
        <w:widowControl/>
        <w:adjustRightInd w:val="0"/>
        <w:snapToGrid w:val="0"/>
        <w:spacing w:line="360" w:lineRule="auto"/>
        <w:jc w:val="right"/>
        <w:rPr>
          <w:rFonts w:ascii="Book Antiqua" w:eastAsia="宋体" w:hAnsi="Book Antiqua"/>
          <w:b/>
          <w:bCs/>
          <w:kern w:val="0"/>
          <w:sz w:val="24"/>
          <w:szCs w:val="24"/>
        </w:rPr>
      </w:pPr>
      <w:bookmarkStart w:id="51" w:name="OLE_LINK148"/>
      <w:bookmarkStart w:id="52" w:name="OLE_LINK320"/>
      <w:bookmarkStart w:id="53" w:name="OLE_LINK387"/>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82"/>
      <w:bookmarkStart w:id="63" w:name="OLE_LINK313"/>
      <w:bookmarkStart w:id="64" w:name="OLE_LINK304"/>
      <w:bookmarkStart w:id="65" w:name="OLE_LINK321"/>
      <w:bookmarkStart w:id="66" w:name="OLE_LINK385"/>
      <w:bookmarkStart w:id="67" w:name="OLE_LINK400"/>
      <w:bookmarkStart w:id="68" w:name="OLE_LINK346"/>
      <w:bookmarkStart w:id="69" w:name="OLE_LINK371"/>
      <w:bookmarkStart w:id="70" w:name="OLE_LINK334"/>
      <w:bookmarkStart w:id="71" w:name="OLE_LINK1830"/>
      <w:bookmarkStart w:id="72" w:name="OLE_LINK457"/>
      <w:bookmarkStart w:id="73" w:name="OLE_LINK288"/>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bookmarkStart w:id="150" w:name="OLE_LINK386"/>
      <w:bookmarkStart w:id="151" w:name="OLE_LINK33"/>
      <w:bookmarkStart w:id="152" w:name="OLE_LINK34"/>
      <w:bookmarkStart w:id="153" w:name="OLE_LINK599"/>
      <w:bookmarkStart w:id="154" w:name="OLE_LINK87"/>
      <w:r w:rsidRPr="007C4D53">
        <w:rPr>
          <w:rFonts w:ascii="Book Antiqua" w:eastAsia="宋体" w:hAnsi="Book Antiqua"/>
          <w:b/>
          <w:bCs/>
          <w:kern w:val="0"/>
          <w:sz w:val="24"/>
          <w:szCs w:val="24"/>
        </w:rPr>
        <w:t xml:space="preserve">P-Reviewer: </w:t>
      </w:r>
      <w:r w:rsidRPr="003B1108">
        <w:rPr>
          <w:rFonts w:ascii="Book Antiqua" w:eastAsia="宋体" w:hAnsi="Book Antiqua"/>
          <w:bCs/>
          <w:kern w:val="0"/>
          <w:sz w:val="24"/>
          <w:szCs w:val="24"/>
        </w:rPr>
        <w:t xml:space="preserve">Johansen S, Kanda T, </w:t>
      </w:r>
      <w:proofErr w:type="spellStart"/>
      <w:r w:rsidRPr="003B1108">
        <w:rPr>
          <w:rFonts w:ascii="Book Antiqua" w:eastAsia="宋体" w:hAnsi="Book Antiqua"/>
          <w:bCs/>
          <w:kern w:val="0"/>
          <w:sz w:val="24"/>
          <w:szCs w:val="24"/>
        </w:rPr>
        <w:t>Koshy</w:t>
      </w:r>
      <w:proofErr w:type="spellEnd"/>
      <w:r w:rsidRPr="003B1108">
        <w:rPr>
          <w:rFonts w:ascii="Book Antiqua" w:eastAsia="宋体" w:hAnsi="Book Antiqua"/>
          <w:bCs/>
          <w:kern w:val="0"/>
          <w:sz w:val="24"/>
          <w:szCs w:val="24"/>
        </w:rPr>
        <w:t xml:space="preserve"> A, </w:t>
      </w:r>
      <w:proofErr w:type="spellStart"/>
      <w:r w:rsidRPr="003B1108">
        <w:rPr>
          <w:rFonts w:ascii="Book Antiqua" w:eastAsia="宋体" w:hAnsi="Book Antiqua"/>
          <w:bCs/>
          <w:kern w:val="0"/>
          <w:sz w:val="24"/>
          <w:szCs w:val="24"/>
        </w:rPr>
        <w:t>Rukavina</w:t>
      </w:r>
      <w:proofErr w:type="spellEnd"/>
      <w:r w:rsidRPr="003B1108">
        <w:rPr>
          <w:rFonts w:ascii="Book Antiqua" w:eastAsia="宋体" w:hAnsi="Book Antiqua"/>
          <w:bCs/>
          <w:kern w:val="0"/>
          <w:sz w:val="24"/>
          <w:szCs w:val="24"/>
        </w:rPr>
        <w:t xml:space="preserve"> M</w:t>
      </w:r>
    </w:p>
    <w:p w14:paraId="68AEB57A" w14:textId="409A6A03" w:rsidR="007C4D53" w:rsidRPr="007C4D53" w:rsidRDefault="007C4D53" w:rsidP="009D75ED">
      <w:pPr>
        <w:widowControl/>
        <w:wordWrap w:val="0"/>
        <w:adjustRightInd w:val="0"/>
        <w:snapToGrid w:val="0"/>
        <w:spacing w:line="360" w:lineRule="auto"/>
        <w:jc w:val="right"/>
        <w:rPr>
          <w:rFonts w:ascii="Book Antiqua" w:eastAsia="宋体" w:hAnsi="Book Antiqua"/>
          <w:kern w:val="0"/>
          <w:sz w:val="24"/>
          <w:szCs w:val="24"/>
        </w:rPr>
      </w:pPr>
      <w:r w:rsidRPr="007C4D53">
        <w:rPr>
          <w:rFonts w:ascii="Book Antiqua" w:eastAsia="宋体" w:hAnsi="Book Antiqua"/>
          <w:b/>
          <w:bCs/>
          <w:kern w:val="0"/>
          <w:sz w:val="24"/>
          <w:szCs w:val="24"/>
        </w:rPr>
        <w:t>S-Editor:</w:t>
      </w:r>
      <w:r w:rsidRPr="007C4D53">
        <w:rPr>
          <w:rFonts w:ascii="Book Antiqua" w:eastAsia="宋体" w:hAnsi="Book Antiqua"/>
          <w:kern w:val="0"/>
          <w:sz w:val="24"/>
          <w:szCs w:val="24"/>
        </w:rPr>
        <w:t xml:space="preserve"> </w:t>
      </w:r>
      <w:bookmarkStart w:id="155" w:name="_Hlk24127598"/>
      <w:r w:rsidRPr="007C4D53">
        <w:rPr>
          <w:rFonts w:ascii="Book Antiqua" w:eastAsia="宋体" w:hAnsi="Book Antiqua"/>
          <w:kern w:val="0"/>
          <w:sz w:val="24"/>
          <w:szCs w:val="24"/>
        </w:rPr>
        <w:t>Tang JZ</w:t>
      </w:r>
      <w:bookmarkEnd w:id="155"/>
      <w:r w:rsidRPr="007C4D53">
        <w:rPr>
          <w:rFonts w:ascii="Book Antiqua" w:eastAsia="宋体" w:hAnsi="Book Antiqua"/>
          <w:kern w:val="0"/>
          <w:sz w:val="24"/>
          <w:szCs w:val="24"/>
        </w:rPr>
        <w:t xml:space="preserve"> </w:t>
      </w:r>
      <w:r w:rsidRPr="007C4D53">
        <w:rPr>
          <w:rFonts w:ascii="Book Antiqua" w:eastAsia="宋体" w:hAnsi="Book Antiqua"/>
          <w:b/>
          <w:bCs/>
          <w:kern w:val="0"/>
          <w:sz w:val="24"/>
          <w:szCs w:val="24"/>
        </w:rPr>
        <w:t>L-Editor:</w:t>
      </w:r>
      <w:r w:rsidRPr="007C4D53">
        <w:rPr>
          <w:rFonts w:ascii="Book Antiqua" w:eastAsia="宋体" w:hAnsi="Book Antiqua"/>
          <w:kern w:val="0"/>
          <w:sz w:val="24"/>
          <w:szCs w:val="24"/>
        </w:rPr>
        <w:t xml:space="preserve"> </w:t>
      </w:r>
      <w:r w:rsidR="00244708">
        <w:rPr>
          <w:rFonts w:ascii="Book Antiqua" w:eastAsia="宋体" w:hAnsi="Book Antiqua"/>
          <w:kern w:val="0"/>
          <w:sz w:val="24"/>
          <w:szCs w:val="24"/>
        </w:rPr>
        <w:t xml:space="preserve">Wang TQ </w:t>
      </w:r>
      <w:r w:rsidRPr="007C4D53">
        <w:rPr>
          <w:rFonts w:ascii="Book Antiqua" w:eastAsia="宋体" w:hAnsi="Book Antiqua"/>
          <w:b/>
          <w:bCs/>
          <w:kern w:val="0"/>
          <w:sz w:val="24"/>
          <w:szCs w:val="24"/>
        </w:rPr>
        <w:t>E-Editor:</w:t>
      </w:r>
      <w:r w:rsidR="00E40BAD">
        <w:rPr>
          <w:rFonts w:ascii="Book Antiqua" w:eastAsia="宋体" w:hAnsi="Book Antiqua" w:hint="eastAsia"/>
          <w:b/>
          <w:bCs/>
          <w:kern w:val="0"/>
          <w:sz w:val="24"/>
          <w:szCs w:val="24"/>
        </w:rPr>
        <w:t xml:space="preserve"> </w:t>
      </w:r>
      <w:bookmarkStart w:id="156" w:name="_GoBack"/>
      <w:r w:rsidR="00E40BAD" w:rsidRPr="00E40BAD">
        <w:rPr>
          <w:rFonts w:ascii="Book Antiqua" w:eastAsia="宋体" w:hAnsi="Book Antiqua"/>
          <w:bCs/>
          <w:kern w:val="0"/>
          <w:sz w:val="24"/>
          <w:szCs w:val="24"/>
        </w:rPr>
        <w:t>Zhang YL</w:t>
      </w:r>
      <w:bookmarkEnd w:id="156"/>
    </w:p>
    <w:p w14:paraId="1174ED81" w14:textId="77777777" w:rsidR="007C4D53" w:rsidRPr="007C4D53" w:rsidRDefault="007C4D53" w:rsidP="003B1108">
      <w:pPr>
        <w:widowControl/>
        <w:shd w:val="clear" w:color="auto" w:fill="FFFFFF"/>
        <w:adjustRightInd w:val="0"/>
        <w:snapToGrid w:val="0"/>
        <w:spacing w:line="360" w:lineRule="auto"/>
        <w:rPr>
          <w:rFonts w:ascii="Book Antiqua" w:eastAsia="宋体" w:hAnsi="Book Antiqua" w:cs="Helvetica"/>
          <w:b/>
          <w:kern w:val="0"/>
          <w:sz w:val="24"/>
          <w:szCs w:val="24"/>
        </w:rPr>
      </w:pPr>
      <w:bookmarkStart w:id="157" w:name="OLE_LINK880"/>
      <w:bookmarkStart w:id="158" w:name="OLE_LINK88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7C4D53">
        <w:rPr>
          <w:rFonts w:ascii="Book Antiqua" w:eastAsia="宋体" w:hAnsi="Book Antiqua" w:cs="Helvetica"/>
          <w:b/>
          <w:kern w:val="0"/>
          <w:sz w:val="24"/>
          <w:szCs w:val="24"/>
        </w:rPr>
        <w:t xml:space="preserve">Specialty type: </w:t>
      </w:r>
      <w:r w:rsidRPr="007C4D53">
        <w:rPr>
          <w:rFonts w:ascii="Book Antiqua" w:eastAsia="宋体" w:hAnsi="Book Antiqua" w:cs="Helvetica"/>
          <w:kern w:val="0"/>
          <w:sz w:val="24"/>
          <w:szCs w:val="24"/>
        </w:rPr>
        <w:t>Gastroenterology and hepatology</w:t>
      </w:r>
    </w:p>
    <w:p w14:paraId="4DC81BB8" w14:textId="77777777" w:rsidR="007C4D53" w:rsidRPr="007C4D53" w:rsidRDefault="007C4D53" w:rsidP="003B1108">
      <w:pPr>
        <w:widowControl/>
        <w:shd w:val="clear" w:color="auto" w:fill="FFFFFF"/>
        <w:adjustRightInd w:val="0"/>
        <w:snapToGrid w:val="0"/>
        <w:spacing w:line="360" w:lineRule="auto"/>
        <w:rPr>
          <w:rFonts w:ascii="Book Antiqua" w:eastAsia="宋体" w:hAnsi="Book Antiqua" w:cs="Helvetica"/>
          <w:b/>
          <w:kern w:val="0"/>
          <w:sz w:val="24"/>
          <w:szCs w:val="24"/>
        </w:rPr>
      </w:pPr>
      <w:r w:rsidRPr="007C4D53">
        <w:rPr>
          <w:rFonts w:ascii="Book Antiqua" w:eastAsia="宋体" w:hAnsi="Book Antiqua" w:cs="Helvetica"/>
          <w:b/>
          <w:kern w:val="0"/>
          <w:sz w:val="24"/>
          <w:szCs w:val="24"/>
        </w:rPr>
        <w:t xml:space="preserve">Country of origin: </w:t>
      </w:r>
      <w:r w:rsidRPr="007C4D53">
        <w:rPr>
          <w:rFonts w:ascii="Book Antiqua" w:eastAsia="宋体" w:hAnsi="Book Antiqua" w:cs="Helvetica"/>
          <w:kern w:val="0"/>
          <w:sz w:val="24"/>
          <w:szCs w:val="24"/>
        </w:rPr>
        <w:t>China</w:t>
      </w:r>
    </w:p>
    <w:p w14:paraId="10DC41FB" w14:textId="77777777" w:rsidR="007C4D53" w:rsidRPr="007C4D53" w:rsidRDefault="007C4D53" w:rsidP="003B1108">
      <w:pPr>
        <w:widowControl/>
        <w:shd w:val="clear" w:color="auto" w:fill="FFFFFF"/>
        <w:adjustRightInd w:val="0"/>
        <w:snapToGrid w:val="0"/>
        <w:spacing w:line="360" w:lineRule="auto"/>
        <w:rPr>
          <w:rFonts w:ascii="Book Antiqua" w:eastAsia="宋体" w:hAnsi="Book Antiqua" w:cs="Helvetica"/>
          <w:b/>
          <w:kern w:val="0"/>
          <w:sz w:val="24"/>
          <w:szCs w:val="24"/>
        </w:rPr>
      </w:pPr>
      <w:r w:rsidRPr="007C4D53">
        <w:rPr>
          <w:rFonts w:ascii="Book Antiqua" w:eastAsia="宋体" w:hAnsi="Book Antiqua" w:cs="Helvetica"/>
          <w:b/>
          <w:kern w:val="0"/>
          <w:sz w:val="24"/>
          <w:szCs w:val="24"/>
        </w:rPr>
        <w:t>Peer-review report classification</w:t>
      </w:r>
    </w:p>
    <w:p w14:paraId="6CDBEF61" w14:textId="77777777" w:rsidR="007C4D53" w:rsidRPr="007C4D53" w:rsidRDefault="007C4D53" w:rsidP="003B1108">
      <w:pPr>
        <w:widowControl/>
        <w:shd w:val="clear" w:color="auto" w:fill="FFFFFF"/>
        <w:adjustRightInd w:val="0"/>
        <w:snapToGrid w:val="0"/>
        <w:spacing w:line="360" w:lineRule="auto"/>
        <w:rPr>
          <w:rFonts w:ascii="Book Antiqua" w:eastAsia="宋体" w:hAnsi="Book Antiqua" w:cs="Helvetica"/>
          <w:kern w:val="0"/>
          <w:sz w:val="24"/>
          <w:szCs w:val="24"/>
        </w:rPr>
      </w:pPr>
      <w:r w:rsidRPr="007C4D53">
        <w:rPr>
          <w:rFonts w:ascii="Book Antiqua" w:eastAsia="宋体" w:hAnsi="Book Antiqua" w:cs="Helvetica"/>
          <w:kern w:val="0"/>
          <w:sz w:val="24"/>
          <w:szCs w:val="24"/>
        </w:rPr>
        <w:t>Grade A (Excellent): 0</w:t>
      </w:r>
    </w:p>
    <w:p w14:paraId="4C7B5B17" w14:textId="70F289A1" w:rsidR="007C4D53" w:rsidRPr="007C4D53" w:rsidRDefault="007C4D53" w:rsidP="003B1108">
      <w:pPr>
        <w:widowControl/>
        <w:shd w:val="clear" w:color="auto" w:fill="FFFFFF"/>
        <w:adjustRightInd w:val="0"/>
        <w:snapToGrid w:val="0"/>
        <w:spacing w:line="360" w:lineRule="auto"/>
        <w:rPr>
          <w:rFonts w:ascii="Book Antiqua" w:eastAsia="宋体" w:hAnsi="Book Antiqua" w:cs="Helvetica"/>
          <w:kern w:val="0"/>
          <w:sz w:val="24"/>
          <w:szCs w:val="24"/>
        </w:rPr>
      </w:pPr>
      <w:r w:rsidRPr="007C4D53">
        <w:rPr>
          <w:rFonts w:ascii="Book Antiqua" w:eastAsia="宋体" w:hAnsi="Book Antiqua" w:cs="Helvetica"/>
          <w:kern w:val="0"/>
          <w:sz w:val="24"/>
          <w:szCs w:val="24"/>
        </w:rPr>
        <w:t>Grade B (Very good): B</w:t>
      </w:r>
      <w:r w:rsidRPr="003B1108">
        <w:rPr>
          <w:rFonts w:ascii="Book Antiqua" w:eastAsia="宋体" w:hAnsi="Book Antiqua" w:cs="Helvetica"/>
          <w:kern w:val="0"/>
          <w:sz w:val="24"/>
          <w:szCs w:val="24"/>
        </w:rPr>
        <w:t>, B</w:t>
      </w:r>
    </w:p>
    <w:p w14:paraId="33626F20" w14:textId="2396E864" w:rsidR="007C4D53" w:rsidRPr="007C4D53" w:rsidRDefault="007C4D53" w:rsidP="003B1108">
      <w:pPr>
        <w:widowControl/>
        <w:shd w:val="clear" w:color="auto" w:fill="FFFFFF"/>
        <w:adjustRightInd w:val="0"/>
        <w:snapToGrid w:val="0"/>
        <w:spacing w:line="360" w:lineRule="auto"/>
        <w:rPr>
          <w:rFonts w:ascii="Book Antiqua" w:eastAsia="宋体" w:hAnsi="Book Antiqua" w:cs="Helvetica"/>
          <w:kern w:val="0"/>
          <w:sz w:val="24"/>
          <w:szCs w:val="24"/>
        </w:rPr>
      </w:pPr>
      <w:r w:rsidRPr="007C4D53">
        <w:rPr>
          <w:rFonts w:ascii="Book Antiqua" w:eastAsia="宋体" w:hAnsi="Book Antiqua" w:cs="Helvetica"/>
          <w:kern w:val="0"/>
          <w:sz w:val="24"/>
          <w:szCs w:val="24"/>
        </w:rPr>
        <w:t>Grade C (Good): C</w:t>
      </w:r>
    </w:p>
    <w:p w14:paraId="624DFC6F" w14:textId="77777777" w:rsidR="007C4D53" w:rsidRPr="007C4D53" w:rsidRDefault="007C4D53" w:rsidP="003B1108">
      <w:pPr>
        <w:widowControl/>
        <w:shd w:val="clear" w:color="auto" w:fill="FFFFFF"/>
        <w:adjustRightInd w:val="0"/>
        <w:snapToGrid w:val="0"/>
        <w:spacing w:line="360" w:lineRule="auto"/>
        <w:rPr>
          <w:rFonts w:ascii="Book Antiqua" w:eastAsia="宋体" w:hAnsi="Book Antiqua" w:cs="Helvetica"/>
          <w:kern w:val="0"/>
          <w:sz w:val="24"/>
          <w:szCs w:val="24"/>
        </w:rPr>
      </w:pPr>
      <w:r w:rsidRPr="007C4D53">
        <w:rPr>
          <w:rFonts w:ascii="Book Antiqua" w:eastAsia="宋体" w:hAnsi="Book Antiqua" w:cs="Helvetica"/>
          <w:kern w:val="0"/>
          <w:sz w:val="24"/>
          <w:szCs w:val="24"/>
        </w:rPr>
        <w:t>Grade D (Fair): 0</w:t>
      </w:r>
    </w:p>
    <w:p w14:paraId="64DA180C" w14:textId="04DB55C9" w:rsidR="007C4D53" w:rsidRPr="007C4D53" w:rsidRDefault="007C4D53" w:rsidP="003B1108">
      <w:pPr>
        <w:widowControl/>
        <w:adjustRightInd w:val="0"/>
        <w:snapToGrid w:val="0"/>
        <w:spacing w:line="360" w:lineRule="auto"/>
        <w:rPr>
          <w:rFonts w:ascii="Book Antiqua" w:eastAsia="宋体" w:hAnsi="Book Antiqua"/>
          <w:b/>
          <w:iCs/>
          <w:kern w:val="0"/>
          <w:sz w:val="24"/>
          <w:szCs w:val="24"/>
        </w:rPr>
      </w:pPr>
      <w:r w:rsidRPr="007C4D53">
        <w:rPr>
          <w:rFonts w:ascii="Book Antiqua" w:eastAsia="宋体" w:hAnsi="Book Antiqua" w:cs="Helvetica"/>
          <w:kern w:val="0"/>
          <w:sz w:val="24"/>
          <w:szCs w:val="24"/>
        </w:rPr>
        <w:t xml:space="preserve">Grade E (Poor): </w:t>
      </w:r>
      <w:bookmarkEnd w:id="150"/>
      <w:bookmarkEnd w:id="157"/>
      <w:bookmarkEnd w:id="158"/>
      <w:r w:rsidRPr="003B1108">
        <w:rPr>
          <w:rFonts w:ascii="Book Antiqua" w:eastAsia="宋体" w:hAnsi="Book Antiqua" w:cs="Helvetica"/>
          <w:kern w:val="0"/>
          <w:sz w:val="24"/>
          <w:szCs w:val="24"/>
        </w:rPr>
        <w:t>E</w:t>
      </w:r>
    </w:p>
    <w:bookmarkEnd w:id="151"/>
    <w:bookmarkEnd w:id="152"/>
    <w:bookmarkEnd w:id="153"/>
    <w:bookmarkEnd w:id="154"/>
    <w:p w14:paraId="25088F4D" w14:textId="535BC4EE" w:rsidR="00212D40" w:rsidRPr="00370A9E" w:rsidRDefault="00212D40" w:rsidP="003B1108">
      <w:pPr>
        <w:widowControl/>
        <w:adjustRightInd w:val="0"/>
        <w:snapToGrid w:val="0"/>
        <w:spacing w:line="360" w:lineRule="auto"/>
        <w:jc w:val="left"/>
        <w:rPr>
          <w:rFonts w:ascii="Book Antiqua" w:eastAsia="宋体" w:hAnsi="Book Antiqua" w:cs="宋体"/>
          <w:kern w:val="0"/>
          <w:sz w:val="24"/>
          <w:szCs w:val="24"/>
        </w:rPr>
      </w:pPr>
      <w:r w:rsidRPr="003B1108">
        <w:rPr>
          <w:rFonts w:ascii="Book Antiqua" w:hAnsi="Book Antiqua"/>
          <w:bCs/>
          <w:sz w:val="24"/>
          <w:szCs w:val="24"/>
        </w:rPr>
        <w:br w:type="page"/>
      </w:r>
    </w:p>
    <w:p w14:paraId="546E4BE0" w14:textId="77777777" w:rsidR="00212D40" w:rsidRPr="003B1108" w:rsidRDefault="00212D40" w:rsidP="003B1108">
      <w:pPr>
        <w:adjustRightInd w:val="0"/>
        <w:snapToGrid w:val="0"/>
        <w:spacing w:line="360" w:lineRule="auto"/>
        <w:rPr>
          <w:rFonts w:ascii="Book Antiqua" w:hAnsi="Book Antiqua"/>
          <w:bCs/>
          <w:sz w:val="24"/>
          <w:szCs w:val="24"/>
        </w:rPr>
      </w:pPr>
      <w:r w:rsidRPr="003B1108">
        <w:rPr>
          <w:rFonts w:ascii="Book Antiqua" w:hAnsi="Book Antiqua"/>
          <w:noProof/>
          <w:sz w:val="24"/>
          <w:szCs w:val="24"/>
        </w:rPr>
        <w:lastRenderedPageBreak/>
        <w:drawing>
          <wp:inline distT="0" distB="0" distL="0" distR="0" wp14:anchorId="0B085A73" wp14:editId="5A82AC7E">
            <wp:extent cx="5274310" cy="29946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994660"/>
                    </a:xfrm>
                    <a:prstGeom prst="rect">
                      <a:avLst/>
                    </a:prstGeom>
                  </pic:spPr>
                </pic:pic>
              </a:graphicData>
            </a:graphic>
          </wp:inline>
        </w:drawing>
      </w:r>
    </w:p>
    <w:p w14:paraId="4F3B777B" w14:textId="16BE2FCA" w:rsidR="00212D40" w:rsidRPr="00A8749E" w:rsidRDefault="00212D40" w:rsidP="00A8749E">
      <w:pPr>
        <w:adjustRightInd w:val="0"/>
        <w:snapToGrid w:val="0"/>
        <w:spacing w:line="360" w:lineRule="auto"/>
        <w:rPr>
          <w:rFonts w:ascii="Book Antiqua" w:hAnsi="Book Antiqua"/>
          <w:b/>
          <w:sz w:val="24"/>
          <w:szCs w:val="24"/>
        </w:rPr>
      </w:pPr>
      <w:r w:rsidRPr="003B1108">
        <w:rPr>
          <w:rFonts w:ascii="Book Antiqua" w:hAnsi="Book Antiqua"/>
          <w:b/>
          <w:sz w:val="24"/>
          <w:szCs w:val="24"/>
        </w:rPr>
        <w:t xml:space="preserve">Figure 1 Treatment of chronic hepatitis C virus patients with direct-acting antiviral agents. </w:t>
      </w:r>
      <w:r w:rsidRPr="003B1108">
        <w:rPr>
          <w:rFonts w:ascii="Book Antiqua" w:hAnsi="Book Antiqua"/>
          <w:bCs/>
          <w:sz w:val="24"/>
          <w:szCs w:val="24"/>
        </w:rPr>
        <w:t xml:space="preserve">RVR: Rapid </w:t>
      </w:r>
      <w:proofErr w:type="spellStart"/>
      <w:r w:rsidRPr="003B1108">
        <w:rPr>
          <w:rFonts w:ascii="Book Antiqua" w:hAnsi="Book Antiqua"/>
          <w:bCs/>
          <w:sz w:val="24"/>
          <w:szCs w:val="24"/>
        </w:rPr>
        <w:t>virological</w:t>
      </w:r>
      <w:proofErr w:type="spellEnd"/>
      <w:r w:rsidRPr="003B1108">
        <w:rPr>
          <w:rFonts w:ascii="Book Antiqua" w:hAnsi="Book Antiqua"/>
          <w:bCs/>
          <w:sz w:val="24"/>
          <w:szCs w:val="24"/>
        </w:rPr>
        <w:t xml:space="preserve"> response; ETR: End of treatment response; SVR12: Sustained </w:t>
      </w:r>
      <w:proofErr w:type="spellStart"/>
      <w:r w:rsidRPr="003B1108">
        <w:rPr>
          <w:rFonts w:ascii="Book Antiqua" w:hAnsi="Book Antiqua"/>
          <w:bCs/>
          <w:sz w:val="24"/>
          <w:szCs w:val="24"/>
        </w:rPr>
        <w:t>virological</w:t>
      </w:r>
      <w:proofErr w:type="spellEnd"/>
      <w:r w:rsidRPr="003B1108">
        <w:rPr>
          <w:rFonts w:ascii="Book Antiqua" w:hAnsi="Book Antiqua"/>
          <w:bCs/>
          <w:sz w:val="24"/>
          <w:szCs w:val="24"/>
        </w:rPr>
        <w:t xml:space="preserve"> response at post-treatment week 12; ITT: Intention-to-treat; </w:t>
      </w:r>
      <w:proofErr w:type="spellStart"/>
      <w:r w:rsidRPr="003B1108">
        <w:rPr>
          <w:rFonts w:ascii="Book Antiqua" w:hAnsi="Book Antiqua"/>
          <w:bCs/>
          <w:sz w:val="24"/>
          <w:szCs w:val="24"/>
        </w:rPr>
        <w:t>mITT</w:t>
      </w:r>
      <w:proofErr w:type="spellEnd"/>
      <w:r w:rsidRPr="003B1108">
        <w:rPr>
          <w:rFonts w:ascii="Book Antiqua" w:hAnsi="Book Antiqua"/>
          <w:bCs/>
          <w:sz w:val="24"/>
          <w:szCs w:val="24"/>
        </w:rPr>
        <w:t xml:space="preserve">: Modified ITT; SOF: Sofosbuvir; LDV: Ledipasvir; RBV: Ribavirin; DCV: </w:t>
      </w:r>
      <w:proofErr w:type="spellStart"/>
      <w:r w:rsidRPr="003B1108">
        <w:rPr>
          <w:rFonts w:ascii="Book Antiqua" w:hAnsi="Book Antiqua"/>
          <w:bCs/>
          <w:sz w:val="24"/>
          <w:szCs w:val="24"/>
        </w:rPr>
        <w:t>Daclatasvir</w:t>
      </w:r>
      <w:proofErr w:type="spellEnd"/>
      <w:r w:rsidRPr="003B1108">
        <w:rPr>
          <w:rFonts w:ascii="Book Antiqua" w:hAnsi="Book Antiqua"/>
          <w:bCs/>
          <w:sz w:val="24"/>
          <w:szCs w:val="24"/>
        </w:rPr>
        <w:t xml:space="preserve">; </w:t>
      </w:r>
      <w:proofErr w:type="spellStart"/>
      <w:r w:rsidRPr="003B1108">
        <w:rPr>
          <w:rFonts w:ascii="Book Antiqua" w:hAnsi="Book Antiqua"/>
          <w:bCs/>
          <w:sz w:val="24"/>
          <w:szCs w:val="24"/>
        </w:rPr>
        <w:t>mITT</w:t>
      </w:r>
      <w:proofErr w:type="spellEnd"/>
      <w:r w:rsidRPr="003B1108">
        <w:rPr>
          <w:rFonts w:ascii="Book Antiqua" w:hAnsi="Book Antiqua"/>
          <w:bCs/>
          <w:sz w:val="24"/>
          <w:szCs w:val="24"/>
        </w:rPr>
        <w:t>: Modified intention-to-treat; LTFU: Lost to follow-up; HIV: Human immunodeficiency virus.</w:t>
      </w:r>
    </w:p>
    <w:p w14:paraId="471A2D90" w14:textId="5252D829" w:rsidR="00212D40" w:rsidRPr="003B1108" w:rsidRDefault="00212D40" w:rsidP="003B1108">
      <w:pPr>
        <w:widowControl/>
        <w:adjustRightInd w:val="0"/>
        <w:snapToGrid w:val="0"/>
        <w:spacing w:line="360" w:lineRule="auto"/>
        <w:jc w:val="left"/>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br w:type="page"/>
      </w:r>
    </w:p>
    <w:p w14:paraId="150321C3" w14:textId="61AD0EB5" w:rsidR="002E0C0F" w:rsidRPr="003B1108" w:rsidRDefault="002E0C0F" w:rsidP="003B1108">
      <w:pPr>
        <w:adjustRightInd w:val="0"/>
        <w:snapToGrid w:val="0"/>
        <w:spacing w:line="360" w:lineRule="auto"/>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lastRenderedPageBreak/>
        <w:t xml:space="preserve">Table 1 Regimens of </w:t>
      </w:r>
      <w:r w:rsidR="00EA00C4" w:rsidRPr="003B1108">
        <w:rPr>
          <w:rFonts w:ascii="Book Antiqua" w:hAnsi="Book Antiqua"/>
          <w:b/>
          <w:bCs/>
          <w:noProof/>
          <w:color w:val="212121"/>
          <w:sz w:val="24"/>
          <w:szCs w:val="24"/>
          <w:shd w:val="clear" w:color="auto" w:fill="FFFFFF"/>
        </w:rPr>
        <w:t>d</w:t>
      </w:r>
      <w:r w:rsidRPr="003B1108">
        <w:rPr>
          <w:rFonts w:ascii="Book Antiqua" w:hAnsi="Book Antiqua"/>
          <w:b/>
          <w:bCs/>
          <w:noProof/>
          <w:color w:val="212121"/>
          <w:sz w:val="24"/>
          <w:szCs w:val="24"/>
          <w:shd w:val="clear" w:color="auto" w:fill="FFFFFF"/>
        </w:rPr>
        <w:t>irect-</w:t>
      </w:r>
      <w:r w:rsidR="00EA00C4" w:rsidRPr="003B1108">
        <w:rPr>
          <w:rFonts w:ascii="Book Antiqua" w:hAnsi="Book Antiqua"/>
          <w:b/>
          <w:bCs/>
          <w:noProof/>
          <w:color w:val="212121"/>
          <w:sz w:val="24"/>
          <w:szCs w:val="24"/>
          <w:shd w:val="clear" w:color="auto" w:fill="FFFFFF"/>
        </w:rPr>
        <w:t>a</w:t>
      </w:r>
      <w:r w:rsidRPr="003B1108">
        <w:rPr>
          <w:rFonts w:ascii="Book Antiqua" w:hAnsi="Book Antiqua"/>
          <w:b/>
          <w:bCs/>
          <w:noProof/>
          <w:color w:val="212121"/>
          <w:sz w:val="24"/>
          <w:szCs w:val="24"/>
          <w:shd w:val="clear" w:color="auto" w:fill="FFFFFF"/>
        </w:rPr>
        <w:t>cting</w:t>
      </w:r>
      <w:r w:rsidRPr="003B1108">
        <w:rPr>
          <w:rFonts w:ascii="Book Antiqua" w:hAnsi="Book Antiqua"/>
          <w:b/>
          <w:bCs/>
          <w:color w:val="212121"/>
          <w:sz w:val="24"/>
          <w:szCs w:val="24"/>
          <w:shd w:val="clear" w:color="auto" w:fill="FFFFFF"/>
        </w:rPr>
        <w:t xml:space="preserve"> </w:t>
      </w:r>
      <w:r w:rsidR="00EA00C4" w:rsidRPr="003B1108">
        <w:rPr>
          <w:rFonts w:ascii="Book Antiqua" w:hAnsi="Book Antiqua"/>
          <w:b/>
          <w:bCs/>
          <w:color w:val="212121"/>
          <w:sz w:val="24"/>
          <w:szCs w:val="24"/>
          <w:shd w:val="clear" w:color="auto" w:fill="FFFFFF"/>
        </w:rPr>
        <w:t>a</w:t>
      </w:r>
      <w:r w:rsidRPr="003B1108">
        <w:rPr>
          <w:rFonts w:ascii="Book Antiqua" w:hAnsi="Book Antiqua"/>
          <w:b/>
          <w:bCs/>
          <w:color w:val="212121"/>
          <w:sz w:val="24"/>
          <w:szCs w:val="24"/>
          <w:shd w:val="clear" w:color="auto" w:fill="FFFFFF"/>
        </w:rPr>
        <w:t xml:space="preserve">ntivirals for </w:t>
      </w:r>
      <w:r w:rsidR="00EA00C4" w:rsidRPr="003B1108">
        <w:rPr>
          <w:rFonts w:ascii="Book Antiqua" w:hAnsi="Book Antiqua"/>
          <w:b/>
          <w:bCs/>
          <w:color w:val="212121"/>
          <w:sz w:val="24"/>
          <w:szCs w:val="24"/>
          <w:shd w:val="clear" w:color="auto" w:fill="FFFFFF"/>
        </w:rPr>
        <w:t>t</w:t>
      </w:r>
      <w:r w:rsidRPr="003B1108">
        <w:rPr>
          <w:rFonts w:ascii="Book Antiqua" w:hAnsi="Book Antiqua"/>
          <w:b/>
          <w:bCs/>
          <w:color w:val="212121"/>
          <w:sz w:val="24"/>
          <w:szCs w:val="24"/>
          <w:shd w:val="clear" w:color="auto" w:fill="FFFFFF"/>
        </w:rPr>
        <w:t xml:space="preserve">reatment of </w:t>
      </w:r>
      <w:r w:rsidR="00EA00C4" w:rsidRPr="003B1108">
        <w:rPr>
          <w:rFonts w:ascii="Book Antiqua" w:hAnsi="Book Antiqua"/>
          <w:b/>
          <w:bCs/>
          <w:sz w:val="24"/>
          <w:szCs w:val="24"/>
        </w:rPr>
        <w:t>hepatitis C virus</w:t>
      </w:r>
      <w:r w:rsidRPr="003B1108">
        <w:rPr>
          <w:rFonts w:ascii="Book Antiqua" w:hAnsi="Book Antiqua"/>
          <w:b/>
          <w:bCs/>
          <w:color w:val="212121"/>
          <w:sz w:val="24"/>
          <w:szCs w:val="24"/>
          <w:shd w:val="clear" w:color="auto" w:fill="FFFFFF"/>
        </w:rPr>
        <w:t xml:space="preserve"> </w:t>
      </w:r>
      <w:r w:rsidR="00EA00C4" w:rsidRPr="003B1108">
        <w:rPr>
          <w:rFonts w:ascii="Book Antiqua" w:hAnsi="Book Antiqua"/>
          <w:b/>
          <w:bCs/>
          <w:color w:val="212121"/>
          <w:sz w:val="24"/>
          <w:szCs w:val="24"/>
          <w:shd w:val="clear" w:color="auto" w:fill="FFFFFF"/>
        </w:rPr>
        <w:t>i</w:t>
      </w:r>
      <w:r w:rsidRPr="003B1108">
        <w:rPr>
          <w:rFonts w:ascii="Book Antiqua" w:hAnsi="Book Antiqua"/>
          <w:b/>
          <w:bCs/>
          <w:color w:val="212121"/>
          <w:sz w:val="24"/>
          <w:szCs w:val="24"/>
          <w:shd w:val="clear" w:color="auto" w:fill="FFFFFF"/>
        </w:rPr>
        <w:t>nfection</w:t>
      </w:r>
    </w:p>
    <w:tbl>
      <w:tblPr>
        <w:tblW w:w="5683" w:type="pct"/>
        <w:jc w:val="center"/>
        <w:tblBorders>
          <w:top w:val="single" w:sz="4" w:space="0" w:color="auto"/>
          <w:bottom w:val="single" w:sz="4" w:space="0" w:color="auto"/>
        </w:tblBorders>
        <w:tblLook w:val="04A0" w:firstRow="1" w:lastRow="0" w:firstColumn="1" w:lastColumn="0" w:noHBand="0" w:noVBand="1"/>
      </w:tblPr>
      <w:tblGrid>
        <w:gridCol w:w="3101"/>
        <w:gridCol w:w="1542"/>
        <w:gridCol w:w="1633"/>
        <w:gridCol w:w="1707"/>
        <w:gridCol w:w="1703"/>
      </w:tblGrid>
      <w:tr w:rsidR="001A622C" w:rsidRPr="003B1108" w14:paraId="74F44176" w14:textId="77777777" w:rsidTr="00370A9E">
        <w:trPr>
          <w:trHeight w:val="668"/>
          <w:jc w:val="center"/>
        </w:trPr>
        <w:tc>
          <w:tcPr>
            <w:tcW w:w="2396" w:type="pct"/>
            <w:gridSpan w:val="2"/>
            <w:tcBorders>
              <w:top w:val="single" w:sz="4" w:space="0" w:color="auto"/>
              <w:bottom w:val="single" w:sz="4" w:space="0" w:color="auto"/>
            </w:tcBorders>
            <w:shd w:val="clear" w:color="auto" w:fill="auto"/>
            <w:vAlign w:val="center"/>
          </w:tcPr>
          <w:p w14:paraId="1E8CE990" w14:textId="03CFFABE" w:rsidR="001A622C" w:rsidRPr="003B1108" w:rsidRDefault="001A622C" w:rsidP="003B1108">
            <w:pPr>
              <w:adjustRightInd w:val="0"/>
              <w:snapToGrid w:val="0"/>
              <w:spacing w:line="360" w:lineRule="auto"/>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Patients</w:t>
            </w:r>
          </w:p>
        </w:tc>
        <w:tc>
          <w:tcPr>
            <w:tcW w:w="843" w:type="pct"/>
            <w:tcBorders>
              <w:top w:val="single" w:sz="4" w:space="0" w:color="auto"/>
              <w:bottom w:val="single" w:sz="4" w:space="0" w:color="auto"/>
            </w:tcBorders>
            <w:shd w:val="clear" w:color="auto" w:fill="auto"/>
            <w:vAlign w:val="center"/>
          </w:tcPr>
          <w:p w14:paraId="1EE8FACD" w14:textId="77777777" w:rsidR="001A622C" w:rsidRPr="003B1108" w:rsidRDefault="001A622C" w:rsidP="003B1108">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Genotype 1</w:t>
            </w:r>
          </w:p>
        </w:tc>
        <w:tc>
          <w:tcPr>
            <w:tcW w:w="881" w:type="pct"/>
            <w:tcBorders>
              <w:top w:val="single" w:sz="4" w:space="0" w:color="auto"/>
              <w:bottom w:val="single" w:sz="4" w:space="0" w:color="auto"/>
            </w:tcBorders>
            <w:shd w:val="clear" w:color="auto" w:fill="auto"/>
            <w:vAlign w:val="center"/>
          </w:tcPr>
          <w:p w14:paraId="6AEA5ADE" w14:textId="77777777" w:rsidR="001A622C" w:rsidRPr="003B1108" w:rsidRDefault="001A622C" w:rsidP="003B1108">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Genotype 2</w:t>
            </w:r>
          </w:p>
        </w:tc>
        <w:tc>
          <w:tcPr>
            <w:tcW w:w="880" w:type="pct"/>
            <w:tcBorders>
              <w:top w:val="single" w:sz="4" w:space="0" w:color="auto"/>
              <w:bottom w:val="single" w:sz="4" w:space="0" w:color="auto"/>
            </w:tcBorders>
            <w:shd w:val="clear" w:color="auto" w:fill="auto"/>
            <w:vAlign w:val="center"/>
          </w:tcPr>
          <w:p w14:paraId="3BACF308" w14:textId="77777777" w:rsidR="001A622C" w:rsidRPr="003B1108" w:rsidRDefault="001A622C" w:rsidP="003B1108">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Genotype 3</w:t>
            </w:r>
          </w:p>
        </w:tc>
      </w:tr>
      <w:tr w:rsidR="002E0C0F" w:rsidRPr="003B1108" w14:paraId="0F6FEEF4" w14:textId="77777777" w:rsidTr="00370A9E">
        <w:trPr>
          <w:trHeight w:val="685"/>
          <w:jc w:val="center"/>
        </w:trPr>
        <w:tc>
          <w:tcPr>
            <w:tcW w:w="1601" w:type="pct"/>
            <w:vMerge w:val="restart"/>
            <w:tcBorders>
              <w:top w:val="single" w:sz="4" w:space="0" w:color="auto"/>
            </w:tcBorders>
            <w:shd w:val="clear" w:color="auto" w:fill="auto"/>
            <w:vAlign w:val="center"/>
          </w:tcPr>
          <w:p w14:paraId="5980379D" w14:textId="77777777" w:rsidR="002E0C0F" w:rsidRPr="003B1108" w:rsidRDefault="002E0C0F"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Chronic hepatitis</w:t>
            </w:r>
          </w:p>
        </w:tc>
        <w:tc>
          <w:tcPr>
            <w:tcW w:w="796" w:type="pct"/>
            <w:tcBorders>
              <w:top w:val="single" w:sz="4" w:space="0" w:color="auto"/>
            </w:tcBorders>
            <w:shd w:val="clear" w:color="auto" w:fill="auto"/>
            <w:vAlign w:val="center"/>
          </w:tcPr>
          <w:p w14:paraId="26E263AB" w14:textId="77777777" w:rsidR="002E0C0F" w:rsidRPr="003B1108" w:rsidRDefault="002E0C0F"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Treatment naïve</w:t>
            </w:r>
          </w:p>
        </w:tc>
        <w:tc>
          <w:tcPr>
            <w:tcW w:w="843" w:type="pct"/>
            <w:vMerge w:val="restart"/>
            <w:tcBorders>
              <w:top w:val="single" w:sz="4" w:space="0" w:color="auto"/>
            </w:tcBorders>
            <w:shd w:val="clear" w:color="auto" w:fill="auto"/>
            <w:vAlign w:val="center"/>
          </w:tcPr>
          <w:p w14:paraId="56166499" w14:textId="28A25B2D" w:rsidR="002E0C0F" w:rsidRPr="003B1108" w:rsidRDefault="002E0C0F"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 xml:space="preserve">SOF + LDV for 12 </w:t>
            </w:r>
            <w:proofErr w:type="spellStart"/>
            <w:r w:rsidR="00DE2FDA" w:rsidRPr="003B1108">
              <w:rPr>
                <w:rFonts w:ascii="Book Antiqua" w:hAnsi="Book Antiqua"/>
                <w:color w:val="212121"/>
                <w:sz w:val="24"/>
                <w:szCs w:val="24"/>
                <w:shd w:val="clear" w:color="auto" w:fill="FFFFFF"/>
              </w:rPr>
              <w:t>wk</w:t>
            </w:r>
            <w:proofErr w:type="spellEnd"/>
          </w:p>
        </w:tc>
        <w:tc>
          <w:tcPr>
            <w:tcW w:w="881" w:type="pct"/>
            <w:tcBorders>
              <w:top w:val="single" w:sz="4" w:space="0" w:color="auto"/>
            </w:tcBorders>
            <w:shd w:val="clear" w:color="auto" w:fill="auto"/>
            <w:vAlign w:val="center"/>
          </w:tcPr>
          <w:p w14:paraId="341E1461" w14:textId="025F5A24" w:rsidR="002E0C0F" w:rsidRPr="003B1108" w:rsidRDefault="002E0C0F"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 xml:space="preserve">SOF + RBV for 12 </w:t>
            </w:r>
            <w:proofErr w:type="spellStart"/>
            <w:r w:rsidR="00DE2FDA" w:rsidRPr="003B1108">
              <w:rPr>
                <w:rFonts w:ascii="Book Antiqua" w:hAnsi="Book Antiqua"/>
                <w:color w:val="212121"/>
                <w:sz w:val="24"/>
                <w:szCs w:val="24"/>
                <w:shd w:val="clear" w:color="auto" w:fill="FFFFFF"/>
              </w:rPr>
              <w:t>wk</w:t>
            </w:r>
            <w:proofErr w:type="spellEnd"/>
          </w:p>
        </w:tc>
        <w:tc>
          <w:tcPr>
            <w:tcW w:w="880" w:type="pct"/>
            <w:tcBorders>
              <w:top w:val="single" w:sz="4" w:space="0" w:color="auto"/>
            </w:tcBorders>
            <w:shd w:val="clear" w:color="auto" w:fill="auto"/>
            <w:vAlign w:val="center"/>
          </w:tcPr>
          <w:p w14:paraId="01009C11" w14:textId="0877BC8F" w:rsidR="002E0C0F" w:rsidRPr="003B1108" w:rsidRDefault="002E0C0F"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 xml:space="preserve">SOF + DCV for 12 </w:t>
            </w:r>
            <w:proofErr w:type="spellStart"/>
            <w:r w:rsidR="00DE2FDA" w:rsidRPr="003B1108">
              <w:rPr>
                <w:rFonts w:ascii="Book Antiqua" w:hAnsi="Book Antiqua"/>
                <w:color w:val="212121"/>
                <w:sz w:val="24"/>
                <w:szCs w:val="24"/>
                <w:shd w:val="clear" w:color="auto" w:fill="FFFFFF"/>
              </w:rPr>
              <w:t>wk</w:t>
            </w:r>
            <w:proofErr w:type="spellEnd"/>
          </w:p>
        </w:tc>
      </w:tr>
      <w:tr w:rsidR="002E0C0F" w:rsidRPr="003B1108" w14:paraId="01A40DBF" w14:textId="77777777" w:rsidTr="00370A9E">
        <w:trPr>
          <w:trHeight w:val="1750"/>
          <w:jc w:val="center"/>
        </w:trPr>
        <w:tc>
          <w:tcPr>
            <w:tcW w:w="1601" w:type="pct"/>
            <w:vMerge/>
            <w:shd w:val="clear" w:color="auto" w:fill="auto"/>
            <w:vAlign w:val="center"/>
          </w:tcPr>
          <w:p w14:paraId="542EB1A6" w14:textId="77777777" w:rsidR="002E0C0F" w:rsidRPr="003B1108" w:rsidRDefault="002E0C0F" w:rsidP="003B1108">
            <w:pPr>
              <w:adjustRightInd w:val="0"/>
              <w:snapToGrid w:val="0"/>
              <w:spacing w:line="360" w:lineRule="auto"/>
              <w:rPr>
                <w:rFonts w:ascii="Book Antiqua" w:hAnsi="Book Antiqua"/>
                <w:color w:val="212121"/>
                <w:sz w:val="24"/>
                <w:szCs w:val="24"/>
                <w:shd w:val="clear" w:color="auto" w:fill="FFFFFF"/>
              </w:rPr>
            </w:pPr>
          </w:p>
        </w:tc>
        <w:tc>
          <w:tcPr>
            <w:tcW w:w="796" w:type="pct"/>
            <w:shd w:val="clear" w:color="auto" w:fill="auto"/>
            <w:vAlign w:val="center"/>
          </w:tcPr>
          <w:p w14:paraId="1E621CB0" w14:textId="77777777" w:rsidR="002E0C0F" w:rsidRPr="003B1108" w:rsidRDefault="002E0C0F"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noProof/>
                <w:color w:val="212121"/>
                <w:sz w:val="24"/>
                <w:szCs w:val="24"/>
                <w:shd w:val="clear" w:color="auto" w:fill="FFFFFF"/>
              </w:rPr>
              <w:t>Treatment experienced</w:t>
            </w:r>
          </w:p>
        </w:tc>
        <w:tc>
          <w:tcPr>
            <w:tcW w:w="843" w:type="pct"/>
            <w:vMerge/>
            <w:shd w:val="clear" w:color="auto" w:fill="auto"/>
            <w:vAlign w:val="center"/>
          </w:tcPr>
          <w:p w14:paraId="34F352F8" w14:textId="77777777" w:rsidR="002E0C0F" w:rsidRPr="003B1108" w:rsidRDefault="002E0C0F" w:rsidP="003B1108">
            <w:pPr>
              <w:adjustRightInd w:val="0"/>
              <w:snapToGrid w:val="0"/>
              <w:spacing w:line="360" w:lineRule="auto"/>
              <w:jc w:val="center"/>
              <w:rPr>
                <w:rFonts w:ascii="Book Antiqua" w:hAnsi="Book Antiqua"/>
                <w:color w:val="212121"/>
                <w:sz w:val="24"/>
                <w:szCs w:val="24"/>
                <w:shd w:val="clear" w:color="auto" w:fill="FFFFFF"/>
              </w:rPr>
            </w:pPr>
          </w:p>
        </w:tc>
        <w:tc>
          <w:tcPr>
            <w:tcW w:w="881" w:type="pct"/>
            <w:shd w:val="clear" w:color="auto" w:fill="auto"/>
            <w:vAlign w:val="center"/>
          </w:tcPr>
          <w:p w14:paraId="75C2D56C" w14:textId="554676A4" w:rsidR="002E0C0F" w:rsidRPr="003B1108" w:rsidRDefault="002E0C0F"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 xml:space="preserve">SOF + RBV for 16-20 </w:t>
            </w:r>
            <w:proofErr w:type="spellStart"/>
            <w:r w:rsidR="00DE2FDA" w:rsidRPr="003B1108">
              <w:rPr>
                <w:rFonts w:ascii="Book Antiqua" w:hAnsi="Book Antiqua"/>
                <w:color w:val="212121"/>
                <w:sz w:val="24"/>
                <w:szCs w:val="24"/>
                <w:shd w:val="clear" w:color="auto" w:fill="FFFFFF"/>
              </w:rPr>
              <w:t>wk</w:t>
            </w:r>
            <w:proofErr w:type="spellEnd"/>
          </w:p>
        </w:tc>
        <w:tc>
          <w:tcPr>
            <w:tcW w:w="880" w:type="pct"/>
            <w:shd w:val="clear" w:color="auto" w:fill="auto"/>
            <w:vAlign w:val="center"/>
          </w:tcPr>
          <w:p w14:paraId="4E828E90" w14:textId="5039684D" w:rsidR="002E0C0F" w:rsidRPr="003B1108" w:rsidRDefault="002E0C0F"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 xml:space="preserve">SOF + DCV + RBV for 12 </w:t>
            </w:r>
            <w:proofErr w:type="spellStart"/>
            <w:r w:rsidR="00DE2FDA" w:rsidRPr="003B1108">
              <w:rPr>
                <w:rFonts w:ascii="Book Antiqua" w:hAnsi="Book Antiqua"/>
                <w:color w:val="212121"/>
                <w:sz w:val="24"/>
                <w:szCs w:val="24"/>
                <w:shd w:val="clear" w:color="auto" w:fill="FFFFFF"/>
              </w:rPr>
              <w:t>wk</w:t>
            </w:r>
            <w:proofErr w:type="spellEnd"/>
            <w:r w:rsidRPr="003B1108">
              <w:rPr>
                <w:rFonts w:ascii="Book Antiqua" w:hAnsi="Book Antiqua"/>
                <w:color w:val="212121"/>
                <w:sz w:val="24"/>
                <w:szCs w:val="24"/>
                <w:shd w:val="clear" w:color="auto" w:fill="FFFFFF"/>
              </w:rPr>
              <w:t xml:space="preserve"> or 24 </w:t>
            </w:r>
            <w:proofErr w:type="spellStart"/>
            <w:r w:rsidR="00DE2FDA" w:rsidRPr="003B1108">
              <w:rPr>
                <w:rFonts w:ascii="Book Antiqua" w:hAnsi="Book Antiqua"/>
                <w:color w:val="212121"/>
                <w:sz w:val="24"/>
                <w:szCs w:val="24"/>
                <w:shd w:val="clear" w:color="auto" w:fill="FFFFFF"/>
              </w:rPr>
              <w:t>wk</w:t>
            </w:r>
            <w:proofErr w:type="spellEnd"/>
            <w:r w:rsidRPr="003B1108">
              <w:rPr>
                <w:rFonts w:ascii="Book Antiqua" w:hAnsi="Book Antiqua"/>
                <w:color w:val="212121"/>
                <w:sz w:val="24"/>
                <w:szCs w:val="24"/>
                <w:shd w:val="clear" w:color="auto" w:fill="FFFFFF"/>
              </w:rPr>
              <w:t xml:space="preserve"> without RBV</w:t>
            </w:r>
          </w:p>
        </w:tc>
      </w:tr>
      <w:tr w:rsidR="002E0C0F" w:rsidRPr="003B1108" w14:paraId="18B4E188" w14:textId="77777777" w:rsidTr="00370A9E">
        <w:trPr>
          <w:trHeight w:val="2281"/>
          <w:jc w:val="center"/>
        </w:trPr>
        <w:tc>
          <w:tcPr>
            <w:tcW w:w="1601" w:type="pct"/>
            <w:shd w:val="clear" w:color="auto" w:fill="auto"/>
            <w:vAlign w:val="center"/>
          </w:tcPr>
          <w:p w14:paraId="67ECEDD1" w14:textId="695D00C7" w:rsidR="002E0C0F" w:rsidRPr="003B1108" w:rsidRDefault="002E0C0F"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Cirrhosis,</w:t>
            </w:r>
            <w:r w:rsidR="00906CF2" w:rsidRPr="003B1108">
              <w:rPr>
                <w:rFonts w:ascii="Book Antiqua" w:hAnsi="Book Antiqua"/>
                <w:color w:val="212121"/>
                <w:sz w:val="24"/>
                <w:szCs w:val="24"/>
                <w:shd w:val="clear" w:color="auto" w:fill="FFFFFF"/>
              </w:rPr>
              <w:t xml:space="preserve"> </w:t>
            </w:r>
            <w:r w:rsidRPr="003B1108">
              <w:rPr>
                <w:rFonts w:ascii="Book Antiqua" w:hAnsi="Book Antiqua"/>
                <w:color w:val="212121"/>
                <w:sz w:val="24"/>
                <w:szCs w:val="24"/>
                <w:shd w:val="clear" w:color="auto" w:fill="FFFFFF"/>
              </w:rPr>
              <w:t>compensated or decompensated</w:t>
            </w:r>
          </w:p>
        </w:tc>
        <w:tc>
          <w:tcPr>
            <w:tcW w:w="796" w:type="pct"/>
            <w:shd w:val="clear" w:color="auto" w:fill="auto"/>
            <w:vAlign w:val="center"/>
          </w:tcPr>
          <w:p w14:paraId="076C4EE2" w14:textId="77777777" w:rsidR="002E0C0F" w:rsidRPr="003B1108" w:rsidRDefault="002E0C0F" w:rsidP="003B1108">
            <w:pPr>
              <w:adjustRightInd w:val="0"/>
              <w:snapToGrid w:val="0"/>
              <w:spacing w:line="360" w:lineRule="auto"/>
              <w:rPr>
                <w:rFonts w:ascii="Book Antiqua" w:hAnsi="Book Antiqua"/>
                <w:color w:val="212121"/>
                <w:sz w:val="24"/>
                <w:szCs w:val="24"/>
                <w:shd w:val="clear" w:color="auto" w:fill="FFFFFF"/>
              </w:rPr>
            </w:pPr>
          </w:p>
        </w:tc>
        <w:tc>
          <w:tcPr>
            <w:tcW w:w="843" w:type="pct"/>
            <w:shd w:val="clear" w:color="auto" w:fill="auto"/>
            <w:vAlign w:val="center"/>
          </w:tcPr>
          <w:p w14:paraId="611AF36A" w14:textId="4826F993" w:rsidR="002E0C0F" w:rsidRPr="003B1108" w:rsidRDefault="002E0C0F"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 xml:space="preserve">SOF + LDV + RBV for 12 </w:t>
            </w:r>
            <w:proofErr w:type="spellStart"/>
            <w:r w:rsidR="00DE2FDA" w:rsidRPr="003B1108">
              <w:rPr>
                <w:rFonts w:ascii="Book Antiqua" w:hAnsi="Book Antiqua"/>
                <w:color w:val="212121"/>
                <w:sz w:val="24"/>
                <w:szCs w:val="24"/>
                <w:shd w:val="clear" w:color="auto" w:fill="FFFFFF"/>
              </w:rPr>
              <w:t>wk</w:t>
            </w:r>
            <w:proofErr w:type="spellEnd"/>
            <w:r w:rsidRPr="003B1108">
              <w:rPr>
                <w:rFonts w:ascii="Book Antiqua" w:hAnsi="Book Antiqua"/>
                <w:color w:val="212121"/>
                <w:sz w:val="24"/>
                <w:szCs w:val="24"/>
                <w:shd w:val="clear" w:color="auto" w:fill="FFFFFF"/>
              </w:rPr>
              <w:t xml:space="preserve"> or 24 </w:t>
            </w:r>
            <w:proofErr w:type="spellStart"/>
            <w:r w:rsidR="00DE2FDA" w:rsidRPr="003B1108">
              <w:rPr>
                <w:rFonts w:ascii="Book Antiqua" w:hAnsi="Book Antiqua"/>
                <w:color w:val="212121"/>
                <w:sz w:val="24"/>
                <w:szCs w:val="24"/>
                <w:shd w:val="clear" w:color="auto" w:fill="FFFFFF"/>
              </w:rPr>
              <w:t>wk</w:t>
            </w:r>
            <w:proofErr w:type="spellEnd"/>
            <w:r w:rsidRPr="003B1108">
              <w:rPr>
                <w:rFonts w:ascii="Book Antiqua" w:hAnsi="Book Antiqua"/>
                <w:color w:val="212121"/>
                <w:sz w:val="24"/>
                <w:szCs w:val="24"/>
                <w:shd w:val="clear" w:color="auto" w:fill="FFFFFF"/>
              </w:rPr>
              <w:t xml:space="preserve"> without RBV</w:t>
            </w:r>
          </w:p>
        </w:tc>
        <w:tc>
          <w:tcPr>
            <w:tcW w:w="881" w:type="pct"/>
            <w:shd w:val="clear" w:color="auto" w:fill="auto"/>
            <w:vAlign w:val="center"/>
          </w:tcPr>
          <w:p w14:paraId="61F91601" w14:textId="5990436F" w:rsidR="002E0C0F" w:rsidRPr="003B1108" w:rsidRDefault="002E0C0F"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 xml:space="preserve">SOF + RBV for 16-20 </w:t>
            </w:r>
            <w:proofErr w:type="spellStart"/>
            <w:r w:rsidR="00DE2FDA" w:rsidRPr="003B1108">
              <w:rPr>
                <w:rFonts w:ascii="Book Antiqua" w:hAnsi="Book Antiqua"/>
                <w:color w:val="212121"/>
                <w:sz w:val="24"/>
                <w:szCs w:val="24"/>
                <w:shd w:val="clear" w:color="auto" w:fill="FFFFFF"/>
              </w:rPr>
              <w:t>wk</w:t>
            </w:r>
            <w:proofErr w:type="spellEnd"/>
          </w:p>
        </w:tc>
        <w:tc>
          <w:tcPr>
            <w:tcW w:w="880" w:type="pct"/>
            <w:shd w:val="clear" w:color="auto" w:fill="auto"/>
            <w:vAlign w:val="center"/>
          </w:tcPr>
          <w:p w14:paraId="2BCDFECE" w14:textId="26657E80" w:rsidR="002E0C0F" w:rsidRPr="003B1108" w:rsidRDefault="002E0C0F"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 xml:space="preserve">SOF + DCV + RBV for 24 </w:t>
            </w:r>
            <w:proofErr w:type="spellStart"/>
            <w:r w:rsidR="00DE2FDA" w:rsidRPr="003B1108">
              <w:rPr>
                <w:rFonts w:ascii="Book Antiqua" w:hAnsi="Book Antiqua"/>
                <w:color w:val="212121"/>
                <w:sz w:val="24"/>
                <w:szCs w:val="24"/>
                <w:shd w:val="clear" w:color="auto" w:fill="FFFFFF"/>
              </w:rPr>
              <w:t>wk</w:t>
            </w:r>
            <w:proofErr w:type="spellEnd"/>
          </w:p>
        </w:tc>
      </w:tr>
    </w:tbl>
    <w:p w14:paraId="5C5A1EAB" w14:textId="61450801" w:rsidR="002E0C0F" w:rsidRPr="003B1108" w:rsidRDefault="00BC6205" w:rsidP="003B1108">
      <w:pPr>
        <w:adjustRightInd w:val="0"/>
        <w:snapToGrid w:val="0"/>
        <w:spacing w:line="360" w:lineRule="auto"/>
        <w:rPr>
          <w:rFonts w:ascii="Book Antiqua" w:hAnsi="Book Antiqua"/>
          <w:bCs/>
          <w:sz w:val="24"/>
          <w:szCs w:val="24"/>
        </w:rPr>
      </w:pPr>
      <w:bookmarkStart w:id="159" w:name="OLE_LINK3"/>
      <w:r w:rsidRPr="003B1108">
        <w:rPr>
          <w:rFonts w:ascii="Book Antiqua" w:hAnsi="Book Antiqua"/>
          <w:bCs/>
          <w:sz w:val="24"/>
          <w:szCs w:val="24"/>
        </w:rPr>
        <w:t xml:space="preserve">A fixed dose combination of </w:t>
      </w:r>
      <w:r w:rsidR="00244708">
        <w:rPr>
          <w:rFonts w:ascii="Book Antiqua" w:hAnsi="Book Antiqua"/>
          <w:bCs/>
          <w:sz w:val="24"/>
          <w:szCs w:val="24"/>
        </w:rPr>
        <w:t>s</w:t>
      </w:r>
      <w:r w:rsidR="00244708" w:rsidRPr="003B1108">
        <w:rPr>
          <w:rFonts w:ascii="Book Antiqua" w:hAnsi="Book Antiqua"/>
          <w:bCs/>
          <w:sz w:val="24"/>
          <w:szCs w:val="24"/>
        </w:rPr>
        <w:t xml:space="preserve">ofosbuvir </w:t>
      </w:r>
      <w:r w:rsidR="0046302D">
        <w:rPr>
          <w:rFonts w:ascii="Book Antiqua" w:hAnsi="Book Antiqua"/>
          <w:bCs/>
          <w:sz w:val="24"/>
          <w:szCs w:val="24"/>
        </w:rPr>
        <w:t>(</w:t>
      </w:r>
      <w:r w:rsidRPr="003B1108">
        <w:rPr>
          <w:rFonts w:ascii="Book Antiqua" w:hAnsi="Book Antiqua"/>
          <w:bCs/>
          <w:sz w:val="24"/>
          <w:szCs w:val="24"/>
        </w:rPr>
        <w:t>SOF</w:t>
      </w:r>
      <w:r w:rsidR="0046302D">
        <w:rPr>
          <w:rFonts w:ascii="Book Antiqua" w:hAnsi="Book Antiqua"/>
          <w:bCs/>
          <w:sz w:val="24"/>
          <w:szCs w:val="24"/>
        </w:rPr>
        <w:t>)</w:t>
      </w:r>
      <w:r w:rsidRPr="003B1108">
        <w:rPr>
          <w:rFonts w:ascii="Book Antiqua" w:hAnsi="Book Antiqua"/>
          <w:bCs/>
          <w:sz w:val="24"/>
          <w:szCs w:val="24"/>
        </w:rPr>
        <w:t xml:space="preserve"> and </w:t>
      </w:r>
      <w:r w:rsidR="00244708">
        <w:rPr>
          <w:rFonts w:ascii="Book Antiqua" w:hAnsi="Book Antiqua"/>
          <w:bCs/>
          <w:sz w:val="24"/>
          <w:szCs w:val="24"/>
        </w:rPr>
        <w:t>l</w:t>
      </w:r>
      <w:r w:rsidR="00244708" w:rsidRPr="0046302D">
        <w:rPr>
          <w:rFonts w:ascii="Book Antiqua" w:hAnsi="Book Antiqua"/>
          <w:bCs/>
          <w:sz w:val="24"/>
          <w:szCs w:val="24"/>
        </w:rPr>
        <w:t>edipasvir</w:t>
      </w:r>
      <w:r w:rsidR="00244708" w:rsidRPr="003B1108">
        <w:rPr>
          <w:rFonts w:ascii="Book Antiqua" w:hAnsi="Book Antiqua"/>
          <w:bCs/>
          <w:sz w:val="24"/>
          <w:szCs w:val="24"/>
        </w:rPr>
        <w:t xml:space="preserve"> </w:t>
      </w:r>
      <w:r w:rsidRPr="003B1108">
        <w:rPr>
          <w:rFonts w:ascii="Book Antiqua" w:hAnsi="Book Antiqua"/>
          <w:bCs/>
          <w:sz w:val="24"/>
          <w:szCs w:val="24"/>
        </w:rPr>
        <w:t xml:space="preserve">was administered once per day. One tablet each of SOF and </w:t>
      </w:r>
      <w:r w:rsidR="0046302D" w:rsidRPr="0046302D">
        <w:rPr>
          <w:rFonts w:ascii="Book Antiqua" w:hAnsi="Book Antiqua"/>
          <w:bCs/>
          <w:sz w:val="24"/>
          <w:szCs w:val="24"/>
        </w:rPr>
        <w:t>daclatasvir</w:t>
      </w:r>
      <w:r w:rsidRPr="003B1108">
        <w:rPr>
          <w:rFonts w:ascii="Book Antiqua" w:hAnsi="Book Antiqua"/>
          <w:bCs/>
          <w:sz w:val="24"/>
          <w:szCs w:val="24"/>
        </w:rPr>
        <w:t xml:space="preserve"> should be taken daily. </w:t>
      </w:r>
      <w:r w:rsidR="0046302D" w:rsidRPr="0046302D">
        <w:rPr>
          <w:rFonts w:ascii="Book Antiqua" w:hAnsi="Book Antiqua"/>
          <w:bCs/>
          <w:sz w:val="24"/>
          <w:szCs w:val="24"/>
        </w:rPr>
        <w:t>Ribavirin</w:t>
      </w:r>
      <w:r w:rsidRPr="003B1108">
        <w:rPr>
          <w:rFonts w:ascii="Book Antiqua" w:hAnsi="Book Antiqua"/>
          <w:bCs/>
          <w:sz w:val="24"/>
          <w:szCs w:val="24"/>
        </w:rPr>
        <w:t xml:space="preserve"> was 1000 or 1200 mg/d in patients &lt; 75 kg</w:t>
      </w:r>
      <w:r w:rsidR="00244708">
        <w:rPr>
          <w:rFonts w:ascii="Book Antiqua" w:hAnsi="Book Antiqua"/>
          <w:bCs/>
          <w:sz w:val="24"/>
          <w:szCs w:val="24"/>
        </w:rPr>
        <w:t xml:space="preserve"> </w:t>
      </w:r>
      <w:r w:rsidRPr="003B1108">
        <w:rPr>
          <w:rFonts w:ascii="Book Antiqua" w:hAnsi="Book Antiqua"/>
          <w:bCs/>
          <w:sz w:val="24"/>
          <w:szCs w:val="24"/>
        </w:rPr>
        <w:t>or ≥ 75 kg, respectively</w:t>
      </w:r>
      <w:bookmarkEnd w:id="159"/>
      <w:r w:rsidRPr="003B1108">
        <w:rPr>
          <w:rFonts w:ascii="Book Antiqua" w:hAnsi="Book Antiqua"/>
          <w:bCs/>
          <w:sz w:val="24"/>
          <w:szCs w:val="24"/>
        </w:rPr>
        <w:t>.</w:t>
      </w:r>
      <w:r w:rsidR="00C43693" w:rsidRPr="003B1108">
        <w:rPr>
          <w:rFonts w:ascii="Book Antiqua" w:hAnsi="Book Antiqua"/>
          <w:bCs/>
          <w:sz w:val="24"/>
          <w:szCs w:val="24"/>
        </w:rPr>
        <w:t xml:space="preserve"> SOF: Sofosbuvir (400 mg); LDV: Ledipasvir (90 mg); DCV: Daclatasvir (60 mg); RBV: Ribavirin (200 mg).</w:t>
      </w:r>
    </w:p>
    <w:p w14:paraId="400413B1" w14:textId="2929AE2F" w:rsidR="00212D40" w:rsidRPr="003B1108" w:rsidRDefault="00212D40" w:rsidP="003B1108">
      <w:pPr>
        <w:widowControl/>
        <w:adjustRightInd w:val="0"/>
        <w:snapToGrid w:val="0"/>
        <w:spacing w:line="360" w:lineRule="auto"/>
        <w:jc w:val="left"/>
        <w:rPr>
          <w:rFonts w:ascii="Book Antiqua" w:hAnsi="Book Antiqua"/>
          <w:bCs/>
          <w:sz w:val="24"/>
          <w:szCs w:val="24"/>
        </w:rPr>
      </w:pPr>
      <w:r w:rsidRPr="003B1108">
        <w:rPr>
          <w:rFonts w:ascii="Book Antiqua" w:hAnsi="Book Antiqua"/>
          <w:bCs/>
          <w:sz w:val="24"/>
          <w:szCs w:val="24"/>
        </w:rPr>
        <w:br w:type="page"/>
      </w:r>
    </w:p>
    <w:p w14:paraId="4430125C" w14:textId="622038E2" w:rsidR="00BC6205" w:rsidRPr="003B1108" w:rsidRDefault="00330FA4" w:rsidP="003B1108">
      <w:pPr>
        <w:adjustRightInd w:val="0"/>
        <w:snapToGrid w:val="0"/>
        <w:spacing w:line="360" w:lineRule="auto"/>
        <w:rPr>
          <w:rFonts w:ascii="Book Antiqua" w:hAnsi="Book Antiqua"/>
          <w:b/>
          <w:sz w:val="24"/>
          <w:szCs w:val="24"/>
        </w:rPr>
      </w:pPr>
      <w:r w:rsidRPr="003B1108">
        <w:rPr>
          <w:rFonts w:ascii="Book Antiqua" w:hAnsi="Book Antiqua"/>
          <w:b/>
          <w:sz w:val="24"/>
          <w:szCs w:val="24"/>
        </w:rPr>
        <w:lastRenderedPageBreak/>
        <w:t xml:space="preserve">Table 2 Baseline characteristics of </w:t>
      </w:r>
      <w:r w:rsidR="006B0171" w:rsidRPr="003B1108">
        <w:rPr>
          <w:rFonts w:ascii="Book Antiqua" w:hAnsi="Book Antiqua"/>
          <w:b/>
          <w:sz w:val="24"/>
          <w:szCs w:val="24"/>
        </w:rPr>
        <w:t>hepatitis C virus</w:t>
      </w:r>
      <w:r w:rsidRPr="003B1108">
        <w:rPr>
          <w:rFonts w:ascii="Book Antiqua" w:hAnsi="Book Antiqua"/>
          <w:b/>
          <w:sz w:val="24"/>
          <w:szCs w:val="24"/>
        </w:rPr>
        <w:t xml:space="preserve"> patients based on genotype</w:t>
      </w:r>
    </w:p>
    <w:tbl>
      <w:tblPr>
        <w:tblW w:w="10828" w:type="dxa"/>
        <w:jc w:val="center"/>
        <w:tblBorders>
          <w:top w:val="single" w:sz="4" w:space="0" w:color="auto"/>
          <w:bottom w:val="single" w:sz="4" w:space="0" w:color="auto"/>
        </w:tblBorders>
        <w:tblLook w:val="04A0" w:firstRow="1" w:lastRow="0" w:firstColumn="1" w:lastColumn="0" w:noHBand="0" w:noVBand="1"/>
      </w:tblPr>
      <w:tblGrid>
        <w:gridCol w:w="3818"/>
        <w:gridCol w:w="2002"/>
        <w:gridCol w:w="1687"/>
        <w:gridCol w:w="1686"/>
        <w:gridCol w:w="1635"/>
      </w:tblGrid>
      <w:tr w:rsidR="00330FA4" w:rsidRPr="003B1108" w14:paraId="04A81CB9" w14:textId="77777777" w:rsidTr="001B7C84">
        <w:trPr>
          <w:trHeight w:val="1417"/>
          <w:jc w:val="center"/>
        </w:trPr>
        <w:tc>
          <w:tcPr>
            <w:tcW w:w="3818" w:type="dxa"/>
            <w:tcBorders>
              <w:top w:val="single" w:sz="4" w:space="0" w:color="auto"/>
              <w:bottom w:val="single" w:sz="4" w:space="0" w:color="auto"/>
            </w:tcBorders>
            <w:shd w:val="clear" w:color="auto" w:fill="auto"/>
            <w:vAlign w:val="center"/>
          </w:tcPr>
          <w:p w14:paraId="180AEE3F" w14:textId="77777777" w:rsidR="00330FA4" w:rsidRPr="003B1108" w:rsidRDefault="00330FA4" w:rsidP="003B1108">
            <w:pPr>
              <w:adjustRightInd w:val="0"/>
              <w:snapToGrid w:val="0"/>
              <w:spacing w:line="360" w:lineRule="auto"/>
              <w:rPr>
                <w:rFonts w:ascii="Book Antiqua" w:hAnsi="Book Antiqua"/>
                <w:b/>
                <w:bCs/>
                <w:color w:val="212121"/>
                <w:sz w:val="24"/>
                <w:szCs w:val="24"/>
                <w:shd w:val="clear" w:color="auto" w:fill="FFFFFF"/>
              </w:rPr>
            </w:pPr>
          </w:p>
        </w:tc>
        <w:tc>
          <w:tcPr>
            <w:tcW w:w="2002" w:type="dxa"/>
            <w:tcBorders>
              <w:top w:val="single" w:sz="4" w:space="0" w:color="auto"/>
              <w:bottom w:val="single" w:sz="4" w:space="0" w:color="auto"/>
            </w:tcBorders>
            <w:shd w:val="clear" w:color="auto" w:fill="auto"/>
            <w:vAlign w:val="center"/>
          </w:tcPr>
          <w:p w14:paraId="43270CA9" w14:textId="7AEFD8A6" w:rsidR="00330FA4" w:rsidRPr="003B1108" w:rsidRDefault="00330FA4" w:rsidP="008F67DA">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Total</w:t>
            </w:r>
            <w:r w:rsidR="008F67DA">
              <w:rPr>
                <w:rFonts w:ascii="Book Antiqua" w:hAnsi="Book Antiqua" w:hint="eastAsi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w:t>
            </w:r>
            <w:r w:rsidRPr="003B1108">
              <w:rPr>
                <w:rFonts w:ascii="Book Antiqua" w:hAnsi="Book Antiqua"/>
                <w:b/>
                <w:bCs/>
                <w:i/>
                <w:iCs/>
                <w:color w:val="212121"/>
                <w:sz w:val="24"/>
                <w:szCs w:val="24"/>
                <w:shd w:val="clear" w:color="auto" w:fill="FFFFFF"/>
              </w:rPr>
              <w:t>n</w:t>
            </w:r>
            <w:r w:rsidR="00212D40"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w:t>
            </w:r>
            <w:r w:rsidR="00212D40"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366)</w:t>
            </w:r>
          </w:p>
        </w:tc>
        <w:tc>
          <w:tcPr>
            <w:tcW w:w="1687" w:type="dxa"/>
            <w:tcBorders>
              <w:top w:val="single" w:sz="4" w:space="0" w:color="auto"/>
              <w:bottom w:val="single" w:sz="4" w:space="0" w:color="auto"/>
            </w:tcBorders>
            <w:shd w:val="clear" w:color="auto" w:fill="auto"/>
            <w:vAlign w:val="center"/>
          </w:tcPr>
          <w:p w14:paraId="22CDA3FD" w14:textId="58839E0B" w:rsidR="00330FA4" w:rsidRPr="003B1108" w:rsidRDefault="00330FA4" w:rsidP="008F67DA">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Genotype 1</w:t>
            </w:r>
            <w:r w:rsidR="008F67DA">
              <w:rPr>
                <w:rFonts w:ascii="Book Antiqua" w:hAnsi="Book Antiqua" w:hint="eastAsi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w:t>
            </w:r>
            <w:r w:rsidR="00212D40" w:rsidRPr="003B1108">
              <w:rPr>
                <w:rFonts w:ascii="Book Antiqua" w:hAnsi="Book Antiqua"/>
                <w:b/>
                <w:bCs/>
                <w:i/>
                <w:iCs/>
                <w:color w:val="212121"/>
                <w:sz w:val="24"/>
                <w:szCs w:val="24"/>
                <w:shd w:val="clear" w:color="auto" w:fill="FFFFFF"/>
              </w:rPr>
              <w:t>n</w:t>
            </w:r>
            <w:r w:rsidR="00212D40"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w:t>
            </w:r>
            <w:r w:rsidR="00212D40"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216)</w:t>
            </w:r>
          </w:p>
        </w:tc>
        <w:tc>
          <w:tcPr>
            <w:tcW w:w="1686" w:type="dxa"/>
            <w:tcBorders>
              <w:top w:val="single" w:sz="4" w:space="0" w:color="auto"/>
              <w:bottom w:val="single" w:sz="4" w:space="0" w:color="auto"/>
            </w:tcBorders>
            <w:shd w:val="clear" w:color="auto" w:fill="auto"/>
            <w:vAlign w:val="center"/>
          </w:tcPr>
          <w:p w14:paraId="46A63171" w14:textId="24FA20E3" w:rsidR="00330FA4" w:rsidRPr="003B1108" w:rsidRDefault="00330FA4" w:rsidP="008F67DA">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Genotype 2</w:t>
            </w:r>
            <w:r w:rsidR="008F67DA">
              <w:rPr>
                <w:rFonts w:ascii="Book Antiqua" w:hAnsi="Book Antiqua" w:hint="eastAsi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w:t>
            </w:r>
            <w:r w:rsidR="00212D40" w:rsidRPr="003B1108">
              <w:rPr>
                <w:rFonts w:ascii="Book Antiqua" w:hAnsi="Book Antiqua"/>
                <w:b/>
                <w:bCs/>
                <w:i/>
                <w:iCs/>
                <w:color w:val="212121"/>
                <w:sz w:val="24"/>
                <w:szCs w:val="24"/>
                <w:shd w:val="clear" w:color="auto" w:fill="FFFFFF"/>
              </w:rPr>
              <w:t>n</w:t>
            </w:r>
            <w:r w:rsidR="00212D40"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w:t>
            </w:r>
            <w:r w:rsidR="00212D40"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126)</w:t>
            </w:r>
          </w:p>
        </w:tc>
        <w:tc>
          <w:tcPr>
            <w:tcW w:w="1635" w:type="dxa"/>
            <w:tcBorders>
              <w:top w:val="single" w:sz="4" w:space="0" w:color="auto"/>
              <w:bottom w:val="single" w:sz="4" w:space="0" w:color="auto"/>
            </w:tcBorders>
            <w:shd w:val="clear" w:color="auto" w:fill="auto"/>
            <w:vAlign w:val="center"/>
          </w:tcPr>
          <w:p w14:paraId="1854B4C8" w14:textId="00C03767" w:rsidR="00330FA4" w:rsidRPr="003B1108" w:rsidRDefault="00330FA4" w:rsidP="008F67DA">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Genotype 3</w:t>
            </w:r>
            <w:r w:rsidR="008F67DA">
              <w:rPr>
                <w:rFonts w:ascii="Book Antiqua" w:hAnsi="Book Antiqua" w:hint="eastAsi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w:t>
            </w:r>
            <w:r w:rsidR="00212D40" w:rsidRPr="003B1108">
              <w:rPr>
                <w:rFonts w:ascii="Book Antiqua" w:hAnsi="Book Antiqua"/>
                <w:b/>
                <w:bCs/>
                <w:i/>
                <w:iCs/>
                <w:color w:val="212121"/>
                <w:sz w:val="24"/>
                <w:szCs w:val="24"/>
                <w:shd w:val="clear" w:color="auto" w:fill="FFFFFF"/>
              </w:rPr>
              <w:t>n</w:t>
            </w:r>
            <w:r w:rsidR="00212D40"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w:t>
            </w:r>
            <w:r w:rsidR="00212D40"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24)</w:t>
            </w:r>
          </w:p>
        </w:tc>
      </w:tr>
      <w:tr w:rsidR="00330FA4" w:rsidRPr="003B1108" w14:paraId="6CA05583" w14:textId="77777777" w:rsidTr="001B7C84">
        <w:trPr>
          <w:trHeight w:val="481"/>
          <w:jc w:val="center"/>
        </w:trPr>
        <w:tc>
          <w:tcPr>
            <w:tcW w:w="3818" w:type="dxa"/>
            <w:tcBorders>
              <w:top w:val="single" w:sz="4" w:space="0" w:color="auto"/>
            </w:tcBorders>
            <w:shd w:val="clear" w:color="auto" w:fill="auto"/>
            <w:vAlign w:val="center"/>
          </w:tcPr>
          <w:p w14:paraId="4062A44C" w14:textId="566BB8AA"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Age (</w:t>
            </w:r>
            <w:proofErr w:type="spellStart"/>
            <w:r w:rsidRPr="003B1108">
              <w:rPr>
                <w:rFonts w:ascii="Book Antiqua" w:hAnsi="Book Antiqua"/>
                <w:color w:val="212121"/>
                <w:sz w:val="24"/>
                <w:szCs w:val="24"/>
                <w:shd w:val="clear" w:color="auto" w:fill="FFFFFF"/>
              </w:rPr>
              <w:t>yr</w:t>
            </w:r>
            <w:proofErr w:type="spellEnd"/>
            <w:r w:rsidRPr="003B1108">
              <w:rPr>
                <w:rFonts w:ascii="Book Antiqua" w:hAnsi="Book Antiqua"/>
                <w:color w:val="212121"/>
                <w:sz w:val="24"/>
                <w:szCs w:val="24"/>
                <w:shd w:val="clear" w:color="auto" w:fill="FFFFFF"/>
              </w:rPr>
              <w:t>)</w:t>
            </w:r>
          </w:p>
        </w:tc>
        <w:tc>
          <w:tcPr>
            <w:tcW w:w="2002" w:type="dxa"/>
            <w:tcBorders>
              <w:top w:val="single" w:sz="4" w:space="0" w:color="auto"/>
            </w:tcBorders>
            <w:shd w:val="clear" w:color="auto" w:fill="auto"/>
            <w:vAlign w:val="center"/>
          </w:tcPr>
          <w:p w14:paraId="2345CF34"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52.2 ± 12.0</w:t>
            </w:r>
          </w:p>
        </w:tc>
        <w:tc>
          <w:tcPr>
            <w:tcW w:w="1687" w:type="dxa"/>
            <w:tcBorders>
              <w:top w:val="single" w:sz="4" w:space="0" w:color="auto"/>
            </w:tcBorders>
            <w:shd w:val="clear" w:color="auto" w:fill="auto"/>
            <w:vAlign w:val="center"/>
          </w:tcPr>
          <w:p w14:paraId="482ABE54"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51.7 ± 12.8</w:t>
            </w:r>
          </w:p>
        </w:tc>
        <w:tc>
          <w:tcPr>
            <w:tcW w:w="1686" w:type="dxa"/>
            <w:tcBorders>
              <w:top w:val="single" w:sz="4" w:space="0" w:color="auto"/>
            </w:tcBorders>
            <w:shd w:val="clear" w:color="auto" w:fill="auto"/>
            <w:vAlign w:val="center"/>
          </w:tcPr>
          <w:p w14:paraId="2AD47E73"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53.6 ± 10.0</w:t>
            </w:r>
          </w:p>
        </w:tc>
        <w:tc>
          <w:tcPr>
            <w:tcW w:w="1635" w:type="dxa"/>
            <w:tcBorders>
              <w:top w:val="single" w:sz="4" w:space="0" w:color="auto"/>
            </w:tcBorders>
            <w:shd w:val="clear" w:color="auto" w:fill="auto"/>
            <w:vAlign w:val="center"/>
          </w:tcPr>
          <w:p w14:paraId="3503C4C4"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49.8 ± 14.1</w:t>
            </w:r>
          </w:p>
        </w:tc>
      </w:tr>
      <w:tr w:rsidR="00330FA4" w:rsidRPr="003B1108" w14:paraId="1359EDD3" w14:textId="77777777" w:rsidTr="001B7C84">
        <w:trPr>
          <w:trHeight w:val="495"/>
          <w:jc w:val="center"/>
        </w:trPr>
        <w:tc>
          <w:tcPr>
            <w:tcW w:w="3818" w:type="dxa"/>
            <w:shd w:val="clear" w:color="auto" w:fill="auto"/>
            <w:vAlign w:val="center"/>
          </w:tcPr>
          <w:p w14:paraId="5DFD7946"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Gender (males, %)</w:t>
            </w:r>
          </w:p>
        </w:tc>
        <w:tc>
          <w:tcPr>
            <w:tcW w:w="2002" w:type="dxa"/>
            <w:shd w:val="clear" w:color="auto" w:fill="auto"/>
            <w:vAlign w:val="center"/>
          </w:tcPr>
          <w:p w14:paraId="602267D7"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174 (47.5)</w:t>
            </w:r>
          </w:p>
        </w:tc>
        <w:tc>
          <w:tcPr>
            <w:tcW w:w="1687" w:type="dxa"/>
            <w:shd w:val="clear" w:color="auto" w:fill="auto"/>
            <w:vAlign w:val="center"/>
          </w:tcPr>
          <w:p w14:paraId="22F69526"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101 (46.8)</w:t>
            </w:r>
          </w:p>
        </w:tc>
        <w:tc>
          <w:tcPr>
            <w:tcW w:w="1686" w:type="dxa"/>
            <w:shd w:val="clear" w:color="auto" w:fill="auto"/>
            <w:vAlign w:val="center"/>
          </w:tcPr>
          <w:p w14:paraId="68C497D0"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62 (49.2)</w:t>
            </w:r>
          </w:p>
        </w:tc>
        <w:tc>
          <w:tcPr>
            <w:tcW w:w="1635" w:type="dxa"/>
            <w:shd w:val="clear" w:color="auto" w:fill="auto"/>
            <w:vAlign w:val="center"/>
          </w:tcPr>
          <w:p w14:paraId="5900EB91"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11 (45.8)</w:t>
            </w:r>
          </w:p>
        </w:tc>
      </w:tr>
      <w:tr w:rsidR="00330FA4" w:rsidRPr="003B1108" w14:paraId="4074BE7E" w14:textId="77777777" w:rsidTr="001B7C84">
        <w:trPr>
          <w:trHeight w:val="70"/>
          <w:jc w:val="center"/>
        </w:trPr>
        <w:tc>
          <w:tcPr>
            <w:tcW w:w="3818" w:type="dxa"/>
            <w:shd w:val="clear" w:color="auto" w:fill="auto"/>
            <w:vAlign w:val="center"/>
          </w:tcPr>
          <w:p w14:paraId="7C056A73"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TBIL</w:t>
            </w:r>
            <w:r w:rsidRPr="003B1108">
              <w:rPr>
                <w:rFonts w:ascii="Book Antiqua" w:hAnsi="Book Antiqua"/>
                <w:sz w:val="24"/>
                <w:szCs w:val="24"/>
              </w:rPr>
              <w:t xml:space="preserve"> </w:t>
            </w:r>
            <w:r w:rsidRPr="003B1108">
              <w:rPr>
                <w:rFonts w:ascii="Book Antiqua" w:hAnsi="Book Antiqua"/>
                <w:color w:val="212121"/>
                <w:sz w:val="24"/>
                <w:szCs w:val="24"/>
                <w:shd w:val="clear" w:color="auto" w:fill="FFFFFF"/>
              </w:rPr>
              <w:t>(µmol/L)</w:t>
            </w:r>
          </w:p>
        </w:tc>
        <w:tc>
          <w:tcPr>
            <w:tcW w:w="2002" w:type="dxa"/>
            <w:shd w:val="clear" w:color="auto" w:fill="auto"/>
            <w:vAlign w:val="center"/>
          </w:tcPr>
          <w:p w14:paraId="76D1C3D2"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19.63 ± 10.60</w:t>
            </w:r>
          </w:p>
        </w:tc>
        <w:tc>
          <w:tcPr>
            <w:tcW w:w="1687" w:type="dxa"/>
            <w:shd w:val="clear" w:color="auto" w:fill="auto"/>
            <w:vAlign w:val="center"/>
          </w:tcPr>
          <w:p w14:paraId="68524DD7"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19.62 ± 10.77</w:t>
            </w:r>
          </w:p>
        </w:tc>
        <w:tc>
          <w:tcPr>
            <w:tcW w:w="1686" w:type="dxa"/>
            <w:shd w:val="clear" w:color="auto" w:fill="auto"/>
            <w:vAlign w:val="center"/>
          </w:tcPr>
          <w:p w14:paraId="3881295E" w14:textId="77777777" w:rsidR="00330FA4" w:rsidRPr="003B1108" w:rsidRDefault="00330FA4" w:rsidP="003B1108">
            <w:pPr>
              <w:adjustRightInd w:val="0"/>
              <w:snapToGrid w:val="0"/>
              <w:spacing w:line="360" w:lineRule="auto"/>
              <w:jc w:val="center"/>
              <w:rPr>
                <w:rFonts w:ascii="Book Antiqua" w:hAnsi="Book Antiqua"/>
                <w:b/>
                <w:color w:val="212121"/>
                <w:sz w:val="24"/>
                <w:szCs w:val="24"/>
                <w:shd w:val="clear" w:color="auto" w:fill="FFFFFF"/>
              </w:rPr>
            </w:pPr>
            <w:r w:rsidRPr="003B1108">
              <w:rPr>
                <w:rFonts w:ascii="Book Antiqua" w:hAnsi="Book Antiqua"/>
                <w:color w:val="212121"/>
                <w:sz w:val="24"/>
                <w:szCs w:val="24"/>
                <w:shd w:val="clear" w:color="auto" w:fill="FFFFFF"/>
              </w:rPr>
              <w:t>19.52 ± 10.72</w:t>
            </w:r>
          </w:p>
        </w:tc>
        <w:tc>
          <w:tcPr>
            <w:tcW w:w="1635" w:type="dxa"/>
            <w:shd w:val="clear" w:color="auto" w:fill="auto"/>
            <w:vAlign w:val="center"/>
          </w:tcPr>
          <w:p w14:paraId="4E1CC314"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20.07 ± 8.47</w:t>
            </w:r>
          </w:p>
        </w:tc>
      </w:tr>
      <w:tr w:rsidR="00330FA4" w:rsidRPr="003B1108" w14:paraId="17E5488A" w14:textId="77777777" w:rsidTr="001B7C84">
        <w:trPr>
          <w:trHeight w:val="70"/>
          <w:jc w:val="center"/>
        </w:trPr>
        <w:tc>
          <w:tcPr>
            <w:tcW w:w="3818" w:type="dxa"/>
            <w:shd w:val="clear" w:color="auto" w:fill="auto"/>
            <w:vAlign w:val="center"/>
          </w:tcPr>
          <w:p w14:paraId="59BCB4A6"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ALT (U/L)</w:t>
            </w:r>
          </w:p>
        </w:tc>
        <w:tc>
          <w:tcPr>
            <w:tcW w:w="2002" w:type="dxa"/>
            <w:shd w:val="clear" w:color="auto" w:fill="auto"/>
            <w:vAlign w:val="center"/>
          </w:tcPr>
          <w:p w14:paraId="376B2C15"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53.48 ± 45.18</w:t>
            </w:r>
          </w:p>
        </w:tc>
        <w:tc>
          <w:tcPr>
            <w:tcW w:w="1687" w:type="dxa"/>
            <w:shd w:val="clear" w:color="auto" w:fill="auto"/>
            <w:vAlign w:val="center"/>
          </w:tcPr>
          <w:p w14:paraId="2586EB10"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56.95 ± 47.79</w:t>
            </w:r>
          </w:p>
        </w:tc>
        <w:tc>
          <w:tcPr>
            <w:tcW w:w="1686" w:type="dxa"/>
            <w:shd w:val="clear" w:color="auto" w:fill="auto"/>
            <w:vAlign w:val="center"/>
          </w:tcPr>
          <w:p w14:paraId="43F47897"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51.55 ± 40.35</w:t>
            </w:r>
          </w:p>
        </w:tc>
        <w:tc>
          <w:tcPr>
            <w:tcW w:w="1635" w:type="dxa"/>
            <w:shd w:val="clear" w:color="auto" w:fill="auto"/>
            <w:vAlign w:val="center"/>
          </w:tcPr>
          <w:p w14:paraId="14C3000A"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54.33 ± 36.91</w:t>
            </w:r>
          </w:p>
        </w:tc>
      </w:tr>
      <w:tr w:rsidR="00330FA4" w:rsidRPr="003B1108" w14:paraId="19795207" w14:textId="77777777" w:rsidTr="001B7C84">
        <w:trPr>
          <w:trHeight w:val="70"/>
          <w:jc w:val="center"/>
        </w:trPr>
        <w:tc>
          <w:tcPr>
            <w:tcW w:w="3818" w:type="dxa"/>
            <w:shd w:val="clear" w:color="auto" w:fill="auto"/>
            <w:vAlign w:val="center"/>
          </w:tcPr>
          <w:p w14:paraId="521CA5DB"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AST (U/L)</w:t>
            </w:r>
          </w:p>
        </w:tc>
        <w:tc>
          <w:tcPr>
            <w:tcW w:w="2002" w:type="dxa"/>
            <w:shd w:val="clear" w:color="auto" w:fill="auto"/>
            <w:vAlign w:val="center"/>
          </w:tcPr>
          <w:p w14:paraId="3013A697"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51.89 ± 39.12</w:t>
            </w:r>
          </w:p>
        </w:tc>
        <w:tc>
          <w:tcPr>
            <w:tcW w:w="1687" w:type="dxa"/>
            <w:shd w:val="clear" w:color="auto" w:fill="auto"/>
            <w:vAlign w:val="center"/>
          </w:tcPr>
          <w:p w14:paraId="7CEAB523"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50.79 ± 41.96</w:t>
            </w:r>
          </w:p>
        </w:tc>
        <w:tc>
          <w:tcPr>
            <w:tcW w:w="1686" w:type="dxa"/>
            <w:shd w:val="clear" w:color="auto" w:fill="auto"/>
            <w:vAlign w:val="center"/>
          </w:tcPr>
          <w:p w14:paraId="5333E817"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48.9 ± 33.74</w:t>
            </w:r>
          </w:p>
        </w:tc>
        <w:tc>
          <w:tcPr>
            <w:tcW w:w="1635" w:type="dxa"/>
            <w:shd w:val="clear" w:color="auto" w:fill="auto"/>
            <w:vAlign w:val="center"/>
          </w:tcPr>
          <w:p w14:paraId="095B953F"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53.5 ± 33.31</w:t>
            </w:r>
          </w:p>
        </w:tc>
      </w:tr>
      <w:tr w:rsidR="00330FA4" w:rsidRPr="003B1108" w14:paraId="170A386F" w14:textId="77777777" w:rsidTr="001B7C84">
        <w:trPr>
          <w:trHeight w:val="495"/>
          <w:jc w:val="center"/>
        </w:trPr>
        <w:tc>
          <w:tcPr>
            <w:tcW w:w="3818" w:type="dxa"/>
            <w:shd w:val="clear" w:color="auto" w:fill="auto"/>
            <w:vAlign w:val="center"/>
          </w:tcPr>
          <w:p w14:paraId="5E4C9C99"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Albumin (g/L)</w:t>
            </w:r>
          </w:p>
        </w:tc>
        <w:tc>
          <w:tcPr>
            <w:tcW w:w="2002" w:type="dxa"/>
            <w:shd w:val="clear" w:color="auto" w:fill="auto"/>
            <w:vAlign w:val="center"/>
          </w:tcPr>
          <w:p w14:paraId="3C20936A"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36.6 ± 8.6</w:t>
            </w:r>
          </w:p>
        </w:tc>
        <w:tc>
          <w:tcPr>
            <w:tcW w:w="1687" w:type="dxa"/>
            <w:shd w:val="clear" w:color="auto" w:fill="auto"/>
            <w:vAlign w:val="center"/>
          </w:tcPr>
          <w:p w14:paraId="48C430AF"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38.9 ± 8.6</w:t>
            </w:r>
          </w:p>
        </w:tc>
        <w:tc>
          <w:tcPr>
            <w:tcW w:w="1686" w:type="dxa"/>
            <w:shd w:val="clear" w:color="auto" w:fill="auto"/>
            <w:vAlign w:val="center"/>
          </w:tcPr>
          <w:p w14:paraId="298C87FC"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41.2 ± 8.5</w:t>
            </w:r>
          </w:p>
        </w:tc>
        <w:tc>
          <w:tcPr>
            <w:tcW w:w="1635" w:type="dxa"/>
            <w:shd w:val="clear" w:color="auto" w:fill="auto"/>
            <w:vAlign w:val="center"/>
          </w:tcPr>
          <w:p w14:paraId="0F49A34B"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36.6 ± 8.6</w:t>
            </w:r>
          </w:p>
        </w:tc>
      </w:tr>
      <w:tr w:rsidR="00330FA4" w:rsidRPr="003B1108" w14:paraId="7247A75E" w14:textId="77777777" w:rsidTr="001B7C84">
        <w:trPr>
          <w:trHeight w:val="495"/>
          <w:jc w:val="center"/>
        </w:trPr>
        <w:tc>
          <w:tcPr>
            <w:tcW w:w="3818" w:type="dxa"/>
            <w:shd w:val="clear" w:color="auto" w:fill="auto"/>
            <w:vAlign w:val="center"/>
          </w:tcPr>
          <w:p w14:paraId="7E23B909"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TCHO (mmol/L)</w:t>
            </w:r>
          </w:p>
        </w:tc>
        <w:tc>
          <w:tcPr>
            <w:tcW w:w="2002" w:type="dxa"/>
            <w:shd w:val="clear" w:color="auto" w:fill="auto"/>
            <w:vAlign w:val="center"/>
          </w:tcPr>
          <w:p w14:paraId="3B7E8FBF"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3.85 ± 0.60</w:t>
            </w:r>
          </w:p>
        </w:tc>
        <w:tc>
          <w:tcPr>
            <w:tcW w:w="1687" w:type="dxa"/>
            <w:shd w:val="clear" w:color="auto" w:fill="auto"/>
            <w:vAlign w:val="center"/>
          </w:tcPr>
          <w:p w14:paraId="015D676F"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3.81 ± 0.58</w:t>
            </w:r>
          </w:p>
        </w:tc>
        <w:tc>
          <w:tcPr>
            <w:tcW w:w="1686" w:type="dxa"/>
            <w:shd w:val="clear" w:color="auto" w:fill="auto"/>
            <w:vAlign w:val="center"/>
          </w:tcPr>
          <w:p w14:paraId="7755C704"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3.85 ± 0.66</w:t>
            </w:r>
          </w:p>
        </w:tc>
        <w:tc>
          <w:tcPr>
            <w:tcW w:w="1635" w:type="dxa"/>
            <w:shd w:val="clear" w:color="auto" w:fill="auto"/>
            <w:vAlign w:val="center"/>
          </w:tcPr>
          <w:p w14:paraId="30C0DF6A"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4.14 ± 0.41</w:t>
            </w:r>
          </w:p>
        </w:tc>
      </w:tr>
      <w:tr w:rsidR="00330FA4" w:rsidRPr="003B1108" w14:paraId="28DB8540" w14:textId="77777777" w:rsidTr="001B7C84">
        <w:trPr>
          <w:trHeight w:val="70"/>
          <w:jc w:val="center"/>
        </w:trPr>
        <w:tc>
          <w:tcPr>
            <w:tcW w:w="3818" w:type="dxa"/>
            <w:shd w:val="clear" w:color="auto" w:fill="auto"/>
            <w:vAlign w:val="center"/>
          </w:tcPr>
          <w:p w14:paraId="41ECB463"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Hemoglobin (mg/dL)</w:t>
            </w:r>
          </w:p>
        </w:tc>
        <w:tc>
          <w:tcPr>
            <w:tcW w:w="2002" w:type="dxa"/>
            <w:shd w:val="clear" w:color="auto" w:fill="auto"/>
            <w:vAlign w:val="center"/>
          </w:tcPr>
          <w:p w14:paraId="30D121E4"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120.3 ± 23.6</w:t>
            </w:r>
          </w:p>
        </w:tc>
        <w:tc>
          <w:tcPr>
            <w:tcW w:w="1687" w:type="dxa"/>
            <w:shd w:val="clear" w:color="auto" w:fill="auto"/>
            <w:vAlign w:val="center"/>
          </w:tcPr>
          <w:p w14:paraId="620DFF31"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120.4 ± 23.3</w:t>
            </w:r>
          </w:p>
        </w:tc>
        <w:tc>
          <w:tcPr>
            <w:tcW w:w="1686" w:type="dxa"/>
            <w:shd w:val="clear" w:color="auto" w:fill="auto"/>
            <w:vAlign w:val="center"/>
          </w:tcPr>
          <w:p w14:paraId="4E03F30F"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121.2 ± 23.2</w:t>
            </w:r>
          </w:p>
        </w:tc>
        <w:tc>
          <w:tcPr>
            <w:tcW w:w="1635" w:type="dxa"/>
            <w:shd w:val="clear" w:color="auto" w:fill="auto"/>
            <w:vAlign w:val="center"/>
          </w:tcPr>
          <w:p w14:paraId="089074BF"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114.8 ± 27.9</w:t>
            </w:r>
          </w:p>
        </w:tc>
      </w:tr>
      <w:tr w:rsidR="00330FA4" w:rsidRPr="003B1108" w14:paraId="2636517C" w14:textId="77777777" w:rsidTr="001B7C84">
        <w:trPr>
          <w:trHeight w:val="70"/>
          <w:jc w:val="center"/>
        </w:trPr>
        <w:tc>
          <w:tcPr>
            <w:tcW w:w="3818" w:type="dxa"/>
            <w:shd w:val="clear" w:color="auto" w:fill="auto"/>
            <w:vAlign w:val="center"/>
          </w:tcPr>
          <w:p w14:paraId="0893B521"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Platelets (10</w:t>
            </w:r>
            <w:r w:rsidRPr="003B1108">
              <w:rPr>
                <w:rFonts w:ascii="Book Antiqua" w:hAnsi="Book Antiqua"/>
                <w:color w:val="212121"/>
                <w:sz w:val="24"/>
                <w:szCs w:val="24"/>
                <w:shd w:val="clear" w:color="auto" w:fill="FFFFFF"/>
                <w:vertAlign w:val="superscript"/>
              </w:rPr>
              <w:t>9</w:t>
            </w:r>
            <w:r w:rsidRPr="003B1108">
              <w:rPr>
                <w:rFonts w:ascii="Book Antiqua" w:hAnsi="Book Antiqua"/>
                <w:color w:val="212121"/>
                <w:sz w:val="24"/>
                <w:szCs w:val="24"/>
                <w:shd w:val="clear" w:color="auto" w:fill="FFFFFF"/>
              </w:rPr>
              <w:t>/L)</w:t>
            </w:r>
          </w:p>
        </w:tc>
        <w:tc>
          <w:tcPr>
            <w:tcW w:w="2002" w:type="dxa"/>
            <w:shd w:val="clear" w:color="auto" w:fill="auto"/>
            <w:vAlign w:val="center"/>
          </w:tcPr>
          <w:p w14:paraId="25987467"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147.7 ± 75.8</w:t>
            </w:r>
          </w:p>
        </w:tc>
        <w:tc>
          <w:tcPr>
            <w:tcW w:w="1687" w:type="dxa"/>
            <w:shd w:val="clear" w:color="auto" w:fill="auto"/>
            <w:vAlign w:val="center"/>
          </w:tcPr>
          <w:p w14:paraId="64B65CD9"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144.5 ± 74.8</w:t>
            </w:r>
          </w:p>
        </w:tc>
        <w:tc>
          <w:tcPr>
            <w:tcW w:w="1686" w:type="dxa"/>
            <w:shd w:val="clear" w:color="auto" w:fill="auto"/>
            <w:vAlign w:val="center"/>
          </w:tcPr>
          <w:p w14:paraId="4314CAF9"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155.7 ± 77.8</w:t>
            </w:r>
          </w:p>
        </w:tc>
        <w:tc>
          <w:tcPr>
            <w:tcW w:w="1635" w:type="dxa"/>
            <w:shd w:val="clear" w:color="auto" w:fill="auto"/>
            <w:vAlign w:val="center"/>
          </w:tcPr>
          <w:p w14:paraId="0FBB79A4"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134.3 ± 73.6</w:t>
            </w:r>
          </w:p>
        </w:tc>
      </w:tr>
      <w:tr w:rsidR="00330FA4" w:rsidRPr="003B1108" w14:paraId="545EF1C9" w14:textId="77777777" w:rsidTr="001B7C84">
        <w:trPr>
          <w:trHeight w:val="481"/>
          <w:jc w:val="center"/>
        </w:trPr>
        <w:tc>
          <w:tcPr>
            <w:tcW w:w="3818" w:type="dxa"/>
            <w:shd w:val="clear" w:color="auto" w:fill="auto"/>
            <w:vAlign w:val="center"/>
          </w:tcPr>
          <w:p w14:paraId="0CE0D1C6" w14:textId="284C8E7E"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AFP (ng/m</w:t>
            </w:r>
            <w:r w:rsidR="00212D40" w:rsidRPr="003B1108">
              <w:rPr>
                <w:rFonts w:ascii="Book Antiqua" w:hAnsi="Book Antiqua"/>
                <w:color w:val="212121"/>
                <w:sz w:val="24"/>
                <w:szCs w:val="24"/>
                <w:shd w:val="clear" w:color="auto" w:fill="FFFFFF"/>
              </w:rPr>
              <w:t>L</w:t>
            </w:r>
            <w:r w:rsidRPr="003B1108">
              <w:rPr>
                <w:rFonts w:ascii="Book Antiqua" w:hAnsi="Book Antiqua"/>
                <w:color w:val="212121"/>
                <w:sz w:val="24"/>
                <w:szCs w:val="24"/>
                <w:shd w:val="clear" w:color="auto" w:fill="FFFFFF"/>
              </w:rPr>
              <w:t>)</w:t>
            </w:r>
          </w:p>
        </w:tc>
        <w:tc>
          <w:tcPr>
            <w:tcW w:w="2002" w:type="dxa"/>
            <w:shd w:val="clear" w:color="auto" w:fill="auto"/>
            <w:vAlign w:val="center"/>
          </w:tcPr>
          <w:p w14:paraId="27DC5699"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4.69 ± 5.79</w:t>
            </w:r>
          </w:p>
        </w:tc>
        <w:tc>
          <w:tcPr>
            <w:tcW w:w="1687" w:type="dxa"/>
            <w:shd w:val="clear" w:color="auto" w:fill="auto"/>
            <w:vAlign w:val="center"/>
          </w:tcPr>
          <w:p w14:paraId="4AF2F1DD"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5.01 ± 7.33</w:t>
            </w:r>
          </w:p>
        </w:tc>
        <w:tc>
          <w:tcPr>
            <w:tcW w:w="1686" w:type="dxa"/>
            <w:shd w:val="clear" w:color="auto" w:fill="auto"/>
            <w:vAlign w:val="center"/>
          </w:tcPr>
          <w:p w14:paraId="653593A9"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4.30 ± 2.02</w:t>
            </w:r>
          </w:p>
        </w:tc>
        <w:tc>
          <w:tcPr>
            <w:tcW w:w="1635" w:type="dxa"/>
            <w:shd w:val="clear" w:color="auto" w:fill="auto"/>
            <w:vAlign w:val="center"/>
          </w:tcPr>
          <w:p w14:paraId="536E9535"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3.81 ± 2.27</w:t>
            </w:r>
          </w:p>
        </w:tc>
      </w:tr>
      <w:tr w:rsidR="00330FA4" w:rsidRPr="003B1108" w14:paraId="5B8CA27A" w14:textId="77777777" w:rsidTr="001B7C84">
        <w:trPr>
          <w:trHeight w:val="70"/>
          <w:jc w:val="center"/>
        </w:trPr>
        <w:tc>
          <w:tcPr>
            <w:tcW w:w="3818" w:type="dxa"/>
            <w:shd w:val="clear" w:color="auto" w:fill="auto"/>
            <w:vAlign w:val="center"/>
          </w:tcPr>
          <w:p w14:paraId="596E9C90" w14:textId="670CEA11"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Treatment experienced</w:t>
            </w:r>
            <w:r w:rsidR="009C64EB" w:rsidRPr="003B1108">
              <w:rPr>
                <w:rFonts w:ascii="Book Antiqua" w:hAnsi="Book Antiqua"/>
                <w:color w:val="212121"/>
                <w:sz w:val="24"/>
                <w:szCs w:val="24"/>
                <w:shd w:val="clear" w:color="auto" w:fill="FFFFFF"/>
              </w:rPr>
              <w:t xml:space="preserve">, </w:t>
            </w:r>
            <w:r w:rsidR="009C64EB" w:rsidRPr="003B1108">
              <w:rPr>
                <w:rFonts w:ascii="Book Antiqua" w:hAnsi="Book Antiqua"/>
                <w:i/>
                <w:iCs/>
                <w:color w:val="212121"/>
                <w:sz w:val="24"/>
                <w:szCs w:val="24"/>
                <w:shd w:val="clear" w:color="auto" w:fill="FFFFFF"/>
              </w:rPr>
              <w:t>n</w:t>
            </w:r>
            <w:r w:rsidR="009C64EB" w:rsidRPr="003B1108">
              <w:rPr>
                <w:rFonts w:ascii="Book Antiqua" w:hAnsi="Book Antiqua"/>
                <w:color w:val="212121"/>
                <w:sz w:val="24"/>
                <w:szCs w:val="24"/>
                <w:shd w:val="clear" w:color="auto" w:fill="FFFFFF"/>
              </w:rPr>
              <w:t xml:space="preserve"> (%)</w:t>
            </w:r>
          </w:p>
        </w:tc>
        <w:tc>
          <w:tcPr>
            <w:tcW w:w="2002" w:type="dxa"/>
            <w:shd w:val="clear" w:color="auto" w:fill="auto"/>
            <w:vAlign w:val="center"/>
          </w:tcPr>
          <w:p w14:paraId="03791369"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50 (13.7)</w:t>
            </w:r>
          </w:p>
        </w:tc>
        <w:tc>
          <w:tcPr>
            <w:tcW w:w="1687" w:type="dxa"/>
            <w:shd w:val="clear" w:color="auto" w:fill="auto"/>
            <w:vAlign w:val="center"/>
          </w:tcPr>
          <w:p w14:paraId="56EA677A"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26 (12.0)</w:t>
            </w:r>
          </w:p>
        </w:tc>
        <w:tc>
          <w:tcPr>
            <w:tcW w:w="1686" w:type="dxa"/>
            <w:shd w:val="clear" w:color="auto" w:fill="auto"/>
            <w:vAlign w:val="center"/>
          </w:tcPr>
          <w:p w14:paraId="7990A655"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20 (15.9)</w:t>
            </w:r>
          </w:p>
        </w:tc>
        <w:tc>
          <w:tcPr>
            <w:tcW w:w="1635" w:type="dxa"/>
            <w:shd w:val="clear" w:color="auto" w:fill="auto"/>
            <w:vAlign w:val="center"/>
          </w:tcPr>
          <w:p w14:paraId="3D4A041D"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 (16.7)</w:t>
            </w:r>
          </w:p>
        </w:tc>
      </w:tr>
      <w:tr w:rsidR="00330FA4" w:rsidRPr="003B1108" w14:paraId="53691F75" w14:textId="77777777" w:rsidTr="001B7C84">
        <w:trPr>
          <w:trHeight w:val="495"/>
          <w:jc w:val="center"/>
        </w:trPr>
        <w:tc>
          <w:tcPr>
            <w:tcW w:w="3818" w:type="dxa"/>
            <w:shd w:val="clear" w:color="auto" w:fill="auto"/>
            <w:vAlign w:val="center"/>
          </w:tcPr>
          <w:p w14:paraId="3D420946" w14:textId="66D56285"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Cirrhosis</w:t>
            </w:r>
            <w:r w:rsidR="009C64EB" w:rsidRPr="003B1108">
              <w:rPr>
                <w:rFonts w:ascii="Book Antiqua" w:hAnsi="Book Antiqua"/>
                <w:color w:val="212121"/>
                <w:sz w:val="24"/>
                <w:szCs w:val="24"/>
                <w:shd w:val="clear" w:color="auto" w:fill="FFFFFF"/>
              </w:rPr>
              <w:t xml:space="preserve">, </w:t>
            </w:r>
            <w:r w:rsidR="009C64EB" w:rsidRPr="003B1108">
              <w:rPr>
                <w:rFonts w:ascii="Book Antiqua" w:hAnsi="Book Antiqua"/>
                <w:i/>
                <w:iCs/>
                <w:color w:val="212121"/>
                <w:sz w:val="24"/>
                <w:szCs w:val="24"/>
                <w:shd w:val="clear" w:color="auto" w:fill="FFFFFF"/>
              </w:rPr>
              <w:t>n</w:t>
            </w:r>
            <w:r w:rsidR="009C64EB" w:rsidRPr="003B1108">
              <w:rPr>
                <w:rFonts w:ascii="Book Antiqua" w:hAnsi="Book Antiqua"/>
                <w:color w:val="212121"/>
                <w:sz w:val="24"/>
                <w:szCs w:val="24"/>
                <w:shd w:val="clear" w:color="auto" w:fill="FFFFFF"/>
              </w:rPr>
              <w:t xml:space="preserve"> (%)</w:t>
            </w:r>
          </w:p>
        </w:tc>
        <w:tc>
          <w:tcPr>
            <w:tcW w:w="2002" w:type="dxa"/>
            <w:shd w:val="clear" w:color="auto" w:fill="auto"/>
            <w:vAlign w:val="center"/>
          </w:tcPr>
          <w:p w14:paraId="296A8BF0"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154 (42.1)</w:t>
            </w:r>
          </w:p>
        </w:tc>
        <w:tc>
          <w:tcPr>
            <w:tcW w:w="1687" w:type="dxa"/>
            <w:shd w:val="clear" w:color="auto" w:fill="auto"/>
            <w:vAlign w:val="center"/>
          </w:tcPr>
          <w:p w14:paraId="778730EE"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96 (43.5)</w:t>
            </w:r>
          </w:p>
        </w:tc>
        <w:tc>
          <w:tcPr>
            <w:tcW w:w="1686" w:type="dxa"/>
            <w:shd w:val="clear" w:color="auto" w:fill="auto"/>
            <w:vAlign w:val="center"/>
          </w:tcPr>
          <w:p w14:paraId="186D03E3"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46 (36.5)</w:t>
            </w:r>
          </w:p>
        </w:tc>
        <w:tc>
          <w:tcPr>
            <w:tcW w:w="1635" w:type="dxa"/>
            <w:shd w:val="clear" w:color="auto" w:fill="auto"/>
            <w:vAlign w:val="center"/>
          </w:tcPr>
          <w:p w14:paraId="293AE4D2"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12 (50)</w:t>
            </w:r>
          </w:p>
        </w:tc>
      </w:tr>
      <w:tr w:rsidR="00330FA4" w:rsidRPr="003B1108" w14:paraId="4F74A006" w14:textId="77777777" w:rsidTr="001B7C84">
        <w:trPr>
          <w:trHeight w:val="70"/>
          <w:jc w:val="center"/>
        </w:trPr>
        <w:tc>
          <w:tcPr>
            <w:tcW w:w="3818" w:type="dxa"/>
            <w:shd w:val="clear" w:color="auto" w:fill="auto"/>
            <w:vAlign w:val="center"/>
          </w:tcPr>
          <w:p w14:paraId="02E8BD2D" w14:textId="33C47C61"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HBV/HCV co-infection</w:t>
            </w:r>
            <w:r w:rsidR="009C64EB" w:rsidRPr="003B1108">
              <w:rPr>
                <w:rFonts w:ascii="Book Antiqua" w:hAnsi="Book Antiqua"/>
                <w:color w:val="212121"/>
                <w:sz w:val="24"/>
                <w:szCs w:val="24"/>
                <w:shd w:val="clear" w:color="auto" w:fill="FFFFFF"/>
              </w:rPr>
              <w:t xml:space="preserve">, </w:t>
            </w:r>
            <w:r w:rsidR="009C64EB" w:rsidRPr="003B1108">
              <w:rPr>
                <w:rFonts w:ascii="Book Antiqua" w:hAnsi="Book Antiqua"/>
                <w:i/>
                <w:iCs/>
                <w:color w:val="212121"/>
                <w:sz w:val="24"/>
                <w:szCs w:val="24"/>
                <w:shd w:val="clear" w:color="auto" w:fill="FFFFFF"/>
              </w:rPr>
              <w:t>n</w:t>
            </w:r>
            <w:r w:rsidR="009C64EB" w:rsidRPr="003B1108">
              <w:rPr>
                <w:rFonts w:ascii="Book Antiqua" w:hAnsi="Book Antiqua"/>
                <w:color w:val="212121"/>
                <w:sz w:val="24"/>
                <w:szCs w:val="24"/>
                <w:shd w:val="clear" w:color="auto" w:fill="FFFFFF"/>
              </w:rPr>
              <w:t xml:space="preserve"> (%)</w:t>
            </w:r>
          </w:p>
        </w:tc>
        <w:tc>
          <w:tcPr>
            <w:tcW w:w="2002" w:type="dxa"/>
            <w:shd w:val="clear" w:color="auto" w:fill="auto"/>
            <w:vAlign w:val="center"/>
          </w:tcPr>
          <w:p w14:paraId="35AE0984"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25 (6.8)</w:t>
            </w:r>
          </w:p>
        </w:tc>
        <w:tc>
          <w:tcPr>
            <w:tcW w:w="1687" w:type="dxa"/>
            <w:shd w:val="clear" w:color="auto" w:fill="auto"/>
            <w:vAlign w:val="center"/>
          </w:tcPr>
          <w:p w14:paraId="70AFE033"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12 (5.6)</w:t>
            </w:r>
          </w:p>
        </w:tc>
        <w:tc>
          <w:tcPr>
            <w:tcW w:w="1686" w:type="dxa"/>
            <w:shd w:val="clear" w:color="auto" w:fill="auto"/>
            <w:vAlign w:val="center"/>
          </w:tcPr>
          <w:p w14:paraId="2638EDCE"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9 (7.1)</w:t>
            </w:r>
          </w:p>
        </w:tc>
        <w:tc>
          <w:tcPr>
            <w:tcW w:w="1635" w:type="dxa"/>
            <w:shd w:val="clear" w:color="auto" w:fill="auto"/>
            <w:vAlign w:val="center"/>
          </w:tcPr>
          <w:p w14:paraId="7107B340"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 (16.7)</w:t>
            </w:r>
          </w:p>
        </w:tc>
      </w:tr>
      <w:tr w:rsidR="00330FA4" w:rsidRPr="003B1108" w14:paraId="09EC84D2" w14:textId="77777777" w:rsidTr="001B7C84">
        <w:trPr>
          <w:trHeight w:val="70"/>
          <w:jc w:val="center"/>
        </w:trPr>
        <w:tc>
          <w:tcPr>
            <w:tcW w:w="3818" w:type="dxa"/>
            <w:shd w:val="clear" w:color="auto" w:fill="auto"/>
            <w:vAlign w:val="center"/>
          </w:tcPr>
          <w:p w14:paraId="482BF719" w14:textId="13E45155"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Diabetes mellitus</w:t>
            </w:r>
            <w:r w:rsidR="009C64EB" w:rsidRPr="003B1108">
              <w:rPr>
                <w:rFonts w:ascii="Book Antiqua" w:hAnsi="Book Antiqua"/>
                <w:color w:val="212121"/>
                <w:sz w:val="24"/>
                <w:szCs w:val="24"/>
                <w:shd w:val="clear" w:color="auto" w:fill="FFFFFF"/>
              </w:rPr>
              <w:t xml:space="preserve">, </w:t>
            </w:r>
            <w:r w:rsidR="009C64EB" w:rsidRPr="003B1108">
              <w:rPr>
                <w:rFonts w:ascii="Book Antiqua" w:hAnsi="Book Antiqua"/>
                <w:i/>
                <w:iCs/>
                <w:color w:val="212121"/>
                <w:sz w:val="24"/>
                <w:szCs w:val="24"/>
                <w:shd w:val="clear" w:color="auto" w:fill="FFFFFF"/>
              </w:rPr>
              <w:t>n</w:t>
            </w:r>
            <w:r w:rsidR="009C64EB" w:rsidRPr="003B1108">
              <w:rPr>
                <w:rFonts w:ascii="Book Antiqua" w:hAnsi="Book Antiqua"/>
                <w:color w:val="212121"/>
                <w:sz w:val="24"/>
                <w:szCs w:val="24"/>
                <w:shd w:val="clear" w:color="auto" w:fill="FFFFFF"/>
              </w:rPr>
              <w:t xml:space="preserve"> (%)</w:t>
            </w:r>
          </w:p>
        </w:tc>
        <w:tc>
          <w:tcPr>
            <w:tcW w:w="2002" w:type="dxa"/>
            <w:shd w:val="clear" w:color="auto" w:fill="auto"/>
            <w:vAlign w:val="center"/>
          </w:tcPr>
          <w:p w14:paraId="59B349A8"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17 (4.6)</w:t>
            </w:r>
          </w:p>
        </w:tc>
        <w:tc>
          <w:tcPr>
            <w:tcW w:w="1687" w:type="dxa"/>
            <w:shd w:val="clear" w:color="auto" w:fill="auto"/>
            <w:vAlign w:val="center"/>
          </w:tcPr>
          <w:p w14:paraId="4E1D8820"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12 (5.6)</w:t>
            </w:r>
          </w:p>
        </w:tc>
        <w:tc>
          <w:tcPr>
            <w:tcW w:w="1686" w:type="dxa"/>
            <w:shd w:val="clear" w:color="auto" w:fill="auto"/>
            <w:vAlign w:val="center"/>
          </w:tcPr>
          <w:p w14:paraId="5DFC0226"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 (3.2)</w:t>
            </w:r>
          </w:p>
        </w:tc>
        <w:tc>
          <w:tcPr>
            <w:tcW w:w="1635" w:type="dxa"/>
            <w:shd w:val="clear" w:color="auto" w:fill="auto"/>
            <w:vAlign w:val="center"/>
          </w:tcPr>
          <w:p w14:paraId="27EB536F"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 (4.2)</w:t>
            </w:r>
          </w:p>
        </w:tc>
      </w:tr>
      <w:tr w:rsidR="00330FA4" w:rsidRPr="003B1108" w14:paraId="5BC582AE" w14:textId="77777777" w:rsidTr="001B7C84">
        <w:trPr>
          <w:trHeight w:val="481"/>
          <w:jc w:val="center"/>
        </w:trPr>
        <w:tc>
          <w:tcPr>
            <w:tcW w:w="3818" w:type="dxa"/>
            <w:shd w:val="clear" w:color="auto" w:fill="auto"/>
            <w:vAlign w:val="center"/>
          </w:tcPr>
          <w:p w14:paraId="51B0284E" w14:textId="3910F748"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Hypertension</w:t>
            </w:r>
            <w:r w:rsidR="009C64EB" w:rsidRPr="003B1108">
              <w:rPr>
                <w:rFonts w:ascii="Book Antiqua" w:hAnsi="Book Antiqua"/>
                <w:color w:val="212121"/>
                <w:sz w:val="24"/>
                <w:szCs w:val="24"/>
                <w:shd w:val="clear" w:color="auto" w:fill="FFFFFF"/>
              </w:rPr>
              <w:t xml:space="preserve">, </w:t>
            </w:r>
            <w:r w:rsidR="009C64EB" w:rsidRPr="003B1108">
              <w:rPr>
                <w:rFonts w:ascii="Book Antiqua" w:hAnsi="Book Antiqua"/>
                <w:i/>
                <w:iCs/>
                <w:color w:val="212121"/>
                <w:sz w:val="24"/>
                <w:szCs w:val="24"/>
                <w:shd w:val="clear" w:color="auto" w:fill="FFFFFF"/>
              </w:rPr>
              <w:t>n</w:t>
            </w:r>
            <w:r w:rsidR="009C64EB" w:rsidRPr="003B1108">
              <w:rPr>
                <w:rFonts w:ascii="Book Antiqua" w:hAnsi="Book Antiqua"/>
                <w:color w:val="212121"/>
                <w:sz w:val="24"/>
                <w:szCs w:val="24"/>
                <w:shd w:val="clear" w:color="auto" w:fill="FFFFFF"/>
              </w:rPr>
              <w:t xml:space="preserve"> (%)</w:t>
            </w:r>
          </w:p>
        </w:tc>
        <w:tc>
          <w:tcPr>
            <w:tcW w:w="2002" w:type="dxa"/>
            <w:shd w:val="clear" w:color="auto" w:fill="auto"/>
            <w:vAlign w:val="center"/>
          </w:tcPr>
          <w:p w14:paraId="6E072521"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24 (6.6)</w:t>
            </w:r>
          </w:p>
        </w:tc>
        <w:tc>
          <w:tcPr>
            <w:tcW w:w="1687" w:type="dxa"/>
            <w:shd w:val="clear" w:color="auto" w:fill="auto"/>
            <w:vAlign w:val="center"/>
          </w:tcPr>
          <w:p w14:paraId="2328594D"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16 (7.4)</w:t>
            </w:r>
          </w:p>
        </w:tc>
        <w:tc>
          <w:tcPr>
            <w:tcW w:w="1686" w:type="dxa"/>
            <w:shd w:val="clear" w:color="auto" w:fill="auto"/>
            <w:vAlign w:val="center"/>
          </w:tcPr>
          <w:p w14:paraId="5DF6B19E"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8 (6.3)</w:t>
            </w:r>
          </w:p>
        </w:tc>
        <w:tc>
          <w:tcPr>
            <w:tcW w:w="1635" w:type="dxa"/>
            <w:shd w:val="clear" w:color="auto" w:fill="auto"/>
            <w:vAlign w:val="center"/>
          </w:tcPr>
          <w:p w14:paraId="5C08E1A6"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 (0)</w:t>
            </w:r>
          </w:p>
        </w:tc>
      </w:tr>
      <w:tr w:rsidR="00330FA4" w:rsidRPr="003B1108" w14:paraId="7F9E52A4" w14:textId="77777777" w:rsidTr="001B7C84">
        <w:trPr>
          <w:trHeight w:val="70"/>
          <w:jc w:val="center"/>
        </w:trPr>
        <w:tc>
          <w:tcPr>
            <w:tcW w:w="3818" w:type="dxa"/>
            <w:shd w:val="clear" w:color="auto" w:fill="auto"/>
            <w:vAlign w:val="center"/>
          </w:tcPr>
          <w:p w14:paraId="43334432" w14:textId="5AEB50FB"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Fatty liver disease</w:t>
            </w:r>
            <w:r w:rsidR="009C64EB" w:rsidRPr="003B1108">
              <w:rPr>
                <w:rFonts w:ascii="Book Antiqua" w:hAnsi="Book Antiqua"/>
                <w:color w:val="212121"/>
                <w:sz w:val="24"/>
                <w:szCs w:val="24"/>
                <w:shd w:val="clear" w:color="auto" w:fill="FFFFFF"/>
              </w:rPr>
              <w:t xml:space="preserve">, </w:t>
            </w:r>
            <w:r w:rsidR="009C64EB" w:rsidRPr="003B1108">
              <w:rPr>
                <w:rFonts w:ascii="Book Antiqua" w:hAnsi="Book Antiqua"/>
                <w:i/>
                <w:iCs/>
                <w:color w:val="212121"/>
                <w:sz w:val="24"/>
                <w:szCs w:val="24"/>
                <w:shd w:val="clear" w:color="auto" w:fill="FFFFFF"/>
              </w:rPr>
              <w:t>n</w:t>
            </w:r>
            <w:r w:rsidR="009C64EB" w:rsidRPr="003B1108">
              <w:rPr>
                <w:rFonts w:ascii="Book Antiqua" w:hAnsi="Book Antiqua"/>
                <w:color w:val="212121"/>
                <w:sz w:val="24"/>
                <w:szCs w:val="24"/>
                <w:shd w:val="clear" w:color="auto" w:fill="FFFFFF"/>
              </w:rPr>
              <w:t xml:space="preserve"> (%)</w:t>
            </w:r>
          </w:p>
        </w:tc>
        <w:tc>
          <w:tcPr>
            <w:tcW w:w="2002" w:type="dxa"/>
            <w:shd w:val="clear" w:color="auto" w:fill="auto"/>
            <w:vAlign w:val="center"/>
          </w:tcPr>
          <w:p w14:paraId="20CC1D17"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52 (14.2)</w:t>
            </w:r>
          </w:p>
        </w:tc>
        <w:tc>
          <w:tcPr>
            <w:tcW w:w="1687" w:type="dxa"/>
            <w:shd w:val="clear" w:color="auto" w:fill="auto"/>
            <w:vAlign w:val="center"/>
          </w:tcPr>
          <w:p w14:paraId="5184B68C"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31 (14.4)</w:t>
            </w:r>
          </w:p>
        </w:tc>
        <w:tc>
          <w:tcPr>
            <w:tcW w:w="1686" w:type="dxa"/>
            <w:shd w:val="clear" w:color="auto" w:fill="auto"/>
            <w:vAlign w:val="center"/>
          </w:tcPr>
          <w:p w14:paraId="6B5C05BA"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16 (12.7)</w:t>
            </w:r>
          </w:p>
        </w:tc>
        <w:tc>
          <w:tcPr>
            <w:tcW w:w="1635" w:type="dxa"/>
            <w:shd w:val="clear" w:color="auto" w:fill="auto"/>
            <w:vAlign w:val="center"/>
          </w:tcPr>
          <w:p w14:paraId="4454ADDA"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 (20.8)</w:t>
            </w:r>
          </w:p>
        </w:tc>
      </w:tr>
    </w:tbl>
    <w:p w14:paraId="7BE9DC07" w14:textId="1CB77479" w:rsidR="00330FA4" w:rsidRDefault="00330FA4" w:rsidP="003B1108">
      <w:pPr>
        <w:adjustRightInd w:val="0"/>
        <w:snapToGrid w:val="0"/>
        <w:spacing w:line="360" w:lineRule="auto"/>
        <w:rPr>
          <w:rFonts w:ascii="Book Antiqua" w:hAnsi="Book Antiqua"/>
          <w:bCs/>
          <w:sz w:val="24"/>
          <w:szCs w:val="24"/>
        </w:rPr>
      </w:pPr>
      <w:proofErr w:type="spellStart"/>
      <w:r w:rsidRPr="003B1108">
        <w:rPr>
          <w:rFonts w:ascii="Book Antiqua" w:hAnsi="Book Antiqua"/>
          <w:bCs/>
          <w:sz w:val="24"/>
          <w:szCs w:val="24"/>
        </w:rPr>
        <w:t>TBil</w:t>
      </w:r>
      <w:proofErr w:type="spellEnd"/>
      <w:r w:rsidR="0023142D" w:rsidRPr="003B1108">
        <w:rPr>
          <w:rFonts w:ascii="Book Antiqua" w:hAnsi="Book Antiqua"/>
          <w:bCs/>
          <w:sz w:val="24"/>
          <w:szCs w:val="24"/>
        </w:rPr>
        <w:t>:</w:t>
      </w:r>
      <w:r w:rsidRPr="003B1108">
        <w:rPr>
          <w:rFonts w:ascii="Book Antiqua" w:hAnsi="Book Antiqua"/>
          <w:bCs/>
          <w:sz w:val="24"/>
          <w:szCs w:val="24"/>
        </w:rPr>
        <w:t xml:space="preserve"> </w:t>
      </w:r>
      <w:r w:rsidR="00212D40" w:rsidRPr="003B1108">
        <w:rPr>
          <w:rFonts w:ascii="Book Antiqua" w:hAnsi="Book Antiqua"/>
          <w:bCs/>
          <w:sz w:val="24"/>
          <w:szCs w:val="24"/>
        </w:rPr>
        <w:t>T</w:t>
      </w:r>
      <w:r w:rsidRPr="003B1108">
        <w:rPr>
          <w:rFonts w:ascii="Book Antiqua" w:hAnsi="Book Antiqua"/>
          <w:bCs/>
          <w:sz w:val="24"/>
          <w:szCs w:val="24"/>
        </w:rPr>
        <w:t>otal bilirubin; ALT</w:t>
      </w:r>
      <w:r w:rsidR="0023142D" w:rsidRPr="003B1108">
        <w:rPr>
          <w:rFonts w:ascii="Book Antiqua" w:hAnsi="Book Antiqua"/>
          <w:bCs/>
          <w:sz w:val="24"/>
          <w:szCs w:val="24"/>
        </w:rPr>
        <w:t>:</w:t>
      </w:r>
      <w:r w:rsidRPr="003B1108">
        <w:rPr>
          <w:rFonts w:ascii="Book Antiqua" w:hAnsi="Book Antiqua"/>
          <w:bCs/>
          <w:sz w:val="24"/>
          <w:szCs w:val="24"/>
        </w:rPr>
        <w:t xml:space="preserve"> </w:t>
      </w:r>
      <w:r w:rsidR="00885A97" w:rsidRPr="00885A97">
        <w:rPr>
          <w:rFonts w:ascii="Book Antiqua" w:hAnsi="Book Antiqua"/>
          <w:bCs/>
          <w:sz w:val="24"/>
          <w:szCs w:val="24"/>
        </w:rPr>
        <w:t>Alanine aminotransferase</w:t>
      </w:r>
      <w:r w:rsidRPr="003B1108">
        <w:rPr>
          <w:rFonts w:ascii="Book Antiqua" w:hAnsi="Book Antiqua"/>
          <w:bCs/>
          <w:sz w:val="24"/>
          <w:szCs w:val="24"/>
        </w:rPr>
        <w:t>; AST</w:t>
      </w:r>
      <w:r w:rsidR="0023142D" w:rsidRPr="003B1108">
        <w:rPr>
          <w:rFonts w:ascii="Book Antiqua" w:hAnsi="Book Antiqua"/>
          <w:bCs/>
          <w:sz w:val="24"/>
          <w:szCs w:val="24"/>
        </w:rPr>
        <w:t>:</w:t>
      </w:r>
      <w:r w:rsidRPr="003B1108">
        <w:rPr>
          <w:rFonts w:ascii="Book Antiqua" w:hAnsi="Book Antiqua"/>
          <w:bCs/>
          <w:sz w:val="24"/>
          <w:szCs w:val="24"/>
        </w:rPr>
        <w:t xml:space="preserve"> </w:t>
      </w:r>
      <w:r w:rsidR="00212D40" w:rsidRPr="003B1108">
        <w:rPr>
          <w:rFonts w:ascii="Book Antiqua" w:hAnsi="Book Antiqua"/>
          <w:bCs/>
          <w:sz w:val="24"/>
          <w:szCs w:val="24"/>
        </w:rPr>
        <w:t>A</w:t>
      </w:r>
      <w:r w:rsidRPr="003B1108">
        <w:rPr>
          <w:rFonts w:ascii="Book Antiqua" w:hAnsi="Book Antiqua"/>
          <w:bCs/>
          <w:sz w:val="24"/>
          <w:szCs w:val="24"/>
        </w:rPr>
        <w:t>spartate aminotransferase; TCHO</w:t>
      </w:r>
      <w:r w:rsidR="0023142D" w:rsidRPr="003B1108">
        <w:rPr>
          <w:rFonts w:ascii="Book Antiqua" w:hAnsi="Book Antiqua"/>
          <w:bCs/>
          <w:sz w:val="24"/>
          <w:szCs w:val="24"/>
        </w:rPr>
        <w:t>:</w:t>
      </w:r>
      <w:r w:rsidRPr="003B1108">
        <w:rPr>
          <w:rFonts w:ascii="Book Antiqua" w:hAnsi="Book Antiqua"/>
          <w:bCs/>
          <w:sz w:val="24"/>
          <w:szCs w:val="24"/>
        </w:rPr>
        <w:t xml:space="preserve"> </w:t>
      </w:r>
      <w:r w:rsidR="00212D40" w:rsidRPr="003B1108">
        <w:rPr>
          <w:rFonts w:ascii="Book Antiqua" w:hAnsi="Book Antiqua"/>
          <w:bCs/>
          <w:sz w:val="24"/>
          <w:szCs w:val="24"/>
        </w:rPr>
        <w:t>T</w:t>
      </w:r>
      <w:r w:rsidRPr="003B1108">
        <w:rPr>
          <w:rFonts w:ascii="Book Antiqua" w:hAnsi="Book Antiqua"/>
          <w:bCs/>
          <w:sz w:val="24"/>
          <w:szCs w:val="24"/>
        </w:rPr>
        <w:t>otal cholesterol; AFP</w:t>
      </w:r>
      <w:r w:rsidR="0023142D" w:rsidRPr="003B1108">
        <w:rPr>
          <w:rFonts w:ascii="Book Antiqua" w:hAnsi="Book Antiqua"/>
          <w:bCs/>
          <w:sz w:val="24"/>
          <w:szCs w:val="24"/>
        </w:rPr>
        <w:t>:</w:t>
      </w:r>
      <w:r w:rsidRPr="003B1108">
        <w:rPr>
          <w:rFonts w:ascii="Book Antiqua" w:hAnsi="Book Antiqua"/>
          <w:bCs/>
          <w:sz w:val="24"/>
          <w:szCs w:val="24"/>
        </w:rPr>
        <w:t xml:space="preserve"> </w:t>
      </w:r>
      <w:r w:rsidR="00212D40" w:rsidRPr="003B1108">
        <w:rPr>
          <w:rFonts w:ascii="Book Antiqua" w:hAnsi="Book Antiqua"/>
          <w:bCs/>
          <w:sz w:val="24"/>
          <w:szCs w:val="24"/>
        </w:rPr>
        <w:t>A</w:t>
      </w:r>
      <w:r w:rsidRPr="003B1108">
        <w:rPr>
          <w:rFonts w:ascii="Book Antiqua" w:hAnsi="Book Antiqua"/>
          <w:bCs/>
          <w:sz w:val="24"/>
          <w:szCs w:val="24"/>
        </w:rPr>
        <w:t>lpha fetoprotein</w:t>
      </w:r>
      <w:r w:rsidR="005066FC">
        <w:rPr>
          <w:rFonts w:ascii="Book Antiqua" w:hAnsi="Book Antiqua"/>
          <w:bCs/>
          <w:sz w:val="24"/>
          <w:szCs w:val="24"/>
        </w:rPr>
        <w:t xml:space="preserve">; </w:t>
      </w:r>
      <w:r w:rsidR="005066FC" w:rsidRPr="003B1108">
        <w:rPr>
          <w:rFonts w:ascii="Book Antiqua" w:hAnsi="Book Antiqua"/>
          <w:color w:val="212121"/>
          <w:sz w:val="24"/>
          <w:szCs w:val="24"/>
          <w:shd w:val="clear" w:color="auto" w:fill="FFFFFF"/>
        </w:rPr>
        <w:t>HCV</w:t>
      </w:r>
      <w:r w:rsidR="005066FC">
        <w:rPr>
          <w:rFonts w:ascii="Book Antiqua" w:hAnsi="Book Antiqua"/>
          <w:color w:val="212121"/>
          <w:sz w:val="24"/>
          <w:szCs w:val="24"/>
          <w:shd w:val="clear" w:color="auto" w:fill="FFFFFF"/>
        </w:rPr>
        <w:t xml:space="preserve">: </w:t>
      </w:r>
      <w:r w:rsidR="005066FC" w:rsidRPr="003B1108">
        <w:rPr>
          <w:rFonts w:ascii="Book Antiqua" w:hAnsi="Book Antiqua"/>
          <w:sz w:val="24"/>
          <w:szCs w:val="24"/>
        </w:rPr>
        <w:t>Hepatitis C virus</w:t>
      </w:r>
      <w:r w:rsidR="005066FC">
        <w:rPr>
          <w:rFonts w:ascii="Book Antiqua" w:hAnsi="Book Antiqua"/>
          <w:sz w:val="24"/>
          <w:szCs w:val="24"/>
        </w:rPr>
        <w:t xml:space="preserve">; </w:t>
      </w:r>
      <w:r w:rsidR="005066FC" w:rsidRPr="003B1108">
        <w:rPr>
          <w:rFonts w:ascii="Book Antiqua" w:hAnsi="Book Antiqua"/>
          <w:color w:val="212121"/>
          <w:sz w:val="24"/>
          <w:szCs w:val="24"/>
          <w:shd w:val="clear" w:color="auto" w:fill="FFFFFF"/>
        </w:rPr>
        <w:t>HBV</w:t>
      </w:r>
      <w:r w:rsidR="005066FC">
        <w:rPr>
          <w:rFonts w:ascii="Book Antiqua" w:hAnsi="Book Antiqua"/>
          <w:color w:val="212121"/>
          <w:sz w:val="24"/>
          <w:szCs w:val="24"/>
          <w:shd w:val="clear" w:color="auto" w:fill="FFFFFF"/>
        </w:rPr>
        <w:t xml:space="preserve">: </w:t>
      </w:r>
      <w:r w:rsidR="005066FC" w:rsidRPr="003B1108">
        <w:rPr>
          <w:rFonts w:ascii="Book Antiqua" w:hAnsi="Book Antiqua"/>
          <w:bCs/>
          <w:sz w:val="24"/>
          <w:szCs w:val="24"/>
        </w:rPr>
        <w:t>Hepatitis B virus</w:t>
      </w:r>
      <w:r w:rsidR="005066FC">
        <w:rPr>
          <w:rFonts w:ascii="Book Antiqua" w:hAnsi="Book Antiqua"/>
          <w:bCs/>
          <w:sz w:val="24"/>
          <w:szCs w:val="24"/>
        </w:rPr>
        <w:t>.</w:t>
      </w:r>
    </w:p>
    <w:p w14:paraId="5BD24FCA" w14:textId="2E4BE40E" w:rsidR="005066FC" w:rsidRDefault="005066FC">
      <w:pPr>
        <w:widowControl/>
        <w:jc w:val="left"/>
        <w:rPr>
          <w:rFonts w:ascii="Book Antiqua" w:hAnsi="Book Antiqua"/>
          <w:bCs/>
          <w:sz w:val="24"/>
          <w:szCs w:val="24"/>
        </w:rPr>
      </w:pPr>
      <w:r>
        <w:rPr>
          <w:rFonts w:ascii="Book Antiqua" w:hAnsi="Book Antiqua"/>
          <w:bCs/>
          <w:sz w:val="24"/>
          <w:szCs w:val="24"/>
        </w:rPr>
        <w:br w:type="page"/>
      </w:r>
    </w:p>
    <w:p w14:paraId="6B62C59B" w14:textId="41CA9671" w:rsidR="00330FA4" w:rsidRPr="003B1108" w:rsidRDefault="00330FA4" w:rsidP="003B1108">
      <w:pPr>
        <w:adjustRightInd w:val="0"/>
        <w:snapToGrid w:val="0"/>
        <w:spacing w:line="360" w:lineRule="auto"/>
        <w:rPr>
          <w:rFonts w:ascii="Book Antiqua" w:hAnsi="Book Antiqua"/>
          <w:b/>
          <w:sz w:val="24"/>
          <w:szCs w:val="24"/>
        </w:rPr>
      </w:pPr>
      <w:r w:rsidRPr="003B1108">
        <w:rPr>
          <w:rFonts w:ascii="Book Antiqua" w:hAnsi="Book Antiqua"/>
          <w:b/>
          <w:sz w:val="24"/>
          <w:szCs w:val="24"/>
        </w:rPr>
        <w:lastRenderedPageBreak/>
        <w:t xml:space="preserve">Table 3 Baseline characteristics of </w:t>
      </w:r>
      <w:r w:rsidR="006B0171" w:rsidRPr="003B1108">
        <w:rPr>
          <w:rFonts w:ascii="Book Antiqua" w:hAnsi="Book Antiqua"/>
          <w:b/>
          <w:sz w:val="24"/>
          <w:szCs w:val="24"/>
        </w:rPr>
        <w:t>hepatitis C virus</w:t>
      </w:r>
      <w:r w:rsidRPr="003B1108">
        <w:rPr>
          <w:rFonts w:ascii="Book Antiqua" w:hAnsi="Book Antiqua"/>
          <w:b/>
          <w:sz w:val="24"/>
          <w:szCs w:val="24"/>
        </w:rPr>
        <w:t xml:space="preserve"> patients based on severity of liver disease</w:t>
      </w:r>
    </w:p>
    <w:tbl>
      <w:tblPr>
        <w:tblW w:w="9307" w:type="dxa"/>
        <w:jc w:val="center"/>
        <w:tblBorders>
          <w:top w:val="single" w:sz="4" w:space="0" w:color="auto"/>
          <w:bottom w:val="single" w:sz="4" w:space="0" w:color="auto"/>
        </w:tblBorders>
        <w:tblLook w:val="04A0" w:firstRow="1" w:lastRow="0" w:firstColumn="1" w:lastColumn="0" w:noHBand="0" w:noVBand="1"/>
      </w:tblPr>
      <w:tblGrid>
        <w:gridCol w:w="3611"/>
        <w:gridCol w:w="1742"/>
        <w:gridCol w:w="2835"/>
        <w:gridCol w:w="1119"/>
      </w:tblGrid>
      <w:tr w:rsidR="00330FA4" w:rsidRPr="003B1108" w14:paraId="6C752C3D" w14:textId="77777777" w:rsidTr="0002049E">
        <w:trPr>
          <w:trHeight w:val="555"/>
          <w:jc w:val="center"/>
        </w:trPr>
        <w:tc>
          <w:tcPr>
            <w:tcW w:w="3611" w:type="dxa"/>
            <w:tcBorders>
              <w:top w:val="single" w:sz="4" w:space="0" w:color="auto"/>
              <w:bottom w:val="single" w:sz="4" w:space="0" w:color="auto"/>
            </w:tcBorders>
            <w:shd w:val="clear" w:color="auto" w:fill="auto"/>
          </w:tcPr>
          <w:p w14:paraId="0305F4D4" w14:textId="77777777" w:rsidR="00330FA4" w:rsidRPr="003B1108" w:rsidRDefault="00330FA4" w:rsidP="003B1108">
            <w:pPr>
              <w:adjustRightInd w:val="0"/>
              <w:snapToGrid w:val="0"/>
              <w:spacing w:line="360" w:lineRule="auto"/>
              <w:jc w:val="center"/>
              <w:rPr>
                <w:rFonts w:ascii="Book Antiqua" w:hAnsi="Book Antiqua"/>
                <w:b/>
                <w:bCs/>
                <w:color w:val="212121"/>
                <w:sz w:val="24"/>
                <w:szCs w:val="24"/>
                <w:shd w:val="clear" w:color="auto" w:fill="FFFFFF"/>
              </w:rPr>
            </w:pPr>
          </w:p>
        </w:tc>
        <w:tc>
          <w:tcPr>
            <w:tcW w:w="1742" w:type="dxa"/>
            <w:tcBorders>
              <w:top w:val="single" w:sz="4" w:space="0" w:color="auto"/>
              <w:bottom w:val="single" w:sz="4" w:space="0" w:color="auto"/>
            </w:tcBorders>
            <w:shd w:val="clear" w:color="auto" w:fill="auto"/>
          </w:tcPr>
          <w:p w14:paraId="168E1514" w14:textId="77777777" w:rsidR="00330FA4" w:rsidRPr="003B1108" w:rsidRDefault="00330FA4" w:rsidP="003B1108">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Non-cirrhosis</w:t>
            </w:r>
          </w:p>
          <w:p w14:paraId="63CB4C40" w14:textId="4159F6B8" w:rsidR="00330FA4" w:rsidRPr="003B1108" w:rsidRDefault="00330FA4" w:rsidP="003B1108">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w:t>
            </w:r>
            <w:r w:rsidR="00212D40" w:rsidRPr="003B1108">
              <w:rPr>
                <w:rFonts w:ascii="Book Antiqua" w:hAnsi="Book Antiqua"/>
                <w:b/>
                <w:bCs/>
                <w:i/>
                <w:iCs/>
                <w:color w:val="212121"/>
                <w:sz w:val="24"/>
                <w:szCs w:val="24"/>
                <w:shd w:val="clear" w:color="auto" w:fill="FFFFFF"/>
              </w:rPr>
              <w:t>n</w:t>
            </w:r>
            <w:r w:rsidR="00212D40"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w:t>
            </w:r>
            <w:r w:rsidR="00212D40"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212)</w:t>
            </w:r>
          </w:p>
        </w:tc>
        <w:tc>
          <w:tcPr>
            <w:tcW w:w="2835" w:type="dxa"/>
            <w:tcBorders>
              <w:top w:val="single" w:sz="4" w:space="0" w:color="auto"/>
              <w:bottom w:val="single" w:sz="4" w:space="0" w:color="auto"/>
            </w:tcBorders>
            <w:shd w:val="clear" w:color="auto" w:fill="auto"/>
            <w:vAlign w:val="center"/>
          </w:tcPr>
          <w:p w14:paraId="093915A2" w14:textId="1FF8CAF0" w:rsidR="00330FA4" w:rsidRPr="003B1108" w:rsidRDefault="00330FA4" w:rsidP="003B1108">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Cirrhosis (compensated</w:t>
            </w:r>
          </w:p>
          <w:p w14:paraId="6DFFAE48" w14:textId="3DB994BE" w:rsidR="00330FA4" w:rsidRPr="003B1108" w:rsidRDefault="00330FA4" w:rsidP="003B1108">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and decompensated) (</w:t>
            </w:r>
            <w:r w:rsidR="00212D40" w:rsidRPr="003B1108">
              <w:rPr>
                <w:rFonts w:ascii="Book Antiqua" w:hAnsi="Book Antiqua"/>
                <w:b/>
                <w:bCs/>
                <w:i/>
                <w:iCs/>
                <w:color w:val="212121"/>
                <w:sz w:val="24"/>
                <w:szCs w:val="24"/>
                <w:shd w:val="clear" w:color="auto" w:fill="FFFFFF"/>
              </w:rPr>
              <w:t>n</w:t>
            </w:r>
            <w:r w:rsidR="00212D40"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w:t>
            </w:r>
            <w:r w:rsidR="00212D40"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154)</w:t>
            </w:r>
          </w:p>
        </w:tc>
        <w:tc>
          <w:tcPr>
            <w:tcW w:w="1119" w:type="dxa"/>
            <w:tcBorders>
              <w:top w:val="single" w:sz="4" w:space="0" w:color="auto"/>
              <w:bottom w:val="single" w:sz="4" w:space="0" w:color="auto"/>
            </w:tcBorders>
            <w:shd w:val="clear" w:color="auto" w:fill="auto"/>
          </w:tcPr>
          <w:p w14:paraId="04CDF679" w14:textId="58A02B83" w:rsidR="00330FA4" w:rsidRPr="003B1108" w:rsidRDefault="00330FA4">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i/>
                <w:color w:val="212121"/>
                <w:sz w:val="24"/>
                <w:szCs w:val="24"/>
                <w:shd w:val="clear" w:color="auto" w:fill="FFFFFF"/>
              </w:rPr>
              <w:t>P</w:t>
            </w:r>
            <w:r w:rsidR="001D2613">
              <w:rPr>
                <w:rFonts w:ascii="Book Antiqua" w:hAnsi="Book Antiqua"/>
                <w:b/>
                <w:bCs/>
                <w:i/>
                <w:color w:val="212121"/>
                <w:sz w:val="24"/>
                <w:szCs w:val="24"/>
                <w:shd w:val="clear" w:color="auto" w:fill="FFFFFF"/>
              </w:rPr>
              <w:t xml:space="preserve"> </w:t>
            </w:r>
            <w:r w:rsidR="001D2613" w:rsidRPr="001D2613">
              <w:rPr>
                <w:rFonts w:ascii="Book Antiqua" w:hAnsi="Book Antiqua" w:hint="eastAsia"/>
                <w:b/>
                <w:bCs/>
                <w:iCs/>
                <w:color w:val="212121"/>
                <w:sz w:val="24"/>
                <w:szCs w:val="24"/>
                <w:shd w:val="clear" w:color="auto" w:fill="FFFFFF"/>
              </w:rPr>
              <w:t>value</w:t>
            </w:r>
          </w:p>
        </w:tc>
      </w:tr>
      <w:tr w:rsidR="00330FA4" w:rsidRPr="003B1108" w14:paraId="5C53A027" w14:textId="77777777" w:rsidTr="0002049E">
        <w:trPr>
          <w:trHeight w:val="478"/>
          <w:jc w:val="center"/>
        </w:trPr>
        <w:tc>
          <w:tcPr>
            <w:tcW w:w="3611" w:type="dxa"/>
            <w:tcBorders>
              <w:top w:val="single" w:sz="4" w:space="0" w:color="auto"/>
            </w:tcBorders>
            <w:shd w:val="clear" w:color="auto" w:fill="auto"/>
          </w:tcPr>
          <w:p w14:paraId="662F0769" w14:textId="70512256"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Age (</w:t>
            </w:r>
            <w:proofErr w:type="spellStart"/>
            <w:r w:rsidRPr="003B1108">
              <w:rPr>
                <w:rFonts w:ascii="Book Antiqua" w:hAnsi="Book Antiqua"/>
                <w:color w:val="212121"/>
                <w:sz w:val="24"/>
                <w:szCs w:val="24"/>
                <w:shd w:val="clear" w:color="auto" w:fill="FFFFFF"/>
              </w:rPr>
              <w:t>yr</w:t>
            </w:r>
            <w:proofErr w:type="spellEnd"/>
            <w:r w:rsidRPr="003B1108">
              <w:rPr>
                <w:rFonts w:ascii="Book Antiqua" w:hAnsi="Book Antiqua"/>
                <w:color w:val="212121"/>
                <w:sz w:val="24"/>
                <w:szCs w:val="24"/>
                <w:shd w:val="clear" w:color="auto" w:fill="FFFFFF"/>
              </w:rPr>
              <w:t>)</w:t>
            </w:r>
          </w:p>
        </w:tc>
        <w:tc>
          <w:tcPr>
            <w:tcW w:w="1742" w:type="dxa"/>
            <w:tcBorders>
              <w:top w:val="single" w:sz="4" w:space="0" w:color="auto"/>
            </w:tcBorders>
            <w:shd w:val="clear" w:color="auto" w:fill="auto"/>
          </w:tcPr>
          <w:p w14:paraId="353C2CAC"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48.5 ± 12.6</w:t>
            </w:r>
          </w:p>
        </w:tc>
        <w:tc>
          <w:tcPr>
            <w:tcW w:w="2835" w:type="dxa"/>
            <w:tcBorders>
              <w:top w:val="single" w:sz="4" w:space="0" w:color="auto"/>
            </w:tcBorders>
            <w:shd w:val="clear" w:color="auto" w:fill="auto"/>
          </w:tcPr>
          <w:p w14:paraId="608AA10B"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57.3 ± 8.9</w:t>
            </w:r>
          </w:p>
        </w:tc>
        <w:tc>
          <w:tcPr>
            <w:tcW w:w="1119" w:type="dxa"/>
            <w:tcBorders>
              <w:top w:val="single" w:sz="4" w:space="0" w:color="auto"/>
            </w:tcBorders>
            <w:shd w:val="clear" w:color="auto" w:fill="auto"/>
          </w:tcPr>
          <w:p w14:paraId="415105AD" w14:textId="3245444A"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&lt;</w:t>
            </w:r>
            <w:r w:rsidR="001D2613">
              <w:rPr>
                <w:rFonts w:ascii="Book Antiqua" w:hAnsi="Book Antiqua"/>
                <w:color w:val="212121"/>
                <w:sz w:val="24"/>
                <w:szCs w:val="24"/>
                <w:shd w:val="clear" w:color="auto" w:fill="FFFFFF"/>
              </w:rPr>
              <w:t xml:space="preserve"> </w:t>
            </w:r>
            <w:r w:rsidRPr="003B1108">
              <w:rPr>
                <w:rFonts w:ascii="Book Antiqua" w:hAnsi="Book Antiqua"/>
                <w:color w:val="212121"/>
                <w:sz w:val="24"/>
                <w:szCs w:val="24"/>
                <w:shd w:val="clear" w:color="auto" w:fill="FFFFFF"/>
              </w:rPr>
              <w:t>0.001</w:t>
            </w:r>
          </w:p>
        </w:tc>
      </w:tr>
      <w:tr w:rsidR="00330FA4" w:rsidRPr="003B1108" w14:paraId="78E82B5E" w14:textId="77777777" w:rsidTr="0002049E">
        <w:trPr>
          <w:trHeight w:val="492"/>
          <w:jc w:val="center"/>
        </w:trPr>
        <w:tc>
          <w:tcPr>
            <w:tcW w:w="3611" w:type="dxa"/>
            <w:shd w:val="clear" w:color="auto" w:fill="auto"/>
          </w:tcPr>
          <w:p w14:paraId="0F33DE00"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Gender (males, %)</w:t>
            </w:r>
          </w:p>
        </w:tc>
        <w:tc>
          <w:tcPr>
            <w:tcW w:w="1742" w:type="dxa"/>
            <w:shd w:val="clear" w:color="auto" w:fill="auto"/>
          </w:tcPr>
          <w:p w14:paraId="53D853B5"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115 (54.2)</w:t>
            </w:r>
          </w:p>
        </w:tc>
        <w:tc>
          <w:tcPr>
            <w:tcW w:w="2835" w:type="dxa"/>
            <w:shd w:val="clear" w:color="auto" w:fill="auto"/>
          </w:tcPr>
          <w:p w14:paraId="2D1018F4"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77 (50.0)</w:t>
            </w:r>
          </w:p>
        </w:tc>
        <w:tc>
          <w:tcPr>
            <w:tcW w:w="1119" w:type="dxa"/>
            <w:shd w:val="clear" w:color="auto" w:fill="auto"/>
          </w:tcPr>
          <w:p w14:paraId="5D9A0615"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0.423</w:t>
            </w:r>
          </w:p>
        </w:tc>
      </w:tr>
      <w:tr w:rsidR="00330FA4" w:rsidRPr="003B1108" w14:paraId="36F1E604" w14:textId="77777777" w:rsidTr="0002049E">
        <w:trPr>
          <w:trHeight w:val="492"/>
          <w:jc w:val="center"/>
        </w:trPr>
        <w:tc>
          <w:tcPr>
            <w:tcW w:w="3611" w:type="dxa"/>
            <w:shd w:val="clear" w:color="auto" w:fill="auto"/>
          </w:tcPr>
          <w:p w14:paraId="7DD4A9E2"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proofErr w:type="spellStart"/>
            <w:r w:rsidRPr="003B1108">
              <w:rPr>
                <w:rFonts w:ascii="Book Antiqua" w:hAnsi="Book Antiqua"/>
                <w:color w:val="212121"/>
                <w:sz w:val="24"/>
                <w:szCs w:val="24"/>
                <w:shd w:val="clear" w:color="auto" w:fill="FFFFFF"/>
              </w:rPr>
              <w:t>TBil</w:t>
            </w:r>
            <w:proofErr w:type="spellEnd"/>
            <w:r w:rsidRPr="003B1108">
              <w:rPr>
                <w:rFonts w:ascii="Book Antiqua" w:hAnsi="Book Antiqua"/>
                <w:sz w:val="24"/>
                <w:szCs w:val="24"/>
              </w:rPr>
              <w:t xml:space="preserve"> </w:t>
            </w:r>
            <w:r w:rsidRPr="003B1108">
              <w:rPr>
                <w:rFonts w:ascii="Book Antiqua" w:hAnsi="Book Antiqua"/>
                <w:color w:val="212121"/>
                <w:sz w:val="24"/>
                <w:szCs w:val="24"/>
                <w:shd w:val="clear" w:color="auto" w:fill="FFFFFF"/>
              </w:rPr>
              <w:t>(µ</w:t>
            </w:r>
            <w:proofErr w:type="spellStart"/>
            <w:r w:rsidRPr="003B1108">
              <w:rPr>
                <w:rFonts w:ascii="Book Antiqua" w:hAnsi="Book Antiqua"/>
                <w:color w:val="212121"/>
                <w:sz w:val="24"/>
                <w:szCs w:val="24"/>
                <w:shd w:val="clear" w:color="auto" w:fill="FFFFFF"/>
              </w:rPr>
              <w:t>mol</w:t>
            </w:r>
            <w:proofErr w:type="spellEnd"/>
            <w:r w:rsidRPr="003B1108">
              <w:rPr>
                <w:rFonts w:ascii="Book Antiqua" w:hAnsi="Book Antiqua"/>
                <w:color w:val="212121"/>
                <w:sz w:val="24"/>
                <w:szCs w:val="24"/>
                <w:shd w:val="clear" w:color="auto" w:fill="FFFFFF"/>
              </w:rPr>
              <w:t>/L)</w:t>
            </w:r>
          </w:p>
        </w:tc>
        <w:tc>
          <w:tcPr>
            <w:tcW w:w="1742" w:type="dxa"/>
            <w:shd w:val="clear" w:color="auto" w:fill="auto"/>
          </w:tcPr>
          <w:p w14:paraId="6286434D"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15.04 ± 8.78</w:t>
            </w:r>
          </w:p>
        </w:tc>
        <w:tc>
          <w:tcPr>
            <w:tcW w:w="2835" w:type="dxa"/>
            <w:shd w:val="clear" w:color="auto" w:fill="auto"/>
          </w:tcPr>
          <w:p w14:paraId="53D0D915"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25.95 ± 9.59</w:t>
            </w:r>
          </w:p>
        </w:tc>
        <w:tc>
          <w:tcPr>
            <w:tcW w:w="1119" w:type="dxa"/>
            <w:shd w:val="clear" w:color="auto" w:fill="auto"/>
          </w:tcPr>
          <w:p w14:paraId="0E24DAFD"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&lt; 0.001</w:t>
            </w:r>
          </w:p>
        </w:tc>
      </w:tr>
      <w:tr w:rsidR="00330FA4" w:rsidRPr="003B1108" w14:paraId="3EB8FF4B" w14:textId="77777777" w:rsidTr="0002049E">
        <w:trPr>
          <w:trHeight w:val="492"/>
          <w:jc w:val="center"/>
        </w:trPr>
        <w:tc>
          <w:tcPr>
            <w:tcW w:w="3611" w:type="dxa"/>
            <w:shd w:val="clear" w:color="auto" w:fill="auto"/>
          </w:tcPr>
          <w:p w14:paraId="7911F394"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ALT (U/L)</w:t>
            </w:r>
          </w:p>
        </w:tc>
        <w:tc>
          <w:tcPr>
            <w:tcW w:w="1742" w:type="dxa"/>
            <w:shd w:val="clear" w:color="auto" w:fill="auto"/>
          </w:tcPr>
          <w:p w14:paraId="40BA6396"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41.74 ± 43.00</w:t>
            </w:r>
          </w:p>
        </w:tc>
        <w:tc>
          <w:tcPr>
            <w:tcW w:w="2835" w:type="dxa"/>
            <w:shd w:val="clear" w:color="auto" w:fill="auto"/>
          </w:tcPr>
          <w:p w14:paraId="498B3DD8"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64.88 ± 44.81</w:t>
            </w:r>
          </w:p>
        </w:tc>
        <w:tc>
          <w:tcPr>
            <w:tcW w:w="1119" w:type="dxa"/>
            <w:shd w:val="clear" w:color="auto" w:fill="auto"/>
          </w:tcPr>
          <w:p w14:paraId="7DD064D3"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0.029</w:t>
            </w:r>
          </w:p>
        </w:tc>
      </w:tr>
      <w:tr w:rsidR="00330FA4" w:rsidRPr="003B1108" w14:paraId="65B7D796" w14:textId="77777777" w:rsidTr="0002049E">
        <w:trPr>
          <w:trHeight w:val="478"/>
          <w:jc w:val="center"/>
        </w:trPr>
        <w:tc>
          <w:tcPr>
            <w:tcW w:w="3611" w:type="dxa"/>
            <w:shd w:val="clear" w:color="auto" w:fill="auto"/>
          </w:tcPr>
          <w:p w14:paraId="5A26B7D6"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AST (U/L)</w:t>
            </w:r>
          </w:p>
        </w:tc>
        <w:tc>
          <w:tcPr>
            <w:tcW w:w="1742" w:type="dxa"/>
            <w:shd w:val="clear" w:color="auto" w:fill="auto"/>
          </w:tcPr>
          <w:p w14:paraId="1A67738C"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31.47 ± 26.67</w:t>
            </w:r>
          </w:p>
        </w:tc>
        <w:tc>
          <w:tcPr>
            <w:tcW w:w="2835" w:type="dxa"/>
            <w:shd w:val="clear" w:color="auto" w:fill="auto"/>
          </w:tcPr>
          <w:p w14:paraId="0DC87D6E"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68.12 ± 43.44</w:t>
            </w:r>
          </w:p>
        </w:tc>
        <w:tc>
          <w:tcPr>
            <w:tcW w:w="1119" w:type="dxa"/>
            <w:shd w:val="clear" w:color="auto" w:fill="auto"/>
          </w:tcPr>
          <w:p w14:paraId="5F80A7F2"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0.034</w:t>
            </w:r>
          </w:p>
        </w:tc>
      </w:tr>
      <w:tr w:rsidR="00330FA4" w:rsidRPr="003B1108" w14:paraId="73344B3A" w14:textId="77777777" w:rsidTr="0002049E">
        <w:trPr>
          <w:trHeight w:val="492"/>
          <w:jc w:val="center"/>
        </w:trPr>
        <w:tc>
          <w:tcPr>
            <w:tcW w:w="3611" w:type="dxa"/>
            <w:shd w:val="clear" w:color="auto" w:fill="auto"/>
          </w:tcPr>
          <w:p w14:paraId="58D68C2D"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Albumin (g/L)</w:t>
            </w:r>
          </w:p>
        </w:tc>
        <w:tc>
          <w:tcPr>
            <w:tcW w:w="1742" w:type="dxa"/>
            <w:shd w:val="clear" w:color="auto" w:fill="auto"/>
          </w:tcPr>
          <w:p w14:paraId="39CC8FC3"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44.5 ± 4.5</w:t>
            </w:r>
          </w:p>
        </w:tc>
        <w:tc>
          <w:tcPr>
            <w:tcW w:w="2835" w:type="dxa"/>
            <w:shd w:val="clear" w:color="auto" w:fill="auto"/>
          </w:tcPr>
          <w:p w14:paraId="77B3F784"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33.0 ± 8.6</w:t>
            </w:r>
          </w:p>
        </w:tc>
        <w:tc>
          <w:tcPr>
            <w:tcW w:w="1119" w:type="dxa"/>
            <w:shd w:val="clear" w:color="auto" w:fill="auto"/>
          </w:tcPr>
          <w:p w14:paraId="4E2B6E53"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&lt; 0.001</w:t>
            </w:r>
          </w:p>
        </w:tc>
      </w:tr>
      <w:tr w:rsidR="00330FA4" w:rsidRPr="003B1108" w14:paraId="4C48EF32" w14:textId="77777777" w:rsidTr="0002049E">
        <w:trPr>
          <w:trHeight w:val="492"/>
          <w:jc w:val="center"/>
        </w:trPr>
        <w:tc>
          <w:tcPr>
            <w:tcW w:w="3611" w:type="dxa"/>
            <w:shd w:val="clear" w:color="auto" w:fill="auto"/>
          </w:tcPr>
          <w:p w14:paraId="3836F18C"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TCHO (mmol/L)</w:t>
            </w:r>
          </w:p>
        </w:tc>
        <w:tc>
          <w:tcPr>
            <w:tcW w:w="1742" w:type="dxa"/>
            <w:shd w:val="clear" w:color="auto" w:fill="auto"/>
          </w:tcPr>
          <w:p w14:paraId="2EDD5CE8"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3.86 ± 0.55</w:t>
            </w:r>
          </w:p>
        </w:tc>
        <w:tc>
          <w:tcPr>
            <w:tcW w:w="2835" w:type="dxa"/>
            <w:shd w:val="clear" w:color="auto" w:fill="auto"/>
          </w:tcPr>
          <w:p w14:paraId="7D41E9F9"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3.82 ± 0.66</w:t>
            </w:r>
          </w:p>
        </w:tc>
        <w:tc>
          <w:tcPr>
            <w:tcW w:w="1119" w:type="dxa"/>
            <w:shd w:val="clear" w:color="auto" w:fill="auto"/>
          </w:tcPr>
          <w:p w14:paraId="64B9F06A"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0.349</w:t>
            </w:r>
          </w:p>
        </w:tc>
      </w:tr>
      <w:tr w:rsidR="00330FA4" w:rsidRPr="003B1108" w14:paraId="071C0DD9" w14:textId="77777777" w:rsidTr="0002049E">
        <w:trPr>
          <w:trHeight w:val="492"/>
          <w:jc w:val="center"/>
        </w:trPr>
        <w:tc>
          <w:tcPr>
            <w:tcW w:w="3611" w:type="dxa"/>
            <w:shd w:val="clear" w:color="auto" w:fill="auto"/>
          </w:tcPr>
          <w:p w14:paraId="250D1F17"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Hemoglobin (mg/dL)</w:t>
            </w:r>
          </w:p>
        </w:tc>
        <w:tc>
          <w:tcPr>
            <w:tcW w:w="1742" w:type="dxa"/>
            <w:shd w:val="clear" w:color="auto" w:fill="auto"/>
          </w:tcPr>
          <w:p w14:paraId="036E8B9A"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135.3 ± 10.6</w:t>
            </w:r>
          </w:p>
        </w:tc>
        <w:tc>
          <w:tcPr>
            <w:tcW w:w="2835" w:type="dxa"/>
            <w:shd w:val="clear" w:color="auto" w:fill="auto"/>
          </w:tcPr>
          <w:p w14:paraId="42EE490B"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99.5 ± 20.4</w:t>
            </w:r>
          </w:p>
        </w:tc>
        <w:tc>
          <w:tcPr>
            <w:tcW w:w="1119" w:type="dxa"/>
            <w:shd w:val="clear" w:color="auto" w:fill="auto"/>
          </w:tcPr>
          <w:p w14:paraId="4A750A61"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0.002</w:t>
            </w:r>
          </w:p>
        </w:tc>
      </w:tr>
      <w:tr w:rsidR="00330FA4" w:rsidRPr="003B1108" w14:paraId="245BEC93" w14:textId="77777777" w:rsidTr="0002049E">
        <w:trPr>
          <w:trHeight w:val="478"/>
          <w:jc w:val="center"/>
        </w:trPr>
        <w:tc>
          <w:tcPr>
            <w:tcW w:w="3611" w:type="dxa"/>
            <w:shd w:val="clear" w:color="auto" w:fill="auto"/>
          </w:tcPr>
          <w:p w14:paraId="5A4BF2CE"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Platelets (10</w:t>
            </w:r>
            <w:r w:rsidRPr="003B1108">
              <w:rPr>
                <w:rFonts w:ascii="Book Antiqua" w:hAnsi="Book Antiqua"/>
                <w:color w:val="212121"/>
                <w:sz w:val="24"/>
                <w:szCs w:val="24"/>
                <w:shd w:val="clear" w:color="auto" w:fill="FFFFFF"/>
                <w:vertAlign w:val="superscript"/>
              </w:rPr>
              <w:t>9</w:t>
            </w:r>
            <w:r w:rsidRPr="003B1108">
              <w:rPr>
                <w:rFonts w:ascii="Book Antiqua" w:hAnsi="Book Antiqua"/>
                <w:color w:val="212121"/>
                <w:sz w:val="24"/>
                <w:szCs w:val="24"/>
                <w:shd w:val="clear" w:color="auto" w:fill="FFFFFF"/>
              </w:rPr>
              <w:t>/L)</w:t>
            </w:r>
          </w:p>
        </w:tc>
        <w:tc>
          <w:tcPr>
            <w:tcW w:w="1742" w:type="dxa"/>
            <w:shd w:val="clear" w:color="auto" w:fill="auto"/>
          </w:tcPr>
          <w:p w14:paraId="2EAEB2C9"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195.3 ± 59.8</w:t>
            </w:r>
          </w:p>
        </w:tc>
        <w:tc>
          <w:tcPr>
            <w:tcW w:w="2835" w:type="dxa"/>
            <w:shd w:val="clear" w:color="auto" w:fill="auto"/>
          </w:tcPr>
          <w:p w14:paraId="7F0D9CB6"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86.1 ± 32.2</w:t>
            </w:r>
          </w:p>
        </w:tc>
        <w:tc>
          <w:tcPr>
            <w:tcW w:w="1119" w:type="dxa"/>
            <w:shd w:val="clear" w:color="auto" w:fill="auto"/>
          </w:tcPr>
          <w:p w14:paraId="4841EE33"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&lt; 0.001</w:t>
            </w:r>
          </w:p>
        </w:tc>
      </w:tr>
      <w:tr w:rsidR="00330FA4" w:rsidRPr="003B1108" w14:paraId="089173A7" w14:textId="77777777" w:rsidTr="0002049E">
        <w:trPr>
          <w:trHeight w:val="492"/>
          <w:jc w:val="center"/>
        </w:trPr>
        <w:tc>
          <w:tcPr>
            <w:tcW w:w="3611" w:type="dxa"/>
            <w:shd w:val="clear" w:color="auto" w:fill="auto"/>
          </w:tcPr>
          <w:p w14:paraId="758F9944" w14:textId="25ABCB33"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AFP (ng/m</w:t>
            </w:r>
            <w:r w:rsidR="001B5381" w:rsidRPr="003B1108">
              <w:rPr>
                <w:rFonts w:ascii="Book Antiqua" w:hAnsi="Book Antiqua"/>
                <w:color w:val="212121"/>
                <w:sz w:val="24"/>
                <w:szCs w:val="24"/>
                <w:shd w:val="clear" w:color="auto" w:fill="FFFFFF"/>
              </w:rPr>
              <w:t>L</w:t>
            </w:r>
            <w:r w:rsidRPr="003B1108">
              <w:rPr>
                <w:rFonts w:ascii="Book Antiqua" w:hAnsi="Book Antiqua"/>
                <w:color w:val="212121"/>
                <w:sz w:val="24"/>
                <w:szCs w:val="24"/>
                <w:shd w:val="clear" w:color="auto" w:fill="FFFFFF"/>
              </w:rPr>
              <w:t>)</w:t>
            </w:r>
          </w:p>
        </w:tc>
        <w:tc>
          <w:tcPr>
            <w:tcW w:w="1742" w:type="dxa"/>
            <w:shd w:val="clear" w:color="auto" w:fill="auto"/>
          </w:tcPr>
          <w:p w14:paraId="20F7CC0D"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4.04 ± 1.79</w:t>
            </w:r>
          </w:p>
        </w:tc>
        <w:tc>
          <w:tcPr>
            <w:tcW w:w="2835" w:type="dxa"/>
            <w:shd w:val="clear" w:color="auto" w:fill="auto"/>
          </w:tcPr>
          <w:p w14:paraId="5D5BDC6C"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5.58 ± 8.61</w:t>
            </w:r>
          </w:p>
        </w:tc>
        <w:tc>
          <w:tcPr>
            <w:tcW w:w="1119" w:type="dxa"/>
            <w:shd w:val="clear" w:color="auto" w:fill="auto"/>
          </w:tcPr>
          <w:p w14:paraId="282402F0"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0.045</w:t>
            </w:r>
          </w:p>
        </w:tc>
      </w:tr>
      <w:tr w:rsidR="00330FA4" w:rsidRPr="003B1108" w14:paraId="375343AD" w14:textId="77777777" w:rsidTr="0002049E">
        <w:trPr>
          <w:trHeight w:val="492"/>
          <w:jc w:val="center"/>
        </w:trPr>
        <w:tc>
          <w:tcPr>
            <w:tcW w:w="3611" w:type="dxa"/>
            <w:shd w:val="clear" w:color="auto" w:fill="auto"/>
          </w:tcPr>
          <w:p w14:paraId="4F0E8590"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Log10 HCV RNA (IU/mL)</w:t>
            </w:r>
          </w:p>
        </w:tc>
        <w:tc>
          <w:tcPr>
            <w:tcW w:w="1742" w:type="dxa"/>
            <w:shd w:val="clear" w:color="auto" w:fill="auto"/>
          </w:tcPr>
          <w:p w14:paraId="7B26D27B"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6.6 ± 0.8</w:t>
            </w:r>
          </w:p>
        </w:tc>
        <w:tc>
          <w:tcPr>
            <w:tcW w:w="2835" w:type="dxa"/>
            <w:shd w:val="clear" w:color="auto" w:fill="auto"/>
          </w:tcPr>
          <w:p w14:paraId="1B65AB7A"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6.3 ± 1.3</w:t>
            </w:r>
          </w:p>
        </w:tc>
        <w:tc>
          <w:tcPr>
            <w:tcW w:w="1119" w:type="dxa"/>
            <w:shd w:val="clear" w:color="auto" w:fill="auto"/>
          </w:tcPr>
          <w:p w14:paraId="2670254A"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0.040</w:t>
            </w:r>
          </w:p>
        </w:tc>
      </w:tr>
      <w:tr w:rsidR="00330FA4" w:rsidRPr="003B1108" w14:paraId="4DE07BCA" w14:textId="77777777" w:rsidTr="0002049E">
        <w:trPr>
          <w:trHeight w:val="478"/>
          <w:jc w:val="center"/>
        </w:trPr>
        <w:tc>
          <w:tcPr>
            <w:tcW w:w="3611" w:type="dxa"/>
            <w:shd w:val="clear" w:color="auto" w:fill="auto"/>
          </w:tcPr>
          <w:p w14:paraId="10581BBE"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LSM (kPa)</w:t>
            </w:r>
          </w:p>
        </w:tc>
        <w:tc>
          <w:tcPr>
            <w:tcW w:w="1742" w:type="dxa"/>
            <w:shd w:val="clear" w:color="auto" w:fill="auto"/>
          </w:tcPr>
          <w:p w14:paraId="1F2CFDF9"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5.71 ± 1.7</w:t>
            </w:r>
          </w:p>
        </w:tc>
        <w:tc>
          <w:tcPr>
            <w:tcW w:w="2835" w:type="dxa"/>
            <w:shd w:val="clear" w:color="auto" w:fill="auto"/>
          </w:tcPr>
          <w:p w14:paraId="1C180AE8"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10.26 ± 5.1</w:t>
            </w:r>
          </w:p>
        </w:tc>
        <w:tc>
          <w:tcPr>
            <w:tcW w:w="1119" w:type="dxa"/>
            <w:shd w:val="clear" w:color="auto" w:fill="auto"/>
          </w:tcPr>
          <w:p w14:paraId="61672AC4"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&lt; 0.001</w:t>
            </w:r>
          </w:p>
        </w:tc>
      </w:tr>
      <w:tr w:rsidR="00330FA4" w:rsidRPr="003B1108" w14:paraId="11028F41" w14:textId="77777777" w:rsidTr="0002049E">
        <w:trPr>
          <w:trHeight w:val="492"/>
          <w:jc w:val="center"/>
        </w:trPr>
        <w:tc>
          <w:tcPr>
            <w:tcW w:w="3611" w:type="dxa"/>
            <w:shd w:val="clear" w:color="auto" w:fill="auto"/>
          </w:tcPr>
          <w:p w14:paraId="37F9E560" w14:textId="272B0A98"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bookmarkStart w:id="160" w:name="_Hlk18269783"/>
            <w:r w:rsidRPr="003B1108">
              <w:rPr>
                <w:rFonts w:ascii="Book Antiqua" w:hAnsi="Book Antiqua"/>
                <w:color w:val="212121"/>
                <w:sz w:val="24"/>
                <w:szCs w:val="24"/>
                <w:shd w:val="clear" w:color="auto" w:fill="FFFFFF"/>
              </w:rPr>
              <w:t>Fibrosis 4 score</w:t>
            </w:r>
            <w:bookmarkEnd w:id="160"/>
          </w:p>
        </w:tc>
        <w:tc>
          <w:tcPr>
            <w:tcW w:w="1742" w:type="dxa"/>
            <w:shd w:val="clear" w:color="auto" w:fill="auto"/>
          </w:tcPr>
          <w:p w14:paraId="08E16A6C"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1.43 ± 1.0</w:t>
            </w:r>
          </w:p>
        </w:tc>
        <w:tc>
          <w:tcPr>
            <w:tcW w:w="2835" w:type="dxa"/>
            <w:shd w:val="clear" w:color="auto" w:fill="auto"/>
          </w:tcPr>
          <w:p w14:paraId="4ABC5CD8"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7.49 ± 6.0</w:t>
            </w:r>
          </w:p>
        </w:tc>
        <w:tc>
          <w:tcPr>
            <w:tcW w:w="1119" w:type="dxa"/>
            <w:shd w:val="clear" w:color="auto" w:fill="auto"/>
          </w:tcPr>
          <w:p w14:paraId="3742995E"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&lt; 0.001</w:t>
            </w:r>
          </w:p>
        </w:tc>
      </w:tr>
      <w:tr w:rsidR="00330FA4" w:rsidRPr="003B1108" w14:paraId="560AAD69" w14:textId="77777777" w:rsidTr="0002049E">
        <w:trPr>
          <w:trHeight w:val="492"/>
          <w:jc w:val="center"/>
        </w:trPr>
        <w:tc>
          <w:tcPr>
            <w:tcW w:w="3611" w:type="dxa"/>
            <w:shd w:val="clear" w:color="auto" w:fill="auto"/>
          </w:tcPr>
          <w:p w14:paraId="2A3E7DDE"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 xml:space="preserve">APRI </w:t>
            </w:r>
          </w:p>
        </w:tc>
        <w:tc>
          <w:tcPr>
            <w:tcW w:w="1742" w:type="dxa"/>
            <w:shd w:val="clear" w:color="auto" w:fill="auto"/>
          </w:tcPr>
          <w:p w14:paraId="3A6F6B8A"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1.06 ± 0.9</w:t>
            </w:r>
          </w:p>
        </w:tc>
        <w:tc>
          <w:tcPr>
            <w:tcW w:w="2835" w:type="dxa"/>
            <w:shd w:val="clear" w:color="auto" w:fill="auto"/>
          </w:tcPr>
          <w:p w14:paraId="5F7D6852"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2.3 ± 1.5</w:t>
            </w:r>
          </w:p>
        </w:tc>
        <w:tc>
          <w:tcPr>
            <w:tcW w:w="1119" w:type="dxa"/>
            <w:shd w:val="clear" w:color="auto" w:fill="auto"/>
          </w:tcPr>
          <w:p w14:paraId="6917EDCC"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&lt; 0.001</w:t>
            </w:r>
          </w:p>
        </w:tc>
      </w:tr>
    </w:tbl>
    <w:p w14:paraId="268587D5" w14:textId="5FD95B3F" w:rsidR="001B5381" w:rsidRPr="003B1108" w:rsidRDefault="00330FA4" w:rsidP="003B1108">
      <w:pPr>
        <w:adjustRightInd w:val="0"/>
        <w:snapToGrid w:val="0"/>
        <w:spacing w:line="360" w:lineRule="auto"/>
        <w:rPr>
          <w:rFonts w:ascii="Book Antiqua" w:hAnsi="Book Antiqua"/>
          <w:bCs/>
          <w:sz w:val="24"/>
          <w:szCs w:val="24"/>
        </w:rPr>
      </w:pPr>
      <w:proofErr w:type="spellStart"/>
      <w:r w:rsidRPr="003B1108">
        <w:rPr>
          <w:rFonts w:ascii="Book Antiqua" w:hAnsi="Book Antiqua"/>
          <w:bCs/>
          <w:sz w:val="24"/>
          <w:szCs w:val="24"/>
        </w:rPr>
        <w:t>TBil</w:t>
      </w:r>
      <w:proofErr w:type="spellEnd"/>
      <w:r w:rsidR="00AA5541" w:rsidRPr="003B1108">
        <w:rPr>
          <w:rFonts w:ascii="Book Antiqua" w:hAnsi="Book Antiqua"/>
          <w:bCs/>
          <w:sz w:val="24"/>
          <w:szCs w:val="24"/>
        </w:rPr>
        <w:t>:</w:t>
      </w:r>
      <w:r w:rsidRPr="003B1108">
        <w:rPr>
          <w:rFonts w:ascii="Book Antiqua" w:hAnsi="Book Antiqua"/>
          <w:bCs/>
          <w:sz w:val="24"/>
          <w:szCs w:val="24"/>
        </w:rPr>
        <w:t xml:space="preserve"> </w:t>
      </w:r>
      <w:r w:rsidR="001B5381" w:rsidRPr="003B1108">
        <w:rPr>
          <w:rFonts w:ascii="Book Antiqua" w:hAnsi="Book Antiqua"/>
          <w:bCs/>
          <w:sz w:val="24"/>
          <w:szCs w:val="24"/>
        </w:rPr>
        <w:t>T</w:t>
      </w:r>
      <w:r w:rsidRPr="003B1108">
        <w:rPr>
          <w:rFonts w:ascii="Book Antiqua" w:hAnsi="Book Antiqua"/>
          <w:bCs/>
          <w:sz w:val="24"/>
          <w:szCs w:val="24"/>
        </w:rPr>
        <w:t>otal bilirubin; ALT</w:t>
      </w:r>
      <w:r w:rsidR="00AA5541" w:rsidRPr="003B1108">
        <w:rPr>
          <w:rFonts w:ascii="Book Antiqua" w:hAnsi="Book Antiqua"/>
          <w:bCs/>
          <w:sz w:val="24"/>
          <w:szCs w:val="24"/>
        </w:rPr>
        <w:t>:</w:t>
      </w:r>
      <w:r w:rsidRPr="003B1108">
        <w:rPr>
          <w:rFonts w:ascii="Book Antiqua" w:hAnsi="Book Antiqua"/>
          <w:bCs/>
          <w:sz w:val="24"/>
          <w:szCs w:val="24"/>
        </w:rPr>
        <w:t xml:space="preserve"> </w:t>
      </w:r>
      <w:r w:rsidR="00885A97" w:rsidRPr="00885A97">
        <w:rPr>
          <w:rFonts w:ascii="Book Antiqua" w:hAnsi="Book Antiqua"/>
          <w:bCs/>
          <w:sz w:val="24"/>
          <w:szCs w:val="24"/>
        </w:rPr>
        <w:t>Alanine aminotransferase</w:t>
      </w:r>
      <w:r w:rsidRPr="003B1108">
        <w:rPr>
          <w:rFonts w:ascii="Book Antiqua" w:hAnsi="Book Antiqua"/>
          <w:bCs/>
          <w:sz w:val="24"/>
          <w:szCs w:val="24"/>
        </w:rPr>
        <w:t>; AST</w:t>
      </w:r>
      <w:r w:rsidR="00AA5541" w:rsidRPr="003B1108">
        <w:rPr>
          <w:rFonts w:ascii="Book Antiqua" w:hAnsi="Book Antiqua"/>
          <w:bCs/>
          <w:sz w:val="24"/>
          <w:szCs w:val="24"/>
        </w:rPr>
        <w:t>:</w:t>
      </w:r>
      <w:r w:rsidRPr="003B1108">
        <w:rPr>
          <w:rFonts w:ascii="Book Antiqua" w:hAnsi="Book Antiqua"/>
          <w:bCs/>
          <w:sz w:val="24"/>
          <w:szCs w:val="24"/>
        </w:rPr>
        <w:t xml:space="preserve"> </w:t>
      </w:r>
      <w:r w:rsidR="001B5381" w:rsidRPr="003B1108">
        <w:rPr>
          <w:rFonts w:ascii="Book Antiqua" w:hAnsi="Book Antiqua"/>
          <w:bCs/>
          <w:sz w:val="24"/>
          <w:szCs w:val="24"/>
        </w:rPr>
        <w:t>A</w:t>
      </w:r>
      <w:r w:rsidRPr="003B1108">
        <w:rPr>
          <w:rFonts w:ascii="Book Antiqua" w:hAnsi="Book Antiqua"/>
          <w:bCs/>
          <w:sz w:val="24"/>
          <w:szCs w:val="24"/>
        </w:rPr>
        <w:t>spartate aminotransferase; TCHO</w:t>
      </w:r>
      <w:r w:rsidR="00AA5541" w:rsidRPr="003B1108">
        <w:rPr>
          <w:rFonts w:ascii="Book Antiqua" w:hAnsi="Book Antiqua"/>
          <w:bCs/>
          <w:sz w:val="24"/>
          <w:szCs w:val="24"/>
        </w:rPr>
        <w:t>:</w:t>
      </w:r>
      <w:r w:rsidRPr="003B1108">
        <w:rPr>
          <w:rFonts w:ascii="Book Antiqua" w:hAnsi="Book Antiqua"/>
          <w:bCs/>
          <w:sz w:val="24"/>
          <w:szCs w:val="24"/>
        </w:rPr>
        <w:t xml:space="preserve"> </w:t>
      </w:r>
      <w:r w:rsidR="001B5381" w:rsidRPr="003B1108">
        <w:rPr>
          <w:rFonts w:ascii="Book Antiqua" w:hAnsi="Book Antiqua"/>
          <w:bCs/>
          <w:sz w:val="24"/>
          <w:szCs w:val="24"/>
        </w:rPr>
        <w:t>T</w:t>
      </w:r>
      <w:r w:rsidRPr="003B1108">
        <w:rPr>
          <w:rFonts w:ascii="Book Antiqua" w:hAnsi="Book Antiqua"/>
          <w:bCs/>
          <w:sz w:val="24"/>
          <w:szCs w:val="24"/>
        </w:rPr>
        <w:t>otal cholesterol; AFP</w:t>
      </w:r>
      <w:r w:rsidR="00AA5541" w:rsidRPr="003B1108">
        <w:rPr>
          <w:rFonts w:ascii="Book Antiqua" w:hAnsi="Book Antiqua"/>
          <w:bCs/>
          <w:sz w:val="24"/>
          <w:szCs w:val="24"/>
        </w:rPr>
        <w:t>:</w:t>
      </w:r>
      <w:r w:rsidRPr="003B1108">
        <w:rPr>
          <w:rFonts w:ascii="Book Antiqua" w:hAnsi="Book Antiqua"/>
          <w:bCs/>
          <w:sz w:val="24"/>
          <w:szCs w:val="24"/>
        </w:rPr>
        <w:t xml:space="preserve"> </w:t>
      </w:r>
      <w:r w:rsidR="001B5381" w:rsidRPr="003B1108">
        <w:rPr>
          <w:rFonts w:ascii="Book Antiqua" w:hAnsi="Book Antiqua"/>
          <w:bCs/>
          <w:sz w:val="24"/>
          <w:szCs w:val="24"/>
        </w:rPr>
        <w:t>A</w:t>
      </w:r>
      <w:r w:rsidRPr="003B1108">
        <w:rPr>
          <w:rFonts w:ascii="Book Antiqua" w:hAnsi="Book Antiqua"/>
          <w:bCs/>
          <w:sz w:val="24"/>
          <w:szCs w:val="24"/>
        </w:rPr>
        <w:t>lpha fetoprotein; LSM</w:t>
      </w:r>
      <w:r w:rsidR="00AA5541" w:rsidRPr="003B1108">
        <w:rPr>
          <w:rFonts w:ascii="Book Antiqua" w:hAnsi="Book Antiqua"/>
          <w:bCs/>
          <w:sz w:val="24"/>
          <w:szCs w:val="24"/>
        </w:rPr>
        <w:t>:</w:t>
      </w:r>
      <w:r w:rsidRPr="003B1108">
        <w:rPr>
          <w:rFonts w:ascii="Book Antiqua" w:hAnsi="Book Antiqua"/>
          <w:bCs/>
          <w:sz w:val="24"/>
          <w:szCs w:val="24"/>
        </w:rPr>
        <w:t xml:space="preserve"> </w:t>
      </w:r>
      <w:r w:rsidR="001B5381" w:rsidRPr="003B1108">
        <w:rPr>
          <w:rFonts w:ascii="Book Antiqua" w:hAnsi="Book Antiqua"/>
          <w:bCs/>
          <w:sz w:val="24"/>
          <w:szCs w:val="24"/>
        </w:rPr>
        <w:t>L</w:t>
      </w:r>
      <w:r w:rsidRPr="003B1108">
        <w:rPr>
          <w:rFonts w:ascii="Book Antiqua" w:hAnsi="Book Antiqua"/>
          <w:bCs/>
          <w:sz w:val="24"/>
          <w:szCs w:val="24"/>
        </w:rPr>
        <w:t>iver stiffness measurement; APRI</w:t>
      </w:r>
      <w:r w:rsidR="00AA5541" w:rsidRPr="003B1108">
        <w:rPr>
          <w:rFonts w:ascii="Book Antiqua" w:hAnsi="Book Antiqua"/>
          <w:bCs/>
          <w:sz w:val="24"/>
          <w:szCs w:val="24"/>
        </w:rPr>
        <w:t>:</w:t>
      </w:r>
      <w:r w:rsidRPr="003B1108">
        <w:rPr>
          <w:rFonts w:ascii="Book Antiqua" w:hAnsi="Book Antiqua"/>
          <w:bCs/>
          <w:sz w:val="24"/>
          <w:szCs w:val="24"/>
        </w:rPr>
        <w:t xml:space="preserve"> </w:t>
      </w:r>
      <w:r w:rsidR="00AA5541" w:rsidRPr="003B1108">
        <w:rPr>
          <w:rFonts w:ascii="Book Antiqua" w:hAnsi="Book Antiqua"/>
          <w:bCs/>
          <w:sz w:val="24"/>
          <w:szCs w:val="24"/>
        </w:rPr>
        <w:t>AST-to-platelet ratio index</w:t>
      </w:r>
      <w:r w:rsidRPr="003B1108">
        <w:rPr>
          <w:rFonts w:ascii="Book Antiqua" w:hAnsi="Book Antiqua"/>
          <w:bCs/>
          <w:sz w:val="24"/>
          <w:szCs w:val="24"/>
        </w:rPr>
        <w:t>.</w:t>
      </w:r>
    </w:p>
    <w:p w14:paraId="3EF1FFA2" w14:textId="77777777" w:rsidR="001B5381" w:rsidRPr="003B1108" w:rsidRDefault="001B5381" w:rsidP="003B1108">
      <w:pPr>
        <w:widowControl/>
        <w:adjustRightInd w:val="0"/>
        <w:snapToGrid w:val="0"/>
        <w:spacing w:line="360" w:lineRule="auto"/>
        <w:jc w:val="left"/>
        <w:rPr>
          <w:rFonts w:ascii="Book Antiqua" w:hAnsi="Book Antiqua"/>
          <w:bCs/>
          <w:sz w:val="24"/>
          <w:szCs w:val="24"/>
        </w:rPr>
      </w:pPr>
      <w:r w:rsidRPr="003B1108">
        <w:rPr>
          <w:rFonts w:ascii="Book Antiqua" w:hAnsi="Book Antiqua"/>
          <w:bCs/>
          <w:sz w:val="24"/>
          <w:szCs w:val="24"/>
        </w:rPr>
        <w:br w:type="page"/>
      </w:r>
    </w:p>
    <w:p w14:paraId="75A2B718" w14:textId="53B6974B" w:rsidR="00330FA4" w:rsidRPr="003B1108" w:rsidRDefault="00330FA4" w:rsidP="003B1108">
      <w:pPr>
        <w:adjustRightInd w:val="0"/>
        <w:snapToGrid w:val="0"/>
        <w:spacing w:line="360" w:lineRule="auto"/>
        <w:rPr>
          <w:rFonts w:ascii="Book Antiqua" w:hAnsi="Book Antiqua"/>
          <w:b/>
          <w:sz w:val="24"/>
          <w:szCs w:val="24"/>
        </w:rPr>
      </w:pPr>
      <w:r w:rsidRPr="003B1108">
        <w:rPr>
          <w:rFonts w:ascii="Book Antiqua" w:hAnsi="Book Antiqua"/>
          <w:b/>
          <w:sz w:val="24"/>
          <w:szCs w:val="24"/>
        </w:rPr>
        <w:lastRenderedPageBreak/>
        <w:t xml:space="preserve">Table 4 Baseline data for patients with and without </w:t>
      </w:r>
      <w:r w:rsidR="006B0171" w:rsidRPr="003B1108">
        <w:rPr>
          <w:rFonts w:ascii="Book Antiqua" w:hAnsi="Book Antiqua"/>
          <w:b/>
          <w:sz w:val="24"/>
          <w:szCs w:val="24"/>
        </w:rPr>
        <w:t xml:space="preserve">sustained </w:t>
      </w:r>
      <w:proofErr w:type="spellStart"/>
      <w:r w:rsidR="006B0171" w:rsidRPr="003B1108">
        <w:rPr>
          <w:rFonts w:ascii="Book Antiqua" w:hAnsi="Book Antiqua"/>
          <w:b/>
          <w:sz w:val="24"/>
          <w:szCs w:val="24"/>
        </w:rPr>
        <w:t>virological</w:t>
      </w:r>
      <w:proofErr w:type="spellEnd"/>
      <w:r w:rsidR="006B0171" w:rsidRPr="003B1108">
        <w:rPr>
          <w:rFonts w:ascii="Book Antiqua" w:hAnsi="Book Antiqua"/>
          <w:b/>
          <w:sz w:val="24"/>
          <w:szCs w:val="24"/>
        </w:rPr>
        <w:t xml:space="preserve"> responses</w:t>
      </w:r>
      <w:r w:rsidRPr="003B1108">
        <w:rPr>
          <w:rFonts w:ascii="Book Antiqua" w:hAnsi="Book Antiqua"/>
          <w:b/>
          <w:sz w:val="24"/>
          <w:szCs w:val="24"/>
        </w:rPr>
        <w:t xml:space="preserve"> (</w:t>
      </w:r>
      <w:r w:rsidR="006B0171" w:rsidRPr="003B1108">
        <w:rPr>
          <w:rFonts w:ascii="Book Antiqua" w:hAnsi="Book Antiqua"/>
          <w:b/>
          <w:sz w:val="24"/>
          <w:szCs w:val="24"/>
        </w:rPr>
        <w:t xml:space="preserve">by modified </w:t>
      </w:r>
      <w:r w:rsidR="00FA292C" w:rsidRPr="00FA292C">
        <w:rPr>
          <w:rFonts w:ascii="Book Antiqua" w:hAnsi="Book Antiqua"/>
          <w:b/>
          <w:sz w:val="24"/>
          <w:szCs w:val="24"/>
        </w:rPr>
        <w:t>intention-to-treat</w:t>
      </w:r>
      <w:r w:rsidR="006B0171" w:rsidRPr="003B1108">
        <w:rPr>
          <w:rFonts w:ascii="Book Antiqua" w:hAnsi="Book Antiqua"/>
          <w:b/>
          <w:sz w:val="24"/>
          <w:szCs w:val="24"/>
        </w:rPr>
        <w:t xml:space="preserve"> analysis</w:t>
      </w:r>
      <w:r w:rsidRPr="003B1108">
        <w:rPr>
          <w:rFonts w:ascii="Book Antiqua" w:hAnsi="Book Antiqua"/>
          <w:b/>
          <w:sz w:val="24"/>
          <w:szCs w:val="24"/>
        </w:rPr>
        <w:t>)</w:t>
      </w:r>
    </w:p>
    <w:tbl>
      <w:tblPr>
        <w:tblW w:w="0" w:type="auto"/>
        <w:jc w:val="center"/>
        <w:tblBorders>
          <w:top w:val="single" w:sz="4" w:space="0" w:color="auto"/>
          <w:bottom w:val="single" w:sz="4" w:space="0" w:color="auto"/>
        </w:tblBorders>
        <w:tblLook w:val="04A0" w:firstRow="1" w:lastRow="0" w:firstColumn="1" w:lastColumn="0" w:noHBand="0" w:noVBand="1"/>
      </w:tblPr>
      <w:tblGrid>
        <w:gridCol w:w="3397"/>
        <w:gridCol w:w="1983"/>
        <w:gridCol w:w="1981"/>
        <w:gridCol w:w="935"/>
      </w:tblGrid>
      <w:tr w:rsidR="00330FA4" w:rsidRPr="003B1108" w14:paraId="6304FE36" w14:textId="77777777" w:rsidTr="003267C3">
        <w:trPr>
          <w:jc w:val="center"/>
        </w:trPr>
        <w:tc>
          <w:tcPr>
            <w:tcW w:w="3397" w:type="dxa"/>
            <w:tcBorders>
              <w:top w:val="single" w:sz="4" w:space="0" w:color="auto"/>
              <w:bottom w:val="single" w:sz="4" w:space="0" w:color="auto"/>
            </w:tcBorders>
            <w:shd w:val="clear" w:color="auto" w:fill="auto"/>
          </w:tcPr>
          <w:p w14:paraId="49A64C88" w14:textId="77777777" w:rsidR="00330FA4" w:rsidRPr="003B1108" w:rsidRDefault="00330FA4" w:rsidP="003B1108">
            <w:pPr>
              <w:adjustRightInd w:val="0"/>
              <w:snapToGrid w:val="0"/>
              <w:spacing w:line="360" w:lineRule="auto"/>
              <w:rPr>
                <w:rFonts w:ascii="Book Antiqua" w:hAnsi="Book Antiqua"/>
                <w:b/>
                <w:bCs/>
                <w:color w:val="212121"/>
                <w:sz w:val="24"/>
                <w:szCs w:val="24"/>
                <w:shd w:val="clear" w:color="auto" w:fill="FFFFFF"/>
              </w:rPr>
            </w:pPr>
          </w:p>
        </w:tc>
        <w:tc>
          <w:tcPr>
            <w:tcW w:w="1983" w:type="dxa"/>
            <w:tcBorders>
              <w:top w:val="single" w:sz="4" w:space="0" w:color="auto"/>
              <w:bottom w:val="single" w:sz="4" w:space="0" w:color="auto"/>
            </w:tcBorders>
            <w:shd w:val="clear" w:color="auto" w:fill="auto"/>
          </w:tcPr>
          <w:p w14:paraId="0BD2DA8C" w14:textId="77777777" w:rsidR="00330FA4" w:rsidRPr="003B1108" w:rsidRDefault="00330FA4" w:rsidP="003B1108">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Non-SVR12</w:t>
            </w:r>
          </w:p>
          <w:p w14:paraId="3316D7DF" w14:textId="464B5761" w:rsidR="00330FA4" w:rsidRPr="003B1108" w:rsidRDefault="00330FA4" w:rsidP="003B1108">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w:t>
            </w:r>
            <w:r w:rsidR="00444EDB" w:rsidRPr="003B1108">
              <w:rPr>
                <w:rFonts w:ascii="Book Antiqua" w:hAnsi="Book Antiqua"/>
                <w:b/>
                <w:bCs/>
                <w:i/>
                <w:iCs/>
                <w:color w:val="212121"/>
                <w:sz w:val="24"/>
                <w:szCs w:val="24"/>
                <w:shd w:val="clear" w:color="auto" w:fill="FFFFFF"/>
              </w:rPr>
              <w:t>n</w:t>
            </w:r>
            <w:r w:rsidR="00444EDB"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w:t>
            </w:r>
            <w:r w:rsidR="00444EDB"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11)</w:t>
            </w:r>
          </w:p>
        </w:tc>
        <w:tc>
          <w:tcPr>
            <w:tcW w:w="1981" w:type="dxa"/>
            <w:tcBorders>
              <w:top w:val="single" w:sz="4" w:space="0" w:color="auto"/>
              <w:bottom w:val="single" w:sz="4" w:space="0" w:color="auto"/>
            </w:tcBorders>
            <w:shd w:val="clear" w:color="auto" w:fill="auto"/>
            <w:vAlign w:val="center"/>
          </w:tcPr>
          <w:p w14:paraId="0E644388" w14:textId="77777777" w:rsidR="00330FA4" w:rsidRPr="003B1108" w:rsidRDefault="00330FA4" w:rsidP="003B1108">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SVR12</w:t>
            </w:r>
          </w:p>
          <w:p w14:paraId="377F70C1" w14:textId="5363FFE0" w:rsidR="00330FA4" w:rsidRPr="003B1108" w:rsidRDefault="00330FA4" w:rsidP="003B1108">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color w:val="212121"/>
                <w:sz w:val="24"/>
                <w:szCs w:val="24"/>
                <w:shd w:val="clear" w:color="auto" w:fill="FFFFFF"/>
              </w:rPr>
              <w:t>(</w:t>
            </w:r>
            <w:r w:rsidR="00444EDB" w:rsidRPr="003B1108">
              <w:rPr>
                <w:rFonts w:ascii="Book Antiqua" w:hAnsi="Book Antiqua"/>
                <w:b/>
                <w:bCs/>
                <w:i/>
                <w:iCs/>
                <w:color w:val="212121"/>
                <w:sz w:val="24"/>
                <w:szCs w:val="24"/>
                <w:shd w:val="clear" w:color="auto" w:fill="FFFFFF"/>
              </w:rPr>
              <w:t>n</w:t>
            </w:r>
            <w:r w:rsidR="00444EDB"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w:t>
            </w:r>
            <w:r w:rsidR="00444EDB" w:rsidRPr="003B1108">
              <w:rPr>
                <w:rFonts w:ascii="Book Antiqua" w:hAnsi="Book Antiqua"/>
                <w:b/>
                <w:bCs/>
                <w:color w:val="212121"/>
                <w:sz w:val="24"/>
                <w:szCs w:val="24"/>
                <w:shd w:val="clear" w:color="auto" w:fill="FFFFFF"/>
              </w:rPr>
              <w:t xml:space="preserve"> </w:t>
            </w:r>
            <w:r w:rsidRPr="003B1108">
              <w:rPr>
                <w:rFonts w:ascii="Book Antiqua" w:hAnsi="Book Antiqua"/>
                <w:b/>
                <w:bCs/>
                <w:color w:val="212121"/>
                <w:sz w:val="24"/>
                <w:szCs w:val="24"/>
                <w:shd w:val="clear" w:color="auto" w:fill="FFFFFF"/>
              </w:rPr>
              <w:t>315)</w:t>
            </w:r>
          </w:p>
        </w:tc>
        <w:tc>
          <w:tcPr>
            <w:tcW w:w="935" w:type="dxa"/>
            <w:tcBorders>
              <w:top w:val="single" w:sz="4" w:space="0" w:color="auto"/>
              <w:bottom w:val="single" w:sz="4" w:space="0" w:color="auto"/>
            </w:tcBorders>
            <w:shd w:val="clear" w:color="auto" w:fill="auto"/>
          </w:tcPr>
          <w:p w14:paraId="2F15665E" w14:textId="325530EC" w:rsidR="00330FA4" w:rsidRPr="003B1108" w:rsidRDefault="00330FA4">
            <w:pPr>
              <w:adjustRightInd w:val="0"/>
              <w:snapToGrid w:val="0"/>
              <w:spacing w:line="360" w:lineRule="auto"/>
              <w:jc w:val="center"/>
              <w:rPr>
                <w:rFonts w:ascii="Book Antiqua" w:hAnsi="Book Antiqua"/>
                <w:b/>
                <w:bCs/>
                <w:color w:val="212121"/>
                <w:sz w:val="24"/>
                <w:szCs w:val="24"/>
                <w:shd w:val="clear" w:color="auto" w:fill="FFFFFF"/>
              </w:rPr>
            </w:pPr>
            <w:r w:rsidRPr="003B1108">
              <w:rPr>
                <w:rFonts w:ascii="Book Antiqua" w:hAnsi="Book Antiqua"/>
                <w:b/>
                <w:bCs/>
                <w:i/>
                <w:color w:val="212121"/>
                <w:sz w:val="24"/>
                <w:szCs w:val="24"/>
                <w:shd w:val="clear" w:color="auto" w:fill="FFFFFF"/>
              </w:rPr>
              <w:t>P</w:t>
            </w:r>
            <w:r w:rsidRPr="003B1108">
              <w:rPr>
                <w:rFonts w:ascii="Book Antiqua" w:hAnsi="Book Antiqua"/>
                <w:b/>
                <w:bCs/>
                <w:color w:val="212121"/>
                <w:sz w:val="24"/>
                <w:szCs w:val="24"/>
                <w:shd w:val="clear" w:color="auto" w:fill="FFFFFF"/>
              </w:rPr>
              <w:t xml:space="preserve"> value</w:t>
            </w:r>
          </w:p>
        </w:tc>
      </w:tr>
      <w:tr w:rsidR="00330FA4" w:rsidRPr="003B1108" w14:paraId="6BAC8CD1" w14:textId="77777777" w:rsidTr="003267C3">
        <w:trPr>
          <w:jc w:val="center"/>
        </w:trPr>
        <w:tc>
          <w:tcPr>
            <w:tcW w:w="3397" w:type="dxa"/>
            <w:tcBorders>
              <w:top w:val="single" w:sz="4" w:space="0" w:color="auto"/>
            </w:tcBorders>
            <w:shd w:val="clear" w:color="auto" w:fill="auto"/>
          </w:tcPr>
          <w:p w14:paraId="51994431" w14:textId="406BD24E"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Age (</w:t>
            </w:r>
            <w:proofErr w:type="spellStart"/>
            <w:r w:rsidRPr="003B1108">
              <w:rPr>
                <w:rFonts w:ascii="Book Antiqua" w:hAnsi="Book Antiqua"/>
                <w:color w:val="212121"/>
                <w:sz w:val="24"/>
                <w:szCs w:val="24"/>
                <w:shd w:val="clear" w:color="auto" w:fill="FFFFFF"/>
              </w:rPr>
              <w:t>yr</w:t>
            </w:r>
            <w:proofErr w:type="spellEnd"/>
            <w:r w:rsidRPr="003B1108">
              <w:rPr>
                <w:rFonts w:ascii="Book Antiqua" w:hAnsi="Book Antiqua"/>
                <w:color w:val="212121"/>
                <w:sz w:val="24"/>
                <w:szCs w:val="24"/>
                <w:shd w:val="clear" w:color="auto" w:fill="FFFFFF"/>
              </w:rPr>
              <w:t>)</w:t>
            </w:r>
          </w:p>
        </w:tc>
        <w:tc>
          <w:tcPr>
            <w:tcW w:w="1983" w:type="dxa"/>
            <w:tcBorders>
              <w:top w:val="single" w:sz="4" w:space="0" w:color="auto"/>
            </w:tcBorders>
            <w:shd w:val="clear" w:color="auto" w:fill="auto"/>
          </w:tcPr>
          <w:p w14:paraId="7FD9FF30"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54.1 ± 13.5</w:t>
            </w:r>
          </w:p>
        </w:tc>
        <w:tc>
          <w:tcPr>
            <w:tcW w:w="1981" w:type="dxa"/>
            <w:tcBorders>
              <w:top w:val="single" w:sz="4" w:space="0" w:color="auto"/>
            </w:tcBorders>
            <w:shd w:val="clear" w:color="auto" w:fill="auto"/>
          </w:tcPr>
          <w:p w14:paraId="691FCA26"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51.8 ±11.9</w:t>
            </w:r>
          </w:p>
        </w:tc>
        <w:tc>
          <w:tcPr>
            <w:tcW w:w="935" w:type="dxa"/>
            <w:tcBorders>
              <w:top w:val="single" w:sz="4" w:space="0" w:color="auto"/>
            </w:tcBorders>
            <w:shd w:val="clear" w:color="auto" w:fill="auto"/>
          </w:tcPr>
          <w:p w14:paraId="039AFB6F"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0.098</w:t>
            </w:r>
          </w:p>
        </w:tc>
      </w:tr>
      <w:tr w:rsidR="00330FA4" w:rsidRPr="003B1108" w14:paraId="53F9B9FB" w14:textId="77777777" w:rsidTr="003267C3">
        <w:trPr>
          <w:jc w:val="center"/>
        </w:trPr>
        <w:tc>
          <w:tcPr>
            <w:tcW w:w="3397" w:type="dxa"/>
            <w:shd w:val="clear" w:color="auto" w:fill="auto"/>
          </w:tcPr>
          <w:p w14:paraId="55A3104E"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Gender (males, %)</w:t>
            </w:r>
          </w:p>
        </w:tc>
        <w:tc>
          <w:tcPr>
            <w:tcW w:w="1983" w:type="dxa"/>
            <w:shd w:val="clear" w:color="auto" w:fill="auto"/>
          </w:tcPr>
          <w:p w14:paraId="6BB56D34"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 (36.4)</w:t>
            </w:r>
          </w:p>
        </w:tc>
        <w:tc>
          <w:tcPr>
            <w:tcW w:w="1981" w:type="dxa"/>
            <w:shd w:val="clear" w:color="auto" w:fill="auto"/>
          </w:tcPr>
          <w:p w14:paraId="2A2B612C"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162 (51.4)3</w:t>
            </w:r>
          </w:p>
        </w:tc>
        <w:tc>
          <w:tcPr>
            <w:tcW w:w="935" w:type="dxa"/>
            <w:shd w:val="clear" w:color="auto" w:fill="auto"/>
          </w:tcPr>
          <w:p w14:paraId="5D3BA36F"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0.080</w:t>
            </w:r>
          </w:p>
        </w:tc>
      </w:tr>
      <w:tr w:rsidR="00330FA4" w:rsidRPr="003B1108" w14:paraId="27FF7360" w14:textId="77777777" w:rsidTr="003267C3">
        <w:trPr>
          <w:jc w:val="center"/>
        </w:trPr>
        <w:tc>
          <w:tcPr>
            <w:tcW w:w="3397" w:type="dxa"/>
            <w:shd w:val="clear" w:color="auto" w:fill="auto"/>
          </w:tcPr>
          <w:p w14:paraId="2E60B82A"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proofErr w:type="spellStart"/>
            <w:r w:rsidRPr="003B1108">
              <w:rPr>
                <w:rFonts w:ascii="Book Antiqua" w:hAnsi="Book Antiqua"/>
                <w:color w:val="212121"/>
                <w:sz w:val="24"/>
                <w:szCs w:val="24"/>
                <w:shd w:val="clear" w:color="auto" w:fill="FFFFFF"/>
              </w:rPr>
              <w:t>TBil</w:t>
            </w:r>
            <w:proofErr w:type="spellEnd"/>
            <w:r w:rsidRPr="003B1108">
              <w:rPr>
                <w:rFonts w:ascii="Book Antiqua" w:hAnsi="Book Antiqua"/>
                <w:sz w:val="24"/>
                <w:szCs w:val="24"/>
              </w:rPr>
              <w:t xml:space="preserve"> </w:t>
            </w:r>
            <w:r w:rsidRPr="003B1108">
              <w:rPr>
                <w:rFonts w:ascii="Book Antiqua" w:hAnsi="Book Antiqua"/>
                <w:color w:val="212121"/>
                <w:sz w:val="24"/>
                <w:szCs w:val="24"/>
                <w:shd w:val="clear" w:color="auto" w:fill="FFFFFF"/>
              </w:rPr>
              <w:t>(µ</w:t>
            </w:r>
            <w:proofErr w:type="spellStart"/>
            <w:r w:rsidRPr="003B1108">
              <w:rPr>
                <w:rFonts w:ascii="Book Antiqua" w:hAnsi="Book Antiqua"/>
                <w:color w:val="212121"/>
                <w:sz w:val="24"/>
                <w:szCs w:val="24"/>
                <w:shd w:val="clear" w:color="auto" w:fill="FFFFFF"/>
              </w:rPr>
              <w:t>mol</w:t>
            </w:r>
            <w:proofErr w:type="spellEnd"/>
            <w:r w:rsidRPr="003B1108">
              <w:rPr>
                <w:rFonts w:ascii="Book Antiqua" w:hAnsi="Book Antiqua"/>
                <w:color w:val="212121"/>
                <w:sz w:val="24"/>
                <w:szCs w:val="24"/>
                <w:shd w:val="clear" w:color="auto" w:fill="FFFFFF"/>
              </w:rPr>
              <w:t>/L)</w:t>
            </w:r>
          </w:p>
        </w:tc>
        <w:tc>
          <w:tcPr>
            <w:tcW w:w="1983" w:type="dxa"/>
            <w:shd w:val="clear" w:color="auto" w:fill="auto"/>
          </w:tcPr>
          <w:p w14:paraId="4F85DEE6"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20.16 ± 10.13</w:t>
            </w:r>
          </w:p>
        </w:tc>
        <w:tc>
          <w:tcPr>
            <w:tcW w:w="1981" w:type="dxa"/>
            <w:shd w:val="clear" w:color="auto" w:fill="auto"/>
          </w:tcPr>
          <w:p w14:paraId="5DC50DDF"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19.58 ± 10.69</w:t>
            </w:r>
          </w:p>
        </w:tc>
        <w:tc>
          <w:tcPr>
            <w:tcW w:w="935" w:type="dxa"/>
            <w:shd w:val="clear" w:color="auto" w:fill="auto"/>
          </w:tcPr>
          <w:p w14:paraId="6BB20890"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0.184</w:t>
            </w:r>
          </w:p>
        </w:tc>
      </w:tr>
      <w:tr w:rsidR="00330FA4" w:rsidRPr="003B1108" w14:paraId="2FF01FFE" w14:textId="77777777" w:rsidTr="003267C3">
        <w:trPr>
          <w:jc w:val="center"/>
        </w:trPr>
        <w:tc>
          <w:tcPr>
            <w:tcW w:w="3397" w:type="dxa"/>
            <w:shd w:val="clear" w:color="auto" w:fill="auto"/>
          </w:tcPr>
          <w:p w14:paraId="0DF9F57B"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ALT (U/L)</w:t>
            </w:r>
          </w:p>
        </w:tc>
        <w:tc>
          <w:tcPr>
            <w:tcW w:w="1983" w:type="dxa"/>
            <w:shd w:val="clear" w:color="auto" w:fill="auto"/>
          </w:tcPr>
          <w:p w14:paraId="494B2DB9"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62.45 ± 53.85</w:t>
            </w:r>
          </w:p>
        </w:tc>
        <w:tc>
          <w:tcPr>
            <w:tcW w:w="1981" w:type="dxa"/>
            <w:shd w:val="clear" w:color="auto" w:fill="auto"/>
          </w:tcPr>
          <w:p w14:paraId="6425FB54"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52.28 ± 46.14</w:t>
            </w:r>
          </w:p>
        </w:tc>
        <w:tc>
          <w:tcPr>
            <w:tcW w:w="935" w:type="dxa"/>
            <w:shd w:val="clear" w:color="auto" w:fill="auto"/>
          </w:tcPr>
          <w:p w14:paraId="2027BFA7"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0.034</w:t>
            </w:r>
          </w:p>
        </w:tc>
      </w:tr>
      <w:tr w:rsidR="00330FA4" w:rsidRPr="003B1108" w14:paraId="07620AB5" w14:textId="77777777" w:rsidTr="003267C3">
        <w:trPr>
          <w:jc w:val="center"/>
        </w:trPr>
        <w:tc>
          <w:tcPr>
            <w:tcW w:w="3397" w:type="dxa"/>
            <w:shd w:val="clear" w:color="auto" w:fill="auto"/>
          </w:tcPr>
          <w:p w14:paraId="2A082133"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AST (U/L)</w:t>
            </w:r>
          </w:p>
        </w:tc>
        <w:tc>
          <w:tcPr>
            <w:tcW w:w="1983" w:type="dxa"/>
            <w:shd w:val="clear" w:color="auto" w:fill="auto"/>
          </w:tcPr>
          <w:p w14:paraId="14EE77C6"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42.73 ± 30.30</w:t>
            </w:r>
          </w:p>
        </w:tc>
        <w:tc>
          <w:tcPr>
            <w:tcW w:w="1981" w:type="dxa"/>
            <w:shd w:val="clear" w:color="auto" w:fill="auto"/>
          </w:tcPr>
          <w:p w14:paraId="1B759D08"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47.29 ± 39.74</w:t>
            </w:r>
          </w:p>
        </w:tc>
        <w:tc>
          <w:tcPr>
            <w:tcW w:w="935" w:type="dxa"/>
            <w:shd w:val="clear" w:color="auto" w:fill="auto"/>
          </w:tcPr>
          <w:p w14:paraId="0A15F4EE"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0.516</w:t>
            </w:r>
          </w:p>
        </w:tc>
      </w:tr>
      <w:tr w:rsidR="00330FA4" w:rsidRPr="003B1108" w14:paraId="04609440" w14:textId="77777777" w:rsidTr="003267C3">
        <w:trPr>
          <w:jc w:val="center"/>
        </w:trPr>
        <w:tc>
          <w:tcPr>
            <w:tcW w:w="3397" w:type="dxa"/>
            <w:shd w:val="clear" w:color="auto" w:fill="auto"/>
          </w:tcPr>
          <w:p w14:paraId="574176BA"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Albumin (g/L)</w:t>
            </w:r>
          </w:p>
        </w:tc>
        <w:tc>
          <w:tcPr>
            <w:tcW w:w="1983" w:type="dxa"/>
            <w:shd w:val="clear" w:color="auto" w:fill="auto"/>
          </w:tcPr>
          <w:p w14:paraId="0574A786"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37.7 ± 10.0</w:t>
            </w:r>
          </w:p>
        </w:tc>
        <w:tc>
          <w:tcPr>
            <w:tcW w:w="1981" w:type="dxa"/>
            <w:shd w:val="clear" w:color="auto" w:fill="auto"/>
          </w:tcPr>
          <w:p w14:paraId="674B6D02"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39.6 ± 8.6</w:t>
            </w:r>
          </w:p>
        </w:tc>
        <w:tc>
          <w:tcPr>
            <w:tcW w:w="935" w:type="dxa"/>
            <w:shd w:val="clear" w:color="auto" w:fill="auto"/>
          </w:tcPr>
          <w:p w14:paraId="53A1E1CF"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0.214</w:t>
            </w:r>
          </w:p>
        </w:tc>
      </w:tr>
      <w:tr w:rsidR="00330FA4" w:rsidRPr="003B1108" w14:paraId="0CA493FF" w14:textId="77777777" w:rsidTr="003267C3">
        <w:trPr>
          <w:jc w:val="center"/>
        </w:trPr>
        <w:tc>
          <w:tcPr>
            <w:tcW w:w="3397" w:type="dxa"/>
            <w:shd w:val="clear" w:color="auto" w:fill="auto"/>
          </w:tcPr>
          <w:p w14:paraId="08240AC2"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TCHO (mmol/L)</w:t>
            </w:r>
          </w:p>
        </w:tc>
        <w:tc>
          <w:tcPr>
            <w:tcW w:w="1983" w:type="dxa"/>
            <w:shd w:val="clear" w:color="auto" w:fill="auto"/>
          </w:tcPr>
          <w:p w14:paraId="69BD6E18"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3.93 ± 0.59</w:t>
            </w:r>
          </w:p>
        </w:tc>
        <w:tc>
          <w:tcPr>
            <w:tcW w:w="1981" w:type="dxa"/>
            <w:shd w:val="clear" w:color="auto" w:fill="auto"/>
          </w:tcPr>
          <w:p w14:paraId="233582B6"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3.85 ± 0.60</w:t>
            </w:r>
          </w:p>
        </w:tc>
        <w:tc>
          <w:tcPr>
            <w:tcW w:w="935" w:type="dxa"/>
            <w:shd w:val="clear" w:color="auto" w:fill="auto"/>
          </w:tcPr>
          <w:p w14:paraId="56E43A7C"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0.879</w:t>
            </w:r>
          </w:p>
        </w:tc>
      </w:tr>
      <w:tr w:rsidR="00330FA4" w:rsidRPr="003B1108" w14:paraId="3B74A04D" w14:textId="77777777" w:rsidTr="003267C3">
        <w:trPr>
          <w:jc w:val="center"/>
        </w:trPr>
        <w:tc>
          <w:tcPr>
            <w:tcW w:w="3397" w:type="dxa"/>
            <w:shd w:val="clear" w:color="auto" w:fill="auto"/>
          </w:tcPr>
          <w:p w14:paraId="20CE5529"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Hemoglobin (mg/dL)</w:t>
            </w:r>
          </w:p>
        </w:tc>
        <w:tc>
          <w:tcPr>
            <w:tcW w:w="1983" w:type="dxa"/>
            <w:shd w:val="clear" w:color="auto" w:fill="auto"/>
          </w:tcPr>
          <w:p w14:paraId="26A5D03A"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119.1 ± 15.0</w:t>
            </w:r>
          </w:p>
        </w:tc>
        <w:tc>
          <w:tcPr>
            <w:tcW w:w="1981" w:type="dxa"/>
            <w:shd w:val="clear" w:color="auto" w:fill="auto"/>
          </w:tcPr>
          <w:p w14:paraId="4231FBBD"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119.5 ± 23.8</w:t>
            </w:r>
          </w:p>
        </w:tc>
        <w:tc>
          <w:tcPr>
            <w:tcW w:w="935" w:type="dxa"/>
            <w:shd w:val="clear" w:color="auto" w:fill="auto"/>
          </w:tcPr>
          <w:p w14:paraId="1293641E"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0.497</w:t>
            </w:r>
          </w:p>
        </w:tc>
      </w:tr>
      <w:tr w:rsidR="00330FA4" w:rsidRPr="003B1108" w14:paraId="0A614983" w14:textId="77777777" w:rsidTr="003267C3">
        <w:trPr>
          <w:jc w:val="center"/>
        </w:trPr>
        <w:tc>
          <w:tcPr>
            <w:tcW w:w="3397" w:type="dxa"/>
            <w:shd w:val="clear" w:color="auto" w:fill="auto"/>
          </w:tcPr>
          <w:p w14:paraId="043675CE"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Platelets (10</w:t>
            </w:r>
            <w:r w:rsidRPr="003B1108">
              <w:rPr>
                <w:rFonts w:ascii="Book Antiqua" w:hAnsi="Book Antiqua"/>
                <w:color w:val="212121"/>
                <w:sz w:val="24"/>
                <w:szCs w:val="24"/>
                <w:shd w:val="clear" w:color="auto" w:fill="FFFFFF"/>
                <w:vertAlign w:val="superscript"/>
              </w:rPr>
              <w:t>9</w:t>
            </w:r>
            <w:r w:rsidRPr="003B1108">
              <w:rPr>
                <w:rFonts w:ascii="Book Antiqua" w:hAnsi="Book Antiqua"/>
                <w:color w:val="212121"/>
                <w:sz w:val="24"/>
                <w:szCs w:val="24"/>
                <w:shd w:val="clear" w:color="auto" w:fill="FFFFFF"/>
              </w:rPr>
              <w:t>/L)</w:t>
            </w:r>
          </w:p>
        </w:tc>
        <w:tc>
          <w:tcPr>
            <w:tcW w:w="1983" w:type="dxa"/>
            <w:shd w:val="clear" w:color="auto" w:fill="auto"/>
          </w:tcPr>
          <w:p w14:paraId="38520C6B"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165.6 ± 68.4</w:t>
            </w:r>
          </w:p>
        </w:tc>
        <w:tc>
          <w:tcPr>
            <w:tcW w:w="1981" w:type="dxa"/>
            <w:shd w:val="clear" w:color="auto" w:fill="auto"/>
          </w:tcPr>
          <w:p w14:paraId="3EB341A2"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144.9 ± 76.0</w:t>
            </w:r>
          </w:p>
        </w:tc>
        <w:tc>
          <w:tcPr>
            <w:tcW w:w="935" w:type="dxa"/>
            <w:shd w:val="clear" w:color="auto" w:fill="auto"/>
          </w:tcPr>
          <w:p w14:paraId="7DE9B8BE"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0.167</w:t>
            </w:r>
          </w:p>
        </w:tc>
      </w:tr>
      <w:tr w:rsidR="00330FA4" w:rsidRPr="003B1108" w14:paraId="3F61D456" w14:textId="77777777" w:rsidTr="003267C3">
        <w:trPr>
          <w:jc w:val="center"/>
        </w:trPr>
        <w:tc>
          <w:tcPr>
            <w:tcW w:w="3397" w:type="dxa"/>
            <w:shd w:val="clear" w:color="auto" w:fill="auto"/>
          </w:tcPr>
          <w:p w14:paraId="514DDD10" w14:textId="095D1BE9"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AFP (ng/m</w:t>
            </w:r>
            <w:r w:rsidR="00444EDB" w:rsidRPr="003B1108">
              <w:rPr>
                <w:rFonts w:ascii="Book Antiqua" w:hAnsi="Book Antiqua"/>
                <w:color w:val="212121"/>
                <w:sz w:val="24"/>
                <w:szCs w:val="24"/>
                <w:shd w:val="clear" w:color="auto" w:fill="FFFFFF"/>
              </w:rPr>
              <w:t>L</w:t>
            </w:r>
            <w:r w:rsidRPr="003B1108">
              <w:rPr>
                <w:rFonts w:ascii="Book Antiqua" w:hAnsi="Book Antiqua"/>
                <w:color w:val="212121"/>
                <w:sz w:val="24"/>
                <w:szCs w:val="24"/>
                <w:shd w:val="clear" w:color="auto" w:fill="FFFFFF"/>
              </w:rPr>
              <w:t>)</w:t>
            </w:r>
          </w:p>
        </w:tc>
        <w:tc>
          <w:tcPr>
            <w:tcW w:w="1983" w:type="dxa"/>
            <w:shd w:val="clear" w:color="auto" w:fill="auto"/>
          </w:tcPr>
          <w:p w14:paraId="33268AAD"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5.03 ± 4.49</w:t>
            </w:r>
          </w:p>
        </w:tc>
        <w:tc>
          <w:tcPr>
            <w:tcW w:w="1981" w:type="dxa"/>
            <w:shd w:val="clear" w:color="auto" w:fill="auto"/>
          </w:tcPr>
          <w:p w14:paraId="68A2DCD9"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4.77 ± 6.15</w:t>
            </w:r>
          </w:p>
        </w:tc>
        <w:tc>
          <w:tcPr>
            <w:tcW w:w="935" w:type="dxa"/>
            <w:shd w:val="clear" w:color="auto" w:fill="auto"/>
          </w:tcPr>
          <w:p w14:paraId="4AFF4E0B"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0.407</w:t>
            </w:r>
          </w:p>
        </w:tc>
      </w:tr>
      <w:tr w:rsidR="00330FA4" w:rsidRPr="003B1108" w14:paraId="696ED9FE" w14:textId="77777777" w:rsidTr="003267C3">
        <w:trPr>
          <w:jc w:val="center"/>
        </w:trPr>
        <w:tc>
          <w:tcPr>
            <w:tcW w:w="3397" w:type="dxa"/>
            <w:shd w:val="clear" w:color="auto" w:fill="auto"/>
          </w:tcPr>
          <w:p w14:paraId="271BC701" w14:textId="77777777"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Log10 HCV RNA (IU/mL)</w:t>
            </w:r>
          </w:p>
        </w:tc>
        <w:tc>
          <w:tcPr>
            <w:tcW w:w="1983" w:type="dxa"/>
            <w:shd w:val="clear" w:color="auto" w:fill="auto"/>
          </w:tcPr>
          <w:p w14:paraId="6FAE2A15"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6.5 ± 0.6</w:t>
            </w:r>
          </w:p>
        </w:tc>
        <w:tc>
          <w:tcPr>
            <w:tcW w:w="1981" w:type="dxa"/>
            <w:shd w:val="clear" w:color="auto" w:fill="auto"/>
          </w:tcPr>
          <w:p w14:paraId="079154BA"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6.5 ± 1.0</w:t>
            </w:r>
          </w:p>
        </w:tc>
        <w:tc>
          <w:tcPr>
            <w:tcW w:w="935" w:type="dxa"/>
            <w:shd w:val="clear" w:color="auto" w:fill="auto"/>
          </w:tcPr>
          <w:p w14:paraId="6D6C2907"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0.450</w:t>
            </w:r>
          </w:p>
        </w:tc>
      </w:tr>
      <w:tr w:rsidR="00330FA4" w:rsidRPr="003B1108" w14:paraId="280CDC3A" w14:textId="77777777" w:rsidTr="003267C3">
        <w:trPr>
          <w:jc w:val="center"/>
        </w:trPr>
        <w:tc>
          <w:tcPr>
            <w:tcW w:w="3397" w:type="dxa"/>
            <w:shd w:val="clear" w:color="auto" w:fill="auto"/>
          </w:tcPr>
          <w:p w14:paraId="5CADC734" w14:textId="036FD54E"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Cirrhosis</w:t>
            </w:r>
            <w:r w:rsidR="009C64EB" w:rsidRPr="003B1108">
              <w:rPr>
                <w:rFonts w:ascii="Book Antiqua" w:hAnsi="Book Antiqua"/>
                <w:color w:val="212121"/>
                <w:sz w:val="24"/>
                <w:szCs w:val="24"/>
                <w:shd w:val="clear" w:color="auto" w:fill="FFFFFF"/>
              </w:rPr>
              <w:t xml:space="preserve">, </w:t>
            </w:r>
            <w:r w:rsidR="009C64EB" w:rsidRPr="003B1108">
              <w:rPr>
                <w:rFonts w:ascii="Book Antiqua" w:hAnsi="Book Antiqua"/>
                <w:i/>
                <w:iCs/>
                <w:color w:val="212121"/>
                <w:sz w:val="24"/>
                <w:szCs w:val="24"/>
                <w:shd w:val="clear" w:color="auto" w:fill="FFFFFF"/>
              </w:rPr>
              <w:t>n</w:t>
            </w:r>
            <w:r w:rsidR="009C64EB" w:rsidRPr="003B1108">
              <w:rPr>
                <w:rFonts w:ascii="Book Antiqua" w:hAnsi="Book Antiqua"/>
                <w:color w:val="212121"/>
                <w:sz w:val="24"/>
                <w:szCs w:val="24"/>
                <w:shd w:val="clear" w:color="auto" w:fill="FFFFFF"/>
              </w:rPr>
              <w:t xml:space="preserve"> (%)</w:t>
            </w:r>
          </w:p>
        </w:tc>
        <w:tc>
          <w:tcPr>
            <w:tcW w:w="1983" w:type="dxa"/>
            <w:shd w:val="clear" w:color="auto" w:fill="auto"/>
          </w:tcPr>
          <w:p w14:paraId="11BFFF3E"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5 (45.5)</w:t>
            </w:r>
          </w:p>
        </w:tc>
        <w:tc>
          <w:tcPr>
            <w:tcW w:w="1981" w:type="dxa"/>
            <w:shd w:val="clear" w:color="auto" w:fill="auto"/>
          </w:tcPr>
          <w:p w14:paraId="0DAFAFD7"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138 (43.8)</w:t>
            </w:r>
          </w:p>
        </w:tc>
        <w:tc>
          <w:tcPr>
            <w:tcW w:w="935" w:type="dxa"/>
            <w:shd w:val="clear" w:color="auto" w:fill="auto"/>
          </w:tcPr>
          <w:p w14:paraId="27F97511"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0.621</w:t>
            </w:r>
          </w:p>
        </w:tc>
      </w:tr>
      <w:tr w:rsidR="00330FA4" w:rsidRPr="003B1108" w14:paraId="3A272142" w14:textId="77777777" w:rsidTr="003267C3">
        <w:trPr>
          <w:jc w:val="center"/>
        </w:trPr>
        <w:tc>
          <w:tcPr>
            <w:tcW w:w="3397" w:type="dxa"/>
            <w:shd w:val="clear" w:color="auto" w:fill="auto"/>
          </w:tcPr>
          <w:p w14:paraId="106968C0" w14:textId="7456B214" w:rsidR="00330FA4" w:rsidRPr="003B1108" w:rsidRDefault="00330FA4" w:rsidP="003B1108">
            <w:pPr>
              <w:adjustRightInd w:val="0"/>
              <w:snapToGrid w:val="0"/>
              <w:spacing w:line="360" w:lineRule="auto"/>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Treatment experienced</w:t>
            </w:r>
            <w:r w:rsidR="009C64EB" w:rsidRPr="003B1108">
              <w:rPr>
                <w:rFonts w:ascii="Book Antiqua" w:hAnsi="Book Antiqua"/>
                <w:color w:val="212121"/>
                <w:sz w:val="24"/>
                <w:szCs w:val="24"/>
                <w:shd w:val="clear" w:color="auto" w:fill="FFFFFF"/>
              </w:rPr>
              <w:t xml:space="preserve">, </w:t>
            </w:r>
            <w:r w:rsidR="009C64EB" w:rsidRPr="003B1108">
              <w:rPr>
                <w:rFonts w:ascii="Book Antiqua" w:hAnsi="Book Antiqua"/>
                <w:i/>
                <w:iCs/>
                <w:color w:val="212121"/>
                <w:sz w:val="24"/>
                <w:szCs w:val="24"/>
                <w:shd w:val="clear" w:color="auto" w:fill="FFFFFF"/>
              </w:rPr>
              <w:t>n</w:t>
            </w:r>
            <w:r w:rsidR="009C64EB" w:rsidRPr="003B1108">
              <w:rPr>
                <w:rFonts w:ascii="Book Antiqua" w:hAnsi="Book Antiqua"/>
                <w:color w:val="212121"/>
                <w:sz w:val="24"/>
                <w:szCs w:val="24"/>
                <w:shd w:val="clear" w:color="auto" w:fill="FFFFFF"/>
              </w:rPr>
              <w:t xml:space="preserve"> (%)</w:t>
            </w:r>
          </w:p>
        </w:tc>
        <w:tc>
          <w:tcPr>
            <w:tcW w:w="1983" w:type="dxa"/>
            <w:shd w:val="clear" w:color="auto" w:fill="auto"/>
          </w:tcPr>
          <w:p w14:paraId="36E452C3"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1 (9.1)</w:t>
            </w:r>
          </w:p>
        </w:tc>
        <w:tc>
          <w:tcPr>
            <w:tcW w:w="1981" w:type="dxa"/>
            <w:shd w:val="clear" w:color="auto" w:fill="auto"/>
          </w:tcPr>
          <w:p w14:paraId="7047C17A"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49 (15.6)</w:t>
            </w:r>
          </w:p>
        </w:tc>
        <w:tc>
          <w:tcPr>
            <w:tcW w:w="935" w:type="dxa"/>
            <w:shd w:val="clear" w:color="auto" w:fill="auto"/>
          </w:tcPr>
          <w:p w14:paraId="0BD65FD5" w14:textId="77777777" w:rsidR="00330FA4" w:rsidRPr="003B1108" w:rsidRDefault="00330FA4" w:rsidP="003B1108">
            <w:pPr>
              <w:adjustRightInd w:val="0"/>
              <w:snapToGrid w:val="0"/>
              <w:spacing w:line="360" w:lineRule="auto"/>
              <w:jc w:val="center"/>
              <w:rPr>
                <w:rFonts w:ascii="Book Antiqua" w:hAnsi="Book Antiqua"/>
                <w:color w:val="212121"/>
                <w:sz w:val="24"/>
                <w:szCs w:val="24"/>
                <w:shd w:val="clear" w:color="auto" w:fill="FFFFFF"/>
              </w:rPr>
            </w:pPr>
            <w:r w:rsidRPr="003B1108">
              <w:rPr>
                <w:rFonts w:ascii="Book Antiqua" w:hAnsi="Book Antiqua"/>
                <w:color w:val="212121"/>
                <w:sz w:val="24"/>
                <w:szCs w:val="24"/>
                <w:shd w:val="clear" w:color="auto" w:fill="FFFFFF"/>
              </w:rPr>
              <w:t>0.052</w:t>
            </w:r>
          </w:p>
        </w:tc>
      </w:tr>
    </w:tbl>
    <w:p w14:paraId="0C3CCA68" w14:textId="298907A6" w:rsidR="00330FA4" w:rsidRPr="003B1108" w:rsidRDefault="00330FA4" w:rsidP="003B1108">
      <w:pPr>
        <w:adjustRightInd w:val="0"/>
        <w:snapToGrid w:val="0"/>
        <w:spacing w:line="360" w:lineRule="auto"/>
        <w:rPr>
          <w:rFonts w:ascii="Book Antiqua" w:hAnsi="Book Antiqua"/>
          <w:bCs/>
          <w:sz w:val="24"/>
          <w:szCs w:val="24"/>
        </w:rPr>
      </w:pPr>
      <w:proofErr w:type="spellStart"/>
      <w:r w:rsidRPr="003B1108">
        <w:rPr>
          <w:rFonts w:ascii="Book Antiqua" w:hAnsi="Book Antiqua"/>
          <w:bCs/>
          <w:sz w:val="24"/>
          <w:szCs w:val="24"/>
        </w:rPr>
        <w:t>TBil</w:t>
      </w:r>
      <w:proofErr w:type="spellEnd"/>
      <w:r w:rsidR="00AA5541" w:rsidRPr="003B1108">
        <w:rPr>
          <w:rFonts w:ascii="Book Antiqua" w:hAnsi="Book Antiqua"/>
          <w:bCs/>
          <w:sz w:val="24"/>
          <w:szCs w:val="24"/>
        </w:rPr>
        <w:t>:</w:t>
      </w:r>
      <w:r w:rsidRPr="003B1108">
        <w:rPr>
          <w:rFonts w:ascii="Book Antiqua" w:hAnsi="Book Antiqua"/>
          <w:bCs/>
          <w:sz w:val="24"/>
          <w:szCs w:val="24"/>
        </w:rPr>
        <w:t xml:space="preserve"> </w:t>
      </w:r>
      <w:r w:rsidR="00800C6F" w:rsidRPr="003B1108">
        <w:rPr>
          <w:rFonts w:ascii="Book Antiqua" w:hAnsi="Book Antiqua"/>
          <w:bCs/>
          <w:sz w:val="24"/>
          <w:szCs w:val="24"/>
        </w:rPr>
        <w:t>T</w:t>
      </w:r>
      <w:r w:rsidRPr="003B1108">
        <w:rPr>
          <w:rFonts w:ascii="Book Antiqua" w:hAnsi="Book Antiqua"/>
          <w:bCs/>
          <w:sz w:val="24"/>
          <w:szCs w:val="24"/>
        </w:rPr>
        <w:t>otal bilirubin; ALT</w:t>
      </w:r>
      <w:r w:rsidR="00AA5541" w:rsidRPr="003B1108">
        <w:rPr>
          <w:rFonts w:ascii="Book Antiqua" w:hAnsi="Book Antiqua"/>
          <w:bCs/>
          <w:sz w:val="24"/>
          <w:szCs w:val="24"/>
        </w:rPr>
        <w:t>:</w:t>
      </w:r>
      <w:r w:rsidRPr="003B1108">
        <w:rPr>
          <w:rFonts w:ascii="Book Antiqua" w:hAnsi="Book Antiqua"/>
          <w:bCs/>
          <w:sz w:val="24"/>
          <w:szCs w:val="24"/>
        </w:rPr>
        <w:t xml:space="preserve"> </w:t>
      </w:r>
      <w:r w:rsidR="00885A97" w:rsidRPr="00885A97">
        <w:rPr>
          <w:rFonts w:ascii="Book Antiqua" w:hAnsi="Book Antiqua"/>
          <w:bCs/>
          <w:sz w:val="24"/>
          <w:szCs w:val="24"/>
        </w:rPr>
        <w:t>Alanine aminotransferase</w:t>
      </w:r>
      <w:r w:rsidRPr="003B1108">
        <w:rPr>
          <w:rFonts w:ascii="Book Antiqua" w:hAnsi="Book Antiqua"/>
          <w:bCs/>
          <w:sz w:val="24"/>
          <w:szCs w:val="24"/>
        </w:rPr>
        <w:t>; AST</w:t>
      </w:r>
      <w:r w:rsidR="00AA5541" w:rsidRPr="003B1108">
        <w:rPr>
          <w:rFonts w:ascii="Book Antiqua" w:hAnsi="Book Antiqua"/>
          <w:bCs/>
          <w:sz w:val="24"/>
          <w:szCs w:val="24"/>
        </w:rPr>
        <w:t>:</w:t>
      </w:r>
      <w:r w:rsidRPr="003B1108">
        <w:rPr>
          <w:rFonts w:ascii="Book Antiqua" w:hAnsi="Book Antiqua"/>
          <w:bCs/>
          <w:sz w:val="24"/>
          <w:szCs w:val="24"/>
        </w:rPr>
        <w:t xml:space="preserve"> </w:t>
      </w:r>
      <w:r w:rsidR="00800C6F" w:rsidRPr="003B1108">
        <w:rPr>
          <w:rFonts w:ascii="Book Antiqua" w:hAnsi="Book Antiqua"/>
          <w:bCs/>
          <w:sz w:val="24"/>
          <w:szCs w:val="24"/>
        </w:rPr>
        <w:t>A</w:t>
      </w:r>
      <w:r w:rsidRPr="003B1108">
        <w:rPr>
          <w:rFonts w:ascii="Book Antiqua" w:hAnsi="Book Antiqua"/>
          <w:bCs/>
          <w:sz w:val="24"/>
          <w:szCs w:val="24"/>
        </w:rPr>
        <w:t>spartate aminotransferase; TCHO</w:t>
      </w:r>
      <w:r w:rsidR="00AA5541" w:rsidRPr="003B1108">
        <w:rPr>
          <w:rFonts w:ascii="Book Antiqua" w:hAnsi="Book Antiqua"/>
          <w:bCs/>
          <w:sz w:val="24"/>
          <w:szCs w:val="24"/>
        </w:rPr>
        <w:t>:</w:t>
      </w:r>
      <w:r w:rsidRPr="003B1108">
        <w:rPr>
          <w:rFonts w:ascii="Book Antiqua" w:hAnsi="Book Antiqua"/>
          <w:bCs/>
          <w:sz w:val="24"/>
          <w:szCs w:val="24"/>
        </w:rPr>
        <w:t xml:space="preserve"> </w:t>
      </w:r>
      <w:r w:rsidR="00800C6F" w:rsidRPr="003B1108">
        <w:rPr>
          <w:rFonts w:ascii="Book Antiqua" w:hAnsi="Book Antiqua"/>
          <w:bCs/>
          <w:sz w:val="24"/>
          <w:szCs w:val="24"/>
        </w:rPr>
        <w:t>T</w:t>
      </w:r>
      <w:r w:rsidRPr="003B1108">
        <w:rPr>
          <w:rFonts w:ascii="Book Antiqua" w:hAnsi="Book Antiqua"/>
          <w:bCs/>
          <w:sz w:val="24"/>
          <w:szCs w:val="24"/>
        </w:rPr>
        <w:t>otal cholesterol; AFP</w:t>
      </w:r>
      <w:r w:rsidR="00AA5541" w:rsidRPr="003B1108">
        <w:rPr>
          <w:rFonts w:ascii="Book Antiqua" w:hAnsi="Book Antiqua"/>
          <w:bCs/>
          <w:sz w:val="24"/>
          <w:szCs w:val="24"/>
        </w:rPr>
        <w:t>:</w:t>
      </w:r>
      <w:r w:rsidRPr="003B1108">
        <w:rPr>
          <w:rFonts w:ascii="Book Antiqua" w:hAnsi="Book Antiqua"/>
          <w:bCs/>
          <w:sz w:val="24"/>
          <w:szCs w:val="24"/>
        </w:rPr>
        <w:t xml:space="preserve"> </w:t>
      </w:r>
      <w:r w:rsidR="00800C6F" w:rsidRPr="003B1108">
        <w:rPr>
          <w:rFonts w:ascii="Book Antiqua" w:hAnsi="Book Antiqua"/>
          <w:bCs/>
          <w:sz w:val="24"/>
          <w:szCs w:val="24"/>
        </w:rPr>
        <w:t>A</w:t>
      </w:r>
      <w:r w:rsidRPr="003B1108">
        <w:rPr>
          <w:rFonts w:ascii="Book Antiqua" w:hAnsi="Book Antiqua"/>
          <w:bCs/>
          <w:sz w:val="24"/>
          <w:szCs w:val="24"/>
        </w:rPr>
        <w:t>lpha fetoprotein</w:t>
      </w:r>
      <w:r w:rsidR="0046302D">
        <w:rPr>
          <w:rFonts w:ascii="Book Antiqua" w:hAnsi="Book Antiqua"/>
          <w:bCs/>
          <w:sz w:val="24"/>
          <w:szCs w:val="24"/>
        </w:rPr>
        <w:t xml:space="preserve">; </w:t>
      </w:r>
      <w:r w:rsidR="0046302D" w:rsidRPr="003B1108">
        <w:rPr>
          <w:rFonts w:ascii="Book Antiqua" w:hAnsi="Book Antiqua"/>
          <w:color w:val="212121"/>
          <w:sz w:val="24"/>
          <w:szCs w:val="24"/>
          <w:shd w:val="clear" w:color="auto" w:fill="FFFFFF"/>
        </w:rPr>
        <w:t>HCV</w:t>
      </w:r>
      <w:r w:rsidR="0046302D">
        <w:rPr>
          <w:rFonts w:ascii="Book Antiqua" w:hAnsi="Book Antiqua"/>
          <w:color w:val="212121"/>
          <w:sz w:val="24"/>
          <w:szCs w:val="24"/>
          <w:shd w:val="clear" w:color="auto" w:fill="FFFFFF"/>
        </w:rPr>
        <w:t xml:space="preserve">: </w:t>
      </w:r>
      <w:r w:rsidR="0046302D" w:rsidRPr="003B1108">
        <w:rPr>
          <w:rFonts w:ascii="Book Antiqua" w:hAnsi="Book Antiqua"/>
          <w:sz w:val="24"/>
          <w:szCs w:val="24"/>
        </w:rPr>
        <w:t>Hepatitis C virus</w:t>
      </w:r>
      <w:r w:rsidR="0046302D">
        <w:rPr>
          <w:rFonts w:ascii="Book Antiqua" w:hAnsi="Book Antiqua"/>
          <w:sz w:val="24"/>
          <w:szCs w:val="24"/>
        </w:rPr>
        <w:t xml:space="preserve">; </w:t>
      </w:r>
      <w:r w:rsidR="0046302D" w:rsidRPr="003B1108">
        <w:rPr>
          <w:rFonts w:ascii="Book Antiqua" w:hAnsi="Book Antiqua"/>
          <w:bCs/>
          <w:sz w:val="24"/>
          <w:szCs w:val="24"/>
        </w:rPr>
        <w:t xml:space="preserve">SVR12: Sustained </w:t>
      </w:r>
      <w:proofErr w:type="spellStart"/>
      <w:r w:rsidR="0046302D" w:rsidRPr="003B1108">
        <w:rPr>
          <w:rFonts w:ascii="Book Antiqua" w:hAnsi="Book Antiqua"/>
          <w:bCs/>
          <w:sz w:val="24"/>
          <w:szCs w:val="24"/>
        </w:rPr>
        <w:t>virological</w:t>
      </w:r>
      <w:proofErr w:type="spellEnd"/>
      <w:r w:rsidR="0046302D" w:rsidRPr="003B1108">
        <w:rPr>
          <w:rFonts w:ascii="Book Antiqua" w:hAnsi="Book Antiqua"/>
          <w:bCs/>
          <w:sz w:val="24"/>
          <w:szCs w:val="24"/>
        </w:rPr>
        <w:t xml:space="preserve"> response at post-treatment week 12</w:t>
      </w:r>
      <w:r w:rsidR="0046302D">
        <w:rPr>
          <w:rFonts w:ascii="Book Antiqua" w:hAnsi="Book Antiqua"/>
          <w:bCs/>
          <w:sz w:val="24"/>
          <w:szCs w:val="24"/>
        </w:rPr>
        <w:t>.</w:t>
      </w:r>
    </w:p>
    <w:sectPr w:rsidR="00330FA4" w:rsidRPr="003B11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B9CFB" w14:textId="77777777" w:rsidR="00314E93" w:rsidRDefault="00314E93" w:rsidP="002874D3">
      <w:r>
        <w:separator/>
      </w:r>
    </w:p>
  </w:endnote>
  <w:endnote w:type="continuationSeparator" w:id="0">
    <w:p w14:paraId="570A2C86" w14:textId="77777777" w:rsidR="00314E93" w:rsidRDefault="00314E93" w:rsidP="0028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AF1EE" w14:textId="77777777" w:rsidR="00314E93" w:rsidRDefault="00314E93" w:rsidP="002874D3">
      <w:r>
        <w:separator/>
      </w:r>
    </w:p>
  </w:footnote>
  <w:footnote w:type="continuationSeparator" w:id="0">
    <w:p w14:paraId="7BD69B44" w14:textId="77777777" w:rsidR="00314E93" w:rsidRDefault="00314E93" w:rsidP="00287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F5"/>
    <w:rsid w:val="000009A9"/>
    <w:rsid w:val="0000651E"/>
    <w:rsid w:val="00010101"/>
    <w:rsid w:val="0002049E"/>
    <w:rsid w:val="00023D3E"/>
    <w:rsid w:val="00077DBC"/>
    <w:rsid w:val="00087B33"/>
    <w:rsid w:val="00091979"/>
    <w:rsid w:val="000C2EC8"/>
    <w:rsid w:val="000F136E"/>
    <w:rsid w:val="00163109"/>
    <w:rsid w:val="00173FA7"/>
    <w:rsid w:val="0018436F"/>
    <w:rsid w:val="001A622C"/>
    <w:rsid w:val="001A7198"/>
    <w:rsid w:val="001B5381"/>
    <w:rsid w:val="001B7C84"/>
    <w:rsid w:val="001D2613"/>
    <w:rsid w:val="00212D40"/>
    <w:rsid w:val="00226072"/>
    <w:rsid w:val="0023142D"/>
    <w:rsid w:val="00241949"/>
    <w:rsid w:val="00243B12"/>
    <w:rsid w:val="00244708"/>
    <w:rsid w:val="002874D3"/>
    <w:rsid w:val="002E0C0F"/>
    <w:rsid w:val="002E7825"/>
    <w:rsid w:val="00300BFA"/>
    <w:rsid w:val="00314E93"/>
    <w:rsid w:val="00317E6E"/>
    <w:rsid w:val="003267C3"/>
    <w:rsid w:val="00330FA4"/>
    <w:rsid w:val="00343177"/>
    <w:rsid w:val="00362074"/>
    <w:rsid w:val="003630F1"/>
    <w:rsid w:val="00370A9E"/>
    <w:rsid w:val="00376822"/>
    <w:rsid w:val="00387519"/>
    <w:rsid w:val="003A1827"/>
    <w:rsid w:val="003A21E5"/>
    <w:rsid w:val="003B1108"/>
    <w:rsid w:val="003B1910"/>
    <w:rsid w:val="004016F0"/>
    <w:rsid w:val="00403D3D"/>
    <w:rsid w:val="004131BF"/>
    <w:rsid w:val="00414BA6"/>
    <w:rsid w:val="00444EDB"/>
    <w:rsid w:val="0046302D"/>
    <w:rsid w:val="00467ADE"/>
    <w:rsid w:val="00473A31"/>
    <w:rsid w:val="00477FBF"/>
    <w:rsid w:val="004A57F0"/>
    <w:rsid w:val="004C5F2D"/>
    <w:rsid w:val="004D00F5"/>
    <w:rsid w:val="004E3DF0"/>
    <w:rsid w:val="004F1CEC"/>
    <w:rsid w:val="005066FC"/>
    <w:rsid w:val="00527AF3"/>
    <w:rsid w:val="00547844"/>
    <w:rsid w:val="00552F81"/>
    <w:rsid w:val="00573936"/>
    <w:rsid w:val="00574BFC"/>
    <w:rsid w:val="00587B25"/>
    <w:rsid w:val="005D2660"/>
    <w:rsid w:val="005D5DFA"/>
    <w:rsid w:val="005D5E43"/>
    <w:rsid w:val="00606174"/>
    <w:rsid w:val="006110A3"/>
    <w:rsid w:val="00653973"/>
    <w:rsid w:val="0065754A"/>
    <w:rsid w:val="006651F1"/>
    <w:rsid w:val="00677352"/>
    <w:rsid w:val="006B0171"/>
    <w:rsid w:val="006C74EB"/>
    <w:rsid w:val="006D1A3F"/>
    <w:rsid w:val="006E62B2"/>
    <w:rsid w:val="006E7B04"/>
    <w:rsid w:val="006F20BC"/>
    <w:rsid w:val="0070039B"/>
    <w:rsid w:val="0070558F"/>
    <w:rsid w:val="00734B05"/>
    <w:rsid w:val="00737FD1"/>
    <w:rsid w:val="00745DFE"/>
    <w:rsid w:val="00757C74"/>
    <w:rsid w:val="00767613"/>
    <w:rsid w:val="00772263"/>
    <w:rsid w:val="0077379C"/>
    <w:rsid w:val="00777E45"/>
    <w:rsid w:val="00780E82"/>
    <w:rsid w:val="007937DB"/>
    <w:rsid w:val="007957BA"/>
    <w:rsid w:val="007A5288"/>
    <w:rsid w:val="007B3A60"/>
    <w:rsid w:val="007C1971"/>
    <w:rsid w:val="007C3B95"/>
    <w:rsid w:val="007C4D53"/>
    <w:rsid w:val="007E21C3"/>
    <w:rsid w:val="007E5E34"/>
    <w:rsid w:val="007E63C8"/>
    <w:rsid w:val="008009DC"/>
    <w:rsid w:val="00800C6F"/>
    <w:rsid w:val="00820AF8"/>
    <w:rsid w:val="00842063"/>
    <w:rsid w:val="0084213A"/>
    <w:rsid w:val="0084524E"/>
    <w:rsid w:val="00885A97"/>
    <w:rsid w:val="008978D5"/>
    <w:rsid w:val="008C2804"/>
    <w:rsid w:val="008D4625"/>
    <w:rsid w:val="008D47CB"/>
    <w:rsid w:val="008F67DA"/>
    <w:rsid w:val="00906CF2"/>
    <w:rsid w:val="0094295B"/>
    <w:rsid w:val="00951177"/>
    <w:rsid w:val="00970027"/>
    <w:rsid w:val="0098320A"/>
    <w:rsid w:val="009C64EB"/>
    <w:rsid w:val="009D0983"/>
    <w:rsid w:val="009D75ED"/>
    <w:rsid w:val="009E574B"/>
    <w:rsid w:val="009F3B95"/>
    <w:rsid w:val="00A01A48"/>
    <w:rsid w:val="00A1134B"/>
    <w:rsid w:val="00A613CF"/>
    <w:rsid w:val="00A61C15"/>
    <w:rsid w:val="00A8749E"/>
    <w:rsid w:val="00AA5541"/>
    <w:rsid w:val="00AB4646"/>
    <w:rsid w:val="00AB5982"/>
    <w:rsid w:val="00AD6129"/>
    <w:rsid w:val="00AE0580"/>
    <w:rsid w:val="00AE15A5"/>
    <w:rsid w:val="00B22AF0"/>
    <w:rsid w:val="00B26915"/>
    <w:rsid w:val="00B33195"/>
    <w:rsid w:val="00B93364"/>
    <w:rsid w:val="00B9480E"/>
    <w:rsid w:val="00B96A02"/>
    <w:rsid w:val="00B9708F"/>
    <w:rsid w:val="00BA1134"/>
    <w:rsid w:val="00BC0E37"/>
    <w:rsid w:val="00BC6205"/>
    <w:rsid w:val="00BD2FE0"/>
    <w:rsid w:val="00BD5024"/>
    <w:rsid w:val="00C001A4"/>
    <w:rsid w:val="00C43693"/>
    <w:rsid w:val="00C51644"/>
    <w:rsid w:val="00C835C5"/>
    <w:rsid w:val="00C90484"/>
    <w:rsid w:val="00C9527A"/>
    <w:rsid w:val="00CD452E"/>
    <w:rsid w:val="00CF2533"/>
    <w:rsid w:val="00D2589E"/>
    <w:rsid w:val="00D300A5"/>
    <w:rsid w:val="00D31693"/>
    <w:rsid w:val="00D557C0"/>
    <w:rsid w:val="00D560AB"/>
    <w:rsid w:val="00D92B8E"/>
    <w:rsid w:val="00DA56B1"/>
    <w:rsid w:val="00DC358E"/>
    <w:rsid w:val="00DC767D"/>
    <w:rsid w:val="00DE2FDA"/>
    <w:rsid w:val="00E40BAD"/>
    <w:rsid w:val="00E43FEA"/>
    <w:rsid w:val="00E44C20"/>
    <w:rsid w:val="00E52584"/>
    <w:rsid w:val="00E538DF"/>
    <w:rsid w:val="00E64B70"/>
    <w:rsid w:val="00E70017"/>
    <w:rsid w:val="00E740B2"/>
    <w:rsid w:val="00E81986"/>
    <w:rsid w:val="00EA00C4"/>
    <w:rsid w:val="00EA43DA"/>
    <w:rsid w:val="00EC4EEB"/>
    <w:rsid w:val="00EF30AB"/>
    <w:rsid w:val="00F06707"/>
    <w:rsid w:val="00F22FD7"/>
    <w:rsid w:val="00F42FA1"/>
    <w:rsid w:val="00F46CEA"/>
    <w:rsid w:val="00F549B2"/>
    <w:rsid w:val="00F67C65"/>
    <w:rsid w:val="00F7592C"/>
    <w:rsid w:val="00F828F5"/>
    <w:rsid w:val="00F92DD0"/>
    <w:rsid w:val="00FA292C"/>
    <w:rsid w:val="00FC65F4"/>
    <w:rsid w:val="00FE4B07"/>
    <w:rsid w:val="00FF3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D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7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74D3"/>
    <w:rPr>
      <w:sz w:val="18"/>
      <w:szCs w:val="18"/>
    </w:rPr>
  </w:style>
  <w:style w:type="paragraph" w:styleId="a4">
    <w:name w:val="footer"/>
    <w:basedOn w:val="a"/>
    <w:link w:val="Char0"/>
    <w:uiPriority w:val="99"/>
    <w:unhideWhenUsed/>
    <w:rsid w:val="002874D3"/>
    <w:pPr>
      <w:tabs>
        <w:tab w:val="center" w:pos="4153"/>
        <w:tab w:val="right" w:pos="8306"/>
      </w:tabs>
      <w:snapToGrid w:val="0"/>
      <w:jc w:val="left"/>
    </w:pPr>
    <w:rPr>
      <w:sz w:val="18"/>
      <w:szCs w:val="18"/>
    </w:rPr>
  </w:style>
  <w:style w:type="character" w:customStyle="1" w:styleId="Char0">
    <w:name w:val="页脚 Char"/>
    <w:basedOn w:val="a0"/>
    <w:link w:val="a4"/>
    <w:uiPriority w:val="99"/>
    <w:rsid w:val="002874D3"/>
    <w:rPr>
      <w:sz w:val="18"/>
      <w:szCs w:val="18"/>
    </w:rPr>
  </w:style>
  <w:style w:type="paragraph" w:styleId="a5">
    <w:name w:val="Balloon Text"/>
    <w:basedOn w:val="a"/>
    <w:link w:val="Char1"/>
    <w:uiPriority w:val="99"/>
    <w:semiHidden/>
    <w:unhideWhenUsed/>
    <w:rsid w:val="002874D3"/>
    <w:rPr>
      <w:sz w:val="18"/>
      <w:szCs w:val="18"/>
    </w:rPr>
  </w:style>
  <w:style w:type="character" w:customStyle="1" w:styleId="Char1">
    <w:name w:val="批注框文本 Char"/>
    <w:basedOn w:val="a0"/>
    <w:link w:val="a5"/>
    <w:uiPriority w:val="99"/>
    <w:semiHidden/>
    <w:rsid w:val="002874D3"/>
    <w:rPr>
      <w:rFonts w:ascii="等线" w:eastAsia="等线" w:hAnsi="等线" w:cs="Times New Roman"/>
      <w:sz w:val="18"/>
      <w:szCs w:val="18"/>
    </w:rPr>
  </w:style>
  <w:style w:type="paragraph" w:customStyle="1" w:styleId="1">
    <w:name w:val="正文1"/>
    <w:uiPriority w:val="99"/>
    <w:rsid w:val="002874D3"/>
    <w:pPr>
      <w:spacing w:line="276" w:lineRule="auto"/>
    </w:pPr>
    <w:rPr>
      <w:rFonts w:ascii="Arial" w:eastAsia="宋体" w:hAnsi="Arial" w:cs="Arial"/>
      <w:color w:val="000000"/>
      <w:kern w:val="0"/>
      <w:sz w:val="22"/>
      <w:szCs w:val="20"/>
      <w:lang w:val="pl-PL" w:eastAsia="pl-PL"/>
    </w:rPr>
  </w:style>
  <w:style w:type="character" w:styleId="a6">
    <w:name w:val="annotation reference"/>
    <w:uiPriority w:val="99"/>
    <w:semiHidden/>
    <w:unhideWhenUsed/>
    <w:rsid w:val="00A01A48"/>
    <w:rPr>
      <w:sz w:val="18"/>
      <w:szCs w:val="18"/>
    </w:rPr>
  </w:style>
  <w:style w:type="paragraph" w:styleId="a7">
    <w:name w:val="annotation text"/>
    <w:basedOn w:val="a"/>
    <w:link w:val="Char2"/>
    <w:uiPriority w:val="99"/>
    <w:unhideWhenUsed/>
    <w:rsid w:val="00A01A48"/>
    <w:pPr>
      <w:jc w:val="left"/>
    </w:pPr>
  </w:style>
  <w:style w:type="character" w:customStyle="1" w:styleId="Char2">
    <w:name w:val="批注文字 Char"/>
    <w:basedOn w:val="a0"/>
    <w:link w:val="a7"/>
    <w:uiPriority w:val="99"/>
    <w:rsid w:val="00A01A48"/>
    <w:rPr>
      <w:rFonts w:ascii="等线" w:eastAsia="等线" w:hAnsi="等线" w:cs="Times New Roman"/>
    </w:rPr>
  </w:style>
  <w:style w:type="paragraph" w:styleId="a8">
    <w:name w:val="Normal (Web)"/>
    <w:basedOn w:val="a"/>
    <w:uiPriority w:val="99"/>
    <w:semiHidden/>
    <w:unhideWhenUsed/>
    <w:rsid w:val="007C4D5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D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7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74D3"/>
    <w:rPr>
      <w:sz w:val="18"/>
      <w:szCs w:val="18"/>
    </w:rPr>
  </w:style>
  <w:style w:type="paragraph" w:styleId="a4">
    <w:name w:val="footer"/>
    <w:basedOn w:val="a"/>
    <w:link w:val="Char0"/>
    <w:uiPriority w:val="99"/>
    <w:unhideWhenUsed/>
    <w:rsid w:val="002874D3"/>
    <w:pPr>
      <w:tabs>
        <w:tab w:val="center" w:pos="4153"/>
        <w:tab w:val="right" w:pos="8306"/>
      </w:tabs>
      <w:snapToGrid w:val="0"/>
      <w:jc w:val="left"/>
    </w:pPr>
    <w:rPr>
      <w:sz w:val="18"/>
      <w:szCs w:val="18"/>
    </w:rPr>
  </w:style>
  <w:style w:type="character" w:customStyle="1" w:styleId="Char0">
    <w:name w:val="页脚 Char"/>
    <w:basedOn w:val="a0"/>
    <w:link w:val="a4"/>
    <w:uiPriority w:val="99"/>
    <w:rsid w:val="002874D3"/>
    <w:rPr>
      <w:sz w:val="18"/>
      <w:szCs w:val="18"/>
    </w:rPr>
  </w:style>
  <w:style w:type="paragraph" w:styleId="a5">
    <w:name w:val="Balloon Text"/>
    <w:basedOn w:val="a"/>
    <w:link w:val="Char1"/>
    <w:uiPriority w:val="99"/>
    <w:semiHidden/>
    <w:unhideWhenUsed/>
    <w:rsid w:val="002874D3"/>
    <w:rPr>
      <w:sz w:val="18"/>
      <w:szCs w:val="18"/>
    </w:rPr>
  </w:style>
  <w:style w:type="character" w:customStyle="1" w:styleId="Char1">
    <w:name w:val="批注框文本 Char"/>
    <w:basedOn w:val="a0"/>
    <w:link w:val="a5"/>
    <w:uiPriority w:val="99"/>
    <w:semiHidden/>
    <w:rsid w:val="002874D3"/>
    <w:rPr>
      <w:rFonts w:ascii="等线" w:eastAsia="等线" w:hAnsi="等线" w:cs="Times New Roman"/>
      <w:sz w:val="18"/>
      <w:szCs w:val="18"/>
    </w:rPr>
  </w:style>
  <w:style w:type="paragraph" w:customStyle="1" w:styleId="1">
    <w:name w:val="正文1"/>
    <w:uiPriority w:val="99"/>
    <w:rsid w:val="002874D3"/>
    <w:pPr>
      <w:spacing w:line="276" w:lineRule="auto"/>
    </w:pPr>
    <w:rPr>
      <w:rFonts w:ascii="Arial" w:eastAsia="宋体" w:hAnsi="Arial" w:cs="Arial"/>
      <w:color w:val="000000"/>
      <w:kern w:val="0"/>
      <w:sz w:val="22"/>
      <w:szCs w:val="20"/>
      <w:lang w:val="pl-PL" w:eastAsia="pl-PL"/>
    </w:rPr>
  </w:style>
  <w:style w:type="character" w:styleId="a6">
    <w:name w:val="annotation reference"/>
    <w:uiPriority w:val="99"/>
    <w:semiHidden/>
    <w:unhideWhenUsed/>
    <w:rsid w:val="00A01A48"/>
    <w:rPr>
      <w:sz w:val="18"/>
      <w:szCs w:val="18"/>
    </w:rPr>
  </w:style>
  <w:style w:type="paragraph" w:styleId="a7">
    <w:name w:val="annotation text"/>
    <w:basedOn w:val="a"/>
    <w:link w:val="Char2"/>
    <w:uiPriority w:val="99"/>
    <w:unhideWhenUsed/>
    <w:rsid w:val="00A01A48"/>
    <w:pPr>
      <w:jc w:val="left"/>
    </w:pPr>
  </w:style>
  <w:style w:type="character" w:customStyle="1" w:styleId="Char2">
    <w:name w:val="批注文字 Char"/>
    <w:basedOn w:val="a0"/>
    <w:link w:val="a7"/>
    <w:uiPriority w:val="99"/>
    <w:rsid w:val="00A01A48"/>
    <w:rPr>
      <w:rFonts w:ascii="等线" w:eastAsia="等线" w:hAnsi="等线" w:cs="Times New Roman"/>
    </w:rPr>
  </w:style>
  <w:style w:type="paragraph" w:styleId="a8">
    <w:name w:val="Normal (Web)"/>
    <w:basedOn w:val="a"/>
    <w:uiPriority w:val="99"/>
    <w:semiHidden/>
    <w:unhideWhenUsed/>
    <w:rsid w:val="007C4D5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6736">
      <w:bodyDiv w:val="1"/>
      <w:marLeft w:val="0"/>
      <w:marRight w:val="0"/>
      <w:marTop w:val="0"/>
      <w:marBottom w:val="0"/>
      <w:divBdr>
        <w:top w:val="none" w:sz="0" w:space="0" w:color="auto"/>
        <w:left w:val="none" w:sz="0" w:space="0" w:color="auto"/>
        <w:bottom w:val="none" w:sz="0" w:space="0" w:color="auto"/>
        <w:right w:val="none" w:sz="0" w:space="0" w:color="auto"/>
      </w:divBdr>
    </w:div>
    <w:div w:id="505561978">
      <w:bodyDiv w:val="1"/>
      <w:marLeft w:val="0"/>
      <w:marRight w:val="0"/>
      <w:marTop w:val="0"/>
      <w:marBottom w:val="0"/>
      <w:divBdr>
        <w:top w:val="none" w:sz="0" w:space="0" w:color="auto"/>
        <w:left w:val="none" w:sz="0" w:space="0" w:color="auto"/>
        <w:bottom w:val="none" w:sz="0" w:space="0" w:color="auto"/>
        <w:right w:val="none" w:sz="0" w:space="0" w:color="auto"/>
      </w:divBdr>
    </w:div>
    <w:div w:id="589312108">
      <w:bodyDiv w:val="1"/>
      <w:marLeft w:val="0"/>
      <w:marRight w:val="0"/>
      <w:marTop w:val="0"/>
      <w:marBottom w:val="0"/>
      <w:divBdr>
        <w:top w:val="none" w:sz="0" w:space="0" w:color="auto"/>
        <w:left w:val="none" w:sz="0" w:space="0" w:color="auto"/>
        <w:bottom w:val="none" w:sz="0" w:space="0" w:color="auto"/>
        <w:right w:val="none" w:sz="0" w:space="0" w:color="auto"/>
      </w:divBdr>
    </w:div>
    <w:div w:id="792551643">
      <w:bodyDiv w:val="1"/>
      <w:marLeft w:val="0"/>
      <w:marRight w:val="0"/>
      <w:marTop w:val="0"/>
      <w:marBottom w:val="0"/>
      <w:divBdr>
        <w:top w:val="none" w:sz="0" w:space="0" w:color="auto"/>
        <w:left w:val="none" w:sz="0" w:space="0" w:color="auto"/>
        <w:bottom w:val="none" w:sz="0" w:space="0" w:color="auto"/>
        <w:right w:val="none" w:sz="0" w:space="0" w:color="auto"/>
      </w:divBdr>
    </w:div>
    <w:div w:id="872158680">
      <w:bodyDiv w:val="1"/>
      <w:marLeft w:val="0"/>
      <w:marRight w:val="0"/>
      <w:marTop w:val="0"/>
      <w:marBottom w:val="0"/>
      <w:divBdr>
        <w:top w:val="none" w:sz="0" w:space="0" w:color="auto"/>
        <w:left w:val="none" w:sz="0" w:space="0" w:color="auto"/>
        <w:bottom w:val="none" w:sz="0" w:space="0" w:color="auto"/>
        <w:right w:val="none" w:sz="0" w:space="0" w:color="auto"/>
      </w:divBdr>
    </w:div>
    <w:div w:id="963314136">
      <w:bodyDiv w:val="1"/>
      <w:marLeft w:val="0"/>
      <w:marRight w:val="0"/>
      <w:marTop w:val="0"/>
      <w:marBottom w:val="0"/>
      <w:divBdr>
        <w:top w:val="none" w:sz="0" w:space="0" w:color="auto"/>
        <w:left w:val="none" w:sz="0" w:space="0" w:color="auto"/>
        <w:bottom w:val="none" w:sz="0" w:space="0" w:color="auto"/>
        <w:right w:val="none" w:sz="0" w:space="0" w:color="auto"/>
      </w:divBdr>
    </w:div>
    <w:div w:id="1082293270">
      <w:bodyDiv w:val="1"/>
      <w:marLeft w:val="0"/>
      <w:marRight w:val="0"/>
      <w:marTop w:val="0"/>
      <w:marBottom w:val="0"/>
      <w:divBdr>
        <w:top w:val="none" w:sz="0" w:space="0" w:color="auto"/>
        <w:left w:val="none" w:sz="0" w:space="0" w:color="auto"/>
        <w:bottom w:val="none" w:sz="0" w:space="0" w:color="auto"/>
        <w:right w:val="none" w:sz="0" w:space="0" w:color="auto"/>
      </w:divBdr>
      <w:divsChild>
        <w:div w:id="539824007">
          <w:marLeft w:val="0"/>
          <w:marRight w:val="0"/>
          <w:marTop w:val="0"/>
          <w:marBottom w:val="0"/>
          <w:divBdr>
            <w:top w:val="none" w:sz="0" w:space="0" w:color="auto"/>
            <w:left w:val="none" w:sz="0" w:space="0" w:color="auto"/>
            <w:bottom w:val="none" w:sz="0" w:space="0" w:color="auto"/>
            <w:right w:val="none" w:sz="0" w:space="0" w:color="auto"/>
          </w:divBdr>
        </w:div>
      </w:divsChild>
    </w:div>
    <w:div w:id="1437940122">
      <w:bodyDiv w:val="1"/>
      <w:marLeft w:val="0"/>
      <w:marRight w:val="0"/>
      <w:marTop w:val="0"/>
      <w:marBottom w:val="0"/>
      <w:divBdr>
        <w:top w:val="none" w:sz="0" w:space="0" w:color="auto"/>
        <w:left w:val="none" w:sz="0" w:space="0" w:color="auto"/>
        <w:bottom w:val="none" w:sz="0" w:space="0" w:color="auto"/>
        <w:right w:val="none" w:sz="0" w:space="0" w:color="auto"/>
      </w:divBdr>
    </w:div>
    <w:div w:id="1513448067">
      <w:bodyDiv w:val="1"/>
      <w:marLeft w:val="0"/>
      <w:marRight w:val="0"/>
      <w:marTop w:val="0"/>
      <w:marBottom w:val="0"/>
      <w:divBdr>
        <w:top w:val="none" w:sz="0" w:space="0" w:color="auto"/>
        <w:left w:val="none" w:sz="0" w:space="0" w:color="auto"/>
        <w:bottom w:val="none" w:sz="0" w:space="0" w:color="auto"/>
        <w:right w:val="none" w:sz="0" w:space="0" w:color="auto"/>
      </w:divBdr>
    </w:div>
    <w:div w:id="1575310152">
      <w:bodyDiv w:val="1"/>
      <w:marLeft w:val="0"/>
      <w:marRight w:val="0"/>
      <w:marTop w:val="0"/>
      <w:marBottom w:val="0"/>
      <w:divBdr>
        <w:top w:val="none" w:sz="0" w:space="0" w:color="auto"/>
        <w:left w:val="none" w:sz="0" w:space="0" w:color="auto"/>
        <w:bottom w:val="none" w:sz="0" w:space="0" w:color="auto"/>
        <w:right w:val="none" w:sz="0" w:space="0" w:color="auto"/>
      </w:divBdr>
    </w:div>
    <w:div w:id="1971787259">
      <w:bodyDiv w:val="1"/>
      <w:marLeft w:val="0"/>
      <w:marRight w:val="0"/>
      <w:marTop w:val="0"/>
      <w:marBottom w:val="0"/>
      <w:divBdr>
        <w:top w:val="none" w:sz="0" w:space="0" w:color="auto"/>
        <w:left w:val="none" w:sz="0" w:space="0" w:color="auto"/>
        <w:bottom w:val="none" w:sz="0" w:space="0" w:color="auto"/>
        <w:right w:val="none" w:sz="0" w:space="0" w:color="auto"/>
      </w:divBdr>
    </w:div>
    <w:div w:id="20436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27</Pages>
  <Words>6171</Words>
  <Characters>35175</Characters>
  <Application>Microsoft Office Word</Application>
  <DocSecurity>0</DocSecurity>
  <Lines>293</Lines>
  <Paragraphs>82</Paragraphs>
  <ScaleCrop>false</ScaleCrop>
  <Company/>
  <LinksUpToDate>false</LinksUpToDate>
  <CharactersWithSpaces>41264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宏伟</dc:creator>
  <cp:keywords/>
  <dc:description/>
  <cp:lastModifiedBy>User</cp:lastModifiedBy>
  <cp:revision>25</cp:revision>
  <dcterms:created xsi:type="dcterms:W3CDTF">2019-11-17T13:15:00Z</dcterms:created>
  <dcterms:modified xsi:type="dcterms:W3CDTF">2019-11-28T04:26:00Z</dcterms:modified>
</cp:coreProperties>
</file>