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EC11" w14:textId="45ED4B85" w:rsidR="00F504B7" w:rsidRPr="00FB18DA" w:rsidRDefault="002E0757" w:rsidP="00FB18DA">
      <w:pPr>
        <w:spacing w:after="0" w:line="360" w:lineRule="auto"/>
        <w:jc w:val="both"/>
        <w:rPr>
          <w:rFonts w:ascii="Book Antiqua" w:eastAsia="Book Antiqua" w:hAnsi="Book Antiqua"/>
          <w:i/>
          <w:sz w:val="24"/>
          <w:szCs w:val="24"/>
        </w:rPr>
      </w:pPr>
      <w:r w:rsidRPr="00FB18DA">
        <w:rPr>
          <w:rFonts w:ascii="Book Antiqua" w:hAnsi="Book Antiqua" w:cs="Arial"/>
          <w:b/>
          <w:sz w:val="24"/>
          <w:szCs w:val="24"/>
          <w:lang w:val="en-GB"/>
        </w:rPr>
        <w:t xml:space="preserve">Name of Journal: </w:t>
      </w:r>
      <w:r w:rsidR="00704001" w:rsidRPr="00FB18DA">
        <w:rPr>
          <w:rFonts w:ascii="Book Antiqua" w:eastAsia="Book Antiqua" w:hAnsi="Book Antiqua"/>
          <w:i/>
          <w:sz w:val="24"/>
          <w:szCs w:val="24"/>
        </w:rPr>
        <w:t>World Journal of Clinical Cases</w:t>
      </w:r>
    </w:p>
    <w:p w14:paraId="71E61892" w14:textId="77777777" w:rsidR="00830FD5" w:rsidRPr="00FB18DA" w:rsidRDefault="003931E4" w:rsidP="00FB18DA">
      <w:pPr>
        <w:spacing w:after="0" w:line="360" w:lineRule="auto"/>
        <w:jc w:val="both"/>
        <w:rPr>
          <w:rFonts w:ascii="Book Antiqua" w:hAnsi="Book Antiqua" w:cs="Arial"/>
          <w:b/>
          <w:sz w:val="24"/>
          <w:szCs w:val="24"/>
          <w:lang w:val="en-GB"/>
        </w:rPr>
      </w:pPr>
      <w:r w:rsidRPr="00FB18DA">
        <w:rPr>
          <w:rFonts w:ascii="Book Antiqua" w:hAnsi="Book Antiqua" w:cs="Arial"/>
          <w:b/>
          <w:sz w:val="24"/>
          <w:szCs w:val="24"/>
          <w:lang w:val="en-GB"/>
        </w:rPr>
        <w:t xml:space="preserve">Manuscript No: </w:t>
      </w:r>
      <w:r w:rsidRPr="00FB18DA">
        <w:rPr>
          <w:rFonts w:ascii="Book Antiqua" w:hAnsi="Book Antiqua" w:cs="Arial"/>
          <w:bCs/>
          <w:sz w:val="24"/>
          <w:szCs w:val="24"/>
          <w:lang w:val="en-GB"/>
        </w:rPr>
        <w:t>51405</w:t>
      </w:r>
    </w:p>
    <w:p w14:paraId="58F617CA" w14:textId="0F2B1F93" w:rsidR="00F504B7" w:rsidRPr="00FB18DA" w:rsidRDefault="002E0757" w:rsidP="00FB18DA">
      <w:pPr>
        <w:spacing w:after="0" w:line="360" w:lineRule="auto"/>
        <w:jc w:val="both"/>
        <w:rPr>
          <w:rFonts w:ascii="Book Antiqua" w:eastAsia="Book Antiqua" w:hAnsi="Book Antiqua"/>
          <w:sz w:val="24"/>
          <w:szCs w:val="24"/>
        </w:rPr>
      </w:pPr>
      <w:r w:rsidRPr="00FB18DA">
        <w:rPr>
          <w:rFonts w:ascii="Book Antiqua" w:hAnsi="Book Antiqua" w:cs="Arial"/>
          <w:b/>
          <w:sz w:val="24"/>
          <w:szCs w:val="24"/>
          <w:lang w:val="en-GB"/>
        </w:rPr>
        <w:t>Manuscript type:</w:t>
      </w:r>
      <w:r w:rsidR="00704001" w:rsidRPr="00FB18DA">
        <w:rPr>
          <w:rFonts w:ascii="Book Antiqua" w:eastAsia="Book Antiqua" w:hAnsi="Book Antiqua"/>
          <w:sz w:val="24"/>
          <w:szCs w:val="24"/>
        </w:rPr>
        <w:t xml:space="preserve"> CASE REPORT</w:t>
      </w:r>
    </w:p>
    <w:p w14:paraId="0466F7AA" w14:textId="77777777" w:rsidR="00704001" w:rsidRPr="00FB18DA" w:rsidRDefault="00704001" w:rsidP="00FB18DA">
      <w:pPr>
        <w:spacing w:after="0" w:line="360" w:lineRule="auto"/>
        <w:jc w:val="both"/>
        <w:rPr>
          <w:rFonts w:ascii="Book Antiqua" w:hAnsi="Book Antiqua" w:cs="Arial"/>
          <w:b/>
          <w:sz w:val="24"/>
          <w:szCs w:val="24"/>
          <w:lang w:val="en-GB"/>
        </w:rPr>
      </w:pPr>
    </w:p>
    <w:p w14:paraId="73FB8C20" w14:textId="06878E3F" w:rsidR="00E170E2" w:rsidRPr="00FB18DA" w:rsidRDefault="002C72B2" w:rsidP="00FB18DA">
      <w:pPr>
        <w:spacing w:after="0" w:line="360" w:lineRule="auto"/>
        <w:jc w:val="both"/>
        <w:rPr>
          <w:rFonts w:ascii="Book Antiqua" w:hAnsi="Book Antiqua" w:cs="Arial"/>
          <w:b/>
          <w:sz w:val="24"/>
          <w:szCs w:val="24"/>
          <w:lang w:val="en-GB"/>
        </w:rPr>
      </w:pPr>
      <w:r w:rsidRPr="00FB18DA">
        <w:rPr>
          <w:rFonts w:ascii="Book Antiqua" w:hAnsi="Book Antiqua" w:cs="Arial"/>
          <w:b/>
          <w:sz w:val="24"/>
          <w:szCs w:val="24"/>
          <w:lang w:val="en-GB"/>
        </w:rPr>
        <w:t xml:space="preserve">Acute </w:t>
      </w:r>
      <w:r w:rsidR="00704001" w:rsidRPr="00FB18DA">
        <w:rPr>
          <w:rFonts w:ascii="Book Antiqua" w:hAnsi="Book Antiqua" w:cs="Arial"/>
          <w:b/>
          <w:sz w:val="24"/>
          <w:szCs w:val="24"/>
          <w:lang w:val="en-GB"/>
        </w:rPr>
        <w:t xml:space="preserve">appendicitis </w:t>
      </w:r>
      <w:r w:rsidRPr="00FB18DA">
        <w:rPr>
          <w:rFonts w:ascii="Book Antiqua" w:hAnsi="Book Antiqua" w:cs="Arial"/>
          <w:b/>
          <w:sz w:val="24"/>
          <w:szCs w:val="24"/>
          <w:lang w:val="en-GB"/>
        </w:rPr>
        <w:t xml:space="preserve">in a </w:t>
      </w:r>
      <w:r w:rsidR="00704001" w:rsidRPr="00FB18DA">
        <w:rPr>
          <w:rFonts w:ascii="Book Antiqua" w:hAnsi="Book Antiqua" w:cs="Arial"/>
          <w:b/>
          <w:sz w:val="24"/>
          <w:szCs w:val="24"/>
          <w:lang w:val="en-GB"/>
        </w:rPr>
        <w:t xml:space="preserve">patient </w:t>
      </w:r>
      <w:r w:rsidRPr="00FB18DA">
        <w:rPr>
          <w:rFonts w:ascii="Book Antiqua" w:hAnsi="Book Antiqua" w:cs="Arial"/>
          <w:b/>
          <w:sz w:val="24"/>
          <w:szCs w:val="24"/>
          <w:lang w:val="en-GB"/>
        </w:rPr>
        <w:t xml:space="preserve">after a </w:t>
      </w:r>
      <w:r w:rsidR="00704001" w:rsidRPr="00FB18DA">
        <w:rPr>
          <w:rFonts w:ascii="Book Antiqua" w:hAnsi="Book Antiqua" w:cs="Arial"/>
          <w:b/>
          <w:sz w:val="24"/>
          <w:szCs w:val="24"/>
          <w:lang w:val="en-GB"/>
        </w:rPr>
        <w:t>uterus transplant</w:t>
      </w:r>
      <w:r w:rsidRPr="00FB18DA">
        <w:rPr>
          <w:rFonts w:ascii="Book Antiqua" w:hAnsi="Book Antiqua" w:cs="Arial"/>
          <w:b/>
          <w:sz w:val="24"/>
          <w:szCs w:val="24"/>
          <w:lang w:val="en-GB"/>
        </w:rPr>
        <w:t xml:space="preserve">: A </w:t>
      </w:r>
      <w:r w:rsidR="00704001" w:rsidRPr="00FB18DA">
        <w:rPr>
          <w:rFonts w:ascii="Book Antiqua" w:hAnsi="Book Antiqua" w:cs="Arial"/>
          <w:b/>
          <w:sz w:val="24"/>
          <w:szCs w:val="24"/>
          <w:lang w:val="en-GB"/>
        </w:rPr>
        <w:t>case report</w:t>
      </w:r>
    </w:p>
    <w:p w14:paraId="41ACFE78" w14:textId="77777777" w:rsidR="006001AA" w:rsidRPr="00FB18DA" w:rsidRDefault="006001AA" w:rsidP="00FB18DA">
      <w:pPr>
        <w:spacing w:after="0" w:line="360" w:lineRule="auto"/>
        <w:jc w:val="both"/>
        <w:rPr>
          <w:rFonts w:ascii="Book Antiqua" w:hAnsi="Book Antiqua" w:cs="Garamond-Bold"/>
          <w:b/>
          <w:bCs/>
          <w:sz w:val="24"/>
          <w:szCs w:val="24"/>
          <w:lang w:val="en-GB"/>
        </w:rPr>
      </w:pPr>
      <w:bookmarkStart w:id="0" w:name="_Hlk15551835"/>
      <w:bookmarkStart w:id="1" w:name="_Hlk15551897"/>
      <w:bookmarkStart w:id="2" w:name="_Hlk22315878"/>
      <w:bookmarkStart w:id="3" w:name="_Hlk15549485"/>
    </w:p>
    <w:bookmarkEnd w:id="0"/>
    <w:bookmarkEnd w:id="1"/>
    <w:bookmarkEnd w:id="2"/>
    <w:bookmarkEnd w:id="3"/>
    <w:p w14:paraId="143BAF79" w14:textId="7C1DA32B" w:rsidR="000B4D15" w:rsidRPr="00FB18DA" w:rsidRDefault="00704001"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Kristek</w:t>
      </w:r>
      <w:r w:rsidRPr="00FB18DA">
        <w:rPr>
          <w:rFonts w:ascii="Book Antiqua" w:hAnsi="Book Antiqua" w:cs="Garamond-Bold"/>
          <w:sz w:val="24"/>
          <w:szCs w:val="24"/>
          <w:lang w:val="en-GB"/>
        </w:rPr>
        <w:t xml:space="preserve"> J </w:t>
      </w:r>
      <w:r w:rsidRPr="00FB18DA">
        <w:rPr>
          <w:rFonts w:ascii="Book Antiqua" w:hAnsi="Book Antiqua" w:cs="Garamond-Bold"/>
          <w:i/>
          <w:iCs/>
          <w:sz w:val="24"/>
          <w:szCs w:val="24"/>
          <w:lang w:val="en-GB"/>
        </w:rPr>
        <w:t>et al</w:t>
      </w:r>
      <w:r w:rsidRPr="00FB18DA">
        <w:rPr>
          <w:rFonts w:ascii="Book Antiqua" w:hAnsi="Book Antiqua" w:cs="Garamond-Bold"/>
          <w:sz w:val="24"/>
          <w:szCs w:val="24"/>
          <w:lang w:val="en-GB"/>
        </w:rPr>
        <w:t xml:space="preserve">. </w:t>
      </w:r>
      <w:r w:rsidR="00E5261B" w:rsidRPr="00FB18DA">
        <w:rPr>
          <w:rFonts w:ascii="Book Antiqua" w:hAnsi="Book Antiqua" w:cs="Garamond-Bold"/>
          <w:sz w:val="24"/>
          <w:szCs w:val="24"/>
          <w:lang w:val="en-GB"/>
        </w:rPr>
        <w:t xml:space="preserve">Acute </w:t>
      </w:r>
      <w:r w:rsidRPr="00FB18DA">
        <w:rPr>
          <w:rFonts w:ascii="Book Antiqua" w:hAnsi="Book Antiqua" w:cs="Garamond-Bold"/>
          <w:sz w:val="24"/>
          <w:szCs w:val="24"/>
          <w:lang w:val="en-GB"/>
        </w:rPr>
        <w:t>appendicitis and uterus transplantation</w:t>
      </w:r>
    </w:p>
    <w:p w14:paraId="530EC595" w14:textId="77777777" w:rsidR="006001AA" w:rsidRPr="00FB18DA" w:rsidRDefault="006001AA" w:rsidP="00FB18DA">
      <w:pPr>
        <w:spacing w:after="0" w:line="360" w:lineRule="auto"/>
        <w:jc w:val="both"/>
        <w:rPr>
          <w:rFonts w:ascii="Book Antiqua" w:hAnsi="Book Antiqua" w:cs="Arial"/>
          <w:sz w:val="24"/>
          <w:szCs w:val="24"/>
          <w:lang w:val="en-GB"/>
        </w:rPr>
      </w:pPr>
    </w:p>
    <w:p w14:paraId="50C77492" w14:textId="24AB19F0" w:rsidR="00654770" w:rsidRPr="00FB18DA" w:rsidRDefault="002E0757"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 xml:space="preserve">Jakub </w:t>
      </w:r>
      <w:bookmarkStart w:id="4" w:name="OLE_LINK1"/>
      <w:r w:rsidRPr="00FB18DA">
        <w:rPr>
          <w:rFonts w:ascii="Book Antiqua" w:hAnsi="Book Antiqua" w:cs="Arial"/>
          <w:sz w:val="24"/>
          <w:szCs w:val="24"/>
          <w:lang w:val="en-GB"/>
        </w:rPr>
        <w:t>Kristek</w:t>
      </w:r>
      <w:bookmarkEnd w:id="4"/>
      <w:r w:rsidRPr="00FB18DA">
        <w:rPr>
          <w:rFonts w:ascii="Book Antiqua" w:hAnsi="Book Antiqua" w:cs="Arial"/>
          <w:sz w:val="24"/>
          <w:szCs w:val="24"/>
          <w:lang w:val="en-GB"/>
        </w:rPr>
        <w:t>, Michal Kudla, Jaroslav Chlupac, Robert Novotny, Tomas Mirejovsky, Libor Janousek, Jiri Fronek</w:t>
      </w:r>
    </w:p>
    <w:p w14:paraId="0ECFE70C" w14:textId="77777777" w:rsidR="000B4D15" w:rsidRPr="00FB18DA" w:rsidRDefault="000B4D15" w:rsidP="00FB18DA">
      <w:pPr>
        <w:spacing w:after="0" w:line="360" w:lineRule="auto"/>
        <w:jc w:val="both"/>
        <w:rPr>
          <w:rFonts w:ascii="Book Antiqua" w:hAnsi="Book Antiqua" w:cs="Arial"/>
          <w:sz w:val="24"/>
          <w:szCs w:val="24"/>
          <w:lang w:val="en-GB"/>
        </w:rPr>
      </w:pPr>
    </w:p>
    <w:p w14:paraId="58DF8150" w14:textId="6039247F" w:rsidR="009A115B" w:rsidRPr="00FB18DA" w:rsidRDefault="00F504B7" w:rsidP="00FB18DA">
      <w:pPr>
        <w:spacing w:after="0" w:line="360" w:lineRule="auto"/>
        <w:jc w:val="both"/>
        <w:rPr>
          <w:rFonts w:ascii="Book Antiqua" w:hAnsi="Book Antiqua" w:cs="Arial"/>
          <w:sz w:val="24"/>
          <w:szCs w:val="24"/>
          <w:lang w:val="en-GB"/>
        </w:rPr>
      </w:pPr>
      <w:bookmarkStart w:id="5" w:name="_Hlk19355511"/>
      <w:r w:rsidRPr="00FB18DA">
        <w:rPr>
          <w:rFonts w:ascii="Book Antiqua" w:hAnsi="Book Antiqua" w:cs="Arial"/>
          <w:b/>
          <w:sz w:val="24"/>
          <w:szCs w:val="24"/>
          <w:lang w:val="en-GB"/>
        </w:rPr>
        <w:t>Jakub Kristek, Michal Kudla, Jaroslav Chlupac, Robert Novotny, Libor Janousek, Jiri Fronek</w:t>
      </w:r>
      <w:bookmarkEnd w:id="5"/>
      <w:r w:rsidRPr="00FB18DA">
        <w:rPr>
          <w:rFonts w:ascii="Book Antiqua" w:hAnsi="Book Antiqua" w:cs="Arial"/>
          <w:b/>
          <w:sz w:val="24"/>
          <w:szCs w:val="24"/>
          <w:lang w:val="en-GB"/>
        </w:rPr>
        <w:t xml:space="preserve">, </w:t>
      </w:r>
      <w:r w:rsidRPr="00FB18DA">
        <w:rPr>
          <w:rFonts w:ascii="Book Antiqua" w:hAnsi="Book Antiqua" w:cs="Arial"/>
          <w:sz w:val="24"/>
          <w:szCs w:val="24"/>
          <w:lang w:val="en-GB"/>
        </w:rPr>
        <w:t xml:space="preserve">Department of Transplant Surgery, Institute for Clinical and Experimental Medicine, </w:t>
      </w:r>
      <w:bookmarkStart w:id="6" w:name="OLE_LINK2"/>
      <w:r w:rsidRPr="00FB18DA">
        <w:rPr>
          <w:rFonts w:ascii="Book Antiqua" w:hAnsi="Book Antiqua" w:cs="Arial"/>
          <w:sz w:val="24"/>
          <w:szCs w:val="24"/>
          <w:lang w:val="en-GB"/>
        </w:rPr>
        <w:t>Prague</w:t>
      </w:r>
      <w:bookmarkEnd w:id="6"/>
      <w:r w:rsidR="00704001" w:rsidRPr="00FB18DA">
        <w:rPr>
          <w:rFonts w:ascii="Book Antiqua" w:hAnsi="Book Antiqua" w:cs="Arial"/>
          <w:sz w:val="24"/>
          <w:szCs w:val="24"/>
          <w:lang w:val="en-GB"/>
        </w:rPr>
        <w:t xml:space="preserve"> 15006</w:t>
      </w:r>
      <w:r w:rsidRPr="00FB18DA">
        <w:rPr>
          <w:rFonts w:ascii="Book Antiqua" w:hAnsi="Book Antiqua" w:cs="Arial"/>
          <w:sz w:val="24"/>
          <w:szCs w:val="24"/>
          <w:lang w:val="en-GB"/>
        </w:rPr>
        <w:t>, Czech Republic</w:t>
      </w:r>
    </w:p>
    <w:p w14:paraId="7DE71553" w14:textId="77777777" w:rsidR="00704001" w:rsidRPr="00FB18DA" w:rsidRDefault="00704001" w:rsidP="00FB18DA">
      <w:pPr>
        <w:spacing w:after="0" w:line="360" w:lineRule="auto"/>
        <w:jc w:val="both"/>
        <w:rPr>
          <w:rFonts w:ascii="Book Antiqua" w:hAnsi="Book Antiqua" w:cs="Arial"/>
          <w:b/>
          <w:sz w:val="24"/>
          <w:szCs w:val="24"/>
          <w:lang w:val="en-GB"/>
        </w:rPr>
      </w:pPr>
    </w:p>
    <w:p w14:paraId="1170BE9F" w14:textId="560ED07E" w:rsidR="00786748" w:rsidRPr="00FB18DA" w:rsidRDefault="002E0757" w:rsidP="00FB18DA">
      <w:pPr>
        <w:spacing w:after="0" w:line="360" w:lineRule="auto"/>
        <w:jc w:val="both"/>
        <w:rPr>
          <w:rFonts w:ascii="Book Antiqua" w:hAnsi="Book Antiqua" w:cs="Arial"/>
          <w:sz w:val="24"/>
          <w:szCs w:val="24"/>
          <w:lang w:val="en-GB"/>
        </w:rPr>
      </w:pPr>
      <w:r w:rsidRPr="00FB18DA">
        <w:rPr>
          <w:rFonts w:ascii="Book Antiqua" w:hAnsi="Book Antiqua" w:cs="Arial"/>
          <w:b/>
          <w:sz w:val="24"/>
          <w:szCs w:val="24"/>
          <w:lang w:val="en-GB"/>
        </w:rPr>
        <w:t>Jakub Kristek</w:t>
      </w:r>
      <w:r w:rsidRPr="00FB18DA">
        <w:rPr>
          <w:rFonts w:ascii="Book Antiqua" w:hAnsi="Book Antiqua" w:cs="Arial"/>
          <w:sz w:val="24"/>
          <w:szCs w:val="24"/>
          <w:lang w:val="en-GB"/>
        </w:rPr>
        <w:t>, Department of Anatomy, Second Faculty of Medicine, Charles University, Prague</w:t>
      </w:r>
      <w:r w:rsidR="00704001" w:rsidRPr="00FB18DA">
        <w:rPr>
          <w:rFonts w:ascii="Book Antiqua" w:hAnsi="Book Antiqua" w:cs="Arial"/>
          <w:sz w:val="24"/>
          <w:szCs w:val="24"/>
          <w:lang w:val="en-GB"/>
        </w:rPr>
        <w:t xml:space="preserve"> 15006</w:t>
      </w:r>
      <w:r w:rsidRPr="00FB18DA">
        <w:rPr>
          <w:rFonts w:ascii="Book Antiqua" w:hAnsi="Book Antiqua" w:cs="Arial"/>
          <w:sz w:val="24"/>
          <w:szCs w:val="24"/>
          <w:lang w:val="en-GB"/>
        </w:rPr>
        <w:t>, Czech Republic</w:t>
      </w:r>
    </w:p>
    <w:p w14:paraId="594A88D8" w14:textId="77777777" w:rsidR="00704001" w:rsidRPr="00FB18DA" w:rsidRDefault="00704001" w:rsidP="00FB18DA">
      <w:pPr>
        <w:spacing w:after="0" w:line="360" w:lineRule="auto"/>
        <w:jc w:val="both"/>
        <w:rPr>
          <w:rFonts w:ascii="Book Antiqua" w:hAnsi="Book Antiqua" w:cs="Arial"/>
          <w:b/>
          <w:sz w:val="24"/>
          <w:szCs w:val="24"/>
          <w:lang w:val="en-GB"/>
        </w:rPr>
      </w:pPr>
    </w:p>
    <w:p w14:paraId="2D4D8419" w14:textId="327083F0" w:rsidR="000B4D15" w:rsidRPr="00FB18DA" w:rsidRDefault="00F504B7" w:rsidP="00FB18DA">
      <w:pPr>
        <w:spacing w:after="0" w:line="360" w:lineRule="auto"/>
        <w:jc w:val="both"/>
        <w:rPr>
          <w:rFonts w:ascii="Book Antiqua" w:hAnsi="Book Antiqua" w:cs="Arial"/>
          <w:sz w:val="24"/>
          <w:szCs w:val="24"/>
          <w:lang w:val="en-GB"/>
        </w:rPr>
      </w:pPr>
      <w:r w:rsidRPr="00FB18DA">
        <w:rPr>
          <w:rFonts w:ascii="Book Antiqua" w:hAnsi="Book Antiqua" w:cs="Arial"/>
          <w:b/>
          <w:sz w:val="24"/>
          <w:szCs w:val="24"/>
          <w:lang w:val="en-GB"/>
        </w:rPr>
        <w:t xml:space="preserve">Tomas Mirejovsky, </w:t>
      </w:r>
      <w:r w:rsidRPr="00FB18DA">
        <w:rPr>
          <w:rFonts w:ascii="Book Antiqua" w:hAnsi="Book Antiqua" w:cs="Arial"/>
          <w:sz w:val="24"/>
          <w:szCs w:val="24"/>
          <w:lang w:val="en-GB"/>
        </w:rPr>
        <w:t>Department of Clinical and Transplant Pathology, Institute for Clinical and Experimental Medicine, Prague</w:t>
      </w:r>
      <w:r w:rsidR="00704001" w:rsidRPr="00FB18DA">
        <w:rPr>
          <w:rFonts w:ascii="Book Antiqua" w:hAnsi="Book Antiqua" w:cs="Arial"/>
          <w:sz w:val="24"/>
          <w:szCs w:val="24"/>
          <w:lang w:val="en-GB"/>
        </w:rPr>
        <w:t xml:space="preserve"> 15006</w:t>
      </w:r>
      <w:r w:rsidRPr="00FB18DA">
        <w:rPr>
          <w:rFonts w:ascii="Book Antiqua" w:hAnsi="Book Antiqua" w:cs="Arial"/>
          <w:sz w:val="24"/>
          <w:szCs w:val="24"/>
          <w:lang w:val="en-GB"/>
        </w:rPr>
        <w:t>, Czech Republic</w:t>
      </w:r>
    </w:p>
    <w:p w14:paraId="4A2A6F3A" w14:textId="77777777" w:rsidR="00704001" w:rsidRPr="00FB18DA" w:rsidRDefault="00704001" w:rsidP="00FB18DA">
      <w:pPr>
        <w:spacing w:after="0" w:line="360" w:lineRule="auto"/>
        <w:jc w:val="both"/>
        <w:rPr>
          <w:rFonts w:ascii="Book Antiqua" w:hAnsi="Book Antiqua" w:cs="Arial"/>
          <w:b/>
          <w:sz w:val="24"/>
          <w:szCs w:val="24"/>
          <w:lang w:val="en-GB"/>
        </w:rPr>
      </w:pPr>
    </w:p>
    <w:p w14:paraId="11D17E9D" w14:textId="14D0E760" w:rsidR="00863770" w:rsidRPr="00FB18DA" w:rsidRDefault="002E0757" w:rsidP="00FB18DA">
      <w:pPr>
        <w:spacing w:after="0" w:line="360" w:lineRule="auto"/>
        <w:jc w:val="both"/>
        <w:rPr>
          <w:rFonts w:ascii="Book Antiqua" w:hAnsi="Book Antiqua" w:cs="Arial"/>
          <w:sz w:val="24"/>
          <w:szCs w:val="24"/>
          <w:lang w:val="en-GB"/>
        </w:rPr>
      </w:pPr>
      <w:r w:rsidRPr="00FB18DA">
        <w:rPr>
          <w:rFonts w:ascii="Book Antiqua" w:hAnsi="Book Antiqua" w:cs="Arial"/>
          <w:b/>
          <w:sz w:val="24"/>
          <w:szCs w:val="24"/>
          <w:lang w:val="en-GB"/>
        </w:rPr>
        <w:t xml:space="preserve">Libor Janousek, </w:t>
      </w:r>
      <w:r w:rsidRPr="00FB18DA">
        <w:rPr>
          <w:rFonts w:ascii="Book Antiqua" w:hAnsi="Book Antiqua" w:cs="Arial"/>
          <w:sz w:val="24"/>
          <w:szCs w:val="24"/>
          <w:lang w:val="en-GB"/>
        </w:rPr>
        <w:t>First Faculty of Medicine, Charles University, Prague</w:t>
      </w:r>
      <w:r w:rsidR="00704001" w:rsidRPr="00FB18DA">
        <w:rPr>
          <w:rFonts w:ascii="Book Antiqua" w:hAnsi="Book Antiqua" w:cs="Arial"/>
          <w:sz w:val="24"/>
          <w:szCs w:val="24"/>
          <w:lang w:val="en-GB"/>
        </w:rPr>
        <w:t xml:space="preserve"> 15006</w:t>
      </w:r>
      <w:r w:rsidRPr="00FB18DA">
        <w:rPr>
          <w:rFonts w:ascii="Book Antiqua" w:hAnsi="Book Antiqua" w:cs="Arial"/>
          <w:sz w:val="24"/>
          <w:szCs w:val="24"/>
          <w:lang w:val="en-GB"/>
        </w:rPr>
        <w:t>, Czech Republic</w:t>
      </w:r>
    </w:p>
    <w:p w14:paraId="02EE7A67" w14:textId="77777777" w:rsidR="00704001" w:rsidRPr="00FB18DA" w:rsidRDefault="00704001" w:rsidP="00FB18DA">
      <w:pPr>
        <w:spacing w:after="0" w:line="360" w:lineRule="auto"/>
        <w:jc w:val="both"/>
        <w:rPr>
          <w:rFonts w:ascii="Book Antiqua" w:hAnsi="Book Antiqua" w:cs="Arial"/>
          <w:b/>
          <w:sz w:val="24"/>
          <w:szCs w:val="24"/>
          <w:lang w:val="en-GB"/>
        </w:rPr>
      </w:pPr>
    </w:p>
    <w:p w14:paraId="2CF3041C" w14:textId="46240778" w:rsidR="00786748" w:rsidRPr="00FB18DA" w:rsidRDefault="0066296A" w:rsidP="00FB18DA">
      <w:pPr>
        <w:spacing w:after="0" w:line="360" w:lineRule="auto"/>
        <w:jc w:val="both"/>
        <w:rPr>
          <w:rFonts w:ascii="Book Antiqua" w:hAnsi="Book Antiqua" w:cs="Arial"/>
          <w:b/>
          <w:sz w:val="24"/>
          <w:szCs w:val="24"/>
          <w:lang w:val="en-GB"/>
        </w:rPr>
      </w:pPr>
      <w:r w:rsidRPr="00FB18DA">
        <w:rPr>
          <w:rFonts w:ascii="Book Antiqua" w:hAnsi="Book Antiqua" w:cs="Arial"/>
          <w:b/>
          <w:sz w:val="24"/>
          <w:szCs w:val="24"/>
          <w:lang w:val="en-GB"/>
        </w:rPr>
        <w:t xml:space="preserve">Jaroslav Chlupac, </w:t>
      </w:r>
      <w:r w:rsidR="002E0757" w:rsidRPr="00FB18DA">
        <w:rPr>
          <w:rFonts w:ascii="Book Antiqua" w:hAnsi="Book Antiqua" w:cs="Arial"/>
          <w:b/>
          <w:sz w:val="24"/>
          <w:szCs w:val="24"/>
          <w:lang w:val="en-GB"/>
        </w:rPr>
        <w:t xml:space="preserve">Jiri Fronek, </w:t>
      </w:r>
      <w:r w:rsidR="002E0757" w:rsidRPr="00FB18DA">
        <w:rPr>
          <w:rFonts w:ascii="Book Antiqua" w:hAnsi="Book Antiqua" w:cs="Arial"/>
          <w:sz w:val="24"/>
          <w:szCs w:val="24"/>
          <w:lang w:val="en-GB"/>
        </w:rPr>
        <w:t>Second Faculty of Medicine, Charles University, Prague</w:t>
      </w:r>
      <w:r w:rsidR="00704001" w:rsidRPr="00FB18DA">
        <w:rPr>
          <w:rFonts w:ascii="Book Antiqua" w:hAnsi="Book Antiqua" w:cs="Arial"/>
          <w:sz w:val="24"/>
          <w:szCs w:val="24"/>
          <w:lang w:val="en-GB"/>
        </w:rPr>
        <w:t xml:space="preserve"> 15006</w:t>
      </w:r>
      <w:r w:rsidR="002E0757" w:rsidRPr="00FB18DA">
        <w:rPr>
          <w:rFonts w:ascii="Book Antiqua" w:hAnsi="Book Antiqua" w:cs="Arial"/>
          <w:sz w:val="24"/>
          <w:szCs w:val="24"/>
          <w:lang w:val="en-GB"/>
        </w:rPr>
        <w:t>, Czech Republic</w:t>
      </w:r>
    </w:p>
    <w:p w14:paraId="497A38B6" w14:textId="77777777" w:rsidR="006001AA" w:rsidRPr="00FB18DA" w:rsidRDefault="006001AA" w:rsidP="00FB18DA">
      <w:pPr>
        <w:spacing w:after="0" w:line="360" w:lineRule="auto"/>
        <w:jc w:val="both"/>
        <w:rPr>
          <w:rFonts w:ascii="Book Antiqua" w:hAnsi="Book Antiqua"/>
          <w:b/>
          <w:sz w:val="24"/>
          <w:szCs w:val="24"/>
          <w:lang w:val="en-GB"/>
        </w:rPr>
      </w:pPr>
    </w:p>
    <w:p w14:paraId="25F1857C" w14:textId="78BEC436" w:rsidR="000B4D15" w:rsidRPr="00FB18DA" w:rsidRDefault="002E0757" w:rsidP="00FB18DA">
      <w:pPr>
        <w:spacing w:after="0" w:line="360" w:lineRule="auto"/>
        <w:jc w:val="both"/>
        <w:rPr>
          <w:rFonts w:ascii="Book Antiqua" w:hAnsi="Book Antiqua"/>
          <w:sz w:val="24"/>
          <w:szCs w:val="24"/>
          <w:lang w:val="en-GB"/>
        </w:rPr>
      </w:pPr>
      <w:r w:rsidRPr="00FB18DA">
        <w:rPr>
          <w:rFonts w:ascii="Book Antiqua" w:hAnsi="Book Antiqua"/>
          <w:b/>
          <w:sz w:val="24"/>
          <w:szCs w:val="24"/>
          <w:lang w:val="en-GB"/>
        </w:rPr>
        <w:t xml:space="preserve">ORCID number: </w:t>
      </w:r>
      <w:r w:rsidRPr="00FB18DA">
        <w:rPr>
          <w:rFonts w:ascii="Book Antiqua" w:hAnsi="Book Antiqua"/>
          <w:sz w:val="24"/>
          <w:szCs w:val="24"/>
          <w:lang w:val="en-GB"/>
        </w:rPr>
        <w:t>Jakub Kristek (0000-0002-3758-2273); Michal Kudla (</w:t>
      </w:r>
      <w:r w:rsidR="0093592B" w:rsidRPr="00FB18DA">
        <w:rPr>
          <w:rStyle w:val="orcid-id-https2"/>
          <w:rFonts w:ascii="Book Antiqua" w:hAnsi="Book Antiqua" w:cs="Arial"/>
          <w:sz w:val="24"/>
          <w:szCs w:val="24"/>
          <w:lang w:val="en-GB"/>
        </w:rPr>
        <w:t>0000-0001-9018-1738</w:t>
      </w:r>
      <w:r w:rsidRPr="00FB18DA">
        <w:rPr>
          <w:rFonts w:ascii="Book Antiqua" w:hAnsi="Book Antiqua"/>
          <w:sz w:val="24"/>
          <w:szCs w:val="24"/>
          <w:lang w:val="en-GB"/>
        </w:rPr>
        <w:t xml:space="preserve">); </w:t>
      </w:r>
      <w:r w:rsidR="00371D96" w:rsidRPr="00FB18DA">
        <w:rPr>
          <w:rFonts w:ascii="Book Antiqua" w:hAnsi="Book Antiqua"/>
          <w:sz w:val="24"/>
          <w:szCs w:val="24"/>
          <w:lang w:val="en-GB"/>
        </w:rPr>
        <w:t>Jaroslav Chlupac (</w:t>
      </w:r>
      <w:r w:rsidR="00371D96" w:rsidRPr="00FB18DA">
        <w:rPr>
          <w:rFonts w:ascii="Book Antiqua" w:hAnsi="Book Antiqua" w:cs="Arial"/>
          <w:sz w:val="24"/>
          <w:szCs w:val="24"/>
          <w:lang w:val="en-GB"/>
        </w:rPr>
        <w:t>0000-0003-1482-6105</w:t>
      </w:r>
      <w:r w:rsidR="00371D96" w:rsidRPr="00FB18DA">
        <w:rPr>
          <w:rFonts w:ascii="Book Antiqua" w:hAnsi="Book Antiqua"/>
          <w:sz w:val="24"/>
          <w:szCs w:val="24"/>
          <w:lang w:val="en-GB"/>
        </w:rPr>
        <w:t xml:space="preserve">); </w:t>
      </w:r>
      <w:r w:rsidRPr="00FB18DA">
        <w:rPr>
          <w:rFonts w:ascii="Book Antiqua" w:hAnsi="Book Antiqua"/>
          <w:sz w:val="24"/>
          <w:szCs w:val="24"/>
          <w:lang w:val="en-GB"/>
        </w:rPr>
        <w:t>Robert Novotny (0000-0002-5876-2951); Tomas Mirejovsky (0000-0002-4616-4321); Libor Janousek (0000-0001-7572-8416); Jiri Fronek (0000-0003-2379-3886).</w:t>
      </w:r>
    </w:p>
    <w:p w14:paraId="3D9CAB34" w14:textId="77777777" w:rsidR="00427A04" w:rsidRPr="00FB18DA" w:rsidRDefault="00427A04" w:rsidP="00FB18DA">
      <w:pPr>
        <w:spacing w:after="0" w:line="360" w:lineRule="auto"/>
        <w:jc w:val="both"/>
        <w:rPr>
          <w:rFonts w:ascii="Book Antiqua" w:hAnsi="Book Antiqua" w:cs="Arial"/>
          <w:b/>
          <w:sz w:val="24"/>
          <w:szCs w:val="24"/>
          <w:lang w:val="en-GB"/>
        </w:rPr>
      </w:pPr>
    </w:p>
    <w:p w14:paraId="3D9A9FE5" w14:textId="3C12F062" w:rsidR="00F51D06" w:rsidRPr="00FB18DA" w:rsidRDefault="002E0757" w:rsidP="00FB18DA">
      <w:pPr>
        <w:spacing w:after="0" w:line="360" w:lineRule="auto"/>
        <w:jc w:val="both"/>
        <w:rPr>
          <w:rFonts w:ascii="Book Antiqua" w:hAnsi="Book Antiqua" w:cs="Arial"/>
          <w:b/>
          <w:sz w:val="24"/>
          <w:szCs w:val="24"/>
          <w:lang w:val="en-GB"/>
        </w:rPr>
      </w:pPr>
      <w:r w:rsidRPr="00FB18DA">
        <w:rPr>
          <w:rFonts w:ascii="Book Antiqua" w:hAnsi="Book Antiqua" w:cs="Arial"/>
          <w:b/>
          <w:sz w:val="24"/>
          <w:szCs w:val="24"/>
          <w:lang w:val="en-GB"/>
        </w:rPr>
        <w:t xml:space="preserve">Author contributions: </w:t>
      </w:r>
      <w:r w:rsidR="00CB06C7" w:rsidRPr="00FB18DA">
        <w:rPr>
          <w:rFonts w:ascii="Book Antiqua" w:hAnsi="Book Antiqua" w:cs="Arial"/>
          <w:bCs/>
          <w:sz w:val="24"/>
          <w:szCs w:val="24"/>
          <w:lang w:val="en-GB"/>
        </w:rPr>
        <w:t>Kristek J wrote the manuscript and analyzed the data. Kudla M operated on the patient. Chlupac J and Novotny R provided images of the ultrasound and consultations regarding the risk of thrombosis. Mirejovsky T provided the histological image. Janousek L and Fronek J designed and ran the uterus transplantation trial and provided consultations regarding this case.</w:t>
      </w:r>
    </w:p>
    <w:p w14:paraId="22D6FC5F" w14:textId="77777777" w:rsidR="00427A04" w:rsidRPr="00FB18DA" w:rsidRDefault="00427A04" w:rsidP="00FB18DA">
      <w:pPr>
        <w:spacing w:after="0" w:line="360" w:lineRule="auto"/>
        <w:jc w:val="both"/>
        <w:rPr>
          <w:rFonts w:ascii="Book Antiqua" w:hAnsi="Book Antiqua" w:cs="Arial"/>
          <w:b/>
          <w:sz w:val="24"/>
          <w:szCs w:val="24"/>
          <w:lang w:val="en-GB"/>
        </w:rPr>
      </w:pPr>
    </w:p>
    <w:p w14:paraId="6FF4E75C" w14:textId="3E60CE4C" w:rsidR="005B0448" w:rsidRPr="00FB18DA" w:rsidRDefault="002E0757" w:rsidP="00FB18DA">
      <w:pPr>
        <w:spacing w:after="0" w:line="360" w:lineRule="auto"/>
        <w:jc w:val="both"/>
        <w:rPr>
          <w:rFonts w:ascii="Book Antiqua" w:hAnsi="Book Antiqua" w:cs="Arial"/>
          <w:sz w:val="24"/>
          <w:szCs w:val="24"/>
          <w:lang w:val="en-GB"/>
        </w:rPr>
      </w:pPr>
      <w:r w:rsidRPr="00FB18DA">
        <w:rPr>
          <w:rFonts w:ascii="Book Antiqua" w:hAnsi="Book Antiqua" w:cs="Arial"/>
          <w:b/>
          <w:sz w:val="24"/>
          <w:szCs w:val="24"/>
          <w:lang w:val="en-GB"/>
        </w:rPr>
        <w:t>Conflict-of-interest statement</w:t>
      </w:r>
      <w:r w:rsidRPr="00FB18DA">
        <w:rPr>
          <w:rFonts w:ascii="Book Antiqua" w:hAnsi="Book Antiqua" w:cs="Arial"/>
          <w:sz w:val="24"/>
          <w:szCs w:val="24"/>
          <w:lang w:val="en-GB"/>
        </w:rPr>
        <w:t>: The authors declare that they have no conflict of interest.</w:t>
      </w:r>
    </w:p>
    <w:p w14:paraId="0F2452D9" w14:textId="77777777" w:rsidR="00427A04" w:rsidRPr="00FB18DA" w:rsidRDefault="00427A04" w:rsidP="00FB18DA">
      <w:pPr>
        <w:spacing w:after="0" w:line="360" w:lineRule="auto"/>
        <w:jc w:val="both"/>
        <w:rPr>
          <w:rFonts w:ascii="Book Antiqua" w:hAnsi="Book Antiqua" w:cs="Arial"/>
          <w:b/>
          <w:sz w:val="24"/>
          <w:szCs w:val="24"/>
          <w:lang w:val="en-GB"/>
        </w:rPr>
      </w:pPr>
    </w:p>
    <w:p w14:paraId="7C6C0EC5" w14:textId="77777777" w:rsidR="00427A04" w:rsidRPr="00FB18DA" w:rsidRDefault="00427A04" w:rsidP="00FB18DA">
      <w:pPr>
        <w:pStyle w:val="af2"/>
        <w:snapToGrid w:val="0"/>
        <w:spacing w:before="0" w:beforeAutospacing="0" w:after="0" w:afterAutospacing="0" w:line="360" w:lineRule="auto"/>
        <w:jc w:val="both"/>
        <w:rPr>
          <w:rFonts w:ascii="Book Antiqua" w:eastAsia="等线" w:hAnsi="Book Antiqua"/>
          <w:kern w:val="2"/>
          <w:lang w:val="en-US" w:eastAsia="zh-CN"/>
        </w:rPr>
      </w:pPr>
      <w:r w:rsidRPr="00FB18DA">
        <w:rPr>
          <w:rFonts w:ascii="Book Antiqua" w:hAnsi="Book Antiqua"/>
          <w:b/>
        </w:rPr>
        <w:t>CARE Checklist (2016) statement:</w:t>
      </w:r>
      <w:r w:rsidRPr="00FB18DA">
        <w:rPr>
          <w:rFonts w:ascii="Book Antiqua" w:eastAsia="等线" w:hAnsi="Book Antiqua"/>
          <w:b/>
          <w:kern w:val="2"/>
          <w:lang w:val="en-US" w:eastAsia="zh-CN"/>
        </w:rPr>
        <w:t xml:space="preserve"> </w:t>
      </w:r>
      <w:r w:rsidRPr="00FB18DA">
        <w:rPr>
          <w:rFonts w:ascii="Book Antiqua" w:eastAsia="等线" w:hAnsi="Book Antiqua"/>
          <w:kern w:val="2"/>
          <w:lang w:val="en-US" w:eastAsia="zh-CN"/>
        </w:rPr>
        <w:t>The manuscript was prepared and revised according to the CARE Checklist (2016).</w:t>
      </w:r>
    </w:p>
    <w:p w14:paraId="111B56F0" w14:textId="77777777" w:rsidR="00427A04" w:rsidRPr="00FB18DA" w:rsidRDefault="00427A04" w:rsidP="00FB18DA">
      <w:pPr>
        <w:spacing w:after="0" w:line="360" w:lineRule="auto"/>
        <w:jc w:val="both"/>
        <w:rPr>
          <w:rFonts w:ascii="Book Antiqua" w:hAnsi="Book Antiqua" w:cs="Arial"/>
          <w:b/>
          <w:sz w:val="24"/>
          <w:szCs w:val="24"/>
          <w:lang w:val="en-GB"/>
        </w:rPr>
      </w:pPr>
    </w:p>
    <w:p w14:paraId="298F369D" w14:textId="1F3761E6" w:rsidR="00427A04" w:rsidRPr="00FB18DA" w:rsidRDefault="00427A04" w:rsidP="00FB18DA">
      <w:pPr>
        <w:spacing w:after="0" w:line="360" w:lineRule="auto"/>
        <w:jc w:val="both"/>
        <w:rPr>
          <w:rFonts w:ascii="Book Antiqua" w:hAnsi="Book Antiqua"/>
          <w:sz w:val="24"/>
          <w:szCs w:val="24"/>
        </w:rPr>
      </w:pPr>
      <w:r w:rsidRPr="00FB18DA">
        <w:rPr>
          <w:rFonts w:ascii="Book Antiqua" w:hAnsi="Book Antiqua"/>
          <w:b/>
          <w:sz w:val="24"/>
          <w:szCs w:val="24"/>
        </w:rPr>
        <w:t xml:space="preserve">Open-Access: </w:t>
      </w:r>
      <w:r w:rsidRPr="00FB18D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A91D61">
        <w:rPr>
          <w:rFonts w:ascii="Book Antiqua" w:hAnsi="Book Antiqua"/>
          <w:sz w:val="24"/>
          <w:szCs w:val="24"/>
        </w:rPr>
        <w:t>http://creativecommons.org/licenses/by-nc/4.0/</w:t>
      </w:r>
    </w:p>
    <w:p w14:paraId="164A4C4D" w14:textId="77777777" w:rsidR="00427A04" w:rsidRPr="00A91D61" w:rsidRDefault="00427A04" w:rsidP="00FB18DA">
      <w:pPr>
        <w:spacing w:after="0" w:line="360" w:lineRule="auto"/>
        <w:jc w:val="both"/>
        <w:rPr>
          <w:rFonts w:ascii="Book Antiqua" w:hAnsi="Book Antiqua"/>
          <w:sz w:val="24"/>
          <w:szCs w:val="24"/>
        </w:rPr>
      </w:pPr>
    </w:p>
    <w:p w14:paraId="762EE1F3" w14:textId="77777777" w:rsidR="00427A04" w:rsidRPr="00FB18DA" w:rsidRDefault="00427A04" w:rsidP="00FB18DA">
      <w:pPr>
        <w:spacing w:after="0" w:line="360" w:lineRule="auto"/>
        <w:jc w:val="both"/>
        <w:rPr>
          <w:rFonts w:ascii="Book Antiqua" w:eastAsia="等线" w:hAnsi="Book Antiqua"/>
          <w:bCs/>
          <w:iCs/>
          <w:sz w:val="24"/>
          <w:szCs w:val="24"/>
        </w:rPr>
      </w:pPr>
      <w:r w:rsidRPr="00FB18DA">
        <w:rPr>
          <w:rFonts w:ascii="Book Antiqua" w:hAnsi="Book Antiqua"/>
          <w:b/>
          <w:bCs/>
          <w:iCs/>
          <w:sz w:val="24"/>
          <w:szCs w:val="24"/>
        </w:rPr>
        <w:t>Manuscript source:</w:t>
      </w:r>
      <w:r w:rsidRPr="00FB18DA">
        <w:rPr>
          <w:rFonts w:ascii="Book Antiqua" w:hAnsi="Book Antiqua"/>
          <w:bCs/>
          <w:iCs/>
          <w:sz w:val="24"/>
          <w:szCs w:val="24"/>
        </w:rPr>
        <w:t xml:space="preserve"> Unsolicited manuscript</w:t>
      </w:r>
    </w:p>
    <w:p w14:paraId="4AACCCD3" w14:textId="77777777" w:rsidR="00427A04" w:rsidRPr="00FB18DA" w:rsidRDefault="00427A04" w:rsidP="00FB18DA">
      <w:pPr>
        <w:spacing w:after="0" w:line="360" w:lineRule="auto"/>
        <w:jc w:val="both"/>
        <w:rPr>
          <w:rFonts w:ascii="Book Antiqua" w:hAnsi="Book Antiqua" w:cs="Arial"/>
          <w:b/>
          <w:sz w:val="24"/>
          <w:szCs w:val="24"/>
        </w:rPr>
      </w:pPr>
      <w:bookmarkStart w:id="7" w:name="_Hlk18505049"/>
    </w:p>
    <w:p w14:paraId="4749872B" w14:textId="31BFEDEB" w:rsidR="00427A04" w:rsidRPr="00FB18DA" w:rsidRDefault="00427A04" w:rsidP="00FB18DA">
      <w:pPr>
        <w:spacing w:after="0" w:line="360" w:lineRule="auto"/>
        <w:jc w:val="both"/>
        <w:rPr>
          <w:rFonts w:ascii="Book Antiqua" w:hAnsi="Book Antiqua" w:cs="Arial"/>
          <w:sz w:val="24"/>
          <w:szCs w:val="24"/>
          <w:lang w:val="en-GB" w:eastAsia="zh-CN"/>
        </w:rPr>
      </w:pPr>
      <w:r w:rsidRPr="00FB18DA">
        <w:rPr>
          <w:rFonts w:ascii="Book Antiqua" w:hAnsi="Book Antiqua" w:cs="Arial"/>
          <w:b/>
          <w:sz w:val="24"/>
          <w:szCs w:val="24"/>
        </w:rPr>
        <w:t>Corresponding author</w:t>
      </w:r>
      <w:r w:rsidRPr="00FB18DA">
        <w:rPr>
          <w:rFonts w:ascii="Book Antiqua" w:hAnsi="Book Antiqua"/>
          <w:b/>
          <w:iCs/>
          <w:sz w:val="24"/>
          <w:szCs w:val="24"/>
        </w:rPr>
        <w:t>:</w:t>
      </w:r>
      <w:bookmarkEnd w:id="7"/>
      <w:r w:rsidR="002E0757" w:rsidRPr="00FB18DA">
        <w:rPr>
          <w:rFonts w:ascii="Book Antiqua" w:hAnsi="Book Antiqua" w:cs="Arial"/>
          <w:sz w:val="24"/>
          <w:szCs w:val="24"/>
          <w:lang w:val="en-GB"/>
        </w:rPr>
        <w:t xml:space="preserve"> </w:t>
      </w:r>
      <w:r w:rsidR="00402F51" w:rsidRPr="00FB18DA">
        <w:rPr>
          <w:rFonts w:ascii="Book Antiqua" w:hAnsi="Book Antiqua" w:cs="Arial"/>
          <w:b/>
          <w:sz w:val="24"/>
          <w:szCs w:val="24"/>
          <w:lang w:val="en-GB"/>
        </w:rPr>
        <w:t>Jakub Kristek</w:t>
      </w:r>
      <w:r w:rsidR="00402F51" w:rsidRPr="00FB18DA">
        <w:rPr>
          <w:rFonts w:ascii="Book Antiqua" w:hAnsi="Book Antiqua" w:cs="Arial"/>
          <w:sz w:val="24"/>
          <w:szCs w:val="24"/>
          <w:lang w:val="en-GB"/>
        </w:rPr>
        <w:t xml:space="preserve">, </w:t>
      </w:r>
      <w:r w:rsidRPr="00FB18DA">
        <w:rPr>
          <w:rFonts w:ascii="Book Antiqua" w:hAnsi="Book Antiqua" w:cs="Arial"/>
          <w:b/>
          <w:sz w:val="24"/>
          <w:szCs w:val="24"/>
          <w:lang w:val="en-GB"/>
        </w:rPr>
        <w:t>MD, Doctor,</w:t>
      </w:r>
      <w:r w:rsidRPr="00FB18DA">
        <w:rPr>
          <w:rFonts w:ascii="Book Antiqua" w:hAnsi="Book Antiqua" w:cs="Arial"/>
          <w:sz w:val="24"/>
          <w:szCs w:val="24"/>
          <w:lang w:val="en-GB"/>
        </w:rPr>
        <w:t xml:space="preserve"> Department of Anatomy, Charles University, Second Faculty of Medicine, V Uvalu 84, Prague 15006, Czech Republic. </w:t>
      </w:r>
      <w:hyperlink r:id="rId8" w:history="1">
        <w:r w:rsidR="00A91D61" w:rsidRPr="00705D94">
          <w:rPr>
            <w:rStyle w:val="a5"/>
            <w:rFonts w:ascii="Book Antiqua" w:hAnsi="Book Antiqua" w:cs="Arial"/>
            <w:sz w:val="24"/>
            <w:szCs w:val="24"/>
            <w:lang w:val="en-GB"/>
          </w:rPr>
          <w:t>krsj@ikem.cz</w:t>
        </w:r>
      </w:hyperlink>
    </w:p>
    <w:p w14:paraId="7A5C88F5" w14:textId="4F4049B1" w:rsidR="009F19AD" w:rsidRPr="00FB18DA" w:rsidRDefault="0029394D" w:rsidP="00FB18DA">
      <w:pPr>
        <w:spacing w:after="0" w:line="360" w:lineRule="auto"/>
        <w:jc w:val="both"/>
        <w:rPr>
          <w:rFonts w:ascii="Book Antiqua" w:hAnsi="Book Antiqua" w:cs="Arial"/>
          <w:sz w:val="24"/>
          <w:szCs w:val="24"/>
          <w:lang w:val="en-GB"/>
        </w:rPr>
      </w:pPr>
      <w:r w:rsidRPr="00FB18DA">
        <w:rPr>
          <w:rFonts w:ascii="Book Antiqua" w:hAnsi="Book Antiqua" w:cs="Arial"/>
          <w:b/>
          <w:sz w:val="24"/>
          <w:szCs w:val="24"/>
          <w:lang w:val="en-GB"/>
        </w:rPr>
        <w:t>Telephone</w:t>
      </w:r>
      <w:r w:rsidR="00A91D61">
        <w:rPr>
          <w:rFonts w:ascii="Book Antiqua" w:hAnsi="Book Antiqua" w:cs="Arial"/>
          <w:sz w:val="24"/>
          <w:szCs w:val="24"/>
          <w:lang w:val="en-GB"/>
        </w:rPr>
        <w:t>: +420-23</w:t>
      </w:r>
      <w:r w:rsidR="00A91D61">
        <w:rPr>
          <w:rFonts w:ascii="Book Antiqua" w:hAnsi="Book Antiqua" w:cs="Arial" w:hint="eastAsia"/>
          <w:sz w:val="24"/>
          <w:szCs w:val="24"/>
          <w:lang w:val="en-GB" w:eastAsia="zh-CN"/>
        </w:rPr>
        <w:t>-</w:t>
      </w:r>
      <w:r w:rsidR="00A91D61">
        <w:rPr>
          <w:rFonts w:ascii="Book Antiqua" w:hAnsi="Book Antiqua" w:cs="Arial"/>
          <w:sz w:val="24"/>
          <w:szCs w:val="24"/>
          <w:lang w:val="en-GB"/>
        </w:rPr>
        <w:t>6</w:t>
      </w:r>
      <w:r w:rsidR="00E1172B" w:rsidRPr="00FB18DA">
        <w:rPr>
          <w:rFonts w:ascii="Book Antiqua" w:hAnsi="Book Antiqua" w:cs="Arial"/>
          <w:sz w:val="24"/>
          <w:szCs w:val="24"/>
          <w:lang w:val="en-GB"/>
        </w:rPr>
        <w:t>054105</w:t>
      </w:r>
    </w:p>
    <w:p w14:paraId="0F389739" w14:textId="6036FA7A" w:rsidR="0053648F" w:rsidRPr="00FB18DA" w:rsidRDefault="0029394D" w:rsidP="00FB18DA">
      <w:pPr>
        <w:spacing w:after="0" w:line="360" w:lineRule="auto"/>
        <w:jc w:val="both"/>
        <w:rPr>
          <w:rFonts w:ascii="Book Antiqua" w:hAnsi="Book Antiqua" w:cs="Arial"/>
          <w:sz w:val="24"/>
          <w:szCs w:val="24"/>
          <w:lang w:val="en-GB"/>
        </w:rPr>
      </w:pPr>
      <w:r w:rsidRPr="00FB18DA">
        <w:rPr>
          <w:rFonts w:ascii="Book Antiqua" w:hAnsi="Book Antiqua" w:cs="Arial"/>
          <w:b/>
          <w:sz w:val="24"/>
          <w:szCs w:val="24"/>
          <w:lang w:val="en-GB"/>
        </w:rPr>
        <w:t>Fax</w:t>
      </w:r>
      <w:r w:rsidR="00512127" w:rsidRPr="00FB18DA">
        <w:rPr>
          <w:rFonts w:ascii="Book Antiqua" w:hAnsi="Book Antiqua" w:cs="Arial"/>
          <w:sz w:val="24"/>
          <w:szCs w:val="24"/>
          <w:lang w:val="en-GB"/>
        </w:rPr>
        <w:t>:</w:t>
      </w:r>
      <w:r w:rsidR="00427A04" w:rsidRPr="00FB18DA">
        <w:rPr>
          <w:rFonts w:ascii="Book Antiqua" w:hAnsi="Book Antiqua" w:cs="Arial"/>
          <w:sz w:val="24"/>
          <w:szCs w:val="24"/>
          <w:lang w:val="en-GB"/>
        </w:rPr>
        <w:t xml:space="preserve"> </w:t>
      </w:r>
      <w:r w:rsidR="00A91D61">
        <w:rPr>
          <w:rFonts w:ascii="Book Antiqua" w:hAnsi="Book Antiqua" w:cs="Arial"/>
          <w:sz w:val="24"/>
          <w:szCs w:val="24"/>
          <w:lang w:val="en-GB"/>
        </w:rPr>
        <w:t>+420-23</w:t>
      </w:r>
      <w:r w:rsidR="00A91D61">
        <w:rPr>
          <w:rFonts w:ascii="Book Antiqua" w:hAnsi="Book Antiqua" w:cs="Arial" w:hint="eastAsia"/>
          <w:sz w:val="24"/>
          <w:szCs w:val="24"/>
          <w:lang w:val="en-GB" w:eastAsia="zh-CN"/>
        </w:rPr>
        <w:t>-</w:t>
      </w:r>
      <w:r w:rsidR="00A91D61">
        <w:rPr>
          <w:rFonts w:ascii="Book Antiqua" w:hAnsi="Book Antiqua" w:cs="Arial"/>
          <w:sz w:val="24"/>
          <w:szCs w:val="24"/>
          <w:lang w:val="en-GB"/>
        </w:rPr>
        <w:t>6</w:t>
      </w:r>
      <w:r w:rsidR="00E34840" w:rsidRPr="00FB18DA">
        <w:rPr>
          <w:rFonts w:ascii="Book Antiqua" w:hAnsi="Book Antiqua" w:cs="Arial"/>
          <w:sz w:val="24"/>
          <w:szCs w:val="24"/>
          <w:lang w:val="en-GB"/>
        </w:rPr>
        <w:t>052822</w:t>
      </w:r>
    </w:p>
    <w:p w14:paraId="2CD97B8E" w14:textId="77777777" w:rsidR="00427A04" w:rsidRPr="00FB18DA" w:rsidRDefault="00427A04" w:rsidP="00FB18DA">
      <w:pPr>
        <w:spacing w:after="0" w:line="360" w:lineRule="auto"/>
        <w:jc w:val="both"/>
        <w:rPr>
          <w:rFonts w:ascii="Book Antiqua" w:hAnsi="Book Antiqua" w:cs="Arial"/>
          <w:sz w:val="24"/>
          <w:szCs w:val="24"/>
          <w:lang w:val="en-GB"/>
        </w:rPr>
      </w:pPr>
    </w:p>
    <w:p w14:paraId="2E65C5A3" w14:textId="346D226C" w:rsidR="00427A04" w:rsidRPr="00FB18DA" w:rsidRDefault="00427A04" w:rsidP="00FB18DA">
      <w:pPr>
        <w:snapToGrid w:val="0"/>
        <w:spacing w:after="0" w:line="360" w:lineRule="auto"/>
        <w:jc w:val="both"/>
        <w:rPr>
          <w:rFonts w:ascii="Book Antiqua" w:hAnsi="Book Antiqua"/>
          <w:bCs/>
          <w:sz w:val="24"/>
          <w:szCs w:val="24"/>
          <w:lang w:val="en-GB"/>
        </w:rPr>
      </w:pPr>
      <w:bookmarkStart w:id="8" w:name="_Hlk18505132"/>
      <w:r w:rsidRPr="00FB18DA">
        <w:rPr>
          <w:rFonts w:ascii="Book Antiqua" w:hAnsi="Book Antiqua"/>
          <w:b/>
          <w:sz w:val="24"/>
          <w:szCs w:val="24"/>
          <w:lang w:val="en-GB"/>
        </w:rPr>
        <w:t xml:space="preserve">Received: </w:t>
      </w:r>
      <w:r w:rsidRPr="00FB18DA">
        <w:rPr>
          <w:rFonts w:ascii="Book Antiqua" w:hAnsi="Book Antiqua"/>
          <w:bCs/>
          <w:sz w:val="24"/>
          <w:szCs w:val="24"/>
          <w:lang w:val="en-GB"/>
        </w:rPr>
        <w:t>September 20, 2019</w:t>
      </w:r>
    </w:p>
    <w:p w14:paraId="115BC9E5" w14:textId="140B1103" w:rsidR="00427A04" w:rsidRPr="00FB18DA" w:rsidRDefault="00427A04" w:rsidP="00FB18DA">
      <w:pPr>
        <w:snapToGrid w:val="0"/>
        <w:spacing w:after="0" w:line="360" w:lineRule="auto"/>
        <w:jc w:val="both"/>
        <w:rPr>
          <w:rFonts w:ascii="Book Antiqua" w:hAnsi="Book Antiqua"/>
          <w:bCs/>
          <w:sz w:val="24"/>
          <w:szCs w:val="24"/>
          <w:lang w:val="en-GB"/>
        </w:rPr>
      </w:pPr>
      <w:r w:rsidRPr="00FB18DA">
        <w:rPr>
          <w:rFonts w:ascii="Book Antiqua" w:hAnsi="Book Antiqua"/>
          <w:b/>
          <w:sz w:val="24"/>
          <w:szCs w:val="24"/>
          <w:lang w:val="en-GB"/>
        </w:rPr>
        <w:lastRenderedPageBreak/>
        <w:t xml:space="preserve">Peer-review started: </w:t>
      </w:r>
      <w:r w:rsidRPr="00FB18DA">
        <w:rPr>
          <w:rFonts w:ascii="Book Antiqua" w:hAnsi="Book Antiqua"/>
          <w:bCs/>
          <w:sz w:val="24"/>
          <w:szCs w:val="24"/>
          <w:lang w:val="en-GB"/>
        </w:rPr>
        <w:t>September 20, 2019</w:t>
      </w:r>
    </w:p>
    <w:p w14:paraId="095D1B34" w14:textId="351CD10A" w:rsidR="00427A04" w:rsidRPr="00FB18DA" w:rsidRDefault="00427A04" w:rsidP="00FB18DA">
      <w:pPr>
        <w:snapToGrid w:val="0"/>
        <w:spacing w:after="0" w:line="360" w:lineRule="auto"/>
        <w:jc w:val="both"/>
        <w:rPr>
          <w:rFonts w:ascii="Book Antiqua" w:hAnsi="Book Antiqua"/>
          <w:b/>
          <w:sz w:val="24"/>
          <w:szCs w:val="24"/>
          <w:lang w:val="en-GB"/>
        </w:rPr>
      </w:pPr>
      <w:r w:rsidRPr="00FB18DA">
        <w:rPr>
          <w:rFonts w:ascii="Book Antiqua" w:hAnsi="Book Antiqua"/>
          <w:b/>
          <w:sz w:val="24"/>
          <w:szCs w:val="24"/>
          <w:lang w:val="en-GB"/>
        </w:rPr>
        <w:t xml:space="preserve">First decision: </w:t>
      </w:r>
      <w:r w:rsidRPr="00FB18DA">
        <w:rPr>
          <w:rFonts w:ascii="Book Antiqua" w:hAnsi="Book Antiqua"/>
          <w:bCs/>
          <w:sz w:val="24"/>
          <w:szCs w:val="24"/>
          <w:lang w:val="en-GB"/>
        </w:rPr>
        <w:t>October 20, 2019</w:t>
      </w:r>
    </w:p>
    <w:p w14:paraId="53E95888" w14:textId="41C76D32" w:rsidR="00427A04" w:rsidRPr="00FB18DA" w:rsidRDefault="00427A04" w:rsidP="00FB18DA">
      <w:pPr>
        <w:snapToGrid w:val="0"/>
        <w:spacing w:after="0" w:line="360" w:lineRule="auto"/>
        <w:jc w:val="both"/>
        <w:rPr>
          <w:rFonts w:ascii="Book Antiqua" w:hAnsi="Book Antiqua"/>
          <w:b/>
          <w:sz w:val="24"/>
          <w:szCs w:val="24"/>
          <w:lang w:val="en-GB"/>
        </w:rPr>
      </w:pPr>
      <w:r w:rsidRPr="00FB18DA">
        <w:rPr>
          <w:rFonts w:ascii="Book Antiqua" w:hAnsi="Book Antiqua"/>
          <w:b/>
          <w:sz w:val="24"/>
          <w:szCs w:val="24"/>
          <w:lang w:val="en-GB"/>
        </w:rPr>
        <w:t xml:space="preserve">Revised: </w:t>
      </w:r>
      <w:r w:rsidRPr="00FB18DA">
        <w:rPr>
          <w:rFonts w:ascii="Book Antiqua" w:hAnsi="Book Antiqua"/>
          <w:bCs/>
          <w:sz w:val="24"/>
          <w:szCs w:val="24"/>
          <w:lang w:val="en-GB"/>
        </w:rPr>
        <w:t>November 7, 2019</w:t>
      </w:r>
    </w:p>
    <w:p w14:paraId="39F62D8D" w14:textId="1D9F1AB4" w:rsidR="00427A04" w:rsidRPr="00FB18DA" w:rsidRDefault="00427A04" w:rsidP="00FB18DA">
      <w:pPr>
        <w:snapToGrid w:val="0"/>
        <w:spacing w:after="0" w:line="360" w:lineRule="auto"/>
        <w:jc w:val="both"/>
        <w:rPr>
          <w:rFonts w:ascii="Book Antiqua" w:hAnsi="Book Antiqua"/>
          <w:b/>
          <w:sz w:val="24"/>
          <w:szCs w:val="24"/>
          <w:lang w:val="en-GB"/>
        </w:rPr>
      </w:pPr>
      <w:r w:rsidRPr="00FB18DA">
        <w:rPr>
          <w:rFonts w:ascii="Book Antiqua" w:hAnsi="Book Antiqua"/>
          <w:b/>
          <w:sz w:val="24"/>
          <w:szCs w:val="24"/>
          <w:lang w:val="en-GB"/>
        </w:rPr>
        <w:t>Accepted:</w:t>
      </w:r>
      <w:r w:rsidR="00534E69" w:rsidRPr="00534E69">
        <w:t xml:space="preserve"> </w:t>
      </w:r>
      <w:r w:rsidR="00534E69" w:rsidRPr="00534E69">
        <w:rPr>
          <w:rFonts w:ascii="Book Antiqua" w:hAnsi="Book Antiqua"/>
          <w:sz w:val="24"/>
          <w:szCs w:val="24"/>
          <w:lang w:val="en-GB"/>
        </w:rPr>
        <w:t>November 15, 2019</w:t>
      </w:r>
      <w:r w:rsidRPr="00534E69">
        <w:rPr>
          <w:rFonts w:ascii="Book Antiqua" w:hAnsi="Book Antiqua"/>
          <w:sz w:val="24"/>
          <w:szCs w:val="24"/>
          <w:lang w:val="en-GB"/>
        </w:rPr>
        <w:t xml:space="preserve"> </w:t>
      </w:r>
    </w:p>
    <w:p w14:paraId="343E5363" w14:textId="77777777" w:rsidR="00427A04" w:rsidRPr="00FB18DA" w:rsidRDefault="00427A04" w:rsidP="00FB18DA">
      <w:pPr>
        <w:snapToGrid w:val="0"/>
        <w:spacing w:after="0" w:line="360" w:lineRule="auto"/>
        <w:jc w:val="both"/>
        <w:rPr>
          <w:rFonts w:ascii="Book Antiqua" w:hAnsi="Book Antiqua"/>
          <w:b/>
          <w:sz w:val="24"/>
          <w:szCs w:val="24"/>
          <w:lang w:val="en-GB"/>
        </w:rPr>
      </w:pPr>
      <w:r w:rsidRPr="00FB18DA">
        <w:rPr>
          <w:rFonts w:ascii="Book Antiqua" w:hAnsi="Book Antiqua"/>
          <w:b/>
          <w:sz w:val="24"/>
          <w:szCs w:val="24"/>
          <w:lang w:val="en-GB"/>
        </w:rPr>
        <w:t>Article in press:</w:t>
      </w:r>
    </w:p>
    <w:p w14:paraId="5611DCA6" w14:textId="77777777" w:rsidR="00427A04" w:rsidRPr="00FB18DA" w:rsidRDefault="00427A04" w:rsidP="00FB18DA">
      <w:pPr>
        <w:snapToGrid w:val="0"/>
        <w:spacing w:after="0" w:line="360" w:lineRule="auto"/>
        <w:jc w:val="both"/>
        <w:rPr>
          <w:rFonts w:ascii="Book Antiqua" w:hAnsi="Book Antiqua"/>
          <w:b/>
          <w:sz w:val="24"/>
          <w:szCs w:val="24"/>
          <w:lang w:val="en-GB"/>
        </w:rPr>
      </w:pPr>
      <w:r w:rsidRPr="00FB18DA">
        <w:rPr>
          <w:rFonts w:ascii="Book Antiqua" w:hAnsi="Book Antiqua"/>
          <w:b/>
          <w:sz w:val="24"/>
          <w:szCs w:val="24"/>
          <w:lang w:val="en-GB"/>
        </w:rPr>
        <w:t>Published online:</w:t>
      </w:r>
    </w:p>
    <w:bookmarkEnd w:id="8"/>
    <w:p w14:paraId="4AFF1F95" w14:textId="588CCE76" w:rsidR="00427A04" w:rsidRPr="00FB18DA" w:rsidRDefault="00427A04" w:rsidP="00FB18DA">
      <w:pPr>
        <w:spacing w:after="0" w:line="360" w:lineRule="auto"/>
        <w:jc w:val="both"/>
        <w:rPr>
          <w:rFonts w:ascii="Book Antiqua" w:hAnsi="Book Antiqua" w:cs="Arial"/>
          <w:sz w:val="24"/>
          <w:szCs w:val="24"/>
          <w:lang w:val="en-GB"/>
        </w:rPr>
        <w:sectPr w:rsidR="00427A04" w:rsidRPr="00FB18DA" w:rsidSect="00CA452D">
          <w:headerReference w:type="default" r:id="rId9"/>
          <w:pgSz w:w="11906" w:h="16838"/>
          <w:pgMar w:top="1440" w:right="1800" w:bottom="1440" w:left="1800" w:header="709" w:footer="709" w:gutter="0"/>
          <w:cols w:space="708"/>
          <w:docGrid w:linePitch="360"/>
        </w:sectPr>
      </w:pPr>
    </w:p>
    <w:p w14:paraId="386B6548" w14:textId="7E9EB9BC" w:rsidR="00C570CD" w:rsidRPr="00FB18DA" w:rsidRDefault="006001AA" w:rsidP="00FB18DA">
      <w:pPr>
        <w:spacing w:after="0" w:line="360" w:lineRule="auto"/>
        <w:jc w:val="both"/>
        <w:rPr>
          <w:rFonts w:ascii="Book Antiqua" w:hAnsi="Book Antiqua" w:cs="Arial"/>
          <w:b/>
          <w:sz w:val="24"/>
          <w:szCs w:val="24"/>
          <w:lang w:val="en-GB"/>
        </w:rPr>
      </w:pPr>
      <w:r w:rsidRPr="00FB18DA">
        <w:rPr>
          <w:rFonts w:ascii="Book Antiqua" w:hAnsi="Book Antiqua" w:cs="Arial"/>
          <w:b/>
          <w:sz w:val="24"/>
          <w:szCs w:val="24"/>
          <w:lang w:val="en-GB"/>
        </w:rPr>
        <w:lastRenderedPageBreak/>
        <w:t>Abstract</w:t>
      </w:r>
    </w:p>
    <w:p w14:paraId="0B193FF2" w14:textId="77777777" w:rsidR="002B2314" w:rsidRPr="00FB18DA" w:rsidRDefault="002E0757" w:rsidP="00FB18DA">
      <w:pPr>
        <w:spacing w:after="0" w:line="360" w:lineRule="auto"/>
        <w:jc w:val="both"/>
        <w:rPr>
          <w:rFonts w:ascii="Book Antiqua" w:hAnsi="Book Antiqua" w:cs="Arial"/>
          <w:b/>
          <w:i/>
          <w:iCs/>
          <w:sz w:val="24"/>
          <w:szCs w:val="24"/>
          <w:lang w:val="en-GB"/>
        </w:rPr>
      </w:pPr>
      <w:r w:rsidRPr="00FB18DA">
        <w:rPr>
          <w:rFonts w:ascii="Book Antiqua" w:hAnsi="Book Antiqua" w:cs="Arial"/>
          <w:b/>
          <w:i/>
          <w:iCs/>
          <w:sz w:val="24"/>
          <w:szCs w:val="24"/>
          <w:lang w:val="en-GB"/>
        </w:rPr>
        <w:t>BACKGROUND</w:t>
      </w:r>
    </w:p>
    <w:p w14:paraId="62B6D0A6" w14:textId="522F5350" w:rsidR="002B2314" w:rsidRPr="00FB18DA" w:rsidRDefault="00C93B19"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Acute appendicitis in a solid organ transplant recipient is a rare occurrence</w:t>
      </w:r>
      <w:r w:rsidR="00E40317" w:rsidRPr="00FB18DA">
        <w:rPr>
          <w:rFonts w:ascii="Book Antiqua" w:hAnsi="Book Antiqua" w:cs="Arial"/>
          <w:sz w:val="24"/>
          <w:szCs w:val="24"/>
          <w:lang w:val="en-GB"/>
        </w:rPr>
        <w:t>, and</w:t>
      </w:r>
      <w:r w:rsidRPr="00FB18DA">
        <w:rPr>
          <w:rFonts w:ascii="Book Antiqua" w:hAnsi="Book Antiqua" w:cs="Arial"/>
          <w:sz w:val="24"/>
          <w:szCs w:val="24"/>
          <w:lang w:val="en-GB"/>
        </w:rPr>
        <w:t xml:space="preserve"> experience remains limited. Appendicitis in uter</w:t>
      </w:r>
      <w:r w:rsidR="00EE2366" w:rsidRPr="00FB18DA">
        <w:rPr>
          <w:rFonts w:ascii="Book Antiqua" w:hAnsi="Book Antiqua" w:cs="Arial"/>
          <w:sz w:val="24"/>
          <w:szCs w:val="24"/>
          <w:lang w:val="en-GB"/>
        </w:rPr>
        <w:t>ine</w:t>
      </w:r>
      <w:r w:rsidRPr="00FB18DA">
        <w:rPr>
          <w:rFonts w:ascii="Book Antiqua" w:hAnsi="Book Antiqua" w:cs="Arial"/>
          <w:sz w:val="24"/>
          <w:szCs w:val="24"/>
          <w:lang w:val="en-GB"/>
        </w:rPr>
        <w:t xml:space="preserve"> transplant recipient</w:t>
      </w:r>
      <w:r w:rsidR="00EE2366" w:rsidRPr="00FB18DA">
        <w:rPr>
          <w:rFonts w:ascii="Book Antiqua" w:hAnsi="Book Antiqua" w:cs="Arial"/>
          <w:sz w:val="24"/>
          <w:szCs w:val="24"/>
          <w:lang w:val="en-GB"/>
        </w:rPr>
        <w:t>s</w:t>
      </w:r>
      <w:r w:rsidRPr="00FB18DA">
        <w:rPr>
          <w:rFonts w:ascii="Book Antiqua" w:hAnsi="Book Antiqua" w:cs="Arial"/>
          <w:sz w:val="24"/>
          <w:szCs w:val="24"/>
          <w:lang w:val="en-GB"/>
        </w:rPr>
        <w:t xml:space="preserve"> has never been reported. </w:t>
      </w:r>
      <w:r w:rsidR="00827C4C" w:rsidRPr="00FB18DA">
        <w:rPr>
          <w:rFonts w:ascii="Book Antiqua" w:hAnsi="Book Antiqua" w:cs="Arial"/>
          <w:sz w:val="24"/>
          <w:szCs w:val="24"/>
          <w:lang w:val="en-GB"/>
        </w:rPr>
        <w:t>I</w:t>
      </w:r>
      <w:r w:rsidRPr="00FB18DA">
        <w:rPr>
          <w:rFonts w:ascii="Book Antiqua" w:hAnsi="Book Antiqua" w:cs="Arial"/>
          <w:sz w:val="24"/>
          <w:szCs w:val="24"/>
          <w:lang w:val="en-GB"/>
        </w:rPr>
        <w:t xml:space="preserve">mmunocompromised patients with acute abdomen </w:t>
      </w:r>
      <w:r w:rsidR="0003306A" w:rsidRPr="00FB18DA">
        <w:rPr>
          <w:rFonts w:ascii="Book Antiqua" w:hAnsi="Book Antiqua" w:cs="Arial"/>
          <w:sz w:val="24"/>
          <w:szCs w:val="24"/>
          <w:lang w:val="en-GB"/>
        </w:rPr>
        <w:t xml:space="preserve">often </w:t>
      </w:r>
      <w:r w:rsidRPr="00FB18DA">
        <w:rPr>
          <w:rFonts w:ascii="Book Antiqua" w:hAnsi="Book Antiqua" w:cs="Arial"/>
          <w:sz w:val="24"/>
          <w:szCs w:val="24"/>
          <w:lang w:val="en-GB"/>
        </w:rPr>
        <w:t>present late and with attenuated symptoms. The differential diagnosis in a transplanted patient is broad and challenging due to possibl</w:t>
      </w:r>
      <w:r w:rsidR="005E3271" w:rsidRPr="00FB18DA">
        <w:rPr>
          <w:rFonts w:ascii="Book Antiqua" w:hAnsi="Book Antiqua" w:cs="Arial"/>
          <w:sz w:val="24"/>
          <w:szCs w:val="24"/>
          <w:lang w:val="en-GB"/>
        </w:rPr>
        <w:t>e</w:t>
      </w:r>
      <w:r w:rsidRPr="00FB18DA">
        <w:rPr>
          <w:rFonts w:ascii="Book Antiqua" w:hAnsi="Book Antiqua" w:cs="Arial"/>
          <w:sz w:val="24"/>
          <w:szCs w:val="24"/>
          <w:lang w:val="en-GB"/>
        </w:rPr>
        <w:t xml:space="preserve"> existing complications associated with the graft, effects of immunosuppression, and altered anatomical relations.</w:t>
      </w:r>
    </w:p>
    <w:p w14:paraId="7AE2982E" w14:textId="77777777" w:rsidR="00427A04" w:rsidRPr="00FB18DA" w:rsidRDefault="00427A04" w:rsidP="00FB18DA">
      <w:pPr>
        <w:spacing w:after="0" w:line="360" w:lineRule="auto"/>
        <w:jc w:val="both"/>
        <w:rPr>
          <w:rFonts w:ascii="Book Antiqua" w:hAnsi="Book Antiqua" w:cs="Arial"/>
          <w:b/>
          <w:sz w:val="24"/>
          <w:szCs w:val="24"/>
          <w:lang w:val="en-GB"/>
        </w:rPr>
      </w:pPr>
    </w:p>
    <w:p w14:paraId="1A6F50D1" w14:textId="6A41D704" w:rsidR="002B2314" w:rsidRPr="00FB18DA" w:rsidRDefault="002E0757" w:rsidP="00FB18DA">
      <w:pPr>
        <w:spacing w:after="0" w:line="360" w:lineRule="auto"/>
        <w:jc w:val="both"/>
        <w:rPr>
          <w:rFonts w:ascii="Book Antiqua" w:hAnsi="Book Antiqua" w:cs="Arial"/>
          <w:b/>
          <w:i/>
          <w:iCs/>
          <w:sz w:val="24"/>
          <w:szCs w:val="24"/>
          <w:lang w:val="en-GB"/>
        </w:rPr>
      </w:pPr>
      <w:r w:rsidRPr="00FB18DA">
        <w:rPr>
          <w:rFonts w:ascii="Book Antiqua" w:hAnsi="Book Antiqua" w:cs="Arial"/>
          <w:b/>
          <w:i/>
          <w:iCs/>
          <w:sz w:val="24"/>
          <w:szCs w:val="24"/>
          <w:lang w:val="en-GB"/>
        </w:rPr>
        <w:t>CASE SUMMARY</w:t>
      </w:r>
    </w:p>
    <w:p w14:paraId="3B7C139B" w14:textId="12073E7B" w:rsidR="00C47A6C" w:rsidRPr="00FB18DA" w:rsidRDefault="00891781"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A 26-year-old woman suffering from absolute uterine</w:t>
      </w:r>
      <w:r w:rsidR="00E1172B" w:rsidRPr="00FB18DA">
        <w:rPr>
          <w:rFonts w:ascii="Book Antiqua" w:hAnsi="Book Antiqua" w:cs="Arial"/>
          <w:sz w:val="24"/>
          <w:szCs w:val="24"/>
          <w:lang w:val="en-GB"/>
        </w:rPr>
        <w:t xml:space="preserve"> </w:t>
      </w:r>
      <w:r w:rsidRPr="00FB18DA">
        <w:rPr>
          <w:rFonts w:ascii="Book Antiqua" w:hAnsi="Book Antiqua" w:cs="Arial"/>
          <w:sz w:val="24"/>
          <w:szCs w:val="24"/>
          <w:lang w:val="en-GB"/>
        </w:rPr>
        <w:t xml:space="preserve">factor infertility received a uterus transplant. In the </w:t>
      </w:r>
      <w:r w:rsidR="002E0757" w:rsidRPr="00FB18DA">
        <w:rPr>
          <w:rFonts w:ascii="Book Antiqua" w:eastAsia="Calibri" w:hAnsi="Book Antiqua" w:cs="Arial"/>
          <w:sz w:val="24"/>
          <w:szCs w:val="24"/>
          <w:lang w:val="en-GB"/>
        </w:rPr>
        <w:t>post-transplant</w:t>
      </w:r>
      <w:r w:rsidRPr="00FB18DA">
        <w:rPr>
          <w:rFonts w:ascii="Book Antiqua" w:hAnsi="Book Antiqua" w:cs="Arial"/>
          <w:sz w:val="24"/>
          <w:szCs w:val="24"/>
          <w:lang w:val="en-GB"/>
        </w:rPr>
        <w:t xml:space="preserve"> period, she suffered from leukopenia and recurrent acute cellular rejection. Her compliance was suboptimal. She travelled to</w:t>
      </w:r>
      <w:r w:rsidR="002E0757" w:rsidRPr="00FB18DA">
        <w:rPr>
          <w:rFonts w:ascii="Book Antiqua" w:eastAsia="Calibri" w:hAnsi="Book Antiqua" w:cs="Arial"/>
          <w:sz w:val="24"/>
          <w:szCs w:val="24"/>
          <w:lang w:val="en-GB"/>
        </w:rPr>
        <w:t xml:space="preserve"> an</w:t>
      </w:r>
      <w:r w:rsidRPr="00FB18DA">
        <w:rPr>
          <w:rFonts w:ascii="Book Antiqua" w:hAnsi="Book Antiqua" w:cs="Arial"/>
          <w:sz w:val="24"/>
          <w:szCs w:val="24"/>
          <w:lang w:val="en-GB"/>
        </w:rPr>
        <w:t xml:space="preserve"> exotic destination despite the physician’s recommendation not to do so. Following her vacation, she presented with abdominal discomfort, nausea and diarrhoea. There was no sign of acute abdomen; the abdominal ultrasound was negative on day 0. </w:t>
      </w:r>
      <w:r w:rsidR="00636E1A" w:rsidRPr="00FB18DA">
        <w:rPr>
          <w:rFonts w:ascii="Book Antiqua" w:hAnsi="Book Antiqua" w:cs="Arial"/>
          <w:i/>
          <w:sz w:val="24"/>
          <w:szCs w:val="24"/>
          <w:lang w:val="en-GB"/>
        </w:rPr>
        <w:t>Clostridium difficile</w:t>
      </w:r>
      <w:r w:rsidR="008A7701" w:rsidRPr="00FB18DA">
        <w:rPr>
          <w:rFonts w:ascii="Book Antiqua" w:hAnsi="Book Antiqua" w:cs="Arial"/>
          <w:sz w:val="24"/>
          <w:szCs w:val="24"/>
          <w:lang w:val="en-GB"/>
        </w:rPr>
        <w:t xml:space="preserve"> colitis was verified and treated with perorally administered vancomycin. On day 4, the discomfort changed to pain; the ultrasound scan revealed a </w:t>
      </w:r>
      <w:r w:rsidR="00C7038A" w:rsidRPr="00FB18DA">
        <w:rPr>
          <w:rFonts w:ascii="Book Antiqua" w:hAnsi="Book Antiqua" w:cs="Arial"/>
          <w:sz w:val="24"/>
          <w:szCs w:val="24"/>
          <w:lang w:val="en-GB"/>
        </w:rPr>
        <w:t>finding</w:t>
      </w:r>
      <w:r w:rsidR="008A7701" w:rsidRPr="00FB18DA">
        <w:rPr>
          <w:rFonts w:ascii="Book Antiqua" w:hAnsi="Book Antiqua" w:cs="Arial"/>
          <w:sz w:val="24"/>
          <w:szCs w:val="24"/>
          <w:lang w:val="en-GB"/>
        </w:rPr>
        <w:t xml:space="preserve"> suggestive of appendicitis. </w:t>
      </w:r>
      <w:r w:rsidR="002E0757" w:rsidRPr="00FB18DA">
        <w:rPr>
          <w:rFonts w:ascii="Book Antiqua" w:eastAsia="Calibri" w:hAnsi="Book Antiqua" w:cs="Arial"/>
          <w:sz w:val="24"/>
          <w:szCs w:val="24"/>
          <w:lang w:val="en-GB"/>
        </w:rPr>
        <w:t xml:space="preserve">Surgical </w:t>
      </w:r>
      <w:r w:rsidR="008A7701" w:rsidRPr="00FB18DA">
        <w:rPr>
          <w:rFonts w:ascii="Book Antiqua" w:hAnsi="Book Antiqua" w:cs="Arial"/>
          <w:sz w:val="24"/>
          <w:szCs w:val="24"/>
          <w:lang w:val="en-GB"/>
        </w:rPr>
        <w:t>exploration revealed perforated appendicitis</w:t>
      </w:r>
      <w:r w:rsidR="002E0757" w:rsidRPr="00FB18DA">
        <w:rPr>
          <w:rFonts w:ascii="Book Antiqua" w:eastAsia="Calibri" w:hAnsi="Book Antiqua" w:cs="Arial"/>
          <w:sz w:val="24"/>
          <w:szCs w:val="24"/>
          <w:lang w:val="en-GB"/>
        </w:rPr>
        <w:t>, and</w:t>
      </w:r>
      <w:r w:rsidR="008A7701" w:rsidRPr="00FB18DA">
        <w:rPr>
          <w:rFonts w:ascii="Book Antiqua" w:hAnsi="Book Antiqua" w:cs="Arial"/>
          <w:sz w:val="24"/>
          <w:szCs w:val="24"/>
          <w:lang w:val="en-GB"/>
        </w:rPr>
        <w:t xml:space="preserve"> appendectomy was performed. From a surgical point of view, the </w:t>
      </w:r>
      <w:r w:rsidR="00256CD9" w:rsidRPr="00FB18DA">
        <w:rPr>
          <w:rFonts w:ascii="Book Antiqua" w:hAnsi="Book Antiqua" w:cs="Arial"/>
          <w:sz w:val="24"/>
          <w:szCs w:val="24"/>
          <w:lang w:val="en-GB"/>
        </w:rPr>
        <w:t>patient’s</w:t>
      </w:r>
      <w:r w:rsidR="0068392C" w:rsidRPr="00FB18DA">
        <w:rPr>
          <w:rFonts w:ascii="Book Antiqua" w:hAnsi="Book Antiqua" w:cs="Arial"/>
          <w:sz w:val="24"/>
          <w:szCs w:val="24"/>
          <w:lang w:val="en-GB"/>
        </w:rPr>
        <w:t xml:space="preserve"> </w:t>
      </w:r>
      <w:r w:rsidR="00E1172B" w:rsidRPr="00FB18DA">
        <w:rPr>
          <w:rFonts w:ascii="Book Antiqua" w:hAnsi="Book Antiqua" w:cs="Arial"/>
          <w:sz w:val="24"/>
          <w:szCs w:val="24"/>
          <w:lang w:val="en-GB"/>
        </w:rPr>
        <w:t>follow-</w:t>
      </w:r>
      <w:r w:rsidR="002B4465" w:rsidRPr="00FB18DA">
        <w:rPr>
          <w:rFonts w:ascii="Book Antiqua" w:hAnsi="Book Antiqua" w:cs="Arial"/>
          <w:sz w:val="24"/>
          <w:szCs w:val="24"/>
          <w:lang w:val="en-GB"/>
        </w:rPr>
        <w:t>up</w:t>
      </w:r>
      <w:r w:rsidR="008A7701" w:rsidRPr="00FB18DA">
        <w:rPr>
          <w:rFonts w:ascii="Book Antiqua" w:hAnsi="Book Antiqua" w:cs="Arial"/>
          <w:sz w:val="24"/>
          <w:szCs w:val="24"/>
          <w:lang w:val="en-GB"/>
        </w:rPr>
        <w:t xml:space="preserve"> was uneventful. The patient underwent a successful embryo transfer 6 mo after the appendectomy. The patient gave birth to a healthy boy at </w:t>
      </w:r>
      <w:r w:rsidR="002E0757" w:rsidRPr="00FB18DA">
        <w:rPr>
          <w:rFonts w:ascii="Book Antiqua" w:eastAsia="Calibri" w:hAnsi="Book Antiqua" w:cs="Arial"/>
          <w:sz w:val="24"/>
          <w:szCs w:val="24"/>
          <w:lang w:val="en-GB"/>
        </w:rPr>
        <w:t xml:space="preserve">the </w:t>
      </w:r>
      <w:r w:rsidR="008A7701" w:rsidRPr="00FB18DA">
        <w:rPr>
          <w:rFonts w:ascii="Book Antiqua" w:hAnsi="Book Antiqua" w:cs="Arial"/>
          <w:sz w:val="24"/>
          <w:szCs w:val="24"/>
          <w:lang w:val="en-GB"/>
        </w:rPr>
        <w:t>35</w:t>
      </w:r>
      <w:r w:rsidR="008A7701" w:rsidRPr="00FB18DA">
        <w:rPr>
          <w:rFonts w:ascii="Book Antiqua" w:hAnsi="Book Antiqua" w:cs="Arial"/>
          <w:sz w:val="24"/>
          <w:szCs w:val="24"/>
          <w:vertAlign w:val="superscript"/>
          <w:lang w:val="en-GB"/>
        </w:rPr>
        <w:t>th</w:t>
      </w:r>
      <w:r w:rsidR="002E0757" w:rsidRPr="00FB18DA">
        <w:rPr>
          <w:rFonts w:ascii="Book Antiqua" w:hAnsi="Book Antiqua" w:cs="Arial"/>
          <w:sz w:val="24"/>
          <w:szCs w:val="24"/>
          <w:lang w:val="en-GB"/>
        </w:rPr>
        <w:t xml:space="preserve"> wk of gestation.</w:t>
      </w:r>
    </w:p>
    <w:p w14:paraId="58E6876A" w14:textId="77777777" w:rsidR="00427A04" w:rsidRPr="00FB18DA" w:rsidRDefault="00427A04" w:rsidP="00FB18DA">
      <w:pPr>
        <w:spacing w:after="0" w:line="360" w:lineRule="auto"/>
        <w:jc w:val="both"/>
        <w:rPr>
          <w:rFonts w:ascii="Book Antiqua" w:hAnsi="Book Antiqua" w:cs="Arial"/>
          <w:b/>
          <w:sz w:val="24"/>
          <w:szCs w:val="24"/>
          <w:lang w:val="en-GB"/>
        </w:rPr>
      </w:pPr>
    </w:p>
    <w:p w14:paraId="2208E532" w14:textId="3AF4B592" w:rsidR="002B2314" w:rsidRPr="00FB18DA" w:rsidRDefault="002928F2" w:rsidP="00FB18DA">
      <w:pPr>
        <w:spacing w:after="0" w:line="360" w:lineRule="auto"/>
        <w:jc w:val="both"/>
        <w:rPr>
          <w:rFonts w:ascii="Book Antiqua" w:hAnsi="Book Antiqua" w:cs="Arial"/>
          <w:i/>
          <w:iCs/>
          <w:sz w:val="24"/>
          <w:szCs w:val="24"/>
          <w:lang w:val="en-GB"/>
        </w:rPr>
      </w:pPr>
      <w:r w:rsidRPr="00FB18DA">
        <w:rPr>
          <w:rFonts w:ascii="Book Antiqua" w:hAnsi="Book Antiqua" w:cs="Arial"/>
          <w:b/>
          <w:i/>
          <w:iCs/>
          <w:sz w:val="24"/>
          <w:szCs w:val="24"/>
          <w:lang w:val="en-GB"/>
        </w:rPr>
        <w:t>CONCLUSION</w:t>
      </w:r>
    </w:p>
    <w:p w14:paraId="4A4D785E" w14:textId="42D1EA7C" w:rsidR="00EE6716" w:rsidRPr="00FB18DA" w:rsidRDefault="00FC7553" w:rsidP="00FB18DA">
      <w:pPr>
        <w:spacing w:after="0" w:line="360" w:lineRule="auto"/>
        <w:jc w:val="both"/>
        <w:rPr>
          <w:rFonts w:ascii="Book Antiqua" w:hAnsi="Book Antiqua" w:cs="Arial"/>
          <w:bCs/>
          <w:sz w:val="24"/>
          <w:szCs w:val="24"/>
          <w:lang w:val="en-GB"/>
        </w:rPr>
      </w:pPr>
      <w:r w:rsidRPr="00FB18DA">
        <w:rPr>
          <w:rFonts w:ascii="Book Antiqua" w:hAnsi="Book Antiqua" w:cs="Arial"/>
          <w:bCs/>
          <w:sz w:val="24"/>
          <w:szCs w:val="24"/>
          <w:lang w:val="en-GB"/>
        </w:rPr>
        <w:t>A</w:t>
      </w:r>
      <w:r w:rsidR="00500942" w:rsidRPr="00FB18DA">
        <w:rPr>
          <w:rFonts w:ascii="Book Antiqua" w:hAnsi="Book Antiqua" w:cs="Arial"/>
          <w:bCs/>
          <w:sz w:val="24"/>
          <w:szCs w:val="24"/>
          <w:lang w:val="en-GB"/>
        </w:rPr>
        <w:t xml:space="preserve"> high index of suspicion of </w:t>
      </w:r>
      <w:r w:rsidRPr="00FB18DA">
        <w:rPr>
          <w:rFonts w:ascii="Book Antiqua" w:hAnsi="Book Antiqua" w:cs="Arial"/>
          <w:bCs/>
          <w:sz w:val="24"/>
          <w:szCs w:val="24"/>
          <w:lang w:val="en-GB"/>
        </w:rPr>
        <w:t xml:space="preserve">an </w:t>
      </w:r>
      <w:r w:rsidR="00500942" w:rsidRPr="00FB18DA">
        <w:rPr>
          <w:rFonts w:ascii="Book Antiqua" w:hAnsi="Book Antiqua" w:cs="Arial"/>
          <w:bCs/>
          <w:sz w:val="24"/>
          <w:szCs w:val="24"/>
          <w:lang w:val="en-GB"/>
        </w:rPr>
        <w:t xml:space="preserve">atypical course and symptomatology of acute abdomen </w:t>
      </w:r>
      <w:r w:rsidR="00736351" w:rsidRPr="00FB18DA">
        <w:rPr>
          <w:rFonts w:ascii="Book Antiqua" w:hAnsi="Book Antiqua" w:cs="Arial"/>
          <w:bCs/>
          <w:sz w:val="24"/>
          <w:szCs w:val="24"/>
          <w:lang w:val="en-GB"/>
        </w:rPr>
        <w:t xml:space="preserve">should be maintained </w:t>
      </w:r>
      <w:r w:rsidR="00500942" w:rsidRPr="00FB18DA">
        <w:rPr>
          <w:rFonts w:ascii="Book Antiqua" w:hAnsi="Book Antiqua" w:cs="Arial"/>
          <w:bCs/>
          <w:sz w:val="24"/>
          <w:szCs w:val="24"/>
          <w:lang w:val="en-GB"/>
        </w:rPr>
        <w:t>in immunosuppressed patients.</w:t>
      </w:r>
    </w:p>
    <w:p w14:paraId="190F99C0" w14:textId="77777777" w:rsidR="008A3247" w:rsidRPr="00FB18DA" w:rsidRDefault="008A3247" w:rsidP="00FB18DA">
      <w:pPr>
        <w:spacing w:after="0" w:line="360" w:lineRule="auto"/>
        <w:jc w:val="both"/>
        <w:rPr>
          <w:rFonts w:ascii="Book Antiqua" w:hAnsi="Book Antiqua" w:cs="Arial"/>
          <w:bCs/>
          <w:sz w:val="24"/>
          <w:szCs w:val="24"/>
          <w:lang w:val="en-GB"/>
        </w:rPr>
      </w:pPr>
    </w:p>
    <w:p w14:paraId="068A07F0" w14:textId="77777777" w:rsidR="00052B9A" w:rsidRPr="00FB18DA" w:rsidRDefault="002E0757" w:rsidP="00FB18DA">
      <w:pPr>
        <w:spacing w:after="0" w:line="360" w:lineRule="auto"/>
        <w:jc w:val="both"/>
        <w:rPr>
          <w:rFonts w:ascii="Book Antiqua" w:hAnsi="Book Antiqua" w:cs="Arial"/>
          <w:sz w:val="24"/>
          <w:szCs w:val="24"/>
          <w:lang w:val="en-GB"/>
        </w:rPr>
      </w:pPr>
      <w:r w:rsidRPr="00FB18DA">
        <w:rPr>
          <w:rFonts w:ascii="Book Antiqua" w:hAnsi="Book Antiqua" w:cs="Arial"/>
          <w:b/>
          <w:sz w:val="24"/>
          <w:szCs w:val="24"/>
          <w:lang w:val="en-GB"/>
        </w:rPr>
        <w:lastRenderedPageBreak/>
        <w:t xml:space="preserve">Key words: </w:t>
      </w:r>
      <w:r w:rsidRPr="00FB18DA">
        <w:rPr>
          <w:rFonts w:ascii="Book Antiqua" w:hAnsi="Book Antiqua" w:cs="Arial"/>
          <w:sz w:val="24"/>
          <w:szCs w:val="24"/>
          <w:lang w:val="en-GB"/>
        </w:rPr>
        <w:t>Uterus; Organ transplantation; Noncompliance; Acute abdomen; Colitis; Differential diagnosis; Case report</w:t>
      </w:r>
    </w:p>
    <w:p w14:paraId="747BA0B1" w14:textId="4F2DDFA3" w:rsidR="00427A04" w:rsidRPr="00FB18DA" w:rsidRDefault="00427A04" w:rsidP="00FB18DA">
      <w:pPr>
        <w:spacing w:after="0" w:line="360" w:lineRule="auto"/>
        <w:jc w:val="both"/>
        <w:rPr>
          <w:rFonts w:ascii="Book Antiqua" w:hAnsi="Book Antiqua" w:cs="Arial"/>
          <w:b/>
          <w:sz w:val="24"/>
          <w:szCs w:val="24"/>
          <w:lang w:val="en-GB"/>
        </w:rPr>
      </w:pPr>
    </w:p>
    <w:p w14:paraId="6C9F2C2A" w14:textId="77777777" w:rsidR="00427A04" w:rsidRPr="00FB18DA" w:rsidRDefault="00427A04" w:rsidP="00FB18DA">
      <w:pPr>
        <w:snapToGrid w:val="0"/>
        <w:spacing w:after="0" w:line="360" w:lineRule="auto"/>
        <w:jc w:val="both"/>
        <w:rPr>
          <w:rFonts w:ascii="Book Antiqua" w:hAnsi="Book Antiqua"/>
          <w:sz w:val="24"/>
          <w:szCs w:val="24"/>
        </w:rPr>
      </w:pPr>
      <w:bookmarkStart w:id="9" w:name="OLE_LINK1060"/>
      <w:bookmarkStart w:id="10" w:name="OLE_LINK1265"/>
      <w:bookmarkStart w:id="11" w:name="OLE_LINK1125"/>
      <w:bookmarkStart w:id="12" w:name="OLE_LINK1100"/>
      <w:bookmarkStart w:id="13" w:name="OLE_LINK1348"/>
      <w:bookmarkStart w:id="14" w:name="OLE_LINK1334"/>
      <w:bookmarkStart w:id="15" w:name="OLE_LINK156"/>
      <w:bookmarkStart w:id="16" w:name="OLE_LINK1504"/>
      <w:bookmarkStart w:id="17" w:name="OLE_LINK960"/>
      <w:bookmarkStart w:id="18" w:name="OLE_LINK1516"/>
      <w:bookmarkStart w:id="19" w:name="OLE_LINK1384"/>
      <w:bookmarkStart w:id="20" w:name="OLE_LINK1086"/>
      <w:bookmarkStart w:id="21" w:name="OLE_LINK1029"/>
      <w:bookmarkStart w:id="22" w:name="OLE_LINK1219"/>
      <w:bookmarkStart w:id="23" w:name="OLE_LINK1778"/>
      <w:bookmarkStart w:id="24" w:name="OLE_LINK1061"/>
      <w:bookmarkStart w:id="25" w:name="OLE_LINK472"/>
      <w:bookmarkStart w:id="26" w:name="OLE_LINK928"/>
      <w:bookmarkStart w:id="27" w:name="OLE_LINK98"/>
      <w:bookmarkStart w:id="28" w:name="OLE_LINK800"/>
      <w:bookmarkStart w:id="29" w:name="OLE_LINK861"/>
      <w:bookmarkStart w:id="30" w:name="OLE_LINK1193"/>
      <w:bookmarkStart w:id="31" w:name="OLE_LINK1454"/>
      <w:bookmarkStart w:id="32" w:name="OLE_LINK242"/>
      <w:bookmarkStart w:id="33" w:name="OLE_LINK651"/>
      <w:bookmarkStart w:id="34" w:name="OLE_LINK787"/>
      <w:bookmarkStart w:id="35" w:name="OLE_LINK504"/>
      <w:bookmarkStart w:id="36" w:name="OLE_LINK135"/>
      <w:bookmarkStart w:id="37" w:name="OLE_LINK196"/>
      <w:bookmarkStart w:id="38" w:name="OLE_LINK513"/>
      <w:bookmarkStart w:id="39" w:name="OLE_LINK1163"/>
      <w:bookmarkStart w:id="40" w:name="OLE_LINK672"/>
      <w:bookmarkStart w:id="41" w:name="OLE_LINK906"/>
      <w:bookmarkStart w:id="42" w:name="OLE_LINK1247"/>
      <w:bookmarkStart w:id="43" w:name="OLE_LINK758"/>
      <w:bookmarkStart w:id="44" w:name="OLE_LINK471"/>
      <w:bookmarkStart w:id="45" w:name="OLE_LINK1644"/>
      <w:bookmarkStart w:id="46" w:name="OLE_LINK474"/>
      <w:bookmarkStart w:id="47" w:name="OLE_LINK879"/>
      <w:bookmarkStart w:id="48" w:name="OLE_LINK1543"/>
      <w:bookmarkStart w:id="49" w:name="OLE_LINK1478"/>
      <w:bookmarkStart w:id="50" w:name="OLE_LINK1403"/>
      <w:bookmarkStart w:id="51" w:name="OLE_LINK1284"/>
      <w:bookmarkStart w:id="52" w:name="OLE_LINK216"/>
      <w:bookmarkStart w:id="53" w:name="OLE_LINK1373"/>
      <w:bookmarkStart w:id="54" w:name="OLE_LINK862"/>
      <w:bookmarkStart w:id="55" w:name="OLE_LINK1313"/>
      <w:bookmarkStart w:id="56" w:name="OLE_LINK1549"/>
      <w:bookmarkStart w:id="57" w:name="OLE_LINK1361"/>
      <w:bookmarkStart w:id="58" w:name="OLE_LINK1885"/>
      <w:bookmarkStart w:id="59" w:name="OLE_LINK640"/>
      <w:bookmarkStart w:id="60" w:name="OLE_LINK312"/>
      <w:bookmarkStart w:id="61" w:name="OLE_LINK1539"/>
      <w:bookmarkStart w:id="62" w:name="OLE_LINK575"/>
      <w:bookmarkStart w:id="63" w:name="OLE_LINK546"/>
      <w:bookmarkStart w:id="64" w:name="OLE_LINK652"/>
      <w:bookmarkStart w:id="65" w:name="OLE_LINK1437"/>
      <w:bookmarkStart w:id="66" w:name="OLE_LINK1480"/>
      <w:bookmarkStart w:id="67" w:name="OLE_LINK1884"/>
      <w:bookmarkStart w:id="68" w:name="OLE_LINK1186"/>
      <w:bookmarkStart w:id="69" w:name="OLE_LINK744"/>
      <w:bookmarkStart w:id="70" w:name="OLE_LINK330"/>
      <w:bookmarkStart w:id="71" w:name="OLE_LINK259"/>
      <w:bookmarkStart w:id="72" w:name="OLE_LINK982"/>
      <w:bookmarkStart w:id="73" w:name="OLE_LINK465"/>
      <w:bookmarkStart w:id="74" w:name="OLE_LINK983"/>
      <w:bookmarkStart w:id="75" w:name="OLE_LINK714"/>
      <w:bookmarkStart w:id="76" w:name="OLE_LINK325"/>
      <w:bookmarkStart w:id="77" w:name="OLE_LINK311"/>
      <w:bookmarkStart w:id="78" w:name="OLE_LINK466"/>
      <w:bookmarkStart w:id="79" w:name="OLE_LINK1538"/>
      <w:bookmarkStart w:id="80" w:name="OLE_LINK2583"/>
      <w:bookmarkStart w:id="81" w:name="OLE_LINK2856"/>
      <w:bookmarkStart w:id="82" w:name="OLE_LINK2993"/>
      <w:bookmarkStart w:id="83" w:name="OLE_LINK2643"/>
      <w:bookmarkStart w:id="84" w:name="OLE_LINK2762"/>
      <w:bookmarkStart w:id="85" w:name="OLE_LINK2962"/>
      <w:bookmarkStart w:id="86" w:name="OLE_LINK2582"/>
      <w:bookmarkStart w:id="87" w:name="OLE_LINK2110"/>
      <w:bookmarkStart w:id="88" w:name="OLE_LINK2446"/>
      <w:bookmarkStart w:id="89" w:name="OLE_LINK2081"/>
      <w:bookmarkStart w:id="90" w:name="OLE_LINK1744"/>
      <w:bookmarkStart w:id="91" w:name="OLE_LINK2082"/>
      <w:bookmarkStart w:id="92" w:name="OLE_LINK1941"/>
      <w:bookmarkStart w:id="93" w:name="OLE_LINK2345"/>
      <w:bookmarkStart w:id="94" w:name="OLE_LINK1882"/>
      <w:bookmarkStart w:id="95" w:name="OLE_LINK1938"/>
      <w:bookmarkStart w:id="96" w:name="OLE_LINK2071"/>
      <w:bookmarkStart w:id="97" w:name="OLE_LINK1964"/>
      <w:bookmarkStart w:id="98" w:name="OLE_LINK2192"/>
      <w:bookmarkStart w:id="99" w:name="OLE_LINK2134"/>
      <w:bookmarkStart w:id="100" w:name="OLE_LINK2020"/>
      <w:bookmarkStart w:id="101" w:name="OLE_LINK1931"/>
      <w:bookmarkStart w:id="102" w:name="OLE_LINK1776"/>
      <w:bookmarkStart w:id="103" w:name="OLE_LINK2562"/>
      <w:bookmarkStart w:id="104" w:name="OLE_LINK1777"/>
      <w:bookmarkStart w:id="105" w:name="OLE_LINK2445"/>
      <w:bookmarkStart w:id="106" w:name="OLE_LINK2265"/>
      <w:bookmarkStart w:id="107" w:name="OLE_LINK1868"/>
      <w:bookmarkStart w:id="108" w:name="OLE_LINK1756"/>
      <w:bookmarkStart w:id="109" w:name="OLE_LINK1835"/>
      <w:bookmarkStart w:id="110" w:name="OLE_LINK2013"/>
      <w:bookmarkStart w:id="111" w:name="OLE_LINK1923"/>
      <w:bookmarkStart w:id="112" w:name="OLE_LINK1929"/>
      <w:bookmarkStart w:id="113" w:name="OLE_LINK1995"/>
      <w:bookmarkStart w:id="114" w:name="OLE_LINK1866"/>
      <w:bookmarkStart w:id="115" w:name="OLE_LINK1902"/>
      <w:bookmarkStart w:id="116" w:name="OLE_LINK1817"/>
      <w:bookmarkStart w:id="117" w:name="OLE_LINK1901"/>
      <w:bookmarkStart w:id="118" w:name="OLE_LINK1894"/>
      <w:bookmarkStart w:id="119" w:name="OLE_LINK2169"/>
      <w:bookmarkStart w:id="120" w:name="OLE_LINK2331"/>
      <w:bookmarkStart w:id="121" w:name="OLE_LINK2221"/>
      <w:bookmarkStart w:id="122" w:name="OLE_LINK2190"/>
      <w:bookmarkStart w:id="123" w:name="OLE_LINK2484"/>
      <w:bookmarkStart w:id="124" w:name="OLE_LINK2467"/>
      <w:bookmarkStart w:id="125" w:name="OLE_LINK2157"/>
      <w:bookmarkStart w:id="126" w:name="OLE_LINK2348"/>
      <w:bookmarkStart w:id="127" w:name="OLE_LINK2292"/>
      <w:bookmarkStart w:id="128" w:name="OLE_LINK2252"/>
      <w:bookmarkStart w:id="129" w:name="OLE_LINK2451"/>
      <w:bookmarkStart w:id="130" w:name="OLE_LINK2627"/>
      <w:bookmarkStart w:id="131" w:name="OLE_LINK2663"/>
      <w:bookmarkStart w:id="132" w:name="OLE_LINK2761"/>
      <w:bookmarkStart w:id="133" w:name="OLE_LINK2482"/>
      <w:r w:rsidRPr="00FB18DA">
        <w:rPr>
          <w:rFonts w:ascii="Book Antiqua" w:hAnsi="Book Antiqua"/>
          <w:b/>
          <w:sz w:val="24"/>
          <w:szCs w:val="24"/>
        </w:rPr>
        <w:t xml:space="preserve">© </w:t>
      </w:r>
      <w:r w:rsidRPr="00FB18DA">
        <w:rPr>
          <w:rFonts w:ascii="Book Antiqua" w:eastAsia="AdvTimes" w:hAnsi="Book Antiqua" w:cs="AdvTimes"/>
          <w:b/>
          <w:sz w:val="24"/>
          <w:szCs w:val="24"/>
        </w:rPr>
        <w:t>The Author(s) 201</w:t>
      </w:r>
      <w:r w:rsidRPr="00FB18DA">
        <w:rPr>
          <w:rFonts w:ascii="Book Antiqua" w:hAnsi="Book Antiqua" w:cs="AdvTimes"/>
          <w:b/>
          <w:sz w:val="24"/>
          <w:szCs w:val="24"/>
        </w:rPr>
        <w:t>9</w:t>
      </w:r>
      <w:r w:rsidRPr="00FB18DA">
        <w:rPr>
          <w:rFonts w:ascii="Book Antiqua" w:eastAsia="AdvTimes" w:hAnsi="Book Antiqua" w:cs="AdvTimes"/>
          <w:b/>
          <w:sz w:val="24"/>
          <w:szCs w:val="24"/>
        </w:rPr>
        <w:t>.</w:t>
      </w:r>
      <w:r w:rsidRPr="00FB18DA">
        <w:rPr>
          <w:rFonts w:ascii="Book Antiqua" w:eastAsia="AdvTimes" w:hAnsi="Book Antiqua" w:cs="AdvTimes"/>
          <w:sz w:val="24"/>
          <w:szCs w:val="24"/>
        </w:rPr>
        <w:t xml:space="preserve"> Published by </w:t>
      </w:r>
      <w:r w:rsidRPr="00FB18DA">
        <w:rPr>
          <w:rFonts w:ascii="Book Antiqua" w:hAnsi="Book Antiqua" w:cs="Arial Unicode MS"/>
          <w:sz w:val="24"/>
          <w:szCs w:val="24"/>
        </w:rPr>
        <w:t>Baishideng Publishing Group Inc. 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2DE95CF0" w14:textId="77777777" w:rsidR="00427A04" w:rsidRPr="00FB18DA" w:rsidRDefault="00427A04" w:rsidP="00FB18DA">
      <w:pPr>
        <w:spacing w:after="0" w:line="360" w:lineRule="auto"/>
        <w:jc w:val="both"/>
        <w:rPr>
          <w:rFonts w:ascii="Book Antiqua" w:hAnsi="Book Antiqua" w:cs="Arial"/>
          <w:b/>
          <w:sz w:val="24"/>
          <w:szCs w:val="24"/>
          <w:lang w:val="en-GB"/>
        </w:rPr>
      </w:pPr>
    </w:p>
    <w:p w14:paraId="785F239A" w14:textId="3A70A970" w:rsidR="009001A1" w:rsidRPr="00FB18DA" w:rsidRDefault="002A04D2" w:rsidP="00FB18DA">
      <w:pPr>
        <w:spacing w:after="0" w:line="360" w:lineRule="auto"/>
        <w:jc w:val="both"/>
        <w:rPr>
          <w:rFonts w:ascii="Book Antiqua" w:hAnsi="Book Antiqua" w:cs="Arial"/>
          <w:sz w:val="24"/>
          <w:szCs w:val="24"/>
          <w:lang w:val="en-GB"/>
        </w:rPr>
      </w:pPr>
      <w:r w:rsidRPr="00FB18DA">
        <w:rPr>
          <w:rFonts w:ascii="Book Antiqua" w:hAnsi="Book Antiqua" w:cs="Arial"/>
          <w:b/>
          <w:sz w:val="24"/>
          <w:szCs w:val="24"/>
          <w:lang w:val="en-GB"/>
        </w:rPr>
        <w:t xml:space="preserve">Core tip: </w:t>
      </w:r>
      <w:r w:rsidR="00ED23A2" w:rsidRPr="00FB18DA">
        <w:rPr>
          <w:rFonts w:ascii="Book Antiqua" w:hAnsi="Book Antiqua" w:cs="Arial"/>
          <w:sz w:val="24"/>
          <w:szCs w:val="24"/>
          <w:lang w:val="en-GB"/>
        </w:rPr>
        <w:t xml:space="preserve">Herein, we present a unique report of a woman with a viable transplanted uterus graft who </w:t>
      </w:r>
      <w:r w:rsidR="004806F4" w:rsidRPr="00FB18DA">
        <w:rPr>
          <w:rFonts w:ascii="Book Antiqua" w:hAnsi="Book Antiqua" w:cs="Arial"/>
          <w:sz w:val="24"/>
          <w:szCs w:val="24"/>
          <w:lang w:val="en-GB"/>
        </w:rPr>
        <w:t>was</w:t>
      </w:r>
      <w:r w:rsidR="00ED23A2" w:rsidRPr="00FB18DA">
        <w:rPr>
          <w:rFonts w:ascii="Book Antiqua" w:hAnsi="Book Antiqua" w:cs="Arial"/>
          <w:sz w:val="24"/>
          <w:szCs w:val="24"/>
          <w:lang w:val="en-GB"/>
        </w:rPr>
        <w:t xml:space="preserve"> suffering from concurren</w:t>
      </w:r>
      <w:r w:rsidR="004806F4" w:rsidRPr="00FB18DA">
        <w:rPr>
          <w:rFonts w:ascii="Book Antiqua" w:hAnsi="Book Antiqua" w:cs="Arial"/>
          <w:sz w:val="24"/>
          <w:szCs w:val="24"/>
          <w:lang w:val="en-GB"/>
        </w:rPr>
        <w:t>t</w:t>
      </w:r>
      <w:r w:rsidR="00ED23A2" w:rsidRPr="00FB18DA">
        <w:rPr>
          <w:rFonts w:ascii="Book Antiqua" w:hAnsi="Book Antiqua" w:cs="Arial"/>
          <w:sz w:val="24"/>
          <w:szCs w:val="24"/>
          <w:lang w:val="en-GB"/>
        </w:rPr>
        <w:t xml:space="preserve"> </w:t>
      </w:r>
      <w:r w:rsidR="002E0757" w:rsidRPr="00FB18DA">
        <w:rPr>
          <w:rFonts w:ascii="Book Antiqua" w:hAnsi="Book Antiqua" w:cs="Arial"/>
          <w:i/>
          <w:sz w:val="24"/>
          <w:szCs w:val="24"/>
          <w:lang w:val="en-GB"/>
        </w:rPr>
        <w:t>Clostridium difficile</w:t>
      </w:r>
      <w:r w:rsidR="002E0757" w:rsidRPr="00FB18DA">
        <w:rPr>
          <w:rFonts w:ascii="Book Antiqua" w:hAnsi="Book Antiqua" w:cs="Arial"/>
          <w:sz w:val="24"/>
          <w:szCs w:val="24"/>
          <w:lang w:val="en-GB"/>
        </w:rPr>
        <w:t xml:space="preserve"> colitis and acute appendicitis. The differential diagnosis in an immunosuppressed patient may be complex</w:t>
      </w:r>
      <w:r w:rsidR="002E0757" w:rsidRPr="00FB18DA">
        <w:rPr>
          <w:rFonts w:ascii="Book Antiqua" w:eastAsia="Calibri" w:hAnsi="Book Antiqua" w:cs="Arial"/>
          <w:sz w:val="24"/>
          <w:szCs w:val="24"/>
          <w:lang w:val="en-GB"/>
        </w:rPr>
        <w:t>,</w:t>
      </w:r>
      <w:r w:rsidR="002E0757" w:rsidRPr="00FB18DA">
        <w:rPr>
          <w:rFonts w:ascii="Book Antiqua" w:hAnsi="Book Antiqua" w:cs="Arial"/>
          <w:sz w:val="24"/>
          <w:szCs w:val="24"/>
          <w:lang w:val="en-GB"/>
        </w:rPr>
        <w:t xml:space="preserve"> and a high index of suspicion of </w:t>
      </w:r>
      <w:r w:rsidR="002E0757" w:rsidRPr="00FB18DA">
        <w:rPr>
          <w:rFonts w:ascii="Book Antiqua" w:eastAsia="Calibri" w:hAnsi="Book Antiqua" w:cs="Arial"/>
          <w:sz w:val="24"/>
          <w:szCs w:val="24"/>
          <w:lang w:val="en-GB"/>
        </w:rPr>
        <w:t xml:space="preserve">an </w:t>
      </w:r>
      <w:r w:rsidR="002E0757" w:rsidRPr="00FB18DA">
        <w:rPr>
          <w:rFonts w:ascii="Book Antiqua" w:hAnsi="Book Antiqua" w:cs="Arial"/>
          <w:sz w:val="24"/>
          <w:szCs w:val="24"/>
          <w:lang w:val="en-GB"/>
        </w:rPr>
        <w:t xml:space="preserve">atypical course of acute abdomen </w:t>
      </w:r>
      <w:r w:rsidR="00AE41B8" w:rsidRPr="00FB18DA">
        <w:rPr>
          <w:rFonts w:ascii="Book Antiqua" w:hAnsi="Book Antiqua" w:cs="Arial"/>
          <w:sz w:val="24"/>
          <w:szCs w:val="24"/>
          <w:lang w:val="en-GB"/>
        </w:rPr>
        <w:t xml:space="preserve">should be maintained </w:t>
      </w:r>
      <w:r w:rsidR="002E0757" w:rsidRPr="00FB18DA">
        <w:rPr>
          <w:rFonts w:ascii="Book Antiqua" w:hAnsi="Book Antiqua" w:cs="Arial"/>
          <w:sz w:val="24"/>
          <w:szCs w:val="24"/>
          <w:lang w:val="en-GB"/>
        </w:rPr>
        <w:t xml:space="preserve">in immunosuppressed patients. Sometimes, more than one synchronous pathological condition may be present. This case highlights the ultimate importance of focusing </w:t>
      </w:r>
      <w:r w:rsidR="00BD5F61" w:rsidRPr="00FB18DA">
        <w:rPr>
          <w:rFonts w:ascii="Book Antiqua" w:hAnsi="Book Antiqua" w:cs="Arial"/>
          <w:sz w:val="24"/>
          <w:szCs w:val="24"/>
          <w:lang w:val="en-GB"/>
        </w:rPr>
        <w:t>on</w:t>
      </w:r>
      <w:r w:rsidR="002E0757" w:rsidRPr="00FB18DA">
        <w:rPr>
          <w:rFonts w:ascii="Book Antiqua" w:hAnsi="Book Antiqua" w:cs="Arial"/>
          <w:sz w:val="24"/>
          <w:szCs w:val="24"/>
          <w:lang w:val="en-GB"/>
        </w:rPr>
        <w:t xml:space="preserve"> the achievement of successful embryo transfer </w:t>
      </w:r>
      <w:r w:rsidR="00BD5F61" w:rsidRPr="00FB18DA">
        <w:rPr>
          <w:rFonts w:ascii="Book Antiqua" w:hAnsi="Book Antiqua" w:cs="Arial"/>
          <w:sz w:val="24"/>
          <w:szCs w:val="24"/>
          <w:lang w:val="en-GB"/>
        </w:rPr>
        <w:t xml:space="preserve">in the </w:t>
      </w:r>
      <w:r w:rsidR="00A91D61" w:rsidRPr="00FB18DA">
        <w:rPr>
          <w:rFonts w:ascii="Book Antiqua" w:hAnsi="Book Antiqua" w:cs="Arial"/>
          <w:sz w:val="24"/>
          <w:szCs w:val="24"/>
          <w:lang w:val="en-GB"/>
        </w:rPr>
        <w:t xml:space="preserve">uterus transplantation </w:t>
      </w:r>
      <w:r w:rsidR="00BD5F61" w:rsidRPr="00FB18DA">
        <w:rPr>
          <w:rFonts w:ascii="Book Antiqua" w:hAnsi="Book Antiqua" w:cs="Arial"/>
          <w:sz w:val="24"/>
          <w:szCs w:val="24"/>
          <w:lang w:val="en-GB"/>
        </w:rPr>
        <w:t xml:space="preserve">recipients </w:t>
      </w:r>
      <w:r w:rsidR="002E0757" w:rsidRPr="00FB18DA">
        <w:rPr>
          <w:rFonts w:ascii="Book Antiqua" w:hAnsi="Book Antiqua" w:cs="Arial"/>
          <w:sz w:val="24"/>
          <w:szCs w:val="24"/>
          <w:lang w:val="en-GB"/>
        </w:rPr>
        <w:t>as soon as possible since they are vulnerable to a multitude of possible complications.</w:t>
      </w:r>
    </w:p>
    <w:p w14:paraId="332620A8" w14:textId="77777777" w:rsidR="00320F02" w:rsidRPr="00FB18DA" w:rsidRDefault="00320F02" w:rsidP="00FB18DA">
      <w:pPr>
        <w:adjustRightInd w:val="0"/>
        <w:snapToGrid w:val="0"/>
        <w:spacing w:after="0" w:line="360" w:lineRule="auto"/>
        <w:jc w:val="both"/>
        <w:rPr>
          <w:rFonts w:ascii="Book Antiqua" w:hAnsi="Book Antiqua" w:cs="Tahoma"/>
          <w:color w:val="FF0000"/>
          <w:sz w:val="24"/>
          <w:szCs w:val="24"/>
          <w:lang w:val="en-GB"/>
        </w:rPr>
      </w:pPr>
      <w:bookmarkStart w:id="134" w:name="_Hlk6582555"/>
      <w:bookmarkStart w:id="135" w:name="_Hlk15548566"/>
      <w:bookmarkStart w:id="136" w:name="OLE_LINK597"/>
      <w:bookmarkStart w:id="137" w:name="OLE_LINK788"/>
      <w:bookmarkStart w:id="138" w:name="OLE_LINK794"/>
      <w:bookmarkStart w:id="139" w:name="OLE_LINK830"/>
      <w:bookmarkStart w:id="140" w:name="OLE_LINK831"/>
      <w:bookmarkStart w:id="141" w:name="OLE_LINK864"/>
      <w:bookmarkStart w:id="142" w:name="OLE_LINK878"/>
      <w:bookmarkStart w:id="143" w:name="OLE_LINK903"/>
      <w:bookmarkStart w:id="144" w:name="OLE_LINK1059"/>
      <w:bookmarkStart w:id="145" w:name="OLE_LINK1058"/>
      <w:bookmarkStart w:id="146" w:name="OLE_LINK1056"/>
      <w:bookmarkStart w:id="147" w:name="OLE_LINK464"/>
      <w:bookmarkStart w:id="148" w:name="OLE_LINK455"/>
      <w:bookmarkStart w:id="149" w:name="OLE_LINK130"/>
    </w:p>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14:paraId="66AAC18B" w14:textId="6316AD88" w:rsidR="00946B35" w:rsidRPr="00FB18DA" w:rsidRDefault="00946B35" w:rsidP="00FB18DA">
      <w:pPr>
        <w:spacing w:after="0" w:line="360" w:lineRule="auto"/>
        <w:jc w:val="both"/>
        <w:rPr>
          <w:rFonts w:ascii="Book Antiqua" w:hAnsi="Book Antiqua"/>
          <w:sz w:val="24"/>
          <w:szCs w:val="24"/>
          <w:lang w:val="en-GB"/>
        </w:rPr>
      </w:pPr>
      <w:r w:rsidRPr="00FB18DA">
        <w:rPr>
          <w:rFonts w:ascii="Book Antiqua" w:hAnsi="Book Antiqua"/>
          <w:sz w:val="24"/>
          <w:szCs w:val="24"/>
          <w:lang w:val="en-GB"/>
        </w:rPr>
        <w:t xml:space="preserve">Kristek J, Kudla M, Chlupac J, Novotny R, Mirejovsky T, Janousek L, Fronek J. </w:t>
      </w:r>
      <w:r w:rsidRPr="00FB18DA">
        <w:rPr>
          <w:rFonts w:ascii="Book Antiqua" w:hAnsi="Book Antiqua"/>
          <w:bCs/>
          <w:sz w:val="24"/>
          <w:szCs w:val="24"/>
          <w:lang w:val="en-GB"/>
        </w:rPr>
        <w:t xml:space="preserve">Acute </w:t>
      </w:r>
      <w:r w:rsidR="00AE52A4" w:rsidRPr="00FB18DA">
        <w:rPr>
          <w:rFonts w:ascii="Book Antiqua" w:hAnsi="Book Antiqua"/>
          <w:bCs/>
          <w:sz w:val="24"/>
          <w:szCs w:val="24"/>
          <w:lang w:val="en-GB"/>
        </w:rPr>
        <w:t>appendicitis in a patient after a uterus transplant</w:t>
      </w:r>
      <w:r w:rsidRPr="00FB18DA">
        <w:rPr>
          <w:rFonts w:ascii="Book Antiqua" w:hAnsi="Book Antiqua"/>
          <w:bCs/>
          <w:sz w:val="24"/>
          <w:szCs w:val="24"/>
          <w:lang w:val="en-GB"/>
        </w:rPr>
        <w:t xml:space="preserve">: A </w:t>
      </w:r>
      <w:r w:rsidR="00AE52A4" w:rsidRPr="00FB18DA">
        <w:rPr>
          <w:rFonts w:ascii="Book Antiqua" w:hAnsi="Book Antiqua"/>
          <w:bCs/>
          <w:sz w:val="24"/>
          <w:szCs w:val="24"/>
          <w:lang w:val="en-GB"/>
        </w:rPr>
        <w:t>case rep</w:t>
      </w:r>
      <w:r w:rsidRPr="00FB18DA">
        <w:rPr>
          <w:rFonts w:ascii="Book Antiqua" w:hAnsi="Book Antiqua"/>
          <w:bCs/>
          <w:sz w:val="24"/>
          <w:szCs w:val="24"/>
          <w:lang w:val="en-GB"/>
        </w:rPr>
        <w:t>ort.</w:t>
      </w:r>
      <w:r w:rsidRPr="00FB18DA">
        <w:rPr>
          <w:rFonts w:ascii="Book Antiqua" w:hAnsi="Book Antiqua"/>
          <w:b/>
          <w:sz w:val="24"/>
          <w:szCs w:val="24"/>
          <w:lang w:val="en-GB"/>
        </w:rPr>
        <w:t xml:space="preserve"> </w:t>
      </w:r>
      <w:r w:rsidRPr="00FB18DA">
        <w:rPr>
          <w:rFonts w:ascii="Book Antiqua" w:hAnsi="Book Antiqua"/>
          <w:i/>
          <w:sz w:val="24"/>
          <w:szCs w:val="24"/>
          <w:lang w:val="en-GB"/>
        </w:rPr>
        <w:t xml:space="preserve">World J Clin Cases </w:t>
      </w:r>
      <w:r w:rsidRPr="00FB18DA">
        <w:rPr>
          <w:rFonts w:ascii="Book Antiqua" w:hAnsi="Book Antiqua"/>
          <w:sz w:val="24"/>
          <w:szCs w:val="24"/>
          <w:lang w:val="en-GB"/>
        </w:rPr>
        <w:t>2019; In press</w:t>
      </w:r>
    </w:p>
    <w:p w14:paraId="74E5CB98" w14:textId="3FCFD108" w:rsidR="006001AA" w:rsidRPr="00FB18DA" w:rsidRDefault="006001AA"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br w:type="page"/>
      </w:r>
    </w:p>
    <w:p w14:paraId="5D98C9CC" w14:textId="77777777" w:rsidR="00AE52A4" w:rsidRPr="00FB18DA" w:rsidRDefault="00AE52A4" w:rsidP="00FB18DA">
      <w:pPr>
        <w:snapToGrid w:val="0"/>
        <w:spacing w:after="0" w:line="360" w:lineRule="auto"/>
        <w:jc w:val="both"/>
        <w:rPr>
          <w:rFonts w:ascii="Book Antiqua" w:hAnsi="Book Antiqua" w:cs="Calibri"/>
          <w:b/>
          <w:sz w:val="24"/>
          <w:szCs w:val="24"/>
        </w:rPr>
      </w:pPr>
      <w:r w:rsidRPr="00FB18DA">
        <w:rPr>
          <w:rFonts w:ascii="Book Antiqua" w:hAnsi="Book Antiqua" w:cs="Calibri"/>
          <w:b/>
          <w:sz w:val="24"/>
          <w:szCs w:val="24"/>
        </w:rPr>
        <w:lastRenderedPageBreak/>
        <w:t>INTRODUCTION</w:t>
      </w:r>
    </w:p>
    <w:p w14:paraId="2A3F7700" w14:textId="610AB1C7" w:rsidR="00E16D58" w:rsidRPr="00FB18DA" w:rsidRDefault="00F31F58"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Uterus transplantation (UTx) is an experimental</w:t>
      </w:r>
      <w:r w:rsidR="002E0757" w:rsidRPr="00FB18DA">
        <w:rPr>
          <w:rFonts w:ascii="Book Antiqua" w:eastAsia="Calibri" w:hAnsi="Book Antiqua" w:cs="Arial"/>
          <w:sz w:val="24"/>
          <w:szCs w:val="24"/>
          <w:lang w:val="en-GB"/>
        </w:rPr>
        <w:t xml:space="preserve"> treatment</w:t>
      </w:r>
      <w:r w:rsidRPr="00FB18DA">
        <w:rPr>
          <w:rFonts w:ascii="Book Antiqua" w:hAnsi="Book Antiqua" w:cs="Arial"/>
          <w:sz w:val="24"/>
          <w:szCs w:val="24"/>
          <w:lang w:val="en-GB"/>
        </w:rPr>
        <w:t xml:space="preserve"> method </w:t>
      </w:r>
      <w:r w:rsidR="002E0757" w:rsidRPr="00FB18DA">
        <w:rPr>
          <w:rFonts w:ascii="Book Antiqua" w:eastAsia="Calibri" w:hAnsi="Book Antiqua" w:cs="Arial"/>
          <w:sz w:val="24"/>
          <w:szCs w:val="24"/>
          <w:lang w:val="en-GB"/>
        </w:rPr>
        <w:t xml:space="preserve">for </w:t>
      </w:r>
      <w:r w:rsidRPr="00FB18DA">
        <w:rPr>
          <w:rFonts w:ascii="Book Antiqua" w:hAnsi="Book Antiqua" w:cs="Arial"/>
          <w:sz w:val="24"/>
          <w:szCs w:val="24"/>
          <w:lang w:val="en-GB"/>
        </w:rPr>
        <w:t>women with uterine</w:t>
      </w:r>
      <w:r w:rsidR="002A00DA" w:rsidRPr="00FB18DA">
        <w:rPr>
          <w:rFonts w:ascii="Book Antiqua" w:hAnsi="Book Antiqua" w:cs="Arial"/>
          <w:sz w:val="24"/>
          <w:szCs w:val="24"/>
          <w:lang w:val="en-GB"/>
        </w:rPr>
        <w:t xml:space="preserve"> </w:t>
      </w:r>
      <w:r w:rsidRPr="00FB18DA">
        <w:rPr>
          <w:rFonts w:ascii="Book Antiqua" w:hAnsi="Book Antiqua" w:cs="Arial"/>
          <w:sz w:val="24"/>
          <w:szCs w:val="24"/>
          <w:lang w:val="en-GB"/>
        </w:rPr>
        <w:t>factor infertility (UFI). It is a novel</w:t>
      </w:r>
      <w:r w:rsidR="00842430" w:rsidRPr="00FB18DA">
        <w:rPr>
          <w:rFonts w:ascii="Book Antiqua" w:hAnsi="Book Antiqua" w:cs="Arial"/>
          <w:sz w:val="24"/>
          <w:szCs w:val="24"/>
          <w:lang w:val="en-GB"/>
        </w:rPr>
        <w:t>,</w:t>
      </w:r>
      <w:r w:rsidRPr="00FB18DA">
        <w:rPr>
          <w:rFonts w:ascii="Book Antiqua" w:hAnsi="Book Antiqua" w:cs="Arial"/>
          <w:sz w:val="24"/>
          <w:szCs w:val="24"/>
          <w:lang w:val="en-GB"/>
        </w:rPr>
        <w:t xml:space="preserve"> challenging procedure performed in only a few centres around the world; hence, experience with acute abdomen in UTx recipients is rare. The lifetime risk of acute appendicitis (AA) in a normal population has been estimated </w:t>
      </w:r>
      <w:r w:rsidR="002E0757" w:rsidRPr="00FB18DA">
        <w:rPr>
          <w:rFonts w:ascii="Book Antiqua" w:eastAsia="Calibri" w:hAnsi="Book Antiqua" w:cs="Arial"/>
          <w:sz w:val="24"/>
          <w:szCs w:val="24"/>
          <w:lang w:val="en-GB"/>
        </w:rPr>
        <w:t xml:space="preserve">to be </w:t>
      </w:r>
      <w:r w:rsidRPr="00FB18DA">
        <w:rPr>
          <w:rFonts w:ascii="Book Antiqua" w:hAnsi="Book Antiqua" w:cs="Arial"/>
          <w:sz w:val="24"/>
          <w:szCs w:val="24"/>
          <w:lang w:val="en-GB"/>
        </w:rPr>
        <w:t>8.6</w:t>
      </w:r>
      <w:r w:rsidR="00354BE5" w:rsidRPr="00FB18DA">
        <w:rPr>
          <w:rFonts w:ascii="Book Antiqua" w:hAnsi="Book Antiqua" w:cs="Arial"/>
          <w:sz w:val="24"/>
          <w:szCs w:val="24"/>
          <w:lang w:val="en-GB"/>
        </w:rPr>
        <w:t>%</w:t>
      </w:r>
      <w:r w:rsidRPr="00FB18DA">
        <w:rPr>
          <w:rFonts w:ascii="Book Antiqua" w:hAnsi="Book Antiqua" w:cs="Arial"/>
          <w:sz w:val="24"/>
          <w:szCs w:val="24"/>
          <w:lang w:val="en-GB"/>
        </w:rPr>
        <w:t xml:space="preserve"> and 6.7% for males and females, respectively</w:t>
      </w:r>
      <w:r w:rsidR="006001AA" w:rsidRPr="00FB18DA">
        <w:rPr>
          <w:rFonts w:ascii="Book Antiqua" w:hAnsi="Book Antiqua" w:cs="Arial"/>
          <w:sz w:val="24"/>
          <w:szCs w:val="24"/>
          <w:vertAlign w:val="superscript"/>
          <w:lang w:val="en-GB"/>
        </w:rPr>
        <w:t>[</w:t>
      </w:r>
      <w:r w:rsidRPr="00FB18DA">
        <w:rPr>
          <w:rFonts w:ascii="Book Antiqua" w:hAnsi="Book Antiqua" w:cs="Arial"/>
          <w:sz w:val="24"/>
          <w:szCs w:val="24"/>
          <w:vertAlign w:val="superscript"/>
          <w:lang w:val="en-GB"/>
        </w:rPr>
        <w:fldChar w:fldCharType="begin" w:fldLock="1"/>
      </w:r>
      <w:r w:rsidR="0094498C" w:rsidRPr="00FB18DA">
        <w:rPr>
          <w:rFonts w:ascii="Book Antiqua" w:hAnsi="Book Antiqua" w:cs="Arial"/>
          <w:sz w:val="24"/>
          <w:szCs w:val="24"/>
          <w:vertAlign w:val="superscript"/>
          <w:lang w:val="en-GB"/>
        </w:rPr>
        <w:instrText>ADDIN CSL_CITATION {"citationItems":[{"id":"ITEM-1","itemData":{"DOI":"10.1093/oxfordjournals.aje.a115734","ISSN":"0002-9262 (Print)","PMID":"2239906","abstract":"To describe the epidemiology of appendicitis and appendectomy in the United States, the authors analyzed National Hospital Discharge Survey data for the years 1979-1984. Approximately 250,000 cases of appendicitis occurred annually in the United States during this period, accounting for an estimated 1 million hospital days per year. The highest incidence of primary positive appendectomy (appendicitis) was found in persons aged 10-19 years (23.3 per 10,000 population per year); males had higher rates of appendicitis than females for all age groups (overall rate ratio, 1.4:1). Racial, geographic, and seasonal differences were also noted. Appendicitis rates were 1.5 times higher for whites than for nonwhites, highest (15.4 per 10,000 population per year) in the west north central region, and 11.3% higher in the summer than in the winter months. The highest rate of incidental appendectomy was found in women aged 35-44 years (43.8 per 10,000 population per year), 12.1 times higher than the rate for men of the same age. Between 1970 and 1984, the incidence of appendicitis decreased by 14.6%; reasons for this decline are unknown. A life table model suggests that the lifetime risk of appendicitis is 8.6% for males and 6.7% for females; the lifetime risk of appendectomy is 12.0% for males and 23.1% for females. Overall, an estimated 36 incidental procedures are performed to prevent one case of appendicitis; for the elderly, the preventive value of an incidental procedure is considerably lower.","author":[{"dropping-particle":"","family":"Addiss","given":"D G","non-dropping-particle":"","parse-names":false,"suffix":""},{"dropping-particle":"","family":"Shaffer","given":"N","non-dropping-particle":"","parse-names":false,"suffix":""},{"dropping-particle":"","family":"Fowler","given":"B S","non-dropping-particle":"","parse-names":false,"suffix":""},{"dropping-particle":"V","family":"Tauxe","given":"R","non-dropping-particle":"","parse-names":false,"suffix":""}],"container-title":"American journal of epidemiology","id":"ITEM-1","issue":"5","issued":{"date-parts":[["1990","11"]]},"language":"eng","page":"910-925","publisher-place":"United States","title":"The epidemiology of appendicitis and appendectomy in the United States.","type":"article-journal","volume":"132"},"uris":["http://www.mendeley.com/documents/?uuid=37618ad8-45d8-421a-b3d2-860ced8d9e61"]}],"mendeley":{"formattedCitation":"&lt;sup&gt;1&lt;/sup&gt;","plainTextFormattedCitation":"1","previouslyFormattedCitation":"(Addiss &lt;i&gt;et al.&lt;/i&gt;, 1990)"},"properties":{"noteIndex":0},"schema":"https://github.com/citation-style-language/schema/raw/master/csl-citation.json"}</w:instrText>
      </w:r>
      <w:r w:rsidRPr="00FB18DA">
        <w:rPr>
          <w:rFonts w:ascii="Book Antiqua" w:hAnsi="Book Antiqua" w:cs="Arial"/>
          <w:sz w:val="24"/>
          <w:szCs w:val="24"/>
          <w:vertAlign w:val="superscript"/>
          <w:lang w:val="en-GB"/>
        </w:rPr>
        <w:fldChar w:fldCharType="separate"/>
      </w:r>
      <w:r w:rsidR="0094498C" w:rsidRPr="00FB18DA">
        <w:rPr>
          <w:rFonts w:ascii="Book Antiqua" w:hAnsi="Book Antiqua" w:cs="Arial"/>
          <w:sz w:val="24"/>
          <w:szCs w:val="24"/>
          <w:vertAlign w:val="superscript"/>
          <w:lang w:val="en-GB"/>
        </w:rPr>
        <w:t>1</w:t>
      </w:r>
      <w:r w:rsidRPr="00FB18DA">
        <w:rPr>
          <w:rFonts w:ascii="Book Antiqua" w:hAnsi="Book Antiqua" w:cs="Arial"/>
          <w:sz w:val="24"/>
          <w:szCs w:val="24"/>
          <w:vertAlign w:val="superscript"/>
          <w:lang w:val="en-GB"/>
        </w:rPr>
        <w:fldChar w:fldCharType="end"/>
      </w:r>
      <w:r w:rsidR="006001AA" w:rsidRPr="00FB18DA">
        <w:rPr>
          <w:rFonts w:ascii="Book Antiqua" w:hAnsi="Book Antiqua" w:cs="Arial"/>
          <w:sz w:val="24"/>
          <w:szCs w:val="24"/>
          <w:vertAlign w:val="superscript"/>
          <w:lang w:val="en-GB"/>
        </w:rPr>
        <w:t>]</w:t>
      </w:r>
      <w:r w:rsidR="00D43831" w:rsidRPr="00FB18DA">
        <w:rPr>
          <w:rFonts w:ascii="Book Antiqua" w:hAnsi="Book Antiqua" w:cs="Arial"/>
          <w:sz w:val="24"/>
          <w:szCs w:val="24"/>
          <w:lang w:val="en-GB"/>
        </w:rPr>
        <w:t xml:space="preserve">. AA in solid organ transplant recipients is </w:t>
      </w:r>
      <w:r w:rsidR="00330168" w:rsidRPr="00FB18DA">
        <w:rPr>
          <w:rFonts w:ascii="Book Antiqua" w:hAnsi="Book Antiqua" w:cs="Arial"/>
          <w:sz w:val="24"/>
          <w:szCs w:val="24"/>
          <w:lang w:val="en-GB"/>
        </w:rPr>
        <w:t>rare</w:t>
      </w:r>
      <w:r w:rsidR="00D43831" w:rsidRPr="00FB18DA">
        <w:rPr>
          <w:rFonts w:ascii="Book Antiqua" w:hAnsi="Book Antiqua" w:cs="Arial"/>
          <w:sz w:val="24"/>
          <w:szCs w:val="24"/>
          <w:lang w:val="en-GB"/>
        </w:rPr>
        <w:t>, yet a few small case series have been reported</w:t>
      </w:r>
      <w:r w:rsidR="006001AA" w:rsidRPr="00FB18DA">
        <w:rPr>
          <w:rFonts w:ascii="Book Antiqua" w:hAnsi="Book Antiqua" w:cs="Arial"/>
          <w:sz w:val="24"/>
          <w:szCs w:val="24"/>
          <w:vertAlign w:val="superscript"/>
          <w:lang w:val="en-GB"/>
        </w:rPr>
        <w:t>[</w:t>
      </w:r>
      <w:r w:rsidR="004206D7" w:rsidRPr="00FB18DA">
        <w:rPr>
          <w:rFonts w:ascii="Book Antiqua" w:hAnsi="Book Antiqua" w:cs="Arial"/>
          <w:sz w:val="24"/>
          <w:szCs w:val="24"/>
          <w:vertAlign w:val="superscript"/>
          <w:lang w:val="en-GB"/>
        </w:rPr>
        <w:fldChar w:fldCharType="begin" w:fldLock="1"/>
      </w:r>
      <w:r w:rsidR="0094498C" w:rsidRPr="00FB18DA">
        <w:rPr>
          <w:rFonts w:ascii="Book Antiqua" w:hAnsi="Book Antiqua" w:cs="Arial"/>
          <w:sz w:val="24"/>
          <w:szCs w:val="24"/>
          <w:vertAlign w:val="superscript"/>
          <w:lang w:val="en-GB"/>
        </w:rPr>
        <w:instrText>ADDIN CSL_CITATION {"citationItems":[{"id":"ITEM-1","itemData":{"DOI":"10.1111/j.1399-0012.2005.00444.x","ISSN":"0902-0063 (Print)","PMID":"16556158","abstract":"Appendicitis has rarely been reported following solid organ transplantation and never following liver transplantation. We reviewed records of all patients who received solid organ transplants at UCLA between 1989 and 2002 and subsequently underwent appendectomy for presumed acute appendicitis. Of nearly 8000 transplant patients, 17 (nine male, eight female) subsequently underwent appendectomy for presumed acute appendicitis. Average age at appendectomy was 37 yrs (range 6-73 yrs). Organ transplants included liver (seven patients), heart (four), kidney (three), kidney-pancreas (two), and heart-kidney (one). The mean interval from transplant to appendectomy was 1064 d (16-2977). Presenting symptoms and signs included abdominal pain in 16 patients (94%); nausea and or vomiting in 15 (88%); right lower quadrant tenderness in 16; and leukocytosis (WBC &gt; 10 000) in 13 (76%). Mean interval from presentation to appendectomy was 0.94 d (range 0-4). Computed tomography (CT) was performed in 16 patients and showed signs of acute appendicitis in 15. Open technique was used in all patients, preceded by laparoscopy in one. Pathology showed appendicitis in 15 patients (one with perforation), serositis in one, and a normal appendix in one. Mean duration of hospitalization was 7 d (range 1-20). Complications occurred in four patients (24%) and included intra-abdominal abscess requiring percutaneous drainage, ventral hernia, small bowel obstruction, and hematuria in one patient each. There were no deaths and no cases of acute rejection during hospitalization. Average length of follow-up was 712 d (range 3-2492). We conclude that appendicitis is relatively rare following solid organ transplantation. CT facilitates prompt diagnosis. The clinical presentation is similar to that of non-transplant patients, but complications are more frequent, and hospitalization is longer.","author":[{"dropping-particle":"","family":"Savar","given":"Aaron","non-dropping-particle":"","parse-names":false,"suffix":""},{"dropping-particle":"","family":"Hiatt","given":"Jonathan R","non-dropping-particle":"","parse-names":false,"suffix":""},{"dropping-particle":"","family":"Busuttil","given":"Ronald W","non-dropping-particle":"","parse-names":false,"suffix":""}],"container-title":"Clinical transplantation","id":"ITEM-1","issue":"1","issued":{"date-parts":[["2006"]]},"language":"eng","page":"78-80","publisher-place":"Denmark","title":"Acute appendicitis after solid organ transplantation.","type":"article-journal","volume":"20"},"uris":["http://www.mendeley.com/documents/?uuid=14eafe68-4b3c-48bf-a805-89cd3555bca1"]},{"id":"ITEM-2","itemData":{"DOI":"10.12659/AOT.914134","ISSN":"2329-0358 (Electronic)","PMID":"30910996","abstract":"BACKGROUND Clinical characteristics of acute appendicitis in kidney transplant recipients may be different from those in the general population due to kidney transplant recipient's immunosuppressive state and position change of appendix caused by graft. MATERIAL AND METHODS Clinical characteristics of 10 cases of acute appendicitis among 2880 cases of kidney transplantation were evaluated, including diagnostic rate, location of appendix and complication in kidney transplant recipients. RESULTS Acute appendicitis was suspected in 9 of 10 patients (90%) with acute appendicitis based on clinical and laboratory findings. Five patients (50%) presented with typical migrating pain and 1 patient (10%) had only periumbilical pain. Leukocytosis (WBC &gt;10 000) was present in 8 patients (80%). Radiologic study revealed various locations of appendix relative to grafted kidney. Computed tomography scan was superior to ultrasonography in diagnosis of acute appendicitis. The complication rate was 50%. Complicated patients showed longer duration from symptoms onset to operation (69+/-48 hours versus. 25+/-6 hours, P&lt;0.05) and hospital stay (15.4+/-15 days versus 5.4+/-1.8 days, P&lt;0.05) than uncomplicated patients. CONCLUSIONS Clinical suspicion and differential diagnosis are needed for kidney transplantation patients with acute appendicitis. Early diagnosis with radiologic study is essential to reduce complications of acute appendicitis.","author":[{"dropping-particle":"","family":"Kwon","given":"So Hyun","non-dropping-particle":"","parse-names":false,"suffix":""},{"dropping-particle":"","family":"Park","given":"Sung Hyun","non-dropping-particle":"","parse-names":false,"suffix":""},{"dropping-particle":"","family":"Lee","given":"Hwa Young","non-dropping-particle":"","parse-names":false,"suffix":""},{"dropping-particle":"","family":"Ko","given":"Eun Jeong","non-dropping-particle":"","parse-names":false,"suffix":""},{"dropping-particle":"","family":"Ban","given":"Tae Hyun","non-dropping-particle":"","parse-names":false,"suffix":""},{"dropping-particle":"","family":"Chung","given":"Byung Ha","non-dropping-particle":"","parse-names":false,"suffix":""},{"dropping-particle":"","family":"Yang","given":"Chul Woo","non-dropping-particle":"","parse-names":false,"suffix":""}],"container-title":"Annals of transplantation","id":"ITEM-2","issued":{"date-parts":[["2019","3"]]},"language":"eng","page":"168-173","publisher-place":"United States","title":"Clinical Characteristics of Acute Appendicitis in Kidney Transplant Recipients.","type":"article-journal","volume":"24"},"uris":["http://www.mendeley.com/documents/?uuid=18eb1f35-9944-4835-995f-59c5716b5f5c"]}],"mendeley":{"formattedCitation":"&lt;sup&gt;2,3&lt;/sup&gt;","plainTextFormattedCitation":"2,3","previouslyFormattedCitation":"(Savar, Hiatt and Busuttil, 2006; Kwon &lt;i&gt;et al.&lt;/i&gt;, 2019)"},"properties":{"noteIndex":0},"schema":"https://github.com/citation-style-language/schema/raw/master/csl-citation.json"}</w:instrText>
      </w:r>
      <w:r w:rsidR="004206D7" w:rsidRPr="00FB18DA">
        <w:rPr>
          <w:rFonts w:ascii="Book Antiqua" w:hAnsi="Book Antiqua" w:cs="Arial"/>
          <w:sz w:val="24"/>
          <w:szCs w:val="24"/>
          <w:vertAlign w:val="superscript"/>
          <w:lang w:val="en-GB"/>
        </w:rPr>
        <w:fldChar w:fldCharType="separate"/>
      </w:r>
      <w:r w:rsidR="0094498C" w:rsidRPr="00FB18DA">
        <w:rPr>
          <w:rFonts w:ascii="Book Antiqua" w:hAnsi="Book Antiqua" w:cs="Arial"/>
          <w:sz w:val="24"/>
          <w:szCs w:val="24"/>
          <w:vertAlign w:val="superscript"/>
          <w:lang w:val="en-GB"/>
        </w:rPr>
        <w:t>2,3</w:t>
      </w:r>
      <w:r w:rsidR="004206D7" w:rsidRPr="00FB18DA">
        <w:rPr>
          <w:rFonts w:ascii="Book Antiqua" w:hAnsi="Book Antiqua" w:cs="Arial"/>
          <w:sz w:val="24"/>
          <w:szCs w:val="24"/>
          <w:vertAlign w:val="superscript"/>
          <w:lang w:val="en-GB"/>
        </w:rPr>
        <w:fldChar w:fldCharType="end"/>
      </w:r>
      <w:r w:rsidR="006001AA" w:rsidRPr="00FB18DA">
        <w:rPr>
          <w:rFonts w:ascii="Book Antiqua" w:hAnsi="Book Antiqua" w:cs="Arial"/>
          <w:sz w:val="24"/>
          <w:szCs w:val="24"/>
          <w:vertAlign w:val="superscript"/>
          <w:lang w:val="en-GB"/>
        </w:rPr>
        <w:t>]</w:t>
      </w:r>
      <w:r w:rsidR="00FC2292" w:rsidRPr="00FB18DA">
        <w:rPr>
          <w:rFonts w:ascii="Book Antiqua" w:hAnsi="Book Antiqua" w:cs="Arial"/>
          <w:sz w:val="24"/>
          <w:szCs w:val="24"/>
          <w:lang w:val="en-GB"/>
        </w:rPr>
        <w:t>. This article presents the first case of a woman with a history of UTx who suffered from AA.</w:t>
      </w:r>
    </w:p>
    <w:p w14:paraId="051A78D9" w14:textId="77777777" w:rsidR="00AE52A4" w:rsidRPr="00FB18DA" w:rsidRDefault="00AE52A4" w:rsidP="00FB18DA">
      <w:pPr>
        <w:spacing w:after="0" w:line="360" w:lineRule="auto"/>
        <w:jc w:val="both"/>
        <w:rPr>
          <w:rFonts w:ascii="Book Antiqua" w:hAnsi="Book Antiqua"/>
          <w:b/>
          <w:sz w:val="24"/>
          <w:szCs w:val="24"/>
          <w:lang w:val="en-GB"/>
        </w:rPr>
      </w:pPr>
      <w:bookmarkStart w:id="150" w:name="_Hlk15897342"/>
    </w:p>
    <w:bookmarkEnd w:id="150"/>
    <w:p w14:paraId="0AF39AC3" w14:textId="77777777" w:rsidR="00AE52A4" w:rsidRPr="00FB18DA" w:rsidRDefault="00AE52A4" w:rsidP="00FB18DA">
      <w:pPr>
        <w:spacing w:after="0" w:line="360" w:lineRule="auto"/>
        <w:jc w:val="both"/>
        <w:rPr>
          <w:rFonts w:ascii="Book Antiqua" w:eastAsia="等线" w:hAnsi="Book Antiqua"/>
          <w:b/>
          <w:sz w:val="24"/>
          <w:szCs w:val="24"/>
        </w:rPr>
      </w:pPr>
      <w:r w:rsidRPr="00FB18DA">
        <w:rPr>
          <w:rFonts w:ascii="Book Antiqua" w:hAnsi="Book Antiqua"/>
          <w:b/>
          <w:sz w:val="24"/>
          <w:szCs w:val="24"/>
        </w:rPr>
        <w:t>CASE PRESENTATION</w:t>
      </w:r>
    </w:p>
    <w:p w14:paraId="5CAA7907" w14:textId="2C586CF3" w:rsidR="00023318" w:rsidRPr="00FB18DA" w:rsidRDefault="00AE52A4" w:rsidP="00FB18DA">
      <w:pPr>
        <w:spacing w:after="0" w:line="360" w:lineRule="auto"/>
        <w:jc w:val="both"/>
        <w:rPr>
          <w:rFonts w:ascii="Book Antiqua" w:hAnsi="Book Antiqua" w:cs="Arial"/>
          <w:b/>
          <w:i/>
          <w:iCs/>
          <w:sz w:val="24"/>
          <w:szCs w:val="24"/>
          <w:lang w:val="en-GB"/>
        </w:rPr>
      </w:pPr>
      <w:r w:rsidRPr="00FB18DA">
        <w:rPr>
          <w:rFonts w:ascii="Book Antiqua" w:hAnsi="Book Antiqua" w:cs="Arial"/>
          <w:b/>
          <w:i/>
          <w:iCs/>
          <w:sz w:val="24"/>
          <w:szCs w:val="24"/>
          <w:lang w:val="en-GB"/>
        </w:rPr>
        <w:t>History of past illness</w:t>
      </w:r>
    </w:p>
    <w:p w14:paraId="4D6FA832" w14:textId="0D04A46D" w:rsidR="007C5B5A" w:rsidRPr="00FB18DA" w:rsidRDefault="00C5448F"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A 26-year-old Caucasian woman suffering from congenital absolute UFI underwent a deceased donor UTx. In the first year of the post</w:t>
      </w:r>
      <w:r w:rsidR="008524CF" w:rsidRPr="00FB18DA">
        <w:rPr>
          <w:rFonts w:ascii="Book Antiqua" w:hAnsi="Book Antiqua" w:cs="Arial"/>
          <w:sz w:val="24"/>
          <w:szCs w:val="24"/>
          <w:lang w:val="en-GB"/>
        </w:rPr>
        <w:t>-</w:t>
      </w:r>
      <w:r w:rsidRPr="00FB18DA">
        <w:rPr>
          <w:rFonts w:ascii="Book Antiqua" w:hAnsi="Book Antiqua" w:cs="Arial"/>
          <w:sz w:val="24"/>
          <w:szCs w:val="24"/>
          <w:lang w:val="en-GB"/>
        </w:rPr>
        <w:t xml:space="preserve">transplant period, 4 episodes of mild acute cellular rejection were diagnosed by cervical biopsy. They were treated with pulses of glucocorticoids and </w:t>
      </w:r>
      <w:r w:rsidR="002E0757" w:rsidRPr="00FB18DA">
        <w:rPr>
          <w:rFonts w:ascii="Book Antiqua" w:eastAsia="Calibri" w:hAnsi="Book Antiqua" w:cs="Arial"/>
          <w:sz w:val="24"/>
          <w:szCs w:val="24"/>
          <w:lang w:val="en-GB"/>
        </w:rPr>
        <w:t xml:space="preserve">the </w:t>
      </w:r>
      <w:r w:rsidRPr="00FB18DA">
        <w:rPr>
          <w:rFonts w:ascii="Book Antiqua" w:hAnsi="Book Antiqua" w:cs="Arial"/>
          <w:sz w:val="24"/>
          <w:szCs w:val="24"/>
          <w:lang w:val="en-GB"/>
        </w:rPr>
        <w:t xml:space="preserve">addition of azathioprine to </w:t>
      </w:r>
      <w:r w:rsidR="00F22F92" w:rsidRPr="00FB18DA">
        <w:rPr>
          <w:rFonts w:ascii="Book Antiqua" w:hAnsi="Book Antiqua" w:cs="Arial"/>
          <w:sz w:val="24"/>
          <w:szCs w:val="24"/>
          <w:lang w:val="en-GB"/>
        </w:rPr>
        <w:t xml:space="preserve">a </w:t>
      </w:r>
      <w:r w:rsidRPr="00FB18DA">
        <w:rPr>
          <w:rFonts w:ascii="Book Antiqua" w:hAnsi="Book Antiqua" w:cs="Arial"/>
          <w:sz w:val="24"/>
          <w:szCs w:val="24"/>
          <w:lang w:val="en-GB"/>
        </w:rPr>
        <w:t>maintenance immunosuppressive regimen of tacrolimus. In the further course, the patient developed secondary neutropenia, which was addressed by withdrawal of azathioprine and administration of several pulses of granulocyte colony-stimulating factor.</w:t>
      </w:r>
    </w:p>
    <w:p w14:paraId="75386D87" w14:textId="77777777" w:rsidR="00AE52A4" w:rsidRPr="00FB18DA" w:rsidRDefault="00AE52A4" w:rsidP="00FB18DA">
      <w:pPr>
        <w:spacing w:after="0" w:line="360" w:lineRule="auto"/>
        <w:jc w:val="both"/>
        <w:rPr>
          <w:rFonts w:ascii="Book Antiqua" w:hAnsi="Book Antiqua" w:cs="Arial"/>
          <w:b/>
          <w:sz w:val="24"/>
          <w:szCs w:val="24"/>
          <w:lang w:val="en-GB"/>
        </w:rPr>
      </w:pPr>
    </w:p>
    <w:p w14:paraId="09D66321" w14:textId="4BAE351D" w:rsidR="007C4694" w:rsidRPr="00FB18DA" w:rsidRDefault="00AE52A4" w:rsidP="00FB18DA">
      <w:pPr>
        <w:spacing w:after="0" w:line="360" w:lineRule="auto"/>
        <w:jc w:val="both"/>
        <w:rPr>
          <w:rFonts w:ascii="Book Antiqua" w:hAnsi="Book Antiqua" w:cs="Arial"/>
          <w:b/>
          <w:i/>
          <w:iCs/>
          <w:sz w:val="24"/>
          <w:szCs w:val="24"/>
          <w:lang w:val="en-GB"/>
        </w:rPr>
      </w:pPr>
      <w:r w:rsidRPr="00FB18DA">
        <w:rPr>
          <w:rFonts w:ascii="Book Antiqua" w:hAnsi="Book Antiqua" w:cs="Arial"/>
          <w:b/>
          <w:i/>
          <w:iCs/>
          <w:sz w:val="24"/>
          <w:szCs w:val="24"/>
          <w:lang w:val="en-GB"/>
        </w:rPr>
        <w:t>Personal and family history</w:t>
      </w:r>
    </w:p>
    <w:p w14:paraId="6F199440" w14:textId="042DAC33" w:rsidR="007C4694" w:rsidRPr="00FB18DA" w:rsidRDefault="007C4694"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Apart from congenital uterine agenesis which was treated with UTx, the patient was healthy with no history of further operations. Family history was negative for inherent disease</w:t>
      </w:r>
      <w:r w:rsidR="00511860" w:rsidRPr="00FB18DA">
        <w:rPr>
          <w:rFonts w:ascii="Book Antiqua" w:hAnsi="Book Antiqua" w:cs="Arial"/>
          <w:sz w:val="24"/>
          <w:szCs w:val="24"/>
          <w:lang w:val="en-GB"/>
        </w:rPr>
        <w:t>s.</w:t>
      </w:r>
    </w:p>
    <w:p w14:paraId="02D1F4EF" w14:textId="77777777" w:rsidR="00AE52A4" w:rsidRPr="00FB18DA" w:rsidRDefault="00AE52A4" w:rsidP="00FB18DA">
      <w:pPr>
        <w:spacing w:after="0" w:line="360" w:lineRule="auto"/>
        <w:jc w:val="both"/>
        <w:rPr>
          <w:rFonts w:ascii="Book Antiqua" w:hAnsi="Book Antiqua" w:cs="Arial"/>
          <w:b/>
          <w:sz w:val="24"/>
          <w:szCs w:val="24"/>
          <w:lang w:val="en-GB"/>
        </w:rPr>
      </w:pPr>
    </w:p>
    <w:p w14:paraId="2B510F83" w14:textId="321C4D65" w:rsidR="00023318" w:rsidRPr="00FB18DA" w:rsidRDefault="00AE52A4" w:rsidP="00FB18DA">
      <w:pPr>
        <w:spacing w:after="0" w:line="360" w:lineRule="auto"/>
        <w:jc w:val="both"/>
        <w:rPr>
          <w:rFonts w:ascii="Book Antiqua" w:hAnsi="Book Antiqua" w:cs="Arial"/>
          <w:b/>
          <w:i/>
          <w:iCs/>
          <w:sz w:val="24"/>
          <w:szCs w:val="24"/>
          <w:lang w:val="en-GB"/>
        </w:rPr>
      </w:pPr>
      <w:r w:rsidRPr="00FB18DA">
        <w:rPr>
          <w:rFonts w:ascii="Book Antiqua" w:hAnsi="Book Antiqua" w:cs="Arial"/>
          <w:b/>
          <w:i/>
          <w:iCs/>
          <w:sz w:val="24"/>
          <w:szCs w:val="24"/>
          <w:lang w:val="en-GB"/>
        </w:rPr>
        <w:t>History of present illness</w:t>
      </w:r>
    </w:p>
    <w:p w14:paraId="365BAC55" w14:textId="4AA9B3BF" w:rsidR="00E927E5" w:rsidRPr="00FB18DA" w:rsidRDefault="002E0757" w:rsidP="00FB18DA">
      <w:pPr>
        <w:spacing w:after="0" w:line="360" w:lineRule="auto"/>
        <w:jc w:val="both"/>
        <w:rPr>
          <w:rFonts w:ascii="Book Antiqua" w:hAnsi="Book Antiqua" w:cs="Arial"/>
          <w:sz w:val="24"/>
          <w:szCs w:val="24"/>
          <w:lang w:val="en-GB"/>
        </w:rPr>
      </w:pPr>
      <w:r w:rsidRPr="00FB18DA">
        <w:rPr>
          <w:rFonts w:ascii="Book Antiqua" w:eastAsia="Calibri" w:hAnsi="Book Antiqua" w:cs="Arial"/>
          <w:sz w:val="24"/>
          <w:szCs w:val="24"/>
          <w:lang w:val="en-GB"/>
        </w:rPr>
        <w:t>Five</w:t>
      </w:r>
      <w:r w:rsidR="003932D4" w:rsidRPr="00FB18DA">
        <w:rPr>
          <w:rFonts w:ascii="Book Antiqua" w:hAnsi="Book Antiqua" w:cs="Arial"/>
          <w:sz w:val="24"/>
          <w:szCs w:val="24"/>
          <w:lang w:val="en-GB"/>
        </w:rPr>
        <w:t xml:space="preserve"> months after the UTx, the patient’s compliance was suboptimal. She decided to go on vacation to Egypt despite clear physician recommendation not to do so considering the high risk of acquisition of infectious gastroenteritis.</w:t>
      </w:r>
    </w:p>
    <w:p w14:paraId="7D46E701" w14:textId="77777777" w:rsidR="00AE52A4" w:rsidRPr="00FB18DA" w:rsidRDefault="00AE52A4" w:rsidP="00FB18DA">
      <w:pPr>
        <w:spacing w:after="0" w:line="360" w:lineRule="auto"/>
        <w:jc w:val="both"/>
        <w:rPr>
          <w:rFonts w:ascii="Book Antiqua" w:hAnsi="Book Antiqua" w:cs="Arial"/>
          <w:b/>
          <w:sz w:val="24"/>
          <w:szCs w:val="24"/>
          <w:lang w:val="en-GB"/>
        </w:rPr>
      </w:pPr>
    </w:p>
    <w:p w14:paraId="6DC54480" w14:textId="08D8675E" w:rsidR="00E927E5" w:rsidRPr="00FB18DA" w:rsidRDefault="00AE52A4" w:rsidP="00FB18DA">
      <w:pPr>
        <w:spacing w:after="0" w:line="360" w:lineRule="auto"/>
        <w:jc w:val="both"/>
        <w:rPr>
          <w:rFonts w:ascii="Book Antiqua" w:hAnsi="Book Antiqua" w:cs="Arial"/>
          <w:b/>
          <w:i/>
          <w:iCs/>
          <w:sz w:val="24"/>
          <w:szCs w:val="24"/>
          <w:lang w:val="en-GB"/>
        </w:rPr>
      </w:pPr>
      <w:r w:rsidRPr="00FB18DA">
        <w:rPr>
          <w:rFonts w:ascii="Book Antiqua" w:hAnsi="Book Antiqua" w:cs="Arial"/>
          <w:b/>
          <w:i/>
          <w:iCs/>
          <w:sz w:val="24"/>
          <w:szCs w:val="24"/>
          <w:lang w:val="en-GB"/>
        </w:rPr>
        <w:lastRenderedPageBreak/>
        <w:t>Chief complaints</w:t>
      </w:r>
    </w:p>
    <w:p w14:paraId="5797FCEC" w14:textId="65A03832" w:rsidR="00FD7F6A" w:rsidRPr="00FB18DA" w:rsidRDefault="003932D4"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 xml:space="preserve">After her return from Egypt, the patient presented with nausea, abdominal discomfort, and diarrhoea. She was hospitalized to receive rehydration therapy and to run necessary </w:t>
      </w:r>
      <w:r w:rsidR="00626782" w:rsidRPr="00FB18DA">
        <w:rPr>
          <w:rFonts w:ascii="Book Antiqua" w:hAnsi="Book Antiqua" w:cs="Arial"/>
          <w:sz w:val="24"/>
          <w:szCs w:val="24"/>
          <w:lang w:val="en-GB"/>
        </w:rPr>
        <w:t>tests</w:t>
      </w:r>
      <w:r w:rsidRPr="00FB18DA">
        <w:rPr>
          <w:rFonts w:ascii="Book Antiqua" w:hAnsi="Book Antiqua" w:cs="Arial"/>
          <w:sz w:val="24"/>
          <w:szCs w:val="24"/>
          <w:lang w:val="en-GB"/>
        </w:rPr>
        <w:t>.</w:t>
      </w:r>
    </w:p>
    <w:p w14:paraId="729B2436" w14:textId="77777777" w:rsidR="00AE52A4" w:rsidRPr="00FB18DA" w:rsidRDefault="00AE52A4" w:rsidP="00FB18DA">
      <w:pPr>
        <w:spacing w:after="0" w:line="360" w:lineRule="auto"/>
        <w:jc w:val="both"/>
        <w:rPr>
          <w:rFonts w:ascii="Book Antiqua" w:hAnsi="Book Antiqua" w:cs="Arial"/>
          <w:b/>
          <w:sz w:val="24"/>
          <w:szCs w:val="24"/>
          <w:lang w:val="en-GB"/>
        </w:rPr>
      </w:pPr>
    </w:p>
    <w:p w14:paraId="2411E5FD" w14:textId="4B2BAD32" w:rsidR="00FD7F6A" w:rsidRPr="00FB18DA" w:rsidRDefault="00AE52A4" w:rsidP="00FB18DA">
      <w:pPr>
        <w:spacing w:after="0" w:line="360" w:lineRule="auto"/>
        <w:jc w:val="both"/>
        <w:rPr>
          <w:rFonts w:ascii="Book Antiqua" w:hAnsi="Book Antiqua" w:cs="Arial"/>
          <w:i/>
          <w:iCs/>
          <w:sz w:val="24"/>
          <w:szCs w:val="24"/>
          <w:lang w:val="en-GB"/>
        </w:rPr>
      </w:pPr>
      <w:r w:rsidRPr="00FB18DA">
        <w:rPr>
          <w:rFonts w:ascii="Book Antiqua" w:hAnsi="Book Antiqua" w:cs="Arial"/>
          <w:b/>
          <w:i/>
          <w:iCs/>
          <w:sz w:val="24"/>
          <w:szCs w:val="24"/>
          <w:lang w:val="en-GB"/>
        </w:rPr>
        <w:t>Physical examination upon admission</w:t>
      </w:r>
    </w:p>
    <w:p w14:paraId="7B300CEA" w14:textId="33110006" w:rsidR="00CA08E2" w:rsidRPr="00FB18DA" w:rsidRDefault="00CA08E2"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 xml:space="preserve">Upon admission, there were no signs of acute abdomen. The abdomen was mildly tender in all </w:t>
      </w:r>
      <w:r w:rsidR="00262A86" w:rsidRPr="00FB18DA">
        <w:rPr>
          <w:rFonts w:ascii="Book Antiqua" w:hAnsi="Book Antiqua" w:cs="Arial"/>
          <w:sz w:val="24"/>
          <w:szCs w:val="24"/>
          <w:lang w:val="en-GB"/>
        </w:rPr>
        <w:t>quadrants;</w:t>
      </w:r>
      <w:r w:rsidR="00A66606" w:rsidRPr="00FB18DA">
        <w:rPr>
          <w:rFonts w:ascii="Book Antiqua" w:hAnsi="Book Antiqua" w:cs="Arial"/>
          <w:sz w:val="24"/>
          <w:szCs w:val="24"/>
          <w:lang w:val="en-GB"/>
        </w:rPr>
        <w:t xml:space="preserve"> the</w:t>
      </w:r>
      <w:r w:rsidR="004719D7" w:rsidRPr="00FB18DA">
        <w:rPr>
          <w:rFonts w:ascii="Book Antiqua" w:hAnsi="Book Antiqua" w:cs="Arial"/>
          <w:sz w:val="24"/>
          <w:szCs w:val="24"/>
          <w:lang w:val="en-GB"/>
        </w:rPr>
        <w:t>re</w:t>
      </w:r>
      <w:r w:rsidR="00A66606" w:rsidRPr="00FB18DA">
        <w:rPr>
          <w:rFonts w:ascii="Book Antiqua" w:hAnsi="Book Antiqua" w:cs="Arial"/>
          <w:sz w:val="24"/>
          <w:szCs w:val="24"/>
          <w:lang w:val="en-GB"/>
        </w:rPr>
        <w:t xml:space="preserve"> were</w:t>
      </w:r>
      <w:r w:rsidRPr="00FB18DA">
        <w:rPr>
          <w:rFonts w:ascii="Book Antiqua" w:hAnsi="Book Antiqua" w:cs="Arial"/>
          <w:sz w:val="24"/>
          <w:szCs w:val="24"/>
          <w:lang w:val="en-GB"/>
        </w:rPr>
        <w:t xml:space="preserve"> no signs of peritoneal inflammation.</w:t>
      </w:r>
    </w:p>
    <w:p w14:paraId="7210A6B9" w14:textId="77777777" w:rsidR="00AE52A4" w:rsidRPr="00FB18DA" w:rsidRDefault="00AE52A4" w:rsidP="00FB18DA">
      <w:pPr>
        <w:spacing w:after="0" w:line="360" w:lineRule="auto"/>
        <w:jc w:val="both"/>
        <w:rPr>
          <w:rFonts w:ascii="Book Antiqua" w:hAnsi="Book Antiqua" w:cs="Arial"/>
          <w:b/>
          <w:sz w:val="24"/>
          <w:szCs w:val="24"/>
          <w:lang w:val="en-GB"/>
        </w:rPr>
      </w:pPr>
    </w:p>
    <w:p w14:paraId="5DB0E5C3" w14:textId="40C47AF0" w:rsidR="00FD7F6A" w:rsidRPr="00FB18DA" w:rsidRDefault="00AE52A4" w:rsidP="00FB18DA">
      <w:pPr>
        <w:spacing w:after="0" w:line="360" w:lineRule="auto"/>
        <w:jc w:val="both"/>
        <w:rPr>
          <w:rFonts w:ascii="Book Antiqua" w:hAnsi="Book Antiqua" w:cs="Arial"/>
          <w:b/>
          <w:i/>
          <w:iCs/>
          <w:sz w:val="24"/>
          <w:szCs w:val="24"/>
          <w:lang w:val="en-GB"/>
        </w:rPr>
      </w:pPr>
      <w:r w:rsidRPr="00FB18DA">
        <w:rPr>
          <w:rFonts w:ascii="Book Antiqua" w:hAnsi="Book Antiqua" w:cs="Arial"/>
          <w:b/>
          <w:i/>
          <w:iCs/>
          <w:sz w:val="24"/>
          <w:szCs w:val="24"/>
          <w:lang w:val="en-GB"/>
        </w:rPr>
        <w:t>Imaging examinations</w:t>
      </w:r>
    </w:p>
    <w:p w14:paraId="4D8346DE" w14:textId="44927347" w:rsidR="004441DE" w:rsidRPr="00FB18DA" w:rsidRDefault="003932D4"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 xml:space="preserve">Upon admission, </w:t>
      </w:r>
      <w:r w:rsidR="004C2595" w:rsidRPr="00FB18DA">
        <w:rPr>
          <w:rFonts w:ascii="Book Antiqua" w:hAnsi="Book Antiqua" w:cs="Arial"/>
          <w:sz w:val="24"/>
          <w:szCs w:val="24"/>
          <w:lang w:val="en-GB"/>
        </w:rPr>
        <w:t xml:space="preserve">her </w:t>
      </w:r>
      <w:r w:rsidRPr="00FB18DA">
        <w:rPr>
          <w:rFonts w:ascii="Book Antiqua" w:hAnsi="Book Antiqua" w:cs="Arial"/>
          <w:sz w:val="24"/>
          <w:szCs w:val="24"/>
          <w:lang w:val="en-GB"/>
        </w:rPr>
        <w:t>abdominal ultrasound (US) was normal, although the appendix was no</w:t>
      </w:r>
      <w:r w:rsidR="004441DE" w:rsidRPr="00FB18DA">
        <w:rPr>
          <w:rFonts w:ascii="Book Antiqua" w:hAnsi="Book Antiqua" w:cs="Arial"/>
          <w:sz w:val="24"/>
          <w:szCs w:val="24"/>
          <w:lang w:val="en-GB"/>
        </w:rPr>
        <w:t>t differentiated on baseline US.</w:t>
      </w:r>
      <w:r w:rsidRPr="00FB18DA">
        <w:rPr>
          <w:rFonts w:ascii="Book Antiqua" w:hAnsi="Book Antiqua" w:cs="Arial"/>
          <w:sz w:val="24"/>
          <w:szCs w:val="24"/>
          <w:lang w:val="en-GB"/>
        </w:rPr>
        <w:t xml:space="preserve"> There was no suspicion of acute abdomen</w:t>
      </w:r>
      <w:r w:rsidR="004245C3" w:rsidRPr="00FB18DA">
        <w:rPr>
          <w:rFonts w:ascii="Book Antiqua" w:hAnsi="Book Antiqua" w:cs="Arial"/>
          <w:sz w:val="24"/>
          <w:szCs w:val="24"/>
          <w:lang w:val="en-GB"/>
        </w:rPr>
        <w:t>,</w:t>
      </w:r>
      <w:r w:rsidRPr="00FB18DA">
        <w:rPr>
          <w:rFonts w:ascii="Book Antiqua" w:hAnsi="Book Antiqua" w:cs="Arial"/>
          <w:sz w:val="24"/>
          <w:szCs w:val="24"/>
          <w:lang w:val="en-GB"/>
        </w:rPr>
        <w:t xml:space="preserve"> </w:t>
      </w:r>
      <w:r w:rsidR="004245C3" w:rsidRPr="00FB18DA">
        <w:rPr>
          <w:rFonts w:ascii="Book Antiqua" w:hAnsi="Book Antiqua" w:cs="Arial"/>
          <w:sz w:val="24"/>
          <w:szCs w:val="24"/>
          <w:lang w:val="en-GB"/>
        </w:rPr>
        <w:t>and</w:t>
      </w:r>
      <w:r w:rsidRPr="00FB18DA">
        <w:rPr>
          <w:rFonts w:ascii="Book Antiqua" w:hAnsi="Book Antiqua" w:cs="Arial"/>
          <w:sz w:val="24"/>
          <w:szCs w:val="24"/>
          <w:lang w:val="en-GB"/>
        </w:rPr>
        <w:t xml:space="preserve"> thrombosis of the uterine graft was excluded using Doppler ultrasound (</w:t>
      </w:r>
      <w:r w:rsidR="00A3479E" w:rsidRPr="00FB18DA">
        <w:rPr>
          <w:rFonts w:ascii="Book Antiqua" w:hAnsi="Book Antiqua" w:cs="Arial"/>
          <w:sz w:val="24"/>
          <w:szCs w:val="24"/>
          <w:lang w:val="en-GB"/>
        </w:rPr>
        <w:t>Figure 1</w:t>
      </w:r>
      <w:r w:rsidR="000E34B1" w:rsidRPr="00FB18DA">
        <w:rPr>
          <w:rFonts w:ascii="Book Antiqua" w:hAnsi="Book Antiqua" w:cs="Arial"/>
          <w:sz w:val="24"/>
          <w:szCs w:val="24"/>
          <w:lang w:val="en-GB"/>
        </w:rPr>
        <w:t xml:space="preserve">). </w:t>
      </w:r>
    </w:p>
    <w:p w14:paraId="2995B02C" w14:textId="77777777" w:rsidR="00AE52A4" w:rsidRPr="00FB18DA" w:rsidRDefault="00AE52A4" w:rsidP="00FB18DA">
      <w:pPr>
        <w:spacing w:after="0" w:line="360" w:lineRule="auto"/>
        <w:jc w:val="both"/>
        <w:rPr>
          <w:rFonts w:ascii="Book Antiqua" w:hAnsi="Book Antiqua" w:cs="Arial"/>
          <w:b/>
          <w:sz w:val="24"/>
          <w:szCs w:val="24"/>
          <w:lang w:val="en-GB"/>
        </w:rPr>
      </w:pPr>
    </w:p>
    <w:p w14:paraId="5211F73C" w14:textId="1CB797B6" w:rsidR="004441DE" w:rsidRPr="00FB18DA" w:rsidRDefault="00AE52A4" w:rsidP="00FB18DA">
      <w:pPr>
        <w:spacing w:after="0" w:line="360" w:lineRule="auto"/>
        <w:jc w:val="both"/>
        <w:rPr>
          <w:rFonts w:ascii="Book Antiqua" w:hAnsi="Book Antiqua" w:cs="Arial"/>
          <w:b/>
          <w:i/>
          <w:iCs/>
          <w:sz w:val="24"/>
          <w:szCs w:val="24"/>
          <w:lang w:val="en-GB"/>
        </w:rPr>
      </w:pPr>
      <w:r w:rsidRPr="00FB18DA">
        <w:rPr>
          <w:rFonts w:ascii="Book Antiqua" w:hAnsi="Book Antiqua" w:cs="Arial"/>
          <w:b/>
          <w:i/>
          <w:iCs/>
          <w:sz w:val="24"/>
          <w:szCs w:val="24"/>
          <w:lang w:val="en-GB"/>
        </w:rPr>
        <w:t>Laboratory examinations</w:t>
      </w:r>
    </w:p>
    <w:p w14:paraId="4F945A28" w14:textId="33DAFB92" w:rsidR="00214723" w:rsidRPr="00FB18DA" w:rsidRDefault="00D41DCE"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 xml:space="preserve">C-reactive protein was 27 mg/L on day 0; the level of leukocytes was within the normal range. </w:t>
      </w:r>
      <w:r w:rsidR="000E34B1" w:rsidRPr="00FB18DA">
        <w:rPr>
          <w:rFonts w:ascii="Book Antiqua" w:hAnsi="Book Antiqua" w:cs="Arial"/>
          <w:sz w:val="24"/>
          <w:szCs w:val="24"/>
          <w:lang w:val="en-GB"/>
        </w:rPr>
        <w:t xml:space="preserve">However, tests proved </w:t>
      </w:r>
      <w:r w:rsidR="008A5E3A" w:rsidRPr="00FB18DA">
        <w:rPr>
          <w:rFonts w:ascii="Book Antiqua" w:hAnsi="Book Antiqua" w:cs="Arial"/>
          <w:sz w:val="24"/>
          <w:szCs w:val="24"/>
          <w:lang w:val="en-GB"/>
        </w:rPr>
        <w:t xml:space="preserve">to be </w:t>
      </w:r>
      <w:r w:rsidR="000E34B1" w:rsidRPr="00FB18DA">
        <w:rPr>
          <w:rFonts w:ascii="Book Antiqua" w:hAnsi="Book Antiqua" w:cs="Arial"/>
          <w:sz w:val="24"/>
          <w:szCs w:val="24"/>
          <w:lang w:val="en-GB"/>
        </w:rPr>
        <w:t xml:space="preserve">positive for </w:t>
      </w:r>
      <w:r w:rsidR="006F7BD2" w:rsidRPr="00FB18DA">
        <w:rPr>
          <w:rFonts w:ascii="Book Antiqua" w:hAnsi="Book Antiqua" w:cs="Arial"/>
          <w:i/>
          <w:sz w:val="24"/>
          <w:szCs w:val="24"/>
          <w:lang w:val="en-GB"/>
        </w:rPr>
        <w:t>Clostridium difficile</w:t>
      </w:r>
      <w:r w:rsidR="00933FDE" w:rsidRPr="00FB18DA">
        <w:rPr>
          <w:rFonts w:ascii="Book Antiqua" w:hAnsi="Book Antiqua" w:cs="Arial"/>
          <w:sz w:val="24"/>
          <w:szCs w:val="24"/>
          <w:lang w:val="en-GB"/>
        </w:rPr>
        <w:t xml:space="preserve"> colitis.</w:t>
      </w:r>
      <w:r w:rsidR="00CE3BC8" w:rsidRPr="00FB18DA">
        <w:rPr>
          <w:rFonts w:ascii="Book Antiqua" w:hAnsi="Book Antiqua" w:cs="Arial"/>
          <w:sz w:val="24"/>
          <w:szCs w:val="24"/>
          <w:lang w:val="en-GB"/>
        </w:rPr>
        <w:t xml:space="preserve"> Due to lack of signs of acute abdomen and verified colitis, we felt it was not necessary to run </w:t>
      </w:r>
      <w:r w:rsidR="00AE52A4" w:rsidRPr="00FB18DA">
        <w:rPr>
          <w:rFonts w:ascii="Book Antiqua" w:hAnsi="Book Antiqua" w:cs="Arial"/>
          <w:sz w:val="24"/>
          <w:szCs w:val="24"/>
          <w:lang w:val="en-GB"/>
        </w:rPr>
        <w:t>computed tomography (</w:t>
      </w:r>
      <w:r w:rsidR="00CE3BC8" w:rsidRPr="00FB18DA">
        <w:rPr>
          <w:rFonts w:ascii="Book Antiqua" w:hAnsi="Book Antiqua" w:cs="Arial"/>
          <w:sz w:val="24"/>
          <w:szCs w:val="24"/>
          <w:lang w:val="en-GB"/>
        </w:rPr>
        <w:t>CT</w:t>
      </w:r>
      <w:r w:rsidR="00AE52A4" w:rsidRPr="00FB18DA">
        <w:rPr>
          <w:rFonts w:ascii="Book Antiqua" w:hAnsi="Book Antiqua" w:cs="Arial"/>
          <w:sz w:val="24"/>
          <w:szCs w:val="24"/>
          <w:lang w:val="en-GB"/>
        </w:rPr>
        <w:t>)</w:t>
      </w:r>
      <w:r w:rsidR="00570531" w:rsidRPr="00FB18DA">
        <w:rPr>
          <w:rFonts w:ascii="Book Antiqua" w:hAnsi="Book Antiqua" w:cs="Arial"/>
          <w:sz w:val="24"/>
          <w:szCs w:val="24"/>
          <w:lang w:val="en-GB"/>
        </w:rPr>
        <w:t xml:space="preserve"> of the abdomen</w:t>
      </w:r>
      <w:r w:rsidR="00CE3BC8" w:rsidRPr="00FB18DA">
        <w:rPr>
          <w:rFonts w:ascii="Book Antiqua" w:hAnsi="Book Antiqua" w:cs="Arial"/>
          <w:sz w:val="24"/>
          <w:szCs w:val="24"/>
          <w:lang w:val="en-GB"/>
        </w:rPr>
        <w:t>.</w:t>
      </w:r>
      <w:r w:rsidR="00933FDE" w:rsidRPr="00FB18DA">
        <w:rPr>
          <w:rFonts w:ascii="Book Antiqua" w:hAnsi="Book Antiqua" w:cs="Arial"/>
          <w:sz w:val="24"/>
          <w:szCs w:val="24"/>
          <w:lang w:val="en-GB"/>
        </w:rPr>
        <w:t xml:space="preserve"> A therapy of perorally administered vancomycin 125 mg 4 times a day was started. Viral and parasitic colitis were excluded.</w:t>
      </w:r>
      <w:r w:rsidR="002E0757" w:rsidRPr="00FB18DA">
        <w:rPr>
          <w:rFonts w:ascii="Book Antiqua" w:eastAsia="Calibri" w:hAnsi="Book Antiqua" w:cs="Arial"/>
          <w:sz w:val="24"/>
          <w:szCs w:val="24"/>
          <w:lang w:val="en-GB"/>
        </w:rPr>
        <w:t xml:space="preserve"> Additionally</w:t>
      </w:r>
      <w:r w:rsidR="00933FDE" w:rsidRPr="00FB18DA">
        <w:rPr>
          <w:rFonts w:ascii="Book Antiqua" w:hAnsi="Book Antiqua" w:cs="Arial"/>
          <w:sz w:val="24"/>
          <w:szCs w:val="24"/>
          <w:lang w:val="en-GB"/>
        </w:rPr>
        <w:t xml:space="preserve">, </w:t>
      </w:r>
      <w:r w:rsidR="00CB27BE" w:rsidRPr="00FB18DA">
        <w:rPr>
          <w:rFonts w:ascii="Book Antiqua" w:hAnsi="Book Antiqua" w:cs="Arial"/>
          <w:sz w:val="24"/>
          <w:szCs w:val="24"/>
          <w:lang w:val="en-GB"/>
        </w:rPr>
        <w:t>c</w:t>
      </w:r>
      <w:r w:rsidR="00933FDE" w:rsidRPr="00FB18DA">
        <w:rPr>
          <w:rFonts w:ascii="Book Antiqua" w:hAnsi="Book Antiqua" w:cs="Arial"/>
          <w:sz w:val="24"/>
          <w:szCs w:val="24"/>
          <w:lang w:val="en-GB"/>
        </w:rPr>
        <w:t>ytomegalovirus (CMV) polymerase chain reaction was negative. In the course of the next few days, there was a steady progressive elevation of</w:t>
      </w:r>
      <w:r w:rsidR="002E0757" w:rsidRPr="00FB18DA">
        <w:rPr>
          <w:rFonts w:ascii="Book Antiqua" w:eastAsia="Calibri" w:hAnsi="Book Antiqua" w:cs="Arial"/>
          <w:sz w:val="24"/>
          <w:szCs w:val="24"/>
          <w:lang w:val="en-GB"/>
        </w:rPr>
        <w:t xml:space="preserve"> the</w:t>
      </w:r>
      <w:r w:rsidR="00933FDE" w:rsidRPr="00FB18DA">
        <w:rPr>
          <w:rFonts w:ascii="Book Antiqua" w:hAnsi="Book Antiqua" w:cs="Arial"/>
          <w:sz w:val="24"/>
          <w:szCs w:val="24"/>
          <w:lang w:val="en-GB"/>
        </w:rPr>
        <w:t xml:space="preserve"> level of C-reactive protein up to 83 mg/L on day 4. </w:t>
      </w:r>
      <w:r w:rsidR="002E0757" w:rsidRPr="00FB18DA">
        <w:rPr>
          <w:rFonts w:ascii="Book Antiqua" w:eastAsia="Calibri" w:hAnsi="Book Antiqua" w:cs="Arial"/>
          <w:sz w:val="24"/>
          <w:szCs w:val="24"/>
          <w:lang w:val="en-GB"/>
        </w:rPr>
        <w:t xml:space="preserve">Although </w:t>
      </w:r>
      <w:r w:rsidR="00933FDE" w:rsidRPr="00FB18DA">
        <w:rPr>
          <w:rFonts w:ascii="Book Antiqua" w:hAnsi="Book Antiqua" w:cs="Arial"/>
          <w:sz w:val="24"/>
          <w:szCs w:val="24"/>
          <w:lang w:val="en-GB"/>
        </w:rPr>
        <w:t xml:space="preserve">the differential blood count showed a normal level of leukocytes, it was considered pathologic </w:t>
      </w:r>
      <w:r w:rsidR="002E0757" w:rsidRPr="00FB18DA">
        <w:rPr>
          <w:rFonts w:ascii="Book Antiqua" w:eastAsia="Calibri" w:hAnsi="Book Antiqua" w:cs="Arial"/>
          <w:sz w:val="24"/>
          <w:szCs w:val="24"/>
          <w:lang w:val="en-GB"/>
        </w:rPr>
        <w:t>because</w:t>
      </w:r>
      <w:r w:rsidR="00933FDE" w:rsidRPr="00FB18DA">
        <w:rPr>
          <w:rFonts w:ascii="Book Antiqua" w:hAnsi="Book Antiqua" w:cs="Arial"/>
          <w:sz w:val="24"/>
          <w:szCs w:val="24"/>
          <w:lang w:val="en-GB"/>
        </w:rPr>
        <w:t xml:space="preserve"> the patient had been leukopenic chronically and there was a new finding of neutrophilia. On day 4, the abdominal discomfort changed to pain and became localized to the right hypogastrium.</w:t>
      </w:r>
    </w:p>
    <w:p w14:paraId="536A9E5E" w14:textId="77777777" w:rsidR="00AE52A4" w:rsidRPr="00FB18DA" w:rsidRDefault="00AE52A4" w:rsidP="00FB18DA">
      <w:pPr>
        <w:spacing w:after="0" w:line="360" w:lineRule="auto"/>
        <w:jc w:val="both"/>
        <w:rPr>
          <w:rFonts w:ascii="Book Antiqua" w:hAnsi="Book Antiqua" w:cs="Arial"/>
          <w:b/>
          <w:sz w:val="24"/>
          <w:szCs w:val="24"/>
          <w:lang w:val="en-GB"/>
        </w:rPr>
      </w:pPr>
    </w:p>
    <w:p w14:paraId="0BC8D177" w14:textId="77777777" w:rsidR="00AE52A4" w:rsidRPr="00FB18DA" w:rsidRDefault="00AE52A4" w:rsidP="00FB18DA">
      <w:pPr>
        <w:spacing w:after="0" w:line="360" w:lineRule="auto"/>
        <w:jc w:val="both"/>
        <w:rPr>
          <w:rFonts w:ascii="Book Antiqua" w:eastAsia="等线" w:hAnsi="Book Antiqua"/>
          <w:sz w:val="24"/>
          <w:szCs w:val="24"/>
        </w:rPr>
      </w:pPr>
      <w:r w:rsidRPr="00FB18DA">
        <w:rPr>
          <w:rFonts w:ascii="Book Antiqua" w:hAnsi="Book Antiqua"/>
          <w:b/>
          <w:sz w:val="24"/>
          <w:szCs w:val="24"/>
        </w:rPr>
        <w:t>FINAL DIAGNOSIS</w:t>
      </w:r>
    </w:p>
    <w:p w14:paraId="7AA673CD" w14:textId="66D0C843" w:rsidR="007126B5" w:rsidRPr="00FB18DA" w:rsidRDefault="008E35D5"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lastRenderedPageBreak/>
        <w:t xml:space="preserve">A subsequent US scan revealed a nonhomogeneous tubular structure located behind the uterus, </w:t>
      </w:r>
      <w:r w:rsidRPr="00FB18DA">
        <w:rPr>
          <w:rFonts w:ascii="Book Antiqua" w:hAnsi="Book Antiqua" w:cs="Arial"/>
          <w:i/>
          <w:iCs/>
          <w:sz w:val="24"/>
          <w:szCs w:val="24"/>
          <w:lang w:val="en-GB"/>
        </w:rPr>
        <w:t>i.e.</w:t>
      </w:r>
      <w:r w:rsidRPr="00FB18DA">
        <w:rPr>
          <w:rFonts w:ascii="Book Antiqua" w:hAnsi="Book Antiqua" w:cs="Arial"/>
          <w:sz w:val="24"/>
          <w:szCs w:val="24"/>
          <w:lang w:val="en-GB"/>
        </w:rPr>
        <w:t>, a finding suggestive of AA (Figure 2</w:t>
      </w:r>
      <w:r w:rsidR="00B54A7D">
        <w:rPr>
          <w:rFonts w:ascii="Book Antiqua" w:hAnsi="Book Antiqua" w:cs="Arial" w:hint="eastAsia"/>
          <w:sz w:val="24"/>
          <w:szCs w:val="24"/>
          <w:lang w:val="en-GB" w:eastAsia="zh-CN"/>
        </w:rPr>
        <w:t>A</w:t>
      </w:r>
      <w:r w:rsidR="00AE52A4" w:rsidRPr="00FB18DA">
        <w:rPr>
          <w:rFonts w:ascii="Book Antiqua" w:hAnsi="Book Antiqua" w:cs="Arial"/>
          <w:sz w:val="24"/>
          <w:szCs w:val="24"/>
          <w:lang w:val="en-GB"/>
        </w:rPr>
        <w:t xml:space="preserve"> and </w:t>
      </w:r>
      <w:r w:rsidR="00B54A7D">
        <w:rPr>
          <w:rFonts w:ascii="Book Antiqua" w:hAnsi="Book Antiqua" w:cs="Arial" w:hint="eastAsia"/>
          <w:sz w:val="24"/>
          <w:szCs w:val="24"/>
          <w:lang w:val="en-GB" w:eastAsia="zh-CN"/>
        </w:rPr>
        <w:t>B</w:t>
      </w:r>
      <w:r w:rsidRPr="00FB18DA">
        <w:rPr>
          <w:rFonts w:ascii="Book Antiqua" w:hAnsi="Book Antiqua" w:cs="Arial"/>
          <w:sz w:val="24"/>
          <w:szCs w:val="24"/>
          <w:lang w:val="en-GB"/>
        </w:rPr>
        <w:t xml:space="preserve">). </w:t>
      </w:r>
      <w:r w:rsidR="002E0757" w:rsidRPr="00FB18DA">
        <w:rPr>
          <w:rFonts w:ascii="Book Antiqua" w:hAnsi="Book Antiqua" w:cs="Arial"/>
          <w:sz w:val="24"/>
          <w:szCs w:val="24"/>
          <w:lang w:val="en-GB"/>
        </w:rPr>
        <w:t>The final diagnosis of the presented case is concurren</w:t>
      </w:r>
      <w:r w:rsidR="00D60027" w:rsidRPr="00FB18DA">
        <w:rPr>
          <w:rFonts w:ascii="Book Antiqua" w:hAnsi="Book Antiqua" w:cs="Arial"/>
          <w:sz w:val="24"/>
          <w:szCs w:val="24"/>
          <w:lang w:val="en-GB"/>
        </w:rPr>
        <w:t>t</w:t>
      </w:r>
      <w:r w:rsidR="002E0757" w:rsidRPr="00FB18DA">
        <w:rPr>
          <w:rFonts w:ascii="Book Antiqua" w:hAnsi="Book Antiqua" w:cs="Arial"/>
          <w:sz w:val="24"/>
          <w:szCs w:val="24"/>
          <w:lang w:val="en-GB"/>
        </w:rPr>
        <w:t xml:space="preserve"> </w:t>
      </w:r>
      <w:r w:rsidR="00310ED4" w:rsidRPr="00FB18DA">
        <w:rPr>
          <w:rFonts w:ascii="Book Antiqua" w:hAnsi="Book Antiqua" w:cs="Arial"/>
          <w:i/>
          <w:iCs/>
          <w:sz w:val="24"/>
          <w:szCs w:val="24"/>
          <w:lang w:val="en-GB"/>
        </w:rPr>
        <w:t>Clostridium difficile</w:t>
      </w:r>
      <w:r w:rsidR="002E0757" w:rsidRPr="00FB18DA">
        <w:rPr>
          <w:rFonts w:ascii="Book Antiqua" w:hAnsi="Book Antiqua" w:cs="Arial"/>
          <w:sz w:val="24"/>
          <w:szCs w:val="24"/>
          <w:lang w:val="en-GB"/>
        </w:rPr>
        <w:t xml:space="preserve"> colitis and acute perforated appendicitis.</w:t>
      </w:r>
    </w:p>
    <w:p w14:paraId="5EB577BB" w14:textId="77777777" w:rsidR="001F37A5" w:rsidRPr="00FB18DA" w:rsidRDefault="001F37A5" w:rsidP="00FB18DA">
      <w:pPr>
        <w:spacing w:after="0" w:line="360" w:lineRule="auto"/>
        <w:jc w:val="both"/>
        <w:rPr>
          <w:rFonts w:ascii="Book Antiqua" w:hAnsi="Book Antiqua" w:cs="Arial"/>
          <w:sz w:val="24"/>
          <w:szCs w:val="24"/>
          <w:lang w:val="en-GB"/>
        </w:rPr>
      </w:pPr>
    </w:p>
    <w:p w14:paraId="1D2F9104" w14:textId="77777777" w:rsidR="00AE52A4" w:rsidRPr="00FB18DA" w:rsidRDefault="00AE52A4" w:rsidP="00FB18DA">
      <w:pPr>
        <w:adjustRightInd w:val="0"/>
        <w:snapToGrid w:val="0"/>
        <w:spacing w:after="0" w:line="360" w:lineRule="auto"/>
        <w:jc w:val="both"/>
        <w:rPr>
          <w:rFonts w:ascii="Book Antiqua" w:hAnsi="Book Antiqua" w:cs="Garamond"/>
          <w:b/>
          <w:bCs/>
          <w:color w:val="000000"/>
          <w:sz w:val="24"/>
          <w:szCs w:val="24"/>
          <w:lang w:val="pl-PL" w:eastAsia="pl-PL"/>
        </w:rPr>
      </w:pPr>
      <w:r w:rsidRPr="00FB18DA">
        <w:rPr>
          <w:rFonts w:ascii="Book Antiqua" w:hAnsi="Book Antiqua" w:cs="Garamond"/>
          <w:b/>
          <w:bCs/>
          <w:color w:val="000000"/>
          <w:sz w:val="24"/>
          <w:szCs w:val="24"/>
          <w:lang w:val="pl-PL" w:eastAsia="pl-PL"/>
        </w:rPr>
        <w:t>TREATMENT</w:t>
      </w:r>
    </w:p>
    <w:p w14:paraId="2B868C2B" w14:textId="247FAB15" w:rsidR="001D2F3D" w:rsidRPr="00FB18DA" w:rsidRDefault="002E0757" w:rsidP="00FB18DA">
      <w:pPr>
        <w:spacing w:after="0" w:line="360" w:lineRule="auto"/>
        <w:jc w:val="both"/>
        <w:rPr>
          <w:rFonts w:ascii="Book Antiqua" w:hAnsi="Book Antiqua" w:cs="Arial"/>
          <w:b/>
          <w:sz w:val="24"/>
          <w:szCs w:val="24"/>
          <w:lang w:val="en-GB"/>
        </w:rPr>
      </w:pPr>
      <w:r w:rsidRPr="00FB18DA">
        <w:rPr>
          <w:rFonts w:ascii="Book Antiqua" w:hAnsi="Book Antiqua" w:cs="Arial"/>
          <w:sz w:val="24"/>
          <w:szCs w:val="24"/>
          <w:lang w:val="en-GB"/>
        </w:rPr>
        <w:t>The patient underwent an uncomplicated</w:t>
      </w:r>
      <w:r w:rsidR="00A51DE9" w:rsidRPr="00FB18DA">
        <w:rPr>
          <w:rFonts w:ascii="Book Antiqua" w:hAnsi="Book Antiqua" w:cs="Arial"/>
          <w:sz w:val="24"/>
          <w:szCs w:val="24"/>
          <w:lang w:val="en-GB"/>
        </w:rPr>
        <w:t xml:space="preserve"> </w:t>
      </w:r>
      <w:r w:rsidR="0068392C" w:rsidRPr="00FB18DA">
        <w:rPr>
          <w:rFonts w:ascii="Book Antiqua" w:hAnsi="Book Antiqua" w:cs="Arial"/>
          <w:sz w:val="24"/>
          <w:szCs w:val="24"/>
          <w:lang w:val="en-GB"/>
        </w:rPr>
        <w:t>conversion</w:t>
      </w:r>
      <w:r w:rsidRPr="00FB18DA">
        <w:rPr>
          <w:rFonts w:ascii="Book Antiqua" w:hAnsi="Book Antiqua" w:cs="Arial"/>
          <w:sz w:val="24"/>
          <w:szCs w:val="24"/>
          <w:lang w:val="en-GB"/>
        </w:rPr>
        <w:t xml:space="preserve"> lap-to-open appendectomy. A gangrenous perforated appendix with localized peritonitis was found dorsal to the uterus (</w:t>
      </w:r>
      <w:r w:rsidR="002D6341" w:rsidRPr="00FB18DA">
        <w:rPr>
          <w:rFonts w:ascii="Book Antiqua" w:hAnsi="Book Antiqua" w:cs="Arial"/>
          <w:sz w:val="24"/>
          <w:szCs w:val="24"/>
          <w:lang w:val="en-GB"/>
        </w:rPr>
        <w:t>Figure</w:t>
      </w:r>
      <w:r w:rsidR="00AE52A4" w:rsidRPr="00FB18DA">
        <w:rPr>
          <w:rFonts w:ascii="Book Antiqua" w:hAnsi="Book Antiqua" w:cs="Arial"/>
          <w:sz w:val="24"/>
          <w:szCs w:val="24"/>
          <w:lang w:val="en-GB"/>
        </w:rPr>
        <w:t>s</w:t>
      </w:r>
      <w:r w:rsidR="002D6341" w:rsidRPr="00FB18DA">
        <w:rPr>
          <w:rFonts w:ascii="Book Antiqua" w:hAnsi="Book Antiqua" w:cs="Arial"/>
          <w:sz w:val="24"/>
          <w:szCs w:val="24"/>
          <w:lang w:val="en-GB"/>
        </w:rPr>
        <w:t xml:space="preserve"> </w:t>
      </w:r>
      <w:r w:rsidR="00B54A7D">
        <w:rPr>
          <w:rFonts w:ascii="Book Antiqua" w:hAnsi="Book Antiqua" w:cs="Arial" w:hint="eastAsia"/>
          <w:sz w:val="24"/>
          <w:szCs w:val="24"/>
          <w:lang w:val="en-GB" w:eastAsia="zh-CN"/>
        </w:rPr>
        <w:t>3</w:t>
      </w:r>
      <w:r w:rsidR="00AE52A4" w:rsidRPr="00FB18DA">
        <w:rPr>
          <w:rFonts w:ascii="Book Antiqua" w:hAnsi="Book Antiqua" w:cs="Arial"/>
          <w:sz w:val="24"/>
          <w:szCs w:val="24"/>
          <w:lang w:val="en-GB"/>
        </w:rPr>
        <w:t xml:space="preserve"> and </w:t>
      </w:r>
      <w:r w:rsidR="00B54A7D">
        <w:rPr>
          <w:rFonts w:ascii="Book Antiqua" w:hAnsi="Book Antiqua" w:cs="Arial" w:hint="eastAsia"/>
          <w:sz w:val="24"/>
          <w:szCs w:val="24"/>
          <w:lang w:val="en-GB" w:eastAsia="zh-CN"/>
        </w:rPr>
        <w:t>4</w:t>
      </w:r>
      <w:r w:rsidR="001B218A" w:rsidRPr="00FB18DA">
        <w:rPr>
          <w:rFonts w:ascii="Book Antiqua" w:hAnsi="Book Antiqua" w:cs="Arial"/>
          <w:sz w:val="24"/>
          <w:szCs w:val="24"/>
          <w:lang w:val="en-GB"/>
        </w:rPr>
        <w:t>). The patient was treated with metronidazole and amoxicillin with clavulanic acid; the tacrolimus immunosuppressive regimen</w:t>
      </w:r>
      <w:r w:rsidR="0095445E" w:rsidRPr="00FB18DA">
        <w:rPr>
          <w:rFonts w:ascii="Book Antiqua" w:hAnsi="Book Antiqua" w:cs="Arial"/>
          <w:sz w:val="24"/>
          <w:szCs w:val="24"/>
          <w:lang w:val="en-GB"/>
        </w:rPr>
        <w:t xml:space="preserve"> was not discontinued</w:t>
      </w:r>
      <w:r w:rsidR="001B218A" w:rsidRPr="00FB18DA">
        <w:rPr>
          <w:rFonts w:ascii="Book Antiqua" w:hAnsi="Book Antiqua" w:cs="Arial"/>
          <w:sz w:val="24"/>
          <w:szCs w:val="24"/>
          <w:lang w:val="en-GB"/>
        </w:rPr>
        <w:t xml:space="preserve"> because she was not septic. </w:t>
      </w:r>
      <w:r w:rsidR="00647A75" w:rsidRPr="00FB18DA">
        <w:rPr>
          <w:rFonts w:ascii="Book Antiqua" w:hAnsi="Book Antiqua" w:cs="Arial"/>
          <w:sz w:val="24"/>
          <w:szCs w:val="24"/>
          <w:lang w:val="en-GB"/>
        </w:rPr>
        <w:t>Subsequently</w:t>
      </w:r>
      <w:r w:rsidR="001B218A" w:rsidRPr="00FB18DA">
        <w:rPr>
          <w:rFonts w:ascii="Book Antiqua" w:hAnsi="Book Antiqua" w:cs="Arial"/>
          <w:sz w:val="24"/>
          <w:szCs w:val="24"/>
          <w:lang w:val="en-GB"/>
        </w:rPr>
        <w:t xml:space="preserve">, the tacrolimus levels </w:t>
      </w:r>
      <w:r w:rsidRPr="00FB18DA">
        <w:rPr>
          <w:rFonts w:ascii="Book Antiqua" w:eastAsia="Calibri" w:hAnsi="Book Antiqua" w:cs="Arial"/>
          <w:sz w:val="24"/>
          <w:szCs w:val="24"/>
          <w:lang w:val="en-GB"/>
        </w:rPr>
        <w:t xml:space="preserve">increased </w:t>
      </w:r>
      <w:r w:rsidR="001B218A" w:rsidRPr="00FB18DA">
        <w:rPr>
          <w:rFonts w:ascii="Book Antiqua" w:hAnsi="Book Antiqua" w:cs="Arial"/>
          <w:sz w:val="24"/>
          <w:szCs w:val="24"/>
          <w:lang w:val="en-GB"/>
        </w:rPr>
        <w:t>to toxic levels, probably due to diarrhoea and consequently impaired resorption. The medication was changed</w:t>
      </w:r>
      <w:r w:rsidRPr="00FB18DA">
        <w:rPr>
          <w:rFonts w:ascii="Book Antiqua" w:eastAsia="Calibri" w:hAnsi="Book Antiqua" w:cs="Arial"/>
          <w:sz w:val="24"/>
          <w:szCs w:val="24"/>
          <w:lang w:val="en-GB"/>
        </w:rPr>
        <w:t>,</w:t>
      </w:r>
      <w:r w:rsidR="001B218A" w:rsidRPr="00FB18DA">
        <w:rPr>
          <w:rFonts w:ascii="Book Antiqua" w:hAnsi="Book Antiqua" w:cs="Arial"/>
          <w:sz w:val="24"/>
          <w:szCs w:val="24"/>
          <w:lang w:val="en-GB"/>
        </w:rPr>
        <w:t xml:space="preserve"> and probiotics</w:t>
      </w:r>
      <w:r w:rsidRPr="00FB18DA">
        <w:rPr>
          <w:rFonts w:ascii="Book Antiqua" w:eastAsia="Calibri" w:hAnsi="Book Antiqua" w:cs="Arial"/>
          <w:sz w:val="24"/>
          <w:szCs w:val="24"/>
          <w:lang w:val="en-GB"/>
        </w:rPr>
        <w:t xml:space="preserve"> were</w:t>
      </w:r>
      <w:r w:rsidR="001B218A" w:rsidRPr="00FB18DA">
        <w:rPr>
          <w:rFonts w:ascii="Book Antiqua" w:hAnsi="Book Antiqua" w:cs="Arial"/>
          <w:sz w:val="24"/>
          <w:szCs w:val="24"/>
          <w:lang w:val="en-GB"/>
        </w:rPr>
        <w:t xml:space="preserve"> administered.</w:t>
      </w:r>
    </w:p>
    <w:p w14:paraId="63BC1660" w14:textId="77777777" w:rsidR="001939AC" w:rsidRPr="00FB18DA" w:rsidRDefault="001939AC" w:rsidP="00FB18DA">
      <w:pPr>
        <w:spacing w:after="0" w:line="360" w:lineRule="auto"/>
        <w:jc w:val="both"/>
        <w:rPr>
          <w:rFonts w:ascii="Book Antiqua" w:hAnsi="Book Antiqua" w:cs="Arial"/>
          <w:b/>
          <w:sz w:val="24"/>
          <w:szCs w:val="24"/>
          <w:lang w:val="en-GB"/>
        </w:rPr>
      </w:pPr>
    </w:p>
    <w:p w14:paraId="41B34907" w14:textId="77777777" w:rsidR="001D2F3D" w:rsidRPr="00FB18DA" w:rsidRDefault="002E0757" w:rsidP="00FB18DA">
      <w:pPr>
        <w:spacing w:after="0" w:line="360" w:lineRule="auto"/>
        <w:jc w:val="both"/>
        <w:rPr>
          <w:rFonts w:ascii="Book Antiqua" w:hAnsi="Book Antiqua" w:cs="Arial"/>
          <w:b/>
          <w:sz w:val="24"/>
          <w:szCs w:val="24"/>
          <w:lang w:val="en-GB"/>
        </w:rPr>
      </w:pPr>
      <w:r w:rsidRPr="00FB18DA">
        <w:rPr>
          <w:rFonts w:ascii="Book Antiqua" w:hAnsi="Book Antiqua" w:cs="Arial"/>
          <w:b/>
          <w:sz w:val="24"/>
          <w:szCs w:val="24"/>
          <w:lang w:val="en-GB"/>
        </w:rPr>
        <w:t>OUTCOME AND FOLLOW-UP</w:t>
      </w:r>
    </w:p>
    <w:p w14:paraId="16055774" w14:textId="32D5D4EE" w:rsidR="005417A6" w:rsidRPr="00FB18DA" w:rsidRDefault="00016F4E" w:rsidP="00FB18DA">
      <w:pPr>
        <w:spacing w:after="0" w:line="360" w:lineRule="auto"/>
        <w:jc w:val="both"/>
        <w:rPr>
          <w:rFonts w:ascii="Book Antiqua" w:hAnsi="Book Antiqua" w:cs="Arial"/>
          <w:b/>
          <w:sz w:val="24"/>
          <w:szCs w:val="24"/>
          <w:lang w:val="en-GB"/>
        </w:rPr>
      </w:pPr>
      <w:r w:rsidRPr="00FB18DA">
        <w:rPr>
          <w:rFonts w:ascii="Book Antiqua" w:hAnsi="Book Antiqua" w:cs="Arial"/>
          <w:sz w:val="24"/>
          <w:szCs w:val="24"/>
          <w:lang w:val="en-GB"/>
        </w:rPr>
        <w:t xml:space="preserve">Apart from long-lasting diarrhoea and pancytopenia of </w:t>
      </w:r>
      <w:r w:rsidR="00F07BB8" w:rsidRPr="00FB18DA">
        <w:rPr>
          <w:rFonts w:ascii="Book Antiqua" w:hAnsi="Book Antiqua" w:cs="Arial"/>
          <w:sz w:val="24"/>
          <w:szCs w:val="24"/>
          <w:lang w:val="en-GB"/>
        </w:rPr>
        <w:t xml:space="preserve">complex </w:t>
      </w:r>
      <w:r w:rsidRPr="00FB18DA">
        <w:rPr>
          <w:rFonts w:ascii="Book Antiqua" w:hAnsi="Book Antiqua" w:cs="Arial"/>
          <w:sz w:val="24"/>
          <w:szCs w:val="24"/>
          <w:lang w:val="en-GB"/>
        </w:rPr>
        <w:t xml:space="preserve">aetiology, the </w:t>
      </w:r>
      <w:r w:rsidR="007C04F9" w:rsidRPr="00FB18DA">
        <w:rPr>
          <w:rFonts w:ascii="Book Antiqua" w:hAnsi="Book Antiqua" w:cs="Arial"/>
          <w:sz w:val="24"/>
          <w:szCs w:val="24"/>
          <w:lang w:val="en-GB"/>
        </w:rPr>
        <w:t xml:space="preserve">patient’s </w:t>
      </w:r>
      <w:r w:rsidR="007E52FD" w:rsidRPr="00FB18DA">
        <w:rPr>
          <w:rFonts w:ascii="Book Antiqua" w:hAnsi="Book Antiqua" w:cs="Arial"/>
          <w:sz w:val="24"/>
          <w:szCs w:val="24"/>
          <w:lang w:val="en-GB"/>
        </w:rPr>
        <w:t>follow-</w:t>
      </w:r>
      <w:r w:rsidR="00FE788E" w:rsidRPr="00FB18DA">
        <w:rPr>
          <w:rFonts w:ascii="Book Antiqua" w:hAnsi="Book Antiqua" w:cs="Arial"/>
          <w:sz w:val="24"/>
          <w:szCs w:val="24"/>
          <w:lang w:val="en-GB"/>
        </w:rPr>
        <w:t>up</w:t>
      </w:r>
      <w:r w:rsidRPr="00FB18DA">
        <w:rPr>
          <w:rFonts w:ascii="Book Antiqua" w:hAnsi="Book Antiqua" w:cs="Arial"/>
          <w:sz w:val="24"/>
          <w:szCs w:val="24"/>
          <w:lang w:val="en-GB"/>
        </w:rPr>
        <w:t xml:space="preserve"> was uneventful. The interval between transplant and appendectomy </w:t>
      </w:r>
      <w:r w:rsidR="002E0757" w:rsidRPr="00FB18DA">
        <w:rPr>
          <w:rFonts w:ascii="Book Antiqua" w:eastAsia="Calibri" w:hAnsi="Book Antiqua" w:cs="Arial"/>
          <w:sz w:val="24"/>
          <w:szCs w:val="24"/>
          <w:lang w:val="en-GB"/>
        </w:rPr>
        <w:t>was</w:t>
      </w:r>
      <w:r w:rsidRPr="00FB18DA">
        <w:rPr>
          <w:rFonts w:ascii="Book Antiqua" w:hAnsi="Book Antiqua" w:cs="Arial"/>
          <w:sz w:val="24"/>
          <w:szCs w:val="24"/>
          <w:lang w:val="en-GB"/>
        </w:rPr>
        <w:t xml:space="preserve"> 502 d. The patient underwent a successful embryo transfer 6 mo after the appendectomy. Apart from pregnancy</w:t>
      </w:r>
      <w:r w:rsidR="002E0757" w:rsidRPr="00FB18DA">
        <w:rPr>
          <w:rFonts w:ascii="Book Antiqua" w:eastAsia="Calibri" w:hAnsi="Book Antiqua" w:cs="Arial"/>
          <w:sz w:val="24"/>
          <w:szCs w:val="24"/>
          <w:lang w:val="en-GB"/>
        </w:rPr>
        <w:t>-</w:t>
      </w:r>
      <w:r w:rsidRPr="00FB18DA">
        <w:rPr>
          <w:rFonts w:ascii="Book Antiqua" w:hAnsi="Book Antiqua" w:cs="Arial"/>
          <w:sz w:val="24"/>
          <w:szCs w:val="24"/>
          <w:lang w:val="en-GB"/>
        </w:rPr>
        <w:t>induced diabetes, the pregnancy was uneventful. The patient gave birth to a healthy boy at week 35 of gestation.</w:t>
      </w:r>
    </w:p>
    <w:p w14:paraId="65F8C2AC" w14:textId="77777777" w:rsidR="005417A6" w:rsidRPr="00FB18DA" w:rsidRDefault="005417A6" w:rsidP="00FB18DA">
      <w:pPr>
        <w:spacing w:after="0" w:line="360" w:lineRule="auto"/>
        <w:jc w:val="both"/>
        <w:rPr>
          <w:rFonts w:ascii="Book Antiqua" w:hAnsi="Book Antiqua" w:cs="Arial"/>
          <w:b/>
          <w:sz w:val="24"/>
          <w:szCs w:val="24"/>
          <w:lang w:val="en-GB"/>
        </w:rPr>
      </w:pPr>
    </w:p>
    <w:p w14:paraId="13512FE8" w14:textId="77777777" w:rsidR="004B7A02" w:rsidRPr="00FB18DA" w:rsidRDefault="002E0757" w:rsidP="00FB18DA">
      <w:pPr>
        <w:spacing w:after="0" w:line="360" w:lineRule="auto"/>
        <w:jc w:val="both"/>
        <w:rPr>
          <w:rFonts w:ascii="Book Antiqua" w:hAnsi="Book Antiqua" w:cs="Arial"/>
          <w:b/>
          <w:sz w:val="24"/>
          <w:szCs w:val="24"/>
          <w:lang w:val="en-GB"/>
        </w:rPr>
      </w:pPr>
      <w:r w:rsidRPr="00FB18DA">
        <w:rPr>
          <w:rFonts w:ascii="Book Antiqua" w:hAnsi="Book Antiqua" w:cs="Arial"/>
          <w:b/>
          <w:sz w:val="24"/>
          <w:szCs w:val="24"/>
          <w:lang w:val="en-GB"/>
        </w:rPr>
        <w:t>DISCUSSION</w:t>
      </w:r>
    </w:p>
    <w:p w14:paraId="2CA78E94" w14:textId="0BC80D68" w:rsidR="00DC13A0" w:rsidRPr="00FB18DA" w:rsidRDefault="00EA7C80"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 xml:space="preserve">Although AA has been rarely observed and described in recipients of solid organ transplants, this is the first reported case of AA in a uterus transplant recipient. According to the official transplant terminology, uterus transplant is not considered a solid organ transplant but a vascularized composite allograft, </w:t>
      </w:r>
      <w:r w:rsidR="00473880" w:rsidRPr="00FB18DA">
        <w:rPr>
          <w:rFonts w:ascii="Book Antiqua" w:hAnsi="Book Antiqua" w:cs="Arial"/>
          <w:sz w:val="24"/>
          <w:szCs w:val="24"/>
          <w:lang w:val="en-GB"/>
        </w:rPr>
        <w:t>as are</w:t>
      </w:r>
      <w:r w:rsidRPr="00FB18DA">
        <w:rPr>
          <w:rFonts w:ascii="Book Antiqua" w:hAnsi="Book Antiqua" w:cs="Arial"/>
          <w:sz w:val="24"/>
          <w:szCs w:val="24"/>
          <w:lang w:val="en-GB"/>
        </w:rPr>
        <w:t xml:space="preserve"> </w:t>
      </w:r>
      <w:r w:rsidRPr="00FB18DA">
        <w:rPr>
          <w:rStyle w:val="element-citation"/>
          <w:rFonts w:ascii="Book Antiqua" w:hAnsi="Book Antiqua" w:cs="Arial"/>
          <w:sz w:val="24"/>
          <w:szCs w:val="24"/>
          <w:lang w:val="en-GB"/>
        </w:rPr>
        <w:t>other non-vital transplantable organs</w:t>
      </w:r>
      <w:r w:rsidR="002E0757" w:rsidRPr="00FB18DA">
        <w:rPr>
          <w:rStyle w:val="element-citation"/>
          <w:rFonts w:ascii="Book Antiqua" w:eastAsia="Calibri" w:hAnsi="Book Antiqua" w:cs="Arial"/>
          <w:sz w:val="24"/>
          <w:szCs w:val="24"/>
          <w:lang w:val="en-GB"/>
        </w:rPr>
        <w:t>,</w:t>
      </w:r>
      <w:r w:rsidRPr="00FB18DA">
        <w:rPr>
          <w:rStyle w:val="element-citation"/>
          <w:rFonts w:ascii="Book Antiqua" w:hAnsi="Book Antiqua" w:cs="Arial"/>
          <w:sz w:val="24"/>
          <w:szCs w:val="24"/>
          <w:lang w:val="en-GB"/>
        </w:rPr>
        <w:t xml:space="preserve"> including </w:t>
      </w:r>
      <w:r w:rsidR="005D41B1" w:rsidRPr="00FB18DA">
        <w:rPr>
          <w:rStyle w:val="element-citation"/>
          <w:rFonts w:ascii="Book Antiqua" w:hAnsi="Book Antiqua" w:cs="Arial"/>
          <w:sz w:val="24"/>
          <w:szCs w:val="24"/>
          <w:lang w:val="en-GB"/>
        </w:rPr>
        <w:t xml:space="preserve">the </w:t>
      </w:r>
      <w:r w:rsidRPr="00FB18DA">
        <w:rPr>
          <w:rStyle w:val="element-citation"/>
          <w:rFonts w:ascii="Book Antiqua" w:hAnsi="Book Antiqua" w:cs="Arial"/>
          <w:sz w:val="24"/>
          <w:szCs w:val="24"/>
          <w:lang w:val="en-GB"/>
        </w:rPr>
        <w:t xml:space="preserve">face, extremities, abdominal wall, </w:t>
      </w:r>
      <w:r w:rsidR="005D41B1" w:rsidRPr="00FB18DA">
        <w:rPr>
          <w:rStyle w:val="element-citation"/>
          <w:rFonts w:ascii="Book Antiqua" w:hAnsi="Book Antiqua" w:cs="Arial"/>
          <w:sz w:val="24"/>
          <w:szCs w:val="24"/>
          <w:lang w:val="en-GB"/>
        </w:rPr>
        <w:t xml:space="preserve">and </w:t>
      </w:r>
      <w:r w:rsidRPr="00FB18DA">
        <w:rPr>
          <w:rStyle w:val="element-citation"/>
          <w:rFonts w:ascii="Book Antiqua" w:hAnsi="Book Antiqua" w:cs="Arial"/>
          <w:sz w:val="24"/>
          <w:szCs w:val="24"/>
          <w:lang w:val="en-GB"/>
        </w:rPr>
        <w:t>larynx</w:t>
      </w:r>
      <w:r w:rsidR="008220E7" w:rsidRPr="00FB18DA">
        <w:rPr>
          <w:rStyle w:val="element-citation"/>
          <w:rFonts w:ascii="Book Antiqua" w:hAnsi="Book Antiqua" w:cs="Arial"/>
          <w:sz w:val="24"/>
          <w:szCs w:val="24"/>
          <w:vertAlign w:val="superscript"/>
          <w:lang w:val="en-GB"/>
        </w:rPr>
        <w:t>[</w:t>
      </w:r>
      <w:r w:rsidRPr="00FB18DA">
        <w:rPr>
          <w:rStyle w:val="element-citation"/>
          <w:rFonts w:ascii="Book Antiqua" w:hAnsi="Book Antiqua" w:cs="Arial"/>
          <w:sz w:val="24"/>
          <w:szCs w:val="24"/>
          <w:lang w:val="en-GB"/>
        </w:rPr>
        <w:fldChar w:fldCharType="begin" w:fldLock="1"/>
      </w:r>
      <w:r w:rsidR="0094498C" w:rsidRPr="00FB18DA">
        <w:rPr>
          <w:rStyle w:val="element-citation"/>
          <w:rFonts w:ascii="Book Antiqua" w:hAnsi="Book Antiqua" w:cs="Arial"/>
          <w:sz w:val="24"/>
          <w:szCs w:val="24"/>
          <w:lang w:val="en-GB"/>
        </w:rPr>
        <w:instrText>ADDIN CSL_CITATION {"citationItems":[{"id":"ITEM-1","itemData":{"DOI":"10.1111/tri.12753","ISSN":"1432-2277 (Electronic)","PMID":"26824440","abstract":"Vascularized composite allografts (VCAs) are a growing field within the area of transplantation. In 2014, the birth of a healthy baby after a successful uterus transplant from a living donor was reported in Sweden. VCAs are not specifically mentioned in any of the transplant acts of the Eurotransplant (ET) member states, which all belong to the European Union (EU). The Competent Authorities (CA) of the EU decided in 2012 that VCAs are to be regarded as organs. At the moment, there are no general guidelines in the ET area concerning wait list registration, allocation, procurement and transplantation, and also no regulations concerning reimbursement. To further develop this aspect, common policies and guidelines within the ET member states have to be developed.","author":[{"dropping-particle":"","family":"Samuel","given":"Undine","non-dropping-particle":"","parse-names":false,"suffix":""}],"container-title":"Transplant international : official journal of the European Society for Organ Transplantation","id":"ITEM-1","issue":"6","issued":{"date-parts":[["2016","6"]]},"language":"eng","page":"686-693","publisher-place":"England","title":"Regulatory aspects of VCA in Eurotransplant.","type":"article-journal","volume":"29"},"uris":["http://www.mendeley.com/documents/?uuid=5dd9023a-f895-4ea2-b53b-1d968f05e63c"]}],"mendeley":{"formattedCitation":"&lt;sup&gt;4&lt;/sup&gt;","plainTextFormattedCitation":"4","previouslyFormattedCitation":"(Samuel, 2016)"},"properties":{"noteIndex":0},"schema":"https://github.com/citation-style-language/schema/raw/master/csl-citation.json"}</w:instrText>
      </w:r>
      <w:r w:rsidRPr="00FB18DA">
        <w:rPr>
          <w:rStyle w:val="element-citation"/>
          <w:rFonts w:ascii="Book Antiqua" w:hAnsi="Book Antiqua" w:cs="Arial"/>
          <w:sz w:val="24"/>
          <w:szCs w:val="24"/>
          <w:lang w:val="en-GB"/>
        </w:rPr>
        <w:fldChar w:fldCharType="separate"/>
      </w:r>
      <w:r w:rsidR="0094498C" w:rsidRPr="00FB18DA">
        <w:rPr>
          <w:rStyle w:val="element-citation"/>
          <w:rFonts w:ascii="Book Antiqua" w:hAnsi="Book Antiqua" w:cs="Arial"/>
          <w:sz w:val="24"/>
          <w:szCs w:val="24"/>
          <w:vertAlign w:val="superscript"/>
          <w:lang w:val="en-GB"/>
        </w:rPr>
        <w:t>4</w:t>
      </w:r>
      <w:r w:rsidRPr="00FB18DA">
        <w:rPr>
          <w:rStyle w:val="element-citation"/>
          <w:rFonts w:ascii="Book Antiqua" w:hAnsi="Book Antiqua" w:cs="Arial"/>
          <w:sz w:val="24"/>
          <w:szCs w:val="24"/>
          <w:lang w:val="en-GB"/>
        </w:rPr>
        <w:fldChar w:fldCharType="end"/>
      </w:r>
      <w:r w:rsidR="008220E7" w:rsidRPr="00FB18DA">
        <w:rPr>
          <w:rStyle w:val="element-citation"/>
          <w:rFonts w:ascii="Book Antiqua" w:hAnsi="Book Antiqua" w:cs="Arial"/>
          <w:sz w:val="24"/>
          <w:szCs w:val="24"/>
          <w:vertAlign w:val="superscript"/>
          <w:lang w:val="en-GB"/>
        </w:rPr>
        <w:t>]</w:t>
      </w:r>
      <w:r w:rsidRPr="00FB18DA">
        <w:rPr>
          <w:rStyle w:val="element-citation"/>
          <w:rFonts w:ascii="Book Antiqua" w:hAnsi="Book Antiqua" w:cs="Arial"/>
          <w:sz w:val="24"/>
          <w:szCs w:val="24"/>
          <w:lang w:val="en-GB"/>
        </w:rPr>
        <w:t xml:space="preserve">. </w:t>
      </w:r>
      <w:r w:rsidR="00D847B1" w:rsidRPr="00FB18DA">
        <w:rPr>
          <w:rFonts w:ascii="Book Antiqua" w:hAnsi="Book Antiqua" w:cs="Arial"/>
          <w:sz w:val="24"/>
          <w:szCs w:val="24"/>
          <w:lang w:val="en-GB"/>
        </w:rPr>
        <w:t>The prevalence of AA is reported</w:t>
      </w:r>
      <w:r w:rsidR="002E0757" w:rsidRPr="00FB18DA">
        <w:rPr>
          <w:rFonts w:ascii="Book Antiqua" w:eastAsia="Calibri" w:hAnsi="Book Antiqua" w:cs="Arial"/>
          <w:sz w:val="24"/>
          <w:szCs w:val="24"/>
          <w:lang w:val="en-GB"/>
        </w:rPr>
        <w:t xml:space="preserve"> as</w:t>
      </w:r>
      <w:r w:rsidR="00D847B1" w:rsidRPr="00FB18DA">
        <w:rPr>
          <w:rFonts w:ascii="Book Antiqua" w:hAnsi="Book Antiqua" w:cs="Arial"/>
          <w:sz w:val="24"/>
          <w:szCs w:val="24"/>
          <w:lang w:val="en-GB"/>
        </w:rPr>
        <w:t xml:space="preserve"> 0.35%, 0.49%, and 0.21% in kidney transplant</w:t>
      </w:r>
      <w:r w:rsidR="00A95C43" w:rsidRPr="00FB18DA">
        <w:rPr>
          <w:rFonts w:ascii="Book Antiqua" w:hAnsi="Book Antiqua" w:cs="Arial"/>
          <w:sz w:val="24"/>
          <w:szCs w:val="24"/>
          <w:lang w:val="en-GB"/>
        </w:rPr>
        <w:t xml:space="preserve"> recipients</w:t>
      </w:r>
      <w:r w:rsidR="00D847B1" w:rsidRPr="00FB18DA">
        <w:rPr>
          <w:rFonts w:ascii="Book Antiqua" w:hAnsi="Book Antiqua" w:cs="Arial"/>
          <w:sz w:val="24"/>
          <w:szCs w:val="24"/>
          <w:lang w:val="en-GB"/>
        </w:rPr>
        <w:t xml:space="preserve"> (</w:t>
      </w:r>
      <w:r w:rsidR="00D847B1" w:rsidRPr="00FB18DA">
        <w:rPr>
          <w:rFonts w:ascii="Book Antiqua" w:hAnsi="Book Antiqua" w:cs="Arial"/>
          <w:i/>
          <w:iCs/>
          <w:sz w:val="24"/>
          <w:szCs w:val="24"/>
          <w:lang w:val="en-GB"/>
        </w:rPr>
        <w:t>n</w:t>
      </w:r>
      <w:r w:rsidR="00AE52A4" w:rsidRPr="00FB18DA">
        <w:rPr>
          <w:rFonts w:ascii="Book Antiqua" w:hAnsi="Book Antiqua" w:cs="Arial"/>
          <w:sz w:val="24"/>
          <w:szCs w:val="24"/>
          <w:lang w:val="en-GB"/>
        </w:rPr>
        <w:t xml:space="preserve"> </w:t>
      </w:r>
      <w:r w:rsidR="00D847B1" w:rsidRPr="00FB18DA">
        <w:rPr>
          <w:rFonts w:ascii="Book Antiqua" w:hAnsi="Book Antiqua" w:cs="Arial"/>
          <w:sz w:val="24"/>
          <w:szCs w:val="24"/>
          <w:lang w:val="en-GB"/>
        </w:rPr>
        <w:t>=</w:t>
      </w:r>
      <w:r w:rsidR="00AE52A4" w:rsidRPr="00FB18DA">
        <w:rPr>
          <w:rFonts w:ascii="Book Antiqua" w:hAnsi="Book Antiqua" w:cs="Arial"/>
          <w:sz w:val="24"/>
          <w:szCs w:val="24"/>
          <w:lang w:val="en-GB"/>
        </w:rPr>
        <w:t xml:space="preserve"> </w:t>
      </w:r>
      <w:r w:rsidR="00D847B1" w:rsidRPr="00FB18DA">
        <w:rPr>
          <w:rFonts w:ascii="Book Antiqua" w:hAnsi="Book Antiqua" w:cs="Arial"/>
          <w:sz w:val="24"/>
          <w:szCs w:val="24"/>
          <w:lang w:val="en-GB"/>
        </w:rPr>
        <w:t xml:space="preserve">2880), liver transplant </w:t>
      </w:r>
      <w:r w:rsidR="00A95C43" w:rsidRPr="00FB18DA">
        <w:rPr>
          <w:rFonts w:ascii="Book Antiqua" w:hAnsi="Book Antiqua" w:cs="Arial"/>
          <w:sz w:val="24"/>
          <w:szCs w:val="24"/>
          <w:lang w:val="en-GB"/>
        </w:rPr>
        <w:t xml:space="preserve">recipients </w:t>
      </w:r>
      <w:r w:rsidR="00D847B1" w:rsidRPr="00FB18DA">
        <w:rPr>
          <w:rFonts w:ascii="Book Antiqua" w:hAnsi="Book Antiqua" w:cs="Arial"/>
          <w:sz w:val="24"/>
          <w:szCs w:val="24"/>
          <w:lang w:val="en-GB"/>
        </w:rPr>
        <w:lastRenderedPageBreak/>
        <w:t>(</w:t>
      </w:r>
      <w:r w:rsidR="00D847B1" w:rsidRPr="00FB18DA">
        <w:rPr>
          <w:rFonts w:ascii="Book Antiqua" w:hAnsi="Book Antiqua" w:cs="Arial"/>
          <w:i/>
          <w:iCs/>
          <w:sz w:val="24"/>
          <w:szCs w:val="24"/>
          <w:lang w:val="en-GB"/>
        </w:rPr>
        <w:t>n</w:t>
      </w:r>
      <w:r w:rsidR="00AE52A4" w:rsidRPr="00FB18DA">
        <w:rPr>
          <w:rFonts w:ascii="Book Antiqua" w:hAnsi="Book Antiqua" w:cs="Arial"/>
          <w:sz w:val="24"/>
          <w:szCs w:val="24"/>
          <w:lang w:val="en-GB"/>
        </w:rPr>
        <w:t xml:space="preserve"> </w:t>
      </w:r>
      <w:r w:rsidR="00D847B1" w:rsidRPr="00FB18DA">
        <w:rPr>
          <w:rFonts w:ascii="Book Antiqua" w:hAnsi="Book Antiqua" w:cs="Arial"/>
          <w:sz w:val="24"/>
          <w:szCs w:val="24"/>
          <w:lang w:val="en-GB"/>
        </w:rPr>
        <w:t>=</w:t>
      </w:r>
      <w:r w:rsidR="00AE52A4" w:rsidRPr="00FB18DA">
        <w:rPr>
          <w:rFonts w:ascii="Book Antiqua" w:hAnsi="Book Antiqua" w:cs="Arial"/>
          <w:sz w:val="24"/>
          <w:szCs w:val="24"/>
          <w:lang w:val="en-GB"/>
        </w:rPr>
        <w:t xml:space="preserve"> </w:t>
      </w:r>
      <w:r w:rsidR="00D847B1" w:rsidRPr="00FB18DA">
        <w:rPr>
          <w:rFonts w:ascii="Book Antiqua" w:hAnsi="Book Antiqua" w:cs="Arial"/>
          <w:sz w:val="24"/>
          <w:szCs w:val="24"/>
          <w:lang w:val="en-GB"/>
        </w:rPr>
        <w:t>817), and liver, heart, kidney, pancreas-kidney and heart-kidney transplant recipients (</w:t>
      </w:r>
      <w:r w:rsidR="00D847B1" w:rsidRPr="00FB18DA">
        <w:rPr>
          <w:rFonts w:ascii="Book Antiqua" w:hAnsi="Book Antiqua" w:cs="Arial"/>
          <w:i/>
          <w:iCs/>
          <w:sz w:val="24"/>
          <w:szCs w:val="24"/>
          <w:lang w:val="en-GB"/>
        </w:rPr>
        <w:t>n</w:t>
      </w:r>
      <w:r w:rsidR="00AE52A4" w:rsidRPr="00FB18DA">
        <w:rPr>
          <w:rFonts w:ascii="Book Antiqua" w:hAnsi="Book Antiqua" w:cs="Arial"/>
          <w:sz w:val="24"/>
          <w:szCs w:val="24"/>
          <w:lang w:val="en-GB"/>
        </w:rPr>
        <w:t xml:space="preserve"> </w:t>
      </w:r>
      <w:r w:rsidR="00D847B1" w:rsidRPr="00FB18DA">
        <w:rPr>
          <w:rFonts w:ascii="Book Antiqua" w:hAnsi="Book Antiqua" w:cs="Arial"/>
          <w:sz w:val="24"/>
          <w:szCs w:val="24"/>
          <w:lang w:val="en-GB"/>
        </w:rPr>
        <w:t>=</w:t>
      </w:r>
      <w:r w:rsidR="00AE52A4" w:rsidRPr="00FB18DA">
        <w:rPr>
          <w:rFonts w:ascii="Book Antiqua" w:hAnsi="Book Antiqua" w:cs="Arial"/>
          <w:sz w:val="24"/>
          <w:szCs w:val="24"/>
          <w:lang w:val="en-GB"/>
        </w:rPr>
        <w:t xml:space="preserve"> </w:t>
      </w:r>
      <w:r w:rsidR="00D847B1" w:rsidRPr="00FB18DA">
        <w:rPr>
          <w:rFonts w:ascii="Book Antiqua" w:hAnsi="Book Antiqua" w:cs="Arial"/>
          <w:sz w:val="24"/>
          <w:szCs w:val="24"/>
          <w:lang w:val="en-GB"/>
        </w:rPr>
        <w:t>8000), respectively</w:t>
      </w:r>
      <w:r w:rsidR="00FC1C4B" w:rsidRPr="00FB18DA">
        <w:rPr>
          <w:rFonts w:ascii="Book Antiqua" w:hAnsi="Book Antiqua" w:cs="Arial"/>
          <w:sz w:val="24"/>
          <w:szCs w:val="24"/>
          <w:vertAlign w:val="superscript"/>
          <w:lang w:val="en-GB"/>
        </w:rPr>
        <w:t>[</w:t>
      </w:r>
      <w:r w:rsidR="00D847B1" w:rsidRPr="00FB18DA">
        <w:rPr>
          <w:rFonts w:ascii="Book Antiqua" w:hAnsi="Book Antiqua" w:cs="Arial"/>
          <w:sz w:val="24"/>
          <w:szCs w:val="24"/>
          <w:lang w:val="en-GB"/>
        </w:rPr>
        <w:fldChar w:fldCharType="begin" w:fldLock="1"/>
      </w:r>
      <w:r w:rsidR="0094498C" w:rsidRPr="00FB18DA">
        <w:rPr>
          <w:rFonts w:ascii="Book Antiqua" w:hAnsi="Book Antiqua" w:cs="Arial"/>
          <w:sz w:val="24"/>
          <w:szCs w:val="24"/>
          <w:lang w:val="en-GB"/>
        </w:rPr>
        <w:instrText>ADDIN CSL_CITATION {"citationItems":[{"id":"ITEM-1","itemData":{"DOI":"10.12659/AOT.914134","ISSN":"2329-0358 (Electronic)","PMID":"30910996","abstract":"BACKGROUND Clinical characteristics of acute appendicitis in kidney transplant recipients may be different from those in the general population due to kidney transplant recipient's immunosuppressive state and position change of appendix caused by graft. MATERIAL AND METHODS Clinical characteristics of 10 cases of acute appendicitis among 2880 cases of kidney transplantation were evaluated, including diagnostic rate, location of appendix and complication in kidney transplant recipients. RESULTS Acute appendicitis was suspected in 9 of 10 patients (90%) with acute appendicitis based on clinical and laboratory findings. Five patients (50%) presented with typical migrating pain and 1 patient (10%) had only periumbilical pain. Leukocytosis (WBC &gt;10 000) was present in 8 patients (80%). Radiologic study revealed various locations of appendix relative to grafted kidney. Computed tomography scan was superior to ultrasonography in diagnosis of acute appendicitis. The complication rate was 50%. Complicated patients showed longer duration from symptoms onset to operation (69+/-48 hours versus. 25+/-6 hours, P&lt;0.05) and hospital stay (15.4+/-15 days versus 5.4+/-1.8 days, P&lt;0.05) than uncomplicated patients. CONCLUSIONS Clinical suspicion and differential diagnosis are needed for kidney transplantation patients with acute appendicitis. Early diagnosis with radiologic study is essential to reduce complications of acute appendicitis.","author":[{"dropping-particle":"","family":"Kwon","given":"So Hyun","non-dropping-particle":"","parse-names":false,"suffix":""},{"dropping-particle":"","family":"Park","given":"Sung Hyun","non-dropping-particle":"","parse-names":false,"suffix":""},{"dropping-particle":"","family":"Lee","given":"Hwa Young","non-dropping-particle":"","parse-names":false,"suffix":""},{"dropping-particle":"","family":"Ko","given":"Eun Jeong","non-dropping-particle":"","parse-names":false,"suffix":""},{"dropping-particle":"","family":"Ban","given":"Tae Hyun","non-dropping-particle":"","parse-names":false,"suffix":""},{"dropping-particle":"","family":"Chung","given":"Byung Ha","non-dropping-particle":"","parse-names":false,"suffix":""},{"dropping-particle":"","family":"Yang","given":"Chul Woo","non-dropping-particle":"","parse-names":false,"suffix":""}],"container-title":"Annals of transplantation","id":"ITEM-1","issued":{"date-parts":[["2019","3"]]},"language":"eng","page":"168-173","publisher-place":"United States","title":"Clinical Characteristics of Acute Appendicitis in Kidney Transplant Recipients.","type":"article-journal","volume":"24"},"uris":["http://www.mendeley.com/documents/?uuid=18eb1f35-9944-4835-995f-59c5716b5f5c"]},{"id":"ITEM-2","itemData":{"ISSN":"2146-8427 (Electronic)","PMID":"21453228","abstract":"OBJECTIVES: The incidence of acute appendicitis after orthotopic liver transplant is low but difficult to differentiate from other posttransplant complications. We sought to summarize the clinical characteristics, diagnosis, and treatment of acute appendicitis during the early posttransplant stage. MATERIALS AND METHODS: Data from 4 liver transplant recipients with acute appendicitis immediately after transplant and 4 patients with misdiagnosed appendicitis, between January 2000 and December 2007, were studied retrospectively. RESULTS: The incidence of acute appendicitis immediately after orthotopic liver transplant was 0.49%. Four patients had right lower quadrant abdominal pain with fixed tenderness, rebound tenderness, and fever on the eighth, ninth, 11th, and 13th days after surgery. White blood cells counts were elevated in all patients. Appendectomies were performed on day 1 or 2 after the onset of symptoms. No appendicular perforations were found. All patients recovered well. After an exploratory laparotomy, the 4 patients originally misdiagnosed with appendicitis were correctly diagnosed with a duodenal diverticulum perforation (1 patient), a jejunum perforation (1 patient), and bile leakage (2 patients). Two of these patients died despite aggressive treatment. CONCLUSIONS: The incidence of acute appendicitis immediately after orthotopic liver transplant is low and should be differentiated from other surgical complications, such as gastrointestinal perforation and bile leakage. Appendectomy is recommended in these patients as early as possible.","author":[{"dropping-particle":"","family":"Wu","given":"Linwei","non-dropping-particle":"","parse-names":false,"suffix":""},{"dropping-particle":"","family":"Zhang","given":"Jianwei","non-dropping-particle":"","parse-names":false,"suffix":""},{"dropping-particle":"","family":"Guo","given":"Zhiyong","non-dropping-particle":"","parse-names":false,"suffix":""},{"dropping-particle":"","family":"Tai","given":"Qiang","non-dropping-particle":"","parse-names":false,"suffix":""},{"dropping-particle":"","family":"He","given":"Xiaoshun","non-dropping-particle":"","parse-names":false,"suffix":""},{"dropping-particle":"","family":"Ju","given":"Weiqiang","non-dropping-particle":"","parse-names":false,"suffix":""},{"dropping-particle":"","family":"Wang","given":"Dongping","non-dropping-particle":"","parse-names":false,"suffix":""},{"dropping-particle":"","family":"Zhu","given":"Xiaofeng","non-dropping-particle":"","parse-names":false,"suffix":""}],"container-title":"Experimental and clinical transplantation : official journal of the Middle East Society for Organ Transplantation","id":"ITEM-2","issue":"2","issued":{"date-parts":[["2011","4"]]},"language":"eng","page":"113-117","publisher-place":"Turkey","title":"Diagnosis and treatment of acute appendicitis after orthotopic liver transplant in adults.","type":"article-journal","volume":"9"},"uris":["http://www.mendeley.com/documents/?uuid=2c94ab3d-34da-43d1-a37d-f2f36c7523d2"]},{"id":"ITEM-3","itemData":{"DOI":"10.1111/j.1399-0012.2005.00444.x","ISSN":"0902-0063 (Print)","PMID":"16556158","abstract":"Appendicitis has rarely been reported following solid organ transplantation and never following liver transplantation. We reviewed records of all patients who received solid organ transplants at UCLA between 1989 and 2002 and subsequently underwent appendectomy for presumed acute appendicitis. Of nearly 8000 transplant patients, 17 (nine male, eight female) subsequently underwent appendectomy for presumed acute appendicitis. Average age at appendectomy was 37 yrs (range 6-73 yrs). Organ transplants included liver (seven patients), heart (four), kidney (three), kidney-pancreas (two), and heart-kidney (one). The mean interval from transplant to appendectomy was 1064 d (16-2977). Presenting symptoms and signs included abdominal pain in 16 patients (94%); nausea and or vomiting in 15 (88%); right lower quadrant tenderness in 16; and leukocytosis (WBC &gt; 10 000) in 13 (76%). Mean interval from presentation to appendectomy was 0.94 d (range 0-4). Computed tomography (CT) was performed in 16 patients and showed signs of acute appendicitis in 15. Open technique was used in all patients, preceded by laparoscopy in one. Pathology showed appendicitis in 15 patients (one with perforation), serositis in one, and a normal appendix in one. Mean duration of hospitalization was 7 d (range 1-20). Complications occurred in four patients (24%) and included intra-abdominal abscess requiring percutaneous drainage, ventral hernia, small bowel obstruction, and hematuria in one patient each. There were no deaths and no cases of acute rejection during hospitalization. Average length of follow-up was 712 d (range 3-2492). We conclude that appendicitis is relatively rare following solid organ transplantation. CT facilitates prompt diagnosis. The clinical presentation is similar to that of non-transplant patients, but complications are more frequent, and hospitalization is longer.","author":[{"dropping-particle":"","family":"Savar","given":"Aaron","non-dropping-particle":"","parse-names":false,"suffix":""},{"dropping-particle":"","family":"Hiatt","given":"Jonathan R","non-dropping-particle":"","parse-names":false,"suffix":""},{"dropping-particle":"","family":"Busuttil","given":"Ronald W","non-dropping-particle":"","parse-names":false,"suffix":""}],"container-title":"Clinical transplantation","id":"ITEM-3","issue":"1","issued":{"date-parts":[["2006"]]},"language":"eng","page":"78-80","publisher-place":"Denmark","title":"Acute appendicitis after solid organ transplantation.","type":"article-journal","volume":"20"},"uris":["http://www.mendeley.com/documents/?uuid=14eafe68-4b3c-48bf-a805-89cd3555bca1"]}],"mendeley":{"formattedCitation":"&lt;sup&gt;2,3,5&lt;/sup&gt;","plainTextFormattedCitation":"2,3,5","previouslyFormattedCitation":"(Savar, Hiatt and Busuttil, 2006; Wu &lt;i&gt;et al.&lt;/i&gt;, 2011; Kwon &lt;i&gt;et al.&lt;/i&gt;, 2019)"},"properties":{"noteIndex":0},"schema":"https://github.com/citation-style-language/schema/raw/master/csl-citation.json"}</w:instrText>
      </w:r>
      <w:r w:rsidR="00D847B1" w:rsidRPr="00FB18DA">
        <w:rPr>
          <w:rFonts w:ascii="Book Antiqua" w:hAnsi="Book Antiqua" w:cs="Arial"/>
          <w:sz w:val="24"/>
          <w:szCs w:val="24"/>
          <w:lang w:val="en-GB"/>
        </w:rPr>
        <w:fldChar w:fldCharType="separate"/>
      </w:r>
      <w:r w:rsidR="0094498C" w:rsidRPr="00FB18DA">
        <w:rPr>
          <w:rFonts w:ascii="Book Antiqua" w:hAnsi="Book Antiqua" w:cs="Arial"/>
          <w:sz w:val="24"/>
          <w:szCs w:val="24"/>
          <w:vertAlign w:val="superscript"/>
          <w:lang w:val="en-GB"/>
        </w:rPr>
        <w:t>2,3,5</w:t>
      </w:r>
      <w:r w:rsidR="00D847B1" w:rsidRPr="00FB18DA">
        <w:rPr>
          <w:rFonts w:ascii="Book Antiqua" w:hAnsi="Book Antiqua" w:cs="Arial"/>
          <w:sz w:val="24"/>
          <w:szCs w:val="24"/>
          <w:lang w:val="en-GB"/>
        </w:rPr>
        <w:fldChar w:fldCharType="end"/>
      </w:r>
      <w:r w:rsidR="00FC1C4B" w:rsidRPr="00FB18DA">
        <w:rPr>
          <w:rFonts w:ascii="Book Antiqua" w:hAnsi="Book Antiqua" w:cs="Arial"/>
          <w:sz w:val="24"/>
          <w:szCs w:val="24"/>
          <w:vertAlign w:val="superscript"/>
          <w:lang w:val="en-GB"/>
        </w:rPr>
        <w:t>]</w:t>
      </w:r>
      <w:r w:rsidR="00A364D9" w:rsidRPr="00FB18DA">
        <w:rPr>
          <w:rFonts w:ascii="Book Antiqua" w:hAnsi="Book Antiqua" w:cs="Arial"/>
          <w:sz w:val="24"/>
          <w:szCs w:val="24"/>
          <w:lang w:val="en-GB"/>
        </w:rPr>
        <w:t>.</w:t>
      </w:r>
    </w:p>
    <w:p w14:paraId="33159F8E" w14:textId="39A42A23" w:rsidR="00D92665" w:rsidRPr="00FB18DA" w:rsidRDefault="00034BE8" w:rsidP="00FB18DA">
      <w:pPr>
        <w:spacing w:after="0" w:line="360" w:lineRule="auto"/>
        <w:ind w:firstLineChars="100" w:firstLine="240"/>
        <w:jc w:val="both"/>
        <w:rPr>
          <w:rFonts w:ascii="Book Antiqua" w:hAnsi="Book Antiqua" w:cs="Arial"/>
          <w:sz w:val="24"/>
          <w:szCs w:val="24"/>
          <w:lang w:val="en-GB"/>
        </w:rPr>
      </w:pPr>
      <w:r w:rsidRPr="00FB18DA">
        <w:rPr>
          <w:rFonts w:ascii="Book Antiqua" w:hAnsi="Book Antiqua" w:cs="Arial"/>
          <w:sz w:val="24"/>
          <w:szCs w:val="24"/>
          <w:lang w:val="en-GB"/>
        </w:rPr>
        <w:t xml:space="preserve">Generally, </w:t>
      </w:r>
      <w:r w:rsidR="00A007EF" w:rsidRPr="00FB18DA">
        <w:rPr>
          <w:rFonts w:ascii="Book Antiqua" w:hAnsi="Book Antiqua" w:cs="Arial"/>
          <w:sz w:val="24"/>
          <w:szCs w:val="24"/>
          <w:lang w:val="en-GB"/>
        </w:rPr>
        <w:t xml:space="preserve">immunocompromised patients tend to present late and with minimal symptoms; the symptoms of acute abdomen tend to be weakened by the attenuated immune response. Classic signs of peritonitis, </w:t>
      </w:r>
      <w:r w:rsidR="00A007EF" w:rsidRPr="00FB18DA">
        <w:rPr>
          <w:rFonts w:ascii="Book Antiqua" w:hAnsi="Book Antiqua" w:cs="Arial"/>
          <w:i/>
          <w:iCs/>
          <w:sz w:val="24"/>
          <w:szCs w:val="24"/>
          <w:lang w:val="en-GB"/>
        </w:rPr>
        <w:t>e.g.</w:t>
      </w:r>
      <w:r w:rsidR="002E0757" w:rsidRPr="00FB18DA">
        <w:rPr>
          <w:rFonts w:ascii="Book Antiqua" w:eastAsia="Calibri" w:hAnsi="Book Antiqua" w:cs="Arial"/>
          <w:sz w:val="24"/>
          <w:szCs w:val="24"/>
          <w:lang w:val="en-GB"/>
        </w:rPr>
        <w:t>,</w:t>
      </w:r>
      <w:r w:rsidR="00A007EF" w:rsidRPr="00FB18DA">
        <w:rPr>
          <w:rFonts w:ascii="Book Antiqua" w:hAnsi="Book Antiqua" w:cs="Arial"/>
          <w:sz w:val="24"/>
          <w:szCs w:val="24"/>
          <w:lang w:val="en-GB"/>
        </w:rPr>
        <w:t xml:space="preserve"> rebound tenderness and fever, may be feeble or even absent in immunocompromised </w:t>
      </w:r>
      <w:r w:rsidR="002E0757" w:rsidRPr="00FB18DA">
        <w:rPr>
          <w:rFonts w:ascii="Book Antiqua" w:eastAsia="Calibri" w:hAnsi="Book Antiqua" w:cs="Arial"/>
          <w:sz w:val="24"/>
          <w:szCs w:val="24"/>
          <w:lang w:val="en-GB"/>
        </w:rPr>
        <w:t>hosts. Furthermore</w:t>
      </w:r>
      <w:r w:rsidR="00A007EF" w:rsidRPr="00FB18DA">
        <w:rPr>
          <w:rFonts w:ascii="Book Antiqua" w:hAnsi="Book Antiqua" w:cs="Arial"/>
          <w:sz w:val="24"/>
          <w:szCs w:val="24"/>
          <w:lang w:val="en-GB"/>
        </w:rPr>
        <w:t>, nonspecific signs such as tachycardia, hypotension, and confusion may present the only warning of existing abdominal catastrophe</w:t>
      </w:r>
      <w:r w:rsidR="00A35E20" w:rsidRPr="00FB18DA">
        <w:rPr>
          <w:rFonts w:ascii="Book Antiqua" w:hAnsi="Book Antiqua" w:cs="Arial"/>
          <w:sz w:val="24"/>
          <w:szCs w:val="24"/>
          <w:vertAlign w:val="superscript"/>
          <w:lang w:val="en-GB"/>
        </w:rPr>
        <w:t>[</w:t>
      </w:r>
      <w:r w:rsidR="00C13132" w:rsidRPr="00FB18DA">
        <w:rPr>
          <w:rFonts w:ascii="Book Antiqua" w:hAnsi="Book Antiqua" w:cs="Arial"/>
          <w:sz w:val="24"/>
          <w:szCs w:val="24"/>
          <w:lang w:val="en-GB"/>
        </w:rPr>
        <w:fldChar w:fldCharType="begin" w:fldLock="1"/>
      </w:r>
      <w:r w:rsidR="0094498C" w:rsidRPr="00FB18DA">
        <w:rPr>
          <w:rFonts w:ascii="Book Antiqua" w:hAnsi="Book Antiqua" w:cs="Arial"/>
          <w:sz w:val="24"/>
          <w:szCs w:val="24"/>
          <w:lang w:val="en-GB"/>
        </w:rPr>
        <w:instrText>ADDIN CSL_CITATION {"citationItems":[{"id":"ITEM-1","itemData":{"ISSN":"0930-2794 (Print)","PMID":"8864085","abstract":"As the immunocompromised patient population grows, the gastrointestinal surgeon is increasingly called upon to make complex diagnostic and therapeutic decisions. The surgeon should first identify the patient as immunocompromised and then categorize the probable degree of immunocompromise as mild, moderate, or severe. Mildly immunocompromised patients tend to present late and with minimal symptoms, but the disease entities are the same ones seen in the general population. Moderately and severely immunocompromised patients may also develop the usual surgical problems, but the differential diagnosis is expanded to include complications of the immunocompromised state or complications of the underlying problem which caused the immune compromise. The expanded differential diagnosis includes infections with atypical organisms, opportunistic neoplasms, neutropenic enterocolitis, complications of medications, and forms of biliary tract disease not seen in the general population. Advances in oncology, transplantation, and the treatment of AIDS, have extended the life expectancy of these patients and increased the immunocompromised population. Prompt appropriate operative therapy may be lifesaving when surgical complications develop.","author":[{"dropping-particle":"","family":"Scott-Conner","given":"C E","non-dropping-particle":"","parse-names":false,"suffix":""},{"dropping-particle":"","family":"Fabrega","given":"A J","non-dropping-particle":"","parse-names":false,"suffix":""}],"container-title":"Surgical endoscopy","id":"ITEM-1","issue":"10","issued":{"date-parts":[["1996","10"]]},"language":"eng","page":"959-964","publisher-place":"Germany","title":"Gastrointestinal problems in the immunocompromised host. A review for surgeons.","type":"article-journal","volume":"10"},"uris":["http://www.mendeley.com/documents/?uuid=bb13012f-baa3-47e0-9a2c-a8263fb12034"]}],"mendeley":{"formattedCitation":"&lt;sup&gt;6&lt;/sup&gt;","plainTextFormattedCitation":"6","previouslyFormattedCitation":"(Scott-Conner and Fabrega, 1996)"},"properties":{"noteIndex":0},"schema":"https://github.com/citation-style-language/schema/raw/master/csl-citation.json"}</w:instrText>
      </w:r>
      <w:r w:rsidR="00C13132" w:rsidRPr="00FB18DA">
        <w:rPr>
          <w:rFonts w:ascii="Book Antiqua" w:hAnsi="Book Antiqua" w:cs="Arial"/>
          <w:sz w:val="24"/>
          <w:szCs w:val="24"/>
          <w:lang w:val="en-GB"/>
        </w:rPr>
        <w:fldChar w:fldCharType="separate"/>
      </w:r>
      <w:r w:rsidR="0094498C" w:rsidRPr="00FB18DA">
        <w:rPr>
          <w:rFonts w:ascii="Book Antiqua" w:hAnsi="Book Antiqua" w:cs="Arial"/>
          <w:sz w:val="24"/>
          <w:szCs w:val="24"/>
          <w:vertAlign w:val="superscript"/>
          <w:lang w:val="en-GB"/>
        </w:rPr>
        <w:t>6</w:t>
      </w:r>
      <w:r w:rsidR="00C13132" w:rsidRPr="00FB18DA">
        <w:rPr>
          <w:rFonts w:ascii="Book Antiqua" w:hAnsi="Book Antiqua" w:cs="Arial"/>
          <w:sz w:val="24"/>
          <w:szCs w:val="24"/>
          <w:lang w:val="en-GB"/>
        </w:rPr>
        <w:fldChar w:fldCharType="end"/>
      </w:r>
      <w:r w:rsidR="00A35E20" w:rsidRPr="00FB18DA">
        <w:rPr>
          <w:rFonts w:ascii="Book Antiqua" w:hAnsi="Book Antiqua" w:cs="Arial"/>
          <w:sz w:val="24"/>
          <w:szCs w:val="24"/>
          <w:vertAlign w:val="superscript"/>
          <w:lang w:val="en-GB"/>
        </w:rPr>
        <w:t>]</w:t>
      </w:r>
      <w:r w:rsidR="00BF66E3" w:rsidRPr="00FB18DA">
        <w:rPr>
          <w:rFonts w:ascii="Book Antiqua" w:hAnsi="Book Antiqua" w:cs="Arial"/>
          <w:sz w:val="24"/>
          <w:szCs w:val="24"/>
          <w:lang w:val="en-GB"/>
        </w:rPr>
        <w:t xml:space="preserve">. Savar </w:t>
      </w:r>
      <w:r w:rsidR="00BF66E3" w:rsidRPr="00FB18DA">
        <w:rPr>
          <w:rFonts w:ascii="Book Antiqua" w:hAnsi="Book Antiqua" w:cs="Arial"/>
          <w:i/>
          <w:sz w:val="24"/>
          <w:szCs w:val="24"/>
          <w:lang w:val="en-GB"/>
        </w:rPr>
        <w:t>et al</w:t>
      </w:r>
      <w:r w:rsidR="00AE52A4" w:rsidRPr="00FB18DA">
        <w:rPr>
          <w:rFonts w:ascii="Book Antiqua" w:hAnsi="Book Antiqua" w:cs="Arial"/>
          <w:iCs/>
          <w:sz w:val="24"/>
          <w:szCs w:val="24"/>
          <w:vertAlign w:val="superscript"/>
          <w:lang w:val="en-GB"/>
        </w:rPr>
        <w:t>[2]</w:t>
      </w:r>
      <w:r w:rsidR="00BF66E3" w:rsidRPr="00FB18DA">
        <w:rPr>
          <w:rFonts w:ascii="Book Antiqua" w:hAnsi="Book Antiqua" w:cs="Arial"/>
          <w:sz w:val="24"/>
          <w:szCs w:val="24"/>
          <w:lang w:val="en-GB"/>
        </w:rPr>
        <w:t xml:space="preserve"> came to slightly different </w:t>
      </w:r>
      <w:r w:rsidR="002E0757" w:rsidRPr="00FB18DA">
        <w:rPr>
          <w:rFonts w:ascii="Book Antiqua" w:eastAsia="Calibri" w:hAnsi="Book Antiqua" w:cs="Arial"/>
          <w:sz w:val="24"/>
          <w:szCs w:val="24"/>
          <w:lang w:val="en-GB"/>
        </w:rPr>
        <w:t>conclusions</w:t>
      </w:r>
      <w:r w:rsidR="00BF66E3" w:rsidRPr="00FB18DA">
        <w:rPr>
          <w:rFonts w:ascii="Book Antiqua" w:hAnsi="Book Antiqua" w:cs="Arial"/>
          <w:sz w:val="24"/>
          <w:szCs w:val="24"/>
          <w:lang w:val="en-GB"/>
        </w:rPr>
        <w:t xml:space="preserve">, at least with </w:t>
      </w:r>
      <w:r w:rsidR="002E0757" w:rsidRPr="00FB18DA">
        <w:rPr>
          <w:rFonts w:ascii="Book Antiqua" w:eastAsia="Calibri" w:hAnsi="Book Antiqua" w:cs="Arial"/>
          <w:sz w:val="24"/>
          <w:szCs w:val="24"/>
          <w:lang w:val="en-GB"/>
        </w:rPr>
        <w:t>regard</w:t>
      </w:r>
      <w:r w:rsidR="00BF66E3" w:rsidRPr="00FB18DA">
        <w:rPr>
          <w:rFonts w:ascii="Book Antiqua" w:hAnsi="Book Antiqua" w:cs="Arial"/>
          <w:sz w:val="24"/>
          <w:szCs w:val="24"/>
          <w:lang w:val="en-GB"/>
        </w:rPr>
        <w:t xml:space="preserve"> to AA. In their cohort of 15 transplant recipients suffering from AA, the physical finding</w:t>
      </w:r>
      <w:r w:rsidR="00D72EB3" w:rsidRPr="00FB18DA">
        <w:rPr>
          <w:rFonts w:ascii="Book Antiqua" w:hAnsi="Book Antiqua" w:cs="Arial"/>
          <w:sz w:val="24"/>
          <w:szCs w:val="24"/>
          <w:lang w:val="en-GB"/>
        </w:rPr>
        <w:t>s</w:t>
      </w:r>
      <w:r w:rsidR="00BF66E3" w:rsidRPr="00FB18DA">
        <w:rPr>
          <w:rFonts w:ascii="Book Antiqua" w:hAnsi="Book Antiqua" w:cs="Arial"/>
          <w:sz w:val="24"/>
          <w:szCs w:val="24"/>
          <w:lang w:val="en-GB"/>
        </w:rPr>
        <w:t xml:space="preserve"> w</w:t>
      </w:r>
      <w:r w:rsidR="00D72EB3" w:rsidRPr="00FB18DA">
        <w:rPr>
          <w:rFonts w:ascii="Book Antiqua" w:hAnsi="Book Antiqua" w:cs="Arial"/>
          <w:sz w:val="24"/>
          <w:szCs w:val="24"/>
          <w:lang w:val="en-GB"/>
        </w:rPr>
        <w:t>ere</w:t>
      </w:r>
      <w:r w:rsidR="00BF66E3" w:rsidRPr="00FB18DA">
        <w:rPr>
          <w:rFonts w:ascii="Book Antiqua" w:hAnsi="Book Antiqua" w:cs="Arial"/>
          <w:sz w:val="24"/>
          <w:szCs w:val="24"/>
          <w:lang w:val="en-GB"/>
        </w:rPr>
        <w:t xml:space="preserve"> similar to the finding</w:t>
      </w:r>
      <w:r w:rsidR="00D72EB3" w:rsidRPr="00FB18DA">
        <w:rPr>
          <w:rFonts w:ascii="Book Antiqua" w:hAnsi="Book Antiqua" w:cs="Arial"/>
          <w:sz w:val="24"/>
          <w:szCs w:val="24"/>
          <w:lang w:val="en-GB"/>
        </w:rPr>
        <w:t>s</w:t>
      </w:r>
      <w:r w:rsidR="00BF66E3" w:rsidRPr="00FB18DA">
        <w:rPr>
          <w:rFonts w:ascii="Book Antiqua" w:hAnsi="Book Antiqua" w:cs="Arial"/>
          <w:sz w:val="24"/>
          <w:szCs w:val="24"/>
          <w:lang w:val="en-GB"/>
        </w:rPr>
        <w:t xml:space="preserve"> in </w:t>
      </w:r>
      <w:r w:rsidR="002E0757" w:rsidRPr="00FB18DA">
        <w:rPr>
          <w:rFonts w:ascii="Book Antiqua" w:eastAsia="Calibri" w:hAnsi="Book Antiqua" w:cs="Arial"/>
          <w:sz w:val="24"/>
          <w:szCs w:val="24"/>
          <w:lang w:val="en-GB"/>
        </w:rPr>
        <w:t xml:space="preserve">the </w:t>
      </w:r>
      <w:r w:rsidR="00BF66E3" w:rsidRPr="00FB18DA">
        <w:rPr>
          <w:rFonts w:ascii="Book Antiqua" w:hAnsi="Book Antiqua" w:cs="Arial"/>
          <w:sz w:val="24"/>
          <w:szCs w:val="24"/>
          <w:lang w:val="en-GB"/>
        </w:rPr>
        <w:t xml:space="preserve">non-transplant population, </w:t>
      </w:r>
      <w:r w:rsidRPr="00FB18DA">
        <w:rPr>
          <w:rFonts w:ascii="Book Antiqua" w:hAnsi="Book Antiqua" w:cs="Arial"/>
          <w:i/>
          <w:iCs/>
          <w:sz w:val="24"/>
          <w:szCs w:val="24"/>
          <w:lang w:val="en-GB"/>
        </w:rPr>
        <w:t>i.e.</w:t>
      </w:r>
      <w:r w:rsidRPr="00FB18DA">
        <w:rPr>
          <w:rFonts w:ascii="Book Antiqua" w:hAnsi="Book Antiqua" w:cs="Arial"/>
          <w:sz w:val="24"/>
          <w:szCs w:val="24"/>
          <w:lang w:val="en-GB"/>
        </w:rPr>
        <w:t xml:space="preserve">, </w:t>
      </w:r>
      <w:r w:rsidR="00BF66E3" w:rsidRPr="00FB18DA">
        <w:rPr>
          <w:rFonts w:ascii="Book Antiqua" w:hAnsi="Book Antiqua" w:cs="Arial"/>
          <w:sz w:val="24"/>
          <w:szCs w:val="24"/>
          <w:lang w:val="en-GB"/>
        </w:rPr>
        <w:t>abdominal/right hypogastrium pain (present in 94% of cases)</w:t>
      </w:r>
      <w:r w:rsidR="00F20902" w:rsidRPr="00FB18DA">
        <w:rPr>
          <w:rFonts w:ascii="Book Antiqua" w:hAnsi="Book Antiqua" w:cs="Arial"/>
          <w:sz w:val="24"/>
          <w:szCs w:val="24"/>
          <w:lang w:val="en-GB"/>
        </w:rPr>
        <w:t xml:space="preserve"> and</w:t>
      </w:r>
      <w:r w:rsidR="00BF66E3" w:rsidRPr="00FB18DA">
        <w:rPr>
          <w:rFonts w:ascii="Book Antiqua" w:hAnsi="Book Antiqua" w:cs="Arial"/>
          <w:sz w:val="24"/>
          <w:szCs w:val="24"/>
          <w:lang w:val="en-GB"/>
        </w:rPr>
        <w:t xml:space="preserve"> nausea and vomiting (present in 88% of cases)</w:t>
      </w:r>
      <w:r w:rsidR="00F9159C" w:rsidRPr="00FB18DA">
        <w:rPr>
          <w:rFonts w:ascii="Book Antiqua" w:hAnsi="Book Antiqua" w:cs="Arial"/>
          <w:sz w:val="24"/>
          <w:szCs w:val="24"/>
          <w:vertAlign w:val="superscript"/>
          <w:lang w:val="en-GB"/>
        </w:rPr>
        <w:t>[</w:t>
      </w:r>
      <w:r w:rsidR="00BF66E3" w:rsidRPr="00FB18DA">
        <w:rPr>
          <w:rFonts w:ascii="Book Antiqua" w:hAnsi="Book Antiqua" w:cs="Arial"/>
          <w:sz w:val="24"/>
          <w:szCs w:val="24"/>
          <w:lang w:val="en-GB"/>
        </w:rPr>
        <w:fldChar w:fldCharType="begin" w:fldLock="1"/>
      </w:r>
      <w:r w:rsidR="0094498C" w:rsidRPr="00FB18DA">
        <w:rPr>
          <w:rFonts w:ascii="Book Antiqua" w:hAnsi="Book Antiqua" w:cs="Arial"/>
          <w:sz w:val="24"/>
          <w:szCs w:val="24"/>
          <w:lang w:val="en-GB"/>
        </w:rPr>
        <w:instrText>ADDIN CSL_CITATION {"citationItems":[{"id":"ITEM-1","itemData":{"DOI":"10.1111/j.1399-0012.2005.00444.x","ISSN":"0902-0063 (Print)","PMID":"16556158","abstract":"Appendicitis has rarely been reported following solid organ transplantation and never following liver transplantation. We reviewed records of all patients who received solid organ transplants at UCLA between 1989 and 2002 and subsequently underwent appendectomy for presumed acute appendicitis. Of nearly 8000 transplant patients, 17 (nine male, eight female) subsequently underwent appendectomy for presumed acute appendicitis. Average age at appendectomy was 37 yrs (range 6-73 yrs). Organ transplants included liver (seven patients), heart (four), kidney (three), kidney-pancreas (two), and heart-kidney (one). The mean interval from transplant to appendectomy was 1064 d (16-2977). Presenting symptoms and signs included abdominal pain in 16 patients (94%); nausea and or vomiting in 15 (88%); right lower quadrant tenderness in 16; and leukocytosis (WBC &gt; 10 000) in 13 (76%). Mean interval from presentation to appendectomy was 0.94 d (range 0-4). Computed tomography (CT) was performed in 16 patients and showed signs of acute appendicitis in 15. Open technique was used in all patients, preceded by laparoscopy in one. Pathology showed appendicitis in 15 patients (one with perforation), serositis in one, and a normal appendix in one. Mean duration of hospitalization was 7 d (range 1-20). Complications occurred in four patients (24%) and included intra-abdominal abscess requiring percutaneous drainage, ventral hernia, small bowel obstruction, and hematuria in one patient each. There were no deaths and no cases of acute rejection during hospitalization. Average length of follow-up was 712 d (range 3-2492). We conclude that appendicitis is relatively rare following solid organ transplantation. CT facilitates prompt diagnosis. The clinical presentation is similar to that of non-transplant patients, but complications are more frequent, and hospitalization is longer.","author":[{"dropping-particle":"","family":"Savar","given":"Aaron","non-dropping-particle":"","parse-names":false,"suffix":""},{"dropping-particle":"","family":"Hiatt","given":"Jonathan R","non-dropping-particle":"","parse-names":false,"suffix":""},{"dropping-particle":"","family":"Busuttil","given":"Ronald W","non-dropping-particle":"","parse-names":false,"suffix":""}],"container-title":"Clinical transplantation","id":"ITEM-1","issue":"1","issued":{"date-parts":[["2006"]]},"language":"eng","page":"78-80","publisher-place":"Denmark","title":"Acute appendicitis after solid organ transplantation.","type":"article-journal","volume":"20"},"uris":["http://www.mendeley.com/documents/?uuid=14eafe68-4b3c-48bf-a805-89cd3555bca1"]}],"mendeley":{"formattedCitation":"&lt;sup&gt;2&lt;/sup&gt;","plainTextFormattedCitation":"2","previouslyFormattedCitation":"(Savar, Hiatt and Busuttil, 2006)"},"properties":{"noteIndex":0},"schema":"https://github.com/citation-style-language/schema/raw/master/csl-citation.json"}</w:instrText>
      </w:r>
      <w:r w:rsidR="00BF66E3" w:rsidRPr="00FB18DA">
        <w:rPr>
          <w:rFonts w:ascii="Book Antiqua" w:hAnsi="Book Antiqua" w:cs="Arial"/>
          <w:sz w:val="24"/>
          <w:szCs w:val="24"/>
          <w:lang w:val="en-GB"/>
        </w:rPr>
        <w:fldChar w:fldCharType="separate"/>
      </w:r>
      <w:r w:rsidR="0094498C" w:rsidRPr="00FB18DA">
        <w:rPr>
          <w:rFonts w:ascii="Book Antiqua" w:hAnsi="Book Antiqua" w:cs="Arial"/>
          <w:sz w:val="24"/>
          <w:szCs w:val="24"/>
          <w:vertAlign w:val="superscript"/>
          <w:lang w:val="en-GB"/>
        </w:rPr>
        <w:t>2</w:t>
      </w:r>
      <w:r w:rsidR="00BF66E3" w:rsidRPr="00FB18DA">
        <w:rPr>
          <w:rFonts w:ascii="Book Antiqua" w:hAnsi="Book Antiqua" w:cs="Arial"/>
          <w:sz w:val="24"/>
          <w:szCs w:val="24"/>
          <w:lang w:val="en-GB"/>
        </w:rPr>
        <w:fldChar w:fldCharType="end"/>
      </w:r>
      <w:r w:rsidR="00F9159C" w:rsidRPr="00FB18DA">
        <w:rPr>
          <w:rFonts w:ascii="Book Antiqua" w:hAnsi="Book Antiqua" w:cs="Arial"/>
          <w:sz w:val="24"/>
          <w:szCs w:val="24"/>
          <w:vertAlign w:val="superscript"/>
          <w:lang w:val="en-GB"/>
        </w:rPr>
        <w:t>]</w:t>
      </w:r>
      <w:r w:rsidR="00A158DE" w:rsidRPr="00FB18DA">
        <w:rPr>
          <w:rFonts w:ascii="Book Antiqua" w:hAnsi="Book Antiqua" w:cs="Arial"/>
          <w:sz w:val="24"/>
          <w:szCs w:val="24"/>
          <w:lang w:val="en-GB"/>
        </w:rPr>
        <w:t>. Generally, after solid organ transplants that are typically placed in the right iliac fossa/retroperitoneum (kidney</w:t>
      </w:r>
      <w:r w:rsidR="00C94AFA" w:rsidRPr="00FB18DA">
        <w:rPr>
          <w:rFonts w:ascii="Book Antiqua" w:hAnsi="Book Antiqua" w:cs="Arial"/>
          <w:sz w:val="24"/>
          <w:szCs w:val="24"/>
          <w:lang w:val="en-GB"/>
        </w:rPr>
        <w:t xml:space="preserve"> or</w:t>
      </w:r>
      <w:r w:rsidR="00A158DE" w:rsidRPr="00FB18DA">
        <w:rPr>
          <w:rFonts w:ascii="Book Antiqua" w:hAnsi="Book Antiqua" w:cs="Arial"/>
          <w:sz w:val="24"/>
          <w:szCs w:val="24"/>
          <w:lang w:val="en-GB"/>
        </w:rPr>
        <w:t xml:space="preserve"> pancreas), AA may be misdiagnosed as a graft-related complication, </w:t>
      </w:r>
      <w:r w:rsidR="00A158DE" w:rsidRPr="00FB18DA">
        <w:rPr>
          <w:rFonts w:ascii="Book Antiqua" w:hAnsi="Book Antiqua" w:cs="Arial"/>
          <w:i/>
          <w:iCs/>
          <w:sz w:val="24"/>
          <w:szCs w:val="24"/>
          <w:lang w:val="en-GB"/>
        </w:rPr>
        <w:t>e.g.</w:t>
      </w:r>
      <w:r w:rsidR="00A158DE" w:rsidRPr="00FB18DA">
        <w:rPr>
          <w:rFonts w:ascii="Book Antiqua" w:hAnsi="Book Antiqua" w:cs="Arial"/>
          <w:sz w:val="24"/>
          <w:szCs w:val="24"/>
          <w:lang w:val="en-GB"/>
        </w:rPr>
        <w:t xml:space="preserve">, infection, acute urine outflow obstruction, </w:t>
      </w:r>
      <w:r w:rsidR="006D4BF8" w:rsidRPr="00FB18DA">
        <w:rPr>
          <w:rFonts w:ascii="Book Antiqua" w:hAnsi="Book Antiqua" w:cs="Arial"/>
          <w:sz w:val="24"/>
          <w:szCs w:val="24"/>
          <w:lang w:val="en-GB"/>
        </w:rPr>
        <w:t xml:space="preserve">or </w:t>
      </w:r>
      <w:r w:rsidR="00A158DE" w:rsidRPr="00FB18DA">
        <w:rPr>
          <w:rFonts w:ascii="Book Antiqua" w:hAnsi="Book Antiqua" w:cs="Arial"/>
          <w:sz w:val="24"/>
          <w:szCs w:val="24"/>
          <w:lang w:val="en-GB"/>
        </w:rPr>
        <w:t>acute rejection of the graft. In UTx recipients, thrombosis of the graft remains the most feared complication. Thrombosis of the vascular pedicles of the uterine graft has been repeatedly presented as a cause of loss of the graft in both animal as well as human studies</w:t>
      </w:r>
      <w:r w:rsidR="00EC245F" w:rsidRPr="00FB18DA">
        <w:rPr>
          <w:rFonts w:ascii="Book Antiqua" w:hAnsi="Book Antiqua" w:cs="Arial"/>
          <w:sz w:val="24"/>
          <w:szCs w:val="24"/>
          <w:vertAlign w:val="superscript"/>
          <w:lang w:val="en-GB"/>
        </w:rPr>
        <w:t>[</w:t>
      </w:r>
      <w:r w:rsidR="00A158DE" w:rsidRPr="00FB18DA">
        <w:rPr>
          <w:rFonts w:ascii="Book Antiqua" w:hAnsi="Book Antiqua" w:cs="Arial"/>
          <w:sz w:val="24"/>
          <w:szCs w:val="24"/>
          <w:lang w:val="en-GB"/>
        </w:rPr>
        <w:fldChar w:fldCharType="begin" w:fldLock="1"/>
      </w:r>
      <w:r w:rsidR="0094498C" w:rsidRPr="00FB18DA">
        <w:rPr>
          <w:rFonts w:ascii="Book Antiqua" w:hAnsi="Book Antiqua" w:cs="Arial"/>
          <w:sz w:val="24"/>
          <w:szCs w:val="24"/>
          <w:lang w:val="en-GB"/>
        </w:rPr>
        <w:instrText>ADDIN CSL_CITATION {"citationItems":[{"id":"ITEM-1","itemData":{"DOI":"10.1093/humupd/dmp049","ISSN":"1460-2369 (Electronic)","PMID":"19897849","abstract":"BACKGROUND: Uterus transplantation (UTx) is developed in animal models as a future method to treat uterine factor infertility. METHODS: All published studies in the area of UTx research were identified. Aspects relating to surgery, cold-ischemia/reperfusion, rejection, immunosuppression, pregnancy, ethics and institutional requirements were examined. RESULTS: Uterus retrieval surgery has been solved in animals, including primates. Studies on cold-ischemia/reperfusion indicate an ischemic tolerance of &gt;24 h. The transplantation procedure, with vascular anastomosis, has not been fully developed in animal models, indicated by frequent thrombosis formation. Pregnancies have only been reported in syngenic/auto-UTx animal models. Several ethical issues in relation to UTx, and requirements for a team that would be suitable to undertake human UTx, exist. CONCLUSION: Much research on UTx has been performed in appropriate animal models. Several aspects of the procedure have been optimized but some remain to be solved. It is predicted that the research will soon reach a stage that could merit introduction of human UTx as an experimental procedure.","author":[{"dropping-particle":"","family":"Brannstrom","given":"Mats","non-dropping-particle":"","parse-names":false,"suffix":""},{"dropping-particle":"","family":"Wranning","given":"Caiza A","non-dropping-particle":"","parse-names":false,"suffix":""},{"dropping-particle":"","family":"Altchek","given":"Albert","non-dropping-particle":"","parse-names":false,"suffix":""}],"container-title":"Human reproduction update","id":"ITEM-1","issue":"3","issued":{"date-parts":[["2010"]]},"language":"eng","page":"329-345","publisher-place":"England","title":"Experimental uterus transplantation.","type":"article-journal","volume":"16"},"uris":["http://www.mendeley.com/documents/?uuid=f701dcd4-8380-4d48-8caf-48ebeab3c4ed"]},{"id":"ITEM-2","itemData":{"ISSN":"0020-7292 (Print)","PMID":"11880127","abstract":"Human uterine transplantation was performed on 6 April 2000 on a 26-year-old female who lost her uterus 6 years earlier due to post-partum hemorrhage. The donor, a 46-year-old patient with multiloculated ovarian cysts, underwent a hysterectomy modified to preserve tissue and vascular integrity. The donor uterus was connected in the orthotopic position to the recipient's vaginal vault and additional fixation was achieved by shortening the uterosacral ligament. The uterine arteries and veins were extended using reversed segments of the great saphenous vein, then connected to the external iliac arteries and veins, respectively. Immunosuppression was maintained by oral cyclosporine A (4 mg/kg/body wt.), azathioprine (1 mg/kg/body wt.) and prednisolone (0.2 mg/kg/body wt.). Allograft rejection was monitored by Echo-Doppler studies, magnetic resonance imaging (MRI), and measurement of the CD4/CD8 ratio in peripheral blood by fluorescence activated cell sorter (FACS scan). An episode of acute rejection was treated and controlled on the ninth day with anti-thymocytic globulin (ATG). The transplanted uterus responded well to combined estrogen--progesterone therapy, with endometrial proliferation up to 18 mm. The patient had two episodes of withdrawal bleeding upon cessation of the hormonal therapy. Unfortunately, she developed acute vascular thrombosis 99 days after transplantation, and hysterectomy was necessary. Macro- and microscopic histopathological examination revealed acute thrombosis in the vessels of the uterine body, with resulting infarction. Both fallopian tubes remained viable, however, with no evidence of rejection. The acute vascular occlusion appeared to be caused by inadequate uterine structure support, which led to probable tension, torsion, or kinking of the connected vascular uterine grafts.","author":[{"dropping-particle":"","family":"Fageeh","given":"W","non-dropping-particle":"","parse-names":false,"suffix":""},{"dropping-particle":"","family":"Raffa","given":"H","non-dropping-particle":"","parse-names":false,"suffix":""},{"dropping-particle":"","family":"Jabbad","given":"H","non-dropping-particle":"","parse-names":false,"suffix":""},{"dropping-particle":"","family":"Marzouki","given":"A","non-dropping-particle":"","parse-names":false,"suffix":""}],"container-title":"International journal of gynaecology and obstetrics: the official organ of the International Federation of Gynaecology and Obstetrics","id":"ITEM-2","issue":"3","issued":{"date-parts":[["2002","3"]]},"language":"eng","page":"245-251","publisher-place":"United States","title":"Transplantation of the human uterus.","type":"article-journal","volume":"76"},"uris":["http://www.mendeley.com/documents/?uuid=2e43e33c-f252-42b6-b044-71f6c536d4b9"]}],"mendeley":{"formattedCitation":"&lt;sup&gt;7,8&lt;/sup&gt;","plainTextFormattedCitation":"7,8","previouslyFormattedCitation":"(Fageeh &lt;i&gt;et al.&lt;/i&gt;, 2002; Brannstrom, Wranning and Altchek, 2010)"},"properties":{"noteIndex":0},"schema":"https://github.com/citation-style-language/schema/raw/master/csl-citation.json"}</w:instrText>
      </w:r>
      <w:r w:rsidR="00A158DE" w:rsidRPr="00FB18DA">
        <w:rPr>
          <w:rFonts w:ascii="Book Antiqua" w:hAnsi="Book Antiqua" w:cs="Arial"/>
          <w:sz w:val="24"/>
          <w:szCs w:val="24"/>
          <w:lang w:val="en-GB"/>
        </w:rPr>
        <w:fldChar w:fldCharType="separate"/>
      </w:r>
      <w:r w:rsidR="0094498C" w:rsidRPr="00FB18DA">
        <w:rPr>
          <w:rFonts w:ascii="Book Antiqua" w:hAnsi="Book Antiqua" w:cs="Arial"/>
          <w:sz w:val="24"/>
          <w:szCs w:val="24"/>
          <w:vertAlign w:val="superscript"/>
          <w:lang w:val="en-GB"/>
        </w:rPr>
        <w:t>7,8</w:t>
      </w:r>
      <w:r w:rsidR="00A158DE" w:rsidRPr="00FB18DA">
        <w:rPr>
          <w:rFonts w:ascii="Book Antiqua" w:hAnsi="Book Antiqua" w:cs="Arial"/>
          <w:sz w:val="24"/>
          <w:szCs w:val="24"/>
          <w:lang w:val="en-GB"/>
        </w:rPr>
        <w:fldChar w:fldCharType="end"/>
      </w:r>
      <w:r w:rsidR="00EC245F" w:rsidRPr="00FB18DA">
        <w:rPr>
          <w:rFonts w:ascii="Book Antiqua" w:hAnsi="Book Antiqua" w:cs="Arial"/>
          <w:sz w:val="24"/>
          <w:szCs w:val="24"/>
          <w:vertAlign w:val="superscript"/>
          <w:lang w:val="en-GB"/>
        </w:rPr>
        <w:t>]</w:t>
      </w:r>
      <w:r w:rsidR="00423E63" w:rsidRPr="00FB18DA">
        <w:rPr>
          <w:rFonts w:ascii="Book Antiqua" w:hAnsi="Book Antiqua" w:cs="Arial"/>
          <w:sz w:val="24"/>
          <w:szCs w:val="24"/>
          <w:lang w:val="en-GB"/>
        </w:rPr>
        <w:t>. Since diarrhoea may lead to dehydration and the association between dehydration and a higher risk of venous thrombosis is presumed, graft thrombosis was immediately suspected and subsequently excluded using Doppler US in our case</w:t>
      </w:r>
      <w:r w:rsidR="00951A5B" w:rsidRPr="00FB18DA">
        <w:rPr>
          <w:rFonts w:ascii="Book Antiqua" w:hAnsi="Book Antiqua" w:cs="Arial"/>
          <w:sz w:val="24"/>
          <w:szCs w:val="24"/>
          <w:vertAlign w:val="superscript"/>
          <w:lang w:val="en-GB"/>
        </w:rPr>
        <w:t>[</w:t>
      </w:r>
      <w:r w:rsidR="00423E63" w:rsidRPr="00FB18DA">
        <w:rPr>
          <w:rFonts w:ascii="Book Antiqua" w:hAnsi="Book Antiqua" w:cs="Arial"/>
          <w:sz w:val="24"/>
          <w:szCs w:val="24"/>
          <w:lang w:val="en-GB"/>
        </w:rPr>
        <w:fldChar w:fldCharType="begin" w:fldLock="1"/>
      </w:r>
      <w:r w:rsidR="0094498C" w:rsidRPr="00FB18DA">
        <w:rPr>
          <w:rFonts w:ascii="Book Antiqua" w:hAnsi="Book Antiqua" w:cs="Arial"/>
          <w:sz w:val="24"/>
          <w:szCs w:val="24"/>
          <w:lang w:val="en-GB"/>
        </w:rPr>
        <w:instrText>ADDIN CSL_CITATION {"citationItems":[{"id":"ITEM-1","itemData":{"ISSN":"0340-9937 (Print)","PMID":"2680853","abstract":"Renal vein thrombosis in early infancy is a complication of dehydration and prolonged hypotension. The onset is usually acute and the most common clinical signs are uni- or bilateral frank masses, hematuria, proteinuria and thrombocytopenia. In most cases, with conservative management, the late outcome is favorable. In the adult, renal vein thrombosis is often a silent complication of the nephrotic syndrome, the hypercoagulability of which may be an important factor in the pathogenesis of the thrombosis. Clinically, the presentation of a sudden complete occlusion is that of severe abdominal and lumbar pain with hematuria and loss of function of the kidney that suffers hemorrhagic infarction. Physical examination often reveals an enlarged kidney. With gradual occlusion, renal function is preserved. The initial diagnostic approach is with ultrasound studies and computed tomography; definitive diagnosis is established by renal venography or by selective renal arteriography. In general, a conservative approach including the use of anticoagulant treatment is preferred to surgical intervention. Priapism is a persistent painful penile erection due to ischemic or non-ischemic causes; therapeutic intracavernosal injection of papaverine is becoming the most common cause. In early and mild stages, aspiration of blood from the corpora cavernosa supplemented with intracavernosal irrigation with alpha-stimulating agents is the procedure of first choice; in late and severe ischemia, a shunt procedure may become necessary. Hepatic vein thrombosis occurs in association with a number of conditions considered predisposing factors including the use of oral contraceptives. The clinical picture may be that of an acute illness with abdominal pain, hepatomegaly, ascites and hepatic failure as well as early death. More often, the onset is insidious with slowly developing ascites and wasting. For the diagnosis, hepatic scintigraphy may be helpful but, at present, ultrasonography, computed tomography and magnetic resonance scanning are procedures of choice. There is, as yet, no adequate treatment. A fatal outcome may be prevented by surgical decompression of the congested liver and, in recent years, liver transplantation has been employed. Portal vein thrombosis, in children, is usually considered a complication of umbilical sepsis or a result of a congenital abnormality of the portal vein. In adults, the most frequent causes are hepatic cirrhosis and neoplasia. Clinically, there…","author":[{"dropping-particle":"","family":"Verhaeghe","given":"R","non-dropping-particle":"","parse-names":false,"suffix":""},{"dropping-particle":"","family":"Vermylen","given":"J","non-dropping-particle":"","parse-names":false,"suffix":""},{"dropping-particle":"","family":"Verstraete","given":"M","non-dropping-particle":"","parse-names":false,"suffix":""}],"container-title":"Herz","id":"ITEM-1","issue":"5","issued":{"date-parts":[["1989","10"]]},"language":"eng","page":"298-307","publisher-place":"Germany","title":"Thrombosis in particular organ veins.","type":"article-journal","volume":"14"},"uris":["http://www.mendeley.com/documents/?uuid=c01b8d50-fad2-4ddc-b1e8-19a84779dc4b"]}],"mendeley":{"formattedCitation":"&lt;sup&gt;9&lt;/sup&gt;","plainTextFormattedCitation":"9","previouslyFormattedCitation":"(Verhaeghe, Vermylen and Verstraete, 1989)"},"properties":{"noteIndex":0},"schema":"https://github.com/citation-style-language/schema/raw/master/csl-citation.json"}</w:instrText>
      </w:r>
      <w:r w:rsidR="00423E63" w:rsidRPr="00FB18DA">
        <w:rPr>
          <w:rFonts w:ascii="Book Antiqua" w:hAnsi="Book Antiqua" w:cs="Arial"/>
          <w:sz w:val="24"/>
          <w:szCs w:val="24"/>
          <w:lang w:val="en-GB"/>
        </w:rPr>
        <w:fldChar w:fldCharType="separate"/>
      </w:r>
      <w:r w:rsidR="0094498C" w:rsidRPr="00FB18DA">
        <w:rPr>
          <w:rFonts w:ascii="Book Antiqua" w:hAnsi="Book Antiqua" w:cs="Arial"/>
          <w:sz w:val="24"/>
          <w:szCs w:val="24"/>
          <w:vertAlign w:val="superscript"/>
          <w:lang w:val="en-GB"/>
        </w:rPr>
        <w:t>9</w:t>
      </w:r>
      <w:r w:rsidR="00423E63" w:rsidRPr="00FB18DA">
        <w:rPr>
          <w:rFonts w:ascii="Book Antiqua" w:hAnsi="Book Antiqua" w:cs="Arial"/>
          <w:sz w:val="24"/>
          <w:szCs w:val="24"/>
          <w:lang w:val="en-GB"/>
        </w:rPr>
        <w:fldChar w:fldCharType="end"/>
      </w:r>
      <w:r w:rsidR="00951A5B" w:rsidRPr="00FB18DA">
        <w:rPr>
          <w:rFonts w:ascii="Book Antiqua" w:hAnsi="Book Antiqua" w:cs="Arial"/>
          <w:sz w:val="24"/>
          <w:szCs w:val="24"/>
          <w:vertAlign w:val="superscript"/>
          <w:lang w:val="en-GB"/>
        </w:rPr>
        <w:t>]</w:t>
      </w:r>
      <w:r w:rsidR="002E0757" w:rsidRPr="00FB18DA">
        <w:rPr>
          <w:rFonts w:ascii="Book Antiqua" w:hAnsi="Book Antiqua" w:cs="Arial"/>
          <w:sz w:val="24"/>
          <w:szCs w:val="24"/>
          <w:lang w:val="en-GB"/>
        </w:rPr>
        <w:t xml:space="preserve">. A possible cause of AA after kidney </w:t>
      </w:r>
      <w:r w:rsidR="002E0757" w:rsidRPr="00FB18DA">
        <w:rPr>
          <w:rFonts w:ascii="Book Antiqua" w:eastAsia="Calibri" w:hAnsi="Book Antiqua" w:cs="Arial"/>
          <w:sz w:val="24"/>
          <w:szCs w:val="24"/>
          <w:lang w:val="en-GB"/>
        </w:rPr>
        <w:t>transplantation</w:t>
      </w:r>
      <w:r w:rsidR="002E0757" w:rsidRPr="00FB18DA">
        <w:rPr>
          <w:rFonts w:ascii="Book Antiqua" w:hAnsi="Book Antiqua" w:cs="Arial"/>
          <w:sz w:val="24"/>
          <w:szCs w:val="24"/>
          <w:lang w:val="en-GB"/>
        </w:rPr>
        <w:t xml:space="preserve"> is CMV infection. Invasive CMV infection must always be excluded by definitive histopathological evaluation. If </w:t>
      </w:r>
      <w:r w:rsidR="00656C2E" w:rsidRPr="00FB18DA">
        <w:rPr>
          <w:rFonts w:ascii="Book Antiqua" w:hAnsi="Book Antiqua" w:cs="Arial"/>
          <w:sz w:val="24"/>
          <w:szCs w:val="24"/>
          <w:lang w:val="en-GB"/>
        </w:rPr>
        <w:t xml:space="preserve">the </w:t>
      </w:r>
      <w:r w:rsidR="002E0757" w:rsidRPr="00FB18DA">
        <w:rPr>
          <w:rFonts w:ascii="Book Antiqua" w:hAnsi="Book Antiqua" w:cs="Arial"/>
          <w:sz w:val="24"/>
          <w:szCs w:val="24"/>
          <w:lang w:val="en-GB"/>
        </w:rPr>
        <w:t>test for CMV</w:t>
      </w:r>
      <w:r w:rsidR="00656C2E" w:rsidRPr="00FB18DA">
        <w:rPr>
          <w:rFonts w:ascii="Book Antiqua" w:hAnsi="Book Antiqua" w:cs="Arial"/>
          <w:sz w:val="24"/>
          <w:szCs w:val="24"/>
          <w:lang w:val="en-GB"/>
        </w:rPr>
        <w:t xml:space="preserve"> is positive</w:t>
      </w:r>
      <w:r w:rsidR="002E0757" w:rsidRPr="00FB18DA">
        <w:rPr>
          <w:rFonts w:ascii="Book Antiqua" w:hAnsi="Book Antiqua" w:cs="Arial"/>
          <w:sz w:val="24"/>
          <w:szCs w:val="24"/>
          <w:lang w:val="en-GB"/>
        </w:rPr>
        <w:t>, effective antiviral treatment must be instituted</w:t>
      </w:r>
      <w:r w:rsidR="00497DD3" w:rsidRPr="00FB18DA">
        <w:rPr>
          <w:rFonts w:ascii="Book Antiqua" w:hAnsi="Book Antiqua" w:cs="Arial"/>
          <w:sz w:val="24"/>
          <w:szCs w:val="24"/>
          <w:vertAlign w:val="superscript"/>
          <w:lang w:val="en-GB"/>
        </w:rPr>
        <w:t>[</w:t>
      </w:r>
      <w:r w:rsidR="002E0757" w:rsidRPr="00FB18DA">
        <w:rPr>
          <w:rFonts w:ascii="Book Antiqua" w:hAnsi="Book Antiqua" w:cs="Arial"/>
          <w:sz w:val="24"/>
          <w:szCs w:val="24"/>
          <w:lang w:val="en-GB"/>
        </w:rPr>
        <w:fldChar w:fldCharType="begin" w:fldLock="1"/>
      </w:r>
      <w:r w:rsidR="0094498C" w:rsidRPr="00FB18DA">
        <w:rPr>
          <w:rFonts w:ascii="Book Antiqua" w:hAnsi="Book Antiqua" w:cs="Arial"/>
          <w:sz w:val="24"/>
          <w:szCs w:val="24"/>
          <w:lang w:val="en-GB"/>
        </w:rPr>
        <w:instrText>ADDIN CSL_CITATION {"citationItems":[{"id":"ITEM-1","itemData":{"DOI":"10.1111/tid.12021","ISSN":"1399-3062 (Electronic)","PMID":"23075276","abstract":"Cytomegalovirus (CMV) infections in transplant patients is a well-known disease.  We describe the first case, to our knowledge, documenting CMV appendicitis in a renal transplant patient, and its clinical presentation, diagnosis, and treatment.","author":[{"dropping-particle":"","family":"Posen","given":"A","non-dropping-particle":"","parse-names":false,"suffix":""},{"dropping-particle":"","family":"Renckens","given":"I","non-dropping-particle":"","parse-names":false,"suffix":""},{"dropping-particle":"","family":"Sagaert","given":"X","non-dropping-particle":"","parse-names":false,"suffix":""},{"dropping-particle":"","family":"Kuypers","given":"D","non-dropping-particle":"","parse-names":false,"suffix":""}],"container-title":"Transplant infectious disease : an official journal of the Transplantation Society","id":"ITEM-1","issue":"1","issued":{"date-parts":[["2013","2"]]},"language":"eng","page":"96-97","publisher-place":"Denmark","title":"Subacute cytomegalovirus appendicitis in a renal transplant recipient.","type":"article-journal","volume":"15"},"uris":["http://www.mendeley.com/documents/?uuid=34cfdb4c-e990-4304-8603-8c214de49bc6"]}],"mendeley":{"formattedCitation":"&lt;sup&gt;10&lt;/sup&gt;","plainTextFormattedCitation":"10","previouslyFormattedCitation":"(Posen &lt;i&gt;et al.&lt;/i&gt;, 2013)"},"properties":{"noteIndex":0},"schema":"https://github.com/citation-style-language/schema/raw/master/csl-citation.json"}</w:instrText>
      </w:r>
      <w:r w:rsidR="002E0757" w:rsidRPr="00FB18DA">
        <w:rPr>
          <w:rFonts w:ascii="Book Antiqua" w:hAnsi="Book Antiqua" w:cs="Arial"/>
          <w:sz w:val="24"/>
          <w:szCs w:val="24"/>
          <w:lang w:val="en-GB"/>
        </w:rPr>
        <w:fldChar w:fldCharType="separate"/>
      </w:r>
      <w:r w:rsidR="0094498C" w:rsidRPr="00FB18DA">
        <w:rPr>
          <w:rFonts w:ascii="Book Antiqua" w:hAnsi="Book Antiqua" w:cs="Arial"/>
          <w:sz w:val="24"/>
          <w:szCs w:val="24"/>
          <w:vertAlign w:val="superscript"/>
          <w:lang w:val="en-GB"/>
        </w:rPr>
        <w:t>10</w:t>
      </w:r>
      <w:r w:rsidR="002E0757" w:rsidRPr="00FB18DA">
        <w:rPr>
          <w:rFonts w:ascii="Book Antiqua" w:hAnsi="Book Antiqua" w:cs="Arial"/>
          <w:sz w:val="24"/>
          <w:szCs w:val="24"/>
          <w:lang w:val="en-GB"/>
        </w:rPr>
        <w:fldChar w:fldCharType="end"/>
      </w:r>
      <w:r w:rsidR="00497DD3" w:rsidRPr="00FB18DA">
        <w:rPr>
          <w:rFonts w:ascii="Book Antiqua" w:hAnsi="Book Antiqua" w:cs="Arial"/>
          <w:sz w:val="24"/>
          <w:szCs w:val="24"/>
          <w:vertAlign w:val="superscript"/>
          <w:lang w:val="en-GB"/>
        </w:rPr>
        <w:t>]</w:t>
      </w:r>
      <w:r w:rsidR="002E0757" w:rsidRPr="00FB18DA">
        <w:rPr>
          <w:rFonts w:ascii="Book Antiqua" w:hAnsi="Book Antiqua" w:cs="Arial"/>
          <w:sz w:val="24"/>
          <w:szCs w:val="24"/>
          <w:lang w:val="en-GB"/>
        </w:rPr>
        <w:t>.</w:t>
      </w:r>
    </w:p>
    <w:p w14:paraId="5F96D19E" w14:textId="1CB9A587" w:rsidR="009176F1" w:rsidRPr="00FB18DA" w:rsidRDefault="002E0757" w:rsidP="00FB18DA">
      <w:pPr>
        <w:spacing w:after="0" w:line="360" w:lineRule="auto"/>
        <w:ind w:firstLineChars="100" w:firstLine="240"/>
        <w:jc w:val="both"/>
        <w:rPr>
          <w:rFonts w:ascii="Book Antiqua" w:hAnsi="Book Antiqua" w:cs="Arial"/>
          <w:sz w:val="24"/>
          <w:szCs w:val="24"/>
          <w:lang w:val="en-GB"/>
        </w:rPr>
      </w:pPr>
      <w:r w:rsidRPr="00FB18DA">
        <w:rPr>
          <w:rFonts w:ascii="Book Antiqua" w:hAnsi="Book Antiqua" w:cs="Arial"/>
          <w:sz w:val="24"/>
          <w:szCs w:val="24"/>
          <w:lang w:val="en-GB"/>
        </w:rPr>
        <w:t xml:space="preserve">The risk of perforation of </w:t>
      </w:r>
      <w:r w:rsidR="00362C34" w:rsidRPr="00FB18DA">
        <w:rPr>
          <w:rFonts w:ascii="Book Antiqua" w:hAnsi="Book Antiqua" w:cs="Arial"/>
          <w:sz w:val="24"/>
          <w:szCs w:val="24"/>
          <w:lang w:val="en-GB"/>
        </w:rPr>
        <w:t xml:space="preserve">an </w:t>
      </w:r>
      <w:r w:rsidRPr="00FB18DA">
        <w:rPr>
          <w:rFonts w:ascii="Book Antiqua" w:hAnsi="Book Antiqua" w:cs="Arial"/>
          <w:sz w:val="24"/>
          <w:szCs w:val="24"/>
          <w:lang w:val="en-GB"/>
        </w:rPr>
        <w:t xml:space="preserve">inflamed appendix escalates </w:t>
      </w:r>
      <w:r w:rsidR="007D4E5A" w:rsidRPr="00FB18DA">
        <w:rPr>
          <w:rFonts w:ascii="Book Antiqua" w:hAnsi="Book Antiqua" w:cs="Arial"/>
          <w:sz w:val="24"/>
          <w:szCs w:val="24"/>
          <w:lang w:val="en-GB"/>
        </w:rPr>
        <w:t>over time</w:t>
      </w:r>
      <w:r w:rsidRPr="00FB18DA">
        <w:rPr>
          <w:rFonts w:ascii="Book Antiqua" w:hAnsi="Book Antiqua" w:cs="Arial"/>
          <w:sz w:val="24"/>
          <w:szCs w:val="24"/>
          <w:lang w:val="en-GB"/>
        </w:rPr>
        <w:t xml:space="preserve">. </w:t>
      </w:r>
      <w:r w:rsidR="00CD0A7A" w:rsidRPr="00FB18DA">
        <w:rPr>
          <w:rFonts w:ascii="Book Antiqua" w:hAnsi="Book Antiqua" w:cs="Arial"/>
          <w:sz w:val="24"/>
          <w:szCs w:val="24"/>
          <w:lang w:val="en-GB"/>
        </w:rPr>
        <w:t>P</w:t>
      </w:r>
      <w:r w:rsidRPr="00FB18DA">
        <w:rPr>
          <w:rFonts w:ascii="Book Antiqua" w:hAnsi="Book Antiqua" w:cs="Arial"/>
          <w:sz w:val="24"/>
          <w:szCs w:val="24"/>
          <w:lang w:val="en-GB"/>
        </w:rPr>
        <w:t xml:space="preserve">erforation is present in </w:t>
      </w:r>
      <w:r w:rsidRPr="00FB18DA">
        <w:rPr>
          <w:rFonts w:ascii="Book Antiqua" w:eastAsia="Calibri" w:hAnsi="Book Antiqua" w:cs="Arial"/>
          <w:sz w:val="24"/>
          <w:szCs w:val="24"/>
          <w:lang w:val="en-GB"/>
        </w:rPr>
        <w:t>approximately</w:t>
      </w:r>
      <w:r w:rsidRPr="00FB18DA">
        <w:rPr>
          <w:rFonts w:ascii="Book Antiqua" w:hAnsi="Book Antiqua" w:cs="Arial"/>
          <w:sz w:val="24"/>
          <w:szCs w:val="24"/>
          <w:lang w:val="en-GB"/>
        </w:rPr>
        <w:t xml:space="preserve"> 10% of patients by 24 h and</w:t>
      </w:r>
      <w:r w:rsidR="00A41D34" w:rsidRPr="00FB18DA">
        <w:rPr>
          <w:rFonts w:ascii="Book Antiqua" w:hAnsi="Book Antiqua" w:cs="Arial"/>
          <w:sz w:val="24"/>
          <w:szCs w:val="24"/>
          <w:lang w:val="en-GB"/>
        </w:rPr>
        <w:t xml:space="preserve"> in</w:t>
      </w:r>
      <w:r w:rsidRPr="00FB18DA">
        <w:rPr>
          <w:rFonts w:ascii="Book Antiqua" w:hAnsi="Book Antiqua" w:cs="Arial"/>
          <w:sz w:val="24"/>
          <w:szCs w:val="24"/>
          <w:lang w:val="en-GB"/>
        </w:rPr>
        <w:t xml:space="preserve"> up to 50% of patients by 48 h in </w:t>
      </w:r>
      <w:r w:rsidR="0047716F" w:rsidRPr="00FB18DA">
        <w:rPr>
          <w:rFonts w:ascii="Book Antiqua" w:hAnsi="Book Antiqua" w:cs="Arial"/>
          <w:sz w:val="24"/>
          <w:szCs w:val="24"/>
          <w:lang w:val="en-GB"/>
        </w:rPr>
        <w:t xml:space="preserve">the </w:t>
      </w:r>
      <w:r w:rsidRPr="00FB18DA">
        <w:rPr>
          <w:rFonts w:ascii="Book Antiqua" w:hAnsi="Book Antiqua" w:cs="Arial"/>
          <w:sz w:val="24"/>
          <w:szCs w:val="24"/>
          <w:lang w:val="en-GB"/>
        </w:rPr>
        <w:t xml:space="preserve">non-transplanted </w:t>
      </w:r>
      <w:r w:rsidR="0047716F" w:rsidRPr="00FB18DA">
        <w:rPr>
          <w:rFonts w:ascii="Book Antiqua" w:hAnsi="Book Antiqua" w:cs="Arial"/>
          <w:sz w:val="24"/>
          <w:szCs w:val="24"/>
          <w:lang w:val="en-GB"/>
        </w:rPr>
        <w:t xml:space="preserve">paediatric </w:t>
      </w:r>
      <w:r w:rsidRPr="00FB18DA">
        <w:rPr>
          <w:rFonts w:ascii="Book Antiqua" w:hAnsi="Book Antiqua" w:cs="Arial"/>
          <w:sz w:val="24"/>
          <w:szCs w:val="24"/>
          <w:lang w:val="en-GB"/>
        </w:rPr>
        <w:t>population</w:t>
      </w:r>
      <w:r w:rsidR="007744AD" w:rsidRPr="00FB18DA">
        <w:rPr>
          <w:rFonts w:ascii="Book Antiqua" w:hAnsi="Book Antiqua" w:cs="Arial"/>
          <w:sz w:val="24"/>
          <w:szCs w:val="24"/>
          <w:vertAlign w:val="superscript"/>
          <w:lang w:val="en-GB"/>
        </w:rPr>
        <w:t>[</w:t>
      </w:r>
      <w:r w:rsidR="00061459" w:rsidRPr="00FB18DA">
        <w:rPr>
          <w:rFonts w:ascii="Book Antiqua" w:hAnsi="Book Antiqua" w:cs="Arial"/>
          <w:sz w:val="24"/>
          <w:szCs w:val="24"/>
          <w:lang w:val="en-GB"/>
        </w:rPr>
        <w:fldChar w:fldCharType="begin" w:fldLock="1"/>
      </w:r>
      <w:r w:rsidR="0094498C" w:rsidRPr="00FB18DA">
        <w:rPr>
          <w:rFonts w:ascii="Book Antiqua" w:hAnsi="Book Antiqua" w:cs="Arial"/>
          <w:sz w:val="24"/>
          <w:szCs w:val="24"/>
          <w:lang w:val="en-GB"/>
        </w:rPr>
        <w:instrText>ADDIN CSL_CITATION {"citationItems":[{"id":"ITEM-1","itemData":{"DOI":"10.1136/adc.81.4.e372","ISSN":"1468-2044 (Electronic)","PMID":"10577360","author":[{"dropping-particle":"","family":"Chan","given":"M K","non-dropping-particle":"","parse-names":false,"suffix":""},{"dropping-particle":"","family":"Wilcox","given":"D T","non-dropping-particle":"","parse-names":false,"suffix":""},{"dropping-particle":"","family":"Trompeter","given":"R S","non-dropping-particle":"","parse-names":false,"suffix":""}],"container-title":"Archives of disease in childhood","id":"ITEM-1","issue":"4","issued":{"date-parts":[["1999","10"]]},"language":"eng","page":"372","publisher-place":"England","title":"Acute appendicitis in children after renal transplantation.","type":"article","volume":"81"},"uris":["http://www.mendeley.com/documents/?uuid=7da6128e-7222-440b-bbf2-46b21ed37414"]}],"mendeley":{"formattedCitation":"&lt;sup&gt;11&lt;/sup&gt;","plainTextFormattedCitation":"11","previouslyFormattedCitation":"(Chan, Wilcox and Trompeter, 1999)"},"properties":{"noteIndex":0},"schema":"https://github.com/citation-style-language/schema/raw/master/csl-citation.json"}</w:instrText>
      </w:r>
      <w:r w:rsidR="00061459" w:rsidRPr="00FB18DA">
        <w:rPr>
          <w:rFonts w:ascii="Book Antiqua" w:hAnsi="Book Antiqua" w:cs="Arial"/>
          <w:sz w:val="24"/>
          <w:szCs w:val="24"/>
          <w:lang w:val="en-GB"/>
        </w:rPr>
        <w:fldChar w:fldCharType="separate"/>
      </w:r>
      <w:r w:rsidR="0094498C" w:rsidRPr="00FB18DA">
        <w:rPr>
          <w:rFonts w:ascii="Book Antiqua" w:hAnsi="Book Antiqua" w:cs="Arial"/>
          <w:sz w:val="24"/>
          <w:szCs w:val="24"/>
          <w:vertAlign w:val="superscript"/>
          <w:lang w:val="en-GB"/>
        </w:rPr>
        <w:t>11</w:t>
      </w:r>
      <w:r w:rsidR="00061459" w:rsidRPr="00FB18DA">
        <w:rPr>
          <w:rFonts w:ascii="Book Antiqua" w:hAnsi="Book Antiqua" w:cs="Arial"/>
          <w:sz w:val="24"/>
          <w:szCs w:val="24"/>
          <w:lang w:val="en-GB"/>
        </w:rPr>
        <w:fldChar w:fldCharType="end"/>
      </w:r>
      <w:r w:rsidR="007744AD" w:rsidRPr="00FB18DA">
        <w:rPr>
          <w:rFonts w:ascii="Book Antiqua" w:hAnsi="Book Antiqua" w:cs="Arial"/>
          <w:sz w:val="24"/>
          <w:szCs w:val="24"/>
          <w:vertAlign w:val="superscript"/>
          <w:lang w:val="en-GB"/>
        </w:rPr>
        <w:t>]</w:t>
      </w:r>
      <w:r w:rsidR="009C3009" w:rsidRPr="00FB18DA">
        <w:rPr>
          <w:rFonts w:ascii="Book Antiqua" w:hAnsi="Book Antiqua" w:cs="Arial"/>
          <w:sz w:val="24"/>
          <w:szCs w:val="24"/>
          <w:lang w:val="en-GB"/>
        </w:rPr>
        <w:t xml:space="preserve">. Although the diagnosis of AA is often based on clinical and laboratory </w:t>
      </w:r>
      <w:r w:rsidRPr="00FB18DA">
        <w:rPr>
          <w:rFonts w:ascii="Book Antiqua" w:eastAsia="Calibri" w:hAnsi="Book Antiqua" w:cs="Arial"/>
          <w:sz w:val="24"/>
          <w:szCs w:val="24"/>
          <w:lang w:val="en-GB"/>
        </w:rPr>
        <w:t>findings</w:t>
      </w:r>
      <w:r w:rsidR="009C3009" w:rsidRPr="00FB18DA">
        <w:rPr>
          <w:rFonts w:ascii="Book Antiqua" w:hAnsi="Book Antiqua" w:cs="Arial"/>
          <w:sz w:val="24"/>
          <w:szCs w:val="24"/>
          <w:lang w:val="en-GB"/>
        </w:rPr>
        <w:t xml:space="preserve">, the use of either US or CT is recommended if AA is suspected; the sensitivity </w:t>
      </w:r>
      <w:r w:rsidR="00D16278" w:rsidRPr="00FB18DA">
        <w:rPr>
          <w:rFonts w:ascii="Book Antiqua" w:hAnsi="Book Antiqua" w:cs="Arial"/>
          <w:sz w:val="24"/>
          <w:szCs w:val="24"/>
          <w:lang w:val="en-GB"/>
        </w:rPr>
        <w:t xml:space="preserve">and </w:t>
      </w:r>
      <w:r w:rsidR="00D16278" w:rsidRPr="00FB18DA">
        <w:rPr>
          <w:rFonts w:ascii="Book Antiqua" w:hAnsi="Book Antiqua" w:cs="Arial"/>
          <w:sz w:val="24"/>
          <w:szCs w:val="24"/>
          <w:lang w:val="en-GB"/>
        </w:rPr>
        <w:lastRenderedPageBreak/>
        <w:t xml:space="preserve">specificity </w:t>
      </w:r>
      <w:r w:rsidR="009C3009" w:rsidRPr="00FB18DA">
        <w:rPr>
          <w:rFonts w:ascii="Book Antiqua" w:hAnsi="Book Antiqua" w:cs="Arial"/>
          <w:sz w:val="24"/>
          <w:szCs w:val="24"/>
          <w:lang w:val="en-GB"/>
        </w:rPr>
        <w:t xml:space="preserve">of CT </w:t>
      </w:r>
      <w:r w:rsidR="00D16278" w:rsidRPr="00FB18DA">
        <w:rPr>
          <w:rFonts w:ascii="Book Antiqua" w:hAnsi="Book Antiqua" w:cs="Arial"/>
          <w:sz w:val="24"/>
          <w:szCs w:val="24"/>
          <w:lang w:val="en-GB"/>
        </w:rPr>
        <w:t>are</w:t>
      </w:r>
      <w:r w:rsidR="009C3009" w:rsidRPr="00FB18DA">
        <w:rPr>
          <w:rFonts w:ascii="Book Antiqua" w:hAnsi="Book Antiqua" w:cs="Arial"/>
          <w:sz w:val="24"/>
          <w:szCs w:val="24"/>
          <w:lang w:val="en-GB"/>
        </w:rPr>
        <w:t xml:space="preserve"> up to 98.5% and up to 98%</w:t>
      </w:r>
      <w:r w:rsidR="00D16278" w:rsidRPr="00FB18DA">
        <w:rPr>
          <w:rFonts w:ascii="Book Antiqua" w:hAnsi="Book Antiqua" w:cs="Arial"/>
          <w:sz w:val="24"/>
          <w:szCs w:val="24"/>
          <w:lang w:val="en-GB"/>
        </w:rPr>
        <w:t>, respectively</w:t>
      </w:r>
      <w:r w:rsidR="0020269C" w:rsidRPr="00FB18DA">
        <w:rPr>
          <w:rFonts w:ascii="Book Antiqua" w:hAnsi="Book Antiqua" w:cs="Arial"/>
          <w:sz w:val="24"/>
          <w:szCs w:val="24"/>
          <w:vertAlign w:val="superscript"/>
          <w:lang w:val="en-GB"/>
        </w:rPr>
        <w:t>[</w:t>
      </w:r>
      <w:r w:rsidR="009C3009" w:rsidRPr="00FB18DA">
        <w:rPr>
          <w:rFonts w:ascii="Book Antiqua" w:hAnsi="Book Antiqua" w:cs="Arial"/>
          <w:sz w:val="24"/>
          <w:szCs w:val="24"/>
          <w:lang w:val="en-GB"/>
        </w:rPr>
        <w:fldChar w:fldCharType="begin" w:fldLock="1"/>
      </w:r>
      <w:r w:rsidR="0094498C" w:rsidRPr="00FB18DA">
        <w:rPr>
          <w:rFonts w:ascii="Book Antiqua" w:hAnsi="Book Antiqua" w:cs="Arial"/>
          <w:sz w:val="24"/>
          <w:szCs w:val="24"/>
          <w:lang w:val="en-GB"/>
        </w:rPr>
        <w:instrText>ADDIN CSL_CITATION {"citationItems":[{"id":"ITEM-1","itemData":{"DOI":"10.7326/0003-4819-154-12-201106210-00006","ISSN":"1539-3704 (Electronic)","PMID":"21690593","abstract":"BACKGROUND: Use of preoperative computed tomography for suspected acute appendicitis has dramatically increased since the introduction of multidetector CT (MDCT) scanners. OBJECTIVE: To evaluate the diagnostic performance of MDCT for suspected acute appendicitis in adults. DESIGN: Analysis of MDCT findings and clinical outcomes of consecutive adults referred for MDCT for suspected appendicitis from January 2000 to December 2009. SETTING: Single academic medical center in the United States. PATIENTS: 2871 adults. MEASUREMENTS: Interpretation of nonfocused abdominopelvic MDCT scans by radiologists who were aware of the study indication. Posttest assessment of diagnostic performance of MDCT for acute appendicitis, according to the reference standard of final combined clinical, surgical, and pathology findings. RESULTS: 675 of 2871 patients (23.5%) had confirmed acute appendicitis. The sensitivity, specificity, and negative and positive predictive values of MDCT were 98.5% (95% CI, 97.3% to 99.2%) (665 of 675 patients), 98.0% (CI, 97.4% to 98.6%) (2153 of 2196 patients), 99.5% (CI, 99.2% to 99.8%) (2153 of 2163 patients), and 93.9% (CI, 91.9% to 95.5%) (665 of 708 patients), respectively. Positive and negative likelihood ratios were 51.3 (CI, 38.1 to 69.0) and 0.015 (CI, 0.008 to 0.028), respectively. The overall rate of negative findings at appendectomy was 7.5% (CI, 5.8% to 9.7%) (54 of 716 patients), but would have decreased to 4.1% (28 of 690 patients) had surgery been avoided in 26 cases with true-negative findings on MDCT. The overall perforation rate was 17.8% (120 of 675 patients) but progressively decreased from 28.9% in 2000 to 11.5% in 2009. Multidetector computed tomography provided or suggested an alternative diagnosis in 893 of 2122 patients (42.1%) without appendicitis or appendectomy. LIMITATION: Possible referral bias, because some patients whose appendicitis was difficult to diagnose on clinical grounds may not have been referred for MDCT for evaluation of suspected appendicitis. CONCLUSION: Multidetector computed tomography is a useful test for routine evaluation of suspected appendicitis in adults. PRIMARY FUNDING SOURCE: None.","author":[{"dropping-particle":"","family":"Pickhardt","given":"Perry J","non-dropping-particle":"","parse-names":false,"suffix":""},{"dropping-particle":"","family":"Lawrence","given":"Edward M","non-dropping-particle":"","parse-names":false,"suffix":""},{"dropping-particle":"","family":"Pooler","given":"B Dustin","non-dropping-particle":"","parse-names":false,"suffix":""},{"dropping-particle":"","family":"Bruce","given":"Richard J","non-dropping-particle":"","parse-names":false,"suffix":""}],"container-title":"Annals of internal medicine","id":"ITEM-1","issue":"12","issued":{"date-parts":[["2011","6"]]},"language":"eng","page":"789-96, W-291","publisher-place":"United States","title":"Diagnostic performance of multidetector computed tomography for suspected acute appendicitis.","type":"article-journal","volume":"154"},"uris":["http://www.mendeley.com/documents/?uuid=9f28e215-1e8d-422d-a830-1a60f3de8580"]}],"mendeley":{"formattedCitation":"&lt;sup&gt;12&lt;/sup&gt;","plainTextFormattedCitation":"12","previouslyFormattedCitation":"(Pickhardt &lt;i&gt;et al.&lt;/i&gt;, 2011)"},"properties":{"noteIndex":0},"schema":"https://github.com/citation-style-language/schema/raw/master/csl-citation.json"}</w:instrText>
      </w:r>
      <w:r w:rsidR="009C3009" w:rsidRPr="00FB18DA">
        <w:rPr>
          <w:rFonts w:ascii="Book Antiqua" w:hAnsi="Book Antiqua" w:cs="Arial"/>
          <w:sz w:val="24"/>
          <w:szCs w:val="24"/>
          <w:lang w:val="en-GB"/>
        </w:rPr>
        <w:fldChar w:fldCharType="separate"/>
      </w:r>
      <w:r w:rsidR="0094498C" w:rsidRPr="00FB18DA">
        <w:rPr>
          <w:rFonts w:ascii="Book Antiqua" w:hAnsi="Book Antiqua" w:cs="Arial"/>
          <w:sz w:val="24"/>
          <w:szCs w:val="24"/>
          <w:vertAlign w:val="superscript"/>
          <w:lang w:val="en-GB"/>
        </w:rPr>
        <w:t>12</w:t>
      </w:r>
      <w:r w:rsidR="009C3009" w:rsidRPr="00FB18DA">
        <w:rPr>
          <w:rFonts w:ascii="Book Antiqua" w:hAnsi="Book Antiqua" w:cs="Arial"/>
          <w:sz w:val="24"/>
          <w:szCs w:val="24"/>
          <w:lang w:val="en-GB"/>
        </w:rPr>
        <w:fldChar w:fldCharType="end"/>
      </w:r>
      <w:r w:rsidR="0020269C" w:rsidRPr="00FB18DA">
        <w:rPr>
          <w:rFonts w:ascii="Book Antiqua" w:hAnsi="Book Antiqua" w:cs="Arial"/>
          <w:sz w:val="24"/>
          <w:szCs w:val="24"/>
          <w:vertAlign w:val="superscript"/>
          <w:lang w:val="en-GB"/>
        </w:rPr>
        <w:t>]</w:t>
      </w:r>
      <w:r w:rsidR="00396BAE" w:rsidRPr="00FB18DA">
        <w:rPr>
          <w:rFonts w:ascii="Book Antiqua" w:hAnsi="Book Antiqua" w:cs="Arial"/>
          <w:sz w:val="24"/>
          <w:szCs w:val="24"/>
          <w:lang w:val="en-GB"/>
        </w:rPr>
        <w:t>. According to a meta-analysis, the rate of a negative appendectomy was 8.7% with the use of preoperative abdominal CT compared to 16.7% based on clinical evaluation alone</w:t>
      </w:r>
      <w:r w:rsidR="0020269C" w:rsidRPr="00FB18DA">
        <w:rPr>
          <w:rFonts w:ascii="Book Antiqua" w:hAnsi="Book Antiqua" w:cs="Arial"/>
          <w:sz w:val="24"/>
          <w:szCs w:val="24"/>
          <w:vertAlign w:val="superscript"/>
          <w:lang w:val="en-GB"/>
        </w:rPr>
        <w:t>[</w:t>
      </w:r>
      <w:r w:rsidR="00396BAE" w:rsidRPr="00FB18DA">
        <w:rPr>
          <w:rFonts w:ascii="Book Antiqua" w:hAnsi="Book Antiqua" w:cs="Arial"/>
          <w:sz w:val="24"/>
          <w:szCs w:val="24"/>
          <w:lang w:val="en-GB"/>
        </w:rPr>
        <w:fldChar w:fldCharType="begin" w:fldLock="1"/>
      </w:r>
      <w:r w:rsidR="0094498C" w:rsidRPr="00FB18DA">
        <w:rPr>
          <w:rFonts w:ascii="Book Antiqua" w:hAnsi="Book Antiqua" w:cs="Arial"/>
          <w:sz w:val="24"/>
          <w:szCs w:val="24"/>
          <w:lang w:val="en-GB"/>
        </w:rPr>
        <w:instrText>ADDIN CSL_CITATION {"citationItems":[{"id":"ITEM-1","itemData":{"DOI":"10.1503/cjs.023509","ISSN":"1488-2310 (Electronic)","PMID":"21251432","abstract":"BACKGROUND: Clinical evaluation alone is still considered adequate by many clinicians who treat patients with appendicitis. The impact of computed tomography (CT) on clinical outcomes remains unclear, and there is no consensus regarding the appropriate use of CT in these patients. We sought to evaluate the impact of abdominal CT on the clinical outcomes of patients presenting with suspected appendicitis. METHODS: We conducted a systematic review of the literature to identify studies that examined clinical outcomes related to the use of abdominal CT in the diagnosis of acute appendicitis. Inclusion criteria were studies of adult patients with suspected appendicitis that evaluated the impact of abdominal CT on negative appendectomy rates, perforation rates or time to surgery. Two independent investigators reviewed all titles and abstracts and extracted data from 28 full-text articles. Statistical analysis was conducted using Review Manager 5.0.10 software. RESULTS: The negative appendectomy rate was 8.7% when using CT compared with 16.7% when using clinical evaluation alone (p &lt; 0.001). There was also a significantly lower negative appendectomy rate during the CT era compared with the pre-CT era (10.0% v. 21.5%, p &lt; 0.001). Time to surgery was evaluated in 10 of the 28 studies, 5 of which demonstrated a significant increase in the time to surgery with the use of CT. Appendiceal perforation rates were unchanged by the use of CT (23.4% in the CT group v. 16.7% in the clinical evaluation group, p = 0.15). Similarly, the perforation rate during the CT era was not significantly different than that during the pre-CT era (20.0% v. 19.6%, p = 0.74). CONCLUSION: This meta-analysis supports the hypothesis that the use of preoperative abdominal CT is associated with lower negative appendectomy rates. The use of CT in the absence of an expedited imaging protocol may delay surgery, but this delay is not associated with increased appendiceal perforation rates. Routine CT in all patients presenting with suspected appendicitis could reduce the rate of unnecessary surgery without increasing morbidity.","author":[{"dropping-particle":"","family":"Krajewski","given":"Susan","non-dropping-particle":"","parse-names":false,"suffix":""},{"dropping-particle":"","family":"Brown","given":"Jacqueline","non-dropping-particle":"","parse-names":false,"suffix":""},{"dropping-particle":"","family":"Phang","given":"P Terry","non-dropping-particle":"","parse-names":false,"suffix":""},{"dropping-particle":"","family":"Raval","given":"Manoj","non-dropping-particle":"","parse-names":false,"suffix":""},{"dropping-particle":"","family":"Brown","given":"Carl J","non-dropping-particle":"","parse-names":false,"suffix":""}],"container-title":"Canadian journal of surgery. Journal canadien de chirurgie","id":"ITEM-1","issue":"1","issued":{"date-parts":[["2011","2"]]},"language":"eng","page":"43-53","publisher-place":"Canada","title":"Impact of computed tomography of the abdomen on clinical outcomes in patients with acute right lower quadrant pain: a meta-analysis.","type":"article-journal","volume":"54"},"uris":["http://www.mendeley.com/documents/?uuid=f8e9516f-859f-411c-be8a-3c9be478617e"]}],"mendeley":{"formattedCitation":"&lt;sup&gt;13&lt;/sup&gt;","plainTextFormattedCitation":"13","previouslyFormattedCitation":"(Krajewski &lt;i&gt;et al.&lt;/i&gt;, 2011)"},"properties":{"noteIndex":0},"schema":"https://github.com/citation-style-language/schema/raw/master/csl-citation.json"}</w:instrText>
      </w:r>
      <w:r w:rsidR="00396BAE" w:rsidRPr="00FB18DA">
        <w:rPr>
          <w:rFonts w:ascii="Book Antiqua" w:hAnsi="Book Antiqua" w:cs="Arial"/>
          <w:sz w:val="24"/>
          <w:szCs w:val="24"/>
          <w:lang w:val="en-GB"/>
        </w:rPr>
        <w:fldChar w:fldCharType="separate"/>
      </w:r>
      <w:r w:rsidR="0094498C" w:rsidRPr="00FB18DA">
        <w:rPr>
          <w:rFonts w:ascii="Book Antiqua" w:hAnsi="Book Antiqua" w:cs="Arial"/>
          <w:sz w:val="24"/>
          <w:szCs w:val="24"/>
          <w:vertAlign w:val="superscript"/>
          <w:lang w:val="en-GB"/>
        </w:rPr>
        <w:t>13</w:t>
      </w:r>
      <w:r w:rsidR="00396BAE" w:rsidRPr="00FB18DA">
        <w:rPr>
          <w:rFonts w:ascii="Book Antiqua" w:hAnsi="Book Antiqua" w:cs="Arial"/>
          <w:sz w:val="24"/>
          <w:szCs w:val="24"/>
          <w:lang w:val="en-GB"/>
        </w:rPr>
        <w:fldChar w:fldCharType="end"/>
      </w:r>
      <w:r w:rsidR="0020269C" w:rsidRPr="00FB18DA">
        <w:rPr>
          <w:rFonts w:ascii="Book Antiqua" w:hAnsi="Book Antiqua" w:cs="Arial"/>
          <w:sz w:val="24"/>
          <w:szCs w:val="24"/>
          <w:vertAlign w:val="superscript"/>
          <w:lang w:val="en-GB"/>
        </w:rPr>
        <w:t>]</w:t>
      </w:r>
      <w:r w:rsidR="00396BAE" w:rsidRPr="00FB18DA">
        <w:rPr>
          <w:rFonts w:ascii="Book Antiqua" w:hAnsi="Book Antiqua" w:cs="Arial"/>
          <w:sz w:val="24"/>
          <w:szCs w:val="24"/>
          <w:lang w:val="en-GB"/>
        </w:rPr>
        <w:t xml:space="preserve">. However, US may be almost as sensitive as CT in diagnosing AA when performed by well-trained </w:t>
      </w:r>
      <w:r w:rsidRPr="00FB18DA">
        <w:rPr>
          <w:rFonts w:ascii="Book Antiqua" w:eastAsia="Calibri" w:hAnsi="Book Antiqua" w:cs="Arial"/>
          <w:sz w:val="24"/>
          <w:szCs w:val="24"/>
          <w:lang w:val="en-GB"/>
        </w:rPr>
        <w:t>radiologists</w:t>
      </w:r>
      <w:r w:rsidR="00A96D7E" w:rsidRPr="00FB18DA">
        <w:rPr>
          <w:rFonts w:ascii="Book Antiqua" w:eastAsia="Calibri" w:hAnsi="Book Antiqua" w:cs="Arial"/>
          <w:sz w:val="24"/>
          <w:szCs w:val="24"/>
          <w:lang w:val="en-GB"/>
        </w:rPr>
        <w:t>,</w:t>
      </w:r>
      <w:r w:rsidR="00396BAE" w:rsidRPr="00FB18DA">
        <w:rPr>
          <w:rFonts w:ascii="Book Antiqua" w:hAnsi="Book Antiqua" w:cs="Arial"/>
          <w:sz w:val="24"/>
          <w:szCs w:val="24"/>
          <w:lang w:val="en-GB"/>
        </w:rPr>
        <w:t xml:space="preserve"> with the advantage of no radiation exposure</w:t>
      </w:r>
      <w:r w:rsidR="0020269C" w:rsidRPr="00FB18DA">
        <w:rPr>
          <w:rFonts w:ascii="Book Antiqua" w:hAnsi="Book Antiqua" w:cs="Arial"/>
          <w:sz w:val="24"/>
          <w:szCs w:val="24"/>
          <w:vertAlign w:val="superscript"/>
          <w:lang w:val="en-GB"/>
        </w:rPr>
        <w:t>[</w:t>
      </w:r>
      <w:bookmarkStart w:id="151" w:name="_GoBack"/>
      <w:r w:rsidR="00396BAE" w:rsidRPr="00FB18DA">
        <w:rPr>
          <w:rFonts w:ascii="Book Antiqua" w:hAnsi="Book Antiqua" w:cs="Arial"/>
          <w:sz w:val="24"/>
          <w:szCs w:val="24"/>
          <w:lang w:val="en-GB"/>
        </w:rPr>
        <w:fldChar w:fldCharType="begin" w:fldLock="1"/>
      </w:r>
      <w:r w:rsidR="0094498C" w:rsidRPr="00FB18DA">
        <w:rPr>
          <w:rFonts w:ascii="Book Antiqua" w:hAnsi="Book Antiqua" w:cs="Arial"/>
          <w:sz w:val="24"/>
          <w:szCs w:val="24"/>
          <w:lang w:val="en-GB"/>
        </w:rPr>
        <w:instrText>ADDIN CSL_CITATION {"citationItems":[{"id":"ITEM-1","itemData":{"DOI":"10.1148/radiol.2411050913","ISSN":"0033-8419 (Print)","PMID":"16928974","abstract":"PURPOSE: To perform a meta-analysis to evaluate the diagnostic performance of ultrasonography (US) and computed tomography (CT) for the diagnosis of appendicitis in pediatric and adult populations. MATERIALS AND METHODS: Medical literature (from 1986 to 2004) was searched for articles on studies that used US, CT, or both as diagnostic tests for appendicitis in children (26 studies, 9356 patients) or adults (31 studies, 4341 patients). Prospective and retrospective studies were included if they separately reported the rate of true-positive, true-negative, false-positive, and false-negative diagnoses of appendicitis from US and CT findings compared with the positive and negative rates of appendicitis at surgery or follow-up. Clinical variables, technical factors, and test performance were extracted. Three readers assessed the quality of studies. RESULTS: Pooled sensitivity and specificity for diagnosis of appendicitis in children were 88% (95% confidence interval [CI]: 86%, 90%) and 94% (95% CI: 92%, 95%), respectively, for US studies and 94% (95% CI: 92%, 97%) and 95% (95% CI: 94%, 97%), respectively, for CT studies. Pooled sensitivity and specificity for diagnosis in adults were 83% (95% CI: 78%, 87%) and 93% (95% CI: 90%, 96%), respectively, for US studies and 94% (95% CI: 92%, 95%) and 94% (95% CI: 94%, 96%), respectively, for CT studies. CONCLUSION: From the diagnostic performance perspective, CT had a significantly higher sensitivity than did US in studies of children and adults; from the safety perspective, however, one should consider the radiation associated with CT, especially in children.","author":[{"dropping-particle":"","family":"Doria","given":"Andrea S","non-dropping-particle":"","parse-names":false,"suffix":""},{"dropping-particle":"","family":"Moineddin","given":"Rahim","non-dropping-particle":"","parse-names":false,"suffix":""},{"dropping-particle":"","family":"Kellenberger","given":"Christian J","non-dropping-particle":"","parse-names":false,"suffix":""},{"dropping-particle":"","family":"Epelman","given":"Monica","non-dropping-particle":"","parse-names":false,"suffix":""},{"dropping-particle":"","family":"Beyene","given":"Joseph","non-dropping-particle":"","parse-names":false,"suffix":""},{"dropping-particle":"","family":"Schuh","given":"Suzanne","non-dropping-particle":"","parse-names":false,"suffix":""},{"dropping-particle":"","family":"Babyn","given":"Paul S","non-dropping-particle":"","parse-names":false,"suffix":""},{"dropping-particle":"","family":"Dick","given":"Paul T","non-dropping-particle":"","parse-names":false,"suffix":""}],"container-title":"Radiology","id":"ITEM-1","issue":"1","issued":{"date-parts":[["2006","10"]]},"language":"eng","page":"83-94","publisher-place":"United States","title":"US or CT for Diagnosis of Appendicitis in Children and Adults? A Meta-Analysis.","type":"article-journal","volume":"241"},"uris":["http://www.mendeley.com/documents/?uuid=f51d5d62-0d6d-41eb-91a2-9dda677c3ed4"]}],"mendeley":{"formattedCitation":"&lt;sup&gt;14&lt;/sup&gt;","plainTextFormattedCitation":"14","previouslyFormattedCitation":"(Doria &lt;i&gt;et al.&lt;/i&gt;, 2006)"},"properties":{"noteIndex":0},"schema":"https://github.com/citation-style-language/schema/raw/master/csl-citation.json"}</w:instrText>
      </w:r>
      <w:r w:rsidR="00396BAE" w:rsidRPr="00FB18DA">
        <w:rPr>
          <w:rFonts w:ascii="Book Antiqua" w:hAnsi="Book Antiqua" w:cs="Arial"/>
          <w:sz w:val="24"/>
          <w:szCs w:val="24"/>
          <w:lang w:val="en-GB"/>
        </w:rPr>
        <w:fldChar w:fldCharType="separate"/>
      </w:r>
      <w:r w:rsidR="0094498C" w:rsidRPr="00FB18DA">
        <w:rPr>
          <w:rFonts w:ascii="Book Antiqua" w:hAnsi="Book Antiqua" w:cs="Arial"/>
          <w:sz w:val="24"/>
          <w:szCs w:val="24"/>
          <w:vertAlign w:val="superscript"/>
          <w:lang w:val="en-GB"/>
        </w:rPr>
        <w:t>14</w:t>
      </w:r>
      <w:r w:rsidR="00396BAE" w:rsidRPr="00FB18DA">
        <w:rPr>
          <w:rFonts w:ascii="Book Antiqua" w:hAnsi="Book Antiqua" w:cs="Arial"/>
          <w:sz w:val="24"/>
          <w:szCs w:val="24"/>
          <w:lang w:val="en-GB"/>
        </w:rPr>
        <w:fldChar w:fldCharType="end"/>
      </w:r>
      <w:r w:rsidR="0020269C" w:rsidRPr="00FB18DA">
        <w:rPr>
          <w:rFonts w:ascii="Book Antiqua" w:hAnsi="Book Antiqua" w:cs="Arial"/>
          <w:sz w:val="24"/>
          <w:szCs w:val="24"/>
          <w:vertAlign w:val="superscript"/>
          <w:lang w:val="en-GB"/>
        </w:rPr>
        <w:t>]</w:t>
      </w:r>
      <w:bookmarkEnd w:id="151"/>
      <w:r w:rsidR="00290547" w:rsidRPr="00FB18DA">
        <w:rPr>
          <w:rFonts w:ascii="Book Antiqua" w:hAnsi="Book Antiqua" w:cs="Arial"/>
          <w:sz w:val="24"/>
          <w:szCs w:val="24"/>
          <w:lang w:val="en-GB"/>
        </w:rPr>
        <w:t>.</w:t>
      </w:r>
    </w:p>
    <w:p w14:paraId="2FC92CBF" w14:textId="53C66EB5" w:rsidR="001359BB" w:rsidRPr="00FB18DA" w:rsidRDefault="001359BB" w:rsidP="00FB18DA">
      <w:pPr>
        <w:spacing w:after="0" w:line="360" w:lineRule="auto"/>
        <w:ind w:firstLineChars="100" w:firstLine="240"/>
        <w:jc w:val="both"/>
        <w:rPr>
          <w:rFonts w:ascii="Book Antiqua" w:hAnsi="Book Antiqua" w:cs="Arial"/>
          <w:sz w:val="24"/>
          <w:szCs w:val="24"/>
          <w:lang w:val="en-GB"/>
        </w:rPr>
      </w:pPr>
      <w:r w:rsidRPr="00FB18DA">
        <w:rPr>
          <w:rFonts w:ascii="Book Antiqua" w:hAnsi="Book Antiqua" w:cs="Arial"/>
          <w:sz w:val="24"/>
          <w:szCs w:val="24"/>
          <w:lang w:val="en-GB"/>
        </w:rPr>
        <w:t xml:space="preserve">In our case, if CT was used upon admission, it may have led to timely diagnosis and appendectomy of inflamed yet non-perforated appendix. However, we have suspicion that </w:t>
      </w:r>
      <w:r w:rsidRPr="00FB18DA">
        <w:rPr>
          <w:rFonts w:ascii="Book Antiqua" w:hAnsi="Book Antiqua" w:cs="Arial"/>
          <w:i/>
          <w:sz w:val="24"/>
          <w:szCs w:val="24"/>
          <w:lang w:val="en-GB"/>
        </w:rPr>
        <w:t>Clostridium difficile</w:t>
      </w:r>
      <w:r w:rsidRPr="00FB18DA">
        <w:rPr>
          <w:rFonts w:ascii="Book Antiqua" w:hAnsi="Book Antiqua" w:cs="Arial"/>
          <w:sz w:val="24"/>
          <w:szCs w:val="24"/>
          <w:lang w:val="en-GB"/>
        </w:rPr>
        <w:t xml:space="preserve"> colitis may have been the very cause of the appendicitis. In other words, it may be a case of </w:t>
      </w:r>
      <w:r w:rsidRPr="00FB18DA">
        <w:rPr>
          <w:rFonts w:ascii="Book Antiqua" w:hAnsi="Book Antiqua" w:cs="Arial"/>
          <w:i/>
          <w:sz w:val="24"/>
          <w:szCs w:val="24"/>
          <w:lang w:val="en-GB"/>
        </w:rPr>
        <w:t>Clostridium difficile</w:t>
      </w:r>
      <w:r w:rsidRPr="00FB18DA">
        <w:rPr>
          <w:rFonts w:ascii="Book Antiqua" w:hAnsi="Book Antiqua" w:cs="Arial"/>
          <w:sz w:val="24"/>
          <w:szCs w:val="24"/>
          <w:lang w:val="en-GB"/>
        </w:rPr>
        <w:t xml:space="preserve"> colitis and subsequent acute appendicitis.</w:t>
      </w:r>
    </w:p>
    <w:p w14:paraId="37F47BBB" w14:textId="09D6CF43" w:rsidR="00D54960" w:rsidRPr="00FB18DA" w:rsidRDefault="001F1559" w:rsidP="00FB18DA">
      <w:pPr>
        <w:spacing w:after="0" w:line="360" w:lineRule="auto"/>
        <w:ind w:firstLineChars="100" w:firstLine="240"/>
        <w:jc w:val="both"/>
        <w:rPr>
          <w:rFonts w:ascii="Book Antiqua" w:hAnsi="Book Antiqua" w:cs="Arial"/>
          <w:sz w:val="24"/>
          <w:szCs w:val="24"/>
          <w:lang w:val="en-GB"/>
        </w:rPr>
      </w:pPr>
      <w:r w:rsidRPr="00FB18DA">
        <w:rPr>
          <w:rFonts w:ascii="Book Antiqua" w:hAnsi="Book Antiqua" w:cs="Arial"/>
          <w:sz w:val="24"/>
          <w:szCs w:val="24"/>
          <w:lang w:val="en-GB"/>
        </w:rPr>
        <w:t xml:space="preserve">UTx is primarily considered a temporary transplant. It cannot be emphasized enough that UTx recipients should preferentially focus on </w:t>
      </w:r>
      <w:r w:rsidR="002E0757" w:rsidRPr="00FB18DA">
        <w:rPr>
          <w:rFonts w:ascii="Book Antiqua" w:eastAsia="Calibri" w:hAnsi="Book Antiqua" w:cs="Arial"/>
          <w:sz w:val="24"/>
          <w:szCs w:val="24"/>
          <w:lang w:val="en-GB"/>
        </w:rPr>
        <w:t xml:space="preserve">achieving </w:t>
      </w:r>
      <w:r w:rsidRPr="00FB18DA">
        <w:rPr>
          <w:rFonts w:ascii="Book Antiqua" w:hAnsi="Book Antiqua" w:cs="Arial"/>
          <w:sz w:val="24"/>
          <w:szCs w:val="24"/>
          <w:lang w:val="en-GB"/>
        </w:rPr>
        <w:t>successful embryo transfer. Since UTx recipients are prone to</w:t>
      </w:r>
      <w:r w:rsidR="002E0757" w:rsidRPr="00FB18DA">
        <w:rPr>
          <w:rFonts w:ascii="Book Antiqua" w:eastAsia="Calibri" w:hAnsi="Book Antiqua" w:cs="Arial"/>
          <w:sz w:val="24"/>
          <w:szCs w:val="24"/>
          <w:lang w:val="en-GB"/>
        </w:rPr>
        <w:t xml:space="preserve"> a</w:t>
      </w:r>
      <w:r w:rsidRPr="00FB18DA">
        <w:rPr>
          <w:rFonts w:ascii="Book Antiqua" w:hAnsi="Book Antiqua" w:cs="Arial"/>
          <w:sz w:val="24"/>
          <w:szCs w:val="24"/>
          <w:lang w:val="en-GB"/>
        </w:rPr>
        <w:t xml:space="preserve"> variety of complications and </w:t>
      </w:r>
      <w:r w:rsidR="00770F93" w:rsidRPr="00FB18DA">
        <w:rPr>
          <w:rFonts w:ascii="Book Antiqua" w:hAnsi="Book Antiqua" w:cs="Arial"/>
          <w:sz w:val="24"/>
          <w:szCs w:val="24"/>
          <w:lang w:val="en-GB"/>
        </w:rPr>
        <w:t xml:space="preserve">the </w:t>
      </w:r>
      <w:r w:rsidRPr="00FB18DA">
        <w:rPr>
          <w:rFonts w:ascii="Book Antiqua" w:hAnsi="Book Antiqua" w:cs="Arial"/>
          <w:sz w:val="24"/>
          <w:szCs w:val="24"/>
          <w:lang w:val="en-GB"/>
        </w:rPr>
        <w:t>side</w:t>
      </w:r>
      <w:r w:rsidR="002E0757" w:rsidRPr="00FB18DA">
        <w:rPr>
          <w:rFonts w:ascii="Book Antiqua" w:eastAsia="Calibri" w:hAnsi="Book Antiqua" w:cs="Arial"/>
          <w:sz w:val="24"/>
          <w:szCs w:val="24"/>
          <w:lang w:val="en-GB"/>
        </w:rPr>
        <w:t xml:space="preserve"> </w:t>
      </w:r>
      <w:r w:rsidRPr="00FB18DA">
        <w:rPr>
          <w:rFonts w:ascii="Book Antiqua" w:hAnsi="Book Antiqua" w:cs="Arial"/>
          <w:sz w:val="24"/>
          <w:szCs w:val="24"/>
          <w:lang w:val="en-GB"/>
        </w:rPr>
        <w:t xml:space="preserve">effects of immunosuppression, it is advisable to obviate any risky activities that might compromise </w:t>
      </w:r>
      <w:r w:rsidR="00E25B4B" w:rsidRPr="00FB18DA">
        <w:rPr>
          <w:rFonts w:ascii="Book Antiqua" w:hAnsi="Book Antiqua" w:cs="Arial"/>
          <w:sz w:val="24"/>
          <w:szCs w:val="24"/>
          <w:lang w:val="en-GB"/>
        </w:rPr>
        <w:t xml:space="preserve">achieving the </w:t>
      </w:r>
      <w:r w:rsidRPr="00FB18DA">
        <w:rPr>
          <w:rFonts w:ascii="Book Antiqua" w:hAnsi="Book Antiqua" w:cs="Arial"/>
          <w:sz w:val="24"/>
          <w:szCs w:val="24"/>
          <w:lang w:val="en-GB"/>
        </w:rPr>
        <w:t>primary aim.</w:t>
      </w:r>
    </w:p>
    <w:p w14:paraId="393B8CE6" w14:textId="77777777" w:rsidR="00AA265A" w:rsidRPr="00FB18DA" w:rsidRDefault="00AA265A" w:rsidP="00FB18DA">
      <w:pPr>
        <w:spacing w:after="0" w:line="360" w:lineRule="auto"/>
        <w:jc w:val="both"/>
        <w:rPr>
          <w:rFonts w:ascii="Book Antiqua" w:hAnsi="Book Antiqua" w:cs="Arial"/>
          <w:b/>
          <w:sz w:val="24"/>
          <w:szCs w:val="24"/>
          <w:lang w:val="en-GB"/>
        </w:rPr>
      </w:pPr>
    </w:p>
    <w:p w14:paraId="3C9936D6" w14:textId="77777777" w:rsidR="00222547" w:rsidRPr="00FB18DA" w:rsidRDefault="002E0757" w:rsidP="00FB18DA">
      <w:pPr>
        <w:spacing w:after="0" w:line="360" w:lineRule="auto"/>
        <w:jc w:val="both"/>
        <w:rPr>
          <w:rFonts w:ascii="Book Antiqua" w:hAnsi="Book Antiqua" w:cs="Arial"/>
          <w:b/>
          <w:sz w:val="24"/>
          <w:szCs w:val="24"/>
          <w:lang w:val="en-GB"/>
        </w:rPr>
      </w:pPr>
      <w:r w:rsidRPr="00FB18DA">
        <w:rPr>
          <w:rFonts w:ascii="Book Antiqua" w:hAnsi="Book Antiqua" w:cs="Arial"/>
          <w:b/>
          <w:sz w:val="24"/>
          <w:szCs w:val="24"/>
          <w:lang w:val="en-GB"/>
        </w:rPr>
        <w:t>CONCLUSION</w:t>
      </w:r>
    </w:p>
    <w:p w14:paraId="5E1C7377" w14:textId="77777777" w:rsidR="00AE52A4" w:rsidRPr="00FB18DA" w:rsidRDefault="00EC4C4C" w:rsidP="00FB18DA">
      <w:pPr>
        <w:spacing w:after="0" w:line="360" w:lineRule="auto"/>
        <w:jc w:val="both"/>
        <w:rPr>
          <w:rStyle w:val="mcntnormaltextrun"/>
          <w:rFonts w:ascii="Book Antiqua" w:hAnsi="Book Antiqua" w:cs="Arial"/>
          <w:b/>
          <w:color w:val="000000"/>
          <w:sz w:val="24"/>
          <w:szCs w:val="24"/>
          <w:lang w:val="en-GB"/>
        </w:rPr>
      </w:pPr>
      <w:bookmarkStart w:id="152" w:name="_Hlk24462701"/>
      <w:r w:rsidRPr="00FB18DA">
        <w:rPr>
          <w:rFonts w:ascii="Book Antiqua" w:hAnsi="Book Antiqua" w:cs="Arial"/>
          <w:sz w:val="24"/>
          <w:szCs w:val="24"/>
          <w:lang w:val="en-GB"/>
        </w:rPr>
        <w:t xml:space="preserve">In this paper, we </w:t>
      </w:r>
      <w:r w:rsidR="002E0757" w:rsidRPr="00FB18DA">
        <w:rPr>
          <w:rFonts w:ascii="Book Antiqua" w:eastAsia="Calibri" w:hAnsi="Book Antiqua" w:cs="Arial"/>
          <w:sz w:val="24"/>
          <w:szCs w:val="24"/>
          <w:lang w:val="en-GB"/>
        </w:rPr>
        <w:t>present</w:t>
      </w:r>
      <w:r w:rsidRPr="00FB18DA">
        <w:rPr>
          <w:rFonts w:ascii="Book Antiqua" w:hAnsi="Book Antiqua" w:cs="Arial"/>
          <w:sz w:val="24"/>
          <w:szCs w:val="24"/>
          <w:lang w:val="en-GB"/>
        </w:rPr>
        <w:t xml:space="preserve"> a unique report of a woman with a viable transplanted uterus graft suffering from </w:t>
      </w:r>
      <w:r w:rsidR="00A73FB2" w:rsidRPr="00FB18DA">
        <w:rPr>
          <w:rFonts w:ascii="Book Antiqua" w:hAnsi="Book Antiqua" w:cs="Arial"/>
          <w:i/>
          <w:sz w:val="24"/>
          <w:szCs w:val="24"/>
          <w:lang w:val="en-GB"/>
        </w:rPr>
        <w:t>Clostridium difficile</w:t>
      </w:r>
      <w:r w:rsidR="00DA5E14" w:rsidRPr="00FB18DA">
        <w:rPr>
          <w:rFonts w:ascii="Book Antiqua" w:hAnsi="Book Antiqua" w:cs="Arial"/>
          <w:sz w:val="24"/>
          <w:szCs w:val="24"/>
          <w:lang w:val="en-GB"/>
        </w:rPr>
        <w:t xml:space="preserve"> colitis and</w:t>
      </w:r>
      <w:r w:rsidR="00D8012B" w:rsidRPr="00FB18DA">
        <w:rPr>
          <w:rFonts w:ascii="Book Antiqua" w:hAnsi="Book Antiqua" w:cs="Arial"/>
          <w:sz w:val="24"/>
          <w:szCs w:val="24"/>
          <w:lang w:val="en-GB"/>
        </w:rPr>
        <w:t xml:space="preserve"> AA</w:t>
      </w:r>
      <w:r w:rsidR="00DA5E14" w:rsidRPr="00FB18DA">
        <w:rPr>
          <w:rFonts w:ascii="Book Antiqua" w:hAnsi="Book Antiqua" w:cs="Arial"/>
          <w:sz w:val="24"/>
          <w:szCs w:val="24"/>
          <w:lang w:val="en-GB"/>
        </w:rPr>
        <w:t>. The differential diagnosis in an immunosuppressed patient may be complex</w:t>
      </w:r>
      <w:r w:rsidR="002E0757" w:rsidRPr="00FB18DA">
        <w:rPr>
          <w:rFonts w:ascii="Book Antiqua" w:eastAsia="Calibri" w:hAnsi="Book Antiqua" w:cs="Arial"/>
          <w:sz w:val="24"/>
          <w:szCs w:val="24"/>
          <w:lang w:val="en-GB"/>
        </w:rPr>
        <w:t>,</w:t>
      </w:r>
      <w:r w:rsidR="00DA5E14" w:rsidRPr="00FB18DA">
        <w:rPr>
          <w:rFonts w:ascii="Book Antiqua" w:hAnsi="Book Antiqua" w:cs="Arial"/>
          <w:sz w:val="24"/>
          <w:szCs w:val="24"/>
          <w:lang w:val="en-GB"/>
        </w:rPr>
        <w:t xml:space="preserve"> and a high index of suspicion of atypical course and indefinite symptomatology of acute abdomen </w:t>
      </w:r>
      <w:r w:rsidR="009366F4" w:rsidRPr="00FB18DA">
        <w:rPr>
          <w:rFonts w:ascii="Book Antiqua" w:hAnsi="Book Antiqua" w:cs="Arial"/>
          <w:sz w:val="24"/>
          <w:szCs w:val="24"/>
          <w:lang w:val="en-GB"/>
        </w:rPr>
        <w:t xml:space="preserve">should be maintained </w:t>
      </w:r>
      <w:r w:rsidR="00DA5E14" w:rsidRPr="00FB18DA">
        <w:rPr>
          <w:rFonts w:ascii="Book Antiqua" w:hAnsi="Book Antiqua" w:cs="Arial"/>
          <w:sz w:val="24"/>
          <w:szCs w:val="24"/>
          <w:lang w:val="en-GB"/>
        </w:rPr>
        <w:t xml:space="preserve">in immunosuppressed patients. Sometimes, more than one synchronous pathological condition may be present. In transplanted patients, thrombosis of </w:t>
      </w:r>
      <w:r w:rsidR="00C26863" w:rsidRPr="00FB18DA">
        <w:rPr>
          <w:rFonts w:ascii="Book Antiqua" w:hAnsi="Book Antiqua" w:cs="Arial"/>
          <w:sz w:val="24"/>
          <w:szCs w:val="24"/>
          <w:lang w:val="en-GB"/>
        </w:rPr>
        <w:t>the</w:t>
      </w:r>
      <w:r w:rsidR="00DA5E14" w:rsidRPr="00FB18DA">
        <w:rPr>
          <w:rFonts w:ascii="Book Antiqua" w:hAnsi="Book Antiqua" w:cs="Arial"/>
          <w:sz w:val="24"/>
          <w:szCs w:val="24"/>
          <w:lang w:val="en-GB"/>
        </w:rPr>
        <w:t xml:space="preserve"> vascular </w:t>
      </w:r>
      <w:r w:rsidR="00C26863" w:rsidRPr="00FB18DA">
        <w:rPr>
          <w:rFonts w:ascii="Book Antiqua" w:hAnsi="Book Antiqua" w:cs="Arial"/>
          <w:sz w:val="24"/>
          <w:szCs w:val="24"/>
          <w:lang w:val="en-GB"/>
        </w:rPr>
        <w:t>pedicles</w:t>
      </w:r>
      <w:r w:rsidR="00DA5E14" w:rsidRPr="00FB18DA">
        <w:rPr>
          <w:rFonts w:ascii="Book Antiqua" w:hAnsi="Book Antiqua" w:cs="Arial"/>
          <w:sz w:val="24"/>
          <w:szCs w:val="24"/>
          <w:lang w:val="en-GB"/>
        </w:rPr>
        <w:t xml:space="preserve"> </w:t>
      </w:r>
      <w:r w:rsidR="002E0757" w:rsidRPr="00FB18DA">
        <w:rPr>
          <w:rFonts w:ascii="Book Antiqua" w:eastAsia="Calibri" w:hAnsi="Book Antiqua" w:cs="Arial"/>
          <w:sz w:val="24"/>
          <w:szCs w:val="24"/>
          <w:lang w:val="en-GB"/>
        </w:rPr>
        <w:t>must always</w:t>
      </w:r>
      <w:r w:rsidR="00DA5E14" w:rsidRPr="00FB18DA">
        <w:rPr>
          <w:rFonts w:ascii="Book Antiqua" w:hAnsi="Book Antiqua" w:cs="Arial"/>
          <w:sz w:val="24"/>
          <w:szCs w:val="24"/>
          <w:lang w:val="en-GB"/>
        </w:rPr>
        <w:t xml:space="preserve"> be excluded if pain or alteration to the graft’s function occurs. UTx recipients should preferentially focus on </w:t>
      </w:r>
      <w:r w:rsidR="002E0757" w:rsidRPr="00FB18DA">
        <w:rPr>
          <w:rFonts w:ascii="Book Antiqua" w:eastAsia="Calibri" w:hAnsi="Book Antiqua" w:cs="Arial"/>
          <w:sz w:val="24"/>
          <w:szCs w:val="24"/>
          <w:lang w:val="en-GB"/>
        </w:rPr>
        <w:t xml:space="preserve">achieving </w:t>
      </w:r>
      <w:r w:rsidR="00DA5E14" w:rsidRPr="00FB18DA">
        <w:rPr>
          <w:rFonts w:ascii="Book Antiqua" w:hAnsi="Book Antiqua" w:cs="Arial"/>
          <w:sz w:val="24"/>
          <w:szCs w:val="24"/>
          <w:lang w:val="en-GB"/>
        </w:rPr>
        <w:t xml:space="preserve">successful embryo transfer </w:t>
      </w:r>
      <w:r w:rsidR="002E0757" w:rsidRPr="00FB18DA">
        <w:rPr>
          <w:rFonts w:ascii="Book Antiqua" w:eastAsia="Calibri" w:hAnsi="Book Antiqua" w:cs="Arial"/>
          <w:sz w:val="24"/>
          <w:szCs w:val="24"/>
          <w:lang w:val="en-GB"/>
        </w:rPr>
        <w:t>because</w:t>
      </w:r>
      <w:r w:rsidR="00DA5E14" w:rsidRPr="00FB18DA">
        <w:rPr>
          <w:rFonts w:ascii="Book Antiqua" w:hAnsi="Book Antiqua" w:cs="Arial"/>
          <w:sz w:val="24"/>
          <w:szCs w:val="24"/>
          <w:lang w:val="en-GB"/>
        </w:rPr>
        <w:t xml:space="preserve"> they are prone to</w:t>
      </w:r>
      <w:r w:rsidR="002E0757" w:rsidRPr="00FB18DA">
        <w:rPr>
          <w:rFonts w:ascii="Book Antiqua" w:eastAsia="Calibri" w:hAnsi="Book Antiqua" w:cs="Arial"/>
          <w:sz w:val="24"/>
          <w:szCs w:val="24"/>
          <w:lang w:val="en-GB"/>
        </w:rPr>
        <w:t xml:space="preserve"> a</w:t>
      </w:r>
      <w:r w:rsidR="00DA5E14" w:rsidRPr="00FB18DA">
        <w:rPr>
          <w:rFonts w:ascii="Book Antiqua" w:hAnsi="Book Antiqua" w:cs="Arial"/>
          <w:sz w:val="24"/>
          <w:szCs w:val="24"/>
          <w:lang w:val="en-GB"/>
        </w:rPr>
        <w:t xml:space="preserve"> variety of complications.</w:t>
      </w:r>
      <w:bookmarkEnd w:id="152"/>
    </w:p>
    <w:p w14:paraId="361BBA53" w14:textId="77777777" w:rsidR="00AE52A4" w:rsidRPr="00FB18DA" w:rsidRDefault="00AE52A4" w:rsidP="00FB18DA">
      <w:pPr>
        <w:spacing w:after="0" w:line="360" w:lineRule="auto"/>
        <w:jc w:val="both"/>
        <w:rPr>
          <w:rStyle w:val="mcntnormaltextrun"/>
          <w:rFonts w:ascii="Book Antiqua" w:hAnsi="Book Antiqua" w:cs="Arial"/>
          <w:b/>
          <w:color w:val="000000"/>
          <w:sz w:val="24"/>
          <w:szCs w:val="24"/>
          <w:lang w:val="en-GB"/>
        </w:rPr>
      </w:pPr>
    </w:p>
    <w:p w14:paraId="5831D9F1" w14:textId="04867AA5" w:rsidR="00F46221" w:rsidRPr="00FB18DA" w:rsidRDefault="002E0757" w:rsidP="00FB18DA">
      <w:pPr>
        <w:spacing w:after="0" w:line="360" w:lineRule="auto"/>
        <w:jc w:val="both"/>
        <w:rPr>
          <w:rFonts w:ascii="Book Antiqua" w:eastAsia="Times New Roman" w:hAnsi="Book Antiqua" w:cs="Arial"/>
          <w:b/>
          <w:color w:val="000000"/>
          <w:sz w:val="24"/>
          <w:szCs w:val="24"/>
          <w:lang w:val="en-GB" w:eastAsia="cs-CZ"/>
        </w:rPr>
      </w:pPr>
      <w:r w:rsidRPr="00FB18DA">
        <w:rPr>
          <w:rStyle w:val="mcntnormaltextrun"/>
          <w:rFonts w:ascii="Book Antiqua" w:hAnsi="Book Antiqua" w:cs="Arial"/>
          <w:b/>
          <w:bCs/>
          <w:color w:val="000000"/>
          <w:sz w:val="24"/>
          <w:szCs w:val="24"/>
          <w:lang w:val="en-GB"/>
        </w:rPr>
        <w:t>ACKNOWLEDGEMENT</w:t>
      </w:r>
    </w:p>
    <w:p w14:paraId="0B82D815" w14:textId="166692F0" w:rsidR="00F46221" w:rsidRPr="00FB18DA" w:rsidRDefault="002E0757" w:rsidP="00FB18DA">
      <w:pPr>
        <w:pStyle w:val="mcntparagraph"/>
        <w:spacing w:before="0" w:beforeAutospacing="0" w:after="0" w:afterAutospacing="0" w:line="360" w:lineRule="auto"/>
        <w:jc w:val="both"/>
        <w:textAlignment w:val="baseline"/>
        <w:rPr>
          <w:rStyle w:val="mcntnormaltextrun"/>
          <w:rFonts w:ascii="Book Antiqua" w:hAnsi="Book Antiqua" w:cs="Arial"/>
          <w:color w:val="000000"/>
          <w:lang w:val="en-GB"/>
        </w:rPr>
      </w:pPr>
      <w:r w:rsidRPr="00FB18DA">
        <w:rPr>
          <w:rStyle w:val="mcntnormaltextrun"/>
          <w:rFonts w:ascii="Book Antiqua" w:hAnsi="Book Antiqua" w:cs="Arial"/>
          <w:color w:val="000000"/>
          <w:lang w:val="en-GB"/>
        </w:rPr>
        <w:lastRenderedPageBreak/>
        <w:t>The author would like to thank Dr. Kornelia Chrapkova, PG Dip, for her invaluable help with review of the literature.</w:t>
      </w:r>
    </w:p>
    <w:p w14:paraId="7B2F42E6" w14:textId="77777777" w:rsidR="00AE52A4" w:rsidRPr="00FB18DA" w:rsidRDefault="00AE52A4" w:rsidP="00FB18DA">
      <w:pPr>
        <w:pStyle w:val="mcntparagraph"/>
        <w:spacing w:before="0" w:beforeAutospacing="0" w:after="0" w:afterAutospacing="0" w:line="360" w:lineRule="auto"/>
        <w:jc w:val="both"/>
        <w:textAlignment w:val="baseline"/>
        <w:rPr>
          <w:rStyle w:val="mcntnormaltextrun"/>
          <w:rFonts w:ascii="Book Antiqua" w:hAnsi="Book Antiqua" w:cs="Arial"/>
          <w:color w:val="000000"/>
          <w:lang w:val="en-GB"/>
        </w:rPr>
      </w:pPr>
    </w:p>
    <w:p w14:paraId="35A855D3" w14:textId="729F92FA" w:rsidR="00ED036C" w:rsidRPr="00FB18DA" w:rsidRDefault="00DC13A0" w:rsidP="00FB18DA">
      <w:pPr>
        <w:pStyle w:val="mcntparagraph"/>
        <w:spacing w:before="0" w:beforeAutospacing="0" w:after="0" w:afterAutospacing="0" w:line="360" w:lineRule="auto"/>
        <w:jc w:val="both"/>
        <w:textAlignment w:val="baseline"/>
        <w:rPr>
          <w:rStyle w:val="mcntnormaltextrun"/>
          <w:rFonts w:ascii="Book Antiqua" w:eastAsiaTheme="minorEastAsia" w:hAnsi="Book Antiqua" w:cs="Arial"/>
          <w:lang w:val="en-GB" w:eastAsia="en-US"/>
        </w:rPr>
      </w:pPr>
      <w:r w:rsidRPr="00FB18DA">
        <w:rPr>
          <w:rStyle w:val="mcntnormaltextrun"/>
          <w:rFonts w:ascii="Book Antiqua" w:hAnsi="Book Antiqua" w:cs="Arial"/>
          <w:b/>
          <w:color w:val="000000"/>
          <w:lang w:val="en-GB"/>
        </w:rPr>
        <w:t>REFERENCES</w:t>
      </w:r>
    </w:p>
    <w:p w14:paraId="0157E16F"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1 </w:t>
      </w:r>
      <w:r w:rsidRPr="00FB18DA">
        <w:rPr>
          <w:rFonts w:ascii="Book Antiqua" w:hAnsi="Book Antiqua"/>
          <w:b/>
          <w:sz w:val="24"/>
          <w:szCs w:val="24"/>
        </w:rPr>
        <w:t>Addiss DG</w:t>
      </w:r>
      <w:r w:rsidRPr="00FB18DA">
        <w:rPr>
          <w:rFonts w:ascii="Book Antiqua" w:hAnsi="Book Antiqua"/>
          <w:sz w:val="24"/>
          <w:szCs w:val="24"/>
        </w:rPr>
        <w:t xml:space="preserve">, Shaffer N, Fowler BS, Tauxe RV. The epidemiology of appendicitis and appendectomy in the United States. </w:t>
      </w:r>
      <w:r w:rsidRPr="00FB18DA">
        <w:rPr>
          <w:rFonts w:ascii="Book Antiqua" w:hAnsi="Book Antiqua"/>
          <w:i/>
          <w:sz w:val="24"/>
          <w:szCs w:val="24"/>
        </w:rPr>
        <w:t>Am J Epidemiol</w:t>
      </w:r>
      <w:r w:rsidRPr="00FB18DA">
        <w:rPr>
          <w:rFonts w:ascii="Book Antiqua" w:hAnsi="Book Antiqua"/>
          <w:sz w:val="24"/>
          <w:szCs w:val="24"/>
        </w:rPr>
        <w:t xml:space="preserve"> 1990; </w:t>
      </w:r>
      <w:r w:rsidRPr="00FB18DA">
        <w:rPr>
          <w:rFonts w:ascii="Book Antiqua" w:hAnsi="Book Antiqua"/>
          <w:b/>
          <w:sz w:val="24"/>
          <w:szCs w:val="24"/>
        </w:rPr>
        <w:t>132</w:t>
      </w:r>
      <w:r w:rsidRPr="00FB18DA">
        <w:rPr>
          <w:rFonts w:ascii="Book Antiqua" w:hAnsi="Book Antiqua"/>
          <w:sz w:val="24"/>
          <w:szCs w:val="24"/>
        </w:rPr>
        <w:t>: 910-925 [PMID: 2239906 DOI: 10.1093/oxfordjournals.aje.a115734]</w:t>
      </w:r>
    </w:p>
    <w:p w14:paraId="23700CF5"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2 </w:t>
      </w:r>
      <w:r w:rsidRPr="00FB18DA">
        <w:rPr>
          <w:rFonts w:ascii="Book Antiqua" w:hAnsi="Book Antiqua"/>
          <w:b/>
          <w:sz w:val="24"/>
          <w:szCs w:val="24"/>
        </w:rPr>
        <w:t>Savar A</w:t>
      </w:r>
      <w:r w:rsidRPr="00FB18DA">
        <w:rPr>
          <w:rFonts w:ascii="Book Antiqua" w:hAnsi="Book Antiqua"/>
          <w:sz w:val="24"/>
          <w:szCs w:val="24"/>
        </w:rPr>
        <w:t xml:space="preserve">, Hiatt JR, Busuttil RW. Acute appendicitis after solid organ transplantation. </w:t>
      </w:r>
      <w:r w:rsidRPr="00FB18DA">
        <w:rPr>
          <w:rFonts w:ascii="Book Antiqua" w:hAnsi="Book Antiqua"/>
          <w:i/>
          <w:sz w:val="24"/>
          <w:szCs w:val="24"/>
        </w:rPr>
        <w:t>Clin Transplant</w:t>
      </w:r>
      <w:r w:rsidRPr="00FB18DA">
        <w:rPr>
          <w:rFonts w:ascii="Book Antiqua" w:hAnsi="Book Antiqua"/>
          <w:sz w:val="24"/>
          <w:szCs w:val="24"/>
        </w:rPr>
        <w:t xml:space="preserve"> 2006; </w:t>
      </w:r>
      <w:r w:rsidRPr="00FB18DA">
        <w:rPr>
          <w:rFonts w:ascii="Book Antiqua" w:hAnsi="Book Antiqua"/>
          <w:b/>
          <w:sz w:val="24"/>
          <w:szCs w:val="24"/>
        </w:rPr>
        <w:t>20</w:t>
      </w:r>
      <w:r w:rsidRPr="00FB18DA">
        <w:rPr>
          <w:rFonts w:ascii="Book Antiqua" w:hAnsi="Book Antiqua"/>
          <w:sz w:val="24"/>
          <w:szCs w:val="24"/>
        </w:rPr>
        <w:t>: 78-80 [PMID: 16556158 DOI: 10.1111/j.1399-0012.2005.00444.x]</w:t>
      </w:r>
    </w:p>
    <w:p w14:paraId="1CADDE3C"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3 </w:t>
      </w:r>
      <w:r w:rsidRPr="00FB18DA">
        <w:rPr>
          <w:rFonts w:ascii="Book Antiqua" w:hAnsi="Book Antiqua"/>
          <w:b/>
          <w:sz w:val="24"/>
          <w:szCs w:val="24"/>
        </w:rPr>
        <w:t>Kwon SH</w:t>
      </w:r>
      <w:r w:rsidRPr="00FB18DA">
        <w:rPr>
          <w:rFonts w:ascii="Book Antiqua" w:hAnsi="Book Antiqua"/>
          <w:sz w:val="24"/>
          <w:szCs w:val="24"/>
        </w:rPr>
        <w:t xml:space="preserve">, Park SH, Lee HY, Ko EJ, Ban TH, Chung BH, Yang CW. Clinical Characteristics of Acute Appendicitis in Kidney Transplant Recipients. </w:t>
      </w:r>
      <w:r w:rsidRPr="00FB18DA">
        <w:rPr>
          <w:rFonts w:ascii="Book Antiqua" w:hAnsi="Book Antiqua"/>
          <w:i/>
          <w:sz w:val="24"/>
          <w:szCs w:val="24"/>
        </w:rPr>
        <w:t>Ann Transplant</w:t>
      </w:r>
      <w:r w:rsidRPr="00FB18DA">
        <w:rPr>
          <w:rFonts w:ascii="Book Antiqua" w:hAnsi="Book Antiqua"/>
          <w:sz w:val="24"/>
          <w:szCs w:val="24"/>
        </w:rPr>
        <w:t xml:space="preserve"> 2019; </w:t>
      </w:r>
      <w:r w:rsidRPr="00FB18DA">
        <w:rPr>
          <w:rFonts w:ascii="Book Antiqua" w:hAnsi="Book Antiqua"/>
          <w:b/>
          <w:sz w:val="24"/>
          <w:szCs w:val="24"/>
        </w:rPr>
        <w:t>24</w:t>
      </w:r>
      <w:r w:rsidRPr="00FB18DA">
        <w:rPr>
          <w:rFonts w:ascii="Book Antiqua" w:hAnsi="Book Antiqua"/>
          <w:sz w:val="24"/>
          <w:szCs w:val="24"/>
        </w:rPr>
        <w:t>: 168-173 [PMID: 30910996 DOI: 10.12659/AOT.914134]</w:t>
      </w:r>
    </w:p>
    <w:p w14:paraId="553370DC"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4 </w:t>
      </w:r>
      <w:r w:rsidRPr="00FB18DA">
        <w:rPr>
          <w:rFonts w:ascii="Book Antiqua" w:hAnsi="Book Antiqua"/>
          <w:b/>
          <w:sz w:val="24"/>
          <w:szCs w:val="24"/>
        </w:rPr>
        <w:t>Samuel U</w:t>
      </w:r>
      <w:r w:rsidRPr="00FB18DA">
        <w:rPr>
          <w:rFonts w:ascii="Book Antiqua" w:hAnsi="Book Antiqua"/>
          <w:sz w:val="24"/>
          <w:szCs w:val="24"/>
        </w:rPr>
        <w:t xml:space="preserve">. Regulatory aspects of VCA in Eurotransplant. </w:t>
      </w:r>
      <w:r w:rsidRPr="00FB18DA">
        <w:rPr>
          <w:rFonts w:ascii="Book Antiqua" w:hAnsi="Book Antiqua"/>
          <w:i/>
          <w:sz w:val="24"/>
          <w:szCs w:val="24"/>
        </w:rPr>
        <w:t>Transpl Int</w:t>
      </w:r>
      <w:r w:rsidRPr="00FB18DA">
        <w:rPr>
          <w:rFonts w:ascii="Book Antiqua" w:hAnsi="Book Antiqua"/>
          <w:sz w:val="24"/>
          <w:szCs w:val="24"/>
        </w:rPr>
        <w:t xml:space="preserve"> 2016; </w:t>
      </w:r>
      <w:r w:rsidRPr="00FB18DA">
        <w:rPr>
          <w:rFonts w:ascii="Book Antiqua" w:hAnsi="Book Antiqua"/>
          <w:b/>
          <w:sz w:val="24"/>
          <w:szCs w:val="24"/>
        </w:rPr>
        <w:t>29</w:t>
      </w:r>
      <w:r w:rsidRPr="00FB18DA">
        <w:rPr>
          <w:rFonts w:ascii="Book Antiqua" w:hAnsi="Book Antiqua"/>
          <w:sz w:val="24"/>
          <w:szCs w:val="24"/>
        </w:rPr>
        <w:t>: 686-693 [PMID: 26824440 DOI: 10.1111/tri.12753]</w:t>
      </w:r>
    </w:p>
    <w:p w14:paraId="317D8DF0"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5 </w:t>
      </w:r>
      <w:r w:rsidRPr="00FB18DA">
        <w:rPr>
          <w:rFonts w:ascii="Book Antiqua" w:hAnsi="Book Antiqua"/>
          <w:b/>
          <w:sz w:val="24"/>
          <w:szCs w:val="24"/>
        </w:rPr>
        <w:t>Wu L</w:t>
      </w:r>
      <w:r w:rsidRPr="00FB18DA">
        <w:rPr>
          <w:rFonts w:ascii="Book Antiqua" w:hAnsi="Book Antiqua"/>
          <w:sz w:val="24"/>
          <w:szCs w:val="24"/>
        </w:rPr>
        <w:t xml:space="preserve">, Zhang J, Guo Z, Tai Q, He X, Ju W, Wang D, Zhu X. Diagnosis and treatment of acute appendicitis after orthotopic liver transplant in adults. </w:t>
      </w:r>
      <w:r w:rsidRPr="00FB18DA">
        <w:rPr>
          <w:rFonts w:ascii="Book Antiqua" w:hAnsi="Book Antiqua"/>
          <w:i/>
          <w:sz w:val="24"/>
          <w:szCs w:val="24"/>
        </w:rPr>
        <w:t>Exp Clin Transplant</w:t>
      </w:r>
      <w:r w:rsidRPr="00FB18DA">
        <w:rPr>
          <w:rFonts w:ascii="Book Antiqua" w:hAnsi="Book Antiqua"/>
          <w:sz w:val="24"/>
          <w:szCs w:val="24"/>
        </w:rPr>
        <w:t xml:space="preserve"> 2011; </w:t>
      </w:r>
      <w:r w:rsidRPr="00FB18DA">
        <w:rPr>
          <w:rFonts w:ascii="Book Antiqua" w:hAnsi="Book Antiqua"/>
          <w:b/>
          <w:sz w:val="24"/>
          <w:szCs w:val="24"/>
        </w:rPr>
        <w:t>9</w:t>
      </w:r>
      <w:r w:rsidRPr="00FB18DA">
        <w:rPr>
          <w:rFonts w:ascii="Book Antiqua" w:hAnsi="Book Antiqua"/>
          <w:sz w:val="24"/>
          <w:szCs w:val="24"/>
        </w:rPr>
        <w:t>: 113-117 [PMID: 21453228]</w:t>
      </w:r>
    </w:p>
    <w:p w14:paraId="38BB0276"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6 </w:t>
      </w:r>
      <w:r w:rsidRPr="00FB18DA">
        <w:rPr>
          <w:rFonts w:ascii="Book Antiqua" w:hAnsi="Book Antiqua"/>
          <w:b/>
          <w:sz w:val="24"/>
          <w:szCs w:val="24"/>
        </w:rPr>
        <w:t>Scott-Conner CE</w:t>
      </w:r>
      <w:r w:rsidRPr="00FB18DA">
        <w:rPr>
          <w:rFonts w:ascii="Book Antiqua" w:hAnsi="Book Antiqua"/>
          <w:sz w:val="24"/>
          <w:szCs w:val="24"/>
        </w:rPr>
        <w:t xml:space="preserve">, Fabrega AJ. Gastrointestinal problems in the immunocompromised host. A review for surgeons. </w:t>
      </w:r>
      <w:r w:rsidRPr="00FB18DA">
        <w:rPr>
          <w:rFonts w:ascii="Book Antiqua" w:hAnsi="Book Antiqua"/>
          <w:i/>
          <w:sz w:val="24"/>
          <w:szCs w:val="24"/>
        </w:rPr>
        <w:t>Surg Endosc</w:t>
      </w:r>
      <w:r w:rsidRPr="00FB18DA">
        <w:rPr>
          <w:rFonts w:ascii="Book Antiqua" w:hAnsi="Book Antiqua"/>
          <w:sz w:val="24"/>
          <w:szCs w:val="24"/>
        </w:rPr>
        <w:t xml:space="preserve"> 1996; </w:t>
      </w:r>
      <w:r w:rsidRPr="00FB18DA">
        <w:rPr>
          <w:rFonts w:ascii="Book Antiqua" w:hAnsi="Book Antiqua"/>
          <w:b/>
          <w:sz w:val="24"/>
          <w:szCs w:val="24"/>
        </w:rPr>
        <w:t>10</w:t>
      </w:r>
      <w:r w:rsidRPr="00FB18DA">
        <w:rPr>
          <w:rFonts w:ascii="Book Antiqua" w:hAnsi="Book Antiqua"/>
          <w:sz w:val="24"/>
          <w:szCs w:val="24"/>
        </w:rPr>
        <w:t>: 959-964 [PMID: 8864085 DOI: 10.1007/s004649900214]</w:t>
      </w:r>
    </w:p>
    <w:p w14:paraId="795A2D46"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7 </w:t>
      </w:r>
      <w:r w:rsidRPr="00FB18DA">
        <w:rPr>
          <w:rFonts w:ascii="Book Antiqua" w:hAnsi="Book Antiqua"/>
          <w:b/>
          <w:sz w:val="24"/>
          <w:szCs w:val="24"/>
        </w:rPr>
        <w:t>Brännström M</w:t>
      </w:r>
      <w:r w:rsidRPr="00FB18DA">
        <w:rPr>
          <w:rFonts w:ascii="Book Antiqua" w:hAnsi="Book Antiqua"/>
          <w:sz w:val="24"/>
          <w:szCs w:val="24"/>
        </w:rPr>
        <w:t xml:space="preserve">, Wranning CA, Altchek A. Experimental uterus transplantation. </w:t>
      </w:r>
      <w:r w:rsidRPr="00FB18DA">
        <w:rPr>
          <w:rFonts w:ascii="Book Antiqua" w:hAnsi="Book Antiqua"/>
          <w:i/>
          <w:sz w:val="24"/>
          <w:szCs w:val="24"/>
        </w:rPr>
        <w:t>Hum Reprod Update</w:t>
      </w:r>
      <w:r w:rsidRPr="00FB18DA">
        <w:rPr>
          <w:rFonts w:ascii="Book Antiqua" w:hAnsi="Book Antiqua"/>
          <w:sz w:val="24"/>
          <w:szCs w:val="24"/>
        </w:rPr>
        <w:t xml:space="preserve"> 2010; </w:t>
      </w:r>
      <w:r w:rsidRPr="00FB18DA">
        <w:rPr>
          <w:rFonts w:ascii="Book Antiqua" w:hAnsi="Book Antiqua"/>
          <w:b/>
          <w:sz w:val="24"/>
          <w:szCs w:val="24"/>
        </w:rPr>
        <w:t>16</w:t>
      </w:r>
      <w:r w:rsidRPr="00FB18DA">
        <w:rPr>
          <w:rFonts w:ascii="Book Antiqua" w:hAnsi="Book Antiqua"/>
          <w:sz w:val="24"/>
          <w:szCs w:val="24"/>
        </w:rPr>
        <w:t>: 329-345 [PMID: 19897849 DOI: 10.1093/humupd/dmp049]</w:t>
      </w:r>
    </w:p>
    <w:p w14:paraId="1387D06A"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8 </w:t>
      </w:r>
      <w:r w:rsidRPr="00FB18DA">
        <w:rPr>
          <w:rFonts w:ascii="Book Antiqua" w:hAnsi="Book Antiqua"/>
          <w:b/>
          <w:sz w:val="24"/>
          <w:szCs w:val="24"/>
        </w:rPr>
        <w:t>Fageeh W</w:t>
      </w:r>
      <w:r w:rsidRPr="00FB18DA">
        <w:rPr>
          <w:rFonts w:ascii="Book Antiqua" w:hAnsi="Book Antiqua"/>
          <w:sz w:val="24"/>
          <w:szCs w:val="24"/>
        </w:rPr>
        <w:t xml:space="preserve">, Raffa H, Jabbad H, Marzouki A. Transplantation of the human uterus. </w:t>
      </w:r>
      <w:r w:rsidRPr="00FB18DA">
        <w:rPr>
          <w:rFonts w:ascii="Book Antiqua" w:hAnsi="Book Antiqua"/>
          <w:i/>
          <w:sz w:val="24"/>
          <w:szCs w:val="24"/>
        </w:rPr>
        <w:t>Int J Gynaecol Obstet</w:t>
      </w:r>
      <w:r w:rsidRPr="00FB18DA">
        <w:rPr>
          <w:rFonts w:ascii="Book Antiqua" w:hAnsi="Book Antiqua"/>
          <w:sz w:val="24"/>
          <w:szCs w:val="24"/>
        </w:rPr>
        <w:t xml:space="preserve"> 2002; </w:t>
      </w:r>
      <w:r w:rsidRPr="00FB18DA">
        <w:rPr>
          <w:rFonts w:ascii="Book Antiqua" w:hAnsi="Book Antiqua"/>
          <w:b/>
          <w:sz w:val="24"/>
          <w:szCs w:val="24"/>
        </w:rPr>
        <w:t>76</w:t>
      </w:r>
      <w:r w:rsidRPr="00FB18DA">
        <w:rPr>
          <w:rFonts w:ascii="Book Antiqua" w:hAnsi="Book Antiqua"/>
          <w:sz w:val="24"/>
          <w:szCs w:val="24"/>
        </w:rPr>
        <w:t>: 245-251 [PMID: 11880127 DOI: 10.1016/s0020-7292(01)00597-5]</w:t>
      </w:r>
    </w:p>
    <w:p w14:paraId="5C534142"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9 </w:t>
      </w:r>
      <w:r w:rsidRPr="00FB18DA">
        <w:rPr>
          <w:rFonts w:ascii="Book Antiqua" w:hAnsi="Book Antiqua"/>
          <w:b/>
          <w:sz w:val="24"/>
          <w:szCs w:val="24"/>
        </w:rPr>
        <w:t>Verhaeghe R</w:t>
      </w:r>
      <w:r w:rsidRPr="00FB18DA">
        <w:rPr>
          <w:rFonts w:ascii="Book Antiqua" w:hAnsi="Book Antiqua"/>
          <w:sz w:val="24"/>
          <w:szCs w:val="24"/>
        </w:rPr>
        <w:t xml:space="preserve">, Vermylen J, Verstraete M. Thrombosis in particular organ veins. </w:t>
      </w:r>
      <w:r w:rsidRPr="00FB18DA">
        <w:rPr>
          <w:rFonts w:ascii="Book Antiqua" w:hAnsi="Book Antiqua"/>
          <w:i/>
          <w:sz w:val="24"/>
          <w:szCs w:val="24"/>
        </w:rPr>
        <w:t>Herz</w:t>
      </w:r>
      <w:r w:rsidRPr="00FB18DA">
        <w:rPr>
          <w:rFonts w:ascii="Book Antiqua" w:hAnsi="Book Antiqua"/>
          <w:sz w:val="24"/>
          <w:szCs w:val="24"/>
        </w:rPr>
        <w:t xml:space="preserve"> 1989; </w:t>
      </w:r>
      <w:r w:rsidRPr="00FB18DA">
        <w:rPr>
          <w:rFonts w:ascii="Book Antiqua" w:hAnsi="Book Antiqua"/>
          <w:b/>
          <w:sz w:val="24"/>
          <w:szCs w:val="24"/>
        </w:rPr>
        <w:t>14</w:t>
      </w:r>
      <w:r w:rsidRPr="00FB18DA">
        <w:rPr>
          <w:rFonts w:ascii="Book Antiqua" w:hAnsi="Book Antiqua"/>
          <w:sz w:val="24"/>
          <w:szCs w:val="24"/>
        </w:rPr>
        <w:t>: 298-307 [PMID: 2680853]</w:t>
      </w:r>
    </w:p>
    <w:p w14:paraId="00FB5726"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lastRenderedPageBreak/>
        <w:t xml:space="preserve">10 </w:t>
      </w:r>
      <w:r w:rsidRPr="00FB18DA">
        <w:rPr>
          <w:rFonts w:ascii="Book Antiqua" w:hAnsi="Book Antiqua"/>
          <w:b/>
          <w:sz w:val="24"/>
          <w:szCs w:val="24"/>
        </w:rPr>
        <w:t>Posen A</w:t>
      </w:r>
      <w:r w:rsidRPr="00FB18DA">
        <w:rPr>
          <w:rFonts w:ascii="Book Antiqua" w:hAnsi="Book Antiqua"/>
          <w:sz w:val="24"/>
          <w:szCs w:val="24"/>
        </w:rPr>
        <w:t xml:space="preserve">, Renckens I, Sagaert X, Kuypers D. Subacute cytomegalovirus appendicitis in a renal transplant recipient. </w:t>
      </w:r>
      <w:r w:rsidRPr="00FB18DA">
        <w:rPr>
          <w:rFonts w:ascii="Book Antiqua" w:hAnsi="Book Antiqua"/>
          <w:i/>
          <w:sz w:val="24"/>
          <w:szCs w:val="24"/>
        </w:rPr>
        <w:t>Transpl Infect Dis</w:t>
      </w:r>
      <w:r w:rsidRPr="00FB18DA">
        <w:rPr>
          <w:rFonts w:ascii="Book Antiqua" w:hAnsi="Book Antiqua"/>
          <w:sz w:val="24"/>
          <w:szCs w:val="24"/>
        </w:rPr>
        <w:t xml:space="preserve"> 2013; </w:t>
      </w:r>
      <w:r w:rsidRPr="00FB18DA">
        <w:rPr>
          <w:rFonts w:ascii="Book Antiqua" w:hAnsi="Book Antiqua"/>
          <w:b/>
          <w:sz w:val="24"/>
          <w:szCs w:val="24"/>
        </w:rPr>
        <w:t>15</w:t>
      </w:r>
      <w:r w:rsidRPr="00FB18DA">
        <w:rPr>
          <w:rFonts w:ascii="Book Antiqua" w:hAnsi="Book Antiqua"/>
          <w:sz w:val="24"/>
          <w:szCs w:val="24"/>
        </w:rPr>
        <w:t>: 96-97 [PMID: 23075276 DOI: 10.1111/tid.12021]</w:t>
      </w:r>
    </w:p>
    <w:p w14:paraId="454AFBEF"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11 </w:t>
      </w:r>
      <w:r w:rsidRPr="00FB18DA">
        <w:rPr>
          <w:rFonts w:ascii="Book Antiqua" w:hAnsi="Book Antiqua"/>
          <w:b/>
          <w:sz w:val="24"/>
          <w:szCs w:val="24"/>
        </w:rPr>
        <w:t>Chan MK</w:t>
      </w:r>
      <w:r w:rsidRPr="00FB18DA">
        <w:rPr>
          <w:rFonts w:ascii="Book Antiqua" w:hAnsi="Book Antiqua"/>
          <w:sz w:val="24"/>
          <w:szCs w:val="24"/>
        </w:rPr>
        <w:t xml:space="preserve">, Wilcox DT, Trompeter RS. Acute appendicitis in children after renal transplantation. </w:t>
      </w:r>
      <w:r w:rsidRPr="00FB18DA">
        <w:rPr>
          <w:rFonts w:ascii="Book Antiqua" w:hAnsi="Book Antiqua"/>
          <w:i/>
          <w:sz w:val="24"/>
          <w:szCs w:val="24"/>
        </w:rPr>
        <w:t>Arch Dis Child</w:t>
      </w:r>
      <w:r w:rsidRPr="00FB18DA">
        <w:rPr>
          <w:rFonts w:ascii="Book Antiqua" w:hAnsi="Book Antiqua"/>
          <w:sz w:val="24"/>
          <w:szCs w:val="24"/>
        </w:rPr>
        <w:t xml:space="preserve"> 1999; </w:t>
      </w:r>
      <w:r w:rsidRPr="00FB18DA">
        <w:rPr>
          <w:rFonts w:ascii="Book Antiqua" w:hAnsi="Book Antiqua"/>
          <w:b/>
          <w:sz w:val="24"/>
          <w:szCs w:val="24"/>
        </w:rPr>
        <w:t>81</w:t>
      </w:r>
      <w:r w:rsidRPr="00FB18DA">
        <w:rPr>
          <w:rFonts w:ascii="Book Antiqua" w:hAnsi="Book Antiqua"/>
          <w:sz w:val="24"/>
          <w:szCs w:val="24"/>
        </w:rPr>
        <w:t>: 372 [PMID: 10577360 DOI: 10.1136/adc.81.4.e372]</w:t>
      </w:r>
    </w:p>
    <w:p w14:paraId="68AFE354"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12 </w:t>
      </w:r>
      <w:r w:rsidRPr="00FB18DA">
        <w:rPr>
          <w:rFonts w:ascii="Book Antiqua" w:hAnsi="Book Antiqua"/>
          <w:b/>
          <w:sz w:val="24"/>
          <w:szCs w:val="24"/>
        </w:rPr>
        <w:t>Pickhardt PJ</w:t>
      </w:r>
      <w:r w:rsidRPr="00FB18DA">
        <w:rPr>
          <w:rFonts w:ascii="Book Antiqua" w:hAnsi="Book Antiqua"/>
          <w:sz w:val="24"/>
          <w:szCs w:val="24"/>
        </w:rPr>
        <w:t xml:space="preserve">, Lawrence EM, Pooler BD, Bruce RJ. Diagnostic performance of multidetector computed tomography for suspected acute appendicitis. </w:t>
      </w:r>
      <w:r w:rsidRPr="00FB18DA">
        <w:rPr>
          <w:rFonts w:ascii="Book Antiqua" w:hAnsi="Book Antiqua"/>
          <w:i/>
          <w:sz w:val="24"/>
          <w:szCs w:val="24"/>
        </w:rPr>
        <w:t>Ann Intern Med</w:t>
      </w:r>
      <w:r w:rsidRPr="00FB18DA">
        <w:rPr>
          <w:rFonts w:ascii="Book Antiqua" w:hAnsi="Book Antiqua"/>
          <w:sz w:val="24"/>
          <w:szCs w:val="24"/>
        </w:rPr>
        <w:t xml:space="preserve"> 2011; </w:t>
      </w:r>
      <w:r w:rsidRPr="00FB18DA">
        <w:rPr>
          <w:rFonts w:ascii="Book Antiqua" w:hAnsi="Book Antiqua"/>
          <w:b/>
          <w:sz w:val="24"/>
          <w:szCs w:val="24"/>
        </w:rPr>
        <w:t>154</w:t>
      </w:r>
      <w:r w:rsidRPr="00FB18DA">
        <w:rPr>
          <w:rFonts w:ascii="Book Antiqua" w:hAnsi="Book Antiqua"/>
          <w:sz w:val="24"/>
          <w:szCs w:val="24"/>
        </w:rPr>
        <w:t>: 789-796, W-291 [PMID: 21690593 DOI: 10.7326/0003-4819-154-12-201106210-00006]</w:t>
      </w:r>
    </w:p>
    <w:p w14:paraId="3EB0FB36"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13 </w:t>
      </w:r>
      <w:r w:rsidRPr="00FB18DA">
        <w:rPr>
          <w:rFonts w:ascii="Book Antiqua" w:hAnsi="Book Antiqua"/>
          <w:b/>
          <w:sz w:val="24"/>
          <w:szCs w:val="24"/>
        </w:rPr>
        <w:t>Krajewski S</w:t>
      </w:r>
      <w:r w:rsidRPr="00FB18DA">
        <w:rPr>
          <w:rFonts w:ascii="Book Antiqua" w:hAnsi="Book Antiqua"/>
          <w:sz w:val="24"/>
          <w:szCs w:val="24"/>
        </w:rPr>
        <w:t xml:space="preserve">, Brown J, Phang PT, Raval M, Brown CJ. Impact of computed tomography of the abdomen on clinical outcomes in patients with acute right lower quadrant pain: a meta-analysis. </w:t>
      </w:r>
      <w:r w:rsidRPr="00FB18DA">
        <w:rPr>
          <w:rFonts w:ascii="Book Antiqua" w:hAnsi="Book Antiqua"/>
          <w:i/>
          <w:sz w:val="24"/>
          <w:szCs w:val="24"/>
        </w:rPr>
        <w:t>Can J Surg</w:t>
      </w:r>
      <w:r w:rsidRPr="00FB18DA">
        <w:rPr>
          <w:rFonts w:ascii="Book Antiqua" w:hAnsi="Book Antiqua"/>
          <w:sz w:val="24"/>
          <w:szCs w:val="24"/>
        </w:rPr>
        <w:t xml:space="preserve"> 2011; </w:t>
      </w:r>
      <w:r w:rsidRPr="00FB18DA">
        <w:rPr>
          <w:rFonts w:ascii="Book Antiqua" w:hAnsi="Book Antiqua"/>
          <w:b/>
          <w:sz w:val="24"/>
          <w:szCs w:val="24"/>
        </w:rPr>
        <w:t>54</w:t>
      </w:r>
      <w:r w:rsidRPr="00FB18DA">
        <w:rPr>
          <w:rFonts w:ascii="Book Antiqua" w:hAnsi="Book Antiqua"/>
          <w:sz w:val="24"/>
          <w:szCs w:val="24"/>
        </w:rPr>
        <w:t>: 43-53 [PMID: 21251432 DOI: 10.1503/cjs.023509]</w:t>
      </w:r>
    </w:p>
    <w:p w14:paraId="1F2B21C0" w14:textId="499AF20A" w:rsidR="00ED036C" w:rsidRPr="00FB18DA" w:rsidRDefault="00ED036C" w:rsidP="00FB18DA">
      <w:pPr>
        <w:spacing w:after="0" w:line="360" w:lineRule="auto"/>
        <w:jc w:val="both"/>
        <w:rPr>
          <w:rFonts w:ascii="Book Antiqua" w:hAnsi="Book Antiqua"/>
          <w:sz w:val="24"/>
          <w:szCs w:val="24"/>
          <w:lang w:eastAsia="zh-CN"/>
        </w:rPr>
      </w:pPr>
      <w:r w:rsidRPr="00FB18DA">
        <w:rPr>
          <w:rFonts w:ascii="Book Antiqua" w:hAnsi="Book Antiqua"/>
          <w:sz w:val="24"/>
          <w:szCs w:val="24"/>
        </w:rPr>
        <w:t xml:space="preserve">14 </w:t>
      </w:r>
      <w:r w:rsidRPr="00FB18DA">
        <w:rPr>
          <w:rFonts w:ascii="Book Antiqua" w:hAnsi="Book Antiqua"/>
          <w:b/>
          <w:sz w:val="24"/>
          <w:szCs w:val="24"/>
        </w:rPr>
        <w:t>Doria AS</w:t>
      </w:r>
      <w:r w:rsidRPr="00FB18DA">
        <w:rPr>
          <w:rFonts w:ascii="Book Antiqua" w:hAnsi="Book Antiqua"/>
          <w:sz w:val="24"/>
          <w:szCs w:val="24"/>
        </w:rPr>
        <w:t xml:space="preserve">, Moineddin R, Kellenberger CJ, Epelman M, Beyene J, Schuh S, Babyn PS, Dick PT. US or CT for Diagnosis of Appendicitis in Children and Adults? A Meta-Analysis. </w:t>
      </w:r>
      <w:r w:rsidRPr="00FB18DA">
        <w:rPr>
          <w:rFonts w:ascii="Book Antiqua" w:hAnsi="Book Antiqua"/>
          <w:i/>
          <w:sz w:val="24"/>
          <w:szCs w:val="24"/>
        </w:rPr>
        <w:t>Radiology</w:t>
      </w:r>
      <w:r w:rsidRPr="00FB18DA">
        <w:rPr>
          <w:rFonts w:ascii="Book Antiqua" w:hAnsi="Book Antiqua"/>
          <w:sz w:val="24"/>
          <w:szCs w:val="24"/>
        </w:rPr>
        <w:t xml:space="preserve"> 2006; </w:t>
      </w:r>
      <w:r w:rsidRPr="00FB18DA">
        <w:rPr>
          <w:rFonts w:ascii="Book Antiqua" w:hAnsi="Book Antiqua"/>
          <w:b/>
          <w:sz w:val="24"/>
          <w:szCs w:val="24"/>
        </w:rPr>
        <w:t>241</w:t>
      </w:r>
      <w:r w:rsidRPr="00FB18DA">
        <w:rPr>
          <w:rFonts w:ascii="Book Antiqua" w:hAnsi="Book Antiqua"/>
          <w:sz w:val="24"/>
          <w:szCs w:val="24"/>
        </w:rPr>
        <w:t>: 83-94 [PMID: 16928974 DOI: 10.1148/radiol.2411050913]</w:t>
      </w:r>
    </w:p>
    <w:p w14:paraId="528D0F74" w14:textId="424D1108" w:rsidR="00ED036C" w:rsidRPr="00FB18DA" w:rsidRDefault="00ED036C" w:rsidP="004C03CF">
      <w:pPr>
        <w:pStyle w:val="a4"/>
        <w:suppressAutoHyphens/>
        <w:spacing w:after="0" w:line="360" w:lineRule="auto"/>
        <w:ind w:left="0" w:firstLine="482"/>
        <w:jc w:val="right"/>
        <w:rPr>
          <w:rFonts w:ascii="Book Antiqua" w:hAnsi="Book Antiqua" w:cs="Mangal"/>
          <w:b/>
          <w:bCs/>
          <w:sz w:val="24"/>
          <w:szCs w:val="24"/>
          <w:lang w:val="it-IT" w:bidi="hi-IN"/>
        </w:rPr>
      </w:pPr>
      <w:bookmarkStart w:id="153" w:name="OLE_LINK3"/>
      <w:r w:rsidRPr="00FB18DA">
        <w:rPr>
          <w:rFonts w:ascii="Book Antiqua" w:eastAsia="Lucida Sans Unicode" w:hAnsi="Book Antiqua" w:cs="Arial"/>
          <w:b/>
          <w:noProof/>
          <w:sz w:val="24"/>
          <w:szCs w:val="24"/>
          <w:lang w:val="it-IT" w:eastAsia="hi-IN" w:bidi="hi-IN"/>
        </w:rPr>
        <w:t>P-Reviewer</w:t>
      </w:r>
      <w:r w:rsidRPr="00FB18DA">
        <w:rPr>
          <w:rFonts w:ascii="Book Antiqua" w:hAnsi="Book Antiqua" w:cs="Arial"/>
          <w:b/>
          <w:noProof/>
          <w:sz w:val="24"/>
          <w:szCs w:val="24"/>
          <w:lang w:val="it-IT" w:bidi="hi-IN"/>
        </w:rPr>
        <w:t>:</w:t>
      </w:r>
      <w:r w:rsidRPr="00FB18DA">
        <w:rPr>
          <w:rFonts w:ascii="Book Antiqua" w:hAnsi="Book Antiqua"/>
          <w:sz w:val="24"/>
          <w:szCs w:val="24"/>
          <w:lang w:val="it-IT"/>
        </w:rPr>
        <w:t xml:space="preserve"> </w:t>
      </w:r>
      <w:r w:rsidRPr="00FB18DA">
        <w:rPr>
          <w:rFonts w:ascii="Book Antiqua" w:hAnsi="Book Antiqua"/>
          <w:sz w:val="24"/>
          <w:szCs w:val="24"/>
        </w:rPr>
        <w:t xml:space="preserve">Hefny AF </w:t>
      </w:r>
      <w:r w:rsidRPr="00FB18DA">
        <w:rPr>
          <w:rFonts w:ascii="Book Antiqua" w:eastAsia="Lucida Sans Unicode" w:hAnsi="Book Antiqua" w:cs="Mangal"/>
          <w:b/>
          <w:bCs/>
          <w:sz w:val="24"/>
          <w:szCs w:val="24"/>
          <w:lang w:val="it-IT" w:eastAsia="hi-IN" w:bidi="hi-IN"/>
        </w:rPr>
        <w:t>S-Editor</w:t>
      </w:r>
      <w:r w:rsidRPr="00FB18DA">
        <w:rPr>
          <w:rFonts w:ascii="Book Antiqua" w:hAnsi="Book Antiqua" w:cs="Mangal"/>
          <w:b/>
          <w:bCs/>
          <w:sz w:val="24"/>
          <w:szCs w:val="24"/>
          <w:lang w:val="it-IT" w:bidi="hi-IN"/>
        </w:rPr>
        <w:t>:</w:t>
      </w:r>
      <w:r w:rsidRPr="00FB18DA">
        <w:rPr>
          <w:rFonts w:ascii="Book Antiqua" w:eastAsia="Lucida Sans Unicode" w:hAnsi="Book Antiqua" w:cs="Mangal"/>
          <w:bCs/>
          <w:sz w:val="24"/>
          <w:szCs w:val="24"/>
          <w:lang w:val="it-IT" w:eastAsia="hi-IN" w:bidi="hi-IN"/>
        </w:rPr>
        <w:t xml:space="preserve"> </w:t>
      </w:r>
      <w:r w:rsidRPr="00FB18DA">
        <w:rPr>
          <w:rFonts w:ascii="Book Antiqua" w:hAnsi="Book Antiqua" w:cs="Mangal"/>
          <w:bCs/>
          <w:sz w:val="24"/>
          <w:szCs w:val="24"/>
          <w:lang w:val="it-IT" w:bidi="hi-IN"/>
        </w:rPr>
        <w:t>Zhang L</w:t>
      </w:r>
      <w:r w:rsidRPr="00FB18DA">
        <w:rPr>
          <w:rFonts w:ascii="Book Antiqua" w:eastAsia="Lucida Sans Unicode" w:hAnsi="Book Antiqua" w:cs="Mangal"/>
          <w:b/>
          <w:bCs/>
          <w:sz w:val="24"/>
          <w:szCs w:val="24"/>
          <w:lang w:val="it-IT" w:eastAsia="hi-IN" w:bidi="hi-IN"/>
        </w:rPr>
        <w:t xml:space="preserve"> L-Editor</w:t>
      </w:r>
      <w:r w:rsidRPr="00FB18DA">
        <w:rPr>
          <w:rFonts w:ascii="Book Antiqua" w:hAnsi="Book Antiqua" w:cs="Mangal"/>
          <w:b/>
          <w:bCs/>
          <w:sz w:val="24"/>
          <w:szCs w:val="24"/>
          <w:lang w:val="it-IT" w:bidi="hi-IN"/>
        </w:rPr>
        <w:t>:</w:t>
      </w:r>
      <w:r w:rsidRPr="00FB18DA">
        <w:rPr>
          <w:rFonts w:ascii="Book Antiqua" w:eastAsia="Lucida Sans Unicode" w:hAnsi="Book Antiqua" w:cs="Mangal"/>
          <w:b/>
          <w:bCs/>
          <w:sz w:val="24"/>
          <w:szCs w:val="24"/>
          <w:lang w:val="it-IT" w:eastAsia="hi-IN" w:bidi="hi-IN"/>
        </w:rPr>
        <w:t xml:space="preserve"> E-Editor</w:t>
      </w:r>
      <w:r w:rsidRPr="00FB18DA">
        <w:rPr>
          <w:rFonts w:ascii="Book Antiqua" w:hAnsi="Book Antiqua" w:cs="Mangal"/>
          <w:b/>
          <w:bCs/>
          <w:sz w:val="24"/>
          <w:szCs w:val="24"/>
          <w:lang w:val="it-IT" w:bidi="hi-IN"/>
        </w:rPr>
        <w:t>:</w:t>
      </w:r>
    </w:p>
    <w:p w14:paraId="0896A551" w14:textId="77777777" w:rsidR="00ED036C" w:rsidRPr="00727FEA" w:rsidRDefault="00ED036C" w:rsidP="00FB18DA">
      <w:pPr>
        <w:pStyle w:val="a4"/>
        <w:suppressAutoHyphens/>
        <w:spacing w:after="0" w:line="360" w:lineRule="auto"/>
        <w:ind w:left="0" w:firstLine="482"/>
        <w:jc w:val="both"/>
        <w:rPr>
          <w:rFonts w:ascii="Book Antiqua" w:hAnsi="Book Antiqua" w:cs="Mangal"/>
          <w:b/>
          <w:bCs/>
          <w:sz w:val="24"/>
          <w:szCs w:val="24"/>
          <w:lang w:val="it-IT" w:bidi="hi-IN"/>
        </w:rPr>
      </w:pPr>
    </w:p>
    <w:p w14:paraId="1650D58B" w14:textId="77777777" w:rsidR="00ED036C" w:rsidRPr="00FB18DA" w:rsidRDefault="00ED036C" w:rsidP="00FB18DA">
      <w:pPr>
        <w:shd w:val="clear" w:color="auto" w:fill="FFFFFF"/>
        <w:spacing w:after="0" w:line="360" w:lineRule="auto"/>
        <w:jc w:val="both"/>
        <w:rPr>
          <w:rFonts w:ascii="Book Antiqua" w:hAnsi="Book Antiqua" w:cs="Helvetica"/>
          <w:b/>
          <w:sz w:val="24"/>
          <w:szCs w:val="24"/>
        </w:rPr>
      </w:pPr>
      <w:r w:rsidRPr="00FB18DA">
        <w:rPr>
          <w:rFonts w:ascii="Book Antiqua" w:hAnsi="Book Antiqua" w:cs="Helvetica"/>
          <w:b/>
          <w:sz w:val="24"/>
          <w:szCs w:val="24"/>
        </w:rPr>
        <w:t xml:space="preserve">Specialty type: </w:t>
      </w:r>
      <w:r w:rsidRPr="00FB18DA">
        <w:rPr>
          <w:rFonts w:ascii="Book Antiqua" w:hAnsi="Book Antiqua" w:cs="宋体"/>
          <w:sz w:val="24"/>
          <w:szCs w:val="24"/>
        </w:rPr>
        <w:t>Medicine, Research and Experimental</w:t>
      </w:r>
    </w:p>
    <w:p w14:paraId="361CE30E" w14:textId="6DE7D081" w:rsidR="00ED036C" w:rsidRPr="00FB18DA" w:rsidRDefault="00ED036C" w:rsidP="00FB18DA">
      <w:pPr>
        <w:shd w:val="clear" w:color="auto" w:fill="FFFFFF"/>
        <w:spacing w:after="0" w:line="360" w:lineRule="auto"/>
        <w:jc w:val="both"/>
        <w:rPr>
          <w:rFonts w:ascii="Book Antiqua" w:hAnsi="Book Antiqua" w:cs="Helvetica"/>
          <w:b/>
          <w:sz w:val="24"/>
          <w:szCs w:val="24"/>
        </w:rPr>
      </w:pPr>
      <w:r w:rsidRPr="00FB18DA">
        <w:rPr>
          <w:rFonts w:ascii="Book Antiqua" w:hAnsi="Book Antiqua" w:cs="Helvetica"/>
          <w:b/>
          <w:sz w:val="24"/>
          <w:szCs w:val="24"/>
        </w:rPr>
        <w:t xml:space="preserve">Country of origin: </w:t>
      </w:r>
      <w:r w:rsidRPr="00FB18DA">
        <w:rPr>
          <w:rFonts w:ascii="Book Antiqua" w:hAnsi="Book Antiqua" w:cs="Helvetica"/>
          <w:sz w:val="24"/>
          <w:szCs w:val="24"/>
        </w:rPr>
        <w:t>Czech Republic</w:t>
      </w:r>
    </w:p>
    <w:p w14:paraId="0D3F5459" w14:textId="77777777" w:rsidR="00ED036C" w:rsidRPr="00FB18DA" w:rsidRDefault="00ED036C" w:rsidP="00FB18DA">
      <w:pPr>
        <w:shd w:val="clear" w:color="auto" w:fill="FFFFFF"/>
        <w:spacing w:after="0" w:line="360" w:lineRule="auto"/>
        <w:jc w:val="both"/>
        <w:rPr>
          <w:rFonts w:ascii="Book Antiqua" w:hAnsi="Book Antiqua" w:cs="Helvetica"/>
          <w:b/>
          <w:sz w:val="24"/>
          <w:szCs w:val="24"/>
        </w:rPr>
      </w:pPr>
      <w:r w:rsidRPr="00FB18DA">
        <w:rPr>
          <w:rFonts w:ascii="Book Antiqua" w:hAnsi="Book Antiqua" w:cs="Helvetica"/>
          <w:b/>
          <w:sz w:val="24"/>
          <w:szCs w:val="24"/>
        </w:rPr>
        <w:t>Peer-review report classification</w:t>
      </w:r>
    </w:p>
    <w:p w14:paraId="5193A004" w14:textId="77777777" w:rsidR="00ED036C" w:rsidRPr="00FB18DA" w:rsidRDefault="00ED036C" w:rsidP="00FB18DA">
      <w:pPr>
        <w:shd w:val="clear" w:color="auto" w:fill="FFFFFF"/>
        <w:spacing w:after="0" w:line="360" w:lineRule="auto"/>
        <w:jc w:val="both"/>
        <w:rPr>
          <w:rFonts w:ascii="Book Antiqua" w:hAnsi="Book Antiqua" w:cs="Helvetica"/>
          <w:sz w:val="24"/>
          <w:szCs w:val="24"/>
        </w:rPr>
      </w:pPr>
      <w:r w:rsidRPr="00FB18DA">
        <w:rPr>
          <w:rFonts w:ascii="Book Antiqua" w:hAnsi="Book Antiqua" w:cs="Helvetica"/>
          <w:sz w:val="24"/>
          <w:szCs w:val="24"/>
        </w:rPr>
        <w:t>Grade A (Excellent): 0</w:t>
      </w:r>
    </w:p>
    <w:p w14:paraId="276E9072" w14:textId="77777777" w:rsidR="00ED036C" w:rsidRPr="00FB18DA" w:rsidRDefault="00ED036C" w:rsidP="00FB18DA">
      <w:pPr>
        <w:shd w:val="clear" w:color="auto" w:fill="FFFFFF"/>
        <w:spacing w:after="0" w:line="360" w:lineRule="auto"/>
        <w:jc w:val="both"/>
        <w:rPr>
          <w:rFonts w:ascii="Book Antiqua" w:hAnsi="Book Antiqua" w:cs="Helvetica"/>
          <w:sz w:val="24"/>
          <w:szCs w:val="24"/>
        </w:rPr>
      </w:pPr>
      <w:r w:rsidRPr="00FB18DA">
        <w:rPr>
          <w:rFonts w:ascii="Book Antiqua" w:hAnsi="Book Antiqua" w:cs="Helvetica"/>
          <w:sz w:val="24"/>
          <w:szCs w:val="24"/>
        </w:rPr>
        <w:t>Grade B (Very good): B</w:t>
      </w:r>
    </w:p>
    <w:p w14:paraId="57A83AD5" w14:textId="77777777" w:rsidR="00ED036C" w:rsidRPr="00FB18DA" w:rsidRDefault="00ED036C" w:rsidP="00FB18DA">
      <w:pPr>
        <w:shd w:val="clear" w:color="auto" w:fill="FFFFFF"/>
        <w:spacing w:after="0" w:line="360" w:lineRule="auto"/>
        <w:jc w:val="both"/>
        <w:rPr>
          <w:rFonts w:ascii="Book Antiqua" w:hAnsi="Book Antiqua" w:cs="Helvetica"/>
          <w:sz w:val="24"/>
          <w:szCs w:val="24"/>
        </w:rPr>
      </w:pPr>
      <w:r w:rsidRPr="00FB18DA">
        <w:rPr>
          <w:rFonts w:ascii="Book Antiqua" w:hAnsi="Book Antiqua" w:cs="Helvetica"/>
          <w:sz w:val="24"/>
          <w:szCs w:val="24"/>
        </w:rPr>
        <w:t>Grade C (Good): 0</w:t>
      </w:r>
    </w:p>
    <w:p w14:paraId="6BE5D9EA" w14:textId="77777777" w:rsidR="00ED036C" w:rsidRPr="00FB18DA" w:rsidRDefault="00ED036C" w:rsidP="00FB18DA">
      <w:pPr>
        <w:shd w:val="clear" w:color="auto" w:fill="FFFFFF"/>
        <w:spacing w:after="0" w:line="360" w:lineRule="auto"/>
        <w:jc w:val="both"/>
        <w:rPr>
          <w:rFonts w:ascii="Book Antiqua" w:hAnsi="Book Antiqua" w:cs="Helvetica"/>
          <w:sz w:val="24"/>
          <w:szCs w:val="24"/>
        </w:rPr>
      </w:pPr>
      <w:r w:rsidRPr="00FB18DA">
        <w:rPr>
          <w:rFonts w:ascii="Book Antiqua" w:hAnsi="Book Antiqua" w:cs="Helvetica"/>
          <w:sz w:val="24"/>
          <w:szCs w:val="24"/>
        </w:rPr>
        <w:t>Grade D (Fair): 0</w:t>
      </w:r>
    </w:p>
    <w:p w14:paraId="6BE5CC5C" w14:textId="77777777" w:rsidR="00ED036C" w:rsidRPr="00FB18DA" w:rsidRDefault="00ED036C" w:rsidP="00FB18DA">
      <w:pPr>
        <w:shd w:val="clear" w:color="auto" w:fill="FFFFFF"/>
        <w:spacing w:after="0" w:line="360" w:lineRule="auto"/>
        <w:jc w:val="both"/>
        <w:rPr>
          <w:rFonts w:ascii="Book Antiqua" w:hAnsi="Book Antiqua" w:cs="Helvetica"/>
          <w:sz w:val="24"/>
          <w:szCs w:val="24"/>
        </w:rPr>
      </w:pPr>
      <w:r w:rsidRPr="00FB18DA">
        <w:rPr>
          <w:rFonts w:ascii="Book Antiqua" w:hAnsi="Book Antiqua" w:cs="Helvetica"/>
          <w:sz w:val="24"/>
          <w:szCs w:val="24"/>
        </w:rPr>
        <w:t>Grade E (Poor): 0</w:t>
      </w:r>
    </w:p>
    <w:bookmarkEnd w:id="153"/>
    <w:p w14:paraId="12B20596" w14:textId="77777777" w:rsidR="00ED036C" w:rsidRPr="00FB18DA" w:rsidRDefault="00ED036C" w:rsidP="00FB18DA">
      <w:pPr>
        <w:spacing w:after="0" w:line="360" w:lineRule="auto"/>
        <w:jc w:val="both"/>
        <w:rPr>
          <w:rFonts w:ascii="Book Antiqua" w:hAnsi="Book Antiqua"/>
          <w:sz w:val="24"/>
          <w:szCs w:val="24"/>
        </w:rPr>
      </w:pPr>
    </w:p>
    <w:p w14:paraId="6ED66C31" w14:textId="7136D3C1" w:rsidR="00ED036C" w:rsidRPr="00FB18DA" w:rsidRDefault="00ED036C" w:rsidP="00FB18DA">
      <w:pPr>
        <w:spacing w:after="0" w:line="360" w:lineRule="auto"/>
        <w:jc w:val="both"/>
        <w:rPr>
          <w:rFonts w:ascii="Book Antiqua" w:eastAsia="Times New Roman" w:hAnsi="Book Antiqua" w:cs="Arial"/>
          <w:sz w:val="24"/>
          <w:szCs w:val="24"/>
          <w:lang w:val="en-GB" w:eastAsia="cs-CZ"/>
        </w:rPr>
      </w:pPr>
      <w:r w:rsidRPr="00FB18DA">
        <w:rPr>
          <w:rFonts w:ascii="Book Antiqua" w:hAnsi="Book Antiqua" w:cs="Arial"/>
          <w:sz w:val="24"/>
          <w:szCs w:val="24"/>
          <w:lang w:val="en-GB"/>
        </w:rPr>
        <w:br w:type="page"/>
      </w:r>
    </w:p>
    <w:p w14:paraId="5F668CB8" w14:textId="77777777" w:rsidR="00ED036C" w:rsidRPr="00FB18DA" w:rsidRDefault="00ED036C" w:rsidP="00FB18DA">
      <w:pPr>
        <w:pStyle w:val="mcntparagraph"/>
        <w:spacing w:before="0" w:beforeAutospacing="0" w:after="0" w:afterAutospacing="0" w:line="360" w:lineRule="auto"/>
        <w:jc w:val="both"/>
        <w:textAlignment w:val="baseline"/>
        <w:rPr>
          <w:rFonts w:ascii="Book Antiqua" w:hAnsi="Book Antiqua" w:cs="Arial"/>
          <w:lang w:val="en-GB"/>
        </w:rPr>
      </w:pPr>
    </w:p>
    <w:p w14:paraId="20FABC2B" w14:textId="7535BC25" w:rsidR="00266434" w:rsidRPr="00FB18DA" w:rsidRDefault="003237C0" w:rsidP="00FB18DA">
      <w:pPr>
        <w:widowControl w:val="0"/>
        <w:autoSpaceDE w:val="0"/>
        <w:autoSpaceDN w:val="0"/>
        <w:adjustRightInd w:val="0"/>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 xml:space="preserve"> </w:t>
      </w:r>
      <w:r w:rsidR="002E0757" w:rsidRPr="00FB18DA">
        <w:rPr>
          <w:rFonts w:ascii="Book Antiqua" w:hAnsi="Book Antiqua" w:cs="Arial"/>
          <w:noProof/>
          <w:sz w:val="24"/>
          <w:szCs w:val="24"/>
          <w:lang w:val="en-US" w:eastAsia="zh-CN"/>
        </w:rPr>
        <w:drawing>
          <wp:inline distT="0" distB="0" distL="0" distR="0" wp14:anchorId="30FBD69C" wp14:editId="4864F417">
            <wp:extent cx="5610225" cy="3327605"/>
            <wp:effectExtent l="0" t="0" r="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556973" name="Figure 3 300 DPI.jpg"/>
                    <pic:cNvPicPr/>
                  </pic:nvPicPr>
                  <pic:blipFill>
                    <a:blip r:embed="rId10">
                      <a:extLst>
                        <a:ext uri="{28A0092B-C50C-407E-A947-70E740481C1C}">
                          <a14:useLocalDpi xmlns:a14="http://schemas.microsoft.com/office/drawing/2010/main" val="0"/>
                        </a:ext>
                      </a:extLst>
                    </a:blip>
                    <a:stretch>
                      <a:fillRect/>
                    </a:stretch>
                  </pic:blipFill>
                  <pic:spPr>
                    <a:xfrm>
                      <a:off x="0" y="0"/>
                      <a:ext cx="5635265" cy="3342457"/>
                    </a:xfrm>
                    <a:prstGeom prst="rect">
                      <a:avLst/>
                    </a:prstGeom>
                  </pic:spPr>
                </pic:pic>
              </a:graphicData>
            </a:graphic>
          </wp:inline>
        </w:drawing>
      </w:r>
    </w:p>
    <w:p w14:paraId="4E11816E" w14:textId="21AB9215" w:rsidR="003D0BBF" w:rsidRPr="00FB18DA" w:rsidRDefault="00727FEA" w:rsidP="00FB18DA">
      <w:pPr>
        <w:spacing w:after="0" w:line="360" w:lineRule="auto"/>
        <w:jc w:val="both"/>
        <w:rPr>
          <w:rFonts w:ascii="Book Antiqua" w:hAnsi="Book Antiqua" w:cs="Arial"/>
          <w:b/>
          <w:bCs/>
          <w:sz w:val="24"/>
          <w:szCs w:val="24"/>
          <w:lang w:val="en-GB"/>
        </w:rPr>
      </w:pPr>
      <w:r>
        <w:rPr>
          <w:rFonts w:ascii="Book Antiqua" w:hAnsi="Book Antiqua" w:cs="Arial"/>
          <w:b/>
          <w:sz w:val="24"/>
          <w:szCs w:val="24"/>
          <w:lang w:val="en-GB"/>
        </w:rPr>
        <w:t xml:space="preserve">Figure 1 </w:t>
      </w:r>
      <w:r w:rsidR="004C1A69" w:rsidRPr="00FB18DA">
        <w:rPr>
          <w:rFonts w:ascii="Book Antiqua" w:hAnsi="Book Antiqua" w:cs="Arial"/>
          <w:b/>
          <w:sz w:val="24"/>
          <w:szCs w:val="24"/>
          <w:lang w:val="en-GB"/>
        </w:rPr>
        <w:t>Doppler ultrasound scan of the uterine graft showing perfusion present on both sides of the graft</w:t>
      </w:r>
      <w:r w:rsidR="00ED036C" w:rsidRPr="00FB18DA">
        <w:rPr>
          <w:rFonts w:ascii="Book Antiqua" w:hAnsi="Book Antiqua" w:cs="Arial"/>
          <w:b/>
          <w:sz w:val="24"/>
          <w:szCs w:val="24"/>
          <w:lang w:val="en-GB"/>
        </w:rPr>
        <w:t>.</w:t>
      </w:r>
      <w:r w:rsidR="004C1A69" w:rsidRPr="00FB18DA">
        <w:rPr>
          <w:rFonts w:ascii="Book Antiqua" w:hAnsi="Book Antiqua" w:cs="Arial"/>
          <w:sz w:val="24"/>
          <w:szCs w:val="24"/>
          <w:lang w:val="en-GB"/>
        </w:rPr>
        <w:t xml:space="preserve"> </w:t>
      </w:r>
      <w:r w:rsidR="00ED036C" w:rsidRPr="00FB18DA">
        <w:rPr>
          <w:rFonts w:ascii="Book Antiqua" w:hAnsi="Book Antiqua" w:cs="Arial"/>
          <w:sz w:val="24"/>
          <w:szCs w:val="24"/>
          <w:lang w:val="en-GB"/>
        </w:rPr>
        <w:t xml:space="preserve">Uterine </w:t>
      </w:r>
      <w:r w:rsidR="004C1A69" w:rsidRPr="00FB18DA">
        <w:rPr>
          <w:rFonts w:ascii="Book Antiqua" w:hAnsi="Book Antiqua" w:cs="Arial"/>
          <w:sz w:val="24"/>
          <w:szCs w:val="24"/>
          <w:lang w:val="en-GB"/>
        </w:rPr>
        <w:t>arteries (white arrows).</w:t>
      </w:r>
    </w:p>
    <w:p w14:paraId="7BEFF6E4" w14:textId="3FDF777F" w:rsidR="00ED036C" w:rsidRPr="00FB18DA" w:rsidRDefault="00ED036C" w:rsidP="00FB18DA">
      <w:pPr>
        <w:spacing w:after="0" w:line="360" w:lineRule="auto"/>
        <w:jc w:val="both"/>
        <w:rPr>
          <w:rFonts w:ascii="Book Antiqua" w:hAnsi="Book Antiqua" w:cs="Arial"/>
          <w:b/>
          <w:bCs/>
          <w:sz w:val="24"/>
          <w:szCs w:val="24"/>
          <w:lang w:val="en-GB"/>
        </w:rPr>
      </w:pPr>
      <w:r w:rsidRPr="00FB18DA">
        <w:rPr>
          <w:rFonts w:ascii="Book Antiqua" w:hAnsi="Book Antiqua" w:cs="Arial"/>
          <w:b/>
          <w:bCs/>
          <w:sz w:val="24"/>
          <w:szCs w:val="24"/>
          <w:lang w:val="en-GB"/>
        </w:rPr>
        <w:br w:type="page"/>
      </w:r>
    </w:p>
    <w:p w14:paraId="7AF827E9" w14:textId="13193230" w:rsidR="00ED036C" w:rsidRPr="00FB18DA" w:rsidRDefault="00727FEA" w:rsidP="00FB18DA">
      <w:pPr>
        <w:spacing w:after="0" w:line="360" w:lineRule="auto"/>
        <w:jc w:val="both"/>
        <w:rPr>
          <w:rFonts w:ascii="Book Antiqua" w:hAnsi="Book Antiqua" w:cs="Arial"/>
          <w:sz w:val="24"/>
          <w:szCs w:val="24"/>
          <w:lang w:val="en-GB" w:eastAsia="zh-CN"/>
        </w:rPr>
      </w:pPr>
      <w:r>
        <w:rPr>
          <w:rFonts w:ascii="Book Antiqua" w:hAnsi="Book Antiqua" w:cs="Arial" w:hint="eastAsia"/>
          <w:sz w:val="24"/>
          <w:szCs w:val="24"/>
          <w:lang w:val="en-GB" w:eastAsia="zh-CN"/>
        </w:rPr>
        <w:lastRenderedPageBreak/>
        <w:t>A</w:t>
      </w:r>
    </w:p>
    <w:p w14:paraId="109F4190" w14:textId="77777777" w:rsidR="00266434" w:rsidRPr="00FB18DA" w:rsidRDefault="002E0757" w:rsidP="00FB18DA">
      <w:pPr>
        <w:spacing w:after="0" w:line="360" w:lineRule="auto"/>
        <w:jc w:val="both"/>
        <w:rPr>
          <w:rFonts w:ascii="Book Antiqua" w:hAnsi="Book Antiqua" w:cs="Arial"/>
          <w:sz w:val="24"/>
          <w:szCs w:val="24"/>
          <w:lang w:val="en-GB"/>
        </w:rPr>
      </w:pPr>
      <w:r w:rsidRPr="00FB18DA">
        <w:rPr>
          <w:rFonts w:ascii="Book Antiqua" w:hAnsi="Book Antiqua" w:cs="Arial"/>
          <w:noProof/>
          <w:sz w:val="24"/>
          <w:szCs w:val="24"/>
          <w:lang w:val="en-US" w:eastAsia="zh-CN"/>
        </w:rPr>
        <w:drawing>
          <wp:inline distT="0" distB="0" distL="0" distR="0" wp14:anchorId="63F4F2E4" wp14:editId="4716FB2E">
            <wp:extent cx="5629275" cy="3721544"/>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174496" name="Figure 4 300 DPI.jpg"/>
                    <pic:cNvPicPr/>
                  </pic:nvPicPr>
                  <pic:blipFill>
                    <a:blip r:embed="rId11">
                      <a:extLst>
                        <a:ext uri="{28A0092B-C50C-407E-A947-70E740481C1C}">
                          <a14:useLocalDpi xmlns:a14="http://schemas.microsoft.com/office/drawing/2010/main" val="0"/>
                        </a:ext>
                      </a:extLst>
                    </a:blip>
                    <a:stretch>
                      <a:fillRect/>
                    </a:stretch>
                  </pic:blipFill>
                  <pic:spPr>
                    <a:xfrm>
                      <a:off x="0" y="0"/>
                      <a:ext cx="5650422" cy="3735525"/>
                    </a:xfrm>
                    <a:prstGeom prst="rect">
                      <a:avLst/>
                    </a:prstGeom>
                  </pic:spPr>
                </pic:pic>
              </a:graphicData>
            </a:graphic>
          </wp:inline>
        </w:drawing>
      </w:r>
    </w:p>
    <w:p w14:paraId="2F77454B" w14:textId="609A4888" w:rsidR="00ED036C" w:rsidRPr="00FB18DA" w:rsidRDefault="00ED036C"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br w:type="page"/>
      </w:r>
    </w:p>
    <w:p w14:paraId="19DD66FF" w14:textId="59871857" w:rsidR="005F4734" w:rsidRPr="00FB18DA" w:rsidRDefault="00727FEA" w:rsidP="00FB18DA">
      <w:pPr>
        <w:spacing w:after="0" w:line="360" w:lineRule="auto"/>
        <w:jc w:val="both"/>
        <w:rPr>
          <w:rFonts w:ascii="Book Antiqua" w:hAnsi="Book Antiqua" w:cs="Arial"/>
          <w:sz w:val="24"/>
          <w:szCs w:val="24"/>
          <w:lang w:val="en-GB" w:eastAsia="zh-CN"/>
        </w:rPr>
      </w:pPr>
      <w:r>
        <w:rPr>
          <w:rFonts w:ascii="Book Antiqua" w:hAnsi="Book Antiqua" w:cs="Arial" w:hint="eastAsia"/>
          <w:sz w:val="24"/>
          <w:szCs w:val="24"/>
          <w:lang w:val="en-GB" w:eastAsia="zh-CN"/>
        </w:rPr>
        <w:lastRenderedPageBreak/>
        <w:t>B</w:t>
      </w:r>
    </w:p>
    <w:p w14:paraId="0DAA198D" w14:textId="77777777" w:rsidR="00266434" w:rsidRPr="00FB18DA" w:rsidRDefault="002E0757" w:rsidP="00FB18DA">
      <w:pPr>
        <w:spacing w:after="0" w:line="360" w:lineRule="auto"/>
        <w:jc w:val="both"/>
        <w:rPr>
          <w:rFonts w:ascii="Book Antiqua" w:hAnsi="Book Antiqua" w:cs="Arial"/>
          <w:sz w:val="24"/>
          <w:szCs w:val="24"/>
          <w:lang w:val="en-GB"/>
        </w:rPr>
      </w:pPr>
      <w:r w:rsidRPr="00FB18DA">
        <w:rPr>
          <w:rFonts w:ascii="Book Antiqua" w:hAnsi="Book Antiqua" w:cs="Arial"/>
          <w:noProof/>
          <w:sz w:val="24"/>
          <w:szCs w:val="24"/>
          <w:lang w:val="en-US" w:eastAsia="zh-CN"/>
        </w:rPr>
        <w:drawing>
          <wp:inline distT="0" distB="0" distL="0" distR="0" wp14:anchorId="57AEF232" wp14:editId="6D8E43E0">
            <wp:extent cx="5667375" cy="3372029"/>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742397" name="Figure 5 300 DPI.jpg"/>
                    <pic:cNvPicPr/>
                  </pic:nvPicPr>
                  <pic:blipFill>
                    <a:blip r:embed="rId12">
                      <a:extLst>
                        <a:ext uri="{28A0092B-C50C-407E-A947-70E740481C1C}">
                          <a14:useLocalDpi xmlns:a14="http://schemas.microsoft.com/office/drawing/2010/main" val="0"/>
                        </a:ext>
                      </a:extLst>
                    </a:blip>
                    <a:stretch>
                      <a:fillRect/>
                    </a:stretch>
                  </pic:blipFill>
                  <pic:spPr>
                    <a:xfrm>
                      <a:off x="0" y="0"/>
                      <a:ext cx="5681121" cy="3380207"/>
                    </a:xfrm>
                    <a:prstGeom prst="rect">
                      <a:avLst/>
                    </a:prstGeom>
                  </pic:spPr>
                </pic:pic>
              </a:graphicData>
            </a:graphic>
          </wp:inline>
        </w:drawing>
      </w:r>
    </w:p>
    <w:p w14:paraId="51A2FEC1" w14:textId="174AEB7D" w:rsidR="003237C0" w:rsidRPr="00727FEA" w:rsidRDefault="00727FEA" w:rsidP="00FB18DA">
      <w:pPr>
        <w:spacing w:after="0" w:line="360" w:lineRule="auto"/>
        <w:jc w:val="both"/>
        <w:rPr>
          <w:rFonts w:ascii="Book Antiqua" w:hAnsi="Book Antiqua" w:cs="Arial"/>
          <w:sz w:val="24"/>
          <w:szCs w:val="24"/>
          <w:lang w:val="en-GB" w:eastAsia="zh-CN"/>
        </w:rPr>
      </w:pPr>
      <w:r w:rsidRPr="00FB18DA">
        <w:rPr>
          <w:rFonts w:ascii="Book Antiqua" w:hAnsi="Book Antiqua" w:cs="Arial"/>
          <w:b/>
          <w:sz w:val="24"/>
          <w:szCs w:val="24"/>
          <w:lang w:val="en-GB"/>
        </w:rPr>
        <w:t>Figure 2 Ultrasound scan</w:t>
      </w:r>
      <w:r>
        <w:rPr>
          <w:rFonts w:ascii="Book Antiqua" w:hAnsi="Book Antiqua" w:cs="Arial" w:hint="eastAsia"/>
          <w:b/>
          <w:sz w:val="24"/>
          <w:szCs w:val="24"/>
          <w:lang w:val="en-GB" w:eastAsia="zh-CN"/>
        </w:rPr>
        <w:t>.</w:t>
      </w:r>
      <w:r w:rsidRPr="00FB18DA">
        <w:rPr>
          <w:rFonts w:ascii="Book Antiqua" w:hAnsi="Book Antiqua" w:cs="Arial"/>
          <w:b/>
          <w:sz w:val="24"/>
          <w:szCs w:val="24"/>
          <w:lang w:val="en-GB"/>
        </w:rPr>
        <w:t xml:space="preserve"> </w:t>
      </w:r>
      <w:r w:rsidRPr="00727FEA">
        <w:rPr>
          <w:rFonts w:ascii="Book Antiqua" w:hAnsi="Book Antiqua" w:cs="Arial" w:hint="eastAsia"/>
          <w:sz w:val="24"/>
          <w:szCs w:val="24"/>
          <w:lang w:val="en-GB" w:eastAsia="zh-CN"/>
        </w:rPr>
        <w:t>A:</w:t>
      </w:r>
      <w:r w:rsidRPr="00727FEA">
        <w:rPr>
          <w:rFonts w:ascii="Book Antiqua" w:hAnsi="Book Antiqua" w:cs="Arial"/>
          <w:sz w:val="24"/>
          <w:szCs w:val="24"/>
          <w:lang w:val="en-GB"/>
        </w:rPr>
        <w:t xml:space="preserve"> A suspected inflamed appendix next to the uterine graft.</w:t>
      </w:r>
      <w:r w:rsidRPr="00727FEA">
        <w:rPr>
          <w:rFonts w:ascii="Book Antiqua" w:eastAsia="Calibri" w:hAnsi="Book Antiqua" w:cs="Arial"/>
          <w:sz w:val="24"/>
          <w:szCs w:val="24"/>
          <w:lang w:val="en-GB"/>
        </w:rPr>
        <w:t xml:space="preserve"> </w:t>
      </w:r>
      <w:r w:rsidRPr="00727FEA">
        <w:rPr>
          <w:rFonts w:ascii="Book Antiqua" w:hAnsi="Book Antiqua" w:cs="Arial"/>
          <w:sz w:val="24"/>
          <w:szCs w:val="24"/>
          <w:lang w:val="en-GB"/>
        </w:rPr>
        <w:t>Suspected inflamed appendix in a longitudinal view (arrow); the uterine graft (star)</w:t>
      </w:r>
      <w:r w:rsidRPr="00727FEA">
        <w:rPr>
          <w:rFonts w:ascii="Book Antiqua" w:hAnsi="Book Antiqua" w:cs="Arial" w:hint="eastAsia"/>
          <w:sz w:val="24"/>
          <w:szCs w:val="24"/>
          <w:lang w:val="en-GB" w:eastAsia="zh-CN"/>
        </w:rPr>
        <w:t xml:space="preserve">; B: </w:t>
      </w:r>
      <w:r w:rsidRPr="00727FEA">
        <w:rPr>
          <w:rFonts w:ascii="Book Antiqua" w:hAnsi="Book Antiqua" w:cs="Arial"/>
          <w:sz w:val="24"/>
          <w:szCs w:val="24"/>
          <w:lang w:val="en-GB"/>
        </w:rPr>
        <w:t>A</w:t>
      </w:r>
      <w:r w:rsidR="005F4734" w:rsidRPr="00727FEA">
        <w:rPr>
          <w:rFonts w:ascii="Book Antiqua" w:hAnsi="Book Antiqua" w:cs="Arial"/>
          <w:sz w:val="24"/>
          <w:szCs w:val="24"/>
          <w:lang w:val="en-GB"/>
        </w:rPr>
        <w:t xml:space="preserve"> suspected inflam</w:t>
      </w:r>
      <w:r w:rsidR="0041420A" w:rsidRPr="00727FEA">
        <w:rPr>
          <w:rFonts w:ascii="Book Antiqua" w:hAnsi="Book Antiqua" w:cs="Arial"/>
          <w:sz w:val="24"/>
          <w:szCs w:val="24"/>
          <w:lang w:val="en-GB"/>
        </w:rPr>
        <w:t>ed</w:t>
      </w:r>
      <w:r w:rsidR="005F4734" w:rsidRPr="00727FEA">
        <w:rPr>
          <w:rFonts w:ascii="Book Antiqua" w:hAnsi="Book Antiqua" w:cs="Arial"/>
          <w:sz w:val="24"/>
          <w:szCs w:val="24"/>
          <w:lang w:val="en-GB"/>
        </w:rPr>
        <w:t xml:space="preserve"> appendix next to the uterine graft. Suspected appendicitis in a transversal view (arrow); the uterine graft (</w:t>
      </w:r>
      <w:r w:rsidR="0041420A" w:rsidRPr="00727FEA">
        <w:rPr>
          <w:rFonts w:ascii="Book Antiqua" w:hAnsi="Book Antiqua" w:cs="Arial"/>
          <w:sz w:val="24"/>
          <w:szCs w:val="24"/>
          <w:lang w:val="en-GB"/>
        </w:rPr>
        <w:t>star</w:t>
      </w:r>
      <w:r w:rsidR="005F4734" w:rsidRPr="00727FEA">
        <w:rPr>
          <w:rFonts w:ascii="Book Antiqua" w:hAnsi="Book Antiqua" w:cs="Arial"/>
          <w:sz w:val="24"/>
          <w:szCs w:val="24"/>
          <w:lang w:val="en-GB"/>
        </w:rPr>
        <w:t>).</w:t>
      </w:r>
    </w:p>
    <w:p w14:paraId="7514055B" w14:textId="77777777" w:rsidR="00266434" w:rsidRPr="00FB18DA" w:rsidRDefault="00266434" w:rsidP="00FB18DA">
      <w:pPr>
        <w:spacing w:after="0" w:line="360" w:lineRule="auto"/>
        <w:jc w:val="both"/>
        <w:rPr>
          <w:rFonts w:ascii="Book Antiqua" w:hAnsi="Book Antiqua" w:cs="Arial"/>
          <w:sz w:val="24"/>
          <w:szCs w:val="24"/>
          <w:lang w:val="en-GB"/>
        </w:rPr>
      </w:pPr>
    </w:p>
    <w:p w14:paraId="1C1E6CB2" w14:textId="77777777" w:rsidR="00266434" w:rsidRPr="00FB18DA" w:rsidRDefault="002E0757" w:rsidP="00FB18DA">
      <w:pPr>
        <w:spacing w:after="0" w:line="360" w:lineRule="auto"/>
        <w:jc w:val="both"/>
        <w:rPr>
          <w:rFonts w:ascii="Book Antiqua" w:hAnsi="Book Antiqua" w:cs="Arial"/>
          <w:sz w:val="24"/>
          <w:szCs w:val="24"/>
          <w:lang w:val="en-GB"/>
        </w:rPr>
      </w:pPr>
      <w:r w:rsidRPr="00FB18DA">
        <w:rPr>
          <w:rFonts w:ascii="Book Antiqua" w:hAnsi="Book Antiqua" w:cs="Arial"/>
          <w:noProof/>
          <w:sz w:val="24"/>
          <w:szCs w:val="24"/>
          <w:lang w:val="en-US" w:eastAsia="zh-CN"/>
        </w:rPr>
        <w:lastRenderedPageBreak/>
        <w:drawing>
          <wp:inline distT="0" distB="0" distL="0" distR="0" wp14:anchorId="05CECECE" wp14:editId="69E07400">
            <wp:extent cx="5676900" cy="4217126"/>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359427" name="Figure 6 300 DPI.jpg"/>
                    <pic:cNvPicPr/>
                  </pic:nvPicPr>
                  <pic:blipFill>
                    <a:blip r:embed="rId13">
                      <a:extLst>
                        <a:ext uri="{28A0092B-C50C-407E-A947-70E740481C1C}">
                          <a14:useLocalDpi xmlns:a14="http://schemas.microsoft.com/office/drawing/2010/main" val="0"/>
                        </a:ext>
                      </a:extLst>
                    </a:blip>
                    <a:stretch>
                      <a:fillRect/>
                    </a:stretch>
                  </pic:blipFill>
                  <pic:spPr>
                    <a:xfrm>
                      <a:off x="0" y="0"/>
                      <a:ext cx="5709040" cy="4241002"/>
                    </a:xfrm>
                    <a:prstGeom prst="rect">
                      <a:avLst/>
                    </a:prstGeom>
                  </pic:spPr>
                </pic:pic>
              </a:graphicData>
            </a:graphic>
          </wp:inline>
        </w:drawing>
      </w:r>
    </w:p>
    <w:p w14:paraId="563CAD39" w14:textId="583E74A4" w:rsidR="003237C0" w:rsidRPr="00FB18DA" w:rsidRDefault="002E0757" w:rsidP="00FB18DA">
      <w:pPr>
        <w:spacing w:after="0" w:line="360" w:lineRule="auto"/>
        <w:jc w:val="both"/>
        <w:rPr>
          <w:rFonts w:ascii="Book Antiqua" w:hAnsi="Book Antiqua" w:cs="Arial"/>
          <w:sz w:val="24"/>
          <w:szCs w:val="24"/>
          <w:lang w:val="en-GB"/>
        </w:rPr>
      </w:pPr>
      <w:r w:rsidRPr="00FB18DA">
        <w:rPr>
          <w:rFonts w:ascii="Book Antiqua" w:hAnsi="Book Antiqua" w:cs="Arial"/>
          <w:b/>
          <w:sz w:val="24"/>
          <w:szCs w:val="24"/>
          <w:lang w:val="en-GB"/>
        </w:rPr>
        <w:t xml:space="preserve">Figure </w:t>
      </w:r>
      <w:r w:rsidR="0072651D">
        <w:rPr>
          <w:rFonts w:ascii="Book Antiqua" w:hAnsi="Book Antiqua" w:cs="Arial" w:hint="eastAsia"/>
          <w:b/>
          <w:sz w:val="24"/>
          <w:szCs w:val="24"/>
          <w:lang w:val="en-GB" w:eastAsia="zh-CN"/>
        </w:rPr>
        <w:t>3</w:t>
      </w:r>
      <w:r w:rsidRPr="00FB18DA">
        <w:rPr>
          <w:rFonts w:ascii="Book Antiqua" w:hAnsi="Book Antiqua" w:cs="Arial"/>
          <w:b/>
          <w:sz w:val="24"/>
          <w:szCs w:val="24"/>
          <w:lang w:val="en-GB"/>
        </w:rPr>
        <w:t xml:space="preserve"> A photo of the appendix</w:t>
      </w:r>
      <w:r w:rsidR="0085203F" w:rsidRPr="00FB18DA">
        <w:rPr>
          <w:rFonts w:ascii="Book Antiqua" w:hAnsi="Book Antiqua" w:cs="Arial"/>
          <w:sz w:val="24"/>
          <w:szCs w:val="24"/>
          <w:lang w:val="en-GB"/>
        </w:rPr>
        <w:t xml:space="preserve">. A perforation of the appendix (black arrow); </w:t>
      </w:r>
      <w:r w:rsidR="0041420A" w:rsidRPr="00FB18DA">
        <w:rPr>
          <w:rFonts w:ascii="Book Antiqua" w:hAnsi="Book Antiqua" w:cs="Arial"/>
          <w:sz w:val="24"/>
          <w:szCs w:val="24"/>
          <w:lang w:val="en-GB"/>
        </w:rPr>
        <w:t>the</w:t>
      </w:r>
      <w:r w:rsidR="0085203F" w:rsidRPr="00FB18DA">
        <w:rPr>
          <w:rFonts w:ascii="Book Antiqua" w:hAnsi="Book Antiqua" w:cs="Arial"/>
          <w:sz w:val="24"/>
          <w:szCs w:val="24"/>
          <w:lang w:val="en-GB"/>
        </w:rPr>
        <w:t xml:space="preserve"> base of the caecum (white arrow).</w:t>
      </w:r>
    </w:p>
    <w:p w14:paraId="70CE4543" w14:textId="5031F407" w:rsidR="00266434" w:rsidRPr="00FB18DA" w:rsidRDefault="00DD3579" w:rsidP="00FB18DA">
      <w:pPr>
        <w:spacing w:after="0" w:line="360" w:lineRule="auto"/>
        <w:jc w:val="both"/>
        <w:rPr>
          <w:rFonts w:ascii="Book Antiqua" w:hAnsi="Book Antiqua" w:cs="Arial"/>
          <w:sz w:val="24"/>
          <w:szCs w:val="24"/>
          <w:lang w:val="en-GB"/>
        </w:rPr>
      </w:pPr>
      <w:r w:rsidRPr="00FB18DA">
        <w:rPr>
          <w:rFonts w:ascii="Book Antiqua" w:hAnsi="Book Antiqua" w:cs="Arial"/>
          <w:noProof/>
          <w:sz w:val="24"/>
          <w:szCs w:val="24"/>
          <w:lang w:val="en-US" w:eastAsia="zh-CN"/>
        </w:rPr>
        <w:lastRenderedPageBreak/>
        <w:drawing>
          <wp:inline distT="0" distB="0" distL="0" distR="0" wp14:anchorId="276B9EEA" wp14:editId="63573BED">
            <wp:extent cx="5722620" cy="5063332"/>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I ape 4669-18 HE 20x a bar300.jpg"/>
                    <pic:cNvPicPr/>
                  </pic:nvPicPr>
                  <pic:blipFill>
                    <a:blip r:embed="rId14">
                      <a:extLst>
                        <a:ext uri="{28A0092B-C50C-407E-A947-70E740481C1C}">
                          <a14:useLocalDpi xmlns:a14="http://schemas.microsoft.com/office/drawing/2010/main" val="0"/>
                        </a:ext>
                      </a:extLst>
                    </a:blip>
                    <a:stretch>
                      <a:fillRect/>
                    </a:stretch>
                  </pic:blipFill>
                  <pic:spPr>
                    <a:xfrm>
                      <a:off x="0" y="0"/>
                      <a:ext cx="5729540" cy="5069455"/>
                    </a:xfrm>
                    <a:prstGeom prst="rect">
                      <a:avLst/>
                    </a:prstGeom>
                  </pic:spPr>
                </pic:pic>
              </a:graphicData>
            </a:graphic>
          </wp:inline>
        </w:drawing>
      </w:r>
    </w:p>
    <w:p w14:paraId="34440836" w14:textId="78903085" w:rsidR="00266434" w:rsidRPr="00FB18DA" w:rsidRDefault="002E0757" w:rsidP="00FB18DA">
      <w:pPr>
        <w:spacing w:after="0" w:line="360" w:lineRule="auto"/>
        <w:jc w:val="both"/>
        <w:rPr>
          <w:rStyle w:val="mcntnormaltextrun"/>
          <w:rFonts w:ascii="Book Antiqua" w:hAnsi="Book Antiqua" w:cs="Arial"/>
          <w:sz w:val="24"/>
          <w:szCs w:val="24"/>
          <w:lang w:val="en-GB"/>
        </w:rPr>
      </w:pPr>
      <w:r w:rsidRPr="00FB18DA">
        <w:rPr>
          <w:rFonts w:ascii="Book Antiqua" w:hAnsi="Book Antiqua" w:cs="Arial"/>
          <w:b/>
          <w:sz w:val="24"/>
          <w:szCs w:val="24"/>
          <w:lang w:val="en-GB"/>
        </w:rPr>
        <w:t xml:space="preserve">Figure </w:t>
      </w:r>
      <w:r w:rsidR="0072651D">
        <w:rPr>
          <w:rFonts w:ascii="Book Antiqua" w:hAnsi="Book Antiqua" w:cs="Arial" w:hint="eastAsia"/>
          <w:b/>
          <w:sz w:val="24"/>
          <w:szCs w:val="24"/>
          <w:lang w:val="en-GB" w:eastAsia="zh-CN"/>
        </w:rPr>
        <w:t>4</w:t>
      </w:r>
      <w:r w:rsidRPr="00FB18DA">
        <w:rPr>
          <w:rFonts w:ascii="Book Antiqua" w:hAnsi="Book Antiqua" w:cs="Arial"/>
          <w:b/>
          <w:sz w:val="24"/>
          <w:szCs w:val="24"/>
          <w:lang w:val="en-GB"/>
        </w:rPr>
        <w:t xml:space="preserve"> A histological section of the appendix; acute gangrenous appendicitis with perforation of its wall, purulent</w:t>
      </w:r>
      <w:r w:rsidR="0041420A" w:rsidRPr="00FB18DA">
        <w:rPr>
          <w:rFonts w:ascii="Book Antiqua" w:hAnsi="Book Antiqua" w:cs="Arial"/>
          <w:b/>
          <w:sz w:val="24"/>
          <w:szCs w:val="24"/>
          <w:lang w:val="en-GB"/>
        </w:rPr>
        <w:t xml:space="preserve"> </w:t>
      </w:r>
      <w:r w:rsidRPr="00FB18DA">
        <w:rPr>
          <w:rFonts w:ascii="Book Antiqua" w:hAnsi="Book Antiqua" w:cs="Arial"/>
          <w:b/>
          <w:sz w:val="24"/>
          <w:szCs w:val="24"/>
          <w:lang w:val="en-GB"/>
        </w:rPr>
        <w:t>fibrinous periappendicitis</w:t>
      </w:r>
      <w:r w:rsidR="00ED036C" w:rsidRPr="00FB18DA">
        <w:rPr>
          <w:rFonts w:ascii="Book Antiqua" w:hAnsi="Book Antiqua" w:cs="Arial"/>
          <w:b/>
          <w:sz w:val="24"/>
          <w:szCs w:val="24"/>
          <w:lang w:val="en-GB"/>
        </w:rPr>
        <w:t>.</w:t>
      </w:r>
      <w:r w:rsidR="00DD3579" w:rsidRPr="00FB18DA">
        <w:rPr>
          <w:rFonts w:ascii="Book Antiqua" w:hAnsi="Book Antiqua" w:cs="Arial"/>
          <w:b/>
          <w:sz w:val="24"/>
          <w:szCs w:val="24"/>
          <w:lang w:val="en-GB"/>
        </w:rPr>
        <w:t xml:space="preserve"> </w:t>
      </w:r>
      <w:r w:rsidR="00DD3579" w:rsidRPr="00FB18DA">
        <w:rPr>
          <w:rFonts w:ascii="Book Antiqua" w:hAnsi="Book Antiqua" w:cs="Arial"/>
          <w:bCs/>
          <w:sz w:val="24"/>
          <w:szCs w:val="24"/>
          <w:lang w:val="en-GB"/>
        </w:rPr>
        <w:t>(</w:t>
      </w:r>
      <w:r w:rsidR="00DD3579" w:rsidRPr="00FB18DA">
        <w:rPr>
          <w:rFonts w:ascii="Book Antiqua" w:hAnsi="Book Antiqua" w:cs="Times New Roman"/>
          <w:sz w:val="24"/>
          <w:szCs w:val="24"/>
          <w:lang w:val="en-GB"/>
        </w:rPr>
        <w:t xml:space="preserve">Hematoxylin </w:t>
      </w:r>
      <w:r w:rsidR="00ED036C" w:rsidRPr="00FB18DA">
        <w:rPr>
          <w:rFonts w:ascii="Book Antiqua" w:hAnsi="Book Antiqua" w:cs="Times New Roman"/>
          <w:sz w:val="24"/>
          <w:szCs w:val="24"/>
          <w:lang w:val="en-GB"/>
        </w:rPr>
        <w:t>eosin</w:t>
      </w:r>
      <w:r w:rsidR="00DD3579" w:rsidRPr="00FB18DA">
        <w:rPr>
          <w:rFonts w:ascii="Book Antiqua" w:hAnsi="Book Antiqua" w:cs="Times New Roman"/>
          <w:sz w:val="24"/>
          <w:szCs w:val="24"/>
          <w:lang w:val="en-GB"/>
        </w:rPr>
        <w:t xml:space="preserve">, </w:t>
      </w:r>
      <w:r w:rsidR="00ED036C" w:rsidRPr="00FB18DA">
        <w:rPr>
          <w:rFonts w:ascii="Book Antiqua" w:hAnsi="Book Antiqua" w:cs="Times New Roman"/>
          <w:sz w:val="24"/>
          <w:szCs w:val="24"/>
          <w:lang w:val="en-GB"/>
        </w:rPr>
        <w:t xml:space="preserve">magnitude </w:t>
      </w:r>
      <w:r w:rsidR="00DD3579" w:rsidRPr="00FB18DA">
        <w:rPr>
          <w:rFonts w:ascii="Book Antiqua" w:hAnsi="Book Antiqua" w:cs="Times New Roman"/>
          <w:sz w:val="24"/>
          <w:szCs w:val="24"/>
          <w:lang w:val="en-GB"/>
        </w:rPr>
        <w:t>20</w:t>
      </w:r>
      <w:r w:rsidR="00ED036C" w:rsidRPr="00FB18DA">
        <w:rPr>
          <w:rFonts w:ascii="Book Antiqua" w:hAnsi="Book Antiqua" w:cs="Times New Roman"/>
          <w:sz w:val="24"/>
          <w:szCs w:val="24"/>
          <w:lang w:val="en-GB"/>
        </w:rPr>
        <w:t xml:space="preserve"> </w:t>
      </w:r>
      <w:r w:rsidR="00ED036C" w:rsidRPr="00FB18DA">
        <w:rPr>
          <w:rFonts w:ascii="Book Antiqua" w:eastAsia="宋体" w:hAnsi="Book Antiqua" w:cs="Times New Roman"/>
          <w:sz w:val="24"/>
          <w:szCs w:val="24"/>
          <w:lang w:val="en-GB"/>
        </w:rPr>
        <w:t>×</w:t>
      </w:r>
      <w:r w:rsidR="00DD3579" w:rsidRPr="00FB18DA">
        <w:rPr>
          <w:rFonts w:ascii="Book Antiqua" w:hAnsi="Book Antiqua" w:cs="Times New Roman"/>
          <w:sz w:val="24"/>
          <w:szCs w:val="24"/>
          <w:lang w:val="en-GB"/>
        </w:rPr>
        <w:t>)</w:t>
      </w:r>
      <w:r w:rsidRPr="00FB18DA">
        <w:rPr>
          <w:rFonts w:ascii="Book Antiqua" w:hAnsi="Book Antiqua" w:cs="Arial"/>
          <w:b/>
          <w:sz w:val="24"/>
          <w:szCs w:val="24"/>
          <w:lang w:val="en-GB"/>
        </w:rPr>
        <w:t xml:space="preserve">. </w:t>
      </w:r>
      <w:r w:rsidR="00023288" w:rsidRPr="00FB18DA">
        <w:rPr>
          <w:rFonts w:ascii="Book Antiqua" w:hAnsi="Book Antiqua" w:cs="Arial"/>
          <w:sz w:val="24"/>
          <w:szCs w:val="24"/>
          <w:lang w:val="en-GB"/>
        </w:rPr>
        <w:t xml:space="preserve">A perforation of the appendix (arrow); </w:t>
      </w:r>
      <w:r w:rsidR="0041420A" w:rsidRPr="00FB18DA">
        <w:rPr>
          <w:rFonts w:ascii="Book Antiqua" w:hAnsi="Book Antiqua" w:cs="Arial"/>
          <w:sz w:val="24"/>
          <w:szCs w:val="24"/>
          <w:lang w:val="en-GB"/>
        </w:rPr>
        <w:t>the</w:t>
      </w:r>
      <w:r w:rsidR="00023288" w:rsidRPr="00FB18DA">
        <w:rPr>
          <w:rFonts w:ascii="Book Antiqua" w:hAnsi="Book Antiqua" w:cs="Arial"/>
          <w:sz w:val="24"/>
          <w:szCs w:val="24"/>
          <w:lang w:val="en-GB"/>
        </w:rPr>
        <w:t xml:space="preserve"> lumen of the appendix (</w:t>
      </w:r>
      <w:r w:rsidR="0041420A" w:rsidRPr="00FB18DA">
        <w:rPr>
          <w:rFonts w:ascii="Book Antiqua" w:hAnsi="Book Antiqua" w:cs="Arial"/>
          <w:sz w:val="24"/>
          <w:szCs w:val="24"/>
          <w:lang w:val="en-GB"/>
        </w:rPr>
        <w:t>star</w:t>
      </w:r>
      <w:r w:rsidR="00023288" w:rsidRPr="00FB18DA">
        <w:rPr>
          <w:rFonts w:ascii="Book Antiqua" w:hAnsi="Book Antiqua" w:cs="Arial"/>
          <w:sz w:val="24"/>
          <w:szCs w:val="24"/>
          <w:lang w:val="en-GB"/>
        </w:rPr>
        <w:t>).</w:t>
      </w:r>
    </w:p>
    <w:sectPr w:rsidR="00266434" w:rsidRPr="00FB18DA" w:rsidSect="00CA452D">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660ED" w14:textId="77777777" w:rsidR="00533622" w:rsidRDefault="00533622">
      <w:pPr>
        <w:spacing w:after="0" w:line="240" w:lineRule="auto"/>
      </w:pPr>
      <w:r>
        <w:separator/>
      </w:r>
    </w:p>
  </w:endnote>
  <w:endnote w:type="continuationSeparator" w:id="0">
    <w:p w14:paraId="0D4D5223" w14:textId="77777777" w:rsidR="00533622" w:rsidRDefault="0053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aomiSans EF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dvTimes">
    <w:altName w:val="Microsoft JhengHei"/>
    <w:charset w:val="88"/>
    <w:family w:val="auto"/>
    <w:pitch w:val="default"/>
    <w:sig w:usb0="00000000" w:usb1="0000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FE0B0" w14:textId="77777777" w:rsidR="00533622" w:rsidRDefault="00533622">
      <w:pPr>
        <w:spacing w:after="0" w:line="240" w:lineRule="auto"/>
      </w:pPr>
      <w:r>
        <w:separator/>
      </w:r>
    </w:p>
  </w:footnote>
  <w:footnote w:type="continuationSeparator" w:id="0">
    <w:p w14:paraId="54CC3A30" w14:textId="77777777" w:rsidR="00533622" w:rsidRDefault="00533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350420"/>
      <w:docPartObj>
        <w:docPartGallery w:val="Page Numbers (Top of Page)"/>
        <w:docPartUnique/>
      </w:docPartObj>
    </w:sdtPr>
    <w:sdtEndPr/>
    <w:sdtContent>
      <w:p w14:paraId="03737857" w14:textId="32BF7EC3" w:rsidR="003931E4" w:rsidRDefault="002E0757">
        <w:pPr>
          <w:pStyle w:val="a7"/>
          <w:jc w:val="center"/>
        </w:pPr>
        <w:r>
          <w:fldChar w:fldCharType="begin"/>
        </w:r>
        <w:r>
          <w:instrText>PAGE   \* MERGEFORMAT</w:instrText>
        </w:r>
        <w:r>
          <w:fldChar w:fldCharType="separate"/>
        </w:r>
        <w:r w:rsidR="00F93ACB">
          <w:rPr>
            <w:noProof/>
          </w:rPr>
          <w:t>17</w:t>
        </w:r>
        <w:r>
          <w:fldChar w:fldCharType="end"/>
        </w:r>
      </w:p>
    </w:sdtContent>
  </w:sdt>
  <w:p w14:paraId="7FDC54C7" w14:textId="77777777" w:rsidR="003931E4" w:rsidRDefault="003931E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15D36"/>
    <w:multiLevelType w:val="hybridMultilevel"/>
    <w:tmpl w:val="4F7A61DE"/>
    <w:lvl w:ilvl="0" w:tplc="A62EC162">
      <w:start w:val="1"/>
      <w:numFmt w:val="decimal"/>
      <w:lvlText w:val="%1."/>
      <w:lvlJc w:val="left"/>
      <w:pPr>
        <w:ind w:left="720" w:hanging="360"/>
      </w:pPr>
      <w:rPr>
        <w:rFonts w:hint="default"/>
      </w:rPr>
    </w:lvl>
    <w:lvl w:ilvl="1" w:tplc="82B60C78" w:tentative="1">
      <w:start w:val="1"/>
      <w:numFmt w:val="lowerLetter"/>
      <w:lvlText w:val="%2."/>
      <w:lvlJc w:val="left"/>
      <w:pPr>
        <w:ind w:left="1440" w:hanging="360"/>
      </w:pPr>
    </w:lvl>
    <w:lvl w:ilvl="2" w:tplc="D00009D6" w:tentative="1">
      <w:start w:val="1"/>
      <w:numFmt w:val="lowerRoman"/>
      <w:lvlText w:val="%3."/>
      <w:lvlJc w:val="right"/>
      <w:pPr>
        <w:ind w:left="2160" w:hanging="180"/>
      </w:pPr>
    </w:lvl>
    <w:lvl w:ilvl="3" w:tplc="D51884D4" w:tentative="1">
      <w:start w:val="1"/>
      <w:numFmt w:val="decimal"/>
      <w:lvlText w:val="%4."/>
      <w:lvlJc w:val="left"/>
      <w:pPr>
        <w:ind w:left="2880" w:hanging="360"/>
      </w:pPr>
    </w:lvl>
    <w:lvl w:ilvl="4" w:tplc="2E167C76" w:tentative="1">
      <w:start w:val="1"/>
      <w:numFmt w:val="lowerLetter"/>
      <w:lvlText w:val="%5."/>
      <w:lvlJc w:val="left"/>
      <w:pPr>
        <w:ind w:left="3600" w:hanging="360"/>
      </w:pPr>
    </w:lvl>
    <w:lvl w:ilvl="5" w:tplc="5E7C3B1E" w:tentative="1">
      <w:start w:val="1"/>
      <w:numFmt w:val="lowerRoman"/>
      <w:lvlText w:val="%6."/>
      <w:lvlJc w:val="right"/>
      <w:pPr>
        <w:ind w:left="4320" w:hanging="180"/>
      </w:pPr>
    </w:lvl>
    <w:lvl w:ilvl="6" w:tplc="4FD879A8" w:tentative="1">
      <w:start w:val="1"/>
      <w:numFmt w:val="decimal"/>
      <w:lvlText w:val="%7."/>
      <w:lvlJc w:val="left"/>
      <w:pPr>
        <w:ind w:left="5040" w:hanging="360"/>
      </w:pPr>
    </w:lvl>
    <w:lvl w:ilvl="7" w:tplc="8446E220" w:tentative="1">
      <w:start w:val="1"/>
      <w:numFmt w:val="lowerLetter"/>
      <w:lvlText w:val="%8."/>
      <w:lvlJc w:val="left"/>
      <w:pPr>
        <w:ind w:left="5760" w:hanging="360"/>
      </w:pPr>
    </w:lvl>
    <w:lvl w:ilvl="8" w:tplc="925681AE" w:tentative="1">
      <w:start w:val="1"/>
      <w:numFmt w:val="lowerRoman"/>
      <w:lvlText w:val="%9."/>
      <w:lvlJc w:val="right"/>
      <w:pPr>
        <w:ind w:left="6480" w:hanging="180"/>
      </w:pPr>
    </w:lvl>
  </w:abstractNum>
  <w:abstractNum w:abstractNumId="1"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hineID" w:val="198|203|197|187|186|197|199|207|197|188|188|197|206|206|197|188|200|"/>
    <w:docVar w:name="Username" w:val="Editor"/>
  </w:docVars>
  <w:rsids>
    <w:rsidRoot w:val="0054164A"/>
    <w:rsid w:val="00000429"/>
    <w:rsid w:val="0000168E"/>
    <w:rsid w:val="000038C9"/>
    <w:rsid w:val="00004862"/>
    <w:rsid w:val="00005EB7"/>
    <w:rsid w:val="000072CE"/>
    <w:rsid w:val="00007781"/>
    <w:rsid w:val="00010471"/>
    <w:rsid w:val="000113B3"/>
    <w:rsid w:val="00012507"/>
    <w:rsid w:val="00012A1E"/>
    <w:rsid w:val="0001436A"/>
    <w:rsid w:val="00016F4E"/>
    <w:rsid w:val="00020070"/>
    <w:rsid w:val="00021790"/>
    <w:rsid w:val="00021C96"/>
    <w:rsid w:val="00022740"/>
    <w:rsid w:val="00022ECB"/>
    <w:rsid w:val="00022F49"/>
    <w:rsid w:val="00023288"/>
    <w:rsid w:val="00023318"/>
    <w:rsid w:val="00024173"/>
    <w:rsid w:val="00025655"/>
    <w:rsid w:val="00030F59"/>
    <w:rsid w:val="00032DE5"/>
    <w:rsid w:val="0003306A"/>
    <w:rsid w:val="0003411E"/>
    <w:rsid w:val="00034BE8"/>
    <w:rsid w:val="00034C3C"/>
    <w:rsid w:val="00034C70"/>
    <w:rsid w:val="000351AB"/>
    <w:rsid w:val="00041792"/>
    <w:rsid w:val="00045FC0"/>
    <w:rsid w:val="00046432"/>
    <w:rsid w:val="00047943"/>
    <w:rsid w:val="00047D1C"/>
    <w:rsid w:val="000504D6"/>
    <w:rsid w:val="000510E3"/>
    <w:rsid w:val="00052B9A"/>
    <w:rsid w:val="00053A91"/>
    <w:rsid w:val="00053D4F"/>
    <w:rsid w:val="0005472E"/>
    <w:rsid w:val="00061459"/>
    <w:rsid w:val="000635CB"/>
    <w:rsid w:val="00066AB1"/>
    <w:rsid w:val="0006757D"/>
    <w:rsid w:val="00073C97"/>
    <w:rsid w:val="00073F15"/>
    <w:rsid w:val="000757F5"/>
    <w:rsid w:val="00076160"/>
    <w:rsid w:val="000812CF"/>
    <w:rsid w:val="0008246A"/>
    <w:rsid w:val="000824E3"/>
    <w:rsid w:val="00083326"/>
    <w:rsid w:val="00084300"/>
    <w:rsid w:val="00084C0A"/>
    <w:rsid w:val="00087CDF"/>
    <w:rsid w:val="00091753"/>
    <w:rsid w:val="000918D0"/>
    <w:rsid w:val="00095B9F"/>
    <w:rsid w:val="0009666B"/>
    <w:rsid w:val="00097930"/>
    <w:rsid w:val="00097CBE"/>
    <w:rsid w:val="000A0121"/>
    <w:rsid w:val="000A2FB0"/>
    <w:rsid w:val="000A3480"/>
    <w:rsid w:val="000A3EB8"/>
    <w:rsid w:val="000A6578"/>
    <w:rsid w:val="000B0090"/>
    <w:rsid w:val="000B0427"/>
    <w:rsid w:val="000B0EE6"/>
    <w:rsid w:val="000B10AC"/>
    <w:rsid w:val="000B1C40"/>
    <w:rsid w:val="000B2987"/>
    <w:rsid w:val="000B4D15"/>
    <w:rsid w:val="000C1FC9"/>
    <w:rsid w:val="000C39DF"/>
    <w:rsid w:val="000C41A2"/>
    <w:rsid w:val="000C4D22"/>
    <w:rsid w:val="000C579D"/>
    <w:rsid w:val="000C7AA7"/>
    <w:rsid w:val="000D0046"/>
    <w:rsid w:val="000D0C5B"/>
    <w:rsid w:val="000D5331"/>
    <w:rsid w:val="000D602E"/>
    <w:rsid w:val="000E34B1"/>
    <w:rsid w:val="000E37B6"/>
    <w:rsid w:val="000E42E9"/>
    <w:rsid w:val="000E7023"/>
    <w:rsid w:val="000F422F"/>
    <w:rsid w:val="000F4E57"/>
    <w:rsid w:val="000F6888"/>
    <w:rsid w:val="00103F1D"/>
    <w:rsid w:val="00111F37"/>
    <w:rsid w:val="00114507"/>
    <w:rsid w:val="0011611E"/>
    <w:rsid w:val="00117273"/>
    <w:rsid w:val="00117D72"/>
    <w:rsid w:val="0012346D"/>
    <w:rsid w:val="001240E6"/>
    <w:rsid w:val="00124350"/>
    <w:rsid w:val="00126741"/>
    <w:rsid w:val="00131E9A"/>
    <w:rsid w:val="001325B5"/>
    <w:rsid w:val="001325C9"/>
    <w:rsid w:val="00133184"/>
    <w:rsid w:val="001359BB"/>
    <w:rsid w:val="001411FA"/>
    <w:rsid w:val="001435E4"/>
    <w:rsid w:val="00143CAF"/>
    <w:rsid w:val="00143EED"/>
    <w:rsid w:val="001462E5"/>
    <w:rsid w:val="00146F59"/>
    <w:rsid w:val="001528B2"/>
    <w:rsid w:val="00152CCC"/>
    <w:rsid w:val="00155DC3"/>
    <w:rsid w:val="001578D3"/>
    <w:rsid w:val="001606BC"/>
    <w:rsid w:val="00160973"/>
    <w:rsid w:val="0016331F"/>
    <w:rsid w:val="001651E4"/>
    <w:rsid w:val="001657D7"/>
    <w:rsid w:val="001667F9"/>
    <w:rsid w:val="00166D35"/>
    <w:rsid w:val="00167810"/>
    <w:rsid w:val="00170E46"/>
    <w:rsid w:val="00172EF7"/>
    <w:rsid w:val="001752D8"/>
    <w:rsid w:val="0018369C"/>
    <w:rsid w:val="00183715"/>
    <w:rsid w:val="00184479"/>
    <w:rsid w:val="0018493E"/>
    <w:rsid w:val="00184BDF"/>
    <w:rsid w:val="00187753"/>
    <w:rsid w:val="00187CBF"/>
    <w:rsid w:val="001939AC"/>
    <w:rsid w:val="00193B20"/>
    <w:rsid w:val="00193D5A"/>
    <w:rsid w:val="00196882"/>
    <w:rsid w:val="001A1D3F"/>
    <w:rsid w:val="001A1E85"/>
    <w:rsid w:val="001A6250"/>
    <w:rsid w:val="001A68B0"/>
    <w:rsid w:val="001A6D9F"/>
    <w:rsid w:val="001B01B7"/>
    <w:rsid w:val="001B0487"/>
    <w:rsid w:val="001B0BE5"/>
    <w:rsid w:val="001B218A"/>
    <w:rsid w:val="001B2C2F"/>
    <w:rsid w:val="001B3782"/>
    <w:rsid w:val="001B3D3A"/>
    <w:rsid w:val="001B4A98"/>
    <w:rsid w:val="001B5043"/>
    <w:rsid w:val="001B5875"/>
    <w:rsid w:val="001B7574"/>
    <w:rsid w:val="001C28F1"/>
    <w:rsid w:val="001C318A"/>
    <w:rsid w:val="001C3F8A"/>
    <w:rsid w:val="001C4F1F"/>
    <w:rsid w:val="001C65F7"/>
    <w:rsid w:val="001C6F4D"/>
    <w:rsid w:val="001D1B36"/>
    <w:rsid w:val="001D2F3D"/>
    <w:rsid w:val="001E19E4"/>
    <w:rsid w:val="001E422A"/>
    <w:rsid w:val="001E4A3B"/>
    <w:rsid w:val="001E4A45"/>
    <w:rsid w:val="001E6029"/>
    <w:rsid w:val="001F1559"/>
    <w:rsid w:val="001F18B8"/>
    <w:rsid w:val="001F37A5"/>
    <w:rsid w:val="001F4C7E"/>
    <w:rsid w:val="0020269C"/>
    <w:rsid w:val="0020304D"/>
    <w:rsid w:val="00207C9F"/>
    <w:rsid w:val="00207CAA"/>
    <w:rsid w:val="00207F47"/>
    <w:rsid w:val="00207FC1"/>
    <w:rsid w:val="002110E1"/>
    <w:rsid w:val="00214723"/>
    <w:rsid w:val="00216046"/>
    <w:rsid w:val="002215DB"/>
    <w:rsid w:val="00222547"/>
    <w:rsid w:val="0022302A"/>
    <w:rsid w:val="0022524F"/>
    <w:rsid w:val="00225687"/>
    <w:rsid w:val="00225F9B"/>
    <w:rsid w:val="002320F8"/>
    <w:rsid w:val="00232BB6"/>
    <w:rsid w:val="0023322C"/>
    <w:rsid w:val="0023556C"/>
    <w:rsid w:val="0023612B"/>
    <w:rsid w:val="0024101E"/>
    <w:rsid w:val="0024214F"/>
    <w:rsid w:val="0024219C"/>
    <w:rsid w:val="00242842"/>
    <w:rsid w:val="00242A7B"/>
    <w:rsid w:val="002443CE"/>
    <w:rsid w:val="002448B3"/>
    <w:rsid w:val="002456A2"/>
    <w:rsid w:val="00247184"/>
    <w:rsid w:val="00247B40"/>
    <w:rsid w:val="00250DC4"/>
    <w:rsid w:val="0025165C"/>
    <w:rsid w:val="002518CD"/>
    <w:rsid w:val="00254044"/>
    <w:rsid w:val="00256233"/>
    <w:rsid w:val="00256628"/>
    <w:rsid w:val="00256CD9"/>
    <w:rsid w:val="00257370"/>
    <w:rsid w:val="002616CD"/>
    <w:rsid w:val="00261FF0"/>
    <w:rsid w:val="00262A86"/>
    <w:rsid w:val="00263FB0"/>
    <w:rsid w:val="00266434"/>
    <w:rsid w:val="002673CD"/>
    <w:rsid w:val="00267F5C"/>
    <w:rsid w:val="00272ACE"/>
    <w:rsid w:val="00273E06"/>
    <w:rsid w:val="00274088"/>
    <w:rsid w:val="00277B40"/>
    <w:rsid w:val="002813B7"/>
    <w:rsid w:val="00283D15"/>
    <w:rsid w:val="002858B9"/>
    <w:rsid w:val="002874E8"/>
    <w:rsid w:val="002874F9"/>
    <w:rsid w:val="0028772B"/>
    <w:rsid w:val="00290547"/>
    <w:rsid w:val="00291BFB"/>
    <w:rsid w:val="002928F2"/>
    <w:rsid w:val="00292F68"/>
    <w:rsid w:val="0029394D"/>
    <w:rsid w:val="00293993"/>
    <w:rsid w:val="00293AEF"/>
    <w:rsid w:val="0029618F"/>
    <w:rsid w:val="002A00DA"/>
    <w:rsid w:val="002A04D2"/>
    <w:rsid w:val="002A0857"/>
    <w:rsid w:val="002A127F"/>
    <w:rsid w:val="002A1E22"/>
    <w:rsid w:val="002A2352"/>
    <w:rsid w:val="002A44AB"/>
    <w:rsid w:val="002A48C5"/>
    <w:rsid w:val="002A73C4"/>
    <w:rsid w:val="002A77FA"/>
    <w:rsid w:val="002B2314"/>
    <w:rsid w:val="002B271A"/>
    <w:rsid w:val="002B2DF3"/>
    <w:rsid w:val="002B3678"/>
    <w:rsid w:val="002B4465"/>
    <w:rsid w:val="002B4702"/>
    <w:rsid w:val="002B4816"/>
    <w:rsid w:val="002C183D"/>
    <w:rsid w:val="002C5E3C"/>
    <w:rsid w:val="002C684C"/>
    <w:rsid w:val="002C72B2"/>
    <w:rsid w:val="002C7AA3"/>
    <w:rsid w:val="002D1CBC"/>
    <w:rsid w:val="002D1DA5"/>
    <w:rsid w:val="002D6341"/>
    <w:rsid w:val="002D7835"/>
    <w:rsid w:val="002E0757"/>
    <w:rsid w:val="002E553B"/>
    <w:rsid w:val="002E5A55"/>
    <w:rsid w:val="002E5EF0"/>
    <w:rsid w:val="002F1F33"/>
    <w:rsid w:val="002F2830"/>
    <w:rsid w:val="002F28CC"/>
    <w:rsid w:val="002F2B88"/>
    <w:rsid w:val="002F426E"/>
    <w:rsid w:val="002F6330"/>
    <w:rsid w:val="00300738"/>
    <w:rsid w:val="00301B55"/>
    <w:rsid w:val="0030301B"/>
    <w:rsid w:val="00303A73"/>
    <w:rsid w:val="0030531C"/>
    <w:rsid w:val="00306168"/>
    <w:rsid w:val="003071FC"/>
    <w:rsid w:val="003076A2"/>
    <w:rsid w:val="00310ED4"/>
    <w:rsid w:val="00311919"/>
    <w:rsid w:val="0031281C"/>
    <w:rsid w:val="0031439A"/>
    <w:rsid w:val="00315493"/>
    <w:rsid w:val="00317084"/>
    <w:rsid w:val="003177A4"/>
    <w:rsid w:val="0031781F"/>
    <w:rsid w:val="00317D23"/>
    <w:rsid w:val="0032067B"/>
    <w:rsid w:val="00320F02"/>
    <w:rsid w:val="003212EC"/>
    <w:rsid w:val="00321DB2"/>
    <w:rsid w:val="00322CDE"/>
    <w:rsid w:val="003237C0"/>
    <w:rsid w:val="00323902"/>
    <w:rsid w:val="00330168"/>
    <w:rsid w:val="0033243A"/>
    <w:rsid w:val="0033341A"/>
    <w:rsid w:val="003400F7"/>
    <w:rsid w:val="003409AD"/>
    <w:rsid w:val="00341C6C"/>
    <w:rsid w:val="003431F6"/>
    <w:rsid w:val="00343CAA"/>
    <w:rsid w:val="00344DEF"/>
    <w:rsid w:val="00346547"/>
    <w:rsid w:val="00350E1A"/>
    <w:rsid w:val="003532AB"/>
    <w:rsid w:val="00354812"/>
    <w:rsid w:val="00354BE5"/>
    <w:rsid w:val="00355DD2"/>
    <w:rsid w:val="00356BC0"/>
    <w:rsid w:val="00362C34"/>
    <w:rsid w:val="003661D6"/>
    <w:rsid w:val="00371D96"/>
    <w:rsid w:val="003727DD"/>
    <w:rsid w:val="003736D5"/>
    <w:rsid w:val="00373C76"/>
    <w:rsid w:val="00374C7A"/>
    <w:rsid w:val="00374F0F"/>
    <w:rsid w:val="00375FEB"/>
    <w:rsid w:val="00377063"/>
    <w:rsid w:val="003770C0"/>
    <w:rsid w:val="0037798C"/>
    <w:rsid w:val="00377A3C"/>
    <w:rsid w:val="00380145"/>
    <w:rsid w:val="003826F0"/>
    <w:rsid w:val="00383032"/>
    <w:rsid w:val="00384A0C"/>
    <w:rsid w:val="00385F31"/>
    <w:rsid w:val="00386611"/>
    <w:rsid w:val="00387DFF"/>
    <w:rsid w:val="0039289F"/>
    <w:rsid w:val="003931E4"/>
    <w:rsid w:val="003932D4"/>
    <w:rsid w:val="003952A4"/>
    <w:rsid w:val="00395E99"/>
    <w:rsid w:val="00396BAE"/>
    <w:rsid w:val="003971DE"/>
    <w:rsid w:val="003A14D2"/>
    <w:rsid w:val="003A17DA"/>
    <w:rsid w:val="003A23FC"/>
    <w:rsid w:val="003A2994"/>
    <w:rsid w:val="003A7C77"/>
    <w:rsid w:val="003B1B89"/>
    <w:rsid w:val="003B3208"/>
    <w:rsid w:val="003B32EF"/>
    <w:rsid w:val="003B538F"/>
    <w:rsid w:val="003B55EA"/>
    <w:rsid w:val="003B5B76"/>
    <w:rsid w:val="003C02AA"/>
    <w:rsid w:val="003C0E44"/>
    <w:rsid w:val="003C107A"/>
    <w:rsid w:val="003C1713"/>
    <w:rsid w:val="003C70EE"/>
    <w:rsid w:val="003D0BBF"/>
    <w:rsid w:val="003D29DC"/>
    <w:rsid w:val="003D3021"/>
    <w:rsid w:val="003D32F9"/>
    <w:rsid w:val="003D4236"/>
    <w:rsid w:val="003D5811"/>
    <w:rsid w:val="003D621F"/>
    <w:rsid w:val="003D711A"/>
    <w:rsid w:val="003E473A"/>
    <w:rsid w:val="003F397A"/>
    <w:rsid w:val="003F4802"/>
    <w:rsid w:val="003F58C9"/>
    <w:rsid w:val="003F67E7"/>
    <w:rsid w:val="00401DFF"/>
    <w:rsid w:val="00402F51"/>
    <w:rsid w:val="00403659"/>
    <w:rsid w:val="00403F4E"/>
    <w:rsid w:val="004042A7"/>
    <w:rsid w:val="00404409"/>
    <w:rsid w:val="0040690D"/>
    <w:rsid w:val="00407467"/>
    <w:rsid w:val="00407C61"/>
    <w:rsid w:val="004134B5"/>
    <w:rsid w:val="0041420A"/>
    <w:rsid w:val="00414895"/>
    <w:rsid w:val="00417C81"/>
    <w:rsid w:val="004206D7"/>
    <w:rsid w:val="00422344"/>
    <w:rsid w:val="00423E63"/>
    <w:rsid w:val="004245C3"/>
    <w:rsid w:val="00424BB9"/>
    <w:rsid w:val="00424F3B"/>
    <w:rsid w:val="004253B5"/>
    <w:rsid w:val="00425EE7"/>
    <w:rsid w:val="00426942"/>
    <w:rsid w:val="00426E93"/>
    <w:rsid w:val="00427A04"/>
    <w:rsid w:val="00427EBC"/>
    <w:rsid w:val="00432A4E"/>
    <w:rsid w:val="0043423C"/>
    <w:rsid w:val="004364BB"/>
    <w:rsid w:val="00436E04"/>
    <w:rsid w:val="0043711C"/>
    <w:rsid w:val="004441DE"/>
    <w:rsid w:val="00444F13"/>
    <w:rsid w:val="00446BC4"/>
    <w:rsid w:val="00446E4A"/>
    <w:rsid w:val="004472DB"/>
    <w:rsid w:val="00450058"/>
    <w:rsid w:val="004507A5"/>
    <w:rsid w:val="004511F7"/>
    <w:rsid w:val="0045333C"/>
    <w:rsid w:val="00453FC7"/>
    <w:rsid w:val="00454097"/>
    <w:rsid w:val="00455E88"/>
    <w:rsid w:val="00457761"/>
    <w:rsid w:val="004604CD"/>
    <w:rsid w:val="00461E2C"/>
    <w:rsid w:val="004638A7"/>
    <w:rsid w:val="00464514"/>
    <w:rsid w:val="004671C9"/>
    <w:rsid w:val="0046796C"/>
    <w:rsid w:val="00470F74"/>
    <w:rsid w:val="004719D7"/>
    <w:rsid w:val="00473880"/>
    <w:rsid w:val="00474018"/>
    <w:rsid w:val="00474CEC"/>
    <w:rsid w:val="00476848"/>
    <w:rsid w:val="00477086"/>
    <w:rsid w:val="004770E4"/>
    <w:rsid w:val="0047716F"/>
    <w:rsid w:val="004806F4"/>
    <w:rsid w:val="004816A8"/>
    <w:rsid w:val="0048267C"/>
    <w:rsid w:val="00485B75"/>
    <w:rsid w:val="0049148E"/>
    <w:rsid w:val="00491A13"/>
    <w:rsid w:val="00492A94"/>
    <w:rsid w:val="00496803"/>
    <w:rsid w:val="00497688"/>
    <w:rsid w:val="00497DD3"/>
    <w:rsid w:val="00497EC2"/>
    <w:rsid w:val="004A0C28"/>
    <w:rsid w:val="004A10C7"/>
    <w:rsid w:val="004A2143"/>
    <w:rsid w:val="004A3A59"/>
    <w:rsid w:val="004A4113"/>
    <w:rsid w:val="004A6F7E"/>
    <w:rsid w:val="004B3E3C"/>
    <w:rsid w:val="004B4A71"/>
    <w:rsid w:val="004B4E32"/>
    <w:rsid w:val="004B58C8"/>
    <w:rsid w:val="004B646C"/>
    <w:rsid w:val="004B6731"/>
    <w:rsid w:val="004B7053"/>
    <w:rsid w:val="004B71EC"/>
    <w:rsid w:val="004B7A02"/>
    <w:rsid w:val="004C03CF"/>
    <w:rsid w:val="004C0A25"/>
    <w:rsid w:val="004C1A69"/>
    <w:rsid w:val="004C2595"/>
    <w:rsid w:val="004C311D"/>
    <w:rsid w:val="004C7690"/>
    <w:rsid w:val="004C7C48"/>
    <w:rsid w:val="004D1653"/>
    <w:rsid w:val="004D4DBA"/>
    <w:rsid w:val="004E154D"/>
    <w:rsid w:val="004E5682"/>
    <w:rsid w:val="004E5C64"/>
    <w:rsid w:val="004E7BE3"/>
    <w:rsid w:val="004F0647"/>
    <w:rsid w:val="004F2BFA"/>
    <w:rsid w:val="004F431A"/>
    <w:rsid w:val="004F76A0"/>
    <w:rsid w:val="00500942"/>
    <w:rsid w:val="00501BD9"/>
    <w:rsid w:val="00501FB9"/>
    <w:rsid w:val="0050266E"/>
    <w:rsid w:val="0050353C"/>
    <w:rsid w:val="00505ED0"/>
    <w:rsid w:val="005067D4"/>
    <w:rsid w:val="00507F97"/>
    <w:rsid w:val="00511860"/>
    <w:rsid w:val="00512127"/>
    <w:rsid w:val="00514296"/>
    <w:rsid w:val="0051459B"/>
    <w:rsid w:val="0051644D"/>
    <w:rsid w:val="005215CB"/>
    <w:rsid w:val="00522B0D"/>
    <w:rsid w:val="00525583"/>
    <w:rsid w:val="00525FD3"/>
    <w:rsid w:val="00527831"/>
    <w:rsid w:val="005278D9"/>
    <w:rsid w:val="0053261A"/>
    <w:rsid w:val="005329DD"/>
    <w:rsid w:val="00533622"/>
    <w:rsid w:val="00533861"/>
    <w:rsid w:val="00534E69"/>
    <w:rsid w:val="0053549A"/>
    <w:rsid w:val="0053648F"/>
    <w:rsid w:val="00536A7B"/>
    <w:rsid w:val="00540AA3"/>
    <w:rsid w:val="0054164A"/>
    <w:rsid w:val="005417A6"/>
    <w:rsid w:val="00542A00"/>
    <w:rsid w:val="00544AC4"/>
    <w:rsid w:val="0054677D"/>
    <w:rsid w:val="0054733E"/>
    <w:rsid w:val="00550381"/>
    <w:rsid w:val="00552A10"/>
    <w:rsid w:val="00556BF1"/>
    <w:rsid w:val="005578FD"/>
    <w:rsid w:val="0055799D"/>
    <w:rsid w:val="00562779"/>
    <w:rsid w:val="00564F70"/>
    <w:rsid w:val="005668B0"/>
    <w:rsid w:val="00566DD8"/>
    <w:rsid w:val="00567EA0"/>
    <w:rsid w:val="00570531"/>
    <w:rsid w:val="00570EFB"/>
    <w:rsid w:val="00571896"/>
    <w:rsid w:val="0057240B"/>
    <w:rsid w:val="0057349E"/>
    <w:rsid w:val="00575053"/>
    <w:rsid w:val="005751C2"/>
    <w:rsid w:val="0057705D"/>
    <w:rsid w:val="00577E21"/>
    <w:rsid w:val="00577F2B"/>
    <w:rsid w:val="0058163A"/>
    <w:rsid w:val="00584CD0"/>
    <w:rsid w:val="0058508A"/>
    <w:rsid w:val="00587E12"/>
    <w:rsid w:val="0059012C"/>
    <w:rsid w:val="005925BD"/>
    <w:rsid w:val="00595180"/>
    <w:rsid w:val="0059586B"/>
    <w:rsid w:val="00596493"/>
    <w:rsid w:val="005A223D"/>
    <w:rsid w:val="005A2A32"/>
    <w:rsid w:val="005A3177"/>
    <w:rsid w:val="005A49A5"/>
    <w:rsid w:val="005A5B3F"/>
    <w:rsid w:val="005A7D1A"/>
    <w:rsid w:val="005B02D5"/>
    <w:rsid w:val="005B0448"/>
    <w:rsid w:val="005B0682"/>
    <w:rsid w:val="005B11E2"/>
    <w:rsid w:val="005B120E"/>
    <w:rsid w:val="005B19EE"/>
    <w:rsid w:val="005B3B08"/>
    <w:rsid w:val="005C2205"/>
    <w:rsid w:val="005C42D7"/>
    <w:rsid w:val="005C4841"/>
    <w:rsid w:val="005C5806"/>
    <w:rsid w:val="005C5BF8"/>
    <w:rsid w:val="005C5C22"/>
    <w:rsid w:val="005D2916"/>
    <w:rsid w:val="005D3B77"/>
    <w:rsid w:val="005D41B1"/>
    <w:rsid w:val="005D5F17"/>
    <w:rsid w:val="005D748E"/>
    <w:rsid w:val="005E05A3"/>
    <w:rsid w:val="005E17C7"/>
    <w:rsid w:val="005E252D"/>
    <w:rsid w:val="005E26C1"/>
    <w:rsid w:val="005E2E39"/>
    <w:rsid w:val="005E3271"/>
    <w:rsid w:val="005E38BC"/>
    <w:rsid w:val="005E39B7"/>
    <w:rsid w:val="005E6027"/>
    <w:rsid w:val="005E67FD"/>
    <w:rsid w:val="005F0245"/>
    <w:rsid w:val="005F2408"/>
    <w:rsid w:val="005F2435"/>
    <w:rsid w:val="005F2854"/>
    <w:rsid w:val="005F33D2"/>
    <w:rsid w:val="005F36CA"/>
    <w:rsid w:val="005F3D11"/>
    <w:rsid w:val="005F4734"/>
    <w:rsid w:val="006001AA"/>
    <w:rsid w:val="006001F4"/>
    <w:rsid w:val="00601498"/>
    <w:rsid w:val="006015B3"/>
    <w:rsid w:val="00603EA4"/>
    <w:rsid w:val="006047F9"/>
    <w:rsid w:val="006052BC"/>
    <w:rsid w:val="0060538E"/>
    <w:rsid w:val="006066A2"/>
    <w:rsid w:val="00606A68"/>
    <w:rsid w:val="00606E4D"/>
    <w:rsid w:val="00610B3A"/>
    <w:rsid w:val="00611D7B"/>
    <w:rsid w:val="006130CE"/>
    <w:rsid w:val="00613DE4"/>
    <w:rsid w:val="006158E2"/>
    <w:rsid w:val="006159AE"/>
    <w:rsid w:val="006159B5"/>
    <w:rsid w:val="006164A4"/>
    <w:rsid w:val="0061775B"/>
    <w:rsid w:val="0062418C"/>
    <w:rsid w:val="006249BC"/>
    <w:rsid w:val="00626782"/>
    <w:rsid w:val="006310C8"/>
    <w:rsid w:val="006327CF"/>
    <w:rsid w:val="0063553C"/>
    <w:rsid w:val="0063698E"/>
    <w:rsid w:val="00636E1A"/>
    <w:rsid w:val="00637DDD"/>
    <w:rsid w:val="006436D8"/>
    <w:rsid w:val="00646E70"/>
    <w:rsid w:val="00646FF3"/>
    <w:rsid w:val="00647A75"/>
    <w:rsid w:val="006546F9"/>
    <w:rsid w:val="00654770"/>
    <w:rsid w:val="00656C2E"/>
    <w:rsid w:val="00660E1A"/>
    <w:rsid w:val="0066194C"/>
    <w:rsid w:val="0066296A"/>
    <w:rsid w:val="00663227"/>
    <w:rsid w:val="006656B2"/>
    <w:rsid w:val="00665AFC"/>
    <w:rsid w:val="006678FF"/>
    <w:rsid w:val="00671DD8"/>
    <w:rsid w:val="00671F3F"/>
    <w:rsid w:val="0067488C"/>
    <w:rsid w:val="006750D0"/>
    <w:rsid w:val="006756E7"/>
    <w:rsid w:val="0067628F"/>
    <w:rsid w:val="006776E0"/>
    <w:rsid w:val="0068392C"/>
    <w:rsid w:val="00684F01"/>
    <w:rsid w:val="00692F4D"/>
    <w:rsid w:val="00693D77"/>
    <w:rsid w:val="006973EA"/>
    <w:rsid w:val="00697B4F"/>
    <w:rsid w:val="006A2131"/>
    <w:rsid w:val="006A4D64"/>
    <w:rsid w:val="006A5104"/>
    <w:rsid w:val="006A6397"/>
    <w:rsid w:val="006A6EF4"/>
    <w:rsid w:val="006A7F0D"/>
    <w:rsid w:val="006B4978"/>
    <w:rsid w:val="006B587F"/>
    <w:rsid w:val="006B7C81"/>
    <w:rsid w:val="006C19D0"/>
    <w:rsid w:val="006C3FC4"/>
    <w:rsid w:val="006C4006"/>
    <w:rsid w:val="006C45B4"/>
    <w:rsid w:val="006C68AF"/>
    <w:rsid w:val="006C76FB"/>
    <w:rsid w:val="006D1A0F"/>
    <w:rsid w:val="006D2DA3"/>
    <w:rsid w:val="006D4BF8"/>
    <w:rsid w:val="006D4CE8"/>
    <w:rsid w:val="006D4E12"/>
    <w:rsid w:val="006E1376"/>
    <w:rsid w:val="006E30FA"/>
    <w:rsid w:val="006E69B8"/>
    <w:rsid w:val="006E7EFF"/>
    <w:rsid w:val="006F03B2"/>
    <w:rsid w:val="006F46DC"/>
    <w:rsid w:val="006F530D"/>
    <w:rsid w:val="006F54A3"/>
    <w:rsid w:val="006F6B76"/>
    <w:rsid w:val="006F78C6"/>
    <w:rsid w:val="006F7BD2"/>
    <w:rsid w:val="007012A9"/>
    <w:rsid w:val="00701DAE"/>
    <w:rsid w:val="00702842"/>
    <w:rsid w:val="00703B2A"/>
    <w:rsid w:val="00703CBB"/>
    <w:rsid w:val="00704001"/>
    <w:rsid w:val="007047B9"/>
    <w:rsid w:val="00704EFC"/>
    <w:rsid w:val="00705980"/>
    <w:rsid w:val="0071049B"/>
    <w:rsid w:val="00710E62"/>
    <w:rsid w:val="00712676"/>
    <w:rsid w:val="007126B5"/>
    <w:rsid w:val="007168FC"/>
    <w:rsid w:val="00717DCD"/>
    <w:rsid w:val="00721C98"/>
    <w:rsid w:val="00723276"/>
    <w:rsid w:val="007238DA"/>
    <w:rsid w:val="007248DC"/>
    <w:rsid w:val="00724F06"/>
    <w:rsid w:val="00725C2F"/>
    <w:rsid w:val="0072651D"/>
    <w:rsid w:val="00727FEA"/>
    <w:rsid w:val="0073314F"/>
    <w:rsid w:val="00733186"/>
    <w:rsid w:val="00736351"/>
    <w:rsid w:val="00736466"/>
    <w:rsid w:val="00741DA9"/>
    <w:rsid w:val="00742AF3"/>
    <w:rsid w:val="007432D7"/>
    <w:rsid w:val="00745CA2"/>
    <w:rsid w:val="00746303"/>
    <w:rsid w:val="007500BB"/>
    <w:rsid w:val="00751309"/>
    <w:rsid w:val="00751F3D"/>
    <w:rsid w:val="0075334B"/>
    <w:rsid w:val="007546F0"/>
    <w:rsid w:val="00754EE3"/>
    <w:rsid w:val="007565F9"/>
    <w:rsid w:val="00757720"/>
    <w:rsid w:val="007613C0"/>
    <w:rsid w:val="00762BF4"/>
    <w:rsid w:val="00763B0C"/>
    <w:rsid w:val="00766FB8"/>
    <w:rsid w:val="0076725C"/>
    <w:rsid w:val="00767A08"/>
    <w:rsid w:val="00770744"/>
    <w:rsid w:val="00770997"/>
    <w:rsid w:val="00770F93"/>
    <w:rsid w:val="00772AFC"/>
    <w:rsid w:val="00774218"/>
    <w:rsid w:val="007744AD"/>
    <w:rsid w:val="00774C02"/>
    <w:rsid w:val="00775A11"/>
    <w:rsid w:val="00782FD3"/>
    <w:rsid w:val="00784C46"/>
    <w:rsid w:val="00786748"/>
    <w:rsid w:val="00786C05"/>
    <w:rsid w:val="00787627"/>
    <w:rsid w:val="00791C40"/>
    <w:rsid w:val="0079213B"/>
    <w:rsid w:val="00792995"/>
    <w:rsid w:val="00793AFD"/>
    <w:rsid w:val="0079495C"/>
    <w:rsid w:val="007A3DDE"/>
    <w:rsid w:val="007A54FA"/>
    <w:rsid w:val="007A796E"/>
    <w:rsid w:val="007B0C6A"/>
    <w:rsid w:val="007B2216"/>
    <w:rsid w:val="007B3A71"/>
    <w:rsid w:val="007B69EE"/>
    <w:rsid w:val="007B7F5D"/>
    <w:rsid w:val="007C04F9"/>
    <w:rsid w:val="007C0A02"/>
    <w:rsid w:val="007C19CC"/>
    <w:rsid w:val="007C3EF7"/>
    <w:rsid w:val="007C4694"/>
    <w:rsid w:val="007C46C1"/>
    <w:rsid w:val="007C5B5A"/>
    <w:rsid w:val="007C698E"/>
    <w:rsid w:val="007D08CD"/>
    <w:rsid w:val="007D25CB"/>
    <w:rsid w:val="007D4A4F"/>
    <w:rsid w:val="007D4E5A"/>
    <w:rsid w:val="007D5C81"/>
    <w:rsid w:val="007D755D"/>
    <w:rsid w:val="007D78FB"/>
    <w:rsid w:val="007E37A9"/>
    <w:rsid w:val="007E403C"/>
    <w:rsid w:val="007E52FD"/>
    <w:rsid w:val="007F1C2E"/>
    <w:rsid w:val="007F21F7"/>
    <w:rsid w:val="007F3EC0"/>
    <w:rsid w:val="007F6134"/>
    <w:rsid w:val="007F6AF0"/>
    <w:rsid w:val="007F7C8A"/>
    <w:rsid w:val="008019C1"/>
    <w:rsid w:val="00802090"/>
    <w:rsid w:val="00802956"/>
    <w:rsid w:val="008032D8"/>
    <w:rsid w:val="008058CF"/>
    <w:rsid w:val="00805B7C"/>
    <w:rsid w:val="00805D92"/>
    <w:rsid w:val="008061A8"/>
    <w:rsid w:val="00810F0A"/>
    <w:rsid w:val="00811979"/>
    <w:rsid w:val="00811CC4"/>
    <w:rsid w:val="0081470A"/>
    <w:rsid w:val="00815220"/>
    <w:rsid w:val="00815806"/>
    <w:rsid w:val="008171BA"/>
    <w:rsid w:val="00820F19"/>
    <w:rsid w:val="008220E7"/>
    <w:rsid w:val="00823B57"/>
    <w:rsid w:val="008269F8"/>
    <w:rsid w:val="00826A18"/>
    <w:rsid w:val="00826C9B"/>
    <w:rsid w:val="00827211"/>
    <w:rsid w:val="00827C4C"/>
    <w:rsid w:val="00830FD5"/>
    <w:rsid w:val="008320D9"/>
    <w:rsid w:val="008334EC"/>
    <w:rsid w:val="00835F90"/>
    <w:rsid w:val="00836CBC"/>
    <w:rsid w:val="00837232"/>
    <w:rsid w:val="00837B93"/>
    <w:rsid w:val="00840BE5"/>
    <w:rsid w:val="008416E3"/>
    <w:rsid w:val="008421BE"/>
    <w:rsid w:val="00842430"/>
    <w:rsid w:val="0084534F"/>
    <w:rsid w:val="008463D0"/>
    <w:rsid w:val="008466AC"/>
    <w:rsid w:val="00846D65"/>
    <w:rsid w:val="00851E89"/>
    <w:rsid w:val="0085203F"/>
    <w:rsid w:val="008524CF"/>
    <w:rsid w:val="00852557"/>
    <w:rsid w:val="00853161"/>
    <w:rsid w:val="008534A7"/>
    <w:rsid w:val="008540C1"/>
    <w:rsid w:val="00855083"/>
    <w:rsid w:val="00856663"/>
    <w:rsid w:val="00861DDC"/>
    <w:rsid w:val="00863770"/>
    <w:rsid w:val="008649B1"/>
    <w:rsid w:val="00865E1E"/>
    <w:rsid w:val="008663F7"/>
    <w:rsid w:val="00866CA6"/>
    <w:rsid w:val="008670AF"/>
    <w:rsid w:val="00867108"/>
    <w:rsid w:val="00871202"/>
    <w:rsid w:val="00873EB8"/>
    <w:rsid w:val="00880767"/>
    <w:rsid w:val="00880A05"/>
    <w:rsid w:val="008833C6"/>
    <w:rsid w:val="00885D42"/>
    <w:rsid w:val="00890C99"/>
    <w:rsid w:val="00890CA4"/>
    <w:rsid w:val="00891781"/>
    <w:rsid w:val="00895B9D"/>
    <w:rsid w:val="008A02CB"/>
    <w:rsid w:val="008A04C0"/>
    <w:rsid w:val="008A0EE7"/>
    <w:rsid w:val="008A1919"/>
    <w:rsid w:val="008A3247"/>
    <w:rsid w:val="008A4F2A"/>
    <w:rsid w:val="008A5E3A"/>
    <w:rsid w:val="008A689C"/>
    <w:rsid w:val="008A6992"/>
    <w:rsid w:val="008A7701"/>
    <w:rsid w:val="008B311D"/>
    <w:rsid w:val="008B39A3"/>
    <w:rsid w:val="008B4DE1"/>
    <w:rsid w:val="008B6DB5"/>
    <w:rsid w:val="008C06D0"/>
    <w:rsid w:val="008C0A15"/>
    <w:rsid w:val="008C0E17"/>
    <w:rsid w:val="008C39B0"/>
    <w:rsid w:val="008C4319"/>
    <w:rsid w:val="008C7A5D"/>
    <w:rsid w:val="008D0FB8"/>
    <w:rsid w:val="008D16B6"/>
    <w:rsid w:val="008D2712"/>
    <w:rsid w:val="008D4ABF"/>
    <w:rsid w:val="008D4BA0"/>
    <w:rsid w:val="008D4E0D"/>
    <w:rsid w:val="008D5260"/>
    <w:rsid w:val="008E3180"/>
    <w:rsid w:val="008E35D5"/>
    <w:rsid w:val="008E4480"/>
    <w:rsid w:val="008E4965"/>
    <w:rsid w:val="008E699E"/>
    <w:rsid w:val="008F184A"/>
    <w:rsid w:val="008F4798"/>
    <w:rsid w:val="008F6650"/>
    <w:rsid w:val="009001A1"/>
    <w:rsid w:val="00900DAF"/>
    <w:rsid w:val="00914716"/>
    <w:rsid w:val="009150B6"/>
    <w:rsid w:val="00916903"/>
    <w:rsid w:val="00917303"/>
    <w:rsid w:val="009176F1"/>
    <w:rsid w:val="00921B90"/>
    <w:rsid w:val="0092238D"/>
    <w:rsid w:val="00923620"/>
    <w:rsid w:val="0092483B"/>
    <w:rsid w:val="00927200"/>
    <w:rsid w:val="009274C1"/>
    <w:rsid w:val="00933FDE"/>
    <w:rsid w:val="0093592B"/>
    <w:rsid w:val="009359A6"/>
    <w:rsid w:val="009366F4"/>
    <w:rsid w:val="0093783E"/>
    <w:rsid w:val="00937C38"/>
    <w:rsid w:val="00937E8F"/>
    <w:rsid w:val="009421CE"/>
    <w:rsid w:val="009424AE"/>
    <w:rsid w:val="00942E25"/>
    <w:rsid w:val="00943118"/>
    <w:rsid w:val="00944673"/>
    <w:rsid w:val="0094498C"/>
    <w:rsid w:val="00945CA7"/>
    <w:rsid w:val="00946B35"/>
    <w:rsid w:val="00950B73"/>
    <w:rsid w:val="00950BAB"/>
    <w:rsid w:val="00951A5B"/>
    <w:rsid w:val="00953068"/>
    <w:rsid w:val="0095445E"/>
    <w:rsid w:val="00954B5E"/>
    <w:rsid w:val="00954C3F"/>
    <w:rsid w:val="00954FAA"/>
    <w:rsid w:val="00960041"/>
    <w:rsid w:val="00960BE8"/>
    <w:rsid w:val="00962250"/>
    <w:rsid w:val="00962BF5"/>
    <w:rsid w:val="0096404C"/>
    <w:rsid w:val="00965474"/>
    <w:rsid w:val="0096565A"/>
    <w:rsid w:val="009721A4"/>
    <w:rsid w:val="009763F3"/>
    <w:rsid w:val="00977CE1"/>
    <w:rsid w:val="009871D3"/>
    <w:rsid w:val="00990320"/>
    <w:rsid w:val="0099053D"/>
    <w:rsid w:val="009941B5"/>
    <w:rsid w:val="009A0151"/>
    <w:rsid w:val="009A031E"/>
    <w:rsid w:val="009A115B"/>
    <w:rsid w:val="009A25CD"/>
    <w:rsid w:val="009A6B3D"/>
    <w:rsid w:val="009A7841"/>
    <w:rsid w:val="009B1D48"/>
    <w:rsid w:val="009B3BFD"/>
    <w:rsid w:val="009B4333"/>
    <w:rsid w:val="009B5C8B"/>
    <w:rsid w:val="009B64AB"/>
    <w:rsid w:val="009C00E7"/>
    <w:rsid w:val="009C0658"/>
    <w:rsid w:val="009C11A0"/>
    <w:rsid w:val="009C16E0"/>
    <w:rsid w:val="009C1CE1"/>
    <w:rsid w:val="009C2D1A"/>
    <w:rsid w:val="009C3009"/>
    <w:rsid w:val="009C3A19"/>
    <w:rsid w:val="009C47EE"/>
    <w:rsid w:val="009C53F4"/>
    <w:rsid w:val="009D00DC"/>
    <w:rsid w:val="009D16C9"/>
    <w:rsid w:val="009D24D6"/>
    <w:rsid w:val="009D353A"/>
    <w:rsid w:val="009D3847"/>
    <w:rsid w:val="009D3D73"/>
    <w:rsid w:val="009D5F80"/>
    <w:rsid w:val="009D6409"/>
    <w:rsid w:val="009E3CFC"/>
    <w:rsid w:val="009E6F00"/>
    <w:rsid w:val="009E7338"/>
    <w:rsid w:val="009F0B98"/>
    <w:rsid w:val="009F19AD"/>
    <w:rsid w:val="009F1D2D"/>
    <w:rsid w:val="009F4AFF"/>
    <w:rsid w:val="009F6F81"/>
    <w:rsid w:val="009F76D2"/>
    <w:rsid w:val="00A003A0"/>
    <w:rsid w:val="00A007EF"/>
    <w:rsid w:val="00A01853"/>
    <w:rsid w:val="00A0215A"/>
    <w:rsid w:val="00A04674"/>
    <w:rsid w:val="00A06AB4"/>
    <w:rsid w:val="00A0777A"/>
    <w:rsid w:val="00A10D22"/>
    <w:rsid w:val="00A1118F"/>
    <w:rsid w:val="00A12AD8"/>
    <w:rsid w:val="00A13A29"/>
    <w:rsid w:val="00A158DE"/>
    <w:rsid w:val="00A15DB3"/>
    <w:rsid w:val="00A17E04"/>
    <w:rsid w:val="00A21368"/>
    <w:rsid w:val="00A21B85"/>
    <w:rsid w:val="00A22773"/>
    <w:rsid w:val="00A276AC"/>
    <w:rsid w:val="00A2775C"/>
    <w:rsid w:val="00A3083D"/>
    <w:rsid w:val="00A31926"/>
    <w:rsid w:val="00A33AF6"/>
    <w:rsid w:val="00A33E40"/>
    <w:rsid w:val="00A33EA9"/>
    <w:rsid w:val="00A3479E"/>
    <w:rsid w:val="00A35E20"/>
    <w:rsid w:val="00A364D9"/>
    <w:rsid w:val="00A375D1"/>
    <w:rsid w:val="00A41607"/>
    <w:rsid w:val="00A41B2B"/>
    <w:rsid w:val="00A41D34"/>
    <w:rsid w:val="00A41E1C"/>
    <w:rsid w:val="00A42D36"/>
    <w:rsid w:val="00A439CB"/>
    <w:rsid w:val="00A44BF6"/>
    <w:rsid w:val="00A45FA7"/>
    <w:rsid w:val="00A5145A"/>
    <w:rsid w:val="00A51DE9"/>
    <w:rsid w:val="00A531EA"/>
    <w:rsid w:val="00A552A1"/>
    <w:rsid w:val="00A56C4B"/>
    <w:rsid w:val="00A5747D"/>
    <w:rsid w:val="00A576CB"/>
    <w:rsid w:val="00A61AA5"/>
    <w:rsid w:val="00A62E07"/>
    <w:rsid w:val="00A631C7"/>
    <w:rsid w:val="00A6429D"/>
    <w:rsid w:val="00A66606"/>
    <w:rsid w:val="00A67920"/>
    <w:rsid w:val="00A67EE8"/>
    <w:rsid w:val="00A71828"/>
    <w:rsid w:val="00A72C63"/>
    <w:rsid w:val="00A73FB2"/>
    <w:rsid w:val="00A7537B"/>
    <w:rsid w:val="00A771EF"/>
    <w:rsid w:val="00A77459"/>
    <w:rsid w:val="00A8009C"/>
    <w:rsid w:val="00A80252"/>
    <w:rsid w:val="00A82B72"/>
    <w:rsid w:val="00A8359B"/>
    <w:rsid w:val="00A877D7"/>
    <w:rsid w:val="00A87B5E"/>
    <w:rsid w:val="00A91D61"/>
    <w:rsid w:val="00A95B29"/>
    <w:rsid w:val="00A95C43"/>
    <w:rsid w:val="00A961E3"/>
    <w:rsid w:val="00A96377"/>
    <w:rsid w:val="00A96D7E"/>
    <w:rsid w:val="00AA03D9"/>
    <w:rsid w:val="00AA0570"/>
    <w:rsid w:val="00AA265A"/>
    <w:rsid w:val="00AA320E"/>
    <w:rsid w:val="00AA35BE"/>
    <w:rsid w:val="00AA654E"/>
    <w:rsid w:val="00AB01A2"/>
    <w:rsid w:val="00AB1123"/>
    <w:rsid w:val="00AB264D"/>
    <w:rsid w:val="00AB73FE"/>
    <w:rsid w:val="00AC05D8"/>
    <w:rsid w:val="00AC1175"/>
    <w:rsid w:val="00AC2969"/>
    <w:rsid w:val="00AC34DC"/>
    <w:rsid w:val="00AC5831"/>
    <w:rsid w:val="00AC6E83"/>
    <w:rsid w:val="00AD0A65"/>
    <w:rsid w:val="00AD17FF"/>
    <w:rsid w:val="00AD275B"/>
    <w:rsid w:val="00AD2D38"/>
    <w:rsid w:val="00AD6DA3"/>
    <w:rsid w:val="00AE072D"/>
    <w:rsid w:val="00AE35E1"/>
    <w:rsid w:val="00AE41B8"/>
    <w:rsid w:val="00AE4CA3"/>
    <w:rsid w:val="00AE52A4"/>
    <w:rsid w:val="00AE5669"/>
    <w:rsid w:val="00AE71FE"/>
    <w:rsid w:val="00AE780E"/>
    <w:rsid w:val="00AE7DCE"/>
    <w:rsid w:val="00AF19E6"/>
    <w:rsid w:val="00AF33F1"/>
    <w:rsid w:val="00AF34B7"/>
    <w:rsid w:val="00AF44CA"/>
    <w:rsid w:val="00AF4589"/>
    <w:rsid w:val="00B01686"/>
    <w:rsid w:val="00B01B2C"/>
    <w:rsid w:val="00B0266B"/>
    <w:rsid w:val="00B064C4"/>
    <w:rsid w:val="00B073CC"/>
    <w:rsid w:val="00B0794E"/>
    <w:rsid w:val="00B07A18"/>
    <w:rsid w:val="00B14E24"/>
    <w:rsid w:val="00B163C1"/>
    <w:rsid w:val="00B173BB"/>
    <w:rsid w:val="00B2064C"/>
    <w:rsid w:val="00B20741"/>
    <w:rsid w:val="00B20E0D"/>
    <w:rsid w:val="00B23319"/>
    <w:rsid w:val="00B247F3"/>
    <w:rsid w:val="00B24D10"/>
    <w:rsid w:val="00B2584F"/>
    <w:rsid w:val="00B2586F"/>
    <w:rsid w:val="00B25CB5"/>
    <w:rsid w:val="00B25DE2"/>
    <w:rsid w:val="00B25EA0"/>
    <w:rsid w:val="00B30C78"/>
    <w:rsid w:val="00B34052"/>
    <w:rsid w:val="00B342CF"/>
    <w:rsid w:val="00B3461E"/>
    <w:rsid w:val="00B347C2"/>
    <w:rsid w:val="00B355A6"/>
    <w:rsid w:val="00B35ADB"/>
    <w:rsid w:val="00B407C5"/>
    <w:rsid w:val="00B411E3"/>
    <w:rsid w:val="00B41641"/>
    <w:rsid w:val="00B44492"/>
    <w:rsid w:val="00B44FCB"/>
    <w:rsid w:val="00B45339"/>
    <w:rsid w:val="00B45D31"/>
    <w:rsid w:val="00B53D22"/>
    <w:rsid w:val="00B5425C"/>
    <w:rsid w:val="00B54A7D"/>
    <w:rsid w:val="00B54F00"/>
    <w:rsid w:val="00B56C06"/>
    <w:rsid w:val="00B5731C"/>
    <w:rsid w:val="00B57563"/>
    <w:rsid w:val="00B575A6"/>
    <w:rsid w:val="00B57E91"/>
    <w:rsid w:val="00B60F4F"/>
    <w:rsid w:val="00B613D3"/>
    <w:rsid w:val="00B63300"/>
    <w:rsid w:val="00B670A9"/>
    <w:rsid w:val="00B70A27"/>
    <w:rsid w:val="00B70BB7"/>
    <w:rsid w:val="00B7233D"/>
    <w:rsid w:val="00B73AB7"/>
    <w:rsid w:val="00B73D69"/>
    <w:rsid w:val="00B7542B"/>
    <w:rsid w:val="00B77E77"/>
    <w:rsid w:val="00B80F00"/>
    <w:rsid w:val="00B82D9A"/>
    <w:rsid w:val="00B83CF8"/>
    <w:rsid w:val="00B85A45"/>
    <w:rsid w:val="00B86B6A"/>
    <w:rsid w:val="00B87BE5"/>
    <w:rsid w:val="00B9163B"/>
    <w:rsid w:val="00B917A0"/>
    <w:rsid w:val="00B9261B"/>
    <w:rsid w:val="00B92EF4"/>
    <w:rsid w:val="00B9311E"/>
    <w:rsid w:val="00B94378"/>
    <w:rsid w:val="00B96597"/>
    <w:rsid w:val="00BA0D72"/>
    <w:rsid w:val="00BA13EB"/>
    <w:rsid w:val="00BA166D"/>
    <w:rsid w:val="00BA1DF0"/>
    <w:rsid w:val="00BA2108"/>
    <w:rsid w:val="00BA4211"/>
    <w:rsid w:val="00BA4E98"/>
    <w:rsid w:val="00BA651F"/>
    <w:rsid w:val="00BA731C"/>
    <w:rsid w:val="00BB014E"/>
    <w:rsid w:val="00BB572A"/>
    <w:rsid w:val="00BB6A23"/>
    <w:rsid w:val="00BC08DF"/>
    <w:rsid w:val="00BC1D78"/>
    <w:rsid w:val="00BC21EF"/>
    <w:rsid w:val="00BC50EE"/>
    <w:rsid w:val="00BC5779"/>
    <w:rsid w:val="00BC5F5C"/>
    <w:rsid w:val="00BC7542"/>
    <w:rsid w:val="00BC77E0"/>
    <w:rsid w:val="00BC7ED2"/>
    <w:rsid w:val="00BD0152"/>
    <w:rsid w:val="00BD109D"/>
    <w:rsid w:val="00BD12E4"/>
    <w:rsid w:val="00BD5F61"/>
    <w:rsid w:val="00BD6C53"/>
    <w:rsid w:val="00BE0416"/>
    <w:rsid w:val="00BE2369"/>
    <w:rsid w:val="00BE2B56"/>
    <w:rsid w:val="00BE7D55"/>
    <w:rsid w:val="00BF16A0"/>
    <w:rsid w:val="00BF2811"/>
    <w:rsid w:val="00BF66E3"/>
    <w:rsid w:val="00C0033E"/>
    <w:rsid w:val="00C010DB"/>
    <w:rsid w:val="00C015AA"/>
    <w:rsid w:val="00C01B7D"/>
    <w:rsid w:val="00C02327"/>
    <w:rsid w:val="00C03302"/>
    <w:rsid w:val="00C03816"/>
    <w:rsid w:val="00C04413"/>
    <w:rsid w:val="00C05942"/>
    <w:rsid w:val="00C1145B"/>
    <w:rsid w:val="00C127A5"/>
    <w:rsid w:val="00C13132"/>
    <w:rsid w:val="00C153A3"/>
    <w:rsid w:val="00C16868"/>
    <w:rsid w:val="00C2041B"/>
    <w:rsid w:val="00C2265F"/>
    <w:rsid w:val="00C24AD6"/>
    <w:rsid w:val="00C25EDB"/>
    <w:rsid w:val="00C26863"/>
    <w:rsid w:val="00C366D1"/>
    <w:rsid w:val="00C4248D"/>
    <w:rsid w:val="00C43A2D"/>
    <w:rsid w:val="00C44BD2"/>
    <w:rsid w:val="00C47517"/>
    <w:rsid w:val="00C47A6C"/>
    <w:rsid w:val="00C5095A"/>
    <w:rsid w:val="00C51CA0"/>
    <w:rsid w:val="00C525A8"/>
    <w:rsid w:val="00C533BF"/>
    <w:rsid w:val="00C53745"/>
    <w:rsid w:val="00C5448F"/>
    <w:rsid w:val="00C54972"/>
    <w:rsid w:val="00C5651F"/>
    <w:rsid w:val="00C570CD"/>
    <w:rsid w:val="00C57907"/>
    <w:rsid w:val="00C6018A"/>
    <w:rsid w:val="00C601C7"/>
    <w:rsid w:val="00C612A7"/>
    <w:rsid w:val="00C62CFC"/>
    <w:rsid w:val="00C63F0C"/>
    <w:rsid w:val="00C6522B"/>
    <w:rsid w:val="00C65DD1"/>
    <w:rsid w:val="00C7038A"/>
    <w:rsid w:val="00C734B7"/>
    <w:rsid w:val="00C737A5"/>
    <w:rsid w:val="00C75706"/>
    <w:rsid w:val="00C77E8B"/>
    <w:rsid w:val="00C77F61"/>
    <w:rsid w:val="00C802E2"/>
    <w:rsid w:val="00C81552"/>
    <w:rsid w:val="00C834D5"/>
    <w:rsid w:val="00C840DC"/>
    <w:rsid w:val="00C8498E"/>
    <w:rsid w:val="00C857B5"/>
    <w:rsid w:val="00C85BDC"/>
    <w:rsid w:val="00C879E3"/>
    <w:rsid w:val="00C90BDA"/>
    <w:rsid w:val="00C92A15"/>
    <w:rsid w:val="00C92A3E"/>
    <w:rsid w:val="00C934C3"/>
    <w:rsid w:val="00C93B19"/>
    <w:rsid w:val="00C94AFA"/>
    <w:rsid w:val="00C94D3F"/>
    <w:rsid w:val="00C97FEF"/>
    <w:rsid w:val="00CA08E2"/>
    <w:rsid w:val="00CA1CC1"/>
    <w:rsid w:val="00CA3A98"/>
    <w:rsid w:val="00CA452D"/>
    <w:rsid w:val="00CA7BF9"/>
    <w:rsid w:val="00CB06C7"/>
    <w:rsid w:val="00CB174F"/>
    <w:rsid w:val="00CB27BE"/>
    <w:rsid w:val="00CB4BAE"/>
    <w:rsid w:val="00CC0F04"/>
    <w:rsid w:val="00CC4D7A"/>
    <w:rsid w:val="00CC6501"/>
    <w:rsid w:val="00CC79F2"/>
    <w:rsid w:val="00CD0A7A"/>
    <w:rsid w:val="00CD13D0"/>
    <w:rsid w:val="00CD2027"/>
    <w:rsid w:val="00CD359D"/>
    <w:rsid w:val="00CD738B"/>
    <w:rsid w:val="00CD790D"/>
    <w:rsid w:val="00CE366C"/>
    <w:rsid w:val="00CE3BC8"/>
    <w:rsid w:val="00CE5306"/>
    <w:rsid w:val="00CE5B4C"/>
    <w:rsid w:val="00CE6596"/>
    <w:rsid w:val="00CE748C"/>
    <w:rsid w:val="00CF00E7"/>
    <w:rsid w:val="00CF1FB3"/>
    <w:rsid w:val="00CF2C61"/>
    <w:rsid w:val="00CF346D"/>
    <w:rsid w:val="00D02372"/>
    <w:rsid w:val="00D038C1"/>
    <w:rsid w:val="00D0618E"/>
    <w:rsid w:val="00D072D8"/>
    <w:rsid w:val="00D10C82"/>
    <w:rsid w:val="00D124F6"/>
    <w:rsid w:val="00D14F25"/>
    <w:rsid w:val="00D150B6"/>
    <w:rsid w:val="00D16063"/>
    <w:rsid w:val="00D16278"/>
    <w:rsid w:val="00D178AA"/>
    <w:rsid w:val="00D21031"/>
    <w:rsid w:val="00D219FE"/>
    <w:rsid w:val="00D25C26"/>
    <w:rsid w:val="00D2749D"/>
    <w:rsid w:val="00D30333"/>
    <w:rsid w:val="00D306E1"/>
    <w:rsid w:val="00D32436"/>
    <w:rsid w:val="00D33DA7"/>
    <w:rsid w:val="00D33DAF"/>
    <w:rsid w:val="00D34A06"/>
    <w:rsid w:val="00D34DFE"/>
    <w:rsid w:val="00D3660E"/>
    <w:rsid w:val="00D37BE2"/>
    <w:rsid w:val="00D409D7"/>
    <w:rsid w:val="00D4186E"/>
    <w:rsid w:val="00D41DCE"/>
    <w:rsid w:val="00D42231"/>
    <w:rsid w:val="00D4355E"/>
    <w:rsid w:val="00D43831"/>
    <w:rsid w:val="00D43DED"/>
    <w:rsid w:val="00D442DF"/>
    <w:rsid w:val="00D4532E"/>
    <w:rsid w:val="00D5413D"/>
    <w:rsid w:val="00D54960"/>
    <w:rsid w:val="00D54A68"/>
    <w:rsid w:val="00D54EB6"/>
    <w:rsid w:val="00D55104"/>
    <w:rsid w:val="00D56D90"/>
    <w:rsid w:val="00D60027"/>
    <w:rsid w:val="00D61C6B"/>
    <w:rsid w:val="00D6537C"/>
    <w:rsid w:val="00D657EA"/>
    <w:rsid w:val="00D70287"/>
    <w:rsid w:val="00D706D6"/>
    <w:rsid w:val="00D72687"/>
    <w:rsid w:val="00D72EB3"/>
    <w:rsid w:val="00D732C6"/>
    <w:rsid w:val="00D75C7D"/>
    <w:rsid w:val="00D76293"/>
    <w:rsid w:val="00D76EE9"/>
    <w:rsid w:val="00D8012B"/>
    <w:rsid w:val="00D80B97"/>
    <w:rsid w:val="00D822BE"/>
    <w:rsid w:val="00D82735"/>
    <w:rsid w:val="00D82D8A"/>
    <w:rsid w:val="00D847B1"/>
    <w:rsid w:val="00D8549B"/>
    <w:rsid w:val="00D868DE"/>
    <w:rsid w:val="00D86D60"/>
    <w:rsid w:val="00D86EF0"/>
    <w:rsid w:val="00D87B5B"/>
    <w:rsid w:val="00D906B6"/>
    <w:rsid w:val="00D91464"/>
    <w:rsid w:val="00D91BF7"/>
    <w:rsid w:val="00D92665"/>
    <w:rsid w:val="00D940FA"/>
    <w:rsid w:val="00D958BF"/>
    <w:rsid w:val="00DA178D"/>
    <w:rsid w:val="00DA374B"/>
    <w:rsid w:val="00DA47C7"/>
    <w:rsid w:val="00DA5583"/>
    <w:rsid w:val="00DA59AF"/>
    <w:rsid w:val="00DA5E14"/>
    <w:rsid w:val="00DA654F"/>
    <w:rsid w:val="00DA7C9D"/>
    <w:rsid w:val="00DB0BA8"/>
    <w:rsid w:val="00DB3ABD"/>
    <w:rsid w:val="00DB5568"/>
    <w:rsid w:val="00DB5C44"/>
    <w:rsid w:val="00DC13A0"/>
    <w:rsid w:val="00DC2A1C"/>
    <w:rsid w:val="00DC3768"/>
    <w:rsid w:val="00DC70CF"/>
    <w:rsid w:val="00DC7D3F"/>
    <w:rsid w:val="00DD04E3"/>
    <w:rsid w:val="00DD08AD"/>
    <w:rsid w:val="00DD2CE0"/>
    <w:rsid w:val="00DD3579"/>
    <w:rsid w:val="00DD38B8"/>
    <w:rsid w:val="00DD5513"/>
    <w:rsid w:val="00DD5F0A"/>
    <w:rsid w:val="00DD6DE3"/>
    <w:rsid w:val="00DE0788"/>
    <w:rsid w:val="00DE33DF"/>
    <w:rsid w:val="00DE376C"/>
    <w:rsid w:val="00DE4876"/>
    <w:rsid w:val="00DE6058"/>
    <w:rsid w:val="00DE7B7B"/>
    <w:rsid w:val="00DE7D74"/>
    <w:rsid w:val="00DE7E25"/>
    <w:rsid w:val="00DF1A70"/>
    <w:rsid w:val="00DF2EB3"/>
    <w:rsid w:val="00DF5698"/>
    <w:rsid w:val="00DF77EA"/>
    <w:rsid w:val="00DF7A3A"/>
    <w:rsid w:val="00E003A9"/>
    <w:rsid w:val="00E04F10"/>
    <w:rsid w:val="00E054D7"/>
    <w:rsid w:val="00E1172B"/>
    <w:rsid w:val="00E13654"/>
    <w:rsid w:val="00E16D58"/>
    <w:rsid w:val="00E170E2"/>
    <w:rsid w:val="00E17B85"/>
    <w:rsid w:val="00E20BBF"/>
    <w:rsid w:val="00E2142E"/>
    <w:rsid w:val="00E22E2D"/>
    <w:rsid w:val="00E23363"/>
    <w:rsid w:val="00E25B4B"/>
    <w:rsid w:val="00E25E80"/>
    <w:rsid w:val="00E27CC9"/>
    <w:rsid w:val="00E30458"/>
    <w:rsid w:val="00E31037"/>
    <w:rsid w:val="00E34840"/>
    <w:rsid w:val="00E34A42"/>
    <w:rsid w:val="00E35424"/>
    <w:rsid w:val="00E35916"/>
    <w:rsid w:val="00E40317"/>
    <w:rsid w:val="00E413ED"/>
    <w:rsid w:val="00E4513C"/>
    <w:rsid w:val="00E462E7"/>
    <w:rsid w:val="00E503A3"/>
    <w:rsid w:val="00E51FA3"/>
    <w:rsid w:val="00E5261B"/>
    <w:rsid w:val="00E53352"/>
    <w:rsid w:val="00E536B3"/>
    <w:rsid w:val="00E555D8"/>
    <w:rsid w:val="00E55DD2"/>
    <w:rsid w:val="00E60800"/>
    <w:rsid w:val="00E63C7A"/>
    <w:rsid w:val="00E654CC"/>
    <w:rsid w:val="00E65DBF"/>
    <w:rsid w:val="00E65F53"/>
    <w:rsid w:val="00E712C0"/>
    <w:rsid w:val="00E719AF"/>
    <w:rsid w:val="00E7298D"/>
    <w:rsid w:val="00E73FF1"/>
    <w:rsid w:val="00E743F8"/>
    <w:rsid w:val="00E7660F"/>
    <w:rsid w:val="00E802CB"/>
    <w:rsid w:val="00E826C7"/>
    <w:rsid w:val="00E85449"/>
    <w:rsid w:val="00E85791"/>
    <w:rsid w:val="00E85D2B"/>
    <w:rsid w:val="00E86700"/>
    <w:rsid w:val="00E87981"/>
    <w:rsid w:val="00E90256"/>
    <w:rsid w:val="00E90370"/>
    <w:rsid w:val="00E927E5"/>
    <w:rsid w:val="00E94C1B"/>
    <w:rsid w:val="00E95771"/>
    <w:rsid w:val="00EA02E0"/>
    <w:rsid w:val="00EA204B"/>
    <w:rsid w:val="00EA3BBD"/>
    <w:rsid w:val="00EA4249"/>
    <w:rsid w:val="00EA5988"/>
    <w:rsid w:val="00EA7C80"/>
    <w:rsid w:val="00EB53CA"/>
    <w:rsid w:val="00EB7972"/>
    <w:rsid w:val="00EC245F"/>
    <w:rsid w:val="00EC4BEB"/>
    <w:rsid w:val="00EC4C4C"/>
    <w:rsid w:val="00EC694F"/>
    <w:rsid w:val="00EC7610"/>
    <w:rsid w:val="00EC7DA5"/>
    <w:rsid w:val="00ED036C"/>
    <w:rsid w:val="00ED066D"/>
    <w:rsid w:val="00ED0DA6"/>
    <w:rsid w:val="00ED1491"/>
    <w:rsid w:val="00ED23A2"/>
    <w:rsid w:val="00ED54FE"/>
    <w:rsid w:val="00ED6AA2"/>
    <w:rsid w:val="00ED774B"/>
    <w:rsid w:val="00EE122E"/>
    <w:rsid w:val="00EE1DE7"/>
    <w:rsid w:val="00EE2366"/>
    <w:rsid w:val="00EE38AB"/>
    <w:rsid w:val="00EE3B9E"/>
    <w:rsid w:val="00EE55FF"/>
    <w:rsid w:val="00EE64FF"/>
    <w:rsid w:val="00EE6716"/>
    <w:rsid w:val="00EE7DFE"/>
    <w:rsid w:val="00EF0251"/>
    <w:rsid w:val="00EF0898"/>
    <w:rsid w:val="00EF0E40"/>
    <w:rsid w:val="00EF1713"/>
    <w:rsid w:val="00EF241E"/>
    <w:rsid w:val="00EF421E"/>
    <w:rsid w:val="00EF511D"/>
    <w:rsid w:val="00EF56B6"/>
    <w:rsid w:val="00F00D39"/>
    <w:rsid w:val="00F03CE2"/>
    <w:rsid w:val="00F04896"/>
    <w:rsid w:val="00F05834"/>
    <w:rsid w:val="00F06A99"/>
    <w:rsid w:val="00F070F9"/>
    <w:rsid w:val="00F07BB8"/>
    <w:rsid w:val="00F10D19"/>
    <w:rsid w:val="00F1293E"/>
    <w:rsid w:val="00F12973"/>
    <w:rsid w:val="00F1325A"/>
    <w:rsid w:val="00F136A8"/>
    <w:rsid w:val="00F20902"/>
    <w:rsid w:val="00F22F92"/>
    <w:rsid w:val="00F233EB"/>
    <w:rsid w:val="00F241BB"/>
    <w:rsid w:val="00F25684"/>
    <w:rsid w:val="00F263C4"/>
    <w:rsid w:val="00F30267"/>
    <w:rsid w:val="00F30856"/>
    <w:rsid w:val="00F3106A"/>
    <w:rsid w:val="00F31F58"/>
    <w:rsid w:val="00F3260B"/>
    <w:rsid w:val="00F326C8"/>
    <w:rsid w:val="00F326DC"/>
    <w:rsid w:val="00F35117"/>
    <w:rsid w:val="00F36764"/>
    <w:rsid w:val="00F4014F"/>
    <w:rsid w:val="00F40A00"/>
    <w:rsid w:val="00F410E6"/>
    <w:rsid w:val="00F41FE2"/>
    <w:rsid w:val="00F4241A"/>
    <w:rsid w:val="00F4344F"/>
    <w:rsid w:val="00F43DF2"/>
    <w:rsid w:val="00F44164"/>
    <w:rsid w:val="00F45745"/>
    <w:rsid w:val="00F45E33"/>
    <w:rsid w:val="00F46221"/>
    <w:rsid w:val="00F4697C"/>
    <w:rsid w:val="00F470DA"/>
    <w:rsid w:val="00F47234"/>
    <w:rsid w:val="00F4728C"/>
    <w:rsid w:val="00F47FDA"/>
    <w:rsid w:val="00F504B7"/>
    <w:rsid w:val="00F51C9E"/>
    <w:rsid w:val="00F51D06"/>
    <w:rsid w:val="00F522D4"/>
    <w:rsid w:val="00F52546"/>
    <w:rsid w:val="00F5403C"/>
    <w:rsid w:val="00F54117"/>
    <w:rsid w:val="00F541B5"/>
    <w:rsid w:val="00F54A56"/>
    <w:rsid w:val="00F56618"/>
    <w:rsid w:val="00F61BCF"/>
    <w:rsid w:val="00F62F69"/>
    <w:rsid w:val="00F64EF6"/>
    <w:rsid w:val="00F708B7"/>
    <w:rsid w:val="00F73013"/>
    <w:rsid w:val="00F761FF"/>
    <w:rsid w:val="00F76822"/>
    <w:rsid w:val="00F77E91"/>
    <w:rsid w:val="00F805C7"/>
    <w:rsid w:val="00F815A5"/>
    <w:rsid w:val="00F836CC"/>
    <w:rsid w:val="00F83EA0"/>
    <w:rsid w:val="00F84350"/>
    <w:rsid w:val="00F843D1"/>
    <w:rsid w:val="00F8548C"/>
    <w:rsid w:val="00F85581"/>
    <w:rsid w:val="00F86927"/>
    <w:rsid w:val="00F8696D"/>
    <w:rsid w:val="00F87B16"/>
    <w:rsid w:val="00F91084"/>
    <w:rsid w:val="00F9159C"/>
    <w:rsid w:val="00F91EDB"/>
    <w:rsid w:val="00F93ACB"/>
    <w:rsid w:val="00F945B6"/>
    <w:rsid w:val="00F956E1"/>
    <w:rsid w:val="00FA0157"/>
    <w:rsid w:val="00FA01B4"/>
    <w:rsid w:val="00FA1D8E"/>
    <w:rsid w:val="00FA2910"/>
    <w:rsid w:val="00FA3F6A"/>
    <w:rsid w:val="00FA44E6"/>
    <w:rsid w:val="00FA4837"/>
    <w:rsid w:val="00FA61DA"/>
    <w:rsid w:val="00FB038E"/>
    <w:rsid w:val="00FB18DA"/>
    <w:rsid w:val="00FB2305"/>
    <w:rsid w:val="00FB5972"/>
    <w:rsid w:val="00FB7C7A"/>
    <w:rsid w:val="00FC08A4"/>
    <w:rsid w:val="00FC0D6B"/>
    <w:rsid w:val="00FC1B52"/>
    <w:rsid w:val="00FC1C4B"/>
    <w:rsid w:val="00FC20C8"/>
    <w:rsid w:val="00FC2292"/>
    <w:rsid w:val="00FC61BD"/>
    <w:rsid w:val="00FC70CD"/>
    <w:rsid w:val="00FC7553"/>
    <w:rsid w:val="00FD406D"/>
    <w:rsid w:val="00FD5A2E"/>
    <w:rsid w:val="00FD766F"/>
    <w:rsid w:val="00FD7AB2"/>
    <w:rsid w:val="00FD7F6A"/>
    <w:rsid w:val="00FE0ED7"/>
    <w:rsid w:val="00FE1ED3"/>
    <w:rsid w:val="00FE2BC3"/>
    <w:rsid w:val="00FE2E43"/>
    <w:rsid w:val="00FE68A6"/>
    <w:rsid w:val="00FE69D5"/>
    <w:rsid w:val="00FE6D01"/>
    <w:rsid w:val="00FE76A9"/>
    <w:rsid w:val="00FE788E"/>
    <w:rsid w:val="00FE7F52"/>
    <w:rsid w:val="00FF5F8F"/>
    <w:rsid w:val="00FF62DE"/>
    <w:rsid w:val="00FF78B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AE27"/>
  <w15:docId w15:val="{F064924E-CF3D-4DAB-ABF3-2D4BF503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400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400F7"/>
    <w:rPr>
      <w:rFonts w:ascii="Times New Roman" w:eastAsia="Times New Roman" w:hAnsi="Times New Roman" w:cs="Times New Roman"/>
      <w:b/>
      <w:bCs/>
      <w:kern w:val="36"/>
      <w:sz w:val="48"/>
      <w:szCs w:val="48"/>
      <w:lang w:eastAsia="cs-CZ"/>
    </w:rPr>
  </w:style>
  <w:style w:type="character" w:customStyle="1" w:styleId="highwire-citation-authors">
    <w:name w:val="highwire-citation-authors"/>
    <w:basedOn w:val="a0"/>
    <w:rsid w:val="003400F7"/>
  </w:style>
  <w:style w:type="character" w:customStyle="1" w:styleId="highwire-citation-author">
    <w:name w:val="highwire-citation-author"/>
    <w:basedOn w:val="a0"/>
    <w:rsid w:val="003400F7"/>
  </w:style>
  <w:style w:type="character" w:customStyle="1" w:styleId="highwire-cite-metadata-journal">
    <w:name w:val="highwire-cite-metadata-journal"/>
    <w:basedOn w:val="a0"/>
    <w:rsid w:val="003400F7"/>
  </w:style>
  <w:style w:type="character" w:customStyle="1" w:styleId="highwire-cite-metadata-date">
    <w:name w:val="highwire-cite-metadata-date"/>
    <w:basedOn w:val="a0"/>
    <w:rsid w:val="003400F7"/>
  </w:style>
  <w:style w:type="character" w:customStyle="1" w:styleId="highwire-cite-metadata-volume">
    <w:name w:val="highwire-cite-metadata-volume"/>
    <w:basedOn w:val="a0"/>
    <w:rsid w:val="003400F7"/>
  </w:style>
  <w:style w:type="character" w:customStyle="1" w:styleId="highwire-cite-metadata-issue">
    <w:name w:val="highwire-cite-metadata-issue"/>
    <w:basedOn w:val="a0"/>
    <w:rsid w:val="003400F7"/>
  </w:style>
  <w:style w:type="character" w:customStyle="1" w:styleId="highwire-cite-metadata-pages">
    <w:name w:val="highwire-cite-metadata-pages"/>
    <w:basedOn w:val="a0"/>
    <w:rsid w:val="003400F7"/>
  </w:style>
  <w:style w:type="paragraph" w:customStyle="1" w:styleId="mcntparagraph">
    <w:name w:val="mcntparagraph"/>
    <w:basedOn w:val="a"/>
    <w:rsid w:val="00AA65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cntnormaltextrun">
    <w:name w:val="mcntnormaltextrun"/>
    <w:basedOn w:val="a0"/>
    <w:rsid w:val="00AA654E"/>
  </w:style>
  <w:style w:type="character" w:customStyle="1" w:styleId="mcnteop">
    <w:name w:val="mcnteop"/>
    <w:basedOn w:val="a0"/>
    <w:rsid w:val="00AA654E"/>
  </w:style>
  <w:style w:type="paragraph" w:styleId="a3">
    <w:name w:val="No Spacing"/>
    <w:uiPriority w:val="1"/>
    <w:qFormat/>
    <w:rsid w:val="00AA654E"/>
    <w:pPr>
      <w:spacing w:after="0" w:line="240" w:lineRule="auto"/>
    </w:pPr>
  </w:style>
  <w:style w:type="character" w:customStyle="1" w:styleId="highlight1">
    <w:name w:val="highlight1"/>
    <w:basedOn w:val="a0"/>
    <w:rsid w:val="00DC13A0"/>
  </w:style>
  <w:style w:type="paragraph" w:customStyle="1" w:styleId="Default">
    <w:name w:val="Default"/>
    <w:rsid w:val="008F6650"/>
    <w:pPr>
      <w:autoSpaceDE w:val="0"/>
      <w:autoSpaceDN w:val="0"/>
      <w:adjustRightInd w:val="0"/>
      <w:spacing w:after="0" w:line="240" w:lineRule="auto"/>
    </w:pPr>
    <w:rPr>
      <w:rFonts w:ascii="NaomiSans EFN" w:hAnsi="NaomiSans EFN" w:cs="NaomiSans EFN"/>
      <w:color w:val="000000"/>
      <w:sz w:val="24"/>
      <w:szCs w:val="24"/>
      <w:lang w:val="en-GB"/>
    </w:rPr>
  </w:style>
  <w:style w:type="paragraph" w:styleId="a4">
    <w:name w:val="List Paragraph"/>
    <w:basedOn w:val="a"/>
    <w:uiPriority w:val="34"/>
    <w:qFormat/>
    <w:rsid w:val="009176F1"/>
    <w:pPr>
      <w:ind w:left="720"/>
      <w:contextualSpacing/>
    </w:pPr>
  </w:style>
  <w:style w:type="character" w:styleId="a5">
    <w:name w:val="Hyperlink"/>
    <w:basedOn w:val="a0"/>
    <w:uiPriority w:val="99"/>
    <w:unhideWhenUsed/>
    <w:rsid w:val="003B55EA"/>
    <w:rPr>
      <w:color w:val="0000FF" w:themeColor="hyperlink"/>
      <w:u w:val="single"/>
    </w:rPr>
  </w:style>
  <w:style w:type="character" w:customStyle="1" w:styleId="Nevyeenzmnka1">
    <w:name w:val="Nevyřešená zmínka1"/>
    <w:basedOn w:val="a0"/>
    <w:uiPriority w:val="99"/>
    <w:semiHidden/>
    <w:unhideWhenUsed/>
    <w:rsid w:val="003B55EA"/>
    <w:rPr>
      <w:color w:val="605E5C"/>
      <w:shd w:val="clear" w:color="auto" w:fill="E1DFDD"/>
    </w:rPr>
  </w:style>
  <w:style w:type="character" w:styleId="a6">
    <w:name w:val="FollowedHyperlink"/>
    <w:basedOn w:val="a0"/>
    <w:uiPriority w:val="99"/>
    <w:semiHidden/>
    <w:unhideWhenUsed/>
    <w:rsid w:val="003B55EA"/>
    <w:rPr>
      <w:color w:val="800080" w:themeColor="followedHyperlink"/>
      <w:u w:val="single"/>
    </w:rPr>
  </w:style>
  <w:style w:type="character" w:customStyle="1" w:styleId="element-citation">
    <w:name w:val="element-citation"/>
    <w:basedOn w:val="a0"/>
    <w:rsid w:val="002874F9"/>
  </w:style>
  <w:style w:type="character" w:customStyle="1" w:styleId="highlight">
    <w:name w:val="highlight"/>
    <w:basedOn w:val="a0"/>
    <w:rsid w:val="00AD6DA3"/>
  </w:style>
  <w:style w:type="paragraph" w:styleId="a7">
    <w:name w:val="header"/>
    <w:basedOn w:val="a"/>
    <w:link w:val="a8"/>
    <w:uiPriority w:val="99"/>
    <w:unhideWhenUsed/>
    <w:rsid w:val="0053648F"/>
    <w:pPr>
      <w:tabs>
        <w:tab w:val="center" w:pos="4536"/>
        <w:tab w:val="right" w:pos="9072"/>
      </w:tabs>
      <w:spacing w:after="0" w:line="240" w:lineRule="auto"/>
    </w:pPr>
  </w:style>
  <w:style w:type="character" w:customStyle="1" w:styleId="a8">
    <w:name w:val="页眉 字符"/>
    <w:basedOn w:val="a0"/>
    <w:link w:val="a7"/>
    <w:uiPriority w:val="99"/>
    <w:rsid w:val="0053648F"/>
  </w:style>
  <w:style w:type="paragraph" w:styleId="a9">
    <w:name w:val="footer"/>
    <w:basedOn w:val="a"/>
    <w:link w:val="aa"/>
    <w:uiPriority w:val="99"/>
    <w:unhideWhenUsed/>
    <w:rsid w:val="0053648F"/>
    <w:pPr>
      <w:tabs>
        <w:tab w:val="center" w:pos="4536"/>
        <w:tab w:val="right" w:pos="9072"/>
      </w:tabs>
      <w:spacing w:after="0" w:line="240" w:lineRule="auto"/>
    </w:pPr>
  </w:style>
  <w:style w:type="character" w:customStyle="1" w:styleId="aa">
    <w:name w:val="页脚 字符"/>
    <w:basedOn w:val="a0"/>
    <w:link w:val="a9"/>
    <w:uiPriority w:val="99"/>
    <w:rsid w:val="0053648F"/>
  </w:style>
  <w:style w:type="character" w:customStyle="1" w:styleId="UnresolvedMention1">
    <w:name w:val="Unresolved Mention1"/>
    <w:basedOn w:val="a0"/>
    <w:uiPriority w:val="99"/>
    <w:semiHidden/>
    <w:unhideWhenUsed/>
    <w:rsid w:val="00417C81"/>
    <w:rPr>
      <w:color w:val="605E5C"/>
      <w:shd w:val="clear" w:color="auto" w:fill="E1DFDD"/>
    </w:rPr>
  </w:style>
  <w:style w:type="character" w:customStyle="1" w:styleId="orcid-id-https2">
    <w:name w:val="orcid-id-https2"/>
    <w:basedOn w:val="a0"/>
    <w:rsid w:val="0093592B"/>
    <w:rPr>
      <w:sz w:val="18"/>
      <w:szCs w:val="18"/>
    </w:rPr>
  </w:style>
  <w:style w:type="paragraph" w:styleId="ab">
    <w:name w:val="annotation text"/>
    <w:basedOn w:val="a"/>
    <w:link w:val="ac"/>
    <w:uiPriority w:val="99"/>
    <w:unhideWhenUsed/>
    <w:qFormat/>
    <w:rsid w:val="00034BE8"/>
    <w:pPr>
      <w:spacing w:line="240" w:lineRule="auto"/>
    </w:pPr>
    <w:rPr>
      <w:rFonts w:ascii="Tahoma" w:hAnsi="Tahoma" w:cs="Tahoma"/>
      <w:sz w:val="16"/>
      <w:szCs w:val="20"/>
      <w:lang w:val="en-US"/>
    </w:rPr>
  </w:style>
  <w:style w:type="character" w:customStyle="1" w:styleId="ac">
    <w:name w:val="批注文字 字符"/>
    <w:basedOn w:val="a0"/>
    <w:link w:val="ab"/>
    <w:uiPriority w:val="99"/>
    <w:semiHidden/>
    <w:rsid w:val="00034BE8"/>
    <w:rPr>
      <w:rFonts w:ascii="Tahoma" w:hAnsi="Tahoma" w:cs="Tahoma"/>
      <w:sz w:val="16"/>
      <w:szCs w:val="20"/>
      <w:lang w:val="en-US"/>
    </w:rPr>
  </w:style>
  <w:style w:type="paragraph" w:styleId="ad">
    <w:name w:val="annotation subject"/>
    <w:basedOn w:val="ab"/>
    <w:next w:val="ab"/>
    <w:link w:val="ae"/>
    <w:uiPriority w:val="99"/>
    <w:semiHidden/>
    <w:unhideWhenUsed/>
    <w:rsid w:val="00034BE8"/>
    <w:rPr>
      <w:b/>
      <w:bCs/>
    </w:rPr>
  </w:style>
  <w:style w:type="character" w:customStyle="1" w:styleId="ae">
    <w:name w:val="批注主题 字符"/>
    <w:basedOn w:val="ac"/>
    <w:link w:val="ad"/>
    <w:uiPriority w:val="99"/>
    <w:semiHidden/>
    <w:rsid w:val="00034BE8"/>
    <w:rPr>
      <w:rFonts w:ascii="Tahoma" w:hAnsi="Tahoma" w:cs="Tahoma"/>
      <w:b/>
      <w:bCs/>
      <w:sz w:val="16"/>
      <w:szCs w:val="20"/>
      <w:lang w:val="en-US"/>
    </w:rPr>
  </w:style>
  <w:style w:type="paragraph" w:styleId="af">
    <w:name w:val="Balloon Text"/>
    <w:basedOn w:val="a"/>
    <w:link w:val="af0"/>
    <w:uiPriority w:val="99"/>
    <w:semiHidden/>
    <w:unhideWhenUsed/>
    <w:rsid w:val="00034BE8"/>
    <w:pPr>
      <w:spacing w:after="0" w:line="240" w:lineRule="auto"/>
    </w:pPr>
    <w:rPr>
      <w:rFonts w:ascii="Segoe UI" w:hAnsi="Segoe UI" w:cs="Segoe UI"/>
      <w:sz w:val="18"/>
      <w:szCs w:val="18"/>
      <w:lang w:val="en-US"/>
    </w:rPr>
  </w:style>
  <w:style w:type="character" w:customStyle="1" w:styleId="af0">
    <w:name w:val="批注框文本 字符"/>
    <w:basedOn w:val="a0"/>
    <w:link w:val="af"/>
    <w:uiPriority w:val="99"/>
    <w:semiHidden/>
    <w:rsid w:val="00034BE8"/>
    <w:rPr>
      <w:rFonts w:ascii="Segoe UI" w:hAnsi="Segoe UI" w:cs="Segoe UI"/>
      <w:sz w:val="18"/>
      <w:szCs w:val="18"/>
      <w:lang w:val="en-US"/>
    </w:rPr>
  </w:style>
  <w:style w:type="character" w:styleId="af1">
    <w:name w:val="annotation reference"/>
    <w:basedOn w:val="a0"/>
    <w:uiPriority w:val="99"/>
    <w:unhideWhenUsed/>
    <w:qFormat/>
    <w:rsid w:val="005D3B77"/>
    <w:rPr>
      <w:rFonts w:ascii="Tahoma" w:hAnsi="Tahoma" w:cs="Tahoma"/>
      <w:b w:val="0"/>
      <w:i w:val="0"/>
      <w:caps w:val="0"/>
      <w:strike w:val="0"/>
      <w:sz w:val="16"/>
      <w:szCs w:val="16"/>
      <w:u w:val="none"/>
    </w:rPr>
  </w:style>
  <w:style w:type="paragraph" w:customStyle="1" w:styleId="11">
    <w:name w:val="正文1"/>
    <w:uiPriority w:val="99"/>
    <w:rsid w:val="006001AA"/>
    <w:pPr>
      <w:spacing w:after="0"/>
    </w:pPr>
    <w:rPr>
      <w:rFonts w:ascii="Arial" w:eastAsia="宋体" w:hAnsi="Arial" w:cs="Arial"/>
      <w:color w:val="000000"/>
      <w:szCs w:val="20"/>
      <w:lang w:val="pl-PL" w:eastAsia="pl-PL"/>
    </w:rPr>
  </w:style>
  <w:style w:type="character" w:customStyle="1" w:styleId="12">
    <w:name w:val="批注文字 字符1"/>
    <w:basedOn w:val="a0"/>
    <w:uiPriority w:val="99"/>
    <w:qFormat/>
    <w:rsid w:val="006001AA"/>
    <w:rPr>
      <w:rFonts w:eastAsiaTheme="minorEastAsia"/>
      <w:kern w:val="2"/>
      <w:sz w:val="21"/>
    </w:rPr>
  </w:style>
  <w:style w:type="paragraph" w:styleId="af2">
    <w:name w:val="Normal (Web)"/>
    <w:basedOn w:val="a"/>
    <w:semiHidden/>
    <w:unhideWhenUsed/>
    <w:qFormat/>
    <w:rsid w:val="00427A04"/>
    <w:pPr>
      <w:spacing w:before="100" w:beforeAutospacing="1" w:after="100" w:afterAutospacing="1" w:line="240" w:lineRule="auto"/>
    </w:pPr>
    <w:rPr>
      <w:rFonts w:ascii="Times New Roman" w:eastAsia="Calibri" w:hAnsi="Times New Roman" w:cs="Times New Roman"/>
      <w:sz w:val="24"/>
      <w:szCs w:val="24"/>
      <w:lang w:val="it-IT" w:eastAsia="it-IT"/>
    </w:rPr>
  </w:style>
  <w:style w:type="character" w:customStyle="1" w:styleId="UnresolvedMention">
    <w:name w:val="Unresolved Mention"/>
    <w:basedOn w:val="a0"/>
    <w:uiPriority w:val="99"/>
    <w:semiHidden/>
    <w:unhideWhenUsed/>
    <w:rsid w:val="00427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6606">
      <w:bodyDiv w:val="1"/>
      <w:marLeft w:val="0"/>
      <w:marRight w:val="0"/>
      <w:marTop w:val="0"/>
      <w:marBottom w:val="0"/>
      <w:divBdr>
        <w:top w:val="none" w:sz="0" w:space="0" w:color="auto"/>
        <w:left w:val="none" w:sz="0" w:space="0" w:color="auto"/>
        <w:bottom w:val="none" w:sz="0" w:space="0" w:color="auto"/>
        <w:right w:val="none" w:sz="0" w:space="0" w:color="auto"/>
      </w:divBdr>
    </w:div>
    <w:div w:id="243686918">
      <w:bodyDiv w:val="1"/>
      <w:marLeft w:val="0"/>
      <w:marRight w:val="0"/>
      <w:marTop w:val="0"/>
      <w:marBottom w:val="0"/>
      <w:divBdr>
        <w:top w:val="none" w:sz="0" w:space="0" w:color="auto"/>
        <w:left w:val="none" w:sz="0" w:space="0" w:color="auto"/>
        <w:bottom w:val="none" w:sz="0" w:space="0" w:color="auto"/>
        <w:right w:val="none" w:sz="0" w:space="0" w:color="auto"/>
      </w:divBdr>
    </w:div>
    <w:div w:id="265775509">
      <w:bodyDiv w:val="1"/>
      <w:marLeft w:val="0"/>
      <w:marRight w:val="0"/>
      <w:marTop w:val="0"/>
      <w:marBottom w:val="0"/>
      <w:divBdr>
        <w:top w:val="none" w:sz="0" w:space="0" w:color="auto"/>
        <w:left w:val="none" w:sz="0" w:space="0" w:color="auto"/>
        <w:bottom w:val="none" w:sz="0" w:space="0" w:color="auto"/>
        <w:right w:val="none" w:sz="0" w:space="0" w:color="auto"/>
      </w:divBdr>
    </w:div>
    <w:div w:id="7905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j@ikem.cz"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B0053-F7D6-4F8E-8A89-3EC51D0B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9808</Words>
  <Characters>55909</Characters>
  <Application>Microsoft Office Word</Application>
  <DocSecurity>0</DocSecurity>
  <Lines>465</Lines>
  <Paragraphs>131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VS ČR</Company>
  <LinksUpToDate>false</LinksUpToDate>
  <CharactersWithSpaces>65586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Křístek Jakub MUDr.</dc:creator>
  <cp:lastModifiedBy>HP</cp:lastModifiedBy>
  <cp:revision>2</cp:revision>
  <dcterms:created xsi:type="dcterms:W3CDTF">2019-11-14T23:55:00Z</dcterms:created>
  <dcterms:modified xsi:type="dcterms:W3CDTF">2019-11-14T23:55:00Z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http://www.zotero.org/styles/the-new-england-journal-of-medicine</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http://www.zotero.org/styles/clinical-anatomy</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http://www.zotero.org/styles/the-new-england-journal-of-medicine</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6th edition</vt:lpwstr>
  </property>
  <property fmtid="{D5CDD505-2E9C-101B-9397-08002B2CF9AE}" pid="16" name="Mendeley Recent Style Name 2_1">
    <vt:lpwstr>American Sociological Association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10th edition - Harvard</vt:lpwstr>
  </property>
  <property fmtid="{D5CDD505-2E9C-101B-9397-08002B2CF9AE}" pid="19" name="Mendeley Recent Style Name 5_1">
    <vt:lpwstr>Clinical Anatomy</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The New England Journal of Medicine</vt:lpwstr>
  </property>
  <property fmtid="{D5CDD505-2E9C-101B-9397-08002B2CF9AE}" pid="24" name="Mendeley Unique User Id_1">
    <vt:lpwstr>5731cb0a-17b0-3893-8e42-bec85f853768</vt:lpwstr>
  </property>
  <property fmtid="{D5CDD505-2E9C-101B-9397-08002B2CF9AE}" pid="25" name="UseTimer">
    <vt:bool>true</vt:bool>
  </property>
  <property fmtid="{D5CDD505-2E9C-101B-9397-08002B2CF9AE}" pid="26" name="LastTick">
    <vt:r8>43725.6357175926</vt:r8>
  </property>
  <property fmtid="{D5CDD505-2E9C-101B-9397-08002B2CF9AE}" pid="27" name="EditTimer">
    <vt:i4>2040</vt:i4>
  </property>
</Properties>
</file>