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FC49" w14:textId="0983D7AC" w:rsidR="00AE7C25" w:rsidRPr="00255771" w:rsidRDefault="0067540D" w:rsidP="00AE7C25">
      <w:pPr>
        <w:snapToGrid w:val="0"/>
        <w:spacing w:line="360" w:lineRule="auto"/>
        <w:rPr>
          <w:rFonts w:ascii="Book Antiqua" w:eastAsia="Times New Roman" w:hAnsi="Book Antiqua" w:cs="宋体"/>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Pr>
          <w:rFonts w:ascii="Book Antiqua" w:eastAsia="Times New Roman" w:hAnsi="Book Antiqua" w:cs="宋体"/>
          <w:b/>
          <w:sz w:val="24"/>
          <w:szCs w:val="24"/>
        </w:rPr>
        <w:t xml:space="preserve"> </w:t>
      </w:r>
      <w:r w:rsidR="00AE7C25" w:rsidRPr="00255771">
        <w:rPr>
          <w:rFonts w:ascii="Book Antiqua" w:eastAsia="Times New Roman" w:hAnsi="Book Antiqua" w:cs="宋体"/>
          <w:b/>
          <w:sz w:val="24"/>
          <w:szCs w:val="24"/>
        </w:rPr>
        <w:t xml:space="preserve">Name of </w:t>
      </w:r>
      <w:r w:rsidR="00AE7C25" w:rsidRPr="00255771">
        <w:rPr>
          <w:rFonts w:ascii="Book Antiqua" w:eastAsia="Times New Roman" w:hAnsi="Book Antiqua" w:cs="宋体"/>
          <w:b/>
          <w:caps/>
          <w:sz w:val="24"/>
          <w:szCs w:val="24"/>
        </w:rPr>
        <w:t>j</w:t>
      </w:r>
      <w:r w:rsidR="00AE7C25" w:rsidRPr="00255771">
        <w:rPr>
          <w:rFonts w:ascii="Book Antiqua" w:eastAsia="Times New Roman" w:hAnsi="Book Antiqua" w:cs="宋体"/>
          <w:b/>
          <w:sz w:val="24"/>
          <w:szCs w:val="24"/>
        </w:rPr>
        <w:t xml:space="preserve">ournal: </w:t>
      </w:r>
      <w:bookmarkStart w:id="19" w:name="OLE_LINK718"/>
      <w:bookmarkStart w:id="20" w:name="OLE_LINK719"/>
      <w:r w:rsidR="00AE7C25" w:rsidRPr="00255771">
        <w:rPr>
          <w:rFonts w:ascii="Book Antiqua" w:eastAsia="Times New Roman" w:hAnsi="Book Antiqua" w:cs="宋体"/>
          <w:b/>
          <w:i/>
          <w:sz w:val="24"/>
          <w:szCs w:val="24"/>
        </w:rPr>
        <w:t>World Journal of Gastroenterology</w:t>
      </w:r>
      <w:bookmarkEnd w:id="19"/>
      <w:bookmarkEnd w:id="20"/>
    </w:p>
    <w:p w14:paraId="49B53DB5" w14:textId="77777777" w:rsidR="00AE7C25" w:rsidRPr="00255771" w:rsidRDefault="00AE7C25" w:rsidP="00AE7C25">
      <w:pPr>
        <w:snapToGrid w:val="0"/>
        <w:spacing w:line="360" w:lineRule="auto"/>
        <w:rPr>
          <w:rFonts w:ascii="Book Antiqua" w:eastAsia="Times New Roman" w:hAnsi="Book Antiqua" w:cs="宋体"/>
          <w:b/>
          <w:i/>
          <w:sz w:val="24"/>
          <w:szCs w:val="24"/>
        </w:rPr>
      </w:pPr>
      <w:bookmarkStart w:id="21" w:name="OLE_LINK485"/>
      <w:bookmarkStart w:id="22" w:name="OLE_LINK486"/>
      <w:bookmarkStart w:id="23" w:name="OLE_LINK661"/>
      <w:bookmarkStart w:id="24" w:name="OLE_LINK768"/>
      <w:bookmarkStart w:id="25" w:name="OLE_LINK514"/>
      <w:bookmarkStart w:id="26" w:name="OLE_LINK515"/>
      <w:r w:rsidRPr="00255771">
        <w:rPr>
          <w:rFonts w:ascii="Book Antiqua" w:eastAsia="Times New Roman" w:hAnsi="Book Antiqua" w:cs="宋体"/>
          <w:b/>
          <w:sz w:val="24"/>
          <w:szCs w:val="24"/>
          <w:lang w:val="pl-PL"/>
        </w:rPr>
        <w:t>Manuscript NO:</w:t>
      </w:r>
      <w:bookmarkEnd w:id="21"/>
      <w:bookmarkEnd w:id="22"/>
      <w:bookmarkEnd w:id="23"/>
      <w:bookmarkEnd w:id="24"/>
      <w:r w:rsidRPr="00255771">
        <w:rPr>
          <w:rFonts w:ascii="Book Antiqua" w:eastAsia="Times New Roman" w:hAnsi="Book Antiqua" w:cs="宋体"/>
          <w:b/>
          <w:sz w:val="24"/>
          <w:szCs w:val="24"/>
          <w:lang w:val="pl-PL"/>
        </w:rPr>
        <w:t xml:space="preserve"> </w:t>
      </w:r>
      <w:r>
        <w:rPr>
          <w:rFonts w:ascii="Book Antiqua" w:eastAsia="Times New Roman" w:hAnsi="Book Antiqua" w:cs="宋体"/>
          <w:b/>
          <w:sz w:val="24"/>
          <w:szCs w:val="24"/>
          <w:lang w:val="pl-PL"/>
        </w:rPr>
        <w:t>51656</w:t>
      </w:r>
    </w:p>
    <w:p w14:paraId="490D23A4" w14:textId="77777777" w:rsidR="00AE7C25" w:rsidRPr="00255771" w:rsidRDefault="00AE7C25" w:rsidP="00AE7C25">
      <w:pPr>
        <w:snapToGrid w:val="0"/>
        <w:spacing w:line="360" w:lineRule="auto"/>
        <w:rPr>
          <w:rFonts w:ascii="Book Antiqua" w:eastAsia="Times New Roman" w:hAnsi="Book Antiqua" w:cs="宋体"/>
          <w:b/>
          <w:sz w:val="24"/>
          <w:szCs w:val="24"/>
        </w:rPr>
      </w:pPr>
      <w:bookmarkStart w:id="27" w:name="OLE_LINK995"/>
      <w:bookmarkStart w:id="28" w:name="OLE_LINK9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5"/>
      <w:bookmarkEnd w:id="26"/>
      <w:r w:rsidRPr="00255771">
        <w:rPr>
          <w:rFonts w:ascii="Book Antiqua" w:eastAsia="Times New Roman" w:hAnsi="Book Antiqua" w:cs="宋体"/>
          <w:b/>
          <w:sz w:val="24"/>
          <w:szCs w:val="24"/>
        </w:rPr>
        <w:t xml:space="preserve">Manuscript Type: </w:t>
      </w:r>
      <w:bookmarkStart w:id="29" w:name="_Hlk18593155"/>
      <w:r w:rsidRPr="00255771">
        <w:rPr>
          <w:rFonts w:ascii="Book Antiqua" w:eastAsia="Times New Roman" w:hAnsi="Book Antiqua" w:cs="宋体"/>
          <w:b/>
          <w:sz w:val="24"/>
          <w:szCs w:val="24"/>
        </w:rPr>
        <w:t>ORIGINAL ARTICLE</w:t>
      </w:r>
      <w:bookmarkEnd w:id="29"/>
    </w:p>
    <w:bookmarkEnd w:id="27"/>
    <w:bookmarkEnd w:id="28"/>
    <w:p w14:paraId="181D3115" w14:textId="77777777" w:rsidR="00AE7C25" w:rsidRDefault="00AE7C25" w:rsidP="00AE7C25">
      <w:pPr>
        <w:snapToGrid w:val="0"/>
        <w:spacing w:line="360" w:lineRule="auto"/>
        <w:rPr>
          <w:rFonts w:ascii="Book Antiqua" w:eastAsia="Times New Roman" w:hAnsi="Book Antiqua" w:cs="宋体"/>
          <w:b/>
          <w:i/>
          <w:sz w:val="24"/>
          <w:szCs w:val="24"/>
        </w:rPr>
      </w:pPr>
    </w:p>
    <w:p w14:paraId="32F0B8B0" w14:textId="77777777" w:rsidR="00AE7C25" w:rsidRPr="0091360F" w:rsidRDefault="00AE7C25" w:rsidP="00AE7C25">
      <w:pPr>
        <w:snapToGrid w:val="0"/>
        <w:spacing w:line="360" w:lineRule="auto"/>
        <w:rPr>
          <w:rFonts w:ascii="Book Antiqua" w:hAnsi="Book Antiqua" w:cs="Times New Roman"/>
          <w:b/>
          <w:bCs/>
          <w:sz w:val="24"/>
          <w:szCs w:val="24"/>
        </w:rPr>
      </w:pPr>
      <w:r w:rsidRPr="000A3BF8">
        <w:rPr>
          <w:rFonts w:ascii="Book Antiqua" w:eastAsia="Times New Roman" w:hAnsi="Book Antiqua" w:cs="宋体"/>
          <w:b/>
          <w:i/>
          <w:sz w:val="24"/>
          <w:szCs w:val="24"/>
        </w:rPr>
        <w:t>Retrospective Cohort Study</w:t>
      </w:r>
    </w:p>
    <w:p w14:paraId="7BA94AE3" w14:textId="442A43FC" w:rsidR="00420454" w:rsidRPr="0091360F" w:rsidRDefault="008B275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P</w:t>
      </w:r>
      <w:r w:rsidR="00A47451" w:rsidRPr="0091360F">
        <w:rPr>
          <w:rFonts w:ascii="Book Antiqua" w:hAnsi="Book Antiqua" w:cs="Times New Roman"/>
          <w:b/>
          <w:bCs/>
          <w:sz w:val="24"/>
          <w:szCs w:val="24"/>
        </w:rPr>
        <w:t>rognostic value of risk scoring systems for cirrhotic patients with variceal bleeding</w:t>
      </w:r>
      <w:bookmarkStart w:id="30" w:name="OLE_LINK195"/>
      <w:bookmarkStart w:id="31" w:name="OLE_LINK196"/>
    </w:p>
    <w:p w14:paraId="14B997B6" w14:textId="77777777" w:rsidR="00420454" w:rsidRPr="0091360F" w:rsidRDefault="00420454" w:rsidP="00420454">
      <w:pPr>
        <w:snapToGrid w:val="0"/>
        <w:spacing w:line="360" w:lineRule="auto"/>
        <w:rPr>
          <w:rFonts w:ascii="Book Antiqua" w:hAnsi="Book Antiqua" w:cs="Garamond-Bold"/>
          <w:sz w:val="24"/>
          <w:szCs w:val="24"/>
        </w:rPr>
      </w:pPr>
      <w:bookmarkStart w:id="32" w:name="_Hlk5627141"/>
      <w:bookmarkStart w:id="33" w:name="_Hlk24045761"/>
      <w:bookmarkEnd w:id="30"/>
      <w:bookmarkEnd w:id="31"/>
    </w:p>
    <w:bookmarkEnd w:id="32"/>
    <w:bookmarkEnd w:id="33"/>
    <w:p w14:paraId="0EF16C18" w14:textId="10FD32B0" w:rsidR="00867C81" w:rsidRPr="0091360F" w:rsidRDefault="00E16094" w:rsidP="00420454">
      <w:pPr>
        <w:snapToGrid w:val="0"/>
        <w:spacing w:line="360" w:lineRule="auto"/>
        <w:rPr>
          <w:rFonts w:ascii="Book Antiqua" w:hAnsi="Book Antiqua" w:cs="Times New Roman"/>
          <w:sz w:val="24"/>
          <w:szCs w:val="24"/>
        </w:rPr>
      </w:pPr>
      <w:r w:rsidRPr="0091360F">
        <w:rPr>
          <w:rFonts w:ascii="Book Antiqua" w:hAnsi="Book Antiqua" w:cs="Garamond-Bold"/>
          <w:sz w:val="24"/>
          <w:szCs w:val="24"/>
        </w:rPr>
        <w:t xml:space="preserve">Tantai XX </w:t>
      </w:r>
      <w:r w:rsidRPr="0091360F">
        <w:rPr>
          <w:rFonts w:ascii="Book Antiqua" w:hAnsi="Book Antiqua" w:cs="Garamond-Bold"/>
          <w:i/>
          <w:iCs/>
          <w:sz w:val="24"/>
          <w:szCs w:val="24"/>
        </w:rPr>
        <w:t>et al</w:t>
      </w:r>
      <w:r w:rsidRPr="0091360F">
        <w:rPr>
          <w:rFonts w:ascii="Book Antiqua" w:hAnsi="Book Antiqua" w:cs="Garamond-Bold"/>
          <w:sz w:val="24"/>
          <w:szCs w:val="24"/>
        </w:rPr>
        <w:t>. Risk scoring systems for variceal bleeding</w:t>
      </w:r>
    </w:p>
    <w:p w14:paraId="5B757585" w14:textId="77777777" w:rsidR="00420454" w:rsidRPr="0091360F" w:rsidRDefault="00420454" w:rsidP="00420454">
      <w:pPr>
        <w:snapToGrid w:val="0"/>
        <w:spacing w:line="360" w:lineRule="auto"/>
        <w:rPr>
          <w:rFonts w:ascii="Book Antiqua" w:hAnsi="Book Antiqua" w:cs="Garamond-Bold"/>
          <w:b/>
          <w:bCs/>
          <w:sz w:val="24"/>
          <w:szCs w:val="24"/>
        </w:rPr>
      </w:pPr>
      <w:bookmarkStart w:id="34" w:name="_Hlk8806059"/>
      <w:bookmarkStart w:id="35" w:name="_Hlk24046486"/>
    </w:p>
    <w:bookmarkEnd w:id="34"/>
    <w:bookmarkEnd w:id="35"/>
    <w:p w14:paraId="4100337F" w14:textId="0C367135" w:rsidR="00FA1D3B" w:rsidRPr="0091360F" w:rsidRDefault="006B347D"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kern w:val="0"/>
          <w:sz w:val="24"/>
          <w:szCs w:val="24"/>
          <w:lang w:val="x-none"/>
        </w:rPr>
        <w:t>Xin-Xing Tantai, Na Liu, Long-Bao Yang, Zhong-Cao Wei, Cai-Lan Xiao, Ya-Hua Song, Jin-Hai Wang</w:t>
      </w:r>
    </w:p>
    <w:p w14:paraId="61956BC7" w14:textId="44855331" w:rsidR="00843E9C" w:rsidRPr="0091360F" w:rsidRDefault="00843E9C" w:rsidP="00420454">
      <w:pPr>
        <w:autoSpaceDE w:val="0"/>
        <w:autoSpaceDN w:val="0"/>
        <w:adjustRightInd w:val="0"/>
        <w:snapToGrid w:val="0"/>
        <w:spacing w:line="360" w:lineRule="auto"/>
        <w:rPr>
          <w:rFonts w:ascii="Book Antiqua" w:hAnsi="Book Antiqua" w:cs="Times New Roman"/>
          <w:b/>
          <w:bCs/>
          <w:kern w:val="0"/>
          <w:sz w:val="24"/>
          <w:szCs w:val="24"/>
          <w:lang w:val="x-none"/>
        </w:rPr>
      </w:pPr>
    </w:p>
    <w:p w14:paraId="5B26EF58" w14:textId="0AF5187C" w:rsidR="00B64273" w:rsidRPr="0091360F" w:rsidRDefault="00B64273"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b/>
          <w:bCs/>
          <w:kern w:val="0"/>
          <w:sz w:val="24"/>
          <w:szCs w:val="24"/>
          <w:lang w:val="x-none"/>
        </w:rPr>
        <w:t xml:space="preserve">Xin-Xing Tantai, Na Liu, Long-Bao Yang, Zhong-Cao Wei, Cai-Lan Xiao, Ya-Hua Song, Jin-Hai Wang, </w:t>
      </w:r>
      <w:r w:rsidRPr="0091360F">
        <w:rPr>
          <w:rFonts w:ascii="Book Antiqua" w:hAnsi="Book Antiqua" w:cs="Times New Roman"/>
          <w:kern w:val="0"/>
          <w:sz w:val="24"/>
          <w:szCs w:val="24"/>
          <w:lang w:val="x-none"/>
        </w:rPr>
        <w:t>Division of Gastroenterology, The Second Affiliated Hospital, Xi’an Jiaotong University, Xi’an 710004, Shaanxi Province, China</w:t>
      </w:r>
    </w:p>
    <w:p w14:paraId="61845F96" w14:textId="1A0CF1FC" w:rsidR="00867C81" w:rsidRPr="0091360F" w:rsidRDefault="00867C81" w:rsidP="00420454">
      <w:pPr>
        <w:autoSpaceDE w:val="0"/>
        <w:autoSpaceDN w:val="0"/>
        <w:adjustRightInd w:val="0"/>
        <w:snapToGrid w:val="0"/>
        <w:spacing w:line="360" w:lineRule="auto"/>
        <w:rPr>
          <w:rFonts w:ascii="Book Antiqua" w:hAnsi="Book Antiqua" w:cs="Times New Roman"/>
          <w:b/>
          <w:bCs/>
          <w:kern w:val="0"/>
          <w:sz w:val="24"/>
          <w:szCs w:val="24"/>
          <w:lang w:val="x-none"/>
        </w:rPr>
      </w:pPr>
    </w:p>
    <w:p w14:paraId="085D73A7" w14:textId="767C134C" w:rsidR="00867C81" w:rsidRPr="0091360F" w:rsidRDefault="00867C81" w:rsidP="00420454">
      <w:pPr>
        <w:autoSpaceDE w:val="0"/>
        <w:autoSpaceDN w:val="0"/>
        <w:adjustRightInd w:val="0"/>
        <w:snapToGrid w:val="0"/>
        <w:spacing w:line="360" w:lineRule="auto"/>
        <w:rPr>
          <w:rFonts w:ascii="Book Antiqua" w:hAnsi="Book Antiqua"/>
          <w:sz w:val="24"/>
          <w:szCs w:val="24"/>
        </w:rPr>
      </w:pPr>
      <w:bookmarkStart w:id="36" w:name="_Hlk24046557"/>
      <w:r w:rsidRPr="0091360F">
        <w:rPr>
          <w:rFonts w:ascii="Book Antiqua" w:hAnsi="Book Antiqua"/>
          <w:b/>
          <w:bCs/>
          <w:sz w:val="24"/>
          <w:szCs w:val="24"/>
        </w:rPr>
        <w:t xml:space="preserve">ORCID number: </w:t>
      </w:r>
      <w:bookmarkEnd w:id="36"/>
      <w:r w:rsidR="00054213" w:rsidRPr="0091360F">
        <w:rPr>
          <w:rFonts w:ascii="Book Antiqua" w:hAnsi="Book Antiqua"/>
          <w:sz w:val="24"/>
          <w:szCs w:val="24"/>
        </w:rPr>
        <w:t>Xin-Xing Tantai (0000-0002-4105-6890); Na Liu (0000-0003-3246-9674); Long-Bao Yang (0000-0001-7731-0910); Zhong</w:t>
      </w:r>
      <w:r w:rsidR="00420454" w:rsidRPr="0091360F">
        <w:rPr>
          <w:rFonts w:ascii="Book Antiqua" w:hAnsi="Book Antiqua"/>
          <w:sz w:val="24"/>
          <w:szCs w:val="24"/>
        </w:rPr>
        <w:t>-</w:t>
      </w:r>
      <w:r w:rsidR="00054213" w:rsidRPr="0091360F">
        <w:rPr>
          <w:rFonts w:ascii="Book Antiqua" w:hAnsi="Book Antiqua"/>
          <w:sz w:val="24"/>
          <w:szCs w:val="24"/>
        </w:rPr>
        <w:t>Cao Wei (0000-0001-8931-680X); Cai-Lan Xiao (0000-0001-8476-5008); Ya-Hua Song (0000-0002-5988-8599); Jin-Hai Wang (0000-0003-1365-4727).</w:t>
      </w:r>
    </w:p>
    <w:p w14:paraId="7C8E4B63" w14:textId="77777777" w:rsidR="00420454" w:rsidRPr="0091360F" w:rsidRDefault="00420454" w:rsidP="00420454">
      <w:pPr>
        <w:autoSpaceDE w:val="0"/>
        <w:autoSpaceDN w:val="0"/>
        <w:adjustRightInd w:val="0"/>
        <w:snapToGrid w:val="0"/>
        <w:spacing w:line="360" w:lineRule="auto"/>
        <w:rPr>
          <w:rFonts w:ascii="Book Antiqua" w:hAnsi="Book Antiqua" w:cs="Garamond-Bold"/>
          <w:b/>
          <w:bCs/>
          <w:sz w:val="24"/>
          <w:szCs w:val="24"/>
        </w:rPr>
      </w:pPr>
    </w:p>
    <w:p w14:paraId="51523182" w14:textId="2919A443" w:rsidR="00867C81" w:rsidRPr="0091360F" w:rsidRDefault="00867C81" w:rsidP="00420454">
      <w:pPr>
        <w:autoSpaceDE w:val="0"/>
        <w:autoSpaceDN w:val="0"/>
        <w:adjustRightInd w:val="0"/>
        <w:snapToGrid w:val="0"/>
        <w:spacing w:line="360" w:lineRule="auto"/>
        <w:rPr>
          <w:rFonts w:ascii="Book Antiqua" w:hAnsi="Book Antiqua" w:cs="Garamond-Bold"/>
          <w:sz w:val="24"/>
          <w:szCs w:val="24"/>
        </w:rPr>
      </w:pPr>
      <w:r w:rsidRPr="0091360F">
        <w:rPr>
          <w:rFonts w:ascii="Book Antiqua" w:hAnsi="Book Antiqua" w:cs="Garamond-Bold"/>
          <w:b/>
          <w:bCs/>
          <w:sz w:val="24"/>
          <w:szCs w:val="24"/>
        </w:rPr>
        <w:t>Author contributions:</w:t>
      </w:r>
      <w:bookmarkStart w:id="37" w:name="_Hlk24046586"/>
      <w:r w:rsidRPr="0091360F">
        <w:rPr>
          <w:rFonts w:ascii="Book Antiqua" w:hAnsi="Book Antiqua" w:cs="Garamond-Bold"/>
          <w:b/>
          <w:bCs/>
          <w:sz w:val="24"/>
          <w:szCs w:val="24"/>
        </w:rPr>
        <w:t xml:space="preserve"> </w:t>
      </w:r>
      <w:bookmarkEnd w:id="37"/>
      <w:r w:rsidR="00BE66FF" w:rsidRPr="0091360F">
        <w:rPr>
          <w:rFonts w:ascii="Book Antiqua" w:hAnsi="Book Antiqua" w:cs="Garamond-Bold"/>
          <w:sz w:val="24"/>
          <w:szCs w:val="24"/>
        </w:rPr>
        <w:t>Tantai XX, Wang JH</w:t>
      </w:r>
      <w:r w:rsidR="00420454" w:rsidRPr="0091360F">
        <w:rPr>
          <w:rFonts w:ascii="Book Antiqua" w:hAnsi="Book Antiqua" w:cs="Garamond-Bold"/>
          <w:sz w:val="24"/>
          <w:szCs w:val="24"/>
        </w:rPr>
        <w:t xml:space="preserve"> </w:t>
      </w:r>
      <w:r w:rsidR="00BE66FF" w:rsidRPr="0091360F">
        <w:rPr>
          <w:rFonts w:ascii="Book Antiqua" w:hAnsi="Book Antiqua" w:cs="Garamond-Bold"/>
          <w:sz w:val="24"/>
          <w:szCs w:val="24"/>
        </w:rPr>
        <w:t>and Liu N contributed to study concept and design; Xiao CL and Song YH contributed</w:t>
      </w:r>
      <w:r w:rsidR="00FA43A0" w:rsidRPr="0091360F">
        <w:rPr>
          <w:rFonts w:ascii="Book Antiqua" w:hAnsi="Book Antiqua" w:cs="Garamond-Bold"/>
          <w:sz w:val="24"/>
          <w:szCs w:val="24"/>
        </w:rPr>
        <w:t xml:space="preserve"> </w:t>
      </w:r>
      <w:r w:rsidR="00BE66FF" w:rsidRPr="0091360F">
        <w:rPr>
          <w:rFonts w:ascii="Book Antiqua" w:hAnsi="Book Antiqua" w:cs="Garamond-Bold"/>
          <w:sz w:val="24"/>
          <w:szCs w:val="24"/>
        </w:rPr>
        <w:t>to data collection; Yang LB and Wei ZC contributed to data verification; Tantai XX, Wang JH</w:t>
      </w:r>
      <w:r w:rsidR="00420454" w:rsidRPr="0091360F">
        <w:rPr>
          <w:rFonts w:ascii="Book Antiqua" w:hAnsi="Book Antiqua" w:cs="Garamond-Bold"/>
          <w:sz w:val="24"/>
          <w:szCs w:val="24"/>
        </w:rPr>
        <w:t xml:space="preserve"> </w:t>
      </w:r>
      <w:r w:rsidR="00BE66FF" w:rsidRPr="0091360F">
        <w:rPr>
          <w:rFonts w:ascii="Book Antiqua" w:hAnsi="Book Antiqua" w:cs="Garamond-Bold"/>
          <w:sz w:val="24"/>
          <w:szCs w:val="24"/>
        </w:rPr>
        <w:t>and Liu N contributed to data management, interpretation and supervision; Tantai XX contributed to statistical analysis</w:t>
      </w:r>
      <w:r w:rsidR="00420454" w:rsidRPr="0091360F">
        <w:rPr>
          <w:rFonts w:ascii="Book Antiqua" w:hAnsi="Book Antiqua" w:cs="Garamond-Bold"/>
          <w:sz w:val="24"/>
          <w:szCs w:val="24"/>
        </w:rPr>
        <w:t xml:space="preserve"> and </w:t>
      </w:r>
      <w:r w:rsidR="00BE66FF" w:rsidRPr="0091360F">
        <w:rPr>
          <w:rFonts w:ascii="Book Antiqua" w:hAnsi="Book Antiqua" w:cs="Garamond-Bold"/>
          <w:sz w:val="24"/>
          <w:szCs w:val="24"/>
        </w:rPr>
        <w:t>drafted the manuscript; Tantai XX, Wang JH and Liu N contributed to critical revision of the manuscript.</w:t>
      </w:r>
    </w:p>
    <w:p w14:paraId="63DB06A4" w14:textId="77777777" w:rsidR="00420454" w:rsidRPr="0091360F" w:rsidRDefault="00420454" w:rsidP="00420454">
      <w:pPr>
        <w:autoSpaceDE w:val="0"/>
        <w:autoSpaceDN w:val="0"/>
        <w:adjustRightInd w:val="0"/>
        <w:snapToGrid w:val="0"/>
        <w:spacing w:line="360" w:lineRule="auto"/>
        <w:rPr>
          <w:rFonts w:ascii="Book Antiqua" w:hAnsi="Book Antiqua" w:cs="Times New Roman"/>
          <w:kern w:val="0"/>
          <w:sz w:val="24"/>
          <w:szCs w:val="24"/>
          <w:lang w:val="x-none"/>
        </w:rPr>
      </w:pPr>
    </w:p>
    <w:p w14:paraId="50011A89" w14:textId="649AA24F" w:rsidR="00142622" w:rsidRPr="0091360F" w:rsidRDefault="00867C81" w:rsidP="00420454">
      <w:pPr>
        <w:snapToGrid w:val="0"/>
        <w:spacing w:line="360" w:lineRule="auto"/>
        <w:rPr>
          <w:rFonts w:ascii="Book Antiqua" w:hAnsi="Book Antiqua"/>
          <w:b/>
          <w:sz w:val="24"/>
          <w:szCs w:val="24"/>
        </w:rPr>
      </w:pPr>
      <w:r w:rsidRPr="0091360F">
        <w:rPr>
          <w:rFonts w:ascii="Book Antiqua" w:hAnsi="Book Antiqua"/>
          <w:b/>
          <w:sz w:val="24"/>
          <w:szCs w:val="24"/>
        </w:rPr>
        <w:lastRenderedPageBreak/>
        <w:t xml:space="preserve">Institutional review board statement: </w:t>
      </w:r>
      <w:r w:rsidR="00142622" w:rsidRPr="0091360F">
        <w:rPr>
          <w:rFonts w:ascii="Book Antiqua" w:hAnsi="Book Antiqua" w:cs="Garamond-Bold"/>
          <w:sz w:val="24"/>
          <w:szCs w:val="24"/>
        </w:rPr>
        <w:t xml:space="preserve">This study </w:t>
      </w:r>
      <w:r w:rsidR="00EA3286" w:rsidRPr="0091360F">
        <w:rPr>
          <w:rFonts w:ascii="Book Antiqua" w:hAnsi="Book Antiqua" w:cs="Garamond-Bold"/>
          <w:sz w:val="24"/>
          <w:szCs w:val="24"/>
        </w:rPr>
        <w:t>was reviewed and</w:t>
      </w:r>
      <w:r w:rsidR="00142622" w:rsidRPr="0091360F">
        <w:rPr>
          <w:rFonts w:ascii="Book Antiqua" w:hAnsi="Book Antiqua" w:cs="Garamond-Bold"/>
          <w:sz w:val="24"/>
          <w:szCs w:val="24"/>
        </w:rPr>
        <w:t xml:space="preserve"> approved by the </w:t>
      </w:r>
      <w:r w:rsidR="00142622" w:rsidRPr="00A25A75">
        <w:rPr>
          <w:rFonts w:ascii="Book Antiqua" w:hAnsi="Book Antiqua" w:cs="Garamond-Bold"/>
          <w:caps/>
          <w:sz w:val="24"/>
          <w:szCs w:val="24"/>
        </w:rPr>
        <w:t>e</w:t>
      </w:r>
      <w:r w:rsidR="00142622" w:rsidRPr="0091360F">
        <w:rPr>
          <w:rFonts w:ascii="Book Antiqua" w:hAnsi="Book Antiqua" w:cs="Garamond-Bold"/>
          <w:sz w:val="24"/>
          <w:szCs w:val="24"/>
        </w:rPr>
        <w:t xml:space="preserve">thics </w:t>
      </w:r>
      <w:r w:rsidR="00142622" w:rsidRPr="00A25A75">
        <w:rPr>
          <w:rFonts w:ascii="Book Antiqua" w:hAnsi="Book Antiqua" w:cs="Garamond-Bold"/>
          <w:caps/>
          <w:sz w:val="24"/>
          <w:szCs w:val="24"/>
        </w:rPr>
        <w:t>c</w:t>
      </w:r>
      <w:r w:rsidR="00142622" w:rsidRPr="0091360F">
        <w:rPr>
          <w:rFonts w:ascii="Book Antiqua" w:hAnsi="Book Antiqua" w:cs="Garamond-Bold"/>
          <w:sz w:val="24"/>
          <w:szCs w:val="24"/>
        </w:rPr>
        <w:t xml:space="preserve">ommittee of </w:t>
      </w:r>
      <w:r w:rsidR="000D02C7" w:rsidRPr="0091360F">
        <w:rPr>
          <w:rFonts w:ascii="Book Antiqua" w:hAnsi="Book Antiqua" w:cs="Garamond-Bold"/>
          <w:sz w:val="24"/>
          <w:szCs w:val="24"/>
        </w:rPr>
        <w:t>T</w:t>
      </w:r>
      <w:r w:rsidR="003D6E9C" w:rsidRPr="0091360F">
        <w:rPr>
          <w:rFonts w:ascii="Book Antiqua" w:hAnsi="Book Antiqua" w:cs="Garamond-Bold"/>
          <w:sz w:val="24"/>
          <w:szCs w:val="24"/>
        </w:rPr>
        <w:t>he Second Affiliated Hospital of Xi’an Jiaotong University</w:t>
      </w:r>
      <w:r w:rsidR="00142622" w:rsidRPr="0091360F">
        <w:rPr>
          <w:rFonts w:ascii="Book Antiqua" w:hAnsi="Book Antiqua" w:cs="Garamond-Bold"/>
          <w:sz w:val="24"/>
          <w:szCs w:val="24"/>
        </w:rPr>
        <w:t>.</w:t>
      </w:r>
    </w:p>
    <w:p w14:paraId="03C2A401" w14:textId="77777777" w:rsidR="00420454" w:rsidRPr="0091360F" w:rsidRDefault="00420454" w:rsidP="00420454">
      <w:pPr>
        <w:snapToGrid w:val="0"/>
        <w:spacing w:line="360" w:lineRule="auto"/>
        <w:rPr>
          <w:rFonts w:ascii="Book Antiqua" w:hAnsi="Book Antiqua"/>
          <w:b/>
          <w:sz w:val="24"/>
          <w:szCs w:val="24"/>
        </w:rPr>
      </w:pPr>
      <w:bookmarkStart w:id="38" w:name="_Hlk5629857"/>
      <w:bookmarkStart w:id="39" w:name="_Hlk7947640"/>
      <w:bookmarkStart w:id="40" w:name="_Hlk14786215"/>
    </w:p>
    <w:p w14:paraId="22B7171C" w14:textId="77777777" w:rsidR="00420454" w:rsidRPr="0091360F" w:rsidRDefault="00867C81" w:rsidP="00420454">
      <w:pPr>
        <w:snapToGrid w:val="0"/>
        <w:spacing w:line="360" w:lineRule="auto"/>
        <w:rPr>
          <w:rFonts w:ascii="Book Antiqua" w:hAnsi="Book Antiqua" w:cs="Garamond-Bold"/>
          <w:sz w:val="24"/>
          <w:szCs w:val="24"/>
        </w:rPr>
      </w:pPr>
      <w:r w:rsidRPr="0091360F">
        <w:rPr>
          <w:rFonts w:ascii="Book Antiqua" w:hAnsi="Book Antiqua"/>
          <w:b/>
          <w:sz w:val="24"/>
          <w:szCs w:val="24"/>
        </w:rPr>
        <w:t>Informed consent statement</w:t>
      </w:r>
      <w:r w:rsidRPr="0091360F">
        <w:rPr>
          <w:rFonts w:ascii="Book Antiqua" w:hAnsi="Book Antiqua"/>
          <w:b/>
          <w:bCs/>
          <w:iCs/>
          <w:sz w:val="24"/>
          <w:szCs w:val="24"/>
        </w:rPr>
        <w:t xml:space="preserve">: </w:t>
      </w:r>
      <w:bookmarkEnd w:id="38"/>
      <w:bookmarkEnd w:id="39"/>
      <w:bookmarkEnd w:id="40"/>
      <w:r w:rsidR="00B2610C" w:rsidRPr="0091360F">
        <w:rPr>
          <w:rFonts w:ascii="Book Antiqua" w:hAnsi="Book Antiqua" w:cs="Garamond-Bold"/>
          <w:sz w:val="24"/>
          <w:szCs w:val="24"/>
        </w:rPr>
        <w:t>Patients were not required to give informed consent to the study because the analysis used anonymous clinical data that were obtained after each patient agreed to treatment by written consent.</w:t>
      </w:r>
      <w:bookmarkStart w:id="41" w:name="_Hlk5615265"/>
      <w:bookmarkStart w:id="42" w:name="_Hlk5625813"/>
      <w:bookmarkStart w:id="43" w:name="_Hlk8806223"/>
      <w:bookmarkStart w:id="44" w:name="_Hlk24046706"/>
    </w:p>
    <w:p w14:paraId="0DBA3BAA" w14:textId="77777777" w:rsidR="00420454" w:rsidRPr="0091360F" w:rsidRDefault="00420454" w:rsidP="00420454">
      <w:pPr>
        <w:snapToGrid w:val="0"/>
        <w:spacing w:line="360" w:lineRule="auto"/>
        <w:rPr>
          <w:rFonts w:ascii="Book Antiqua" w:hAnsi="Book Antiqua" w:cs="Garamond-Bold"/>
          <w:sz w:val="24"/>
          <w:szCs w:val="24"/>
        </w:rPr>
      </w:pPr>
    </w:p>
    <w:p w14:paraId="16D7F453" w14:textId="6BABC400" w:rsidR="007D788C" w:rsidRPr="0091360F" w:rsidRDefault="00867C81" w:rsidP="00420454">
      <w:pPr>
        <w:snapToGrid w:val="0"/>
        <w:spacing w:line="360" w:lineRule="auto"/>
        <w:rPr>
          <w:rFonts w:ascii="Book Antiqua" w:hAnsi="Book Antiqua"/>
          <w:b/>
          <w:bCs/>
          <w:iCs/>
          <w:sz w:val="24"/>
          <w:szCs w:val="24"/>
        </w:rPr>
      </w:pPr>
      <w:r w:rsidRPr="0091360F">
        <w:rPr>
          <w:rFonts w:ascii="Book Antiqua" w:hAnsi="Book Antiqua"/>
          <w:b/>
          <w:sz w:val="24"/>
          <w:szCs w:val="24"/>
        </w:rPr>
        <w:t>Conflict-of-interest statement:</w:t>
      </w:r>
      <w:bookmarkEnd w:id="41"/>
      <w:bookmarkEnd w:id="42"/>
      <w:bookmarkEnd w:id="43"/>
      <w:bookmarkEnd w:id="44"/>
      <w:r w:rsidR="00420454" w:rsidRPr="0091360F">
        <w:rPr>
          <w:rFonts w:ascii="Book Antiqua" w:hAnsi="Book Antiqua" w:hint="eastAsia"/>
          <w:b/>
          <w:bCs/>
          <w:iCs/>
          <w:sz w:val="24"/>
          <w:szCs w:val="24"/>
        </w:rPr>
        <w:t xml:space="preserve"> </w:t>
      </w:r>
      <w:r w:rsidR="007D788C" w:rsidRPr="0091360F">
        <w:rPr>
          <w:rFonts w:ascii="Book Antiqua" w:hAnsi="Book Antiqua" w:cs="Garamond-Bold"/>
          <w:sz w:val="24"/>
          <w:szCs w:val="24"/>
        </w:rPr>
        <w:t>All authors declare no conflicts of interest related to this article.</w:t>
      </w:r>
    </w:p>
    <w:p w14:paraId="72D17B76" w14:textId="77777777" w:rsidR="00420454" w:rsidRPr="0091360F" w:rsidRDefault="00420454" w:rsidP="00420454">
      <w:pPr>
        <w:adjustRightInd w:val="0"/>
        <w:snapToGrid w:val="0"/>
        <w:spacing w:line="360" w:lineRule="auto"/>
        <w:rPr>
          <w:rFonts w:ascii="Book Antiqua" w:eastAsia="MS PMincho" w:hAnsi="Book Antiqua"/>
          <w:b/>
          <w:bCs/>
          <w:sz w:val="24"/>
          <w:szCs w:val="24"/>
          <w:lang w:eastAsia="ja-JP"/>
        </w:rPr>
      </w:pPr>
      <w:bookmarkStart w:id="45" w:name="_Hlk22198380"/>
    </w:p>
    <w:p w14:paraId="629CD7B2" w14:textId="15BCD2C5" w:rsidR="00D4680D" w:rsidRPr="0091360F" w:rsidRDefault="00867C81" w:rsidP="00420454">
      <w:pPr>
        <w:adjustRightInd w:val="0"/>
        <w:snapToGrid w:val="0"/>
        <w:spacing w:line="360" w:lineRule="auto"/>
        <w:rPr>
          <w:rFonts w:ascii="Book Antiqua" w:hAnsi="Book Antiqua" w:cs="Garamond-Bold"/>
          <w:sz w:val="24"/>
          <w:szCs w:val="24"/>
        </w:rPr>
      </w:pPr>
      <w:r w:rsidRPr="0091360F">
        <w:rPr>
          <w:rFonts w:ascii="Book Antiqua" w:eastAsia="MS PMincho" w:hAnsi="Book Antiqua"/>
          <w:b/>
          <w:bCs/>
          <w:sz w:val="24"/>
          <w:szCs w:val="24"/>
          <w:lang w:eastAsia="ja-JP"/>
        </w:rPr>
        <w:t>Data sharing statement</w:t>
      </w:r>
      <w:r w:rsidRPr="0091360F">
        <w:rPr>
          <w:rFonts w:ascii="Book Antiqua" w:eastAsia="MS PMincho" w:hAnsi="Book Antiqua" w:cs="TimesNewRomanPS-BoldItalicMT"/>
          <w:b/>
          <w:iCs/>
          <w:sz w:val="24"/>
          <w:szCs w:val="24"/>
          <w:lang w:eastAsia="ja-JP"/>
        </w:rPr>
        <w:t>:</w:t>
      </w:r>
      <w:r w:rsidRPr="0091360F">
        <w:rPr>
          <w:rFonts w:ascii="Book Antiqua" w:hAnsi="Book Antiqua" w:cs="TimesNewRomanPS-BoldItalicMT"/>
          <w:b/>
          <w:iCs/>
          <w:sz w:val="24"/>
          <w:szCs w:val="24"/>
        </w:rPr>
        <w:t xml:space="preserve"> </w:t>
      </w:r>
      <w:bookmarkEnd w:id="45"/>
      <w:r w:rsidR="00D4680D" w:rsidRPr="0091360F">
        <w:rPr>
          <w:rFonts w:ascii="Book Antiqua" w:hAnsi="Book Antiqua" w:cs="Garamond-Bold"/>
          <w:sz w:val="24"/>
          <w:szCs w:val="24"/>
        </w:rPr>
        <w:t>No additional data are available</w:t>
      </w:r>
      <w:r w:rsidR="008E4A18" w:rsidRPr="0091360F">
        <w:rPr>
          <w:rFonts w:ascii="Book Antiqua" w:hAnsi="Book Antiqua" w:cs="Garamond-Bold"/>
          <w:sz w:val="24"/>
          <w:szCs w:val="24"/>
        </w:rPr>
        <w:t>.</w:t>
      </w:r>
    </w:p>
    <w:p w14:paraId="7F39BE8B" w14:textId="67721A80" w:rsidR="00420454" w:rsidRPr="0091360F" w:rsidRDefault="00420454" w:rsidP="00420454">
      <w:pPr>
        <w:snapToGrid w:val="0"/>
        <w:spacing w:line="360" w:lineRule="auto"/>
        <w:rPr>
          <w:rFonts w:ascii="Book Antiqua" w:hAnsi="Book Antiqua" w:cs="Times New Roman"/>
          <w:kern w:val="0"/>
          <w:sz w:val="24"/>
          <w:szCs w:val="24"/>
          <w:lang w:val="x-none"/>
        </w:rPr>
      </w:pPr>
    </w:p>
    <w:p w14:paraId="267A3570" w14:textId="59D6C2A1" w:rsidR="002A3EBE" w:rsidRPr="0091360F" w:rsidRDefault="002A3EBE" w:rsidP="002A3EBE">
      <w:pPr>
        <w:pStyle w:val="10"/>
        <w:snapToGrid w:val="0"/>
        <w:spacing w:line="360" w:lineRule="auto"/>
        <w:jc w:val="both"/>
        <w:rPr>
          <w:rFonts w:ascii="Book Antiqua" w:hAnsi="Book Antiqua" w:cs="Times New Roman"/>
          <w:bCs/>
          <w:color w:val="auto"/>
          <w:sz w:val="24"/>
          <w:szCs w:val="24"/>
          <w:lang w:val="en-US"/>
        </w:rPr>
      </w:pPr>
      <w:bookmarkStart w:id="46" w:name="_Hlk11330706"/>
      <w:bookmarkStart w:id="47" w:name="_Hlk18593750"/>
      <w:r w:rsidRPr="0091360F">
        <w:rPr>
          <w:rFonts w:ascii="Book Antiqua" w:hAnsi="Book Antiqua" w:cs="Times New Roman"/>
          <w:b/>
          <w:bCs/>
          <w:color w:val="auto"/>
          <w:sz w:val="24"/>
          <w:szCs w:val="24"/>
          <w:lang w:val="en-US"/>
        </w:rPr>
        <w:t>Open-Access:</w:t>
      </w:r>
      <w:r w:rsidRPr="0091360F">
        <w:rPr>
          <w:rFonts w:ascii="Book Antiqua" w:hAnsi="Book Antiqua" w:cs="Times New Roman"/>
          <w:bCs/>
          <w:color w:val="auto"/>
          <w:sz w:val="24"/>
          <w:szCs w:val="24"/>
          <w:lang w:val="en-US"/>
        </w:rPr>
        <w:t xml:space="preserve"> </w:t>
      </w:r>
      <w:bookmarkStart w:id="48" w:name="OLE_LINK479"/>
      <w:bookmarkStart w:id="49" w:name="OLE_LINK496"/>
      <w:bookmarkStart w:id="50" w:name="OLE_LINK506"/>
      <w:bookmarkStart w:id="51" w:name="OLE_LINK507"/>
      <w:r w:rsidRPr="0091360F">
        <w:rPr>
          <w:rFonts w:ascii="Book Antiqua" w:hAnsi="Book Antiqua" w:cs="Times New Roman"/>
          <w:bCs/>
          <w:color w:val="auto"/>
          <w:sz w:val="24"/>
          <w:szCs w:val="24"/>
          <w:lang w:val="en-US"/>
        </w:rPr>
        <w:t>This article is an open-access article </w:t>
      </w:r>
      <w:r w:rsidR="000B5F13" w:rsidRPr="000B5F13">
        <w:rPr>
          <w:rFonts w:ascii="Book Antiqua" w:hAnsi="Book Antiqua" w:cs="Times New Roman"/>
          <w:bCs/>
          <w:color w:val="auto"/>
          <w:sz w:val="24"/>
          <w:szCs w:val="24"/>
          <w:lang w:val="en-US"/>
        </w:rPr>
        <w:t>that</w:t>
      </w:r>
      <w:r w:rsidRPr="0091360F">
        <w:rPr>
          <w:rFonts w:ascii="Book Antiqua" w:hAnsi="Book Antiqua" w:cs="Times New Roman"/>
          <w:bCs/>
          <w:color w:val="auto"/>
          <w:sz w:val="24"/>
          <w:szCs w:val="24"/>
          <w:lang w:val="en-US"/>
        </w:rPr>
        <w:t xml:space="preserve"> was selected by an in-house editor and fully peer-reviewed by external reviewers. It is distributed</w:t>
      </w:r>
      <w:r w:rsidRPr="0091360F">
        <w:rPr>
          <w:rFonts w:ascii="Book Antiqua" w:hAnsi="Book Antiqua" w:cs="Times New Roman"/>
          <w:bCs/>
          <w:color w:val="auto"/>
          <w:sz w:val="24"/>
          <w:szCs w:val="24"/>
          <w:lang w:val="en-US" w:eastAsia="zh-CN"/>
        </w:rPr>
        <w:t xml:space="preserve"> </w:t>
      </w:r>
      <w:r w:rsidRPr="0091360F">
        <w:rPr>
          <w:rFonts w:ascii="Book Antiqua" w:hAnsi="Book Antiqua" w:cs="Times New Roman"/>
          <w:bCs/>
          <w:color w:val="auto"/>
          <w:sz w:val="24"/>
          <w:szCs w:val="24"/>
          <w:lang w:val="en-US"/>
        </w:rPr>
        <w:t>in</w:t>
      </w:r>
      <w:r w:rsidRPr="0091360F">
        <w:rPr>
          <w:rFonts w:ascii="Book Antiqua" w:hAnsi="Book Antiqua" w:cs="Times New Roman"/>
          <w:bCs/>
          <w:color w:val="auto"/>
          <w:sz w:val="24"/>
          <w:szCs w:val="24"/>
          <w:lang w:val="en-US" w:eastAsia="zh-CN"/>
        </w:rPr>
        <w:t xml:space="preserve"> </w:t>
      </w:r>
      <w:r w:rsidRPr="0091360F">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B2E5A">
        <w:rPr>
          <w:rFonts w:ascii="Book Antiqua" w:hAnsi="Book Antiqua" w:cs="Times New Roman"/>
          <w:bCs/>
          <w:sz w:val="24"/>
          <w:szCs w:val="24"/>
          <w:lang w:val="en-US"/>
        </w:rPr>
        <w:t>http://creativecommons.org/licenses/by-nc/4.0/</w:t>
      </w:r>
      <w:bookmarkEnd w:id="48"/>
      <w:bookmarkEnd w:id="49"/>
      <w:bookmarkEnd w:id="50"/>
      <w:bookmarkEnd w:id="51"/>
    </w:p>
    <w:p w14:paraId="3960D1C5" w14:textId="77777777" w:rsidR="002A3EBE" w:rsidRPr="0091360F" w:rsidRDefault="002A3EBE" w:rsidP="002A3EBE">
      <w:pPr>
        <w:pStyle w:val="10"/>
        <w:snapToGrid w:val="0"/>
        <w:spacing w:line="360" w:lineRule="auto"/>
        <w:jc w:val="both"/>
        <w:rPr>
          <w:rFonts w:ascii="Book Antiqua" w:hAnsi="Book Antiqua" w:cs="Times New Roman"/>
          <w:b/>
          <w:bCs/>
          <w:color w:val="FF0000"/>
          <w:sz w:val="24"/>
          <w:szCs w:val="24"/>
          <w:lang w:val="en-US" w:eastAsia="zh-CN"/>
        </w:rPr>
      </w:pPr>
    </w:p>
    <w:p w14:paraId="386AD4C9" w14:textId="719CBEFD" w:rsidR="002A3EBE" w:rsidRPr="0091360F" w:rsidRDefault="002A3EBE" w:rsidP="002A3EBE">
      <w:pPr>
        <w:pStyle w:val="10"/>
        <w:snapToGrid w:val="0"/>
        <w:spacing w:line="360" w:lineRule="auto"/>
        <w:jc w:val="both"/>
        <w:rPr>
          <w:rFonts w:ascii="Book Antiqua" w:hAnsi="Book Antiqua" w:cs="Times New Roman"/>
          <w:b/>
          <w:bCs/>
          <w:color w:val="auto"/>
          <w:sz w:val="24"/>
          <w:szCs w:val="24"/>
          <w:lang w:val="en-US"/>
        </w:rPr>
      </w:pPr>
      <w:bookmarkStart w:id="52" w:name="_Hlk11330717"/>
      <w:bookmarkEnd w:id="46"/>
      <w:r w:rsidRPr="0091360F">
        <w:rPr>
          <w:rFonts w:ascii="Book Antiqua" w:hAnsi="Book Antiqua" w:cs="Times New Roman"/>
          <w:b/>
          <w:bCs/>
          <w:color w:val="auto"/>
          <w:sz w:val="24"/>
          <w:szCs w:val="24"/>
          <w:lang w:val="en-US"/>
        </w:rPr>
        <w:t>Manuscript source:</w:t>
      </w:r>
      <w:r w:rsidRPr="0091360F">
        <w:rPr>
          <w:rFonts w:ascii="Book Antiqua" w:hAnsi="Book Antiqua" w:cs="Times New Roman"/>
          <w:b/>
          <w:bCs/>
          <w:color w:val="auto"/>
          <w:sz w:val="24"/>
          <w:szCs w:val="24"/>
          <w:lang w:val="en-US" w:eastAsia="zh-CN"/>
        </w:rPr>
        <w:t xml:space="preserve"> </w:t>
      </w:r>
      <w:r w:rsidRPr="0091360F">
        <w:rPr>
          <w:rFonts w:ascii="Book Antiqua" w:hAnsi="Book Antiqua" w:cs="Times New Roman"/>
          <w:bCs/>
          <w:color w:val="auto"/>
          <w:sz w:val="24"/>
          <w:szCs w:val="24"/>
          <w:lang w:val="en-US"/>
        </w:rPr>
        <w:t>Unsolicited manuscript</w:t>
      </w:r>
      <w:bookmarkEnd w:id="52"/>
    </w:p>
    <w:bookmarkEnd w:id="47"/>
    <w:p w14:paraId="1F6F88A7" w14:textId="77777777" w:rsidR="002A3EBE" w:rsidRPr="0091360F" w:rsidRDefault="002A3EBE" w:rsidP="00420454">
      <w:pPr>
        <w:snapToGrid w:val="0"/>
        <w:spacing w:line="360" w:lineRule="auto"/>
        <w:rPr>
          <w:rFonts w:ascii="Book Antiqua" w:hAnsi="Book Antiqua" w:cs="Times New Roman"/>
          <w:kern w:val="0"/>
          <w:sz w:val="24"/>
          <w:szCs w:val="24"/>
          <w:lang w:val="x-none"/>
        </w:rPr>
      </w:pPr>
    </w:p>
    <w:p w14:paraId="397C05DA" w14:textId="79BE4AE6" w:rsidR="00C953F8" w:rsidRPr="0091360F" w:rsidRDefault="00C953F8"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b/>
          <w:bCs/>
          <w:kern w:val="0"/>
          <w:sz w:val="24"/>
          <w:szCs w:val="24"/>
          <w:lang w:val="x-none"/>
        </w:rPr>
        <w:t>Corresponding author: Jin-Hai Wang,</w:t>
      </w:r>
      <w:r w:rsidR="0048281B" w:rsidRPr="0091360F">
        <w:rPr>
          <w:rFonts w:ascii="Book Antiqua" w:hAnsi="Book Antiqua" w:cs="Times New Roman"/>
          <w:b/>
          <w:bCs/>
          <w:kern w:val="0"/>
          <w:sz w:val="24"/>
          <w:szCs w:val="24"/>
          <w:lang w:val="x-none"/>
        </w:rPr>
        <w:t xml:space="preserve"> </w:t>
      </w:r>
      <w:r w:rsidRPr="0091360F">
        <w:rPr>
          <w:rFonts w:ascii="Book Antiqua" w:hAnsi="Book Antiqua" w:cs="Times New Roman"/>
          <w:b/>
          <w:bCs/>
          <w:kern w:val="0"/>
          <w:sz w:val="24"/>
          <w:szCs w:val="24"/>
          <w:lang w:val="x-none"/>
        </w:rPr>
        <w:t xml:space="preserve">MD, </w:t>
      </w:r>
      <w:r w:rsidR="002C4760" w:rsidRPr="0091360F">
        <w:rPr>
          <w:rFonts w:ascii="Book Antiqua" w:hAnsi="Book Antiqua" w:cs="Times New Roman"/>
          <w:b/>
          <w:bCs/>
          <w:kern w:val="0"/>
          <w:sz w:val="24"/>
          <w:szCs w:val="24"/>
          <w:lang w:val="x-none"/>
        </w:rPr>
        <w:t>Professor,</w:t>
      </w:r>
      <w:r w:rsidR="002C4760" w:rsidRPr="0091360F">
        <w:rPr>
          <w:rFonts w:ascii="Book Antiqua" w:hAnsi="Book Antiqua" w:cs="Times New Roman"/>
          <w:kern w:val="0"/>
          <w:sz w:val="24"/>
          <w:szCs w:val="24"/>
          <w:lang w:val="x-none"/>
        </w:rPr>
        <w:t xml:space="preserve"> </w:t>
      </w:r>
      <w:r w:rsidRPr="0091360F">
        <w:rPr>
          <w:rFonts w:ascii="Book Antiqua" w:hAnsi="Book Antiqua" w:cs="Times New Roman"/>
          <w:kern w:val="0"/>
          <w:sz w:val="24"/>
          <w:szCs w:val="24"/>
          <w:lang w:val="x-none"/>
        </w:rPr>
        <w:t>Division of Gastroenterology, The Second Affiliated Hospital, Xi’an Jiaotong University, No. 157, Xiwu Road, Xi’an</w:t>
      </w:r>
      <w:r w:rsidR="0048281B" w:rsidRPr="0091360F">
        <w:rPr>
          <w:rFonts w:ascii="Book Antiqua" w:hAnsi="Book Antiqua" w:cs="Times New Roman"/>
          <w:kern w:val="0"/>
          <w:sz w:val="24"/>
          <w:szCs w:val="24"/>
          <w:lang w:val="x-none"/>
        </w:rPr>
        <w:t xml:space="preserve"> 710004</w:t>
      </w:r>
      <w:r w:rsidRPr="0091360F">
        <w:rPr>
          <w:rFonts w:ascii="Book Antiqua" w:hAnsi="Book Antiqua" w:cs="Times New Roman"/>
          <w:kern w:val="0"/>
          <w:sz w:val="24"/>
          <w:szCs w:val="24"/>
          <w:lang w:val="x-none"/>
        </w:rPr>
        <w:t>, Shaanxi Province, China. jinhaiwang@hotmail.com</w:t>
      </w:r>
    </w:p>
    <w:p w14:paraId="53CDBDDF" w14:textId="144C509E" w:rsidR="00C953F8" w:rsidRPr="0091360F" w:rsidRDefault="00C953F8"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b/>
          <w:bCs/>
          <w:kern w:val="0"/>
          <w:sz w:val="24"/>
          <w:szCs w:val="24"/>
          <w:lang w:val="x-none"/>
        </w:rPr>
        <w:t xml:space="preserve">Telephone: </w:t>
      </w:r>
      <w:r w:rsidRPr="0091360F">
        <w:rPr>
          <w:rFonts w:ascii="Book Antiqua" w:hAnsi="Book Antiqua" w:cs="Times New Roman"/>
          <w:kern w:val="0"/>
          <w:sz w:val="24"/>
          <w:szCs w:val="24"/>
          <w:lang w:val="x-none"/>
        </w:rPr>
        <w:t>+86-29-87679335</w:t>
      </w:r>
    </w:p>
    <w:p w14:paraId="4354C6B7" w14:textId="4EBD8900" w:rsidR="000D405C" w:rsidRPr="0091360F" w:rsidRDefault="00C953F8"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b/>
          <w:bCs/>
          <w:kern w:val="0"/>
          <w:sz w:val="24"/>
          <w:szCs w:val="24"/>
          <w:lang w:val="x-none"/>
        </w:rPr>
        <w:t xml:space="preserve">Fax: </w:t>
      </w:r>
      <w:r w:rsidRPr="0091360F">
        <w:rPr>
          <w:rFonts w:ascii="Book Antiqua" w:hAnsi="Book Antiqua" w:cs="Times New Roman"/>
          <w:kern w:val="0"/>
          <w:sz w:val="24"/>
          <w:szCs w:val="24"/>
          <w:lang w:val="x-none"/>
        </w:rPr>
        <w:t>+86-29-87679368</w:t>
      </w:r>
    </w:p>
    <w:p w14:paraId="41D50A48" w14:textId="4AD4A26D" w:rsidR="000D405C" w:rsidRPr="0091360F" w:rsidRDefault="000D405C" w:rsidP="00420454">
      <w:pPr>
        <w:autoSpaceDE w:val="0"/>
        <w:autoSpaceDN w:val="0"/>
        <w:adjustRightInd w:val="0"/>
        <w:snapToGrid w:val="0"/>
        <w:spacing w:line="360" w:lineRule="auto"/>
        <w:rPr>
          <w:rFonts w:ascii="Book Antiqua" w:hAnsi="Book Antiqua" w:cs="Times New Roman"/>
          <w:b/>
          <w:bCs/>
          <w:kern w:val="0"/>
          <w:sz w:val="24"/>
          <w:szCs w:val="24"/>
          <w:lang w:val="x-none"/>
        </w:rPr>
      </w:pPr>
    </w:p>
    <w:p w14:paraId="68516017" w14:textId="46626D43" w:rsidR="00F25A7B" w:rsidRPr="00F25A7B" w:rsidRDefault="00F25A7B" w:rsidP="00F25A7B">
      <w:pPr>
        <w:widowControl/>
        <w:snapToGrid w:val="0"/>
        <w:spacing w:line="360" w:lineRule="auto"/>
        <w:rPr>
          <w:rFonts w:ascii="Book Antiqua" w:eastAsia="宋体" w:hAnsi="Book Antiqua" w:cs="宋体"/>
          <w:b/>
          <w:kern w:val="0"/>
          <w:sz w:val="24"/>
          <w:szCs w:val="24"/>
        </w:rPr>
      </w:pPr>
      <w:bookmarkStart w:id="53" w:name="_Hlk11330731"/>
      <w:r w:rsidRPr="00F25A7B">
        <w:rPr>
          <w:rFonts w:ascii="Book Antiqua" w:eastAsia="宋体" w:hAnsi="Book Antiqua" w:cs="宋体"/>
          <w:b/>
          <w:kern w:val="0"/>
          <w:sz w:val="24"/>
          <w:szCs w:val="24"/>
        </w:rPr>
        <w:lastRenderedPageBreak/>
        <w:t>Received:</w:t>
      </w:r>
      <w:r w:rsidR="00F006C3">
        <w:rPr>
          <w:rFonts w:ascii="Book Antiqua" w:eastAsia="宋体" w:hAnsi="Book Antiqua" w:cs="宋体"/>
          <w:b/>
          <w:kern w:val="0"/>
          <w:sz w:val="24"/>
          <w:szCs w:val="24"/>
        </w:rPr>
        <w:t xml:space="preserve"> </w:t>
      </w:r>
      <w:r w:rsidR="00F006C3" w:rsidRPr="007D2ED0">
        <w:rPr>
          <w:rFonts w:ascii="Book Antiqua" w:eastAsia="宋体" w:hAnsi="Book Antiqua" w:cs="宋体"/>
          <w:bCs/>
          <w:kern w:val="0"/>
          <w:sz w:val="24"/>
          <w:szCs w:val="24"/>
        </w:rPr>
        <w:t>September 26, 2019</w:t>
      </w:r>
    </w:p>
    <w:p w14:paraId="14E03749" w14:textId="7DB741EE"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Peer-review started:</w:t>
      </w:r>
      <w:r w:rsidR="007D2ED0">
        <w:rPr>
          <w:rFonts w:ascii="Book Antiqua" w:eastAsia="宋体" w:hAnsi="Book Antiqua" w:cs="宋体"/>
          <w:b/>
          <w:kern w:val="0"/>
          <w:sz w:val="24"/>
          <w:szCs w:val="24"/>
        </w:rPr>
        <w:t xml:space="preserve"> </w:t>
      </w:r>
      <w:r w:rsidR="007D2ED0" w:rsidRPr="007D2ED0">
        <w:rPr>
          <w:rFonts w:ascii="Book Antiqua" w:eastAsia="宋体" w:hAnsi="Book Antiqua" w:cs="宋体"/>
          <w:bCs/>
          <w:kern w:val="0"/>
          <w:sz w:val="24"/>
          <w:szCs w:val="24"/>
        </w:rPr>
        <w:t>September 26, 2019</w:t>
      </w:r>
    </w:p>
    <w:p w14:paraId="78B5B8B1" w14:textId="2C7288AD"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First decision:</w:t>
      </w:r>
      <w:r w:rsidR="007D2ED0">
        <w:rPr>
          <w:rFonts w:ascii="Book Antiqua" w:eastAsia="宋体" w:hAnsi="Book Antiqua" w:cs="宋体"/>
          <w:b/>
          <w:kern w:val="0"/>
          <w:sz w:val="24"/>
          <w:szCs w:val="24"/>
        </w:rPr>
        <w:t xml:space="preserve"> </w:t>
      </w:r>
      <w:r w:rsidR="007D2ED0" w:rsidRPr="007D2ED0">
        <w:rPr>
          <w:rFonts w:ascii="Book Antiqua" w:eastAsia="宋体" w:hAnsi="Book Antiqua" w:cs="宋体"/>
          <w:bCs/>
          <w:kern w:val="0"/>
          <w:sz w:val="24"/>
          <w:szCs w:val="24"/>
        </w:rPr>
        <w:t>November 4, 2019</w:t>
      </w:r>
    </w:p>
    <w:p w14:paraId="6E7B61F3" w14:textId="6FC69AD0"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Revised:</w:t>
      </w:r>
      <w:r w:rsidR="007D2ED0">
        <w:rPr>
          <w:rFonts w:ascii="Book Antiqua" w:eastAsia="宋体" w:hAnsi="Book Antiqua" w:cs="宋体"/>
          <w:b/>
          <w:kern w:val="0"/>
          <w:sz w:val="24"/>
          <w:szCs w:val="24"/>
        </w:rPr>
        <w:t xml:space="preserve"> </w:t>
      </w:r>
      <w:r w:rsidR="007D2ED0" w:rsidRPr="007D2ED0">
        <w:rPr>
          <w:rFonts w:ascii="Book Antiqua" w:eastAsia="宋体" w:hAnsi="Book Antiqua" w:cs="宋体"/>
          <w:bCs/>
          <w:kern w:val="0"/>
          <w:sz w:val="24"/>
          <w:szCs w:val="24"/>
        </w:rPr>
        <w:t xml:space="preserve">November </w:t>
      </w:r>
      <w:r w:rsidR="007D2ED0">
        <w:rPr>
          <w:rFonts w:ascii="Book Antiqua" w:eastAsia="宋体" w:hAnsi="Book Antiqua" w:cs="宋体"/>
          <w:bCs/>
          <w:kern w:val="0"/>
          <w:sz w:val="24"/>
          <w:szCs w:val="24"/>
        </w:rPr>
        <w:t>13</w:t>
      </w:r>
      <w:r w:rsidR="007D2ED0" w:rsidRPr="007D2ED0">
        <w:rPr>
          <w:rFonts w:ascii="Book Antiqua" w:eastAsia="宋体" w:hAnsi="Book Antiqua" w:cs="宋体"/>
          <w:bCs/>
          <w:kern w:val="0"/>
          <w:sz w:val="24"/>
          <w:szCs w:val="24"/>
        </w:rPr>
        <w:t>, 2019</w:t>
      </w:r>
    </w:p>
    <w:p w14:paraId="0E6986AA" w14:textId="3E09A92D"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Accepted:</w:t>
      </w:r>
      <w:r w:rsidR="00251E81" w:rsidRPr="00251E81">
        <w:t xml:space="preserve"> </w:t>
      </w:r>
      <w:r w:rsidR="00251E81" w:rsidRPr="00251E81">
        <w:rPr>
          <w:rFonts w:ascii="Book Antiqua" w:eastAsia="宋体" w:hAnsi="Book Antiqua" w:cs="宋体"/>
          <w:kern w:val="0"/>
          <w:sz w:val="24"/>
          <w:szCs w:val="24"/>
        </w:rPr>
        <w:t>November 16, 2019</w:t>
      </w:r>
    </w:p>
    <w:p w14:paraId="015FE414" w14:textId="77777777"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Article in press:</w:t>
      </w:r>
    </w:p>
    <w:p w14:paraId="56BD8F35" w14:textId="77777777" w:rsidR="00F25A7B" w:rsidRPr="00F25A7B" w:rsidRDefault="00F25A7B" w:rsidP="00F25A7B">
      <w:pPr>
        <w:widowControl/>
        <w:snapToGrid w:val="0"/>
        <w:spacing w:line="360" w:lineRule="auto"/>
        <w:rPr>
          <w:rFonts w:ascii="Book Antiqua" w:eastAsia="宋体" w:hAnsi="Book Antiqua" w:cs="Arial"/>
          <w:b/>
          <w:kern w:val="0"/>
          <w:sz w:val="24"/>
          <w:szCs w:val="24"/>
          <w:lang w:val="pl-PL"/>
        </w:rPr>
      </w:pPr>
      <w:r w:rsidRPr="00F25A7B">
        <w:rPr>
          <w:rFonts w:ascii="Book Antiqua" w:eastAsia="宋体" w:hAnsi="Book Antiqua" w:cs="Arial"/>
          <w:b/>
          <w:kern w:val="0"/>
          <w:sz w:val="24"/>
          <w:szCs w:val="24"/>
          <w:lang w:val="pl-PL" w:eastAsia="pl-PL"/>
        </w:rPr>
        <w:t>Published online:</w:t>
      </w:r>
    </w:p>
    <w:bookmarkEnd w:id="53"/>
    <w:p w14:paraId="5A681ECA" w14:textId="77777777" w:rsidR="002A3EBE" w:rsidRPr="0091360F" w:rsidRDefault="002A3EBE" w:rsidP="00420454">
      <w:pPr>
        <w:autoSpaceDE w:val="0"/>
        <w:autoSpaceDN w:val="0"/>
        <w:adjustRightInd w:val="0"/>
        <w:snapToGrid w:val="0"/>
        <w:spacing w:line="360" w:lineRule="auto"/>
        <w:rPr>
          <w:rFonts w:ascii="Book Antiqua" w:hAnsi="Book Antiqua" w:cs="Times New Roman"/>
          <w:b/>
          <w:bCs/>
          <w:kern w:val="0"/>
          <w:sz w:val="24"/>
          <w:szCs w:val="24"/>
          <w:lang w:val="x-none"/>
        </w:rPr>
      </w:pPr>
    </w:p>
    <w:p w14:paraId="4089392D" w14:textId="77777777" w:rsidR="00420454" w:rsidRPr="0091360F" w:rsidRDefault="00420454">
      <w:pPr>
        <w:widowControl/>
        <w:jc w:val="left"/>
        <w:rPr>
          <w:rFonts w:ascii="Book Antiqua" w:eastAsia="Times New Roman" w:hAnsi="Book Antiqua" w:cs="Times New Roman"/>
          <w:b/>
          <w:bCs/>
          <w:kern w:val="0"/>
          <w:sz w:val="24"/>
          <w:szCs w:val="24"/>
          <w:lang w:val="x-none"/>
        </w:rPr>
      </w:pPr>
      <w:r w:rsidRPr="0091360F">
        <w:rPr>
          <w:rFonts w:ascii="Book Antiqua" w:eastAsia="Times New Roman" w:hAnsi="Book Antiqua" w:cs="Times New Roman"/>
          <w:b/>
          <w:bCs/>
          <w:kern w:val="0"/>
          <w:sz w:val="24"/>
          <w:szCs w:val="24"/>
          <w:lang w:val="x-none"/>
        </w:rPr>
        <w:br w:type="page"/>
      </w:r>
    </w:p>
    <w:p w14:paraId="2A1F6843" w14:textId="654FC6C4" w:rsidR="005E09B9" w:rsidRPr="0091360F" w:rsidRDefault="005E09B9"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r w:rsidRPr="0091360F">
        <w:rPr>
          <w:rFonts w:ascii="Book Antiqua" w:eastAsia="Times New Roman" w:hAnsi="Book Antiqua" w:cs="Times New Roman"/>
          <w:b/>
          <w:bCs/>
          <w:kern w:val="0"/>
          <w:sz w:val="24"/>
          <w:szCs w:val="24"/>
        </w:rPr>
        <w:lastRenderedPageBreak/>
        <w:t>Abstract</w:t>
      </w:r>
    </w:p>
    <w:p w14:paraId="11EF8F4C" w14:textId="77777777" w:rsidR="005E09B9" w:rsidRPr="0091360F" w:rsidRDefault="005E09B9" w:rsidP="00420454">
      <w:pPr>
        <w:autoSpaceDE w:val="0"/>
        <w:autoSpaceDN w:val="0"/>
        <w:adjustRightInd w:val="0"/>
        <w:snapToGrid w:val="0"/>
        <w:spacing w:line="360" w:lineRule="auto"/>
        <w:rPr>
          <w:rFonts w:ascii="Book Antiqua" w:hAnsi="Book Antiqua" w:cs="Times New Roman"/>
          <w:b/>
          <w:bCs/>
          <w:i/>
          <w:iCs/>
          <w:kern w:val="0"/>
          <w:sz w:val="24"/>
          <w:szCs w:val="24"/>
        </w:rPr>
      </w:pPr>
      <w:r w:rsidRPr="0091360F">
        <w:rPr>
          <w:rFonts w:ascii="Book Antiqua" w:eastAsia="Times New Roman" w:hAnsi="Book Antiqua" w:cs="Times New Roman"/>
          <w:b/>
          <w:bCs/>
          <w:i/>
          <w:iCs/>
          <w:kern w:val="0"/>
          <w:sz w:val="24"/>
          <w:szCs w:val="24"/>
        </w:rPr>
        <w:t>BACKGROUND</w:t>
      </w:r>
    </w:p>
    <w:p w14:paraId="2E59143D" w14:textId="77777777" w:rsidR="005E09B9" w:rsidRPr="0091360F" w:rsidRDefault="005E09B9" w:rsidP="00420454">
      <w:pPr>
        <w:autoSpaceDE w:val="0"/>
        <w:autoSpaceDN w:val="0"/>
        <w:adjustRightInd w:val="0"/>
        <w:snapToGrid w:val="0"/>
        <w:spacing w:line="360" w:lineRule="auto"/>
        <w:rPr>
          <w:rFonts w:ascii="Book Antiqua" w:hAnsi="Book Antiqua" w:cs="Times New Roman"/>
          <w:kern w:val="0"/>
          <w:sz w:val="24"/>
          <w:szCs w:val="24"/>
        </w:rPr>
      </w:pPr>
      <w:r w:rsidRPr="0091360F">
        <w:rPr>
          <w:rFonts w:ascii="Book Antiqua" w:hAnsi="Book Antiqua" w:cs="Times New Roman"/>
          <w:kern w:val="0"/>
          <w:sz w:val="24"/>
          <w:szCs w:val="24"/>
        </w:rPr>
        <w:t xml:space="preserve">Acute variceal bleeding is one of the deadliest complications of cirrhosis, with </w:t>
      </w:r>
      <w:r w:rsidRPr="0091360F">
        <w:rPr>
          <w:rFonts w:ascii="Book Antiqua" w:eastAsia="等线" w:hAnsi="Book Antiqua" w:cs="Times New Roman"/>
          <w:kern w:val="0"/>
          <w:sz w:val="24"/>
          <w:szCs w:val="24"/>
        </w:rPr>
        <w:t xml:space="preserve">a </w:t>
      </w:r>
      <w:r w:rsidRPr="0091360F">
        <w:rPr>
          <w:rFonts w:ascii="Book Antiqua" w:hAnsi="Book Antiqua" w:cs="Times New Roman"/>
          <w:kern w:val="0"/>
          <w:sz w:val="24"/>
          <w:szCs w:val="24"/>
        </w:rPr>
        <w:t>high risk of in-hospital rebleeding and mortality. Some risk scoring systems to predict clinical outcomes in patients with upper gastrointestinal bleeding have been developed. However, for cirrhotic patients with variceal bleeding, data regarding the predictive value of these prognostic scores in</w:t>
      </w:r>
      <w:r w:rsidRPr="0091360F">
        <w:rPr>
          <w:rFonts w:ascii="Book Antiqua" w:hAnsi="Book Antiqua"/>
          <w:sz w:val="24"/>
          <w:szCs w:val="24"/>
        </w:rPr>
        <w:t xml:space="preserve"> </w:t>
      </w:r>
      <w:r w:rsidRPr="0091360F">
        <w:rPr>
          <w:rFonts w:ascii="Book Antiqua" w:hAnsi="Book Antiqua" w:cs="Times New Roman"/>
          <w:kern w:val="0"/>
          <w:sz w:val="24"/>
          <w:szCs w:val="24"/>
        </w:rPr>
        <w:t>predicting</w:t>
      </w:r>
      <w:r w:rsidRPr="0091360F">
        <w:rPr>
          <w:rFonts w:ascii="Book Antiqua" w:hAnsi="Book Antiqua"/>
          <w:sz w:val="24"/>
          <w:szCs w:val="24"/>
        </w:rPr>
        <w:t xml:space="preserve"> </w:t>
      </w:r>
      <w:r w:rsidRPr="0091360F">
        <w:rPr>
          <w:rFonts w:ascii="Book Antiqua" w:hAnsi="Book Antiqua" w:cs="Times New Roman"/>
          <w:kern w:val="0"/>
          <w:sz w:val="24"/>
          <w:szCs w:val="24"/>
        </w:rPr>
        <w:t xml:space="preserve">in-hospital outcomes </w:t>
      </w:r>
      <w:r w:rsidRPr="0091360F">
        <w:rPr>
          <w:rFonts w:ascii="Book Antiqua" w:eastAsia="等线" w:hAnsi="Book Antiqua" w:cs="Times New Roman"/>
          <w:kern w:val="0"/>
          <w:sz w:val="24"/>
          <w:szCs w:val="24"/>
        </w:rPr>
        <w:t>are</w:t>
      </w:r>
      <w:r w:rsidRPr="0091360F">
        <w:rPr>
          <w:rFonts w:ascii="Book Antiqua" w:hAnsi="Book Antiqua" w:cs="Times New Roman"/>
          <w:kern w:val="0"/>
          <w:sz w:val="24"/>
          <w:szCs w:val="24"/>
        </w:rPr>
        <w:t xml:space="preserve"> limited and controversial.</w:t>
      </w:r>
    </w:p>
    <w:p w14:paraId="5A1C6D0D" w14:textId="77777777" w:rsidR="00420454" w:rsidRPr="0091360F" w:rsidRDefault="00420454"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p>
    <w:p w14:paraId="2A6A3E24" w14:textId="6B63435E" w:rsidR="005E09B9" w:rsidRPr="0091360F" w:rsidRDefault="005E09B9" w:rsidP="00420454">
      <w:pPr>
        <w:autoSpaceDE w:val="0"/>
        <w:autoSpaceDN w:val="0"/>
        <w:adjustRightInd w:val="0"/>
        <w:snapToGrid w:val="0"/>
        <w:spacing w:line="360" w:lineRule="auto"/>
        <w:rPr>
          <w:rFonts w:ascii="Book Antiqua" w:hAnsi="Book Antiqua" w:cs="Times New Roman"/>
          <w:b/>
          <w:bCs/>
          <w:i/>
          <w:iCs/>
          <w:kern w:val="0"/>
          <w:sz w:val="24"/>
          <w:szCs w:val="24"/>
        </w:rPr>
      </w:pPr>
      <w:r w:rsidRPr="0091360F">
        <w:rPr>
          <w:rFonts w:ascii="Book Antiqua" w:eastAsia="Times New Roman" w:hAnsi="Book Antiqua" w:cs="Times New Roman"/>
          <w:b/>
          <w:bCs/>
          <w:i/>
          <w:iCs/>
          <w:kern w:val="0"/>
          <w:sz w:val="24"/>
          <w:szCs w:val="24"/>
        </w:rPr>
        <w:t>AIM</w:t>
      </w:r>
    </w:p>
    <w:p w14:paraId="48DEC255" w14:textId="77777777" w:rsidR="005E09B9" w:rsidRPr="0091360F" w:rsidRDefault="005E09B9" w:rsidP="00420454">
      <w:pPr>
        <w:autoSpaceDE w:val="0"/>
        <w:autoSpaceDN w:val="0"/>
        <w:adjustRightInd w:val="0"/>
        <w:snapToGrid w:val="0"/>
        <w:spacing w:line="360" w:lineRule="auto"/>
        <w:rPr>
          <w:rFonts w:ascii="Book Antiqua" w:hAnsi="Book Antiqua" w:cs="Times New Roman"/>
          <w:kern w:val="0"/>
          <w:sz w:val="24"/>
          <w:szCs w:val="24"/>
        </w:rPr>
      </w:pPr>
      <w:r w:rsidRPr="0091360F">
        <w:rPr>
          <w:rFonts w:ascii="Book Antiqua" w:eastAsia="Times New Roman" w:hAnsi="Book Antiqua" w:cs="Times New Roman"/>
          <w:kern w:val="0"/>
          <w:sz w:val="24"/>
          <w:szCs w:val="24"/>
        </w:rPr>
        <w:t>To validate and compare the overall perform</w:t>
      </w:r>
      <w:r w:rsidRPr="0091360F">
        <w:rPr>
          <w:rFonts w:ascii="Book Antiqua" w:hAnsi="Book Antiqua" w:cs="Times New Roman"/>
          <w:kern w:val="0"/>
          <w:sz w:val="24"/>
          <w:szCs w:val="24"/>
        </w:rPr>
        <w:t>ance of selected prognostic scoring systems for predicting in-hospital outcomes in cirrhotic p</w:t>
      </w:r>
      <w:r w:rsidRPr="0091360F">
        <w:rPr>
          <w:rFonts w:ascii="Book Antiqua" w:eastAsia="Times New Roman" w:hAnsi="Book Antiqua" w:cs="Times New Roman"/>
          <w:kern w:val="0"/>
          <w:sz w:val="24"/>
          <w:szCs w:val="24"/>
        </w:rPr>
        <w:t>atients with variceal bleeding.</w:t>
      </w:r>
    </w:p>
    <w:p w14:paraId="31F112D9" w14:textId="77777777" w:rsidR="00420454" w:rsidRPr="0091360F" w:rsidRDefault="00420454"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p>
    <w:p w14:paraId="24D21182" w14:textId="0F9067F6" w:rsidR="005E09B9" w:rsidRPr="0091360F" w:rsidRDefault="005E09B9" w:rsidP="00420454">
      <w:pPr>
        <w:autoSpaceDE w:val="0"/>
        <w:autoSpaceDN w:val="0"/>
        <w:adjustRightInd w:val="0"/>
        <w:snapToGrid w:val="0"/>
        <w:spacing w:line="360" w:lineRule="auto"/>
        <w:rPr>
          <w:rFonts w:ascii="Book Antiqua" w:hAnsi="Book Antiqua" w:cs="Times New Roman"/>
          <w:b/>
          <w:bCs/>
          <w:i/>
          <w:iCs/>
          <w:kern w:val="0"/>
          <w:sz w:val="24"/>
          <w:szCs w:val="24"/>
        </w:rPr>
      </w:pPr>
      <w:r w:rsidRPr="0091360F">
        <w:rPr>
          <w:rFonts w:ascii="Book Antiqua" w:eastAsia="Times New Roman" w:hAnsi="Book Antiqua" w:cs="Times New Roman"/>
          <w:b/>
          <w:bCs/>
          <w:i/>
          <w:iCs/>
          <w:kern w:val="0"/>
          <w:sz w:val="24"/>
          <w:szCs w:val="24"/>
        </w:rPr>
        <w:t>METHODS</w:t>
      </w:r>
    </w:p>
    <w:p w14:paraId="29F6631F" w14:textId="4E3F6013" w:rsidR="005E09B9" w:rsidRPr="0091360F" w:rsidRDefault="005E09B9" w:rsidP="00420454">
      <w:pPr>
        <w:autoSpaceDE w:val="0"/>
        <w:autoSpaceDN w:val="0"/>
        <w:adjustRightInd w:val="0"/>
        <w:snapToGrid w:val="0"/>
        <w:spacing w:line="360" w:lineRule="auto"/>
        <w:rPr>
          <w:rFonts w:ascii="Book Antiqua" w:hAnsi="Book Antiqua" w:cs="Times New Roman"/>
          <w:b/>
          <w:bCs/>
          <w:kern w:val="0"/>
          <w:sz w:val="24"/>
          <w:szCs w:val="24"/>
        </w:rPr>
      </w:pPr>
      <w:r w:rsidRPr="0091360F">
        <w:rPr>
          <w:rFonts w:ascii="Book Antiqua" w:hAnsi="Book Antiqua" w:cs="Times New Roman"/>
          <w:kern w:val="0"/>
          <w:sz w:val="24"/>
          <w:szCs w:val="24"/>
        </w:rPr>
        <w:t xml:space="preserve">From March 2017 to June 2019, cirrhotic patients with acute variceal bleeding were </w:t>
      </w:r>
      <w:r w:rsidR="004E19DA" w:rsidRPr="004E19DA">
        <w:rPr>
          <w:rFonts w:ascii="Book Antiqua" w:hAnsi="Book Antiqua" w:cs="Times New Roman"/>
          <w:kern w:val="0"/>
          <w:sz w:val="24"/>
          <w:szCs w:val="24"/>
        </w:rPr>
        <w:t>retrospectively</w:t>
      </w:r>
      <w:r w:rsidR="0067540D">
        <w:rPr>
          <w:rFonts w:ascii="Book Antiqua" w:hAnsi="Book Antiqua" w:cs="Times New Roman"/>
          <w:kern w:val="0"/>
          <w:sz w:val="24"/>
          <w:szCs w:val="24"/>
        </w:rPr>
        <w:t xml:space="preserve"> </w:t>
      </w:r>
      <w:r w:rsidRPr="0091360F">
        <w:rPr>
          <w:rFonts w:ascii="Book Antiqua" w:hAnsi="Book Antiqua" w:cs="Times New Roman"/>
          <w:kern w:val="0"/>
          <w:sz w:val="24"/>
          <w:szCs w:val="24"/>
        </w:rPr>
        <w:t xml:space="preserve">enrolled at the Second Affiliated Hospital of Xi’an Jiaotong University. </w:t>
      </w:r>
      <w:r w:rsidRPr="0091360F">
        <w:rPr>
          <w:rFonts w:ascii="Book Antiqua" w:hAnsi="Book Antiqua" w:cs="Times New Roman"/>
          <w:sz w:val="24"/>
          <w:szCs w:val="24"/>
        </w:rPr>
        <w:t>The clinical Rockall score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(CRS), AIMS65 score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(AIMS65), Glasgow-Blatchford score (GBS), modified</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GBS</w:t>
      </w:r>
      <w:r w:rsidR="00345391" w:rsidRPr="0091360F">
        <w:rPr>
          <w:rFonts w:ascii="Book Antiqua" w:eastAsia="等线" w:hAnsi="Book Antiqua" w:cs="Times New Roman"/>
          <w:sz w:val="24"/>
          <w:szCs w:val="24"/>
        </w:rPr>
        <w:t xml:space="preserve"> </w:t>
      </w:r>
      <w:r w:rsidR="00345391" w:rsidRPr="0091360F">
        <w:rPr>
          <w:rFonts w:ascii="Book Antiqua" w:hAnsi="Book Antiqua" w:cs="Times New Roman"/>
          <w:sz w:val="24"/>
          <w:szCs w:val="24"/>
        </w:rPr>
        <w:t>(mGBS)</w:t>
      </w:r>
      <w:r w:rsidRPr="0091360F">
        <w:rPr>
          <w:rFonts w:ascii="Book Antiqua" w:hAnsi="Book Antiqua" w:cs="Times New Roman"/>
          <w:sz w:val="24"/>
          <w:szCs w:val="24"/>
        </w:rPr>
        <w:t xml:space="preserve">, </w:t>
      </w:r>
      <w:r w:rsidR="00AC3ACD" w:rsidRPr="0091360F">
        <w:rPr>
          <w:rFonts w:ascii="Book Antiqua" w:hAnsi="Book Antiqua" w:cs="Times New Roman"/>
          <w:sz w:val="24"/>
          <w:szCs w:val="24"/>
        </w:rPr>
        <w:t>Canada-U</w:t>
      </w:r>
      <w:r w:rsidR="0010181D">
        <w:rPr>
          <w:rFonts w:ascii="Book Antiqua" w:hAnsi="Book Antiqua" w:cs="Times New Roman" w:hint="eastAsia"/>
          <w:sz w:val="24"/>
          <w:szCs w:val="24"/>
        </w:rPr>
        <w:t>n</w:t>
      </w:r>
      <w:r w:rsidR="0010181D">
        <w:rPr>
          <w:rFonts w:ascii="Book Antiqua" w:hAnsi="Book Antiqua" w:cs="Times New Roman"/>
          <w:sz w:val="24"/>
          <w:szCs w:val="24"/>
        </w:rPr>
        <w:t>ited Kingdom</w:t>
      </w:r>
      <w:r w:rsidR="00AC3ACD" w:rsidRPr="0091360F">
        <w:rPr>
          <w:rFonts w:ascii="Book Antiqua" w:hAnsi="Book Antiqua" w:cs="Times New Roman"/>
          <w:sz w:val="24"/>
          <w:szCs w:val="24"/>
        </w:rPr>
        <w:t>-Australia score</w:t>
      </w:r>
      <w:r w:rsidR="002E1073" w:rsidRPr="0091360F">
        <w:rPr>
          <w:rFonts w:ascii="Book Antiqua" w:hAnsi="Book Antiqua" w:cs="Times New Roman"/>
          <w:sz w:val="24"/>
          <w:szCs w:val="24"/>
        </w:rPr>
        <w:t xml:space="preserve"> </w:t>
      </w:r>
      <w:r w:rsidR="00AC3ACD" w:rsidRPr="0091360F">
        <w:rPr>
          <w:rFonts w:ascii="Book Antiqua" w:hAnsi="Book Antiqua" w:cs="Times New Roman"/>
          <w:sz w:val="24"/>
          <w:szCs w:val="24"/>
        </w:rPr>
        <w:t>(CANUKA)</w:t>
      </w:r>
      <w:r w:rsidRPr="0091360F">
        <w:rPr>
          <w:rFonts w:ascii="Book Antiqua" w:hAnsi="Book Antiqua" w:cs="Times New Roman"/>
          <w:sz w:val="24"/>
          <w:szCs w:val="24"/>
        </w:rPr>
        <w:t xml:space="preserve">, </w:t>
      </w:r>
      <w:r w:rsidR="00AC3ACD" w:rsidRPr="0091360F">
        <w:rPr>
          <w:rFonts w:ascii="Book Antiqua" w:hAnsi="Book Antiqua" w:cs="Times New Roman"/>
          <w:sz w:val="24"/>
          <w:szCs w:val="24"/>
        </w:rPr>
        <w:t>Child–Turcotte–Pugh score</w:t>
      </w:r>
      <w:r w:rsidR="008527C2" w:rsidRPr="0091360F">
        <w:rPr>
          <w:rFonts w:ascii="Book Antiqua" w:hAnsi="Book Antiqua" w:cs="Times New Roman"/>
          <w:sz w:val="24"/>
          <w:szCs w:val="24"/>
        </w:rPr>
        <w:t xml:space="preserve"> </w:t>
      </w:r>
      <w:r w:rsidR="00AC3ACD" w:rsidRPr="0091360F">
        <w:rPr>
          <w:rFonts w:ascii="Book Antiqua" w:hAnsi="Book Antiqua" w:cs="Times New Roman"/>
          <w:sz w:val="24"/>
          <w:szCs w:val="24"/>
        </w:rPr>
        <w:t>(CTP)</w:t>
      </w:r>
      <w:r w:rsidRPr="0091360F">
        <w:rPr>
          <w:rFonts w:ascii="Book Antiqua" w:hAnsi="Book Antiqua" w:cs="Times New Roman"/>
          <w:sz w:val="24"/>
          <w:szCs w:val="24"/>
        </w:rPr>
        <w:t xml:space="preserve">, </w:t>
      </w:r>
      <w:r w:rsidR="009600E7" w:rsidRPr="0091360F">
        <w:rPr>
          <w:rFonts w:ascii="Book Antiqua" w:hAnsi="Book Antiqua" w:cs="Times New Roman"/>
          <w:sz w:val="24"/>
          <w:szCs w:val="24"/>
        </w:rPr>
        <w:t>model for end-stage liver disease (MELD)</w:t>
      </w:r>
      <w:r w:rsidRPr="0091360F">
        <w:rPr>
          <w:rFonts w:ascii="Book Antiqua" w:hAnsi="Book Antiqua" w:cs="Times New Roman"/>
          <w:sz w:val="24"/>
          <w:szCs w:val="24"/>
        </w:rPr>
        <w:t xml:space="preserve"> and MELD-Na</w:t>
      </w:r>
      <w:r w:rsidRPr="0091360F">
        <w:rPr>
          <w:rFonts w:ascii="Book Antiqua" w:hAnsi="Book Antiqua"/>
          <w:sz w:val="24"/>
          <w:szCs w:val="24"/>
        </w:rPr>
        <w:t xml:space="preserve"> </w:t>
      </w:r>
      <w:r w:rsidRPr="0091360F">
        <w:rPr>
          <w:rFonts w:ascii="Book Antiqua" w:hAnsi="Book Antiqua" w:cs="Times New Roman"/>
          <w:sz w:val="24"/>
          <w:szCs w:val="24"/>
        </w:rPr>
        <w:t>were calculated.</w:t>
      </w:r>
      <w:r w:rsidRPr="0091360F">
        <w:rPr>
          <w:rFonts w:ascii="Book Antiqua" w:hAnsi="Book Antiqua"/>
          <w:sz w:val="24"/>
          <w:szCs w:val="24"/>
        </w:rPr>
        <w:t xml:space="preserve"> </w:t>
      </w:r>
      <w:r w:rsidRPr="0091360F">
        <w:rPr>
          <w:rFonts w:ascii="Book Antiqua" w:hAnsi="Book Antiqua" w:cs="Times New Roman"/>
          <w:sz w:val="24"/>
          <w:szCs w:val="24"/>
        </w:rPr>
        <w:t xml:space="preserve">The overall performance of these prognostic scoring systems </w:t>
      </w:r>
      <w:r w:rsidRPr="0091360F">
        <w:rPr>
          <w:rFonts w:ascii="Book Antiqua" w:eastAsia="等线" w:hAnsi="Book Antiqua" w:cs="Times New Roman"/>
          <w:sz w:val="24"/>
          <w:szCs w:val="24"/>
        </w:rPr>
        <w:t>was</w:t>
      </w:r>
      <w:r w:rsidRPr="0091360F">
        <w:rPr>
          <w:rFonts w:ascii="Book Antiqua" w:hAnsi="Book Antiqua" w:cs="Times New Roman"/>
          <w:sz w:val="24"/>
          <w:szCs w:val="24"/>
        </w:rPr>
        <w:t xml:space="preserve"> evaluated.</w:t>
      </w:r>
    </w:p>
    <w:p w14:paraId="5291BDE6" w14:textId="77777777" w:rsidR="00420454" w:rsidRPr="0091360F" w:rsidRDefault="00420454"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p>
    <w:p w14:paraId="6C456D42" w14:textId="086CD771" w:rsidR="005E09B9" w:rsidRPr="0091360F" w:rsidRDefault="005E09B9" w:rsidP="00420454">
      <w:pPr>
        <w:autoSpaceDE w:val="0"/>
        <w:autoSpaceDN w:val="0"/>
        <w:adjustRightInd w:val="0"/>
        <w:snapToGrid w:val="0"/>
        <w:spacing w:line="360" w:lineRule="auto"/>
        <w:rPr>
          <w:rFonts w:ascii="Book Antiqua" w:hAnsi="Book Antiqua" w:cs="Times New Roman"/>
          <w:b/>
          <w:bCs/>
          <w:i/>
          <w:iCs/>
          <w:kern w:val="0"/>
          <w:sz w:val="24"/>
          <w:szCs w:val="24"/>
        </w:rPr>
      </w:pPr>
      <w:r w:rsidRPr="0091360F">
        <w:rPr>
          <w:rFonts w:ascii="Book Antiqua" w:eastAsia="Times New Roman" w:hAnsi="Book Antiqua" w:cs="Times New Roman"/>
          <w:b/>
          <w:bCs/>
          <w:i/>
          <w:iCs/>
          <w:kern w:val="0"/>
          <w:sz w:val="24"/>
          <w:szCs w:val="24"/>
        </w:rPr>
        <w:t>RESULTS</w:t>
      </w:r>
    </w:p>
    <w:p w14:paraId="3E7D6461" w14:textId="20CB6B0F" w:rsidR="005E09B9" w:rsidRPr="0091360F" w:rsidRDefault="005E09B9" w:rsidP="00420454">
      <w:pPr>
        <w:autoSpaceDE w:val="0"/>
        <w:autoSpaceDN w:val="0"/>
        <w:adjustRightInd w:val="0"/>
        <w:snapToGrid w:val="0"/>
        <w:spacing w:line="360" w:lineRule="auto"/>
        <w:rPr>
          <w:rFonts w:ascii="Book Antiqua" w:hAnsi="Book Antiqua" w:cs="Times New Roman"/>
          <w:kern w:val="0"/>
          <w:sz w:val="24"/>
          <w:szCs w:val="24"/>
        </w:rPr>
      </w:pPr>
      <w:r w:rsidRPr="0091360F">
        <w:rPr>
          <w:rFonts w:ascii="Book Antiqua" w:hAnsi="Book Antiqua" w:cs="Times New Roman"/>
          <w:kern w:val="0"/>
          <w:sz w:val="24"/>
          <w:szCs w:val="24"/>
        </w:rPr>
        <w:t>A total of 330</w:t>
      </w:r>
      <w:r w:rsidRPr="0091360F">
        <w:rPr>
          <w:rFonts w:ascii="Book Antiqua" w:hAnsi="Book Antiqua"/>
          <w:sz w:val="24"/>
          <w:szCs w:val="24"/>
        </w:rPr>
        <w:t xml:space="preserve"> </w:t>
      </w:r>
      <w:r w:rsidRPr="0091360F">
        <w:rPr>
          <w:rFonts w:ascii="Book Antiqua" w:hAnsi="Book Antiqua" w:cs="Times New Roman"/>
          <w:kern w:val="0"/>
          <w:sz w:val="24"/>
          <w:szCs w:val="24"/>
        </w:rPr>
        <w:t>cirrhotic patients with variceal bleeding were enrolled; the rates of in-hospital rebleeding and mortality were 20.3% and 10.6%</w:t>
      </w:r>
      <w:r w:rsidRPr="0091360F">
        <w:rPr>
          <w:rFonts w:ascii="Book Antiqua" w:eastAsia="等线" w:hAnsi="Book Antiqua" w:cs="Times New Roman"/>
          <w:kern w:val="0"/>
          <w:sz w:val="24"/>
          <w:szCs w:val="24"/>
        </w:rPr>
        <w:t>, respectively</w:t>
      </w:r>
      <w:r w:rsidRPr="0091360F">
        <w:rPr>
          <w:rFonts w:ascii="Book Antiqua" w:hAnsi="Book Antiqua" w:cs="Times New Roman"/>
          <w:kern w:val="0"/>
          <w:sz w:val="24"/>
          <w:szCs w:val="24"/>
        </w:rPr>
        <w:t>. For</w:t>
      </w:r>
      <w:r w:rsidRPr="0091360F">
        <w:rPr>
          <w:rFonts w:ascii="Book Antiqua" w:hAnsi="Book Antiqua"/>
          <w:sz w:val="24"/>
          <w:szCs w:val="24"/>
        </w:rPr>
        <w:t xml:space="preserve"> </w:t>
      </w:r>
      <w:r w:rsidRPr="0091360F">
        <w:rPr>
          <w:rFonts w:ascii="Book Antiqua" w:hAnsi="Book Antiqua" w:cs="Times New Roman"/>
          <w:kern w:val="0"/>
          <w:sz w:val="24"/>
          <w:szCs w:val="24"/>
        </w:rPr>
        <w:t>in-hospital rebleeding, the discriminative ability of the CTP and CRS were clinically acceptable</w:t>
      </w:r>
      <w:r w:rsidRPr="0091360F">
        <w:rPr>
          <w:rFonts w:ascii="Book Antiqua" w:eastAsia="等线" w:hAnsi="Book Antiqua" w:cs="Times New Roman"/>
          <w:kern w:val="0"/>
          <w:sz w:val="24"/>
          <w:szCs w:val="24"/>
        </w:rPr>
        <w:t>,</w:t>
      </w:r>
      <w:r w:rsidRPr="0091360F">
        <w:rPr>
          <w:rFonts w:ascii="Book Antiqua" w:hAnsi="Book Antiqua" w:cs="Times New Roman"/>
          <w:kern w:val="0"/>
          <w:sz w:val="24"/>
          <w:szCs w:val="24"/>
        </w:rPr>
        <w:t xml:space="preserve"> with </w:t>
      </w:r>
      <w:r w:rsidR="00B26F7C" w:rsidRPr="0091360F">
        <w:rPr>
          <w:rFonts w:ascii="Book Antiqua" w:hAnsi="Book Antiqua" w:cs="Times New Roman"/>
          <w:sz w:val="24"/>
          <w:szCs w:val="24"/>
        </w:rPr>
        <w:t>area under the receiver operating characteristic curve</w:t>
      </w:r>
      <w:r w:rsidR="00B26F7C">
        <w:rPr>
          <w:rFonts w:ascii="Book Antiqua" w:hAnsi="Book Antiqua" w:cs="Times New Roman"/>
          <w:sz w:val="24"/>
          <w:szCs w:val="24"/>
        </w:rPr>
        <w:t>s</w:t>
      </w:r>
      <w:r w:rsidR="00B26F7C" w:rsidRPr="0091360F">
        <w:rPr>
          <w:rFonts w:ascii="Book Antiqua" w:eastAsia="等线" w:hAnsi="Book Antiqua" w:cs="Times New Roman"/>
          <w:kern w:val="0"/>
          <w:sz w:val="24"/>
          <w:szCs w:val="24"/>
        </w:rPr>
        <w:t xml:space="preserve"> </w:t>
      </w:r>
      <w:r w:rsidR="00B26F7C">
        <w:rPr>
          <w:rFonts w:ascii="Book Antiqua" w:eastAsia="等线" w:hAnsi="Book Antiqua" w:cs="Times New Roman"/>
          <w:kern w:val="0"/>
          <w:sz w:val="24"/>
          <w:szCs w:val="24"/>
        </w:rPr>
        <w:t>(</w:t>
      </w:r>
      <w:r w:rsidRPr="0091360F">
        <w:rPr>
          <w:rFonts w:ascii="Book Antiqua" w:eastAsia="等线" w:hAnsi="Book Antiqua" w:cs="Times New Roman"/>
          <w:kern w:val="0"/>
          <w:sz w:val="24"/>
          <w:szCs w:val="24"/>
        </w:rPr>
        <w:t>AUROCs</w:t>
      </w:r>
      <w:r w:rsidR="00B26F7C">
        <w:rPr>
          <w:rFonts w:ascii="Book Antiqua" w:eastAsia="等线" w:hAnsi="Book Antiqua" w:cs="Times New Roman"/>
          <w:kern w:val="0"/>
          <w:sz w:val="24"/>
          <w:szCs w:val="24"/>
        </w:rPr>
        <w:t>)</w:t>
      </w:r>
      <w:r w:rsidRPr="0091360F">
        <w:rPr>
          <w:rFonts w:ascii="Book Antiqua" w:eastAsia="等线" w:hAnsi="Book Antiqua" w:cs="Times New Roman"/>
          <w:kern w:val="0"/>
          <w:sz w:val="24"/>
          <w:szCs w:val="24"/>
        </w:rPr>
        <w:t xml:space="preserve"> of</w:t>
      </w:r>
      <w:r w:rsidRPr="0091360F">
        <w:rPr>
          <w:rFonts w:ascii="Book Antiqua" w:hAnsi="Book Antiqua" w:cs="Times New Roman"/>
          <w:kern w:val="0"/>
          <w:sz w:val="24"/>
          <w:szCs w:val="24"/>
        </w:rPr>
        <w:t xml:space="preserve"> 0.717</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(0.648-0.787) and 0.716</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(0.638-0.793), respectively. The other tested scoring systems had poor discriminative ability</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(AUROCs</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&lt;</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0.7). For in-hospital mortality, the</w:t>
      </w:r>
      <w:r w:rsidRPr="0091360F">
        <w:rPr>
          <w:rFonts w:ascii="Book Antiqua" w:hAnsi="Book Antiqua"/>
          <w:sz w:val="24"/>
          <w:szCs w:val="24"/>
        </w:rPr>
        <w:t xml:space="preserve"> </w:t>
      </w:r>
      <w:r w:rsidRPr="0091360F">
        <w:rPr>
          <w:rFonts w:ascii="Book Antiqua" w:hAnsi="Book Antiqua" w:cs="Times New Roman"/>
          <w:kern w:val="0"/>
          <w:sz w:val="24"/>
          <w:szCs w:val="24"/>
        </w:rPr>
        <w:t xml:space="preserve">CRS, CTP, AIMS65, MELD-Na and MELD </w:t>
      </w:r>
      <w:r w:rsidRPr="0091360F">
        <w:rPr>
          <w:rFonts w:ascii="Book Antiqua" w:hAnsi="Book Antiqua" w:cs="Times New Roman"/>
          <w:kern w:val="0"/>
          <w:sz w:val="24"/>
          <w:szCs w:val="24"/>
        </w:rPr>
        <w:lastRenderedPageBreak/>
        <w:t>showed excellent discriminative ability</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(AUROCs</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&gt;</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0.8). The AUROCs of the mGBS, CANUKA and GBS were relatively small</w:t>
      </w:r>
      <w:r w:rsidR="00236F65">
        <w:rPr>
          <w:rFonts w:ascii="Book Antiqua" w:hAnsi="Book Antiqua" w:cs="Times New Roman"/>
          <w:kern w:val="0"/>
          <w:sz w:val="24"/>
          <w:szCs w:val="24"/>
        </w:rPr>
        <w:t>,</w:t>
      </w:r>
      <w:r w:rsidRPr="0091360F">
        <w:rPr>
          <w:rFonts w:ascii="Book Antiqua" w:hAnsi="Book Antiqua" w:cs="Times New Roman"/>
          <w:kern w:val="0"/>
          <w:sz w:val="24"/>
          <w:szCs w:val="24"/>
        </w:rPr>
        <w:t xml:space="preserve"> but clinically acceptable</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(AUROCs</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&gt;</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0.7). Furthermore, the calibration of all scoring systems was good for either in-hospital rebleeding or death.</w:t>
      </w:r>
    </w:p>
    <w:p w14:paraId="75481852" w14:textId="77777777" w:rsidR="00420454" w:rsidRPr="0091360F" w:rsidRDefault="00420454"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p>
    <w:p w14:paraId="1566DD50" w14:textId="3C2F1512" w:rsidR="002C1FFD" w:rsidRPr="0091360F" w:rsidRDefault="002C1FFD"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r w:rsidRPr="0091360F">
        <w:rPr>
          <w:rFonts w:ascii="Book Antiqua" w:eastAsia="Times New Roman" w:hAnsi="Book Antiqua" w:cs="Times New Roman"/>
          <w:b/>
          <w:bCs/>
          <w:kern w:val="0"/>
          <w:sz w:val="24"/>
          <w:szCs w:val="24"/>
        </w:rPr>
        <w:t>CONCLUSION</w:t>
      </w:r>
    </w:p>
    <w:p w14:paraId="692E0702" w14:textId="0EC3878C" w:rsidR="008F0C73" w:rsidRPr="0091360F" w:rsidRDefault="00050991"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kern w:val="0"/>
          <w:sz w:val="24"/>
          <w:szCs w:val="24"/>
        </w:rPr>
        <w:t>For cirrhotic patients with variceal bleeding, in-hospital rebleeding and mortality rates remain high. The CTP and CRS can be used clinically to predict in-hospital rebleeding. The performances of the CRS, CTP, AIMS65, MELD-Na and MELD are excellent at predicting in-hospital mortality.</w:t>
      </w:r>
    </w:p>
    <w:p w14:paraId="6700034E" w14:textId="77777777" w:rsidR="00C60C45" w:rsidRPr="0091360F" w:rsidRDefault="00C60C45" w:rsidP="00420454">
      <w:pPr>
        <w:autoSpaceDE w:val="0"/>
        <w:autoSpaceDN w:val="0"/>
        <w:adjustRightInd w:val="0"/>
        <w:snapToGrid w:val="0"/>
        <w:spacing w:line="360" w:lineRule="auto"/>
        <w:rPr>
          <w:rFonts w:ascii="Book Antiqua" w:eastAsia="Times New Roman" w:hAnsi="Book Antiqua" w:cs="Times New Roman"/>
          <w:b/>
          <w:bCs/>
          <w:kern w:val="0"/>
          <w:sz w:val="24"/>
          <w:szCs w:val="24"/>
          <w:lang w:val="x-none"/>
        </w:rPr>
      </w:pPr>
    </w:p>
    <w:p w14:paraId="61EC63CB" w14:textId="636DFE30" w:rsidR="00654F79" w:rsidRPr="0091360F" w:rsidRDefault="00D65070" w:rsidP="00420454">
      <w:pPr>
        <w:autoSpaceDE w:val="0"/>
        <w:autoSpaceDN w:val="0"/>
        <w:adjustRightInd w:val="0"/>
        <w:snapToGrid w:val="0"/>
        <w:spacing w:line="360" w:lineRule="auto"/>
        <w:rPr>
          <w:rFonts w:ascii="Book Antiqua" w:eastAsia="Times New Roman" w:hAnsi="Book Antiqua" w:cs="Times New Roman"/>
          <w:kern w:val="0"/>
          <w:sz w:val="24"/>
          <w:szCs w:val="24"/>
          <w:lang w:val="x-none"/>
        </w:rPr>
      </w:pPr>
      <w:r w:rsidRPr="0091360F">
        <w:rPr>
          <w:rFonts w:ascii="Book Antiqua" w:eastAsia="Times New Roman" w:hAnsi="Book Antiqua" w:cs="Times New Roman"/>
          <w:b/>
          <w:bCs/>
          <w:kern w:val="0"/>
          <w:sz w:val="24"/>
          <w:szCs w:val="24"/>
          <w:lang w:val="x-none"/>
        </w:rPr>
        <w:t>Key words:</w:t>
      </w:r>
      <w:r w:rsidR="000E202D" w:rsidRPr="0091360F">
        <w:rPr>
          <w:rFonts w:ascii="Book Antiqua" w:hAnsi="Book Antiqua"/>
          <w:sz w:val="24"/>
          <w:szCs w:val="24"/>
        </w:rPr>
        <w:t xml:space="preserve"> </w:t>
      </w:r>
      <w:r w:rsidR="000E202D" w:rsidRPr="0091360F">
        <w:rPr>
          <w:rFonts w:ascii="Book Antiqua" w:eastAsia="Times New Roman" w:hAnsi="Book Antiqua" w:cs="Times New Roman"/>
          <w:kern w:val="0"/>
          <w:sz w:val="24"/>
          <w:szCs w:val="24"/>
          <w:lang w:val="x-none"/>
        </w:rPr>
        <w:t>Cirrhosis;</w:t>
      </w:r>
      <w:r w:rsidRPr="0091360F">
        <w:rPr>
          <w:rFonts w:ascii="Book Antiqua" w:eastAsia="Times New Roman" w:hAnsi="Book Antiqua" w:cs="Times New Roman"/>
          <w:kern w:val="0"/>
          <w:sz w:val="24"/>
          <w:szCs w:val="24"/>
          <w:lang w:val="x-none"/>
        </w:rPr>
        <w:t xml:space="preserve"> </w:t>
      </w:r>
      <w:r w:rsidR="000E202D" w:rsidRPr="0091360F">
        <w:rPr>
          <w:rFonts w:ascii="Book Antiqua" w:eastAsia="Times New Roman" w:hAnsi="Book Antiqua" w:cs="Times New Roman"/>
          <w:caps/>
          <w:kern w:val="0"/>
          <w:sz w:val="24"/>
          <w:szCs w:val="24"/>
          <w:lang w:val="x-none"/>
        </w:rPr>
        <w:t>v</w:t>
      </w:r>
      <w:r w:rsidR="000E202D" w:rsidRPr="0091360F">
        <w:rPr>
          <w:rFonts w:ascii="Book Antiqua" w:eastAsia="Times New Roman" w:hAnsi="Book Antiqua" w:cs="Times New Roman"/>
          <w:kern w:val="0"/>
          <w:sz w:val="24"/>
          <w:szCs w:val="24"/>
          <w:lang w:val="x-none"/>
        </w:rPr>
        <w:t>ariceal bleeding;</w:t>
      </w:r>
      <w:r w:rsidR="000E202D" w:rsidRPr="0091360F">
        <w:rPr>
          <w:rFonts w:ascii="Book Antiqua" w:hAnsi="Book Antiqua" w:cs="Times New Roman"/>
          <w:kern w:val="0"/>
          <w:sz w:val="24"/>
          <w:szCs w:val="24"/>
          <w:lang w:val="x-none"/>
        </w:rPr>
        <w:t xml:space="preserve"> </w:t>
      </w:r>
      <w:r w:rsidR="000E202D" w:rsidRPr="0091360F">
        <w:rPr>
          <w:rFonts w:ascii="Book Antiqua" w:eastAsia="Times New Roman" w:hAnsi="Book Antiqua" w:cs="Times New Roman"/>
          <w:caps/>
          <w:kern w:val="0"/>
          <w:sz w:val="24"/>
          <w:szCs w:val="24"/>
          <w:lang w:val="x-none"/>
        </w:rPr>
        <w:t>r</w:t>
      </w:r>
      <w:r w:rsidR="000E202D" w:rsidRPr="0091360F">
        <w:rPr>
          <w:rFonts w:ascii="Book Antiqua" w:eastAsia="Times New Roman" w:hAnsi="Book Antiqua" w:cs="Times New Roman"/>
          <w:kern w:val="0"/>
          <w:sz w:val="24"/>
          <w:szCs w:val="24"/>
          <w:lang w:val="x-none"/>
        </w:rPr>
        <w:t xml:space="preserve">ebleeding; </w:t>
      </w:r>
      <w:r w:rsidR="000E202D" w:rsidRPr="0091360F">
        <w:rPr>
          <w:rFonts w:ascii="Book Antiqua" w:eastAsia="Times New Roman" w:hAnsi="Book Antiqua" w:cs="Times New Roman"/>
          <w:caps/>
          <w:kern w:val="0"/>
          <w:sz w:val="24"/>
          <w:szCs w:val="24"/>
          <w:lang w:val="x-none"/>
        </w:rPr>
        <w:t>m</w:t>
      </w:r>
      <w:r w:rsidR="000E202D" w:rsidRPr="0091360F">
        <w:rPr>
          <w:rFonts w:ascii="Book Antiqua" w:eastAsia="Times New Roman" w:hAnsi="Book Antiqua" w:cs="Times New Roman"/>
          <w:kern w:val="0"/>
          <w:sz w:val="24"/>
          <w:szCs w:val="24"/>
          <w:lang w:val="x-none"/>
        </w:rPr>
        <w:t>ortality</w:t>
      </w:r>
      <w:r w:rsidR="0093162B" w:rsidRPr="0091360F">
        <w:rPr>
          <w:rFonts w:ascii="Book Antiqua" w:eastAsia="Times New Roman" w:hAnsi="Book Antiqua" w:cs="Times New Roman"/>
          <w:kern w:val="0"/>
          <w:sz w:val="24"/>
          <w:szCs w:val="24"/>
          <w:lang w:val="x-none"/>
        </w:rPr>
        <w:t xml:space="preserve">; </w:t>
      </w:r>
      <w:r w:rsidR="0093162B" w:rsidRPr="0091360F">
        <w:rPr>
          <w:rFonts w:ascii="Book Antiqua" w:eastAsia="Times New Roman" w:hAnsi="Book Antiqua" w:cs="Times New Roman"/>
          <w:caps/>
          <w:kern w:val="0"/>
          <w:sz w:val="24"/>
          <w:szCs w:val="24"/>
          <w:lang w:val="x-none"/>
        </w:rPr>
        <w:t>r</w:t>
      </w:r>
      <w:r w:rsidR="0093162B" w:rsidRPr="0091360F">
        <w:rPr>
          <w:rFonts w:ascii="Book Antiqua" w:eastAsia="Times New Roman" w:hAnsi="Book Antiqua" w:cs="Times New Roman"/>
          <w:kern w:val="0"/>
          <w:sz w:val="24"/>
          <w:szCs w:val="24"/>
          <w:lang w:val="x-none"/>
        </w:rPr>
        <w:t>isk score</w:t>
      </w:r>
    </w:p>
    <w:p w14:paraId="47347CB5" w14:textId="680E42FA" w:rsidR="00867C81" w:rsidRPr="0091360F" w:rsidRDefault="00867C81" w:rsidP="00420454">
      <w:pPr>
        <w:autoSpaceDE w:val="0"/>
        <w:autoSpaceDN w:val="0"/>
        <w:adjustRightInd w:val="0"/>
        <w:snapToGrid w:val="0"/>
        <w:spacing w:line="360" w:lineRule="auto"/>
        <w:rPr>
          <w:rFonts w:ascii="Book Antiqua" w:hAnsi="Book Antiqua" w:cs="Times New Roman"/>
          <w:kern w:val="0"/>
          <w:sz w:val="24"/>
          <w:szCs w:val="24"/>
          <w:lang w:val="x-none"/>
        </w:rPr>
      </w:pPr>
    </w:p>
    <w:p w14:paraId="13BCB045" w14:textId="77777777" w:rsidR="002A3EBE" w:rsidRPr="0091360F" w:rsidRDefault="002A3EBE" w:rsidP="002A3EBE">
      <w:pPr>
        <w:autoSpaceDE w:val="0"/>
        <w:autoSpaceDN w:val="0"/>
        <w:adjustRightInd w:val="0"/>
        <w:snapToGrid w:val="0"/>
        <w:spacing w:line="360" w:lineRule="auto"/>
        <w:rPr>
          <w:rFonts w:ascii="Book Antiqua" w:hAnsi="Book Antiqua" w:cs="Times New Roman"/>
          <w:kern w:val="0"/>
          <w:sz w:val="24"/>
          <w:szCs w:val="24"/>
        </w:rPr>
      </w:pPr>
      <w:bookmarkStart w:id="54" w:name="OLE_LINK363"/>
      <w:bookmarkStart w:id="55" w:name="OLE_LINK364"/>
      <w:bookmarkStart w:id="56" w:name="OLE_LINK359"/>
      <w:bookmarkStart w:id="57" w:name="OLE_LINK1037"/>
      <w:bookmarkStart w:id="58" w:name="OLE_LINK1195"/>
      <w:bookmarkStart w:id="59" w:name="OLE_LINK1140"/>
      <w:bookmarkStart w:id="60" w:name="OLE_LINK1062"/>
      <w:bookmarkStart w:id="61" w:name="OLE_LINK500"/>
      <w:bookmarkStart w:id="62" w:name="OLE_LINK916"/>
      <w:bookmarkStart w:id="63" w:name="OLE_LINK956"/>
      <w:bookmarkStart w:id="64" w:name="OLE_LINK994"/>
      <w:r w:rsidRPr="0091360F">
        <w:rPr>
          <w:rFonts w:ascii="Book Antiqua" w:hAnsi="Book Antiqua" w:cs="Times New Roman"/>
          <w:b/>
          <w:kern w:val="0"/>
          <w:sz w:val="24"/>
          <w:szCs w:val="24"/>
        </w:rPr>
        <w:t>© The Author(s) 201</w:t>
      </w:r>
      <w:r w:rsidRPr="0091360F">
        <w:rPr>
          <w:rFonts w:ascii="Book Antiqua" w:hAnsi="Book Antiqua" w:cs="Times New Roman" w:hint="eastAsia"/>
          <w:b/>
          <w:kern w:val="0"/>
          <w:sz w:val="24"/>
          <w:szCs w:val="24"/>
        </w:rPr>
        <w:t>9</w:t>
      </w:r>
      <w:r w:rsidRPr="0091360F">
        <w:rPr>
          <w:rFonts w:ascii="Book Antiqua" w:hAnsi="Book Antiqua" w:cs="Times New Roman"/>
          <w:b/>
          <w:kern w:val="0"/>
          <w:sz w:val="24"/>
          <w:szCs w:val="24"/>
        </w:rPr>
        <w:t>.</w:t>
      </w:r>
      <w:r w:rsidRPr="0091360F">
        <w:rPr>
          <w:rFonts w:ascii="Book Antiqua" w:hAnsi="Book Antiqua" w:cs="Times New Roman"/>
          <w:kern w:val="0"/>
          <w:sz w:val="24"/>
          <w:szCs w:val="24"/>
        </w:rPr>
        <w:t xml:space="preserve"> Published by Baishideng Publishing Group Inc. All rights reserved.</w:t>
      </w:r>
    </w:p>
    <w:bookmarkEnd w:id="54"/>
    <w:bookmarkEnd w:id="55"/>
    <w:bookmarkEnd w:id="56"/>
    <w:bookmarkEnd w:id="57"/>
    <w:bookmarkEnd w:id="58"/>
    <w:bookmarkEnd w:id="59"/>
    <w:bookmarkEnd w:id="60"/>
    <w:bookmarkEnd w:id="61"/>
    <w:bookmarkEnd w:id="62"/>
    <w:bookmarkEnd w:id="63"/>
    <w:bookmarkEnd w:id="64"/>
    <w:p w14:paraId="062C5FB8" w14:textId="77777777" w:rsidR="002A3EBE" w:rsidRPr="0091360F" w:rsidRDefault="002A3EBE" w:rsidP="00420454">
      <w:pPr>
        <w:autoSpaceDE w:val="0"/>
        <w:autoSpaceDN w:val="0"/>
        <w:adjustRightInd w:val="0"/>
        <w:snapToGrid w:val="0"/>
        <w:spacing w:line="360" w:lineRule="auto"/>
        <w:rPr>
          <w:rFonts w:ascii="Book Antiqua" w:hAnsi="Book Antiqua" w:cs="Times New Roman"/>
          <w:kern w:val="0"/>
          <w:sz w:val="24"/>
          <w:szCs w:val="24"/>
          <w:lang w:val="x-none"/>
        </w:rPr>
      </w:pPr>
    </w:p>
    <w:p w14:paraId="5CD4E905" w14:textId="6A158FD5" w:rsidR="00867C81" w:rsidRPr="0091360F" w:rsidRDefault="00867C81" w:rsidP="00420454">
      <w:pPr>
        <w:snapToGrid w:val="0"/>
        <w:spacing w:line="360" w:lineRule="auto"/>
        <w:rPr>
          <w:rFonts w:ascii="Book Antiqua" w:eastAsia="Arial Unicode MS" w:hAnsi="Book Antiqua" w:cs="Arial Unicode MS"/>
          <w:b/>
          <w:sz w:val="24"/>
          <w:szCs w:val="24"/>
        </w:rPr>
      </w:pPr>
      <w:bookmarkStart w:id="65" w:name="OLE_LINK19"/>
      <w:bookmarkStart w:id="66" w:name="OLE_LINK20"/>
      <w:bookmarkStart w:id="67" w:name="_Hlk13493442"/>
      <w:bookmarkStart w:id="68" w:name="_Hlk24046909"/>
      <w:r w:rsidRPr="0091360F">
        <w:rPr>
          <w:rFonts w:ascii="Book Antiqua" w:eastAsia="Arial Unicode MS" w:hAnsi="Book Antiqua" w:cs="Arial Unicode MS"/>
          <w:b/>
          <w:sz w:val="24"/>
          <w:szCs w:val="24"/>
        </w:rPr>
        <w:t>Core tip:</w:t>
      </w:r>
      <w:bookmarkEnd w:id="65"/>
      <w:bookmarkEnd w:id="66"/>
      <w:r w:rsidRPr="0091360F">
        <w:rPr>
          <w:rFonts w:ascii="Book Antiqua" w:eastAsia="Arial Unicode MS" w:hAnsi="Book Antiqua" w:cs="Arial Unicode MS"/>
          <w:b/>
          <w:sz w:val="24"/>
          <w:szCs w:val="24"/>
        </w:rPr>
        <w:t xml:space="preserve"> </w:t>
      </w:r>
      <w:bookmarkEnd w:id="67"/>
      <w:bookmarkEnd w:id="68"/>
      <w:r w:rsidR="005279A9" w:rsidRPr="0091360F">
        <w:rPr>
          <w:rFonts w:ascii="Book Antiqua" w:eastAsia="Arial Unicode MS" w:hAnsi="Book Antiqua" w:cs="Arial Unicode MS"/>
          <w:bCs/>
          <w:sz w:val="24"/>
          <w:szCs w:val="24"/>
        </w:rPr>
        <w:t xml:space="preserve">Acute variceal bleeding is one of the most serious complications of cirrhotic patients with </w:t>
      </w:r>
      <w:r w:rsidR="00104B11" w:rsidRPr="0091360F">
        <w:rPr>
          <w:rFonts w:ascii="Book Antiqua" w:eastAsia="Arial Unicode MS" w:hAnsi="Book Antiqua" w:cs="Arial Unicode MS"/>
          <w:bCs/>
          <w:sz w:val="24"/>
          <w:szCs w:val="24"/>
        </w:rPr>
        <w:t xml:space="preserve">a </w:t>
      </w:r>
      <w:r w:rsidR="005279A9" w:rsidRPr="0091360F">
        <w:rPr>
          <w:rFonts w:ascii="Book Antiqua" w:eastAsia="Arial Unicode MS" w:hAnsi="Book Antiqua" w:cs="Arial Unicode MS"/>
          <w:bCs/>
          <w:sz w:val="24"/>
          <w:szCs w:val="24"/>
        </w:rPr>
        <w:t>high risk of in-hospital rebleeding and mortality. This study validated</w:t>
      </w:r>
      <w:r w:rsidR="00965708" w:rsidRPr="0091360F">
        <w:rPr>
          <w:rFonts w:ascii="Book Antiqua" w:eastAsia="Arial Unicode MS" w:hAnsi="Book Antiqua" w:cs="Arial Unicode MS"/>
          <w:bCs/>
          <w:sz w:val="24"/>
          <w:szCs w:val="24"/>
        </w:rPr>
        <w:t xml:space="preserve"> </w:t>
      </w:r>
      <w:r w:rsidR="005279A9" w:rsidRPr="0091360F">
        <w:rPr>
          <w:rFonts w:ascii="Book Antiqua" w:eastAsia="Arial Unicode MS" w:hAnsi="Book Antiqua" w:cs="Arial Unicode MS"/>
          <w:bCs/>
          <w:sz w:val="24"/>
          <w:szCs w:val="24"/>
        </w:rPr>
        <w:t xml:space="preserve">and compared the overall performance of eight prognostic scores for predicting in-hospital adverse outcomes in cirrhotic patients with variceal bleeding. We screened out some useful prognostic scores for predicting in-hospital adverse outcomes, especially for predicting in-hospital mortality. These prognostic scores can be easily used for early identification of high-risk patients. For high-risk patients, </w:t>
      </w:r>
      <w:r w:rsidR="003E20BA" w:rsidRPr="0091360F">
        <w:rPr>
          <w:rFonts w:ascii="Book Antiqua" w:eastAsia="Arial Unicode MS" w:hAnsi="Book Antiqua" w:cs="Arial Unicode MS"/>
          <w:bCs/>
          <w:sz w:val="24"/>
          <w:szCs w:val="24"/>
        </w:rPr>
        <w:t xml:space="preserve">a transfer to a better hospital, </w:t>
      </w:r>
      <w:r w:rsidR="005279A9" w:rsidRPr="0091360F">
        <w:rPr>
          <w:rFonts w:ascii="Book Antiqua" w:eastAsia="Arial Unicode MS" w:hAnsi="Book Antiqua" w:cs="Arial Unicode MS"/>
          <w:bCs/>
          <w:sz w:val="24"/>
          <w:szCs w:val="24"/>
        </w:rPr>
        <w:t>close monitoring and aggressive treatments can help to reduce the risk of in-hospital adverse outcomes.</w:t>
      </w:r>
    </w:p>
    <w:p w14:paraId="537F9547" w14:textId="77777777" w:rsidR="000F348F" w:rsidRPr="0091360F" w:rsidRDefault="000F348F" w:rsidP="000F348F">
      <w:pPr>
        <w:snapToGrid w:val="0"/>
        <w:spacing w:line="360" w:lineRule="auto"/>
        <w:rPr>
          <w:rFonts w:ascii="Book Antiqua" w:hAnsi="Book Antiqua" w:cs="Garamond-Bold"/>
          <w:b/>
          <w:bCs/>
          <w:sz w:val="24"/>
          <w:szCs w:val="24"/>
        </w:rPr>
      </w:pPr>
    </w:p>
    <w:p w14:paraId="0AB01703" w14:textId="65C8A067" w:rsidR="000F348F" w:rsidRPr="000F348F" w:rsidRDefault="000F348F" w:rsidP="00420454">
      <w:pPr>
        <w:snapToGrid w:val="0"/>
        <w:spacing w:line="360" w:lineRule="auto"/>
        <w:rPr>
          <w:rFonts w:ascii="Book Antiqua" w:hAnsi="Book Antiqua" w:cs="Times New Roman"/>
          <w:sz w:val="24"/>
          <w:szCs w:val="24"/>
        </w:rPr>
      </w:pPr>
      <w:r w:rsidRPr="0091360F">
        <w:rPr>
          <w:rFonts w:ascii="Book Antiqua" w:hAnsi="Book Antiqua" w:cs="Times New Roman"/>
          <w:kern w:val="0"/>
          <w:sz w:val="24"/>
          <w:szCs w:val="24"/>
          <w:lang w:val="x-none"/>
        </w:rPr>
        <w:t>Tantai XX, Liu N, Yang LB, Wei ZC, Xiao CL, Song YH, Wang JH</w:t>
      </w:r>
      <w:r>
        <w:rPr>
          <w:rFonts w:ascii="Book Antiqua" w:hAnsi="Book Antiqua" w:cs="Times New Roman"/>
          <w:kern w:val="0"/>
          <w:sz w:val="24"/>
          <w:szCs w:val="24"/>
          <w:lang w:val="x-none"/>
        </w:rPr>
        <w:t>.</w:t>
      </w:r>
      <w:r w:rsidRPr="0091360F">
        <w:rPr>
          <w:rFonts w:ascii="Book Antiqua" w:hAnsi="Book Antiqua" w:cs="Times New Roman"/>
          <w:kern w:val="0"/>
          <w:sz w:val="24"/>
          <w:szCs w:val="24"/>
          <w:lang w:val="x-none"/>
        </w:rPr>
        <w:t xml:space="preserve"> </w:t>
      </w:r>
      <w:r w:rsidRPr="000F348F">
        <w:rPr>
          <w:rFonts w:ascii="Book Antiqua" w:hAnsi="Book Antiqua" w:cs="Times New Roman"/>
          <w:sz w:val="24"/>
          <w:szCs w:val="24"/>
        </w:rPr>
        <w:t>Prognostic value of risk scoring systems for cirrhotic patients with variceal bleeding</w:t>
      </w:r>
      <w:r>
        <w:rPr>
          <w:rFonts w:ascii="Book Antiqua" w:hAnsi="Book Antiqua" w:cs="Times New Roman"/>
          <w:sz w:val="24"/>
          <w:szCs w:val="24"/>
        </w:rPr>
        <w:t xml:space="preserve">. </w:t>
      </w:r>
      <w:r w:rsidRPr="000F348F">
        <w:rPr>
          <w:rFonts w:ascii="Book Antiqua" w:hAnsi="Book Antiqua" w:cs="Times New Roman"/>
          <w:i/>
          <w:iCs/>
          <w:sz w:val="24"/>
          <w:szCs w:val="24"/>
        </w:rPr>
        <w:t>World J Gastroenterol</w:t>
      </w:r>
      <w:r w:rsidRPr="000F348F">
        <w:rPr>
          <w:rFonts w:ascii="Book Antiqua" w:hAnsi="Book Antiqua" w:cs="Times New Roman"/>
          <w:sz w:val="24"/>
          <w:szCs w:val="24"/>
        </w:rPr>
        <w:t xml:space="preserve"> 2019; In press</w:t>
      </w:r>
    </w:p>
    <w:p w14:paraId="06DD6519" w14:textId="77777777" w:rsidR="00420454" w:rsidRPr="0091360F" w:rsidRDefault="00420454">
      <w:pPr>
        <w:widowControl/>
        <w:jc w:val="left"/>
        <w:rPr>
          <w:rFonts w:ascii="Book Antiqua" w:eastAsia="Times New Roman" w:hAnsi="Book Antiqua" w:cs="Times New Roman"/>
          <w:b/>
          <w:bCs/>
          <w:kern w:val="0"/>
          <w:sz w:val="24"/>
          <w:szCs w:val="24"/>
        </w:rPr>
      </w:pPr>
      <w:bookmarkStart w:id="69" w:name="_Hlk20372679"/>
      <w:r w:rsidRPr="0091360F">
        <w:rPr>
          <w:rFonts w:ascii="Book Antiqua" w:eastAsia="Times New Roman" w:hAnsi="Book Antiqua" w:cs="Times New Roman"/>
          <w:b/>
          <w:bCs/>
          <w:kern w:val="0"/>
          <w:sz w:val="24"/>
          <w:szCs w:val="24"/>
        </w:rPr>
        <w:br w:type="page"/>
      </w:r>
    </w:p>
    <w:p w14:paraId="2B0B7A24" w14:textId="583BBD63" w:rsidR="00514167" w:rsidRPr="0091360F" w:rsidRDefault="00514167" w:rsidP="00420454">
      <w:pPr>
        <w:autoSpaceDE w:val="0"/>
        <w:autoSpaceDN w:val="0"/>
        <w:adjustRightInd w:val="0"/>
        <w:snapToGrid w:val="0"/>
        <w:spacing w:line="360" w:lineRule="auto"/>
        <w:rPr>
          <w:rFonts w:ascii="Book Antiqua" w:hAnsi="Book Antiqua" w:cs="Times New Roman"/>
          <w:b/>
          <w:bCs/>
          <w:kern w:val="0"/>
          <w:sz w:val="24"/>
          <w:szCs w:val="24"/>
        </w:rPr>
      </w:pPr>
      <w:r w:rsidRPr="0091360F">
        <w:rPr>
          <w:rFonts w:ascii="Book Antiqua" w:eastAsia="Times New Roman" w:hAnsi="Book Antiqua" w:cs="Times New Roman"/>
          <w:b/>
          <w:bCs/>
          <w:kern w:val="0"/>
          <w:sz w:val="24"/>
          <w:szCs w:val="24"/>
        </w:rPr>
        <w:lastRenderedPageBreak/>
        <w:t>INTRODUCTION</w:t>
      </w:r>
    </w:p>
    <w:p w14:paraId="72596E39" w14:textId="7034B0A5" w:rsidR="00514167" w:rsidRPr="0091360F" w:rsidRDefault="00514167" w:rsidP="00420454">
      <w:pPr>
        <w:snapToGrid w:val="0"/>
        <w:spacing w:line="360" w:lineRule="auto"/>
        <w:rPr>
          <w:rFonts w:ascii="Book Antiqua" w:hAnsi="Book Antiqua"/>
          <w:sz w:val="24"/>
          <w:szCs w:val="24"/>
        </w:rPr>
      </w:pPr>
      <w:r w:rsidRPr="0091360F">
        <w:rPr>
          <w:rFonts w:ascii="Book Antiqua" w:hAnsi="Book Antiqua" w:cs="Times New Roman"/>
          <w:sz w:val="24"/>
          <w:szCs w:val="24"/>
        </w:rPr>
        <w:t>Cirrhosis is an end-stage liver disease with high mortality and manifests as various degrees of portal hypertension and hepatic dysfunction. Based on the presence or absence of decompensation events (ascites, variceal bleeding, encephalopathy, and jaundice), cirrhosis can be categorized into different prognostic stages: compensated or decompensated cirrhosis</w:t>
      </w:r>
      <w:r w:rsidRPr="0091360F">
        <w:rPr>
          <w:rFonts w:ascii="Book Antiqua" w:hAnsi="Book Antiqua" w:cs="Times New Roman"/>
          <w:kern w:val="0"/>
          <w:sz w:val="24"/>
          <w:szCs w:val="24"/>
          <w:vertAlign w:val="superscript"/>
        </w:rPr>
        <w:t>[1,2]</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 xml:space="preserve">Acute variceal bleeding is one of the most life-threatening complications. </w:t>
      </w:r>
      <w:r w:rsidR="00701713" w:rsidRPr="0091360F">
        <w:rPr>
          <w:rFonts w:ascii="Book Antiqua" w:hAnsi="Book Antiqua" w:cs="Times New Roman"/>
          <w:sz w:val="24"/>
          <w:szCs w:val="24"/>
        </w:rPr>
        <w:t>22</w:t>
      </w:r>
      <w:r w:rsidR="002A3EBE" w:rsidRPr="0091360F">
        <w:rPr>
          <w:rFonts w:ascii="Book Antiqua" w:hAnsi="Book Antiqua" w:cs="Times New Roman"/>
          <w:sz w:val="24"/>
          <w:szCs w:val="24"/>
        </w:rPr>
        <w:t>%</w:t>
      </w:r>
      <w:r w:rsidR="00701713" w:rsidRPr="0091360F">
        <w:rPr>
          <w:rFonts w:ascii="Book Antiqua" w:hAnsi="Book Antiqua" w:cs="Times New Roman"/>
          <w:sz w:val="24"/>
          <w:szCs w:val="24"/>
        </w:rPr>
        <w:t>-61% of cirrhotic patients receiving primary prophylaxis will develop first variceal bleeding during the first two years of follow-up</w:t>
      </w:r>
      <w:r w:rsidRPr="0091360F">
        <w:rPr>
          <w:rFonts w:ascii="Book Antiqua" w:hAnsi="Book Antiqua" w:cs="Times New Roman"/>
          <w:kern w:val="0"/>
          <w:sz w:val="24"/>
          <w:szCs w:val="24"/>
          <w:vertAlign w:val="superscript"/>
        </w:rPr>
        <w:t>[3]</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Furthermore, variceal bleeding is associated with a high risk of rebleeding and mortality. A recent study reported that rebleeding and mortality rates within one month were 25.7% and 15.2%, respectively</w:t>
      </w:r>
      <w:r w:rsidRPr="0091360F">
        <w:rPr>
          <w:rFonts w:ascii="Book Antiqua" w:hAnsi="Book Antiqua" w:cs="Times New Roman"/>
          <w:kern w:val="0"/>
          <w:sz w:val="24"/>
          <w:szCs w:val="24"/>
          <w:vertAlign w:val="superscript"/>
        </w:rPr>
        <w:t>[4]</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Although patient prognosis has improved with modern treatments that can control bleeding, the adverse event rate after variceal bleeding remains high. Therefore, high-risk patients with cirrhosis must be identified early, which can help determine appropriate candidates for risk communication, early intervention, close monitoring, or even early transfer to an intensive care unit.</w:t>
      </w:r>
    </w:p>
    <w:p w14:paraId="6BE674EB" w14:textId="402F7883" w:rsidR="00514167" w:rsidRPr="0091360F" w:rsidRDefault="00514167" w:rsidP="002A3EBE">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Some clinical scoring systems have been established and used for predicting clinical outcomes in patients with acute upper gastrointestinal bleeding (UGIB). Among these systems, the most widely used are the clinical Rockall score (CRS), AIMS65 score (AIMS65), and Glasgow-Blatchford score (GBS). The</w:t>
      </w:r>
      <w:r w:rsidR="00D66D7E">
        <w:rPr>
          <w:rFonts w:ascii="Book Antiqua" w:hAnsi="Book Antiqua" w:cs="Times New Roman"/>
          <w:sz w:val="24"/>
          <w:szCs w:val="24"/>
        </w:rPr>
        <w:t>se</w:t>
      </w:r>
      <w:r w:rsidRPr="0091360F">
        <w:rPr>
          <w:rFonts w:ascii="Book Antiqua" w:hAnsi="Book Antiqua" w:cs="Times New Roman"/>
          <w:sz w:val="24"/>
          <w:szCs w:val="24"/>
        </w:rPr>
        <w:t xml:space="preserve"> three systems were developed in patients with both nonvariceal UGIB and variceal UGIB and have been widely validated in previous studies for patients presenting with UGIB</w:t>
      </w:r>
      <w:r w:rsidRPr="0091360F">
        <w:rPr>
          <w:rFonts w:ascii="Book Antiqua" w:hAnsi="Book Antiqua" w:cs="Times New Roman"/>
          <w:kern w:val="0"/>
          <w:sz w:val="24"/>
          <w:szCs w:val="24"/>
          <w:vertAlign w:val="superscript"/>
        </w:rPr>
        <w:t>[5]</w:t>
      </w:r>
      <w:r w:rsidRPr="0091360F">
        <w:rPr>
          <w:rFonts w:ascii="Book Antiqua" w:hAnsi="Book Antiqua" w:cs="Times New Roman"/>
          <w:sz w:val="24"/>
          <w:szCs w:val="24"/>
        </w:rPr>
        <w:t>. However, most of these studies excluded patients with variceal bleeding or included only a small number of these patients. For patients with variceal bleeding, very limited data regarding the prognostic value of these scoring systems are available</w:t>
      </w:r>
      <w:r w:rsidRPr="0091360F">
        <w:rPr>
          <w:rFonts w:ascii="Book Antiqua" w:hAnsi="Book Antiqua" w:cs="Times New Roman"/>
          <w:kern w:val="0"/>
          <w:sz w:val="24"/>
          <w:szCs w:val="24"/>
          <w:vertAlign w:val="superscript"/>
        </w:rPr>
        <w:t>[5,6]</w:t>
      </w:r>
      <w:r w:rsidRPr="0091360F">
        <w:rPr>
          <w:rFonts w:ascii="Book Antiqua" w:hAnsi="Book Antiqua" w:cs="Times New Roman"/>
          <w:sz w:val="24"/>
          <w:szCs w:val="24"/>
        </w:rPr>
        <w:t xml:space="preserve">. Furthermore, only a few studies </w:t>
      </w:r>
      <w:r w:rsidR="00D66D7E">
        <w:rPr>
          <w:rFonts w:ascii="Book Antiqua" w:hAnsi="Book Antiqua" w:cs="Times New Roman"/>
          <w:sz w:val="24"/>
          <w:szCs w:val="24"/>
        </w:rPr>
        <w:t xml:space="preserve">have </w:t>
      </w:r>
      <w:r w:rsidRPr="0091360F">
        <w:rPr>
          <w:rFonts w:ascii="Book Antiqua" w:hAnsi="Book Antiqua" w:cs="Times New Roman"/>
          <w:sz w:val="24"/>
          <w:szCs w:val="24"/>
        </w:rPr>
        <w:t>used these scores to predict the in-hospital outcomes of patients with variceal bleeding, and their conclusions were controversial</w:t>
      </w:r>
      <w:r w:rsidRPr="0091360F">
        <w:rPr>
          <w:rFonts w:ascii="Book Antiqua" w:hAnsi="Book Antiqua" w:cs="Times New Roman"/>
          <w:kern w:val="0"/>
          <w:sz w:val="24"/>
          <w:szCs w:val="24"/>
          <w:vertAlign w:val="superscript"/>
        </w:rPr>
        <w:t>[4,7-9]</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 xml:space="preserve">Adverse outcomes during hospitalization are typically the focus of patients and doctors after admission. In addition, two newly created scoring systems </w:t>
      </w:r>
      <w:r w:rsidRPr="0091360F">
        <w:rPr>
          <w:rFonts w:ascii="Book Antiqua" w:hAnsi="Book Antiqua" w:cs="Times New Roman"/>
          <w:sz w:val="24"/>
          <w:szCs w:val="24"/>
        </w:rPr>
        <w:lastRenderedPageBreak/>
        <w:t>have not been externally validated</w:t>
      </w:r>
      <w:r w:rsidRPr="0091360F">
        <w:rPr>
          <w:rFonts w:ascii="Book Antiqua" w:hAnsi="Book Antiqua" w:cs="Times New Roman"/>
          <w:kern w:val="0"/>
          <w:sz w:val="24"/>
          <w:szCs w:val="24"/>
          <w:vertAlign w:val="superscript"/>
        </w:rPr>
        <w:t>[10,11]</w:t>
      </w:r>
      <w:r w:rsidRPr="0091360F">
        <w:rPr>
          <w:rFonts w:ascii="Book Antiqua" w:hAnsi="Book Antiqua" w:cs="Times New Roman"/>
          <w:sz w:val="24"/>
          <w:szCs w:val="24"/>
        </w:rPr>
        <w:t>. The model for end-stage liver disease (MELD), Child–Turcotte–Pugh score (CTP), and MELD-Na are considered useful for predicting short-term prognoses</w:t>
      </w:r>
      <w:r w:rsidRPr="0091360F">
        <w:rPr>
          <w:rFonts w:ascii="Book Antiqua" w:hAnsi="Book Antiqua" w:cs="Times New Roman"/>
          <w:kern w:val="0"/>
          <w:sz w:val="24"/>
          <w:szCs w:val="24"/>
          <w:vertAlign w:val="superscript"/>
        </w:rPr>
        <w:t>[12]</w:t>
      </w:r>
      <w:r w:rsidRPr="0091360F">
        <w:rPr>
          <w:rFonts w:ascii="Book Antiqua" w:hAnsi="Book Antiqua" w:cs="Times New Roman"/>
          <w:sz w:val="24"/>
          <w:szCs w:val="24"/>
        </w:rPr>
        <w:t xml:space="preserve">. </w:t>
      </w:r>
      <w:r w:rsidR="00232D2E" w:rsidRPr="0091360F">
        <w:rPr>
          <w:rFonts w:ascii="Book Antiqua" w:hAnsi="Book Antiqua" w:cs="Times New Roman"/>
          <w:sz w:val="24"/>
          <w:szCs w:val="24"/>
        </w:rPr>
        <w:t xml:space="preserve">The CTP, MELD, MELD-Na, CRS, AIMS65, GBS, </w:t>
      </w:r>
      <w:r w:rsidR="000A644A" w:rsidRPr="0091360F">
        <w:rPr>
          <w:rFonts w:ascii="Book Antiqua" w:hAnsi="Book Antiqua" w:cs="Times New Roman"/>
          <w:sz w:val="24"/>
          <w:szCs w:val="24"/>
        </w:rPr>
        <w:t>modified GBS (</w:t>
      </w:r>
      <w:r w:rsidR="00232D2E" w:rsidRPr="0091360F">
        <w:rPr>
          <w:rFonts w:ascii="Book Antiqua" w:hAnsi="Book Antiqua" w:cs="Times New Roman"/>
          <w:sz w:val="24"/>
          <w:szCs w:val="24"/>
        </w:rPr>
        <w:t>mGBS</w:t>
      </w:r>
      <w:r w:rsidR="000A644A" w:rsidRPr="0091360F">
        <w:rPr>
          <w:rFonts w:ascii="Book Antiqua" w:hAnsi="Book Antiqua" w:cs="Times New Roman"/>
          <w:sz w:val="24"/>
          <w:szCs w:val="24"/>
        </w:rPr>
        <w:t>)</w:t>
      </w:r>
      <w:r w:rsidR="00232D2E" w:rsidRPr="0091360F">
        <w:rPr>
          <w:rFonts w:ascii="Book Antiqua" w:hAnsi="Book Antiqua" w:cs="Times New Roman"/>
          <w:sz w:val="24"/>
          <w:szCs w:val="24"/>
        </w:rPr>
        <w:t xml:space="preserve"> and </w:t>
      </w:r>
      <w:r w:rsidR="007B7F55" w:rsidRPr="0091360F">
        <w:rPr>
          <w:rFonts w:ascii="Book Antiqua" w:hAnsi="Book Antiqua" w:cs="Times New Roman"/>
          <w:sz w:val="24"/>
          <w:szCs w:val="24"/>
        </w:rPr>
        <w:t>Canada-U</w:t>
      </w:r>
      <w:r w:rsidR="003131FF">
        <w:rPr>
          <w:rFonts w:ascii="Book Antiqua" w:hAnsi="Book Antiqua" w:cs="Times New Roman"/>
          <w:sz w:val="24"/>
          <w:szCs w:val="24"/>
        </w:rPr>
        <w:t>nited Kingdom</w:t>
      </w:r>
      <w:r w:rsidR="007B7F55" w:rsidRPr="0091360F">
        <w:rPr>
          <w:rFonts w:ascii="Book Antiqua" w:hAnsi="Book Antiqua" w:cs="Times New Roman"/>
          <w:sz w:val="24"/>
          <w:szCs w:val="24"/>
        </w:rPr>
        <w:t>-Australia score</w:t>
      </w:r>
      <w:r w:rsidR="003131FF">
        <w:rPr>
          <w:rFonts w:ascii="Book Antiqua" w:hAnsi="Book Antiqua" w:cs="Times New Roman"/>
          <w:sz w:val="24"/>
          <w:szCs w:val="24"/>
        </w:rPr>
        <w:t xml:space="preserve"> </w:t>
      </w:r>
      <w:r w:rsidR="007B7F55" w:rsidRPr="0091360F">
        <w:rPr>
          <w:rFonts w:ascii="Book Antiqua" w:hAnsi="Book Antiqua" w:cs="Times New Roman"/>
          <w:sz w:val="24"/>
          <w:szCs w:val="24"/>
        </w:rPr>
        <w:t>(CANUKA)</w:t>
      </w:r>
      <w:r w:rsidR="00232D2E" w:rsidRPr="0091360F">
        <w:rPr>
          <w:rFonts w:ascii="Book Antiqua" w:hAnsi="Book Antiqua" w:cs="Times New Roman"/>
          <w:sz w:val="24"/>
          <w:szCs w:val="24"/>
        </w:rPr>
        <w:t xml:space="preserve"> are selected as candidates </w:t>
      </w:r>
      <w:r w:rsidR="00D66D7E">
        <w:rPr>
          <w:rFonts w:ascii="Book Antiqua" w:hAnsi="Book Antiqua" w:cs="Times New Roman"/>
          <w:sz w:val="24"/>
          <w:szCs w:val="24"/>
        </w:rPr>
        <w:t>as</w:t>
      </w:r>
      <w:r w:rsidR="00232D2E" w:rsidRPr="0091360F">
        <w:rPr>
          <w:rFonts w:ascii="Book Antiqua" w:hAnsi="Book Antiqua" w:cs="Times New Roman"/>
          <w:sz w:val="24"/>
          <w:szCs w:val="24"/>
        </w:rPr>
        <w:t xml:space="preserve"> they are generally recognized and considered to be useful for predicting short-term outcomes. In addition, validation of these prognostic scores </w:t>
      </w:r>
      <w:r w:rsidR="00DA00B9">
        <w:rPr>
          <w:rFonts w:ascii="Book Antiqua" w:hAnsi="Book Antiqua" w:cs="Times New Roman"/>
          <w:sz w:val="24"/>
          <w:szCs w:val="24"/>
        </w:rPr>
        <w:t>in</w:t>
      </w:r>
      <w:r w:rsidR="00232D2E" w:rsidRPr="0091360F">
        <w:rPr>
          <w:rFonts w:ascii="Book Antiqua" w:hAnsi="Book Antiqua" w:cs="Times New Roman"/>
          <w:sz w:val="24"/>
          <w:szCs w:val="24"/>
        </w:rPr>
        <w:t xml:space="preserve"> Chinese patients </w:t>
      </w:r>
      <w:r w:rsidR="00DA00B9">
        <w:rPr>
          <w:rFonts w:ascii="Book Antiqua" w:hAnsi="Book Antiqua" w:cs="Times New Roman"/>
          <w:sz w:val="24"/>
          <w:szCs w:val="24"/>
        </w:rPr>
        <w:t>is</w:t>
      </w:r>
      <w:r w:rsidR="00232D2E" w:rsidRPr="0091360F">
        <w:rPr>
          <w:rFonts w:ascii="Book Antiqua" w:hAnsi="Book Antiqua" w:cs="Times New Roman"/>
          <w:sz w:val="24"/>
          <w:szCs w:val="24"/>
        </w:rPr>
        <w:t xml:space="preserve"> rare in terms of predicting in-hospital outcomes. On the other hand, these prognostic scores are easy to calculate using clinical and readily available laboratory variables, so they can be widely used by hospitals of different levels. </w:t>
      </w:r>
      <w:r w:rsidRPr="0091360F">
        <w:rPr>
          <w:rFonts w:ascii="Book Antiqua" w:hAnsi="Book Antiqua" w:cs="Times New Roman"/>
          <w:sz w:val="24"/>
          <w:szCs w:val="24"/>
        </w:rPr>
        <w:t>Therefore, this study aimed to validate and compare the overall performance of these eight prognostic scoring systems for predicting in-hospital outcomes in cirrhotic patients with variceal bleeding.</w:t>
      </w:r>
    </w:p>
    <w:bookmarkEnd w:id="69"/>
    <w:p w14:paraId="6069427F" w14:textId="77777777" w:rsidR="002A3EBE" w:rsidRPr="0091360F" w:rsidRDefault="002A3EBE" w:rsidP="00420454">
      <w:pPr>
        <w:snapToGrid w:val="0"/>
        <w:spacing w:line="360" w:lineRule="auto"/>
        <w:rPr>
          <w:rFonts w:ascii="Book Antiqua" w:hAnsi="Book Antiqua" w:cs="Times New Roman"/>
          <w:b/>
          <w:bCs/>
          <w:sz w:val="24"/>
          <w:szCs w:val="24"/>
        </w:rPr>
      </w:pPr>
    </w:p>
    <w:p w14:paraId="4033D0B9" w14:textId="77777777" w:rsidR="002A3EBE" w:rsidRPr="0091360F" w:rsidRDefault="002A3EB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MATERIALS AND METHODS</w:t>
      </w:r>
    </w:p>
    <w:p w14:paraId="71F4F918" w14:textId="6CD19AFD" w:rsidR="00B7748D" w:rsidRPr="0091360F" w:rsidRDefault="00B7748D"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Study population</w:t>
      </w:r>
    </w:p>
    <w:p w14:paraId="5E0506F4" w14:textId="4C81B705" w:rsidR="00B7748D" w:rsidRPr="0091360F" w:rsidRDefault="00B7748D" w:rsidP="002A3EBE">
      <w:pPr>
        <w:snapToGrid w:val="0"/>
        <w:spacing w:line="360" w:lineRule="auto"/>
        <w:rPr>
          <w:rFonts w:ascii="Book Antiqua" w:hAnsi="Book Antiqua" w:cs="Tahoma"/>
          <w:sz w:val="24"/>
          <w:szCs w:val="24"/>
          <w:shd w:val="clear" w:color="auto" w:fill="FFFFFF"/>
        </w:rPr>
      </w:pPr>
      <w:r w:rsidRPr="0091360F">
        <w:rPr>
          <w:rFonts w:ascii="Book Antiqua" w:hAnsi="Book Antiqua" w:cs="Times New Roman"/>
          <w:sz w:val="24"/>
          <w:szCs w:val="24"/>
        </w:rPr>
        <w:t>This retrospective cohort study was reported following the TRIPOD statement</w:t>
      </w:r>
      <w:r w:rsidRPr="0091360F">
        <w:rPr>
          <w:rFonts w:ascii="Book Antiqua" w:hAnsi="Book Antiqua" w:cs="Times New Roman"/>
          <w:kern w:val="0"/>
          <w:sz w:val="24"/>
          <w:szCs w:val="24"/>
          <w:vertAlign w:val="superscript"/>
        </w:rPr>
        <w:t>[13]</w:t>
      </w:r>
      <w:r w:rsidRPr="0091360F">
        <w:rPr>
          <w:rFonts w:ascii="Book Antiqua" w:hAnsi="Book Antiqua" w:cs="Times New Roman"/>
          <w:sz w:val="24"/>
          <w:szCs w:val="24"/>
        </w:rPr>
        <w:t xml:space="preserve"> and conducted at the Second Affiliated Hospital of Xi’an Jiaotong University. Consecutive cirrhotic patients with endoscopically confirmed variceal bleeding between March 2017 and June 2019 were identiﬁed by reviewing medical records. The inclusion criteria were adult patients with liver cirrhosis who were admitted to our hospital due to variceal bleeding. The exclusion criteria included the following: (1) patients who were younger than 18 years old</w:t>
      </w:r>
      <w:r w:rsidR="002A3EBE" w:rsidRPr="0091360F">
        <w:rPr>
          <w:rFonts w:ascii="Book Antiqua" w:hAnsi="Book Antiqua" w:cs="Times New Roman"/>
          <w:sz w:val="24"/>
          <w:szCs w:val="24"/>
        </w:rPr>
        <w:t>;</w:t>
      </w:r>
      <w:r w:rsidRPr="0091360F">
        <w:rPr>
          <w:rFonts w:ascii="Book Antiqua" w:hAnsi="Book Antiqua" w:cs="Times New Roman"/>
          <w:sz w:val="24"/>
          <w:szCs w:val="24"/>
        </w:rPr>
        <w:t xml:space="preserve"> (2) patients who refused or could not tolerate endoscopy</w:t>
      </w:r>
      <w:r w:rsidR="002A3EBE" w:rsidRPr="0091360F">
        <w:rPr>
          <w:rFonts w:ascii="Book Antiqua" w:hAnsi="Book Antiqua" w:cs="Times New Roman"/>
          <w:sz w:val="24"/>
          <w:szCs w:val="24"/>
        </w:rPr>
        <w:t>;</w:t>
      </w:r>
      <w:r w:rsidRPr="0091360F">
        <w:rPr>
          <w:rFonts w:ascii="Book Antiqua" w:hAnsi="Book Antiqua" w:cs="Times New Roman"/>
          <w:sz w:val="24"/>
          <w:szCs w:val="24"/>
        </w:rPr>
        <w:t xml:space="preserve"> (3)</w:t>
      </w:r>
      <w:r w:rsidR="000966FC" w:rsidRPr="0091360F">
        <w:rPr>
          <w:rFonts w:ascii="Book Antiqua" w:hAnsi="Book Antiqua"/>
          <w:sz w:val="24"/>
          <w:szCs w:val="24"/>
        </w:rPr>
        <w:t xml:space="preserve"> </w:t>
      </w:r>
      <w:r w:rsidR="000966FC" w:rsidRPr="0091360F">
        <w:rPr>
          <w:rFonts w:ascii="Book Antiqua" w:hAnsi="Book Antiqua" w:cs="Times New Roman"/>
          <w:sz w:val="24"/>
          <w:szCs w:val="24"/>
        </w:rPr>
        <w:t>patients with endoscopy-confirmed acute UGIB from non-variceal origins</w:t>
      </w:r>
      <w:r w:rsidR="002A3EBE" w:rsidRPr="0091360F">
        <w:rPr>
          <w:rFonts w:ascii="Book Antiqua" w:hAnsi="Book Antiqua" w:cs="Times New Roman"/>
          <w:sz w:val="24"/>
          <w:szCs w:val="24"/>
        </w:rPr>
        <w:t>;</w:t>
      </w:r>
      <w:r w:rsidRPr="0091360F">
        <w:rPr>
          <w:rFonts w:ascii="Book Antiqua" w:hAnsi="Book Antiqua" w:cs="Times New Roman"/>
          <w:sz w:val="24"/>
          <w:szCs w:val="24"/>
        </w:rPr>
        <w:t xml:space="preserve"> (4) transferred patients who were treated at external hospitals</w:t>
      </w:r>
      <w:r w:rsidR="002A3EBE" w:rsidRPr="0091360F">
        <w:rPr>
          <w:rFonts w:ascii="Book Antiqua" w:hAnsi="Book Antiqua" w:cs="Times New Roman"/>
          <w:sz w:val="24"/>
          <w:szCs w:val="24"/>
        </w:rPr>
        <w:t>;</w:t>
      </w:r>
      <w:r w:rsidRPr="0091360F">
        <w:rPr>
          <w:rFonts w:ascii="Book Antiqua" w:hAnsi="Book Antiqua" w:cs="Times New Roman"/>
          <w:sz w:val="24"/>
          <w:szCs w:val="24"/>
        </w:rPr>
        <w:t xml:space="preserve"> and (5) patients with incomplete medical records. The diagnosis of liver cirrhosis was made either by clinical assessment with a physical examination, laboratory indices, radiological findings or liver biopsy. Variceal bleeding was diagnosed if gastroscopy showed any of the signs of variceal bleeding according to the Chinese guidelines</w:t>
      </w:r>
      <w:r w:rsidRPr="0091360F">
        <w:rPr>
          <w:rFonts w:ascii="Book Antiqua" w:hAnsi="Book Antiqua" w:cs="Times New Roman"/>
          <w:kern w:val="0"/>
          <w:sz w:val="24"/>
          <w:szCs w:val="24"/>
          <w:vertAlign w:val="superscript"/>
        </w:rPr>
        <w:t>[14]</w:t>
      </w:r>
      <w:r w:rsidRPr="0091360F">
        <w:rPr>
          <w:rFonts w:ascii="Book Antiqua" w:hAnsi="Book Antiqua" w:cs="Times New Roman"/>
          <w:sz w:val="24"/>
          <w:szCs w:val="24"/>
        </w:rPr>
        <w:t xml:space="preserve">. </w:t>
      </w:r>
      <w:r w:rsidR="00874390" w:rsidRPr="0091360F">
        <w:rPr>
          <w:rFonts w:ascii="Book Antiqua" w:hAnsi="Book Antiqua" w:cs="Times New Roman"/>
          <w:sz w:val="24"/>
          <w:szCs w:val="24"/>
        </w:rPr>
        <w:t xml:space="preserve">All patient management was in line with the standard </w:t>
      </w:r>
      <w:r w:rsidR="00874390" w:rsidRPr="0091360F">
        <w:rPr>
          <w:rFonts w:ascii="Book Antiqua" w:hAnsi="Book Antiqua" w:cs="Times New Roman"/>
          <w:sz w:val="24"/>
          <w:szCs w:val="24"/>
        </w:rPr>
        <w:lastRenderedPageBreak/>
        <w:t>protocol for cirrhotic patients with acute variceal bleeding</w:t>
      </w:r>
      <w:r w:rsidR="00874390" w:rsidRPr="0091360F">
        <w:rPr>
          <w:rFonts w:ascii="Book Antiqua" w:hAnsi="Book Antiqua" w:cs="Times New Roman"/>
          <w:sz w:val="24"/>
          <w:szCs w:val="24"/>
          <w:vertAlign w:val="superscript"/>
        </w:rPr>
        <w:t>[14]</w:t>
      </w:r>
      <w:r w:rsidR="00874390" w:rsidRPr="0091360F">
        <w:rPr>
          <w:rFonts w:ascii="Book Antiqua" w:hAnsi="Book Antiqua" w:cs="Times New Roman"/>
          <w:sz w:val="24"/>
          <w:szCs w:val="24"/>
        </w:rPr>
        <w:t>.</w:t>
      </w:r>
      <w:r w:rsidR="00874390" w:rsidRPr="0091360F">
        <w:rPr>
          <w:rFonts w:ascii="Book Antiqua" w:hAnsi="Book Antiqua" w:cs="Times New Roman"/>
          <w:sz w:val="24"/>
          <w:szCs w:val="24"/>
          <w:vertAlign w:val="superscript"/>
        </w:rPr>
        <w:t xml:space="preserve"> </w:t>
      </w:r>
      <w:r w:rsidR="00874390" w:rsidRPr="0091360F">
        <w:rPr>
          <w:rFonts w:ascii="Book Antiqua" w:hAnsi="Book Antiqua" w:cs="Times New Roman"/>
          <w:sz w:val="24"/>
          <w:szCs w:val="24"/>
        </w:rPr>
        <w:t>Bleeding patients underwent a preliminary clinical assessment and were resuscitated as soon as possible.</w:t>
      </w:r>
      <w:r w:rsidR="00874390" w:rsidRPr="0091360F">
        <w:rPr>
          <w:rFonts w:ascii="Book Antiqua" w:hAnsi="Book Antiqua"/>
          <w:sz w:val="24"/>
          <w:szCs w:val="24"/>
        </w:rPr>
        <w:t xml:space="preserve"> </w:t>
      </w:r>
      <w:r w:rsidR="00874390" w:rsidRPr="0091360F">
        <w:rPr>
          <w:rFonts w:ascii="Book Antiqua" w:hAnsi="Book Antiqua" w:cs="Times New Roman"/>
          <w:sz w:val="24"/>
          <w:szCs w:val="24"/>
        </w:rPr>
        <w:t>Resuscitation measures included endotracheal intubation, oxygen inhalation, multiple peripheral lines or deep vein access, ﬂuid resuscitation, blood transfusions, nasogastric tube insertion, and medication administration (antibiotics, octreotide, somatostatin, terlipressin or anti-hepatic encephalopathy regimens). Balloon tamponade or emergency endoscopic treatment was performed as needed, or the patient was transferred to the intensive care unit. Gastroscopy w</w:t>
      </w:r>
      <w:r w:rsidR="00CB5545">
        <w:rPr>
          <w:rFonts w:ascii="Book Antiqua" w:hAnsi="Book Antiqua" w:cs="Times New Roman"/>
          <w:sz w:val="24"/>
          <w:szCs w:val="24"/>
        </w:rPr>
        <w:t>as</w:t>
      </w:r>
      <w:r w:rsidR="00874390" w:rsidRPr="0091360F">
        <w:rPr>
          <w:rFonts w:ascii="Book Antiqua" w:hAnsi="Book Antiqua" w:cs="Times New Roman"/>
          <w:sz w:val="24"/>
          <w:szCs w:val="24"/>
        </w:rPr>
        <w:t xml:space="preserve"> scheduled as early as possible, and endoscopic therapies were performed as needed. Transjugular intrahepatic portosystemic stent-shunt (TIPSS) or surgery was considered for cirrhotic patients when endoscopic therapies failed or were unsuitable. These special treatments were performed after obtaining informed consent; if the patients did not consent, they received only medication to control bleeding. This study protocol was approved by the ethics committee of our institution (2019042).</w:t>
      </w:r>
    </w:p>
    <w:p w14:paraId="356F0D59" w14:textId="77777777" w:rsidR="002A3EBE" w:rsidRPr="0091360F" w:rsidRDefault="002A3EBE" w:rsidP="00420454">
      <w:pPr>
        <w:snapToGrid w:val="0"/>
        <w:spacing w:line="360" w:lineRule="auto"/>
        <w:rPr>
          <w:rFonts w:ascii="Book Antiqua" w:hAnsi="Book Antiqua" w:cs="Times New Roman"/>
          <w:b/>
          <w:bCs/>
          <w:sz w:val="24"/>
          <w:szCs w:val="24"/>
        </w:rPr>
      </w:pPr>
    </w:p>
    <w:p w14:paraId="01E89496" w14:textId="1FFC8460" w:rsidR="00B7748D" w:rsidRPr="0091360F" w:rsidRDefault="00B7748D"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Data collection</w:t>
      </w:r>
    </w:p>
    <w:p w14:paraId="5298FF14" w14:textId="000BA5CA" w:rsidR="00B7748D" w:rsidRPr="0091360F" w:rsidRDefault="00B7748D" w:rsidP="002A3EBE">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The prognostic scores for CTP, MELD, MELD-Na, CRS, AIMS65, GBS, mGBS and CANUKA were calculated for each patient. The formulas and components of the eight scoring systems for calculating the prognostic scores are summarized in Supplementary Table 1. The data required by the scoring systems, demographic data, disease history, laboratory and imaging data were collected within 24 h</w:t>
      </w:r>
      <w:r w:rsidR="00885E86" w:rsidRPr="0091360F">
        <w:rPr>
          <w:rFonts w:ascii="Book Antiqua" w:hAnsi="Book Antiqua" w:cs="Times New Roman"/>
          <w:sz w:val="24"/>
          <w:szCs w:val="24"/>
        </w:rPr>
        <w:t xml:space="preserve"> </w:t>
      </w:r>
      <w:r w:rsidRPr="0091360F">
        <w:rPr>
          <w:rFonts w:ascii="Book Antiqua" w:hAnsi="Book Antiqua" w:cs="Times New Roman"/>
          <w:sz w:val="24"/>
          <w:szCs w:val="24"/>
        </w:rPr>
        <w:t>of hospital admission. Medical record review and data extraction were performed by two trained researchers who were blinded to the study purpose.</w:t>
      </w:r>
    </w:p>
    <w:p w14:paraId="24E39C39" w14:textId="77777777" w:rsidR="00885E86" w:rsidRPr="0091360F" w:rsidRDefault="00885E86" w:rsidP="00420454">
      <w:pPr>
        <w:snapToGrid w:val="0"/>
        <w:spacing w:line="360" w:lineRule="auto"/>
        <w:rPr>
          <w:rFonts w:ascii="Book Antiqua" w:hAnsi="Book Antiqua" w:cs="Times New Roman"/>
          <w:b/>
          <w:bCs/>
          <w:sz w:val="24"/>
          <w:szCs w:val="24"/>
        </w:rPr>
      </w:pPr>
    </w:p>
    <w:p w14:paraId="527E9223" w14:textId="1610FDC1" w:rsidR="00B7748D" w:rsidRPr="0091360F" w:rsidRDefault="00B7748D"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Study outcomes</w:t>
      </w:r>
    </w:p>
    <w:p w14:paraId="5CB91A76" w14:textId="29364753" w:rsidR="00B7748D" w:rsidRPr="0091360F" w:rsidRDefault="00B7748D" w:rsidP="00885E86">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Patient follow-up began on the day of admission and ended at patient discharge or death during the same hospitalization period. The primary outcome was in-hospital rebleeding. Secondary outcomes were in-hospital </w:t>
      </w:r>
      <w:r w:rsidRPr="0091360F">
        <w:rPr>
          <w:rFonts w:ascii="Book Antiqua" w:hAnsi="Book Antiqua" w:cs="Times New Roman"/>
          <w:sz w:val="24"/>
          <w:szCs w:val="24"/>
        </w:rPr>
        <w:lastRenderedPageBreak/>
        <w:t>mortality and a composite of in-hospital rebleeding and death. In-hospital rebleeding was defined as recurrence of hematemesis or melena accompanied by hemodynamic instability after the stabilization of vital signs and hemoglobin for at least 24 h. In-hospital mortality was defined as death due to any cause during hospitalization.</w:t>
      </w:r>
    </w:p>
    <w:p w14:paraId="1907FDA8" w14:textId="77777777" w:rsidR="00885E86" w:rsidRPr="0091360F" w:rsidRDefault="00885E86" w:rsidP="00420454">
      <w:pPr>
        <w:snapToGrid w:val="0"/>
        <w:spacing w:line="360" w:lineRule="auto"/>
        <w:rPr>
          <w:rFonts w:ascii="Book Antiqua" w:hAnsi="Book Antiqua" w:cs="Times New Roman"/>
          <w:b/>
          <w:bCs/>
          <w:sz w:val="24"/>
          <w:szCs w:val="24"/>
        </w:rPr>
      </w:pPr>
    </w:p>
    <w:p w14:paraId="4439013A" w14:textId="59E3F3AC" w:rsidR="00B7748D" w:rsidRPr="0091360F" w:rsidRDefault="00B7748D"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Statistical analysis</w:t>
      </w:r>
    </w:p>
    <w:p w14:paraId="59F0D82C" w14:textId="1F6FE5BB" w:rsidR="00B7748D" w:rsidRPr="0091360F" w:rsidRDefault="00B7748D" w:rsidP="00885E86">
      <w:pPr>
        <w:snapToGrid w:val="0"/>
        <w:spacing w:line="360" w:lineRule="auto"/>
        <w:rPr>
          <w:rFonts w:ascii="Book Antiqua" w:eastAsia="宋体" w:hAnsi="Book Antiqua" w:cs="Times New Roman"/>
          <w:kern w:val="0"/>
          <w:sz w:val="24"/>
          <w:szCs w:val="24"/>
        </w:rPr>
      </w:pPr>
      <w:r w:rsidRPr="0091360F">
        <w:rPr>
          <w:rFonts w:ascii="Book Antiqua" w:eastAsia="宋体" w:hAnsi="Book Antiqua" w:cs="Times New Roman"/>
          <w:kern w:val="0"/>
          <w:sz w:val="24"/>
          <w:szCs w:val="24"/>
        </w:rPr>
        <w:t>The sample size estimation was based on the number of positive and negative patients to assess the area under the receiver operating characteristic curve (AUROC). This study hypothesized that the validated scores can effectively predict the risk of in-hospital rebleeding; in other words, the AUROCs of the scores should be greater than 0.5. A previous study reported that the AUROCs of these scores were 0.664-0.756</w:t>
      </w:r>
      <w:r w:rsidRPr="0091360F">
        <w:rPr>
          <w:rFonts w:ascii="Book Antiqua" w:hAnsi="Book Antiqua" w:cs="Times New Roman"/>
          <w:kern w:val="0"/>
          <w:sz w:val="24"/>
          <w:szCs w:val="24"/>
          <w:vertAlign w:val="superscript"/>
        </w:rPr>
        <w:t>[</w:t>
      </w:r>
      <w:r w:rsidR="00F66021" w:rsidRPr="0091360F">
        <w:rPr>
          <w:rFonts w:ascii="Book Antiqua" w:hAnsi="Book Antiqua" w:cs="Times New Roman"/>
          <w:kern w:val="0"/>
          <w:sz w:val="24"/>
          <w:szCs w:val="24"/>
          <w:vertAlign w:val="superscript"/>
        </w:rPr>
        <w:t>9</w:t>
      </w:r>
      <w:r w:rsidRPr="0091360F">
        <w:rPr>
          <w:rFonts w:ascii="Book Antiqua" w:hAnsi="Book Antiqua" w:cs="Times New Roman"/>
          <w:kern w:val="0"/>
          <w:sz w:val="24"/>
          <w:szCs w:val="24"/>
          <w:vertAlign w:val="superscript"/>
        </w:rPr>
        <w:t>]</w:t>
      </w:r>
      <w:r w:rsidRPr="0091360F">
        <w:rPr>
          <w:rFonts w:ascii="Book Antiqua" w:eastAsia="宋体" w:hAnsi="Book Antiqua" w:cs="Times New Roman"/>
          <w:kern w:val="0"/>
          <w:sz w:val="24"/>
          <w:szCs w:val="24"/>
        </w:rPr>
        <w:t>. The minimum value (AUROC</w:t>
      </w:r>
      <w:r w:rsidR="00885E86" w:rsidRPr="0091360F">
        <w:rPr>
          <w:rFonts w:ascii="Book Antiqua" w:eastAsia="宋体" w:hAnsi="Book Antiqua" w:cs="Times New Roman"/>
          <w:kern w:val="0"/>
          <w:sz w:val="24"/>
          <w:szCs w:val="24"/>
        </w:rPr>
        <w:t xml:space="preserve"> </w:t>
      </w:r>
      <w:r w:rsidRPr="0091360F">
        <w:rPr>
          <w:rFonts w:ascii="Book Antiqua" w:eastAsia="宋体" w:hAnsi="Book Antiqua" w:cs="Times New Roman"/>
          <w:kern w:val="0"/>
          <w:sz w:val="24"/>
          <w:szCs w:val="24"/>
        </w:rPr>
        <w:t>=</w:t>
      </w:r>
      <w:r w:rsidR="00885E86" w:rsidRPr="0091360F">
        <w:rPr>
          <w:rFonts w:ascii="Book Antiqua" w:eastAsia="宋体" w:hAnsi="Book Antiqua" w:cs="Times New Roman"/>
          <w:kern w:val="0"/>
          <w:sz w:val="24"/>
          <w:szCs w:val="24"/>
        </w:rPr>
        <w:t xml:space="preserve"> </w:t>
      </w:r>
      <w:r w:rsidRPr="0091360F">
        <w:rPr>
          <w:rFonts w:ascii="Book Antiqua" w:eastAsia="宋体" w:hAnsi="Book Antiqua" w:cs="Times New Roman"/>
          <w:kern w:val="0"/>
          <w:sz w:val="24"/>
          <w:szCs w:val="24"/>
        </w:rPr>
        <w:t>0.664) was selected as the reference value to obtain the maximum required sample size. The rebleeding rate was reported to be approximately 20% in cirrhotic patients with acute variceal bleeding</w:t>
      </w:r>
      <w:r w:rsidRPr="0091360F">
        <w:rPr>
          <w:rFonts w:ascii="Book Antiqua" w:hAnsi="Book Antiqua" w:cs="Times New Roman"/>
          <w:kern w:val="0"/>
          <w:sz w:val="24"/>
          <w:szCs w:val="24"/>
          <w:vertAlign w:val="superscript"/>
        </w:rPr>
        <w:t>[4,1</w:t>
      </w:r>
      <w:r w:rsidR="007A46EA" w:rsidRPr="0091360F">
        <w:rPr>
          <w:rFonts w:ascii="Book Antiqua" w:hAnsi="Book Antiqua" w:cs="Times New Roman"/>
          <w:kern w:val="0"/>
          <w:sz w:val="24"/>
          <w:szCs w:val="24"/>
          <w:vertAlign w:val="superscript"/>
        </w:rPr>
        <w:t>5</w:t>
      </w:r>
      <w:r w:rsidRPr="0091360F">
        <w:rPr>
          <w:rFonts w:ascii="Book Antiqua" w:hAnsi="Book Antiqua" w:cs="Times New Roman"/>
          <w:kern w:val="0"/>
          <w:sz w:val="24"/>
          <w:szCs w:val="24"/>
          <w:vertAlign w:val="superscript"/>
        </w:rPr>
        <w:t>]</w:t>
      </w:r>
      <w:r w:rsidRPr="0091360F">
        <w:rPr>
          <w:rFonts w:ascii="Book Antiqua" w:eastAsia="宋体" w:hAnsi="Book Antiqua" w:cs="Times New Roman"/>
          <w:kern w:val="0"/>
          <w:sz w:val="24"/>
          <w:szCs w:val="24"/>
        </w:rPr>
        <w:t>. Using PASS 11.0 software (NCSS, U</w:t>
      </w:r>
      <w:r w:rsidR="00885E86" w:rsidRPr="0091360F">
        <w:rPr>
          <w:rFonts w:ascii="Book Antiqua" w:eastAsia="宋体" w:hAnsi="Book Antiqua" w:cs="Times New Roman"/>
          <w:kern w:val="0"/>
          <w:sz w:val="24"/>
          <w:szCs w:val="24"/>
        </w:rPr>
        <w:t>nited States</w:t>
      </w:r>
      <w:r w:rsidRPr="0091360F">
        <w:rPr>
          <w:rFonts w:ascii="Book Antiqua" w:eastAsia="宋体" w:hAnsi="Book Antiqua" w:cs="Times New Roman"/>
          <w:kern w:val="0"/>
          <w:sz w:val="24"/>
          <w:szCs w:val="24"/>
        </w:rPr>
        <w:t>), 32 patients with in-hospital rebleeding and 128 nonrebleeding</w:t>
      </w:r>
      <w:r w:rsidRPr="0091360F">
        <w:rPr>
          <w:rFonts w:ascii="Book Antiqua" w:hAnsi="Book Antiqua" w:cs="Times New Roman"/>
          <w:sz w:val="24"/>
          <w:szCs w:val="24"/>
        </w:rPr>
        <w:t xml:space="preserve"> </w:t>
      </w:r>
      <w:r w:rsidRPr="0091360F">
        <w:rPr>
          <w:rFonts w:ascii="Book Antiqua" w:eastAsia="宋体" w:hAnsi="Book Antiqua" w:cs="Times New Roman"/>
          <w:kern w:val="0"/>
          <w:sz w:val="24"/>
          <w:szCs w:val="24"/>
        </w:rPr>
        <w:t xml:space="preserve">patients were required to achieve 90% power using a one-sided </w:t>
      </w:r>
      <w:r w:rsidRPr="00712590">
        <w:rPr>
          <w:rFonts w:ascii="Book Antiqua" w:eastAsia="宋体" w:hAnsi="Book Antiqua" w:cs="Times New Roman"/>
          <w:i/>
          <w:iCs/>
          <w:kern w:val="0"/>
          <w:sz w:val="24"/>
          <w:szCs w:val="24"/>
        </w:rPr>
        <w:t>z</w:t>
      </w:r>
      <w:r w:rsidRPr="0091360F">
        <w:rPr>
          <w:rFonts w:ascii="Book Antiqua" w:eastAsia="宋体" w:hAnsi="Book Antiqua" w:cs="Times New Roman"/>
          <w:kern w:val="0"/>
          <w:sz w:val="24"/>
          <w:szCs w:val="24"/>
        </w:rPr>
        <w:t>-test at a significance level of 0.05</w:t>
      </w:r>
      <w:r w:rsidRPr="0091360F">
        <w:rPr>
          <w:rFonts w:ascii="Book Antiqua" w:hAnsi="Book Antiqua" w:cs="Times New Roman"/>
          <w:kern w:val="0"/>
          <w:sz w:val="24"/>
          <w:szCs w:val="24"/>
          <w:vertAlign w:val="superscript"/>
        </w:rPr>
        <w:t>[1</w:t>
      </w:r>
      <w:r w:rsidR="007A46EA" w:rsidRPr="0091360F">
        <w:rPr>
          <w:rFonts w:ascii="Book Antiqua" w:hAnsi="Book Antiqua" w:cs="Times New Roman"/>
          <w:kern w:val="0"/>
          <w:sz w:val="24"/>
          <w:szCs w:val="24"/>
          <w:vertAlign w:val="superscript"/>
        </w:rPr>
        <w:t>6</w:t>
      </w:r>
      <w:r w:rsidRPr="0091360F">
        <w:rPr>
          <w:rFonts w:ascii="Book Antiqua" w:hAnsi="Book Antiqua" w:cs="Times New Roman"/>
          <w:kern w:val="0"/>
          <w:sz w:val="24"/>
          <w:szCs w:val="24"/>
          <w:vertAlign w:val="superscript"/>
        </w:rPr>
        <w:t>]</w:t>
      </w:r>
      <w:r w:rsidRPr="0091360F">
        <w:rPr>
          <w:rFonts w:ascii="Book Antiqua" w:eastAsia="宋体" w:hAnsi="Book Antiqua" w:cs="Times New Roman"/>
          <w:kern w:val="0"/>
          <w:sz w:val="24"/>
          <w:szCs w:val="24"/>
        </w:rPr>
        <w:t>. Continuous variables with a normal distribution were reported as the mean ±</w:t>
      </w:r>
      <w:r w:rsidR="003131FF">
        <w:rPr>
          <w:rFonts w:ascii="Book Antiqua" w:eastAsia="宋体" w:hAnsi="Book Antiqua" w:cs="Times New Roman"/>
          <w:kern w:val="0"/>
          <w:sz w:val="24"/>
          <w:szCs w:val="24"/>
        </w:rPr>
        <w:t xml:space="preserve"> </w:t>
      </w:r>
      <w:r w:rsidRPr="0091360F">
        <w:rPr>
          <w:rFonts w:ascii="Book Antiqua" w:eastAsia="宋体" w:hAnsi="Book Antiqua" w:cs="Times New Roman"/>
          <w:kern w:val="0"/>
          <w:sz w:val="24"/>
          <w:szCs w:val="24"/>
        </w:rPr>
        <w:t>SD and non-normal variables were presented as medians and interquartile ranges (IQRs). Categorical variables were expressed as counts and proportions. The discriminative ability of the prognostic scores was assessed using AUROC with a corresponding 95% confidence interval (CI), and an AUROC greater than 0.7 was considered clinically useful. Comparisons between paired AUROCs were performed using the DeLong test. The optimal threshold in each scoring system was determined by the maximum of the Youden index. The sensitivity, specificity, positive and negative predictive values, and corresponding 95%CI</w:t>
      </w:r>
      <w:r w:rsidR="00F50FED">
        <w:rPr>
          <w:rFonts w:ascii="Book Antiqua" w:eastAsia="宋体" w:hAnsi="Book Antiqua" w:cs="Times New Roman"/>
          <w:kern w:val="0"/>
          <w:sz w:val="24"/>
          <w:szCs w:val="24"/>
        </w:rPr>
        <w:t>s</w:t>
      </w:r>
      <w:r w:rsidRPr="0091360F">
        <w:rPr>
          <w:rFonts w:ascii="Book Antiqua" w:eastAsia="宋体" w:hAnsi="Book Antiqua" w:cs="Times New Roman"/>
          <w:kern w:val="0"/>
          <w:sz w:val="24"/>
          <w:szCs w:val="24"/>
        </w:rPr>
        <w:t xml:space="preserve"> were calculated for the clinically useful prognostic scores. The calibration of prognostic scores was evaluated by the Hosmer-Lemeshow (H-L) test. A Hosmer-Lemeshow </w:t>
      </w:r>
      <w:r w:rsidRPr="00B26F7C">
        <w:rPr>
          <w:rFonts w:ascii="Book Antiqua" w:eastAsia="宋体" w:hAnsi="Book Antiqua" w:cs="Times New Roman"/>
          <w:i/>
          <w:iCs/>
          <w:kern w:val="0"/>
          <w:sz w:val="24"/>
          <w:szCs w:val="24"/>
        </w:rPr>
        <w:t>P</w:t>
      </w:r>
      <w:r w:rsidRPr="0091360F">
        <w:rPr>
          <w:rFonts w:ascii="Book Antiqua" w:eastAsia="宋体" w:hAnsi="Book Antiqua" w:cs="Times New Roman"/>
          <w:kern w:val="0"/>
          <w:sz w:val="24"/>
          <w:szCs w:val="24"/>
        </w:rPr>
        <w:t>-value &gt;</w:t>
      </w:r>
      <w:r w:rsidR="00B26F7C">
        <w:rPr>
          <w:rFonts w:ascii="Book Antiqua" w:eastAsia="宋体" w:hAnsi="Book Antiqua" w:cs="Times New Roman"/>
          <w:kern w:val="0"/>
          <w:sz w:val="24"/>
          <w:szCs w:val="24"/>
        </w:rPr>
        <w:t xml:space="preserve"> </w:t>
      </w:r>
      <w:r w:rsidRPr="0091360F">
        <w:rPr>
          <w:rFonts w:ascii="Book Antiqua" w:eastAsia="宋体" w:hAnsi="Book Antiqua" w:cs="Times New Roman"/>
          <w:kern w:val="0"/>
          <w:sz w:val="24"/>
          <w:szCs w:val="24"/>
        </w:rPr>
        <w:t xml:space="preserve">0.05 was </w:t>
      </w:r>
      <w:r w:rsidRPr="0091360F">
        <w:rPr>
          <w:rFonts w:ascii="Book Antiqua" w:eastAsia="宋体" w:hAnsi="Book Antiqua" w:cs="Times New Roman"/>
          <w:kern w:val="0"/>
          <w:sz w:val="24"/>
          <w:szCs w:val="24"/>
        </w:rPr>
        <w:lastRenderedPageBreak/>
        <w:t xml:space="preserve">considered to indicate good calibration. Calibration was also graphically analyzed for prognostic scores with high discriminative ability. Patients were stratified into risk deciles, and then the actual event probability was compared with the predicted event probability within the risk strata. </w:t>
      </w:r>
      <w:r w:rsidR="00BB6D59" w:rsidRPr="0091360F">
        <w:rPr>
          <w:rFonts w:ascii="Book Antiqua" w:eastAsia="宋体" w:hAnsi="Book Antiqua" w:cs="Times New Roman"/>
          <w:kern w:val="0"/>
          <w:sz w:val="24"/>
          <w:szCs w:val="24"/>
        </w:rPr>
        <w:t xml:space="preserve">In addition, sensitivity analyses were also performed focusing on patients with esophageal variceal bleeding and patients receiving endoscopic treatments. </w:t>
      </w:r>
      <w:r w:rsidRPr="0091360F">
        <w:rPr>
          <w:rFonts w:ascii="Book Antiqua" w:eastAsia="宋体" w:hAnsi="Book Antiqua" w:cs="Times New Roman"/>
          <w:kern w:val="0"/>
          <w:sz w:val="24"/>
          <w:szCs w:val="24"/>
        </w:rPr>
        <w:t xml:space="preserve">All data analyses were conducted using SPSS version 22.0 (IBM SPSS Statistics, </w:t>
      </w:r>
      <w:r w:rsidR="00DC1D14" w:rsidRPr="0091360F">
        <w:rPr>
          <w:rFonts w:ascii="Book Antiqua" w:eastAsia="宋体" w:hAnsi="Book Antiqua" w:cs="Times New Roman"/>
          <w:kern w:val="0"/>
          <w:sz w:val="24"/>
          <w:szCs w:val="24"/>
        </w:rPr>
        <w:t>United States</w:t>
      </w:r>
      <w:r w:rsidRPr="0091360F">
        <w:rPr>
          <w:rFonts w:ascii="Book Antiqua" w:eastAsia="宋体" w:hAnsi="Book Antiqua" w:cs="Times New Roman"/>
          <w:kern w:val="0"/>
          <w:sz w:val="24"/>
          <w:szCs w:val="24"/>
        </w:rPr>
        <w:t xml:space="preserve">) and MedCalc version 19.0.4 (MedCalc Software bvba, Belgium). A two-tailed </w:t>
      </w:r>
      <w:r w:rsidRPr="0091360F">
        <w:rPr>
          <w:rFonts w:ascii="Book Antiqua" w:eastAsia="宋体" w:hAnsi="Book Antiqua" w:cs="Times New Roman"/>
          <w:i/>
          <w:iCs/>
          <w:kern w:val="0"/>
          <w:sz w:val="24"/>
          <w:szCs w:val="24"/>
        </w:rPr>
        <w:t>P</w:t>
      </w:r>
      <w:r w:rsidRPr="0091360F">
        <w:rPr>
          <w:rFonts w:ascii="Book Antiqua" w:eastAsia="宋体" w:hAnsi="Book Antiqua" w:cs="Times New Roman"/>
          <w:kern w:val="0"/>
          <w:sz w:val="24"/>
          <w:szCs w:val="24"/>
        </w:rPr>
        <w:t xml:space="preserve"> &lt; 0.05 was considered statistically significant.</w:t>
      </w:r>
    </w:p>
    <w:p w14:paraId="27B0A1ED" w14:textId="77777777" w:rsidR="00DC1D14" w:rsidRPr="0091360F" w:rsidRDefault="00DC1D14" w:rsidP="00420454">
      <w:pPr>
        <w:snapToGrid w:val="0"/>
        <w:spacing w:line="360" w:lineRule="auto"/>
        <w:rPr>
          <w:rFonts w:ascii="Book Antiqua" w:hAnsi="Book Antiqua" w:cs="Times New Roman"/>
          <w:b/>
          <w:bCs/>
          <w:sz w:val="24"/>
          <w:szCs w:val="24"/>
        </w:rPr>
      </w:pPr>
      <w:bookmarkStart w:id="70" w:name="_Hlk20373896"/>
    </w:p>
    <w:p w14:paraId="1B93CE4E" w14:textId="42D95C24" w:rsidR="003746CE" w:rsidRPr="0091360F" w:rsidRDefault="003746C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RESULTS</w:t>
      </w:r>
    </w:p>
    <w:p w14:paraId="105E4E0C" w14:textId="0896F3DD" w:rsidR="003746CE" w:rsidRPr="0091360F" w:rsidRDefault="003746CE"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Patient characteristics</w:t>
      </w:r>
    </w:p>
    <w:p w14:paraId="0CE4CF52" w14:textId="137F314A" w:rsidR="003746CE" w:rsidRPr="0091360F" w:rsidRDefault="00C52856" w:rsidP="00DC1D1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 total of 490 consecutive cirrhotic patients with acute UGIB were screened, and 160 patients were excluded for the following reasons: patients younger than 18 years of age (</w:t>
      </w:r>
      <w:r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1), endoscopy was refused or intolerant (</w:t>
      </w:r>
      <w:r w:rsidR="00503CF7"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42), transferred patients (</w:t>
      </w:r>
      <w:r w:rsidR="00503CF7"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42), patients with incomplete records (</w:t>
      </w:r>
      <w:r w:rsidR="00503CF7"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10), and nonvariceal UGIB</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65). Finally, 330 independent patients with acute variceal bleeding were included based on the inclusion criteria (Figure 1).</w:t>
      </w:r>
      <w:r w:rsidR="003746CE" w:rsidRPr="0091360F">
        <w:rPr>
          <w:rFonts w:ascii="Book Antiqua" w:hAnsi="Book Antiqua" w:cs="Times New Roman"/>
          <w:sz w:val="24"/>
          <w:szCs w:val="24"/>
        </w:rPr>
        <w:t xml:space="preserve"> The characteristics of the included patients are listed in Table 1.</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The mean age of the</w:t>
      </w:r>
      <w:r w:rsidR="00C75B8F">
        <w:rPr>
          <w:rFonts w:ascii="Book Antiqua" w:hAnsi="Book Antiqua" w:cs="Times New Roman"/>
          <w:sz w:val="24"/>
          <w:szCs w:val="24"/>
        </w:rPr>
        <w:t>se</w:t>
      </w:r>
      <w:r w:rsidR="003746CE" w:rsidRPr="0091360F">
        <w:rPr>
          <w:rFonts w:ascii="Book Antiqua" w:hAnsi="Book Antiqua" w:cs="Times New Roman"/>
          <w:sz w:val="24"/>
          <w:szCs w:val="24"/>
        </w:rPr>
        <w:t xml:space="preserve"> patients was 54.9</w:t>
      </w:r>
      <w:r w:rsidR="00503CF7" w:rsidRPr="0091360F">
        <w:rPr>
          <w:rFonts w:ascii="Book Antiqua" w:hAnsi="Book Antiqua" w:cs="Times New Roman"/>
          <w:sz w:val="24"/>
          <w:szCs w:val="24"/>
        </w:rPr>
        <w:t xml:space="preserve"> </w:t>
      </w:r>
      <w:r w:rsidR="003746CE"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003746CE" w:rsidRPr="0091360F">
        <w:rPr>
          <w:rFonts w:ascii="Book Antiqua" w:hAnsi="Book Antiqua" w:cs="Times New Roman"/>
          <w:sz w:val="24"/>
          <w:szCs w:val="24"/>
        </w:rPr>
        <w:t>12.7 years (range, 25 to 85 years), and 203 patients (61.5%) were male. The vast</w:t>
      </w:r>
      <w:r w:rsidR="009933D2">
        <w:rPr>
          <w:rFonts w:ascii="Book Antiqua" w:hAnsi="Book Antiqua" w:cs="Times New Roman"/>
          <w:sz w:val="24"/>
          <w:szCs w:val="24"/>
        </w:rPr>
        <w:t xml:space="preserve"> </w:t>
      </w:r>
      <w:r w:rsidR="003746CE" w:rsidRPr="0091360F">
        <w:rPr>
          <w:rFonts w:ascii="Book Antiqua" w:hAnsi="Book Antiqua" w:cs="Times New Roman"/>
          <w:sz w:val="24"/>
          <w:szCs w:val="24"/>
        </w:rPr>
        <w:t xml:space="preserve">majority of cirrhosis cases </w:t>
      </w:r>
      <w:r w:rsidR="003746CE" w:rsidRPr="0091360F">
        <w:rPr>
          <w:rFonts w:ascii="Book Antiqua" w:eastAsia="等线" w:hAnsi="Book Antiqua" w:cs="Times New Roman"/>
          <w:sz w:val="24"/>
          <w:szCs w:val="24"/>
        </w:rPr>
        <w:t>were</w:t>
      </w:r>
      <w:r w:rsidR="003746CE" w:rsidRPr="0091360F">
        <w:rPr>
          <w:rFonts w:ascii="Book Antiqua" w:hAnsi="Book Antiqua" w:cs="Times New Roman"/>
          <w:sz w:val="24"/>
          <w:szCs w:val="24"/>
        </w:rPr>
        <w:t xml:space="preserve"> caused by viral hepatitis; 54.8% patients had HBV, and 13.9%</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patients had HCV.</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Alcoholic and autoimmune cirrhosis accounted for 6.4% and 10.3% of the total, respectively. The location of variceal bleeding was esophageal varices in 89.4% of patients and gastric varices in 10.6% of patients.</w:t>
      </w:r>
      <w:r w:rsidR="003746CE" w:rsidRPr="0091360F">
        <w:rPr>
          <w:rFonts w:ascii="Book Antiqua" w:hAnsi="Book Antiqua"/>
          <w:sz w:val="24"/>
          <w:szCs w:val="24"/>
        </w:rPr>
        <w:t xml:space="preserve"> </w:t>
      </w:r>
      <w:r w:rsidR="00D462E7" w:rsidRPr="0091360F">
        <w:rPr>
          <w:rFonts w:ascii="Book Antiqua" w:hAnsi="Book Antiqua" w:cs="Times New Roman"/>
          <w:sz w:val="24"/>
          <w:szCs w:val="24"/>
        </w:rPr>
        <w:t xml:space="preserve">The proportion of severe esophageal varices was 84.4%. Type 1 gastroesophageal varices (GOV1) were classified into esophageal varices. Varices of </w:t>
      </w:r>
      <w:r w:rsidR="00C75B8F">
        <w:rPr>
          <w:rFonts w:ascii="Book Antiqua" w:hAnsi="Book Antiqua" w:cs="Times New Roman"/>
          <w:sz w:val="24"/>
          <w:szCs w:val="24"/>
        </w:rPr>
        <w:t xml:space="preserve">the </w:t>
      </w:r>
      <w:r w:rsidR="00D462E7" w:rsidRPr="0091360F">
        <w:rPr>
          <w:rFonts w:ascii="Book Antiqua" w:hAnsi="Book Antiqua" w:cs="Times New Roman"/>
          <w:sz w:val="24"/>
          <w:szCs w:val="24"/>
        </w:rPr>
        <w:t xml:space="preserve">stomach </w:t>
      </w:r>
      <w:r w:rsidR="00C75B8F" w:rsidRPr="0091360F">
        <w:rPr>
          <w:rFonts w:ascii="Book Antiqua" w:hAnsi="Book Antiqua" w:cs="Times New Roman"/>
          <w:sz w:val="24"/>
          <w:szCs w:val="24"/>
        </w:rPr>
        <w:t xml:space="preserve">fundus </w:t>
      </w:r>
      <w:r w:rsidR="00D462E7" w:rsidRPr="0091360F">
        <w:rPr>
          <w:rFonts w:ascii="Book Antiqua" w:hAnsi="Book Antiqua" w:cs="Times New Roman"/>
          <w:sz w:val="24"/>
          <w:szCs w:val="24"/>
        </w:rPr>
        <w:t>included 62.9% type 2 gastroesophageal varices (GOV</w:t>
      </w:r>
      <w:r w:rsidR="00606A67" w:rsidRPr="0091360F">
        <w:rPr>
          <w:rFonts w:ascii="Book Antiqua" w:hAnsi="Book Antiqua" w:cs="Times New Roman"/>
          <w:sz w:val="24"/>
          <w:szCs w:val="24"/>
        </w:rPr>
        <w:t>2</w:t>
      </w:r>
      <w:r w:rsidR="00D462E7" w:rsidRPr="0091360F">
        <w:rPr>
          <w:rFonts w:ascii="Book Antiqua" w:hAnsi="Book Antiqua" w:cs="Times New Roman"/>
          <w:sz w:val="24"/>
          <w:szCs w:val="24"/>
        </w:rPr>
        <w:t xml:space="preserve">) and 37.1% type 1 isolated gastric varices (IGV1). </w:t>
      </w:r>
      <w:r w:rsidR="003746CE" w:rsidRPr="0091360F">
        <w:rPr>
          <w:rFonts w:ascii="Book Antiqua" w:hAnsi="Book Antiqua" w:cs="Times New Roman"/>
          <w:sz w:val="24"/>
          <w:szCs w:val="24"/>
        </w:rPr>
        <w:t xml:space="preserve">A total of 69.4% of the patients with cirrhosis were categorized as </w:t>
      </w:r>
      <w:r w:rsidR="00C96C68">
        <w:rPr>
          <w:rFonts w:ascii="Book Antiqua" w:hAnsi="Book Antiqua" w:cs="Times New Roman"/>
          <w:sz w:val="24"/>
          <w:szCs w:val="24"/>
        </w:rPr>
        <w:t>CTP</w:t>
      </w:r>
      <w:r w:rsidR="0067540D">
        <w:rPr>
          <w:rFonts w:ascii="Book Antiqua" w:hAnsi="Book Antiqua" w:cs="Times New Roman"/>
          <w:sz w:val="24"/>
          <w:szCs w:val="24"/>
        </w:rPr>
        <w:t xml:space="preserve"> </w:t>
      </w:r>
      <w:r w:rsidR="003746CE" w:rsidRPr="0091360F">
        <w:rPr>
          <w:rFonts w:ascii="Book Antiqua" w:hAnsi="Book Antiqua" w:cs="Times New Roman"/>
          <w:sz w:val="24"/>
          <w:szCs w:val="24"/>
        </w:rPr>
        <w:t xml:space="preserve">grade B or C. </w:t>
      </w:r>
      <w:r w:rsidR="00C75B8F">
        <w:rPr>
          <w:rFonts w:ascii="Book Antiqua" w:hAnsi="Book Antiqua" w:cs="Times New Roman"/>
          <w:sz w:val="24"/>
          <w:szCs w:val="24"/>
        </w:rPr>
        <w:t>With r</w:t>
      </w:r>
      <w:r w:rsidR="003746CE" w:rsidRPr="0091360F">
        <w:rPr>
          <w:rFonts w:ascii="Book Antiqua" w:hAnsi="Book Antiqua" w:cs="Times New Roman"/>
          <w:sz w:val="24"/>
          <w:szCs w:val="24"/>
        </w:rPr>
        <w:t>egard</w:t>
      </w:r>
      <w:r w:rsidR="00C75B8F">
        <w:rPr>
          <w:rFonts w:ascii="Book Antiqua" w:hAnsi="Book Antiqua" w:cs="Times New Roman"/>
          <w:sz w:val="24"/>
          <w:szCs w:val="24"/>
        </w:rPr>
        <w:t xml:space="preserve"> to</w:t>
      </w:r>
      <w:r w:rsidR="003746CE" w:rsidRPr="0091360F">
        <w:rPr>
          <w:rFonts w:ascii="Book Antiqua" w:hAnsi="Book Antiqua" w:cs="Times New Roman"/>
          <w:sz w:val="24"/>
          <w:szCs w:val="24"/>
        </w:rPr>
        <w:t xml:space="preserve"> complications, 70.6% </w:t>
      </w:r>
      <w:r w:rsidR="003746CE" w:rsidRPr="0091360F">
        <w:rPr>
          <w:rFonts w:ascii="Book Antiqua" w:eastAsia="等线" w:hAnsi="Book Antiqua" w:cs="Times New Roman"/>
          <w:sz w:val="24"/>
          <w:szCs w:val="24"/>
        </w:rPr>
        <w:t xml:space="preserve">of </w:t>
      </w:r>
      <w:r w:rsidR="003746CE" w:rsidRPr="0091360F">
        <w:rPr>
          <w:rFonts w:ascii="Book Antiqua" w:hAnsi="Book Antiqua" w:cs="Times New Roman"/>
          <w:sz w:val="24"/>
          <w:szCs w:val="24"/>
        </w:rPr>
        <w:t>cirrhotic patients had ascites, 8.5%</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 xml:space="preserve">had hepatic encephalopathy, 22.1% had </w:t>
      </w:r>
      <w:r w:rsidR="003746CE" w:rsidRPr="0091360F">
        <w:rPr>
          <w:rFonts w:ascii="Book Antiqua" w:hAnsi="Book Antiqua" w:cs="Times New Roman"/>
          <w:sz w:val="24"/>
          <w:szCs w:val="24"/>
        </w:rPr>
        <w:lastRenderedPageBreak/>
        <w:t>hepatocellular carcinoma, 19.1% had bacterial infection, and 29.4%</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had portal vein thrombosis. The Charlson Comorbidity Index (CCI) was used for comorbidity assessment, and the proportion of patients with a CCI greater than 6 points was 13.6%. To control bleeding, 44.8% of patients received only medication, 42.4% received endoscopic treatments, and 12.8% received TIPSS or surgery. The median hospital stay was 13 (9-20) d.</w:t>
      </w:r>
    </w:p>
    <w:p w14:paraId="7B71F2BA" w14:textId="77777777" w:rsidR="00503CF7" w:rsidRPr="0091360F" w:rsidRDefault="00503CF7" w:rsidP="00420454">
      <w:pPr>
        <w:snapToGrid w:val="0"/>
        <w:spacing w:line="360" w:lineRule="auto"/>
        <w:rPr>
          <w:rFonts w:ascii="Book Antiqua" w:hAnsi="Book Antiqua" w:cs="Times New Roman"/>
          <w:b/>
          <w:bCs/>
          <w:sz w:val="24"/>
          <w:szCs w:val="24"/>
        </w:rPr>
      </w:pPr>
    </w:p>
    <w:p w14:paraId="40F22FAA" w14:textId="01E9A52A" w:rsidR="003746CE" w:rsidRPr="0091360F" w:rsidRDefault="003746CE"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In-hospital rebleeding</w:t>
      </w:r>
    </w:p>
    <w:p w14:paraId="261B7369" w14:textId="418E8188" w:rsidR="003746CE" w:rsidRPr="0091360F" w:rsidRDefault="003746CE" w:rsidP="00503CF7">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Sixty-seven patients underwent in-hospital rebleeding, and the hospital rebleeding rate was 20.3%.</w:t>
      </w:r>
      <w:bookmarkStart w:id="71" w:name="OLE_LINK1"/>
      <w:bookmarkStart w:id="72" w:name="OLE_LINK2"/>
      <w:r w:rsidRPr="0091360F">
        <w:rPr>
          <w:rFonts w:ascii="Book Antiqua" w:hAnsi="Book Antiqua" w:cs="Times New Roman"/>
          <w:sz w:val="24"/>
          <w:szCs w:val="24"/>
        </w:rPr>
        <w:t xml:space="preserve"> </w:t>
      </w:r>
      <w:r w:rsidR="00237AC4" w:rsidRPr="0091360F">
        <w:rPr>
          <w:rFonts w:ascii="Book Antiqua" w:hAnsi="Book Antiqua" w:cs="Times New Roman"/>
          <w:sz w:val="24"/>
          <w:szCs w:val="24"/>
        </w:rPr>
        <w:t>The median time interval between admission and rebleeding w</w:t>
      </w:r>
      <w:r w:rsidR="00830CCF">
        <w:rPr>
          <w:rFonts w:ascii="Book Antiqua" w:hAnsi="Book Antiqua" w:cs="Times New Roman"/>
          <w:sz w:val="24"/>
          <w:szCs w:val="24"/>
        </w:rPr>
        <w:t>as</w:t>
      </w:r>
      <w:r w:rsidR="00237AC4" w:rsidRPr="0091360F">
        <w:rPr>
          <w:rFonts w:ascii="Book Antiqua" w:hAnsi="Book Antiqua" w:cs="Times New Roman"/>
          <w:sz w:val="24"/>
          <w:szCs w:val="24"/>
        </w:rPr>
        <w:t xml:space="preserve"> 5 d. 40.3% of rebleeding events occurred within 3 d, 70.1% within 7 d, and 29.9% beyond 7 d</w:t>
      </w:r>
      <w:r w:rsidR="00503CF7" w:rsidRPr="0091360F">
        <w:rPr>
          <w:rFonts w:ascii="Book Antiqua" w:hAnsi="Book Antiqua" w:cs="Times New Roman"/>
          <w:sz w:val="24"/>
          <w:szCs w:val="24"/>
        </w:rPr>
        <w:t xml:space="preserve"> </w:t>
      </w:r>
      <w:r w:rsidR="00237AC4" w:rsidRPr="0091360F">
        <w:rPr>
          <w:rFonts w:ascii="Book Antiqua" w:hAnsi="Book Antiqua" w:cs="Times New Roman"/>
          <w:sz w:val="24"/>
          <w:szCs w:val="24"/>
        </w:rPr>
        <w:t xml:space="preserve">(Table 2). </w:t>
      </w:r>
      <w:r w:rsidRPr="0091360F">
        <w:rPr>
          <w:rFonts w:ascii="Book Antiqua" w:hAnsi="Book Antiqua" w:cs="Times New Roman"/>
          <w:sz w:val="24"/>
          <w:szCs w:val="24"/>
        </w:rPr>
        <w:t>For predicting</w:t>
      </w:r>
      <w:r w:rsidRPr="0091360F">
        <w:rPr>
          <w:rFonts w:ascii="Book Antiqua" w:hAnsi="Book Antiqua"/>
          <w:sz w:val="24"/>
          <w:szCs w:val="24"/>
        </w:rPr>
        <w:t xml:space="preserve"> </w:t>
      </w:r>
      <w:r w:rsidRPr="0091360F">
        <w:rPr>
          <w:rFonts w:ascii="Book Antiqua" w:hAnsi="Book Antiqua" w:cs="Times New Roman"/>
          <w:sz w:val="24"/>
          <w:szCs w:val="24"/>
        </w:rPr>
        <w:t>in-hospital rebleeding, the AUROCs of the</w:t>
      </w:r>
      <w:r w:rsidRPr="0091360F">
        <w:rPr>
          <w:rFonts w:ascii="Book Antiqua" w:hAnsi="Book Antiqua"/>
          <w:sz w:val="24"/>
          <w:szCs w:val="24"/>
        </w:rPr>
        <w:t xml:space="preserve"> </w:t>
      </w:r>
      <w:r w:rsidRPr="0091360F">
        <w:rPr>
          <w:rFonts w:ascii="Book Antiqua" w:hAnsi="Book Antiqua" w:cs="Times New Roman"/>
          <w:sz w:val="24"/>
          <w:szCs w:val="24"/>
        </w:rPr>
        <w:t>CTP, CRS, MELD-Na, MELD, CANUKA, AIMS65, GBS and mGBS scoring systems were 0.72, 0.72, 0.68, 0.66, 0.66, 0.64, 0.62 and 0.60, respectively (Figure 2</w:t>
      </w:r>
      <w:r w:rsidR="0091360F">
        <w:rPr>
          <w:rFonts w:ascii="Book Antiqua" w:hAnsi="Book Antiqua" w:cs="Times New Roman"/>
          <w:sz w:val="24"/>
          <w:szCs w:val="24"/>
        </w:rPr>
        <w:t>A</w:t>
      </w:r>
      <w:r w:rsidRPr="0091360F">
        <w:rPr>
          <w:rFonts w:ascii="Book Antiqua" w:hAnsi="Book Antiqua" w:cs="Times New Roman"/>
          <w:sz w:val="24"/>
          <w:szCs w:val="24"/>
        </w:rPr>
        <w:t xml:space="preserve">; Table </w:t>
      </w:r>
      <w:r w:rsidR="00671573" w:rsidRPr="0091360F">
        <w:rPr>
          <w:rFonts w:ascii="Book Antiqua" w:hAnsi="Book Antiqua" w:cs="Times New Roman"/>
          <w:sz w:val="24"/>
          <w:szCs w:val="24"/>
        </w:rPr>
        <w:t>3</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All AUROCs were statistically significant (</w:t>
      </w:r>
      <w:r w:rsidRPr="0091360F">
        <w:rPr>
          <w:rFonts w:ascii="Book Antiqua" w:hAnsi="Book Antiqua" w:cs="Times New Roman"/>
          <w:i/>
          <w:iCs/>
          <w:sz w:val="24"/>
          <w:szCs w:val="24"/>
        </w:rPr>
        <w:t>P</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&lt;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0.05). Pairwise comparisons of the AUROCs found no signiﬁcant differences in discriminative ability among the CTP, CRS, MELD-Na, MELD and CANUKA (</w:t>
      </w:r>
      <w:r w:rsidR="00503CF7" w:rsidRPr="0091360F">
        <w:rPr>
          <w:rFonts w:ascii="Book Antiqua" w:hAnsi="Book Antiqua" w:cs="Times New Roman"/>
          <w:i/>
          <w:iCs/>
          <w:sz w:val="24"/>
          <w:szCs w:val="24"/>
        </w:rPr>
        <w:t>P</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0.05). Only the AUROCs of the CTP and CRS were clinically acceptable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(AUROC</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 xml:space="preserve">0.7). Table </w:t>
      </w:r>
      <w:r w:rsidR="0021477B" w:rsidRPr="0091360F">
        <w:rPr>
          <w:rFonts w:ascii="Book Antiqua" w:hAnsi="Book Antiqua" w:cs="Times New Roman"/>
          <w:sz w:val="24"/>
          <w:szCs w:val="24"/>
        </w:rPr>
        <w:t>4</w:t>
      </w:r>
      <w:r w:rsidRPr="0091360F">
        <w:rPr>
          <w:rFonts w:ascii="Book Antiqua" w:hAnsi="Book Antiqua" w:cs="Times New Roman"/>
          <w:sz w:val="24"/>
          <w:szCs w:val="24"/>
        </w:rPr>
        <w:t xml:space="preserve"> presents the diagnostic value indices for the clinically useful</w:t>
      </w:r>
      <w:r w:rsidRPr="0091360F">
        <w:rPr>
          <w:rFonts w:ascii="Book Antiqua" w:hAnsi="Book Antiqua"/>
          <w:sz w:val="24"/>
          <w:szCs w:val="24"/>
        </w:rPr>
        <w:t xml:space="preserve"> </w:t>
      </w:r>
      <w:r w:rsidRPr="0091360F">
        <w:rPr>
          <w:rFonts w:ascii="Book Antiqua" w:hAnsi="Book Antiqua" w:cs="Times New Roman"/>
          <w:sz w:val="24"/>
          <w:szCs w:val="24"/>
        </w:rPr>
        <w:t xml:space="preserve">scoring systems. The cut-off points for the CTP and CRS were 7 and 2, respectively. The sensitivity, specificity, positive predictive value and negative predictive value for the CTP were 74.6%, 63.9%, 34.5% and 90.8%, respectively, and </w:t>
      </w:r>
      <w:r w:rsidRPr="0091360F">
        <w:rPr>
          <w:rFonts w:ascii="Book Antiqua" w:eastAsia="等线" w:hAnsi="Book Antiqua" w:cs="Times New Roman"/>
          <w:sz w:val="24"/>
          <w:szCs w:val="24"/>
        </w:rPr>
        <w:t xml:space="preserve">the </w:t>
      </w:r>
      <w:r w:rsidRPr="0091360F">
        <w:rPr>
          <w:rFonts w:ascii="Book Antiqua" w:hAnsi="Book Antiqua" w:cs="Times New Roman"/>
          <w:sz w:val="24"/>
          <w:szCs w:val="24"/>
        </w:rPr>
        <w:t xml:space="preserve">corresponding </w:t>
      </w:r>
      <w:r w:rsidRPr="0091360F">
        <w:rPr>
          <w:rFonts w:ascii="Book Antiqua" w:eastAsia="等线" w:hAnsi="Book Antiqua" w:cs="Times New Roman"/>
          <w:sz w:val="24"/>
          <w:szCs w:val="24"/>
        </w:rPr>
        <w:t>values</w:t>
      </w:r>
      <w:r w:rsidRPr="0091360F">
        <w:rPr>
          <w:rFonts w:ascii="Book Antiqua" w:hAnsi="Book Antiqua" w:cs="Times New Roman"/>
          <w:sz w:val="24"/>
          <w:szCs w:val="24"/>
        </w:rPr>
        <w:t xml:space="preserve"> for the CRS were 65.7%, 74.1%, 39.3% and 89.4%, respectively.</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 xml:space="preserve">In addition, the calibration of each scoring system was good, and no significant difference was found between the actual and predicted </w:t>
      </w:r>
      <w:r w:rsidRPr="0091360F">
        <w:rPr>
          <w:rFonts w:ascii="Book Antiqua" w:eastAsia="等线" w:hAnsi="Book Antiqua" w:cs="Times New Roman"/>
          <w:sz w:val="24"/>
          <w:szCs w:val="24"/>
        </w:rPr>
        <w:t>probabilities</w:t>
      </w:r>
      <w:r w:rsidRPr="0091360F">
        <w:rPr>
          <w:rFonts w:ascii="Book Antiqua" w:hAnsi="Book Antiqua" w:cs="Times New Roman"/>
          <w:sz w:val="24"/>
          <w:szCs w:val="24"/>
        </w:rPr>
        <w:t xml:space="preserve"> (Table </w:t>
      </w:r>
      <w:r w:rsidR="003D7692" w:rsidRPr="0091360F">
        <w:rPr>
          <w:rFonts w:ascii="Book Antiqua" w:hAnsi="Book Antiqua" w:cs="Times New Roman"/>
          <w:sz w:val="24"/>
          <w:szCs w:val="24"/>
        </w:rPr>
        <w:t>3</w:t>
      </w:r>
      <w:r w:rsidRPr="0091360F">
        <w:rPr>
          <w:rFonts w:ascii="Book Antiqua" w:hAnsi="Book Antiqua" w:cs="Times New Roman"/>
          <w:sz w:val="24"/>
          <w:szCs w:val="24"/>
        </w:rPr>
        <w:t>). A graphical analysis of the scoring system calibration showed a “good” goodness-of-fit for the CTP and CRS (Supplementary Figure 1).</w:t>
      </w:r>
    </w:p>
    <w:p w14:paraId="141E8275" w14:textId="77777777" w:rsidR="00503CF7" w:rsidRPr="0091360F" w:rsidRDefault="00503CF7" w:rsidP="00420454">
      <w:pPr>
        <w:snapToGrid w:val="0"/>
        <w:spacing w:line="360" w:lineRule="auto"/>
        <w:rPr>
          <w:rFonts w:ascii="Book Antiqua" w:hAnsi="Book Antiqua" w:cs="Times New Roman"/>
          <w:b/>
          <w:bCs/>
          <w:sz w:val="24"/>
          <w:szCs w:val="24"/>
        </w:rPr>
      </w:pPr>
    </w:p>
    <w:p w14:paraId="06275725" w14:textId="528D5C65" w:rsidR="003746CE" w:rsidRPr="0091360F" w:rsidRDefault="003746CE"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In-hospital mortality</w:t>
      </w:r>
    </w:p>
    <w:p w14:paraId="2E46CB4F" w14:textId="4B4DA87A" w:rsidR="003746CE" w:rsidRPr="0091360F" w:rsidRDefault="003746CE" w:rsidP="00503CF7">
      <w:pPr>
        <w:snapToGrid w:val="0"/>
        <w:spacing w:line="360" w:lineRule="auto"/>
        <w:rPr>
          <w:rFonts w:ascii="Book Antiqua" w:hAnsi="Book Antiqua" w:cs="Times New Roman"/>
          <w:sz w:val="24"/>
          <w:szCs w:val="24"/>
        </w:rPr>
      </w:pPr>
      <w:r w:rsidRPr="0091360F">
        <w:rPr>
          <w:rFonts w:ascii="Book Antiqua" w:eastAsia="等线" w:hAnsi="Book Antiqua" w:cs="Times New Roman"/>
          <w:sz w:val="24"/>
          <w:szCs w:val="24"/>
        </w:rPr>
        <w:t>Thirty-five</w:t>
      </w:r>
      <w:r w:rsidRPr="0091360F">
        <w:rPr>
          <w:rFonts w:ascii="Book Antiqua" w:hAnsi="Book Antiqua" w:cs="Times New Roman"/>
          <w:sz w:val="24"/>
          <w:szCs w:val="24"/>
        </w:rPr>
        <w:t xml:space="preserve"> patients died during hospitalization. </w:t>
      </w:r>
      <w:r w:rsidRPr="0091360F">
        <w:rPr>
          <w:rFonts w:ascii="Book Antiqua" w:eastAsia="等线" w:hAnsi="Book Antiqua" w:cs="Times New Roman"/>
          <w:sz w:val="24"/>
          <w:szCs w:val="24"/>
        </w:rPr>
        <w:t>The in</w:t>
      </w:r>
      <w:r w:rsidRPr="0091360F">
        <w:rPr>
          <w:rFonts w:ascii="Book Antiqua" w:hAnsi="Book Antiqua" w:cs="Times New Roman"/>
          <w:sz w:val="24"/>
          <w:szCs w:val="24"/>
        </w:rPr>
        <w:t xml:space="preserve">-hospital mortality rate </w:t>
      </w:r>
      <w:r w:rsidRPr="0091360F">
        <w:rPr>
          <w:rFonts w:ascii="Book Antiqua" w:hAnsi="Book Antiqua" w:cs="Times New Roman"/>
          <w:sz w:val="24"/>
          <w:szCs w:val="24"/>
        </w:rPr>
        <w:lastRenderedPageBreak/>
        <w:t>was 10.6%</w:t>
      </w:r>
      <w:r w:rsidRPr="0091360F">
        <w:rPr>
          <w:rFonts w:ascii="Book Antiqua" w:hAnsi="Book Antiqua"/>
          <w:sz w:val="24"/>
          <w:szCs w:val="24"/>
        </w:rPr>
        <w:t xml:space="preserve"> </w:t>
      </w:r>
      <w:r w:rsidRPr="0091360F">
        <w:rPr>
          <w:rFonts w:ascii="Book Antiqua" w:hAnsi="Book Antiqua" w:cs="Times New Roman"/>
          <w:sz w:val="24"/>
          <w:szCs w:val="24"/>
        </w:rPr>
        <w:t>in all patients, 25.4% in patients with</w:t>
      </w:r>
      <w:r w:rsidRPr="0091360F">
        <w:rPr>
          <w:rFonts w:ascii="Book Antiqua" w:hAnsi="Book Antiqua"/>
          <w:sz w:val="24"/>
          <w:szCs w:val="24"/>
        </w:rPr>
        <w:t xml:space="preserve"> </w:t>
      </w:r>
      <w:r w:rsidRPr="0091360F">
        <w:rPr>
          <w:rFonts w:ascii="Book Antiqua" w:hAnsi="Book Antiqua" w:cs="Times New Roman"/>
          <w:sz w:val="24"/>
          <w:szCs w:val="24"/>
        </w:rPr>
        <w:t>in-hospital rebleeding and 6.8% in patients without in-hospital rebleeding</w:t>
      </w:r>
      <w:r w:rsidR="00922091" w:rsidRPr="0091360F">
        <w:rPr>
          <w:rFonts w:ascii="Book Antiqua" w:hAnsi="Book Antiqua" w:cs="Times New Roman"/>
          <w:sz w:val="24"/>
          <w:szCs w:val="24"/>
        </w:rPr>
        <w:t xml:space="preserve"> (Table 2)</w:t>
      </w:r>
      <w:r w:rsidRPr="0091360F">
        <w:rPr>
          <w:rFonts w:ascii="Book Antiqua" w:hAnsi="Book Antiqua" w:cs="Times New Roman"/>
          <w:sz w:val="24"/>
          <w:szCs w:val="24"/>
        </w:rPr>
        <w:t>. Only one patient died of extrahepatic disease; the cause of death in the other patients was variceal bleeding or organ failure. The CRS, CTP, AIMS65, MELD-N</w:t>
      </w:r>
      <w:r w:rsidR="00830CCF">
        <w:rPr>
          <w:rFonts w:ascii="Book Antiqua" w:hAnsi="Book Antiqua" w:cs="Times New Roman"/>
          <w:sz w:val="24"/>
          <w:szCs w:val="24"/>
        </w:rPr>
        <w:t>a</w:t>
      </w:r>
      <w:r w:rsidRPr="0091360F">
        <w:rPr>
          <w:rFonts w:ascii="Book Antiqua" w:hAnsi="Book Antiqua" w:cs="Times New Roman"/>
          <w:sz w:val="24"/>
          <w:szCs w:val="24"/>
        </w:rPr>
        <w:t xml:space="preserve"> and MELD showed excellent</w:t>
      </w:r>
      <w:r w:rsidRPr="0091360F">
        <w:rPr>
          <w:rFonts w:ascii="Book Antiqua" w:hAnsi="Book Antiqua"/>
          <w:sz w:val="24"/>
          <w:szCs w:val="24"/>
        </w:rPr>
        <w:t xml:space="preserve"> </w:t>
      </w:r>
      <w:r w:rsidRPr="0091360F">
        <w:rPr>
          <w:rFonts w:ascii="Book Antiqua" w:hAnsi="Book Antiqua" w:cs="Times New Roman"/>
          <w:sz w:val="24"/>
          <w:szCs w:val="24"/>
        </w:rPr>
        <w:t>discriminative ability;</w:t>
      </w:r>
      <w:bookmarkStart w:id="73" w:name="_Hlk20373986"/>
      <w:r w:rsidRPr="0091360F">
        <w:rPr>
          <w:rFonts w:ascii="Book Antiqua" w:hAnsi="Book Antiqua" w:cs="Times New Roman"/>
          <w:sz w:val="24"/>
          <w:szCs w:val="24"/>
        </w:rPr>
        <w:t xml:space="preserve"> their AUROCs were greater than 0.8 </w:t>
      </w:r>
      <w:r w:rsidR="00830CCF">
        <w:rPr>
          <w:rFonts w:ascii="Book Antiqua" w:hAnsi="Book Antiqua" w:cs="Times New Roman"/>
          <w:sz w:val="24"/>
          <w:szCs w:val="24"/>
        </w:rPr>
        <w:t>and</w:t>
      </w:r>
      <w:r w:rsidRPr="0091360F">
        <w:rPr>
          <w:rFonts w:ascii="Book Antiqua" w:hAnsi="Book Antiqua" w:cs="Times New Roman"/>
          <w:sz w:val="24"/>
          <w:szCs w:val="24"/>
        </w:rPr>
        <w:t xml:space="preserve"> statistically significan</w:t>
      </w:r>
      <w:r w:rsidR="00830CCF">
        <w:rPr>
          <w:rFonts w:ascii="Book Antiqua" w:hAnsi="Book Antiqua" w:cs="Times New Roman"/>
          <w:sz w:val="24"/>
          <w:szCs w:val="24"/>
        </w:rPr>
        <w:t>t</w:t>
      </w:r>
      <w:r w:rsidRPr="0091360F">
        <w:rPr>
          <w:rFonts w:ascii="Book Antiqua" w:hAnsi="Book Antiqua" w:cs="Times New Roman"/>
          <w:sz w:val="24"/>
          <w:szCs w:val="24"/>
        </w:rPr>
        <w:t xml:space="preserve"> (Figure </w:t>
      </w:r>
      <w:r w:rsidR="0091360F">
        <w:rPr>
          <w:rFonts w:ascii="Book Antiqua" w:hAnsi="Book Antiqua" w:cs="Times New Roman"/>
          <w:sz w:val="24"/>
          <w:szCs w:val="24"/>
        </w:rPr>
        <w:t>2B</w:t>
      </w:r>
      <w:r w:rsidRPr="0091360F">
        <w:rPr>
          <w:rFonts w:ascii="Book Antiqua" w:hAnsi="Book Antiqua" w:cs="Times New Roman"/>
          <w:sz w:val="24"/>
          <w:szCs w:val="24"/>
        </w:rPr>
        <w:t xml:space="preserve">; Table </w:t>
      </w:r>
      <w:r w:rsidR="00DB0F2D" w:rsidRPr="0091360F">
        <w:rPr>
          <w:rFonts w:ascii="Book Antiqua" w:hAnsi="Book Antiqua" w:cs="Times New Roman"/>
          <w:sz w:val="24"/>
          <w:szCs w:val="24"/>
        </w:rPr>
        <w:t>3</w:t>
      </w:r>
      <w:r w:rsidRPr="0091360F">
        <w:rPr>
          <w:rFonts w:ascii="Book Antiqua" w:hAnsi="Book Antiqua" w:cs="Times New Roman"/>
          <w:sz w:val="24"/>
          <w:szCs w:val="24"/>
        </w:rPr>
        <w:t>).</w:t>
      </w:r>
      <w:bookmarkEnd w:id="73"/>
      <w:r w:rsidRPr="0091360F">
        <w:rPr>
          <w:rFonts w:ascii="Book Antiqua" w:hAnsi="Book Antiqua"/>
          <w:sz w:val="24"/>
          <w:szCs w:val="24"/>
        </w:rPr>
        <w:t xml:space="preserve"> </w:t>
      </w:r>
      <w:r w:rsidRPr="0091360F">
        <w:rPr>
          <w:rFonts w:ascii="Book Antiqua" w:hAnsi="Book Antiqua" w:cs="Times New Roman"/>
          <w:sz w:val="24"/>
          <w:szCs w:val="24"/>
        </w:rPr>
        <w:t>Furthermore, pairwise comparisons found no signiﬁcant differences in these scoring systems. The AUROCs of mGBS, CANUKA and GBS were relatively small</w:t>
      </w:r>
      <w:r w:rsidR="00830CCF">
        <w:rPr>
          <w:rFonts w:ascii="Book Antiqua" w:hAnsi="Book Antiqua" w:cs="Times New Roman"/>
          <w:sz w:val="24"/>
          <w:szCs w:val="24"/>
        </w:rPr>
        <w:t>,</w:t>
      </w:r>
      <w:r w:rsidRPr="0091360F">
        <w:rPr>
          <w:rFonts w:ascii="Book Antiqua" w:hAnsi="Book Antiqua" w:cs="Times New Roman"/>
          <w:sz w:val="24"/>
          <w:szCs w:val="24"/>
        </w:rPr>
        <w:t xml:space="preserve"> but clinically acceptable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(AUROCs</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0.7).</w:t>
      </w:r>
      <w:r w:rsidRPr="0091360F">
        <w:rPr>
          <w:rFonts w:ascii="Book Antiqua" w:hAnsi="Book Antiqua"/>
          <w:sz w:val="24"/>
          <w:szCs w:val="24"/>
        </w:rPr>
        <w:t xml:space="preserve"> </w:t>
      </w:r>
      <w:r w:rsidRPr="0091360F">
        <w:rPr>
          <w:rFonts w:ascii="Book Antiqua" w:hAnsi="Book Antiqua" w:cs="Times New Roman"/>
          <w:sz w:val="24"/>
          <w:szCs w:val="24"/>
        </w:rPr>
        <w:t>The diagnostic value indices for predicting in-hospital</w:t>
      </w:r>
      <w:r w:rsidRPr="0091360F">
        <w:rPr>
          <w:rFonts w:ascii="Book Antiqua" w:hAnsi="Book Antiqua"/>
          <w:sz w:val="24"/>
          <w:szCs w:val="24"/>
        </w:rPr>
        <w:t xml:space="preserve"> </w:t>
      </w:r>
      <w:r w:rsidRPr="0091360F">
        <w:rPr>
          <w:rFonts w:ascii="Book Antiqua" w:hAnsi="Book Antiqua" w:cs="Times New Roman"/>
          <w:sz w:val="24"/>
          <w:szCs w:val="24"/>
        </w:rPr>
        <w:t xml:space="preserve">mortality </w:t>
      </w:r>
      <w:r w:rsidRPr="0091360F">
        <w:rPr>
          <w:rFonts w:ascii="Book Antiqua" w:eastAsia="等线" w:hAnsi="Book Antiqua" w:cs="Times New Roman"/>
          <w:sz w:val="24"/>
          <w:szCs w:val="24"/>
        </w:rPr>
        <w:t>are</w:t>
      </w:r>
      <w:r w:rsidRPr="0091360F">
        <w:rPr>
          <w:rFonts w:ascii="Book Antiqua" w:hAnsi="Book Antiqua" w:cs="Times New Roman"/>
          <w:sz w:val="24"/>
          <w:szCs w:val="24"/>
        </w:rPr>
        <w:t xml:space="preserve"> presented in Table </w:t>
      </w:r>
      <w:r w:rsidR="00DB0F2D" w:rsidRPr="0091360F">
        <w:rPr>
          <w:rFonts w:ascii="Book Antiqua" w:hAnsi="Book Antiqua" w:cs="Times New Roman"/>
          <w:sz w:val="24"/>
          <w:szCs w:val="24"/>
        </w:rPr>
        <w:t>4</w:t>
      </w:r>
      <w:r w:rsidRPr="0091360F">
        <w:rPr>
          <w:rFonts w:ascii="Book Antiqua" w:hAnsi="Book Antiqua" w:cs="Times New Roman"/>
          <w:sz w:val="24"/>
          <w:szCs w:val="24"/>
        </w:rPr>
        <w:t xml:space="preserve">. Moreover, the calibration of all scoring systems was excellent (Table </w:t>
      </w:r>
      <w:r w:rsidR="00DB0F2D" w:rsidRPr="0091360F">
        <w:rPr>
          <w:rFonts w:ascii="Book Antiqua" w:hAnsi="Book Antiqua" w:cs="Times New Roman"/>
          <w:sz w:val="24"/>
          <w:szCs w:val="24"/>
        </w:rPr>
        <w:t>3</w:t>
      </w:r>
      <w:r w:rsidRPr="0091360F">
        <w:rPr>
          <w:rFonts w:ascii="Book Antiqua" w:hAnsi="Book Antiqua" w:cs="Times New Roman"/>
          <w:sz w:val="24"/>
          <w:szCs w:val="24"/>
        </w:rPr>
        <w:t>). The graphical analysis showed similar results for the CTP and CRS</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(Supplementary Figure 2).</w:t>
      </w:r>
    </w:p>
    <w:p w14:paraId="539C5345" w14:textId="77777777" w:rsidR="00503CF7" w:rsidRPr="0091360F" w:rsidRDefault="00503CF7" w:rsidP="00503CF7">
      <w:pPr>
        <w:snapToGrid w:val="0"/>
        <w:spacing w:line="360" w:lineRule="auto"/>
        <w:rPr>
          <w:rFonts w:ascii="Book Antiqua" w:hAnsi="Book Antiqua" w:cs="Times New Roman"/>
          <w:sz w:val="24"/>
          <w:szCs w:val="24"/>
        </w:rPr>
      </w:pPr>
    </w:p>
    <w:p w14:paraId="6CF25742" w14:textId="77777777" w:rsidR="003746CE" w:rsidRPr="0091360F" w:rsidRDefault="003746CE"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In-hospital adverse outcomes</w:t>
      </w:r>
    </w:p>
    <w:p w14:paraId="280A7CB5" w14:textId="53ED71DB" w:rsidR="003746CE" w:rsidRPr="0091360F" w:rsidRDefault="003746CE" w:rsidP="00503CF7">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In-hospital adverse outcomes included rebleeding and death events. </w:t>
      </w:r>
      <w:r w:rsidRPr="0091360F">
        <w:rPr>
          <w:rFonts w:ascii="Book Antiqua" w:eastAsia="等线" w:hAnsi="Book Antiqua" w:cs="Times New Roman"/>
          <w:sz w:val="24"/>
          <w:szCs w:val="24"/>
        </w:rPr>
        <w:t xml:space="preserve">A total of </w:t>
      </w:r>
      <w:r w:rsidRPr="0091360F">
        <w:rPr>
          <w:rFonts w:ascii="Book Antiqua" w:hAnsi="Book Antiqua" w:cs="Times New Roman"/>
          <w:sz w:val="24"/>
          <w:szCs w:val="24"/>
        </w:rPr>
        <w:t>85 (25.8%) patients suffered from</w:t>
      </w:r>
      <w:r w:rsidRPr="0091360F">
        <w:rPr>
          <w:rFonts w:ascii="Book Antiqua" w:hAnsi="Book Antiqua"/>
          <w:sz w:val="24"/>
          <w:szCs w:val="24"/>
        </w:rPr>
        <w:t xml:space="preserve"> </w:t>
      </w:r>
      <w:r w:rsidRPr="0091360F">
        <w:rPr>
          <w:rFonts w:ascii="Book Antiqua" w:hAnsi="Book Antiqua" w:cs="Times New Roman"/>
          <w:sz w:val="24"/>
          <w:szCs w:val="24"/>
        </w:rPr>
        <w:t>in-hospital adverse events</w:t>
      </w:r>
      <w:r w:rsidR="00503CF7" w:rsidRPr="0091360F">
        <w:rPr>
          <w:rFonts w:ascii="Book Antiqua" w:hAnsi="Book Antiqua" w:cs="Times New Roman"/>
          <w:sz w:val="24"/>
          <w:szCs w:val="24"/>
        </w:rPr>
        <w:t xml:space="preserve"> </w:t>
      </w:r>
      <w:r w:rsidR="00565997" w:rsidRPr="0091360F">
        <w:rPr>
          <w:rFonts w:ascii="Book Antiqua" w:hAnsi="Book Antiqua" w:cs="Times New Roman"/>
          <w:sz w:val="24"/>
          <w:szCs w:val="24"/>
        </w:rPr>
        <w:t>(Table 2)</w:t>
      </w:r>
      <w:r w:rsidRPr="0091360F">
        <w:rPr>
          <w:rFonts w:ascii="Book Antiqua" w:hAnsi="Book Antiqua" w:cs="Times New Roman"/>
          <w:sz w:val="24"/>
          <w:szCs w:val="24"/>
        </w:rPr>
        <w:t>. The discriminative abilities of CTP, CRS, MELD-NA, MELD and AIMS65 were found to be clinically useful</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(AUROCs</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 xml:space="preserve">0.7) (Figure </w:t>
      </w:r>
      <w:r w:rsidR="0091360F">
        <w:rPr>
          <w:rFonts w:ascii="Book Antiqua" w:hAnsi="Book Antiqua" w:cs="Times New Roman"/>
          <w:sz w:val="24"/>
          <w:szCs w:val="24"/>
        </w:rPr>
        <w:t>2C</w:t>
      </w:r>
      <w:r w:rsidRPr="0091360F">
        <w:rPr>
          <w:rFonts w:ascii="Book Antiqua" w:hAnsi="Book Antiqua" w:cs="Times New Roman"/>
          <w:sz w:val="24"/>
          <w:szCs w:val="24"/>
        </w:rPr>
        <w:t xml:space="preserve">; Table </w:t>
      </w:r>
      <w:r w:rsidR="00565997" w:rsidRPr="0091360F">
        <w:rPr>
          <w:rFonts w:ascii="Book Antiqua" w:hAnsi="Book Antiqua" w:cs="Times New Roman"/>
          <w:sz w:val="24"/>
          <w:szCs w:val="24"/>
        </w:rPr>
        <w:t>3</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Pairwise comparisons showed no signiﬁcant differences among the CTP, CRS and</w:t>
      </w:r>
      <w:r w:rsidRPr="0091360F">
        <w:rPr>
          <w:rFonts w:ascii="Book Antiqua" w:hAnsi="Book Antiqua"/>
          <w:sz w:val="24"/>
          <w:szCs w:val="24"/>
        </w:rPr>
        <w:t xml:space="preserve"> </w:t>
      </w:r>
      <w:r w:rsidRPr="0091360F">
        <w:rPr>
          <w:rFonts w:ascii="Book Antiqua" w:hAnsi="Book Antiqua" w:cs="Times New Roman"/>
          <w:sz w:val="24"/>
          <w:szCs w:val="24"/>
        </w:rPr>
        <w:t>MELD-Na</w:t>
      </w:r>
      <w:r w:rsidRPr="0091360F">
        <w:rPr>
          <w:rFonts w:ascii="Book Antiqua" w:eastAsia="等线" w:hAnsi="Book Antiqua" w:cs="Times New Roman"/>
          <w:sz w:val="24"/>
          <w:szCs w:val="24"/>
        </w:rPr>
        <w:t xml:space="preserve"> scoring systems </w:t>
      </w:r>
      <w:r w:rsidRPr="0091360F">
        <w:rPr>
          <w:rFonts w:ascii="Book Antiqua" w:hAnsi="Book Antiqua" w:cs="Times New Roman"/>
          <w:sz w:val="24"/>
          <w:szCs w:val="24"/>
        </w:rPr>
        <w:t>(</w:t>
      </w:r>
      <w:r w:rsidRPr="0091360F">
        <w:rPr>
          <w:rFonts w:ascii="Book Antiqua" w:hAnsi="Book Antiqua" w:cs="Times New Roman"/>
          <w:i/>
          <w:iCs/>
          <w:sz w:val="24"/>
          <w:szCs w:val="24"/>
        </w:rPr>
        <w:t>P</w:t>
      </w:r>
      <w:r w:rsidRPr="0091360F">
        <w:rPr>
          <w:rFonts w:ascii="Book Antiqua" w:hAnsi="Book Antiqua" w:cs="Times New Roman"/>
          <w:sz w:val="24"/>
          <w:szCs w:val="24"/>
        </w:rPr>
        <w:t xml:space="preserve"> &gt; 0.05).</w:t>
      </w:r>
      <w:r w:rsidRPr="0091360F">
        <w:rPr>
          <w:rFonts w:ascii="Book Antiqua" w:hAnsi="Book Antiqua"/>
          <w:sz w:val="24"/>
          <w:szCs w:val="24"/>
        </w:rPr>
        <w:t xml:space="preserve"> </w:t>
      </w:r>
      <w:r w:rsidRPr="0091360F">
        <w:rPr>
          <w:rFonts w:ascii="Book Antiqua" w:hAnsi="Book Antiqua" w:cs="Times New Roman"/>
          <w:sz w:val="24"/>
          <w:szCs w:val="24"/>
        </w:rPr>
        <w:t>However, the CTP was superior to the MELD, AIMS65, CANUKA, GBS and mGBS in predicting</w:t>
      </w:r>
      <w:r w:rsidRPr="0091360F">
        <w:rPr>
          <w:rFonts w:ascii="Book Antiqua" w:hAnsi="Book Antiqua"/>
          <w:sz w:val="24"/>
          <w:szCs w:val="24"/>
        </w:rPr>
        <w:t xml:space="preserve"> </w:t>
      </w:r>
      <w:r w:rsidRPr="0091360F">
        <w:rPr>
          <w:rFonts w:ascii="Book Antiqua" w:hAnsi="Book Antiqua" w:cs="Times New Roman"/>
          <w:sz w:val="24"/>
          <w:szCs w:val="24"/>
        </w:rPr>
        <w:t>in-hospital adverse outcomes (</w:t>
      </w:r>
      <w:r w:rsidRPr="0091360F">
        <w:rPr>
          <w:rFonts w:ascii="Book Antiqua" w:hAnsi="Book Antiqua" w:cs="Times New Roman"/>
          <w:i/>
          <w:iCs/>
          <w:sz w:val="24"/>
          <w:szCs w:val="24"/>
        </w:rPr>
        <w:t>P</w:t>
      </w:r>
      <w:r w:rsidRPr="0091360F">
        <w:rPr>
          <w:rFonts w:ascii="Book Antiqua" w:hAnsi="Book Antiqua" w:cs="Times New Roman"/>
          <w:sz w:val="24"/>
          <w:szCs w:val="24"/>
        </w:rPr>
        <w:t xml:space="preserve"> &lt; 0.05). The diagnostic value indices for predicting in-hospital adverse outcomes </w:t>
      </w:r>
      <w:r w:rsidRPr="0091360F">
        <w:rPr>
          <w:rFonts w:ascii="Book Antiqua" w:eastAsia="等线" w:hAnsi="Book Antiqua" w:cs="Times New Roman"/>
          <w:sz w:val="24"/>
          <w:szCs w:val="24"/>
        </w:rPr>
        <w:t>are</w:t>
      </w:r>
      <w:r w:rsidRPr="0091360F">
        <w:rPr>
          <w:rFonts w:ascii="Book Antiqua" w:hAnsi="Book Antiqua" w:cs="Times New Roman"/>
          <w:sz w:val="24"/>
          <w:szCs w:val="24"/>
        </w:rPr>
        <w:t xml:space="preserve"> presented in Table </w:t>
      </w:r>
      <w:r w:rsidR="00565997" w:rsidRPr="0091360F">
        <w:rPr>
          <w:rFonts w:ascii="Book Antiqua" w:hAnsi="Book Antiqua" w:cs="Times New Roman"/>
          <w:sz w:val="24"/>
          <w:szCs w:val="24"/>
        </w:rPr>
        <w:t>4</w:t>
      </w:r>
      <w:r w:rsidRPr="0091360F">
        <w:rPr>
          <w:rFonts w:ascii="Book Antiqua" w:hAnsi="Book Antiqua" w:cs="Times New Roman"/>
          <w:sz w:val="24"/>
          <w:szCs w:val="24"/>
        </w:rPr>
        <w:t>. The calibration of all scoring systems was good, except for the CRS</w:t>
      </w:r>
      <w:r w:rsidRPr="0091360F">
        <w:rPr>
          <w:rFonts w:ascii="Book Antiqua" w:hAnsi="Book Antiqua"/>
          <w:sz w:val="24"/>
          <w:szCs w:val="24"/>
        </w:rPr>
        <w:t xml:space="preserve"> </w:t>
      </w:r>
      <w:r w:rsidRPr="0091360F">
        <w:rPr>
          <w:rFonts w:ascii="Book Antiqua" w:hAnsi="Book Antiqua" w:cs="Times New Roman"/>
          <w:sz w:val="24"/>
          <w:szCs w:val="24"/>
        </w:rPr>
        <w:t>(</w:t>
      </w:r>
      <w:r w:rsidRPr="0091360F">
        <w:rPr>
          <w:rFonts w:ascii="Book Antiqua" w:hAnsi="Book Antiqua" w:cs="Times New Roman"/>
          <w:i/>
          <w:iCs/>
          <w:sz w:val="24"/>
          <w:szCs w:val="24"/>
        </w:rPr>
        <w:t>P</w:t>
      </w:r>
      <w:r w:rsidRPr="0091360F">
        <w:rPr>
          <w:rFonts w:ascii="Book Antiqua" w:hAnsi="Book Antiqua" w:cs="Times New Roman"/>
          <w:sz w:val="24"/>
          <w:szCs w:val="24"/>
        </w:rPr>
        <w:t xml:space="preserve"> &lt; 0.05) (Table </w:t>
      </w:r>
      <w:r w:rsidR="00565997" w:rsidRPr="0091360F">
        <w:rPr>
          <w:rFonts w:ascii="Book Antiqua" w:hAnsi="Book Antiqua" w:cs="Times New Roman"/>
          <w:sz w:val="24"/>
          <w:szCs w:val="24"/>
        </w:rPr>
        <w:t>3</w:t>
      </w:r>
      <w:r w:rsidRPr="0091360F">
        <w:rPr>
          <w:rFonts w:ascii="Book Antiqua" w:hAnsi="Book Antiqua" w:cs="Times New Roman"/>
          <w:sz w:val="24"/>
          <w:szCs w:val="24"/>
        </w:rPr>
        <w:t>). The graphical analysis showed similar results for the CTP and CRS, but the CRS may underestimate the risk of adverse outcomes in high</w:t>
      </w:r>
      <w:r w:rsidRPr="0091360F">
        <w:rPr>
          <w:rFonts w:ascii="Book Antiqua" w:eastAsia="等线" w:hAnsi="Book Antiqua" w:cs="Times New Roman"/>
          <w:sz w:val="24"/>
          <w:szCs w:val="24"/>
        </w:rPr>
        <w:t>-</w:t>
      </w:r>
      <w:r w:rsidRPr="0091360F">
        <w:rPr>
          <w:rFonts w:ascii="Book Antiqua" w:hAnsi="Book Antiqua" w:cs="Times New Roman"/>
          <w:sz w:val="24"/>
          <w:szCs w:val="24"/>
        </w:rPr>
        <w:t>risk deciles (3</w:t>
      </w:r>
      <w:r w:rsidR="0091360F">
        <w:rPr>
          <w:rFonts w:ascii="Book Antiqua" w:hAnsi="Book Antiqua" w:cs="Times New Roman"/>
          <w:sz w:val="24"/>
          <w:szCs w:val="24"/>
        </w:rPr>
        <w:t>-</w:t>
      </w:r>
      <w:r w:rsidRPr="0091360F">
        <w:rPr>
          <w:rFonts w:ascii="Book Antiqua" w:hAnsi="Book Antiqua" w:cs="Times New Roman"/>
          <w:sz w:val="24"/>
          <w:szCs w:val="24"/>
        </w:rPr>
        <w:t>6) (Supplementary Figure 3).</w:t>
      </w:r>
    </w:p>
    <w:p w14:paraId="3A48EA78" w14:textId="77777777" w:rsidR="00503CF7" w:rsidRPr="0091360F" w:rsidRDefault="00503CF7" w:rsidP="00503CF7">
      <w:pPr>
        <w:snapToGrid w:val="0"/>
        <w:spacing w:line="360" w:lineRule="auto"/>
        <w:rPr>
          <w:rFonts w:ascii="Book Antiqua" w:hAnsi="Book Antiqua" w:cs="Times New Roman"/>
          <w:sz w:val="24"/>
          <w:szCs w:val="24"/>
        </w:rPr>
      </w:pPr>
    </w:p>
    <w:p w14:paraId="1C5CFF8E" w14:textId="762614EE" w:rsidR="00FA5C21" w:rsidRPr="0091360F" w:rsidRDefault="00FA5C21"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Sensitivity analysis</w:t>
      </w:r>
    </w:p>
    <w:p w14:paraId="2DFDE560" w14:textId="1F6214A6" w:rsidR="00FA5C21" w:rsidRPr="0091360F" w:rsidRDefault="00931B24"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In the sensitivity analysis of patients with esophageal variceal bleeding, the results were almost unchanged. The CTP and CRS remained the two best </w:t>
      </w:r>
      <w:r w:rsidRPr="0091360F">
        <w:rPr>
          <w:rFonts w:ascii="Book Antiqua" w:hAnsi="Book Antiqua" w:cs="Times New Roman"/>
          <w:sz w:val="24"/>
          <w:szCs w:val="24"/>
        </w:rPr>
        <w:lastRenderedPageBreak/>
        <w:t>scoring systems for predicting in-hospital outcomes. For predicting in-hospital rebleeding, the AUROCs of the CTP and CRS were 0.75</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(0.68-0.82) and 0.72</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(0.64-0.80), respectively. For predicting in-hospital mortality and in-hospital adverse outcomes, the AUROCs of the CTP and CRS were 0.88</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(0.83-0.94) and 0.89</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(0.83-0.95), 0.81</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(0.75-0.87) and 0.78</w:t>
      </w:r>
      <w:r w:rsidR="00992415" w:rsidRPr="0091360F">
        <w:rPr>
          <w:rFonts w:ascii="Book Antiqua" w:hAnsi="Book Antiqua" w:cs="Times New Roman"/>
          <w:sz w:val="24"/>
          <w:szCs w:val="24"/>
        </w:rPr>
        <w:t xml:space="preserve"> </w:t>
      </w:r>
      <w:r w:rsidRPr="0091360F">
        <w:rPr>
          <w:rFonts w:ascii="Book Antiqua" w:hAnsi="Book Antiqua" w:cs="Times New Roman"/>
          <w:sz w:val="24"/>
          <w:szCs w:val="24"/>
        </w:rPr>
        <w:t>(0.71-0.85), respectively. In addition, the calibration of the CTP and CRS was good for predicting in-hospital rebleeding or mortality (</w:t>
      </w:r>
      <w:r w:rsidRPr="0091360F">
        <w:rPr>
          <w:rFonts w:ascii="Book Antiqua" w:hAnsi="Book Antiqua" w:cs="Times New Roman"/>
          <w:i/>
          <w:iCs/>
          <w:sz w:val="24"/>
          <w:szCs w:val="24"/>
        </w:rPr>
        <w:t>P</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0.1). When focusing on patients who received endoscopic treatments, only the CTP was statistically significant for predicting in-hospital outcomes. The AUROC of the CTP was 0.70</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(0.55-0.84) for predicting in-hospital rebleeding, 0.79</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(0.63-0.94) for in-hospital mortality and 0.71</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(0.57-0.84) for in-hospital adverse outcomes. The calibration of the CTP was</w:t>
      </w:r>
      <w:r w:rsidR="00D05CF9" w:rsidRPr="0091360F">
        <w:rPr>
          <w:rFonts w:ascii="Book Antiqua" w:hAnsi="Book Antiqua" w:cs="Times New Roman"/>
          <w:sz w:val="24"/>
          <w:szCs w:val="24"/>
        </w:rPr>
        <w:t xml:space="preserve"> </w:t>
      </w:r>
      <w:r w:rsidRPr="0091360F">
        <w:rPr>
          <w:rFonts w:ascii="Book Antiqua" w:hAnsi="Book Antiqua" w:cs="Times New Roman"/>
          <w:sz w:val="24"/>
          <w:szCs w:val="24"/>
        </w:rPr>
        <w:t>good for predicting any in-hospital outcome (</w:t>
      </w:r>
      <w:r w:rsidRPr="0091360F">
        <w:rPr>
          <w:rFonts w:ascii="Book Antiqua" w:hAnsi="Book Antiqua" w:cs="Times New Roman"/>
          <w:i/>
          <w:iCs/>
          <w:sz w:val="24"/>
          <w:szCs w:val="24"/>
        </w:rPr>
        <w:t>P</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 0.1).</w:t>
      </w:r>
    </w:p>
    <w:bookmarkEnd w:id="70"/>
    <w:bookmarkEnd w:id="71"/>
    <w:bookmarkEnd w:id="72"/>
    <w:p w14:paraId="024B5755" w14:textId="77777777" w:rsidR="00503CF7" w:rsidRPr="0091360F" w:rsidRDefault="00503CF7" w:rsidP="00420454">
      <w:pPr>
        <w:autoSpaceDE w:val="0"/>
        <w:autoSpaceDN w:val="0"/>
        <w:adjustRightInd w:val="0"/>
        <w:snapToGrid w:val="0"/>
        <w:spacing w:line="360" w:lineRule="auto"/>
        <w:rPr>
          <w:rFonts w:ascii="Book Antiqua" w:hAnsi="Book Antiqua" w:cs="Times New Roman"/>
          <w:b/>
          <w:bCs/>
          <w:sz w:val="24"/>
          <w:szCs w:val="24"/>
        </w:rPr>
      </w:pPr>
    </w:p>
    <w:p w14:paraId="101215BE" w14:textId="71025A33" w:rsidR="00AA326E" w:rsidRPr="0091360F" w:rsidRDefault="00AA326E" w:rsidP="00420454">
      <w:pPr>
        <w:autoSpaceDE w:val="0"/>
        <w:autoSpaceDN w:val="0"/>
        <w:adjustRightInd w:val="0"/>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DISCUSSION</w:t>
      </w:r>
    </w:p>
    <w:p w14:paraId="20D8DFC9" w14:textId="5E2F4C4C" w:rsidR="00AA326E" w:rsidRPr="0091360F" w:rsidRDefault="00AA326E" w:rsidP="00503CF7">
      <w:pPr>
        <w:autoSpaceDE w:val="0"/>
        <w:autoSpaceDN w:val="0"/>
        <w:adjustRightInd w:val="0"/>
        <w:snapToGrid w:val="0"/>
        <w:spacing w:line="360" w:lineRule="auto"/>
        <w:rPr>
          <w:rFonts w:ascii="Book Antiqua" w:hAnsi="Book Antiqua" w:cs="Times New Roman"/>
          <w:sz w:val="24"/>
          <w:szCs w:val="24"/>
        </w:rPr>
      </w:pPr>
      <w:r w:rsidRPr="0091360F">
        <w:rPr>
          <w:rFonts w:ascii="Book Antiqua" w:hAnsi="Book Antiqua" w:cs="Times New Roman"/>
          <w:sz w:val="24"/>
          <w:szCs w:val="24"/>
        </w:rPr>
        <w:t>The results of the present study revealed that these scoring systems could effectively</w:t>
      </w:r>
      <w:r w:rsidRPr="0091360F" w:rsidDel="006D5468">
        <w:rPr>
          <w:rFonts w:ascii="Book Antiqua" w:hAnsi="Book Antiqua" w:cs="Times New Roman"/>
          <w:sz w:val="24"/>
          <w:szCs w:val="24"/>
        </w:rPr>
        <w:t xml:space="preserve"> </w:t>
      </w:r>
      <w:r w:rsidRPr="0091360F">
        <w:rPr>
          <w:rFonts w:ascii="Book Antiqua" w:hAnsi="Book Antiqua" w:cs="Times New Roman"/>
          <w:sz w:val="24"/>
          <w:szCs w:val="24"/>
        </w:rPr>
        <w:t>predict the occurrence of in-hospital adverse outcomes in cirrhotic patients with variceal bleeding. For in-hospital rebleeding, all scoring systems were able to distinguish whether in-hospital rebleeding occurred, and the calibration ability of these scores was good. However, only the CTP and CRS were clinically acceptable in terms of their discriminative ability. For in-hospital mortality, the CRS, CTP, AIMS65, MELD, and MELD-Na showed excellent discriminative and calibration abilities. The discriminative ability of the other prognostic scoring systems</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(GBS, mGBS and CANUKA) was slightly poor</w:t>
      </w:r>
      <w:r w:rsidR="00FC139B">
        <w:rPr>
          <w:rFonts w:ascii="Book Antiqua" w:hAnsi="Book Antiqua" w:cs="Times New Roman"/>
          <w:sz w:val="24"/>
          <w:szCs w:val="24"/>
        </w:rPr>
        <w:t>,</w:t>
      </w:r>
      <w:r w:rsidRPr="0091360F">
        <w:rPr>
          <w:rFonts w:ascii="Book Antiqua" w:hAnsi="Book Antiqua" w:cs="Times New Roman"/>
          <w:sz w:val="24"/>
          <w:szCs w:val="24"/>
        </w:rPr>
        <w:t xml:space="preserve"> but clinically acceptable.</w:t>
      </w:r>
    </w:p>
    <w:p w14:paraId="3B0DD99E" w14:textId="0FA04F24" w:rsidR="00AA326E" w:rsidRPr="0091360F" w:rsidRDefault="00AA326E" w:rsidP="00503CF7">
      <w:pPr>
        <w:autoSpaceDE w:val="0"/>
        <w:autoSpaceDN w:val="0"/>
        <w:adjustRightInd w:val="0"/>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Acute variceal bleeding is one of the most serious complications in patients with cirrhosis. This study found that the rate of in-hospital rebleeding and mortality could be as high as 20.3% and 10.6%, respectively, and the mortality rate was higher in patients with in-hospital rebleeding than in those without. These findings are similar to the results reported by previous studies</w:t>
      </w:r>
      <w:r w:rsidRPr="0091360F">
        <w:rPr>
          <w:rFonts w:ascii="Book Antiqua" w:hAnsi="Book Antiqua" w:cs="Times New Roman"/>
          <w:kern w:val="0"/>
          <w:sz w:val="24"/>
          <w:szCs w:val="24"/>
          <w:vertAlign w:val="superscript"/>
        </w:rPr>
        <w:t>[4,1</w:t>
      </w:r>
      <w:r w:rsidR="007A46EA" w:rsidRPr="0091360F">
        <w:rPr>
          <w:rFonts w:ascii="Book Antiqua" w:hAnsi="Book Antiqua" w:cs="Times New Roman"/>
          <w:kern w:val="0"/>
          <w:sz w:val="24"/>
          <w:szCs w:val="24"/>
          <w:vertAlign w:val="superscript"/>
        </w:rPr>
        <w:t>5</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Considering the harmfulness of variceal bleeding, appropriate risk </w:t>
      </w:r>
      <w:r w:rsidRPr="0091360F">
        <w:rPr>
          <w:rFonts w:ascii="Book Antiqua" w:hAnsi="Book Antiqua" w:cs="Times New Roman"/>
          <w:sz w:val="24"/>
          <w:szCs w:val="24"/>
        </w:rPr>
        <w:lastRenderedPageBreak/>
        <w:t>stratification is critical for the optimal management of these patients. Close monitoring and aggressive treatment should be considered for high-risk patients.</w:t>
      </w:r>
      <w:r w:rsidRPr="0091360F">
        <w:rPr>
          <w:rFonts w:ascii="Book Antiqua" w:hAnsi="Book Antiqua"/>
          <w:sz w:val="24"/>
          <w:szCs w:val="24"/>
        </w:rPr>
        <w:t xml:space="preserve"> </w:t>
      </w:r>
      <w:r w:rsidRPr="0091360F">
        <w:rPr>
          <w:rFonts w:ascii="Book Antiqua" w:hAnsi="Book Antiqua" w:cs="Times New Roman"/>
          <w:sz w:val="24"/>
          <w:szCs w:val="24"/>
        </w:rPr>
        <w:t>However, some ideal prognostic scores are controversial</w:t>
      </w:r>
      <w:r w:rsidRPr="0091360F">
        <w:rPr>
          <w:rFonts w:ascii="Book Antiqua" w:hAnsi="Book Antiqua"/>
          <w:sz w:val="24"/>
          <w:szCs w:val="24"/>
        </w:rPr>
        <w:t xml:space="preserve"> </w:t>
      </w:r>
      <w:r w:rsidRPr="0091360F">
        <w:rPr>
          <w:rFonts w:ascii="Book Antiqua" w:hAnsi="Book Antiqua" w:cs="Times New Roman"/>
          <w:sz w:val="24"/>
          <w:szCs w:val="24"/>
        </w:rPr>
        <w:t xml:space="preserve">due to poor external validation. In fact, the CRS, AIMS65, CANUKA and GBS scoring systems were established independently with different study purposes and populations. The GBS was developed and used to predict UGIB </w:t>
      </w:r>
      <w:r w:rsidRPr="0091360F">
        <w:rPr>
          <w:rFonts w:ascii="Book Antiqua" w:eastAsia="等线" w:hAnsi="Book Antiqua" w:cs="Times New Roman"/>
          <w:sz w:val="24"/>
          <w:szCs w:val="24"/>
        </w:rPr>
        <w:t>patients’</w:t>
      </w:r>
      <w:r w:rsidRPr="0091360F">
        <w:rPr>
          <w:rFonts w:ascii="Book Antiqua" w:hAnsi="Book Antiqua" w:cs="Times New Roman"/>
          <w:sz w:val="24"/>
          <w:szCs w:val="24"/>
        </w:rPr>
        <w:t xml:space="preserve"> risk of requiring blood transfusion or intervention, decreased hemoglobin, rebleeding and mortality. Similarly, the CANUKA was used to identify high-risk patients with 30-day rebleeding or death, radiologic or surgical intervention for bleeding control, and the need for therapeutic endoscopy or transfusion. Both the GBS and CANUKA </w:t>
      </w:r>
      <w:r w:rsidRPr="0091360F">
        <w:rPr>
          <w:rFonts w:ascii="Book Antiqua" w:eastAsia="等线" w:hAnsi="Book Antiqua" w:cs="Times New Roman"/>
          <w:sz w:val="24"/>
          <w:szCs w:val="24"/>
        </w:rPr>
        <w:t>are</w:t>
      </w:r>
      <w:r w:rsidRPr="0091360F">
        <w:rPr>
          <w:rFonts w:ascii="Book Antiqua" w:hAnsi="Book Antiqua" w:cs="Times New Roman"/>
          <w:sz w:val="24"/>
          <w:szCs w:val="24"/>
        </w:rPr>
        <w:t xml:space="preserve"> recommended for screening patients for hospital intervention or outpatient treatment</w:t>
      </w:r>
      <w:r w:rsidRPr="0091360F">
        <w:rPr>
          <w:rFonts w:ascii="Book Antiqua" w:hAnsi="Book Antiqua" w:cs="Times New Roman"/>
          <w:kern w:val="0"/>
          <w:sz w:val="24"/>
          <w:szCs w:val="24"/>
          <w:vertAlign w:val="superscript"/>
        </w:rPr>
        <w:t>[11,1</w:t>
      </w:r>
      <w:r w:rsidR="005E1AA1" w:rsidRPr="0091360F">
        <w:rPr>
          <w:rFonts w:ascii="Book Antiqua" w:hAnsi="Book Antiqua" w:cs="Times New Roman"/>
          <w:kern w:val="0"/>
          <w:sz w:val="24"/>
          <w:szCs w:val="24"/>
          <w:vertAlign w:val="superscript"/>
        </w:rPr>
        <w:t>7</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The mGBS is similar to the GBS; it was developed by removing the subjective variables of the GBS</w:t>
      </w:r>
      <w:r w:rsidRPr="0091360F">
        <w:rPr>
          <w:rFonts w:ascii="Book Antiqua" w:hAnsi="Book Antiqua" w:cs="Times New Roman"/>
          <w:kern w:val="0"/>
          <w:sz w:val="24"/>
          <w:szCs w:val="24"/>
          <w:vertAlign w:val="superscript"/>
        </w:rPr>
        <w:t>[10]</w:t>
      </w:r>
      <w:r w:rsidRPr="0091360F">
        <w:rPr>
          <w:rFonts w:ascii="Book Antiqua" w:hAnsi="Book Antiqua" w:cs="Times New Roman"/>
          <w:sz w:val="24"/>
          <w:szCs w:val="24"/>
        </w:rPr>
        <w:t>.</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In contrast, the CRS and AIMS65 were developed to determine the risk of in-hospital rebleeding or mortality in patients with UGIB</w:t>
      </w:r>
      <w:r w:rsidRPr="0091360F">
        <w:rPr>
          <w:rFonts w:ascii="Book Antiqua" w:hAnsi="Book Antiqua" w:cs="Times New Roman"/>
          <w:kern w:val="0"/>
          <w:sz w:val="24"/>
          <w:szCs w:val="24"/>
          <w:vertAlign w:val="superscript"/>
        </w:rPr>
        <w:t>[1</w:t>
      </w:r>
      <w:r w:rsidR="00F52FFC" w:rsidRPr="0091360F">
        <w:rPr>
          <w:rFonts w:ascii="Book Antiqua" w:hAnsi="Book Antiqua" w:cs="Times New Roman"/>
          <w:kern w:val="0"/>
          <w:sz w:val="24"/>
          <w:szCs w:val="24"/>
          <w:vertAlign w:val="superscript"/>
        </w:rPr>
        <w:t>8</w:t>
      </w:r>
      <w:r w:rsidRPr="0091360F">
        <w:rPr>
          <w:rFonts w:ascii="Book Antiqua" w:hAnsi="Book Antiqua" w:cs="Times New Roman"/>
          <w:kern w:val="0"/>
          <w:sz w:val="24"/>
          <w:szCs w:val="24"/>
          <w:vertAlign w:val="superscript"/>
        </w:rPr>
        <w:t>,</w:t>
      </w:r>
      <w:r w:rsidR="00F52FFC" w:rsidRPr="0091360F">
        <w:rPr>
          <w:rFonts w:ascii="Book Antiqua" w:hAnsi="Book Antiqua" w:cs="Times New Roman"/>
          <w:kern w:val="0"/>
          <w:sz w:val="24"/>
          <w:szCs w:val="24"/>
          <w:vertAlign w:val="superscript"/>
        </w:rPr>
        <w:t>19</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All of the above prognostic scores included unselected UGIB as the research </w:t>
      </w:r>
      <w:r w:rsidR="00402D3D">
        <w:rPr>
          <w:rFonts w:ascii="Book Antiqua" w:hAnsi="Book Antiqua" w:cs="Times New Roman"/>
          <w:sz w:val="24"/>
          <w:szCs w:val="24"/>
        </w:rPr>
        <w:t>subject</w:t>
      </w:r>
      <w:r w:rsidRPr="0091360F">
        <w:rPr>
          <w:rFonts w:ascii="Book Antiqua" w:hAnsi="Book Antiqua" w:cs="Times New Roman"/>
          <w:sz w:val="24"/>
          <w:szCs w:val="24"/>
        </w:rPr>
        <w:t xml:space="preserve">, and both patients with variceal bleeding and those with nonvariceal bleeding were enrolled for analysis. However, the proportion of patients with variceal bleeding was very low. Therefore, the predictive performance of these scores in predicting the risk of rebleeding or mortality for patients with variceal hemorrhage is unclear. </w:t>
      </w:r>
      <w:r w:rsidR="00F36EE1" w:rsidRPr="0091360F">
        <w:rPr>
          <w:rFonts w:ascii="Book Antiqua" w:hAnsi="Book Antiqua" w:cs="Times New Roman"/>
          <w:sz w:val="24"/>
          <w:szCs w:val="24"/>
        </w:rPr>
        <w:t xml:space="preserve">Stanley </w:t>
      </w:r>
      <w:r w:rsidR="00F36EE1" w:rsidRPr="0091360F">
        <w:rPr>
          <w:rFonts w:ascii="Book Antiqua" w:hAnsi="Book Antiqua" w:cs="Times New Roman"/>
          <w:i/>
          <w:iCs/>
          <w:sz w:val="24"/>
          <w:szCs w:val="24"/>
        </w:rPr>
        <w:t>et al</w:t>
      </w:r>
      <w:r w:rsidR="004A66DB" w:rsidRPr="0091360F">
        <w:rPr>
          <w:rFonts w:ascii="Book Antiqua" w:hAnsi="Book Antiqua" w:cs="Times New Roman"/>
          <w:kern w:val="0"/>
          <w:sz w:val="24"/>
          <w:szCs w:val="24"/>
          <w:vertAlign w:val="superscript"/>
        </w:rPr>
        <w:t>[16]</w:t>
      </w:r>
      <w:r w:rsidR="004A66DB" w:rsidRPr="0091360F">
        <w:rPr>
          <w:rFonts w:ascii="Book Antiqua" w:hAnsi="Book Antiqua" w:cs="Times New Roman"/>
          <w:sz w:val="24"/>
          <w:szCs w:val="24"/>
        </w:rPr>
        <w:t xml:space="preserve"> </w:t>
      </w:r>
      <w:r w:rsidR="00F36EE1" w:rsidRPr="0091360F">
        <w:rPr>
          <w:rFonts w:ascii="Book Antiqua" w:hAnsi="Book Antiqua" w:cs="Times New Roman"/>
          <w:sz w:val="24"/>
          <w:szCs w:val="24"/>
        </w:rPr>
        <w:t>performed an international multicenter prospective study and found that the GBS was the best scoring system in predicting the need for intervention</w:t>
      </w:r>
      <w:r w:rsidR="00402D3D">
        <w:rPr>
          <w:rFonts w:ascii="Book Antiqua" w:hAnsi="Book Antiqua" w:cs="Times New Roman"/>
          <w:sz w:val="24"/>
          <w:szCs w:val="24"/>
        </w:rPr>
        <w:t xml:space="preserve"> </w:t>
      </w:r>
      <w:r w:rsidR="00F36EE1" w:rsidRPr="0091360F">
        <w:rPr>
          <w:rFonts w:ascii="Book Antiqua" w:hAnsi="Book Antiqua" w:cs="Times New Roman"/>
          <w:sz w:val="24"/>
          <w:szCs w:val="24"/>
        </w:rPr>
        <w:t>(transfusion, endoscopic treatment, interventional or surgical intervention) or death. According to their study, the latest guideline recommended that a GBS score of ≤</w:t>
      </w:r>
      <w:r w:rsidR="00503CF7" w:rsidRPr="0091360F">
        <w:rPr>
          <w:rFonts w:ascii="Book Antiqua" w:hAnsi="Book Antiqua" w:cs="Times New Roman"/>
          <w:sz w:val="24"/>
          <w:szCs w:val="24"/>
        </w:rPr>
        <w:t xml:space="preserve"> </w:t>
      </w:r>
      <w:r w:rsidR="00F36EE1" w:rsidRPr="0091360F">
        <w:rPr>
          <w:rFonts w:ascii="Book Antiqua" w:hAnsi="Book Antiqua" w:cs="Times New Roman"/>
          <w:sz w:val="24"/>
          <w:szCs w:val="24"/>
        </w:rPr>
        <w:t>1 could be used to identify low-risk patients for nonvariceal UGIB</w:t>
      </w:r>
      <w:r w:rsidR="00241E1F" w:rsidRPr="0091360F">
        <w:rPr>
          <w:rFonts w:ascii="Book Antiqua" w:hAnsi="Book Antiqua" w:cs="Times New Roman"/>
          <w:kern w:val="0"/>
          <w:sz w:val="24"/>
          <w:szCs w:val="24"/>
          <w:vertAlign w:val="superscript"/>
        </w:rPr>
        <w:t>[20]</w:t>
      </w:r>
      <w:r w:rsidR="00F36EE1" w:rsidRPr="0091360F">
        <w:rPr>
          <w:rFonts w:ascii="Book Antiqua" w:hAnsi="Book Antiqua" w:cs="Times New Roman"/>
          <w:sz w:val="24"/>
          <w:szCs w:val="24"/>
        </w:rPr>
        <w:t xml:space="preserve">. However, their study only included a few patients with variceal bleeding (7%) and did not perform a subgroup analysis for this group of patients. Gaduputi </w:t>
      </w:r>
      <w:r w:rsidR="00F36EE1" w:rsidRPr="0091360F">
        <w:rPr>
          <w:rFonts w:ascii="Book Antiqua" w:hAnsi="Book Antiqua" w:cs="Times New Roman"/>
          <w:i/>
          <w:iCs/>
          <w:sz w:val="24"/>
          <w:szCs w:val="24"/>
        </w:rPr>
        <w:t>et al</w:t>
      </w:r>
      <w:r w:rsidR="009F042D" w:rsidRPr="0091360F">
        <w:rPr>
          <w:rFonts w:ascii="Book Antiqua" w:hAnsi="Book Antiqua" w:cs="Times New Roman"/>
          <w:kern w:val="0"/>
          <w:sz w:val="24"/>
          <w:szCs w:val="24"/>
          <w:vertAlign w:val="superscript"/>
        </w:rPr>
        <w:t xml:space="preserve">[21] </w:t>
      </w:r>
      <w:r w:rsidR="0086232A" w:rsidRPr="0091360F">
        <w:rPr>
          <w:rFonts w:ascii="Book Antiqua" w:hAnsi="Book Antiqua" w:cs="Times New Roman"/>
          <w:sz w:val="24"/>
          <w:szCs w:val="24"/>
        </w:rPr>
        <w:t>report</w:t>
      </w:r>
      <w:r w:rsidR="00F36EE1" w:rsidRPr="0091360F">
        <w:rPr>
          <w:rFonts w:ascii="Book Antiqua" w:hAnsi="Book Antiqua" w:cs="Times New Roman"/>
          <w:sz w:val="24"/>
          <w:szCs w:val="24"/>
        </w:rPr>
        <w:t xml:space="preserve">ed that </w:t>
      </w:r>
      <w:r w:rsidR="00402D3D">
        <w:rPr>
          <w:rFonts w:ascii="Book Antiqua" w:hAnsi="Book Antiqua" w:cs="Times New Roman"/>
          <w:sz w:val="24"/>
          <w:szCs w:val="24"/>
        </w:rPr>
        <w:t xml:space="preserve">the </w:t>
      </w:r>
      <w:r w:rsidR="00F36EE1" w:rsidRPr="0091360F">
        <w:rPr>
          <w:rFonts w:ascii="Book Antiqua" w:hAnsi="Book Antiqua" w:cs="Times New Roman"/>
          <w:sz w:val="24"/>
          <w:szCs w:val="24"/>
        </w:rPr>
        <w:t xml:space="preserve">AIMS65 score may be as useful as </w:t>
      </w:r>
      <w:r w:rsidR="00402D3D">
        <w:rPr>
          <w:rFonts w:ascii="Book Antiqua" w:hAnsi="Book Antiqua" w:cs="Times New Roman"/>
          <w:sz w:val="24"/>
          <w:szCs w:val="24"/>
        </w:rPr>
        <w:t xml:space="preserve">the </w:t>
      </w:r>
      <w:r w:rsidR="00F36EE1" w:rsidRPr="0091360F">
        <w:rPr>
          <w:rFonts w:ascii="Book Antiqua" w:hAnsi="Book Antiqua" w:cs="Times New Roman"/>
          <w:sz w:val="24"/>
          <w:szCs w:val="24"/>
        </w:rPr>
        <w:t xml:space="preserve">Rockall score for predicting the risk of rebleeding and death in noncirrhotic patients. </w:t>
      </w:r>
      <w:r w:rsidRPr="0091360F">
        <w:rPr>
          <w:rFonts w:ascii="Book Antiqua" w:hAnsi="Book Antiqua" w:cs="Times New Roman"/>
          <w:sz w:val="24"/>
          <w:szCs w:val="24"/>
        </w:rPr>
        <w:t xml:space="preserve">External validation studies confirmed that these scores had poorer predictive ability in patients with </w:t>
      </w:r>
      <w:r w:rsidRPr="0091360F">
        <w:rPr>
          <w:rFonts w:ascii="Book Antiqua" w:hAnsi="Book Antiqua" w:cs="Times New Roman"/>
          <w:sz w:val="24"/>
          <w:szCs w:val="24"/>
        </w:rPr>
        <w:lastRenderedPageBreak/>
        <w:t>variceal bleeding than in those with nonvariceal bleeding</w:t>
      </w:r>
      <w:r w:rsidRPr="0091360F">
        <w:rPr>
          <w:rFonts w:ascii="Book Antiqua" w:hAnsi="Book Antiqua" w:cs="Times New Roman"/>
          <w:kern w:val="0"/>
          <w:sz w:val="24"/>
          <w:szCs w:val="24"/>
          <w:vertAlign w:val="superscript"/>
        </w:rPr>
        <w:t>[2</w:t>
      </w:r>
      <w:r w:rsidR="0091741B" w:rsidRPr="0091360F">
        <w:rPr>
          <w:rFonts w:ascii="Book Antiqua" w:hAnsi="Book Antiqua" w:cs="Times New Roman"/>
          <w:kern w:val="0"/>
          <w:sz w:val="24"/>
          <w:szCs w:val="24"/>
          <w:vertAlign w:val="superscript"/>
        </w:rPr>
        <w:t>2</w:t>
      </w:r>
      <w:r w:rsidRPr="0091360F">
        <w:rPr>
          <w:rFonts w:ascii="Book Antiqua" w:hAnsi="Book Antiqua" w:cs="Times New Roman"/>
          <w:kern w:val="0"/>
          <w:sz w:val="24"/>
          <w:szCs w:val="24"/>
          <w:vertAlign w:val="superscript"/>
        </w:rPr>
        <w:t>,2</w:t>
      </w:r>
      <w:r w:rsidR="0091741B" w:rsidRPr="0091360F">
        <w:rPr>
          <w:rFonts w:ascii="Book Antiqua" w:hAnsi="Book Antiqua" w:cs="Times New Roman"/>
          <w:kern w:val="0"/>
          <w:sz w:val="24"/>
          <w:szCs w:val="24"/>
          <w:vertAlign w:val="superscript"/>
        </w:rPr>
        <w:t>3</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w:t>
      </w:r>
    </w:p>
    <w:p w14:paraId="1D6253B3" w14:textId="4DA3638B" w:rsidR="00AA326E" w:rsidRPr="0091360F" w:rsidRDefault="00AA326E" w:rsidP="00503CF7">
      <w:pPr>
        <w:autoSpaceDE w:val="0"/>
        <w:autoSpaceDN w:val="0"/>
        <w:adjustRightInd w:val="0"/>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For predicting in-hospital adverse outcomes,</w:t>
      </w:r>
      <w:r w:rsidRPr="0091360F">
        <w:rPr>
          <w:rFonts w:ascii="Book Antiqua" w:hAnsi="Book Antiqua"/>
          <w:sz w:val="24"/>
          <w:szCs w:val="24"/>
        </w:rPr>
        <w:t xml:space="preserve"> </w:t>
      </w:r>
      <w:r w:rsidRPr="0091360F">
        <w:rPr>
          <w:rFonts w:ascii="Book Antiqua" w:hAnsi="Book Antiqua" w:cs="Times New Roman"/>
          <w:sz w:val="24"/>
          <w:szCs w:val="24"/>
        </w:rPr>
        <w:t xml:space="preserve">few studies have explored the usefulness of these scores in patients with variceal hemorrhage, and the conclusions are controversial. </w:t>
      </w:r>
      <w:r w:rsidR="00722F19" w:rsidRPr="0091360F">
        <w:rPr>
          <w:rFonts w:ascii="Book Antiqua" w:hAnsi="Book Antiqua" w:cs="Times New Roman"/>
          <w:sz w:val="24"/>
          <w:szCs w:val="24"/>
        </w:rPr>
        <w:t>Motola-Kuba</w:t>
      </w:r>
      <w:r w:rsidRPr="0091360F">
        <w:rPr>
          <w:rFonts w:ascii="Book Antiqua" w:hAnsi="Book Antiqua" w:cs="Times New Roman"/>
          <w:sz w:val="24"/>
          <w:szCs w:val="24"/>
        </w:rPr>
        <w:t xml:space="preserve"> </w:t>
      </w:r>
      <w:r w:rsidRPr="0091360F">
        <w:rPr>
          <w:rFonts w:ascii="Book Antiqua" w:hAnsi="Book Antiqua" w:cs="Times New Roman"/>
          <w:i/>
          <w:iCs/>
          <w:sz w:val="24"/>
          <w:szCs w:val="24"/>
        </w:rPr>
        <w:t>et al</w:t>
      </w:r>
      <w:r w:rsidRPr="0091360F">
        <w:rPr>
          <w:rFonts w:ascii="Book Antiqua" w:hAnsi="Book Antiqua" w:cs="Times New Roman"/>
          <w:kern w:val="0"/>
          <w:sz w:val="24"/>
          <w:szCs w:val="24"/>
          <w:vertAlign w:val="superscript"/>
        </w:rPr>
        <w:t>[</w:t>
      </w:r>
      <w:r w:rsidR="008242C2" w:rsidRPr="0091360F">
        <w:rPr>
          <w:rFonts w:ascii="Book Antiqua" w:hAnsi="Book Antiqua" w:cs="Times New Roman"/>
          <w:kern w:val="0"/>
          <w:sz w:val="24"/>
          <w:szCs w:val="24"/>
          <w:vertAlign w:val="superscript"/>
        </w:rPr>
        <w:t>9</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found that the GBS was better at predicting in-hospital rebleeding than the Rockall score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 xml:space="preserve">(RS), AIMS65, CTP and MELD. Sarwar </w:t>
      </w:r>
      <w:r w:rsidRPr="0091360F">
        <w:rPr>
          <w:rFonts w:ascii="Book Antiqua" w:hAnsi="Book Antiqua" w:cs="Times New Roman"/>
          <w:i/>
          <w:iCs/>
          <w:sz w:val="24"/>
          <w:szCs w:val="24"/>
        </w:rPr>
        <w:t>et al</w:t>
      </w:r>
      <w:r w:rsidRPr="0091360F">
        <w:rPr>
          <w:rFonts w:ascii="Book Antiqua" w:hAnsi="Book Antiqua" w:cs="Times New Roman"/>
          <w:kern w:val="0"/>
          <w:sz w:val="24"/>
          <w:szCs w:val="24"/>
          <w:vertAlign w:val="superscript"/>
        </w:rPr>
        <w:t>[8]</w:t>
      </w:r>
      <w:r w:rsidRPr="0091360F">
        <w:rPr>
          <w:rFonts w:ascii="Book Antiqua" w:hAnsi="Book Antiqua" w:cs="Times New Roman"/>
          <w:sz w:val="24"/>
          <w:szCs w:val="24"/>
        </w:rPr>
        <w:t xml:space="preserve"> showed that the Rockall score had good discriminative value for predicting in-hospital rebleeding. However, Choe </w:t>
      </w:r>
      <w:r w:rsidRPr="0091360F">
        <w:rPr>
          <w:rFonts w:ascii="Book Antiqua" w:hAnsi="Book Antiqua" w:cs="Times New Roman"/>
          <w:i/>
          <w:iCs/>
          <w:sz w:val="24"/>
          <w:szCs w:val="24"/>
        </w:rPr>
        <w:t>et al</w:t>
      </w:r>
      <w:r w:rsidRPr="0091360F">
        <w:rPr>
          <w:rFonts w:ascii="Book Antiqua" w:hAnsi="Book Antiqua" w:cs="Times New Roman"/>
          <w:kern w:val="0"/>
          <w:sz w:val="24"/>
          <w:szCs w:val="24"/>
          <w:vertAlign w:val="superscript"/>
        </w:rPr>
        <w:t>[7]</w:t>
      </w:r>
      <w:r w:rsidRPr="0091360F">
        <w:rPr>
          <w:rFonts w:ascii="Book Antiqua" w:hAnsi="Book Antiqua" w:cs="Times New Roman"/>
          <w:sz w:val="24"/>
          <w:szCs w:val="24"/>
        </w:rPr>
        <w:t xml:space="preserve"> and Jairath </w:t>
      </w:r>
      <w:r w:rsidRPr="0091360F">
        <w:rPr>
          <w:rFonts w:ascii="Book Antiqua" w:hAnsi="Book Antiqua" w:cs="Times New Roman"/>
          <w:i/>
          <w:iCs/>
          <w:sz w:val="24"/>
          <w:szCs w:val="24"/>
        </w:rPr>
        <w:t>et al</w:t>
      </w:r>
      <w:r w:rsidRPr="0091360F">
        <w:rPr>
          <w:rFonts w:ascii="Book Antiqua" w:hAnsi="Book Antiqua" w:cs="Times New Roman"/>
          <w:kern w:val="0"/>
          <w:sz w:val="24"/>
          <w:szCs w:val="24"/>
          <w:vertAlign w:val="superscript"/>
        </w:rPr>
        <w:t>[4]</w:t>
      </w:r>
      <w:r w:rsidRPr="0091360F">
        <w:rPr>
          <w:rFonts w:ascii="Book Antiqua" w:hAnsi="Book Antiqua" w:cs="Times New Roman"/>
          <w:sz w:val="24"/>
          <w:szCs w:val="24"/>
        </w:rPr>
        <w:t xml:space="preserve"> asserted that the GBS, CRS and AIMS65 had limited ability for predicting the risk of in-hospital rebleeding, with AUROCs of approximately 0.6. </w:t>
      </w:r>
      <w:r w:rsidR="00AD10F9" w:rsidRPr="0091360F">
        <w:rPr>
          <w:rFonts w:ascii="Book Antiqua" w:hAnsi="Book Antiqua" w:cs="Times New Roman"/>
          <w:sz w:val="24"/>
          <w:szCs w:val="24"/>
        </w:rPr>
        <w:t>Th</w:t>
      </w:r>
      <w:r w:rsidR="00402D3D">
        <w:rPr>
          <w:rFonts w:ascii="Book Antiqua" w:hAnsi="Book Antiqua" w:cs="Times New Roman"/>
          <w:sz w:val="24"/>
          <w:szCs w:val="24"/>
        </w:rPr>
        <w:t>e</w:t>
      </w:r>
      <w:r w:rsidR="00AD10F9" w:rsidRPr="0091360F">
        <w:rPr>
          <w:rFonts w:ascii="Book Antiqua" w:hAnsi="Book Antiqua" w:cs="Times New Roman"/>
          <w:sz w:val="24"/>
          <w:szCs w:val="24"/>
        </w:rPr>
        <w:t xml:space="preserve"> present study was performed in Chinese patients, included more comprehensive scoring systems, and found that these scores, apart from the CTP and CRS, had poor predictive ability</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 xml:space="preserve">In addition, the AUROCs of the CTP and MELD were the same as those reported in a study from </w:t>
      </w:r>
      <w:r w:rsidR="0091360F">
        <w:rPr>
          <w:rFonts w:ascii="Book Antiqua" w:hAnsi="Book Antiqua" w:cs="Times New Roman"/>
          <w:sz w:val="24"/>
          <w:szCs w:val="24"/>
        </w:rPr>
        <w:t xml:space="preserve">South </w:t>
      </w:r>
      <w:r w:rsidRPr="0091360F">
        <w:rPr>
          <w:rFonts w:ascii="Book Antiqua" w:hAnsi="Book Antiqua" w:cs="Times New Roman"/>
          <w:sz w:val="24"/>
          <w:szCs w:val="24"/>
        </w:rPr>
        <w:t>Korea</w:t>
      </w:r>
      <w:r w:rsidRPr="0091360F">
        <w:rPr>
          <w:rFonts w:ascii="Book Antiqua" w:hAnsi="Book Antiqua" w:cs="Times New Roman"/>
          <w:kern w:val="0"/>
          <w:sz w:val="24"/>
          <w:szCs w:val="24"/>
          <w:vertAlign w:val="superscript"/>
        </w:rPr>
        <w:t>[2</w:t>
      </w:r>
      <w:r w:rsidR="00826A3C" w:rsidRPr="0091360F">
        <w:rPr>
          <w:rFonts w:ascii="Book Antiqua" w:hAnsi="Book Antiqua" w:cs="Times New Roman"/>
          <w:kern w:val="0"/>
          <w:sz w:val="24"/>
          <w:szCs w:val="24"/>
          <w:vertAlign w:val="superscript"/>
        </w:rPr>
        <w:t>4</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These differences among different studies are understandable </w:t>
      </w:r>
      <w:r w:rsidR="00402D3D">
        <w:rPr>
          <w:rFonts w:ascii="Book Antiqua" w:hAnsi="Book Antiqua" w:cs="Times New Roman"/>
          <w:sz w:val="24"/>
          <w:szCs w:val="24"/>
        </w:rPr>
        <w:t>as</w:t>
      </w:r>
      <w:r w:rsidRPr="0091360F">
        <w:rPr>
          <w:rFonts w:ascii="Book Antiqua" w:hAnsi="Book Antiqua" w:cs="Times New Roman"/>
          <w:sz w:val="24"/>
          <w:szCs w:val="24"/>
        </w:rPr>
        <w:t xml:space="preserve"> these studies </w:t>
      </w:r>
      <w:r w:rsidR="00402D3D">
        <w:rPr>
          <w:rFonts w:ascii="Book Antiqua" w:hAnsi="Book Antiqua" w:cs="Times New Roman"/>
          <w:sz w:val="24"/>
          <w:szCs w:val="24"/>
        </w:rPr>
        <w:t>were</w:t>
      </w:r>
      <w:r w:rsidRPr="0091360F">
        <w:rPr>
          <w:rFonts w:ascii="Book Antiqua" w:hAnsi="Book Antiqua" w:cs="Times New Roman"/>
          <w:sz w:val="24"/>
          <w:szCs w:val="24"/>
        </w:rPr>
        <w:t xml:space="preserve"> conducted in different countries or regions and enrolled patients with different characteristics. For predicting in-hospital mortality, the AUROCs of these scores also varied between different studies. Compared with predicting in-hospital rebleeding, previous studies have generally reported that these scores were better at predicting the risk of in-hospital death</w:t>
      </w:r>
      <w:r w:rsidRPr="0091360F">
        <w:rPr>
          <w:rFonts w:ascii="Book Antiqua" w:hAnsi="Book Antiqua" w:cs="Times New Roman"/>
          <w:kern w:val="0"/>
          <w:sz w:val="24"/>
          <w:szCs w:val="24"/>
          <w:vertAlign w:val="superscript"/>
        </w:rPr>
        <w:t>[8,</w:t>
      </w:r>
      <w:r w:rsidR="00F44190" w:rsidRPr="0091360F">
        <w:rPr>
          <w:rFonts w:ascii="Book Antiqua" w:hAnsi="Book Antiqua" w:cs="Times New Roman"/>
          <w:kern w:val="0"/>
          <w:sz w:val="24"/>
          <w:szCs w:val="24"/>
          <w:vertAlign w:val="superscript"/>
        </w:rPr>
        <w:t>9</w:t>
      </w:r>
      <w:r w:rsidRPr="0091360F">
        <w:rPr>
          <w:rFonts w:ascii="Book Antiqua" w:hAnsi="Book Antiqua" w:cs="Times New Roman"/>
          <w:kern w:val="0"/>
          <w:sz w:val="24"/>
          <w:szCs w:val="24"/>
          <w:vertAlign w:val="superscript"/>
        </w:rPr>
        <w:t>,2</w:t>
      </w:r>
      <w:r w:rsidR="00826A3C" w:rsidRPr="0091360F">
        <w:rPr>
          <w:rFonts w:ascii="Book Antiqua" w:hAnsi="Book Antiqua" w:cs="Times New Roman"/>
          <w:kern w:val="0"/>
          <w:sz w:val="24"/>
          <w:szCs w:val="24"/>
          <w:vertAlign w:val="superscript"/>
        </w:rPr>
        <w:t>4</w:t>
      </w:r>
      <w:r w:rsidRPr="0091360F">
        <w:rPr>
          <w:rFonts w:ascii="Book Antiqua" w:hAnsi="Book Antiqua" w:cs="Times New Roman"/>
          <w:kern w:val="0"/>
          <w:sz w:val="24"/>
          <w:szCs w:val="24"/>
          <w:vertAlign w:val="superscript"/>
        </w:rPr>
        <w:t>,2</w:t>
      </w:r>
      <w:r w:rsidR="00DE6E24" w:rsidRPr="0091360F">
        <w:rPr>
          <w:rFonts w:ascii="Book Antiqua" w:hAnsi="Book Antiqua" w:cs="Times New Roman"/>
          <w:kern w:val="0"/>
          <w:sz w:val="24"/>
          <w:szCs w:val="24"/>
          <w:vertAlign w:val="superscript"/>
        </w:rPr>
        <w:t>5</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These findings are consistent with our results.</w:t>
      </w:r>
      <w:r w:rsidRPr="0091360F">
        <w:rPr>
          <w:rFonts w:ascii="Book Antiqua" w:hAnsi="Book Antiqua"/>
          <w:sz w:val="24"/>
          <w:szCs w:val="24"/>
        </w:rPr>
        <w:t xml:space="preserve"> </w:t>
      </w:r>
      <w:r w:rsidRPr="0091360F">
        <w:rPr>
          <w:rFonts w:ascii="Book Antiqua" w:hAnsi="Book Antiqua" w:cs="Times New Roman"/>
          <w:sz w:val="24"/>
          <w:szCs w:val="24"/>
        </w:rPr>
        <w:t xml:space="preserve">In fact, the component variables of these scores indicate that they are more suitable for predicting short-term death rather than rebleeding. The variables included in these scores are age, systolic blood pressure, heart rate, hemoglobin, comorbidity, albumin, </w:t>
      </w:r>
      <w:r w:rsidR="00402D3D">
        <w:rPr>
          <w:rFonts w:ascii="Book Antiqua" w:hAnsi="Book Antiqua" w:cs="Times New Roman"/>
          <w:sz w:val="24"/>
          <w:szCs w:val="24"/>
        </w:rPr>
        <w:t xml:space="preserve">international normalized ratio </w:t>
      </w:r>
      <w:r w:rsidRPr="0091360F">
        <w:rPr>
          <w:rFonts w:ascii="Book Antiqua" w:hAnsi="Book Antiqua" w:cs="Times New Roman"/>
          <w:sz w:val="24"/>
          <w:szCs w:val="24"/>
        </w:rPr>
        <w:t>and blood urea nitrogen (Supplementary Table 1). Previous studies have found that these variables were independently associated with short-term mortality in patients with cirrhosis</w:t>
      </w:r>
      <w:r w:rsidRPr="0091360F">
        <w:rPr>
          <w:rFonts w:ascii="Book Antiqua" w:hAnsi="Book Antiqua" w:cs="Times New Roman"/>
          <w:kern w:val="0"/>
          <w:sz w:val="24"/>
          <w:szCs w:val="24"/>
          <w:vertAlign w:val="superscript"/>
        </w:rPr>
        <w:t>[2</w:t>
      </w:r>
      <w:r w:rsidR="004023D0" w:rsidRPr="0091360F">
        <w:rPr>
          <w:rFonts w:ascii="Book Antiqua" w:hAnsi="Book Antiqua" w:cs="Times New Roman"/>
          <w:kern w:val="0"/>
          <w:sz w:val="24"/>
          <w:szCs w:val="24"/>
          <w:vertAlign w:val="superscript"/>
        </w:rPr>
        <w:t>6</w:t>
      </w:r>
      <w:r w:rsidRPr="0091360F">
        <w:rPr>
          <w:rFonts w:ascii="Book Antiqua" w:hAnsi="Book Antiqua" w:cs="Times New Roman"/>
          <w:kern w:val="0"/>
          <w:sz w:val="24"/>
          <w:szCs w:val="24"/>
          <w:vertAlign w:val="superscript"/>
        </w:rPr>
        <w:t>,2</w:t>
      </w:r>
      <w:r w:rsidR="004023D0" w:rsidRPr="0091360F">
        <w:rPr>
          <w:rFonts w:ascii="Book Antiqua" w:hAnsi="Book Antiqua" w:cs="Times New Roman"/>
          <w:kern w:val="0"/>
          <w:sz w:val="24"/>
          <w:szCs w:val="24"/>
          <w:vertAlign w:val="superscript"/>
        </w:rPr>
        <w:t>7</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In contrast, most of these variables have not been confirmed to be associated with short-term rebleeding. Some independent factors, such as ascites, portal vein thrombosis and portal hypertension, were identified to be associated with early variceal rebleeding, but they are not included in the validated scores</w:t>
      </w:r>
      <w:r w:rsidRPr="0091360F">
        <w:rPr>
          <w:rFonts w:ascii="Book Antiqua" w:hAnsi="Book Antiqua" w:cs="Times New Roman"/>
          <w:kern w:val="0"/>
          <w:sz w:val="24"/>
          <w:szCs w:val="24"/>
          <w:vertAlign w:val="superscript"/>
        </w:rPr>
        <w:t>[2</w:t>
      </w:r>
      <w:r w:rsidR="004023D0" w:rsidRPr="0091360F">
        <w:rPr>
          <w:rFonts w:ascii="Book Antiqua" w:hAnsi="Book Antiqua" w:cs="Times New Roman"/>
          <w:kern w:val="0"/>
          <w:sz w:val="24"/>
          <w:szCs w:val="24"/>
          <w:vertAlign w:val="superscript"/>
        </w:rPr>
        <w:t>6</w:t>
      </w:r>
      <w:r w:rsidRPr="0091360F">
        <w:rPr>
          <w:rFonts w:ascii="Book Antiqua" w:hAnsi="Book Antiqua" w:cs="Times New Roman"/>
          <w:kern w:val="0"/>
          <w:sz w:val="24"/>
          <w:szCs w:val="24"/>
          <w:vertAlign w:val="superscript"/>
        </w:rPr>
        <w:t>,2</w:t>
      </w:r>
      <w:r w:rsidR="00E270BE" w:rsidRPr="0091360F">
        <w:rPr>
          <w:rFonts w:ascii="Book Antiqua" w:hAnsi="Book Antiqua" w:cs="Times New Roman"/>
          <w:kern w:val="0"/>
          <w:sz w:val="24"/>
          <w:szCs w:val="24"/>
          <w:vertAlign w:val="superscript"/>
        </w:rPr>
        <w:t>8</w:t>
      </w:r>
      <w:r w:rsidRPr="0091360F">
        <w:rPr>
          <w:rFonts w:ascii="Book Antiqua" w:hAnsi="Book Antiqua" w:cs="Times New Roman"/>
          <w:kern w:val="0"/>
          <w:sz w:val="24"/>
          <w:szCs w:val="24"/>
          <w:vertAlign w:val="superscript"/>
        </w:rPr>
        <w:t>,2</w:t>
      </w:r>
      <w:r w:rsidR="00E270BE" w:rsidRPr="0091360F">
        <w:rPr>
          <w:rFonts w:ascii="Book Antiqua" w:hAnsi="Book Antiqua" w:cs="Times New Roman"/>
          <w:kern w:val="0"/>
          <w:sz w:val="24"/>
          <w:szCs w:val="24"/>
          <w:vertAlign w:val="superscript"/>
        </w:rPr>
        <w:t>9</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In addition, many studies have shown </w:t>
      </w:r>
      <w:r w:rsidRPr="0091360F">
        <w:rPr>
          <w:rFonts w:ascii="Book Antiqua" w:hAnsi="Book Antiqua" w:cs="Times New Roman"/>
          <w:sz w:val="24"/>
          <w:szCs w:val="24"/>
        </w:rPr>
        <w:lastRenderedPageBreak/>
        <w:t>that the CTP, MELD and MELD-Na have good predictive values in predicting in-hospital death, and our study confirms this finding</w:t>
      </w:r>
      <w:r w:rsidRPr="0091360F">
        <w:rPr>
          <w:rFonts w:ascii="Book Antiqua" w:hAnsi="Book Antiqua" w:cs="Times New Roman"/>
          <w:kern w:val="0"/>
          <w:sz w:val="24"/>
          <w:szCs w:val="24"/>
          <w:vertAlign w:val="superscript"/>
        </w:rPr>
        <w:t>[</w:t>
      </w:r>
      <w:r w:rsidR="00E270BE" w:rsidRPr="0091360F">
        <w:rPr>
          <w:rFonts w:ascii="Book Antiqua" w:hAnsi="Book Antiqua" w:cs="Times New Roman"/>
          <w:kern w:val="0"/>
          <w:sz w:val="24"/>
          <w:szCs w:val="24"/>
          <w:vertAlign w:val="superscript"/>
        </w:rPr>
        <w:t>30</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w:t>
      </w:r>
    </w:p>
    <w:p w14:paraId="507A6C19" w14:textId="26DA953A" w:rsidR="00B21FD6" w:rsidRPr="0091360F" w:rsidRDefault="00AA326E" w:rsidP="00503CF7">
      <w:pPr>
        <w:autoSpaceDE w:val="0"/>
        <w:autoSpaceDN w:val="0"/>
        <w:adjustRightInd w:val="0"/>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 xml:space="preserve">This study has some strengths. First, a relatively adequate sample size helped to evaluate the predictive value of these scores. Second, most risk scoring systems lack external validation, especially in Chinese patients. Third, some of these prognostic scoring systems were validated for in-hospital adverse outcomes for the first time. Finally, our study provides some evidence in Chinese patients. However, some limitations should also be mentioned. First, the present study was a single-center retrospective study, and the applicability of the results may be limited. Second, not all patients were treated following the current guidelines. However, our data were obtained from clinical records and </w:t>
      </w:r>
      <w:r w:rsidRPr="0091360F">
        <w:rPr>
          <w:rFonts w:ascii="Book Antiqua" w:eastAsia="等线" w:hAnsi="Book Antiqua" w:cs="Times New Roman"/>
          <w:sz w:val="24"/>
          <w:szCs w:val="24"/>
        </w:rPr>
        <w:t>reflected</w:t>
      </w:r>
      <w:r w:rsidRPr="0091360F">
        <w:rPr>
          <w:rFonts w:ascii="Book Antiqua" w:hAnsi="Book Antiqua" w:cs="Times New Roman"/>
          <w:sz w:val="24"/>
          <w:szCs w:val="24"/>
        </w:rPr>
        <w:t xml:space="preserve"> real clinical practices. Third, some transferred patients were excluded because some of the data could change after external treatments, and the data from other hospitals were not available. Fourth, some endoscopy</w:t>
      </w:r>
      <w:r w:rsidRPr="0091360F">
        <w:rPr>
          <w:rFonts w:ascii="Book Antiqua" w:eastAsia="等线" w:hAnsi="Book Antiqua" w:cs="Times New Roman"/>
          <w:sz w:val="24"/>
          <w:szCs w:val="24"/>
        </w:rPr>
        <w:t>-</w:t>
      </w:r>
      <w:r w:rsidRPr="0091360F">
        <w:rPr>
          <w:rFonts w:ascii="Book Antiqua" w:hAnsi="Book Antiqua" w:cs="Times New Roman"/>
          <w:sz w:val="24"/>
          <w:szCs w:val="24"/>
        </w:rPr>
        <w:t xml:space="preserve">based scores were not considered in this study because a risk assessment was delayed or even unachievable in some healthcare settings using </w:t>
      </w:r>
      <w:r w:rsidRPr="0091360F">
        <w:rPr>
          <w:rFonts w:ascii="Book Antiqua" w:eastAsia="等线" w:hAnsi="Book Antiqua" w:cs="Times New Roman"/>
          <w:sz w:val="24"/>
          <w:szCs w:val="24"/>
        </w:rPr>
        <w:t>an</w:t>
      </w:r>
      <w:r w:rsidRPr="0091360F">
        <w:rPr>
          <w:rFonts w:ascii="Book Antiqua" w:hAnsi="Book Antiqua" w:cs="Times New Roman"/>
          <w:sz w:val="24"/>
          <w:szCs w:val="24"/>
        </w:rPr>
        <w:t xml:space="preserve"> endoscopy score. Furthermore, most endoscopic data </w:t>
      </w:r>
      <w:r w:rsidRPr="0091360F">
        <w:rPr>
          <w:rFonts w:ascii="Book Antiqua" w:eastAsia="等线" w:hAnsi="Book Antiqua" w:cs="Times New Roman"/>
          <w:sz w:val="24"/>
          <w:szCs w:val="24"/>
        </w:rPr>
        <w:t>are</w:t>
      </w:r>
      <w:r w:rsidRPr="0091360F">
        <w:rPr>
          <w:rFonts w:ascii="Book Antiqua" w:hAnsi="Book Antiqua" w:cs="Times New Roman"/>
          <w:sz w:val="24"/>
          <w:szCs w:val="24"/>
        </w:rPr>
        <w:t xml:space="preserve"> subjective.</w:t>
      </w:r>
      <w:r w:rsidR="00DD3523" w:rsidRPr="0091360F">
        <w:rPr>
          <w:rFonts w:ascii="Book Antiqua" w:hAnsi="Book Antiqua" w:cs="Times New Roman"/>
          <w:sz w:val="24"/>
          <w:szCs w:val="24"/>
        </w:rPr>
        <w:t xml:space="preserve"> In addition, </w:t>
      </w:r>
      <w:r w:rsidR="004C4C38" w:rsidRPr="0091360F">
        <w:rPr>
          <w:rFonts w:ascii="Book Antiqua" w:hAnsi="Book Antiqua" w:cs="Times New Roman"/>
          <w:sz w:val="24"/>
          <w:szCs w:val="24"/>
        </w:rPr>
        <w:t xml:space="preserve">some subgroup or sensitivity analyses </w:t>
      </w:r>
      <w:r w:rsidR="006A43A4" w:rsidRPr="0091360F">
        <w:rPr>
          <w:rFonts w:ascii="Book Antiqua" w:hAnsi="Book Antiqua" w:cs="Times New Roman"/>
          <w:sz w:val="24"/>
          <w:szCs w:val="24"/>
        </w:rPr>
        <w:t>could not</w:t>
      </w:r>
      <w:r w:rsidR="004C4C38" w:rsidRPr="0091360F">
        <w:rPr>
          <w:rFonts w:ascii="Book Antiqua" w:hAnsi="Book Antiqua" w:cs="Times New Roman"/>
          <w:sz w:val="24"/>
          <w:szCs w:val="24"/>
        </w:rPr>
        <w:t xml:space="preserve"> be performed because</w:t>
      </w:r>
      <w:r w:rsidR="00393C05" w:rsidRPr="0091360F">
        <w:rPr>
          <w:rFonts w:ascii="Book Antiqua" w:hAnsi="Book Antiqua" w:cs="Times New Roman"/>
          <w:sz w:val="24"/>
          <w:szCs w:val="24"/>
        </w:rPr>
        <w:t xml:space="preserve"> some </w:t>
      </w:r>
      <w:r w:rsidR="00862295">
        <w:rPr>
          <w:rFonts w:ascii="Book Antiqua" w:hAnsi="Book Antiqua" w:cs="Times New Roman"/>
          <w:sz w:val="24"/>
          <w:szCs w:val="24"/>
        </w:rPr>
        <w:t xml:space="preserve">the </w:t>
      </w:r>
      <w:r w:rsidR="00393C05" w:rsidRPr="0091360F">
        <w:rPr>
          <w:rFonts w:ascii="Book Antiqua" w:hAnsi="Book Antiqua" w:cs="Times New Roman"/>
          <w:sz w:val="24"/>
          <w:szCs w:val="24"/>
        </w:rPr>
        <w:t>relevant</w:t>
      </w:r>
      <w:r w:rsidR="00393C05" w:rsidRPr="0091360F">
        <w:rPr>
          <w:rFonts w:ascii="Book Antiqua" w:hAnsi="Book Antiqua"/>
          <w:sz w:val="24"/>
          <w:szCs w:val="24"/>
        </w:rPr>
        <w:t xml:space="preserve"> </w:t>
      </w:r>
      <w:r w:rsidR="00393C05" w:rsidRPr="0091360F">
        <w:rPr>
          <w:rFonts w:ascii="Book Antiqua" w:hAnsi="Book Antiqua" w:cs="Times New Roman"/>
          <w:sz w:val="24"/>
          <w:szCs w:val="24"/>
        </w:rPr>
        <w:t xml:space="preserve">data </w:t>
      </w:r>
      <w:r w:rsidR="006A43A4" w:rsidRPr="0091360F">
        <w:rPr>
          <w:rFonts w:ascii="Book Antiqua" w:hAnsi="Book Antiqua" w:cs="Times New Roman"/>
          <w:sz w:val="24"/>
          <w:szCs w:val="24"/>
        </w:rPr>
        <w:t>were</w:t>
      </w:r>
      <w:r w:rsidR="00393C05" w:rsidRPr="0091360F">
        <w:rPr>
          <w:rFonts w:ascii="Book Antiqua" w:hAnsi="Book Antiqua" w:cs="Times New Roman"/>
          <w:sz w:val="24"/>
          <w:szCs w:val="24"/>
        </w:rPr>
        <w:t xml:space="preserve"> not available or the effective sample size </w:t>
      </w:r>
      <w:r w:rsidR="006A43A4" w:rsidRPr="0091360F">
        <w:rPr>
          <w:rFonts w:ascii="Book Antiqua" w:hAnsi="Book Antiqua" w:cs="Times New Roman"/>
          <w:sz w:val="24"/>
          <w:szCs w:val="24"/>
        </w:rPr>
        <w:t>was</w:t>
      </w:r>
      <w:r w:rsidR="00393C05" w:rsidRPr="0091360F">
        <w:rPr>
          <w:rFonts w:ascii="Book Antiqua" w:hAnsi="Book Antiqua" w:cs="Times New Roman"/>
          <w:sz w:val="24"/>
          <w:szCs w:val="24"/>
        </w:rPr>
        <w:t xml:space="preserve"> insufficient after patients </w:t>
      </w:r>
      <w:r w:rsidR="006A43A4" w:rsidRPr="0091360F">
        <w:rPr>
          <w:rFonts w:ascii="Book Antiqua" w:hAnsi="Book Antiqua" w:cs="Times New Roman"/>
          <w:sz w:val="24"/>
          <w:szCs w:val="24"/>
        </w:rPr>
        <w:t>were</w:t>
      </w:r>
      <w:r w:rsidR="005508DB" w:rsidRPr="0091360F">
        <w:rPr>
          <w:rFonts w:ascii="Book Antiqua" w:hAnsi="Book Antiqua" w:cs="Times New Roman"/>
          <w:sz w:val="24"/>
          <w:szCs w:val="24"/>
        </w:rPr>
        <w:t xml:space="preserve"> split</w:t>
      </w:r>
      <w:r w:rsidR="005508DB" w:rsidRPr="0091360F">
        <w:rPr>
          <w:rFonts w:ascii="Book Antiqua" w:hAnsi="Book Antiqua"/>
          <w:sz w:val="24"/>
          <w:szCs w:val="24"/>
        </w:rPr>
        <w:t xml:space="preserve"> </w:t>
      </w:r>
      <w:r w:rsidR="005508DB" w:rsidRPr="0091360F">
        <w:rPr>
          <w:rFonts w:ascii="Book Antiqua" w:hAnsi="Book Antiqua" w:cs="Times New Roman"/>
          <w:sz w:val="24"/>
          <w:szCs w:val="24"/>
        </w:rPr>
        <w:t>into several groups</w:t>
      </w:r>
      <w:r w:rsidR="000D6394" w:rsidRPr="0091360F">
        <w:rPr>
          <w:rFonts w:ascii="Book Antiqua" w:hAnsi="Book Antiqua" w:cs="Times New Roman"/>
          <w:sz w:val="24"/>
          <w:szCs w:val="24"/>
        </w:rPr>
        <w:t>. The predictive value</w:t>
      </w:r>
      <w:r w:rsidR="00862295">
        <w:rPr>
          <w:rFonts w:ascii="Book Antiqua" w:hAnsi="Book Antiqua" w:cs="Times New Roman"/>
          <w:sz w:val="24"/>
          <w:szCs w:val="24"/>
        </w:rPr>
        <w:t>s</w:t>
      </w:r>
      <w:r w:rsidR="000D6394" w:rsidRPr="0091360F">
        <w:rPr>
          <w:rFonts w:ascii="Book Antiqua" w:hAnsi="Book Antiqua" w:cs="Times New Roman"/>
          <w:sz w:val="24"/>
          <w:szCs w:val="24"/>
        </w:rPr>
        <w:t xml:space="preserve"> of these prognostic scores require </w:t>
      </w:r>
      <w:r w:rsidR="00A17D73" w:rsidRPr="0091360F">
        <w:rPr>
          <w:rFonts w:ascii="Book Antiqua" w:hAnsi="Book Antiqua" w:cs="Times New Roman"/>
          <w:sz w:val="24"/>
          <w:szCs w:val="24"/>
        </w:rPr>
        <w:t>validat</w:t>
      </w:r>
      <w:r w:rsidR="00862295">
        <w:rPr>
          <w:rFonts w:ascii="Book Antiqua" w:hAnsi="Book Antiqua" w:cs="Times New Roman"/>
          <w:sz w:val="24"/>
          <w:szCs w:val="24"/>
        </w:rPr>
        <w:t>ion</w:t>
      </w:r>
      <w:r w:rsidR="00A17D73" w:rsidRPr="0091360F">
        <w:rPr>
          <w:rFonts w:ascii="Book Antiqua" w:hAnsi="Book Antiqua" w:cs="Times New Roman"/>
          <w:sz w:val="24"/>
          <w:szCs w:val="24"/>
        </w:rPr>
        <w:t xml:space="preserve"> based on different degrees of portal hypertension, grading and types of varices, and </w:t>
      </w:r>
      <w:r w:rsidR="00862295">
        <w:rPr>
          <w:rFonts w:ascii="Book Antiqua" w:hAnsi="Book Antiqua" w:cs="Times New Roman"/>
          <w:sz w:val="24"/>
          <w:szCs w:val="24"/>
        </w:rPr>
        <w:t>types</w:t>
      </w:r>
      <w:r w:rsidR="00A17D73" w:rsidRPr="0091360F">
        <w:rPr>
          <w:rFonts w:ascii="Book Antiqua" w:hAnsi="Book Antiqua" w:cs="Times New Roman"/>
          <w:sz w:val="24"/>
          <w:szCs w:val="24"/>
        </w:rPr>
        <w:t xml:space="preserve"> of special treatment.</w:t>
      </w:r>
      <w:r w:rsidR="00F50FED">
        <w:rPr>
          <w:rFonts w:ascii="Book Antiqua" w:hAnsi="Book Antiqua" w:cs="Times New Roman"/>
          <w:sz w:val="24"/>
          <w:szCs w:val="24"/>
        </w:rPr>
        <w:t xml:space="preserve"> </w:t>
      </w:r>
      <w:r w:rsidRPr="0091360F">
        <w:rPr>
          <w:rFonts w:ascii="Book Antiqua" w:hAnsi="Book Antiqua" w:cs="Times New Roman"/>
          <w:sz w:val="24"/>
          <w:szCs w:val="24"/>
        </w:rPr>
        <w:t xml:space="preserve">In conclusion, </w:t>
      </w:r>
      <w:bookmarkStart w:id="74" w:name="_Hlk24316770"/>
      <w:r w:rsidRPr="0091360F">
        <w:rPr>
          <w:rFonts w:ascii="Book Antiqua" w:hAnsi="Book Antiqua" w:cs="Times New Roman"/>
          <w:sz w:val="24"/>
          <w:szCs w:val="24"/>
        </w:rPr>
        <w:t xml:space="preserve">the risk of in-hospital rebleeding and mortality remains high in cirrhotic patients with variceal bleeding. </w:t>
      </w:r>
      <w:bookmarkEnd w:id="74"/>
      <w:r w:rsidRPr="0091360F">
        <w:rPr>
          <w:rFonts w:ascii="Book Antiqua" w:hAnsi="Book Antiqua" w:cs="Times New Roman"/>
          <w:sz w:val="24"/>
          <w:szCs w:val="24"/>
        </w:rPr>
        <w:t>The predictive value of the CTP and CRS are clinically acceptable for predicting in-hospital rebleeding. The performances of these scoring systems are better at predicting in-hospital mortality than in-hospital rebleeding, especially the CRS, CTP, AIMS65, MELD-Na and MELD. Further prospective and multicenter studies are warranted to confirm our findings.</w:t>
      </w:r>
    </w:p>
    <w:p w14:paraId="640CF36E" w14:textId="5FE3AEEE" w:rsidR="002A32F4" w:rsidRPr="0091360F" w:rsidRDefault="002A32F4" w:rsidP="00420454">
      <w:pPr>
        <w:autoSpaceDE w:val="0"/>
        <w:autoSpaceDN w:val="0"/>
        <w:adjustRightInd w:val="0"/>
        <w:snapToGrid w:val="0"/>
        <w:spacing w:line="360" w:lineRule="auto"/>
        <w:ind w:firstLineChars="150" w:firstLine="360"/>
        <w:rPr>
          <w:rFonts w:ascii="Book Antiqua" w:hAnsi="Book Antiqua" w:cs="Times New Roman"/>
          <w:sz w:val="24"/>
          <w:szCs w:val="24"/>
        </w:rPr>
      </w:pPr>
    </w:p>
    <w:p w14:paraId="109CE17A" w14:textId="264CEC2F" w:rsidR="002A32F4" w:rsidRPr="0091360F" w:rsidRDefault="002A32F4" w:rsidP="00420454">
      <w:pPr>
        <w:adjustRightInd w:val="0"/>
        <w:snapToGrid w:val="0"/>
        <w:spacing w:line="360" w:lineRule="auto"/>
        <w:rPr>
          <w:rFonts w:ascii="Book Antiqua" w:hAnsi="Book Antiqua"/>
          <w:b/>
          <w:sz w:val="24"/>
          <w:szCs w:val="24"/>
        </w:rPr>
      </w:pPr>
      <w:bookmarkStart w:id="75" w:name="OLE_LINK263"/>
      <w:bookmarkStart w:id="76" w:name="OLE_LINK266"/>
      <w:bookmarkStart w:id="77" w:name="OLE_LINK83"/>
      <w:bookmarkStart w:id="78" w:name="OLE_LINK86"/>
      <w:bookmarkStart w:id="79" w:name="_Hlk5627588"/>
      <w:bookmarkStart w:id="80" w:name="OLE_LINK899"/>
      <w:bookmarkStart w:id="81" w:name="_Hlk22201294"/>
      <w:r w:rsidRPr="0091360F">
        <w:rPr>
          <w:rFonts w:ascii="Book Antiqua" w:hAnsi="Book Antiqua" w:cs="Garamond-Bold"/>
          <w:b/>
          <w:bCs/>
          <w:sz w:val="24"/>
          <w:szCs w:val="24"/>
        </w:rPr>
        <w:t>ARTICLE HIGHLIGHTS</w:t>
      </w:r>
      <w:bookmarkEnd w:id="75"/>
      <w:bookmarkEnd w:id="76"/>
      <w:bookmarkEnd w:id="77"/>
      <w:bookmarkEnd w:id="78"/>
    </w:p>
    <w:bookmarkEnd w:id="79"/>
    <w:bookmarkEnd w:id="80"/>
    <w:bookmarkEnd w:id="81"/>
    <w:p w14:paraId="4DB3FA9E" w14:textId="5E285274" w:rsidR="00EB2716" w:rsidRPr="0091360F" w:rsidRDefault="00B0609F"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lastRenderedPageBreak/>
        <w:t>Research background</w:t>
      </w:r>
    </w:p>
    <w:p w14:paraId="7BADF278" w14:textId="6EF7D9E0" w:rsidR="00EB2716" w:rsidRPr="0091360F" w:rsidRDefault="00E3622E" w:rsidP="00503CF7">
      <w:pPr>
        <w:autoSpaceDE w:val="0"/>
        <w:autoSpaceDN w:val="0"/>
        <w:adjustRightInd w:val="0"/>
        <w:snapToGrid w:val="0"/>
        <w:spacing w:line="360" w:lineRule="auto"/>
        <w:rPr>
          <w:rFonts w:ascii="Book Antiqua" w:hAnsi="Book Antiqua" w:cs="Arial"/>
          <w:iCs/>
          <w:sz w:val="24"/>
          <w:szCs w:val="24"/>
        </w:rPr>
      </w:pPr>
      <w:r w:rsidRPr="0091360F">
        <w:rPr>
          <w:rFonts w:ascii="Book Antiqua" w:hAnsi="Book Antiqua" w:cs="Arial"/>
          <w:iCs/>
          <w:sz w:val="24"/>
          <w:szCs w:val="24"/>
        </w:rPr>
        <w:t xml:space="preserve">Several risk scoring systems have been developed and </w:t>
      </w:r>
      <w:r w:rsidR="002E7C47">
        <w:rPr>
          <w:rFonts w:ascii="Book Antiqua" w:hAnsi="Book Antiqua" w:cs="Arial"/>
          <w:iCs/>
          <w:sz w:val="24"/>
          <w:szCs w:val="24"/>
        </w:rPr>
        <w:t xml:space="preserve">are </w:t>
      </w:r>
      <w:r w:rsidRPr="0091360F">
        <w:rPr>
          <w:rFonts w:ascii="Book Antiqua" w:hAnsi="Book Antiqua" w:cs="Arial"/>
          <w:iCs/>
          <w:sz w:val="24"/>
          <w:szCs w:val="24"/>
        </w:rPr>
        <w:t>regarded as useful tools for predicting clinical outcomes in patients with upper gastrointestinal bleeding</w:t>
      </w:r>
      <w:r w:rsidR="00503CF7" w:rsidRPr="0091360F">
        <w:rPr>
          <w:rFonts w:ascii="Book Antiqua" w:hAnsi="Book Antiqua" w:cs="Arial"/>
          <w:iCs/>
          <w:sz w:val="24"/>
          <w:szCs w:val="24"/>
        </w:rPr>
        <w:t xml:space="preserve"> </w:t>
      </w:r>
      <w:r w:rsidR="002651A8" w:rsidRPr="0091360F">
        <w:rPr>
          <w:rFonts w:ascii="Book Antiqua" w:hAnsi="Book Antiqua" w:cs="Arial"/>
          <w:iCs/>
          <w:sz w:val="24"/>
          <w:szCs w:val="24"/>
        </w:rPr>
        <w:t>(UGIB)</w:t>
      </w:r>
      <w:r w:rsidRPr="0091360F">
        <w:rPr>
          <w:rFonts w:ascii="Book Antiqua" w:hAnsi="Book Antiqua" w:cs="Arial"/>
          <w:iCs/>
          <w:sz w:val="24"/>
          <w:szCs w:val="24"/>
        </w:rPr>
        <w:t>.</w:t>
      </w:r>
      <w:r w:rsidR="001F63AE" w:rsidRPr="0091360F">
        <w:rPr>
          <w:rFonts w:ascii="Book Antiqua" w:hAnsi="Book Antiqua" w:cs="Arial"/>
          <w:iCs/>
          <w:sz w:val="24"/>
          <w:szCs w:val="24"/>
        </w:rPr>
        <w:t xml:space="preserve"> </w:t>
      </w:r>
      <w:r w:rsidR="002651A8" w:rsidRPr="0091360F">
        <w:rPr>
          <w:rFonts w:ascii="Book Antiqua" w:hAnsi="Book Antiqua" w:cs="Arial"/>
          <w:iCs/>
          <w:sz w:val="24"/>
          <w:szCs w:val="24"/>
        </w:rPr>
        <w:t>As a common form</w:t>
      </w:r>
      <w:r w:rsidR="009B2DE5" w:rsidRPr="0091360F">
        <w:rPr>
          <w:rFonts w:ascii="Book Antiqua" w:hAnsi="Book Antiqua" w:cs="Arial"/>
          <w:iCs/>
          <w:sz w:val="24"/>
          <w:szCs w:val="24"/>
        </w:rPr>
        <w:t xml:space="preserve"> of acute UGIB,</w:t>
      </w:r>
      <w:r w:rsidR="001F63AE" w:rsidRPr="0091360F">
        <w:rPr>
          <w:rFonts w:ascii="Book Antiqua" w:hAnsi="Book Antiqua" w:cs="Arial"/>
          <w:iCs/>
          <w:sz w:val="24"/>
          <w:szCs w:val="24"/>
        </w:rPr>
        <w:t xml:space="preserve"> patients with</w:t>
      </w:r>
      <w:r w:rsidR="009B2DE5" w:rsidRPr="0091360F">
        <w:rPr>
          <w:rFonts w:ascii="Book Antiqua" w:hAnsi="Book Antiqua" w:cs="Arial"/>
          <w:iCs/>
          <w:sz w:val="24"/>
          <w:szCs w:val="24"/>
        </w:rPr>
        <w:t xml:space="preserve"> variceal bleeding</w:t>
      </w:r>
      <w:r w:rsidR="001F63AE" w:rsidRPr="0091360F">
        <w:rPr>
          <w:rFonts w:ascii="Book Antiqua" w:hAnsi="Book Antiqua" w:cs="Arial"/>
          <w:iCs/>
          <w:sz w:val="24"/>
          <w:szCs w:val="24"/>
        </w:rPr>
        <w:t xml:space="preserve"> often </w:t>
      </w:r>
      <w:r w:rsidR="002E7C47">
        <w:rPr>
          <w:rFonts w:ascii="Book Antiqua" w:hAnsi="Book Antiqua" w:cs="Arial"/>
          <w:iCs/>
          <w:sz w:val="24"/>
          <w:szCs w:val="24"/>
        </w:rPr>
        <w:t>have</w:t>
      </w:r>
      <w:r w:rsidR="001F63AE" w:rsidRPr="0091360F">
        <w:rPr>
          <w:rFonts w:ascii="Book Antiqua" w:hAnsi="Book Antiqua" w:cs="Arial"/>
          <w:iCs/>
          <w:sz w:val="24"/>
          <w:szCs w:val="24"/>
        </w:rPr>
        <w:t xml:space="preserve"> a</w:t>
      </w:r>
      <w:r w:rsidR="002E7C47">
        <w:rPr>
          <w:rFonts w:ascii="Book Antiqua" w:hAnsi="Book Antiqua" w:cs="Arial"/>
          <w:iCs/>
          <w:sz w:val="24"/>
          <w:szCs w:val="24"/>
        </w:rPr>
        <w:t>n increased</w:t>
      </w:r>
      <w:r w:rsidR="001F63AE" w:rsidRPr="0091360F">
        <w:rPr>
          <w:rFonts w:ascii="Book Antiqua" w:hAnsi="Book Antiqua" w:cs="Arial"/>
          <w:iCs/>
          <w:sz w:val="24"/>
          <w:szCs w:val="24"/>
        </w:rPr>
        <w:t xml:space="preserve"> risk of in-hospital adverse outcomes.</w:t>
      </w:r>
      <w:r w:rsidR="00B56C63" w:rsidRPr="0091360F">
        <w:rPr>
          <w:rFonts w:ascii="Book Antiqua" w:hAnsi="Book Antiqua" w:cs="Arial"/>
          <w:iCs/>
          <w:sz w:val="24"/>
          <w:szCs w:val="24"/>
        </w:rPr>
        <w:t xml:space="preserve"> Data are </w:t>
      </w:r>
      <w:r w:rsidR="00981239" w:rsidRPr="0091360F">
        <w:rPr>
          <w:rFonts w:ascii="Book Antiqua" w:hAnsi="Book Antiqua" w:cs="Arial"/>
          <w:iCs/>
          <w:sz w:val="24"/>
          <w:szCs w:val="24"/>
        </w:rPr>
        <w:t>limited</w:t>
      </w:r>
      <w:r w:rsidR="00B56C63" w:rsidRPr="0091360F">
        <w:rPr>
          <w:rFonts w:ascii="Book Antiqua" w:hAnsi="Book Antiqua" w:cs="Arial"/>
          <w:iCs/>
          <w:sz w:val="24"/>
          <w:szCs w:val="24"/>
        </w:rPr>
        <w:t xml:space="preserve"> </w:t>
      </w:r>
      <w:r w:rsidR="002E7C47">
        <w:rPr>
          <w:rFonts w:ascii="Book Antiqua" w:hAnsi="Book Antiqua" w:cs="Arial"/>
          <w:iCs/>
          <w:sz w:val="24"/>
          <w:szCs w:val="24"/>
        </w:rPr>
        <w:t>regarding</w:t>
      </w:r>
      <w:r w:rsidR="00B56C63" w:rsidRPr="0091360F">
        <w:rPr>
          <w:rFonts w:ascii="Book Antiqua" w:hAnsi="Book Antiqua" w:cs="Arial"/>
          <w:iCs/>
          <w:sz w:val="24"/>
          <w:szCs w:val="24"/>
        </w:rPr>
        <w:t xml:space="preserve"> the predictive value of these risk scoring systems for patients with variceal bleeding.</w:t>
      </w:r>
    </w:p>
    <w:p w14:paraId="10D85997"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11E896DB" w14:textId="51F721CB" w:rsidR="00B0609F" w:rsidRPr="0091360F" w:rsidRDefault="00B0609F"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motivation</w:t>
      </w:r>
    </w:p>
    <w:p w14:paraId="0D2FC59C" w14:textId="2A1EC44A" w:rsidR="00A22147" w:rsidRPr="0091360F" w:rsidRDefault="00A5782C" w:rsidP="00503CF7">
      <w:pPr>
        <w:autoSpaceDE w:val="0"/>
        <w:autoSpaceDN w:val="0"/>
        <w:adjustRightInd w:val="0"/>
        <w:snapToGrid w:val="0"/>
        <w:spacing w:line="360" w:lineRule="auto"/>
        <w:rPr>
          <w:rFonts w:ascii="Book Antiqua" w:hAnsi="Book Antiqua" w:cs="Arial"/>
          <w:iCs/>
          <w:sz w:val="24"/>
          <w:szCs w:val="24"/>
        </w:rPr>
      </w:pPr>
      <w:r w:rsidRPr="0091360F">
        <w:rPr>
          <w:rFonts w:ascii="Book Antiqua" w:hAnsi="Book Antiqua" w:cs="Arial"/>
          <w:iCs/>
          <w:sz w:val="24"/>
          <w:szCs w:val="24"/>
        </w:rPr>
        <w:t>Variceal bleeding is a serious complication of cirrhosis, and discovering valuable</w:t>
      </w:r>
      <w:r w:rsidRPr="0091360F">
        <w:rPr>
          <w:rFonts w:ascii="Book Antiqua" w:hAnsi="Book Antiqua"/>
          <w:iCs/>
          <w:sz w:val="24"/>
          <w:szCs w:val="24"/>
        </w:rPr>
        <w:t xml:space="preserve"> </w:t>
      </w:r>
      <w:r w:rsidRPr="0091360F">
        <w:rPr>
          <w:rFonts w:ascii="Book Antiqua" w:hAnsi="Book Antiqua" w:cs="Arial"/>
          <w:iCs/>
          <w:sz w:val="24"/>
          <w:szCs w:val="24"/>
        </w:rPr>
        <w:t>prognostic scores will be useful for early identification of high-risk patients.</w:t>
      </w:r>
      <w:r w:rsidR="0050794D" w:rsidRPr="0091360F">
        <w:rPr>
          <w:rFonts w:ascii="Book Antiqua" w:hAnsi="Book Antiqua" w:cs="Arial"/>
          <w:iCs/>
          <w:sz w:val="24"/>
          <w:szCs w:val="24"/>
        </w:rPr>
        <w:t xml:space="preserve"> These patients will benefi</w:t>
      </w:r>
      <w:r w:rsidR="002E7C47">
        <w:rPr>
          <w:rFonts w:ascii="Book Antiqua" w:hAnsi="Book Antiqua" w:cs="Arial"/>
          <w:iCs/>
          <w:sz w:val="24"/>
          <w:szCs w:val="24"/>
        </w:rPr>
        <w:t>t</w:t>
      </w:r>
      <w:r w:rsidR="0050794D" w:rsidRPr="0091360F">
        <w:rPr>
          <w:rFonts w:ascii="Book Antiqua" w:hAnsi="Book Antiqua" w:cs="Arial"/>
          <w:iCs/>
          <w:sz w:val="24"/>
          <w:szCs w:val="24"/>
        </w:rPr>
        <w:t xml:space="preserve"> if necessary measures are taken</w:t>
      </w:r>
      <w:r w:rsidR="0050794D" w:rsidRPr="0091360F">
        <w:rPr>
          <w:rFonts w:ascii="Book Antiqua" w:hAnsi="Book Antiqua"/>
          <w:iCs/>
          <w:sz w:val="24"/>
          <w:szCs w:val="24"/>
        </w:rPr>
        <w:t xml:space="preserve"> </w:t>
      </w:r>
      <w:r w:rsidR="0050794D" w:rsidRPr="0091360F">
        <w:rPr>
          <w:rFonts w:ascii="Book Antiqua" w:hAnsi="Book Antiqua" w:cs="Arial"/>
          <w:iCs/>
          <w:sz w:val="24"/>
          <w:szCs w:val="24"/>
        </w:rPr>
        <w:t>timely.</w:t>
      </w:r>
    </w:p>
    <w:p w14:paraId="7C91E6C7"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1097A6C2" w14:textId="13248F15" w:rsidR="00B0609F" w:rsidRPr="0091360F" w:rsidRDefault="00B0609F"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objectives</w:t>
      </w:r>
    </w:p>
    <w:p w14:paraId="002455AB" w14:textId="744736FC" w:rsidR="005B72ED" w:rsidRPr="0091360F" w:rsidRDefault="0050794D" w:rsidP="00503CF7">
      <w:pPr>
        <w:autoSpaceDE w:val="0"/>
        <w:autoSpaceDN w:val="0"/>
        <w:adjustRightInd w:val="0"/>
        <w:snapToGrid w:val="0"/>
        <w:spacing w:line="360" w:lineRule="auto"/>
        <w:rPr>
          <w:rFonts w:ascii="Book Antiqua" w:hAnsi="Book Antiqua" w:cs="Arial"/>
          <w:iCs/>
          <w:sz w:val="24"/>
          <w:szCs w:val="24"/>
        </w:rPr>
      </w:pPr>
      <w:r w:rsidRPr="0091360F">
        <w:rPr>
          <w:rFonts w:ascii="Book Antiqua" w:hAnsi="Book Antiqua" w:cs="Arial"/>
          <w:iCs/>
          <w:sz w:val="24"/>
          <w:szCs w:val="24"/>
        </w:rPr>
        <w:t>The present study aimed to</w:t>
      </w:r>
      <w:r w:rsidRPr="0091360F">
        <w:rPr>
          <w:rFonts w:ascii="Book Antiqua" w:hAnsi="Book Antiqua"/>
          <w:iCs/>
          <w:sz w:val="24"/>
          <w:szCs w:val="24"/>
        </w:rPr>
        <w:t xml:space="preserve"> </w:t>
      </w:r>
      <w:r w:rsidRPr="0091360F">
        <w:rPr>
          <w:rFonts w:ascii="Book Antiqua" w:hAnsi="Book Antiqua" w:cs="Arial"/>
          <w:iCs/>
          <w:sz w:val="24"/>
          <w:szCs w:val="24"/>
        </w:rPr>
        <w:t>validate</w:t>
      </w:r>
      <w:r w:rsidR="005B72ED" w:rsidRPr="0091360F">
        <w:rPr>
          <w:rFonts w:ascii="Book Antiqua" w:hAnsi="Book Antiqua"/>
          <w:iCs/>
          <w:sz w:val="24"/>
          <w:szCs w:val="24"/>
        </w:rPr>
        <w:t xml:space="preserve"> </w:t>
      </w:r>
      <w:r w:rsidR="002E7C47">
        <w:rPr>
          <w:rFonts w:ascii="Book Antiqua" w:hAnsi="Book Antiqua"/>
          <w:iCs/>
          <w:sz w:val="24"/>
          <w:szCs w:val="24"/>
        </w:rPr>
        <w:t xml:space="preserve">the </w:t>
      </w:r>
      <w:r w:rsidR="005B72ED" w:rsidRPr="0091360F">
        <w:rPr>
          <w:rFonts w:ascii="Book Antiqua" w:hAnsi="Book Antiqua" w:cs="Arial"/>
          <w:iCs/>
          <w:sz w:val="24"/>
          <w:szCs w:val="24"/>
        </w:rPr>
        <w:t>predictive value of eight scoring systems for in-hospital outcomes in cirrhotic patients with variceal bleeding.</w:t>
      </w:r>
    </w:p>
    <w:p w14:paraId="710DFE4C"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68837425" w14:textId="044F4B72" w:rsidR="00B0609F" w:rsidRPr="0091360F" w:rsidRDefault="00B0609F"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methods</w:t>
      </w:r>
    </w:p>
    <w:p w14:paraId="1EDFCAA6" w14:textId="3A6290F4" w:rsidR="00A22147" w:rsidRPr="0091360F" w:rsidRDefault="0000080C" w:rsidP="00503CF7">
      <w:pPr>
        <w:autoSpaceDE w:val="0"/>
        <w:autoSpaceDN w:val="0"/>
        <w:adjustRightInd w:val="0"/>
        <w:snapToGrid w:val="0"/>
        <w:spacing w:line="360" w:lineRule="auto"/>
        <w:rPr>
          <w:rFonts w:ascii="Book Antiqua" w:hAnsi="Book Antiqua" w:cs="Times New Roman"/>
          <w:kern w:val="0"/>
          <w:sz w:val="24"/>
          <w:szCs w:val="24"/>
        </w:rPr>
      </w:pPr>
      <w:r w:rsidRPr="0091360F">
        <w:rPr>
          <w:rFonts w:ascii="Book Antiqua" w:hAnsi="Book Antiqua" w:cs="Times New Roman"/>
          <w:kern w:val="0"/>
          <w:sz w:val="24"/>
          <w:szCs w:val="24"/>
        </w:rPr>
        <w:t>Consecutive patients with acute variceal bleeding, from March 2017 to June 2019, were included at the Second Affiliated Hospital of Xi’an Jiaotong University.</w:t>
      </w:r>
      <w:r w:rsidR="009A3CED" w:rsidRPr="0091360F">
        <w:rPr>
          <w:rFonts w:ascii="Book Antiqua" w:hAnsi="Book Antiqua"/>
          <w:sz w:val="24"/>
          <w:szCs w:val="24"/>
        </w:rPr>
        <w:t xml:space="preserve"> </w:t>
      </w:r>
      <w:r w:rsidR="009A3CED" w:rsidRPr="0091360F">
        <w:rPr>
          <w:rFonts w:ascii="Book Antiqua" w:hAnsi="Book Antiqua" w:cs="Times New Roman"/>
          <w:kern w:val="0"/>
          <w:sz w:val="24"/>
          <w:szCs w:val="24"/>
        </w:rPr>
        <w:t xml:space="preserve">By reviewing medical records, </w:t>
      </w:r>
      <w:r w:rsidR="00C861E3" w:rsidRPr="0091360F">
        <w:rPr>
          <w:rFonts w:ascii="Book Antiqua" w:hAnsi="Book Antiqua" w:cs="Times New Roman"/>
          <w:kern w:val="0"/>
          <w:sz w:val="24"/>
          <w:szCs w:val="24"/>
        </w:rPr>
        <w:t xml:space="preserve">required data were collected and prognostic scores were calculated </w:t>
      </w:r>
      <w:r w:rsidR="00637621">
        <w:rPr>
          <w:rFonts w:ascii="Book Antiqua" w:hAnsi="Book Antiqua" w:cs="Times New Roman"/>
          <w:kern w:val="0"/>
          <w:sz w:val="24"/>
          <w:szCs w:val="24"/>
        </w:rPr>
        <w:t>for</w:t>
      </w:r>
      <w:r w:rsidR="00C861E3" w:rsidRPr="0091360F">
        <w:rPr>
          <w:rFonts w:ascii="Book Antiqua" w:hAnsi="Book Antiqua" w:cs="Times New Roman"/>
          <w:kern w:val="0"/>
          <w:sz w:val="24"/>
          <w:szCs w:val="24"/>
        </w:rPr>
        <w:t xml:space="preserve"> </w:t>
      </w:r>
      <w:r w:rsidR="002E7C47">
        <w:rPr>
          <w:rFonts w:ascii="Book Antiqua" w:hAnsi="Book Antiqua" w:cs="Times New Roman"/>
          <w:kern w:val="0"/>
          <w:sz w:val="24"/>
          <w:szCs w:val="24"/>
        </w:rPr>
        <w:t xml:space="preserve">the </w:t>
      </w:r>
      <w:r w:rsidR="00C861E3" w:rsidRPr="0091360F">
        <w:rPr>
          <w:rFonts w:ascii="Book Antiqua" w:hAnsi="Book Antiqua" w:cs="Times New Roman"/>
          <w:kern w:val="0"/>
          <w:sz w:val="24"/>
          <w:szCs w:val="24"/>
        </w:rPr>
        <w:t>clinical Rockall score (CRS), AIMS65 score (AIMS65), Glasgow-Blatchford score (GBS), modified GBS (mGBS), Canada-U</w:t>
      </w:r>
      <w:r w:rsidR="00F50FED">
        <w:rPr>
          <w:rFonts w:ascii="Book Antiqua" w:hAnsi="Book Antiqua" w:cs="Times New Roman"/>
          <w:kern w:val="0"/>
          <w:sz w:val="24"/>
          <w:szCs w:val="24"/>
        </w:rPr>
        <w:t>nited Kingdom</w:t>
      </w:r>
      <w:r w:rsidR="00C861E3" w:rsidRPr="0091360F">
        <w:rPr>
          <w:rFonts w:ascii="Book Antiqua" w:hAnsi="Book Antiqua" w:cs="Times New Roman"/>
          <w:kern w:val="0"/>
          <w:sz w:val="24"/>
          <w:szCs w:val="24"/>
        </w:rPr>
        <w:t>-Australia score (CANUKA), Child–Turcotte–Pugh score (CTP), model for end-stage liver disease (MELD) and MELD-Na.</w:t>
      </w:r>
      <w:r w:rsidR="003739CD" w:rsidRPr="0091360F">
        <w:rPr>
          <w:rFonts w:ascii="Book Antiqua" w:hAnsi="Book Antiqua"/>
          <w:sz w:val="24"/>
          <w:szCs w:val="24"/>
        </w:rPr>
        <w:t xml:space="preserve"> </w:t>
      </w:r>
      <w:r w:rsidR="003739CD" w:rsidRPr="0091360F">
        <w:rPr>
          <w:rFonts w:ascii="Book Antiqua" w:hAnsi="Book Antiqua" w:cs="Times New Roman"/>
          <w:kern w:val="0"/>
          <w:sz w:val="24"/>
          <w:szCs w:val="24"/>
        </w:rPr>
        <w:t>The discriminative ability of these prognostic scores was assessed using the area under the receiver operating characteristic curve</w:t>
      </w:r>
      <w:r w:rsidR="000F7592" w:rsidRPr="0091360F">
        <w:rPr>
          <w:rFonts w:ascii="Book Antiqua" w:hAnsi="Book Antiqua" w:cs="Times New Roman"/>
          <w:kern w:val="0"/>
          <w:sz w:val="24"/>
          <w:szCs w:val="24"/>
        </w:rPr>
        <w:t xml:space="preserve"> </w:t>
      </w:r>
      <w:r w:rsidR="003739CD" w:rsidRPr="0091360F">
        <w:rPr>
          <w:rFonts w:ascii="Book Antiqua" w:hAnsi="Book Antiqua" w:cs="Times New Roman"/>
          <w:kern w:val="0"/>
          <w:sz w:val="24"/>
          <w:szCs w:val="24"/>
        </w:rPr>
        <w:t>(AUROC), and the calibration was evaluated by the Hosmer-Lemeshow (H-L) test.</w:t>
      </w:r>
    </w:p>
    <w:p w14:paraId="29932109" w14:textId="77777777" w:rsidR="00503CF7" w:rsidRPr="0091360F" w:rsidRDefault="00503CF7" w:rsidP="00503CF7">
      <w:pPr>
        <w:autoSpaceDE w:val="0"/>
        <w:autoSpaceDN w:val="0"/>
        <w:adjustRightInd w:val="0"/>
        <w:snapToGrid w:val="0"/>
        <w:spacing w:line="360" w:lineRule="auto"/>
        <w:rPr>
          <w:rFonts w:ascii="Book Antiqua" w:hAnsi="Book Antiqua" w:cs="Arial"/>
          <w:b/>
          <w:bCs/>
          <w:i/>
          <w:sz w:val="24"/>
          <w:szCs w:val="24"/>
        </w:rPr>
      </w:pPr>
    </w:p>
    <w:p w14:paraId="2D0E7766" w14:textId="40E1980E" w:rsidR="00B0609F" w:rsidRPr="0091360F" w:rsidRDefault="00967854" w:rsidP="00503CF7">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results</w:t>
      </w:r>
    </w:p>
    <w:p w14:paraId="58A42CBD" w14:textId="3C427DF9" w:rsidR="00A22147" w:rsidRPr="0091360F" w:rsidRDefault="00F11BF4" w:rsidP="00503CF7">
      <w:pPr>
        <w:autoSpaceDE w:val="0"/>
        <w:autoSpaceDN w:val="0"/>
        <w:adjustRightInd w:val="0"/>
        <w:snapToGrid w:val="0"/>
        <w:spacing w:line="360" w:lineRule="auto"/>
        <w:rPr>
          <w:rFonts w:ascii="Book Antiqua" w:hAnsi="Book Antiqua" w:cs="Arial"/>
          <w:iCs/>
          <w:sz w:val="24"/>
          <w:szCs w:val="24"/>
        </w:rPr>
      </w:pPr>
      <w:r w:rsidRPr="0091360F">
        <w:rPr>
          <w:rFonts w:ascii="Book Antiqua" w:hAnsi="Book Antiqua" w:cs="Arial"/>
          <w:iCs/>
          <w:sz w:val="24"/>
          <w:szCs w:val="24"/>
        </w:rPr>
        <w:t>We retrospectively enrolled 330 cirrhotic patients with variceal bleeding.</w:t>
      </w:r>
      <w:r w:rsidRPr="0091360F">
        <w:rPr>
          <w:rFonts w:ascii="Book Antiqua" w:hAnsi="Book Antiqua"/>
          <w:iCs/>
          <w:sz w:val="24"/>
          <w:szCs w:val="24"/>
        </w:rPr>
        <w:t xml:space="preserve"> </w:t>
      </w:r>
      <w:r w:rsidRPr="0091360F">
        <w:rPr>
          <w:rFonts w:ascii="Book Antiqua" w:hAnsi="Book Antiqua" w:cs="Arial"/>
          <w:iCs/>
          <w:sz w:val="24"/>
          <w:szCs w:val="24"/>
        </w:rPr>
        <w:t xml:space="preserve">The </w:t>
      </w:r>
      <w:r w:rsidRPr="0091360F">
        <w:rPr>
          <w:rFonts w:ascii="Book Antiqua" w:hAnsi="Book Antiqua" w:cs="Arial"/>
          <w:iCs/>
          <w:sz w:val="24"/>
          <w:szCs w:val="24"/>
        </w:rPr>
        <w:lastRenderedPageBreak/>
        <w:t>rate of in-hospital rebleeding for these patients was 20.3%, and the rate of in-hospital</w:t>
      </w:r>
      <w:r w:rsidRPr="0091360F">
        <w:rPr>
          <w:rFonts w:ascii="Book Antiqua" w:hAnsi="Book Antiqua"/>
          <w:iCs/>
          <w:sz w:val="24"/>
          <w:szCs w:val="24"/>
        </w:rPr>
        <w:t xml:space="preserve"> </w:t>
      </w:r>
      <w:r w:rsidRPr="0091360F">
        <w:rPr>
          <w:rFonts w:ascii="Book Antiqua" w:hAnsi="Book Antiqua" w:cs="Arial"/>
          <w:iCs/>
          <w:sz w:val="24"/>
          <w:szCs w:val="24"/>
        </w:rPr>
        <w:t>mortality was 10.6%.</w:t>
      </w:r>
      <w:r w:rsidR="001815DB" w:rsidRPr="0091360F">
        <w:rPr>
          <w:rFonts w:ascii="Book Antiqua" w:hAnsi="Book Antiqua" w:cs="Arial"/>
          <w:iCs/>
          <w:sz w:val="24"/>
          <w:szCs w:val="24"/>
        </w:rPr>
        <w:t xml:space="preserve"> </w:t>
      </w:r>
      <w:r w:rsidR="003B12F1" w:rsidRPr="0091360F">
        <w:rPr>
          <w:rFonts w:ascii="Book Antiqua" w:hAnsi="Book Antiqua" w:cs="Arial"/>
          <w:iCs/>
          <w:sz w:val="24"/>
          <w:szCs w:val="24"/>
        </w:rPr>
        <w:t>For predicting in-hospital rebleeding, although all AUROCs of these prognostic scores</w:t>
      </w:r>
      <w:r w:rsidR="003B12F1" w:rsidRPr="0091360F">
        <w:rPr>
          <w:rFonts w:ascii="Book Antiqua" w:hAnsi="Book Antiqua"/>
          <w:iCs/>
          <w:sz w:val="24"/>
          <w:szCs w:val="24"/>
        </w:rPr>
        <w:t xml:space="preserve"> </w:t>
      </w:r>
      <w:r w:rsidR="003B12F1" w:rsidRPr="0091360F">
        <w:rPr>
          <w:rFonts w:ascii="Book Antiqua" w:hAnsi="Book Antiqua" w:cs="Arial"/>
          <w:iCs/>
          <w:sz w:val="24"/>
          <w:szCs w:val="24"/>
        </w:rPr>
        <w:t>were statistically significant, only the AUROCs of the CTP and CRS were clinically acceptable (AUROC</w:t>
      </w:r>
      <w:r w:rsidR="000F348F">
        <w:rPr>
          <w:rFonts w:ascii="Book Antiqua" w:hAnsi="Book Antiqua" w:cs="Arial"/>
          <w:iCs/>
          <w:sz w:val="24"/>
          <w:szCs w:val="24"/>
        </w:rPr>
        <w:t xml:space="preserve"> </w:t>
      </w:r>
      <w:r w:rsidR="003B12F1" w:rsidRPr="0091360F">
        <w:rPr>
          <w:rFonts w:ascii="Book Antiqua" w:hAnsi="Book Antiqua" w:cs="Arial"/>
          <w:iCs/>
          <w:sz w:val="24"/>
          <w:szCs w:val="24"/>
        </w:rPr>
        <w:t>&gt;</w:t>
      </w:r>
      <w:r w:rsidR="000F348F">
        <w:rPr>
          <w:rFonts w:ascii="Book Antiqua" w:hAnsi="Book Antiqua" w:cs="Arial"/>
          <w:iCs/>
          <w:sz w:val="24"/>
          <w:szCs w:val="24"/>
        </w:rPr>
        <w:t xml:space="preserve"> </w:t>
      </w:r>
      <w:r w:rsidR="003B12F1" w:rsidRPr="0091360F">
        <w:rPr>
          <w:rFonts w:ascii="Book Antiqua" w:hAnsi="Book Antiqua" w:cs="Arial"/>
          <w:iCs/>
          <w:sz w:val="24"/>
          <w:szCs w:val="24"/>
        </w:rPr>
        <w:t>0.7).</w:t>
      </w:r>
      <w:r w:rsidR="00176882" w:rsidRPr="0091360F">
        <w:rPr>
          <w:rFonts w:ascii="Book Antiqua" w:hAnsi="Book Antiqua" w:cs="Arial"/>
          <w:iCs/>
          <w:sz w:val="24"/>
          <w:szCs w:val="24"/>
        </w:rPr>
        <w:t xml:space="preserve"> The calibration of all prognostic scores for in-hospital rebleeding was good.</w:t>
      </w:r>
      <w:r w:rsidR="00176882" w:rsidRPr="0091360F">
        <w:rPr>
          <w:rFonts w:ascii="Book Antiqua" w:hAnsi="Book Antiqua"/>
          <w:iCs/>
          <w:sz w:val="24"/>
          <w:szCs w:val="24"/>
        </w:rPr>
        <w:t xml:space="preserve"> </w:t>
      </w:r>
      <w:r w:rsidR="00176882" w:rsidRPr="0091360F">
        <w:rPr>
          <w:rFonts w:ascii="Book Antiqua" w:hAnsi="Book Antiqua" w:cs="Arial"/>
          <w:iCs/>
          <w:sz w:val="24"/>
          <w:szCs w:val="24"/>
        </w:rPr>
        <w:t xml:space="preserve">For predicting in-hospital mortality, </w:t>
      </w:r>
      <w:r w:rsidR="001815DB" w:rsidRPr="0091360F">
        <w:rPr>
          <w:rFonts w:ascii="Book Antiqua" w:hAnsi="Book Antiqua" w:cs="Arial"/>
          <w:iCs/>
          <w:sz w:val="24"/>
          <w:szCs w:val="24"/>
        </w:rPr>
        <w:t>all AUROCs of these prognostic scores were good with statistical significance, especially the CRS, CTP, AIMS65, MELD-Na and MELD (AUROCs</w:t>
      </w:r>
      <w:r w:rsidR="000F348F">
        <w:rPr>
          <w:rFonts w:ascii="Book Antiqua" w:hAnsi="Book Antiqua" w:cs="Arial"/>
          <w:iCs/>
          <w:sz w:val="24"/>
          <w:szCs w:val="24"/>
        </w:rPr>
        <w:t xml:space="preserve"> </w:t>
      </w:r>
      <w:r w:rsidR="001815DB" w:rsidRPr="0091360F">
        <w:rPr>
          <w:rFonts w:ascii="Book Antiqua" w:hAnsi="Book Antiqua" w:cs="Arial"/>
          <w:iCs/>
          <w:sz w:val="24"/>
          <w:szCs w:val="24"/>
        </w:rPr>
        <w:t>&gt;</w:t>
      </w:r>
      <w:r w:rsidR="000F348F">
        <w:rPr>
          <w:rFonts w:ascii="Book Antiqua" w:hAnsi="Book Antiqua" w:cs="Arial"/>
          <w:iCs/>
          <w:sz w:val="24"/>
          <w:szCs w:val="24"/>
        </w:rPr>
        <w:t xml:space="preserve"> </w:t>
      </w:r>
      <w:r w:rsidR="001815DB" w:rsidRPr="0091360F">
        <w:rPr>
          <w:rFonts w:ascii="Book Antiqua" w:hAnsi="Book Antiqua" w:cs="Arial"/>
          <w:iCs/>
          <w:sz w:val="24"/>
          <w:szCs w:val="24"/>
        </w:rPr>
        <w:t>0.8). The calibration of all prognostic scores for in-hospital mortality was also good.</w:t>
      </w:r>
    </w:p>
    <w:p w14:paraId="6C96A063"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6A231138" w14:textId="0C6728D8" w:rsidR="00B0609F" w:rsidRPr="0091360F" w:rsidRDefault="00967854"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conclusions</w:t>
      </w:r>
    </w:p>
    <w:p w14:paraId="2398B7C8" w14:textId="6A9A69E9" w:rsidR="00666B67" w:rsidRPr="0091360F" w:rsidRDefault="002D5385" w:rsidP="00503CF7">
      <w:pPr>
        <w:autoSpaceDE w:val="0"/>
        <w:autoSpaceDN w:val="0"/>
        <w:adjustRightInd w:val="0"/>
        <w:snapToGrid w:val="0"/>
        <w:spacing w:line="360" w:lineRule="auto"/>
        <w:rPr>
          <w:rFonts w:ascii="Book Antiqua" w:hAnsi="Book Antiqua" w:cs="Arial"/>
          <w:iCs/>
          <w:sz w:val="24"/>
          <w:szCs w:val="24"/>
          <w:lang w:val="x-none"/>
        </w:rPr>
      </w:pPr>
      <w:r w:rsidRPr="0091360F">
        <w:rPr>
          <w:rFonts w:ascii="Book Antiqua" w:hAnsi="Book Antiqua" w:cs="Arial"/>
          <w:iCs/>
          <w:sz w:val="24"/>
          <w:szCs w:val="24"/>
          <w:lang w:val="x-none"/>
        </w:rPr>
        <w:t>The risk of in-hospital adverse outcomes remains high in cirrhotic patients with variceal bleeding.</w:t>
      </w:r>
      <w:r w:rsidRPr="0091360F">
        <w:rPr>
          <w:rFonts w:ascii="Book Antiqua" w:hAnsi="Book Antiqua"/>
          <w:iCs/>
          <w:sz w:val="24"/>
          <w:szCs w:val="24"/>
        </w:rPr>
        <w:t xml:space="preserve"> </w:t>
      </w:r>
      <w:r w:rsidRPr="0091360F">
        <w:rPr>
          <w:rFonts w:ascii="Book Antiqua" w:hAnsi="Book Antiqua" w:cs="Arial"/>
          <w:iCs/>
          <w:sz w:val="24"/>
          <w:szCs w:val="24"/>
          <w:lang w:val="x-none"/>
        </w:rPr>
        <w:t xml:space="preserve">The CTP and CRS have acceptable abilities </w:t>
      </w:r>
      <w:r w:rsidR="002E7C47">
        <w:rPr>
          <w:rFonts w:ascii="Book Antiqua" w:hAnsi="Book Antiqua" w:cs="Arial"/>
          <w:iCs/>
          <w:sz w:val="24"/>
          <w:szCs w:val="24"/>
          <w:lang w:val="en-GB"/>
        </w:rPr>
        <w:t>for</w:t>
      </w:r>
      <w:r w:rsidRPr="0091360F">
        <w:rPr>
          <w:rFonts w:ascii="Book Antiqua" w:hAnsi="Book Antiqua" w:cs="Arial"/>
          <w:iCs/>
          <w:sz w:val="24"/>
          <w:szCs w:val="24"/>
          <w:lang w:val="x-none"/>
        </w:rPr>
        <w:t xml:space="preserve"> predict</w:t>
      </w:r>
      <w:r w:rsidR="002E7C47">
        <w:rPr>
          <w:rFonts w:ascii="Book Antiqua" w:hAnsi="Book Antiqua" w:cs="Arial"/>
          <w:iCs/>
          <w:sz w:val="24"/>
          <w:szCs w:val="24"/>
          <w:lang w:val="en-GB"/>
        </w:rPr>
        <w:t>ing</w:t>
      </w:r>
      <w:r w:rsidRPr="0091360F">
        <w:rPr>
          <w:rFonts w:ascii="Book Antiqua" w:hAnsi="Book Antiqua" w:cs="Arial"/>
          <w:iCs/>
          <w:sz w:val="24"/>
          <w:szCs w:val="24"/>
          <w:lang w:val="x-none"/>
        </w:rPr>
        <w:t xml:space="preserve"> in-hospital rebleeding. All of these prognostic scores </w:t>
      </w:r>
      <w:r w:rsidR="002E7C47">
        <w:rPr>
          <w:rFonts w:ascii="Book Antiqua" w:hAnsi="Book Antiqua" w:cs="Arial"/>
          <w:iCs/>
          <w:sz w:val="24"/>
          <w:szCs w:val="24"/>
          <w:lang w:val="en-GB"/>
        </w:rPr>
        <w:t>are</w:t>
      </w:r>
      <w:r w:rsidRPr="0091360F">
        <w:rPr>
          <w:rFonts w:ascii="Book Antiqua" w:hAnsi="Book Antiqua" w:cs="Arial"/>
          <w:iCs/>
          <w:sz w:val="24"/>
          <w:szCs w:val="24"/>
          <w:lang w:val="x-none"/>
        </w:rPr>
        <w:t xml:space="preserve"> useful for predicting in-hospital mortality, especially the CRS, CTP, AIMS65, MELD-Na and MELD.</w:t>
      </w:r>
      <w:r w:rsidR="00666B67" w:rsidRPr="0091360F">
        <w:rPr>
          <w:rFonts w:ascii="Book Antiqua" w:hAnsi="Book Antiqua" w:cs="Arial"/>
          <w:iCs/>
          <w:sz w:val="24"/>
          <w:szCs w:val="24"/>
          <w:lang w:val="x-none"/>
        </w:rPr>
        <w:t xml:space="preserve"> </w:t>
      </w:r>
      <w:r w:rsidR="00A51DFF" w:rsidRPr="0091360F">
        <w:rPr>
          <w:rFonts w:ascii="Book Antiqua" w:hAnsi="Book Antiqua" w:cs="Arial"/>
          <w:iCs/>
          <w:sz w:val="24"/>
          <w:szCs w:val="24"/>
          <w:lang w:val="x-none"/>
        </w:rPr>
        <w:t>Clinicians from h</w:t>
      </w:r>
      <w:r w:rsidR="007348FB" w:rsidRPr="0091360F">
        <w:rPr>
          <w:rFonts w:ascii="Book Antiqua" w:hAnsi="Book Antiqua" w:cs="Arial"/>
          <w:iCs/>
          <w:sz w:val="24"/>
          <w:szCs w:val="24"/>
          <w:lang w:val="x-none"/>
        </w:rPr>
        <w:t>ospitals of different grades</w:t>
      </w:r>
      <w:r w:rsidR="00666B67" w:rsidRPr="0091360F">
        <w:rPr>
          <w:rFonts w:ascii="Book Antiqua" w:hAnsi="Book Antiqua" w:cs="Arial"/>
          <w:iCs/>
          <w:sz w:val="24"/>
          <w:szCs w:val="24"/>
          <w:lang w:val="x-none"/>
        </w:rPr>
        <w:t xml:space="preserve"> can select suitable models</w:t>
      </w:r>
      <w:r w:rsidR="007F792B" w:rsidRPr="0091360F">
        <w:rPr>
          <w:rFonts w:ascii="Book Antiqua" w:hAnsi="Book Antiqua" w:cs="Arial"/>
          <w:iCs/>
          <w:sz w:val="24"/>
          <w:szCs w:val="24"/>
          <w:lang w:val="x-none"/>
        </w:rPr>
        <w:t xml:space="preserve"> </w:t>
      </w:r>
      <w:r w:rsidR="002E7C47">
        <w:rPr>
          <w:rFonts w:ascii="Book Antiqua" w:hAnsi="Book Antiqua" w:cs="Arial"/>
          <w:iCs/>
          <w:sz w:val="24"/>
          <w:szCs w:val="24"/>
          <w:lang w:val="en-GB"/>
        </w:rPr>
        <w:t>for</w:t>
      </w:r>
      <w:r w:rsidR="007F792B" w:rsidRPr="0091360F">
        <w:rPr>
          <w:rFonts w:ascii="Book Antiqua" w:hAnsi="Book Antiqua" w:cs="Arial"/>
          <w:iCs/>
          <w:sz w:val="24"/>
          <w:szCs w:val="24"/>
          <w:lang w:val="x-none"/>
        </w:rPr>
        <w:t xml:space="preserve"> early identif</w:t>
      </w:r>
      <w:r w:rsidR="002E7C47">
        <w:rPr>
          <w:rFonts w:ascii="Book Antiqua" w:hAnsi="Book Antiqua" w:cs="Arial"/>
          <w:iCs/>
          <w:sz w:val="24"/>
          <w:szCs w:val="24"/>
          <w:lang w:val="en-GB"/>
        </w:rPr>
        <w:t>ication of</w:t>
      </w:r>
      <w:r w:rsidR="007F792B" w:rsidRPr="0091360F">
        <w:rPr>
          <w:rFonts w:ascii="Book Antiqua" w:hAnsi="Book Antiqua" w:cs="Arial"/>
          <w:iCs/>
          <w:sz w:val="24"/>
          <w:szCs w:val="24"/>
          <w:lang w:val="x-none"/>
        </w:rPr>
        <w:t xml:space="preserve"> high-risk patients.</w:t>
      </w:r>
    </w:p>
    <w:p w14:paraId="68F0A87A"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768005AD" w14:textId="6993DF76" w:rsidR="00B0609F" w:rsidRPr="0091360F" w:rsidRDefault="00967854" w:rsidP="00420454">
      <w:pPr>
        <w:autoSpaceDE w:val="0"/>
        <w:autoSpaceDN w:val="0"/>
        <w:adjustRightInd w:val="0"/>
        <w:snapToGrid w:val="0"/>
        <w:spacing w:line="360" w:lineRule="auto"/>
        <w:rPr>
          <w:rFonts w:ascii="Book Antiqua" w:hAnsi="Book Antiqua" w:cs="Times New Roman"/>
          <w:b/>
          <w:bCs/>
          <w:sz w:val="24"/>
          <w:szCs w:val="24"/>
        </w:rPr>
      </w:pPr>
      <w:r w:rsidRPr="0091360F">
        <w:rPr>
          <w:rFonts w:ascii="Book Antiqua" w:hAnsi="Book Antiqua" w:cs="Arial"/>
          <w:b/>
          <w:bCs/>
          <w:i/>
          <w:sz w:val="24"/>
          <w:szCs w:val="24"/>
        </w:rPr>
        <w:t>Research perspectives</w:t>
      </w:r>
    </w:p>
    <w:p w14:paraId="25F34D46" w14:textId="40DDEF7A" w:rsidR="00A50ED1" w:rsidRPr="0091360F" w:rsidRDefault="006D3529" w:rsidP="00503CF7">
      <w:pPr>
        <w:autoSpaceDE w:val="0"/>
        <w:autoSpaceDN w:val="0"/>
        <w:adjustRightInd w:val="0"/>
        <w:snapToGrid w:val="0"/>
        <w:spacing w:line="360" w:lineRule="auto"/>
        <w:rPr>
          <w:rFonts w:ascii="Book Antiqua" w:hAnsi="Book Antiqua" w:cs="Arial"/>
          <w:iCs/>
          <w:sz w:val="24"/>
          <w:szCs w:val="24"/>
          <w:lang w:val="x-none"/>
        </w:rPr>
      </w:pPr>
      <w:r w:rsidRPr="0091360F">
        <w:rPr>
          <w:rFonts w:ascii="Book Antiqua" w:hAnsi="Book Antiqua" w:cs="Arial"/>
          <w:iCs/>
          <w:sz w:val="24"/>
          <w:szCs w:val="24"/>
          <w:lang w:val="x-none"/>
        </w:rPr>
        <w:t>The predictive value of these prognostic scores</w:t>
      </w:r>
      <w:r w:rsidR="00021731" w:rsidRPr="0091360F">
        <w:rPr>
          <w:rFonts w:ascii="Book Antiqua" w:hAnsi="Book Antiqua" w:cs="Arial"/>
          <w:iCs/>
          <w:sz w:val="24"/>
          <w:szCs w:val="24"/>
          <w:lang w:val="x-none"/>
        </w:rPr>
        <w:t xml:space="preserve"> still need to be confirmed in patients </w:t>
      </w:r>
      <w:r w:rsidR="008B346D" w:rsidRPr="0091360F">
        <w:rPr>
          <w:rFonts w:ascii="Book Antiqua" w:hAnsi="Book Antiqua" w:cs="Arial"/>
          <w:iCs/>
          <w:sz w:val="24"/>
          <w:szCs w:val="24"/>
          <w:lang w:val="x-none"/>
        </w:rPr>
        <w:t>with special risk factors</w:t>
      </w:r>
      <w:r w:rsidR="00021731" w:rsidRPr="0091360F">
        <w:rPr>
          <w:rFonts w:ascii="Book Antiqua" w:hAnsi="Book Antiqua" w:cs="Arial"/>
          <w:iCs/>
          <w:sz w:val="24"/>
          <w:szCs w:val="24"/>
          <w:lang w:val="x-none"/>
        </w:rPr>
        <w:t>, such as</w:t>
      </w:r>
      <w:r w:rsidR="0006778E" w:rsidRPr="0091360F">
        <w:rPr>
          <w:rFonts w:ascii="Book Antiqua" w:hAnsi="Book Antiqua" w:cs="Arial"/>
          <w:iCs/>
          <w:sz w:val="24"/>
          <w:szCs w:val="24"/>
          <w:lang w:val="x-none"/>
        </w:rPr>
        <w:t xml:space="preserve"> </w:t>
      </w:r>
      <w:r w:rsidR="008B346D" w:rsidRPr="0091360F">
        <w:rPr>
          <w:rFonts w:ascii="Book Antiqua" w:hAnsi="Book Antiqua" w:cs="Arial"/>
          <w:iCs/>
          <w:sz w:val="24"/>
          <w:szCs w:val="24"/>
          <w:lang w:val="x-none"/>
        </w:rPr>
        <w:t xml:space="preserve">gastric variceal bleeding, </w:t>
      </w:r>
      <w:r w:rsidR="0006778E" w:rsidRPr="0091360F">
        <w:rPr>
          <w:rFonts w:ascii="Book Antiqua" w:hAnsi="Book Antiqua" w:cs="Arial"/>
          <w:iCs/>
          <w:sz w:val="24"/>
          <w:szCs w:val="24"/>
          <w:lang w:val="x-none"/>
        </w:rPr>
        <w:t xml:space="preserve">high portal pressure and </w:t>
      </w:r>
      <w:r w:rsidR="002E7C47">
        <w:rPr>
          <w:rFonts w:ascii="Book Antiqua" w:hAnsi="Book Antiqua" w:cs="Arial"/>
          <w:iCs/>
          <w:sz w:val="24"/>
          <w:szCs w:val="24"/>
          <w:lang w:val="en-GB"/>
        </w:rPr>
        <w:t xml:space="preserve">those </w:t>
      </w:r>
      <w:r w:rsidR="0006778E" w:rsidRPr="0091360F">
        <w:rPr>
          <w:rFonts w:ascii="Book Antiqua" w:hAnsi="Book Antiqua" w:cs="Arial"/>
          <w:iCs/>
          <w:sz w:val="24"/>
          <w:szCs w:val="24"/>
          <w:lang w:val="x-none"/>
        </w:rPr>
        <w:t>receiving special treatments.</w:t>
      </w:r>
      <w:r w:rsidR="00A50ED1" w:rsidRPr="0091360F">
        <w:rPr>
          <w:rFonts w:ascii="Book Antiqua" w:hAnsi="Book Antiqua" w:cs="Arial"/>
          <w:iCs/>
          <w:sz w:val="24"/>
          <w:szCs w:val="24"/>
          <w:lang w:val="x-none"/>
        </w:rPr>
        <w:t xml:space="preserve"> Predictive models with high accuracy need to be established for predicting in-hospital rebleeding taking into account the limitations of existing models.</w:t>
      </w:r>
    </w:p>
    <w:p w14:paraId="64ACAC12" w14:textId="77777777" w:rsidR="00503CF7" w:rsidRPr="0091360F" w:rsidRDefault="00503CF7" w:rsidP="00420454">
      <w:pPr>
        <w:widowControl/>
        <w:snapToGrid w:val="0"/>
        <w:spacing w:line="360" w:lineRule="auto"/>
        <w:jc w:val="left"/>
        <w:rPr>
          <w:rFonts w:ascii="Book Antiqua" w:hAnsi="Book Antiqua" w:cs="Times New Roman"/>
          <w:sz w:val="24"/>
          <w:szCs w:val="24"/>
        </w:rPr>
      </w:pPr>
    </w:p>
    <w:p w14:paraId="411A20BF" w14:textId="0080B502" w:rsidR="00420454" w:rsidRPr="0091360F" w:rsidRDefault="00420454" w:rsidP="00420454">
      <w:pPr>
        <w:widowControl/>
        <w:snapToGrid w:val="0"/>
        <w:spacing w:line="360" w:lineRule="auto"/>
        <w:jc w:val="left"/>
        <w:rPr>
          <w:rFonts w:ascii="Book Antiqua" w:hAnsi="Book Antiqua" w:cs="Times New Roman"/>
          <w:b/>
          <w:bCs/>
          <w:kern w:val="0"/>
          <w:sz w:val="24"/>
          <w:szCs w:val="24"/>
        </w:rPr>
      </w:pPr>
      <w:r w:rsidRPr="0091360F">
        <w:rPr>
          <w:rFonts w:ascii="Book Antiqua" w:hAnsi="Book Antiqua" w:cs="Times New Roman"/>
          <w:b/>
          <w:bCs/>
          <w:kern w:val="0"/>
          <w:sz w:val="24"/>
          <w:szCs w:val="24"/>
        </w:rPr>
        <w:br w:type="page"/>
      </w:r>
    </w:p>
    <w:p w14:paraId="34C80031" w14:textId="74963271" w:rsidR="00B21FD6" w:rsidRPr="0091360F" w:rsidRDefault="00B21FD6" w:rsidP="00420454">
      <w:pPr>
        <w:autoSpaceDE w:val="0"/>
        <w:autoSpaceDN w:val="0"/>
        <w:adjustRightInd w:val="0"/>
        <w:snapToGrid w:val="0"/>
        <w:spacing w:line="360" w:lineRule="auto"/>
        <w:ind w:left="260" w:hanging="260"/>
        <w:rPr>
          <w:rFonts w:ascii="Book Antiqua" w:hAnsi="Book Antiqua" w:cs="Times New Roman"/>
          <w:b/>
          <w:bCs/>
          <w:kern w:val="0"/>
          <w:sz w:val="24"/>
          <w:szCs w:val="24"/>
        </w:rPr>
      </w:pPr>
      <w:r w:rsidRPr="0091360F">
        <w:rPr>
          <w:rFonts w:ascii="Book Antiqua" w:hAnsi="Book Antiqua" w:cs="Times New Roman"/>
          <w:b/>
          <w:bCs/>
          <w:kern w:val="0"/>
          <w:sz w:val="24"/>
          <w:szCs w:val="24"/>
        </w:rPr>
        <w:lastRenderedPageBreak/>
        <w:t>REFERENCES</w:t>
      </w:r>
    </w:p>
    <w:p w14:paraId="6050E7F7"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 </w:t>
      </w:r>
      <w:r w:rsidRPr="0091360F">
        <w:rPr>
          <w:rFonts w:ascii="Book Antiqua" w:hAnsi="Book Antiqua"/>
          <w:b/>
          <w:sz w:val="24"/>
          <w:szCs w:val="24"/>
        </w:rPr>
        <w:t>European Association for the Study of the Liver</w:t>
      </w:r>
      <w:r w:rsidRPr="0091360F">
        <w:rPr>
          <w:rFonts w:ascii="Book Antiqua" w:hAnsi="Book Antiqua"/>
          <w:bCs/>
          <w:sz w:val="24"/>
          <w:szCs w:val="24"/>
        </w:rPr>
        <w:t>.</w:t>
      </w:r>
      <w:r w:rsidRPr="0091360F">
        <w:rPr>
          <w:rFonts w:ascii="Book Antiqua" w:hAnsi="Book Antiqua"/>
          <w:sz w:val="24"/>
          <w:szCs w:val="24"/>
        </w:rPr>
        <w:t xml:space="preserve"> EASL Clinical Practice Guidelines for the management of patients with decompensated cirrhosis. </w:t>
      </w:r>
      <w:r w:rsidRPr="0091360F">
        <w:rPr>
          <w:rFonts w:ascii="Book Antiqua" w:hAnsi="Book Antiqua"/>
          <w:i/>
          <w:sz w:val="24"/>
          <w:szCs w:val="24"/>
        </w:rPr>
        <w:t>J Hepatol</w:t>
      </w:r>
      <w:r w:rsidRPr="0091360F">
        <w:rPr>
          <w:rFonts w:ascii="Book Antiqua" w:hAnsi="Book Antiqua"/>
          <w:sz w:val="24"/>
          <w:szCs w:val="24"/>
        </w:rPr>
        <w:t xml:space="preserve"> 2018; </w:t>
      </w:r>
      <w:r w:rsidRPr="0091360F">
        <w:rPr>
          <w:rFonts w:ascii="Book Antiqua" w:hAnsi="Book Antiqua"/>
          <w:b/>
          <w:sz w:val="24"/>
          <w:szCs w:val="24"/>
        </w:rPr>
        <w:t>69</w:t>
      </w:r>
      <w:r w:rsidRPr="0091360F">
        <w:rPr>
          <w:rFonts w:ascii="Book Antiqua" w:hAnsi="Book Antiqua"/>
          <w:sz w:val="24"/>
          <w:szCs w:val="24"/>
        </w:rPr>
        <w:t>: 406-460 [PMID: 29653741 DOI: 10.1016/j.jhep.2018.03.024]</w:t>
      </w:r>
    </w:p>
    <w:p w14:paraId="1ADFE725"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 </w:t>
      </w:r>
      <w:r w:rsidRPr="0091360F">
        <w:rPr>
          <w:rFonts w:ascii="Book Antiqua" w:hAnsi="Book Antiqua"/>
          <w:b/>
          <w:sz w:val="24"/>
          <w:szCs w:val="24"/>
        </w:rPr>
        <w:t>Tsochatzis EA</w:t>
      </w:r>
      <w:r w:rsidRPr="0091360F">
        <w:rPr>
          <w:rFonts w:ascii="Book Antiqua" w:hAnsi="Book Antiqua"/>
          <w:sz w:val="24"/>
          <w:szCs w:val="24"/>
        </w:rPr>
        <w:t xml:space="preserve">, Bosch J, Burroughs AK. Liver cirrhosis. </w:t>
      </w:r>
      <w:r w:rsidRPr="0091360F">
        <w:rPr>
          <w:rFonts w:ascii="Book Antiqua" w:hAnsi="Book Antiqua"/>
          <w:i/>
          <w:sz w:val="24"/>
          <w:szCs w:val="24"/>
        </w:rPr>
        <w:t>Lancet</w:t>
      </w:r>
      <w:r w:rsidRPr="0091360F">
        <w:rPr>
          <w:rFonts w:ascii="Book Antiqua" w:hAnsi="Book Antiqua"/>
          <w:sz w:val="24"/>
          <w:szCs w:val="24"/>
        </w:rPr>
        <w:t xml:space="preserve"> 2014; </w:t>
      </w:r>
      <w:r w:rsidRPr="0091360F">
        <w:rPr>
          <w:rFonts w:ascii="Book Antiqua" w:hAnsi="Book Antiqua"/>
          <w:b/>
          <w:sz w:val="24"/>
          <w:szCs w:val="24"/>
        </w:rPr>
        <w:t>383</w:t>
      </w:r>
      <w:r w:rsidRPr="0091360F">
        <w:rPr>
          <w:rFonts w:ascii="Book Antiqua" w:hAnsi="Book Antiqua"/>
          <w:sz w:val="24"/>
          <w:szCs w:val="24"/>
        </w:rPr>
        <w:t>: 1749-1761 [PMID: 24480518 DOI: 10.1016/S0140-6736(14)60121-5]</w:t>
      </w:r>
    </w:p>
    <w:p w14:paraId="1AB325F3"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3 </w:t>
      </w:r>
      <w:r w:rsidRPr="0091360F">
        <w:rPr>
          <w:rFonts w:ascii="Book Antiqua" w:hAnsi="Book Antiqua"/>
          <w:b/>
          <w:sz w:val="24"/>
          <w:szCs w:val="24"/>
        </w:rPr>
        <w:t>Tripathi D</w:t>
      </w:r>
      <w:r w:rsidRPr="0091360F">
        <w:rPr>
          <w:rFonts w:ascii="Book Antiqua" w:hAnsi="Book Antiqua"/>
          <w:sz w:val="24"/>
          <w:szCs w:val="24"/>
        </w:rPr>
        <w:t xml:space="preserve">, Stanley AJ, Hayes PC, Patch D, Millson C, Mehrzad H, Austin A, Ferguson JW, Olliff SP, Hudson M, Christie JM; Clinical Services and Standards Committee of the British Society of Gastroenterology. U.K. guidelines on the management of variceal haemorrhage in cirrhotic patients. </w:t>
      </w:r>
      <w:r w:rsidRPr="0091360F">
        <w:rPr>
          <w:rFonts w:ascii="Book Antiqua" w:hAnsi="Book Antiqua"/>
          <w:i/>
          <w:sz w:val="24"/>
          <w:szCs w:val="24"/>
        </w:rPr>
        <w:t>Gut</w:t>
      </w:r>
      <w:r w:rsidRPr="0091360F">
        <w:rPr>
          <w:rFonts w:ascii="Book Antiqua" w:hAnsi="Book Antiqua"/>
          <w:sz w:val="24"/>
          <w:szCs w:val="24"/>
        </w:rPr>
        <w:t xml:space="preserve"> 2015; </w:t>
      </w:r>
      <w:r w:rsidRPr="0091360F">
        <w:rPr>
          <w:rFonts w:ascii="Book Antiqua" w:hAnsi="Book Antiqua"/>
          <w:b/>
          <w:sz w:val="24"/>
          <w:szCs w:val="24"/>
        </w:rPr>
        <w:t>64</w:t>
      </w:r>
      <w:r w:rsidRPr="0091360F">
        <w:rPr>
          <w:rFonts w:ascii="Book Antiqua" w:hAnsi="Book Antiqua"/>
          <w:sz w:val="24"/>
          <w:szCs w:val="24"/>
        </w:rPr>
        <w:t>: 1680-1704 [PMID: 25887380 DOI: 10.1136/gutjnl-2015-309262]</w:t>
      </w:r>
    </w:p>
    <w:p w14:paraId="65C394E5"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4 </w:t>
      </w:r>
      <w:r w:rsidRPr="0091360F">
        <w:rPr>
          <w:rFonts w:ascii="Book Antiqua" w:hAnsi="Book Antiqua"/>
          <w:b/>
          <w:sz w:val="24"/>
          <w:szCs w:val="24"/>
        </w:rPr>
        <w:t>Jairath V</w:t>
      </w:r>
      <w:r w:rsidRPr="0091360F">
        <w:rPr>
          <w:rFonts w:ascii="Book Antiqua" w:hAnsi="Book Antiqua"/>
          <w:sz w:val="24"/>
          <w:szCs w:val="24"/>
        </w:rPr>
        <w:t xml:space="preserve">, Rehal S, Logan R, Kahan B, Hearnshaw S, Stanworth S, Travis S, Murphy M, Palmer K, Burroughs A. Acute variceal haemorrhage in the United Kingdom: patient characteristics, management and outcomes in a nationwide audit. </w:t>
      </w:r>
      <w:r w:rsidRPr="0091360F">
        <w:rPr>
          <w:rFonts w:ascii="Book Antiqua" w:hAnsi="Book Antiqua"/>
          <w:i/>
          <w:sz w:val="24"/>
          <w:szCs w:val="24"/>
        </w:rPr>
        <w:t>Dig Liver Dis</w:t>
      </w:r>
      <w:r w:rsidRPr="0091360F">
        <w:rPr>
          <w:rFonts w:ascii="Book Antiqua" w:hAnsi="Book Antiqua"/>
          <w:sz w:val="24"/>
          <w:szCs w:val="24"/>
        </w:rPr>
        <w:t xml:space="preserve"> 2014; </w:t>
      </w:r>
      <w:r w:rsidRPr="0091360F">
        <w:rPr>
          <w:rFonts w:ascii="Book Antiqua" w:hAnsi="Book Antiqua"/>
          <w:b/>
          <w:sz w:val="24"/>
          <w:szCs w:val="24"/>
        </w:rPr>
        <w:t>46</w:t>
      </w:r>
      <w:r w:rsidRPr="0091360F">
        <w:rPr>
          <w:rFonts w:ascii="Book Antiqua" w:hAnsi="Book Antiqua"/>
          <w:sz w:val="24"/>
          <w:szCs w:val="24"/>
        </w:rPr>
        <w:t>: 419-426 [PMID: 24433997 DOI: 10.1016/j.dld.2013.12.010]</w:t>
      </w:r>
    </w:p>
    <w:p w14:paraId="1B34092F"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5 </w:t>
      </w:r>
      <w:r w:rsidRPr="0091360F">
        <w:rPr>
          <w:rFonts w:ascii="Book Antiqua" w:hAnsi="Book Antiqua"/>
          <w:b/>
          <w:sz w:val="24"/>
          <w:szCs w:val="24"/>
        </w:rPr>
        <w:t>Ebrahimi Bakhtavar H</w:t>
      </w:r>
      <w:r w:rsidRPr="0091360F">
        <w:rPr>
          <w:rFonts w:ascii="Book Antiqua" w:hAnsi="Book Antiqua"/>
          <w:sz w:val="24"/>
          <w:szCs w:val="24"/>
        </w:rPr>
        <w:t xml:space="preserve">, Morteza Bagi HR, Rahmani F, Shahsavari Nia K, Ettehadi A. Clinical Scoring Systems in Predicting the Outcome of Acute Upper Gastrointestinal Bleeding; a Narrative Review. </w:t>
      </w:r>
      <w:r w:rsidRPr="0091360F">
        <w:rPr>
          <w:rFonts w:ascii="Book Antiqua" w:hAnsi="Book Antiqua"/>
          <w:i/>
          <w:sz w:val="24"/>
          <w:szCs w:val="24"/>
        </w:rPr>
        <w:t>Emerg (Tehran)</w:t>
      </w:r>
      <w:r w:rsidRPr="0091360F">
        <w:rPr>
          <w:rFonts w:ascii="Book Antiqua" w:hAnsi="Book Antiqua"/>
          <w:sz w:val="24"/>
          <w:szCs w:val="24"/>
        </w:rPr>
        <w:t xml:space="preserve"> 2017; </w:t>
      </w:r>
      <w:r w:rsidRPr="0091360F">
        <w:rPr>
          <w:rFonts w:ascii="Book Antiqua" w:hAnsi="Book Antiqua"/>
          <w:b/>
          <w:sz w:val="24"/>
          <w:szCs w:val="24"/>
        </w:rPr>
        <w:t>5</w:t>
      </w:r>
      <w:r w:rsidRPr="0091360F">
        <w:rPr>
          <w:rFonts w:ascii="Book Antiqua" w:hAnsi="Book Antiqua"/>
          <w:sz w:val="24"/>
          <w:szCs w:val="24"/>
        </w:rPr>
        <w:t>: e36 [PMID: 28286843]</w:t>
      </w:r>
    </w:p>
    <w:p w14:paraId="36510A72"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6 </w:t>
      </w:r>
      <w:r w:rsidRPr="0091360F">
        <w:rPr>
          <w:rFonts w:ascii="Book Antiqua" w:hAnsi="Book Antiqua"/>
          <w:b/>
          <w:sz w:val="24"/>
          <w:szCs w:val="24"/>
        </w:rPr>
        <w:t>Monteiro S</w:t>
      </w:r>
      <w:r w:rsidRPr="0091360F">
        <w:rPr>
          <w:rFonts w:ascii="Book Antiqua" w:hAnsi="Book Antiqua"/>
          <w:sz w:val="24"/>
          <w:szCs w:val="24"/>
        </w:rPr>
        <w:t xml:space="preserve">, Gonçalves TC, Magalhães J, Cotter J. Upper gastrointestinal bleeding risk scores: Who, when and why? </w:t>
      </w:r>
      <w:r w:rsidRPr="0091360F">
        <w:rPr>
          <w:rFonts w:ascii="Book Antiqua" w:hAnsi="Book Antiqua"/>
          <w:i/>
          <w:sz w:val="24"/>
          <w:szCs w:val="24"/>
        </w:rPr>
        <w:t>World J Gastrointest Pathophysiol</w:t>
      </w:r>
      <w:r w:rsidRPr="0091360F">
        <w:rPr>
          <w:rFonts w:ascii="Book Antiqua" w:hAnsi="Book Antiqua"/>
          <w:sz w:val="24"/>
          <w:szCs w:val="24"/>
        </w:rPr>
        <w:t xml:space="preserve"> 2016; </w:t>
      </w:r>
      <w:r w:rsidRPr="0091360F">
        <w:rPr>
          <w:rFonts w:ascii="Book Antiqua" w:hAnsi="Book Antiqua"/>
          <w:b/>
          <w:sz w:val="24"/>
          <w:szCs w:val="24"/>
        </w:rPr>
        <w:t>7</w:t>
      </w:r>
      <w:r w:rsidRPr="0091360F">
        <w:rPr>
          <w:rFonts w:ascii="Book Antiqua" w:hAnsi="Book Antiqua"/>
          <w:sz w:val="24"/>
          <w:szCs w:val="24"/>
        </w:rPr>
        <w:t>: 86-96 [PMID: 26909231 DOI: 10.4291/wjgp.v7.i1.86]</w:t>
      </w:r>
    </w:p>
    <w:p w14:paraId="5E0A7DFF"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7 </w:t>
      </w:r>
      <w:r w:rsidRPr="0091360F">
        <w:rPr>
          <w:rFonts w:ascii="Book Antiqua" w:hAnsi="Book Antiqua"/>
          <w:b/>
          <w:sz w:val="24"/>
          <w:szCs w:val="24"/>
        </w:rPr>
        <w:t>Choe JW</w:t>
      </w:r>
      <w:r w:rsidRPr="0091360F">
        <w:rPr>
          <w:rFonts w:ascii="Book Antiqua" w:hAnsi="Book Antiqua"/>
          <w:sz w:val="24"/>
          <w:szCs w:val="24"/>
        </w:rPr>
        <w:t xml:space="preserve">, Kim SY, Hyun JJ, Jung SW, Jung YK, Koo JS, Yim HJ, Lee SW. Is the AIMS 65 Score Useful in Prepdicting Clinical Outcomes in Korean Patients with Variceal and Nonvariceal Upper Gastrointestinal Bleeding? </w:t>
      </w:r>
      <w:r w:rsidRPr="0091360F">
        <w:rPr>
          <w:rFonts w:ascii="Book Antiqua" w:hAnsi="Book Antiqua"/>
          <w:i/>
          <w:sz w:val="24"/>
          <w:szCs w:val="24"/>
        </w:rPr>
        <w:t>Gut Liver</w:t>
      </w:r>
      <w:r w:rsidRPr="0091360F">
        <w:rPr>
          <w:rFonts w:ascii="Book Antiqua" w:hAnsi="Book Antiqua"/>
          <w:sz w:val="24"/>
          <w:szCs w:val="24"/>
        </w:rPr>
        <w:t xml:space="preserve"> 2017; </w:t>
      </w:r>
      <w:r w:rsidRPr="0091360F">
        <w:rPr>
          <w:rFonts w:ascii="Book Antiqua" w:hAnsi="Book Antiqua"/>
          <w:b/>
          <w:sz w:val="24"/>
          <w:szCs w:val="24"/>
        </w:rPr>
        <w:t>11</w:t>
      </w:r>
      <w:r w:rsidRPr="0091360F">
        <w:rPr>
          <w:rFonts w:ascii="Book Antiqua" w:hAnsi="Book Antiqua"/>
          <w:sz w:val="24"/>
          <w:szCs w:val="24"/>
        </w:rPr>
        <w:t>: 813-820 [PMID: 28798285 DOI: 10.5009/gnl16607]</w:t>
      </w:r>
    </w:p>
    <w:p w14:paraId="53907D85"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8 </w:t>
      </w:r>
      <w:r w:rsidRPr="0091360F">
        <w:rPr>
          <w:rFonts w:ascii="Book Antiqua" w:hAnsi="Book Antiqua"/>
          <w:b/>
          <w:sz w:val="24"/>
          <w:szCs w:val="24"/>
        </w:rPr>
        <w:t>Sarwar S</w:t>
      </w:r>
      <w:r w:rsidRPr="0091360F">
        <w:rPr>
          <w:rFonts w:ascii="Book Antiqua" w:hAnsi="Book Antiqua"/>
          <w:sz w:val="24"/>
          <w:szCs w:val="24"/>
        </w:rPr>
        <w:t xml:space="preserve">, Dilshad A, Khan AA, Alam A, Butt AK, Tariq S, Ahmad I. Predictive value of Rockall score for rebleeding and mortality in patients with variceal bleeding. </w:t>
      </w:r>
      <w:r w:rsidRPr="0091360F">
        <w:rPr>
          <w:rFonts w:ascii="Book Antiqua" w:hAnsi="Book Antiqua"/>
          <w:i/>
          <w:sz w:val="24"/>
          <w:szCs w:val="24"/>
        </w:rPr>
        <w:t>J Coll Physicians Surg Pak</w:t>
      </w:r>
      <w:r w:rsidRPr="0091360F">
        <w:rPr>
          <w:rFonts w:ascii="Book Antiqua" w:hAnsi="Book Antiqua"/>
          <w:sz w:val="24"/>
          <w:szCs w:val="24"/>
        </w:rPr>
        <w:t xml:space="preserve"> 2007; </w:t>
      </w:r>
      <w:r w:rsidRPr="0091360F">
        <w:rPr>
          <w:rFonts w:ascii="Book Antiqua" w:hAnsi="Book Antiqua"/>
          <w:b/>
          <w:sz w:val="24"/>
          <w:szCs w:val="24"/>
        </w:rPr>
        <w:t>17</w:t>
      </w:r>
      <w:r w:rsidRPr="0091360F">
        <w:rPr>
          <w:rFonts w:ascii="Book Antiqua" w:hAnsi="Book Antiqua"/>
          <w:sz w:val="24"/>
          <w:szCs w:val="24"/>
        </w:rPr>
        <w:t>: 253-256 [PMID: 17553319 DOI: 05.2007/JCPSP.253256]</w:t>
      </w:r>
    </w:p>
    <w:p w14:paraId="692C4802"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lastRenderedPageBreak/>
        <w:t xml:space="preserve">9 </w:t>
      </w:r>
      <w:r w:rsidRPr="0091360F">
        <w:rPr>
          <w:rFonts w:ascii="Book Antiqua" w:hAnsi="Book Antiqua"/>
          <w:b/>
          <w:sz w:val="24"/>
          <w:szCs w:val="24"/>
        </w:rPr>
        <w:t>Motola-Kuba M</w:t>
      </w:r>
      <w:r w:rsidRPr="0091360F">
        <w:rPr>
          <w:rFonts w:ascii="Book Antiqua" w:hAnsi="Book Antiqua"/>
          <w:sz w:val="24"/>
          <w:szCs w:val="24"/>
        </w:rPr>
        <w:t xml:space="preserve">, Escobedo-Arzate A, Tellez-Avila F, Altamirano J, Aguilar-Olivos N, González-Angulo A, Zamarripa-Dorsey F, Uribe M, Chávez-Tapia NC. Validation of prognostic scores for clinical outcomes in cirrhotic patients with acute variceal bleeding. </w:t>
      </w:r>
      <w:r w:rsidRPr="0091360F">
        <w:rPr>
          <w:rFonts w:ascii="Book Antiqua" w:hAnsi="Book Antiqua"/>
          <w:i/>
          <w:sz w:val="24"/>
          <w:szCs w:val="24"/>
        </w:rPr>
        <w:t>Ann Hepatol</w:t>
      </w:r>
      <w:r w:rsidRPr="0091360F">
        <w:rPr>
          <w:rFonts w:ascii="Book Antiqua" w:hAnsi="Book Antiqua"/>
          <w:sz w:val="24"/>
          <w:szCs w:val="24"/>
        </w:rPr>
        <w:t xml:space="preserve"> 2016; </w:t>
      </w:r>
      <w:r w:rsidRPr="0091360F">
        <w:rPr>
          <w:rFonts w:ascii="Book Antiqua" w:hAnsi="Book Antiqua"/>
          <w:b/>
          <w:sz w:val="24"/>
          <w:szCs w:val="24"/>
        </w:rPr>
        <w:t>15</w:t>
      </w:r>
      <w:r w:rsidRPr="0091360F">
        <w:rPr>
          <w:rFonts w:ascii="Book Antiqua" w:hAnsi="Book Antiqua"/>
          <w:sz w:val="24"/>
          <w:szCs w:val="24"/>
        </w:rPr>
        <w:t>: 895-901 [PMID: 27740523 DOI: 10.5604/16652681.1222107]</w:t>
      </w:r>
    </w:p>
    <w:p w14:paraId="62D355C2"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10 </w:t>
      </w:r>
      <w:r w:rsidRPr="0091360F">
        <w:rPr>
          <w:rFonts w:ascii="Book Antiqua" w:hAnsi="Book Antiqua"/>
          <w:b/>
          <w:sz w:val="24"/>
          <w:szCs w:val="24"/>
        </w:rPr>
        <w:t>Cheng DW</w:t>
      </w:r>
      <w:r w:rsidRPr="0091360F">
        <w:rPr>
          <w:rFonts w:ascii="Book Antiqua" w:hAnsi="Book Antiqua"/>
          <w:sz w:val="24"/>
          <w:szCs w:val="24"/>
        </w:rPr>
        <w:t xml:space="preserve">, Lu YW, Teller T, Sekhon HK, Wu BU. A modified Glasgow Blatchford Score improves risk stratification in upper gastrointestinal bleed: a prospective comparison of scoring systems. </w:t>
      </w:r>
      <w:r w:rsidRPr="0091360F">
        <w:rPr>
          <w:rFonts w:ascii="Book Antiqua" w:hAnsi="Book Antiqua"/>
          <w:i/>
          <w:sz w:val="24"/>
          <w:szCs w:val="24"/>
        </w:rPr>
        <w:t>Aliment Pharmacol Ther</w:t>
      </w:r>
      <w:r w:rsidRPr="0091360F">
        <w:rPr>
          <w:rFonts w:ascii="Book Antiqua" w:hAnsi="Book Antiqua"/>
          <w:sz w:val="24"/>
          <w:szCs w:val="24"/>
        </w:rPr>
        <w:t xml:space="preserve"> 2012; </w:t>
      </w:r>
      <w:r w:rsidRPr="0091360F">
        <w:rPr>
          <w:rFonts w:ascii="Book Antiqua" w:hAnsi="Book Antiqua"/>
          <w:b/>
          <w:sz w:val="24"/>
          <w:szCs w:val="24"/>
        </w:rPr>
        <w:t>36</w:t>
      </w:r>
      <w:r w:rsidRPr="0091360F">
        <w:rPr>
          <w:rFonts w:ascii="Book Antiqua" w:hAnsi="Book Antiqua"/>
          <w:sz w:val="24"/>
          <w:szCs w:val="24"/>
        </w:rPr>
        <w:t>: 782-789 [PMID: 22928529 DOI: 10.1111/apt.12029]</w:t>
      </w:r>
    </w:p>
    <w:p w14:paraId="608DD5EE"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11 </w:t>
      </w:r>
      <w:r w:rsidRPr="0091360F">
        <w:rPr>
          <w:rFonts w:ascii="Book Antiqua" w:hAnsi="Book Antiqua"/>
          <w:b/>
          <w:sz w:val="24"/>
          <w:szCs w:val="24"/>
        </w:rPr>
        <w:t>Oakland K</w:t>
      </w:r>
      <w:r w:rsidRPr="0091360F">
        <w:rPr>
          <w:rFonts w:ascii="Book Antiqua" w:hAnsi="Book Antiqua"/>
          <w:sz w:val="24"/>
          <w:szCs w:val="24"/>
        </w:rPr>
        <w:t xml:space="preserve">, Kahan BC, Guizzetti L, Martel M, Bryant RV, Brahmania M, Singh S, Nguyen NQ, Sey MSL, Barkun A, Jairath V. Development, Validation, and Comparative Assessment of an International Scoring System to Determine Risk of Upper Gastrointestinal Bleeding. </w:t>
      </w:r>
      <w:r w:rsidRPr="0091360F">
        <w:rPr>
          <w:rFonts w:ascii="Book Antiqua" w:hAnsi="Book Antiqua"/>
          <w:i/>
          <w:sz w:val="24"/>
          <w:szCs w:val="24"/>
        </w:rPr>
        <w:t>Clin Gastroenterol Hepatol</w:t>
      </w:r>
      <w:r w:rsidRPr="0091360F">
        <w:rPr>
          <w:rFonts w:ascii="Book Antiqua" w:hAnsi="Book Antiqua"/>
          <w:sz w:val="24"/>
          <w:szCs w:val="24"/>
        </w:rPr>
        <w:t xml:space="preserve"> 2019; </w:t>
      </w:r>
      <w:r w:rsidRPr="0091360F">
        <w:rPr>
          <w:rFonts w:ascii="Book Antiqua" w:hAnsi="Book Antiqua"/>
          <w:b/>
          <w:sz w:val="24"/>
          <w:szCs w:val="24"/>
        </w:rPr>
        <w:t>17</w:t>
      </w:r>
      <w:r w:rsidRPr="0091360F">
        <w:rPr>
          <w:rFonts w:ascii="Book Antiqua" w:hAnsi="Book Antiqua"/>
          <w:sz w:val="24"/>
          <w:szCs w:val="24"/>
        </w:rPr>
        <w:t>: 1121-1129.e2 [PMID: 30268566 DOI: 10.1016/j.cgh.2018.09.039]</w:t>
      </w:r>
    </w:p>
    <w:p w14:paraId="3C54FF3A"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12 </w:t>
      </w:r>
      <w:r w:rsidRPr="0091360F">
        <w:rPr>
          <w:rFonts w:ascii="Book Antiqua" w:hAnsi="Book Antiqua"/>
          <w:b/>
          <w:sz w:val="24"/>
          <w:szCs w:val="24"/>
        </w:rPr>
        <w:t>Biselli M</w:t>
      </w:r>
      <w:r w:rsidRPr="0091360F">
        <w:rPr>
          <w:rFonts w:ascii="Book Antiqua" w:hAnsi="Book Antiqua"/>
          <w:sz w:val="24"/>
          <w:szCs w:val="24"/>
        </w:rPr>
        <w:t xml:space="preserve">, Gramenzi A, Lenzi B, Dall'Agata M, Pierro ML, Perricone G, Tonon M, Bellettato L, D'Amico G, Angeli P, Boffelli S, Bonavita ME, Domenicali M, Caraceni P, Bernardi M, Trevisani F. Development and Validation of a Scoring System That Includes Corrected QT Interval for Risk Analysis of Patients With Cirrhosis and Gastrointestinal Bleeding. </w:t>
      </w:r>
      <w:r w:rsidRPr="0091360F">
        <w:rPr>
          <w:rFonts w:ascii="Book Antiqua" w:hAnsi="Book Antiqua"/>
          <w:i/>
          <w:sz w:val="24"/>
          <w:szCs w:val="24"/>
        </w:rPr>
        <w:t>Clin Gastroenterol Hepatol</w:t>
      </w:r>
      <w:r w:rsidRPr="0091360F">
        <w:rPr>
          <w:rFonts w:ascii="Book Antiqua" w:hAnsi="Book Antiqua"/>
          <w:sz w:val="24"/>
          <w:szCs w:val="24"/>
        </w:rPr>
        <w:t xml:space="preserve"> 2019; </w:t>
      </w:r>
      <w:r w:rsidRPr="0091360F">
        <w:rPr>
          <w:rFonts w:ascii="Book Antiqua" w:hAnsi="Book Antiqua"/>
          <w:b/>
          <w:sz w:val="24"/>
          <w:szCs w:val="24"/>
        </w:rPr>
        <w:t>17</w:t>
      </w:r>
      <w:r w:rsidRPr="0091360F">
        <w:rPr>
          <w:rFonts w:ascii="Book Antiqua" w:hAnsi="Book Antiqua"/>
          <w:sz w:val="24"/>
          <w:szCs w:val="24"/>
        </w:rPr>
        <w:t>: 1388-1397.e1 [PMID: 30557740 DOI: 10.1016/j.cgh.2018.12.006]</w:t>
      </w:r>
    </w:p>
    <w:p w14:paraId="23D01FE6"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13 </w:t>
      </w:r>
      <w:r w:rsidRPr="0091360F">
        <w:rPr>
          <w:rFonts w:ascii="Book Antiqua" w:hAnsi="Book Antiqua"/>
          <w:b/>
          <w:sz w:val="24"/>
          <w:szCs w:val="24"/>
        </w:rPr>
        <w:t>Collins GS</w:t>
      </w:r>
      <w:r w:rsidRPr="0091360F">
        <w:rPr>
          <w:rFonts w:ascii="Book Antiqua" w:hAnsi="Book Antiqua"/>
          <w:sz w:val="24"/>
          <w:szCs w:val="24"/>
        </w:rPr>
        <w:t xml:space="preserve">, Reitsma JB, Altman DG, Moons KG. Transparent reporting of a multivariable prediction model for individual prognosis or diagnosis (TRIPOD): the TRIPOD statement. </w:t>
      </w:r>
      <w:r w:rsidRPr="0091360F">
        <w:rPr>
          <w:rFonts w:ascii="Book Antiqua" w:hAnsi="Book Antiqua"/>
          <w:i/>
          <w:sz w:val="24"/>
          <w:szCs w:val="24"/>
        </w:rPr>
        <w:t>BMJ</w:t>
      </w:r>
      <w:r w:rsidRPr="0091360F">
        <w:rPr>
          <w:rFonts w:ascii="Book Antiqua" w:hAnsi="Book Antiqua"/>
          <w:sz w:val="24"/>
          <w:szCs w:val="24"/>
        </w:rPr>
        <w:t xml:space="preserve"> 2015; </w:t>
      </w:r>
      <w:r w:rsidRPr="0091360F">
        <w:rPr>
          <w:rFonts w:ascii="Book Antiqua" w:hAnsi="Book Antiqua"/>
          <w:b/>
          <w:sz w:val="24"/>
          <w:szCs w:val="24"/>
        </w:rPr>
        <w:t>350</w:t>
      </w:r>
      <w:r w:rsidRPr="0091360F">
        <w:rPr>
          <w:rFonts w:ascii="Book Antiqua" w:hAnsi="Book Antiqua"/>
          <w:sz w:val="24"/>
          <w:szCs w:val="24"/>
        </w:rPr>
        <w:t>: g7594 [PMID: 25569120 DOI: 10.1136/bmj.g7594]</w:t>
      </w:r>
    </w:p>
    <w:p w14:paraId="02648D81"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14 </w:t>
      </w:r>
      <w:r w:rsidRPr="0091360F">
        <w:rPr>
          <w:rFonts w:ascii="Book Antiqua" w:hAnsi="Book Antiqua"/>
          <w:b/>
          <w:sz w:val="24"/>
          <w:szCs w:val="24"/>
        </w:rPr>
        <w:t xml:space="preserve">Hepatology </w:t>
      </w:r>
      <w:r w:rsidRPr="0091360F">
        <w:rPr>
          <w:rFonts w:ascii="Book Antiqua" w:hAnsi="Book Antiqua"/>
          <w:b/>
          <w:caps/>
          <w:sz w:val="24"/>
          <w:szCs w:val="24"/>
        </w:rPr>
        <w:t>b</w:t>
      </w:r>
      <w:r w:rsidRPr="0091360F">
        <w:rPr>
          <w:rFonts w:ascii="Book Antiqua" w:hAnsi="Book Antiqua"/>
          <w:b/>
          <w:sz w:val="24"/>
          <w:szCs w:val="24"/>
        </w:rPr>
        <w:t>ranch of Chinese Medical Association</w:t>
      </w:r>
      <w:r w:rsidRPr="0091360F">
        <w:rPr>
          <w:rFonts w:ascii="Book Antiqua" w:hAnsi="Book Antiqua"/>
          <w:bCs/>
          <w:sz w:val="24"/>
          <w:szCs w:val="24"/>
        </w:rPr>
        <w:t xml:space="preserve">; </w:t>
      </w:r>
      <w:r w:rsidRPr="0091360F">
        <w:rPr>
          <w:rFonts w:ascii="Book Antiqua" w:hAnsi="Book Antiqua"/>
          <w:bCs/>
          <w:caps/>
          <w:sz w:val="24"/>
          <w:szCs w:val="24"/>
        </w:rPr>
        <w:t>g</w:t>
      </w:r>
      <w:r w:rsidRPr="0091360F">
        <w:rPr>
          <w:rFonts w:ascii="Book Antiqua" w:hAnsi="Book Antiqua"/>
          <w:bCs/>
          <w:sz w:val="24"/>
          <w:szCs w:val="24"/>
        </w:rPr>
        <w:t xml:space="preserve">astroenterology </w:t>
      </w:r>
      <w:r w:rsidRPr="0091360F">
        <w:rPr>
          <w:rFonts w:ascii="Book Antiqua" w:hAnsi="Book Antiqua"/>
          <w:bCs/>
          <w:caps/>
          <w:sz w:val="24"/>
          <w:szCs w:val="24"/>
        </w:rPr>
        <w:t>b</w:t>
      </w:r>
      <w:r w:rsidRPr="0091360F">
        <w:rPr>
          <w:rFonts w:ascii="Book Antiqua" w:hAnsi="Book Antiqua"/>
          <w:bCs/>
          <w:sz w:val="24"/>
          <w:szCs w:val="24"/>
        </w:rPr>
        <w:t xml:space="preserve">ranch of Chinese Medical Association; </w:t>
      </w:r>
      <w:r w:rsidRPr="0091360F">
        <w:rPr>
          <w:rFonts w:ascii="Book Antiqua" w:hAnsi="Book Antiqua"/>
          <w:bCs/>
          <w:caps/>
          <w:sz w:val="24"/>
          <w:szCs w:val="24"/>
        </w:rPr>
        <w:t>e</w:t>
      </w:r>
      <w:r w:rsidRPr="0091360F">
        <w:rPr>
          <w:rFonts w:ascii="Book Antiqua" w:hAnsi="Book Antiqua"/>
          <w:bCs/>
          <w:sz w:val="24"/>
          <w:szCs w:val="24"/>
        </w:rPr>
        <w:t xml:space="preserve">ndoscopy </w:t>
      </w:r>
      <w:r w:rsidRPr="0091360F">
        <w:rPr>
          <w:rFonts w:ascii="Book Antiqua" w:hAnsi="Book Antiqua"/>
          <w:bCs/>
          <w:caps/>
          <w:sz w:val="24"/>
          <w:szCs w:val="24"/>
        </w:rPr>
        <w:t>b</w:t>
      </w:r>
      <w:r w:rsidRPr="0091360F">
        <w:rPr>
          <w:rFonts w:ascii="Book Antiqua" w:hAnsi="Book Antiqua"/>
          <w:bCs/>
          <w:sz w:val="24"/>
          <w:szCs w:val="24"/>
        </w:rPr>
        <w:t xml:space="preserve">ranch of Chinese Medical Association. </w:t>
      </w:r>
      <w:r w:rsidRPr="0091360F">
        <w:rPr>
          <w:rFonts w:ascii="Book Antiqua" w:hAnsi="Book Antiqua"/>
          <w:sz w:val="24"/>
          <w:szCs w:val="24"/>
        </w:rPr>
        <w:t xml:space="preserve">Guideline for the diagnosis and treatment of esophageal and gastric variceal bleeding in cirrhotic portal hypertension. </w:t>
      </w:r>
      <w:r w:rsidRPr="0091360F">
        <w:rPr>
          <w:rFonts w:ascii="Book Antiqua" w:hAnsi="Book Antiqua"/>
          <w:i/>
          <w:iCs/>
          <w:sz w:val="24"/>
          <w:szCs w:val="24"/>
        </w:rPr>
        <w:t>Zhongguo Ganzangbing Zazhi</w:t>
      </w:r>
      <w:r w:rsidRPr="0091360F">
        <w:rPr>
          <w:rFonts w:ascii="Book Antiqua" w:hAnsi="Book Antiqua"/>
          <w:sz w:val="24"/>
          <w:szCs w:val="24"/>
        </w:rPr>
        <w:t xml:space="preserve"> 2016; </w:t>
      </w:r>
      <w:r w:rsidRPr="0091360F">
        <w:rPr>
          <w:rFonts w:ascii="Book Antiqua" w:hAnsi="Book Antiqua"/>
          <w:b/>
          <w:bCs/>
          <w:sz w:val="24"/>
          <w:szCs w:val="24"/>
        </w:rPr>
        <w:t>8</w:t>
      </w:r>
      <w:r w:rsidRPr="0091360F">
        <w:rPr>
          <w:rFonts w:ascii="Book Antiqua" w:hAnsi="Book Antiqua"/>
          <w:sz w:val="24"/>
          <w:szCs w:val="24"/>
        </w:rPr>
        <w:t>: 1-18 [DOI: 10.3969/j.issn.1674-7380.2016.01.001]</w:t>
      </w:r>
    </w:p>
    <w:p w14:paraId="66954442"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15 </w:t>
      </w:r>
      <w:r w:rsidRPr="0091360F">
        <w:rPr>
          <w:rFonts w:ascii="Book Antiqua" w:hAnsi="Book Antiqua"/>
          <w:b/>
          <w:sz w:val="24"/>
          <w:szCs w:val="24"/>
        </w:rPr>
        <w:t>Sanders DS</w:t>
      </w:r>
      <w:r w:rsidRPr="0091360F">
        <w:rPr>
          <w:rFonts w:ascii="Book Antiqua" w:hAnsi="Book Antiqua"/>
          <w:sz w:val="24"/>
          <w:szCs w:val="24"/>
        </w:rPr>
        <w:t xml:space="preserve">, Carter MJ, Goodchap RJ, Cross SS, Gleeson DC, Lobo AJ. </w:t>
      </w:r>
      <w:r w:rsidRPr="0091360F">
        <w:rPr>
          <w:rFonts w:ascii="Book Antiqua" w:hAnsi="Book Antiqua"/>
          <w:sz w:val="24"/>
          <w:szCs w:val="24"/>
        </w:rPr>
        <w:lastRenderedPageBreak/>
        <w:t xml:space="preserve">Prospective validation of the Rockall risk scoring system for upper GI hemorrhage in subgroups of patients with varices and peptic ulcers. </w:t>
      </w:r>
      <w:r w:rsidRPr="0091360F">
        <w:rPr>
          <w:rFonts w:ascii="Book Antiqua" w:hAnsi="Book Antiqua"/>
          <w:i/>
          <w:sz w:val="24"/>
          <w:szCs w:val="24"/>
        </w:rPr>
        <w:t>Am J Gastroenterol</w:t>
      </w:r>
      <w:r w:rsidRPr="0091360F">
        <w:rPr>
          <w:rFonts w:ascii="Book Antiqua" w:hAnsi="Book Antiqua"/>
          <w:sz w:val="24"/>
          <w:szCs w:val="24"/>
        </w:rPr>
        <w:t xml:space="preserve"> 2002; </w:t>
      </w:r>
      <w:r w:rsidRPr="0091360F">
        <w:rPr>
          <w:rFonts w:ascii="Book Antiqua" w:hAnsi="Book Antiqua"/>
          <w:b/>
          <w:sz w:val="24"/>
          <w:szCs w:val="24"/>
        </w:rPr>
        <w:t>97</w:t>
      </w:r>
      <w:r w:rsidRPr="0091360F">
        <w:rPr>
          <w:rFonts w:ascii="Book Antiqua" w:hAnsi="Book Antiqua"/>
          <w:sz w:val="24"/>
          <w:szCs w:val="24"/>
        </w:rPr>
        <w:t>: 630-635 [PMID: 11922558 DOI: 10.1111/j.1572-0241.2002.05541.x]</w:t>
      </w:r>
    </w:p>
    <w:p w14:paraId="0768933D"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16 </w:t>
      </w:r>
      <w:r w:rsidRPr="0091360F">
        <w:rPr>
          <w:rFonts w:ascii="Book Antiqua" w:hAnsi="Book Antiqua"/>
          <w:b/>
          <w:sz w:val="24"/>
          <w:szCs w:val="24"/>
        </w:rPr>
        <w:t>Stanley AJ</w:t>
      </w:r>
      <w:r w:rsidRPr="0091360F">
        <w:rPr>
          <w:rFonts w:ascii="Book Antiqua" w:hAnsi="Book Antiqua"/>
          <w:sz w:val="24"/>
          <w:szCs w:val="24"/>
        </w:rPr>
        <w:t xml:space="preserve">, Laine L, Dalton HR, Ngu JH, Schultz M, Abazi R, Zakko L, Thornton S, Wilkinson K, Khor CJ, Murray IA, Laursen SB; International Gastrointestinal Bleeding Consortium. Comparison of risk scoring systems for patients presenting with upper gastrointestinal bleeding: international multicentre prospective study. </w:t>
      </w:r>
      <w:r w:rsidRPr="0091360F">
        <w:rPr>
          <w:rFonts w:ascii="Book Antiqua" w:hAnsi="Book Antiqua"/>
          <w:i/>
          <w:sz w:val="24"/>
          <w:szCs w:val="24"/>
        </w:rPr>
        <w:t>BMJ</w:t>
      </w:r>
      <w:r w:rsidRPr="0091360F">
        <w:rPr>
          <w:rFonts w:ascii="Book Antiqua" w:hAnsi="Book Antiqua"/>
          <w:sz w:val="24"/>
          <w:szCs w:val="24"/>
        </w:rPr>
        <w:t xml:space="preserve"> 2017; </w:t>
      </w:r>
      <w:r w:rsidRPr="0091360F">
        <w:rPr>
          <w:rFonts w:ascii="Book Antiqua" w:hAnsi="Book Antiqua"/>
          <w:b/>
          <w:sz w:val="24"/>
          <w:szCs w:val="24"/>
        </w:rPr>
        <w:t>356</w:t>
      </w:r>
      <w:r w:rsidRPr="0091360F">
        <w:rPr>
          <w:rFonts w:ascii="Book Antiqua" w:hAnsi="Book Antiqua"/>
          <w:sz w:val="24"/>
          <w:szCs w:val="24"/>
        </w:rPr>
        <w:t>: i6432 [PMID: 28053181 DOI: 10.1136/bmj.i6432]</w:t>
      </w:r>
    </w:p>
    <w:p w14:paraId="51E54DEC"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17 </w:t>
      </w:r>
      <w:r w:rsidRPr="0091360F">
        <w:rPr>
          <w:rFonts w:ascii="Book Antiqua" w:hAnsi="Book Antiqua"/>
          <w:b/>
          <w:sz w:val="24"/>
          <w:szCs w:val="24"/>
        </w:rPr>
        <w:t>Blatchford O</w:t>
      </w:r>
      <w:r w:rsidRPr="0091360F">
        <w:rPr>
          <w:rFonts w:ascii="Book Antiqua" w:hAnsi="Book Antiqua"/>
          <w:sz w:val="24"/>
          <w:szCs w:val="24"/>
        </w:rPr>
        <w:t xml:space="preserve">, Murray WR, Blatchford M. A risk score to predict need for treatment for upper-gastrointestinal haemorrhage. </w:t>
      </w:r>
      <w:r w:rsidRPr="0091360F">
        <w:rPr>
          <w:rFonts w:ascii="Book Antiqua" w:hAnsi="Book Antiqua"/>
          <w:i/>
          <w:sz w:val="24"/>
          <w:szCs w:val="24"/>
        </w:rPr>
        <w:t>Lancet</w:t>
      </w:r>
      <w:r w:rsidRPr="0091360F">
        <w:rPr>
          <w:rFonts w:ascii="Book Antiqua" w:hAnsi="Book Antiqua"/>
          <w:sz w:val="24"/>
          <w:szCs w:val="24"/>
        </w:rPr>
        <w:t xml:space="preserve"> 2000; </w:t>
      </w:r>
      <w:r w:rsidRPr="0091360F">
        <w:rPr>
          <w:rFonts w:ascii="Book Antiqua" w:hAnsi="Book Antiqua"/>
          <w:b/>
          <w:sz w:val="24"/>
          <w:szCs w:val="24"/>
        </w:rPr>
        <w:t>356</w:t>
      </w:r>
      <w:r w:rsidRPr="0091360F">
        <w:rPr>
          <w:rFonts w:ascii="Book Antiqua" w:hAnsi="Book Antiqua"/>
          <w:sz w:val="24"/>
          <w:szCs w:val="24"/>
        </w:rPr>
        <w:t>: 1318-1321 [PMID: 11073021 DOI: 10.1016/S0140-6736(00)02816-6]</w:t>
      </w:r>
    </w:p>
    <w:p w14:paraId="64EB2A81"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18 </w:t>
      </w:r>
      <w:r w:rsidRPr="0091360F">
        <w:rPr>
          <w:rFonts w:ascii="Book Antiqua" w:hAnsi="Book Antiqua"/>
          <w:b/>
          <w:sz w:val="24"/>
          <w:szCs w:val="24"/>
        </w:rPr>
        <w:t>Rockall TA</w:t>
      </w:r>
      <w:r w:rsidRPr="0091360F">
        <w:rPr>
          <w:rFonts w:ascii="Book Antiqua" w:hAnsi="Book Antiqua"/>
          <w:sz w:val="24"/>
          <w:szCs w:val="24"/>
        </w:rPr>
        <w:t xml:space="preserve">, Logan RF, Devlin HB, Northfield TC. Risk assessment after acute upper gastrointestinal haemorrhage. </w:t>
      </w:r>
      <w:r w:rsidRPr="0091360F">
        <w:rPr>
          <w:rFonts w:ascii="Book Antiqua" w:hAnsi="Book Antiqua"/>
          <w:i/>
          <w:sz w:val="24"/>
          <w:szCs w:val="24"/>
        </w:rPr>
        <w:t>Gut</w:t>
      </w:r>
      <w:r w:rsidRPr="0091360F">
        <w:rPr>
          <w:rFonts w:ascii="Book Antiqua" w:hAnsi="Book Antiqua"/>
          <w:sz w:val="24"/>
          <w:szCs w:val="24"/>
        </w:rPr>
        <w:t xml:space="preserve"> 1996; </w:t>
      </w:r>
      <w:r w:rsidRPr="0091360F">
        <w:rPr>
          <w:rFonts w:ascii="Book Antiqua" w:hAnsi="Book Antiqua"/>
          <w:b/>
          <w:sz w:val="24"/>
          <w:szCs w:val="24"/>
        </w:rPr>
        <w:t>38</w:t>
      </w:r>
      <w:r w:rsidRPr="0091360F">
        <w:rPr>
          <w:rFonts w:ascii="Book Antiqua" w:hAnsi="Book Antiqua"/>
          <w:sz w:val="24"/>
          <w:szCs w:val="24"/>
        </w:rPr>
        <w:t>: 316-321 [PMID: 8675081 DOI: 10.1136/gut.38.3.316]</w:t>
      </w:r>
    </w:p>
    <w:p w14:paraId="2CCA738D"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19 </w:t>
      </w:r>
      <w:r w:rsidRPr="0091360F">
        <w:rPr>
          <w:rFonts w:ascii="Book Antiqua" w:hAnsi="Book Antiqua"/>
          <w:b/>
          <w:sz w:val="24"/>
          <w:szCs w:val="24"/>
        </w:rPr>
        <w:t>Saltzman JR</w:t>
      </w:r>
      <w:r w:rsidRPr="0091360F">
        <w:rPr>
          <w:rFonts w:ascii="Book Antiqua" w:hAnsi="Book Antiqua"/>
          <w:sz w:val="24"/>
          <w:szCs w:val="24"/>
        </w:rPr>
        <w:t xml:space="preserve">, Tabak YP, Hyett BH, Sun X, Travis AC, Johannes RS. A simple risk score accurately predicts in-hospital mortality, length of stay, and cost in acute upper GI bleeding. </w:t>
      </w:r>
      <w:r w:rsidRPr="0091360F">
        <w:rPr>
          <w:rFonts w:ascii="Book Antiqua" w:hAnsi="Book Antiqua"/>
          <w:i/>
          <w:sz w:val="24"/>
          <w:szCs w:val="24"/>
        </w:rPr>
        <w:t>Gastrointest Endosc</w:t>
      </w:r>
      <w:r w:rsidRPr="0091360F">
        <w:rPr>
          <w:rFonts w:ascii="Book Antiqua" w:hAnsi="Book Antiqua"/>
          <w:sz w:val="24"/>
          <w:szCs w:val="24"/>
        </w:rPr>
        <w:t xml:space="preserve"> 2011; </w:t>
      </w:r>
      <w:r w:rsidRPr="0091360F">
        <w:rPr>
          <w:rFonts w:ascii="Book Antiqua" w:hAnsi="Book Antiqua"/>
          <w:b/>
          <w:sz w:val="24"/>
          <w:szCs w:val="24"/>
        </w:rPr>
        <w:t>74</w:t>
      </w:r>
      <w:r w:rsidRPr="0091360F">
        <w:rPr>
          <w:rFonts w:ascii="Book Antiqua" w:hAnsi="Book Antiqua"/>
          <w:sz w:val="24"/>
          <w:szCs w:val="24"/>
        </w:rPr>
        <w:t>: 1215-1224 [PMID: 21907980 DOI: 10.1016/j.gie.2011.06.024]</w:t>
      </w:r>
    </w:p>
    <w:p w14:paraId="6DBFB625" w14:textId="3D92A19D"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20 </w:t>
      </w:r>
      <w:r w:rsidRPr="0091360F">
        <w:rPr>
          <w:rFonts w:ascii="Book Antiqua" w:hAnsi="Book Antiqua"/>
          <w:b/>
          <w:sz w:val="24"/>
          <w:szCs w:val="24"/>
        </w:rPr>
        <w:t>Barkun AN</w:t>
      </w:r>
      <w:r w:rsidRPr="0091360F">
        <w:rPr>
          <w:rFonts w:ascii="Book Antiqua" w:hAnsi="Book Antiqua"/>
          <w:sz w:val="24"/>
          <w:szCs w:val="24"/>
        </w:rPr>
        <w:t xml:space="preserve">, Almadi M, Kuipers EJ, Laine L, Sung J, Tse F, Leontiadis GI, Abraham NS, Calvet X, Chan FKL, Douketis J, Enns R, Gralnek IM, Jairath V, Jensen D, Lau J, Lip GYH, Loffroy R, Maluf-Filho F, Meltzer AC, Reddy N, Saltzman JR, Marshall JK, Bardou M. Management of Nonvariceal Upper Gastrointestinal Bleeding: Guideline Recommendations From the International Consensus Group. </w:t>
      </w:r>
      <w:r w:rsidRPr="0091360F">
        <w:rPr>
          <w:rFonts w:ascii="Book Antiqua" w:hAnsi="Book Antiqua"/>
          <w:i/>
          <w:sz w:val="24"/>
          <w:szCs w:val="24"/>
        </w:rPr>
        <w:t>Ann Intern Med</w:t>
      </w:r>
      <w:r w:rsidRPr="0091360F">
        <w:rPr>
          <w:rFonts w:ascii="Book Antiqua" w:hAnsi="Book Antiqua"/>
          <w:sz w:val="24"/>
          <w:szCs w:val="24"/>
        </w:rPr>
        <w:t xml:space="preserve"> 2019</w:t>
      </w:r>
      <w:r w:rsidR="00226716">
        <w:rPr>
          <w:rFonts w:ascii="Book Antiqua" w:hAnsi="Book Antiqua"/>
          <w:sz w:val="24"/>
          <w:szCs w:val="24"/>
        </w:rPr>
        <w:t xml:space="preserve"> </w:t>
      </w:r>
      <w:r w:rsidRPr="0091360F">
        <w:rPr>
          <w:rFonts w:ascii="Book Antiqua" w:hAnsi="Book Antiqua"/>
          <w:sz w:val="24"/>
          <w:szCs w:val="24"/>
        </w:rPr>
        <w:t>[PMID: 31634917 DOI: 10.7326/M19-1795]</w:t>
      </w:r>
    </w:p>
    <w:p w14:paraId="6EBBA60B"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21 </w:t>
      </w:r>
      <w:r w:rsidRPr="0091360F">
        <w:rPr>
          <w:rFonts w:ascii="Book Antiqua" w:hAnsi="Book Antiqua"/>
          <w:b/>
          <w:sz w:val="24"/>
          <w:szCs w:val="24"/>
        </w:rPr>
        <w:t>Gaduputi V</w:t>
      </w:r>
      <w:r w:rsidRPr="0091360F">
        <w:rPr>
          <w:rFonts w:ascii="Book Antiqua" w:hAnsi="Book Antiqua"/>
          <w:sz w:val="24"/>
          <w:szCs w:val="24"/>
        </w:rPr>
        <w:t xml:space="preserve">, Abdulsamad M, Tariq H, Rafeeq A, Abbas N, Kumbum K, Chilimuri S. Prognostic Value of AIMS65 Score in Cirrhotic Patients with Upper Gastrointestinal Bleeding. </w:t>
      </w:r>
      <w:r w:rsidRPr="0091360F">
        <w:rPr>
          <w:rFonts w:ascii="Book Antiqua" w:hAnsi="Book Antiqua"/>
          <w:i/>
          <w:sz w:val="24"/>
          <w:szCs w:val="24"/>
        </w:rPr>
        <w:t>Gastroenterol Res Pract</w:t>
      </w:r>
      <w:r w:rsidRPr="0091360F">
        <w:rPr>
          <w:rFonts w:ascii="Book Antiqua" w:hAnsi="Book Antiqua"/>
          <w:sz w:val="24"/>
          <w:szCs w:val="24"/>
        </w:rPr>
        <w:t xml:space="preserve"> 2014; </w:t>
      </w:r>
      <w:r w:rsidRPr="0091360F">
        <w:rPr>
          <w:rFonts w:ascii="Book Antiqua" w:hAnsi="Book Antiqua"/>
          <w:b/>
          <w:sz w:val="24"/>
          <w:szCs w:val="24"/>
        </w:rPr>
        <w:t>2014</w:t>
      </w:r>
      <w:r w:rsidRPr="0091360F">
        <w:rPr>
          <w:rFonts w:ascii="Book Antiqua" w:hAnsi="Book Antiqua"/>
          <w:sz w:val="24"/>
          <w:szCs w:val="24"/>
        </w:rPr>
        <w:t>: 787256 [PMID: 25587269 DOI: 10.1155/2014/787256]</w:t>
      </w:r>
    </w:p>
    <w:p w14:paraId="2FDDF6E6"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lastRenderedPageBreak/>
        <w:t xml:space="preserve">22 </w:t>
      </w:r>
      <w:r w:rsidRPr="0091360F">
        <w:rPr>
          <w:rFonts w:ascii="Book Antiqua" w:hAnsi="Book Antiqua"/>
          <w:b/>
          <w:sz w:val="24"/>
          <w:szCs w:val="24"/>
        </w:rPr>
        <w:t>Thanapirom K</w:t>
      </w:r>
      <w:r w:rsidRPr="0091360F">
        <w:rPr>
          <w:rFonts w:ascii="Book Antiqua" w:hAnsi="Book Antiqua"/>
          <w:sz w:val="24"/>
          <w:szCs w:val="24"/>
        </w:rPr>
        <w:t xml:space="preserve">, Ridtitid W, Rerknimitr R, Thungsuk R, Noophun P, Wongjitrat C, Luangjaru S, Vedkijkul P, Lertkupinit C, Poonsab S, Ratanachu-ek T, Hansomburana P, Pornthisarn B, Thongbai T, Mahachai V, Treeprasertsuk S. Prospective comparison of three risk scoring systems in non-variceal and variceal upper gastrointestinal bleeding. </w:t>
      </w:r>
      <w:r w:rsidRPr="0091360F">
        <w:rPr>
          <w:rFonts w:ascii="Book Antiqua" w:hAnsi="Book Antiqua"/>
          <w:i/>
          <w:sz w:val="24"/>
          <w:szCs w:val="24"/>
        </w:rPr>
        <w:t>J Gastroenterol Hepatol</w:t>
      </w:r>
      <w:r w:rsidRPr="0091360F">
        <w:rPr>
          <w:rFonts w:ascii="Book Antiqua" w:hAnsi="Book Antiqua"/>
          <w:sz w:val="24"/>
          <w:szCs w:val="24"/>
        </w:rPr>
        <w:t xml:space="preserve"> 2016; </w:t>
      </w:r>
      <w:r w:rsidRPr="0091360F">
        <w:rPr>
          <w:rFonts w:ascii="Book Antiqua" w:hAnsi="Book Antiqua"/>
          <w:b/>
          <w:sz w:val="24"/>
          <w:szCs w:val="24"/>
        </w:rPr>
        <w:t>31</w:t>
      </w:r>
      <w:r w:rsidRPr="0091360F">
        <w:rPr>
          <w:rFonts w:ascii="Book Antiqua" w:hAnsi="Book Antiqua"/>
          <w:sz w:val="24"/>
          <w:szCs w:val="24"/>
        </w:rPr>
        <w:t>: 761-767 [PMID: 26514879 DOI: 10.1111/jgh.13222]</w:t>
      </w:r>
    </w:p>
    <w:p w14:paraId="7155959E"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23 </w:t>
      </w:r>
      <w:r w:rsidRPr="0091360F">
        <w:rPr>
          <w:rFonts w:ascii="Book Antiqua" w:hAnsi="Book Antiqua"/>
          <w:b/>
          <w:sz w:val="24"/>
          <w:szCs w:val="24"/>
        </w:rPr>
        <w:t>Rout G</w:t>
      </w:r>
      <w:r w:rsidRPr="0091360F">
        <w:rPr>
          <w:rFonts w:ascii="Book Antiqua" w:hAnsi="Book Antiqua"/>
          <w:sz w:val="24"/>
          <w:szCs w:val="24"/>
        </w:rPr>
        <w:t xml:space="preserve">, Sharma S, Gunjan D, Kedia S, Nayak B, Shalimar. Comparison of various prognostic scores in variceal and non-variceal upper gastrointestinal bleeding: A prospective cohort study. </w:t>
      </w:r>
      <w:r w:rsidRPr="0091360F">
        <w:rPr>
          <w:rFonts w:ascii="Book Antiqua" w:hAnsi="Book Antiqua"/>
          <w:i/>
          <w:sz w:val="24"/>
          <w:szCs w:val="24"/>
        </w:rPr>
        <w:t>Indian J Gastroenterol</w:t>
      </w:r>
      <w:r w:rsidRPr="0091360F">
        <w:rPr>
          <w:rFonts w:ascii="Book Antiqua" w:hAnsi="Book Antiqua"/>
          <w:sz w:val="24"/>
          <w:szCs w:val="24"/>
        </w:rPr>
        <w:t xml:space="preserve"> 2019; </w:t>
      </w:r>
      <w:r w:rsidRPr="0091360F">
        <w:rPr>
          <w:rFonts w:ascii="Book Antiqua" w:hAnsi="Book Antiqua"/>
          <w:b/>
          <w:sz w:val="24"/>
          <w:szCs w:val="24"/>
        </w:rPr>
        <w:t>38</w:t>
      </w:r>
      <w:r w:rsidRPr="0091360F">
        <w:rPr>
          <w:rFonts w:ascii="Book Antiqua" w:hAnsi="Book Antiqua"/>
          <w:sz w:val="24"/>
          <w:szCs w:val="24"/>
        </w:rPr>
        <w:t>: 158-166 [PMID: 30830583 DOI: 10.1007/s12664-018-0928-8]</w:t>
      </w:r>
    </w:p>
    <w:p w14:paraId="7B59B3D9"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24 </w:t>
      </w:r>
      <w:r w:rsidRPr="0091360F">
        <w:rPr>
          <w:rFonts w:ascii="Book Antiqua" w:hAnsi="Book Antiqua"/>
          <w:b/>
          <w:sz w:val="24"/>
          <w:szCs w:val="24"/>
        </w:rPr>
        <w:t>Kim GH</w:t>
      </w:r>
      <w:r w:rsidRPr="0091360F">
        <w:rPr>
          <w:rFonts w:ascii="Book Antiqua" w:hAnsi="Book Antiqua"/>
          <w:sz w:val="24"/>
          <w:szCs w:val="24"/>
        </w:rPr>
        <w:t xml:space="preserve">, Kim JH, Kim YJ, Ko SY, Choe WH, Kwon SY, Lee CH. Value of the APASL severity score in patients with acute variceal bleeding: a single center experience. </w:t>
      </w:r>
      <w:r w:rsidRPr="0091360F">
        <w:rPr>
          <w:rFonts w:ascii="Book Antiqua" w:hAnsi="Book Antiqua"/>
          <w:i/>
          <w:sz w:val="24"/>
          <w:szCs w:val="24"/>
        </w:rPr>
        <w:t>Hepatol Int</w:t>
      </w:r>
      <w:r w:rsidRPr="0091360F">
        <w:rPr>
          <w:rFonts w:ascii="Book Antiqua" w:hAnsi="Book Antiqua"/>
          <w:sz w:val="24"/>
          <w:szCs w:val="24"/>
        </w:rPr>
        <w:t xml:space="preserve"> 2013; </w:t>
      </w:r>
      <w:r w:rsidRPr="0091360F">
        <w:rPr>
          <w:rFonts w:ascii="Book Antiqua" w:hAnsi="Book Antiqua"/>
          <w:b/>
          <w:sz w:val="24"/>
          <w:szCs w:val="24"/>
        </w:rPr>
        <w:t>7</w:t>
      </w:r>
      <w:r w:rsidRPr="0091360F">
        <w:rPr>
          <w:rFonts w:ascii="Book Antiqua" w:hAnsi="Book Antiqua"/>
          <w:sz w:val="24"/>
          <w:szCs w:val="24"/>
        </w:rPr>
        <w:t>: 1058-1064 [PMID: 26202035 DOI: 10.1007/s12072-013-9466-8]</w:t>
      </w:r>
    </w:p>
    <w:p w14:paraId="3B5589F0"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25 </w:t>
      </w:r>
      <w:r w:rsidRPr="0091360F">
        <w:rPr>
          <w:rFonts w:ascii="Book Antiqua" w:hAnsi="Book Antiqua"/>
          <w:b/>
          <w:sz w:val="24"/>
          <w:szCs w:val="24"/>
        </w:rPr>
        <w:t>Wong MW</w:t>
      </w:r>
      <w:r w:rsidRPr="0091360F">
        <w:rPr>
          <w:rFonts w:ascii="Book Antiqua" w:hAnsi="Book Antiqua"/>
          <w:sz w:val="24"/>
          <w:szCs w:val="24"/>
        </w:rPr>
        <w:t xml:space="preserve">, Chen MJ, Chen HL, Kuo YC, Lin IT, Wu CH, Lee YK, Cheng CH, Bair MJ. Application of chronic liver failure-sequential organ failure assessment score for the predication of mortality after esophageal variceal hemorrhage post endoscopic ligation. </w:t>
      </w:r>
      <w:r w:rsidRPr="0091360F">
        <w:rPr>
          <w:rFonts w:ascii="Book Antiqua" w:hAnsi="Book Antiqua"/>
          <w:i/>
          <w:sz w:val="24"/>
          <w:szCs w:val="24"/>
        </w:rPr>
        <w:t>PLoS One</w:t>
      </w:r>
      <w:r w:rsidRPr="0091360F">
        <w:rPr>
          <w:rFonts w:ascii="Book Antiqua" w:hAnsi="Book Antiqua"/>
          <w:sz w:val="24"/>
          <w:szCs w:val="24"/>
        </w:rPr>
        <w:t xml:space="preserve"> 2017; </w:t>
      </w:r>
      <w:r w:rsidRPr="0091360F">
        <w:rPr>
          <w:rFonts w:ascii="Book Antiqua" w:hAnsi="Book Antiqua"/>
          <w:b/>
          <w:sz w:val="24"/>
          <w:szCs w:val="24"/>
        </w:rPr>
        <w:t>12</w:t>
      </w:r>
      <w:r w:rsidRPr="0091360F">
        <w:rPr>
          <w:rFonts w:ascii="Book Antiqua" w:hAnsi="Book Antiqua"/>
          <w:sz w:val="24"/>
          <w:szCs w:val="24"/>
        </w:rPr>
        <w:t>: e0182529 [PMID: 28767684 DOI: 10.1371/journal.pone.0182529]</w:t>
      </w:r>
    </w:p>
    <w:p w14:paraId="5B998AA3"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26 </w:t>
      </w:r>
      <w:r w:rsidRPr="0091360F">
        <w:rPr>
          <w:rFonts w:ascii="Book Antiqua" w:hAnsi="Book Antiqua"/>
          <w:b/>
          <w:sz w:val="24"/>
          <w:szCs w:val="24"/>
        </w:rPr>
        <w:t>Krige JE</w:t>
      </w:r>
      <w:r w:rsidRPr="0091360F">
        <w:rPr>
          <w:rFonts w:ascii="Book Antiqua" w:hAnsi="Book Antiqua"/>
          <w:sz w:val="24"/>
          <w:szCs w:val="24"/>
        </w:rPr>
        <w:t xml:space="preserve">, Kotze UK, Distiller G, Shaw JM, Bornman PC. Predictive factors for rebleeding and death in alcoholic cirrhotic patients with acute variceal bleeding: a multivariate analysis. </w:t>
      </w:r>
      <w:r w:rsidRPr="0091360F">
        <w:rPr>
          <w:rFonts w:ascii="Book Antiqua" w:hAnsi="Book Antiqua"/>
          <w:i/>
          <w:sz w:val="24"/>
          <w:szCs w:val="24"/>
        </w:rPr>
        <w:t>World J Surg</w:t>
      </w:r>
      <w:r w:rsidRPr="0091360F">
        <w:rPr>
          <w:rFonts w:ascii="Book Antiqua" w:hAnsi="Book Antiqua"/>
          <w:sz w:val="24"/>
          <w:szCs w:val="24"/>
        </w:rPr>
        <w:t xml:space="preserve"> 2009; </w:t>
      </w:r>
      <w:r w:rsidRPr="0091360F">
        <w:rPr>
          <w:rFonts w:ascii="Book Antiqua" w:hAnsi="Book Antiqua"/>
          <w:b/>
          <w:sz w:val="24"/>
          <w:szCs w:val="24"/>
        </w:rPr>
        <w:t>33</w:t>
      </w:r>
      <w:r w:rsidRPr="0091360F">
        <w:rPr>
          <w:rFonts w:ascii="Book Antiqua" w:hAnsi="Book Antiqua"/>
          <w:sz w:val="24"/>
          <w:szCs w:val="24"/>
        </w:rPr>
        <w:t>: 2127-2135 [PMID: 19672651 DOI: 10.1007/s00268-009-0172-6]</w:t>
      </w:r>
    </w:p>
    <w:p w14:paraId="2C686FE0"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27 </w:t>
      </w:r>
      <w:r w:rsidRPr="0091360F">
        <w:rPr>
          <w:rFonts w:ascii="Book Antiqua" w:hAnsi="Book Antiqua"/>
          <w:b/>
          <w:sz w:val="24"/>
          <w:szCs w:val="24"/>
        </w:rPr>
        <w:t>Jepsen P</w:t>
      </w:r>
      <w:r w:rsidRPr="0091360F">
        <w:rPr>
          <w:rFonts w:ascii="Book Antiqua" w:hAnsi="Book Antiqua"/>
          <w:sz w:val="24"/>
          <w:szCs w:val="24"/>
        </w:rPr>
        <w:t xml:space="preserve">. Comorbidity in cirrhosis. </w:t>
      </w:r>
      <w:r w:rsidRPr="0091360F">
        <w:rPr>
          <w:rFonts w:ascii="Book Antiqua" w:hAnsi="Book Antiqua"/>
          <w:i/>
          <w:sz w:val="24"/>
          <w:szCs w:val="24"/>
        </w:rPr>
        <w:t>World J Gastroenterol</w:t>
      </w:r>
      <w:r w:rsidRPr="0091360F">
        <w:rPr>
          <w:rFonts w:ascii="Book Antiqua" w:hAnsi="Book Antiqua"/>
          <w:sz w:val="24"/>
          <w:szCs w:val="24"/>
        </w:rPr>
        <w:t xml:space="preserve"> 2014; </w:t>
      </w:r>
      <w:r w:rsidRPr="0091360F">
        <w:rPr>
          <w:rFonts w:ascii="Book Antiqua" w:hAnsi="Book Antiqua"/>
          <w:b/>
          <w:sz w:val="24"/>
          <w:szCs w:val="24"/>
        </w:rPr>
        <w:t>20</w:t>
      </w:r>
      <w:r w:rsidRPr="0091360F">
        <w:rPr>
          <w:rFonts w:ascii="Book Antiqua" w:hAnsi="Book Antiqua"/>
          <w:sz w:val="24"/>
          <w:szCs w:val="24"/>
        </w:rPr>
        <w:t>: 7223-7230 [PMID: 24966593 DOI: 10.3748/wjg.v20.i23.7223]</w:t>
      </w:r>
    </w:p>
    <w:p w14:paraId="3D98A3FD"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28 </w:t>
      </w:r>
      <w:r w:rsidRPr="0091360F">
        <w:rPr>
          <w:rFonts w:ascii="Book Antiqua" w:hAnsi="Book Antiqua"/>
          <w:b/>
          <w:sz w:val="24"/>
          <w:szCs w:val="24"/>
        </w:rPr>
        <w:t>Xu L</w:t>
      </w:r>
      <w:r w:rsidRPr="0091360F">
        <w:rPr>
          <w:rFonts w:ascii="Book Antiqua" w:hAnsi="Book Antiqua"/>
          <w:sz w:val="24"/>
          <w:szCs w:val="24"/>
        </w:rPr>
        <w:t xml:space="preserve">, Ji F, Xu QW, Zhang MQ. Risk factors for predicting early variceal rebleeding after endoscopic variceal ligation. </w:t>
      </w:r>
      <w:r w:rsidRPr="0091360F">
        <w:rPr>
          <w:rFonts w:ascii="Book Antiqua" w:hAnsi="Book Antiqua"/>
          <w:i/>
          <w:sz w:val="24"/>
          <w:szCs w:val="24"/>
        </w:rPr>
        <w:t>World J Gastroenterol</w:t>
      </w:r>
      <w:r w:rsidRPr="0091360F">
        <w:rPr>
          <w:rFonts w:ascii="Book Antiqua" w:hAnsi="Book Antiqua"/>
          <w:sz w:val="24"/>
          <w:szCs w:val="24"/>
        </w:rPr>
        <w:t xml:space="preserve"> 2011; </w:t>
      </w:r>
      <w:r w:rsidRPr="0091360F">
        <w:rPr>
          <w:rFonts w:ascii="Book Antiqua" w:hAnsi="Book Antiqua"/>
          <w:b/>
          <w:sz w:val="24"/>
          <w:szCs w:val="24"/>
        </w:rPr>
        <w:t>17</w:t>
      </w:r>
      <w:r w:rsidRPr="0091360F">
        <w:rPr>
          <w:rFonts w:ascii="Book Antiqua" w:hAnsi="Book Antiqua"/>
          <w:sz w:val="24"/>
          <w:szCs w:val="24"/>
        </w:rPr>
        <w:t>: 3347-3352 [PMID: 21876624 DOI: 10.3748/wjg.v17.i28.3347]</w:t>
      </w:r>
    </w:p>
    <w:p w14:paraId="23D802EB"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29 </w:t>
      </w:r>
      <w:r w:rsidRPr="0091360F">
        <w:rPr>
          <w:rFonts w:ascii="Book Antiqua" w:hAnsi="Book Antiqua"/>
          <w:b/>
          <w:sz w:val="24"/>
          <w:szCs w:val="24"/>
        </w:rPr>
        <w:t>Qi X</w:t>
      </w:r>
      <w:r w:rsidRPr="0091360F">
        <w:rPr>
          <w:rFonts w:ascii="Book Antiqua" w:hAnsi="Book Antiqua"/>
          <w:sz w:val="24"/>
          <w:szCs w:val="24"/>
        </w:rPr>
        <w:t xml:space="preserve">, Su C, Ren W, Yang M, Jia J, Dai J, Xu W, Guo X. Association between portal vein thrombosis and risk of bleeding in liver cirrhosis: A systematic review of the literature. </w:t>
      </w:r>
      <w:r w:rsidRPr="0091360F">
        <w:rPr>
          <w:rFonts w:ascii="Book Antiqua" w:hAnsi="Book Antiqua"/>
          <w:i/>
          <w:sz w:val="24"/>
          <w:szCs w:val="24"/>
        </w:rPr>
        <w:t>Clin Res Hepatol Gastroenterol</w:t>
      </w:r>
      <w:r w:rsidRPr="0091360F">
        <w:rPr>
          <w:rFonts w:ascii="Book Antiqua" w:hAnsi="Book Antiqua"/>
          <w:sz w:val="24"/>
          <w:szCs w:val="24"/>
        </w:rPr>
        <w:t xml:space="preserve"> 2015; </w:t>
      </w:r>
      <w:r w:rsidRPr="0091360F">
        <w:rPr>
          <w:rFonts w:ascii="Book Antiqua" w:hAnsi="Book Antiqua"/>
          <w:b/>
          <w:sz w:val="24"/>
          <w:szCs w:val="24"/>
        </w:rPr>
        <w:t>39</w:t>
      </w:r>
      <w:r w:rsidRPr="0091360F">
        <w:rPr>
          <w:rFonts w:ascii="Book Antiqua" w:hAnsi="Book Antiqua"/>
          <w:sz w:val="24"/>
          <w:szCs w:val="24"/>
        </w:rPr>
        <w:t xml:space="preserve">: 683-691 [PMID: </w:t>
      </w:r>
      <w:r w:rsidRPr="0091360F">
        <w:rPr>
          <w:rFonts w:ascii="Book Antiqua" w:hAnsi="Book Antiqua"/>
          <w:sz w:val="24"/>
          <w:szCs w:val="24"/>
        </w:rPr>
        <w:lastRenderedPageBreak/>
        <w:t>25956490 DOI: 10.1016/j.clinre.2015.02.012]</w:t>
      </w:r>
    </w:p>
    <w:p w14:paraId="30F4BB54"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30 </w:t>
      </w:r>
      <w:r w:rsidRPr="0091360F">
        <w:rPr>
          <w:rFonts w:ascii="Book Antiqua" w:hAnsi="Book Antiqua"/>
          <w:b/>
          <w:sz w:val="24"/>
          <w:szCs w:val="24"/>
        </w:rPr>
        <w:t>Levesque E</w:t>
      </w:r>
      <w:r w:rsidRPr="0091360F">
        <w:rPr>
          <w:rFonts w:ascii="Book Antiqua" w:hAnsi="Book Antiqua"/>
          <w:sz w:val="24"/>
          <w:szCs w:val="24"/>
        </w:rPr>
        <w:t xml:space="preserve">, Hoti E, Azoulay D, Ichaï P, Habouchi H, Castaing D, Samuel D, Saliba F. Prospective evaluation of the prognostic scores for cirrhotic patients admitted to an intensive care unit. </w:t>
      </w:r>
      <w:r w:rsidRPr="0091360F">
        <w:rPr>
          <w:rFonts w:ascii="Book Antiqua" w:hAnsi="Book Antiqua"/>
          <w:i/>
          <w:sz w:val="24"/>
          <w:szCs w:val="24"/>
        </w:rPr>
        <w:t>J Hepatol</w:t>
      </w:r>
      <w:r w:rsidRPr="0091360F">
        <w:rPr>
          <w:rFonts w:ascii="Book Antiqua" w:hAnsi="Book Antiqua"/>
          <w:sz w:val="24"/>
          <w:szCs w:val="24"/>
        </w:rPr>
        <w:t xml:space="preserve"> 2012; </w:t>
      </w:r>
      <w:r w:rsidRPr="0091360F">
        <w:rPr>
          <w:rFonts w:ascii="Book Antiqua" w:hAnsi="Book Antiqua"/>
          <w:b/>
          <w:sz w:val="24"/>
          <w:szCs w:val="24"/>
        </w:rPr>
        <w:t>56</w:t>
      </w:r>
      <w:r w:rsidRPr="0091360F">
        <w:rPr>
          <w:rFonts w:ascii="Book Antiqua" w:hAnsi="Book Antiqua"/>
          <w:sz w:val="24"/>
          <w:szCs w:val="24"/>
        </w:rPr>
        <w:t>: 95-102 [PMID: 21835136 DOI: 10.1016/j.jhep.2011.06.024]</w:t>
      </w:r>
    </w:p>
    <w:p w14:paraId="37C343B5" w14:textId="77777777" w:rsidR="00D40697" w:rsidRPr="0091360F" w:rsidRDefault="00D40697" w:rsidP="00D40697">
      <w:pPr>
        <w:widowControl/>
        <w:snapToGrid w:val="0"/>
        <w:spacing w:line="360" w:lineRule="auto"/>
        <w:jc w:val="right"/>
        <w:rPr>
          <w:rFonts w:ascii="Book Antiqua" w:eastAsia="宋体" w:hAnsi="Book Antiqua" w:cs="Times New Roman"/>
          <w:kern w:val="0"/>
          <w:sz w:val="24"/>
          <w:szCs w:val="24"/>
        </w:rPr>
      </w:pPr>
      <w:bookmarkStart w:id="82" w:name="OLE_LINK51"/>
      <w:bookmarkStart w:id="83" w:name="OLE_LINK52"/>
      <w:bookmarkStart w:id="84" w:name="OLE_LINK120"/>
      <w:bookmarkStart w:id="85" w:name="OLE_LINK148"/>
      <w:bookmarkStart w:id="86" w:name="OLE_LINK72"/>
      <w:bookmarkStart w:id="87" w:name="OLE_LINK112"/>
      <w:bookmarkStart w:id="88" w:name="OLE_LINK320"/>
      <w:bookmarkStart w:id="89" w:name="OLE_LINK387"/>
      <w:bookmarkStart w:id="90" w:name="OLE_LINK183"/>
      <w:bookmarkStart w:id="91" w:name="OLE_LINK254"/>
      <w:bookmarkStart w:id="92" w:name="OLE_LINK149"/>
      <w:bookmarkStart w:id="93" w:name="OLE_LINK225"/>
      <w:bookmarkStart w:id="94" w:name="OLE_LINK207"/>
      <w:bookmarkStart w:id="95" w:name="OLE_LINK226"/>
      <w:bookmarkStart w:id="96" w:name="OLE_LINK212"/>
      <w:bookmarkStart w:id="97" w:name="OLE_LINK250"/>
      <w:bookmarkStart w:id="98" w:name="OLE_LINK281"/>
      <w:bookmarkStart w:id="99" w:name="OLE_LINK282"/>
      <w:bookmarkStart w:id="100" w:name="OLE_LINK313"/>
      <w:bookmarkStart w:id="101" w:name="OLE_LINK304"/>
      <w:bookmarkStart w:id="102" w:name="OLE_LINK321"/>
      <w:bookmarkStart w:id="103" w:name="OLE_LINK385"/>
      <w:bookmarkStart w:id="104" w:name="OLE_LINK400"/>
      <w:bookmarkStart w:id="105" w:name="OLE_LINK346"/>
      <w:bookmarkStart w:id="106" w:name="OLE_LINK371"/>
      <w:bookmarkStart w:id="107" w:name="OLE_LINK334"/>
      <w:bookmarkStart w:id="108" w:name="OLE_LINK1830"/>
      <w:bookmarkStart w:id="109" w:name="OLE_LINK457"/>
      <w:bookmarkStart w:id="110" w:name="OLE_LINK288"/>
      <w:bookmarkStart w:id="111" w:name="OLE_LINK384"/>
      <w:bookmarkStart w:id="112" w:name="OLE_LINK379"/>
      <w:bookmarkStart w:id="113" w:name="OLE_LINK303"/>
      <w:bookmarkStart w:id="114" w:name="OLE_LINK450"/>
      <w:bookmarkStart w:id="115" w:name="OLE_LINK489"/>
      <w:bookmarkStart w:id="116" w:name="OLE_LINK535"/>
      <w:bookmarkStart w:id="117" w:name="OLE_LINK648"/>
      <w:bookmarkStart w:id="118" w:name="OLE_LINK686"/>
      <w:bookmarkStart w:id="119" w:name="OLE_LINK471"/>
      <w:bookmarkStart w:id="120" w:name="OLE_LINK462"/>
      <w:bookmarkStart w:id="121" w:name="OLE_LINK519"/>
      <w:bookmarkStart w:id="122" w:name="OLE_LINK575"/>
      <w:bookmarkStart w:id="123" w:name="OLE_LINK491"/>
      <w:bookmarkStart w:id="124" w:name="OLE_LINK532"/>
      <w:bookmarkStart w:id="125" w:name="OLE_LINK572"/>
      <w:bookmarkStart w:id="126" w:name="OLE_LINK574"/>
      <w:bookmarkStart w:id="127" w:name="OLE_LINK480"/>
      <w:bookmarkStart w:id="128" w:name="OLE_LINK567"/>
      <w:bookmarkStart w:id="129" w:name="OLE_LINK2700"/>
      <w:bookmarkStart w:id="130" w:name="OLE_LINK581"/>
      <w:bookmarkStart w:id="131" w:name="OLE_LINK639"/>
      <w:bookmarkStart w:id="132" w:name="OLE_LINK688"/>
      <w:bookmarkStart w:id="133" w:name="OLE_LINK722"/>
      <w:bookmarkStart w:id="134" w:name="OLE_LINK542"/>
      <w:bookmarkStart w:id="135" w:name="OLE_LINK589"/>
      <w:bookmarkStart w:id="136" w:name="OLE_LINK582"/>
      <w:bookmarkStart w:id="137" w:name="OLE_LINK640"/>
      <w:bookmarkStart w:id="138" w:name="OLE_LINK714"/>
      <w:bookmarkStart w:id="139" w:name="OLE_LINK593"/>
      <w:bookmarkStart w:id="140" w:name="OLE_LINK716"/>
      <w:bookmarkStart w:id="141" w:name="OLE_LINK770"/>
      <w:bookmarkStart w:id="142" w:name="OLE_LINK801"/>
      <w:bookmarkStart w:id="143" w:name="OLE_LINK660"/>
      <w:bookmarkStart w:id="144" w:name="OLE_LINK781"/>
      <w:bookmarkStart w:id="145" w:name="OLE_LINK833"/>
      <w:bookmarkStart w:id="146" w:name="OLE_LINK642"/>
      <w:bookmarkStart w:id="147" w:name="OLE_LINK700"/>
      <w:bookmarkStart w:id="148" w:name="OLE_LINK792"/>
      <w:bookmarkStart w:id="149" w:name="OLE_LINK2882"/>
      <w:bookmarkStart w:id="150" w:name="OLE_LINK836"/>
      <w:bookmarkStart w:id="151" w:name="OLE_LINK889"/>
      <w:bookmarkStart w:id="152" w:name="OLE_LINK782"/>
      <w:bookmarkStart w:id="153" w:name="OLE_LINK826"/>
      <w:bookmarkStart w:id="154" w:name="OLE_LINK865"/>
      <w:bookmarkStart w:id="155" w:name="OLE_LINK856"/>
      <w:bookmarkStart w:id="156" w:name="OLE_LINK908"/>
      <w:bookmarkStart w:id="157" w:name="OLE_LINK980"/>
      <w:bookmarkStart w:id="158" w:name="OLE_LINK1018"/>
      <w:bookmarkStart w:id="159" w:name="OLE_LINK1049"/>
      <w:bookmarkStart w:id="160" w:name="OLE_LINK1076"/>
      <w:bookmarkStart w:id="161" w:name="OLE_LINK1106"/>
      <w:bookmarkStart w:id="162" w:name="OLE_LINK891"/>
      <w:bookmarkStart w:id="163" w:name="OLE_LINK943"/>
      <w:bookmarkStart w:id="164" w:name="OLE_LINK981"/>
      <w:bookmarkStart w:id="165" w:name="OLE_LINK1030"/>
      <w:bookmarkStart w:id="166" w:name="OLE_LINK847"/>
      <w:bookmarkStart w:id="167" w:name="OLE_LINK909"/>
      <w:bookmarkStart w:id="168" w:name="OLE_LINK906"/>
      <w:bookmarkStart w:id="169" w:name="OLE_LINK992"/>
      <w:bookmarkStart w:id="170" w:name="OLE_LINK993"/>
      <w:bookmarkStart w:id="171" w:name="OLE_LINK1052"/>
      <w:bookmarkStart w:id="172" w:name="OLE_LINK946"/>
      <w:bookmarkStart w:id="173" w:name="OLE_LINK911"/>
      <w:bookmarkStart w:id="174" w:name="OLE_LINK930"/>
      <w:bookmarkStart w:id="175" w:name="OLE_LINK1059"/>
      <w:bookmarkStart w:id="176" w:name="OLE_LINK1174"/>
      <w:bookmarkStart w:id="177" w:name="OLE_LINK1137"/>
      <w:bookmarkStart w:id="178" w:name="OLE_LINK1167"/>
      <w:bookmarkStart w:id="179" w:name="OLE_LINK1200"/>
      <w:bookmarkStart w:id="180" w:name="OLE_LINK1241"/>
      <w:bookmarkStart w:id="181" w:name="OLE_LINK1288"/>
      <w:bookmarkStart w:id="182" w:name="OLE_LINK1056"/>
      <w:bookmarkStart w:id="183" w:name="OLE_LINK1158"/>
      <w:bookmarkStart w:id="184" w:name="OLE_LINK1175"/>
      <w:bookmarkStart w:id="185" w:name="OLE_LINK1074"/>
      <w:bookmarkStart w:id="186" w:name="OLE_LINK1169"/>
      <w:bookmarkStart w:id="187" w:name="_Hlk11235039"/>
      <w:r w:rsidRPr="00F85664">
        <w:rPr>
          <w:rFonts w:ascii="Book Antiqua" w:eastAsia="宋体" w:hAnsi="Book Antiqua" w:cs="Times New Roman"/>
          <w:b/>
          <w:bCs/>
          <w:kern w:val="0"/>
          <w:sz w:val="24"/>
          <w:szCs w:val="24"/>
        </w:rPr>
        <w:t xml:space="preserve">P-Reviewer: </w:t>
      </w:r>
      <w:r w:rsidRPr="0091360F">
        <w:rPr>
          <w:rFonts w:ascii="Book Antiqua" w:eastAsia="宋体" w:hAnsi="Book Antiqua" w:cs="Times New Roman"/>
          <w:kern w:val="0"/>
          <w:sz w:val="24"/>
          <w:szCs w:val="24"/>
        </w:rPr>
        <w:t>Ali FEM, Dourakis SP, El-Bendary M, Garbuzenko D, Gencdal G</w:t>
      </w:r>
    </w:p>
    <w:p w14:paraId="59094773" w14:textId="057FE4EA" w:rsidR="00D40697" w:rsidRPr="00F85664" w:rsidRDefault="00D40697" w:rsidP="00D40697">
      <w:pPr>
        <w:widowControl/>
        <w:snapToGrid w:val="0"/>
        <w:spacing w:line="360" w:lineRule="auto"/>
        <w:jc w:val="right"/>
        <w:rPr>
          <w:rFonts w:ascii="Book Antiqua" w:eastAsia="宋体" w:hAnsi="Book Antiqua" w:cs="Times New Roman"/>
          <w:kern w:val="0"/>
          <w:sz w:val="24"/>
          <w:szCs w:val="24"/>
        </w:rPr>
      </w:pPr>
      <w:r w:rsidRPr="00F85664">
        <w:rPr>
          <w:rFonts w:ascii="Book Antiqua" w:eastAsia="宋体" w:hAnsi="Book Antiqua" w:cs="Times New Roman"/>
          <w:b/>
          <w:bCs/>
          <w:kern w:val="0"/>
          <w:sz w:val="24"/>
          <w:szCs w:val="24"/>
        </w:rPr>
        <w:t>S-Editor:</w:t>
      </w:r>
      <w:r w:rsidRPr="00F85664">
        <w:rPr>
          <w:rFonts w:ascii="Book Antiqua" w:eastAsia="宋体" w:hAnsi="Book Antiqua" w:cs="Times New Roman"/>
          <w:kern w:val="0"/>
          <w:sz w:val="24"/>
          <w:szCs w:val="24"/>
        </w:rPr>
        <w:t xml:space="preserve"> Gong ZM</w:t>
      </w:r>
      <w:r w:rsidRPr="0091360F">
        <w:rPr>
          <w:rFonts w:ascii="Book Antiqua" w:eastAsia="宋体" w:hAnsi="Book Antiqua" w:cs="Times New Roman" w:hint="eastAsia"/>
          <w:kern w:val="0"/>
          <w:sz w:val="24"/>
          <w:szCs w:val="24"/>
        </w:rPr>
        <w:t xml:space="preserve"> </w:t>
      </w:r>
      <w:r w:rsidRPr="00F85664">
        <w:rPr>
          <w:rFonts w:ascii="Book Antiqua" w:eastAsia="宋体" w:hAnsi="Book Antiqua" w:cs="Times New Roman"/>
          <w:b/>
          <w:bCs/>
          <w:kern w:val="0"/>
          <w:sz w:val="24"/>
          <w:szCs w:val="24"/>
        </w:rPr>
        <w:t>L-Editor:</w:t>
      </w:r>
      <w:r w:rsidRPr="00F85664">
        <w:rPr>
          <w:rFonts w:ascii="Book Antiqua" w:eastAsia="宋体" w:hAnsi="Book Antiqua" w:cs="Times New Roman"/>
          <w:kern w:val="0"/>
          <w:sz w:val="24"/>
          <w:szCs w:val="24"/>
        </w:rPr>
        <w:t xml:space="preserve"> </w:t>
      </w:r>
      <w:r w:rsidR="002E7C47">
        <w:rPr>
          <w:rFonts w:ascii="Book Antiqua" w:eastAsia="宋体" w:hAnsi="Book Antiqua" w:cs="Times New Roman"/>
          <w:kern w:val="0"/>
          <w:sz w:val="24"/>
          <w:szCs w:val="24"/>
        </w:rPr>
        <w:t xml:space="preserve">Webster JR </w:t>
      </w:r>
      <w:r w:rsidRPr="00F85664">
        <w:rPr>
          <w:rFonts w:ascii="Book Antiqua" w:eastAsia="宋体" w:hAnsi="Book Antiqua" w:cs="Times New Roman"/>
          <w:b/>
          <w:bCs/>
          <w:kern w:val="0"/>
          <w:sz w:val="24"/>
          <w:szCs w:val="24"/>
        </w:rPr>
        <w:t>E-Editor:</w:t>
      </w:r>
    </w:p>
    <w:p w14:paraId="5406F8AB" w14:textId="77777777" w:rsidR="00D40697" w:rsidRPr="00F85664" w:rsidRDefault="00D40697" w:rsidP="00D40697">
      <w:pPr>
        <w:widowControl/>
        <w:shd w:val="clear" w:color="auto" w:fill="FFFFFF"/>
        <w:snapToGrid w:val="0"/>
        <w:spacing w:line="360" w:lineRule="auto"/>
        <w:rPr>
          <w:rFonts w:ascii="Book Antiqua" w:eastAsia="宋体" w:hAnsi="Book Antiqua" w:cs="Helvetica"/>
          <w:b/>
          <w:kern w:val="0"/>
          <w:sz w:val="24"/>
          <w:szCs w:val="24"/>
        </w:rPr>
      </w:pPr>
      <w:bookmarkStart w:id="188" w:name="OLE_LINK880"/>
      <w:bookmarkStart w:id="189" w:name="OLE_LINK8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85664">
        <w:rPr>
          <w:rFonts w:ascii="Book Antiqua" w:eastAsia="宋体" w:hAnsi="Book Antiqua" w:cs="Helvetica"/>
          <w:b/>
          <w:kern w:val="0"/>
          <w:sz w:val="24"/>
          <w:szCs w:val="24"/>
        </w:rPr>
        <w:t xml:space="preserve">Specialty type: </w:t>
      </w:r>
      <w:r w:rsidRPr="00F85664">
        <w:rPr>
          <w:rFonts w:ascii="Book Antiqua" w:eastAsia="宋体" w:hAnsi="Book Antiqua" w:cs="Helvetica"/>
          <w:kern w:val="0"/>
          <w:sz w:val="24"/>
          <w:szCs w:val="24"/>
        </w:rPr>
        <w:t>Gastroenterology and hepatology</w:t>
      </w:r>
    </w:p>
    <w:p w14:paraId="2A7E958F" w14:textId="77777777" w:rsidR="00D40697" w:rsidRPr="00F85664" w:rsidRDefault="00D40697" w:rsidP="00D40697">
      <w:pPr>
        <w:widowControl/>
        <w:shd w:val="clear" w:color="auto" w:fill="FFFFFF"/>
        <w:snapToGrid w:val="0"/>
        <w:spacing w:line="360" w:lineRule="auto"/>
        <w:rPr>
          <w:rFonts w:ascii="Book Antiqua" w:eastAsia="宋体" w:hAnsi="Book Antiqua" w:cs="Helvetica"/>
          <w:b/>
          <w:kern w:val="0"/>
          <w:sz w:val="24"/>
          <w:szCs w:val="24"/>
        </w:rPr>
      </w:pPr>
      <w:r w:rsidRPr="00F85664">
        <w:rPr>
          <w:rFonts w:ascii="Book Antiqua" w:eastAsia="宋体" w:hAnsi="Book Antiqua" w:cs="Helvetica"/>
          <w:b/>
          <w:kern w:val="0"/>
          <w:sz w:val="24"/>
          <w:szCs w:val="24"/>
        </w:rPr>
        <w:t xml:space="preserve">Country of origin: </w:t>
      </w:r>
      <w:r w:rsidRPr="0091360F">
        <w:rPr>
          <w:rFonts w:ascii="Book Antiqua" w:eastAsia="宋体" w:hAnsi="Book Antiqua" w:cs="Helvetica"/>
          <w:bCs/>
          <w:kern w:val="0"/>
          <w:sz w:val="24"/>
          <w:szCs w:val="24"/>
        </w:rPr>
        <w:t>China</w:t>
      </w:r>
    </w:p>
    <w:p w14:paraId="553C55D5" w14:textId="77777777" w:rsidR="00D40697" w:rsidRPr="00F85664" w:rsidRDefault="00D40697" w:rsidP="00D40697">
      <w:pPr>
        <w:widowControl/>
        <w:shd w:val="clear" w:color="auto" w:fill="FFFFFF"/>
        <w:snapToGrid w:val="0"/>
        <w:spacing w:line="360" w:lineRule="auto"/>
        <w:rPr>
          <w:rFonts w:ascii="Book Antiqua" w:eastAsia="宋体" w:hAnsi="Book Antiqua" w:cs="Helvetica"/>
          <w:b/>
          <w:kern w:val="0"/>
          <w:sz w:val="24"/>
          <w:szCs w:val="24"/>
        </w:rPr>
      </w:pPr>
      <w:r w:rsidRPr="00F85664">
        <w:rPr>
          <w:rFonts w:ascii="Book Antiqua" w:eastAsia="宋体" w:hAnsi="Book Antiqua" w:cs="Helvetica"/>
          <w:b/>
          <w:kern w:val="0"/>
          <w:sz w:val="24"/>
          <w:szCs w:val="24"/>
        </w:rPr>
        <w:t>Peer-review report classification</w:t>
      </w:r>
    </w:p>
    <w:p w14:paraId="06B59FC7"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 xml:space="preserve">Grade A (Excellent): </w:t>
      </w:r>
      <w:r w:rsidRPr="0091360F">
        <w:rPr>
          <w:rFonts w:ascii="Book Antiqua" w:eastAsia="宋体" w:hAnsi="Book Antiqua" w:cs="Helvetica"/>
          <w:kern w:val="0"/>
          <w:sz w:val="24"/>
          <w:szCs w:val="24"/>
        </w:rPr>
        <w:t>A</w:t>
      </w:r>
    </w:p>
    <w:p w14:paraId="00BF4F24"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 xml:space="preserve">Grade B (Very good): </w:t>
      </w:r>
      <w:r w:rsidRPr="0091360F">
        <w:rPr>
          <w:rFonts w:ascii="Book Antiqua" w:eastAsia="宋体" w:hAnsi="Book Antiqua" w:cs="Helvetica"/>
          <w:kern w:val="0"/>
          <w:sz w:val="24"/>
          <w:szCs w:val="24"/>
        </w:rPr>
        <w:t>B, B</w:t>
      </w:r>
    </w:p>
    <w:p w14:paraId="464BD43F"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Grade C (Good): C, C</w:t>
      </w:r>
    </w:p>
    <w:p w14:paraId="661A4941"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Grade D (Fair): 0</w:t>
      </w:r>
    </w:p>
    <w:p w14:paraId="19793C26"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Grade E (Poor): 0</w:t>
      </w:r>
      <w:bookmarkEnd w:id="188"/>
      <w:bookmarkEnd w:id="189"/>
      <w:r w:rsidRPr="00F85664">
        <w:rPr>
          <w:rFonts w:ascii="Book Antiqua" w:eastAsia="宋体" w:hAnsi="Book Antiqua" w:cs="Helvetica"/>
          <w:kern w:val="0"/>
          <w:sz w:val="24"/>
          <w:szCs w:val="24"/>
        </w:rPr>
        <w:t xml:space="preserve"> </w:t>
      </w:r>
    </w:p>
    <w:bookmarkEnd w:id="187"/>
    <w:p w14:paraId="7F526E4B" w14:textId="77777777" w:rsidR="00420454" w:rsidRPr="0091360F" w:rsidRDefault="00420454" w:rsidP="00420454">
      <w:pPr>
        <w:widowControl/>
        <w:snapToGrid w:val="0"/>
        <w:spacing w:line="360" w:lineRule="auto"/>
        <w:jc w:val="left"/>
        <w:rPr>
          <w:rFonts w:ascii="Book Antiqua" w:hAnsi="Book Antiqua"/>
          <w:b/>
          <w:bCs/>
          <w:sz w:val="24"/>
          <w:szCs w:val="24"/>
        </w:rPr>
      </w:pPr>
      <w:r w:rsidRPr="0091360F">
        <w:rPr>
          <w:rFonts w:ascii="Book Antiqua" w:hAnsi="Book Antiqua"/>
          <w:b/>
          <w:bCs/>
          <w:sz w:val="24"/>
          <w:szCs w:val="24"/>
        </w:rPr>
        <w:br w:type="page"/>
      </w:r>
    </w:p>
    <w:p w14:paraId="49080305" w14:textId="283E4CEA"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lastRenderedPageBreak/>
        <w:t>Table 1</w:t>
      </w:r>
      <w:r w:rsidR="0023540D"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Baseline characteristics of the included patients</w:t>
      </w:r>
    </w:p>
    <w:tbl>
      <w:tblPr>
        <w:tblStyle w:val="ad"/>
        <w:tblW w:w="8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3511"/>
      </w:tblGrid>
      <w:tr w:rsidR="00420454" w:rsidRPr="0091360F" w14:paraId="4FCF1A2A" w14:textId="77777777" w:rsidTr="00A77D77">
        <w:trPr>
          <w:trHeight w:val="456"/>
        </w:trPr>
        <w:tc>
          <w:tcPr>
            <w:tcW w:w="4569" w:type="dxa"/>
            <w:tcBorders>
              <w:top w:val="single" w:sz="4" w:space="0" w:color="auto"/>
              <w:bottom w:val="single" w:sz="4" w:space="0" w:color="auto"/>
            </w:tcBorders>
          </w:tcPr>
          <w:p w14:paraId="5368C5A2"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Variables</w:t>
            </w:r>
          </w:p>
        </w:tc>
        <w:tc>
          <w:tcPr>
            <w:tcW w:w="3511" w:type="dxa"/>
            <w:tcBorders>
              <w:top w:val="single" w:sz="4" w:space="0" w:color="auto"/>
              <w:bottom w:val="single" w:sz="4" w:space="0" w:color="auto"/>
            </w:tcBorders>
          </w:tcPr>
          <w:p w14:paraId="7572CA7D"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Value</w:t>
            </w:r>
          </w:p>
        </w:tc>
      </w:tr>
      <w:tr w:rsidR="00420454" w:rsidRPr="0091360F" w14:paraId="4F52783B" w14:textId="77777777" w:rsidTr="00A77D77">
        <w:trPr>
          <w:trHeight w:val="443"/>
        </w:trPr>
        <w:tc>
          <w:tcPr>
            <w:tcW w:w="4569" w:type="dxa"/>
            <w:tcBorders>
              <w:top w:val="single" w:sz="4" w:space="0" w:color="auto"/>
            </w:tcBorders>
          </w:tcPr>
          <w:p w14:paraId="572BA7B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No. of patients</w:t>
            </w:r>
          </w:p>
        </w:tc>
        <w:tc>
          <w:tcPr>
            <w:tcW w:w="3511" w:type="dxa"/>
            <w:tcBorders>
              <w:top w:val="single" w:sz="4" w:space="0" w:color="auto"/>
            </w:tcBorders>
          </w:tcPr>
          <w:p w14:paraId="40CE8F0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330</w:t>
            </w:r>
          </w:p>
        </w:tc>
      </w:tr>
      <w:tr w:rsidR="00420454" w:rsidRPr="0091360F" w14:paraId="68593860" w14:textId="77777777" w:rsidTr="00A77D77">
        <w:trPr>
          <w:trHeight w:val="456"/>
        </w:trPr>
        <w:tc>
          <w:tcPr>
            <w:tcW w:w="4569" w:type="dxa"/>
          </w:tcPr>
          <w:p w14:paraId="29DB441B" w14:textId="10E25FEA"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Age</w:t>
            </w:r>
            <w:r w:rsidR="00226716">
              <w:rPr>
                <w:rFonts w:ascii="Book Antiqua" w:hAnsi="Book Antiqua" w:cs="Times New Roman"/>
                <w:sz w:val="24"/>
                <w:szCs w:val="24"/>
              </w:rPr>
              <w:t xml:space="preserve">, </w:t>
            </w:r>
            <w:r w:rsidRPr="0091360F">
              <w:rPr>
                <w:rFonts w:ascii="Book Antiqua" w:hAnsi="Book Antiqua" w:cs="Times New Roman"/>
                <w:sz w:val="24"/>
                <w:szCs w:val="24"/>
              </w:rPr>
              <w:t xml:space="preserve">mean </w:t>
            </w:r>
            <w:r w:rsidR="00226716">
              <w:rPr>
                <w:rFonts w:ascii="Book Antiqua" w:hAnsi="Book Antiqua" w:cs="Times New Roman" w:hint="eastAsia"/>
                <w:sz w:val="24"/>
                <w:szCs w:val="24"/>
              </w:rPr>
              <w:t>±</w:t>
            </w:r>
            <w:r w:rsidR="00226716">
              <w:rPr>
                <w:rFonts w:ascii="Book Antiqua" w:hAnsi="Book Antiqua" w:cs="Times New Roman"/>
                <w:sz w:val="24"/>
                <w:szCs w:val="24"/>
              </w:rPr>
              <w:t xml:space="preserve"> </w:t>
            </w:r>
            <w:r w:rsidRPr="0091360F">
              <w:rPr>
                <w:rFonts w:ascii="Book Antiqua" w:hAnsi="Book Antiqua" w:cs="Times New Roman"/>
                <w:sz w:val="24"/>
                <w:szCs w:val="24"/>
              </w:rPr>
              <w:t>SD</w:t>
            </w:r>
            <w:r w:rsidR="00226716">
              <w:rPr>
                <w:rFonts w:ascii="Book Antiqua" w:hAnsi="Book Antiqua" w:cs="Times New Roman" w:hint="eastAsia"/>
                <w:sz w:val="24"/>
                <w:szCs w:val="24"/>
              </w:rPr>
              <w:t xml:space="preserve">, </w:t>
            </w:r>
            <w:r w:rsidR="00226716" w:rsidRPr="0091360F">
              <w:rPr>
                <w:rFonts w:ascii="Book Antiqua" w:hAnsi="Book Antiqua" w:cs="Times New Roman"/>
                <w:sz w:val="24"/>
                <w:szCs w:val="24"/>
              </w:rPr>
              <w:t>yr</w:t>
            </w:r>
          </w:p>
        </w:tc>
        <w:tc>
          <w:tcPr>
            <w:tcW w:w="3511" w:type="dxa"/>
          </w:tcPr>
          <w:p w14:paraId="5BD07D06" w14:textId="288BA3B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54.9</w:t>
            </w:r>
            <w:r w:rsidR="0023540D" w:rsidRPr="0091360F">
              <w:rPr>
                <w:rFonts w:ascii="Book Antiqua" w:hAnsi="Book Antiqua" w:cs="Times New Roman"/>
                <w:sz w:val="24"/>
                <w:szCs w:val="24"/>
              </w:rPr>
              <w:t xml:space="preserve"> </w:t>
            </w:r>
            <w:r w:rsidR="00226716">
              <w:rPr>
                <w:rFonts w:ascii="Book Antiqua" w:hAnsi="Book Antiqua" w:cs="Times New Roman" w:hint="eastAsia"/>
                <w:sz w:val="24"/>
                <w:szCs w:val="24"/>
              </w:rPr>
              <w:t>±</w:t>
            </w:r>
            <w:r w:rsidR="00226716">
              <w:rPr>
                <w:rFonts w:ascii="Book Antiqua" w:hAnsi="Book Antiqua" w:cs="Times New Roman" w:hint="eastAsia"/>
                <w:sz w:val="24"/>
                <w:szCs w:val="24"/>
              </w:rPr>
              <w:t xml:space="preserve"> </w:t>
            </w:r>
            <w:r w:rsidRPr="0091360F">
              <w:rPr>
                <w:rFonts w:ascii="Book Antiqua" w:hAnsi="Book Antiqua" w:cs="Times New Roman"/>
                <w:sz w:val="24"/>
                <w:szCs w:val="24"/>
              </w:rPr>
              <w:t>12.7</w:t>
            </w:r>
          </w:p>
        </w:tc>
      </w:tr>
      <w:tr w:rsidR="00420454" w:rsidRPr="0091360F" w14:paraId="37322A44" w14:textId="77777777" w:rsidTr="00A77D77">
        <w:trPr>
          <w:trHeight w:val="443"/>
        </w:trPr>
        <w:tc>
          <w:tcPr>
            <w:tcW w:w="4569" w:type="dxa"/>
          </w:tcPr>
          <w:p w14:paraId="41D4BBF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Male sex, </w:t>
            </w:r>
            <w:r w:rsidRPr="0091360F">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193C3E63" w14:textId="430481E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203</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(61.5)</w:t>
            </w:r>
          </w:p>
        </w:tc>
      </w:tr>
      <w:tr w:rsidR="00420454" w:rsidRPr="0091360F" w14:paraId="2912F966" w14:textId="77777777" w:rsidTr="00A77D77">
        <w:trPr>
          <w:trHeight w:val="456"/>
        </w:trPr>
        <w:tc>
          <w:tcPr>
            <w:tcW w:w="4569" w:type="dxa"/>
          </w:tcPr>
          <w:p w14:paraId="1A8C456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Etiology, </w:t>
            </w:r>
            <w:r w:rsidRPr="0091360F">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12502E75" w14:textId="77777777" w:rsidR="00195C97" w:rsidRPr="0091360F" w:rsidRDefault="00195C97" w:rsidP="00420454">
            <w:pPr>
              <w:snapToGrid w:val="0"/>
              <w:spacing w:line="360" w:lineRule="auto"/>
              <w:rPr>
                <w:rFonts w:ascii="Book Antiqua" w:hAnsi="Book Antiqua" w:cs="Times New Roman"/>
                <w:sz w:val="24"/>
                <w:szCs w:val="24"/>
              </w:rPr>
            </w:pPr>
          </w:p>
        </w:tc>
      </w:tr>
      <w:tr w:rsidR="00420454" w:rsidRPr="0091360F" w14:paraId="6CFC1193" w14:textId="77777777" w:rsidTr="00A77D77">
        <w:trPr>
          <w:trHeight w:val="443"/>
        </w:trPr>
        <w:tc>
          <w:tcPr>
            <w:tcW w:w="4569" w:type="dxa"/>
          </w:tcPr>
          <w:p w14:paraId="57F68F0D"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Viral</w:t>
            </w:r>
          </w:p>
        </w:tc>
        <w:tc>
          <w:tcPr>
            <w:tcW w:w="3511" w:type="dxa"/>
          </w:tcPr>
          <w:p w14:paraId="28DACD20" w14:textId="1EF812A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229</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(69.4)</w:t>
            </w:r>
          </w:p>
        </w:tc>
      </w:tr>
      <w:tr w:rsidR="00420454" w:rsidRPr="0091360F" w14:paraId="67BBA8CA" w14:textId="77777777" w:rsidTr="00A77D77">
        <w:trPr>
          <w:trHeight w:val="456"/>
        </w:trPr>
        <w:tc>
          <w:tcPr>
            <w:tcW w:w="4569" w:type="dxa"/>
          </w:tcPr>
          <w:p w14:paraId="1D3B2326"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Alcohol</w:t>
            </w:r>
          </w:p>
        </w:tc>
        <w:tc>
          <w:tcPr>
            <w:tcW w:w="3511" w:type="dxa"/>
          </w:tcPr>
          <w:p w14:paraId="00C02E44" w14:textId="15877FA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21</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(6.4)</w:t>
            </w:r>
          </w:p>
        </w:tc>
      </w:tr>
      <w:tr w:rsidR="00420454" w:rsidRPr="0091360F" w14:paraId="2E0E1241" w14:textId="77777777" w:rsidTr="00A77D77">
        <w:trPr>
          <w:trHeight w:val="443"/>
        </w:trPr>
        <w:tc>
          <w:tcPr>
            <w:tcW w:w="4569" w:type="dxa"/>
          </w:tcPr>
          <w:p w14:paraId="25472F2B"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Autoimmune</w:t>
            </w:r>
          </w:p>
        </w:tc>
        <w:tc>
          <w:tcPr>
            <w:tcW w:w="3511" w:type="dxa"/>
          </w:tcPr>
          <w:p w14:paraId="36E94523" w14:textId="26458BA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34</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(10.3)</w:t>
            </w:r>
          </w:p>
        </w:tc>
      </w:tr>
      <w:tr w:rsidR="00420454" w:rsidRPr="0091360F" w14:paraId="333F8C77" w14:textId="77777777" w:rsidTr="00A77D77">
        <w:trPr>
          <w:trHeight w:val="456"/>
        </w:trPr>
        <w:tc>
          <w:tcPr>
            <w:tcW w:w="4569" w:type="dxa"/>
          </w:tcPr>
          <w:p w14:paraId="6CDF067A"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Other</w:t>
            </w:r>
          </w:p>
        </w:tc>
        <w:tc>
          <w:tcPr>
            <w:tcW w:w="3511" w:type="dxa"/>
          </w:tcPr>
          <w:p w14:paraId="43085F5F" w14:textId="0A38208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46</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(13.9)</w:t>
            </w:r>
          </w:p>
        </w:tc>
      </w:tr>
      <w:tr w:rsidR="00420454" w:rsidRPr="0091360F" w14:paraId="6C21A77B" w14:textId="77777777" w:rsidTr="00A77D77">
        <w:trPr>
          <w:trHeight w:val="443"/>
        </w:trPr>
        <w:tc>
          <w:tcPr>
            <w:tcW w:w="4569" w:type="dxa"/>
          </w:tcPr>
          <w:p w14:paraId="27FC799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Laboratory tests, median (IQR)</w:t>
            </w:r>
          </w:p>
        </w:tc>
        <w:tc>
          <w:tcPr>
            <w:tcW w:w="3511" w:type="dxa"/>
          </w:tcPr>
          <w:p w14:paraId="1BD24159" w14:textId="77777777" w:rsidR="00195C97" w:rsidRPr="0091360F" w:rsidRDefault="00195C97" w:rsidP="00420454">
            <w:pPr>
              <w:snapToGrid w:val="0"/>
              <w:spacing w:line="360" w:lineRule="auto"/>
              <w:rPr>
                <w:rFonts w:ascii="Book Antiqua" w:hAnsi="Book Antiqua" w:cs="Times New Roman"/>
                <w:sz w:val="24"/>
                <w:szCs w:val="24"/>
              </w:rPr>
            </w:pPr>
          </w:p>
        </w:tc>
      </w:tr>
      <w:tr w:rsidR="00420454" w:rsidRPr="0091360F" w14:paraId="0B75E758" w14:textId="77777777" w:rsidTr="00A77D77">
        <w:trPr>
          <w:trHeight w:val="456"/>
        </w:trPr>
        <w:tc>
          <w:tcPr>
            <w:tcW w:w="4569" w:type="dxa"/>
          </w:tcPr>
          <w:p w14:paraId="622303B5" w14:textId="30A89AE2"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White blood cell</w:t>
            </w:r>
            <w:r w:rsidR="00BB0DC0">
              <w:rPr>
                <w:rFonts w:ascii="Book Antiqua" w:hAnsi="Book Antiqua" w:cs="Times New Roman"/>
                <w:sz w:val="24"/>
                <w:szCs w:val="24"/>
              </w:rPr>
              <w:t>s</w:t>
            </w:r>
            <w:r w:rsidRPr="0091360F">
              <w:rPr>
                <w:rFonts w:ascii="Book Antiqua" w:hAnsi="Book Antiqua" w:cs="Times New Roman"/>
                <w:sz w:val="24"/>
                <w:szCs w:val="24"/>
              </w:rPr>
              <w:t xml:space="preserve"> (10</w:t>
            </w:r>
            <w:r w:rsidRPr="0091360F">
              <w:rPr>
                <w:rFonts w:ascii="Book Antiqua" w:hAnsi="Book Antiqua" w:cs="Times New Roman"/>
                <w:sz w:val="24"/>
                <w:szCs w:val="24"/>
                <w:vertAlign w:val="superscript"/>
              </w:rPr>
              <w:t>9</w:t>
            </w:r>
            <w:r w:rsidRPr="0091360F">
              <w:rPr>
                <w:rFonts w:ascii="Book Antiqua" w:hAnsi="Book Antiqua" w:cs="Times New Roman"/>
                <w:sz w:val="24"/>
                <w:szCs w:val="24"/>
              </w:rPr>
              <w:t>/L)</w:t>
            </w:r>
          </w:p>
        </w:tc>
        <w:tc>
          <w:tcPr>
            <w:tcW w:w="3511" w:type="dxa"/>
          </w:tcPr>
          <w:p w14:paraId="7452117D" w14:textId="4F4AA52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5.4</w:t>
            </w:r>
            <w:r w:rsidR="00BB0DC0">
              <w:rPr>
                <w:rFonts w:ascii="Book Antiqua" w:hAnsi="Book Antiqua" w:cs="Times New Roman"/>
                <w:sz w:val="24"/>
                <w:szCs w:val="24"/>
              </w:rPr>
              <w:t xml:space="preserve"> </w:t>
            </w:r>
            <w:r w:rsidRPr="0091360F">
              <w:rPr>
                <w:rFonts w:ascii="Book Antiqua" w:hAnsi="Book Antiqua" w:cs="Times New Roman"/>
                <w:sz w:val="24"/>
                <w:szCs w:val="24"/>
              </w:rPr>
              <w:t>(3.6-7.8)</w:t>
            </w:r>
          </w:p>
        </w:tc>
      </w:tr>
      <w:tr w:rsidR="00420454" w:rsidRPr="0091360F" w14:paraId="6717EF00" w14:textId="77777777" w:rsidTr="00A77D77">
        <w:trPr>
          <w:trHeight w:val="443"/>
        </w:trPr>
        <w:tc>
          <w:tcPr>
            <w:tcW w:w="4569" w:type="dxa"/>
          </w:tcPr>
          <w:p w14:paraId="4538C30E" w14:textId="7E341E73" w:rsidR="00195C97" w:rsidRPr="0091360F" w:rsidRDefault="00195C97" w:rsidP="00BB0DC0">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Hemoglobin (g/L)</w:t>
            </w:r>
          </w:p>
        </w:tc>
        <w:tc>
          <w:tcPr>
            <w:tcW w:w="3511" w:type="dxa"/>
          </w:tcPr>
          <w:p w14:paraId="2D9FD0BF" w14:textId="7DAE5C7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w:t>
            </w:r>
            <w:r w:rsidR="00BB0DC0">
              <w:rPr>
                <w:rFonts w:ascii="Book Antiqua" w:hAnsi="Book Antiqua" w:cs="Times New Roman"/>
                <w:sz w:val="24"/>
                <w:szCs w:val="24"/>
              </w:rPr>
              <w:t xml:space="preserve"> </w:t>
            </w:r>
            <w:r w:rsidRPr="0091360F">
              <w:rPr>
                <w:rFonts w:ascii="Book Antiqua" w:hAnsi="Book Antiqua" w:cs="Times New Roman"/>
                <w:sz w:val="24"/>
                <w:szCs w:val="24"/>
              </w:rPr>
              <w:t>(66-95)</w:t>
            </w:r>
          </w:p>
        </w:tc>
      </w:tr>
      <w:tr w:rsidR="00420454" w:rsidRPr="0091360F" w14:paraId="715312C3" w14:textId="77777777" w:rsidTr="00A77D77">
        <w:trPr>
          <w:trHeight w:val="456"/>
        </w:trPr>
        <w:tc>
          <w:tcPr>
            <w:tcW w:w="4569" w:type="dxa"/>
          </w:tcPr>
          <w:p w14:paraId="1C38B502"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Platelets (10</w:t>
            </w:r>
            <w:r w:rsidRPr="0091360F">
              <w:rPr>
                <w:rFonts w:ascii="Book Antiqua" w:hAnsi="Book Antiqua" w:cs="Times New Roman"/>
                <w:sz w:val="24"/>
                <w:szCs w:val="24"/>
                <w:vertAlign w:val="superscript"/>
              </w:rPr>
              <w:t>9</w:t>
            </w:r>
            <w:r w:rsidRPr="0091360F">
              <w:rPr>
                <w:rFonts w:ascii="Book Antiqua" w:hAnsi="Book Antiqua" w:cs="Times New Roman"/>
                <w:sz w:val="24"/>
                <w:szCs w:val="24"/>
              </w:rPr>
              <w:t>/L)</w:t>
            </w:r>
          </w:p>
        </w:tc>
        <w:tc>
          <w:tcPr>
            <w:tcW w:w="3511" w:type="dxa"/>
          </w:tcPr>
          <w:p w14:paraId="4684D7AE" w14:textId="251F6F1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77</w:t>
            </w:r>
            <w:r w:rsidR="00BB0DC0">
              <w:rPr>
                <w:rFonts w:ascii="Book Antiqua" w:hAnsi="Book Antiqua" w:cs="Times New Roman"/>
                <w:sz w:val="24"/>
                <w:szCs w:val="24"/>
              </w:rPr>
              <w:t xml:space="preserve"> </w:t>
            </w:r>
            <w:r w:rsidRPr="0091360F">
              <w:rPr>
                <w:rFonts w:ascii="Book Antiqua" w:hAnsi="Book Antiqua" w:cs="Times New Roman"/>
                <w:sz w:val="24"/>
                <w:szCs w:val="24"/>
              </w:rPr>
              <w:t>(51-115)</w:t>
            </w:r>
          </w:p>
        </w:tc>
      </w:tr>
      <w:tr w:rsidR="00420454" w:rsidRPr="0091360F" w14:paraId="017138B9" w14:textId="77777777" w:rsidTr="00A77D77">
        <w:trPr>
          <w:trHeight w:val="443"/>
        </w:trPr>
        <w:tc>
          <w:tcPr>
            <w:tcW w:w="4569" w:type="dxa"/>
          </w:tcPr>
          <w:p w14:paraId="1B03B9E7"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INR</w:t>
            </w:r>
          </w:p>
        </w:tc>
        <w:tc>
          <w:tcPr>
            <w:tcW w:w="3511" w:type="dxa"/>
          </w:tcPr>
          <w:p w14:paraId="78FF9E8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1.2 (1.1-1.4)</w:t>
            </w:r>
          </w:p>
        </w:tc>
      </w:tr>
      <w:tr w:rsidR="00420454" w:rsidRPr="0091360F" w14:paraId="05729A84" w14:textId="77777777" w:rsidTr="00A77D77">
        <w:trPr>
          <w:trHeight w:val="456"/>
        </w:trPr>
        <w:tc>
          <w:tcPr>
            <w:tcW w:w="4569" w:type="dxa"/>
          </w:tcPr>
          <w:p w14:paraId="6F99D3F7"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Total bilirubin (µmol/L)</w:t>
            </w:r>
          </w:p>
        </w:tc>
        <w:tc>
          <w:tcPr>
            <w:tcW w:w="3511" w:type="dxa"/>
          </w:tcPr>
          <w:p w14:paraId="7B65A4DD" w14:textId="0D160BB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22.6</w:t>
            </w:r>
            <w:r w:rsidR="00BB0DC0">
              <w:rPr>
                <w:rFonts w:ascii="Book Antiqua" w:hAnsi="Book Antiqua" w:cs="Times New Roman"/>
                <w:sz w:val="24"/>
                <w:szCs w:val="24"/>
              </w:rPr>
              <w:t xml:space="preserve"> </w:t>
            </w:r>
            <w:r w:rsidRPr="0091360F">
              <w:rPr>
                <w:rFonts w:ascii="Book Antiqua" w:hAnsi="Book Antiqua" w:cs="Times New Roman"/>
                <w:sz w:val="24"/>
                <w:szCs w:val="24"/>
              </w:rPr>
              <w:t>(16.1-34.8)</w:t>
            </w:r>
          </w:p>
        </w:tc>
      </w:tr>
      <w:tr w:rsidR="00420454" w:rsidRPr="0091360F" w14:paraId="54C5890C" w14:textId="77777777" w:rsidTr="00A77D77">
        <w:trPr>
          <w:trHeight w:val="443"/>
        </w:trPr>
        <w:tc>
          <w:tcPr>
            <w:tcW w:w="4569" w:type="dxa"/>
          </w:tcPr>
          <w:p w14:paraId="189E608B"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ALT (IU/L)</w:t>
            </w:r>
          </w:p>
        </w:tc>
        <w:tc>
          <w:tcPr>
            <w:tcW w:w="3511" w:type="dxa"/>
          </w:tcPr>
          <w:p w14:paraId="0EEA7CE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23 (15-38)</w:t>
            </w:r>
          </w:p>
        </w:tc>
      </w:tr>
      <w:tr w:rsidR="00420454" w:rsidRPr="0091360F" w14:paraId="2A7317EF" w14:textId="77777777" w:rsidTr="00A77D77">
        <w:trPr>
          <w:trHeight w:val="456"/>
        </w:trPr>
        <w:tc>
          <w:tcPr>
            <w:tcW w:w="4569" w:type="dxa"/>
          </w:tcPr>
          <w:p w14:paraId="39276BE0" w14:textId="4BE943AD"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AST</w:t>
            </w:r>
            <w:r w:rsidR="00C53B9A">
              <w:rPr>
                <w:rFonts w:ascii="Book Antiqua" w:hAnsi="Book Antiqua" w:cs="Times New Roman"/>
                <w:sz w:val="24"/>
                <w:szCs w:val="24"/>
              </w:rPr>
              <w:t xml:space="preserve"> </w:t>
            </w:r>
            <w:r w:rsidRPr="0091360F">
              <w:rPr>
                <w:rFonts w:ascii="Book Antiqua" w:hAnsi="Book Antiqua" w:cs="Times New Roman"/>
                <w:sz w:val="24"/>
                <w:szCs w:val="24"/>
              </w:rPr>
              <w:t>(IU/L)</w:t>
            </w:r>
          </w:p>
        </w:tc>
        <w:tc>
          <w:tcPr>
            <w:tcW w:w="3511" w:type="dxa"/>
          </w:tcPr>
          <w:p w14:paraId="3862340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35 (25-56)</w:t>
            </w:r>
          </w:p>
        </w:tc>
      </w:tr>
      <w:tr w:rsidR="00420454" w:rsidRPr="0091360F" w14:paraId="14D60161" w14:textId="77777777" w:rsidTr="00A77D77">
        <w:trPr>
          <w:trHeight w:val="443"/>
        </w:trPr>
        <w:tc>
          <w:tcPr>
            <w:tcW w:w="4569" w:type="dxa"/>
          </w:tcPr>
          <w:p w14:paraId="1C69FD6C"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Albumin (g/L)</w:t>
            </w:r>
          </w:p>
        </w:tc>
        <w:tc>
          <w:tcPr>
            <w:tcW w:w="3511" w:type="dxa"/>
          </w:tcPr>
          <w:p w14:paraId="292BEAA8" w14:textId="21CBF500" w:rsidR="00195C97" w:rsidRPr="0091360F" w:rsidRDefault="00195C97" w:rsidP="00420454">
            <w:pPr>
              <w:snapToGrid w:val="0"/>
              <w:spacing w:line="360" w:lineRule="auto"/>
              <w:rPr>
                <w:rFonts w:ascii="Book Antiqua" w:hAnsi="Book Antiqua" w:cs="Times New Roman"/>
                <w:sz w:val="24"/>
                <w:szCs w:val="24"/>
              </w:rPr>
            </w:pPr>
            <w:bookmarkStart w:id="190" w:name="OLE_LINK5"/>
            <w:bookmarkStart w:id="191" w:name="OLE_LINK6"/>
            <w:r w:rsidRPr="0091360F">
              <w:rPr>
                <w:rFonts w:ascii="Book Antiqua" w:hAnsi="Book Antiqua" w:cs="Times New Roman"/>
                <w:sz w:val="24"/>
                <w:szCs w:val="24"/>
              </w:rPr>
              <w:t>31.8</w:t>
            </w:r>
            <w:r w:rsidR="00BB0DC0">
              <w:rPr>
                <w:rFonts w:ascii="Book Antiqua" w:hAnsi="Book Antiqua" w:cs="Times New Roman"/>
                <w:sz w:val="24"/>
                <w:szCs w:val="24"/>
              </w:rPr>
              <w:t xml:space="preserve"> </w:t>
            </w:r>
            <w:r w:rsidRPr="0091360F">
              <w:rPr>
                <w:rFonts w:ascii="Book Antiqua" w:hAnsi="Book Antiqua" w:cs="Times New Roman"/>
                <w:sz w:val="24"/>
                <w:szCs w:val="24"/>
              </w:rPr>
              <w:t>(28.4-35.3)</w:t>
            </w:r>
            <w:bookmarkEnd w:id="190"/>
            <w:bookmarkEnd w:id="191"/>
          </w:p>
        </w:tc>
      </w:tr>
      <w:tr w:rsidR="00420454" w:rsidRPr="0091360F" w14:paraId="6F474BC0" w14:textId="77777777" w:rsidTr="00A77D77">
        <w:trPr>
          <w:trHeight w:val="456"/>
        </w:trPr>
        <w:tc>
          <w:tcPr>
            <w:tcW w:w="4569" w:type="dxa"/>
          </w:tcPr>
          <w:p w14:paraId="70FFB19D"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BUN (mmol/L)</w:t>
            </w:r>
          </w:p>
        </w:tc>
        <w:tc>
          <w:tcPr>
            <w:tcW w:w="3511" w:type="dxa"/>
          </w:tcPr>
          <w:p w14:paraId="1C4DC9E6" w14:textId="2882B71A"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8.7</w:t>
            </w:r>
            <w:r w:rsidR="00BB0DC0">
              <w:rPr>
                <w:rFonts w:ascii="Book Antiqua" w:hAnsi="Book Antiqua" w:cs="Times New Roman"/>
                <w:sz w:val="24"/>
                <w:szCs w:val="24"/>
              </w:rPr>
              <w:t xml:space="preserve"> </w:t>
            </w:r>
            <w:r w:rsidRPr="0091360F">
              <w:rPr>
                <w:rFonts w:ascii="Book Antiqua" w:hAnsi="Book Antiqua" w:cs="Times New Roman"/>
                <w:sz w:val="24"/>
                <w:szCs w:val="24"/>
              </w:rPr>
              <w:t>(6.1-12.4)</w:t>
            </w:r>
          </w:p>
        </w:tc>
      </w:tr>
      <w:tr w:rsidR="00420454" w:rsidRPr="0091360F" w14:paraId="5AFB56C7" w14:textId="77777777" w:rsidTr="00A77D77">
        <w:trPr>
          <w:trHeight w:val="456"/>
        </w:trPr>
        <w:tc>
          <w:tcPr>
            <w:tcW w:w="4569" w:type="dxa"/>
          </w:tcPr>
          <w:p w14:paraId="1D3204BB"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Creatinine (µmol/L)</w:t>
            </w:r>
          </w:p>
        </w:tc>
        <w:tc>
          <w:tcPr>
            <w:tcW w:w="3511" w:type="dxa"/>
          </w:tcPr>
          <w:p w14:paraId="22EC36B4" w14:textId="39B719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62.2</w:t>
            </w:r>
            <w:r w:rsidR="00BB0DC0">
              <w:rPr>
                <w:rFonts w:ascii="Book Antiqua" w:hAnsi="Book Antiqua" w:cs="Times New Roman"/>
                <w:sz w:val="24"/>
                <w:szCs w:val="24"/>
              </w:rPr>
              <w:t xml:space="preserve"> </w:t>
            </w:r>
            <w:r w:rsidRPr="0091360F">
              <w:rPr>
                <w:rFonts w:ascii="Book Antiqua" w:hAnsi="Book Antiqua" w:cs="Times New Roman"/>
                <w:sz w:val="24"/>
                <w:szCs w:val="24"/>
              </w:rPr>
              <w:t>(48.5-77.2)</w:t>
            </w:r>
          </w:p>
        </w:tc>
      </w:tr>
      <w:tr w:rsidR="00420454" w:rsidRPr="0091360F" w14:paraId="18F2F22E" w14:textId="77777777" w:rsidTr="00A77D77">
        <w:trPr>
          <w:trHeight w:val="443"/>
        </w:trPr>
        <w:tc>
          <w:tcPr>
            <w:tcW w:w="4569" w:type="dxa"/>
          </w:tcPr>
          <w:p w14:paraId="773D03C1" w14:textId="1015A12B"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Sodium</w:t>
            </w:r>
            <w:r w:rsidR="00226716">
              <w:rPr>
                <w:rFonts w:ascii="Book Antiqua" w:hAnsi="Book Antiqua" w:cs="Times New Roman"/>
                <w:sz w:val="24"/>
                <w:szCs w:val="24"/>
              </w:rPr>
              <w:t xml:space="preserve"> </w:t>
            </w:r>
            <w:r w:rsidRPr="0091360F">
              <w:rPr>
                <w:rFonts w:ascii="Book Antiqua" w:hAnsi="Book Antiqua" w:cs="Times New Roman"/>
                <w:sz w:val="24"/>
                <w:szCs w:val="24"/>
              </w:rPr>
              <w:t>(mmol/L)</w:t>
            </w:r>
          </w:p>
        </w:tc>
        <w:tc>
          <w:tcPr>
            <w:tcW w:w="3511" w:type="dxa"/>
          </w:tcPr>
          <w:p w14:paraId="7AC5FFCA" w14:textId="4058CCD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138.0</w:t>
            </w:r>
            <w:r w:rsidR="00BB0DC0">
              <w:rPr>
                <w:rFonts w:ascii="Book Antiqua" w:hAnsi="Book Antiqua" w:cs="Times New Roman"/>
                <w:sz w:val="24"/>
                <w:szCs w:val="24"/>
              </w:rPr>
              <w:t xml:space="preserve"> </w:t>
            </w:r>
            <w:r w:rsidRPr="0091360F">
              <w:rPr>
                <w:rFonts w:ascii="Book Antiqua" w:hAnsi="Book Antiqua" w:cs="Times New Roman"/>
                <w:sz w:val="24"/>
                <w:szCs w:val="24"/>
              </w:rPr>
              <w:t>(134.9-140.3)</w:t>
            </w:r>
          </w:p>
        </w:tc>
      </w:tr>
      <w:tr w:rsidR="00420454" w:rsidRPr="0091360F" w14:paraId="68B17A5F" w14:textId="77777777" w:rsidTr="00A77D77">
        <w:trPr>
          <w:trHeight w:val="456"/>
        </w:trPr>
        <w:tc>
          <w:tcPr>
            <w:tcW w:w="4569" w:type="dxa"/>
          </w:tcPr>
          <w:p w14:paraId="3B4183B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Vital signs, median (IQR)</w:t>
            </w:r>
          </w:p>
        </w:tc>
        <w:tc>
          <w:tcPr>
            <w:tcW w:w="3511" w:type="dxa"/>
          </w:tcPr>
          <w:p w14:paraId="5B65BA85" w14:textId="77777777" w:rsidR="00195C97" w:rsidRPr="0091360F" w:rsidRDefault="00195C97" w:rsidP="00420454">
            <w:pPr>
              <w:snapToGrid w:val="0"/>
              <w:spacing w:line="360" w:lineRule="auto"/>
              <w:rPr>
                <w:rFonts w:ascii="Book Antiqua" w:hAnsi="Book Antiqua" w:cs="Times New Roman"/>
                <w:sz w:val="24"/>
                <w:szCs w:val="24"/>
              </w:rPr>
            </w:pPr>
          </w:p>
        </w:tc>
      </w:tr>
      <w:tr w:rsidR="00420454" w:rsidRPr="0091360F" w14:paraId="2939F5A6" w14:textId="77777777" w:rsidTr="00A77D77">
        <w:trPr>
          <w:trHeight w:val="443"/>
        </w:trPr>
        <w:tc>
          <w:tcPr>
            <w:tcW w:w="4569" w:type="dxa"/>
          </w:tcPr>
          <w:p w14:paraId="7BB08A97"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SBP (mmHg)</w:t>
            </w:r>
          </w:p>
        </w:tc>
        <w:tc>
          <w:tcPr>
            <w:tcW w:w="3511" w:type="dxa"/>
          </w:tcPr>
          <w:p w14:paraId="3EC1BB44" w14:textId="118C6CE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110</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(98-120)</w:t>
            </w:r>
          </w:p>
        </w:tc>
      </w:tr>
      <w:tr w:rsidR="00420454" w:rsidRPr="0091360F" w14:paraId="755468C5" w14:textId="77777777" w:rsidTr="00A77D77">
        <w:trPr>
          <w:trHeight w:val="456"/>
        </w:trPr>
        <w:tc>
          <w:tcPr>
            <w:tcW w:w="4569" w:type="dxa"/>
          </w:tcPr>
          <w:p w14:paraId="2F91A1E5"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DBP (mmHg)</w:t>
            </w:r>
          </w:p>
        </w:tc>
        <w:tc>
          <w:tcPr>
            <w:tcW w:w="3511" w:type="dxa"/>
          </w:tcPr>
          <w:p w14:paraId="00FC97B3" w14:textId="5339F00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65</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(57-72)</w:t>
            </w:r>
          </w:p>
        </w:tc>
      </w:tr>
      <w:tr w:rsidR="00420454" w:rsidRPr="0091360F" w14:paraId="37FADABE" w14:textId="77777777" w:rsidTr="00A77D77">
        <w:trPr>
          <w:trHeight w:val="443"/>
        </w:trPr>
        <w:tc>
          <w:tcPr>
            <w:tcW w:w="4569" w:type="dxa"/>
          </w:tcPr>
          <w:p w14:paraId="424436FE"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 xml:space="preserve">Heart rate </w:t>
            </w:r>
            <w:bookmarkStart w:id="192" w:name="OLE_LINK3"/>
            <w:bookmarkStart w:id="193" w:name="OLE_LINK4"/>
            <w:r w:rsidRPr="0091360F">
              <w:rPr>
                <w:rFonts w:ascii="Book Antiqua" w:hAnsi="Book Antiqua" w:cs="Times New Roman"/>
                <w:sz w:val="24"/>
                <w:szCs w:val="24"/>
              </w:rPr>
              <w:t>(beats/min)</w:t>
            </w:r>
            <w:bookmarkEnd w:id="192"/>
            <w:bookmarkEnd w:id="193"/>
          </w:p>
        </w:tc>
        <w:tc>
          <w:tcPr>
            <w:tcW w:w="3511" w:type="dxa"/>
          </w:tcPr>
          <w:p w14:paraId="4DFE832B" w14:textId="70BABCF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88</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(76-101)</w:t>
            </w:r>
          </w:p>
        </w:tc>
      </w:tr>
      <w:tr w:rsidR="00420454" w:rsidRPr="0091360F" w14:paraId="4A8D9305" w14:textId="77777777" w:rsidTr="00A77D77">
        <w:trPr>
          <w:trHeight w:val="456"/>
        </w:trPr>
        <w:tc>
          <w:tcPr>
            <w:tcW w:w="4569" w:type="dxa"/>
          </w:tcPr>
          <w:p w14:paraId="2DA687DC" w14:textId="06596A9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Location of variceal bleeding</w:t>
            </w:r>
            <w:r w:rsidR="00AB2C09" w:rsidRPr="0091360F">
              <w:rPr>
                <w:rFonts w:ascii="Book Antiqua" w:hAnsi="Book Antiqua" w:cs="Times New Roman"/>
                <w:sz w:val="24"/>
                <w:szCs w:val="24"/>
              </w:rPr>
              <w:t xml:space="preserve">,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68B6DEC8" w14:textId="77777777" w:rsidR="00195C97" w:rsidRPr="0091360F" w:rsidRDefault="00195C97" w:rsidP="00420454">
            <w:pPr>
              <w:snapToGrid w:val="0"/>
              <w:spacing w:line="360" w:lineRule="auto"/>
              <w:rPr>
                <w:rFonts w:ascii="Book Antiqua" w:hAnsi="Book Antiqua" w:cs="Times New Roman"/>
                <w:sz w:val="24"/>
                <w:szCs w:val="24"/>
              </w:rPr>
            </w:pPr>
          </w:p>
        </w:tc>
      </w:tr>
      <w:tr w:rsidR="00420454" w:rsidRPr="0091360F" w14:paraId="2547B5DD" w14:textId="77777777" w:rsidTr="00A77D77">
        <w:trPr>
          <w:trHeight w:val="443"/>
        </w:trPr>
        <w:tc>
          <w:tcPr>
            <w:tcW w:w="4569" w:type="dxa"/>
          </w:tcPr>
          <w:p w14:paraId="344E0407" w14:textId="3D3E896C"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Esophageal varices</w:t>
            </w:r>
          </w:p>
        </w:tc>
        <w:tc>
          <w:tcPr>
            <w:tcW w:w="3511" w:type="dxa"/>
          </w:tcPr>
          <w:p w14:paraId="2FFD58E2" w14:textId="46EF7FC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295</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(89.4)</w:t>
            </w:r>
          </w:p>
        </w:tc>
      </w:tr>
      <w:tr w:rsidR="00420454" w:rsidRPr="0091360F" w14:paraId="050372DF" w14:textId="77777777" w:rsidTr="00A77D77">
        <w:trPr>
          <w:trHeight w:val="456"/>
        </w:trPr>
        <w:tc>
          <w:tcPr>
            <w:tcW w:w="4569" w:type="dxa"/>
          </w:tcPr>
          <w:p w14:paraId="47A66CDE" w14:textId="2F5A7B72"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Gastric</w:t>
            </w:r>
            <w:r w:rsidRPr="0091360F">
              <w:rPr>
                <w:rFonts w:ascii="Book Antiqua" w:hAnsi="Book Antiqua"/>
                <w:sz w:val="24"/>
                <w:szCs w:val="24"/>
              </w:rPr>
              <w:t xml:space="preserve"> </w:t>
            </w:r>
            <w:r w:rsidRPr="0091360F">
              <w:rPr>
                <w:rFonts w:ascii="Book Antiqua" w:hAnsi="Book Antiqua" w:cs="Times New Roman"/>
                <w:sz w:val="24"/>
                <w:szCs w:val="24"/>
              </w:rPr>
              <w:t>varices</w:t>
            </w:r>
          </w:p>
        </w:tc>
        <w:tc>
          <w:tcPr>
            <w:tcW w:w="3511" w:type="dxa"/>
          </w:tcPr>
          <w:p w14:paraId="56AB4F06" w14:textId="6D05FCD6"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35</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(10.6)</w:t>
            </w:r>
          </w:p>
        </w:tc>
      </w:tr>
      <w:tr w:rsidR="00420454" w:rsidRPr="0091360F" w14:paraId="59E500B6" w14:textId="77777777" w:rsidTr="00A77D77">
        <w:trPr>
          <w:trHeight w:val="443"/>
        </w:trPr>
        <w:tc>
          <w:tcPr>
            <w:tcW w:w="4569" w:type="dxa"/>
          </w:tcPr>
          <w:p w14:paraId="23A0C25F" w14:textId="471B0E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Grading of esophageal varices</w:t>
            </w:r>
          </w:p>
        </w:tc>
        <w:tc>
          <w:tcPr>
            <w:tcW w:w="3511" w:type="dxa"/>
          </w:tcPr>
          <w:p w14:paraId="694D69E9" w14:textId="77777777" w:rsidR="00A37A79" w:rsidRPr="0091360F" w:rsidRDefault="00A37A79" w:rsidP="00420454">
            <w:pPr>
              <w:snapToGrid w:val="0"/>
              <w:spacing w:line="360" w:lineRule="auto"/>
              <w:rPr>
                <w:rFonts w:ascii="Book Antiqua" w:hAnsi="Book Antiqua" w:cs="Times New Roman"/>
                <w:sz w:val="24"/>
                <w:szCs w:val="24"/>
              </w:rPr>
            </w:pPr>
          </w:p>
        </w:tc>
      </w:tr>
      <w:tr w:rsidR="00420454" w:rsidRPr="0091360F" w14:paraId="0CB5202A" w14:textId="77777777" w:rsidTr="00A77D77">
        <w:trPr>
          <w:trHeight w:val="456"/>
        </w:trPr>
        <w:tc>
          <w:tcPr>
            <w:tcW w:w="4569" w:type="dxa"/>
          </w:tcPr>
          <w:p w14:paraId="2363EB68" w14:textId="7406D64D"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lastRenderedPageBreak/>
              <w:t>Mild/</w:t>
            </w:r>
            <w:r w:rsidRPr="0091360F">
              <w:rPr>
                <w:rFonts w:ascii="Book Antiqua" w:hAnsi="Book Antiqua"/>
                <w:sz w:val="24"/>
                <w:szCs w:val="24"/>
              </w:rPr>
              <w:t xml:space="preserve"> </w:t>
            </w:r>
            <w:r w:rsidRPr="0091360F">
              <w:rPr>
                <w:rFonts w:ascii="Book Antiqua" w:hAnsi="Book Antiqua" w:cs="Times New Roman"/>
                <w:sz w:val="24"/>
                <w:szCs w:val="24"/>
              </w:rPr>
              <w:t xml:space="preserve">moderate/severe, </w:t>
            </w:r>
            <w:r w:rsidRPr="00C53B9A">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4B4AB957" w14:textId="5ABD0280"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(0.7)/44</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(14.9)/249</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(84.4)</w:t>
            </w:r>
          </w:p>
        </w:tc>
      </w:tr>
      <w:tr w:rsidR="00420454" w:rsidRPr="0091360F" w14:paraId="4F9839E8" w14:textId="77777777" w:rsidTr="00A77D77">
        <w:trPr>
          <w:trHeight w:val="443"/>
        </w:trPr>
        <w:tc>
          <w:tcPr>
            <w:tcW w:w="4569" w:type="dxa"/>
          </w:tcPr>
          <w:p w14:paraId="627A0AB6" w14:textId="25D79F03"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Types of gastric varices</w:t>
            </w:r>
          </w:p>
        </w:tc>
        <w:tc>
          <w:tcPr>
            <w:tcW w:w="3511" w:type="dxa"/>
          </w:tcPr>
          <w:p w14:paraId="7EF9C8C5" w14:textId="77777777" w:rsidR="00A37A79" w:rsidRPr="0091360F" w:rsidRDefault="00A37A79" w:rsidP="00420454">
            <w:pPr>
              <w:snapToGrid w:val="0"/>
              <w:spacing w:line="360" w:lineRule="auto"/>
              <w:rPr>
                <w:rFonts w:ascii="Book Antiqua" w:hAnsi="Book Antiqua" w:cs="Times New Roman"/>
                <w:sz w:val="24"/>
                <w:szCs w:val="24"/>
              </w:rPr>
            </w:pPr>
          </w:p>
        </w:tc>
      </w:tr>
      <w:tr w:rsidR="00420454" w:rsidRPr="0091360F" w14:paraId="440CF8BA" w14:textId="77777777" w:rsidTr="00A77D77">
        <w:trPr>
          <w:trHeight w:val="456"/>
        </w:trPr>
        <w:tc>
          <w:tcPr>
            <w:tcW w:w="4569" w:type="dxa"/>
          </w:tcPr>
          <w:p w14:paraId="3C3C4428" w14:textId="5BFC0789"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GOV2/IGV1,</w:t>
            </w:r>
            <w:r w:rsidRPr="0091360F">
              <w:rPr>
                <w:rFonts w:ascii="Book Antiqua" w:hAnsi="Book Antiqua"/>
                <w:sz w:val="24"/>
                <w:szCs w:val="24"/>
              </w:rPr>
              <w:t xml:space="preserve"> </w:t>
            </w:r>
            <w:r w:rsidRPr="0091360F">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6F0F967C" w14:textId="7EAD8B30"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(62.9)/13</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(37.1)</w:t>
            </w:r>
          </w:p>
        </w:tc>
      </w:tr>
      <w:tr w:rsidR="00420454" w:rsidRPr="0091360F" w14:paraId="6637B353" w14:textId="77777777" w:rsidTr="00A77D77">
        <w:trPr>
          <w:trHeight w:val="443"/>
        </w:trPr>
        <w:tc>
          <w:tcPr>
            <w:tcW w:w="4569" w:type="dxa"/>
          </w:tcPr>
          <w:p w14:paraId="4B189801" w14:textId="743EAC4B"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Ascites,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098C4B76" w14:textId="62C1A1A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233</w:t>
            </w:r>
            <w:bookmarkStart w:id="194" w:name="OLE_LINK7"/>
            <w:bookmarkStart w:id="195" w:name="OLE_LINK8"/>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(70.6)</w:t>
            </w:r>
            <w:bookmarkEnd w:id="194"/>
            <w:bookmarkEnd w:id="195"/>
          </w:p>
        </w:tc>
      </w:tr>
      <w:tr w:rsidR="00420454" w:rsidRPr="0091360F" w14:paraId="7E6352FB" w14:textId="77777777" w:rsidTr="00A77D77">
        <w:trPr>
          <w:trHeight w:val="456"/>
        </w:trPr>
        <w:tc>
          <w:tcPr>
            <w:tcW w:w="4569" w:type="dxa"/>
          </w:tcPr>
          <w:p w14:paraId="01E75F9B" w14:textId="66F80774"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Hepatic encephalopathy,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244B78BB" w14:textId="39636F31"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28</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(8.5)</w:t>
            </w:r>
          </w:p>
        </w:tc>
      </w:tr>
      <w:tr w:rsidR="00420454" w:rsidRPr="0091360F" w14:paraId="6EFC2B15" w14:textId="77777777" w:rsidTr="00A77D77">
        <w:trPr>
          <w:trHeight w:val="443"/>
        </w:trPr>
        <w:tc>
          <w:tcPr>
            <w:tcW w:w="4569" w:type="dxa"/>
          </w:tcPr>
          <w:p w14:paraId="43736F1B" w14:textId="26673CD7"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Hepatocellular carcinoma,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3E7A2577" w14:textId="36AD7761"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73</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(22.1)</w:t>
            </w:r>
          </w:p>
        </w:tc>
      </w:tr>
      <w:tr w:rsidR="00420454" w:rsidRPr="0091360F" w14:paraId="25D2D9A2" w14:textId="77777777" w:rsidTr="00A77D77">
        <w:trPr>
          <w:trHeight w:val="456"/>
        </w:trPr>
        <w:tc>
          <w:tcPr>
            <w:tcW w:w="4569" w:type="dxa"/>
          </w:tcPr>
          <w:p w14:paraId="5B0DB133" w14:textId="4C5F4ADF"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Bacterial infection,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3753D303" w14:textId="37C99024"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63</w:t>
            </w:r>
            <w:bookmarkStart w:id="196" w:name="OLE_LINK9"/>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(19.1)</w:t>
            </w:r>
            <w:bookmarkEnd w:id="196"/>
          </w:p>
        </w:tc>
      </w:tr>
      <w:tr w:rsidR="00420454" w:rsidRPr="0091360F" w14:paraId="1165F815" w14:textId="77777777" w:rsidTr="00A77D77">
        <w:trPr>
          <w:trHeight w:val="443"/>
        </w:trPr>
        <w:tc>
          <w:tcPr>
            <w:tcW w:w="4569" w:type="dxa"/>
          </w:tcPr>
          <w:p w14:paraId="24F3D087" w14:textId="60A3DE10"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Portal vein thrombosis,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3893991E" w14:textId="4AAB8EFE"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97</w:t>
            </w:r>
            <w:bookmarkStart w:id="197" w:name="OLE_LINK11"/>
            <w:bookmarkStart w:id="198" w:name="OLE_LINK12"/>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(29.4)</w:t>
            </w:r>
            <w:bookmarkEnd w:id="197"/>
            <w:bookmarkEnd w:id="198"/>
          </w:p>
        </w:tc>
      </w:tr>
      <w:tr w:rsidR="00420454" w:rsidRPr="0091360F" w14:paraId="64D0C445" w14:textId="77777777" w:rsidTr="00A77D77">
        <w:trPr>
          <w:trHeight w:val="456"/>
        </w:trPr>
        <w:tc>
          <w:tcPr>
            <w:tcW w:w="4569" w:type="dxa"/>
          </w:tcPr>
          <w:p w14:paraId="0FEAEB7D" w14:textId="60177018"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Hospital intervention,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4258D42E" w14:textId="77777777" w:rsidR="00A37A79" w:rsidRPr="0091360F" w:rsidRDefault="00A37A79" w:rsidP="00420454">
            <w:pPr>
              <w:snapToGrid w:val="0"/>
              <w:spacing w:line="360" w:lineRule="auto"/>
              <w:rPr>
                <w:rFonts w:ascii="Book Antiqua" w:hAnsi="Book Antiqua" w:cs="Times New Roman"/>
                <w:sz w:val="24"/>
                <w:szCs w:val="24"/>
              </w:rPr>
            </w:pPr>
          </w:p>
        </w:tc>
      </w:tr>
      <w:tr w:rsidR="00420454" w:rsidRPr="0091360F" w14:paraId="28516505" w14:textId="77777777" w:rsidTr="00A77D77">
        <w:trPr>
          <w:trHeight w:val="443"/>
        </w:trPr>
        <w:tc>
          <w:tcPr>
            <w:tcW w:w="4569" w:type="dxa"/>
          </w:tcPr>
          <w:p w14:paraId="380689EC" w14:textId="77777777"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Endoscopic therapy</w:t>
            </w:r>
          </w:p>
        </w:tc>
        <w:tc>
          <w:tcPr>
            <w:tcW w:w="3511" w:type="dxa"/>
          </w:tcPr>
          <w:p w14:paraId="6DE5EA10" w14:textId="29B70915"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141</w:t>
            </w:r>
            <w:r w:rsidR="00BB0DC0">
              <w:rPr>
                <w:rFonts w:ascii="Book Antiqua" w:hAnsi="Book Antiqua" w:cs="Times New Roman"/>
                <w:sz w:val="24"/>
                <w:szCs w:val="24"/>
              </w:rPr>
              <w:t xml:space="preserve"> </w:t>
            </w:r>
            <w:r w:rsidRPr="0091360F">
              <w:rPr>
                <w:rFonts w:ascii="Book Antiqua" w:hAnsi="Book Antiqua" w:cs="Times New Roman"/>
                <w:sz w:val="24"/>
                <w:szCs w:val="24"/>
              </w:rPr>
              <w:t>(42.7)</w:t>
            </w:r>
            <w:bookmarkStart w:id="199" w:name="_GoBack"/>
            <w:bookmarkEnd w:id="199"/>
          </w:p>
        </w:tc>
      </w:tr>
      <w:tr w:rsidR="00420454" w:rsidRPr="0091360F" w14:paraId="0EAD4576" w14:textId="77777777" w:rsidTr="00A77D77">
        <w:trPr>
          <w:trHeight w:val="456"/>
        </w:trPr>
        <w:tc>
          <w:tcPr>
            <w:tcW w:w="4569" w:type="dxa"/>
          </w:tcPr>
          <w:p w14:paraId="559D385F" w14:textId="77777777"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TIPSS</w:t>
            </w:r>
          </w:p>
        </w:tc>
        <w:tc>
          <w:tcPr>
            <w:tcW w:w="3511" w:type="dxa"/>
          </w:tcPr>
          <w:p w14:paraId="0B888043" w14:textId="6DE42E36"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21</w:t>
            </w:r>
            <w:r w:rsidR="00BB0DC0">
              <w:rPr>
                <w:rFonts w:ascii="Book Antiqua" w:hAnsi="Book Antiqua" w:cs="Times New Roman"/>
                <w:sz w:val="24"/>
                <w:szCs w:val="24"/>
              </w:rPr>
              <w:t xml:space="preserve"> </w:t>
            </w:r>
            <w:r w:rsidRPr="0091360F">
              <w:rPr>
                <w:rFonts w:ascii="Book Antiqua" w:hAnsi="Book Antiqua" w:cs="Times New Roman"/>
                <w:sz w:val="24"/>
                <w:szCs w:val="24"/>
              </w:rPr>
              <w:t>(6.4)</w:t>
            </w:r>
          </w:p>
        </w:tc>
      </w:tr>
      <w:tr w:rsidR="00420454" w:rsidRPr="0091360F" w14:paraId="0785AD5E" w14:textId="77777777" w:rsidTr="00A77D77">
        <w:trPr>
          <w:trHeight w:val="443"/>
        </w:trPr>
        <w:tc>
          <w:tcPr>
            <w:tcW w:w="4569" w:type="dxa"/>
          </w:tcPr>
          <w:p w14:paraId="284E7F68" w14:textId="77777777"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Surgery</w:t>
            </w:r>
          </w:p>
        </w:tc>
        <w:tc>
          <w:tcPr>
            <w:tcW w:w="3511" w:type="dxa"/>
          </w:tcPr>
          <w:p w14:paraId="667A93D1" w14:textId="65CDC7AC"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21</w:t>
            </w:r>
            <w:bookmarkStart w:id="200" w:name="OLE_LINK13"/>
            <w:bookmarkStart w:id="201" w:name="OLE_LINK14"/>
            <w:r w:rsidR="00BB0DC0">
              <w:rPr>
                <w:rFonts w:ascii="Book Antiqua" w:hAnsi="Book Antiqua" w:cs="Times New Roman"/>
                <w:sz w:val="24"/>
                <w:szCs w:val="24"/>
              </w:rPr>
              <w:t xml:space="preserve"> </w:t>
            </w:r>
            <w:r w:rsidRPr="0091360F">
              <w:rPr>
                <w:rFonts w:ascii="Book Antiqua" w:hAnsi="Book Antiqua" w:cs="Times New Roman"/>
                <w:sz w:val="24"/>
                <w:szCs w:val="24"/>
              </w:rPr>
              <w:t>(6.4)</w:t>
            </w:r>
            <w:bookmarkEnd w:id="200"/>
            <w:bookmarkEnd w:id="201"/>
          </w:p>
        </w:tc>
      </w:tr>
      <w:tr w:rsidR="00420454" w:rsidRPr="0091360F" w14:paraId="10D1716A" w14:textId="77777777" w:rsidTr="00A77D77">
        <w:trPr>
          <w:trHeight w:val="267"/>
        </w:trPr>
        <w:tc>
          <w:tcPr>
            <w:tcW w:w="4569" w:type="dxa"/>
          </w:tcPr>
          <w:p w14:paraId="2E58ACF7" w14:textId="33D91A32"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Charlson comorbidity index</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 xml:space="preserve">6, </w:t>
            </w:r>
            <w:r w:rsidRPr="0091360F">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1AF053F4" w14:textId="22720DA5"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45</w:t>
            </w:r>
            <w:r w:rsidR="00BB0DC0">
              <w:rPr>
                <w:rFonts w:ascii="Book Antiqua" w:hAnsi="Book Antiqua" w:cs="Times New Roman"/>
                <w:sz w:val="24"/>
                <w:szCs w:val="24"/>
              </w:rPr>
              <w:t xml:space="preserve"> </w:t>
            </w:r>
            <w:r w:rsidRPr="0091360F">
              <w:rPr>
                <w:rFonts w:ascii="Book Antiqua" w:hAnsi="Book Antiqua" w:cs="Times New Roman"/>
                <w:sz w:val="24"/>
                <w:szCs w:val="24"/>
              </w:rPr>
              <w:t>(13.6)</w:t>
            </w:r>
          </w:p>
        </w:tc>
      </w:tr>
      <w:tr w:rsidR="00420454" w:rsidRPr="0091360F" w14:paraId="0CB81439" w14:textId="77777777" w:rsidTr="00A77D77">
        <w:trPr>
          <w:trHeight w:val="443"/>
        </w:trPr>
        <w:tc>
          <w:tcPr>
            <w:tcW w:w="4569" w:type="dxa"/>
          </w:tcPr>
          <w:p w14:paraId="4DF8A4B5" w14:textId="5BE76AE2"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Hospital stay</w:t>
            </w:r>
            <w:r w:rsidR="00226716">
              <w:rPr>
                <w:rFonts w:ascii="Book Antiqua" w:hAnsi="Book Antiqua" w:cs="Times New Roman"/>
                <w:sz w:val="24"/>
                <w:szCs w:val="24"/>
              </w:rPr>
              <w:t xml:space="preserve"> </w:t>
            </w:r>
            <w:r w:rsidRPr="0091360F">
              <w:rPr>
                <w:rFonts w:ascii="Book Antiqua" w:hAnsi="Book Antiqua" w:cs="Times New Roman"/>
                <w:sz w:val="24"/>
                <w:szCs w:val="24"/>
              </w:rPr>
              <w:t>(d), median (IQR)</w:t>
            </w:r>
          </w:p>
        </w:tc>
        <w:tc>
          <w:tcPr>
            <w:tcW w:w="3511" w:type="dxa"/>
          </w:tcPr>
          <w:p w14:paraId="56D38C3E"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13 (9-20)</w:t>
            </w:r>
          </w:p>
        </w:tc>
      </w:tr>
      <w:tr w:rsidR="00420454" w:rsidRPr="0091360F" w14:paraId="68B3EB26" w14:textId="77777777" w:rsidTr="00A77D77">
        <w:trPr>
          <w:trHeight w:val="456"/>
        </w:trPr>
        <w:tc>
          <w:tcPr>
            <w:tcW w:w="4569" w:type="dxa"/>
          </w:tcPr>
          <w:p w14:paraId="0CEC7F30"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Scoring system, median (IQR)</w:t>
            </w:r>
          </w:p>
        </w:tc>
        <w:tc>
          <w:tcPr>
            <w:tcW w:w="3511" w:type="dxa"/>
          </w:tcPr>
          <w:p w14:paraId="67D81BEB" w14:textId="77777777" w:rsidR="00A37A79" w:rsidRPr="0091360F" w:rsidRDefault="00A37A79" w:rsidP="00420454">
            <w:pPr>
              <w:snapToGrid w:val="0"/>
              <w:spacing w:line="360" w:lineRule="auto"/>
              <w:rPr>
                <w:rFonts w:ascii="Book Antiqua" w:hAnsi="Book Antiqua" w:cs="Times New Roman"/>
                <w:sz w:val="24"/>
                <w:szCs w:val="24"/>
              </w:rPr>
            </w:pPr>
          </w:p>
        </w:tc>
      </w:tr>
      <w:tr w:rsidR="00420454" w:rsidRPr="0091360F" w14:paraId="1EE28A43" w14:textId="77777777" w:rsidTr="00A77D77">
        <w:trPr>
          <w:trHeight w:val="443"/>
        </w:trPr>
        <w:tc>
          <w:tcPr>
            <w:tcW w:w="4569" w:type="dxa"/>
          </w:tcPr>
          <w:p w14:paraId="5950F668" w14:textId="19FB914C" w:rsidR="00A37A79" w:rsidRPr="00D51DE3" w:rsidRDefault="00803620" w:rsidP="00420454">
            <w:pPr>
              <w:snapToGrid w:val="0"/>
              <w:spacing w:line="360" w:lineRule="auto"/>
              <w:rPr>
                <w:rFonts w:ascii="Book Antiqua" w:hAnsi="Book Antiqua" w:cs="Times New Roman"/>
                <w:color w:val="000000" w:themeColor="text1"/>
                <w:sz w:val="24"/>
                <w:szCs w:val="24"/>
              </w:rPr>
            </w:pPr>
            <w:r w:rsidRPr="00D51DE3">
              <w:rPr>
                <w:rFonts w:ascii="Book Antiqua" w:hAnsi="Book Antiqua" w:cs="Times New Roman"/>
                <w:color w:val="000000" w:themeColor="text1"/>
                <w:sz w:val="24"/>
                <w:szCs w:val="24"/>
              </w:rPr>
              <w:t>CTP</w:t>
            </w:r>
          </w:p>
        </w:tc>
        <w:tc>
          <w:tcPr>
            <w:tcW w:w="3511" w:type="dxa"/>
          </w:tcPr>
          <w:p w14:paraId="1209D950" w14:textId="746E5674"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(6-9)</w:t>
            </w:r>
          </w:p>
        </w:tc>
      </w:tr>
      <w:tr w:rsidR="00420454" w:rsidRPr="0091360F" w14:paraId="41736412" w14:textId="77777777" w:rsidTr="00A77D77">
        <w:trPr>
          <w:trHeight w:val="456"/>
        </w:trPr>
        <w:tc>
          <w:tcPr>
            <w:tcW w:w="4569" w:type="dxa"/>
          </w:tcPr>
          <w:p w14:paraId="73DEE8A7" w14:textId="6301C37C" w:rsidR="00A37A79" w:rsidRPr="00D51DE3" w:rsidRDefault="00803620" w:rsidP="00420454">
            <w:pPr>
              <w:snapToGrid w:val="0"/>
              <w:spacing w:line="360" w:lineRule="auto"/>
              <w:rPr>
                <w:rFonts w:ascii="Book Antiqua" w:hAnsi="Book Antiqua" w:cs="Times New Roman"/>
                <w:color w:val="000000" w:themeColor="text1"/>
                <w:sz w:val="24"/>
                <w:szCs w:val="24"/>
              </w:rPr>
            </w:pPr>
            <w:r w:rsidRPr="00D51DE3">
              <w:rPr>
                <w:rFonts w:ascii="Book Antiqua" w:hAnsi="Book Antiqua" w:cs="Times New Roman"/>
                <w:color w:val="000000" w:themeColor="text1"/>
                <w:sz w:val="24"/>
                <w:szCs w:val="24"/>
              </w:rPr>
              <w:t>CTP</w:t>
            </w:r>
            <w:r w:rsidR="00A37A79" w:rsidRPr="00D51DE3">
              <w:rPr>
                <w:rFonts w:ascii="Book Antiqua" w:hAnsi="Book Antiqua" w:cs="Times New Roman"/>
                <w:color w:val="000000" w:themeColor="text1"/>
                <w:sz w:val="24"/>
                <w:szCs w:val="24"/>
              </w:rPr>
              <w:t xml:space="preserve"> grade A/B/C,</w:t>
            </w:r>
            <w:r w:rsidR="00A37A79" w:rsidRPr="00D51DE3">
              <w:rPr>
                <w:rFonts w:ascii="Book Antiqua" w:hAnsi="Book Antiqua"/>
                <w:color w:val="000000" w:themeColor="text1"/>
                <w:sz w:val="24"/>
                <w:szCs w:val="24"/>
              </w:rPr>
              <w:t xml:space="preserve"> </w:t>
            </w:r>
            <w:r w:rsidR="00A37A79" w:rsidRPr="00D51DE3">
              <w:rPr>
                <w:rFonts w:ascii="Book Antiqua" w:hAnsi="Book Antiqua" w:cs="Times New Roman"/>
                <w:i/>
                <w:iCs/>
                <w:color w:val="000000" w:themeColor="text1"/>
                <w:sz w:val="24"/>
                <w:szCs w:val="24"/>
              </w:rPr>
              <w:t>n</w:t>
            </w:r>
            <w:r w:rsidR="00A37A79" w:rsidRPr="00D51DE3">
              <w:rPr>
                <w:rFonts w:ascii="Book Antiqua" w:hAnsi="Book Antiqua" w:cs="Times New Roman"/>
                <w:color w:val="000000" w:themeColor="text1"/>
                <w:sz w:val="24"/>
                <w:szCs w:val="24"/>
              </w:rPr>
              <w:t xml:space="preserve"> (%)</w:t>
            </w:r>
          </w:p>
        </w:tc>
        <w:tc>
          <w:tcPr>
            <w:tcW w:w="3511" w:type="dxa"/>
          </w:tcPr>
          <w:p w14:paraId="49905756" w14:textId="72BBB1E0"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101</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(30.6)/187</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(56.7)/42</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(12.7)</w:t>
            </w:r>
          </w:p>
        </w:tc>
      </w:tr>
      <w:tr w:rsidR="00420454" w:rsidRPr="0091360F" w14:paraId="5F3F7C74" w14:textId="77777777" w:rsidTr="00A77D77">
        <w:trPr>
          <w:trHeight w:val="443"/>
        </w:trPr>
        <w:tc>
          <w:tcPr>
            <w:tcW w:w="4569" w:type="dxa"/>
          </w:tcPr>
          <w:p w14:paraId="02D2DA9D"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MELD</w:t>
            </w:r>
          </w:p>
        </w:tc>
        <w:tc>
          <w:tcPr>
            <w:tcW w:w="3511" w:type="dxa"/>
          </w:tcPr>
          <w:p w14:paraId="6E1964DE"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10 (9-13)</w:t>
            </w:r>
          </w:p>
        </w:tc>
      </w:tr>
      <w:tr w:rsidR="00420454" w:rsidRPr="0091360F" w14:paraId="60403155" w14:textId="77777777" w:rsidTr="00A77D77">
        <w:trPr>
          <w:trHeight w:val="456"/>
        </w:trPr>
        <w:tc>
          <w:tcPr>
            <w:tcW w:w="4569" w:type="dxa"/>
          </w:tcPr>
          <w:p w14:paraId="21965CF6"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MELD-Na</w:t>
            </w:r>
          </w:p>
        </w:tc>
        <w:tc>
          <w:tcPr>
            <w:tcW w:w="3511" w:type="dxa"/>
          </w:tcPr>
          <w:p w14:paraId="207915A5" w14:textId="77777777" w:rsidR="00A37A79" w:rsidRPr="0091360F" w:rsidRDefault="00A37A79" w:rsidP="00420454">
            <w:pPr>
              <w:snapToGrid w:val="0"/>
              <w:spacing w:line="360" w:lineRule="auto"/>
              <w:rPr>
                <w:rFonts w:ascii="Book Antiqua" w:hAnsi="Book Antiqua" w:cs="Times New Roman"/>
                <w:sz w:val="24"/>
                <w:szCs w:val="24"/>
              </w:rPr>
            </w:pPr>
            <w:bookmarkStart w:id="202" w:name="OLE_LINK15"/>
            <w:bookmarkStart w:id="203" w:name="OLE_LINK16"/>
            <w:r w:rsidRPr="0091360F">
              <w:rPr>
                <w:rFonts w:ascii="Book Antiqua" w:hAnsi="Book Antiqua" w:cs="Times New Roman"/>
                <w:sz w:val="24"/>
                <w:szCs w:val="24"/>
              </w:rPr>
              <w:t>12 (10-16)</w:t>
            </w:r>
            <w:bookmarkEnd w:id="202"/>
            <w:bookmarkEnd w:id="203"/>
          </w:p>
        </w:tc>
      </w:tr>
      <w:tr w:rsidR="00420454" w:rsidRPr="0091360F" w14:paraId="29CC1A2E" w14:textId="77777777" w:rsidTr="00A77D77">
        <w:trPr>
          <w:trHeight w:val="443"/>
        </w:trPr>
        <w:tc>
          <w:tcPr>
            <w:tcW w:w="4569" w:type="dxa"/>
          </w:tcPr>
          <w:p w14:paraId="19B17448"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CRS</w:t>
            </w:r>
          </w:p>
        </w:tc>
        <w:tc>
          <w:tcPr>
            <w:tcW w:w="3511" w:type="dxa"/>
          </w:tcPr>
          <w:p w14:paraId="47C69EEF"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 (1-3)</w:t>
            </w:r>
          </w:p>
        </w:tc>
      </w:tr>
      <w:tr w:rsidR="00420454" w:rsidRPr="0091360F" w14:paraId="6B2828AB" w14:textId="77777777" w:rsidTr="00A77D77">
        <w:trPr>
          <w:trHeight w:val="456"/>
        </w:trPr>
        <w:tc>
          <w:tcPr>
            <w:tcW w:w="4569" w:type="dxa"/>
          </w:tcPr>
          <w:p w14:paraId="16152B02"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GBS</w:t>
            </w:r>
          </w:p>
        </w:tc>
        <w:tc>
          <w:tcPr>
            <w:tcW w:w="3511" w:type="dxa"/>
          </w:tcPr>
          <w:p w14:paraId="451FAC77" w14:textId="265DB826"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12</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(9-14)</w:t>
            </w:r>
          </w:p>
        </w:tc>
      </w:tr>
      <w:tr w:rsidR="00420454" w:rsidRPr="0091360F" w14:paraId="3DEDDC48" w14:textId="77777777" w:rsidTr="00A77D77">
        <w:trPr>
          <w:trHeight w:val="443"/>
        </w:trPr>
        <w:tc>
          <w:tcPr>
            <w:tcW w:w="4569" w:type="dxa"/>
          </w:tcPr>
          <w:p w14:paraId="7EAD2759"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mGBS</w:t>
            </w:r>
          </w:p>
        </w:tc>
        <w:tc>
          <w:tcPr>
            <w:tcW w:w="3511" w:type="dxa"/>
          </w:tcPr>
          <w:p w14:paraId="53CB6BA8" w14:textId="70C3E60F"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(7-11)</w:t>
            </w:r>
          </w:p>
        </w:tc>
      </w:tr>
      <w:tr w:rsidR="00420454" w:rsidRPr="0091360F" w14:paraId="2C0DD701" w14:textId="77777777" w:rsidTr="00A77D77">
        <w:trPr>
          <w:trHeight w:val="456"/>
        </w:trPr>
        <w:tc>
          <w:tcPr>
            <w:tcW w:w="4569" w:type="dxa"/>
          </w:tcPr>
          <w:p w14:paraId="69287E3C"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AIMS65</w:t>
            </w:r>
            <w:r w:rsidRPr="0091360F">
              <w:rPr>
                <w:rFonts w:ascii="Book Antiqua" w:hAnsi="Book Antiqua"/>
                <w:sz w:val="24"/>
                <w:szCs w:val="24"/>
              </w:rPr>
              <w:t xml:space="preserve"> </w:t>
            </w:r>
          </w:p>
        </w:tc>
        <w:tc>
          <w:tcPr>
            <w:tcW w:w="3511" w:type="dxa"/>
          </w:tcPr>
          <w:p w14:paraId="517FB9F5" w14:textId="53AB6163"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(0-1)</w:t>
            </w:r>
          </w:p>
        </w:tc>
      </w:tr>
      <w:tr w:rsidR="00420454" w:rsidRPr="0091360F" w14:paraId="194E9741" w14:textId="77777777" w:rsidTr="00A77D77">
        <w:trPr>
          <w:trHeight w:val="443"/>
        </w:trPr>
        <w:tc>
          <w:tcPr>
            <w:tcW w:w="4569" w:type="dxa"/>
          </w:tcPr>
          <w:p w14:paraId="29FE0387"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CANUKA </w:t>
            </w:r>
          </w:p>
        </w:tc>
        <w:tc>
          <w:tcPr>
            <w:tcW w:w="3511" w:type="dxa"/>
          </w:tcPr>
          <w:p w14:paraId="10DA146F" w14:textId="2EFEC8C6"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10</w:t>
            </w:r>
            <w:r w:rsidR="001860C2" w:rsidRPr="0091360F">
              <w:rPr>
                <w:rFonts w:ascii="Book Antiqua" w:hAnsi="Book Antiqua" w:cs="Times New Roman"/>
                <w:sz w:val="24"/>
                <w:szCs w:val="24"/>
              </w:rPr>
              <w:t xml:space="preserve"> </w:t>
            </w:r>
            <w:r w:rsidRPr="0091360F">
              <w:rPr>
                <w:rFonts w:ascii="Book Antiqua" w:hAnsi="Book Antiqua" w:cs="Times New Roman"/>
                <w:sz w:val="24"/>
                <w:szCs w:val="24"/>
              </w:rPr>
              <w:t>(8-12)</w:t>
            </w:r>
          </w:p>
        </w:tc>
      </w:tr>
    </w:tbl>
    <w:p w14:paraId="6B1A6ADC" w14:textId="55B552B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IQR:</w:t>
      </w:r>
      <w:r w:rsidRPr="0091360F">
        <w:rPr>
          <w:rFonts w:ascii="Book Antiqua" w:hAnsi="Book Antiqua"/>
          <w:sz w:val="24"/>
          <w:szCs w:val="24"/>
        </w:rPr>
        <w:t xml:space="preserve"> </w:t>
      </w:r>
      <w:r w:rsidRPr="0091360F">
        <w:rPr>
          <w:rFonts w:ascii="Book Antiqua" w:hAnsi="Book Antiqua" w:cs="Times New Roman"/>
          <w:sz w:val="24"/>
          <w:szCs w:val="24"/>
        </w:rPr>
        <w:t>Interquartile range; INR:</w:t>
      </w:r>
      <w:r w:rsidRPr="0091360F">
        <w:rPr>
          <w:rFonts w:ascii="Book Antiqua" w:hAnsi="Book Antiqua"/>
          <w:sz w:val="24"/>
          <w:szCs w:val="24"/>
        </w:rPr>
        <w:t xml:space="preserve"> </w:t>
      </w:r>
      <w:r w:rsidRPr="0091360F">
        <w:rPr>
          <w:rFonts w:ascii="Book Antiqua" w:hAnsi="Book Antiqua" w:cs="Times New Roman"/>
          <w:sz w:val="24"/>
          <w:szCs w:val="24"/>
        </w:rPr>
        <w:t>International normalized ratio; ALT:</w:t>
      </w:r>
      <w:r w:rsidRPr="0091360F">
        <w:rPr>
          <w:rFonts w:ascii="Book Antiqua" w:hAnsi="Book Antiqua"/>
          <w:sz w:val="24"/>
          <w:szCs w:val="24"/>
        </w:rPr>
        <w:t xml:space="preserve"> </w:t>
      </w:r>
      <w:r w:rsidRPr="0091360F">
        <w:rPr>
          <w:rFonts w:ascii="Book Antiqua" w:hAnsi="Book Antiqua" w:cs="Times New Roman"/>
          <w:sz w:val="24"/>
          <w:szCs w:val="24"/>
        </w:rPr>
        <w:t>Alanine transaminase; AST:</w:t>
      </w:r>
      <w:r w:rsidRPr="0091360F">
        <w:rPr>
          <w:rFonts w:ascii="Book Antiqua" w:hAnsi="Book Antiqua"/>
          <w:sz w:val="24"/>
          <w:szCs w:val="24"/>
        </w:rPr>
        <w:t xml:space="preserve"> </w:t>
      </w:r>
      <w:r w:rsidRPr="0091360F">
        <w:rPr>
          <w:rFonts w:ascii="Book Antiqua" w:hAnsi="Book Antiqua" w:cs="Times New Roman"/>
          <w:sz w:val="24"/>
          <w:szCs w:val="24"/>
        </w:rPr>
        <w:t>Aspartate transaminase; BUN: Blood urea nitrogen; SBP:</w:t>
      </w:r>
      <w:r w:rsidRPr="0091360F">
        <w:rPr>
          <w:rFonts w:ascii="Book Antiqua" w:hAnsi="Book Antiqua"/>
          <w:sz w:val="24"/>
          <w:szCs w:val="24"/>
        </w:rPr>
        <w:t xml:space="preserve"> </w:t>
      </w:r>
      <w:r w:rsidRPr="0091360F">
        <w:rPr>
          <w:rFonts w:ascii="Book Antiqua" w:hAnsi="Book Antiqua" w:cs="Times New Roman"/>
          <w:sz w:val="24"/>
          <w:szCs w:val="24"/>
        </w:rPr>
        <w:t>Systolic blood pressure; DBP:</w:t>
      </w:r>
      <w:r w:rsidRPr="0091360F">
        <w:rPr>
          <w:rFonts w:ascii="Book Antiqua" w:hAnsi="Book Antiqua"/>
          <w:sz w:val="24"/>
          <w:szCs w:val="24"/>
        </w:rPr>
        <w:t xml:space="preserve"> </w:t>
      </w:r>
      <w:r w:rsidRPr="0091360F">
        <w:rPr>
          <w:rFonts w:ascii="Book Antiqua" w:hAnsi="Book Antiqua" w:cs="Times New Roman"/>
          <w:sz w:val="24"/>
          <w:szCs w:val="24"/>
        </w:rPr>
        <w:t>Diastolic blood pressure;</w:t>
      </w:r>
      <w:r w:rsidR="002F0914" w:rsidRPr="0091360F">
        <w:rPr>
          <w:rFonts w:ascii="Book Antiqua" w:hAnsi="Book Antiqua"/>
          <w:sz w:val="24"/>
          <w:szCs w:val="24"/>
        </w:rPr>
        <w:t xml:space="preserve"> </w:t>
      </w:r>
      <w:r w:rsidR="002F0914" w:rsidRPr="0091360F">
        <w:rPr>
          <w:rFonts w:ascii="Book Antiqua" w:hAnsi="Book Antiqua" w:cs="Times New Roman"/>
          <w:sz w:val="24"/>
          <w:szCs w:val="24"/>
        </w:rPr>
        <w:t xml:space="preserve">GOV2: </w:t>
      </w:r>
      <w:r w:rsidR="00912DC5" w:rsidRPr="0091360F">
        <w:rPr>
          <w:rFonts w:ascii="Book Antiqua" w:hAnsi="Book Antiqua" w:cs="Times New Roman"/>
          <w:sz w:val="24"/>
          <w:szCs w:val="24"/>
        </w:rPr>
        <w:t>T</w:t>
      </w:r>
      <w:r w:rsidR="002F0914" w:rsidRPr="0091360F">
        <w:rPr>
          <w:rFonts w:ascii="Book Antiqua" w:hAnsi="Book Antiqua" w:cs="Times New Roman"/>
          <w:sz w:val="24"/>
          <w:szCs w:val="24"/>
        </w:rPr>
        <w:t xml:space="preserve">ype 2 gastroesophageal varices; IGV1: </w:t>
      </w:r>
      <w:r w:rsidR="00912DC5" w:rsidRPr="0091360F">
        <w:rPr>
          <w:rFonts w:ascii="Book Antiqua" w:hAnsi="Book Antiqua" w:cs="Times New Roman"/>
          <w:sz w:val="24"/>
          <w:szCs w:val="24"/>
        </w:rPr>
        <w:t>T</w:t>
      </w:r>
      <w:r w:rsidR="002F0914" w:rsidRPr="0091360F">
        <w:rPr>
          <w:rFonts w:ascii="Book Antiqua" w:hAnsi="Book Antiqua" w:cs="Times New Roman"/>
          <w:sz w:val="24"/>
          <w:szCs w:val="24"/>
        </w:rPr>
        <w:t>ype 1 isolated gastric varices</w:t>
      </w:r>
      <w:r w:rsidR="000B2EA0" w:rsidRPr="0091360F">
        <w:rPr>
          <w:rFonts w:ascii="Book Antiqua" w:hAnsi="Book Antiqua" w:cs="Times New Roman"/>
          <w:sz w:val="24"/>
          <w:szCs w:val="24"/>
        </w:rPr>
        <w:t>;</w:t>
      </w:r>
      <w:r w:rsidRPr="0091360F">
        <w:rPr>
          <w:rFonts w:ascii="Book Antiqua" w:hAnsi="Book Antiqua" w:cs="Times New Roman"/>
          <w:sz w:val="24"/>
          <w:szCs w:val="24"/>
        </w:rPr>
        <w:t xml:space="preserve"> TIPSS:</w:t>
      </w:r>
      <w:r w:rsidRPr="0091360F">
        <w:rPr>
          <w:rFonts w:ascii="Book Antiqua" w:hAnsi="Book Antiqua"/>
          <w:sz w:val="24"/>
          <w:szCs w:val="24"/>
        </w:rPr>
        <w:t xml:space="preserve"> </w:t>
      </w:r>
      <w:r w:rsidRPr="0091360F">
        <w:rPr>
          <w:rFonts w:ascii="Book Antiqua" w:hAnsi="Book Antiqua" w:cs="Times New Roman"/>
          <w:sz w:val="24"/>
          <w:szCs w:val="24"/>
        </w:rPr>
        <w:t>Transjugular intrahepatic portosystemic stent</w:t>
      </w:r>
      <w:r w:rsidRPr="0091360F">
        <w:rPr>
          <w:rFonts w:ascii="宋体" w:eastAsia="宋体" w:hAnsi="宋体" w:cs="宋体" w:hint="eastAsia"/>
          <w:sz w:val="24"/>
          <w:szCs w:val="24"/>
        </w:rPr>
        <w:t>‐</w:t>
      </w:r>
      <w:r w:rsidRPr="0091360F">
        <w:rPr>
          <w:rFonts w:ascii="Book Antiqua" w:hAnsi="Book Antiqua" w:cs="Times New Roman"/>
          <w:sz w:val="24"/>
          <w:szCs w:val="24"/>
        </w:rPr>
        <w:t xml:space="preserve">shunt; </w:t>
      </w:r>
      <w:r w:rsidR="00803620">
        <w:rPr>
          <w:rFonts w:ascii="Book Antiqua" w:hAnsi="Book Antiqua" w:cs="Times New Roman"/>
          <w:sz w:val="24"/>
          <w:szCs w:val="24"/>
        </w:rPr>
        <w:t>CTP</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Child–Turcotte–Pugh score; MELD:</w:t>
      </w:r>
      <w:r w:rsidRPr="0091360F">
        <w:rPr>
          <w:rFonts w:ascii="Book Antiqua" w:hAnsi="Book Antiqua"/>
          <w:sz w:val="24"/>
          <w:szCs w:val="24"/>
        </w:rPr>
        <w:t xml:space="preserve"> </w:t>
      </w:r>
      <w:r w:rsidRPr="0091360F">
        <w:rPr>
          <w:rFonts w:ascii="Book Antiqua" w:hAnsi="Book Antiqua" w:cs="Times New Roman"/>
          <w:sz w:val="24"/>
          <w:szCs w:val="24"/>
        </w:rPr>
        <w:t>Model for end-stage liver disease; CRS:</w:t>
      </w:r>
      <w:r w:rsidRPr="0091360F">
        <w:rPr>
          <w:rFonts w:ascii="Book Antiqua" w:hAnsi="Book Antiqua"/>
          <w:sz w:val="24"/>
          <w:szCs w:val="24"/>
        </w:rPr>
        <w:t xml:space="preserve"> </w:t>
      </w:r>
      <w:r w:rsidRPr="0091360F">
        <w:rPr>
          <w:rFonts w:ascii="Book Antiqua" w:hAnsi="Book Antiqua" w:cs="Times New Roman"/>
          <w:sz w:val="24"/>
          <w:szCs w:val="24"/>
        </w:rPr>
        <w:t>Clinical Rockall score; GBS: Glasgow-Blatchford score; mGBS:</w:t>
      </w:r>
      <w:r w:rsidRPr="0091360F">
        <w:rPr>
          <w:rFonts w:ascii="Book Antiqua" w:hAnsi="Book Antiqua"/>
          <w:sz w:val="24"/>
          <w:szCs w:val="24"/>
        </w:rPr>
        <w:t xml:space="preserve"> </w:t>
      </w:r>
      <w:r w:rsidRPr="0091360F">
        <w:rPr>
          <w:rFonts w:ascii="Book Antiqua" w:hAnsi="Book Antiqua" w:cs="Times New Roman"/>
          <w:sz w:val="24"/>
          <w:szCs w:val="24"/>
        </w:rPr>
        <w:t xml:space="preserve">Modiﬁed Glasgow-Blatchford </w:t>
      </w:r>
      <w:r w:rsidRPr="0091360F">
        <w:rPr>
          <w:rFonts w:ascii="Book Antiqua" w:hAnsi="Book Antiqua" w:cs="Times New Roman"/>
          <w:sz w:val="24"/>
          <w:szCs w:val="24"/>
        </w:rPr>
        <w:lastRenderedPageBreak/>
        <w:t>score</w:t>
      </w:r>
      <w:r w:rsidR="00C04581" w:rsidRPr="0091360F">
        <w:rPr>
          <w:rFonts w:ascii="Book Antiqua" w:hAnsi="Book Antiqua" w:cs="Times New Roman"/>
          <w:sz w:val="24"/>
          <w:szCs w:val="24"/>
        </w:rPr>
        <w:t>; AIMS65:</w:t>
      </w:r>
      <w:r w:rsidR="00C04581" w:rsidRPr="0091360F">
        <w:rPr>
          <w:rFonts w:ascii="Book Antiqua" w:hAnsi="Book Antiqua"/>
          <w:sz w:val="24"/>
          <w:szCs w:val="24"/>
        </w:rPr>
        <w:t xml:space="preserve"> </w:t>
      </w:r>
      <w:r w:rsidR="00C04581" w:rsidRPr="0091360F">
        <w:rPr>
          <w:rFonts w:ascii="Book Antiqua" w:hAnsi="Book Antiqua" w:cs="Times New Roman"/>
          <w:sz w:val="24"/>
          <w:szCs w:val="24"/>
        </w:rPr>
        <w:t>AIMS65</w:t>
      </w:r>
      <w:r w:rsidR="00C04581" w:rsidRPr="0091360F">
        <w:rPr>
          <w:rFonts w:ascii="Book Antiqua" w:hAnsi="Book Antiqua"/>
          <w:sz w:val="24"/>
          <w:szCs w:val="24"/>
        </w:rPr>
        <w:t xml:space="preserve"> </w:t>
      </w:r>
      <w:r w:rsidR="00C04581" w:rsidRPr="0091360F">
        <w:rPr>
          <w:rFonts w:ascii="Book Antiqua" w:hAnsi="Book Antiqua" w:cs="Times New Roman"/>
          <w:sz w:val="24"/>
          <w:szCs w:val="24"/>
        </w:rPr>
        <w:t>score; CANUKA: Canada-U</w:t>
      </w:r>
      <w:r w:rsidR="00226716">
        <w:rPr>
          <w:rFonts w:ascii="Book Antiqua" w:hAnsi="Book Antiqua" w:cs="Times New Roman"/>
          <w:sz w:val="24"/>
          <w:szCs w:val="24"/>
        </w:rPr>
        <w:t>nited Kingdom</w:t>
      </w:r>
      <w:r w:rsidR="00C04581" w:rsidRPr="0091360F">
        <w:rPr>
          <w:rFonts w:ascii="Book Antiqua" w:hAnsi="Book Antiqua" w:cs="Times New Roman"/>
          <w:sz w:val="24"/>
          <w:szCs w:val="24"/>
        </w:rPr>
        <w:t>-Australia score.</w:t>
      </w:r>
    </w:p>
    <w:p w14:paraId="16023D05" w14:textId="6EEBB2B1" w:rsidR="00E1619E" w:rsidRPr="0091360F" w:rsidRDefault="00E1619E" w:rsidP="00420454">
      <w:pPr>
        <w:snapToGrid w:val="0"/>
        <w:spacing w:line="360" w:lineRule="auto"/>
        <w:rPr>
          <w:rFonts w:ascii="Book Antiqua" w:hAnsi="Book Antiqua" w:cs="Times New Roman"/>
          <w:sz w:val="24"/>
          <w:szCs w:val="24"/>
        </w:rPr>
      </w:pPr>
    </w:p>
    <w:p w14:paraId="45AC636C" w14:textId="77777777" w:rsidR="00420454" w:rsidRPr="0091360F" w:rsidRDefault="00420454" w:rsidP="00420454">
      <w:pPr>
        <w:widowControl/>
        <w:snapToGrid w:val="0"/>
        <w:spacing w:line="360" w:lineRule="auto"/>
        <w:jc w:val="left"/>
        <w:rPr>
          <w:rFonts w:ascii="Book Antiqua" w:hAnsi="Book Antiqua" w:cs="Times New Roman"/>
          <w:sz w:val="24"/>
          <w:szCs w:val="24"/>
        </w:rPr>
      </w:pPr>
      <w:r w:rsidRPr="0091360F">
        <w:rPr>
          <w:rFonts w:ascii="Book Antiqua" w:hAnsi="Book Antiqua" w:cs="Times New Roman"/>
          <w:sz w:val="24"/>
          <w:szCs w:val="24"/>
        </w:rPr>
        <w:br w:type="page"/>
      </w:r>
    </w:p>
    <w:p w14:paraId="28119584" w14:textId="7938EDE7" w:rsidR="00E1619E" w:rsidRPr="0091360F" w:rsidRDefault="00E1619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lastRenderedPageBreak/>
        <w:t>Table 2</w:t>
      </w:r>
      <w:r w:rsidR="00175FA1"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Clinical outcomes of the study population</w:t>
      </w:r>
      <w:r w:rsidR="00175FA1" w:rsidRPr="0091360F">
        <w:rPr>
          <w:rFonts w:ascii="Book Antiqua" w:hAnsi="Book Antiqua" w:cs="Times New Roman"/>
          <w:b/>
          <w:bCs/>
          <w:sz w:val="24"/>
          <w:szCs w:val="24"/>
        </w:rPr>
        <w:t xml:space="preserve">, </w:t>
      </w:r>
      <w:r w:rsidR="00175FA1" w:rsidRPr="0091360F">
        <w:rPr>
          <w:rFonts w:ascii="Book Antiqua" w:hAnsi="Book Antiqua" w:cs="Times New Roman"/>
          <w:b/>
          <w:bCs/>
          <w:i/>
          <w:iCs/>
          <w:sz w:val="24"/>
          <w:szCs w:val="24"/>
        </w:rPr>
        <w:t>n</w:t>
      </w:r>
      <w:r w:rsidR="00175FA1" w:rsidRPr="0091360F">
        <w:rPr>
          <w:rFonts w:ascii="Book Antiqua" w:hAnsi="Book Antiqua" w:cs="Times New Roman"/>
          <w:b/>
          <w:bCs/>
          <w:sz w:val="24"/>
          <w:szCs w:val="24"/>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97"/>
      </w:tblGrid>
      <w:tr w:rsidR="00420454" w:rsidRPr="0091360F" w14:paraId="4F192EC1" w14:textId="77777777" w:rsidTr="00175FA1">
        <w:tc>
          <w:tcPr>
            <w:tcW w:w="6799" w:type="dxa"/>
            <w:tcBorders>
              <w:top w:val="single" w:sz="4" w:space="0" w:color="auto"/>
              <w:bottom w:val="single" w:sz="4" w:space="0" w:color="auto"/>
            </w:tcBorders>
          </w:tcPr>
          <w:p w14:paraId="45A1B6CE" w14:textId="77777777" w:rsidR="00E1619E" w:rsidRPr="0091360F" w:rsidRDefault="00E1619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Outcomes</w:t>
            </w:r>
          </w:p>
        </w:tc>
        <w:tc>
          <w:tcPr>
            <w:tcW w:w="1497" w:type="dxa"/>
            <w:tcBorders>
              <w:top w:val="single" w:sz="4" w:space="0" w:color="auto"/>
              <w:bottom w:val="single" w:sz="4" w:space="0" w:color="auto"/>
            </w:tcBorders>
          </w:tcPr>
          <w:p w14:paraId="67EECC1C" w14:textId="77777777" w:rsidR="00E1619E" w:rsidRPr="0091360F" w:rsidRDefault="00E1619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Value</w:t>
            </w:r>
          </w:p>
        </w:tc>
      </w:tr>
      <w:tr w:rsidR="00420454" w:rsidRPr="0091360F" w14:paraId="503A8DE8" w14:textId="77777777" w:rsidTr="00175FA1">
        <w:tc>
          <w:tcPr>
            <w:tcW w:w="6799" w:type="dxa"/>
            <w:tcBorders>
              <w:top w:val="single" w:sz="4" w:space="0" w:color="auto"/>
            </w:tcBorders>
          </w:tcPr>
          <w:p w14:paraId="14238120" w14:textId="180BA0B8"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rebleeding</w:t>
            </w:r>
          </w:p>
        </w:tc>
        <w:tc>
          <w:tcPr>
            <w:tcW w:w="1497" w:type="dxa"/>
            <w:tcBorders>
              <w:top w:val="single" w:sz="4" w:space="0" w:color="auto"/>
            </w:tcBorders>
          </w:tcPr>
          <w:p w14:paraId="311D6864" w14:textId="1A6FD4F7"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67</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(20.3)</w:t>
            </w:r>
          </w:p>
        </w:tc>
      </w:tr>
      <w:tr w:rsidR="00420454" w:rsidRPr="0091360F" w14:paraId="48A4EE71" w14:textId="77777777" w:rsidTr="00175FA1">
        <w:tc>
          <w:tcPr>
            <w:tcW w:w="6799" w:type="dxa"/>
          </w:tcPr>
          <w:p w14:paraId="7162E55B" w14:textId="28327106" w:rsidR="00E1619E" w:rsidRPr="0091360F" w:rsidRDefault="00E1619E" w:rsidP="00BB0DC0">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Admission to rebleeding</w:t>
            </w:r>
            <w:r w:rsidRPr="0091360F">
              <w:rPr>
                <w:rFonts w:ascii="Book Antiqua" w:hAnsi="Book Antiqua"/>
                <w:sz w:val="24"/>
                <w:szCs w:val="24"/>
              </w:rPr>
              <w:t xml:space="preserve"> </w:t>
            </w:r>
            <w:r w:rsidRPr="0091360F">
              <w:rPr>
                <w:rFonts w:ascii="Book Antiqua" w:hAnsi="Book Antiqua" w:cs="Times New Roman"/>
                <w:sz w:val="24"/>
                <w:szCs w:val="24"/>
              </w:rPr>
              <w:t>(time interval,</w:t>
            </w:r>
            <w:r w:rsidRPr="0091360F">
              <w:rPr>
                <w:rFonts w:ascii="Book Antiqua" w:hAnsi="Book Antiqua"/>
                <w:sz w:val="24"/>
                <w:szCs w:val="24"/>
              </w:rPr>
              <w:t xml:space="preserve"> </w:t>
            </w:r>
            <w:r w:rsidRPr="0091360F">
              <w:rPr>
                <w:rFonts w:ascii="Book Antiqua" w:hAnsi="Book Antiqua" w:cs="Times New Roman"/>
                <w:sz w:val="24"/>
                <w:szCs w:val="24"/>
              </w:rPr>
              <w:t>days), median (IQR)</w:t>
            </w:r>
          </w:p>
        </w:tc>
        <w:tc>
          <w:tcPr>
            <w:tcW w:w="1497" w:type="dxa"/>
          </w:tcPr>
          <w:p w14:paraId="7A05B95C" w14:textId="4F49D5E1"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(3-8)</w:t>
            </w:r>
          </w:p>
        </w:tc>
      </w:tr>
      <w:tr w:rsidR="00420454" w:rsidRPr="0091360F" w14:paraId="2C15F2F8" w14:textId="77777777" w:rsidTr="00175FA1">
        <w:tc>
          <w:tcPr>
            <w:tcW w:w="6799" w:type="dxa"/>
          </w:tcPr>
          <w:p w14:paraId="7A5C2DCE" w14:textId="1121789B"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Rebleeding occurred within 3 d</w:t>
            </w:r>
          </w:p>
        </w:tc>
        <w:tc>
          <w:tcPr>
            <w:tcW w:w="1497" w:type="dxa"/>
          </w:tcPr>
          <w:p w14:paraId="3D561FFD" w14:textId="5E9F03E2"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27</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(40.3)</w:t>
            </w:r>
          </w:p>
        </w:tc>
      </w:tr>
      <w:tr w:rsidR="00420454" w:rsidRPr="0091360F" w14:paraId="116EA7D3" w14:textId="77777777" w:rsidTr="00175FA1">
        <w:tc>
          <w:tcPr>
            <w:tcW w:w="6799" w:type="dxa"/>
          </w:tcPr>
          <w:p w14:paraId="6116E790" w14:textId="4C1C89E8"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Rebleeding occurred within 7 d</w:t>
            </w:r>
          </w:p>
        </w:tc>
        <w:tc>
          <w:tcPr>
            <w:tcW w:w="1497" w:type="dxa"/>
          </w:tcPr>
          <w:p w14:paraId="46BE667D" w14:textId="1564EB91"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47</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(70.1)</w:t>
            </w:r>
          </w:p>
        </w:tc>
      </w:tr>
      <w:tr w:rsidR="00420454" w:rsidRPr="0091360F" w14:paraId="73CF8837" w14:textId="77777777" w:rsidTr="00175FA1">
        <w:tc>
          <w:tcPr>
            <w:tcW w:w="6799" w:type="dxa"/>
          </w:tcPr>
          <w:p w14:paraId="5D28F808" w14:textId="7DE35A93"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Rebleeding occurred beyond 7 d</w:t>
            </w:r>
          </w:p>
        </w:tc>
        <w:tc>
          <w:tcPr>
            <w:tcW w:w="1497" w:type="dxa"/>
          </w:tcPr>
          <w:p w14:paraId="07C03575" w14:textId="5BADD3D2"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20</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(29.9)</w:t>
            </w:r>
          </w:p>
        </w:tc>
      </w:tr>
      <w:tr w:rsidR="00420454" w:rsidRPr="0091360F" w14:paraId="6876C2FD" w14:textId="77777777" w:rsidTr="00175FA1">
        <w:tc>
          <w:tcPr>
            <w:tcW w:w="6799" w:type="dxa"/>
          </w:tcPr>
          <w:p w14:paraId="7BA9A774" w14:textId="1616BCAE"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mortality</w:t>
            </w:r>
          </w:p>
        </w:tc>
        <w:tc>
          <w:tcPr>
            <w:tcW w:w="1497" w:type="dxa"/>
          </w:tcPr>
          <w:p w14:paraId="368A088C" w14:textId="36A3F755"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35</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(10.6)</w:t>
            </w:r>
          </w:p>
        </w:tc>
      </w:tr>
      <w:tr w:rsidR="00420454" w:rsidRPr="0091360F" w14:paraId="247E1421" w14:textId="77777777" w:rsidTr="00175FA1">
        <w:tc>
          <w:tcPr>
            <w:tcW w:w="6799" w:type="dxa"/>
          </w:tcPr>
          <w:p w14:paraId="2F2365D6" w14:textId="01511BAF"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mortality with rebleeding</w:t>
            </w:r>
          </w:p>
        </w:tc>
        <w:tc>
          <w:tcPr>
            <w:tcW w:w="1497" w:type="dxa"/>
          </w:tcPr>
          <w:p w14:paraId="7C069B3B" w14:textId="4B543BC3"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17</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(25.4)</w:t>
            </w:r>
          </w:p>
        </w:tc>
      </w:tr>
      <w:tr w:rsidR="00420454" w:rsidRPr="0091360F" w14:paraId="688AF2B3" w14:textId="77777777" w:rsidTr="00175FA1">
        <w:tc>
          <w:tcPr>
            <w:tcW w:w="6799" w:type="dxa"/>
          </w:tcPr>
          <w:p w14:paraId="13D70CD5" w14:textId="1F9FAC18"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mortality without rebleeding</w:t>
            </w:r>
          </w:p>
        </w:tc>
        <w:tc>
          <w:tcPr>
            <w:tcW w:w="1497" w:type="dxa"/>
          </w:tcPr>
          <w:p w14:paraId="3C140EDC" w14:textId="79859768"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18</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(6.8)</w:t>
            </w:r>
          </w:p>
        </w:tc>
      </w:tr>
      <w:tr w:rsidR="00420454" w:rsidRPr="0091360F" w14:paraId="7132D803" w14:textId="77777777" w:rsidTr="00175FA1">
        <w:tc>
          <w:tcPr>
            <w:tcW w:w="6799" w:type="dxa"/>
          </w:tcPr>
          <w:p w14:paraId="358DA2A2" w14:textId="49F58ECD"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adverse outcomes</w:t>
            </w:r>
          </w:p>
        </w:tc>
        <w:tc>
          <w:tcPr>
            <w:tcW w:w="1497" w:type="dxa"/>
          </w:tcPr>
          <w:p w14:paraId="15A4E005" w14:textId="150E5C62"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(25.8)</w:t>
            </w:r>
          </w:p>
        </w:tc>
      </w:tr>
    </w:tbl>
    <w:p w14:paraId="6333343F" w14:textId="4B99CBF1" w:rsidR="00E1619E" w:rsidRPr="0091360F" w:rsidRDefault="00AD623B"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IQR: Interquartile range</w:t>
      </w:r>
      <w:r w:rsidR="00175FA1" w:rsidRPr="0091360F">
        <w:rPr>
          <w:rFonts w:ascii="Book Antiqua" w:hAnsi="Book Antiqua" w:cs="Times New Roman"/>
          <w:sz w:val="24"/>
          <w:szCs w:val="24"/>
        </w:rPr>
        <w:t>.</w:t>
      </w:r>
    </w:p>
    <w:p w14:paraId="1839DAA2" w14:textId="77777777" w:rsidR="00195C97" w:rsidRPr="0091360F" w:rsidRDefault="00195C97" w:rsidP="00420454">
      <w:pPr>
        <w:snapToGrid w:val="0"/>
        <w:spacing w:line="360" w:lineRule="auto"/>
        <w:rPr>
          <w:rFonts w:ascii="Book Antiqua" w:hAnsi="Book Antiqua" w:cs="Times New Roman"/>
          <w:sz w:val="24"/>
          <w:szCs w:val="24"/>
        </w:rPr>
      </w:pPr>
    </w:p>
    <w:p w14:paraId="1BBB9B0F" w14:textId="77777777" w:rsidR="00420454" w:rsidRPr="0091360F" w:rsidRDefault="00420454" w:rsidP="00420454">
      <w:pPr>
        <w:widowControl/>
        <w:snapToGrid w:val="0"/>
        <w:spacing w:line="360" w:lineRule="auto"/>
        <w:jc w:val="left"/>
        <w:rPr>
          <w:rFonts w:ascii="Book Antiqua" w:hAnsi="Book Antiqua" w:cs="Times New Roman"/>
          <w:sz w:val="24"/>
          <w:szCs w:val="24"/>
        </w:rPr>
      </w:pPr>
      <w:r w:rsidRPr="0091360F">
        <w:rPr>
          <w:rFonts w:ascii="Book Antiqua" w:hAnsi="Book Antiqua" w:cs="Times New Roman"/>
          <w:sz w:val="24"/>
          <w:szCs w:val="24"/>
        </w:rPr>
        <w:br w:type="page"/>
      </w:r>
    </w:p>
    <w:p w14:paraId="6F826837" w14:textId="50626910"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lastRenderedPageBreak/>
        <w:t xml:space="preserve">Table </w:t>
      </w:r>
      <w:r w:rsidR="00E67D09" w:rsidRPr="0091360F">
        <w:rPr>
          <w:rFonts w:ascii="Book Antiqua" w:hAnsi="Book Antiqua" w:cs="Times New Roman"/>
          <w:b/>
          <w:bCs/>
          <w:sz w:val="24"/>
          <w:szCs w:val="24"/>
        </w:rPr>
        <w:t>3</w:t>
      </w:r>
      <w:r w:rsidR="00D259B0"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Discrimination and calibration assessments of all the scoring systems for in-hospital adverse outcomes</w:t>
      </w:r>
    </w:p>
    <w:tbl>
      <w:tblPr>
        <w:tblStyle w:val="ad"/>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136"/>
        <w:gridCol w:w="1376"/>
        <w:gridCol w:w="919"/>
        <w:gridCol w:w="1336"/>
        <w:gridCol w:w="1696"/>
        <w:gridCol w:w="896"/>
        <w:gridCol w:w="952"/>
      </w:tblGrid>
      <w:tr w:rsidR="00D259B0" w:rsidRPr="0091360F" w14:paraId="498A1A74" w14:textId="77777777" w:rsidTr="00B9470C">
        <w:trPr>
          <w:trHeight w:val="980"/>
        </w:trPr>
        <w:tc>
          <w:tcPr>
            <w:tcW w:w="1321" w:type="dxa"/>
            <w:tcBorders>
              <w:top w:val="single" w:sz="4" w:space="0" w:color="auto"/>
              <w:bottom w:val="single" w:sz="4" w:space="0" w:color="auto"/>
            </w:tcBorders>
          </w:tcPr>
          <w:p w14:paraId="78E4EE34"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Score</w:t>
            </w:r>
          </w:p>
        </w:tc>
        <w:tc>
          <w:tcPr>
            <w:tcW w:w="1136" w:type="dxa"/>
            <w:tcBorders>
              <w:top w:val="single" w:sz="4" w:space="0" w:color="auto"/>
              <w:bottom w:val="single" w:sz="4" w:space="0" w:color="auto"/>
            </w:tcBorders>
          </w:tcPr>
          <w:p w14:paraId="01933436"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AUROC</w:t>
            </w:r>
          </w:p>
        </w:tc>
        <w:tc>
          <w:tcPr>
            <w:tcW w:w="1323" w:type="dxa"/>
            <w:tcBorders>
              <w:top w:val="single" w:sz="4" w:space="0" w:color="auto"/>
              <w:bottom w:val="single" w:sz="4" w:space="0" w:color="auto"/>
            </w:tcBorders>
          </w:tcPr>
          <w:p w14:paraId="07469DB7" w14:textId="45E97872"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960" w:type="dxa"/>
            <w:tcBorders>
              <w:top w:val="single" w:sz="4" w:space="0" w:color="auto"/>
              <w:bottom w:val="single" w:sz="4" w:space="0" w:color="auto"/>
            </w:tcBorders>
          </w:tcPr>
          <w:p w14:paraId="3B1D1B65" w14:textId="1EE337D2" w:rsidR="00195C97" w:rsidRPr="0091360F" w:rsidRDefault="00D259B0"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i/>
                <w:iCs/>
                <w:sz w:val="24"/>
                <w:szCs w:val="24"/>
              </w:rPr>
              <w:t>P</w:t>
            </w:r>
            <w:r w:rsidRPr="0091360F">
              <w:rPr>
                <w:rFonts w:ascii="Book Antiqua" w:hAnsi="Book Antiqua" w:cs="Times New Roman"/>
                <w:b/>
                <w:bCs/>
                <w:sz w:val="24"/>
                <w:szCs w:val="24"/>
              </w:rPr>
              <w:t xml:space="preserve"> </w:t>
            </w:r>
            <w:r w:rsidR="00195C97" w:rsidRPr="0091360F">
              <w:rPr>
                <w:rFonts w:ascii="Book Antiqua" w:hAnsi="Book Antiqua" w:cs="Times New Roman"/>
                <w:b/>
                <w:bCs/>
                <w:sz w:val="24"/>
                <w:szCs w:val="24"/>
              </w:rPr>
              <w:t>value</w:t>
            </w:r>
          </w:p>
        </w:tc>
        <w:tc>
          <w:tcPr>
            <w:tcW w:w="1336" w:type="dxa"/>
            <w:tcBorders>
              <w:top w:val="single" w:sz="4" w:space="0" w:color="auto"/>
              <w:bottom w:val="single" w:sz="4" w:space="0" w:color="auto"/>
            </w:tcBorders>
          </w:tcPr>
          <w:p w14:paraId="28B1F437" w14:textId="424EDA42"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AUROC</w:t>
            </w:r>
            <w:r w:rsidR="00D259B0" w:rsidRPr="0091360F">
              <w:rPr>
                <w:rFonts w:ascii="Book Antiqua" w:hAnsi="Book Antiqua" w:cs="Times New Roman" w:hint="eastAsia"/>
                <w:b/>
                <w:bCs/>
                <w:sz w:val="24"/>
                <w:szCs w:val="24"/>
              </w:rPr>
              <w:t xml:space="preserve"> </w:t>
            </w:r>
            <w:r w:rsidR="00D259B0" w:rsidRPr="0091360F">
              <w:rPr>
                <w:rFonts w:ascii="Book Antiqua" w:hAnsi="Book Antiqua" w:cs="Times New Roman"/>
                <w:b/>
                <w:bCs/>
                <w:sz w:val="24"/>
                <w:szCs w:val="24"/>
              </w:rPr>
              <w:t>d</w:t>
            </w:r>
            <w:r w:rsidRPr="0091360F">
              <w:rPr>
                <w:rFonts w:ascii="Book Antiqua" w:hAnsi="Book Antiqua" w:cs="Times New Roman"/>
                <w:b/>
                <w:bCs/>
                <w:sz w:val="24"/>
                <w:szCs w:val="24"/>
              </w:rPr>
              <w:t>ifference</w:t>
            </w:r>
          </w:p>
        </w:tc>
        <w:tc>
          <w:tcPr>
            <w:tcW w:w="1343" w:type="dxa"/>
            <w:tcBorders>
              <w:top w:val="single" w:sz="4" w:space="0" w:color="auto"/>
              <w:bottom w:val="single" w:sz="4" w:space="0" w:color="auto"/>
            </w:tcBorders>
          </w:tcPr>
          <w:p w14:paraId="4DF2A9D6" w14:textId="4ED62EC5"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944" w:type="dxa"/>
            <w:tcBorders>
              <w:top w:val="single" w:sz="4" w:space="0" w:color="auto"/>
              <w:bottom w:val="single" w:sz="4" w:space="0" w:color="auto"/>
            </w:tcBorders>
          </w:tcPr>
          <w:p w14:paraId="716A57FF" w14:textId="299DB572"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i/>
                <w:iCs/>
                <w:sz w:val="24"/>
                <w:szCs w:val="24"/>
              </w:rPr>
              <w:t>P</w:t>
            </w:r>
            <w:r w:rsidR="00D259B0" w:rsidRPr="0091360F">
              <w:rPr>
                <w:rFonts w:ascii="Book Antiqua" w:hAnsi="Book Antiqua" w:cs="Times New Roman"/>
                <w:b/>
                <w:bCs/>
                <w:i/>
                <w:iCs/>
                <w:sz w:val="24"/>
                <w:szCs w:val="24"/>
              </w:rPr>
              <w:t xml:space="preserve"> </w:t>
            </w:r>
            <w:r w:rsidRPr="0091360F">
              <w:rPr>
                <w:rFonts w:ascii="Book Antiqua" w:hAnsi="Book Antiqua" w:cs="Times New Roman"/>
                <w:b/>
                <w:bCs/>
                <w:sz w:val="24"/>
                <w:szCs w:val="24"/>
              </w:rPr>
              <w:t>value</w:t>
            </w:r>
          </w:p>
        </w:tc>
        <w:tc>
          <w:tcPr>
            <w:tcW w:w="1271" w:type="dxa"/>
            <w:tcBorders>
              <w:top w:val="single" w:sz="4" w:space="0" w:color="auto"/>
              <w:bottom w:val="single" w:sz="4" w:space="0" w:color="auto"/>
            </w:tcBorders>
          </w:tcPr>
          <w:p w14:paraId="0D31C61E" w14:textId="344B8592"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 xml:space="preserve">H-L </w:t>
            </w:r>
            <w:r w:rsidR="00D259B0" w:rsidRPr="0091360F">
              <w:rPr>
                <w:rFonts w:ascii="Book Antiqua" w:hAnsi="Book Antiqua" w:cs="Times New Roman"/>
                <w:b/>
                <w:bCs/>
                <w:sz w:val="24"/>
                <w:szCs w:val="24"/>
              </w:rPr>
              <w:t>t</w:t>
            </w:r>
            <w:r w:rsidRPr="0091360F">
              <w:rPr>
                <w:rFonts w:ascii="Book Antiqua" w:hAnsi="Book Antiqua" w:cs="Times New Roman"/>
                <w:b/>
                <w:bCs/>
                <w:sz w:val="24"/>
                <w:szCs w:val="24"/>
              </w:rPr>
              <w:t>est</w:t>
            </w:r>
            <w:r w:rsidR="00D259B0" w:rsidRPr="0091360F">
              <w:rPr>
                <w:rFonts w:ascii="Book Antiqua" w:hAnsi="Book Antiqua" w:cs="Times New Roman"/>
                <w:b/>
                <w:bCs/>
                <w:sz w:val="24"/>
                <w:szCs w:val="24"/>
              </w:rPr>
              <w:t xml:space="preserve">, </w:t>
            </w:r>
            <w:r w:rsidR="00D259B0" w:rsidRPr="0091360F">
              <w:rPr>
                <w:rFonts w:ascii="Book Antiqua" w:hAnsi="Book Antiqua" w:cs="Times New Roman"/>
                <w:b/>
                <w:bCs/>
                <w:i/>
                <w:iCs/>
                <w:sz w:val="24"/>
                <w:szCs w:val="24"/>
              </w:rPr>
              <w:t xml:space="preserve">P </w:t>
            </w:r>
            <w:r w:rsidRPr="0091360F">
              <w:rPr>
                <w:rFonts w:ascii="Book Antiqua" w:hAnsi="Book Antiqua" w:cs="Times New Roman"/>
                <w:b/>
                <w:bCs/>
                <w:sz w:val="24"/>
                <w:szCs w:val="24"/>
              </w:rPr>
              <w:t>value</w:t>
            </w:r>
          </w:p>
        </w:tc>
      </w:tr>
      <w:tr w:rsidR="00420454" w:rsidRPr="0091360F" w14:paraId="0D142AE4" w14:textId="77777777" w:rsidTr="00B9470C">
        <w:tc>
          <w:tcPr>
            <w:tcW w:w="9634" w:type="dxa"/>
            <w:gridSpan w:val="8"/>
            <w:tcBorders>
              <w:top w:val="single" w:sz="4" w:space="0" w:color="auto"/>
            </w:tcBorders>
          </w:tcPr>
          <w:p w14:paraId="5225BEC3"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rebleeding</w:t>
            </w:r>
          </w:p>
        </w:tc>
      </w:tr>
      <w:tr w:rsidR="00420454" w:rsidRPr="0091360F" w14:paraId="06AAA3F6" w14:textId="77777777" w:rsidTr="00B9470C">
        <w:tc>
          <w:tcPr>
            <w:tcW w:w="1321" w:type="dxa"/>
          </w:tcPr>
          <w:p w14:paraId="59BE1D7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1136" w:type="dxa"/>
          </w:tcPr>
          <w:p w14:paraId="6D7CE6E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0.717</w:t>
            </w:r>
          </w:p>
        </w:tc>
        <w:tc>
          <w:tcPr>
            <w:tcW w:w="1323" w:type="dxa"/>
          </w:tcPr>
          <w:p w14:paraId="6BB3C845" w14:textId="77777777" w:rsidR="00195C97" w:rsidRPr="0091360F" w:rsidRDefault="00195C97" w:rsidP="00420454">
            <w:pPr>
              <w:snapToGrid w:val="0"/>
              <w:spacing w:line="360" w:lineRule="auto"/>
              <w:rPr>
                <w:rFonts w:ascii="Book Antiqua" w:hAnsi="Book Antiqua" w:cs="Times New Roman"/>
                <w:sz w:val="24"/>
                <w:szCs w:val="24"/>
              </w:rPr>
            </w:pPr>
            <w:bookmarkStart w:id="204" w:name="OLE_LINK18"/>
            <w:bookmarkStart w:id="205" w:name="OLE_LINK21"/>
            <w:r w:rsidRPr="0091360F">
              <w:rPr>
                <w:rFonts w:ascii="Book Antiqua" w:hAnsi="Book Antiqua" w:cs="Times New Roman"/>
                <w:sz w:val="24"/>
                <w:szCs w:val="24"/>
              </w:rPr>
              <w:t>0.648-0.787</w:t>
            </w:r>
            <w:bookmarkEnd w:id="204"/>
            <w:bookmarkEnd w:id="205"/>
          </w:p>
        </w:tc>
        <w:tc>
          <w:tcPr>
            <w:tcW w:w="960" w:type="dxa"/>
          </w:tcPr>
          <w:p w14:paraId="6B16E57E" w14:textId="3F00A87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3623" w:type="dxa"/>
            <w:gridSpan w:val="3"/>
          </w:tcPr>
          <w:p w14:paraId="686EF84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Reference</w:t>
            </w:r>
          </w:p>
        </w:tc>
        <w:tc>
          <w:tcPr>
            <w:tcW w:w="1271" w:type="dxa"/>
          </w:tcPr>
          <w:p w14:paraId="0438809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0.134</w:t>
            </w:r>
          </w:p>
        </w:tc>
      </w:tr>
      <w:tr w:rsidR="00D259B0" w:rsidRPr="0091360F" w14:paraId="35AAC38B" w14:textId="77777777" w:rsidTr="00B9470C">
        <w:tc>
          <w:tcPr>
            <w:tcW w:w="1321" w:type="dxa"/>
          </w:tcPr>
          <w:p w14:paraId="5B60CC30"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1136" w:type="dxa"/>
          </w:tcPr>
          <w:p w14:paraId="2B8633A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0.716</w:t>
            </w:r>
          </w:p>
        </w:tc>
        <w:tc>
          <w:tcPr>
            <w:tcW w:w="1323" w:type="dxa"/>
          </w:tcPr>
          <w:p w14:paraId="5677EB20" w14:textId="77777777" w:rsidR="00195C97" w:rsidRPr="0091360F" w:rsidRDefault="00195C97" w:rsidP="00420454">
            <w:pPr>
              <w:snapToGrid w:val="0"/>
              <w:spacing w:line="360" w:lineRule="auto"/>
              <w:rPr>
                <w:rFonts w:ascii="Book Antiqua" w:hAnsi="Book Antiqua" w:cs="Times New Roman"/>
                <w:sz w:val="24"/>
                <w:szCs w:val="24"/>
              </w:rPr>
            </w:pPr>
            <w:bookmarkStart w:id="206" w:name="OLE_LINK22"/>
            <w:bookmarkStart w:id="207" w:name="OLE_LINK27"/>
            <w:r w:rsidRPr="0091360F">
              <w:rPr>
                <w:rFonts w:ascii="Book Antiqua" w:hAnsi="Book Antiqua" w:cs="Times New Roman"/>
                <w:sz w:val="24"/>
                <w:szCs w:val="24"/>
              </w:rPr>
              <w:t>0.638-0.793</w:t>
            </w:r>
            <w:bookmarkEnd w:id="206"/>
            <w:bookmarkEnd w:id="207"/>
          </w:p>
        </w:tc>
        <w:tc>
          <w:tcPr>
            <w:tcW w:w="960" w:type="dxa"/>
          </w:tcPr>
          <w:p w14:paraId="51840E94" w14:textId="1B91AF5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52302971" w14:textId="3BCE9BE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0.001</w:t>
            </w:r>
            <w:r w:rsidR="00F62BBA" w:rsidRPr="0091360F">
              <w:rPr>
                <w:rFonts w:ascii="Book Antiqua" w:hAnsi="Book Antiqua" w:cs="Times New Roman"/>
                <w:sz w:val="24"/>
                <w:szCs w:val="24"/>
              </w:rPr>
              <w:t>6</w:t>
            </w:r>
          </w:p>
        </w:tc>
        <w:tc>
          <w:tcPr>
            <w:tcW w:w="1343" w:type="dxa"/>
          </w:tcPr>
          <w:p w14:paraId="1CB2C08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-0.0851-0.0883</w:t>
            </w:r>
          </w:p>
        </w:tc>
        <w:tc>
          <w:tcPr>
            <w:tcW w:w="944" w:type="dxa"/>
          </w:tcPr>
          <w:p w14:paraId="1091954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0.9713</w:t>
            </w:r>
          </w:p>
        </w:tc>
        <w:tc>
          <w:tcPr>
            <w:tcW w:w="1271" w:type="dxa"/>
          </w:tcPr>
          <w:p w14:paraId="3C1967A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0.062</w:t>
            </w:r>
          </w:p>
        </w:tc>
      </w:tr>
      <w:tr w:rsidR="00D259B0" w:rsidRPr="0091360F" w14:paraId="31BAB4EA" w14:textId="77777777" w:rsidTr="00B9470C">
        <w:tc>
          <w:tcPr>
            <w:tcW w:w="1321" w:type="dxa"/>
          </w:tcPr>
          <w:p w14:paraId="731C7CB7"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MELD-Na</w:t>
            </w:r>
          </w:p>
        </w:tc>
        <w:tc>
          <w:tcPr>
            <w:tcW w:w="1136" w:type="dxa"/>
          </w:tcPr>
          <w:p w14:paraId="26E974C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0.680</w:t>
            </w:r>
          </w:p>
        </w:tc>
        <w:tc>
          <w:tcPr>
            <w:tcW w:w="1323" w:type="dxa"/>
          </w:tcPr>
          <w:p w14:paraId="65322A0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0.609-0.752</w:t>
            </w:r>
          </w:p>
        </w:tc>
        <w:tc>
          <w:tcPr>
            <w:tcW w:w="960" w:type="dxa"/>
          </w:tcPr>
          <w:p w14:paraId="5083DED5" w14:textId="0B3C18D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6E086E5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0.0369</w:t>
            </w:r>
          </w:p>
        </w:tc>
        <w:tc>
          <w:tcPr>
            <w:tcW w:w="1343" w:type="dxa"/>
          </w:tcPr>
          <w:p w14:paraId="547ECF95" w14:textId="247FFE1D"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-0.0266-0.100</w:t>
            </w:r>
            <w:r w:rsidR="008A3349" w:rsidRPr="0091360F">
              <w:rPr>
                <w:rFonts w:ascii="Book Antiqua" w:hAnsi="Book Antiqua" w:cs="Times New Roman"/>
                <w:sz w:val="24"/>
                <w:szCs w:val="24"/>
              </w:rPr>
              <w:t>0</w:t>
            </w:r>
          </w:p>
        </w:tc>
        <w:tc>
          <w:tcPr>
            <w:tcW w:w="944" w:type="dxa"/>
          </w:tcPr>
          <w:p w14:paraId="1FEE734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0.2547</w:t>
            </w:r>
          </w:p>
        </w:tc>
        <w:tc>
          <w:tcPr>
            <w:tcW w:w="1271" w:type="dxa"/>
          </w:tcPr>
          <w:p w14:paraId="19C83C3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0.613</w:t>
            </w:r>
          </w:p>
        </w:tc>
      </w:tr>
      <w:tr w:rsidR="00D259B0" w:rsidRPr="0091360F" w14:paraId="27B0409C" w14:textId="77777777" w:rsidTr="00B9470C">
        <w:tc>
          <w:tcPr>
            <w:tcW w:w="1321" w:type="dxa"/>
          </w:tcPr>
          <w:p w14:paraId="62BB51EB"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w:t>
            </w:r>
          </w:p>
        </w:tc>
        <w:tc>
          <w:tcPr>
            <w:tcW w:w="1136" w:type="dxa"/>
          </w:tcPr>
          <w:p w14:paraId="4742873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0.661</w:t>
            </w:r>
          </w:p>
        </w:tc>
        <w:tc>
          <w:tcPr>
            <w:tcW w:w="1323" w:type="dxa"/>
          </w:tcPr>
          <w:p w14:paraId="5E499FC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0.588-0.734</w:t>
            </w:r>
          </w:p>
        </w:tc>
        <w:tc>
          <w:tcPr>
            <w:tcW w:w="960" w:type="dxa"/>
          </w:tcPr>
          <w:p w14:paraId="49832627" w14:textId="3B4CC55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475B7AF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0.0560</w:t>
            </w:r>
          </w:p>
        </w:tc>
        <w:tc>
          <w:tcPr>
            <w:tcW w:w="1343" w:type="dxa"/>
          </w:tcPr>
          <w:p w14:paraId="1B8A0711" w14:textId="0040D12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-0.002</w:t>
            </w:r>
            <w:r w:rsidR="003C4CCC" w:rsidRPr="0091360F">
              <w:rPr>
                <w:rFonts w:ascii="Book Antiqua" w:hAnsi="Book Antiqua" w:cs="Times New Roman"/>
                <w:sz w:val="24"/>
                <w:szCs w:val="24"/>
              </w:rPr>
              <w:t>6</w:t>
            </w:r>
            <w:r w:rsidRPr="0091360F">
              <w:rPr>
                <w:rFonts w:ascii="Book Antiqua" w:hAnsi="Book Antiqua" w:cs="Times New Roman"/>
                <w:sz w:val="24"/>
                <w:szCs w:val="24"/>
              </w:rPr>
              <w:t>-0.115</w:t>
            </w:r>
            <w:r w:rsidR="008A3349" w:rsidRPr="0091360F">
              <w:rPr>
                <w:rFonts w:ascii="Book Antiqua" w:hAnsi="Book Antiqua" w:cs="Times New Roman"/>
                <w:sz w:val="24"/>
                <w:szCs w:val="24"/>
              </w:rPr>
              <w:t>0</w:t>
            </w:r>
          </w:p>
        </w:tc>
        <w:tc>
          <w:tcPr>
            <w:tcW w:w="944" w:type="dxa"/>
          </w:tcPr>
          <w:p w14:paraId="193DD1C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0.0610</w:t>
            </w:r>
          </w:p>
        </w:tc>
        <w:tc>
          <w:tcPr>
            <w:tcW w:w="1271" w:type="dxa"/>
          </w:tcPr>
          <w:p w14:paraId="73A54E0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0.386</w:t>
            </w:r>
          </w:p>
        </w:tc>
      </w:tr>
      <w:tr w:rsidR="00D259B0" w:rsidRPr="0091360F" w14:paraId="23ACD369" w14:textId="77777777" w:rsidTr="00B9470C">
        <w:tc>
          <w:tcPr>
            <w:tcW w:w="1321" w:type="dxa"/>
          </w:tcPr>
          <w:p w14:paraId="2FAB6C20"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CANUKA</w:t>
            </w:r>
          </w:p>
        </w:tc>
        <w:tc>
          <w:tcPr>
            <w:tcW w:w="1136" w:type="dxa"/>
          </w:tcPr>
          <w:p w14:paraId="5E5FDE1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0.656</w:t>
            </w:r>
          </w:p>
        </w:tc>
        <w:tc>
          <w:tcPr>
            <w:tcW w:w="1323" w:type="dxa"/>
          </w:tcPr>
          <w:p w14:paraId="1ED809B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0.579-0.732</w:t>
            </w:r>
          </w:p>
        </w:tc>
        <w:tc>
          <w:tcPr>
            <w:tcW w:w="960" w:type="dxa"/>
          </w:tcPr>
          <w:p w14:paraId="60F9D13A" w14:textId="5D48575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6ADC81C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0.0614</w:t>
            </w:r>
          </w:p>
        </w:tc>
        <w:tc>
          <w:tcPr>
            <w:tcW w:w="1343" w:type="dxa"/>
          </w:tcPr>
          <w:p w14:paraId="286C663F" w14:textId="6BCD0C6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-0.0237- 0.147</w:t>
            </w:r>
            <w:r w:rsidR="008A3349" w:rsidRPr="0091360F">
              <w:rPr>
                <w:rFonts w:ascii="Book Antiqua" w:hAnsi="Book Antiqua" w:cs="Times New Roman"/>
                <w:sz w:val="24"/>
                <w:szCs w:val="24"/>
              </w:rPr>
              <w:t>0</w:t>
            </w:r>
          </w:p>
        </w:tc>
        <w:tc>
          <w:tcPr>
            <w:tcW w:w="944" w:type="dxa"/>
          </w:tcPr>
          <w:p w14:paraId="619B518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0.1575</w:t>
            </w:r>
          </w:p>
        </w:tc>
        <w:tc>
          <w:tcPr>
            <w:tcW w:w="1271" w:type="dxa"/>
          </w:tcPr>
          <w:p w14:paraId="1E93B5A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0.186</w:t>
            </w:r>
          </w:p>
        </w:tc>
      </w:tr>
      <w:tr w:rsidR="00D259B0" w:rsidRPr="0091360F" w14:paraId="673655C6" w14:textId="77777777" w:rsidTr="00B9470C">
        <w:tc>
          <w:tcPr>
            <w:tcW w:w="1321" w:type="dxa"/>
          </w:tcPr>
          <w:p w14:paraId="383733C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 xml:space="preserve">AIMS65 </w:t>
            </w:r>
          </w:p>
        </w:tc>
        <w:tc>
          <w:tcPr>
            <w:tcW w:w="1136" w:type="dxa"/>
          </w:tcPr>
          <w:p w14:paraId="38C9D12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0.642</w:t>
            </w:r>
          </w:p>
        </w:tc>
        <w:tc>
          <w:tcPr>
            <w:tcW w:w="1323" w:type="dxa"/>
          </w:tcPr>
          <w:p w14:paraId="31689A2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0.565-0.719</w:t>
            </w:r>
          </w:p>
        </w:tc>
        <w:tc>
          <w:tcPr>
            <w:tcW w:w="960" w:type="dxa"/>
          </w:tcPr>
          <w:p w14:paraId="14EFC396" w14:textId="25237B9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4D2F020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0.0753</w:t>
            </w:r>
          </w:p>
        </w:tc>
        <w:tc>
          <w:tcPr>
            <w:tcW w:w="1343" w:type="dxa"/>
          </w:tcPr>
          <w:p w14:paraId="1F6E54D0" w14:textId="1C5EFCB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0.0120 - 0.138</w:t>
            </w:r>
            <w:r w:rsidR="008A3349" w:rsidRPr="0091360F">
              <w:rPr>
                <w:rFonts w:ascii="Book Antiqua" w:hAnsi="Book Antiqua" w:cs="Times New Roman"/>
                <w:sz w:val="24"/>
                <w:szCs w:val="24"/>
              </w:rPr>
              <w:t>0</w:t>
            </w:r>
          </w:p>
        </w:tc>
        <w:tc>
          <w:tcPr>
            <w:tcW w:w="944" w:type="dxa"/>
          </w:tcPr>
          <w:p w14:paraId="66B869D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0.0196</w:t>
            </w:r>
          </w:p>
        </w:tc>
        <w:tc>
          <w:tcPr>
            <w:tcW w:w="1271" w:type="dxa"/>
          </w:tcPr>
          <w:p w14:paraId="4BC1DC8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0.321</w:t>
            </w:r>
          </w:p>
        </w:tc>
      </w:tr>
      <w:tr w:rsidR="00D259B0" w:rsidRPr="0091360F" w14:paraId="398DBD73" w14:textId="77777777" w:rsidTr="00B9470C">
        <w:tc>
          <w:tcPr>
            <w:tcW w:w="1321" w:type="dxa"/>
          </w:tcPr>
          <w:p w14:paraId="2A857D40"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GBS</w:t>
            </w:r>
          </w:p>
        </w:tc>
        <w:tc>
          <w:tcPr>
            <w:tcW w:w="1136" w:type="dxa"/>
          </w:tcPr>
          <w:p w14:paraId="5E22BE7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0.617</w:t>
            </w:r>
          </w:p>
        </w:tc>
        <w:tc>
          <w:tcPr>
            <w:tcW w:w="1323" w:type="dxa"/>
          </w:tcPr>
          <w:p w14:paraId="75F0C5B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0.534-0.699</w:t>
            </w:r>
          </w:p>
        </w:tc>
        <w:tc>
          <w:tcPr>
            <w:tcW w:w="960" w:type="dxa"/>
          </w:tcPr>
          <w:p w14:paraId="30DF224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0.003</w:t>
            </w:r>
          </w:p>
        </w:tc>
        <w:tc>
          <w:tcPr>
            <w:tcW w:w="1336" w:type="dxa"/>
          </w:tcPr>
          <w:p w14:paraId="7B32DB3A" w14:textId="6F2D9F6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0.101</w:t>
            </w:r>
            <w:r w:rsidR="00F62BBA" w:rsidRPr="0091360F">
              <w:rPr>
                <w:rFonts w:ascii="Book Antiqua" w:hAnsi="Book Antiqua" w:cs="Times New Roman"/>
                <w:sz w:val="24"/>
                <w:szCs w:val="24"/>
              </w:rPr>
              <w:t>0</w:t>
            </w:r>
          </w:p>
        </w:tc>
        <w:tc>
          <w:tcPr>
            <w:tcW w:w="1343" w:type="dxa"/>
          </w:tcPr>
          <w:p w14:paraId="69112D50" w14:textId="6FD5351D"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0.0153 - 0.186</w:t>
            </w:r>
            <w:r w:rsidR="008A3349" w:rsidRPr="0091360F">
              <w:rPr>
                <w:rFonts w:ascii="Book Antiqua" w:hAnsi="Book Antiqua" w:cs="Times New Roman"/>
                <w:sz w:val="24"/>
                <w:szCs w:val="24"/>
              </w:rPr>
              <w:t>0</w:t>
            </w:r>
          </w:p>
        </w:tc>
        <w:tc>
          <w:tcPr>
            <w:tcW w:w="944" w:type="dxa"/>
          </w:tcPr>
          <w:p w14:paraId="53044FF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0.0208</w:t>
            </w:r>
          </w:p>
        </w:tc>
        <w:tc>
          <w:tcPr>
            <w:tcW w:w="1271" w:type="dxa"/>
          </w:tcPr>
          <w:p w14:paraId="677CCB3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0.041</w:t>
            </w:r>
          </w:p>
        </w:tc>
      </w:tr>
      <w:tr w:rsidR="00D259B0" w:rsidRPr="0091360F" w14:paraId="26B26888" w14:textId="77777777" w:rsidTr="00B9470C">
        <w:tc>
          <w:tcPr>
            <w:tcW w:w="1321" w:type="dxa"/>
          </w:tcPr>
          <w:p w14:paraId="0DA9B9E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mGBS</w:t>
            </w:r>
          </w:p>
        </w:tc>
        <w:tc>
          <w:tcPr>
            <w:tcW w:w="1136" w:type="dxa"/>
          </w:tcPr>
          <w:p w14:paraId="434D6D3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0.600</w:t>
            </w:r>
          </w:p>
        </w:tc>
        <w:tc>
          <w:tcPr>
            <w:tcW w:w="1323" w:type="dxa"/>
          </w:tcPr>
          <w:p w14:paraId="0C63CDD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0.518-0.683</w:t>
            </w:r>
          </w:p>
        </w:tc>
        <w:tc>
          <w:tcPr>
            <w:tcW w:w="960" w:type="dxa"/>
          </w:tcPr>
          <w:p w14:paraId="6BDBA7E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0.011</w:t>
            </w:r>
          </w:p>
        </w:tc>
        <w:tc>
          <w:tcPr>
            <w:tcW w:w="1336" w:type="dxa"/>
          </w:tcPr>
          <w:p w14:paraId="64C57F71" w14:textId="4449677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0.117</w:t>
            </w:r>
            <w:r w:rsidR="00F62BBA" w:rsidRPr="0091360F">
              <w:rPr>
                <w:rFonts w:ascii="Book Antiqua" w:hAnsi="Book Antiqua" w:cs="Times New Roman"/>
                <w:sz w:val="24"/>
                <w:szCs w:val="24"/>
              </w:rPr>
              <w:t>0</w:t>
            </w:r>
          </w:p>
        </w:tc>
        <w:tc>
          <w:tcPr>
            <w:tcW w:w="1343" w:type="dxa"/>
          </w:tcPr>
          <w:p w14:paraId="07B6FE2D" w14:textId="44A934F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0.0314 - 0.202</w:t>
            </w:r>
            <w:r w:rsidR="008A3349" w:rsidRPr="0091360F">
              <w:rPr>
                <w:rFonts w:ascii="Book Antiqua" w:hAnsi="Book Antiqua" w:cs="Times New Roman"/>
                <w:sz w:val="24"/>
                <w:szCs w:val="24"/>
              </w:rPr>
              <w:t>0</w:t>
            </w:r>
          </w:p>
        </w:tc>
        <w:tc>
          <w:tcPr>
            <w:tcW w:w="944" w:type="dxa"/>
          </w:tcPr>
          <w:p w14:paraId="1241BBF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0.0074</w:t>
            </w:r>
          </w:p>
        </w:tc>
        <w:tc>
          <w:tcPr>
            <w:tcW w:w="1271" w:type="dxa"/>
          </w:tcPr>
          <w:p w14:paraId="7ED4043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0.064</w:t>
            </w:r>
          </w:p>
        </w:tc>
      </w:tr>
      <w:tr w:rsidR="00420454" w:rsidRPr="0091360F" w14:paraId="115F8C42" w14:textId="77777777" w:rsidTr="00B9470C">
        <w:tc>
          <w:tcPr>
            <w:tcW w:w="9634" w:type="dxa"/>
            <w:gridSpan w:val="8"/>
          </w:tcPr>
          <w:p w14:paraId="2560E5E0"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mortality</w:t>
            </w:r>
          </w:p>
        </w:tc>
      </w:tr>
      <w:tr w:rsidR="00420454" w:rsidRPr="0091360F" w14:paraId="3004D064" w14:textId="77777777" w:rsidTr="00B9470C">
        <w:tc>
          <w:tcPr>
            <w:tcW w:w="1321" w:type="dxa"/>
          </w:tcPr>
          <w:p w14:paraId="19947734"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1136" w:type="dxa"/>
          </w:tcPr>
          <w:p w14:paraId="6FADB45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0.883</w:t>
            </w:r>
          </w:p>
        </w:tc>
        <w:tc>
          <w:tcPr>
            <w:tcW w:w="1323" w:type="dxa"/>
          </w:tcPr>
          <w:p w14:paraId="75EC857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0.822-0.943</w:t>
            </w:r>
          </w:p>
        </w:tc>
        <w:tc>
          <w:tcPr>
            <w:tcW w:w="960" w:type="dxa"/>
          </w:tcPr>
          <w:p w14:paraId="0DC9C715" w14:textId="56E3883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3623" w:type="dxa"/>
            <w:gridSpan w:val="3"/>
          </w:tcPr>
          <w:p w14:paraId="10E72CC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Reference</w:t>
            </w:r>
          </w:p>
        </w:tc>
        <w:tc>
          <w:tcPr>
            <w:tcW w:w="1271" w:type="dxa"/>
          </w:tcPr>
          <w:p w14:paraId="0FAE627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0.166</w:t>
            </w:r>
          </w:p>
        </w:tc>
      </w:tr>
      <w:tr w:rsidR="00D259B0" w:rsidRPr="0091360F" w14:paraId="1E1EEC60" w14:textId="77777777" w:rsidTr="00B9470C">
        <w:tc>
          <w:tcPr>
            <w:tcW w:w="1321" w:type="dxa"/>
          </w:tcPr>
          <w:p w14:paraId="43BB5FA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1136" w:type="dxa"/>
          </w:tcPr>
          <w:p w14:paraId="06513C8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0.878</w:t>
            </w:r>
          </w:p>
        </w:tc>
        <w:tc>
          <w:tcPr>
            <w:tcW w:w="1323" w:type="dxa"/>
          </w:tcPr>
          <w:p w14:paraId="758C872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0.825-0.931</w:t>
            </w:r>
          </w:p>
        </w:tc>
        <w:tc>
          <w:tcPr>
            <w:tcW w:w="960" w:type="dxa"/>
          </w:tcPr>
          <w:p w14:paraId="2B2990CD" w14:textId="71EC80B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74A4D3C6" w14:textId="51A3A66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0.0047</w:t>
            </w:r>
          </w:p>
        </w:tc>
        <w:tc>
          <w:tcPr>
            <w:tcW w:w="1343" w:type="dxa"/>
          </w:tcPr>
          <w:p w14:paraId="725D41D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-0.0620-0.0714</w:t>
            </w:r>
          </w:p>
        </w:tc>
        <w:tc>
          <w:tcPr>
            <w:tcW w:w="944" w:type="dxa"/>
          </w:tcPr>
          <w:p w14:paraId="7EB30EE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0.8901</w:t>
            </w:r>
          </w:p>
        </w:tc>
        <w:tc>
          <w:tcPr>
            <w:tcW w:w="1271" w:type="dxa"/>
          </w:tcPr>
          <w:p w14:paraId="364F5FE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0.566</w:t>
            </w:r>
          </w:p>
        </w:tc>
      </w:tr>
      <w:tr w:rsidR="00D259B0" w:rsidRPr="0091360F" w14:paraId="73BF717D" w14:textId="77777777" w:rsidTr="00B9470C">
        <w:tc>
          <w:tcPr>
            <w:tcW w:w="1321" w:type="dxa"/>
          </w:tcPr>
          <w:p w14:paraId="235ECEFB"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AIMS65</w:t>
            </w:r>
          </w:p>
        </w:tc>
        <w:tc>
          <w:tcPr>
            <w:tcW w:w="1136" w:type="dxa"/>
          </w:tcPr>
          <w:p w14:paraId="07373E3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0.856</w:t>
            </w:r>
          </w:p>
        </w:tc>
        <w:tc>
          <w:tcPr>
            <w:tcW w:w="1323" w:type="dxa"/>
          </w:tcPr>
          <w:p w14:paraId="6D598A7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0.787-0.925</w:t>
            </w:r>
          </w:p>
        </w:tc>
        <w:tc>
          <w:tcPr>
            <w:tcW w:w="960" w:type="dxa"/>
          </w:tcPr>
          <w:p w14:paraId="1F218E3C" w14:textId="1911C55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655A64A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0.0269</w:t>
            </w:r>
          </w:p>
        </w:tc>
        <w:tc>
          <w:tcPr>
            <w:tcW w:w="1343" w:type="dxa"/>
          </w:tcPr>
          <w:p w14:paraId="57D3E76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-0.0390-0.0928</w:t>
            </w:r>
          </w:p>
        </w:tc>
        <w:tc>
          <w:tcPr>
            <w:tcW w:w="944" w:type="dxa"/>
          </w:tcPr>
          <w:p w14:paraId="776155F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0.4232</w:t>
            </w:r>
          </w:p>
        </w:tc>
        <w:tc>
          <w:tcPr>
            <w:tcW w:w="1271" w:type="dxa"/>
          </w:tcPr>
          <w:p w14:paraId="6C2C1F7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0.175</w:t>
            </w:r>
          </w:p>
        </w:tc>
      </w:tr>
      <w:tr w:rsidR="00D259B0" w:rsidRPr="0091360F" w14:paraId="26EE2A62" w14:textId="77777777" w:rsidTr="00B9470C">
        <w:tc>
          <w:tcPr>
            <w:tcW w:w="1321" w:type="dxa"/>
          </w:tcPr>
          <w:p w14:paraId="1271CC3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MELD-Na</w:t>
            </w:r>
          </w:p>
        </w:tc>
        <w:tc>
          <w:tcPr>
            <w:tcW w:w="1136" w:type="dxa"/>
          </w:tcPr>
          <w:p w14:paraId="32B3FA9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0.856</w:t>
            </w:r>
          </w:p>
        </w:tc>
        <w:tc>
          <w:tcPr>
            <w:tcW w:w="1323" w:type="dxa"/>
          </w:tcPr>
          <w:p w14:paraId="3DA0B3C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0.786-0.925</w:t>
            </w:r>
          </w:p>
        </w:tc>
        <w:tc>
          <w:tcPr>
            <w:tcW w:w="960" w:type="dxa"/>
          </w:tcPr>
          <w:p w14:paraId="591D424A" w14:textId="59CB851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5284F3C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0.0271</w:t>
            </w:r>
          </w:p>
        </w:tc>
        <w:tc>
          <w:tcPr>
            <w:tcW w:w="1343" w:type="dxa"/>
          </w:tcPr>
          <w:p w14:paraId="51895D3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-0.0453-0.0995</w:t>
            </w:r>
          </w:p>
        </w:tc>
        <w:tc>
          <w:tcPr>
            <w:tcW w:w="944" w:type="dxa"/>
          </w:tcPr>
          <w:p w14:paraId="1DCA79E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0.4630</w:t>
            </w:r>
          </w:p>
        </w:tc>
        <w:tc>
          <w:tcPr>
            <w:tcW w:w="1271" w:type="dxa"/>
          </w:tcPr>
          <w:p w14:paraId="7BB341B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0.636</w:t>
            </w:r>
          </w:p>
        </w:tc>
      </w:tr>
      <w:tr w:rsidR="00D259B0" w:rsidRPr="0091360F" w14:paraId="48D1CB16" w14:textId="77777777" w:rsidTr="00B9470C">
        <w:tc>
          <w:tcPr>
            <w:tcW w:w="1321" w:type="dxa"/>
          </w:tcPr>
          <w:p w14:paraId="19DCBDF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lastRenderedPageBreak/>
              <w:t>MELD</w:t>
            </w:r>
          </w:p>
        </w:tc>
        <w:tc>
          <w:tcPr>
            <w:tcW w:w="1136" w:type="dxa"/>
          </w:tcPr>
          <w:p w14:paraId="4470170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0.840</w:t>
            </w:r>
          </w:p>
        </w:tc>
        <w:tc>
          <w:tcPr>
            <w:tcW w:w="1323" w:type="dxa"/>
          </w:tcPr>
          <w:p w14:paraId="1B2F414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0.767-0.914</w:t>
            </w:r>
          </w:p>
        </w:tc>
        <w:tc>
          <w:tcPr>
            <w:tcW w:w="960" w:type="dxa"/>
          </w:tcPr>
          <w:p w14:paraId="7EE8184E" w14:textId="09DCFD9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28F96E8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0.0423</w:t>
            </w:r>
          </w:p>
        </w:tc>
        <w:tc>
          <w:tcPr>
            <w:tcW w:w="1343" w:type="dxa"/>
          </w:tcPr>
          <w:p w14:paraId="04123D8A" w14:textId="594A538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-0.0360- 0.121</w:t>
            </w:r>
            <w:r w:rsidR="008A3349" w:rsidRPr="0091360F">
              <w:rPr>
                <w:rFonts w:ascii="Book Antiqua" w:hAnsi="Book Antiqua" w:cs="Times New Roman"/>
                <w:sz w:val="24"/>
                <w:szCs w:val="24"/>
              </w:rPr>
              <w:t>0</w:t>
            </w:r>
          </w:p>
        </w:tc>
        <w:tc>
          <w:tcPr>
            <w:tcW w:w="944" w:type="dxa"/>
          </w:tcPr>
          <w:p w14:paraId="4ACF7A5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0.2900</w:t>
            </w:r>
          </w:p>
        </w:tc>
        <w:tc>
          <w:tcPr>
            <w:tcW w:w="1271" w:type="dxa"/>
          </w:tcPr>
          <w:p w14:paraId="1495906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0.472</w:t>
            </w:r>
          </w:p>
        </w:tc>
      </w:tr>
      <w:tr w:rsidR="00D259B0" w:rsidRPr="0091360F" w14:paraId="0EC1820E" w14:textId="77777777" w:rsidTr="00B9470C">
        <w:tc>
          <w:tcPr>
            <w:tcW w:w="1321" w:type="dxa"/>
          </w:tcPr>
          <w:p w14:paraId="3368D4A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mGBS</w:t>
            </w:r>
          </w:p>
        </w:tc>
        <w:tc>
          <w:tcPr>
            <w:tcW w:w="1136" w:type="dxa"/>
          </w:tcPr>
          <w:p w14:paraId="57B2ACF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0.734</w:t>
            </w:r>
          </w:p>
        </w:tc>
        <w:tc>
          <w:tcPr>
            <w:tcW w:w="1323" w:type="dxa"/>
          </w:tcPr>
          <w:p w14:paraId="7CA320B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0.631-0.838</w:t>
            </w:r>
          </w:p>
        </w:tc>
        <w:tc>
          <w:tcPr>
            <w:tcW w:w="960" w:type="dxa"/>
          </w:tcPr>
          <w:p w14:paraId="192B6FF7" w14:textId="6FBEE82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32731BE4" w14:textId="2DCCEF1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0.148</w:t>
            </w:r>
            <w:r w:rsidR="000E17DC" w:rsidRPr="0091360F">
              <w:rPr>
                <w:rFonts w:ascii="Book Antiqua" w:hAnsi="Book Antiqua" w:cs="Times New Roman"/>
                <w:sz w:val="24"/>
                <w:szCs w:val="24"/>
              </w:rPr>
              <w:t>0</w:t>
            </w:r>
          </w:p>
        </w:tc>
        <w:tc>
          <w:tcPr>
            <w:tcW w:w="1343" w:type="dxa"/>
          </w:tcPr>
          <w:p w14:paraId="0501C669" w14:textId="3A760CE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0.0552-0.242</w:t>
            </w:r>
            <w:r w:rsidR="008A3349" w:rsidRPr="0091360F">
              <w:rPr>
                <w:rFonts w:ascii="Book Antiqua" w:hAnsi="Book Antiqua" w:cs="Times New Roman"/>
                <w:sz w:val="24"/>
                <w:szCs w:val="24"/>
              </w:rPr>
              <w:t>0</w:t>
            </w:r>
          </w:p>
        </w:tc>
        <w:tc>
          <w:tcPr>
            <w:tcW w:w="944" w:type="dxa"/>
          </w:tcPr>
          <w:p w14:paraId="30254FA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0.0018</w:t>
            </w:r>
          </w:p>
        </w:tc>
        <w:tc>
          <w:tcPr>
            <w:tcW w:w="1271" w:type="dxa"/>
          </w:tcPr>
          <w:p w14:paraId="226EC67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0.013</w:t>
            </w:r>
          </w:p>
        </w:tc>
      </w:tr>
      <w:tr w:rsidR="00D259B0" w:rsidRPr="0091360F" w14:paraId="5E8CA365" w14:textId="77777777" w:rsidTr="00B9470C">
        <w:tc>
          <w:tcPr>
            <w:tcW w:w="1321" w:type="dxa"/>
          </w:tcPr>
          <w:p w14:paraId="30A701FE"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CANUKA</w:t>
            </w:r>
          </w:p>
        </w:tc>
        <w:tc>
          <w:tcPr>
            <w:tcW w:w="1136" w:type="dxa"/>
          </w:tcPr>
          <w:p w14:paraId="12043BE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0.728</w:t>
            </w:r>
          </w:p>
        </w:tc>
        <w:tc>
          <w:tcPr>
            <w:tcW w:w="1323" w:type="dxa"/>
          </w:tcPr>
          <w:p w14:paraId="4779C89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0.627-0.830</w:t>
            </w:r>
          </w:p>
        </w:tc>
        <w:tc>
          <w:tcPr>
            <w:tcW w:w="960" w:type="dxa"/>
          </w:tcPr>
          <w:p w14:paraId="2611C00C" w14:textId="7DF9EA4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120148C1" w14:textId="170BE16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0.154</w:t>
            </w:r>
            <w:r w:rsidR="000E17DC" w:rsidRPr="0091360F">
              <w:rPr>
                <w:rFonts w:ascii="Book Antiqua" w:hAnsi="Book Antiqua" w:cs="Times New Roman"/>
                <w:sz w:val="24"/>
                <w:szCs w:val="24"/>
              </w:rPr>
              <w:t>0</w:t>
            </w:r>
          </w:p>
        </w:tc>
        <w:tc>
          <w:tcPr>
            <w:tcW w:w="1343" w:type="dxa"/>
          </w:tcPr>
          <w:p w14:paraId="5650D706" w14:textId="08DFA82D"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0.0675-0.241</w:t>
            </w:r>
            <w:r w:rsidR="008A3349" w:rsidRPr="0091360F">
              <w:rPr>
                <w:rFonts w:ascii="Book Antiqua" w:hAnsi="Book Antiqua" w:cs="Times New Roman"/>
                <w:sz w:val="24"/>
                <w:szCs w:val="24"/>
              </w:rPr>
              <w:t>0</w:t>
            </w:r>
          </w:p>
        </w:tc>
        <w:tc>
          <w:tcPr>
            <w:tcW w:w="944" w:type="dxa"/>
          </w:tcPr>
          <w:p w14:paraId="7655E2E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0.0005</w:t>
            </w:r>
          </w:p>
        </w:tc>
        <w:tc>
          <w:tcPr>
            <w:tcW w:w="1271" w:type="dxa"/>
          </w:tcPr>
          <w:p w14:paraId="57EDF2E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0.046</w:t>
            </w:r>
          </w:p>
        </w:tc>
      </w:tr>
      <w:tr w:rsidR="00D259B0" w:rsidRPr="0091360F" w14:paraId="0BF15AC2" w14:textId="77777777" w:rsidTr="00B9470C">
        <w:tc>
          <w:tcPr>
            <w:tcW w:w="1321" w:type="dxa"/>
          </w:tcPr>
          <w:p w14:paraId="54652FDC"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GBS</w:t>
            </w:r>
          </w:p>
        </w:tc>
        <w:tc>
          <w:tcPr>
            <w:tcW w:w="1136" w:type="dxa"/>
          </w:tcPr>
          <w:p w14:paraId="48E9E06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0.723</w:t>
            </w:r>
          </w:p>
        </w:tc>
        <w:tc>
          <w:tcPr>
            <w:tcW w:w="1323" w:type="dxa"/>
          </w:tcPr>
          <w:p w14:paraId="4F53260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0.621-0.826</w:t>
            </w:r>
          </w:p>
        </w:tc>
        <w:tc>
          <w:tcPr>
            <w:tcW w:w="960" w:type="dxa"/>
          </w:tcPr>
          <w:p w14:paraId="43E62352" w14:textId="779D0D1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6EE5DFA5" w14:textId="3DD2A1A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0.159</w:t>
            </w:r>
            <w:r w:rsidR="000E17DC" w:rsidRPr="0091360F">
              <w:rPr>
                <w:rFonts w:ascii="Book Antiqua" w:hAnsi="Book Antiqua" w:cs="Times New Roman"/>
                <w:sz w:val="24"/>
                <w:szCs w:val="24"/>
              </w:rPr>
              <w:t>0</w:t>
            </w:r>
          </w:p>
        </w:tc>
        <w:tc>
          <w:tcPr>
            <w:tcW w:w="1343" w:type="dxa"/>
          </w:tcPr>
          <w:p w14:paraId="03C1BB80" w14:textId="459F230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0.0668-0.252</w:t>
            </w:r>
            <w:r w:rsidR="008A3349" w:rsidRPr="0091360F">
              <w:rPr>
                <w:rFonts w:ascii="Book Antiqua" w:hAnsi="Book Antiqua" w:cs="Times New Roman"/>
                <w:sz w:val="24"/>
                <w:szCs w:val="24"/>
              </w:rPr>
              <w:t>0</w:t>
            </w:r>
          </w:p>
        </w:tc>
        <w:tc>
          <w:tcPr>
            <w:tcW w:w="944" w:type="dxa"/>
          </w:tcPr>
          <w:p w14:paraId="3A42C90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0.0007</w:t>
            </w:r>
          </w:p>
        </w:tc>
        <w:tc>
          <w:tcPr>
            <w:tcW w:w="1271" w:type="dxa"/>
          </w:tcPr>
          <w:p w14:paraId="2F27263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0.004</w:t>
            </w:r>
          </w:p>
        </w:tc>
      </w:tr>
      <w:tr w:rsidR="00420454" w:rsidRPr="0091360F" w14:paraId="609C53AF" w14:textId="77777777" w:rsidTr="00B9470C">
        <w:tc>
          <w:tcPr>
            <w:tcW w:w="9634" w:type="dxa"/>
            <w:gridSpan w:val="8"/>
          </w:tcPr>
          <w:p w14:paraId="45336AFD"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adverse outcomes</w:t>
            </w:r>
          </w:p>
        </w:tc>
      </w:tr>
      <w:tr w:rsidR="00420454" w:rsidRPr="0091360F" w14:paraId="30446A43" w14:textId="77777777" w:rsidTr="00B9470C">
        <w:tc>
          <w:tcPr>
            <w:tcW w:w="1321" w:type="dxa"/>
          </w:tcPr>
          <w:p w14:paraId="6843505D"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1136" w:type="dxa"/>
          </w:tcPr>
          <w:p w14:paraId="796F004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0.784</w:t>
            </w:r>
          </w:p>
        </w:tc>
        <w:tc>
          <w:tcPr>
            <w:tcW w:w="1323" w:type="dxa"/>
          </w:tcPr>
          <w:p w14:paraId="326ADE1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0.725-0.843</w:t>
            </w:r>
          </w:p>
        </w:tc>
        <w:tc>
          <w:tcPr>
            <w:tcW w:w="960" w:type="dxa"/>
          </w:tcPr>
          <w:p w14:paraId="48D5FB3B" w14:textId="5F0B216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3623" w:type="dxa"/>
            <w:gridSpan w:val="3"/>
          </w:tcPr>
          <w:p w14:paraId="5413E41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Reference</w:t>
            </w:r>
          </w:p>
        </w:tc>
        <w:tc>
          <w:tcPr>
            <w:tcW w:w="1271" w:type="dxa"/>
          </w:tcPr>
          <w:p w14:paraId="1A22488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0.218</w:t>
            </w:r>
          </w:p>
        </w:tc>
      </w:tr>
      <w:tr w:rsidR="00D259B0" w:rsidRPr="0091360F" w14:paraId="36CB02A6" w14:textId="77777777" w:rsidTr="00B9470C">
        <w:tc>
          <w:tcPr>
            <w:tcW w:w="1321" w:type="dxa"/>
          </w:tcPr>
          <w:p w14:paraId="4BAD474F"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1136" w:type="dxa"/>
          </w:tcPr>
          <w:p w14:paraId="519579A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0.775</w:t>
            </w:r>
          </w:p>
        </w:tc>
        <w:tc>
          <w:tcPr>
            <w:tcW w:w="1323" w:type="dxa"/>
          </w:tcPr>
          <w:p w14:paraId="6E69520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0.709-0.841</w:t>
            </w:r>
          </w:p>
        </w:tc>
        <w:tc>
          <w:tcPr>
            <w:tcW w:w="960" w:type="dxa"/>
          </w:tcPr>
          <w:p w14:paraId="597D16F5" w14:textId="490DAA1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2EE6A03A" w14:textId="0E334E8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0.008</w:t>
            </w:r>
            <w:r w:rsidR="00A64232" w:rsidRPr="0091360F">
              <w:rPr>
                <w:rFonts w:ascii="Book Antiqua" w:hAnsi="Book Antiqua" w:cs="Times New Roman"/>
                <w:sz w:val="24"/>
                <w:szCs w:val="24"/>
              </w:rPr>
              <w:t>7</w:t>
            </w:r>
          </w:p>
        </w:tc>
        <w:tc>
          <w:tcPr>
            <w:tcW w:w="1343" w:type="dxa"/>
          </w:tcPr>
          <w:p w14:paraId="609DA82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-0.0650-0.0824</w:t>
            </w:r>
          </w:p>
        </w:tc>
        <w:tc>
          <w:tcPr>
            <w:tcW w:w="944" w:type="dxa"/>
          </w:tcPr>
          <w:p w14:paraId="1B48231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0.8171</w:t>
            </w:r>
          </w:p>
        </w:tc>
        <w:tc>
          <w:tcPr>
            <w:tcW w:w="1271" w:type="dxa"/>
          </w:tcPr>
          <w:p w14:paraId="397774D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0.002</w:t>
            </w:r>
          </w:p>
        </w:tc>
      </w:tr>
      <w:tr w:rsidR="00D259B0" w:rsidRPr="0091360F" w14:paraId="55727EA9" w14:textId="77777777" w:rsidTr="00B9470C">
        <w:tc>
          <w:tcPr>
            <w:tcW w:w="1321" w:type="dxa"/>
          </w:tcPr>
          <w:p w14:paraId="2531754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MELD-Na</w:t>
            </w:r>
          </w:p>
        </w:tc>
        <w:tc>
          <w:tcPr>
            <w:tcW w:w="1136" w:type="dxa"/>
          </w:tcPr>
          <w:p w14:paraId="756C9F2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0.739</w:t>
            </w:r>
          </w:p>
        </w:tc>
        <w:tc>
          <w:tcPr>
            <w:tcW w:w="1323" w:type="dxa"/>
          </w:tcPr>
          <w:p w14:paraId="6323434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0.675-0.803</w:t>
            </w:r>
          </w:p>
        </w:tc>
        <w:tc>
          <w:tcPr>
            <w:tcW w:w="960" w:type="dxa"/>
          </w:tcPr>
          <w:p w14:paraId="5AD91B5D" w14:textId="2C41F76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55FBA27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0.0446</w:t>
            </w:r>
          </w:p>
        </w:tc>
        <w:tc>
          <w:tcPr>
            <w:tcW w:w="1343" w:type="dxa"/>
          </w:tcPr>
          <w:p w14:paraId="319392DB" w14:textId="68937A7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-0.0136-0.103</w:t>
            </w:r>
            <w:r w:rsidR="008A3349" w:rsidRPr="0091360F">
              <w:rPr>
                <w:rFonts w:ascii="Book Antiqua" w:hAnsi="Book Antiqua" w:cs="Times New Roman"/>
                <w:sz w:val="24"/>
                <w:szCs w:val="24"/>
              </w:rPr>
              <w:t>0</w:t>
            </w:r>
          </w:p>
        </w:tc>
        <w:tc>
          <w:tcPr>
            <w:tcW w:w="944" w:type="dxa"/>
          </w:tcPr>
          <w:p w14:paraId="0575B22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0.1335</w:t>
            </w:r>
          </w:p>
        </w:tc>
        <w:tc>
          <w:tcPr>
            <w:tcW w:w="1271" w:type="dxa"/>
          </w:tcPr>
          <w:p w14:paraId="0F41414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0.723</w:t>
            </w:r>
          </w:p>
        </w:tc>
      </w:tr>
      <w:tr w:rsidR="00D259B0" w:rsidRPr="0091360F" w14:paraId="5652DFEA" w14:textId="77777777" w:rsidTr="00B9470C">
        <w:tc>
          <w:tcPr>
            <w:tcW w:w="1321" w:type="dxa"/>
          </w:tcPr>
          <w:p w14:paraId="2471FDE0"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w:t>
            </w:r>
          </w:p>
        </w:tc>
        <w:tc>
          <w:tcPr>
            <w:tcW w:w="1136" w:type="dxa"/>
          </w:tcPr>
          <w:p w14:paraId="4425441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0.724</w:t>
            </w:r>
          </w:p>
        </w:tc>
        <w:tc>
          <w:tcPr>
            <w:tcW w:w="1323" w:type="dxa"/>
          </w:tcPr>
          <w:p w14:paraId="64B28F7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0.659-0.789</w:t>
            </w:r>
          </w:p>
        </w:tc>
        <w:tc>
          <w:tcPr>
            <w:tcW w:w="960" w:type="dxa"/>
          </w:tcPr>
          <w:p w14:paraId="3136589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&lt;0.001</w:t>
            </w:r>
          </w:p>
        </w:tc>
        <w:tc>
          <w:tcPr>
            <w:tcW w:w="1336" w:type="dxa"/>
          </w:tcPr>
          <w:p w14:paraId="0CF07D1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0.0598</w:t>
            </w:r>
          </w:p>
        </w:tc>
        <w:tc>
          <w:tcPr>
            <w:tcW w:w="1343" w:type="dxa"/>
          </w:tcPr>
          <w:p w14:paraId="00FB5045" w14:textId="61577C9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0.007</w:t>
            </w:r>
            <w:r w:rsidR="003C4CCC" w:rsidRPr="0091360F">
              <w:rPr>
                <w:rFonts w:ascii="Book Antiqua" w:hAnsi="Book Antiqua" w:cs="Times New Roman"/>
                <w:sz w:val="24"/>
                <w:szCs w:val="24"/>
              </w:rPr>
              <w:t>4</w:t>
            </w:r>
            <w:r w:rsidRPr="0091360F">
              <w:rPr>
                <w:rFonts w:ascii="Book Antiqua" w:hAnsi="Book Antiqua" w:cs="Times New Roman"/>
                <w:sz w:val="24"/>
                <w:szCs w:val="24"/>
              </w:rPr>
              <w:t>-0.112</w:t>
            </w:r>
            <w:r w:rsidR="008A3349" w:rsidRPr="0091360F">
              <w:rPr>
                <w:rFonts w:ascii="Book Antiqua" w:hAnsi="Book Antiqua" w:cs="Times New Roman"/>
                <w:sz w:val="24"/>
                <w:szCs w:val="24"/>
              </w:rPr>
              <w:t>0</w:t>
            </w:r>
          </w:p>
        </w:tc>
        <w:tc>
          <w:tcPr>
            <w:tcW w:w="944" w:type="dxa"/>
          </w:tcPr>
          <w:p w14:paraId="44431F0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0.0254</w:t>
            </w:r>
          </w:p>
        </w:tc>
        <w:tc>
          <w:tcPr>
            <w:tcW w:w="1271" w:type="dxa"/>
          </w:tcPr>
          <w:p w14:paraId="5E0A906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0.464</w:t>
            </w:r>
          </w:p>
        </w:tc>
      </w:tr>
      <w:tr w:rsidR="00D259B0" w:rsidRPr="0091360F" w14:paraId="77D4D11E" w14:textId="77777777" w:rsidTr="00B9470C">
        <w:tc>
          <w:tcPr>
            <w:tcW w:w="1321" w:type="dxa"/>
          </w:tcPr>
          <w:p w14:paraId="4464F0B2"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 xml:space="preserve">AIMS65 </w:t>
            </w:r>
          </w:p>
        </w:tc>
        <w:tc>
          <w:tcPr>
            <w:tcW w:w="1136" w:type="dxa"/>
          </w:tcPr>
          <w:p w14:paraId="6F72AA9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0.711</w:t>
            </w:r>
          </w:p>
        </w:tc>
        <w:tc>
          <w:tcPr>
            <w:tcW w:w="1323" w:type="dxa"/>
          </w:tcPr>
          <w:p w14:paraId="1D07391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0.642-0.780</w:t>
            </w:r>
          </w:p>
        </w:tc>
        <w:tc>
          <w:tcPr>
            <w:tcW w:w="960" w:type="dxa"/>
          </w:tcPr>
          <w:p w14:paraId="3926509F" w14:textId="79BC670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0DEFA3C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0.0728</w:t>
            </w:r>
          </w:p>
        </w:tc>
        <w:tc>
          <w:tcPr>
            <w:tcW w:w="1343" w:type="dxa"/>
          </w:tcPr>
          <w:p w14:paraId="3D69DB3C" w14:textId="2CCE294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0.0160-0.130</w:t>
            </w:r>
            <w:r w:rsidR="008A3349" w:rsidRPr="0091360F">
              <w:rPr>
                <w:rFonts w:ascii="Book Antiqua" w:hAnsi="Book Antiqua" w:cs="Times New Roman"/>
                <w:sz w:val="24"/>
                <w:szCs w:val="24"/>
              </w:rPr>
              <w:t>0</w:t>
            </w:r>
          </w:p>
        </w:tc>
        <w:tc>
          <w:tcPr>
            <w:tcW w:w="944" w:type="dxa"/>
          </w:tcPr>
          <w:p w14:paraId="210C688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0.0120</w:t>
            </w:r>
          </w:p>
        </w:tc>
        <w:tc>
          <w:tcPr>
            <w:tcW w:w="1271" w:type="dxa"/>
          </w:tcPr>
          <w:p w14:paraId="741229A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0.101</w:t>
            </w:r>
          </w:p>
        </w:tc>
      </w:tr>
      <w:tr w:rsidR="00D259B0" w:rsidRPr="0091360F" w14:paraId="483C3B5C" w14:textId="77777777" w:rsidTr="00B9470C">
        <w:tc>
          <w:tcPr>
            <w:tcW w:w="1321" w:type="dxa"/>
          </w:tcPr>
          <w:p w14:paraId="3A676A01"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 xml:space="preserve">CANUKA </w:t>
            </w:r>
          </w:p>
        </w:tc>
        <w:tc>
          <w:tcPr>
            <w:tcW w:w="1136" w:type="dxa"/>
          </w:tcPr>
          <w:p w14:paraId="2C5A76D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0.677</w:t>
            </w:r>
          </w:p>
        </w:tc>
        <w:tc>
          <w:tcPr>
            <w:tcW w:w="1323" w:type="dxa"/>
          </w:tcPr>
          <w:p w14:paraId="258CEA3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0.606-0.748</w:t>
            </w:r>
          </w:p>
        </w:tc>
        <w:tc>
          <w:tcPr>
            <w:tcW w:w="960" w:type="dxa"/>
          </w:tcPr>
          <w:p w14:paraId="2A024C53" w14:textId="4BCA78F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3536C7CC" w14:textId="3819048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0.107</w:t>
            </w:r>
            <w:r w:rsidR="00A64232" w:rsidRPr="0091360F">
              <w:rPr>
                <w:rFonts w:ascii="Book Antiqua" w:hAnsi="Book Antiqua" w:cs="Times New Roman"/>
                <w:sz w:val="24"/>
                <w:szCs w:val="24"/>
              </w:rPr>
              <w:t>0</w:t>
            </w:r>
          </w:p>
        </w:tc>
        <w:tc>
          <w:tcPr>
            <w:tcW w:w="1343" w:type="dxa"/>
          </w:tcPr>
          <w:p w14:paraId="119BA711" w14:textId="6FD07CC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0.0274-0.186</w:t>
            </w:r>
            <w:r w:rsidR="008A3349" w:rsidRPr="0091360F">
              <w:rPr>
                <w:rFonts w:ascii="Book Antiqua" w:hAnsi="Book Antiqua" w:cs="Times New Roman"/>
                <w:sz w:val="24"/>
                <w:szCs w:val="24"/>
              </w:rPr>
              <w:t>0</w:t>
            </w:r>
          </w:p>
        </w:tc>
        <w:tc>
          <w:tcPr>
            <w:tcW w:w="944" w:type="dxa"/>
          </w:tcPr>
          <w:p w14:paraId="1B64F55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0.0084</w:t>
            </w:r>
          </w:p>
        </w:tc>
        <w:tc>
          <w:tcPr>
            <w:tcW w:w="1271" w:type="dxa"/>
          </w:tcPr>
          <w:p w14:paraId="0B25E7D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0.023</w:t>
            </w:r>
          </w:p>
        </w:tc>
      </w:tr>
      <w:tr w:rsidR="00D259B0" w:rsidRPr="0091360F" w14:paraId="35B2DEDC" w14:textId="77777777" w:rsidTr="00B9470C">
        <w:tc>
          <w:tcPr>
            <w:tcW w:w="1321" w:type="dxa"/>
          </w:tcPr>
          <w:p w14:paraId="49BE15DB"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GBS</w:t>
            </w:r>
          </w:p>
        </w:tc>
        <w:tc>
          <w:tcPr>
            <w:tcW w:w="1136" w:type="dxa"/>
          </w:tcPr>
          <w:p w14:paraId="1C595FC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0.656</w:t>
            </w:r>
          </w:p>
        </w:tc>
        <w:tc>
          <w:tcPr>
            <w:tcW w:w="1323" w:type="dxa"/>
          </w:tcPr>
          <w:p w14:paraId="2BBD353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0.582-0.729</w:t>
            </w:r>
          </w:p>
        </w:tc>
        <w:tc>
          <w:tcPr>
            <w:tcW w:w="960" w:type="dxa"/>
          </w:tcPr>
          <w:p w14:paraId="14AFF8A5" w14:textId="318FD01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3DE28E1C" w14:textId="32CF0A5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0.128</w:t>
            </w:r>
            <w:r w:rsidR="00A64232" w:rsidRPr="0091360F">
              <w:rPr>
                <w:rFonts w:ascii="Book Antiqua" w:hAnsi="Book Antiqua" w:cs="Times New Roman"/>
                <w:sz w:val="24"/>
                <w:szCs w:val="24"/>
              </w:rPr>
              <w:t>0</w:t>
            </w:r>
          </w:p>
        </w:tc>
        <w:tc>
          <w:tcPr>
            <w:tcW w:w="1343" w:type="dxa"/>
          </w:tcPr>
          <w:p w14:paraId="37729C8B" w14:textId="0DC44F2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0.0516-0.205</w:t>
            </w:r>
            <w:r w:rsidR="008A3349" w:rsidRPr="0091360F">
              <w:rPr>
                <w:rFonts w:ascii="Book Antiqua" w:hAnsi="Book Antiqua" w:cs="Times New Roman"/>
                <w:sz w:val="24"/>
                <w:szCs w:val="24"/>
              </w:rPr>
              <w:t>0</w:t>
            </w:r>
          </w:p>
        </w:tc>
        <w:tc>
          <w:tcPr>
            <w:tcW w:w="944" w:type="dxa"/>
          </w:tcPr>
          <w:p w14:paraId="42EC483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0.0010</w:t>
            </w:r>
          </w:p>
        </w:tc>
        <w:tc>
          <w:tcPr>
            <w:tcW w:w="1271" w:type="dxa"/>
          </w:tcPr>
          <w:p w14:paraId="7D9AC63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0.008</w:t>
            </w:r>
          </w:p>
        </w:tc>
      </w:tr>
      <w:tr w:rsidR="00D259B0" w:rsidRPr="0091360F" w14:paraId="53686ACC" w14:textId="77777777" w:rsidTr="00B9470C">
        <w:tc>
          <w:tcPr>
            <w:tcW w:w="1321" w:type="dxa"/>
          </w:tcPr>
          <w:p w14:paraId="2A1C5E49"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mGBS</w:t>
            </w:r>
          </w:p>
        </w:tc>
        <w:tc>
          <w:tcPr>
            <w:tcW w:w="1136" w:type="dxa"/>
          </w:tcPr>
          <w:p w14:paraId="1D59F17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0.649</w:t>
            </w:r>
          </w:p>
        </w:tc>
        <w:tc>
          <w:tcPr>
            <w:tcW w:w="1323" w:type="dxa"/>
          </w:tcPr>
          <w:p w14:paraId="1E91E92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0.574-0.723</w:t>
            </w:r>
          </w:p>
        </w:tc>
        <w:tc>
          <w:tcPr>
            <w:tcW w:w="960" w:type="dxa"/>
          </w:tcPr>
          <w:p w14:paraId="5EAA6577" w14:textId="752E977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4A038070" w14:textId="4BCC123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0.135</w:t>
            </w:r>
            <w:r w:rsidR="00A64232" w:rsidRPr="0091360F">
              <w:rPr>
                <w:rFonts w:ascii="Book Antiqua" w:hAnsi="Book Antiqua" w:cs="Times New Roman"/>
                <w:sz w:val="24"/>
                <w:szCs w:val="24"/>
              </w:rPr>
              <w:t>0</w:t>
            </w:r>
          </w:p>
        </w:tc>
        <w:tc>
          <w:tcPr>
            <w:tcW w:w="1343" w:type="dxa"/>
          </w:tcPr>
          <w:p w14:paraId="03632C59" w14:textId="59563E0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0.0586-0.212</w:t>
            </w:r>
            <w:r w:rsidR="008A3349" w:rsidRPr="0091360F">
              <w:rPr>
                <w:rFonts w:ascii="Book Antiqua" w:hAnsi="Book Antiqua" w:cs="Times New Roman"/>
                <w:sz w:val="24"/>
                <w:szCs w:val="24"/>
              </w:rPr>
              <w:t>0</w:t>
            </w:r>
          </w:p>
        </w:tc>
        <w:tc>
          <w:tcPr>
            <w:tcW w:w="944" w:type="dxa"/>
          </w:tcPr>
          <w:p w14:paraId="0EA8F5C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0.0005</w:t>
            </w:r>
          </w:p>
        </w:tc>
        <w:tc>
          <w:tcPr>
            <w:tcW w:w="1271" w:type="dxa"/>
          </w:tcPr>
          <w:p w14:paraId="02E9838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0.024</w:t>
            </w:r>
          </w:p>
        </w:tc>
      </w:tr>
    </w:tbl>
    <w:p w14:paraId="67D60540" w14:textId="3226BE6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AUROC: Area under the receiver operating characteristic curve;</w:t>
      </w:r>
      <w:r w:rsidRPr="0091360F">
        <w:rPr>
          <w:rFonts w:ascii="Book Antiqua" w:hAnsi="Book Antiqua"/>
          <w:sz w:val="24"/>
          <w:szCs w:val="24"/>
        </w:rPr>
        <w:t xml:space="preserve"> </w:t>
      </w:r>
      <w:r w:rsidRPr="0091360F">
        <w:rPr>
          <w:rFonts w:ascii="Book Antiqua" w:hAnsi="Book Antiqua" w:cs="Times New Roman"/>
          <w:sz w:val="24"/>
          <w:szCs w:val="24"/>
        </w:rPr>
        <w:t>CI: Confidence interval; H-L: Hosmer-Lemeshow;</w:t>
      </w:r>
      <w:r w:rsidRPr="0091360F">
        <w:rPr>
          <w:rFonts w:ascii="Book Antiqua" w:hAnsi="Book Antiqua"/>
          <w:sz w:val="24"/>
          <w:szCs w:val="24"/>
        </w:rPr>
        <w:t xml:space="preserve"> </w:t>
      </w:r>
      <w:r w:rsidR="00803620" w:rsidRPr="00D51DE3">
        <w:rPr>
          <w:rFonts w:ascii="Book Antiqua" w:hAnsi="Book Antiqua" w:cs="Times New Roman"/>
          <w:color w:val="000000" w:themeColor="text1"/>
          <w:sz w:val="24"/>
          <w:szCs w:val="24"/>
        </w:rPr>
        <w:t>CTP</w:t>
      </w:r>
      <w:r w:rsidRPr="00D51DE3">
        <w:rPr>
          <w:rFonts w:ascii="Book Antiqua" w:hAnsi="Book Antiqua" w:cs="Times New Roman"/>
          <w:color w:val="000000" w:themeColor="text1"/>
          <w:sz w:val="24"/>
          <w:szCs w:val="24"/>
        </w:rPr>
        <w:t>:</w:t>
      </w:r>
      <w:r w:rsidRPr="0091360F">
        <w:rPr>
          <w:rFonts w:ascii="Book Antiqua" w:hAnsi="Book Antiqua" w:cs="Times New Roman"/>
          <w:sz w:val="24"/>
          <w:szCs w:val="24"/>
        </w:rPr>
        <w:t xml:space="preserve"> Child–Turcotte–Pugh score; MELD: Model for end-stage liver disease; CRS: Clinical Rockall score; GBS: Glasgow-Blatchford score; mGBS: Modiﬁed Glasgow-Blatchford score</w:t>
      </w:r>
      <w:r w:rsidR="00E250AB" w:rsidRPr="0091360F">
        <w:rPr>
          <w:rFonts w:ascii="Book Antiqua" w:hAnsi="Book Antiqua" w:cs="Times New Roman"/>
          <w:sz w:val="24"/>
          <w:szCs w:val="24"/>
        </w:rPr>
        <w:t>; AIMS65: AIMS65 score; CANUKA: Canada-U</w:t>
      </w:r>
      <w:r w:rsidR="00C53B9A">
        <w:rPr>
          <w:rFonts w:ascii="Book Antiqua" w:hAnsi="Book Antiqua" w:cs="Times New Roman"/>
          <w:sz w:val="24"/>
          <w:szCs w:val="24"/>
        </w:rPr>
        <w:t>nited Kingdom</w:t>
      </w:r>
      <w:r w:rsidR="00E250AB" w:rsidRPr="0091360F">
        <w:rPr>
          <w:rFonts w:ascii="Book Antiqua" w:hAnsi="Book Antiqua" w:cs="Times New Roman"/>
          <w:sz w:val="24"/>
          <w:szCs w:val="24"/>
        </w:rPr>
        <w:t>-Australia score.</w:t>
      </w:r>
    </w:p>
    <w:p w14:paraId="14D5B7CF" w14:textId="77777777" w:rsidR="00420454" w:rsidRPr="0091360F" w:rsidRDefault="00420454" w:rsidP="00420454">
      <w:pPr>
        <w:widowControl/>
        <w:snapToGrid w:val="0"/>
        <w:spacing w:line="360" w:lineRule="auto"/>
        <w:jc w:val="left"/>
        <w:rPr>
          <w:rFonts w:ascii="Book Antiqua" w:hAnsi="Book Antiqua" w:cs="Times New Roman"/>
          <w:sz w:val="24"/>
          <w:szCs w:val="24"/>
        </w:rPr>
      </w:pPr>
      <w:r w:rsidRPr="0091360F">
        <w:rPr>
          <w:rFonts w:ascii="Book Antiqua" w:hAnsi="Book Antiqua" w:cs="Times New Roman"/>
          <w:sz w:val="24"/>
          <w:szCs w:val="24"/>
        </w:rPr>
        <w:br w:type="page"/>
      </w:r>
    </w:p>
    <w:p w14:paraId="7F7FDCA2" w14:textId="0B6EC00B"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lastRenderedPageBreak/>
        <w:t xml:space="preserve">Table </w:t>
      </w:r>
      <w:r w:rsidR="00E67D09" w:rsidRPr="0091360F">
        <w:rPr>
          <w:rFonts w:ascii="Book Antiqua" w:hAnsi="Book Antiqua" w:cs="Times New Roman"/>
          <w:b/>
          <w:bCs/>
          <w:sz w:val="24"/>
          <w:szCs w:val="24"/>
        </w:rPr>
        <w:t>4</w:t>
      </w:r>
      <w:r w:rsidR="0006467E"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The predictive value indices for predicting in-hospital adverse outcomes in</w:t>
      </w:r>
      <w:r w:rsidRPr="0091360F">
        <w:rPr>
          <w:rFonts w:ascii="Book Antiqua" w:hAnsi="Book Antiqua"/>
          <w:b/>
          <w:bCs/>
          <w:sz w:val="24"/>
          <w:szCs w:val="24"/>
        </w:rPr>
        <w:t xml:space="preserve"> </w:t>
      </w:r>
      <w:r w:rsidRPr="0091360F">
        <w:rPr>
          <w:rFonts w:ascii="Book Antiqua" w:hAnsi="Book Antiqua" w:cs="Times New Roman"/>
          <w:b/>
          <w:bCs/>
          <w:sz w:val="24"/>
          <w:szCs w:val="24"/>
        </w:rPr>
        <w:t>clinically useful scoring systems</w:t>
      </w:r>
    </w:p>
    <w:tbl>
      <w:tblPr>
        <w:tblStyle w:val="ad"/>
        <w:tblW w:w="96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070"/>
        <w:gridCol w:w="1017"/>
        <w:gridCol w:w="710"/>
        <w:gridCol w:w="1136"/>
        <w:gridCol w:w="656"/>
        <w:gridCol w:w="1136"/>
        <w:gridCol w:w="696"/>
        <w:gridCol w:w="1136"/>
        <w:gridCol w:w="750"/>
        <w:gridCol w:w="1136"/>
      </w:tblGrid>
      <w:tr w:rsidR="00420454" w:rsidRPr="0091360F" w14:paraId="0CBE5865" w14:textId="77777777" w:rsidTr="00500D10">
        <w:tc>
          <w:tcPr>
            <w:tcW w:w="1104" w:type="dxa"/>
            <w:tcBorders>
              <w:top w:val="single" w:sz="4" w:space="0" w:color="auto"/>
              <w:bottom w:val="single" w:sz="4" w:space="0" w:color="auto"/>
            </w:tcBorders>
          </w:tcPr>
          <w:p w14:paraId="67403201"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Score</w:t>
            </w:r>
          </w:p>
        </w:tc>
        <w:tc>
          <w:tcPr>
            <w:tcW w:w="768" w:type="dxa"/>
            <w:tcBorders>
              <w:top w:val="single" w:sz="4" w:space="0" w:color="auto"/>
              <w:bottom w:val="single" w:sz="4" w:space="0" w:color="auto"/>
            </w:tcBorders>
          </w:tcPr>
          <w:p w14:paraId="24CB33A5"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Youden</w:t>
            </w:r>
          </w:p>
          <w:p w14:paraId="22890E45"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index</w:t>
            </w:r>
          </w:p>
        </w:tc>
        <w:tc>
          <w:tcPr>
            <w:tcW w:w="535" w:type="dxa"/>
            <w:tcBorders>
              <w:top w:val="single" w:sz="4" w:space="0" w:color="auto"/>
              <w:bottom w:val="single" w:sz="4" w:space="0" w:color="auto"/>
            </w:tcBorders>
          </w:tcPr>
          <w:p w14:paraId="7EF531EC"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Cut-off</w:t>
            </w:r>
          </w:p>
        </w:tc>
        <w:tc>
          <w:tcPr>
            <w:tcW w:w="747" w:type="dxa"/>
            <w:tcBorders>
              <w:top w:val="single" w:sz="4" w:space="0" w:color="auto"/>
              <w:bottom w:val="single" w:sz="4" w:space="0" w:color="auto"/>
            </w:tcBorders>
          </w:tcPr>
          <w:p w14:paraId="1F89282B"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SEN</w:t>
            </w:r>
          </w:p>
        </w:tc>
        <w:tc>
          <w:tcPr>
            <w:tcW w:w="1159" w:type="dxa"/>
            <w:tcBorders>
              <w:top w:val="single" w:sz="4" w:space="0" w:color="auto"/>
              <w:bottom w:val="single" w:sz="4" w:space="0" w:color="auto"/>
            </w:tcBorders>
          </w:tcPr>
          <w:p w14:paraId="6BD6AFCB" w14:textId="32CA21B8"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691" w:type="dxa"/>
            <w:tcBorders>
              <w:top w:val="single" w:sz="4" w:space="0" w:color="auto"/>
              <w:bottom w:val="single" w:sz="4" w:space="0" w:color="auto"/>
            </w:tcBorders>
          </w:tcPr>
          <w:p w14:paraId="2622E51A"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SPE</w:t>
            </w:r>
          </w:p>
        </w:tc>
        <w:tc>
          <w:tcPr>
            <w:tcW w:w="1159" w:type="dxa"/>
            <w:tcBorders>
              <w:top w:val="single" w:sz="4" w:space="0" w:color="auto"/>
              <w:bottom w:val="single" w:sz="4" w:space="0" w:color="auto"/>
            </w:tcBorders>
          </w:tcPr>
          <w:p w14:paraId="23BBCEB8" w14:textId="0F7C5166"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586" w:type="dxa"/>
            <w:tcBorders>
              <w:top w:val="single" w:sz="4" w:space="0" w:color="auto"/>
              <w:bottom w:val="single" w:sz="4" w:space="0" w:color="auto"/>
            </w:tcBorders>
          </w:tcPr>
          <w:p w14:paraId="76F62C20"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PPV</w:t>
            </w:r>
          </w:p>
        </w:tc>
        <w:tc>
          <w:tcPr>
            <w:tcW w:w="1159" w:type="dxa"/>
            <w:tcBorders>
              <w:top w:val="single" w:sz="4" w:space="0" w:color="auto"/>
              <w:bottom w:val="single" w:sz="4" w:space="0" w:color="auto"/>
            </w:tcBorders>
          </w:tcPr>
          <w:p w14:paraId="5D07CC2C" w14:textId="4280F56A"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591" w:type="dxa"/>
            <w:tcBorders>
              <w:top w:val="single" w:sz="4" w:space="0" w:color="auto"/>
              <w:bottom w:val="single" w:sz="4" w:space="0" w:color="auto"/>
            </w:tcBorders>
          </w:tcPr>
          <w:p w14:paraId="0F309A44"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NPV</w:t>
            </w:r>
          </w:p>
        </w:tc>
        <w:tc>
          <w:tcPr>
            <w:tcW w:w="1159" w:type="dxa"/>
            <w:tcBorders>
              <w:top w:val="single" w:sz="4" w:space="0" w:color="auto"/>
              <w:bottom w:val="single" w:sz="4" w:space="0" w:color="auto"/>
            </w:tcBorders>
          </w:tcPr>
          <w:p w14:paraId="569AD3DB" w14:textId="6853C85C"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r>
      <w:tr w:rsidR="00420454" w:rsidRPr="0091360F" w14:paraId="4833A436" w14:textId="77777777" w:rsidTr="00500D10">
        <w:tc>
          <w:tcPr>
            <w:tcW w:w="9658" w:type="dxa"/>
            <w:gridSpan w:val="11"/>
            <w:tcBorders>
              <w:top w:val="single" w:sz="4" w:space="0" w:color="auto"/>
            </w:tcBorders>
          </w:tcPr>
          <w:p w14:paraId="7D51DA61"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rebleeding</w:t>
            </w:r>
          </w:p>
        </w:tc>
      </w:tr>
      <w:tr w:rsidR="00420454" w:rsidRPr="0091360F" w14:paraId="00D9797F" w14:textId="77777777" w:rsidTr="00500D10">
        <w:tc>
          <w:tcPr>
            <w:tcW w:w="1104" w:type="dxa"/>
          </w:tcPr>
          <w:p w14:paraId="002F97E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768" w:type="dxa"/>
          </w:tcPr>
          <w:p w14:paraId="3CE2CB5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0.3851</w:t>
            </w:r>
          </w:p>
        </w:tc>
        <w:tc>
          <w:tcPr>
            <w:tcW w:w="535" w:type="dxa"/>
          </w:tcPr>
          <w:p w14:paraId="63A077D7" w14:textId="713A5DF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7</w:t>
            </w:r>
          </w:p>
        </w:tc>
        <w:tc>
          <w:tcPr>
            <w:tcW w:w="747" w:type="dxa"/>
          </w:tcPr>
          <w:p w14:paraId="1E225F2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74.6</w:t>
            </w:r>
          </w:p>
        </w:tc>
        <w:tc>
          <w:tcPr>
            <w:tcW w:w="1159" w:type="dxa"/>
          </w:tcPr>
          <w:p w14:paraId="27A9322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62.5-84.5</w:t>
            </w:r>
          </w:p>
        </w:tc>
        <w:tc>
          <w:tcPr>
            <w:tcW w:w="691" w:type="dxa"/>
          </w:tcPr>
          <w:p w14:paraId="20F6245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63.9</w:t>
            </w:r>
          </w:p>
        </w:tc>
        <w:tc>
          <w:tcPr>
            <w:tcW w:w="1159" w:type="dxa"/>
          </w:tcPr>
          <w:p w14:paraId="1DDBED9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57.8-69.7</w:t>
            </w:r>
          </w:p>
        </w:tc>
        <w:tc>
          <w:tcPr>
            <w:tcW w:w="586" w:type="dxa"/>
          </w:tcPr>
          <w:p w14:paraId="1936ECF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34.5</w:t>
            </w:r>
          </w:p>
        </w:tc>
        <w:tc>
          <w:tcPr>
            <w:tcW w:w="1159" w:type="dxa"/>
          </w:tcPr>
          <w:p w14:paraId="6B2C6B4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29.8-39.4</w:t>
            </w:r>
          </w:p>
        </w:tc>
        <w:tc>
          <w:tcPr>
            <w:tcW w:w="591" w:type="dxa"/>
          </w:tcPr>
          <w:p w14:paraId="221D916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90.8</w:t>
            </w:r>
          </w:p>
        </w:tc>
        <w:tc>
          <w:tcPr>
            <w:tcW w:w="1159" w:type="dxa"/>
          </w:tcPr>
          <w:p w14:paraId="63604F9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86.6-93.8</w:t>
            </w:r>
          </w:p>
        </w:tc>
      </w:tr>
      <w:tr w:rsidR="00420454" w:rsidRPr="0091360F" w14:paraId="54CD4DE8" w14:textId="77777777" w:rsidTr="00500D10">
        <w:tc>
          <w:tcPr>
            <w:tcW w:w="1104" w:type="dxa"/>
          </w:tcPr>
          <w:p w14:paraId="3216AE5E"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768" w:type="dxa"/>
          </w:tcPr>
          <w:p w14:paraId="2B2C0C9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0.3982</w:t>
            </w:r>
          </w:p>
        </w:tc>
        <w:tc>
          <w:tcPr>
            <w:tcW w:w="535" w:type="dxa"/>
          </w:tcPr>
          <w:p w14:paraId="53EBC3ED" w14:textId="6734BAA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2</w:t>
            </w:r>
          </w:p>
        </w:tc>
        <w:tc>
          <w:tcPr>
            <w:tcW w:w="747" w:type="dxa"/>
          </w:tcPr>
          <w:p w14:paraId="16C82CB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65.7</w:t>
            </w:r>
          </w:p>
        </w:tc>
        <w:tc>
          <w:tcPr>
            <w:tcW w:w="1159" w:type="dxa"/>
          </w:tcPr>
          <w:p w14:paraId="1868EAF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53.1-76.8</w:t>
            </w:r>
          </w:p>
        </w:tc>
        <w:tc>
          <w:tcPr>
            <w:tcW w:w="691" w:type="dxa"/>
          </w:tcPr>
          <w:p w14:paraId="0C0B925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74.1</w:t>
            </w:r>
          </w:p>
        </w:tc>
        <w:tc>
          <w:tcPr>
            <w:tcW w:w="1159" w:type="dxa"/>
          </w:tcPr>
          <w:p w14:paraId="32FA412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68.4-79.3</w:t>
            </w:r>
          </w:p>
        </w:tc>
        <w:tc>
          <w:tcPr>
            <w:tcW w:w="586" w:type="dxa"/>
          </w:tcPr>
          <w:p w14:paraId="45A1CFA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39.3</w:t>
            </w:r>
          </w:p>
        </w:tc>
        <w:tc>
          <w:tcPr>
            <w:tcW w:w="1159" w:type="dxa"/>
          </w:tcPr>
          <w:p w14:paraId="6BA72D4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33.1-45.8</w:t>
            </w:r>
          </w:p>
        </w:tc>
        <w:tc>
          <w:tcPr>
            <w:tcW w:w="591" w:type="dxa"/>
          </w:tcPr>
          <w:p w14:paraId="077FE15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89.4</w:t>
            </w:r>
          </w:p>
        </w:tc>
        <w:tc>
          <w:tcPr>
            <w:tcW w:w="1159" w:type="dxa"/>
          </w:tcPr>
          <w:p w14:paraId="4FF3BE0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85.8-92.2</w:t>
            </w:r>
          </w:p>
        </w:tc>
      </w:tr>
      <w:tr w:rsidR="00420454" w:rsidRPr="0091360F" w14:paraId="2A68A911" w14:textId="77777777" w:rsidTr="00500D10">
        <w:tc>
          <w:tcPr>
            <w:tcW w:w="9658" w:type="dxa"/>
            <w:gridSpan w:val="11"/>
          </w:tcPr>
          <w:p w14:paraId="6332AECC"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mortality</w:t>
            </w:r>
          </w:p>
        </w:tc>
      </w:tr>
      <w:tr w:rsidR="00420454" w:rsidRPr="0091360F" w14:paraId="0D448B8B" w14:textId="77777777" w:rsidTr="00500D10">
        <w:tc>
          <w:tcPr>
            <w:tcW w:w="1104" w:type="dxa"/>
          </w:tcPr>
          <w:p w14:paraId="0C2ACCAB"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768" w:type="dxa"/>
          </w:tcPr>
          <w:p w14:paraId="60FA674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0.6751</w:t>
            </w:r>
          </w:p>
        </w:tc>
        <w:tc>
          <w:tcPr>
            <w:tcW w:w="535" w:type="dxa"/>
          </w:tcPr>
          <w:p w14:paraId="0159009D" w14:textId="6CEA842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2</w:t>
            </w:r>
          </w:p>
        </w:tc>
        <w:tc>
          <w:tcPr>
            <w:tcW w:w="747" w:type="dxa"/>
          </w:tcPr>
          <w:p w14:paraId="4E79372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94.3</w:t>
            </w:r>
          </w:p>
        </w:tc>
        <w:tc>
          <w:tcPr>
            <w:tcW w:w="1159" w:type="dxa"/>
          </w:tcPr>
          <w:p w14:paraId="1B452B1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80.8-99.3</w:t>
            </w:r>
          </w:p>
        </w:tc>
        <w:tc>
          <w:tcPr>
            <w:tcW w:w="691" w:type="dxa"/>
          </w:tcPr>
          <w:p w14:paraId="4792A31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73.2</w:t>
            </w:r>
          </w:p>
        </w:tc>
        <w:tc>
          <w:tcPr>
            <w:tcW w:w="1159" w:type="dxa"/>
          </w:tcPr>
          <w:p w14:paraId="5F886B3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67.8-78.2</w:t>
            </w:r>
          </w:p>
        </w:tc>
        <w:tc>
          <w:tcPr>
            <w:tcW w:w="586" w:type="dxa"/>
          </w:tcPr>
          <w:p w14:paraId="0F87365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29.5</w:t>
            </w:r>
          </w:p>
        </w:tc>
        <w:tc>
          <w:tcPr>
            <w:tcW w:w="1159" w:type="dxa"/>
          </w:tcPr>
          <w:p w14:paraId="513B808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25.4-33.9</w:t>
            </w:r>
          </w:p>
        </w:tc>
        <w:tc>
          <w:tcPr>
            <w:tcW w:w="591" w:type="dxa"/>
          </w:tcPr>
          <w:p w14:paraId="72BE1F8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99.1</w:t>
            </w:r>
          </w:p>
        </w:tc>
        <w:tc>
          <w:tcPr>
            <w:tcW w:w="1159" w:type="dxa"/>
          </w:tcPr>
          <w:p w14:paraId="02CCFE4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96.6-99.8</w:t>
            </w:r>
          </w:p>
        </w:tc>
      </w:tr>
      <w:tr w:rsidR="00420454" w:rsidRPr="0091360F" w14:paraId="0747631B" w14:textId="77777777" w:rsidTr="00500D10">
        <w:tc>
          <w:tcPr>
            <w:tcW w:w="1104" w:type="dxa"/>
          </w:tcPr>
          <w:p w14:paraId="19AA167D"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768" w:type="dxa"/>
          </w:tcPr>
          <w:p w14:paraId="2D2D6C5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0.5632</w:t>
            </w:r>
          </w:p>
        </w:tc>
        <w:tc>
          <w:tcPr>
            <w:tcW w:w="535" w:type="dxa"/>
          </w:tcPr>
          <w:p w14:paraId="42A29711" w14:textId="7BDC5E9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7</w:t>
            </w:r>
          </w:p>
        </w:tc>
        <w:tc>
          <w:tcPr>
            <w:tcW w:w="747" w:type="dxa"/>
          </w:tcPr>
          <w:p w14:paraId="728A4B9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94.3</w:t>
            </w:r>
          </w:p>
        </w:tc>
        <w:tc>
          <w:tcPr>
            <w:tcW w:w="1159" w:type="dxa"/>
          </w:tcPr>
          <w:p w14:paraId="3E83C5D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80.8-99.3</w:t>
            </w:r>
          </w:p>
        </w:tc>
        <w:tc>
          <w:tcPr>
            <w:tcW w:w="691" w:type="dxa"/>
          </w:tcPr>
          <w:p w14:paraId="604A84A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62.0</w:t>
            </w:r>
          </w:p>
        </w:tc>
        <w:tc>
          <w:tcPr>
            <w:tcW w:w="1159" w:type="dxa"/>
          </w:tcPr>
          <w:p w14:paraId="25CEEA0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56.2-67.6</w:t>
            </w:r>
          </w:p>
        </w:tc>
        <w:tc>
          <w:tcPr>
            <w:tcW w:w="586" w:type="dxa"/>
          </w:tcPr>
          <w:p w14:paraId="0DF6059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22.8</w:t>
            </w:r>
          </w:p>
        </w:tc>
        <w:tc>
          <w:tcPr>
            <w:tcW w:w="1159" w:type="dxa"/>
          </w:tcPr>
          <w:p w14:paraId="32401D0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20.0-25.8</w:t>
            </w:r>
          </w:p>
        </w:tc>
        <w:tc>
          <w:tcPr>
            <w:tcW w:w="591" w:type="dxa"/>
          </w:tcPr>
          <w:p w14:paraId="60A7A7A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98.9</w:t>
            </w:r>
          </w:p>
        </w:tc>
        <w:tc>
          <w:tcPr>
            <w:tcW w:w="1159" w:type="dxa"/>
          </w:tcPr>
          <w:p w14:paraId="1AD8B93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96.0-99.7</w:t>
            </w:r>
          </w:p>
        </w:tc>
      </w:tr>
      <w:tr w:rsidR="00420454" w:rsidRPr="0091360F" w14:paraId="187C64F2" w14:textId="77777777" w:rsidTr="00500D10">
        <w:tc>
          <w:tcPr>
            <w:tcW w:w="1104" w:type="dxa"/>
          </w:tcPr>
          <w:p w14:paraId="58B1C5A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AIMS65</w:t>
            </w:r>
          </w:p>
        </w:tc>
        <w:tc>
          <w:tcPr>
            <w:tcW w:w="768" w:type="dxa"/>
          </w:tcPr>
          <w:p w14:paraId="36F825A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0.6339</w:t>
            </w:r>
          </w:p>
        </w:tc>
        <w:tc>
          <w:tcPr>
            <w:tcW w:w="535" w:type="dxa"/>
          </w:tcPr>
          <w:p w14:paraId="68CA5CC6" w14:textId="502607C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w:t>
            </w:r>
          </w:p>
        </w:tc>
        <w:tc>
          <w:tcPr>
            <w:tcW w:w="747" w:type="dxa"/>
          </w:tcPr>
          <w:p w14:paraId="36560C9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80.0</w:t>
            </w:r>
          </w:p>
        </w:tc>
        <w:tc>
          <w:tcPr>
            <w:tcW w:w="1159" w:type="dxa"/>
          </w:tcPr>
          <w:p w14:paraId="1E2DF5F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63.1-91.6</w:t>
            </w:r>
          </w:p>
        </w:tc>
        <w:tc>
          <w:tcPr>
            <w:tcW w:w="691" w:type="dxa"/>
          </w:tcPr>
          <w:p w14:paraId="6440E66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83.4</w:t>
            </w:r>
          </w:p>
        </w:tc>
        <w:tc>
          <w:tcPr>
            <w:tcW w:w="1159" w:type="dxa"/>
          </w:tcPr>
          <w:p w14:paraId="28D4050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78.6-87.5</w:t>
            </w:r>
          </w:p>
        </w:tc>
        <w:tc>
          <w:tcPr>
            <w:tcW w:w="586" w:type="dxa"/>
          </w:tcPr>
          <w:p w14:paraId="68D221A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36.4</w:t>
            </w:r>
          </w:p>
        </w:tc>
        <w:tc>
          <w:tcPr>
            <w:tcW w:w="1159" w:type="dxa"/>
          </w:tcPr>
          <w:p w14:paraId="606104E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29.6-43.7</w:t>
            </w:r>
          </w:p>
        </w:tc>
        <w:tc>
          <w:tcPr>
            <w:tcW w:w="591" w:type="dxa"/>
          </w:tcPr>
          <w:p w14:paraId="05056BC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97.2</w:t>
            </w:r>
          </w:p>
        </w:tc>
        <w:tc>
          <w:tcPr>
            <w:tcW w:w="1159" w:type="dxa"/>
          </w:tcPr>
          <w:p w14:paraId="3C04A00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94.8-98.6</w:t>
            </w:r>
          </w:p>
        </w:tc>
      </w:tr>
      <w:tr w:rsidR="00420454" w:rsidRPr="0091360F" w14:paraId="06BC86DE" w14:textId="77777777" w:rsidTr="00500D10">
        <w:tc>
          <w:tcPr>
            <w:tcW w:w="1104" w:type="dxa"/>
          </w:tcPr>
          <w:p w14:paraId="77394C10" w14:textId="03A9B60F"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w:t>
            </w:r>
            <w:r w:rsidR="00C53B9A" w:rsidRPr="0091360F">
              <w:rPr>
                <w:rFonts w:ascii="Book Antiqua" w:hAnsi="Book Antiqua" w:cs="Times New Roman"/>
                <w:sz w:val="24"/>
                <w:szCs w:val="24"/>
              </w:rPr>
              <w:t>a</w:t>
            </w:r>
          </w:p>
        </w:tc>
        <w:tc>
          <w:tcPr>
            <w:tcW w:w="768" w:type="dxa"/>
          </w:tcPr>
          <w:p w14:paraId="6C27EBD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0.5685</w:t>
            </w:r>
          </w:p>
        </w:tc>
        <w:tc>
          <w:tcPr>
            <w:tcW w:w="535" w:type="dxa"/>
          </w:tcPr>
          <w:p w14:paraId="528F4B7B" w14:textId="5E05EC7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17</w:t>
            </w:r>
          </w:p>
        </w:tc>
        <w:tc>
          <w:tcPr>
            <w:tcW w:w="747" w:type="dxa"/>
          </w:tcPr>
          <w:p w14:paraId="5E4F865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71.4</w:t>
            </w:r>
          </w:p>
        </w:tc>
        <w:tc>
          <w:tcPr>
            <w:tcW w:w="1159" w:type="dxa"/>
          </w:tcPr>
          <w:p w14:paraId="2BE0F36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53.7-85.4</w:t>
            </w:r>
          </w:p>
        </w:tc>
        <w:tc>
          <w:tcPr>
            <w:tcW w:w="691" w:type="dxa"/>
          </w:tcPr>
          <w:p w14:paraId="6FE744D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85.4</w:t>
            </w:r>
          </w:p>
        </w:tc>
        <w:tc>
          <w:tcPr>
            <w:tcW w:w="1159" w:type="dxa"/>
          </w:tcPr>
          <w:p w14:paraId="16488DF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80.9-89.2</w:t>
            </w:r>
          </w:p>
        </w:tc>
        <w:tc>
          <w:tcPr>
            <w:tcW w:w="586" w:type="dxa"/>
          </w:tcPr>
          <w:p w14:paraId="787B673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36.8</w:t>
            </w:r>
          </w:p>
        </w:tc>
        <w:tc>
          <w:tcPr>
            <w:tcW w:w="1159" w:type="dxa"/>
          </w:tcPr>
          <w:p w14:paraId="3132A58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29.1-45.1</w:t>
            </w:r>
          </w:p>
        </w:tc>
        <w:tc>
          <w:tcPr>
            <w:tcW w:w="591" w:type="dxa"/>
          </w:tcPr>
          <w:p w14:paraId="7F06220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96.2</w:t>
            </w:r>
          </w:p>
        </w:tc>
        <w:tc>
          <w:tcPr>
            <w:tcW w:w="1159" w:type="dxa"/>
          </w:tcPr>
          <w:p w14:paraId="2953965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93.7-97.7</w:t>
            </w:r>
          </w:p>
        </w:tc>
      </w:tr>
      <w:tr w:rsidR="00420454" w:rsidRPr="0091360F" w14:paraId="222030D6" w14:textId="77777777" w:rsidTr="00500D10">
        <w:tc>
          <w:tcPr>
            <w:tcW w:w="1104" w:type="dxa"/>
          </w:tcPr>
          <w:p w14:paraId="098EA9A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w:t>
            </w:r>
          </w:p>
        </w:tc>
        <w:tc>
          <w:tcPr>
            <w:tcW w:w="768" w:type="dxa"/>
          </w:tcPr>
          <w:p w14:paraId="410F053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0.5157</w:t>
            </w:r>
          </w:p>
        </w:tc>
        <w:tc>
          <w:tcPr>
            <w:tcW w:w="535" w:type="dxa"/>
          </w:tcPr>
          <w:p w14:paraId="78480CDB" w14:textId="244D2C0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12</w:t>
            </w:r>
          </w:p>
        </w:tc>
        <w:tc>
          <w:tcPr>
            <w:tcW w:w="747" w:type="dxa"/>
          </w:tcPr>
          <w:p w14:paraId="7F2233C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74.3</w:t>
            </w:r>
          </w:p>
        </w:tc>
        <w:tc>
          <w:tcPr>
            <w:tcW w:w="1159" w:type="dxa"/>
          </w:tcPr>
          <w:p w14:paraId="5E28593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56.7-87.5</w:t>
            </w:r>
          </w:p>
        </w:tc>
        <w:tc>
          <w:tcPr>
            <w:tcW w:w="691" w:type="dxa"/>
          </w:tcPr>
          <w:p w14:paraId="4CF4692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77.3</w:t>
            </w:r>
          </w:p>
        </w:tc>
        <w:tc>
          <w:tcPr>
            <w:tcW w:w="1159" w:type="dxa"/>
          </w:tcPr>
          <w:p w14:paraId="5773D26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72.1-81.9</w:t>
            </w:r>
          </w:p>
        </w:tc>
        <w:tc>
          <w:tcPr>
            <w:tcW w:w="586" w:type="dxa"/>
          </w:tcPr>
          <w:p w14:paraId="115B278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28.0</w:t>
            </w:r>
          </w:p>
        </w:tc>
        <w:tc>
          <w:tcPr>
            <w:tcW w:w="1159" w:type="dxa"/>
          </w:tcPr>
          <w:p w14:paraId="7107969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22.6-34.1</w:t>
            </w:r>
          </w:p>
        </w:tc>
        <w:tc>
          <w:tcPr>
            <w:tcW w:w="591" w:type="dxa"/>
          </w:tcPr>
          <w:p w14:paraId="4B2A16E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96.2</w:t>
            </w:r>
          </w:p>
        </w:tc>
        <w:tc>
          <w:tcPr>
            <w:tcW w:w="1159" w:type="dxa"/>
          </w:tcPr>
          <w:p w14:paraId="28BE286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93.5-97.8</w:t>
            </w:r>
          </w:p>
        </w:tc>
      </w:tr>
      <w:tr w:rsidR="00420454" w:rsidRPr="0091360F" w14:paraId="572E27C1" w14:textId="77777777" w:rsidTr="00500D10">
        <w:tc>
          <w:tcPr>
            <w:tcW w:w="1104" w:type="dxa"/>
          </w:tcPr>
          <w:p w14:paraId="47FE5789"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mGBS</w:t>
            </w:r>
          </w:p>
        </w:tc>
        <w:tc>
          <w:tcPr>
            <w:tcW w:w="768" w:type="dxa"/>
          </w:tcPr>
          <w:p w14:paraId="0370FBC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0.4349</w:t>
            </w:r>
          </w:p>
        </w:tc>
        <w:tc>
          <w:tcPr>
            <w:tcW w:w="535" w:type="dxa"/>
          </w:tcPr>
          <w:p w14:paraId="20781FC5" w14:textId="3F9FEFF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10</w:t>
            </w:r>
          </w:p>
        </w:tc>
        <w:tc>
          <w:tcPr>
            <w:tcW w:w="747" w:type="dxa"/>
          </w:tcPr>
          <w:p w14:paraId="3B678290" w14:textId="611BF60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w:t>
            </w:r>
            <w:r w:rsidR="009A63E2" w:rsidRPr="0091360F">
              <w:rPr>
                <w:rFonts w:ascii="Book Antiqua" w:hAnsi="Book Antiqua" w:cs="Times New Roman"/>
                <w:sz w:val="24"/>
                <w:szCs w:val="24"/>
              </w:rPr>
              <w:t>6</w:t>
            </w:r>
          </w:p>
        </w:tc>
        <w:tc>
          <w:tcPr>
            <w:tcW w:w="1159" w:type="dxa"/>
          </w:tcPr>
          <w:p w14:paraId="0D08986C" w14:textId="53D415A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50.7-83.1</w:t>
            </w:r>
          </w:p>
        </w:tc>
        <w:tc>
          <w:tcPr>
            <w:tcW w:w="691" w:type="dxa"/>
          </w:tcPr>
          <w:p w14:paraId="1DCC0D00" w14:textId="0A502FA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74.9</w:t>
            </w:r>
          </w:p>
        </w:tc>
        <w:tc>
          <w:tcPr>
            <w:tcW w:w="1159" w:type="dxa"/>
          </w:tcPr>
          <w:p w14:paraId="381B8175" w14:textId="62157FD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69.6-79.8</w:t>
            </w:r>
          </w:p>
        </w:tc>
        <w:tc>
          <w:tcPr>
            <w:tcW w:w="586" w:type="dxa"/>
          </w:tcPr>
          <w:p w14:paraId="124231C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24.5</w:t>
            </w:r>
          </w:p>
        </w:tc>
        <w:tc>
          <w:tcPr>
            <w:tcW w:w="1159" w:type="dxa"/>
          </w:tcPr>
          <w:p w14:paraId="107C9C0D" w14:textId="55BB7D6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19.4-30.4</w:t>
            </w:r>
          </w:p>
        </w:tc>
        <w:tc>
          <w:tcPr>
            <w:tcW w:w="591" w:type="dxa"/>
          </w:tcPr>
          <w:p w14:paraId="177B62C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95.3</w:t>
            </w:r>
          </w:p>
        </w:tc>
        <w:tc>
          <w:tcPr>
            <w:tcW w:w="1159" w:type="dxa"/>
          </w:tcPr>
          <w:p w14:paraId="7388839E" w14:textId="1FA6491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92.5-97.1</w:t>
            </w:r>
          </w:p>
        </w:tc>
      </w:tr>
      <w:tr w:rsidR="00420454" w:rsidRPr="0091360F" w14:paraId="16072997" w14:textId="77777777" w:rsidTr="00500D10">
        <w:tc>
          <w:tcPr>
            <w:tcW w:w="1104" w:type="dxa"/>
          </w:tcPr>
          <w:p w14:paraId="20B7EB8F"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CANUKA</w:t>
            </w:r>
          </w:p>
        </w:tc>
        <w:tc>
          <w:tcPr>
            <w:tcW w:w="768" w:type="dxa"/>
          </w:tcPr>
          <w:p w14:paraId="4AD49BA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0.3521</w:t>
            </w:r>
          </w:p>
        </w:tc>
        <w:tc>
          <w:tcPr>
            <w:tcW w:w="535" w:type="dxa"/>
          </w:tcPr>
          <w:p w14:paraId="59631853" w14:textId="75C609F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12</w:t>
            </w:r>
          </w:p>
        </w:tc>
        <w:tc>
          <w:tcPr>
            <w:tcW w:w="747" w:type="dxa"/>
          </w:tcPr>
          <w:p w14:paraId="49A901C4" w14:textId="14C5B50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45.7</w:t>
            </w:r>
          </w:p>
        </w:tc>
        <w:tc>
          <w:tcPr>
            <w:tcW w:w="1159" w:type="dxa"/>
          </w:tcPr>
          <w:p w14:paraId="73B59F55" w14:textId="2701264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28.8-63.4</w:t>
            </w:r>
          </w:p>
        </w:tc>
        <w:tc>
          <w:tcPr>
            <w:tcW w:w="691" w:type="dxa"/>
          </w:tcPr>
          <w:p w14:paraId="19AE65A2" w14:textId="7225599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89.</w:t>
            </w:r>
            <w:r w:rsidR="001716E9" w:rsidRPr="0091360F">
              <w:rPr>
                <w:rFonts w:ascii="Book Antiqua" w:hAnsi="Book Antiqua" w:cs="Times New Roman"/>
                <w:sz w:val="24"/>
                <w:szCs w:val="24"/>
              </w:rPr>
              <w:t>5</w:t>
            </w:r>
          </w:p>
        </w:tc>
        <w:tc>
          <w:tcPr>
            <w:tcW w:w="1159" w:type="dxa"/>
          </w:tcPr>
          <w:p w14:paraId="527DC51A" w14:textId="772E7E3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85.4-92.7</w:t>
            </w:r>
          </w:p>
        </w:tc>
        <w:tc>
          <w:tcPr>
            <w:tcW w:w="586" w:type="dxa"/>
          </w:tcPr>
          <w:p w14:paraId="3DFF5AB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34.0</w:t>
            </w:r>
          </w:p>
        </w:tc>
        <w:tc>
          <w:tcPr>
            <w:tcW w:w="1159" w:type="dxa"/>
          </w:tcPr>
          <w:p w14:paraId="08476038" w14:textId="0DE8E24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24.0-45.8</w:t>
            </w:r>
          </w:p>
        </w:tc>
        <w:tc>
          <w:tcPr>
            <w:tcW w:w="591" w:type="dxa"/>
          </w:tcPr>
          <w:p w14:paraId="3542F9F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93.3</w:t>
            </w:r>
          </w:p>
        </w:tc>
        <w:tc>
          <w:tcPr>
            <w:tcW w:w="1159" w:type="dxa"/>
          </w:tcPr>
          <w:p w14:paraId="657D6135" w14:textId="3EEA6BF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91.1-95.0</w:t>
            </w:r>
          </w:p>
        </w:tc>
      </w:tr>
      <w:tr w:rsidR="00420454" w:rsidRPr="0091360F" w14:paraId="5769B84C" w14:textId="77777777" w:rsidTr="00500D10">
        <w:tc>
          <w:tcPr>
            <w:tcW w:w="1104" w:type="dxa"/>
          </w:tcPr>
          <w:p w14:paraId="2BD3389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GBS</w:t>
            </w:r>
          </w:p>
        </w:tc>
        <w:tc>
          <w:tcPr>
            <w:tcW w:w="768" w:type="dxa"/>
          </w:tcPr>
          <w:p w14:paraId="612E84D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0.3700</w:t>
            </w:r>
          </w:p>
        </w:tc>
        <w:tc>
          <w:tcPr>
            <w:tcW w:w="535" w:type="dxa"/>
          </w:tcPr>
          <w:p w14:paraId="50AB2EB4" w14:textId="4978E86D"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12</w:t>
            </w:r>
          </w:p>
        </w:tc>
        <w:tc>
          <w:tcPr>
            <w:tcW w:w="747" w:type="dxa"/>
          </w:tcPr>
          <w:p w14:paraId="522BA03B" w14:textId="423C327A"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w:t>
            </w:r>
            <w:r w:rsidR="009A63E2" w:rsidRPr="0091360F">
              <w:rPr>
                <w:rFonts w:ascii="Book Antiqua" w:hAnsi="Book Antiqua" w:cs="Times New Roman"/>
                <w:sz w:val="24"/>
                <w:szCs w:val="24"/>
              </w:rPr>
              <w:t>3</w:t>
            </w:r>
          </w:p>
        </w:tc>
        <w:tc>
          <w:tcPr>
            <w:tcW w:w="1159" w:type="dxa"/>
          </w:tcPr>
          <w:p w14:paraId="6EAEE666" w14:textId="54BE110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56.7-87.5</w:t>
            </w:r>
          </w:p>
        </w:tc>
        <w:tc>
          <w:tcPr>
            <w:tcW w:w="691" w:type="dxa"/>
          </w:tcPr>
          <w:p w14:paraId="46C9D7A2" w14:textId="1A9F94C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62.7</w:t>
            </w:r>
          </w:p>
        </w:tc>
        <w:tc>
          <w:tcPr>
            <w:tcW w:w="1159" w:type="dxa"/>
          </w:tcPr>
          <w:p w14:paraId="48623000" w14:textId="4F1A139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56.9-68.2</w:t>
            </w:r>
          </w:p>
        </w:tc>
        <w:tc>
          <w:tcPr>
            <w:tcW w:w="586" w:type="dxa"/>
          </w:tcPr>
          <w:p w14:paraId="79D85B2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19.1</w:t>
            </w:r>
          </w:p>
        </w:tc>
        <w:tc>
          <w:tcPr>
            <w:tcW w:w="1159" w:type="dxa"/>
          </w:tcPr>
          <w:p w14:paraId="7C2D90E6" w14:textId="5045A9F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15.6-23.2</w:t>
            </w:r>
          </w:p>
        </w:tc>
        <w:tc>
          <w:tcPr>
            <w:tcW w:w="591" w:type="dxa"/>
          </w:tcPr>
          <w:p w14:paraId="7B1CCE7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95.4</w:t>
            </w:r>
          </w:p>
        </w:tc>
        <w:tc>
          <w:tcPr>
            <w:tcW w:w="1159" w:type="dxa"/>
          </w:tcPr>
          <w:p w14:paraId="1B2AE396" w14:textId="7B6E57F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92.1-97.3</w:t>
            </w:r>
          </w:p>
        </w:tc>
      </w:tr>
      <w:tr w:rsidR="00420454" w:rsidRPr="0091360F" w14:paraId="0690E363" w14:textId="77777777" w:rsidTr="00500D10">
        <w:tc>
          <w:tcPr>
            <w:tcW w:w="9658" w:type="dxa"/>
            <w:gridSpan w:val="11"/>
          </w:tcPr>
          <w:p w14:paraId="0DD02E67"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adverse outcomes</w:t>
            </w:r>
          </w:p>
        </w:tc>
      </w:tr>
      <w:tr w:rsidR="00420454" w:rsidRPr="0091360F" w14:paraId="5C1227EB" w14:textId="77777777" w:rsidTr="00500D10">
        <w:tc>
          <w:tcPr>
            <w:tcW w:w="1104" w:type="dxa"/>
          </w:tcPr>
          <w:p w14:paraId="7F7008C1"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768" w:type="dxa"/>
          </w:tcPr>
          <w:p w14:paraId="080CD25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0.4699</w:t>
            </w:r>
          </w:p>
        </w:tc>
        <w:tc>
          <w:tcPr>
            <w:tcW w:w="535" w:type="dxa"/>
          </w:tcPr>
          <w:p w14:paraId="6EEF3C88" w14:textId="3E79712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7</w:t>
            </w:r>
          </w:p>
        </w:tc>
        <w:tc>
          <w:tcPr>
            <w:tcW w:w="747" w:type="dxa"/>
          </w:tcPr>
          <w:p w14:paraId="6AF22C2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78.8</w:t>
            </w:r>
          </w:p>
        </w:tc>
        <w:tc>
          <w:tcPr>
            <w:tcW w:w="1159" w:type="dxa"/>
          </w:tcPr>
          <w:p w14:paraId="6795EDC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68.6-86.9</w:t>
            </w:r>
          </w:p>
        </w:tc>
        <w:tc>
          <w:tcPr>
            <w:tcW w:w="691" w:type="dxa"/>
          </w:tcPr>
          <w:p w14:paraId="7DD0AC8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68.2</w:t>
            </w:r>
          </w:p>
        </w:tc>
        <w:tc>
          <w:tcPr>
            <w:tcW w:w="1159" w:type="dxa"/>
          </w:tcPr>
          <w:p w14:paraId="4976EBA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61.9-73.9</w:t>
            </w:r>
          </w:p>
        </w:tc>
        <w:tc>
          <w:tcPr>
            <w:tcW w:w="586" w:type="dxa"/>
          </w:tcPr>
          <w:p w14:paraId="723BBD1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46.2</w:t>
            </w:r>
          </w:p>
        </w:tc>
        <w:tc>
          <w:tcPr>
            <w:tcW w:w="1159" w:type="dxa"/>
          </w:tcPr>
          <w:p w14:paraId="78D1D72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41.0-51.5</w:t>
            </w:r>
          </w:p>
        </w:tc>
        <w:tc>
          <w:tcPr>
            <w:tcW w:w="591" w:type="dxa"/>
          </w:tcPr>
          <w:p w14:paraId="2537A4D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90.3</w:t>
            </w:r>
          </w:p>
        </w:tc>
        <w:tc>
          <w:tcPr>
            <w:tcW w:w="1159" w:type="dxa"/>
          </w:tcPr>
          <w:p w14:paraId="62BBDCC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85.9-93.4</w:t>
            </w:r>
          </w:p>
        </w:tc>
      </w:tr>
      <w:tr w:rsidR="00420454" w:rsidRPr="0091360F" w14:paraId="0BD47556" w14:textId="77777777" w:rsidTr="00500D10">
        <w:tc>
          <w:tcPr>
            <w:tcW w:w="1104" w:type="dxa"/>
          </w:tcPr>
          <w:p w14:paraId="3F9249D9"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768" w:type="dxa"/>
          </w:tcPr>
          <w:p w14:paraId="6A27DDC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0.5095</w:t>
            </w:r>
          </w:p>
        </w:tc>
        <w:tc>
          <w:tcPr>
            <w:tcW w:w="535" w:type="dxa"/>
          </w:tcPr>
          <w:p w14:paraId="1672F960" w14:textId="53F6603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2</w:t>
            </w:r>
          </w:p>
        </w:tc>
        <w:tc>
          <w:tcPr>
            <w:tcW w:w="747" w:type="dxa"/>
          </w:tcPr>
          <w:p w14:paraId="53D59D8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71.8</w:t>
            </w:r>
          </w:p>
        </w:tc>
        <w:tc>
          <w:tcPr>
            <w:tcW w:w="1159" w:type="dxa"/>
          </w:tcPr>
          <w:p w14:paraId="450A4DF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61.0-81.0</w:t>
            </w:r>
          </w:p>
        </w:tc>
        <w:tc>
          <w:tcPr>
            <w:tcW w:w="691" w:type="dxa"/>
          </w:tcPr>
          <w:p w14:paraId="375CEBF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79.2</w:t>
            </w:r>
          </w:p>
        </w:tc>
        <w:tc>
          <w:tcPr>
            <w:tcW w:w="1159" w:type="dxa"/>
          </w:tcPr>
          <w:p w14:paraId="02D565A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73.6-84.1</w:t>
            </w:r>
          </w:p>
        </w:tc>
        <w:tc>
          <w:tcPr>
            <w:tcW w:w="586" w:type="dxa"/>
          </w:tcPr>
          <w:p w14:paraId="4FA8B7D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54.5</w:t>
            </w:r>
          </w:p>
        </w:tc>
        <w:tc>
          <w:tcPr>
            <w:tcW w:w="1159" w:type="dxa"/>
          </w:tcPr>
          <w:p w14:paraId="16A1919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47.5-61.2</w:t>
            </w:r>
          </w:p>
        </w:tc>
        <w:tc>
          <w:tcPr>
            <w:tcW w:w="591" w:type="dxa"/>
          </w:tcPr>
          <w:p w14:paraId="4F5B409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89.0</w:t>
            </w:r>
          </w:p>
        </w:tc>
        <w:tc>
          <w:tcPr>
            <w:tcW w:w="1159" w:type="dxa"/>
          </w:tcPr>
          <w:p w14:paraId="7AC8FE6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85.1-91.9</w:t>
            </w:r>
          </w:p>
        </w:tc>
      </w:tr>
      <w:tr w:rsidR="00420454" w:rsidRPr="0091360F" w14:paraId="2C5D38CC" w14:textId="77777777" w:rsidTr="00500D10">
        <w:tc>
          <w:tcPr>
            <w:tcW w:w="1104" w:type="dxa"/>
          </w:tcPr>
          <w:p w14:paraId="70A61578" w14:textId="428D453E"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w:t>
            </w:r>
            <w:r w:rsidR="00C53B9A" w:rsidRPr="0091360F">
              <w:rPr>
                <w:rFonts w:ascii="Book Antiqua" w:hAnsi="Book Antiqua" w:cs="Times New Roman"/>
                <w:sz w:val="24"/>
                <w:szCs w:val="24"/>
              </w:rPr>
              <w:t>a</w:t>
            </w:r>
          </w:p>
        </w:tc>
        <w:tc>
          <w:tcPr>
            <w:tcW w:w="768" w:type="dxa"/>
          </w:tcPr>
          <w:p w14:paraId="2E92836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0.3758</w:t>
            </w:r>
          </w:p>
        </w:tc>
        <w:tc>
          <w:tcPr>
            <w:tcW w:w="535" w:type="dxa"/>
          </w:tcPr>
          <w:p w14:paraId="45C79B9F" w14:textId="2DD644F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13</w:t>
            </w:r>
          </w:p>
        </w:tc>
        <w:tc>
          <w:tcPr>
            <w:tcW w:w="747" w:type="dxa"/>
          </w:tcPr>
          <w:p w14:paraId="15AA0C1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69.4</w:t>
            </w:r>
          </w:p>
        </w:tc>
        <w:tc>
          <w:tcPr>
            <w:tcW w:w="1159" w:type="dxa"/>
          </w:tcPr>
          <w:p w14:paraId="379F76D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58.5-79.0</w:t>
            </w:r>
          </w:p>
        </w:tc>
        <w:tc>
          <w:tcPr>
            <w:tcW w:w="691" w:type="dxa"/>
          </w:tcPr>
          <w:p w14:paraId="7B9F332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68.2</w:t>
            </w:r>
          </w:p>
        </w:tc>
        <w:tc>
          <w:tcPr>
            <w:tcW w:w="1159" w:type="dxa"/>
          </w:tcPr>
          <w:p w14:paraId="257A549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61.9-73.9</w:t>
            </w:r>
          </w:p>
        </w:tc>
        <w:tc>
          <w:tcPr>
            <w:tcW w:w="586" w:type="dxa"/>
          </w:tcPr>
          <w:p w14:paraId="610BA3E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43.1</w:t>
            </w:r>
          </w:p>
        </w:tc>
        <w:tc>
          <w:tcPr>
            <w:tcW w:w="1159" w:type="dxa"/>
          </w:tcPr>
          <w:p w14:paraId="169AE11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37.5-48.8</w:t>
            </w:r>
          </w:p>
        </w:tc>
        <w:tc>
          <w:tcPr>
            <w:tcW w:w="591" w:type="dxa"/>
          </w:tcPr>
          <w:p w14:paraId="4EB99D2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86.5</w:t>
            </w:r>
          </w:p>
        </w:tc>
        <w:tc>
          <w:tcPr>
            <w:tcW w:w="1159" w:type="dxa"/>
          </w:tcPr>
          <w:p w14:paraId="41CE8F5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82.2-89.9</w:t>
            </w:r>
          </w:p>
        </w:tc>
      </w:tr>
      <w:tr w:rsidR="00420454" w:rsidRPr="0091360F" w14:paraId="2BA048A1" w14:textId="77777777" w:rsidTr="00500D10">
        <w:tc>
          <w:tcPr>
            <w:tcW w:w="1104" w:type="dxa"/>
          </w:tcPr>
          <w:p w14:paraId="0F58B531"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w:t>
            </w:r>
          </w:p>
        </w:tc>
        <w:tc>
          <w:tcPr>
            <w:tcW w:w="768" w:type="dxa"/>
          </w:tcPr>
          <w:p w14:paraId="592BCC6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0.3241</w:t>
            </w:r>
          </w:p>
        </w:tc>
        <w:tc>
          <w:tcPr>
            <w:tcW w:w="535" w:type="dxa"/>
          </w:tcPr>
          <w:p w14:paraId="004E5136" w14:textId="1021BFC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13</w:t>
            </w:r>
          </w:p>
        </w:tc>
        <w:tc>
          <w:tcPr>
            <w:tcW w:w="747" w:type="dxa"/>
          </w:tcPr>
          <w:p w14:paraId="578E2F66" w14:textId="533249C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45.</w:t>
            </w:r>
            <w:r w:rsidR="009A63E2" w:rsidRPr="0091360F">
              <w:rPr>
                <w:rFonts w:ascii="Book Antiqua" w:hAnsi="Book Antiqua" w:cs="Times New Roman"/>
                <w:sz w:val="24"/>
                <w:szCs w:val="24"/>
              </w:rPr>
              <w:t>9</w:t>
            </w:r>
          </w:p>
        </w:tc>
        <w:tc>
          <w:tcPr>
            <w:tcW w:w="1159" w:type="dxa"/>
          </w:tcPr>
          <w:p w14:paraId="04BD5166" w14:textId="2C93C01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35.0-57.0</w:t>
            </w:r>
          </w:p>
        </w:tc>
        <w:tc>
          <w:tcPr>
            <w:tcW w:w="691" w:type="dxa"/>
          </w:tcPr>
          <w:p w14:paraId="6DE862C9" w14:textId="3B3DC67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86.5</w:t>
            </w:r>
          </w:p>
        </w:tc>
        <w:tc>
          <w:tcPr>
            <w:tcW w:w="1159" w:type="dxa"/>
          </w:tcPr>
          <w:p w14:paraId="0722A3B9" w14:textId="5DDA565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81.6-90.5</w:t>
            </w:r>
          </w:p>
        </w:tc>
        <w:tc>
          <w:tcPr>
            <w:tcW w:w="586" w:type="dxa"/>
          </w:tcPr>
          <w:p w14:paraId="56EF967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54.2</w:t>
            </w:r>
          </w:p>
        </w:tc>
        <w:tc>
          <w:tcPr>
            <w:tcW w:w="1159" w:type="dxa"/>
          </w:tcPr>
          <w:p w14:paraId="406D5902" w14:textId="3A3ED0D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44.4-63.6</w:t>
            </w:r>
          </w:p>
        </w:tc>
        <w:tc>
          <w:tcPr>
            <w:tcW w:w="591" w:type="dxa"/>
          </w:tcPr>
          <w:p w14:paraId="3DFC778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82.2</w:t>
            </w:r>
          </w:p>
        </w:tc>
        <w:tc>
          <w:tcPr>
            <w:tcW w:w="1159" w:type="dxa"/>
          </w:tcPr>
          <w:p w14:paraId="19820255" w14:textId="782DD91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79.0-84.9</w:t>
            </w:r>
          </w:p>
        </w:tc>
      </w:tr>
      <w:tr w:rsidR="00420454" w:rsidRPr="0091360F" w14:paraId="74A385A6" w14:textId="77777777" w:rsidTr="00500D10">
        <w:tc>
          <w:tcPr>
            <w:tcW w:w="1104" w:type="dxa"/>
          </w:tcPr>
          <w:p w14:paraId="3F0F027C"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 xml:space="preserve">AIMS65 </w:t>
            </w:r>
          </w:p>
        </w:tc>
        <w:tc>
          <w:tcPr>
            <w:tcW w:w="768" w:type="dxa"/>
          </w:tcPr>
          <w:p w14:paraId="3DDF192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0.3830</w:t>
            </w:r>
          </w:p>
        </w:tc>
        <w:tc>
          <w:tcPr>
            <w:tcW w:w="535" w:type="dxa"/>
          </w:tcPr>
          <w:p w14:paraId="32D4B94C" w14:textId="79C6362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w:t>
            </w:r>
          </w:p>
        </w:tc>
        <w:tc>
          <w:tcPr>
            <w:tcW w:w="747" w:type="dxa"/>
          </w:tcPr>
          <w:p w14:paraId="25D56111" w14:textId="11EEDA5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51.</w:t>
            </w:r>
            <w:r w:rsidR="009A63E2" w:rsidRPr="0091360F">
              <w:rPr>
                <w:rFonts w:ascii="Book Antiqua" w:hAnsi="Book Antiqua" w:cs="Times New Roman"/>
                <w:sz w:val="24"/>
                <w:szCs w:val="24"/>
              </w:rPr>
              <w:t>8</w:t>
            </w:r>
          </w:p>
        </w:tc>
        <w:tc>
          <w:tcPr>
            <w:tcW w:w="1159" w:type="dxa"/>
          </w:tcPr>
          <w:p w14:paraId="05F99575" w14:textId="604A5EB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40.7-62.7</w:t>
            </w:r>
          </w:p>
        </w:tc>
        <w:tc>
          <w:tcPr>
            <w:tcW w:w="691" w:type="dxa"/>
          </w:tcPr>
          <w:p w14:paraId="52E75988" w14:textId="201FEA6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86.5</w:t>
            </w:r>
          </w:p>
        </w:tc>
        <w:tc>
          <w:tcPr>
            <w:tcW w:w="1159" w:type="dxa"/>
          </w:tcPr>
          <w:p w14:paraId="1062A0CF" w14:textId="797EE4D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81.6-90.5</w:t>
            </w:r>
          </w:p>
        </w:tc>
        <w:tc>
          <w:tcPr>
            <w:tcW w:w="586" w:type="dxa"/>
          </w:tcPr>
          <w:p w14:paraId="32BFD5F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57.1</w:t>
            </w:r>
          </w:p>
        </w:tc>
        <w:tc>
          <w:tcPr>
            <w:tcW w:w="1159" w:type="dxa"/>
          </w:tcPr>
          <w:p w14:paraId="0480BB2E" w14:textId="642EF1F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47.7-66.1</w:t>
            </w:r>
          </w:p>
        </w:tc>
        <w:tc>
          <w:tcPr>
            <w:tcW w:w="591" w:type="dxa"/>
          </w:tcPr>
          <w:p w14:paraId="599981A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83.8</w:t>
            </w:r>
          </w:p>
        </w:tc>
        <w:tc>
          <w:tcPr>
            <w:tcW w:w="1159" w:type="dxa"/>
          </w:tcPr>
          <w:p w14:paraId="710F57AD" w14:textId="7399843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80.5-86.6</w:t>
            </w:r>
          </w:p>
        </w:tc>
      </w:tr>
    </w:tbl>
    <w:p w14:paraId="6AC0168D" w14:textId="136383B6" w:rsidR="002671B3"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SEN: Sensitivity; SPE: Specificity; PPV: Positive predictive value; NPV: Negative predictive value; CI: Confidence interval; </w:t>
      </w:r>
      <w:r w:rsidR="00803620" w:rsidRPr="00D51DE3">
        <w:rPr>
          <w:rFonts w:ascii="Book Antiqua" w:hAnsi="Book Antiqua" w:cs="Times New Roman"/>
          <w:color w:val="000000" w:themeColor="text1"/>
          <w:sz w:val="24"/>
          <w:szCs w:val="24"/>
        </w:rPr>
        <w:t>CTP</w:t>
      </w:r>
      <w:r w:rsidRPr="00D51DE3">
        <w:rPr>
          <w:rFonts w:ascii="Book Antiqua" w:hAnsi="Book Antiqua" w:cs="Times New Roman"/>
          <w:color w:val="000000" w:themeColor="text1"/>
          <w:sz w:val="24"/>
          <w:szCs w:val="24"/>
        </w:rPr>
        <w:t>:</w:t>
      </w:r>
      <w:r w:rsidRPr="0091360F">
        <w:rPr>
          <w:rFonts w:ascii="Book Antiqua" w:hAnsi="Book Antiqua" w:cs="Times New Roman"/>
          <w:sz w:val="24"/>
          <w:szCs w:val="24"/>
        </w:rPr>
        <w:t xml:space="preserve"> Child–Turcotte–Pugh score; MELD: Model for end-stage liver disease; CRS: Clinical Rockall score; GBS: Glasgow-Blatchford score; mGBS: Modiﬁed Glasgow-Blatchford score</w:t>
      </w:r>
      <w:r w:rsidR="00B30036" w:rsidRPr="0091360F">
        <w:rPr>
          <w:rFonts w:ascii="Book Antiqua" w:hAnsi="Book Antiqua" w:cs="Times New Roman"/>
          <w:sz w:val="24"/>
          <w:szCs w:val="24"/>
        </w:rPr>
        <w:t>; AIMS65: AIMS65 score; CANUKA: Canada-U</w:t>
      </w:r>
      <w:r w:rsidR="00C53B9A">
        <w:rPr>
          <w:rFonts w:ascii="Book Antiqua" w:hAnsi="Book Antiqua" w:cs="Times New Roman"/>
          <w:sz w:val="24"/>
          <w:szCs w:val="24"/>
        </w:rPr>
        <w:t>nited Kingdom</w:t>
      </w:r>
      <w:r w:rsidR="00B30036" w:rsidRPr="0091360F">
        <w:rPr>
          <w:rFonts w:ascii="Book Antiqua" w:hAnsi="Book Antiqua" w:cs="Times New Roman"/>
          <w:sz w:val="24"/>
          <w:szCs w:val="24"/>
        </w:rPr>
        <w:t>-Australia score.</w:t>
      </w:r>
    </w:p>
    <w:p w14:paraId="243ED596" w14:textId="77777777" w:rsidR="00420454" w:rsidRPr="0091360F" w:rsidRDefault="00420454" w:rsidP="00420454">
      <w:pPr>
        <w:widowControl/>
        <w:snapToGrid w:val="0"/>
        <w:spacing w:line="360" w:lineRule="auto"/>
        <w:jc w:val="left"/>
        <w:rPr>
          <w:rFonts w:ascii="Book Antiqua" w:hAnsi="Book Antiqua" w:cs="Times New Roman"/>
          <w:sz w:val="24"/>
          <w:szCs w:val="24"/>
        </w:rPr>
      </w:pPr>
      <w:r w:rsidRPr="0091360F">
        <w:rPr>
          <w:rFonts w:ascii="Book Antiqua" w:hAnsi="Book Antiqua" w:cs="Times New Roman"/>
          <w:sz w:val="24"/>
          <w:szCs w:val="24"/>
        </w:rPr>
        <w:lastRenderedPageBreak/>
        <w:br w:type="page"/>
      </w:r>
    </w:p>
    <w:p w14:paraId="75A88AD2" w14:textId="1DA61B4E" w:rsidR="00E05195" w:rsidRPr="0091360F" w:rsidRDefault="00FC4209" w:rsidP="00420454">
      <w:pPr>
        <w:snapToGrid w:val="0"/>
        <w:spacing w:line="360" w:lineRule="auto"/>
        <w:rPr>
          <w:rFonts w:ascii="Book Antiqua" w:hAnsi="Book Antiqua"/>
          <w:sz w:val="24"/>
          <w:szCs w:val="24"/>
        </w:rPr>
      </w:pPr>
      <w:r w:rsidRPr="0091360F">
        <w:rPr>
          <w:noProof/>
        </w:rPr>
        <w:lastRenderedPageBreak/>
        <w:drawing>
          <wp:inline distT="0" distB="0" distL="0" distR="0" wp14:anchorId="0872482C" wp14:editId="746CEA93">
            <wp:extent cx="5274310" cy="411353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113530"/>
                    </a:xfrm>
                    <a:prstGeom prst="rect">
                      <a:avLst/>
                    </a:prstGeom>
                  </pic:spPr>
                </pic:pic>
              </a:graphicData>
            </a:graphic>
          </wp:inline>
        </w:drawing>
      </w:r>
    </w:p>
    <w:p w14:paraId="5E45F22F" w14:textId="3AE44671" w:rsidR="00FC4209" w:rsidRPr="0091360F" w:rsidRDefault="003421E0" w:rsidP="00420454">
      <w:pPr>
        <w:snapToGrid w:val="0"/>
        <w:spacing w:line="360" w:lineRule="auto"/>
        <w:rPr>
          <w:rFonts w:ascii="Book Antiqua" w:hAnsi="Book Antiqua" w:cs="Times New Roman"/>
          <w:b/>
          <w:bCs/>
          <w:sz w:val="24"/>
          <w:szCs w:val="24"/>
        </w:rPr>
      </w:pPr>
      <w:bookmarkStart w:id="208" w:name="OLE_LINK17"/>
      <w:r w:rsidRPr="0091360F">
        <w:rPr>
          <w:rFonts w:ascii="Book Antiqua" w:hAnsi="Book Antiqua" w:cs="Times New Roman"/>
          <w:b/>
          <w:bCs/>
          <w:sz w:val="24"/>
          <w:szCs w:val="24"/>
        </w:rPr>
        <w:t>Figure 1</w:t>
      </w:r>
      <w:r w:rsidR="003E69F9"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Flowchart of the included patients.</w:t>
      </w:r>
      <w:bookmarkEnd w:id="208"/>
    </w:p>
    <w:p w14:paraId="2E3EB332" w14:textId="77777777" w:rsidR="00FC4209" w:rsidRPr="0091360F" w:rsidRDefault="00FC4209">
      <w:pPr>
        <w:widowControl/>
        <w:jc w:val="left"/>
        <w:rPr>
          <w:rFonts w:ascii="Book Antiqua" w:hAnsi="Book Antiqua" w:cs="Times New Roman"/>
          <w:sz w:val="24"/>
          <w:szCs w:val="24"/>
        </w:rPr>
      </w:pPr>
      <w:r w:rsidRPr="0091360F">
        <w:rPr>
          <w:rFonts w:ascii="Book Antiqua" w:hAnsi="Book Antiqua" w:cs="Times New Roman"/>
          <w:sz w:val="24"/>
          <w:szCs w:val="24"/>
        </w:rPr>
        <w:br w:type="page"/>
      </w:r>
    </w:p>
    <w:p w14:paraId="127DCD70" w14:textId="45DCC0F8" w:rsidR="0093071D" w:rsidRPr="0091360F" w:rsidRDefault="00B813C9" w:rsidP="00420454">
      <w:pPr>
        <w:snapToGrid w:val="0"/>
        <w:spacing w:line="360" w:lineRule="auto"/>
        <w:rPr>
          <w:rFonts w:ascii="Book Antiqua" w:hAnsi="Book Antiqua"/>
          <w:b/>
          <w:bCs/>
          <w:noProof/>
          <w:sz w:val="24"/>
          <w:szCs w:val="24"/>
        </w:rPr>
      </w:pPr>
      <w:r w:rsidRPr="0091360F">
        <w:rPr>
          <w:rFonts w:ascii="Book Antiqua" w:hAnsi="Book Antiqua"/>
          <w:b/>
          <w:bCs/>
          <w:noProof/>
          <w:sz w:val="24"/>
          <w:szCs w:val="24"/>
        </w:rPr>
        <w:lastRenderedPageBreak/>
        <w:t>A</w:t>
      </w:r>
    </w:p>
    <w:p w14:paraId="40E3C3A2" w14:textId="625C1DA9" w:rsidR="00B813C9" w:rsidRPr="0091360F" w:rsidRDefault="00B813C9" w:rsidP="00420454">
      <w:pPr>
        <w:snapToGrid w:val="0"/>
        <w:spacing w:line="360" w:lineRule="auto"/>
        <w:rPr>
          <w:rFonts w:ascii="Book Antiqua" w:hAnsi="Book Antiqua" w:cs="Times New Roman"/>
          <w:sz w:val="24"/>
          <w:szCs w:val="24"/>
        </w:rPr>
      </w:pPr>
      <w:r w:rsidRPr="0091360F">
        <w:rPr>
          <w:noProof/>
        </w:rPr>
        <w:drawing>
          <wp:inline distT="0" distB="0" distL="0" distR="0" wp14:anchorId="00FBF038" wp14:editId="009BAE2C">
            <wp:extent cx="3992929" cy="2576223"/>
            <wp:effectExtent l="0" t="0" r="7620" b="0"/>
            <wp:docPr id="12" name="图片 2">
              <a:extLst xmlns:a="http://schemas.openxmlformats.org/drawingml/2006/main">
                <a:ext uri="{FF2B5EF4-FFF2-40B4-BE49-F238E27FC236}">
                  <a16:creationId xmlns:a16="http://schemas.microsoft.com/office/drawing/2014/main" id="{7186FBF2-76C6-42F7-A475-4073CCA37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7186FBF2-76C6-42F7-A475-4073CCA37BE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2738" cy="2582552"/>
                    </a:xfrm>
                    <a:prstGeom prst="rect">
                      <a:avLst/>
                    </a:prstGeom>
                  </pic:spPr>
                </pic:pic>
              </a:graphicData>
            </a:graphic>
          </wp:inline>
        </w:drawing>
      </w:r>
    </w:p>
    <w:p w14:paraId="02EABFE7" w14:textId="3A567D66" w:rsidR="00B813C9" w:rsidRPr="0091360F" w:rsidRDefault="00B813C9" w:rsidP="00420454">
      <w:pPr>
        <w:snapToGrid w:val="0"/>
        <w:spacing w:line="360" w:lineRule="auto"/>
        <w:rPr>
          <w:rFonts w:ascii="Book Antiqua" w:hAnsi="Book Antiqua" w:cs="Times New Roman"/>
          <w:sz w:val="24"/>
          <w:szCs w:val="24"/>
        </w:rPr>
      </w:pPr>
      <w:r w:rsidRPr="0091360F">
        <w:rPr>
          <w:rFonts w:ascii="Book Antiqua" w:hAnsi="Book Antiqua" w:cs="Times New Roman" w:hint="eastAsia"/>
          <w:sz w:val="24"/>
          <w:szCs w:val="24"/>
        </w:rPr>
        <w:t>B</w:t>
      </w:r>
    </w:p>
    <w:p w14:paraId="23157D49" w14:textId="135ACE98" w:rsidR="00B813C9" w:rsidRPr="0091360F" w:rsidRDefault="00B813C9" w:rsidP="00420454">
      <w:pPr>
        <w:snapToGrid w:val="0"/>
        <w:spacing w:line="360" w:lineRule="auto"/>
        <w:rPr>
          <w:rFonts w:ascii="Book Antiqua" w:hAnsi="Book Antiqua" w:cs="Times New Roman"/>
          <w:sz w:val="24"/>
          <w:szCs w:val="24"/>
        </w:rPr>
      </w:pPr>
      <w:r w:rsidRPr="0091360F">
        <w:rPr>
          <w:rFonts w:ascii="Book Antiqua" w:hAnsi="Book Antiqua" w:cs="Times New Roman"/>
          <w:noProof/>
          <w:sz w:val="24"/>
          <w:szCs w:val="24"/>
        </w:rPr>
        <w:drawing>
          <wp:inline distT="0" distB="0" distL="0" distR="0" wp14:anchorId="536F9A2F" wp14:editId="2248FFF9">
            <wp:extent cx="3878654" cy="2608028"/>
            <wp:effectExtent l="0" t="0" r="762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2554" cy="2624099"/>
                    </a:xfrm>
                    <a:prstGeom prst="rect">
                      <a:avLst/>
                    </a:prstGeom>
                  </pic:spPr>
                </pic:pic>
              </a:graphicData>
            </a:graphic>
          </wp:inline>
        </w:drawing>
      </w:r>
    </w:p>
    <w:p w14:paraId="1DB46095" w14:textId="4838C9F5" w:rsidR="00B813C9" w:rsidRPr="0091360F" w:rsidRDefault="00B813C9" w:rsidP="00420454">
      <w:pPr>
        <w:snapToGrid w:val="0"/>
        <w:spacing w:line="360" w:lineRule="auto"/>
        <w:rPr>
          <w:rFonts w:ascii="Book Antiqua" w:hAnsi="Book Antiqua" w:cs="Times New Roman"/>
          <w:sz w:val="24"/>
          <w:szCs w:val="24"/>
        </w:rPr>
      </w:pPr>
      <w:r w:rsidRPr="0091360F">
        <w:rPr>
          <w:rFonts w:ascii="Book Antiqua" w:hAnsi="Book Antiqua" w:cs="Times New Roman" w:hint="eastAsia"/>
          <w:sz w:val="24"/>
          <w:szCs w:val="24"/>
        </w:rPr>
        <w:t>C</w:t>
      </w:r>
    </w:p>
    <w:p w14:paraId="45A8AA60" w14:textId="2BC324DD" w:rsidR="00B813C9" w:rsidRPr="0091360F" w:rsidRDefault="00B813C9" w:rsidP="00420454">
      <w:pPr>
        <w:snapToGrid w:val="0"/>
        <w:spacing w:line="360" w:lineRule="auto"/>
        <w:rPr>
          <w:rFonts w:ascii="Book Antiqua" w:hAnsi="Book Antiqua" w:cs="Times New Roman"/>
          <w:sz w:val="24"/>
          <w:szCs w:val="24"/>
        </w:rPr>
      </w:pPr>
      <w:r w:rsidRPr="0091360F">
        <w:rPr>
          <w:rFonts w:ascii="Book Antiqua" w:eastAsia="等线" w:hAnsi="Book Antiqua" w:cs="Times New Roman"/>
          <w:noProof/>
          <w:sz w:val="24"/>
          <w:szCs w:val="24"/>
        </w:rPr>
        <w:drawing>
          <wp:inline distT="0" distB="0" distL="0" distR="0" wp14:anchorId="786A0C6C" wp14:editId="2C67C298">
            <wp:extent cx="3894338" cy="2512612"/>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9618" cy="2516019"/>
                    </a:xfrm>
                    <a:prstGeom prst="rect">
                      <a:avLst/>
                    </a:prstGeom>
                  </pic:spPr>
                </pic:pic>
              </a:graphicData>
            </a:graphic>
          </wp:inline>
        </w:drawing>
      </w:r>
    </w:p>
    <w:p w14:paraId="6DC08EC2" w14:textId="6BC08E1E" w:rsidR="00420454" w:rsidRPr="00073377" w:rsidRDefault="0093071D" w:rsidP="003E69F9">
      <w:pPr>
        <w:snapToGrid w:val="0"/>
        <w:spacing w:line="360" w:lineRule="auto"/>
        <w:rPr>
          <w:rFonts w:ascii="Book Antiqua" w:hAnsi="Book Antiqua" w:cs="Times New Roman"/>
          <w:sz w:val="24"/>
          <w:szCs w:val="24"/>
        </w:rPr>
      </w:pPr>
      <w:r w:rsidRPr="0091360F">
        <w:rPr>
          <w:rFonts w:ascii="Book Antiqua" w:hAnsi="Book Antiqua" w:cs="Times New Roman"/>
          <w:b/>
          <w:bCs/>
          <w:sz w:val="24"/>
          <w:szCs w:val="24"/>
        </w:rPr>
        <w:lastRenderedPageBreak/>
        <w:t>Figure 2</w:t>
      </w:r>
      <w:r w:rsidR="003E69F9"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Area under the receiver operating curves</w:t>
      </w:r>
      <w:r w:rsidR="00FC4209"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 xml:space="preserve">for the risk scoring systems </w:t>
      </w:r>
      <w:r w:rsidR="00CD6091" w:rsidRPr="0091360F">
        <w:rPr>
          <w:rFonts w:ascii="Book Antiqua" w:hAnsi="Book Antiqua" w:cs="Times New Roman"/>
          <w:b/>
          <w:bCs/>
          <w:sz w:val="24"/>
          <w:szCs w:val="24"/>
        </w:rPr>
        <w:t>with regard to</w:t>
      </w:r>
      <w:r w:rsidR="003E69F9"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in</w:t>
      </w:r>
      <w:r w:rsidR="00CD6091" w:rsidRPr="0091360F">
        <w:rPr>
          <w:rFonts w:ascii="Book Antiqua" w:hAnsi="Book Antiqua" w:cs="Times New Roman"/>
          <w:b/>
          <w:bCs/>
          <w:sz w:val="24"/>
          <w:szCs w:val="24"/>
        </w:rPr>
        <w:t>-</w:t>
      </w:r>
      <w:r w:rsidRPr="0091360F">
        <w:rPr>
          <w:rFonts w:ascii="Book Antiqua" w:hAnsi="Book Antiqua" w:cs="Times New Roman"/>
          <w:b/>
          <w:bCs/>
          <w:sz w:val="24"/>
          <w:szCs w:val="24"/>
        </w:rPr>
        <w:t>hospital rebleeding</w:t>
      </w:r>
      <w:r w:rsidR="00D56EC8" w:rsidRPr="0091360F">
        <w:rPr>
          <w:rFonts w:ascii="Book Antiqua" w:hAnsi="Book Antiqua" w:cs="Times New Roman"/>
          <w:b/>
          <w:bCs/>
          <w:sz w:val="24"/>
          <w:szCs w:val="24"/>
        </w:rPr>
        <w:t xml:space="preserve"> (A)</w:t>
      </w:r>
      <w:r w:rsidR="00B813C9" w:rsidRPr="0091360F">
        <w:rPr>
          <w:rFonts w:ascii="Book Antiqua" w:hAnsi="Book Antiqua" w:cs="Times New Roman"/>
          <w:b/>
          <w:bCs/>
          <w:sz w:val="24"/>
          <w:szCs w:val="24"/>
        </w:rPr>
        <w:t xml:space="preserve">, </w:t>
      </w:r>
      <w:r w:rsidR="00B813C9" w:rsidRPr="0091360F">
        <w:rPr>
          <w:rFonts w:ascii="Book Antiqua" w:eastAsia="等线" w:hAnsi="Book Antiqua" w:cs="Times New Roman"/>
          <w:b/>
          <w:bCs/>
          <w:sz w:val="24"/>
          <w:szCs w:val="24"/>
        </w:rPr>
        <w:t>in-hospital mortality</w:t>
      </w:r>
      <w:r w:rsidR="00D56EC8" w:rsidRPr="0091360F">
        <w:rPr>
          <w:rFonts w:ascii="Book Antiqua" w:eastAsia="等线" w:hAnsi="Book Antiqua" w:cs="Times New Roman"/>
          <w:b/>
          <w:bCs/>
          <w:sz w:val="24"/>
          <w:szCs w:val="24"/>
        </w:rPr>
        <w:t xml:space="preserve"> </w:t>
      </w:r>
      <w:r w:rsidR="00D56EC8" w:rsidRPr="0091360F">
        <w:rPr>
          <w:rFonts w:ascii="Book Antiqua" w:hAnsi="Book Antiqua" w:cs="Times New Roman"/>
          <w:b/>
          <w:bCs/>
          <w:sz w:val="24"/>
          <w:szCs w:val="24"/>
        </w:rPr>
        <w:t>(B)</w:t>
      </w:r>
      <w:r w:rsidR="00B813C9" w:rsidRPr="0091360F">
        <w:rPr>
          <w:rFonts w:ascii="Book Antiqua" w:eastAsia="等线" w:hAnsi="Book Antiqua" w:cs="Times New Roman"/>
          <w:b/>
          <w:bCs/>
          <w:sz w:val="24"/>
          <w:szCs w:val="24"/>
        </w:rPr>
        <w:t xml:space="preserve">, and </w:t>
      </w:r>
      <w:r w:rsidR="00B813C9" w:rsidRPr="0091360F">
        <w:rPr>
          <w:rFonts w:ascii="Book Antiqua" w:hAnsi="Book Antiqua" w:cs="Times New Roman"/>
          <w:b/>
          <w:bCs/>
          <w:sz w:val="24"/>
          <w:szCs w:val="24"/>
        </w:rPr>
        <w:t>in-hospital adverse outcomes</w:t>
      </w:r>
      <w:r w:rsidR="00FC4209" w:rsidRPr="0091360F">
        <w:rPr>
          <w:rFonts w:ascii="Book Antiqua" w:hAnsi="Book Antiqua" w:cs="Times New Roman"/>
          <w:b/>
          <w:bCs/>
          <w:sz w:val="24"/>
          <w:szCs w:val="24"/>
        </w:rPr>
        <w:t xml:space="preserve"> </w:t>
      </w:r>
      <w:r w:rsidR="00D56EC8" w:rsidRPr="0091360F">
        <w:rPr>
          <w:rFonts w:ascii="Book Antiqua" w:hAnsi="Book Antiqua" w:cs="Times New Roman"/>
          <w:b/>
          <w:bCs/>
          <w:sz w:val="24"/>
          <w:szCs w:val="24"/>
        </w:rPr>
        <w:t>(C).</w:t>
      </w:r>
      <w:r w:rsidR="006D0196" w:rsidRPr="0091360F">
        <w:rPr>
          <w:rFonts w:ascii="Book Antiqua" w:hAnsi="Book Antiqua" w:cs="Times New Roman"/>
          <w:b/>
          <w:bCs/>
          <w:sz w:val="24"/>
          <w:szCs w:val="24"/>
        </w:rPr>
        <w:t xml:space="preserve"> </w:t>
      </w:r>
      <w:r w:rsidR="006D0196" w:rsidRPr="0091360F">
        <w:rPr>
          <w:rFonts w:ascii="Book Antiqua" w:hAnsi="Book Antiqua" w:cs="Times New Roman"/>
          <w:sz w:val="24"/>
          <w:szCs w:val="24"/>
        </w:rPr>
        <w:t xml:space="preserve">AUROC: Area under the receiver operating characteristic curve; </w:t>
      </w:r>
      <w:r w:rsidR="00803620" w:rsidRPr="00D51DE3">
        <w:rPr>
          <w:rFonts w:ascii="Book Antiqua" w:hAnsi="Book Antiqua" w:cs="Times New Roman"/>
          <w:color w:val="000000" w:themeColor="text1"/>
          <w:sz w:val="24"/>
          <w:szCs w:val="24"/>
        </w:rPr>
        <w:t>CTP</w:t>
      </w:r>
      <w:r w:rsidR="006D0196" w:rsidRPr="00D51DE3">
        <w:rPr>
          <w:rFonts w:ascii="Book Antiqua" w:hAnsi="Book Antiqua" w:cs="Times New Roman"/>
          <w:color w:val="000000" w:themeColor="text1"/>
          <w:sz w:val="24"/>
          <w:szCs w:val="24"/>
        </w:rPr>
        <w:t>:</w:t>
      </w:r>
      <w:r w:rsidR="006D0196" w:rsidRPr="0091360F">
        <w:rPr>
          <w:rFonts w:ascii="Book Antiqua" w:hAnsi="Book Antiqua" w:cs="Times New Roman"/>
          <w:sz w:val="24"/>
          <w:szCs w:val="24"/>
        </w:rPr>
        <w:t xml:space="preserve"> Child–Turcotte–Pugh score; MELD: Model for end-stage liver disease; CRS: Clinical Rockall score; GBS: Glasgow-Blatchford score; mGBS: Modiﬁed Glasgow-Blatchford score; AIMS65: AIMS65 score; CANUKA: Canada-U</w:t>
      </w:r>
      <w:r w:rsidR="00C53B9A">
        <w:rPr>
          <w:rFonts w:ascii="Book Antiqua" w:hAnsi="Book Antiqua" w:cs="Times New Roman"/>
          <w:sz w:val="24"/>
          <w:szCs w:val="24"/>
        </w:rPr>
        <w:t>nited Kingdom</w:t>
      </w:r>
      <w:r w:rsidR="006D0196" w:rsidRPr="0091360F">
        <w:rPr>
          <w:rFonts w:ascii="Book Antiqua" w:hAnsi="Book Antiqua" w:cs="Times New Roman"/>
          <w:sz w:val="24"/>
          <w:szCs w:val="24"/>
        </w:rPr>
        <w:t>-Australia score.</w:t>
      </w:r>
    </w:p>
    <w:sectPr w:rsidR="00420454" w:rsidRPr="00073377" w:rsidSect="00420454">
      <w:head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DC46" w14:textId="77777777" w:rsidR="00007680" w:rsidRDefault="00007680" w:rsidP="00D3721E">
      <w:r>
        <w:separator/>
      </w:r>
    </w:p>
  </w:endnote>
  <w:endnote w:type="continuationSeparator" w:id="0">
    <w:p w14:paraId="45B30456" w14:textId="77777777" w:rsidR="00007680" w:rsidRDefault="00007680" w:rsidP="00D3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TimesNewRomanPS-BoldItalicMT">
    <w:charset w:val="00"/>
    <w:family w:val="auto"/>
    <w:pitch w:val="variable"/>
    <w:sig w:usb0="E0000AFF" w:usb1="00007843" w:usb2="0000000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08A9" w14:textId="77777777" w:rsidR="00007680" w:rsidRDefault="00007680" w:rsidP="00D3721E">
      <w:r>
        <w:separator/>
      </w:r>
    </w:p>
  </w:footnote>
  <w:footnote w:type="continuationSeparator" w:id="0">
    <w:p w14:paraId="2344D418" w14:textId="77777777" w:rsidR="00007680" w:rsidRDefault="00007680" w:rsidP="00D37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936600"/>
      <w:docPartObj>
        <w:docPartGallery w:val="Page Numbers (Top of Page)"/>
        <w:docPartUnique/>
      </w:docPartObj>
    </w:sdtPr>
    <w:sdtEndPr/>
    <w:sdtContent>
      <w:p w14:paraId="593439DA" w14:textId="0BC802AA" w:rsidR="00803620" w:rsidRDefault="00803620">
        <w:pPr>
          <w:pStyle w:val="a3"/>
          <w:jc w:val="right"/>
        </w:pPr>
        <w:r>
          <w:fldChar w:fldCharType="begin"/>
        </w:r>
        <w:r>
          <w:instrText>PAGE   \* MERGEFORMAT</w:instrText>
        </w:r>
        <w:r>
          <w:fldChar w:fldCharType="separate"/>
        </w:r>
        <w:r w:rsidR="00D51DE3" w:rsidRPr="00D51DE3">
          <w:rPr>
            <w:noProof/>
            <w:lang w:val="zh-CN"/>
          </w:rPr>
          <w:t>-</w:t>
        </w:r>
        <w:r w:rsidR="00D51DE3">
          <w:rPr>
            <w:noProof/>
          </w:rPr>
          <w:t xml:space="preserve"> 1 -</w:t>
        </w:r>
        <w:r>
          <w:fldChar w:fldCharType="end"/>
        </w:r>
      </w:p>
    </w:sdtContent>
  </w:sdt>
  <w:p w14:paraId="6F65E241" w14:textId="77777777" w:rsidR="00803620" w:rsidRDefault="008036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0DAB851-CE11-4CAB-A9D7-E8D8F7BA8BE6}" w:val=" ADDIN NE.Ref.{00DAB851-CE11-4CAB-A9D7-E8D8F7BA8BE6}&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Group&gt;&lt;References&gt;&lt;Item&gt;&lt;ID&gt;20&lt;/ID&gt;&lt;UID&gt;{048CCE20-115B-4DBC-9B89-6423630BBFEE}&lt;/UID&gt;&lt;Title&gt;Prospective validation of the Rockall risk scoring system for upper GI hemorrhage in subgroups of patients with varices and peptic ulcers&lt;/Title&gt;&lt;Template&gt;Journal Article&lt;/Template&gt;&lt;Star&gt;0&lt;/Star&gt;&lt;Tag&gt;0&lt;/Tag&gt;&lt;Author&gt;Sanders, D S; Carter, M J; Goodchap, R J; Cross, S S; Gleeson, D C; Lobo, A J&lt;/Author&gt;&lt;Year&gt;2002&lt;/Year&gt;&lt;Details&gt;&lt;_accession_num&gt;11922558&lt;/_accession_num&gt;&lt;_author_adr&gt;Department of Histopathology, The Royal Hallamshire Hospital, Sheffield, United Kingdom.&lt;/_author_adr&gt;&lt;_collection_scope&gt;SCI;SCIE&lt;/_collection_scope&gt;&lt;_created&gt;62910316&lt;/_created&gt;&lt;_date&gt;2002-03-01&lt;/_date&gt;&lt;_date_display&gt;2002 Mar&lt;/_date_display&gt;&lt;_doi&gt;10.1111/j.1572-0241.2002.05541.x&lt;/_doi&gt;&lt;_impact_factor&gt;  10.241&lt;/_impact_factor&gt;&lt;_isbn&gt;0002-9270 (Print); 0002-9270 (Linking)&lt;/_isbn&gt;&lt;_issue&gt;3&lt;/_issue&gt;&lt;_journal&gt;Am J Gastroenterol&lt;/_journal&gt;&lt;_keywords&gt;Adult; Aged; Aged, 80 and over; Cohort Studies; Esophageal and Gastric Varices/*complications/*mortality; Female; Gastrointestinal Hemorrhage/*etiology/*mortality; Humans; Male; Middle Aged; Outcome Assessment (Health Care); Peptic Ulcer/*complications/*mortality; Predictive Value of Tests; Prospective Studies; Recurrence; Reproducibility of Results; Risk Assessment&lt;/_keywords&gt;&lt;_language&gt;eng&lt;/_language&gt;&lt;_modified&gt;62910316&lt;/_modified&gt;&lt;_pages&gt;630-5&lt;/_pages&gt;&lt;_tertiary_title&gt;The American journal of gastroenterology&lt;/_tertiary_title&gt;&lt;_type_work&gt;Journal Article; Validation Studies&lt;/_type_work&gt;&lt;_url&gt;http://www.ncbi.nlm.nih.gov/entrez/query.fcgi?cmd=Retrieve&amp;amp;db=pubmed&amp;amp;dopt=Abstract&amp;amp;list_uids=11922558&amp;amp;query_hl=1&lt;/_url&gt;&lt;_volume&gt;97&lt;/_volume&gt;&lt;/Details&gt;&lt;Extra&gt;&lt;DBUID&gt;{67BC0B37-B4D5-4B86-84ED-0ACFEDDE9F20}&lt;/DBUID&gt;&lt;/Extra&gt;&lt;/Item&gt;&lt;/References&gt;&lt;/Group&gt;&lt;/Citation&gt;_x000a_"/>
    <w:docVar w:name="NE.Ref{06CD5AA8-94D4-4EBC-9128-99EEE115BA02}" w:val=" ADDIN NE.Ref.{06CD5AA8-94D4-4EBC-9128-99EEE115BA02}&lt;Citation&gt;&lt;Group&gt;&lt;References&gt;&lt;Item&gt;&lt;ID&gt;12&lt;/ID&gt;&lt;UID&gt;{47D9D529-F306-4730-8D92-BDB664D5EA6A}&lt;/UID&gt;&lt;Title&gt;Predictive value of Rockall score for rebleeding and mortality in patients with variceal bleeding&lt;/Title&gt;&lt;Template&gt;Journal Article&lt;/Template&gt;&lt;Star&gt;0&lt;/Star&gt;&lt;Tag&gt;0&lt;/Tag&gt;&lt;Author&gt;Sarwar, S; Dilshad, A; Khan, A A; Alam, A; Butt, A K; Tariq, S; Ahmad, I&lt;/Author&gt;&lt;Year&gt;2007&lt;/Year&gt;&lt;Details&gt;&lt;_accession_num&gt;17553319&lt;/_accession_num&gt;&lt;_author_adr&gt;Department of Gastroenterology and Hepatology, Shaikh Zayed Postgraduate Medical  Institute, and Department of Medicine, Jinnah Hospital, Lahore. drnawalshahid@yahoo.com&lt;/_author_adr&gt;&lt;_created&gt;62895537&lt;/_created&gt;&lt;_date&gt;2007-05-01&lt;/_date&gt;&lt;_date_display&gt;2007 May&lt;/_date_display&gt;&lt;_doi&gt;05.2007/JCPSP.253256&lt;/_doi&gt;&lt;_impact_factor&gt;   0.407&lt;/_impact_factor&gt;&lt;_isbn&gt;1022-386X (Print); 1022-386X (Linking)&lt;/_isbn&gt;&lt;_issue&gt;5&lt;/_issue&gt;&lt;_journal&gt;J Coll Physicians Surg Pak&lt;/_journal&gt;&lt;_keywords&gt;Adult; Aged; Cohort Studies; Esophageal and Gastric Varices/*complications/mortality/therapy; Female; Gastrointestinal Hemorrhage/*etiology/*mortality/therapy; *Health Status Indicators; Humans; Male; Middle Aged; Predictive Value of Tests; Recurrence; Risk Factors&lt;/_keywords&gt;&lt;_language&gt;eng&lt;/_language&gt;&lt;_modified&gt;62910318&lt;/_modified&gt;&lt;_pages&gt;253-6&lt;/_pages&gt;&lt;_tertiary_title&gt;Journal of the College of Physicians and Surgeons--Pakistan : JCPSP&lt;/_tertiary_title&gt;&lt;_type_work&gt;Journal Article&lt;/_type_work&gt;&lt;_url&gt;http://www.ncbi.nlm.nih.gov/entrez/query.fcgi?cmd=Retrieve&amp;amp;db=pubmed&amp;amp;dopt=Abstract&amp;amp;list_uids=17553319&amp;amp;query_hl=1&lt;/_url&gt;&lt;_volume&gt;17&lt;/_volume&gt;&lt;/Details&gt;&lt;Extra&gt;&lt;DBUID&gt;{67BC0B37-B4D5-4B86-84ED-0ACFEDDE9F20}&lt;/DBUID&gt;&lt;/Extra&gt;&lt;/Item&gt;&lt;/References&gt;&lt;/Group&gt;&lt;/Citation&gt;_x000a_"/>
    <w:docVar w:name="NE.Ref{11DAB325-CDCD-4533-BC6A-8A8290FD4C46}" w:val=" ADDIN NE.Ref.{11DAB325-CDCD-4533-BC6A-8A8290FD4C46}&lt;Citation&gt;&lt;Group&gt;&lt;References&gt;&lt;Item&gt;&lt;ID&gt;31&lt;/ID&gt;&lt;UID&gt;{826267D8-9066-4138-8485-A42F64CF9F55}&lt;/UID&gt;&lt;Title&gt;A risk score to predict need for treatment for upper-gastrointestinal haemorrhage&lt;/Title&gt;&lt;Template&gt;Journal Article&lt;/Template&gt;&lt;Star&gt;0&lt;/Star&gt;&lt;Tag&gt;0&lt;/Tag&gt;&lt;Author&gt;Blatchford, O; Murray, W R; Blatchford, M&lt;/Author&gt;&lt;Year&gt;2000&lt;/Year&gt;&lt;Details&gt;&lt;_accession_num&gt;11073021&lt;/_accession_num&gt;&lt;_author_adr&gt;Department of Public Health, University of Glasgow, UK. o.blatchford@bigfoot.com&lt;/_author_adr&gt;&lt;_collection_scope&gt;SCI;SCIE&lt;/_collection_scope&gt;&lt;_created&gt;62910365&lt;/_created&gt;&lt;_date&gt;2000-10-14&lt;/_date&gt;&lt;_date_display&gt;2000 Oct 14&lt;/_date_display&gt;&lt;_doi&gt;10.1016/S0140-6736(00)02816-6&lt;/_doi&gt;&lt;_impact_factor&gt;  59.102&lt;/_impact_factor&gt;&lt;_isbn&gt;0140-6736 (Print); 0140-6736 (Linking)&lt;/_isbn&gt;&lt;_issue&gt;9238&lt;/_issue&gt;&lt;_journal&gt;Lancet&lt;/_journal&gt;&lt;_keywords&gt;Blood Pressure; Blood Transfusion; Female; Gastrointestinal Hemorrhage/*classification/therapy; Hemoglobins; Humans; Male; Predictive Value of Tests; Prospective Studies; ROC Curve; Risk Factors; Scotland; Severity of Illness Index&lt;/_keywords&gt;&lt;_language&gt;eng&lt;/_language&gt;&lt;_modified&gt;62910367&lt;/_modified&gt;&lt;_pages&gt;1318-21&lt;/_pages&gt;&lt;_tertiary_title&gt;Lancet (London, England)&lt;/_tertiary_title&gt;&lt;_type_work&gt;Journal Article; Research Support, Non-U.S. Gov&amp;apos;t&lt;/_type_work&gt;&lt;_url&gt;http://www.ncbi.nlm.nih.gov/entrez/query.fcgi?cmd=Retrieve&amp;amp;db=pubmed&amp;amp;dopt=Abstract&amp;amp;list_uids=11073021&amp;amp;query_hl=1&lt;/_url&gt;&lt;_volume&gt;356&lt;/_volume&gt;&lt;/Details&gt;&lt;Extra&gt;&lt;DBUID&gt;{67BC0B37-B4D5-4B86-84ED-0ACFEDDE9F20}&lt;/DBUID&gt;&lt;/Extra&gt;&lt;/Item&gt;&lt;/References&gt;&lt;/Group&gt;&lt;Group&gt;&lt;References&gt;&lt;Item&gt;&lt;ID&gt;2&lt;/ID&gt;&lt;UID&gt;{21891CEF-2132-4610-A348-69C8CC935919}&lt;/UID&gt;&lt;Title&gt;Development, Validation, and Comparative Assessment of an International Scoring System to Determine Risk of Upper Gastrointestinal Bleeding&lt;/Title&gt;&lt;Template&gt;Journal Article&lt;/Template&gt;&lt;Star&gt;0&lt;/Star&gt;&lt;Tag&gt;0&lt;/Tag&gt;&lt;Author&gt;Oakland, K; Kahan, B C; Guizzetti, L; Martel, M; Bryant, R V; Brahmania, M; Singh, S; Nguyen, N Q; Sey, MSL; Barkun, A; Jairath, V&lt;/Author&gt;&lt;Year&gt;2019&lt;/Year&gt;&lt;Details&gt;&lt;_accession_num&gt;30268566&lt;/_accession_num&gt;&lt;_author_adr&gt;London Digestive Centre, HCA Healthcare UK, London, United Kingdom.; Pragmatic Clinical Trials Unit, Queen Mary University of London, London, United Kingdom.; Robarts Clinical Trials, London, Ontario, Canada.; Division of Gastroenterology, McGill University, McGill University Health Centre, Montreal, Canada.; Department of Gastroenterology, The Queen Elizabeth Hospital, Adelaide, South Australia; School of Medicine, Faculty of Health Sciences, University of Adelaide, South Australia.; Department of Medicine, Western University, London, Canada.; Division of Gastroenterology, University of California San Diego, La Jolla, California.; Department of Gastroenterology and Hepatology, Royal Adelaide Hospital, Discipline of Medicine, University of Adelaide, South Australia.; Department of Medicine, Western University, London, Canada.; Division of Gastroenterology, McGill University, McGill University Health Centre, Montreal, Canada.; Department of Medicine, Western University, London, Canada; Division of Epidemiology and Biostatistics, Western University, London, Canada. Electronic address: vjairath@uwo.ca.&lt;/_author_adr&gt;&lt;_created&gt;62895537&lt;/_created&gt;&lt;_date&gt;2019-05-01&lt;/_date&gt;&lt;_date_display&gt;2019 May&lt;/_date_display&gt;&lt;_doi&gt;10.1016/j.cgh.2018.09.039&lt;/_doi&gt;&lt;_impact_factor&gt;   7.958&lt;/_impact_factor&gt;&lt;_isbn&gt;1542-7714 (Electronic); 1542-3565 (Linking)&lt;/_isbn&gt;&lt;_issue&gt;6&lt;/_issue&gt;&lt;_journal&gt;Clin Gastroenterol Hepatol&lt;/_journal&gt;&lt;_keywords&gt;AUGIB; Hematemesis; Prognostic Factors; Stomach&lt;/_keywords&gt;&lt;_language&gt;eng&lt;/_language&gt;&lt;_modified&gt;62910330&lt;/_modified&gt;&lt;_ori_publication&gt;Copyright (c) 2019 AGA Institute. Published by Elsevier Inc. All rights reserved.&lt;/_ori_publication&gt;&lt;_pages&gt;1121-1129.e2&lt;/_pages&gt;&lt;_tertiary_title&gt;Clinical gastroenterology and hepatology : the official clinical practice journal_x000d__x000a_      of the American Gastroenterological Association&lt;/_tertiary_title&gt;&lt;_type_work&gt;Journal Article&lt;/_type_work&gt;&lt;_url&gt;http://www.ncbi.nlm.nih.gov/entrez/query.fcgi?cmd=Retrieve&amp;amp;db=pubmed&amp;amp;dopt=Abstract&amp;amp;list_uids=30268566&amp;amp;query_hl=1&lt;/_url&gt;&lt;_volume&gt;17&lt;/_volume&gt;&lt;/Details&gt;&lt;Extra&gt;&lt;DBUID&gt;{67BC0B37-B4D5-4B86-84ED-0ACFEDDE9F20}&lt;/DBUID&gt;&lt;/Extra&gt;&lt;/Item&gt;&lt;/References&gt;&lt;/Group&gt;&lt;/Citation&gt;_x000a_"/>
    <w:docVar w:name="NE.Ref{2D3F294F-15E7-40E5-9910-D1B166453357}" w:val=" ADDIN NE.Ref.{2D3F294F-15E7-40E5-9910-D1B166453357}&lt;Citation&gt;&lt;Group&gt;&lt;References&gt;&lt;Item&gt;&lt;ID&gt;18&lt;/ID&gt;&lt;UID&gt;{56A1EE4D-E617-4FF5-9F71-CAD5694B8AAD}&lt;/UID&gt;&lt;Title&gt;Validation of prognostic scores for clinical outcomes in cirrhotic patients with  acute variceal bleeding&lt;/Title&gt;&lt;Template&gt;Journal Article&lt;/Template&gt;&lt;Star&gt;0&lt;/Star&gt;&lt;Tag&gt;0&lt;/Tag&gt;&lt;Author&gt;Motola-Kuba, M; Escobedo-Arzate, A; Tellez-Avila, F; Altamirano, J; Aguilar-Olivos, N; Gonzalez-Angulo, A; Zamarripa-Dorsey, F; Uribe, M; Chavez-Tapia, N C&lt;/Author&gt;&lt;Year&gt;2016&lt;/Year&gt;&lt;Details&gt;&lt;_accession_num&gt;27740523&lt;/_accession_num&gt;&lt;_author_adr&gt;Obesity and Digestive Diseases Unit, Medica Sur Clinic &amp;amp; Foundation, Mexico City, Mexico.; Obesity and Digestive Diseases Unit, Medica Sur Clinic &amp;amp; Foundation, Mexico City, Mexico.; Endoscopy Department Instituto Nacional de Ciencias Medicas y Nutricion Salvador  Zubiran, Mexico City, Mexico.; Institut d&amp;apos;Investigacions Biomediques August-Pi-Sunyer (IDIBAPS) Hospital Clinic, University of Barcelona. Vall d&amp;apos;Hebron Institut de Recerca, Liver Unit- Internal  Medicine Department. Hospital Vall d&amp;apos;Hebron, Barcelona, Spain.; Obesity and Digestive Diseases Unit, Medica Sur Clinic &amp;amp; Foundation, Mexico City, Mexico.; Gastroenterology Unit, Hospital Juarez de Mexico, Mexico City, Mexico.; Gastroenterology Unit, Hospital Juarez de Mexico, Mexico City, Mexico.; Obesity and Digestive Diseases Unit, Medica Sur Clinic &amp;amp; Foundation, Mexico City, Mexico.; Obesity and Digestive Diseases Unit, Medica Sur Clinic &amp;amp; Foundation, Mexico City, Mexico.&lt;/_author_adr&gt;&lt;_collection_scope&gt;SCIE&lt;/_collection_scope&gt;&lt;_created&gt;62910316&lt;/_created&gt;&lt;_date&gt;2016-11-20&lt;/_date&gt;&lt;_date_display&gt;2016 Nov-Dec 2016&lt;/_date_display&gt;&lt;_doi&gt;10.5604/16652681.1222107&lt;/_doi&gt;&lt;_impact_factor&gt;   1.895&lt;/_impact_factor&gt;&lt;_isbn&gt;1665-2681 (Print); 1665-2681 (Linking)&lt;/_isbn&gt;&lt;_issue&gt;6&lt;/_issue&gt;&lt;_journal&gt;Ann Hepatol&lt;/_journal&gt;&lt;_keywords&gt;Adult; Aged; Area Under Curve; *Decision Support Techniques; Esophageal and Gastric Varices/diagnosis/*etiology/mortality; Female; Gastrointestinal Hemorrhage/diagnosis/*etiology/mortality; Hospital Mortality; Humans; Liver Cirrhosis/*complications/diagnosis/mortality; Male; Mexico; Middle Aged; Predictive Value of Tests; Prognosis; ROC Curve; Recurrence; Reproducibility of Results; Retrospective Studies; Risk Assessment; Risk Factors; Time Factors&lt;/_keywords&gt;&lt;_language&gt;eng&lt;/_language&gt;&lt;_modified&gt;62910317&lt;/_modified&gt;&lt;_pages&gt;895-901&lt;/_pages&gt;&lt;_tertiary_title&gt;Annals of hepatology&lt;/_tertiary_title&gt;&lt;_type_work&gt;Comparative Study; Journal Article; Multicenter Study; Validation Studies&lt;/_type_work&gt;&lt;_url&gt;http://www.ncbi.nlm.nih.gov/entrez/query.fcgi?cmd=Retrieve&amp;amp;db=pubmed&amp;amp;dopt=Abstract&amp;amp;list_uids=27740523&amp;amp;query_hl=1&lt;/_url&gt;&lt;_volume&gt;15&lt;/_volume&gt;&lt;/Details&gt;&lt;Extra&gt;&lt;DBUID&gt;{67BC0B37-B4D5-4B86-84ED-0ACFEDDE9F20}&lt;/DBUID&gt;&lt;/Extra&gt;&lt;/Item&gt;&lt;/References&gt;&lt;/Group&gt;&lt;/Citation&gt;_x000a_"/>
    <w:docVar w:name="NE.Ref{31E7DDC1-0A84-4281-8076-07AF22D758E3}" w:val=" ADDIN NE.Ref.{31E7DDC1-0A84-4281-8076-07AF22D758E3}&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Group&gt;&lt;References&gt;&lt;Item&gt;&lt;ID&gt;20&lt;/ID&gt;&lt;UID&gt;{048CCE20-115B-4DBC-9B89-6423630BBFEE}&lt;/UID&gt;&lt;Title&gt;Prospective validation of the Rockall risk scoring system for upper GI hemorrhage in subgroups of patients with varices and peptic ulcers&lt;/Title&gt;&lt;Template&gt;Journal Article&lt;/Template&gt;&lt;Star&gt;0&lt;/Star&gt;&lt;Tag&gt;0&lt;/Tag&gt;&lt;Author&gt;Sanders, D S; Carter, M J; Goodchap, R J; Cross, S S; Gleeson, D C; Lobo, A J&lt;/Author&gt;&lt;Year&gt;2002&lt;/Year&gt;&lt;Details&gt;&lt;_accession_num&gt;11922558&lt;/_accession_num&gt;&lt;_author_adr&gt;Department of Histopathology, The Royal Hallamshire Hospital, Sheffield, United Kingdom.&lt;/_author_adr&gt;&lt;_collection_scope&gt;SCI;SCIE&lt;/_collection_scope&gt;&lt;_created&gt;62910316&lt;/_created&gt;&lt;_date&gt;2002-03-01&lt;/_date&gt;&lt;_date_display&gt;2002 Mar&lt;/_date_display&gt;&lt;_doi&gt;10.1111/j.1572-0241.2002.05541.x&lt;/_doi&gt;&lt;_impact_factor&gt;  10.241&lt;/_impact_factor&gt;&lt;_isbn&gt;0002-9270 (Print); 0002-9270 (Linking)&lt;/_isbn&gt;&lt;_issue&gt;3&lt;/_issue&gt;&lt;_journal&gt;Am J Gastroenterol&lt;/_journal&gt;&lt;_keywords&gt;Adult; Aged; Aged, 80 and over; Cohort Studies; Esophageal and Gastric Varices/*complications/*mortality; Female; Gastrointestinal Hemorrhage/*etiology/*mortality; Humans; Male; Middle Aged; Outcome Assessment (Health Care); Peptic Ulcer/*complications/*mortality; Predictive Value of Tests; Prospective Studies; Recurrence; Reproducibility of Results; Risk Assessment&lt;/_keywords&gt;&lt;_language&gt;eng&lt;/_language&gt;&lt;_modified&gt;62910316&lt;/_modified&gt;&lt;_pages&gt;630-5&lt;/_pages&gt;&lt;_tertiary_title&gt;The American journal of gastroenterology&lt;/_tertiary_title&gt;&lt;_type_work&gt;Journal Article; Validation Studies&lt;/_type_work&gt;&lt;_url&gt;http://www.ncbi.nlm.nih.gov/entrez/query.fcgi?cmd=Retrieve&amp;amp;db=pubmed&amp;amp;dopt=Abstract&amp;amp;list_uids=11922558&amp;amp;query_hl=1&lt;/_url&gt;&lt;_volume&gt;97&lt;/_volume&gt;&lt;/Details&gt;&lt;Extra&gt;&lt;DBUID&gt;{67BC0B37-B4D5-4B86-84ED-0ACFEDDE9F20}&lt;/DBUID&gt;&lt;/Extra&gt;&lt;/Item&gt;&lt;/References&gt;&lt;/Group&gt;&lt;/Citation&gt;_x000a_"/>
    <w:docVar w:name="NE.Ref{64E828A4-E1D6-4EDE-B484-19CD5DEF544F}" w:val=" ADDIN NE.Ref.{64E828A4-E1D6-4EDE-B484-19CD5DEF544F}&lt;Citation&gt;&lt;Group&gt;&lt;References&gt;&lt;Item&gt;&lt;ID&gt;5&lt;/ID&gt;&lt;UID&gt;{1E833493-72F7-4F48-B42F-BA5E8B1D2C15}&lt;/UID&gt;&lt;Title&gt;Clinical Scoring Systems in Predicting the Outcome of Acute Upper Gastrointestinal Bleeding; a Narrative Review&lt;/Title&gt;&lt;Template&gt;Journal Article&lt;/Template&gt;&lt;Star&gt;0&lt;/Star&gt;&lt;Tag&gt;0&lt;/Tag&gt;&lt;Author&gt;Ebrahimi, Bakhtavar H; Morteza, Bagi HR; Rahmani, F; Shahsavari, Nia K; Ettehadi, A&lt;/Author&gt;&lt;Year&gt;2017&lt;/Year&gt;&lt;Details&gt;&lt;_accession_num&gt;28286843&lt;/_accession_num&gt;&lt;_author_adr&gt;Emergency Medicine Research Team, Tabriz University of Medical Sciences, Tabriz,  Iran.; Emergency Medicine Research Team, Tabriz University of Medical Sciences, Tabriz,  Iran.; Emergency Medicine Research Team, Tabriz University of Medical Sciences, Tabriz,  Iran. ; Road Traffic Injury Research Center, Tabriz University of Medical Sciences, Tabriz, Iran.; Emergency Medicine Research Team, Tabriz University of Medical Sciences, Tabriz,  Iran.; Emergency Medicine Research Team, Tabriz University of Medical Sciences, Tabriz,  Iran.&lt;/_author_adr&gt;&lt;_created&gt;62895537&lt;/_created&gt;&lt;_date&gt;2017-01-20&lt;/_date&gt;&lt;_date_display&gt;2017&lt;/_date_display&gt;&lt;_isbn&gt;2345-4563 (Print); 2345-4563 (Linking)&lt;/_isbn&gt;&lt;_issue&gt;1&lt;/_issue&gt;&lt;_journal&gt;Emerg (Tehran)&lt;/_journal&gt;&lt;_keywords&gt;Hemorrhage; decision support techniques; mortality; prognosis; upper gastrointestinal tract&lt;/_keywords&gt;&lt;_language&gt;eng&lt;/_language&gt;&lt;_modified&gt;62895552&lt;/_modified&gt;&lt;_pages&gt;e36&lt;/_pages&gt;&lt;_tertiary_title&gt;Emergency (Tehran, Iran)&lt;/_tertiary_title&gt;&lt;_type_work&gt;Journal Article; Review&lt;/_type_work&gt;&lt;_url&gt;http://www.ncbi.nlm.nih.gov/entrez/query.fcgi?cmd=Retrieve&amp;amp;db=pubmed&amp;amp;dopt=Abstract&amp;amp;list_uids=28286843&amp;amp;query_hl=1&lt;/_url&gt;&lt;_volume&gt;5&lt;/_volume&gt;&lt;/Details&gt;&lt;Extra&gt;&lt;DBUID&gt;{67BC0B37-B4D5-4B86-84ED-0ACFEDDE9F20}&lt;/DBUID&gt;&lt;/Extra&gt;&lt;/Item&gt;&lt;/References&gt;&lt;/Group&gt;&lt;/Citation&gt;_x000a_"/>
    <w:docVar w:name="NE.Ref{70DA925A-F1E3-403F-B947-690865726350}" w:val=" ADDIN NE.Ref.{70DA925A-F1E3-403F-B947-690865726350}&lt;Citation&gt;&lt;Group&gt;&lt;References&gt;&lt;Item&gt;&lt;ID&gt;26&lt;/ID&gt;&lt;UID&gt;{4C22D2EB-EA8D-4AA2-A20F-F43390C63313}&lt;/UID&gt;&lt;Title&gt;Value of the APASL severity score in patients with acute variceal bleeding: a single center experience&lt;/Title&gt;&lt;Template&gt;Journal Article&lt;/Template&gt;&lt;Star&gt;0&lt;/Star&gt;&lt;Tag&gt;0&lt;/Tag&gt;&lt;Author&gt;Kim, G H; Kim, J H; Kim, Y J; Ko, S Y; Choe, W H; Kwon, S Y; Lee, C H&lt;/Author&gt;&lt;Year&gt;2013&lt;/Year&gt;&lt;Details&gt;&lt;_accession_num&gt;26202035&lt;/_accession_num&gt;&lt;_author_adr&gt;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93haan@hanmail.net.;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lt;/_author_adr&gt;&lt;_collection_scope&gt;SCIE&lt;/_collection_scope&gt;&lt;_created&gt;62910365&lt;/_created&gt;&lt;_date&gt;2013-10-01&lt;/_date&gt;&lt;_date_display&gt;2013 Oct&lt;/_date_display&gt;&lt;_doi&gt;10.1007/s12072-013-9466-8&lt;/_doi&gt;&lt;_impact_factor&gt;   5.490&lt;/_impact_factor&gt;&lt;_isbn&gt;1936-0541 (Electronic); 1936-0533 (Linking)&lt;/_isbn&gt;&lt;_issue&gt;4&lt;/_issue&gt;&lt;_journal&gt;Hepatol Int&lt;/_journal&gt;&lt;_keywords&gt;In-hospital mortality; Rebleeding; Treatment failure; Variceal bleeding&lt;/_keywords&gt;&lt;_language&gt;eng&lt;/_language&gt;&lt;_modified&gt;62910377&lt;/_modified&gt;&lt;_pages&gt;1058-64&lt;/_pages&gt;&lt;_tertiary_title&gt;Hepatology international&lt;/_tertiary_title&gt;&lt;_type_work&gt;Journal Article&lt;/_type_work&gt;&lt;_url&gt;http://www.ncbi.nlm.nih.gov/entrez/query.fcgi?cmd=Retrieve&amp;amp;db=pubmed&amp;amp;dopt=Abstract&amp;amp;list_uids=26202035&amp;amp;query_hl=1&lt;/_url&gt;&lt;_volume&gt;7&lt;/_volume&gt;&lt;/Details&gt;&lt;Extra&gt;&lt;DBUID&gt;{67BC0B37-B4D5-4B86-84ED-0ACFEDDE9F20}&lt;/DBUID&gt;&lt;/Extra&gt;&lt;/Item&gt;&lt;/References&gt;&lt;/Group&gt;&lt;/Citation&gt;_x000a_"/>
    <w:docVar w:name="NE.Ref{73038A5F-73C1-4B7E-BE9A-AE65289B228A}" w:val=" ADDIN NE.Ref.{73038A5F-73C1-4B7E-BE9A-AE65289B228A}&lt;Citation&gt;&lt;Group&gt;&lt;References&gt;&lt;Item&gt;&lt;ID&gt;16&lt;/ID&gt;&lt;UID&gt;{00C4B04C-1070-4955-9F2B-7DE1121F6B76}&lt;/UID&gt;&lt;Title&gt;肝硬化门静脉高压食管胃静脉曲张出血的防治指南&lt;/Title&gt;&lt;Template&gt;Journal Article&lt;/Template&gt;&lt;Star&gt;0&lt;/Star&gt;&lt;Tag&gt;0&lt;/Tag&gt;&lt;Author&gt;中华医学会肝病学分会; 中华医学会消化病学分会; 中华医学会内镜学分会&lt;/Author&gt;&lt;Year&gt;2016&lt;/Year&gt;&lt;Details&gt;&lt;_created&gt;62910315&lt;/_created&gt;&lt;_db_provider&gt;北京万方数据股份有限公司&lt;/_db_provider&gt;&lt;_doi&gt;10.3969/j.issn.1674-7380.2016.01.001&lt;/_doi&gt;&lt;_isbn&gt;1674-7380&lt;/_isbn&gt;&lt;_issue&gt;1&lt;/_issue&gt;&lt;_journal&gt;中国肝脏病杂志（电子版）&lt;/_journal&gt;&lt;_keywords&gt;肝硬化; 高血压; 门静脉; 食管和胃静脉曲张; 诊疗准则&lt;/_keywords&gt;&lt;_language&gt;chi&lt;/_language&gt;&lt;_modified&gt;62910316&lt;/_modified&gt;&lt;_pages&gt;1-18&lt;/_pages&gt;&lt;_translated_title&gt;Guideline for the diagnosis and treatment of esophageal and gastric variceal bleeding in cirrhotic portal hypertension&lt;/_translated_title&gt;&lt;_url&gt;http://www.wanfangdata.com.cn/details/detail.do?_type=perio&amp;amp;id=zggzbzz201601001&lt;/_url&gt;&lt;_volume&gt;8&lt;/_volume&gt;&lt;_translated_author&gt;Zhong, Huayixuehuiganbingxuefenhui;Zhong, Huayixuehuixiaohuabingxuefenhui;Zhong, Huayixuehuineijingxuefenhui&lt;/_translated_author&gt;&lt;/Details&gt;&lt;Extra&gt;&lt;DBUID&gt;{67BC0B37-B4D5-4B86-84ED-0ACFEDDE9F20}&lt;/DBUID&gt;&lt;/Extra&gt;&lt;/Item&gt;&lt;/References&gt;&lt;/Group&gt;&lt;/Citation&gt;_x000a_"/>
    <w:docVar w:name="NE.Ref{784D37BB-446E-40B8-9D09-74539F23C749}" w:val=" ADDIN NE.Ref.{784D37BB-446E-40B8-9D09-74539F23C749}&lt;Citation&gt;&lt;Group&gt;&lt;References&gt;&lt;Item&gt;&lt;ID&gt;17&lt;/ID&gt;&lt;UID&gt;{E8AA996B-633E-4BC8-8AAD-510C14406BC4}&lt;/UID&gt;&lt;Title&gt;Comparison of risk scoring systems for patients presenting with upper gastrointestinal bleeding: international multicentre prospective study&lt;/Title&gt;&lt;Template&gt;Journal Article&lt;/Template&gt;&lt;Star&gt;0&lt;/Star&gt;&lt;Tag&gt;0&lt;/Tag&gt;&lt;Author&gt;Stanley, A J; Laine, L; Dalton, H R; Ngu, J H; Schultz, M; Abazi, R; Zakko, L; Thornton, S; Wilkinson, K; Khor, C J; Murray, I A; Laursen, S B&lt;/Author&gt;&lt;Year&gt;2017&lt;/Year&gt;&lt;Details&gt;&lt;_accession_num&gt;28053181&lt;/_accession_num&gt;&lt;_author_adr&gt;Department of Gastroenterology, Glasgow Royal Infirmary, Glasgow G4 OSF, UK adrian.stanley@ggc.scot.nhs.uk.; Section of Digestive Diseases, Yale School of Medicine, New Haven, and VA Connecticut Healthcare System, West Haven, CT, USA.; Gastrointestinal Unit, Royal Cornwall Hospital, Cornwall, UK.; Department of Gastroenterology and Hepatology, Singapore General Hospital, Singapore.; Department of Medicine, Dunedin School of Medicine, University of Otago, Dunedin, New Zealand.; Gastroenterology Unit, Southern District Health Board, Dunedin Hospital, Dunedin, New Zealand.; Department of Medical Gastroenterology, Odense University Hospital, Odense, Denmark.; Section of Digestive Diseases, Yale School of Medicine, New Haven, and VA Connecticut Healthcare System, West Haven, CT, USA.; Department of Gastroenterology, Glasgow Royal Infirmary, Glasgow G4 OSF, UK.; Gastrointestinal Unit, Royal Cornwall Hospital, Cornwall, UK.; Department of Gastroenterology and Hepatology, Singapore General Hospital, Singapore.; Gastrointestinal Unit, Royal Cornwall Hospital, Cornwall, UK.; Department of Medical Gastroenterology, Odense University Hospital, Odense, Denmark.&lt;/_author_adr&gt;&lt;_created&gt;62910316&lt;/_created&gt;&lt;_date&gt;2017-01-04&lt;/_date&gt;&lt;_date_display&gt;2017 Jan 4&lt;/_date_display&gt;&lt;_doi&gt;10.1136/bmj.i6432&lt;/_doi&gt;&lt;_impact_factor&gt;  27.604&lt;/_impact_factor&gt;&lt;_isbn&gt;1756-1833 (Electronic); 0959-8138 (Linking)&lt;/_isbn&gt;&lt;_journal&gt;BMJ&lt;/_journal&gt;&lt;_keywords&gt;Adult; Aged; Aged, 80 and over; Area Under Curve; Female; Gastrointestinal Hemorrhage/*etiology/mortality/therapy; Humans; Male; Middle Aged; Predictive Value of Tests; Prognosis; Prospective Studies; ROC Curve; Risk Assessment/*methods/statistics &amp;amp; numerical data; Sensitivity and Specificity; Severity of Illness Index; *Upper Gastrointestinal Tract; Young Adult&lt;/_keywords&gt;&lt;_language&gt;eng&lt;/_language&gt;&lt;_modified&gt;62910318&lt;/_modified&gt;&lt;_ori_publication&gt;Published by the BMJ Publishing Group Limited. For permission to use (where not_x000d__x000a_      already granted under a licence) please go to_x000d__x000a_      http://group.bmj.com/group/rights-licensing/permissions.&lt;/_ori_publication&gt;&lt;_pages&gt;i6432&lt;/_pages&gt;&lt;_tertiary_title&gt;BMJ (Clinical research ed.)&lt;/_tertiary_title&gt;&lt;_type_work&gt;Journal Article; Multicenter Study&lt;/_type_work&gt;&lt;_url&gt;http://www.ncbi.nlm.nih.gov/entrez/query.fcgi?cmd=Retrieve&amp;amp;db=pubmed&amp;amp;dopt=Abstract&amp;amp;list_uids=28053181&amp;amp;query_hl=1&lt;/_url&gt;&lt;_volume&gt;356&lt;/_volume&gt;&lt;/Details&gt;&lt;Extra&gt;&lt;DBUID&gt;{67BC0B37-B4D5-4B86-84ED-0ACFEDDE9F20}&lt;/DBUID&gt;&lt;/Extra&gt;&lt;/Item&gt;&lt;/References&gt;&lt;/Group&gt;&lt;/Citation&gt;_x000a_"/>
    <w:docVar w:name="NE.Ref{8876A0C3-B219-4E2A-8868-1606B859983A}" w:val=" ADDIN NE.Ref.{8876A0C3-B219-4E2A-8868-1606B859983A}&lt;Citation&gt;&lt;Group&gt;&lt;References&gt;&lt;Item&gt;&lt;ID&gt;8&lt;/ID&gt;&lt;UID&gt;{88D7F3E8-7339-4306-A394-6B0419C316A3}&lt;/UID&gt;&lt;Title&gt;U.K. guidelines on the management of variceal haemorrhage in cirrhotic patients&lt;/Title&gt;&lt;Template&gt;Journal Article&lt;/Template&gt;&lt;Star&gt;0&lt;/Star&gt;&lt;Tag&gt;0&lt;/Tag&gt;&lt;Author&gt;Tripathi, D; Stanley, A J; Hayes, P C; Patch, D; Millson, C; Mehrzad, H; Austin, A; Ferguson, J W; Olliff, S P; Hudson, M; Christie, J M&lt;/Author&gt;&lt;Year&gt;2015&lt;/Year&gt;&lt;Details&gt;&lt;_accession_num&gt;25887380&lt;/_accession_num&gt;&lt;_author_adr&gt;Liver Unit, University Hospitals Birmingham NHS Foundation Trust, Birmingham, UK.; GI Unit, Glasgow Royal Infirmary, Glasgow, UK.; Liver Unit, Royal Infirmary of Edinburgh, Edinburgh, UK.; The Royal Free Sheila Sherlock Liver Centre, Royal Free Hospital and University College London, London, UK.; Gastrointestinal and Liver Services, York Teaching Hospitals NHS Foundation Trust, York, UK.; Department of Interventional Radiology, University Hospitals Birmingham NHS Foundation Trust, Birmingham, UK.; Department of Gastroenterology, Derby Hospitals NHS Foundation Trust, Derby, UK.; Liver Unit, University Hospitals Birmingham NHS Foundation Trust, Birmingham, UK.; Department of Interventional Radiology, University Hospitals Birmingham NHS Foundation Trust, Birmingham, UK.; Liver Unit, Freeman Hospital, Newcastle upon Tyne, UK.; Department of Gastroenterology, Royal Devon and Exeter Hospital, Devon, UK.&lt;/_author_adr&gt;&lt;_collection_scope&gt;SCI;SCIE&lt;/_collection_scope&gt;&lt;_created&gt;62895537&lt;/_created&gt;&lt;_date&gt;2015-11-01&lt;/_date&gt;&lt;_date_display&gt;2015 Nov&lt;/_date_display&gt;&lt;_doi&gt;10.1136/gutjnl-2015-309262&lt;/_doi&gt;&lt;_impact_factor&gt;  17.943&lt;/_impact_factor&gt;&lt;_isbn&gt;1468-3288 (Electronic); 0017-5749 (Linking)&lt;/_isbn&gt;&lt;_issue&gt;11&lt;/_issue&gt;&lt;_journal&gt;Gut&lt;/_journal&gt;&lt;_keywords&gt;Algorithms; Esophageal and Gastric Varices/etiology/*therapy; Gastrointestinal Hemorrhage/etiology/*therapy; Humans; Liver Cirrhosis/complicationsBLEEDING; CIRRHOSIS; GASTROINTESTINAL HAEMORRHAGE; OESOPHAGEAL VARICES; PORTAL HYPERTENSION&lt;/_keywords&gt;&lt;_language&gt;eng&lt;/_language&gt;&lt;_modified&gt;62910337&lt;/_modified&gt;&lt;_ori_publication&gt;Published by the BMJ Publishing Group Limited. For permission to use (where not_x000d__x000a_      already granted under a licence) please go to_x000d__x000a_      http://group.bmj.com/group/rights-licensing/permissions.&lt;/_ori_publication&gt;&lt;_pages&gt;1680-704&lt;/_pages&gt;&lt;_tertiary_title&gt;Gut&lt;/_tertiary_title&gt;&lt;_type_work&gt;Journal Article; Research Support, Non-U.S. Gov&amp;apos;t&lt;/_type_work&gt;&lt;_url&gt;http://www.ncbi.nlm.nih.gov/entrez/query.fcgi?cmd=Retrieve&amp;amp;db=pubmed&amp;amp;dopt=Abstract&amp;amp;list_uids=25887380&amp;amp;query_hl=1&lt;/_url&gt;&lt;_volume&gt;64&lt;/_volume&gt;&lt;/Details&gt;&lt;Extra&gt;&lt;DBUID&gt;{67BC0B37-B4D5-4B86-84ED-0ACFEDDE9F20}&lt;/DBUID&gt;&lt;/Extra&gt;&lt;/Item&gt;&lt;/References&gt;&lt;/Group&gt;&lt;/Citation&gt;_x000a_"/>
    <w:docVar w:name="NE.Ref{8A225565-6B32-4274-8624-7F150AD5066D}" w:val=" ADDIN NE.Ref.{8A225565-6B32-4274-8624-7F150AD5066D}&lt;Citation&gt;&lt;Group&gt;&lt;References&gt;&lt;Item&gt;&lt;ID&gt;12&lt;/ID&gt;&lt;UID&gt;{47D9D529-F306-4730-8D92-BDB664D5EA6A}&lt;/UID&gt;&lt;Title&gt;Predictive value of Rockall score for rebleeding and mortality in patients with variceal bleeding&lt;/Title&gt;&lt;Template&gt;Journal Article&lt;/Template&gt;&lt;Star&gt;0&lt;/Star&gt;&lt;Tag&gt;0&lt;/Tag&gt;&lt;Author&gt;Sarwar, S; Dilshad, A; Khan, A A; Alam, A; Butt, A K; Tariq, S; Ahmad, I&lt;/Author&gt;&lt;Year&gt;2007&lt;/Year&gt;&lt;Details&gt;&lt;_accession_num&gt;17553319&lt;/_accession_num&gt;&lt;_author_adr&gt;Department of Gastroenterology and Hepatology, Shaikh Zayed Postgraduate Medical  Institute, and Department of Medicine, Jinnah Hospital, Lahore. drnawalshahid@yahoo.com&lt;/_author_adr&gt;&lt;_created&gt;62895537&lt;/_created&gt;&lt;_date&gt;2007-05-01&lt;/_date&gt;&lt;_date_display&gt;2007 May&lt;/_date_display&gt;&lt;_doi&gt;05.2007/JCPSP.253256&lt;/_doi&gt;&lt;_impact_factor&gt;   0.407&lt;/_impact_factor&gt;&lt;_isbn&gt;1022-386X (Print); 1022-386X (Linking)&lt;/_isbn&gt;&lt;_issue&gt;5&lt;/_issue&gt;&lt;_journal&gt;J Coll Physicians Surg Pak&lt;/_journal&gt;&lt;_keywords&gt;Adult; Aged; Cohort Studies; Esophageal and Gastric Varices/*complications/mortality/therapy; Female; Gastrointestinal Hemorrhage/*etiology/*mortality/therapy; *Health Status Indicators; Humans; Male; Middle Aged; Predictive Value of Tests; Recurrence; Risk Factors&lt;/_keywords&gt;&lt;_language&gt;eng&lt;/_language&gt;&lt;_modified&gt;62910318&lt;/_modified&gt;&lt;_pages&gt;253-6&lt;/_pages&gt;&lt;_tertiary_title&gt;Journal of the College of Physicians and Surgeons--Pakistan : JCPSP&lt;/_tertiary_title&gt;&lt;_type_work&gt;Journal Article&lt;/_type_work&gt;&lt;_url&gt;http://www.ncbi.nlm.nih.gov/entrez/query.fcgi?cmd=Retrieve&amp;amp;db=pubmed&amp;amp;dopt=Abstract&amp;amp;list_uids=17553319&amp;amp;query_hl=1&lt;/_url&gt;&lt;_volume&gt;17&lt;/_volume&gt;&lt;/Details&gt;&lt;Extra&gt;&lt;DBUID&gt;{67BC0B37-B4D5-4B86-84ED-0ACFEDDE9F20}&lt;/DBUID&gt;&lt;/Extra&gt;&lt;/Item&gt;&lt;/References&gt;&lt;/Group&gt;&lt;Group&gt;&lt;References&gt;&lt;Item&gt;&lt;ID&gt;26&lt;/ID&gt;&lt;UID&gt;{4C22D2EB-EA8D-4AA2-A20F-F43390C63313}&lt;/UID&gt;&lt;Title&gt;Value of the APASL severity score in patients with acute variceal bleeding: a single center experience&lt;/Title&gt;&lt;Template&gt;Journal Article&lt;/Template&gt;&lt;Star&gt;0&lt;/Star&gt;&lt;Tag&gt;0&lt;/Tag&gt;&lt;Author&gt;Kim, G H; Kim, J H; Kim, Y J; Ko, S Y; Choe, W H; Kwon, S Y; Lee, C H&lt;/Author&gt;&lt;Year&gt;2013&lt;/Year&gt;&lt;Details&gt;&lt;_accession_num&gt;26202035&lt;/_accession_num&gt;&lt;_author_adr&gt;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93haan@hanmail.net.;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lt;/_author_adr&gt;&lt;_collection_scope&gt;SCIE&lt;/_collection_scope&gt;&lt;_created&gt;62910365&lt;/_created&gt;&lt;_date&gt;2013-10-01&lt;/_date&gt;&lt;_date_display&gt;2013 Oct&lt;/_date_display&gt;&lt;_doi&gt;10.1007/s12072-013-9466-8&lt;/_doi&gt;&lt;_impact_factor&gt;   5.490&lt;/_impact_factor&gt;&lt;_isbn&gt;1936-0541 (Electronic); 1936-0533 (Linking)&lt;/_isbn&gt;&lt;_issue&gt;4&lt;/_issue&gt;&lt;_journal&gt;Hepatol Int&lt;/_journal&gt;&lt;_keywords&gt;In-hospital mortality; Rebleeding; Treatment failure; Variceal bleeding&lt;/_keywords&gt;&lt;_language&gt;eng&lt;/_language&gt;&lt;_modified&gt;62910377&lt;/_modified&gt;&lt;_pages&gt;1058-64&lt;/_pages&gt;&lt;_tertiary_title&gt;Hepatology international&lt;/_tertiary_title&gt;&lt;_type_work&gt;Journal Article&lt;/_type_work&gt;&lt;_url&gt;http://www.ncbi.nlm.nih.gov/entrez/query.fcgi?cmd=Retrieve&amp;amp;db=pubmed&amp;amp;dopt=Abstract&amp;amp;list_uids=26202035&amp;amp;query_hl=1&lt;/_url&gt;&lt;_volume&gt;7&lt;/_volume&gt;&lt;/Details&gt;&lt;Extra&gt;&lt;DBUID&gt;{67BC0B37-B4D5-4B86-84ED-0ACFEDDE9F20}&lt;/DBUID&gt;&lt;/Extra&gt;&lt;/Item&gt;&lt;/References&gt;&lt;/Group&gt;&lt;Group&gt;&lt;References&gt;&lt;Item&gt;&lt;ID&gt;18&lt;/ID&gt;&lt;UID&gt;{56A1EE4D-E617-4FF5-9F71-CAD5694B8AAD}&lt;/UID&gt;&lt;Title&gt;Validation of prognostic scores for clinical outcomes in cirrhotic patients with  acute variceal bleeding&lt;/Title&gt;&lt;Template&gt;Journal Article&lt;/Template&gt;&lt;Star&gt;0&lt;/Star&gt;&lt;Tag&gt;0&lt;/Tag&gt;&lt;Author&gt;Motola-Kuba, M; Escobedo-Arzate, A; Tellez-Avila, F; Altamirano, J; Aguilar-Olivos, N; Gonzalez-Angulo, A; Zamarripa-Dorsey, F; Uribe, M; Chavez-Tapia, N C&lt;/Author&gt;&lt;Year&gt;2016&lt;/Year&gt;&lt;Details&gt;&lt;_accession_num&gt;27740523&lt;/_accession_num&gt;&lt;_author_adr&gt;Obesity and Digestive Diseases Unit, Medica Sur Clinic &amp;amp; Foundation, Mexico City, Mexico.; Obesity and Digestive Diseases Unit, Medica Sur Clinic &amp;amp; Foundation, Mexico City, Mexico.; Endoscopy Department Instituto Nacional de Ciencias Medicas y Nutricion Salvador  Zubiran, Mexico City, Mexico.; Institut d&amp;apos;Investigacions Biomediques August-Pi-Sunyer (IDIBAPS) Hospital Clinic, University of Barcelona. Vall d&amp;apos;Hebron Institut de Recerca, Liver Unit- Internal  Medicine Department. Hospital Vall d&amp;apos;Hebron, Barcelona, Spain.; Obesity and Digestive Diseases Unit, Medica Sur Clinic &amp;amp; Foundation, Mexico City, Mexico.; Gastroenterology Unit, Hospital Juarez de Mexico, Mexico City, Mexico.; Gastroenterology Unit, Hospital Juarez de Mexico, Mexico City, Mexico.; Obesity and Digestive Diseases Unit, Medica Sur Clinic &amp;amp; Foundation, Mexico City, Mexico.; Obesity and Digestive Diseases Unit, Medica Sur Clinic &amp;amp; Foundation, Mexico City, Mexico.&lt;/_author_adr&gt;&lt;_collection_scope&gt;SCIE&lt;/_collection_scope&gt;&lt;_created&gt;62910316&lt;/_created&gt;&lt;_date&gt;2016-11-20&lt;/_date&gt;&lt;_date_display&gt;2016 Nov-Dec 2016&lt;/_date_display&gt;&lt;_doi&gt;10.5604/16652681.1222107&lt;/_doi&gt;&lt;_impact_factor&gt;   1.895&lt;/_impact_factor&gt;&lt;_isbn&gt;1665-2681 (Print); 1665-2681 (Linking)&lt;/_isbn&gt;&lt;_issue&gt;6&lt;/_issue&gt;&lt;_journal&gt;Ann Hepatol&lt;/_journal&gt;&lt;_keywords&gt;Adult; Aged; Area Under Curve; *Decision Support Techniques; Esophageal and Gastric Varices/diagnosis/*etiology/mortality; Female; Gastrointestinal Hemorrhage/diagnosis/*etiology/mortality; Hospital Mortality; Humans; Liver Cirrhosis/*complications/diagnosis/mortality; Male; Mexico; Middle Aged; Predictive Value of Tests; Prognosis; ROC Curve; Recurrence; Reproducibility of Results; Retrospective Studies; Risk Assessment; Risk Factors; Time Factors&lt;/_keywords&gt;&lt;_language&gt;eng&lt;/_language&gt;&lt;_modified&gt;62910317&lt;/_modified&gt;&lt;_pages&gt;895-901&lt;/_pages&gt;&lt;_tertiary_title&gt;Annals of hepatology&lt;/_tertiary_title&gt;&lt;_type_work&gt;Comparative Study; Journal Article; Multicenter Study; Validation Studies&lt;/_type_work&gt;&lt;_url&gt;http://www.ncbi.nlm.nih.gov/entrez/query.fcgi?cmd=Retrieve&amp;amp;db=pubmed&amp;amp;dopt=Abstract&amp;amp;list_uids=27740523&amp;amp;query_hl=1&lt;/_url&gt;&lt;_volume&gt;15&lt;/_volume&gt;&lt;/Details&gt;&lt;Extra&gt;&lt;DBUID&gt;{67BC0B37-B4D5-4B86-84ED-0ACFEDDE9F20}&lt;/DBUID&gt;&lt;/Extra&gt;&lt;/Item&gt;&lt;/References&gt;&lt;/Group&gt;&lt;Group&gt;&lt;References&gt;&lt;Item&gt;&lt;ID&gt;22&lt;/ID&gt;&lt;UID&gt;{CDF11D0D-6D83-40C5-8932-57C5AA452905}&lt;/UID&gt;&lt;Title&gt;Application of chronic liver failure-sequential organ failure assessment score for the predication of mortality after esophageal variceal hemorrhage post endoscopic ligation&lt;/Title&gt;&lt;Template&gt;Journal Article&lt;/Template&gt;&lt;Star&gt;0&lt;/Star&gt;&lt;Tag&gt;0&lt;/Tag&gt;&lt;Author&gt;Wong, M W; Chen, M J; Chen, H L; Kuo, Y C; Lin, I T; Wu, C H; Lee, Y K; Cheng, C H; Bair, M J&lt;/Author&gt;&lt;Year&gt;2017&lt;/Year&gt;&lt;Details&gt;&lt;_accession_num&gt;28767684&lt;/_accession_num&gt;&lt;_author_adr&gt;Department of Medicine, Buddhist Tzu Chi General Hospital and Tzu Chi University, Hualien, Taiwan.; Department of Internal Medicine, Division of Gastroenterology, Taitung MacKay Memorial Hospital, Taitung, Taiwan.; Department of Internal Medicine, Division of Gastroenterology, MacKay Memorial Hospital, Taipei, Taiwan.; MacKay Medicine Nursing and Management College, Taipei, Taiwan.; MacKay Medical College, New Taipei, Taiwan.; Department of Internal Medicine, Division of Gastroenterology, Taitung MacKay Memorial Hospital, Taitung, Taiwan.; Department of Internal Medicine, Division of Gastroenterology, Taitung MacKay Memorial Hospital, Taitung, Taiwan.; Department of Nursing, Meiho University, Pingtung, Taiwan.; Department of Internal Medicine, Division of Gastroenterology, Taitung MacKay Memorial Hospital, Taitung, Taiwan.; Department of Internal Medicine, Division of Gastroenterology, Taitung MacKay Memorial Hospital, Taitung, Taiwan.; Department of Internal Medicine, Division of Gastroenterology, Taitung MacKay Memorial Hospital, Taitung, Taiwan.; Department of Internal Medicine, Division of Gastroenterology, Taitung MacKay Memorial Hospital, Taitung, Taiwan.; Department of Internal Medicine, Division of Gastroenterology, Taitung MacKay Memorial Hospital, Taitung, Taiwan.; MacKay Medical College, New Taipei, Taiwan.; Department of Nursing, Meiho University, Pingtung, Taiwan.&lt;/_author_adr&gt;&lt;_collection_scope&gt;SCIE&lt;/_collection_scope&gt;&lt;_created&gt;62910365&lt;/_created&gt;&lt;_date&gt;2017-01-20&lt;/_date&gt;&lt;_date_display&gt;2017&lt;/_date_display&gt;&lt;_doi&gt;10.1371/journal.pone.0182529&lt;/_doi&gt;&lt;_impact_factor&gt;   2.776&lt;/_impact_factor&gt;&lt;_isbn&gt;1932-6203 (Electronic); 1932-6203 (Linking)&lt;/_isbn&gt;&lt;_issue&gt;8&lt;/_issue&gt;&lt;_journal&gt;PLoS One&lt;/_journal&gt;&lt;_keywords&gt;Adult; Aged; Decision Support Techniques; Esophageal and Gastric Varices/*surgery; Female; Humans; Ligation/adverse effects; Liver Cirrhosis/*complications; Male; Middle Aged; Organ Dysfunction Scores; Postoperative Hemorrhage/*mortality; ROC Curve; Retrospective Studies&lt;/_keywords&gt;&lt;_language&gt;eng&lt;/_language&gt;&lt;_modified&gt;62910365&lt;/_modified&gt;&lt;_pages&gt;e0182529&lt;/_pages&gt;&lt;_tertiary_title&gt;PloS one&lt;/_tertiary_title&gt;&lt;_type_work&gt;Journal Article&lt;/_type_work&gt;&lt;_url&gt;http://www.ncbi.nlm.nih.gov/entrez/query.fcgi?cmd=Retrieve&amp;amp;db=pubmed&amp;amp;dopt=Abstract&amp;amp;list_uids=28767684&amp;amp;query_hl=1&lt;/_url&gt;&lt;_volume&gt;12&lt;/_volume&gt;&lt;/Details&gt;&lt;Extra&gt;&lt;DBUID&gt;{67BC0B37-B4D5-4B86-84ED-0ACFEDDE9F20}&lt;/DBUID&gt;&lt;/Extra&gt;&lt;/Item&gt;&lt;/References&gt;&lt;/Group&gt;&lt;/Citation&gt;_x000a_"/>
    <w:docVar w:name="NE.Ref{8B7087A2-F961-41E9-8852-C9EEEAD4D234}" w:val=" ADDIN NE.Ref.{8B7087A2-F961-41E9-8852-C9EEEAD4D234}&lt;Citation&gt;&lt;Group&gt;&lt;References&gt;&lt;Item&gt;&lt;ID&gt;27&lt;/ID&gt;&lt;UID&gt;{DDA0818E-0FDE-4388-BFCD-272A7BE51441}&lt;/UID&gt;&lt;Title&gt;Prospective evaluation of the prognostic scores for cirrhotic patients admitted to an intensive care unit&lt;/Title&gt;&lt;Template&gt;Journal Article&lt;/Template&gt;&lt;Star&gt;0&lt;/Star&gt;&lt;Tag&gt;0&lt;/Tag&gt;&lt;Author&gt;Levesque, E; Hoti, E; Azoulay, D; Ichai, P; Habouchi, H; Castaing, D; Samuel, D; Saliba, F&lt;/Author&gt;&lt;Year&gt;2012&lt;/Year&gt;&lt;Details&gt;&lt;_accession_num&gt;21835136&lt;/_accession_num&gt;&lt;_author_adr&gt;AP-HP Hopital Paul Brousse, Centre Hepato-Biliaire, Villejuif, France.&lt;/_author_adr&gt;&lt;_collection_scope&gt;SCI;SCIE&lt;/_collection_scope&gt;&lt;_created&gt;62910365&lt;/_created&gt;&lt;_date&gt;2012-01-01&lt;/_date&gt;&lt;_date_display&gt;2012 Jan&lt;/_date_display&gt;&lt;_doi&gt;10.1016/j.jhep.2011.06.024&lt;/_doi&gt;&lt;_impact_factor&gt;  18.946&lt;/_impact_factor&gt;&lt;_isbn&gt;1600-0641 (Electronic); 0168-8278 (Linking)&lt;/_isbn&gt;&lt;_issue&gt;1&lt;/_issue&gt;&lt;_journal&gt;J Hepatol&lt;/_journal&gt;&lt;_keywords&gt;Adult; Aged; Bilirubin/blood; Cohort Studies; Female; France/epidemiology; Humans; Infection/complications; Intensive Care Units; Liver Cirrhosis/complications/*mortality/physiopathology/therapy; Male; Middle Aged; Predictive Value of Tests; Prognosis; Prospective Studies; Respiration, Artificial; Risk Factors; Severity of Illness Index; Vasoconstrictor Agents/therapeutic use&lt;/_keywords&gt;&lt;_language&gt;eng&lt;/_language&gt;&lt;_modified&gt;62910381&lt;/_modified&gt;&lt;_ori_publication&gt;Copyright (c) 2011 European Association for the Study of the Liver. Published by _x000d__x000a_      Elsevier B.V. All rights reserved.&lt;/_ori_publication&gt;&lt;_pages&gt;95-102&lt;/_pages&gt;&lt;_tertiary_title&gt;Journal of hepatology&lt;/_tertiary_title&gt;&lt;_type_work&gt;Evaluation Studies; Journal Article&lt;/_type_work&gt;&lt;_url&gt;http://www.ncbi.nlm.nih.gov/entrez/query.fcgi?cmd=Retrieve&amp;amp;db=pubmed&amp;amp;dopt=Abstract&amp;amp;list_uids=21835136&amp;amp;query_hl=1&lt;/_url&gt;&lt;_volume&gt;56&lt;/_volume&gt;&lt;/Details&gt;&lt;Extra&gt;&lt;DBUID&gt;{67BC0B37-B4D5-4B86-84ED-0ACFEDDE9F20}&lt;/DBUID&gt;&lt;/Extra&gt;&lt;/Item&gt;&lt;/References&gt;&lt;/Group&gt;&lt;/Citation&gt;_x000a_"/>
    <w:docVar w:name="NE.Ref{95F6B83A-97BB-4E0F-BF48-5F212620CFCB}" w:val=" ADDIN NE.Ref.{95F6B83A-97BB-4E0F-BF48-5F212620CFCB}&lt;Citation&gt;&lt;Group&gt;&lt;References&gt;&lt;Item&gt;&lt;ID&gt;4&lt;/ID&gt;&lt;UID&gt;{F0C8F4B7-10D1-434F-9E4D-AD461A263720}&lt;/UID&gt;&lt;Title&gt;Is the AIMS 65 Score Useful in Prepdicting Clinical Outcomes in Korean Patients with Variceal and Nonvariceal Upper Gastrointestinal Bleeding?&lt;/Title&gt;&lt;Template&gt;Book&lt;/Template&gt;&lt;Star&gt;0&lt;/Star&gt;&lt;Tag&gt;0&lt;/Tag&gt;&lt;Author&gt;Choe, J W; Kim, S Y; Hyun, J J; Jung, S W; Jung, Y K; Koo, J S; Yim, H J; Lee, S W&lt;/Author&gt;&lt;Year&gt;2017&lt;/Year&gt;&lt;Details&gt;&lt;_accession_num&gt;28798285&lt;/_accession_num&gt;&lt;_author_adr&gt;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lt;/_author_adr&gt;&lt;_collection_scope&gt;SCIE&lt;/_collection_scope&gt;&lt;_created&gt;62895537&lt;/_created&gt;&lt;_date&gt;2017-11-15&lt;/_date&gt;&lt;_date_display&gt;2017 Nov 15&lt;/_date_display&gt;&lt;_doi&gt;10.5009/gnl16607&lt;/_doi&gt;&lt;_impact_factor&gt;   2.968&lt;/_impact_factor&gt;&lt;_isbn&gt;2005-1212 (Electronic); 1976-2283 (Linking)&lt;/_isbn&gt;&lt;_issue&gt;6&lt;/_issue&gt;&lt;_journal&gt;Gut Liver&lt;/_journal&gt;&lt;_keywords&gt;Adult; Aged; Aged, 80 and over; *Decision Support Techniques; Esophageal and Gastric Varices/*pathology/therapy; Female; Gastrointestinal Hemorrhage/*pathology/therapy; Humans; Male; Middle Aged; Republic of Korea; Retrospective Studies; Risk Assessment; *Severity of Illness Index; Young AdultGastrointestinal hemorrhage; Mortality; Risk assessment&lt;/_keywords&gt;&lt;_language&gt;eng&lt;/_language&gt;&lt;_modified&gt;62910343&lt;/_modified&gt;&lt;_pages&gt;813-820&lt;/_pages&gt;&lt;_tertiary_title&gt;Gut and liver&lt;/_tertiary_title&gt;&lt;_type_work&gt;Evaluation Studies; Journal Article&lt;/_type_work&gt;&lt;_url&gt;http://www.ncbi.nlm.nih.gov/entrez/query.fcgi?cmd=Retrieve&amp;amp;db=pubmed&amp;amp;dopt=Abstract&amp;amp;list_uids=28798285&amp;amp;query_hl=1&lt;/_url&gt;&lt;_volume&gt;11&lt;/_volume&gt;&lt;/Details&gt;&lt;Extra&gt;&lt;DBUID&gt;{67BC0B37-B4D5-4B86-84ED-0ACFEDDE9F20}&lt;/DBUID&gt;&lt;/Extra&gt;&lt;/Item&gt;&lt;/References&gt;&lt;/Group&gt;&lt;/Citation&gt;_x000a_"/>
    <w:docVar w:name="NE.Ref{9A3090C1-3447-4140-9B5D-BA0EAD124473}" w:val=" ADDIN NE.Ref.{9A3090C1-3447-4140-9B5D-BA0EAD124473}&lt;Citation&gt;&lt;Group&gt;&lt;References&gt;&lt;Item&gt;&lt;ID&gt;19&lt;/ID&gt;&lt;UID&gt;{3A2806C5-0C8E-4A73-B9E6-ABCDC5696BA0}&lt;/UID&gt;&lt;Title&gt;Transparent reporting of a multivariable prediction model for individual prognosis or diagnosis (TRIPOD): the TRIPOD statement&lt;/Title&gt;&lt;Template&gt;Journal Article&lt;/Template&gt;&lt;Star&gt;0&lt;/Star&gt;&lt;Tag&gt;0&lt;/Tag&gt;&lt;Author&gt;Collins, G S; Reitsma, J B; Altman, D G; Moons, K G&lt;/Author&gt;&lt;Year&gt;2015&lt;/Year&gt;&lt;Details&gt;&lt;_accession_num&gt;25569120&lt;/_accession_num&gt;&lt;_author_adr&gt;Centre for Statistics in Medicine, Nuffield Department of Orthopaedics, Rheumatology and Musculoskeletal Sciences, Botnar Research Centre, University of  Oxford, Oxford OX3 7LD, UK gary.collins@csm.ox.ac.uk.; Julius Center for Health Sciences and Primary Care, University Medical Center Utrecht, PO Box 85500, 3508 GA Utrecht, Netherlands.; Centre for Statistics in Medicine, Nuffield Department of Orthopaedics, Rheumatology and Musculoskeletal Sciences, Botnar Research Centre, University of  Oxford, Oxford OX3 7LD, UK.; Julius Center for Health Sciences and Primary Care, University Medical Center Utrecht, PO Box 85500, 3508 GA Utrecht, Netherlands.&lt;/_author_adr&gt;&lt;_created&gt;62910316&lt;/_created&gt;&lt;_date&gt;2015-01-07&lt;/_date&gt;&lt;_date_display&gt;2015 Jan 7&lt;/_date_display&gt;&lt;_doi&gt;10.1136/bmj.g7594&lt;/_doi&gt;&lt;_impact_factor&gt;  27.604&lt;/_impact_factor&gt;&lt;_isbn&gt;1756-1833 (Electronic); 0959-8138 (Linking)&lt;/_isbn&gt;&lt;_journal&gt;BMJ&lt;/_journal&gt;&lt;_keywords&gt;Advisory Committees; Checklist; *Decision Support Techniques; Delivery of Health Care/*standards; Guidelines as Topic; Humans; Medical Records/*standards; Periodicals as Topic; Prognosis; Publishing; Referral and Consultation&lt;/_keywords&gt;&lt;_language&gt;eng&lt;/_language&gt;&lt;_modified&gt;62910316&lt;/_modified&gt;&lt;_ori_publication&gt;(c) BMJ Publishing Group Ltd 2014.&lt;/_ori_publication&gt;&lt;_pages&gt;g7594&lt;/_pages&gt;&lt;_tertiary_title&gt;BMJ (Clinical research ed.)&lt;/_tertiary_title&gt;&lt;_type_work&gt;Journal Article; Research Support, Non-U.S. Gov&amp;apos;t; Review&lt;/_type_work&gt;&lt;_url&gt;http://www.ncbi.nlm.nih.gov/entrez/query.fcgi?cmd=Retrieve&amp;amp;db=pubmed&amp;amp;dopt=Abstract&amp;amp;list_uids=25569120&amp;amp;query_hl=1&lt;/_url&gt;&lt;_volume&gt;350&lt;/_volume&gt;&lt;/Details&gt;&lt;Extra&gt;&lt;DBUID&gt;{67BC0B37-B4D5-4B86-84ED-0ACFEDDE9F20}&lt;/DBUID&gt;&lt;/Extra&gt;&lt;/Item&gt;&lt;/References&gt;&lt;/Group&gt;&lt;/Citation&gt;_x000a_"/>
    <w:docVar w:name="NE.Ref{9C399DE0-1C0B-490B-8271-0CBE98A2E481}" w:val=" ADDIN NE.Ref.{9C399DE0-1C0B-490B-8271-0CBE98A2E481}&lt;Citation&gt;&lt;Group&gt;&lt;References&gt;&lt;Item&gt;&lt;ID&gt;18&lt;/ID&gt;&lt;UID&gt;{56A1EE4D-E617-4FF5-9F71-CAD5694B8AAD}&lt;/UID&gt;&lt;Title&gt;Validation of prognostic scores for clinical outcomes in cirrhotic patients with  acute variceal bleeding&lt;/Title&gt;&lt;Template&gt;Journal Article&lt;/Template&gt;&lt;Star&gt;0&lt;/Star&gt;&lt;Tag&gt;0&lt;/Tag&gt;&lt;Author&gt;Motola-Kuba, M; Escobedo-Arzate, A; Tellez-Avila, F; Altamirano, J; Aguilar-Olivos, N; Gonzalez-Angulo, A; Zamarripa-Dorsey, F; Uribe, M; Chavez-Tapia, N C&lt;/Author&gt;&lt;Year&gt;2016&lt;/Year&gt;&lt;Details&gt;&lt;_accession_num&gt;27740523&lt;/_accession_num&gt;&lt;_author_adr&gt;Obesity and Digestive Diseases Unit, Medica Sur Clinic &amp;amp; Foundation, Mexico City, Mexico.; Obesity and Digestive Diseases Unit, Medica Sur Clinic &amp;amp; Foundation, Mexico City, Mexico.; Endoscopy Department Instituto Nacional de Ciencias Medicas y Nutricion Salvador  Zubiran, Mexico City, Mexico.; Institut d&amp;apos;Investigacions Biomediques August-Pi-Sunyer (IDIBAPS) Hospital Clinic, University of Barcelona. Vall d&amp;apos;Hebron Institut de Recerca, Liver Unit- Internal  Medicine Department. Hospital Vall d&amp;apos;Hebron, Barcelona, Spain.; Obesity and Digestive Diseases Unit, Medica Sur Clinic &amp;amp; Foundation, Mexico City, Mexico.; Gastroenterology Unit, Hospital Juarez de Mexico, Mexico City, Mexico.; Gastroenterology Unit, Hospital Juarez de Mexico, Mexico City, Mexico.; Obesity and Digestive Diseases Unit, Medica Sur Clinic &amp;amp; Foundation, Mexico City, Mexico.; Obesity and Digestive Diseases Unit, Medica Sur Clinic &amp;amp; Foundation, Mexico City, Mexico.&lt;/_author_adr&gt;&lt;_collection_scope&gt;SCIE&lt;/_collection_scope&gt;&lt;_created&gt;62910316&lt;/_created&gt;&lt;_date&gt;2016-11-20&lt;/_date&gt;&lt;_date_display&gt;2016 Nov-Dec 2016&lt;/_date_display&gt;&lt;_doi&gt;10.5604/16652681.1222107&lt;/_doi&gt;&lt;_impact_factor&gt;   1.895&lt;/_impact_factor&gt;&lt;_isbn&gt;1665-2681 (Print); 1665-2681 (Linking)&lt;/_isbn&gt;&lt;_issue&gt;6&lt;/_issue&gt;&lt;_journal&gt;Ann Hepatol&lt;/_journal&gt;&lt;_keywords&gt;Adult; Aged; Area Under Curve; *Decision Support Techniques; Esophageal and Gastric Varices/diagnosis/*etiology/mortality; Female; Gastrointestinal Hemorrhage/diagnosis/*etiology/mortality; Hospital Mortality; Humans; Liver Cirrhosis/*complications/diagnosis/mortality; Male; Mexico; Middle Aged; Predictive Value of Tests; Prognosis; ROC Curve; Recurrence; Reproducibility of Results; Retrospective Studies; Risk Assessment; Risk Factors; Time Factors&lt;/_keywords&gt;&lt;_language&gt;eng&lt;/_language&gt;&lt;_modified&gt;62910317&lt;/_modified&gt;&lt;_pages&gt;895-901&lt;/_pages&gt;&lt;_tertiary_title&gt;Annals of hepatology&lt;/_tertiary_title&gt;&lt;_type_work&gt;Comparative Study; Journal Article; Multicenter Study; Validation Studies&lt;/_type_work&gt;&lt;_url&gt;http://www.ncbi.nlm.nih.gov/entrez/query.fcgi?cmd=Retrieve&amp;amp;db=pubmed&amp;amp;dopt=Abstract&amp;amp;list_uids=27740523&amp;amp;query_hl=1&lt;/_url&gt;&lt;_volume&gt;15&lt;/_volume&gt;&lt;/Details&gt;&lt;Extra&gt;&lt;DBUID&gt;{67BC0B37-B4D5-4B86-84ED-0ACFEDDE9F20}&lt;/DBUID&gt;&lt;/Extra&gt;&lt;/Item&gt;&lt;/References&gt;&lt;/Group&gt;&lt;/Citation&gt;_x000a_"/>
    <w:docVar w:name="NE.Ref{9EF6AA3A-2206-40FE-A532-3CFBF0A8176E}" w:val=" ADDIN NE.Ref.{9EF6AA3A-2206-40FE-A532-3CFBF0A8176E}&lt;Citation&gt;&lt;Group&gt;&lt;References&gt;&lt;Item&gt;&lt;ID&gt;32&lt;/ID&gt;&lt;UID&gt;{B85A92F5-A6BE-4DAB-BD5A-83A65C1E6F39}&lt;/UID&gt;&lt;Title&gt;Risk assessment after acute upper gastrointestinal haemorrhage&lt;/Title&gt;&lt;Template&gt;Journal Article&lt;/Template&gt;&lt;Star&gt;0&lt;/Star&gt;&lt;Tag&gt;0&lt;/Tag&gt;&lt;Author&gt;Rockall, T A; Logan, R F; Devlin, H B; Northfield, T C&lt;/Author&gt;&lt;Year&gt;1996&lt;/Year&gt;&lt;Details&gt;&lt;_accession_num&gt;8675081&lt;/_accession_num&gt;&lt;_author_adr&gt;Surgical Epidemiology and Audit Unit, Royal College of Surgeons of England, London.&lt;/_author_adr&gt;&lt;_collection_scope&gt;SCI;SCIE&lt;/_collection_scope&gt;&lt;_created&gt;62910365&lt;/_created&gt;&lt;_date&gt;1996-03-01&lt;/_date&gt;&lt;_date_display&gt;1996 Mar&lt;/_date_display&gt;&lt;_doi&gt;10.1136/gut.38.3.316&lt;/_doi&gt;&lt;_impact_factor&gt;  17.943&lt;/_impact_factor&gt;&lt;_isbn&gt;0017-5749 (Print); 0017-5749 (Linking)&lt;/_isbn&gt;&lt;_issue&gt;3&lt;/_issue&gt;&lt;_journal&gt;Gut&lt;/_journal&gt;&lt;_keywords&gt;Acute Disease; Aged; Aged, 80 and over; Comorbidity; Female; Forecasting/*methods; Gastrointestinal Hemorrhage/*mortality; Humans; Male; *Medical Audit; Middle Aged; *Models, Statistical; Prospective Studies; Recurrence; Regression Analysis; Risk Factors; Severity of Illness Index&lt;/_keywords&gt;&lt;_language&gt;eng&lt;/_language&gt;&lt;_modified&gt;62910370&lt;/_modified&gt;&lt;_pages&gt;316-21&lt;/_pages&gt;&lt;_tertiary_title&gt;Gut&lt;/_tertiary_title&gt;&lt;_type_work&gt;Journal Article; Multicenter Study; Research Support, Non-U.S. Gov&amp;apos;t&lt;/_type_work&gt;&lt;_url&gt;http://www.ncbi.nlm.nih.gov/entrez/query.fcgi?cmd=Retrieve&amp;amp;db=pubmed&amp;amp;dopt=Abstract&amp;amp;list_uids=8675081&amp;amp;query_hl=1&lt;/_url&gt;&lt;_volume&gt;38&lt;/_volume&gt;&lt;/Details&gt;&lt;Extra&gt;&lt;DBUID&gt;{67BC0B37-B4D5-4B86-84ED-0ACFEDDE9F20}&lt;/DBUID&gt;&lt;/Extra&gt;&lt;/Item&gt;&lt;/References&gt;&lt;/Group&gt;&lt;Group&gt;&lt;References&gt;&lt;Item&gt;&lt;ID&gt;28&lt;/ID&gt;&lt;UID&gt;{110673BB-BBC8-4C6B-B007-AA365030CC28}&lt;/UID&gt;&lt;Title&gt;A simple risk score accurately predicts in-hospital mortality, length of stay, and cost in acute upper GI bleeding&lt;/Title&gt;&lt;Template&gt;Journal Article&lt;/Template&gt;&lt;Star&gt;0&lt;/Star&gt;&lt;Tag&gt;0&lt;/Tag&gt;&lt;Author&gt;Saltzman, J R; Tabak, Y P; Hyett, B H; Sun, X; Travis, A C; Johannes, R S&lt;/Author&gt;&lt;Year&gt;2011&lt;/Year&gt;&lt;Details&gt;&lt;_accession_num&gt;21907980&lt;/_accession_num&gt;&lt;_author_adr&gt;Gastroenterology Division, Brigham and Women&amp;apos;s Hospital, Harvard Medical School,  Boston, Massachusetts 02115, USA.&lt;/_author_adr&gt;&lt;_collection_scope&gt;SCI;SCIE&lt;/_collection_scope&gt;&lt;_created&gt;62910365&lt;/_created&gt;&lt;_date&gt;2011-12-01&lt;/_date&gt;&lt;_date_display&gt;2011 Dec&lt;/_date_display&gt;&lt;_doi&gt;10.1016/j.gie.2011.06.024&lt;/_doi&gt;&lt;_impact_factor&gt;   7.229&lt;/_impact_factor&gt;&lt;_isbn&gt;1097-6779 (Electronic); 0016-5107 (Linking)&lt;/_isbn&gt;&lt;_issue&gt;6&lt;/_issue&gt;&lt;_journal&gt;Gastrointest Endosc&lt;/_journal&gt;&lt;_keywords&gt;Acute Disease; Aged; Aged, 80 and over; *Cost of Illness; Female; Follow-Up Studies; Gastrointestinal Hemorrhage/diagnosis/economics/*epidemiology; Hospital Mortality/*trends; Humans; Length of Stay/*trends; Male; Middle Aged; ROC Curve; Retrospective Studies; Risk Assessment/*methods; Risk Factors; Severity of Illness Index; United States/epidemiology&lt;/_keywords&gt;&lt;_language&gt;eng&lt;/_language&gt;&lt;_modified&gt;62910365&lt;/_modified&gt;&lt;_ori_publication&gt;Copyright (c) 2011 American Society for Gastrointestinal Endoscopy. Published by _x000d__x000a_      Mosby, Inc. All rights reserved.&lt;/_ori_publication&gt;&lt;_pages&gt;1215-24&lt;/_pages&gt;&lt;_tertiary_title&gt;Gastrointestinal endoscopy&lt;/_tertiary_title&gt;&lt;_type_work&gt;Comparative Study; Journal Article; Multicenter Study&lt;/_type_work&gt;&lt;_url&gt;http://www.ncbi.nlm.nih.gov/entrez/query.fcgi?cmd=Retrieve&amp;amp;db=pubmed&amp;amp;dopt=Abstract&amp;amp;list_uids=21907980&amp;amp;query_hl=1&lt;/_url&gt;&lt;_volume&gt;74&lt;/_volume&gt;&lt;/Details&gt;&lt;Extra&gt;&lt;DBUID&gt;{67BC0B37-B4D5-4B86-84ED-0ACFEDDE9F20}&lt;/DBUID&gt;&lt;/Extra&gt;&lt;/Item&gt;&lt;/References&gt;&lt;/Group&gt;&lt;/Citation&gt;_x000a_"/>
    <w:docVar w:name="NE.Ref{A6B4C4BB-9D28-4CB1-A5ED-9E9FC3220BD0}" w:val=" ADDIN NE.Ref.{A6B4C4BB-9D28-4CB1-A5ED-9E9FC3220BD0}&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Citation&gt;_x000a_"/>
    <w:docVar w:name="NE.Ref{A82C1CC0-0990-4F28-9DC2-DEABF3BE483C}" w:val=" ADDIN NE.Ref.{A82C1CC0-0990-4F28-9DC2-DEABF3BE483C}&lt;Citation&gt;&lt;Group&gt;&lt;References&gt;&lt;Item&gt;&lt;ID&gt;1&lt;/ID&gt;&lt;UID&gt;{380EAF2B-8011-49AE-A7A7-71F246537B8D}&lt;/UID&gt;&lt;Title&gt;Development and Validation of a Scoring System That Includes Corrected QT Interval for Risk Analysis of Patients With Cirrhosis and Gastrointestinal Bleeding&lt;/Title&gt;&lt;Template&gt;Journal Article&lt;/Template&gt;&lt;Star&gt;0&lt;/Star&gt;&lt;Tag&gt;0&lt;/Tag&gt;&lt;Author&gt;Biselli, M; Gramenzi, A; Lenzi, B; Dall&amp;apos;Agata, M; Pierro, M L; Perricone, G; Tonon, M; Bellettato, L; D&amp;apos;Amico, G; Angeli, P; Boffelli, S; Bonavita, M E; Domenicali, M; Caraceni, P; Bernardi, M; Trevisani, F&lt;/Author&gt;&lt;Year&gt;2019&lt;/Year&gt;&lt;Details&gt;&lt;_accession_num&gt;30557740&lt;/_accession_num&gt;&lt;_author_adr&gt;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Gastroenterology Unit, Azienda Ospedaliera Ospedali Riuniti Villa Sofia-Cervello, Palermo, Italy; Gastroenterology Unit, Azienda Ospedaliera Ospedali Riuniti Villa Sofia-Cervello, Palermo, Italy; Hepatology and Gastroenterology Unit, Azienda Socio Sanitaria Territoriale Grande Ospedale Metropolitano Niguarda, Milan, Italy.; Clinica Medica, Dipartimento di Medicina, University of Padua, Padua, Italy.; Semeiotica Medica, Dipartimento di Scienze Mediche e Chirurgiche, Alma Mater Studiorum, University of Bologna, Bologna, Italy.; Gastroenterology Unit, Azienda Ospedaliera Ospedali Riuniti Villa Sofia-Cervello, Palermo, Italy.; Clinica Medica, Dipartimento di Medicina, University of Padua, Padu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Electronic address: franco.trevisani@unibo.it.&lt;/_author_adr&gt;&lt;_created&gt;62895537&lt;/_created&gt;&lt;_date&gt;2019-06-01&lt;/_date&gt;&lt;_date_display&gt;2019 Jun&lt;/_date_display&gt;&lt;_doi&gt;10.1016/j.cgh.2018.12.006&lt;/_doi&gt;&lt;_impact_factor&gt;   7.958&lt;/_impact_factor&gt;&lt;_isbn&gt;1542-7714 (Electronic); 1542-3565 (Linking)&lt;/_isbn&gt;&lt;_issue&gt;7&lt;/_issue&gt;&lt;_journal&gt;Clin Gastroenterol Hepatol&lt;/_journal&gt;&lt;_keywords&gt;Cirrhotic Cardiomyopathy; GIB; Liver Disease; Prognostic Factor&lt;/_keywords&gt;&lt;_language&gt;eng&lt;/_language&gt;&lt;_modified&gt;62910329&lt;/_modified&gt;&lt;_ori_publication&gt;Copyright (c) 2019 AGA Institute. Published by Elsevier Inc. All rights reserved.&lt;/_ori_publication&gt;&lt;_pages&gt;1388-1397.e1&lt;/_pages&gt;&lt;_tertiary_title&gt;Clinical gastroenterology and hepatology : the official clinical practice journal_x000d__x000a_      of the American Gastroenterological Association&lt;/_tertiary_title&gt;&lt;_type_work&gt;Journal Article&lt;/_type_work&gt;&lt;_url&gt;http://www.ncbi.nlm.nih.gov/entrez/query.fcgi?cmd=Retrieve&amp;amp;db=pubmed&amp;amp;dopt=Abstract&amp;amp;list_uids=30557740&amp;amp;query_hl=1&lt;/_url&gt;&lt;_volume&gt;17&lt;/_volume&gt;&lt;/Details&gt;&lt;Extra&gt;&lt;DBUID&gt;{67BC0B37-B4D5-4B86-84ED-0ACFEDDE9F20}&lt;/DBUID&gt;&lt;/Extra&gt;&lt;/Item&gt;&lt;/References&gt;&lt;/Group&gt;&lt;/Citation&gt;_x000a_"/>
    <w:docVar w:name="NE.Ref{A907F88C-BECB-47D6-8EFF-405957FB4143}" w:val=" ADDIN NE.Ref.{A907F88C-BECB-47D6-8EFF-405957FB4143}&lt;Citation&gt;&lt;Group&gt;&lt;References&gt;&lt;Item&gt;&lt;ID&gt;8&lt;/ID&gt;&lt;UID&gt;{88D7F3E8-7339-4306-A394-6B0419C316A3}&lt;/UID&gt;&lt;Title&gt;U.K. guidelines on the management of variceal haemorrhage in cirrhotic patients&lt;/Title&gt;&lt;Template&gt;Journal Article&lt;/Template&gt;&lt;Star&gt;0&lt;/Star&gt;&lt;Tag&gt;0&lt;/Tag&gt;&lt;Author&gt;Tripathi, D; Stanley, A J; Hayes, P C; Patch, D; Millson, C; Mehrzad, H; Austin, A; Ferguson, J W; Olliff, S P; Hudson, M; Christie, J M&lt;/Author&gt;&lt;Year&gt;2015&lt;/Year&gt;&lt;Details&gt;&lt;_accession_num&gt;25887380&lt;/_accession_num&gt;&lt;_author_adr&gt;Liver Unit, University Hospitals Birmingham NHS Foundation Trust, Birmingham, UK.; GI Unit, Glasgow Royal Infirmary, Glasgow, UK.; Liver Unit, Royal Infirmary of Edinburgh, Edinburgh, UK.; The Royal Free Sheila Sherlock Liver Centre, Royal Free Hospital and University College London, London, UK.; Gastrointestinal and Liver Services, York Teaching Hospitals NHS Foundation Trust, York, UK.; Department of Interventional Radiology, University Hospitals Birmingham NHS Foundation Trust, Birmingham, UK.; Department of Gastroenterology, Derby Hospitals NHS Foundation Trust, Derby, UK.; Liver Unit, University Hospitals Birmingham NHS Foundation Trust, Birmingham, UK.; Department of Interventional Radiology, University Hospitals Birmingham NHS Foundation Trust, Birmingham, UK.; Liver Unit, Freeman Hospital, Newcastle upon Tyne, UK.; Department of Gastroenterology, Royal Devon and Exeter Hospital, Devon, UK.&lt;/_author_adr&gt;&lt;_date_display&gt;2015 Nov&lt;/_date_display&gt;&lt;_date&gt;2015-11-01&lt;/_date&gt;&lt;_doi&gt;10.1136/gutjnl-2015-309262&lt;/_doi&gt;&lt;_isbn&gt;1468-3288 (Electronic); 0017-5749 (Linking)&lt;/_isbn&gt;&lt;_issue&gt;11&lt;/_issue&gt;&lt;_journal&gt;Gut&lt;/_journal&gt;&lt;_keywords&gt;Algorithms; Esophageal and Gastric Varices/etiology/*therapy; Gastrointestinal Hemorrhage/etiology/*therapy; Humans; Liver Cirrhosis/complicationsBLEEDING; CIRRHOSIS; GASTROINTESTINAL HAEMORRHAGE; OESOPHAGEAL VARICES; PORTAL HYPERTENSION&lt;/_keywords&gt;&lt;_language&gt;eng&lt;/_language&gt;&lt;_ori_publication&gt;Published by the BMJ Publishing Group Limited. For permission to use (where not_x000d__x000a_      already granted under a licence) please go to_x000d__x000a_      http://group.bmj.com/group/rights-licensing/permissions.&lt;/_ori_publication&gt;&lt;_pages&gt;1680-704&lt;/_pages&gt;&lt;_tertiary_title&gt;Gut&lt;/_tertiary_title&gt;&lt;_type_work&gt;Journal Article; Research Support, Non-U.S. Gov&amp;apos;t&lt;/_type_work&gt;&lt;_url&gt;http://www.ncbi.nlm.nih.gov/entrez/query.fcgi?cmd=Retrieve&amp;amp;db=pubmed&amp;amp;dopt=Abstract&amp;amp;list_uids=25887380&amp;amp;query_hl=1&lt;/_url&gt;&lt;_volume&gt;64&lt;/_volume&gt;&lt;_created&gt;62895537&lt;/_created&gt;&lt;_modified&gt;62895550&lt;/_modified&gt;&lt;_impact_factor&gt;  17.016&lt;/_impact_factor&gt;&lt;_collection_scope&gt;SCI;SCIE&lt;/_collection_scope&gt;&lt;/Details&gt;&lt;Extra&gt;&lt;DBUID&gt;{67BC0B37-B4D5-4B86-84ED-0ACFEDDE9F20}&lt;/DBUID&gt;&lt;/Extra&gt;&lt;/Item&gt;&lt;/References&gt;&lt;/Group&gt;&lt;/Citation&gt;_x000a_"/>
    <w:docVar w:name="NE.Ref{BD9F1CC9-CA4A-4956-B7C2-191E937AB284}" w:val=" ADDIN NE.Ref.{BD9F1CC9-CA4A-4956-B7C2-191E937AB284}&lt;Citation&gt;&lt;Group&gt;&lt;References&gt;&lt;Item&gt;&lt;ID&gt;30&lt;/ID&gt;&lt;UID&gt;{1D5D30E7-D389-4FB6-ABC5-0F90A7F1B083}&lt;/UID&gt;&lt;Title&gt;Predictive factors for rebleeding and death in alcoholic cirrhotic patients with  acute variceal bleeding: a multivariate analysis&lt;/Title&gt;&lt;Template&gt;Journal Article&lt;/Template&gt;&lt;Star&gt;0&lt;/Star&gt;&lt;Tag&gt;0&lt;/Tag&gt;&lt;Author&gt;Krige, J E; Kotze, U K; Distiller, G; Shaw, J M; Bornman, P C&lt;/Author&gt;&lt;Year&gt;2009&lt;/Year&gt;&lt;Details&gt;&lt;_accession_num&gt;19672651&lt;/_accession_num&gt;&lt;_author_adr&gt;Department of Surgery J45OMB, Groote Schuur Hospital, Anzio Road, Observatory 7925, Cape Town, South Africa. jej.krige@uct.ac.za&lt;/_author_adr&gt;&lt;_collection_scope&gt;SCI;SCIE&lt;/_collection_scope&gt;&lt;_created&gt;62910365&lt;/_created&gt;&lt;_date&gt;2009-10-01&lt;/_date&gt;&lt;_date_display&gt;2009 Oct&lt;/_date_display&gt;&lt;_doi&gt;10.1007/s00268-009-0172-6&lt;/_doi&gt;&lt;_impact_factor&gt;   2.768&lt;/_impact_factor&gt;&lt;_isbn&gt;1432-2323 (Electronic); 0364-2313 (Linking)&lt;/_isbn&gt;&lt;_issue&gt;10&lt;/_issue&gt;&lt;_journal&gt;World J Surg&lt;/_journal&gt;&lt;_keywords&gt;Adult; Aged; Aged, 80 and over; Esophageal and Gastric Varices/etiology/*mortality; Female; Gastrointestinal Hemorrhage/etiology/*mortality/therapy; Humans; Liver Cirrhosis, Alcoholic/complications/*mortality; Logistic Models; Male; Middle Aged; Multivariate Analysis; Predictive Value of Tests; Prognosis; Recurrence; Risk Factors; Young Adult&lt;/_keywords&gt;&lt;_language&gt;eng&lt;/_language&gt;&lt;_modified&gt;62910379&lt;/_modified&gt;&lt;_pages&gt;2127-35&lt;/_pages&gt;&lt;_tertiary_title&gt;World journal of surgery&lt;/_tertiary_title&gt;&lt;_type_work&gt;Journal Article&lt;/_type_work&gt;&lt;_url&gt;http://www.ncbi.nlm.nih.gov/entrez/query.fcgi?cmd=Retrieve&amp;amp;db=pubmed&amp;amp;dopt=Abstract&amp;amp;list_uids=19672651&amp;amp;query_hl=1&lt;/_url&gt;&lt;_volume&gt;33&lt;/_volume&gt;&lt;/Details&gt;&lt;Extra&gt;&lt;DBUID&gt;{67BC0B37-B4D5-4B86-84ED-0ACFEDDE9F20}&lt;/DBUID&gt;&lt;/Extra&gt;&lt;/Item&gt;&lt;/References&gt;&lt;/Group&gt;&lt;Group&gt;&lt;References&gt;&lt;Item&gt;&lt;ID&gt;25&lt;/ID&gt;&lt;UID&gt;{2F59884D-1FEB-423F-9C9A-74292D6B2481}&lt;/UID&gt;&lt;Title&gt;Comorbidity in cirrhosis&lt;/Title&gt;&lt;Template&gt;Journal Article&lt;/Template&gt;&lt;Star&gt;0&lt;/Star&gt;&lt;Tag&gt;0&lt;/Tag&gt;&lt;Author&gt;Jepsen, P&lt;/Author&gt;&lt;Year&gt;2014&lt;/Year&gt;&lt;Details&gt;&lt;_accession_num&gt;24966593&lt;/_accession_num&gt;&lt;_author_adr&gt;Peter Jepsen, Department of Hepatology and Gastroenterology, Aarhus University Hospital, DK-8000 Aarhus C, Denmark.&lt;/_author_adr&gt;&lt;_created&gt;62910365&lt;/_created&gt;&lt;_date&gt;2014-06-21&lt;/_date&gt;&lt;_date_display&gt;2014 Jun 21&lt;/_date_display&gt;&lt;_doi&gt;10.3748/wjg.v20.i23.7223&lt;/_doi&gt;&lt;_impact_factor&gt;   3.411&lt;/_impact_factor&gt;&lt;_isbn&gt;2219-2840 (Electronic); 1007-9327 (Linking)&lt;/_isbn&gt;&lt;_issue&gt;23&lt;/_issue&gt;&lt;_journal&gt;World J Gastroenterol&lt;/_journal&gt;&lt;_keywords&gt;Comorbidity; Health Status; Health Status Indicators; Humans; Liver Cirrhosis/diagnosis/*epidemiology/mortality; Prognosis; Risk Assessment; Risk FactorsComorbidity; Epidemiology; Liver cirrhosis; Prognosis&lt;/_keywords&gt;&lt;_language&gt;eng&lt;/_language&gt;&lt;_modified&gt;62910365&lt;/_modified&gt;&lt;_pages&gt;7223-30&lt;/_pages&gt;&lt;_tertiary_title&gt;World journal of gastroenterology&lt;/_tertiary_title&gt;&lt;_type_work&gt;Journal Article; Research Support, Non-U.S. Gov&amp;apos;t; Review&lt;/_type_work&gt;&lt;_url&gt;http://www.ncbi.nlm.nih.gov/entrez/query.fcgi?cmd=Retrieve&amp;amp;db=pubmed&amp;amp;dopt=Abstract&amp;amp;list_uids=24966593&amp;amp;query_hl=1&lt;/_url&gt;&lt;_volume&gt;20&lt;/_volume&gt;&lt;/Details&gt;&lt;Extra&gt;&lt;DBUID&gt;{67BC0B37-B4D5-4B86-84ED-0ACFEDDE9F20}&lt;/DBUID&gt;&lt;/Extra&gt;&lt;/Item&gt;&lt;/References&gt;&lt;/Group&gt;&lt;/Citation&gt;_x000a_"/>
    <w:docVar w:name="NE.Ref{C28F7F9D-CFE4-4CCE-8B9C-00098FB2A1BE}" w:val=" ADDIN NE.Ref.{C28F7F9D-CFE4-4CCE-8B9C-00098FB2A1BE}&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Group&gt;&lt;References&gt;&lt;Item&gt;&lt;ID&gt;4&lt;/ID&gt;&lt;UID&gt;{F0C8F4B7-10D1-434F-9E4D-AD461A263720}&lt;/UID&gt;&lt;Title&gt;Is the AIMS 65 Score Useful in Prepdicting Clinical Outcomes in Korean Patients with Variceal and Nonvariceal Upper Gastrointestinal Bleeding?&lt;/Title&gt;&lt;Template&gt;Book&lt;/Template&gt;&lt;Star&gt;0&lt;/Star&gt;&lt;Tag&gt;0&lt;/Tag&gt;&lt;Author&gt;Choe, J W; Kim, S Y; Hyun, J J; Jung, S W; Jung, Y K; Koo, J S; Yim, H J; Lee, S W&lt;/Author&gt;&lt;Year&gt;2017&lt;/Year&gt;&lt;Details&gt;&lt;_accession_num&gt;28798285&lt;/_accession_num&gt;&lt;_author_adr&gt;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lt;/_author_adr&gt;&lt;_collection_scope&gt;SCIE&lt;/_collection_scope&gt;&lt;_created&gt;62895537&lt;/_created&gt;&lt;_date&gt;2017-11-15&lt;/_date&gt;&lt;_date_display&gt;2017 Nov 15&lt;/_date_display&gt;&lt;_doi&gt;10.5009/gnl16607&lt;/_doi&gt;&lt;_impact_factor&gt;   2.968&lt;/_impact_factor&gt;&lt;_isbn&gt;2005-1212 (Electronic); 1976-2283 (Linking)&lt;/_isbn&gt;&lt;_issue&gt;6&lt;/_issue&gt;&lt;_journal&gt;Gut Liver&lt;/_journal&gt;&lt;_keywords&gt;Adult; Aged; Aged, 80 and over; *Decision Support Techniques; Esophageal and Gastric Varices/*pathology/therapy; Female; Gastrointestinal Hemorrhage/*pathology/therapy; Humans; Male; Middle Aged; Republic of Korea; Retrospective Studies; Risk Assessment; *Severity of Illness Index; Young AdultGastrointestinal hemorrhage; Mortality; Risk assessment&lt;/_keywords&gt;&lt;_language&gt;eng&lt;/_language&gt;&lt;_modified&gt;62910343&lt;/_modified&gt;&lt;_pages&gt;813-820&lt;/_pages&gt;&lt;_tertiary_title&gt;Gut and liver&lt;/_tertiary_title&gt;&lt;_type_work&gt;Evaluation Studies; Journal Article&lt;/_type_work&gt;&lt;_url&gt;http://www.ncbi.nlm.nih.gov/entrez/query.fcgi?cmd=Retrieve&amp;amp;db=pubmed&amp;amp;dopt=Abstract&amp;amp;list_uids=28798285&amp;amp;query_hl=1&lt;/_url&gt;&lt;_volume&gt;11&lt;/_volume&gt;&lt;/Details&gt;&lt;Extra&gt;&lt;DBUID&gt;{67BC0B37-B4D5-4B86-84ED-0ACFEDDE9F20}&lt;/DBUID&gt;&lt;/Extra&gt;&lt;/Item&gt;&lt;/References&gt;&lt;/Group&gt;&lt;Group&gt;&lt;References&gt;&lt;Item&gt;&lt;ID&gt;12&lt;/ID&gt;&lt;UID&gt;{47D9D529-F306-4730-8D92-BDB664D5EA6A}&lt;/UID&gt;&lt;Title&gt;Predictive value of Rockall score for rebleeding and mortality in patients with variceal bleeding&lt;/Title&gt;&lt;Template&gt;Journal Article&lt;/Template&gt;&lt;Star&gt;0&lt;/Star&gt;&lt;Tag&gt;0&lt;/Tag&gt;&lt;Author&gt;Sarwar, S; Dilshad, A; Khan, A A; Alam, A; Butt, A K; Tariq, S; Ahmad, I&lt;/Author&gt;&lt;Year&gt;2007&lt;/Year&gt;&lt;Details&gt;&lt;_accession_num&gt;17553319&lt;/_accession_num&gt;&lt;_author_adr&gt;Department of Gastroenterology and Hepatology, Shaikh Zayed Postgraduate Medical  Institute, and Department of Medicine, Jinnah Hospital, Lahore. drnawalshahid@yahoo.com&lt;/_author_adr&gt;&lt;_created&gt;62895537&lt;/_created&gt;&lt;_date&gt;2007-05-01&lt;/_date&gt;&lt;_date_display&gt;2007 May&lt;/_date_display&gt;&lt;_doi&gt;05.2007/JCPSP.253256&lt;/_doi&gt;&lt;_impact_factor&gt;   0.407&lt;/_impact_factor&gt;&lt;_isbn&gt;1022-386X (Print); 1022-386X (Linking)&lt;/_isbn&gt;&lt;_issue&gt;5&lt;/_issue&gt;&lt;_journal&gt;J Coll Physicians Surg Pak&lt;/_journal&gt;&lt;_keywords&gt;Adult; Aged; Cohort Studies; Esophageal and Gastric Varices/*complications/mortality/therapy; Female; Gastrointestinal Hemorrhage/*etiology/*mortality/therapy; *Health Status Indicators; Humans; Male; Middle Aged; Predictive Value of Tests; Recurrence; Risk Factors&lt;/_keywords&gt;&lt;_language&gt;eng&lt;/_language&gt;&lt;_modified&gt;62910318&lt;/_modified&gt;&lt;_pages&gt;253-6&lt;/_pages&gt;&lt;_tertiary_title&gt;Journal of the College of Physicians and Surgeons--Pakistan : JCPSP&lt;/_tertiary_title&gt;&lt;_type_work&gt;Journal Article&lt;/_type_work&gt;&lt;_url&gt;http://www.ncbi.nlm.nih.gov/entrez/query.fcgi?cmd=Retrieve&amp;amp;db=pubmed&amp;amp;dopt=Abstract&amp;amp;list_uids=17553319&amp;amp;query_hl=1&lt;/_url&gt;&lt;_volume&gt;17&lt;/_volume&gt;&lt;/Details&gt;&lt;Extra&gt;&lt;DBUID&gt;{67BC0B37-B4D5-4B86-84ED-0ACFEDDE9F20}&lt;/DBUID&gt;&lt;/Extra&gt;&lt;/Item&gt;&lt;/References&gt;&lt;/Group&gt;&lt;Group&gt;&lt;References&gt;&lt;Item&gt;&lt;ID&gt;6&lt;/ID&gt;&lt;UID&gt;{626489DF-0F96-43EF-A13B-241EEF5BBC58}&lt;/UID&gt;&lt;Title&gt;Validation of prognostic scores for clinical outcomes in cirrhotic patients with  acute variceal bleeding&lt;/Title&gt;&lt;Template&gt;Journal Article&lt;/Template&gt;&lt;Star&gt;0&lt;/Star&gt;&lt;Tag&gt;0&lt;/Tag&gt;&lt;Author&gt;Motola-Kuba, M; Escobedo-Arzate, A; Tellez-Avila, F; Altamirano, J; Aguilar-Olivos, N; Gonzalez-Angulo, A; Zamarripa-Dorsey, F; Uribe, M; Chavez-Tapia, N C&lt;/Author&gt;&lt;Year&gt;2016&lt;/Year&gt;&lt;Details&gt;&lt;_accession_num&gt;27740523&lt;/_accession_num&gt;&lt;_author_adr&gt;Obesity and Digestive Diseases Unit, Medica Sur Clinic &amp;amp; Foundation, Mexico City, Mexico.; Obesity and Digestive Diseases Unit, Medica Sur Clinic &amp;amp; Foundation, Mexico City, Mexico.; Endoscopy Department Instituto Nacional de Ciencias Medicas y Nutricion Salvador  Zubiran, Mexico City, Mexico.; Institut d&amp;apos;Investigacions Biomediques August-Pi-Sunyer (IDIBAPS) Hospital Clinic, University of Barcelona. Vall d&amp;apos;Hebron Institut de Recerca, Liver Unit- Internal  Medicine Department. Hospital Vall d&amp;apos;Hebron, Barcelona, Spain.; Obesity and Digestive Diseases Unit, Medica Sur Clinic &amp;amp; Foundation, Mexico City, Mexico.; Gastroenterology Unit, Hospital Juarez de Mexico, Mexico City, Mexico.; Gastroenterology Unit, Hospital Juarez de Mexico, Mexico City, Mexico.; Obesity and Digestive Diseases Unit, Medica Sur Clinic &amp;amp; Foundation, Mexico City, Mexico.; Obesity and Digestive Diseases Unit, Medica Sur Clinic &amp;amp; Foundation, Mexico City, Mexico.&lt;/_author_adr&gt;&lt;_collection_scope&gt;SCIE&lt;/_collection_scope&gt;&lt;_created&gt;62895537&lt;/_created&gt;&lt;_date&gt;2016-11-20&lt;/_date&gt;&lt;_date_display&gt;2016 Nov-Dec 2016&lt;/_date_display&gt;&lt;_doi&gt;10.5604/16652681.1222107&lt;/_doi&gt;&lt;_impact_factor&gt;   1.895&lt;/_impact_factor&gt;&lt;_isbn&gt;1665-2681 (Print); 1665-2681 (Linking)&lt;/_isbn&gt;&lt;_issue&gt;6&lt;/_issue&gt;&lt;_journal&gt;Ann Hepatol&lt;/_journal&gt;&lt;_keywords&gt;Adult; Aged; Area Under Curve; *Decision Support Techniques; Esophageal and Gastric Varices/diagnosis/*etiology/mortality; Female; Gastrointestinal Hemorrhage/diagnosis/*etiology/mortality; Hospital Mortality; Humans; Liver Cirrhosis/*complications/diagnosis/mortality; Male; Mexico; Middle Aged; Predictive Value of Tests; Prognosis; ROC Curve; Recurrence; Reproducibility of Results; Retrospective Studies; Risk Assessment; Risk Factors; Time Factors&lt;/_keywords&gt;&lt;_language&gt;eng&lt;/_language&gt;&lt;_modified&gt;62910318&lt;/_modified&gt;&lt;_pages&gt;895-901&lt;/_pages&gt;&lt;_tertiary_title&gt;Annals of hepatology&lt;/_tertiary_title&gt;&lt;_type_work&gt;Comparative Study; Journal Article; Multicenter Study; Validation Studies&lt;/_type_work&gt;&lt;_url&gt;http://www.ncbi.nlm.nih.gov/entrez/query.fcgi?cmd=Retrieve&amp;amp;db=pubmed&amp;amp;dopt=Abstract&amp;amp;list_uids=27740523&amp;amp;query_hl=1&lt;/_url&gt;&lt;_volume&gt;15&lt;/_volume&gt;&lt;/Details&gt;&lt;Extra&gt;&lt;DBUID&gt;{67BC0B37-B4D5-4B86-84ED-0ACFEDDE9F20}&lt;/DBUID&gt;&lt;/Extra&gt;&lt;/Item&gt;&lt;/References&gt;&lt;/Group&gt;&lt;/Citation&gt;_x000a_"/>
    <w:docVar w:name="NE.Ref{C6612B41-EA81-406D-BF42-AB2568152E3E}" w:val=" ADDIN NE.Ref.{C6612B41-EA81-406D-BF42-AB2568152E3E}&lt;Citation&gt;&lt;Group&gt;&lt;References&gt;&lt;Item&gt;&lt;ID&gt;11&lt;/ID&gt;&lt;UID&gt;{275B548D-E627-4BD7-BE0E-987A3EBA1D6B}&lt;/UID&gt;&lt;Title&gt;A modified Glasgow Blatchford Score improves risk stratification in upper gastrointestinal bleed: a prospective comparison of scoring systems&lt;/Title&gt;&lt;Template&gt;Journal Article&lt;/Template&gt;&lt;Star&gt;0&lt;/Star&gt;&lt;Tag&gt;0&lt;/Tag&gt;&lt;Author&gt;Cheng, D W; Lu, Y W; Teller, T; Sekhon, H K; Wu, B U&lt;/Author&gt;&lt;Year&gt;2012&lt;/Year&gt;&lt;Details&gt;&lt;_accession_num&gt;22928529&lt;/_accession_num&gt;&lt;_author_adr&gt;Department of Gastroenterology, Kaiser Permanente, Los Angeles, CA 90027, USA. derekcheng816@gmail.com&lt;/_author_adr&gt;&lt;_created&gt;62895537&lt;/_created&gt;&lt;_date&gt;2012-10-01&lt;/_date&gt;&lt;_date_display&gt;2012 Oct&lt;/_date_display&gt;&lt;_doi&gt;10.1111/apt.12029&lt;/_doi&gt;&lt;_impact_factor&gt;   7.731&lt;/_impact_factor&gt;&lt;_isbn&gt;1365-2036 (Electronic); 0269-2813 (Linking)&lt;/_isbn&gt;&lt;_issue&gt;8&lt;/_issue&gt;&lt;_journal&gt;Aliment Pharmacol Ther&lt;/_journal&gt;&lt;_keywords&gt;Area Under Curve; Cohort Studies; Female; Gastrointestinal Hemorrhage/*diagnosis/etiology; Humans; Male; Middle Aged; Predictive Value of Tests; Prospective Studies; Risk Assessment; *Severity of Illness Index; Upper Gastrointestinal Tract&lt;/_keywords&gt;&lt;_language&gt;eng&lt;/_language&gt;&lt;_modified&gt;62904138&lt;/_modified&gt;&lt;_ori_publication&gt;(c) 2012 Blackwell Publishing Ltd.&lt;/_ori_publication&gt;&lt;_pages&gt;782-9&lt;/_pages&gt;&lt;_tertiary_title&gt;Alimentary pharmacology &amp;amp; therapeutics&lt;/_tertiary_title&gt;&lt;_type_work&gt;Comparative Study; Journal Article&lt;/_type_work&gt;&lt;_url&gt;http://www.ncbi.nlm.nih.gov/entrez/query.fcgi?cmd=Retrieve&amp;amp;db=pubmed&amp;amp;dopt=Abstract&amp;amp;list_uids=22928529&amp;amp;query_hl=1&lt;/_url&gt;&lt;_volume&gt;36&lt;/_volume&gt;&lt;/Details&gt;&lt;Extra&gt;&lt;DBUID&gt;{67BC0B37-B4D5-4B86-84ED-0ACFEDDE9F20}&lt;/DBUID&gt;&lt;/Extra&gt;&lt;/Item&gt;&lt;/References&gt;&lt;/Group&gt;&lt;Group&gt;&lt;References&gt;&lt;Item&gt;&lt;ID&gt;2&lt;/ID&gt;&lt;UID&gt;{21891CEF-2132-4610-A348-69C8CC935919}&lt;/UID&gt;&lt;Title&gt;Development, Validation, and Comparative Assessment of an International Scoring System to Determine Risk of Upper Gastrointestinal Bleeding&lt;/Title&gt;&lt;Template&gt;Journal Article&lt;/Template&gt;&lt;Star&gt;0&lt;/Star&gt;&lt;Tag&gt;0&lt;/Tag&gt;&lt;Author&gt;Oakland, K; Kahan, B C; Guizzetti, L; Martel, M; Bryant, R V; Brahmania, M; Singh, S; Nguyen, N Q; Sey, MSL; Barkun, A; Jairath, V&lt;/Author&gt;&lt;Year&gt;2019&lt;/Year&gt;&lt;Details&gt;&lt;_accession_num&gt;30268566&lt;/_accession_num&gt;&lt;_author_adr&gt;London Digestive Centre, HCA Healthcare UK, London, United Kingdom.; Pragmatic Clinical Trials Unit, Queen Mary University of London, London, United Kingdom.; Robarts Clinical Trials, London, Ontario, Canada.; Division of Gastroenterology, McGill University, McGill University Health Centre, Montreal, Canada.; Department of Gastroenterology, The Queen Elizabeth Hospital, Adelaide, South Australia; School of Medicine, Faculty of Health Sciences, University of Adelaide, South Australia.; Department of Medicine, Western University, London, Canada.; Division of Gastroenterology, University of California San Diego, La Jolla, California.; Department of Gastroenterology and Hepatology, Royal Adelaide Hospital, Discipline of Medicine, University of Adelaide, South Australia.; Department of Medicine, Western University, London, Canada.; Division of Gastroenterology, McGill University, McGill University Health Centre, Montreal, Canada.; Department of Medicine, Western University, London, Canada; Division of Epidemiology and Biostatistics, Western University, London, Canada. Electronic address: vjairath@uwo.ca.&lt;/_author_adr&gt;&lt;_created&gt;62895537&lt;/_created&gt;&lt;_date&gt;2019-05-01&lt;/_date&gt;&lt;_date_display&gt;2019 May&lt;/_date_display&gt;&lt;_doi&gt;10.1016/j.cgh.2018.09.039&lt;/_doi&gt;&lt;_impact_factor&gt;   7.958&lt;/_impact_factor&gt;&lt;_isbn&gt;1542-7714 (Electronic); 1542-3565 (Linking)&lt;/_isbn&gt;&lt;_issue&gt;6&lt;/_issue&gt;&lt;_journal&gt;Clin Gastroenterol Hepatol&lt;/_journal&gt;&lt;_keywords&gt;AUGIB; Hematemesis; Prognostic Factors; Stomach&lt;/_keywords&gt;&lt;_language&gt;eng&lt;/_language&gt;&lt;_modified&gt;62910330&lt;/_modified&gt;&lt;_ori_publication&gt;Copyright (c) 2019 AGA Institute. Published by Elsevier Inc. All rights reserved.&lt;/_ori_publication&gt;&lt;_pages&gt;1121-1129.e2&lt;/_pages&gt;&lt;_tertiary_title&gt;Clinical gastroenterology and hepatology : the official clinical practice journal_x000d__x000a_      of the American Gastroenterological Association&lt;/_tertiary_title&gt;&lt;_type_work&gt;Journal Article&lt;/_type_work&gt;&lt;_url&gt;http://www.ncbi.nlm.nih.gov/entrez/query.fcgi?cmd=Retrieve&amp;amp;db=pubmed&amp;amp;dopt=Abstract&amp;amp;list_uids=30268566&amp;amp;query_hl=1&lt;/_url&gt;&lt;_volume&gt;17&lt;/_volume&gt;&lt;/Details&gt;&lt;Extra&gt;&lt;DBUID&gt;{67BC0B37-B4D5-4B86-84ED-0ACFEDDE9F20}&lt;/DBUID&gt;&lt;/Extra&gt;&lt;/Item&gt;&lt;/References&gt;&lt;/Group&gt;&lt;/Citation&gt;_x000a_"/>
    <w:docVar w:name="NE.Ref{CA0177CB-4ACD-4E3F-830E-57E4A9F4947B}" w:val=" ADDIN NE.Ref.{CA0177CB-4ACD-4E3F-830E-57E4A9F4947B}&lt;Citation&gt;&lt;Group&gt;&lt;References&gt;&lt;Item&gt;&lt;ID&gt;30&lt;/ID&gt;&lt;UID&gt;{1D5D30E7-D389-4FB6-ABC5-0F90A7F1B083}&lt;/UID&gt;&lt;Title&gt;Predictive factors for rebleeding and death in alcoholic cirrhotic patients with  acute variceal bleeding: a multivariate analysis&lt;/Title&gt;&lt;Template&gt;Journal Article&lt;/Template&gt;&lt;Star&gt;0&lt;/Star&gt;&lt;Tag&gt;0&lt;/Tag&gt;&lt;Author&gt;Krige, J E; Kotze, U K; Distiller, G; Shaw, J M; Bornman, P C&lt;/Author&gt;&lt;Year&gt;2009&lt;/Year&gt;&lt;Details&gt;&lt;_accession_num&gt;19672651&lt;/_accession_num&gt;&lt;_author_adr&gt;Department of Surgery J45OMB, Groote Schuur Hospital, Anzio Road, Observatory 7925, Cape Town, South Africa. jej.krige@uct.ac.za&lt;/_author_adr&gt;&lt;_collection_scope&gt;SCI;SCIE&lt;/_collection_scope&gt;&lt;_created&gt;62910365&lt;/_created&gt;&lt;_date&gt;2009-10-01&lt;/_date&gt;&lt;_date_display&gt;2009 Oct&lt;/_date_display&gt;&lt;_doi&gt;10.1007/s00268-009-0172-6&lt;/_doi&gt;&lt;_impact_factor&gt;   2.768&lt;/_impact_factor&gt;&lt;_isbn&gt;1432-2323 (Electronic); 0364-2313 (Linking)&lt;/_isbn&gt;&lt;_issue&gt;10&lt;/_issue&gt;&lt;_journal&gt;World J Surg&lt;/_journal&gt;&lt;_keywords&gt;Adult; Aged; Aged, 80 and over; Esophageal and Gastric Varices/etiology/*mortality; Female; Gastrointestinal Hemorrhage/etiology/*mortality/therapy; Humans; Liver Cirrhosis, Alcoholic/complications/*mortality; Logistic Models; Male; Middle Aged; Multivariate Analysis; Predictive Value of Tests; Prognosis; Recurrence; Risk Factors; Young Adult&lt;/_keywords&gt;&lt;_language&gt;eng&lt;/_language&gt;&lt;_modified&gt;62910379&lt;/_modified&gt;&lt;_pages&gt;2127-35&lt;/_pages&gt;&lt;_tertiary_title&gt;World journal of surgery&lt;/_tertiary_title&gt;&lt;_type_work&gt;Journal Article&lt;/_type_work&gt;&lt;_url&gt;http://www.ncbi.nlm.nih.gov/entrez/query.fcgi?cmd=Retrieve&amp;amp;db=pubmed&amp;amp;dopt=Abstract&amp;amp;list_uids=19672651&amp;amp;query_hl=1&lt;/_url&gt;&lt;_volume&gt;33&lt;/_volume&gt;&lt;/Details&gt;&lt;Extra&gt;&lt;DBUID&gt;{67BC0B37-B4D5-4B86-84ED-0ACFEDDE9F20}&lt;/DBUID&gt;&lt;/Extra&gt;&lt;/Item&gt;&lt;/References&gt;&lt;/Group&gt;&lt;Group&gt;&lt;References&gt;&lt;Item&gt;&lt;ID&gt;29&lt;/ID&gt;&lt;UID&gt;{914B4CDF-29FD-4BC2-8A13-884B9A5A1886}&lt;/UID&gt;&lt;Title&gt;Risk factors for predicting early variceal rebleeding after endoscopic variceal ligation&lt;/Title&gt;&lt;Template&gt;Journal Article&lt;/Template&gt;&lt;Star&gt;0&lt;/Star&gt;&lt;Tag&gt;0&lt;/Tag&gt;&lt;Author&gt;Xu, L; Ji, F; Xu, Q W; Zhang, M Q&lt;/Author&gt;&lt;Year&gt;2011&lt;/Year&gt;&lt;Details&gt;&lt;_accession_num&gt;21876624&lt;/_accession_num&gt;&lt;_author_adr&gt;Department of Gastroenterology, First Affiliated Hospital, Zhejiang University School of Medicine, 79 Qingchun Road, Hangzhou 310003, Zhejiang Province, China.&lt;/_author_adr&gt;&lt;_created&gt;62910365&lt;/_created&gt;&lt;_date&gt;2011-07-28&lt;/_date&gt;&lt;_date_display&gt;2011 Jul 28&lt;/_date_display&gt;&lt;_doi&gt;10.3748/wjg.v17.i28.3347&lt;/_doi&gt;&lt;_impact_factor&gt;   3.411&lt;/_impact_factor&gt;&lt;_isbn&gt;2219-2840 (Electronic); 1007-9327 (Linking)&lt;/_isbn&gt;&lt;_issue&gt;28&lt;/_issue&gt;&lt;_journal&gt;World J Gastroenterol&lt;/_journal&gt;&lt;_keywords&gt;Adult; Aged; Case-Control Studies; Endoscopy/*methods; Esophageal and Gastric Varices/*complications; Female; Gastrointestinal Hemorrhage/*etiology; Humans; Ligation/*methods; Male; Risk Factors; Secondary Prevention; Treatment Outcome; Young AdultEarly rebleeding; Endoscopic variceal ligation; Esophageal variceal bleeding; Loop ligature; Risk factor&lt;/_keywords&gt;&lt;_language&gt;eng&lt;/_language&gt;&lt;_modified&gt;62910365&lt;/_modified&gt;&lt;_pages&gt;3347-52&lt;/_pages&gt;&lt;_tertiary_title&gt;World journal of gastroenterology&lt;/_tertiary_title&gt;&lt;_type_work&gt;Journal Article&lt;/_type_work&gt;&lt;_url&gt;http://www.ncbi.nlm.nih.gov/entrez/query.fcgi?cmd=Retrieve&amp;amp;db=pubmed&amp;amp;dopt=Abstract&amp;amp;list_uids=21876624&amp;amp;query_hl=1&lt;/_url&gt;&lt;_volume&gt;17&lt;/_volume&gt;&lt;/Details&gt;&lt;Extra&gt;&lt;DBUID&gt;{67BC0B37-B4D5-4B86-84ED-0ACFEDDE9F20}&lt;/DBUID&gt;&lt;/Extra&gt;&lt;/Item&gt;&lt;/References&gt;&lt;/Group&gt;&lt;Group&gt;&lt;References&gt;&lt;Item&gt;&lt;ID&gt;24&lt;/ID&gt;&lt;UID&gt;{B8CC2BD9-1E6A-4ABA-9BBF-CD7CF7941189}&lt;/UID&gt;&lt;Title&gt;Association between portal vein thrombosis and risk of bleeding in liver cirrhosis: A systematic review of the literature&lt;/Title&gt;&lt;Template&gt;Journal Article&lt;/Template&gt;&lt;Star&gt;0&lt;/Star&gt;&lt;Tag&gt;0&lt;/Tag&gt;&lt;Author&gt;Qi, X; Su, C; Ren, W; Yang, M; Jia, J; Dai, J; Xu, W; Guo, X&lt;/Author&gt;&lt;Year&gt;2015&lt;/Year&gt;&lt;Details&gt;&lt;_accession_num&gt;25956490&lt;/_accession_num&gt;&lt;_author_adr&gt;Department of Gastroenterology, General Hospital of Shenyang Military Area, Shenyang 110840, China; Xijing Hospital of Digestive Diseases, Fourth Military Medical University, Xi&amp;apos;an 710032, China. Electronic address: xingshunqi@126.com.; Library of Fourth Military Medical University, Xi&amp;apos;an 710032, China.; Xijing Hospital of Digestive Diseases, Fourth Military Medical University, Xi&amp;apos;an  710032, China; Department of Digestive Diseases, Sanmenxia Central Hospital, Henan University of Science and Technology, Xiaoshan Road, Sanmenxia 472000, China.; Xijing Hospital of Digestive Diseases, Fourth Military Medical University, Xi&amp;apos;an  710032, China; Department of Gastroenterology, Songgang People&amp;apos;s Hospital, Shenzhen 518105, China.; Xijing Hospital of Digestive Diseases, Fourth Military Medical University, Xi&amp;apos;an  710032, China; Department of Digestive Diseases, Shaanxi Provincial People&amp;apos;s Hospital, Xi&amp;apos;an 710068, China.; Department of Gastroenterology, General Hospital of Shenyang Military Area, Shenyang 110840, China.; Department of Gastroenterology, General Hospital of Shenyang Military Area, Shenyang 110840, China.; Department of Gastroenterology, General Hospital of Shenyang Military Area, Shenyang 110840, China. Electronic address: guo_xiao_zhong@126.com.&lt;/_author_adr&gt;&lt;_created&gt;62910365&lt;/_created&gt;&lt;_date&gt;2015-12-01&lt;/_date&gt;&lt;_date_display&gt;2015 Dec&lt;/_date_display&gt;&lt;_doi&gt;10.1016/j.clinre.2015.02.012&lt;/_doi&gt;&lt;_impact_factor&gt;   2.807&lt;/_impact_factor&gt;&lt;_isbn&gt;2210-741X (Electronic); 2210-7401 (Linking)&lt;/_isbn&gt;&lt;_issue&gt;6&lt;/_issue&gt;&lt;_journal&gt;Clin Res Hepatol Gastroenterol&lt;/_journal&gt;&lt;_keywords&gt;Esophageal and Gastric Varices; Gastrointestinal Hemorrhage/epidemiology/*etiology; Humans; Liver Cirrhosis/*complications; *Portal Vein; Recurrence; Risk Factors; Venous Thrombosis/*complications&lt;/_keywords&gt;&lt;_language&gt;eng&lt;/_language&gt;&lt;_modified&gt;62910365&lt;/_modified&gt;&lt;_ori_publication&gt;Copyright (c) 2015. Published by Elsevier Masson SAS.&lt;/_ori_publication&gt;&lt;_pages&gt;683-91&lt;/_pages&gt;&lt;_tertiary_title&gt;Clinics and research in hepatology and gastroenterology&lt;/_tertiary_title&gt;&lt;_type_work&gt;Journal Article; Review; Systematic Review&lt;/_type_work&gt;&lt;_url&gt;http://www.ncbi.nlm.nih.gov/entrez/query.fcgi?cmd=Retrieve&amp;amp;db=pubmed&amp;amp;dopt=Abstract&amp;amp;list_uids=25956490&amp;amp;query_hl=1&lt;/_url&gt;&lt;_volume&gt;39&lt;/_volume&gt;&lt;/Details&gt;&lt;Extra&gt;&lt;DBUID&gt;{67BC0B37-B4D5-4B86-84ED-0ACFEDDE9F20}&lt;/DBUID&gt;&lt;/Extra&gt;&lt;/Item&gt;&lt;/References&gt;&lt;/Group&gt;&lt;/Citation&gt;_x000a_"/>
    <w:docVar w:name="NE.Ref{CBCC4DFA-909A-475B-BACE-4B8B77645208}" w:val=" ADDIN NE.Ref.{CBCC4DFA-909A-475B-BACE-4B8B77645208}&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Citation&gt;_x000a_"/>
    <w:docVar w:name="NE.Ref{D8AEAA65-0BA0-41DC-B99D-D427356981E7}" w:val=" ADDIN NE.Ref.{D8AEAA65-0BA0-41DC-B99D-D427356981E7}&lt;Citation&gt;&lt;Group&gt;&lt;References&gt;&lt;Item&gt;&lt;ID&gt;5&lt;/ID&gt;&lt;UID&gt;{1E833493-72F7-4F48-B42F-BA5E8B1D2C15}&lt;/UID&gt;&lt;Title&gt;Clinical Scoring Systems in Predicting the Outcome of Acute Upper Gastrointestinal Bleeding; a Narrative Review&lt;/Title&gt;&lt;Template&gt;Journal Article&lt;/Template&gt;&lt;Star&gt;0&lt;/Star&gt;&lt;Tag&gt;0&lt;/Tag&gt;&lt;Author&gt;Ebrahimi, Bakhtavar H; Morteza, Bagi HR; Rahmani, F; Shahsavari, Nia K; Ettehadi, A&lt;/Author&gt;&lt;Year&gt;2017&lt;/Year&gt;&lt;Details&gt;&lt;_accession_num&gt;28286843&lt;/_accession_num&gt;&lt;_author_adr&gt;Emergency Medicine Research Team, Tabriz University of Medical Sciences, Tabriz,  Iran.; Emergency Medicine Research Team, Tabriz University of Medical Sciences, Tabriz,  Iran.; Emergency Medicine Research Team, Tabriz University of Medical Sciences, Tabriz,  Iran. ; Road Traffic Injury Research Center, Tabriz University of Medical Sciences, Tabriz, Iran.; Emergency Medicine Research Team, Tabriz University of Medical Sciences, Tabriz,  Iran.; Emergency Medicine Research Team, Tabriz University of Medical Sciences, Tabriz,  Iran.&lt;/_author_adr&gt;&lt;_created&gt;62895537&lt;/_created&gt;&lt;_date&gt;2017-01-20&lt;/_date&gt;&lt;_date_display&gt;2017&lt;/_date_display&gt;&lt;_isbn&gt;2345-4563 (Print); 2345-4563 (Linking)&lt;/_isbn&gt;&lt;_issue&gt;1&lt;/_issue&gt;&lt;_journal&gt;Emerg (Tehran)&lt;/_journal&gt;&lt;_keywords&gt;Hemorrhage; decision support techniques; mortality; prognosis; upper gastrointestinal tract&lt;/_keywords&gt;&lt;_language&gt;eng&lt;/_language&gt;&lt;_modified&gt;62895552&lt;/_modified&gt;&lt;_pages&gt;e36&lt;/_pages&gt;&lt;_tertiary_title&gt;Emergency (Tehran, Iran)&lt;/_tertiary_title&gt;&lt;_type_work&gt;Journal Article; Review&lt;/_type_work&gt;&lt;_url&gt;http://www.ncbi.nlm.nih.gov/entrez/query.fcgi?cmd=Retrieve&amp;amp;db=pubmed&amp;amp;dopt=Abstract&amp;amp;list_uids=28286843&amp;amp;query_hl=1&lt;/_url&gt;&lt;_volume&gt;5&lt;/_volume&gt;&lt;/Details&gt;&lt;Extra&gt;&lt;DBUID&gt;{67BC0B37-B4D5-4B86-84ED-0ACFEDDE9F20}&lt;/DBUID&gt;&lt;/Extra&gt;&lt;/Item&gt;&lt;/References&gt;&lt;/Group&gt;&lt;Group&gt;&lt;References&gt;&lt;Item&gt;&lt;ID&gt;7&lt;/ID&gt;&lt;UID&gt;{2934C5F6-ADF3-470C-9A6F-79C60C8B1A70}&lt;/UID&gt;&lt;Title&gt;Upper gastrointestinal bleeding risk scores: Who, when and why?&lt;/Title&gt;&lt;Template&gt;Journal Article&lt;/Template&gt;&lt;Star&gt;0&lt;/Star&gt;&lt;Tag&gt;0&lt;/Tag&gt;&lt;Author&gt;Monteiro, S; Goncalves, T C; Magalhaes, J; Cotter, J&lt;/Author&gt;&lt;Year&gt;2016&lt;/Year&gt;&lt;Details&gt;&lt;_accession_num&gt;26909231&lt;/_accession_num&gt;&lt;_author_adr&gt;Sara Monteiro, Tiago Curdia Goncalves, Joana Magalhaes, Jose Cotter, Department of Gastroenterology, Hospital Senhora da Oliveira-Guimaraes, Creixomil, 4835-044  Guimaraes, Portugal.; Sara Monteiro, Tiago Curdia Goncalves, Joana Magalhaes, Jose Cotter, Department of Gastroenterology, Hospital Senhora da Oliveira-Guimaraes, Creixomil, 4835-044  Guimaraes, Portugal.; Sara Monteiro, Tiago Curdia Goncalves, Joana Magalhaes, Jose Cotter, Department of Gastroenterology, Hospital Senhora da Oliveira-Guimaraes, Creixomil, 4835-044  Guimaraes, Portugal.; Sara Monteiro, Tiago Curdia Goncalves, Joana Magalhaes, Jose Cotter, Department of Gastroenterology, Hospital Senhora da Oliveira-Guimaraes, Creixomil, 4835-044  Guimaraes, Portugal.&lt;/_author_adr&gt;&lt;_created&gt;62895537&lt;/_created&gt;&lt;_date&gt;2016-02-15&lt;/_date&gt;&lt;_date_display&gt;2016 Feb 15&lt;/_date_display&gt;&lt;_doi&gt;10.4291/wjgp.v7.i1.86&lt;/_doi&gt;&lt;_isbn&gt;2150-5330 (Print); 2150-5330 (Linking)&lt;/_isbn&gt;&lt;_issue&gt;1&lt;/_issue&gt;&lt;_journal&gt;World J Gastrointest Pathophysiol&lt;/_journal&gt;&lt;_keywords&gt;Glasgow blatchford score; Risk assessment; Risk scores; Rockall score; Upper gastrointestinal bleeding&lt;/_keywords&gt;&lt;_language&gt;eng&lt;/_language&gt;&lt;_modified&gt;62910318&lt;/_modified&gt;&lt;_pages&gt;86-96&lt;/_pages&gt;&lt;_tertiary_title&gt;World journal of gastrointestinal pathophysiology&lt;/_tertiary_title&gt;&lt;_type_work&gt;Journal Article; Review&lt;/_type_work&gt;&lt;_url&gt;http://www.ncbi.nlm.nih.gov/entrez/query.fcgi?cmd=Retrieve&amp;amp;db=pubmed&amp;amp;dopt=Abstract&amp;amp;list_uids=26909231&amp;amp;query_hl=1&lt;/_url&gt;&lt;_volume&gt;7&lt;/_volume&gt;&lt;/Details&gt;&lt;Extra&gt;&lt;DBUID&gt;{67BC0B37-B4D5-4B86-84ED-0ACFEDDE9F20}&lt;/DBUID&gt;&lt;/Extra&gt;&lt;/Item&gt;&lt;/References&gt;&lt;/Group&gt;&lt;/Citation&gt;_x000a_"/>
    <w:docVar w:name="NE.Ref{E04AFB02-8BAF-46F6-9131-6C28B3CEAFBB}" w:val=" ADDIN NE.Ref.{E04AFB02-8BAF-46F6-9131-6C28B3CEAFBB}&lt;Citation&gt;&lt;Group&gt;&lt;References&gt;&lt;Item&gt;&lt;ID&gt;11&lt;/ID&gt;&lt;UID&gt;{275B548D-E627-4BD7-BE0E-987A3EBA1D6B}&lt;/UID&gt;&lt;Title&gt;A modified Glasgow Blatchford Score improves risk stratification in upper gastrointestinal bleed: a prospective comparison of scoring systems&lt;/Title&gt;&lt;Template&gt;Journal Article&lt;/Template&gt;&lt;Star&gt;0&lt;/Star&gt;&lt;Tag&gt;0&lt;/Tag&gt;&lt;Author&gt;Cheng, D W; Lu, Y W; Teller, T; Sekhon, H K; Wu, B U&lt;/Author&gt;&lt;Year&gt;2012&lt;/Year&gt;&lt;Details&gt;&lt;_accession_num&gt;22928529&lt;/_accession_num&gt;&lt;_author_adr&gt;Department of Gastroenterology, Kaiser Permanente, Los Angeles, CA 90027, USA. derekcheng816@gmail.com&lt;/_author_adr&gt;&lt;_created&gt;62895537&lt;/_created&gt;&lt;_date&gt;2012-10-01&lt;/_date&gt;&lt;_date_display&gt;2012 Oct&lt;/_date_display&gt;&lt;_doi&gt;10.1111/apt.12029&lt;/_doi&gt;&lt;_impact_factor&gt;   7.731&lt;/_impact_factor&gt;&lt;_isbn&gt;1365-2036 (Electronic); 0269-2813 (Linking)&lt;/_isbn&gt;&lt;_issue&gt;8&lt;/_issue&gt;&lt;_journal&gt;Aliment Pharmacol Ther&lt;/_journal&gt;&lt;_keywords&gt;Area Under Curve; Cohort Studies; Female; Gastrointestinal Hemorrhage/*diagnosis/etiology; Humans; Male; Middle Aged; Predictive Value of Tests; Prospective Studies; Risk Assessment; *Severity of Illness Index; Upper Gastrointestinal Tract&lt;/_keywords&gt;&lt;_language&gt;eng&lt;/_language&gt;&lt;_modified&gt;62904138&lt;/_modified&gt;&lt;_ori_publication&gt;(c) 2012 Blackwell Publishing Ltd.&lt;/_ori_publication&gt;&lt;_pages&gt;782-9&lt;/_pages&gt;&lt;_tertiary_title&gt;Alimentary pharmacology &amp;amp; therapeutics&lt;/_tertiary_title&gt;&lt;_type_work&gt;Comparative Study; Journal Article&lt;/_type_work&gt;&lt;_url&gt;http://www.ncbi.nlm.nih.gov/entrez/query.fcgi?cmd=Retrieve&amp;amp;db=pubmed&amp;amp;dopt=Abstract&amp;amp;list_uids=22928529&amp;amp;query_hl=1&lt;/_url&gt;&lt;_volume&gt;36&lt;/_volume&gt;&lt;/Details&gt;&lt;Extra&gt;&lt;DBUID&gt;{67BC0B37-B4D5-4B86-84ED-0ACFEDDE9F20}&lt;/DBUID&gt;&lt;/Extra&gt;&lt;/Item&gt;&lt;/References&gt;&lt;/Group&gt;&lt;/Citation&gt;_x000a_"/>
    <w:docVar w:name="NE.Ref{E7B2B863-444C-4D01-B63E-2DEA164C909B}" w:val=" ADDIN NE.Ref.{E7B2B863-444C-4D01-B63E-2DEA164C909B}&lt;Citation&gt;&lt;Group&gt;&lt;References&gt;&lt;Item&gt;&lt;ID&gt;8&lt;/ID&gt;&lt;UID&gt;{88D7F3E8-7339-4306-A394-6B0419C316A3}&lt;/UID&gt;&lt;Title&gt;U.K. guidelines on the management of variceal haemorrhage in cirrhotic patients&lt;/Title&gt;&lt;Template&gt;Journal Article&lt;/Template&gt;&lt;Star&gt;0&lt;/Star&gt;&lt;Tag&gt;0&lt;/Tag&gt;&lt;Author&gt;Tripathi, D; Stanley, A J; Hayes, P C; Patch, D; Millson, C; Mehrzad, H; Austin, A; Ferguson, J W; Olliff, S P; Hudson, M; Christie, J M&lt;/Author&gt;&lt;Year&gt;2015&lt;/Year&gt;&lt;Details&gt;&lt;_accession_num&gt;25887380&lt;/_accession_num&gt;&lt;_author_adr&gt;Liver Unit, University Hospitals Birmingham NHS Foundation Trust, Birmingham, UK.; GI Unit, Glasgow Royal Infirmary, Glasgow, UK.; Liver Unit, Royal Infirmary of Edinburgh, Edinburgh, UK.; The Royal Free Sheila Sherlock Liver Centre, Royal Free Hospital and University College London, London, UK.; Gastrointestinal and Liver Services, York Teaching Hospitals NHS Foundation Trust, York, UK.; Department of Interventional Radiology, University Hospitals Birmingham NHS Foundation Trust, Birmingham, UK.; Department of Gastroenterology, Derby Hospitals NHS Foundation Trust, Derby, UK.; Liver Unit, University Hospitals Birmingham NHS Foundation Trust, Birmingham, UK.; Department of Interventional Radiology, University Hospitals Birmingham NHS Foundation Trust, Birmingham, UK.; Liver Unit, Freeman Hospital, Newcastle upon Tyne, UK.; Department of Gastroenterology, Royal Devon and Exeter Hospital, Devon, UK.&lt;/_author_adr&gt;&lt;_date_display&gt;2015 Nov&lt;/_date_display&gt;&lt;_date&gt;2015-11-01&lt;/_date&gt;&lt;_doi&gt;10.1136/gutjnl-2015-309262&lt;/_doi&gt;&lt;_isbn&gt;1468-3288 (Electronic); 0017-5749 (Linking)&lt;/_isbn&gt;&lt;_issue&gt;11&lt;/_issue&gt;&lt;_journal&gt;Gut&lt;/_journal&gt;&lt;_keywords&gt;Algorithms; Esophageal and Gastric Varices/etiology/*therapy; Gastrointestinal Hemorrhage/etiology/*therapy; Humans; Liver Cirrhosis/complicationsBLEEDING; CIRRHOSIS; GASTROINTESTINAL HAEMORRHAGE; OESOPHAGEAL VARICES; PORTAL HYPERTENSION&lt;/_keywords&gt;&lt;_language&gt;eng&lt;/_language&gt;&lt;_ori_publication&gt;Published by the BMJ Publishing Group Limited. For permission to use (where not_x000d__x000a_      already granted under a licence) please go to_x000d__x000a_      http://group.bmj.com/group/rights-licensing/permissions.&lt;/_ori_publication&gt;&lt;_pages&gt;1680-704&lt;/_pages&gt;&lt;_tertiary_title&gt;Gut&lt;/_tertiary_title&gt;&lt;_type_work&gt;Journal Article; Research Support, Non-U.S. Gov&amp;apos;t&lt;/_type_work&gt;&lt;_url&gt;http://www.ncbi.nlm.nih.gov/entrez/query.fcgi?cmd=Retrieve&amp;amp;db=pubmed&amp;amp;dopt=Abstract&amp;amp;list_uids=25887380&amp;amp;query_hl=1&lt;/_url&gt;&lt;_volume&gt;64&lt;/_volume&gt;&lt;_created&gt;62895537&lt;/_created&gt;&lt;_modified&gt;62895550&lt;/_modified&gt;&lt;_impact_factor&gt;  17.016&lt;/_impact_factor&gt;&lt;_collection_scope&gt;SCI;SCIE&lt;/_collection_scope&gt;&lt;/Details&gt;&lt;Extra&gt;&lt;DBUID&gt;{67BC0B37-B4D5-4B86-84ED-0ACFEDDE9F20}&lt;/DBUID&gt;&lt;/Extra&gt;&lt;/Item&gt;&lt;/References&gt;&lt;/Group&gt;&lt;/Citation&gt;_x000a_"/>
    <w:docVar w:name="NE.Ref{FC8DF859-4F0E-4488-9441-A52BBF9C9E64}" w:val=" ADDIN NE.Ref.{FC8DF859-4F0E-4488-9441-A52BBF9C9E64}&lt;Citation&gt;&lt;Group&gt;&lt;References&gt;&lt;Item&gt;&lt;ID&gt;3&lt;/ID&gt;&lt;UID&gt;{2EBE60E6-3785-447D-BBAB-166BB7F8EEEE}&lt;/UID&gt;&lt;Title&gt;EASL Clinical Practice Guidelines for the management of patients with decompensated cirrhosis&lt;/Title&gt;&lt;Template&gt;Journal Article&lt;/Template&gt;&lt;Star&gt;0&lt;/Star&gt;&lt;Tag&gt;0&lt;/Tag&gt;&lt;Author&gt;P, Angeli; M, Bernardi; C, Villanueva; C, Francoz; RP, Mookerjee; J, Trebicka; A, Krag; W, Laleman; P, Gines&lt;/Author&gt;&lt;Year&gt;2018&lt;/Year&gt;&lt;Details&gt;&lt;_accession_num&gt;29653741&lt;/_accession_num&gt;&lt;_collection_scope&gt;SCI;SCIE&lt;/_collection_scope&gt;&lt;_created&gt;62895537&lt;/_created&gt;&lt;_date&gt;2018-08-01&lt;/_date&gt;&lt;_date_display&gt;2018 Aug&lt;/_date_display&gt;&lt;_doi&gt;10.1016/j.jhep.2018.03.024&lt;/_doi&gt;&lt;_impact_factor&gt;  18.946&lt;/_impact_factor&gt;&lt;_isbn&gt;1600-0641 (Electronic); 0168-8278 (Linking)&lt;/_isbn&gt;&lt;_issue&gt;2&lt;/_issue&gt;&lt;_journal&gt;J Hepatol&lt;/_journal&gt;&lt;_language&gt;eng&lt;/_language&gt;&lt;_modified&gt;62910329&lt;/_modified&gt;&lt;_pages&gt;406-460&lt;/_pages&gt;&lt;_tertiary_title&gt;Journal of hepatology&lt;/_tertiary_title&gt;&lt;_type_work&gt;Journal Article&lt;/_type_work&gt;&lt;_url&gt;http://www.ncbi.nlm.nih.gov/entrez/query.fcgi?cmd=Retrieve&amp;amp;db=pubmed&amp;amp;dopt=Abstract&amp;amp;list_uids=29653741&amp;amp;query_hl=1&lt;/_url&gt;&lt;_volume&gt;69&lt;/_volume&gt;&lt;/Details&gt;&lt;Extra&gt;&lt;DBUID&gt;{67BC0B37-B4D5-4B86-84ED-0ACFEDDE9F20}&lt;/DBUID&gt;&lt;/Extra&gt;&lt;/Item&gt;&lt;/References&gt;&lt;/Group&gt;&lt;Group&gt;&lt;References&gt;&lt;Item&gt;&lt;ID&gt;9&lt;/ID&gt;&lt;UID&gt;{97E6DAA4-0AB1-4FA9-BE10-80EC0C19BE12}&lt;/UID&gt;&lt;Title&gt;Liver cirrhosis&lt;/Title&gt;&lt;Template&gt;Journal Article&lt;/Template&gt;&lt;Star&gt;0&lt;/Star&gt;&lt;Tag&gt;0&lt;/Tag&gt;&lt;Author&gt;Tsochatzis, E A; Bosch, J; Burroughs, A K&lt;/Author&gt;&lt;Year&gt;2014&lt;/Year&gt;&lt;Details&gt;&lt;_accession_num&gt;24480518&lt;/_accession_num&gt;&lt;_author_adr&gt;Royal Free Sheila Sherlock Liver Centre, Royal Free Hospital and UCL Institute of Liver and Digestive Health, London, UK.; Hepatic Hemodynamic Laboratory, Hospital Clinic-IDIBAPS, University of Barcelona, and Centro de Investigacion Biomedica en Red de Enfermedades Hepaticas y Digestivas, Barcelona, Spain.; Royal Free Sheila Sherlock Liver Centre, Royal Free Hospital and UCL Institute of Liver and Digestive Health, London, UK. Electronic address: andrew.burroughs@nhs.net.&lt;/_author_adr&gt;&lt;_collection_scope&gt;SCI;SCIE&lt;/_collection_scope&gt;&lt;_created&gt;62895537&lt;/_created&gt;&lt;_date&gt;2014-05-17&lt;/_date&gt;&lt;_date_display&gt;2014 May 17&lt;/_date_display&gt;&lt;_doi&gt;10.1016/S0140-6736(14)60121-5&lt;/_doi&gt;&lt;_impact_factor&gt;  59.102&lt;/_impact_factor&gt;&lt;_isbn&gt;1474-547X (Electronic); 0140-6736 (Linking)&lt;/_isbn&gt;&lt;_issue&gt;9930&lt;/_issue&gt;&lt;_journal&gt;Lancet&lt;/_journal&gt;&lt;_keywords&gt;Disease Progression; Humans; Hypertension, Portal/etiology/therapy; Life Style; Liver Cirrhosis/complications/diagnosis/epidemiology/*therapy; Liver Transplantation; Mass Screening/methods; Prognosis&lt;/_keywords&gt;&lt;_language&gt;eng&lt;/_language&gt;&lt;_modified&gt;62910320&lt;/_modified&gt;&lt;_ori_publication&gt;Copyright (c) 2014 Elsevier Ltd. All rights reserved.&lt;/_ori_publication&gt;&lt;_pages&gt;1749-61&lt;/_pages&gt;&lt;_tertiary_title&gt;Lancet (London, England)&lt;/_tertiary_title&gt;&lt;_type_work&gt;Journal Article; Review&lt;/_type_work&gt;&lt;_url&gt;http://www.ncbi.nlm.nih.gov/entrez/query.fcgi?cmd=Retrieve&amp;amp;db=pubmed&amp;amp;dopt=Abstract&amp;amp;list_uids=24480518&amp;amp;query_hl=1&lt;/_url&gt;&lt;_volume&gt;383&lt;/_volume&gt;&lt;/Details&gt;&lt;Extra&gt;&lt;DBUID&gt;{67BC0B37-B4D5-4B86-84ED-0ACFEDDE9F20}&lt;/DBUID&gt;&lt;/Extra&gt;&lt;/Item&gt;&lt;/References&gt;&lt;/Group&gt;&lt;/Citation&gt;_x000a_"/>
    <w:docVar w:name="NE.Ref{FE713EDC-5735-4399-BC4B-1758E467C3F3}" w:val=" ADDIN NE.Ref.{FE713EDC-5735-4399-BC4B-1758E467C3F3}&lt;Citation&gt;&lt;Group&gt;&lt;References&gt;&lt;Item&gt;&lt;ID&gt;23&lt;/ID&gt;&lt;UID&gt;{6F51A793-CDC9-499F-8E9A-763BDDC6D84F}&lt;/UID&gt;&lt;Title&gt;Prospective comparison of three risk scoring systems in non-variceal and variceal upper gastrointestinal bleeding&lt;/Title&gt;&lt;Template&gt;Journal Article&lt;/Template&gt;&lt;Star&gt;0&lt;/Star&gt;&lt;Tag&gt;0&lt;/Tag&gt;&lt;Author&gt;Thanapirom, K; Ridtitid, W; Rerknimitr, R; Thungsuk, R; Noophun, P; Wongjitrat, C; Luangjaru, S; Vedkijkul, P; Lertkupinit, C; Poonsab, S; Ratanachu-ek, T; Hansomburana, P; Pornthisarn, B; Thongbai, T; Mahachai, V; Treeprasertsuk, S&lt;/Author&gt;&lt;Year&gt;2016&lt;/Year&gt;&lt;Details&gt;&lt;_accession_num&gt;26514879&lt;/_accession_num&gt;&lt;_author_adr&gt;Division of Gastroenterology, Department of Medicine, Faculty of Medicine, Chulalongkorn University, King Chulalongkorn Memorial Hospital, Thai Red Cross Society, Bangkok, Thailand.; Division of Gastroenterology, Department of Medicine, Faculty of Medicine, Chulalongkorn University, King Chulalongkorn Memorial Hospital, Thai Red Cross Society, Bangkok, Thailand.; Division of Gastroenterology, Department of Medicine, Faculty of Medicine, Chulalongkorn University, King Chulalongkorn Memorial Hospital, Thai Red Cross Society, Bangkok, Thailand.; Division of Gastroenterology, Sawanpracharak Hospital, Nakhon Sawan, Thailand.; Division of Gastroenterology, Surin Hospital, Surin, Thailand.; Division of Gastroenterology, HRH Princess Maha Chakri Sirindhorn Medical Center-MSMC Hospital, Bangkok, Thailand.; Division of Gastroenterology, Maharat Nakhon Ratchasima Hospital, Nakhon Ratchasima, Thailand.; Division of Gastroenterology, Maharaj Nakhon Si Thammarat Hospital, Nakhon Si Thammarat, Thailand.; Division of Gastroenterology, Chonburi Hospital, Chonburi, Thailand.; Division of Gastroenterology, Bangkok Hospital, Bangkok, Thailand.; Department of Surgery, Rajavithi Hospital, Bangkok, Thailand.; Division of Gastroenterology, Rajavithi Hospital, Bangkok, Thailand.; Division of Gastroenterology, Department of Medicine, Faculty of Medicine, Thammasat University Hospital, Pathum Thani, Thailand.; Division of Gastroenterology, Bangkok Metropolitan Administration General Hospital, Bangkok, Thailand.; Division of Gastroenterology, Department of Medicine, Faculty of Medicine, Chulalongkorn University, King Chulalongkorn Memorial Hospital, Thai Red Cross Society, Bangkok, Thailand.; Division of Gastroenterology, Department of Medicine, Faculty of Medicine, Chulalongkorn University, King Chulalongkorn Memorial Hospital, Thai Red Cross Society, Bangkok, Thailand.&lt;/_author_adr&gt;&lt;_created&gt;62910365&lt;/_created&gt;&lt;_date&gt;2016-04-01&lt;/_date&gt;&lt;_date_display&gt;2016 Apr&lt;/_date_display&gt;&lt;_doi&gt;10.1111/jgh.13222&lt;/_doi&gt;&lt;_impact_factor&gt;   3.632&lt;/_impact_factor&gt;&lt;_isbn&gt;1440-1746 (Electronic); 0815-9319 (Linking)&lt;/_isbn&gt;&lt;_issue&gt;4&lt;/_issue&gt;&lt;_journal&gt;J Gastroenterol Hepatol&lt;/_journal&gt;&lt;_keywords&gt;Aged; Female; Forecasting; *Gastrointestinal Hemorrhage/mortality/therapy; Gastrointestinal Tract/*blood supply; Hospitalization; Humans; Male; Middle Aged; Prospective Studies; ROC Curve; Recurrence; Risk Assessment/*methods; Treatment Outcome; *Varicose Veins/mortality/therapyGlasgow-Blatchford bleeding score; Rockall score; accuracy; risk stratification; upper gastrointestinal bleeding&lt;/_keywords&gt;&lt;_language&gt;eng&lt;/_language&gt;&lt;_modified&gt;62910373&lt;/_modified&gt;&lt;_ori_publication&gt;(c) 2015 Journal of Gastroenterology and Hepatology Foundation and John Wiley &amp;amp;_x000d__x000a_      Sons Australia, Ltd.&lt;/_ori_publication&gt;&lt;_pages&gt;761-7&lt;/_pages&gt;&lt;_tertiary_title&gt;Journal of gastroenterology and hepatology&lt;/_tertiary_title&gt;&lt;_type_work&gt;Comparative Study; Journal Article; Research Support, Non-U.S. Gov&amp;apos;t&lt;/_type_work&gt;&lt;_url&gt;http://www.ncbi.nlm.nih.gov/entrez/query.fcgi?cmd=Retrieve&amp;amp;db=pubmed&amp;amp;dopt=Abstract&amp;amp;list_uids=26514879&amp;amp;query_hl=1&lt;/_url&gt;&lt;_volume&gt;31&lt;/_volume&gt;&lt;/Details&gt;&lt;Extra&gt;&lt;DBUID&gt;{67BC0B37-B4D5-4B86-84ED-0ACFEDDE9F20}&lt;/DBUID&gt;&lt;/Extra&gt;&lt;/Item&gt;&lt;/References&gt;&lt;/Group&gt;&lt;Group&gt;&lt;References&gt;&lt;Item&gt;&lt;ID&gt;21&lt;/ID&gt;&lt;UID&gt;{36B2B918-397B-454D-83A9-D5FDB98A0CA2}&lt;/UID&gt;&lt;Title&gt;Comparison of various prognostic scores in variceal and non-variceal upper gastrointestinal bleeding: A prospective cohort study&lt;/Title&gt;&lt;Template&gt;Journal Article&lt;/Template&gt;&lt;Star&gt;0&lt;/Star&gt;&lt;Tag&gt;0&lt;/Tag&gt;&lt;Author&gt;Rout, G; Sharma, S; Gunjan, D; Kedia, S; Nayak, B; Shalimar&lt;/Author&gt;&lt;Year&gt;2019&lt;/Year&gt;&lt;Details&gt;&lt;_accession_num&gt;30830583&lt;/_accession_num&gt;&lt;_author_adr&gt;Department of Gastroenterology, All India Institute of Medical Sciences, New Delhi, 110 049, India.; Department of Gastroenterology, All India Institute of Medical Sciences, New Delhi, 110 049, India.; Department of Gastroenterology, All India Institute of Medical Sciences, New Delhi, 110 049, India.; Department of Gastroenterology, All India Institute of Medical Sciences, New Delhi, 110 049, India.; Department of Gastroenterology, All India Institute of Medical Sciences, New Delhi, 110 049, India.; Department of Gastroenterology, All India Institute of Medical Sciences, New Delhi, 110 049, India. drshalimar@gmail.com.&lt;/_author_adr&gt;&lt;_created&gt;62910365&lt;/_created&gt;&lt;_date&gt;2019-04-01&lt;/_date&gt;&lt;_date_display&gt;2019 Apr&lt;/_date_display&gt;&lt;_doi&gt;10.1007/s12664-018-0928-8&lt;/_doi&gt;&lt;_isbn&gt;0975-0711 (Electronic); 0254-8860 (Linking)&lt;/_isbn&gt;&lt;_issue&gt;2&lt;/_issue&gt;&lt;_journal&gt;Indian J Gastroenterol&lt;/_journal&gt;&lt;_keywords&gt;*Endoscopy; *Gastrointestinal bleeding; *Mortality; *Prognostic score; *Rebleeding; *Ulcer&lt;/_keywords&gt;&lt;_language&gt;eng&lt;/_language&gt;&lt;_modified&gt;62910365&lt;/_modified&gt;&lt;_pages&gt;158-166&lt;/_pages&gt;&lt;_tertiary_title&gt;Indian journal of gastroenterology : official journal of the Indian Society of_x000d__x000a_      Gastroenterology&lt;/_tertiary_title&gt;&lt;_type_work&gt;Journal Article&lt;/_type_work&gt;&lt;_url&gt;http://www.ncbi.nlm.nih.gov/entrez/query.fcgi?cmd=Retrieve&amp;amp;db=pubmed&amp;amp;dopt=Abstract&amp;amp;list_uids=30830583&amp;amp;query_hl=1&lt;/_url&gt;&lt;_volume&gt;38&lt;/_volume&gt;&lt;/Details&gt;&lt;Extra&gt;&lt;DBUID&gt;{67BC0B37-B4D5-4B86-84ED-0ACFEDDE9F20}&lt;/DBUID&gt;&lt;/Extra&gt;&lt;/Item&gt;&lt;/References&gt;&lt;/Group&gt;&lt;/Citation&gt;_x000a_"/>
    <w:docVar w:name="ne_docsoft" w:val="MSWord"/>
    <w:docVar w:name="ne_docversion" w:val="NoteExpress 2.0"/>
    <w:docVar w:name="ne_stylename" w:val="WJG"/>
  </w:docVars>
  <w:rsids>
    <w:rsidRoot w:val="00F00940"/>
    <w:rsid w:val="0000080C"/>
    <w:rsid w:val="00000845"/>
    <w:rsid w:val="00006BE0"/>
    <w:rsid w:val="00007680"/>
    <w:rsid w:val="00007B84"/>
    <w:rsid w:val="00011088"/>
    <w:rsid w:val="00011751"/>
    <w:rsid w:val="00011BD6"/>
    <w:rsid w:val="00012D38"/>
    <w:rsid w:val="00013AAB"/>
    <w:rsid w:val="00014B4C"/>
    <w:rsid w:val="0001534B"/>
    <w:rsid w:val="00015BCB"/>
    <w:rsid w:val="00015D2A"/>
    <w:rsid w:val="000173DF"/>
    <w:rsid w:val="00021731"/>
    <w:rsid w:val="00021DD4"/>
    <w:rsid w:val="000232E0"/>
    <w:rsid w:val="00024393"/>
    <w:rsid w:val="00024A62"/>
    <w:rsid w:val="00024E4A"/>
    <w:rsid w:val="0002554B"/>
    <w:rsid w:val="0002666E"/>
    <w:rsid w:val="00026725"/>
    <w:rsid w:val="00030946"/>
    <w:rsid w:val="00030EE4"/>
    <w:rsid w:val="0003415C"/>
    <w:rsid w:val="00034689"/>
    <w:rsid w:val="000370DF"/>
    <w:rsid w:val="00037CA6"/>
    <w:rsid w:val="00041C2B"/>
    <w:rsid w:val="0004333E"/>
    <w:rsid w:val="000433E9"/>
    <w:rsid w:val="000437B1"/>
    <w:rsid w:val="00043A28"/>
    <w:rsid w:val="000507F2"/>
    <w:rsid w:val="00050991"/>
    <w:rsid w:val="00052985"/>
    <w:rsid w:val="00054144"/>
    <w:rsid w:val="00054213"/>
    <w:rsid w:val="000547AB"/>
    <w:rsid w:val="00055147"/>
    <w:rsid w:val="00056133"/>
    <w:rsid w:val="00057EB6"/>
    <w:rsid w:val="000612E0"/>
    <w:rsid w:val="000620D5"/>
    <w:rsid w:val="000627B9"/>
    <w:rsid w:val="00062BAD"/>
    <w:rsid w:val="00063EB8"/>
    <w:rsid w:val="0006467E"/>
    <w:rsid w:val="00064CAB"/>
    <w:rsid w:val="0006778E"/>
    <w:rsid w:val="00071814"/>
    <w:rsid w:val="00071BB3"/>
    <w:rsid w:val="000721E2"/>
    <w:rsid w:val="00073377"/>
    <w:rsid w:val="00074BA8"/>
    <w:rsid w:val="00075E76"/>
    <w:rsid w:val="000768B9"/>
    <w:rsid w:val="00076C4D"/>
    <w:rsid w:val="00080B1F"/>
    <w:rsid w:val="000821B1"/>
    <w:rsid w:val="000867DF"/>
    <w:rsid w:val="00087672"/>
    <w:rsid w:val="000903D0"/>
    <w:rsid w:val="00091329"/>
    <w:rsid w:val="00094B12"/>
    <w:rsid w:val="00095778"/>
    <w:rsid w:val="00095D44"/>
    <w:rsid w:val="000966FC"/>
    <w:rsid w:val="000967C9"/>
    <w:rsid w:val="000971DB"/>
    <w:rsid w:val="00097873"/>
    <w:rsid w:val="00097D36"/>
    <w:rsid w:val="000A085D"/>
    <w:rsid w:val="000A0B15"/>
    <w:rsid w:val="000A183A"/>
    <w:rsid w:val="000A2E6D"/>
    <w:rsid w:val="000A3FAB"/>
    <w:rsid w:val="000A644A"/>
    <w:rsid w:val="000A64A4"/>
    <w:rsid w:val="000A7DCE"/>
    <w:rsid w:val="000B21D0"/>
    <w:rsid w:val="000B2E5A"/>
    <w:rsid w:val="000B2EA0"/>
    <w:rsid w:val="000B45C7"/>
    <w:rsid w:val="000B543D"/>
    <w:rsid w:val="000B5F13"/>
    <w:rsid w:val="000B7773"/>
    <w:rsid w:val="000C09F8"/>
    <w:rsid w:val="000C1BB2"/>
    <w:rsid w:val="000C2541"/>
    <w:rsid w:val="000C4BE9"/>
    <w:rsid w:val="000D02C7"/>
    <w:rsid w:val="000D0DB8"/>
    <w:rsid w:val="000D1868"/>
    <w:rsid w:val="000D355C"/>
    <w:rsid w:val="000D405C"/>
    <w:rsid w:val="000D6394"/>
    <w:rsid w:val="000D663D"/>
    <w:rsid w:val="000E172F"/>
    <w:rsid w:val="000E17DC"/>
    <w:rsid w:val="000E202D"/>
    <w:rsid w:val="000E2978"/>
    <w:rsid w:val="000E2E05"/>
    <w:rsid w:val="000E30F3"/>
    <w:rsid w:val="000E4692"/>
    <w:rsid w:val="000E50D9"/>
    <w:rsid w:val="000E780C"/>
    <w:rsid w:val="000F00D4"/>
    <w:rsid w:val="000F0C67"/>
    <w:rsid w:val="000F0E6A"/>
    <w:rsid w:val="000F348F"/>
    <w:rsid w:val="000F5A38"/>
    <w:rsid w:val="000F5EF6"/>
    <w:rsid w:val="000F6F79"/>
    <w:rsid w:val="000F7592"/>
    <w:rsid w:val="00100565"/>
    <w:rsid w:val="00101470"/>
    <w:rsid w:val="0010181D"/>
    <w:rsid w:val="00104B11"/>
    <w:rsid w:val="00105D07"/>
    <w:rsid w:val="00107835"/>
    <w:rsid w:val="00111EE8"/>
    <w:rsid w:val="00113B05"/>
    <w:rsid w:val="0011446D"/>
    <w:rsid w:val="0011538A"/>
    <w:rsid w:val="00117538"/>
    <w:rsid w:val="001205F7"/>
    <w:rsid w:val="00121DF1"/>
    <w:rsid w:val="001227FE"/>
    <w:rsid w:val="00123259"/>
    <w:rsid w:val="00125677"/>
    <w:rsid w:val="00126FF5"/>
    <w:rsid w:val="00127372"/>
    <w:rsid w:val="00131806"/>
    <w:rsid w:val="00133786"/>
    <w:rsid w:val="00133BF9"/>
    <w:rsid w:val="00133EE9"/>
    <w:rsid w:val="00134272"/>
    <w:rsid w:val="001345D3"/>
    <w:rsid w:val="001356EC"/>
    <w:rsid w:val="001370AC"/>
    <w:rsid w:val="001409B2"/>
    <w:rsid w:val="00142622"/>
    <w:rsid w:val="00142DE0"/>
    <w:rsid w:val="00146161"/>
    <w:rsid w:val="00146FAB"/>
    <w:rsid w:val="00152862"/>
    <w:rsid w:val="00152943"/>
    <w:rsid w:val="00153E7E"/>
    <w:rsid w:val="00154224"/>
    <w:rsid w:val="001548B3"/>
    <w:rsid w:val="00154A04"/>
    <w:rsid w:val="00154C3D"/>
    <w:rsid w:val="00154F4F"/>
    <w:rsid w:val="00157507"/>
    <w:rsid w:val="00160837"/>
    <w:rsid w:val="00160C1E"/>
    <w:rsid w:val="00161D30"/>
    <w:rsid w:val="00166CA9"/>
    <w:rsid w:val="001670ED"/>
    <w:rsid w:val="001674CD"/>
    <w:rsid w:val="001703D4"/>
    <w:rsid w:val="00170B46"/>
    <w:rsid w:val="001710DC"/>
    <w:rsid w:val="001716E9"/>
    <w:rsid w:val="00171BD7"/>
    <w:rsid w:val="001744BF"/>
    <w:rsid w:val="00174E36"/>
    <w:rsid w:val="00175FA1"/>
    <w:rsid w:val="00176882"/>
    <w:rsid w:val="00177DDF"/>
    <w:rsid w:val="001815DB"/>
    <w:rsid w:val="00181D7B"/>
    <w:rsid w:val="001837CC"/>
    <w:rsid w:val="0018411B"/>
    <w:rsid w:val="00184B63"/>
    <w:rsid w:val="00185BA2"/>
    <w:rsid w:val="001860C2"/>
    <w:rsid w:val="00191234"/>
    <w:rsid w:val="00192A35"/>
    <w:rsid w:val="0019479A"/>
    <w:rsid w:val="00194805"/>
    <w:rsid w:val="00195416"/>
    <w:rsid w:val="00195C97"/>
    <w:rsid w:val="00197F10"/>
    <w:rsid w:val="001A42A6"/>
    <w:rsid w:val="001A5A83"/>
    <w:rsid w:val="001A73EA"/>
    <w:rsid w:val="001A7836"/>
    <w:rsid w:val="001A7E68"/>
    <w:rsid w:val="001B16AF"/>
    <w:rsid w:val="001B1DA7"/>
    <w:rsid w:val="001B2AA5"/>
    <w:rsid w:val="001B2CBF"/>
    <w:rsid w:val="001B453F"/>
    <w:rsid w:val="001B4BF7"/>
    <w:rsid w:val="001B6414"/>
    <w:rsid w:val="001C0B4E"/>
    <w:rsid w:val="001C0BDA"/>
    <w:rsid w:val="001C250E"/>
    <w:rsid w:val="001C253B"/>
    <w:rsid w:val="001C291F"/>
    <w:rsid w:val="001C49AE"/>
    <w:rsid w:val="001C65C5"/>
    <w:rsid w:val="001C6859"/>
    <w:rsid w:val="001C7A7B"/>
    <w:rsid w:val="001D1A16"/>
    <w:rsid w:val="001D1BD7"/>
    <w:rsid w:val="001D2ECC"/>
    <w:rsid w:val="001D3E31"/>
    <w:rsid w:val="001D6A23"/>
    <w:rsid w:val="001D6B23"/>
    <w:rsid w:val="001D6BF7"/>
    <w:rsid w:val="001E1107"/>
    <w:rsid w:val="001E1885"/>
    <w:rsid w:val="001E26AC"/>
    <w:rsid w:val="001E411E"/>
    <w:rsid w:val="001E52CE"/>
    <w:rsid w:val="001E5ED8"/>
    <w:rsid w:val="001E6994"/>
    <w:rsid w:val="001F1473"/>
    <w:rsid w:val="001F289A"/>
    <w:rsid w:val="001F28A9"/>
    <w:rsid w:val="001F4DFF"/>
    <w:rsid w:val="001F53C0"/>
    <w:rsid w:val="001F5486"/>
    <w:rsid w:val="001F63AE"/>
    <w:rsid w:val="001F6CB9"/>
    <w:rsid w:val="001F6FAD"/>
    <w:rsid w:val="001F7660"/>
    <w:rsid w:val="00201882"/>
    <w:rsid w:val="00202EDA"/>
    <w:rsid w:val="00204A7B"/>
    <w:rsid w:val="00204D0D"/>
    <w:rsid w:val="00205CD4"/>
    <w:rsid w:val="00210122"/>
    <w:rsid w:val="00210C10"/>
    <w:rsid w:val="00210D10"/>
    <w:rsid w:val="0021175D"/>
    <w:rsid w:val="00211CEC"/>
    <w:rsid w:val="00214721"/>
    <w:rsid w:val="0021477B"/>
    <w:rsid w:val="00214CA5"/>
    <w:rsid w:val="00216698"/>
    <w:rsid w:val="00216767"/>
    <w:rsid w:val="00216B36"/>
    <w:rsid w:val="002202F4"/>
    <w:rsid w:val="00221B3C"/>
    <w:rsid w:val="002227A5"/>
    <w:rsid w:val="00224E8E"/>
    <w:rsid w:val="00226716"/>
    <w:rsid w:val="0022673A"/>
    <w:rsid w:val="00230AFB"/>
    <w:rsid w:val="0023295F"/>
    <w:rsid w:val="00232D2E"/>
    <w:rsid w:val="00235187"/>
    <w:rsid w:val="0023540D"/>
    <w:rsid w:val="00236F65"/>
    <w:rsid w:val="00237AC4"/>
    <w:rsid w:val="0024022B"/>
    <w:rsid w:val="00240459"/>
    <w:rsid w:val="00240EDC"/>
    <w:rsid w:val="00241E1F"/>
    <w:rsid w:val="00243909"/>
    <w:rsid w:val="00243938"/>
    <w:rsid w:val="00243ED1"/>
    <w:rsid w:val="00243F31"/>
    <w:rsid w:val="00244071"/>
    <w:rsid w:val="00244B1F"/>
    <w:rsid w:val="00244D66"/>
    <w:rsid w:val="0024545D"/>
    <w:rsid w:val="00245617"/>
    <w:rsid w:val="00245CA5"/>
    <w:rsid w:val="00246C82"/>
    <w:rsid w:val="00246DAF"/>
    <w:rsid w:val="00251E81"/>
    <w:rsid w:val="002530A6"/>
    <w:rsid w:val="0025552C"/>
    <w:rsid w:val="00256266"/>
    <w:rsid w:val="00256759"/>
    <w:rsid w:val="00257C7A"/>
    <w:rsid w:val="00257D9C"/>
    <w:rsid w:val="0026122F"/>
    <w:rsid w:val="00261C56"/>
    <w:rsid w:val="00261C81"/>
    <w:rsid w:val="002639C5"/>
    <w:rsid w:val="00264C0A"/>
    <w:rsid w:val="00264FCF"/>
    <w:rsid w:val="002651A8"/>
    <w:rsid w:val="00265EB4"/>
    <w:rsid w:val="002667CE"/>
    <w:rsid w:val="002671B3"/>
    <w:rsid w:val="00267471"/>
    <w:rsid w:val="00267B76"/>
    <w:rsid w:val="00271CAE"/>
    <w:rsid w:val="00271D97"/>
    <w:rsid w:val="00272EBF"/>
    <w:rsid w:val="002742D1"/>
    <w:rsid w:val="002743ED"/>
    <w:rsid w:val="00275C38"/>
    <w:rsid w:val="00277C67"/>
    <w:rsid w:val="0028061A"/>
    <w:rsid w:val="00280C5A"/>
    <w:rsid w:val="00282D6D"/>
    <w:rsid w:val="002847D9"/>
    <w:rsid w:val="00286A9A"/>
    <w:rsid w:val="00290E33"/>
    <w:rsid w:val="00290E3B"/>
    <w:rsid w:val="0029267E"/>
    <w:rsid w:val="0029424C"/>
    <w:rsid w:val="00294D27"/>
    <w:rsid w:val="00295EB7"/>
    <w:rsid w:val="0029605D"/>
    <w:rsid w:val="002A0474"/>
    <w:rsid w:val="002A073B"/>
    <w:rsid w:val="002A1EEC"/>
    <w:rsid w:val="002A2132"/>
    <w:rsid w:val="002A2365"/>
    <w:rsid w:val="002A2A9C"/>
    <w:rsid w:val="002A2FAC"/>
    <w:rsid w:val="002A32F4"/>
    <w:rsid w:val="002A3B9F"/>
    <w:rsid w:val="002A3EBE"/>
    <w:rsid w:val="002A4793"/>
    <w:rsid w:val="002A47E2"/>
    <w:rsid w:val="002A517A"/>
    <w:rsid w:val="002A53BC"/>
    <w:rsid w:val="002A6A20"/>
    <w:rsid w:val="002B0268"/>
    <w:rsid w:val="002B12C0"/>
    <w:rsid w:val="002B2A31"/>
    <w:rsid w:val="002B4437"/>
    <w:rsid w:val="002B4936"/>
    <w:rsid w:val="002B510D"/>
    <w:rsid w:val="002B5DBF"/>
    <w:rsid w:val="002B6853"/>
    <w:rsid w:val="002B749B"/>
    <w:rsid w:val="002C036E"/>
    <w:rsid w:val="002C13F4"/>
    <w:rsid w:val="002C1EA8"/>
    <w:rsid w:val="002C1F2B"/>
    <w:rsid w:val="002C1FFD"/>
    <w:rsid w:val="002C20C9"/>
    <w:rsid w:val="002C4760"/>
    <w:rsid w:val="002C4808"/>
    <w:rsid w:val="002C4D7D"/>
    <w:rsid w:val="002C5D28"/>
    <w:rsid w:val="002C63AF"/>
    <w:rsid w:val="002C6A45"/>
    <w:rsid w:val="002C6AA7"/>
    <w:rsid w:val="002C769D"/>
    <w:rsid w:val="002D2CDF"/>
    <w:rsid w:val="002D5385"/>
    <w:rsid w:val="002D7160"/>
    <w:rsid w:val="002E1073"/>
    <w:rsid w:val="002E2368"/>
    <w:rsid w:val="002E2960"/>
    <w:rsid w:val="002E2A18"/>
    <w:rsid w:val="002E3683"/>
    <w:rsid w:val="002E3C96"/>
    <w:rsid w:val="002E5496"/>
    <w:rsid w:val="002E5940"/>
    <w:rsid w:val="002E7C47"/>
    <w:rsid w:val="002F0914"/>
    <w:rsid w:val="002F26C4"/>
    <w:rsid w:val="002F2C00"/>
    <w:rsid w:val="002F5C59"/>
    <w:rsid w:val="002F7B6B"/>
    <w:rsid w:val="00301A85"/>
    <w:rsid w:val="003029C4"/>
    <w:rsid w:val="0030382C"/>
    <w:rsid w:val="00304FC3"/>
    <w:rsid w:val="00305395"/>
    <w:rsid w:val="0030652E"/>
    <w:rsid w:val="0031010D"/>
    <w:rsid w:val="00310B3F"/>
    <w:rsid w:val="003131FF"/>
    <w:rsid w:val="0031389B"/>
    <w:rsid w:val="00320B39"/>
    <w:rsid w:val="00321144"/>
    <w:rsid w:val="003219F0"/>
    <w:rsid w:val="00322781"/>
    <w:rsid w:val="0032471A"/>
    <w:rsid w:val="00325546"/>
    <w:rsid w:val="00325783"/>
    <w:rsid w:val="00325D53"/>
    <w:rsid w:val="0032672D"/>
    <w:rsid w:val="00326F15"/>
    <w:rsid w:val="00330B8A"/>
    <w:rsid w:val="003319D5"/>
    <w:rsid w:val="003321D0"/>
    <w:rsid w:val="00333035"/>
    <w:rsid w:val="00335039"/>
    <w:rsid w:val="00337594"/>
    <w:rsid w:val="003415C2"/>
    <w:rsid w:val="003421E0"/>
    <w:rsid w:val="00342311"/>
    <w:rsid w:val="00342532"/>
    <w:rsid w:val="00342E04"/>
    <w:rsid w:val="00345391"/>
    <w:rsid w:val="00346311"/>
    <w:rsid w:val="0035106B"/>
    <w:rsid w:val="0035243D"/>
    <w:rsid w:val="00354234"/>
    <w:rsid w:val="0035431B"/>
    <w:rsid w:val="003551AA"/>
    <w:rsid w:val="00357524"/>
    <w:rsid w:val="00361ECB"/>
    <w:rsid w:val="0036356C"/>
    <w:rsid w:val="00363B63"/>
    <w:rsid w:val="00364128"/>
    <w:rsid w:val="00364DF1"/>
    <w:rsid w:val="003653D4"/>
    <w:rsid w:val="00367842"/>
    <w:rsid w:val="00367B50"/>
    <w:rsid w:val="003706ED"/>
    <w:rsid w:val="00370928"/>
    <w:rsid w:val="00370947"/>
    <w:rsid w:val="003739CD"/>
    <w:rsid w:val="00373A56"/>
    <w:rsid w:val="00373B11"/>
    <w:rsid w:val="00373E20"/>
    <w:rsid w:val="003746CE"/>
    <w:rsid w:val="00375041"/>
    <w:rsid w:val="00376911"/>
    <w:rsid w:val="00377294"/>
    <w:rsid w:val="003775B1"/>
    <w:rsid w:val="00377DA7"/>
    <w:rsid w:val="00382B75"/>
    <w:rsid w:val="003845B0"/>
    <w:rsid w:val="00384F25"/>
    <w:rsid w:val="00385473"/>
    <w:rsid w:val="003861AD"/>
    <w:rsid w:val="0038667B"/>
    <w:rsid w:val="00387356"/>
    <w:rsid w:val="00390D81"/>
    <w:rsid w:val="00390E1E"/>
    <w:rsid w:val="00391327"/>
    <w:rsid w:val="0039135B"/>
    <w:rsid w:val="00393C05"/>
    <w:rsid w:val="00397A53"/>
    <w:rsid w:val="00397AFE"/>
    <w:rsid w:val="003A274E"/>
    <w:rsid w:val="003A4E2D"/>
    <w:rsid w:val="003A6126"/>
    <w:rsid w:val="003A74F8"/>
    <w:rsid w:val="003B12F1"/>
    <w:rsid w:val="003B2F1D"/>
    <w:rsid w:val="003B4E02"/>
    <w:rsid w:val="003B61D7"/>
    <w:rsid w:val="003B6B0F"/>
    <w:rsid w:val="003B7BC9"/>
    <w:rsid w:val="003B7F7D"/>
    <w:rsid w:val="003C0199"/>
    <w:rsid w:val="003C1CD7"/>
    <w:rsid w:val="003C22F0"/>
    <w:rsid w:val="003C37B1"/>
    <w:rsid w:val="003C3E04"/>
    <w:rsid w:val="003C3EA9"/>
    <w:rsid w:val="003C4CCC"/>
    <w:rsid w:val="003C54BF"/>
    <w:rsid w:val="003C6BCD"/>
    <w:rsid w:val="003C6E9C"/>
    <w:rsid w:val="003D0058"/>
    <w:rsid w:val="003D0D44"/>
    <w:rsid w:val="003D14BF"/>
    <w:rsid w:val="003D20B0"/>
    <w:rsid w:val="003D292D"/>
    <w:rsid w:val="003D338D"/>
    <w:rsid w:val="003D39FB"/>
    <w:rsid w:val="003D44F5"/>
    <w:rsid w:val="003D4BAA"/>
    <w:rsid w:val="003D594D"/>
    <w:rsid w:val="003D6E7C"/>
    <w:rsid w:val="003D6E9C"/>
    <w:rsid w:val="003D7692"/>
    <w:rsid w:val="003E18A6"/>
    <w:rsid w:val="003E1DC6"/>
    <w:rsid w:val="003E20BA"/>
    <w:rsid w:val="003E3245"/>
    <w:rsid w:val="003E33E3"/>
    <w:rsid w:val="003E39B4"/>
    <w:rsid w:val="003E4A7C"/>
    <w:rsid w:val="003E5210"/>
    <w:rsid w:val="003E53B4"/>
    <w:rsid w:val="003E69F9"/>
    <w:rsid w:val="003E726D"/>
    <w:rsid w:val="003F1679"/>
    <w:rsid w:val="003F174B"/>
    <w:rsid w:val="003F2625"/>
    <w:rsid w:val="003F2689"/>
    <w:rsid w:val="003F27C3"/>
    <w:rsid w:val="003F6EEB"/>
    <w:rsid w:val="004023D0"/>
    <w:rsid w:val="00402D3D"/>
    <w:rsid w:val="00404CDB"/>
    <w:rsid w:val="0040698E"/>
    <w:rsid w:val="0040738D"/>
    <w:rsid w:val="0041048D"/>
    <w:rsid w:val="004104DF"/>
    <w:rsid w:val="00410AE7"/>
    <w:rsid w:val="004122A6"/>
    <w:rsid w:val="00413581"/>
    <w:rsid w:val="00413C6A"/>
    <w:rsid w:val="00414EA3"/>
    <w:rsid w:val="00416A80"/>
    <w:rsid w:val="004172C9"/>
    <w:rsid w:val="00420454"/>
    <w:rsid w:val="00420EED"/>
    <w:rsid w:val="00421896"/>
    <w:rsid w:val="00422C8B"/>
    <w:rsid w:val="00422EFA"/>
    <w:rsid w:val="004230D5"/>
    <w:rsid w:val="0042312C"/>
    <w:rsid w:val="00425BE9"/>
    <w:rsid w:val="00426105"/>
    <w:rsid w:val="00426367"/>
    <w:rsid w:val="004264B4"/>
    <w:rsid w:val="00426AF2"/>
    <w:rsid w:val="00426C8E"/>
    <w:rsid w:val="0043112D"/>
    <w:rsid w:val="004345C1"/>
    <w:rsid w:val="00440E26"/>
    <w:rsid w:val="00442F8C"/>
    <w:rsid w:val="00443A82"/>
    <w:rsid w:val="00443AC4"/>
    <w:rsid w:val="00443B9E"/>
    <w:rsid w:val="00443C80"/>
    <w:rsid w:val="0044729F"/>
    <w:rsid w:val="00452B8F"/>
    <w:rsid w:val="0045313D"/>
    <w:rsid w:val="00454036"/>
    <w:rsid w:val="004544A0"/>
    <w:rsid w:val="00457CC3"/>
    <w:rsid w:val="004613D6"/>
    <w:rsid w:val="00462FF9"/>
    <w:rsid w:val="00464361"/>
    <w:rsid w:val="004644A4"/>
    <w:rsid w:val="004668FD"/>
    <w:rsid w:val="00467C01"/>
    <w:rsid w:val="00467C91"/>
    <w:rsid w:val="0047031F"/>
    <w:rsid w:val="004704B4"/>
    <w:rsid w:val="00474E41"/>
    <w:rsid w:val="00475B23"/>
    <w:rsid w:val="00477932"/>
    <w:rsid w:val="00477E42"/>
    <w:rsid w:val="00480435"/>
    <w:rsid w:val="00481DE7"/>
    <w:rsid w:val="004820B0"/>
    <w:rsid w:val="0048281B"/>
    <w:rsid w:val="00483754"/>
    <w:rsid w:val="00484E98"/>
    <w:rsid w:val="00486038"/>
    <w:rsid w:val="00486A6F"/>
    <w:rsid w:val="00487100"/>
    <w:rsid w:val="00487E71"/>
    <w:rsid w:val="00487FF2"/>
    <w:rsid w:val="00490670"/>
    <w:rsid w:val="004922A9"/>
    <w:rsid w:val="004958EF"/>
    <w:rsid w:val="00497962"/>
    <w:rsid w:val="004A0F31"/>
    <w:rsid w:val="004A1F74"/>
    <w:rsid w:val="004A36FC"/>
    <w:rsid w:val="004A425C"/>
    <w:rsid w:val="004A4883"/>
    <w:rsid w:val="004A4A9D"/>
    <w:rsid w:val="004A66DB"/>
    <w:rsid w:val="004B03A4"/>
    <w:rsid w:val="004B0DA4"/>
    <w:rsid w:val="004B1CAE"/>
    <w:rsid w:val="004B2C10"/>
    <w:rsid w:val="004B404E"/>
    <w:rsid w:val="004B424F"/>
    <w:rsid w:val="004B44DE"/>
    <w:rsid w:val="004B46F2"/>
    <w:rsid w:val="004B4C35"/>
    <w:rsid w:val="004B60AE"/>
    <w:rsid w:val="004B6C95"/>
    <w:rsid w:val="004C056C"/>
    <w:rsid w:val="004C15FA"/>
    <w:rsid w:val="004C1992"/>
    <w:rsid w:val="004C1FD9"/>
    <w:rsid w:val="004C2688"/>
    <w:rsid w:val="004C4C38"/>
    <w:rsid w:val="004C7F34"/>
    <w:rsid w:val="004D0C7D"/>
    <w:rsid w:val="004D1C6D"/>
    <w:rsid w:val="004D2B76"/>
    <w:rsid w:val="004D2DC5"/>
    <w:rsid w:val="004D4CDE"/>
    <w:rsid w:val="004D5A4F"/>
    <w:rsid w:val="004D6EA5"/>
    <w:rsid w:val="004E08EE"/>
    <w:rsid w:val="004E133E"/>
    <w:rsid w:val="004E15ED"/>
    <w:rsid w:val="004E19DA"/>
    <w:rsid w:val="004E2B29"/>
    <w:rsid w:val="004E379E"/>
    <w:rsid w:val="004E3F62"/>
    <w:rsid w:val="004E6B9F"/>
    <w:rsid w:val="004E6D1E"/>
    <w:rsid w:val="004F009D"/>
    <w:rsid w:val="004F09B2"/>
    <w:rsid w:val="004F0A8D"/>
    <w:rsid w:val="004F11BF"/>
    <w:rsid w:val="004F12AE"/>
    <w:rsid w:val="004F12D2"/>
    <w:rsid w:val="004F1631"/>
    <w:rsid w:val="004F197D"/>
    <w:rsid w:val="004F2B20"/>
    <w:rsid w:val="004F2C44"/>
    <w:rsid w:val="004F36BB"/>
    <w:rsid w:val="004F40AF"/>
    <w:rsid w:val="004F485B"/>
    <w:rsid w:val="004F4925"/>
    <w:rsid w:val="004F4FEB"/>
    <w:rsid w:val="004F75AE"/>
    <w:rsid w:val="00500D10"/>
    <w:rsid w:val="00502FCB"/>
    <w:rsid w:val="00503CF7"/>
    <w:rsid w:val="00504ACE"/>
    <w:rsid w:val="00506E18"/>
    <w:rsid w:val="0050794D"/>
    <w:rsid w:val="00507D8B"/>
    <w:rsid w:val="00510F7E"/>
    <w:rsid w:val="00512EAA"/>
    <w:rsid w:val="00514167"/>
    <w:rsid w:val="00517E3B"/>
    <w:rsid w:val="00521323"/>
    <w:rsid w:val="005214DB"/>
    <w:rsid w:val="00521917"/>
    <w:rsid w:val="00522927"/>
    <w:rsid w:val="0052492E"/>
    <w:rsid w:val="00525E72"/>
    <w:rsid w:val="005279A9"/>
    <w:rsid w:val="00527B02"/>
    <w:rsid w:val="00530FA9"/>
    <w:rsid w:val="00532C65"/>
    <w:rsid w:val="00532ED5"/>
    <w:rsid w:val="00534C19"/>
    <w:rsid w:val="00535B41"/>
    <w:rsid w:val="00535D8C"/>
    <w:rsid w:val="005368F0"/>
    <w:rsid w:val="0053708C"/>
    <w:rsid w:val="0053792B"/>
    <w:rsid w:val="005379D5"/>
    <w:rsid w:val="00537D25"/>
    <w:rsid w:val="00540AA8"/>
    <w:rsid w:val="0054198E"/>
    <w:rsid w:val="00541D1F"/>
    <w:rsid w:val="00542AAA"/>
    <w:rsid w:val="0054316B"/>
    <w:rsid w:val="00544B85"/>
    <w:rsid w:val="0054571C"/>
    <w:rsid w:val="005508DB"/>
    <w:rsid w:val="00552C68"/>
    <w:rsid w:val="00553448"/>
    <w:rsid w:val="00553D54"/>
    <w:rsid w:val="00557491"/>
    <w:rsid w:val="00560402"/>
    <w:rsid w:val="00560907"/>
    <w:rsid w:val="00560CC8"/>
    <w:rsid w:val="005611FE"/>
    <w:rsid w:val="00563E82"/>
    <w:rsid w:val="005650DF"/>
    <w:rsid w:val="00565997"/>
    <w:rsid w:val="00567434"/>
    <w:rsid w:val="00567924"/>
    <w:rsid w:val="005702C0"/>
    <w:rsid w:val="00572F9B"/>
    <w:rsid w:val="00574964"/>
    <w:rsid w:val="00574B7F"/>
    <w:rsid w:val="00575B39"/>
    <w:rsid w:val="005775E3"/>
    <w:rsid w:val="00577A8B"/>
    <w:rsid w:val="0058109C"/>
    <w:rsid w:val="005831FA"/>
    <w:rsid w:val="00586681"/>
    <w:rsid w:val="00586F1F"/>
    <w:rsid w:val="0058710B"/>
    <w:rsid w:val="00587F0B"/>
    <w:rsid w:val="005910F2"/>
    <w:rsid w:val="005955CC"/>
    <w:rsid w:val="00597D9E"/>
    <w:rsid w:val="005A1066"/>
    <w:rsid w:val="005A7D41"/>
    <w:rsid w:val="005B032F"/>
    <w:rsid w:val="005B0F66"/>
    <w:rsid w:val="005B1A5B"/>
    <w:rsid w:val="005B1F35"/>
    <w:rsid w:val="005B51AC"/>
    <w:rsid w:val="005B72ED"/>
    <w:rsid w:val="005B7E7C"/>
    <w:rsid w:val="005C032A"/>
    <w:rsid w:val="005C10CC"/>
    <w:rsid w:val="005C172D"/>
    <w:rsid w:val="005C4D3F"/>
    <w:rsid w:val="005C4DC4"/>
    <w:rsid w:val="005C5112"/>
    <w:rsid w:val="005C5310"/>
    <w:rsid w:val="005C5B95"/>
    <w:rsid w:val="005C6093"/>
    <w:rsid w:val="005C65F9"/>
    <w:rsid w:val="005C697F"/>
    <w:rsid w:val="005C6D1A"/>
    <w:rsid w:val="005D6416"/>
    <w:rsid w:val="005D6F31"/>
    <w:rsid w:val="005D7082"/>
    <w:rsid w:val="005D74BB"/>
    <w:rsid w:val="005D7707"/>
    <w:rsid w:val="005E06A6"/>
    <w:rsid w:val="005E0748"/>
    <w:rsid w:val="005E09B9"/>
    <w:rsid w:val="005E1AA1"/>
    <w:rsid w:val="005E3436"/>
    <w:rsid w:val="005E4933"/>
    <w:rsid w:val="005E4A49"/>
    <w:rsid w:val="005E5509"/>
    <w:rsid w:val="005E57C4"/>
    <w:rsid w:val="005E5B14"/>
    <w:rsid w:val="005E667A"/>
    <w:rsid w:val="005E76C1"/>
    <w:rsid w:val="005F08C4"/>
    <w:rsid w:val="005F1EB0"/>
    <w:rsid w:val="005F2D65"/>
    <w:rsid w:val="005F2FD1"/>
    <w:rsid w:val="005F5BD7"/>
    <w:rsid w:val="005F5FE5"/>
    <w:rsid w:val="00601E83"/>
    <w:rsid w:val="00602804"/>
    <w:rsid w:val="00606A67"/>
    <w:rsid w:val="00607CB3"/>
    <w:rsid w:val="00611CCF"/>
    <w:rsid w:val="00614182"/>
    <w:rsid w:val="006162BB"/>
    <w:rsid w:val="0062277C"/>
    <w:rsid w:val="00626DBE"/>
    <w:rsid w:val="0062744A"/>
    <w:rsid w:val="00627833"/>
    <w:rsid w:val="00633094"/>
    <w:rsid w:val="00633167"/>
    <w:rsid w:val="00633CA1"/>
    <w:rsid w:val="00633F6E"/>
    <w:rsid w:val="00633FF8"/>
    <w:rsid w:val="00634681"/>
    <w:rsid w:val="00635234"/>
    <w:rsid w:val="006367C9"/>
    <w:rsid w:val="00637621"/>
    <w:rsid w:val="00640764"/>
    <w:rsid w:val="006417C7"/>
    <w:rsid w:val="00641F68"/>
    <w:rsid w:val="0064208F"/>
    <w:rsid w:val="006424FC"/>
    <w:rsid w:val="006426B1"/>
    <w:rsid w:val="00643012"/>
    <w:rsid w:val="00643FC5"/>
    <w:rsid w:val="00644EDE"/>
    <w:rsid w:val="0065007A"/>
    <w:rsid w:val="006513C7"/>
    <w:rsid w:val="00652573"/>
    <w:rsid w:val="006525D7"/>
    <w:rsid w:val="00654B3F"/>
    <w:rsid w:val="00654F79"/>
    <w:rsid w:val="006572BD"/>
    <w:rsid w:val="006615E4"/>
    <w:rsid w:val="00664BCF"/>
    <w:rsid w:val="00664E54"/>
    <w:rsid w:val="00664EBB"/>
    <w:rsid w:val="00664F87"/>
    <w:rsid w:val="00666B67"/>
    <w:rsid w:val="006678C6"/>
    <w:rsid w:val="00667A63"/>
    <w:rsid w:val="006705F7"/>
    <w:rsid w:val="0067155A"/>
    <w:rsid w:val="00671573"/>
    <w:rsid w:val="00672DE7"/>
    <w:rsid w:val="00673177"/>
    <w:rsid w:val="00673DE7"/>
    <w:rsid w:val="00674446"/>
    <w:rsid w:val="0067540D"/>
    <w:rsid w:val="00675872"/>
    <w:rsid w:val="00675944"/>
    <w:rsid w:val="00677030"/>
    <w:rsid w:val="0068174C"/>
    <w:rsid w:val="00683A6B"/>
    <w:rsid w:val="00683C85"/>
    <w:rsid w:val="006865EC"/>
    <w:rsid w:val="00686BD5"/>
    <w:rsid w:val="00686C1D"/>
    <w:rsid w:val="00691B1E"/>
    <w:rsid w:val="00692DF4"/>
    <w:rsid w:val="0069535C"/>
    <w:rsid w:val="00695D09"/>
    <w:rsid w:val="0069676A"/>
    <w:rsid w:val="0069754D"/>
    <w:rsid w:val="006A08B4"/>
    <w:rsid w:val="006A2F90"/>
    <w:rsid w:val="006A43A4"/>
    <w:rsid w:val="006A46E7"/>
    <w:rsid w:val="006A526A"/>
    <w:rsid w:val="006A56DF"/>
    <w:rsid w:val="006A5CFC"/>
    <w:rsid w:val="006A62C7"/>
    <w:rsid w:val="006A64F3"/>
    <w:rsid w:val="006A786B"/>
    <w:rsid w:val="006B0910"/>
    <w:rsid w:val="006B283A"/>
    <w:rsid w:val="006B347D"/>
    <w:rsid w:val="006B37A6"/>
    <w:rsid w:val="006B55B9"/>
    <w:rsid w:val="006B56A4"/>
    <w:rsid w:val="006B63D1"/>
    <w:rsid w:val="006C258F"/>
    <w:rsid w:val="006C26A6"/>
    <w:rsid w:val="006C2956"/>
    <w:rsid w:val="006C2CB0"/>
    <w:rsid w:val="006C59FB"/>
    <w:rsid w:val="006C6315"/>
    <w:rsid w:val="006C7C38"/>
    <w:rsid w:val="006D0196"/>
    <w:rsid w:val="006D0B91"/>
    <w:rsid w:val="006D24EF"/>
    <w:rsid w:val="006D3529"/>
    <w:rsid w:val="006D359B"/>
    <w:rsid w:val="006D3BED"/>
    <w:rsid w:val="006D5DFB"/>
    <w:rsid w:val="006D638E"/>
    <w:rsid w:val="006D741F"/>
    <w:rsid w:val="006D76AD"/>
    <w:rsid w:val="006E08B9"/>
    <w:rsid w:val="006E50EE"/>
    <w:rsid w:val="006E5E94"/>
    <w:rsid w:val="006E79AA"/>
    <w:rsid w:val="006F1053"/>
    <w:rsid w:val="006F132D"/>
    <w:rsid w:val="006F21F8"/>
    <w:rsid w:val="006F447C"/>
    <w:rsid w:val="006F5511"/>
    <w:rsid w:val="006F7524"/>
    <w:rsid w:val="006F7D94"/>
    <w:rsid w:val="0070004D"/>
    <w:rsid w:val="00700318"/>
    <w:rsid w:val="0070047F"/>
    <w:rsid w:val="00700796"/>
    <w:rsid w:val="00700FD5"/>
    <w:rsid w:val="007014FC"/>
    <w:rsid w:val="00701713"/>
    <w:rsid w:val="00701AD2"/>
    <w:rsid w:val="007020AE"/>
    <w:rsid w:val="007039D7"/>
    <w:rsid w:val="00703E06"/>
    <w:rsid w:val="0070486E"/>
    <w:rsid w:val="007049D8"/>
    <w:rsid w:val="007054BC"/>
    <w:rsid w:val="00706D3A"/>
    <w:rsid w:val="00710678"/>
    <w:rsid w:val="00711B2D"/>
    <w:rsid w:val="00712590"/>
    <w:rsid w:val="007125CB"/>
    <w:rsid w:val="007135FD"/>
    <w:rsid w:val="007149AD"/>
    <w:rsid w:val="00715242"/>
    <w:rsid w:val="00717537"/>
    <w:rsid w:val="00717C36"/>
    <w:rsid w:val="007222A2"/>
    <w:rsid w:val="00722F19"/>
    <w:rsid w:val="00730852"/>
    <w:rsid w:val="00730EAF"/>
    <w:rsid w:val="00731A48"/>
    <w:rsid w:val="007348FB"/>
    <w:rsid w:val="0073624D"/>
    <w:rsid w:val="007370C8"/>
    <w:rsid w:val="00740574"/>
    <w:rsid w:val="00742DF4"/>
    <w:rsid w:val="0074359B"/>
    <w:rsid w:val="00743BFC"/>
    <w:rsid w:val="007448DD"/>
    <w:rsid w:val="00745F7C"/>
    <w:rsid w:val="007463D7"/>
    <w:rsid w:val="007471C8"/>
    <w:rsid w:val="00747502"/>
    <w:rsid w:val="0075199E"/>
    <w:rsid w:val="0075256E"/>
    <w:rsid w:val="00752DEA"/>
    <w:rsid w:val="00755C4C"/>
    <w:rsid w:val="00757524"/>
    <w:rsid w:val="007654E1"/>
    <w:rsid w:val="00765586"/>
    <w:rsid w:val="00766D48"/>
    <w:rsid w:val="00766F62"/>
    <w:rsid w:val="00772683"/>
    <w:rsid w:val="0077300E"/>
    <w:rsid w:val="00774699"/>
    <w:rsid w:val="00782B58"/>
    <w:rsid w:val="0078490B"/>
    <w:rsid w:val="0078534D"/>
    <w:rsid w:val="0078579F"/>
    <w:rsid w:val="00786FBF"/>
    <w:rsid w:val="00787AE8"/>
    <w:rsid w:val="00790353"/>
    <w:rsid w:val="00790C27"/>
    <w:rsid w:val="00792AC0"/>
    <w:rsid w:val="00792DA7"/>
    <w:rsid w:val="00796074"/>
    <w:rsid w:val="00797C76"/>
    <w:rsid w:val="007A0C8D"/>
    <w:rsid w:val="007A131A"/>
    <w:rsid w:val="007A46EA"/>
    <w:rsid w:val="007A5903"/>
    <w:rsid w:val="007A5EDE"/>
    <w:rsid w:val="007B1604"/>
    <w:rsid w:val="007B24BF"/>
    <w:rsid w:val="007B2884"/>
    <w:rsid w:val="007B679F"/>
    <w:rsid w:val="007B6C76"/>
    <w:rsid w:val="007B7399"/>
    <w:rsid w:val="007B743E"/>
    <w:rsid w:val="007B7579"/>
    <w:rsid w:val="007B7F55"/>
    <w:rsid w:val="007C1485"/>
    <w:rsid w:val="007C1881"/>
    <w:rsid w:val="007C2596"/>
    <w:rsid w:val="007C2D72"/>
    <w:rsid w:val="007C4CC0"/>
    <w:rsid w:val="007C4CFD"/>
    <w:rsid w:val="007D0FFC"/>
    <w:rsid w:val="007D135E"/>
    <w:rsid w:val="007D1C50"/>
    <w:rsid w:val="007D260C"/>
    <w:rsid w:val="007D271B"/>
    <w:rsid w:val="007D28EB"/>
    <w:rsid w:val="007D2A67"/>
    <w:rsid w:val="007D2ED0"/>
    <w:rsid w:val="007D67CD"/>
    <w:rsid w:val="007D6D77"/>
    <w:rsid w:val="007D70DC"/>
    <w:rsid w:val="007D788C"/>
    <w:rsid w:val="007E0AD1"/>
    <w:rsid w:val="007E0E43"/>
    <w:rsid w:val="007E0E6F"/>
    <w:rsid w:val="007E122F"/>
    <w:rsid w:val="007E2D21"/>
    <w:rsid w:val="007E5462"/>
    <w:rsid w:val="007E5F0E"/>
    <w:rsid w:val="007E6693"/>
    <w:rsid w:val="007E6C80"/>
    <w:rsid w:val="007E73E7"/>
    <w:rsid w:val="007E755A"/>
    <w:rsid w:val="007E7A47"/>
    <w:rsid w:val="007F2303"/>
    <w:rsid w:val="007F24DF"/>
    <w:rsid w:val="007F50AB"/>
    <w:rsid w:val="007F5F8A"/>
    <w:rsid w:val="007F792B"/>
    <w:rsid w:val="007F7ABB"/>
    <w:rsid w:val="00800117"/>
    <w:rsid w:val="008017FD"/>
    <w:rsid w:val="00801BE7"/>
    <w:rsid w:val="00802E22"/>
    <w:rsid w:val="00803620"/>
    <w:rsid w:val="0080550D"/>
    <w:rsid w:val="00805CFE"/>
    <w:rsid w:val="00806294"/>
    <w:rsid w:val="00807815"/>
    <w:rsid w:val="00810353"/>
    <w:rsid w:val="00810583"/>
    <w:rsid w:val="00810BF4"/>
    <w:rsid w:val="0081348A"/>
    <w:rsid w:val="00814512"/>
    <w:rsid w:val="00814B30"/>
    <w:rsid w:val="0081780C"/>
    <w:rsid w:val="00817E55"/>
    <w:rsid w:val="00821918"/>
    <w:rsid w:val="008222DC"/>
    <w:rsid w:val="008230F9"/>
    <w:rsid w:val="008240F5"/>
    <w:rsid w:val="008242C2"/>
    <w:rsid w:val="00824F4A"/>
    <w:rsid w:val="00825C5E"/>
    <w:rsid w:val="00826163"/>
    <w:rsid w:val="00826A3C"/>
    <w:rsid w:val="00830CCF"/>
    <w:rsid w:val="0083132C"/>
    <w:rsid w:val="00835F4E"/>
    <w:rsid w:val="00836A43"/>
    <w:rsid w:val="008374EA"/>
    <w:rsid w:val="0083774E"/>
    <w:rsid w:val="00840B99"/>
    <w:rsid w:val="008412B9"/>
    <w:rsid w:val="00841E90"/>
    <w:rsid w:val="00842190"/>
    <w:rsid w:val="00842465"/>
    <w:rsid w:val="00843AAB"/>
    <w:rsid w:val="00843E9C"/>
    <w:rsid w:val="00847FCA"/>
    <w:rsid w:val="0085002A"/>
    <w:rsid w:val="008502F1"/>
    <w:rsid w:val="00851B0C"/>
    <w:rsid w:val="00851F70"/>
    <w:rsid w:val="008523C1"/>
    <w:rsid w:val="008527C2"/>
    <w:rsid w:val="00855787"/>
    <w:rsid w:val="0086123A"/>
    <w:rsid w:val="00861F2B"/>
    <w:rsid w:val="00862295"/>
    <w:rsid w:val="0086232A"/>
    <w:rsid w:val="00864E59"/>
    <w:rsid w:val="008670AE"/>
    <w:rsid w:val="00867C81"/>
    <w:rsid w:val="00870DCD"/>
    <w:rsid w:val="00871DF5"/>
    <w:rsid w:val="00871F96"/>
    <w:rsid w:val="00873244"/>
    <w:rsid w:val="00873753"/>
    <w:rsid w:val="00873ADD"/>
    <w:rsid w:val="00874390"/>
    <w:rsid w:val="0088090E"/>
    <w:rsid w:val="00881D34"/>
    <w:rsid w:val="00885E86"/>
    <w:rsid w:val="00886615"/>
    <w:rsid w:val="008866CA"/>
    <w:rsid w:val="00886A4E"/>
    <w:rsid w:val="00886E08"/>
    <w:rsid w:val="0088774C"/>
    <w:rsid w:val="008901B9"/>
    <w:rsid w:val="00890762"/>
    <w:rsid w:val="00890FB0"/>
    <w:rsid w:val="00892215"/>
    <w:rsid w:val="0089284F"/>
    <w:rsid w:val="00892B70"/>
    <w:rsid w:val="008934D6"/>
    <w:rsid w:val="00896BC0"/>
    <w:rsid w:val="00897A3E"/>
    <w:rsid w:val="008A00A2"/>
    <w:rsid w:val="008A0CBA"/>
    <w:rsid w:val="008A0E29"/>
    <w:rsid w:val="008A24F3"/>
    <w:rsid w:val="008A2CE0"/>
    <w:rsid w:val="008A3349"/>
    <w:rsid w:val="008A652A"/>
    <w:rsid w:val="008A65A7"/>
    <w:rsid w:val="008A6FA9"/>
    <w:rsid w:val="008A737F"/>
    <w:rsid w:val="008B03BF"/>
    <w:rsid w:val="008B1029"/>
    <w:rsid w:val="008B1AEB"/>
    <w:rsid w:val="008B2757"/>
    <w:rsid w:val="008B2A48"/>
    <w:rsid w:val="008B346D"/>
    <w:rsid w:val="008B3B63"/>
    <w:rsid w:val="008B40E1"/>
    <w:rsid w:val="008B59DE"/>
    <w:rsid w:val="008B5EE3"/>
    <w:rsid w:val="008B7316"/>
    <w:rsid w:val="008B7B91"/>
    <w:rsid w:val="008B7E12"/>
    <w:rsid w:val="008C3BB9"/>
    <w:rsid w:val="008C45D9"/>
    <w:rsid w:val="008C4E86"/>
    <w:rsid w:val="008C53D4"/>
    <w:rsid w:val="008C5777"/>
    <w:rsid w:val="008D1083"/>
    <w:rsid w:val="008D16DE"/>
    <w:rsid w:val="008D3614"/>
    <w:rsid w:val="008D574F"/>
    <w:rsid w:val="008D5F10"/>
    <w:rsid w:val="008D6C7A"/>
    <w:rsid w:val="008E0CD2"/>
    <w:rsid w:val="008E301C"/>
    <w:rsid w:val="008E4A18"/>
    <w:rsid w:val="008E53EF"/>
    <w:rsid w:val="008E6799"/>
    <w:rsid w:val="008E7D84"/>
    <w:rsid w:val="008F0AE2"/>
    <w:rsid w:val="008F0C73"/>
    <w:rsid w:val="008F1032"/>
    <w:rsid w:val="008F18D6"/>
    <w:rsid w:val="008F1C35"/>
    <w:rsid w:val="008F3E95"/>
    <w:rsid w:val="008F4FC2"/>
    <w:rsid w:val="008F52C6"/>
    <w:rsid w:val="008F7F2A"/>
    <w:rsid w:val="00900532"/>
    <w:rsid w:val="009007B7"/>
    <w:rsid w:val="0090269E"/>
    <w:rsid w:val="00902CB1"/>
    <w:rsid w:val="0090485F"/>
    <w:rsid w:val="00905E62"/>
    <w:rsid w:val="009061D8"/>
    <w:rsid w:val="009107A3"/>
    <w:rsid w:val="00911268"/>
    <w:rsid w:val="00912283"/>
    <w:rsid w:val="009126B4"/>
    <w:rsid w:val="00912DC5"/>
    <w:rsid w:val="00912EB7"/>
    <w:rsid w:val="00912ED1"/>
    <w:rsid w:val="009135E7"/>
    <w:rsid w:val="0091360F"/>
    <w:rsid w:val="0091413C"/>
    <w:rsid w:val="009142F8"/>
    <w:rsid w:val="0091574D"/>
    <w:rsid w:val="0091741B"/>
    <w:rsid w:val="00921906"/>
    <w:rsid w:val="00922091"/>
    <w:rsid w:val="00923319"/>
    <w:rsid w:val="00923588"/>
    <w:rsid w:val="009239FD"/>
    <w:rsid w:val="00923BD4"/>
    <w:rsid w:val="00926CD7"/>
    <w:rsid w:val="0093071D"/>
    <w:rsid w:val="00931575"/>
    <w:rsid w:val="0093162B"/>
    <w:rsid w:val="00931B24"/>
    <w:rsid w:val="0093255B"/>
    <w:rsid w:val="00933C5C"/>
    <w:rsid w:val="009346DE"/>
    <w:rsid w:val="0094365C"/>
    <w:rsid w:val="00943ED8"/>
    <w:rsid w:val="00945C94"/>
    <w:rsid w:val="00945E45"/>
    <w:rsid w:val="00946214"/>
    <w:rsid w:val="00947A4A"/>
    <w:rsid w:val="009508FD"/>
    <w:rsid w:val="00953A7E"/>
    <w:rsid w:val="00954236"/>
    <w:rsid w:val="0095552F"/>
    <w:rsid w:val="00956B1C"/>
    <w:rsid w:val="00957ECB"/>
    <w:rsid w:val="009600E7"/>
    <w:rsid w:val="0096059C"/>
    <w:rsid w:val="00960ED5"/>
    <w:rsid w:val="00961164"/>
    <w:rsid w:val="0096140F"/>
    <w:rsid w:val="00962A01"/>
    <w:rsid w:val="0096347A"/>
    <w:rsid w:val="009649AF"/>
    <w:rsid w:val="009649D1"/>
    <w:rsid w:val="00965708"/>
    <w:rsid w:val="00966CF6"/>
    <w:rsid w:val="00967854"/>
    <w:rsid w:val="009702F0"/>
    <w:rsid w:val="0097229F"/>
    <w:rsid w:val="00973139"/>
    <w:rsid w:val="0097412D"/>
    <w:rsid w:val="00977229"/>
    <w:rsid w:val="009775A6"/>
    <w:rsid w:val="0098089D"/>
    <w:rsid w:val="00980C54"/>
    <w:rsid w:val="00981239"/>
    <w:rsid w:val="0098169D"/>
    <w:rsid w:val="0098502C"/>
    <w:rsid w:val="00987D81"/>
    <w:rsid w:val="00990992"/>
    <w:rsid w:val="009909E7"/>
    <w:rsid w:val="009912E7"/>
    <w:rsid w:val="00991529"/>
    <w:rsid w:val="00991DA4"/>
    <w:rsid w:val="00992415"/>
    <w:rsid w:val="00992B82"/>
    <w:rsid w:val="009933D2"/>
    <w:rsid w:val="00993411"/>
    <w:rsid w:val="00993B50"/>
    <w:rsid w:val="00993C14"/>
    <w:rsid w:val="00995D6D"/>
    <w:rsid w:val="009969E9"/>
    <w:rsid w:val="009979DC"/>
    <w:rsid w:val="00997B1F"/>
    <w:rsid w:val="009A017A"/>
    <w:rsid w:val="009A04D7"/>
    <w:rsid w:val="009A1191"/>
    <w:rsid w:val="009A147B"/>
    <w:rsid w:val="009A3CED"/>
    <w:rsid w:val="009A5265"/>
    <w:rsid w:val="009A526B"/>
    <w:rsid w:val="009A551D"/>
    <w:rsid w:val="009A6022"/>
    <w:rsid w:val="009A63E2"/>
    <w:rsid w:val="009A6A40"/>
    <w:rsid w:val="009A736A"/>
    <w:rsid w:val="009A7491"/>
    <w:rsid w:val="009B2DE5"/>
    <w:rsid w:val="009B4A3B"/>
    <w:rsid w:val="009B6E95"/>
    <w:rsid w:val="009C0A7A"/>
    <w:rsid w:val="009C0BB0"/>
    <w:rsid w:val="009C1791"/>
    <w:rsid w:val="009C2049"/>
    <w:rsid w:val="009C2749"/>
    <w:rsid w:val="009D1B0B"/>
    <w:rsid w:val="009D3525"/>
    <w:rsid w:val="009D3E91"/>
    <w:rsid w:val="009D5664"/>
    <w:rsid w:val="009D5DD8"/>
    <w:rsid w:val="009D5F10"/>
    <w:rsid w:val="009D74A5"/>
    <w:rsid w:val="009E0168"/>
    <w:rsid w:val="009E13C4"/>
    <w:rsid w:val="009E1611"/>
    <w:rsid w:val="009E16B1"/>
    <w:rsid w:val="009E2181"/>
    <w:rsid w:val="009E2C35"/>
    <w:rsid w:val="009E3C78"/>
    <w:rsid w:val="009E4105"/>
    <w:rsid w:val="009E51EE"/>
    <w:rsid w:val="009E6ED7"/>
    <w:rsid w:val="009F042D"/>
    <w:rsid w:val="009F0504"/>
    <w:rsid w:val="009F0BA8"/>
    <w:rsid w:val="009F0DCB"/>
    <w:rsid w:val="009F1A78"/>
    <w:rsid w:val="009F24E4"/>
    <w:rsid w:val="009F3A1F"/>
    <w:rsid w:val="009F3B6C"/>
    <w:rsid w:val="009F74DF"/>
    <w:rsid w:val="00A00D01"/>
    <w:rsid w:val="00A11530"/>
    <w:rsid w:val="00A12A1F"/>
    <w:rsid w:val="00A138DF"/>
    <w:rsid w:val="00A13CF3"/>
    <w:rsid w:val="00A14233"/>
    <w:rsid w:val="00A14328"/>
    <w:rsid w:val="00A1535A"/>
    <w:rsid w:val="00A16418"/>
    <w:rsid w:val="00A16F3E"/>
    <w:rsid w:val="00A17D73"/>
    <w:rsid w:val="00A20241"/>
    <w:rsid w:val="00A20559"/>
    <w:rsid w:val="00A219A4"/>
    <w:rsid w:val="00A21CA1"/>
    <w:rsid w:val="00A22147"/>
    <w:rsid w:val="00A251EE"/>
    <w:rsid w:val="00A25A75"/>
    <w:rsid w:val="00A26F45"/>
    <w:rsid w:val="00A308E4"/>
    <w:rsid w:val="00A34979"/>
    <w:rsid w:val="00A34C31"/>
    <w:rsid w:val="00A35D11"/>
    <w:rsid w:val="00A3741F"/>
    <w:rsid w:val="00A37A79"/>
    <w:rsid w:val="00A37A92"/>
    <w:rsid w:val="00A4047B"/>
    <w:rsid w:val="00A41455"/>
    <w:rsid w:val="00A41B0A"/>
    <w:rsid w:val="00A43882"/>
    <w:rsid w:val="00A43FF8"/>
    <w:rsid w:val="00A47451"/>
    <w:rsid w:val="00A500E1"/>
    <w:rsid w:val="00A50ED1"/>
    <w:rsid w:val="00A51DFF"/>
    <w:rsid w:val="00A52A65"/>
    <w:rsid w:val="00A52A9F"/>
    <w:rsid w:val="00A54A11"/>
    <w:rsid w:val="00A54FCD"/>
    <w:rsid w:val="00A56E2B"/>
    <w:rsid w:val="00A5717C"/>
    <w:rsid w:val="00A577A5"/>
    <w:rsid w:val="00A5782C"/>
    <w:rsid w:val="00A617B1"/>
    <w:rsid w:val="00A64232"/>
    <w:rsid w:val="00A653E4"/>
    <w:rsid w:val="00A65752"/>
    <w:rsid w:val="00A65B61"/>
    <w:rsid w:val="00A71691"/>
    <w:rsid w:val="00A75986"/>
    <w:rsid w:val="00A764CB"/>
    <w:rsid w:val="00A7758A"/>
    <w:rsid w:val="00A77D77"/>
    <w:rsid w:val="00A839D5"/>
    <w:rsid w:val="00A8542F"/>
    <w:rsid w:val="00A8583B"/>
    <w:rsid w:val="00A860AB"/>
    <w:rsid w:val="00A862CF"/>
    <w:rsid w:val="00A866B3"/>
    <w:rsid w:val="00A86B08"/>
    <w:rsid w:val="00A904AC"/>
    <w:rsid w:val="00A90737"/>
    <w:rsid w:val="00A92263"/>
    <w:rsid w:val="00A924C1"/>
    <w:rsid w:val="00A93303"/>
    <w:rsid w:val="00A9540D"/>
    <w:rsid w:val="00AA326E"/>
    <w:rsid w:val="00AA48D0"/>
    <w:rsid w:val="00AA555B"/>
    <w:rsid w:val="00AA574E"/>
    <w:rsid w:val="00AA78EF"/>
    <w:rsid w:val="00AA7A78"/>
    <w:rsid w:val="00AA7F56"/>
    <w:rsid w:val="00AB0AC8"/>
    <w:rsid w:val="00AB0ADA"/>
    <w:rsid w:val="00AB2B63"/>
    <w:rsid w:val="00AB2C09"/>
    <w:rsid w:val="00AB3266"/>
    <w:rsid w:val="00AB3CC8"/>
    <w:rsid w:val="00AB414F"/>
    <w:rsid w:val="00AB41F3"/>
    <w:rsid w:val="00AB61C1"/>
    <w:rsid w:val="00AC2237"/>
    <w:rsid w:val="00AC2B67"/>
    <w:rsid w:val="00AC3ACD"/>
    <w:rsid w:val="00AC3D79"/>
    <w:rsid w:val="00AC5546"/>
    <w:rsid w:val="00AD10F9"/>
    <w:rsid w:val="00AD18E1"/>
    <w:rsid w:val="00AD304B"/>
    <w:rsid w:val="00AD3174"/>
    <w:rsid w:val="00AD4B10"/>
    <w:rsid w:val="00AD6129"/>
    <w:rsid w:val="00AD623B"/>
    <w:rsid w:val="00AD69FF"/>
    <w:rsid w:val="00AE0FB0"/>
    <w:rsid w:val="00AE12F0"/>
    <w:rsid w:val="00AE2454"/>
    <w:rsid w:val="00AE2576"/>
    <w:rsid w:val="00AE3EF4"/>
    <w:rsid w:val="00AE5CBE"/>
    <w:rsid w:val="00AE6C01"/>
    <w:rsid w:val="00AE6D42"/>
    <w:rsid w:val="00AE7C25"/>
    <w:rsid w:val="00AF0754"/>
    <w:rsid w:val="00AF0B6F"/>
    <w:rsid w:val="00AF3C5D"/>
    <w:rsid w:val="00AF47ED"/>
    <w:rsid w:val="00AF51C2"/>
    <w:rsid w:val="00AF584D"/>
    <w:rsid w:val="00B01720"/>
    <w:rsid w:val="00B044AB"/>
    <w:rsid w:val="00B04BD9"/>
    <w:rsid w:val="00B0609F"/>
    <w:rsid w:val="00B061B2"/>
    <w:rsid w:val="00B079BC"/>
    <w:rsid w:val="00B07FF0"/>
    <w:rsid w:val="00B140FE"/>
    <w:rsid w:val="00B15BC7"/>
    <w:rsid w:val="00B1611B"/>
    <w:rsid w:val="00B162FA"/>
    <w:rsid w:val="00B16620"/>
    <w:rsid w:val="00B17083"/>
    <w:rsid w:val="00B17E87"/>
    <w:rsid w:val="00B2010D"/>
    <w:rsid w:val="00B20E3E"/>
    <w:rsid w:val="00B21FD6"/>
    <w:rsid w:val="00B23DB9"/>
    <w:rsid w:val="00B25377"/>
    <w:rsid w:val="00B2610C"/>
    <w:rsid w:val="00B26F6B"/>
    <w:rsid w:val="00B26F7C"/>
    <w:rsid w:val="00B30036"/>
    <w:rsid w:val="00B30226"/>
    <w:rsid w:val="00B32063"/>
    <w:rsid w:val="00B32FC5"/>
    <w:rsid w:val="00B34D2F"/>
    <w:rsid w:val="00B35F2C"/>
    <w:rsid w:val="00B3686F"/>
    <w:rsid w:val="00B4021C"/>
    <w:rsid w:val="00B40CE6"/>
    <w:rsid w:val="00B40E71"/>
    <w:rsid w:val="00B419CD"/>
    <w:rsid w:val="00B4314F"/>
    <w:rsid w:val="00B47D13"/>
    <w:rsid w:val="00B514BF"/>
    <w:rsid w:val="00B528FA"/>
    <w:rsid w:val="00B533FC"/>
    <w:rsid w:val="00B53B91"/>
    <w:rsid w:val="00B5423C"/>
    <w:rsid w:val="00B54A5C"/>
    <w:rsid w:val="00B5557B"/>
    <w:rsid w:val="00B56C63"/>
    <w:rsid w:val="00B57FD7"/>
    <w:rsid w:val="00B622CB"/>
    <w:rsid w:val="00B6294D"/>
    <w:rsid w:val="00B64273"/>
    <w:rsid w:val="00B64F91"/>
    <w:rsid w:val="00B65292"/>
    <w:rsid w:val="00B70BB6"/>
    <w:rsid w:val="00B72A49"/>
    <w:rsid w:val="00B7748D"/>
    <w:rsid w:val="00B80C09"/>
    <w:rsid w:val="00B813C9"/>
    <w:rsid w:val="00B820B5"/>
    <w:rsid w:val="00B82227"/>
    <w:rsid w:val="00B827E2"/>
    <w:rsid w:val="00B83FA1"/>
    <w:rsid w:val="00B84308"/>
    <w:rsid w:val="00B844C1"/>
    <w:rsid w:val="00B858B4"/>
    <w:rsid w:val="00B86D7E"/>
    <w:rsid w:val="00B86E04"/>
    <w:rsid w:val="00B87256"/>
    <w:rsid w:val="00B872D6"/>
    <w:rsid w:val="00B93962"/>
    <w:rsid w:val="00B9439A"/>
    <w:rsid w:val="00B946DC"/>
    <w:rsid w:val="00B9470C"/>
    <w:rsid w:val="00B953E1"/>
    <w:rsid w:val="00B9630E"/>
    <w:rsid w:val="00B96E2F"/>
    <w:rsid w:val="00B97326"/>
    <w:rsid w:val="00BA09DD"/>
    <w:rsid w:val="00BA250A"/>
    <w:rsid w:val="00BA2927"/>
    <w:rsid w:val="00BA30E9"/>
    <w:rsid w:val="00BA44A0"/>
    <w:rsid w:val="00BA5AAE"/>
    <w:rsid w:val="00BA5E41"/>
    <w:rsid w:val="00BA7F64"/>
    <w:rsid w:val="00BB01BA"/>
    <w:rsid w:val="00BB0DC0"/>
    <w:rsid w:val="00BB1DC7"/>
    <w:rsid w:val="00BB4050"/>
    <w:rsid w:val="00BB5F07"/>
    <w:rsid w:val="00BB6D59"/>
    <w:rsid w:val="00BC12FC"/>
    <w:rsid w:val="00BC26A2"/>
    <w:rsid w:val="00BC3B7F"/>
    <w:rsid w:val="00BC429B"/>
    <w:rsid w:val="00BC4CA2"/>
    <w:rsid w:val="00BC4CD9"/>
    <w:rsid w:val="00BC565A"/>
    <w:rsid w:val="00BC574A"/>
    <w:rsid w:val="00BC5D81"/>
    <w:rsid w:val="00BC65B7"/>
    <w:rsid w:val="00BC66E0"/>
    <w:rsid w:val="00BC7FAE"/>
    <w:rsid w:val="00BD2430"/>
    <w:rsid w:val="00BD2AA0"/>
    <w:rsid w:val="00BD3992"/>
    <w:rsid w:val="00BD3C6A"/>
    <w:rsid w:val="00BD4007"/>
    <w:rsid w:val="00BD5E74"/>
    <w:rsid w:val="00BD6511"/>
    <w:rsid w:val="00BD673F"/>
    <w:rsid w:val="00BD6C52"/>
    <w:rsid w:val="00BE155C"/>
    <w:rsid w:val="00BE4D9A"/>
    <w:rsid w:val="00BE5776"/>
    <w:rsid w:val="00BE57F3"/>
    <w:rsid w:val="00BE66FF"/>
    <w:rsid w:val="00BF481C"/>
    <w:rsid w:val="00BF4F78"/>
    <w:rsid w:val="00BF5D8E"/>
    <w:rsid w:val="00BF6B03"/>
    <w:rsid w:val="00C0201C"/>
    <w:rsid w:val="00C02798"/>
    <w:rsid w:val="00C0283E"/>
    <w:rsid w:val="00C02A9F"/>
    <w:rsid w:val="00C04581"/>
    <w:rsid w:val="00C05F51"/>
    <w:rsid w:val="00C06C13"/>
    <w:rsid w:val="00C10DFD"/>
    <w:rsid w:val="00C1142F"/>
    <w:rsid w:val="00C12FEE"/>
    <w:rsid w:val="00C1434A"/>
    <w:rsid w:val="00C145A8"/>
    <w:rsid w:val="00C14A83"/>
    <w:rsid w:val="00C1550A"/>
    <w:rsid w:val="00C15EAE"/>
    <w:rsid w:val="00C16521"/>
    <w:rsid w:val="00C20F1F"/>
    <w:rsid w:val="00C215B6"/>
    <w:rsid w:val="00C21ACF"/>
    <w:rsid w:val="00C2285F"/>
    <w:rsid w:val="00C23748"/>
    <w:rsid w:val="00C23A5F"/>
    <w:rsid w:val="00C23AE8"/>
    <w:rsid w:val="00C25227"/>
    <w:rsid w:val="00C2541C"/>
    <w:rsid w:val="00C25A57"/>
    <w:rsid w:val="00C2604F"/>
    <w:rsid w:val="00C26FFC"/>
    <w:rsid w:val="00C270BF"/>
    <w:rsid w:val="00C3107A"/>
    <w:rsid w:val="00C31252"/>
    <w:rsid w:val="00C33A4A"/>
    <w:rsid w:val="00C341F2"/>
    <w:rsid w:val="00C34360"/>
    <w:rsid w:val="00C34D55"/>
    <w:rsid w:val="00C350C3"/>
    <w:rsid w:val="00C35A04"/>
    <w:rsid w:val="00C3780F"/>
    <w:rsid w:val="00C4032D"/>
    <w:rsid w:val="00C4156D"/>
    <w:rsid w:val="00C43F5F"/>
    <w:rsid w:val="00C448A6"/>
    <w:rsid w:val="00C45555"/>
    <w:rsid w:val="00C45DB1"/>
    <w:rsid w:val="00C462ED"/>
    <w:rsid w:val="00C5108F"/>
    <w:rsid w:val="00C512DE"/>
    <w:rsid w:val="00C52856"/>
    <w:rsid w:val="00C53B9A"/>
    <w:rsid w:val="00C56D6F"/>
    <w:rsid w:val="00C571C4"/>
    <w:rsid w:val="00C60C45"/>
    <w:rsid w:val="00C61148"/>
    <w:rsid w:val="00C62005"/>
    <w:rsid w:val="00C64A3C"/>
    <w:rsid w:val="00C66886"/>
    <w:rsid w:val="00C67DB5"/>
    <w:rsid w:val="00C67EB9"/>
    <w:rsid w:val="00C70DC4"/>
    <w:rsid w:val="00C71241"/>
    <w:rsid w:val="00C72DF6"/>
    <w:rsid w:val="00C7305D"/>
    <w:rsid w:val="00C740BF"/>
    <w:rsid w:val="00C743E3"/>
    <w:rsid w:val="00C745B2"/>
    <w:rsid w:val="00C75B8F"/>
    <w:rsid w:val="00C7661C"/>
    <w:rsid w:val="00C77B13"/>
    <w:rsid w:val="00C80D3B"/>
    <w:rsid w:val="00C821E5"/>
    <w:rsid w:val="00C84243"/>
    <w:rsid w:val="00C84437"/>
    <w:rsid w:val="00C84A94"/>
    <w:rsid w:val="00C861E3"/>
    <w:rsid w:val="00C87775"/>
    <w:rsid w:val="00C912F9"/>
    <w:rsid w:val="00C91C3C"/>
    <w:rsid w:val="00C9271D"/>
    <w:rsid w:val="00C934FE"/>
    <w:rsid w:val="00C93676"/>
    <w:rsid w:val="00C95283"/>
    <w:rsid w:val="00C953F8"/>
    <w:rsid w:val="00C95B1E"/>
    <w:rsid w:val="00C963BE"/>
    <w:rsid w:val="00C96C68"/>
    <w:rsid w:val="00CA4361"/>
    <w:rsid w:val="00CA52FE"/>
    <w:rsid w:val="00CA5B18"/>
    <w:rsid w:val="00CA5B25"/>
    <w:rsid w:val="00CA6349"/>
    <w:rsid w:val="00CA64AD"/>
    <w:rsid w:val="00CA75CA"/>
    <w:rsid w:val="00CA7819"/>
    <w:rsid w:val="00CB10FF"/>
    <w:rsid w:val="00CB292E"/>
    <w:rsid w:val="00CB2C5A"/>
    <w:rsid w:val="00CB40E4"/>
    <w:rsid w:val="00CB4B20"/>
    <w:rsid w:val="00CB5545"/>
    <w:rsid w:val="00CB696C"/>
    <w:rsid w:val="00CC0670"/>
    <w:rsid w:val="00CC0E53"/>
    <w:rsid w:val="00CC196D"/>
    <w:rsid w:val="00CC197E"/>
    <w:rsid w:val="00CC1F1D"/>
    <w:rsid w:val="00CC2B43"/>
    <w:rsid w:val="00CC2F9E"/>
    <w:rsid w:val="00CC3697"/>
    <w:rsid w:val="00CC3DDC"/>
    <w:rsid w:val="00CC3EFC"/>
    <w:rsid w:val="00CC5C54"/>
    <w:rsid w:val="00CC68B5"/>
    <w:rsid w:val="00CD0137"/>
    <w:rsid w:val="00CD0CE0"/>
    <w:rsid w:val="00CD202F"/>
    <w:rsid w:val="00CD4D63"/>
    <w:rsid w:val="00CD504F"/>
    <w:rsid w:val="00CD6091"/>
    <w:rsid w:val="00CE1227"/>
    <w:rsid w:val="00CE473A"/>
    <w:rsid w:val="00CE4CED"/>
    <w:rsid w:val="00CE67E8"/>
    <w:rsid w:val="00CE6F4D"/>
    <w:rsid w:val="00CE7AC5"/>
    <w:rsid w:val="00CF0799"/>
    <w:rsid w:val="00CF2A95"/>
    <w:rsid w:val="00CF35DE"/>
    <w:rsid w:val="00CF3A9A"/>
    <w:rsid w:val="00CF4EBD"/>
    <w:rsid w:val="00CF516D"/>
    <w:rsid w:val="00CF51FB"/>
    <w:rsid w:val="00CF6ECB"/>
    <w:rsid w:val="00CF7599"/>
    <w:rsid w:val="00CF7AB3"/>
    <w:rsid w:val="00CF7D88"/>
    <w:rsid w:val="00D014EE"/>
    <w:rsid w:val="00D01EEA"/>
    <w:rsid w:val="00D03500"/>
    <w:rsid w:val="00D03B20"/>
    <w:rsid w:val="00D03CD3"/>
    <w:rsid w:val="00D04619"/>
    <w:rsid w:val="00D05561"/>
    <w:rsid w:val="00D05B6C"/>
    <w:rsid w:val="00D05CF9"/>
    <w:rsid w:val="00D063D3"/>
    <w:rsid w:val="00D0692E"/>
    <w:rsid w:val="00D0712F"/>
    <w:rsid w:val="00D10DA1"/>
    <w:rsid w:val="00D15565"/>
    <w:rsid w:val="00D15965"/>
    <w:rsid w:val="00D15FA8"/>
    <w:rsid w:val="00D17042"/>
    <w:rsid w:val="00D1715A"/>
    <w:rsid w:val="00D17A8C"/>
    <w:rsid w:val="00D20DB1"/>
    <w:rsid w:val="00D2177E"/>
    <w:rsid w:val="00D21A35"/>
    <w:rsid w:val="00D23607"/>
    <w:rsid w:val="00D23DC5"/>
    <w:rsid w:val="00D259B0"/>
    <w:rsid w:val="00D27088"/>
    <w:rsid w:val="00D2727A"/>
    <w:rsid w:val="00D30B36"/>
    <w:rsid w:val="00D31A03"/>
    <w:rsid w:val="00D31DAB"/>
    <w:rsid w:val="00D3245B"/>
    <w:rsid w:val="00D34F6A"/>
    <w:rsid w:val="00D36ADB"/>
    <w:rsid w:val="00D3721E"/>
    <w:rsid w:val="00D40697"/>
    <w:rsid w:val="00D4152B"/>
    <w:rsid w:val="00D41AC1"/>
    <w:rsid w:val="00D43F66"/>
    <w:rsid w:val="00D44131"/>
    <w:rsid w:val="00D44D69"/>
    <w:rsid w:val="00D462E7"/>
    <w:rsid w:val="00D4680D"/>
    <w:rsid w:val="00D50413"/>
    <w:rsid w:val="00D50690"/>
    <w:rsid w:val="00D515B7"/>
    <w:rsid w:val="00D51DE3"/>
    <w:rsid w:val="00D5465E"/>
    <w:rsid w:val="00D54963"/>
    <w:rsid w:val="00D54EE1"/>
    <w:rsid w:val="00D5595C"/>
    <w:rsid w:val="00D55BFB"/>
    <w:rsid w:val="00D56EC8"/>
    <w:rsid w:val="00D6223D"/>
    <w:rsid w:val="00D65070"/>
    <w:rsid w:val="00D65902"/>
    <w:rsid w:val="00D66673"/>
    <w:rsid w:val="00D66D7E"/>
    <w:rsid w:val="00D73C21"/>
    <w:rsid w:val="00D74152"/>
    <w:rsid w:val="00D74C74"/>
    <w:rsid w:val="00D77C99"/>
    <w:rsid w:val="00D80712"/>
    <w:rsid w:val="00D80B25"/>
    <w:rsid w:val="00D812DE"/>
    <w:rsid w:val="00D817CD"/>
    <w:rsid w:val="00D81A30"/>
    <w:rsid w:val="00D81A59"/>
    <w:rsid w:val="00D82691"/>
    <w:rsid w:val="00D84714"/>
    <w:rsid w:val="00D8511C"/>
    <w:rsid w:val="00D868F6"/>
    <w:rsid w:val="00D9072E"/>
    <w:rsid w:val="00D90989"/>
    <w:rsid w:val="00D915A1"/>
    <w:rsid w:val="00D93AD7"/>
    <w:rsid w:val="00D941CB"/>
    <w:rsid w:val="00D94446"/>
    <w:rsid w:val="00D94520"/>
    <w:rsid w:val="00D94B1C"/>
    <w:rsid w:val="00D978E9"/>
    <w:rsid w:val="00DA00B9"/>
    <w:rsid w:val="00DA208B"/>
    <w:rsid w:val="00DA2A09"/>
    <w:rsid w:val="00DA2FF3"/>
    <w:rsid w:val="00DA4A52"/>
    <w:rsid w:val="00DB0F2D"/>
    <w:rsid w:val="00DB10C1"/>
    <w:rsid w:val="00DB5B20"/>
    <w:rsid w:val="00DB65DC"/>
    <w:rsid w:val="00DB6B1C"/>
    <w:rsid w:val="00DB7C4C"/>
    <w:rsid w:val="00DC1334"/>
    <w:rsid w:val="00DC1D14"/>
    <w:rsid w:val="00DC29C8"/>
    <w:rsid w:val="00DC2F5E"/>
    <w:rsid w:val="00DC376F"/>
    <w:rsid w:val="00DC3FF8"/>
    <w:rsid w:val="00DC5483"/>
    <w:rsid w:val="00DC63E4"/>
    <w:rsid w:val="00DC6E83"/>
    <w:rsid w:val="00DC72CF"/>
    <w:rsid w:val="00DD1FB1"/>
    <w:rsid w:val="00DD28B5"/>
    <w:rsid w:val="00DD2981"/>
    <w:rsid w:val="00DD3523"/>
    <w:rsid w:val="00DD56EB"/>
    <w:rsid w:val="00DE02BC"/>
    <w:rsid w:val="00DE08BF"/>
    <w:rsid w:val="00DE19E3"/>
    <w:rsid w:val="00DE337B"/>
    <w:rsid w:val="00DE38BE"/>
    <w:rsid w:val="00DE5A62"/>
    <w:rsid w:val="00DE6D7D"/>
    <w:rsid w:val="00DE6E24"/>
    <w:rsid w:val="00DE7EF8"/>
    <w:rsid w:val="00DF01AC"/>
    <w:rsid w:val="00DF0276"/>
    <w:rsid w:val="00DF0B18"/>
    <w:rsid w:val="00DF2D68"/>
    <w:rsid w:val="00DF6F63"/>
    <w:rsid w:val="00DF7C3C"/>
    <w:rsid w:val="00E0025A"/>
    <w:rsid w:val="00E05195"/>
    <w:rsid w:val="00E06D7B"/>
    <w:rsid w:val="00E0746B"/>
    <w:rsid w:val="00E079EE"/>
    <w:rsid w:val="00E108A6"/>
    <w:rsid w:val="00E1296E"/>
    <w:rsid w:val="00E14852"/>
    <w:rsid w:val="00E16094"/>
    <w:rsid w:val="00E1619E"/>
    <w:rsid w:val="00E162B9"/>
    <w:rsid w:val="00E176BB"/>
    <w:rsid w:val="00E21A2E"/>
    <w:rsid w:val="00E21B28"/>
    <w:rsid w:val="00E250AB"/>
    <w:rsid w:val="00E25132"/>
    <w:rsid w:val="00E26FF4"/>
    <w:rsid w:val="00E270BE"/>
    <w:rsid w:val="00E2764E"/>
    <w:rsid w:val="00E3045E"/>
    <w:rsid w:val="00E30FA1"/>
    <w:rsid w:val="00E31CBB"/>
    <w:rsid w:val="00E3361B"/>
    <w:rsid w:val="00E3512C"/>
    <w:rsid w:val="00E3622E"/>
    <w:rsid w:val="00E410A5"/>
    <w:rsid w:val="00E41774"/>
    <w:rsid w:val="00E4188C"/>
    <w:rsid w:val="00E44FB8"/>
    <w:rsid w:val="00E47253"/>
    <w:rsid w:val="00E4734F"/>
    <w:rsid w:val="00E47C59"/>
    <w:rsid w:val="00E51D7B"/>
    <w:rsid w:val="00E53C50"/>
    <w:rsid w:val="00E54561"/>
    <w:rsid w:val="00E57528"/>
    <w:rsid w:val="00E607C3"/>
    <w:rsid w:val="00E62D40"/>
    <w:rsid w:val="00E62DD5"/>
    <w:rsid w:val="00E64BAE"/>
    <w:rsid w:val="00E64D5D"/>
    <w:rsid w:val="00E664EF"/>
    <w:rsid w:val="00E678A2"/>
    <w:rsid w:val="00E67D09"/>
    <w:rsid w:val="00E77644"/>
    <w:rsid w:val="00E830FC"/>
    <w:rsid w:val="00E850A2"/>
    <w:rsid w:val="00E94786"/>
    <w:rsid w:val="00E954C1"/>
    <w:rsid w:val="00E9594A"/>
    <w:rsid w:val="00E95C11"/>
    <w:rsid w:val="00E95D12"/>
    <w:rsid w:val="00EA0CDA"/>
    <w:rsid w:val="00EA1B58"/>
    <w:rsid w:val="00EA3286"/>
    <w:rsid w:val="00EA3B49"/>
    <w:rsid w:val="00EA4305"/>
    <w:rsid w:val="00EA5CD8"/>
    <w:rsid w:val="00EA5E73"/>
    <w:rsid w:val="00EB01B1"/>
    <w:rsid w:val="00EB1FFC"/>
    <w:rsid w:val="00EB2716"/>
    <w:rsid w:val="00EB4612"/>
    <w:rsid w:val="00EB4AAA"/>
    <w:rsid w:val="00EB4DB4"/>
    <w:rsid w:val="00EB58A0"/>
    <w:rsid w:val="00EB59D9"/>
    <w:rsid w:val="00EC0A77"/>
    <w:rsid w:val="00EC1F15"/>
    <w:rsid w:val="00EC3218"/>
    <w:rsid w:val="00EC3B9A"/>
    <w:rsid w:val="00EC3EDA"/>
    <w:rsid w:val="00EC4C07"/>
    <w:rsid w:val="00EC4F31"/>
    <w:rsid w:val="00EC5CD0"/>
    <w:rsid w:val="00ED0937"/>
    <w:rsid w:val="00ED125C"/>
    <w:rsid w:val="00ED2776"/>
    <w:rsid w:val="00ED584A"/>
    <w:rsid w:val="00EE06ED"/>
    <w:rsid w:val="00EE1636"/>
    <w:rsid w:val="00EE236A"/>
    <w:rsid w:val="00EE5526"/>
    <w:rsid w:val="00EF0B8D"/>
    <w:rsid w:val="00EF20F4"/>
    <w:rsid w:val="00EF216C"/>
    <w:rsid w:val="00EF2703"/>
    <w:rsid w:val="00EF428C"/>
    <w:rsid w:val="00EF58A5"/>
    <w:rsid w:val="00EF5D36"/>
    <w:rsid w:val="00EF7601"/>
    <w:rsid w:val="00F006C3"/>
    <w:rsid w:val="00F00940"/>
    <w:rsid w:val="00F05D41"/>
    <w:rsid w:val="00F060F2"/>
    <w:rsid w:val="00F07019"/>
    <w:rsid w:val="00F1146B"/>
    <w:rsid w:val="00F11BF4"/>
    <w:rsid w:val="00F11C01"/>
    <w:rsid w:val="00F12929"/>
    <w:rsid w:val="00F1332D"/>
    <w:rsid w:val="00F15C8A"/>
    <w:rsid w:val="00F213B4"/>
    <w:rsid w:val="00F213E1"/>
    <w:rsid w:val="00F21F58"/>
    <w:rsid w:val="00F22039"/>
    <w:rsid w:val="00F2293E"/>
    <w:rsid w:val="00F235E0"/>
    <w:rsid w:val="00F23B3B"/>
    <w:rsid w:val="00F24AFD"/>
    <w:rsid w:val="00F24DD1"/>
    <w:rsid w:val="00F25A7B"/>
    <w:rsid w:val="00F26653"/>
    <w:rsid w:val="00F26E4C"/>
    <w:rsid w:val="00F274E1"/>
    <w:rsid w:val="00F30A08"/>
    <w:rsid w:val="00F318D1"/>
    <w:rsid w:val="00F34203"/>
    <w:rsid w:val="00F34500"/>
    <w:rsid w:val="00F34D4F"/>
    <w:rsid w:val="00F3585B"/>
    <w:rsid w:val="00F36123"/>
    <w:rsid w:val="00F369A0"/>
    <w:rsid w:val="00F36C2A"/>
    <w:rsid w:val="00F36ED4"/>
    <w:rsid w:val="00F36EE1"/>
    <w:rsid w:val="00F40036"/>
    <w:rsid w:val="00F41457"/>
    <w:rsid w:val="00F41B89"/>
    <w:rsid w:val="00F42077"/>
    <w:rsid w:val="00F42768"/>
    <w:rsid w:val="00F42A86"/>
    <w:rsid w:val="00F44190"/>
    <w:rsid w:val="00F444CC"/>
    <w:rsid w:val="00F44AEC"/>
    <w:rsid w:val="00F46CC5"/>
    <w:rsid w:val="00F50FED"/>
    <w:rsid w:val="00F51B8C"/>
    <w:rsid w:val="00F52FFC"/>
    <w:rsid w:val="00F531C9"/>
    <w:rsid w:val="00F53212"/>
    <w:rsid w:val="00F55ACB"/>
    <w:rsid w:val="00F566BC"/>
    <w:rsid w:val="00F57128"/>
    <w:rsid w:val="00F60138"/>
    <w:rsid w:val="00F61B0C"/>
    <w:rsid w:val="00F62BBA"/>
    <w:rsid w:val="00F6389E"/>
    <w:rsid w:val="00F6461E"/>
    <w:rsid w:val="00F66021"/>
    <w:rsid w:val="00F71A36"/>
    <w:rsid w:val="00F72308"/>
    <w:rsid w:val="00F724B9"/>
    <w:rsid w:val="00F72D89"/>
    <w:rsid w:val="00F74571"/>
    <w:rsid w:val="00F75242"/>
    <w:rsid w:val="00F75312"/>
    <w:rsid w:val="00F762F7"/>
    <w:rsid w:val="00F81053"/>
    <w:rsid w:val="00F8196B"/>
    <w:rsid w:val="00F82763"/>
    <w:rsid w:val="00F828DF"/>
    <w:rsid w:val="00F843CD"/>
    <w:rsid w:val="00F849E2"/>
    <w:rsid w:val="00F906FC"/>
    <w:rsid w:val="00F93E8F"/>
    <w:rsid w:val="00F945F6"/>
    <w:rsid w:val="00F95EE8"/>
    <w:rsid w:val="00F967B8"/>
    <w:rsid w:val="00F971AD"/>
    <w:rsid w:val="00F9730F"/>
    <w:rsid w:val="00F975BA"/>
    <w:rsid w:val="00FA1D3B"/>
    <w:rsid w:val="00FA2D10"/>
    <w:rsid w:val="00FA3901"/>
    <w:rsid w:val="00FA3EC9"/>
    <w:rsid w:val="00FA43A0"/>
    <w:rsid w:val="00FA46A5"/>
    <w:rsid w:val="00FA5C21"/>
    <w:rsid w:val="00FB02BD"/>
    <w:rsid w:val="00FB1F74"/>
    <w:rsid w:val="00FB2568"/>
    <w:rsid w:val="00FB2F62"/>
    <w:rsid w:val="00FB2F6B"/>
    <w:rsid w:val="00FB33F1"/>
    <w:rsid w:val="00FB6E26"/>
    <w:rsid w:val="00FC139B"/>
    <w:rsid w:val="00FC1416"/>
    <w:rsid w:val="00FC2028"/>
    <w:rsid w:val="00FC3A9B"/>
    <w:rsid w:val="00FC4209"/>
    <w:rsid w:val="00FD1323"/>
    <w:rsid w:val="00FD533A"/>
    <w:rsid w:val="00FD62DD"/>
    <w:rsid w:val="00FD795C"/>
    <w:rsid w:val="00FE063A"/>
    <w:rsid w:val="00FE1BE9"/>
    <w:rsid w:val="00FE3D90"/>
    <w:rsid w:val="00FE3E29"/>
    <w:rsid w:val="00FE41D5"/>
    <w:rsid w:val="00FE49C0"/>
    <w:rsid w:val="00FE5730"/>
    <w:rsid w:val="00FE73DC"/>
    <w:rsid w:val="00FE7AAC"/>
    <w:rsid w:val="00FF00BC"/>
    <w:rsid w:val="00FF0251"/>
    <w:rsid w:val="00FF1435"/>
    <w:rsid w:val="00FF148D"/>
    <w:rsid w:val="00FF281F"/>
    <w:rsid w:val="00FF29FD"/>
    <w:rsid w:val="00FF3E75"/>
    <w:rsid w:val="00FF5534"/>
    <w:rsid w:val="00FF5CC1"/>
    <w:rsid w:val="00FF6719"/>
    <w:rsid w:val="00FF70A6"/>
    <w:rsid w:val="00FF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E3DE"/>
  <w15:docId w15:val="{C79CC061-55F4-4C80-A0F2-4219EACE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2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721E"/>
    <w:rPr>
      <w:sz w:val="18"/>
      <w:szCs w:val="18"/>
    </w:rPr>
  </w:style>
  <w:style w:type="paragraph" w:styleId="a5">
    <w:name w:val="footer"/>
    <w:basedOn w:val="a"/>
    <w:link w:val="a6"/>
    <w:uiPriority w:val="99"/>
    <w:unhideWhenUsed/>
    <w:rsid w:val="00D3721E"/>
    <w:pPr>
      <w:tabs>
        <w:tab w:val="center" w:pos="4153"/>
        <w:tab w:val="right" w:pos="8306"/>
      </w:tabs>
      <w:snapToGrid w:val="0"/>
      <w:jc w:val="left"/>
    </w:pPr>
    <w:rPr>
      <w:sz w:val="18"/>
      <w:szCs w:val="18"/>
    </w:rPr>
  </w:style>
  <w:style w:type="character" w:customStyle="1" w:styleId="a6">
    <w:name w:val="页脚 字符"/>
    <w:basedOn w:val="a0"/>
    <w:link w:val="a5"/>
    <w:uiPriority w:val="99"/>
    <w:rsid w:val="00D3721E"/>
    <w:rPr>
      <w:sz w:val="18"/>
      <w:szCs w:val="18"/>
    </w:rPr>
  </w:style>
  <w:style w:type="paragraph" w:styleId="a7">
    <w:name w:val="List Paragraph"/>
    <w:basedOn w:val="a"/>
    <w:uiPriority w:val="34"/>
    <w:qFormat/>
    <w:rsid w:val="00C02A9F"/>
    <w:pPr>
      <w:ind w:firstLineChars="200" w:firstLine="420"/>
    </w:pPr>
  </w:style>
  <w:style w:type="paragraph" w:styleId="a8">
    <w:name w:val="Balloon Text"/>
    <w:basedOn w:val="a"/>
    <w:link w:val="a9"/>
    <w:uiPriority w:val="99"/>
    <w:semiHidden/>
    <w:unhideWhenUsed/>
    <w:rsid w:val="00A5717C"/>
    <w:rPr>
      <w:sz w:val="18"/>
      <w:szCs w:val="18"/>
    </w:rPr>
  </w:style>
  <w:style w:type="character" w:customStyle="1" w:styleId="a9">
    <w:name w:val="批注框文本 字符"/>
    <w:basedOn w:val="a0"/>
    <w:link w:val="a8"/>
    <w:uiPriority w:val="99"/>
    <w:semiHidden/>
    <w:rsid w:val="00A5717C"/>
    <w:rPr>
      <w:sz w:val="18"/>
      <w:szCs w:val="18"/>
    </w:rPr>
  </w:style>
  <w:style w:type="paragraph" w:styleId="aa">
    <w:name w:val="annotation text"/>
    <w:basedOn w:val="a"/>
    <w:link w:val="ab"/>
    <w:uiPriority w:val="99"/>
    <w:unhideWhenUsed/>
    <w:qFormat/>
    <w:rsid w:val="002C1FFD"/>
    <w:pPr>
      <w:jc w:val="left"/>
    </w:pPr>
  </w:style>
  <w:style w:type="character" w:customStyle="1" w:styleId="ab">
    <w:name w:val="批注文字 字符"/>
    <w:basedOn w:val="a0"/>
    <w:link w:val="aa"/>
    <w:uiPriority w:val="99"/>
    <w:semiHidden/>
    <w:rsid w:val="002C1FFD"/>
  </w:style>
  <w:style w:type="character" w:styleId="ac">
    <w:name w:val="annotation reference"/>
    <w:basedOn w:val="a0"/>
    <w:uiPriority w:val="99"/>
    <w:unhideWhenUsed/>
    <w:qFormat/>
    <w:rsid w:val="002C1FFD"/>
    <w:rPr>
      <w:rFonts w:ascii="Tahoma" w:hAnsi="Tahoma" w:cs="Tahoma"/>
      <w:b w:val="0"/>
      <w:i w:val="0"/>
      <w:caps w:val="0"/>
      <w:strike w:val="0"/>
      <w:sz w:val="16"/>
      <w:szCs w:val="16"/>
      <w:u w:val="none"/>
    </w:rPr>
  </w:style>
  <w:style w:type="table" w:styleId="ad">
    <w:name w:val="Table Grid"/>
    <w:basedOn w:val="a1"/>
    <w:uiPriority w:val="39"/>
    <w:rsid w:val="0019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a"/>
    <w:next w:val="aa"/>
    <w:link w:val="af"/>
    <w:uiPriority w:val="99"/>
    <w:semiHidden/>
    <w:unhideWhenUsed/>
    <w:rsid w:val="00867C81"/>
    <w:rPr>
      <w:b/>
      <w:bCs/>
    </w:rPr>
  </w:style>
  <w:style w:type="character" w:customStyle="1" w:styleId="af">
    <w:name w:val="批注主题 字符"/>
    <w:basedOn w:val="ab"/>
    <w:link w:val="ae"/>
    <w:uiPriority w:val="99"/>
    <w:semiHidden/>
    <w:rsid w:val="00867C81"/>
    <w:rPr>
      <w:b/>
      <w:bCs/>
    </w:rPr>
  </w:style>
  <w:style w:type="paragraph" w:styleId="af0">
    <w:name w:val="Normal (Web)"/>
    <w:basedOn w:val="a"/>
    <w:uiPriority w:val="99"/>
    <w:unhideWhenUsed/>
    <w:rsid w:val="00867C81"/>
    <w:pPr>
      <w:widowControl/>
      <w:spacing w:after="200" w:line="276" w:lineRule="auto"/>
      <w:jc w:val="left"/>
    </w:pPr>
    <w:rPr>
      <w:rFonts w:ascii="Times New Roman" w:eastAsia="宋体" w:hAnsi="Times New Roman" w:cs="Times New Roman"/>
      <w:kern w:val="0"/>
      <w:sz w:val="24"/>
      <w:szCs w:val="24"/>
      <w:lang w:val="en-GB" w:eastAsia="en-US"/>
    </w:rPr>
  </w:style>
  <w:style w:type="character" w:customStyle="1" w:styleId="1">
    <w:name w:val="批注文字 字符1"/>
    <w:basedOn w:val="a0"/>
    <w:uiPriority w:val="99"/>
    <w:qFormat/>
    <w:rsid w:val="00867C81"/>
    <w:rPr>
      <w:rFonts w:ascii="Calibri" w:eastAsia="宋体" w:hAnsi="Calibri" w:cs="Times New Roman"/>
      <w:kern w:val="0"/>
      <w:sz w:val="22"/>
      <w:lang w:val="en-GB" w:eastAsia="en-US"/>
    </w:rPr>
  </w:style>
  <w:style w:type="character" w:styleId="af1">
    <w:name w:val="Hyperlink"/>
    <w:uiPriority w:val="99"/>
    <w:rsid w:val="00867C81"/>
    <w:rPr>
      <w:rFonts w:cs="Times New Roman"/>
      <w:color w:val="0000FF"/>
      <w:u w:val="single"/>
    </w:rPr>
  </w:style>
  <w:style w:type="character" w:styleId="af2">
    <w:name w:val="Strong"/>
    <w:basedOn w:val="a0"/>
    <w:uiPriority w:val="22"/>
    <w:qFormat/>
    <w:rsid w:val="00867C81"/>
    <w:rPr>
      <w:b/>
      <w:bCs/>
    </w:rPr>
  </w:style>
  <w:style w:type="paragraph" w:styleId="af3">
    <w:name w:val="Revision"/>
    <w:hidden/>
    <w:uiPriority w:val="99"/>
    <w:semiHidden/>
    <w:rsid w:val="00C56D6F"/>
  </w:style>
  <w:style w:type="character" w:styleId="af4">
    <w:name w:val="line number"/>
    <w:basedOn w:val="a0"/>
    <w:uiPriority w:val="99"/>
    <w:semiHidden/>
    <w:unhideWhenUsed/>
    <w:rsid w:val="002E2A18"/>
  </w:style>
  <w:style w:type="paragraph" w:customStyle="1" w:styleId="10">
    <w:name w:val="正文1"/>
    <w:uiPriority w:val="99"/>
    <w:rsid w:val="002A3EBE"/>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4546">
      <w:bodyDiv w:val="1"/>
      <w:marLeft w:val="0"/>
      <w:marRight w:val="0"/>
      <w:marTop w:val="0"/>
      <w:marBottom w:val="0"/>
      <w:divBdr>
        <w:top w:val="none" w:sz="0" w:space="0" w:color="auto"/>
        <w:left w:val="none" w:sz="0" w:space="0" w:color="auto"/>
        <w:bottom w:val="none" w:sz="0" w:space="0" w:color="auto"/>
        <w:right w:val="none" w:sz="0" w:space="0" w:color="auto"/>
      </w:divBdr>
    </w:div>
    <w:div w:id="20188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9CC9-56E7-4FE8-AAA8-DBCDB361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7295</Words>
  <Characters>41585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description>NE.Ref</dc:description>
  <cp:lastModifiedBy>HP</cp:lastModifiedBy>
  <cp:revision>29</cp:revision>
  <dcterms:created xsi:type="dcterms:W3CDTF">2019-11-24T16:04:00Z</dcterms:created>
  <dcterms:modified xsi:type="dcterms:W3CDTF">2019-12-03T01:36:00Z</dcterms:modified>
</cp:coreProperties>
</file>