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F920C" w14:textId="6029EE6C" w:rsidR="006A5F19" w:rsidRPr="00691B3F" w:rsidRDefault="006A5F19" w:rsidP="00367FE4">
      <w:pPr>
        <w:widowControl w:val="0"/>
        <w:adjustRightInd w:val="0"/>
        <w:snapToGrid w:val="0"/>
        <w:spacing w:after="0" w:line="360" w:lineRule="auto"/>
        <w:jc w:val="both"/>
        <w:rPr>
          <w:rFonts w:ascii="Book Antiqua" w:eastAsia="Times New Roman" w:hAnsi="Book Antiqua" w:cs="宋体"/>
          <w:b/>
          <w:i/>
          <w:kern w:val="2"/>
          <w:sz w:val="24"/>
          <w:szCs w:val="24"/>
          <w:lang w:eastAsia="zh-CN"/>
        </w:rPr>
      </w:pPr>
      <w:r w:rsidRPr="00691B3F">
        <w:rPr>
          <w:rFonts w:ascii="Book Antiqua" w:eastAsia="Times New Roman" w:hAnsi="Book Antiqua" w:cs="宋体"/>
          <w:b/>
          <w:kern w:val="2"/>
          <w:sz w:val="24"/>
          <w:szCs w:val="24"/>
          <w:lang w:eastAsia="zh-CN"/>
        </w:rPr>
        <w:t xml:space="preserve">Name of Journal: </w:t>
      </w:r>
      <w:r w:rsidRPr="00691B3F">
        <w:rPr>
          <w:rFonts w:ascii="Book Antiqua" w:eastAsia="Times New Roman" w:hAnsi="Book Antiqua" w:cs="宋体"/>
          <w:i/>
          <w:kern w:val="2"/>
          <w:sz w:val="24"/>
          <w:szCs w:val="24"/>
          <w:lang w:eastAsia="zh-CN"/>
        </w:rPr>
        <w:t xml:space="preserve">World Journal of </w:t>
      </w:r>
      <w:proofErr w:type="spellStart"/>
      <w:r w:rsidRPr="00691B3F">
        <w:rPr>
          <w:rFonts w:ascii="Book Antiqua" w:eastAsia="Times New Roman" w:hAnsi="Book Antiqua" w:cs="宋体"/>
          <w:i/>
          <w:kern w:val="2"/>
          <w:sz w:val="24"/>
          <w:szCs w:val="24"/>
          <w:lang w:eastAsia="zh-CN"/>
        </w:rPr>
        <w:t>Hepatology</w:t>
      </w:r>
      <w:proofErr w:type="spellEnd"/>
    </w:p>
    <w:p w14:paraId="0DB286B1" w14:textId="68CC8821" w:rsidR="006A5F19" w:rsidRPr="00691B3F" w:rsidRDefault="006A5F19" w:rsidP="00367FE4">
      <w:pPr>
        <w:widowControl w:val="0"/>
        <w:adjustRightInd w:val="0"/>
        <w:snapToGrid w:val="0"/>
        <w:spacing w:after="0" w:line="360" w:lineRule="auto"/>
        <w:jc w:val="both"/>
        <w:rPr>
          <w:rFonts w:ascii="Book Antiqua" w:eastAsia="宋体" w:hAnsi="Book Antiqua" w:cs="Arial"/>
          <w:b/>
          <w:kern w:val="2"/>
          <w:sz w:val="24"/>
          <w:szCs w:val="24"/>
          <w:lang w:val="en-GB" w:eastAsia="zh-CN"/>
        </w:rPr>
      </w:pPr>
      <w:r w:rsidRPr="00691B3F">
        <w:rPr>
          <w:rFonts w:ascii="Book Antiqua" w:eastAsia="Times New Roman" w:hAnsi="Book Antiqua" w:cs="Times New Roman"/>
          <w:b/>
          <w:bCs/>
          <w:kern w:val="2"/>
          <w:sz w:val="24"/>
          <w:szCs w:val="24"/>
          <w:lang w:eastAsia="zh-CN"/>
        </w:rPr>
        <w:t>Manuscript NO</w:t>
      </w:r>
      <w:r w:rsidRPr="00691B3F">
        <w:rPr>
          <w:rFonts w:ascii="Book Antiqua" w:eastAsia="宋体" w:hAnsi="Book Antiqua" w:cs="Arial"/>
          <w:b/>
          <w:kern w:val="2"/>
          <w:sz w:val="24"/>
          <w:szCs w:val="24"/>
          <w:lang w:val="en" w:eastAsia="zh-CN"/>
        </w:rPr>
        <w:t xml:space="preserve">: </w:t>
      </w:r>
      <w:r w:rsidRPr="00691B3F">
        <w:rPr>
          <w:rFonts w:ascii="Book Antiqua" w:eastAsia="宋体" w:hAnsi="Book Antiqua" w:cs="Arial"/>
          <w:bCs/>
          <w:kern w:val="2"/>
          <w:sz w:val="24"/>
          <w:szCs w:val="24"/>
          <w:lang w:val="en" w:eastAsia="zh-CN"/>
        </w:rPr>
        <w:t>51784</w:t>
      </w:r>
    </w:p>
    <w:p w14:paraId="52FFCE29" w14:textId="122EB4B0" w:rsidR="004C6032" w:rsidRPr="00691B3F" w:rsidRDefault="006A5F19" w:rsidP="00367FE4">
      <w:pPr>
        <w:pStyle w:val="a3"/>
        <w:snapToGrid w:val="0"/>
        <w:spacing w:line="360" w:lineRule="auto"/>
        <w:jc w:val="both"/>
        <w:rPr>
          <w:rFonts w:ascii="Book Antiqua" w:eastAsia="宋体" w:hAnsi="Book Antiqua" w:cs="Times New Roman"/>
          <w:b/>
          <w:kern w:val="2"/>
          <w:sz w:val="24"/>
          <w:szCs w:val="24"/>
          <w:lang w:eastAsia="zh-CN"/>
        </w:rPr>
      </w:pPr>
      <w:bookmarkStart w:id="0" w:name="OLE_LINK4"/>
      <w:bookmarkStart w:id="1" w:name="OLE_LINK3"/>
      <w:r w:rsidRPr="00691B3F">
        <w:rPr>
          <w:rFonts w:ascii="Book Antiqua" w:eastAsia="宋体" w:hAnsi="Book Antiqua" w:cs="Times New Roman"/>
          <w:b/>
          <w:kern w:val="2"/>
          <w:sz w:val="24"/>
          <w:szCs w:val="24"/>
          <w:lang w:eastAsia="zh-CN"/>
        </w:rPr>
        <w:t>Manuscript Type:</w:t>
      </w:r>
      <w:bookmarkEnd w:id="0"/>
      <w:bookmarkEnd w:id="1"/>
      <w:r w:rsidRPr="00691B3F">
        <w:rPr>
          <w:rFonts w:ascii="Book Antiqua" w:eastAsia="宋体" w:hAnsi="Book Antiqua" w:cs="Times New Roman"/>
          <w:b/>
          <w:kern w:val="2"/>
          <w:sz w:val="24"/>
          <w:szCs w:val="24"/>
          <w:lang w:eastAsia="zh-CN"/>
        </w:rPr>
        <w:t xml:space="preserve"> </w:t>
      </w:r>
      <w:r w:rsidRPr="00691B3F">
        <w:rPr>
          <w:rFonts w:ascii="Book Antiqua" w:eastAsia="宋体" w:hAnsi="Book Antiqua" w:cs="Times New Roman"/>
          <w:bCs/>
          <w:kern w:val="2"/>
          <w:sz w:val="24"/>
          <w:szCs w:val="24"/>
          <w:lang w:eastAsia="zh-CN"/>
        </w:rPr>
        <w:t>REVIEW</w:t>
      </w:r>
    </w:p>
    <w:p w14:paraId="728C2730" w14:textId="77777777" w:rsidR="006A5F19" w:rsidRPr="00691B3F" w:rsidRDefault="006A5F19" w:rsidP="00367FE4">
      <w:pPr>
        <w:pStyle w:val="a3"/>
        <w:snapToGrid w:val="0"/>
        <w:spacing w:line="360" w:lineRule="auto"/>
        <w:jc w:val="both"/>
        <w:rPr>
          <w:rFonts w:ascii="Book Antiqua" w:hAnsi="Book Antiqua"/>
          <w:color w:val="FF0000"/>
          <w:sz w:val="24"/>
          <w:szCs w:val="24"/>
        </w:rPr>
      </w:pPr>
    </w:p>
    <w:p w14:paraId="376A843D" w14:textId="28CAA711" w:rsidR="00433E41" w:rsidRPr="00691B3F" w:rsidRDefault="00433E41" w:rsidP="00367FE4">
      <w:pPr>
        <w:pStyle w:val="a3"/>
        <w:snapToGrid w:val="0"/>
        <w:spacing w:line="360" w:lineRule="auto"/>
        <w:jc w:val="both"/>
        <w:rPr>
          <w:rFonts w:ascii="Book Antiqua" w:hAnsi="Book Antiqua" w:cs="Arial"/>
          <w:b/>
          <w:bCs/>
          <w:sz w:val="24"/>
          <w:szCs w:val="24"/>
        </w:rPr>
      </w:pPr>
      <w:r w:rsidRPr="00691B3F">
        <w:rPr>
          <w:rFonts w:ascii="Book Antiqua" w:hAnsi="Book Antiqua" w:cs="Arial"/>
          <w:b/>
          <w:bCs/>
          <w:sz w:val="24"/>
          <w:szCs w:val="24"/>
        </w:rPr>
        <w:t>Liver</w:t>
      </w:r>
      <w:r w:rsidR="006A5F19" w:rsidRPr="00691B3F">
        <w:rPr>
          <w:rFonts w:ascii="Book Antiqua" w:hAnsi="Book Antiqua" w:cs="Arial"/>
          <w:b/>
          <w:bCs/>
          <w:sz w:val="24"/>
          <w:szCs w:val="24"/>
        </w:rPr>
        <w:t xml:space="preserve"> injury induced by </w:t>
      </w:r>
      <w:proofErr w:type="spellStart"/>
      <w:r w:rsidR="006A5F19" w:rsidRPr="00691B3F">
        <w:rPr>
          <w:rFonts w:ascii="Book Antiqua" w:hAnsi="Book Antiqua" w:cs="Arial"/>
          <w:b/>
          <w:bCs/>
          <w:sz w:val="24"/>
          <w:szCs w:val="24"/>
        </w:rPr>
        <w:t>paracetamol</w:t>
      </w:r>
      <w:proofErr w:type="spellEnd"/>
      <w:r w:rsidR="006A5F19" w:rsidRPr="00691B3F">
        <w:rPr>
          <w:rFonts w:ascii="Book Antiqua" w:hAnsi="Book Antiqua" w:cs="Arial"/>
          <w:b/>
          <w:bCs/>
          <w:sz w:val="24"/>
          <w:szCs w:val="24"/>
        </w:rPr>
        <w:t xml:space="preserve"> and challenges associated with intentional and unintentional use</w:t>
      </w:r>
    </w:p>
    <w:p w14:paraId="792833AF" w14:textId="77777777" w:rsidR="004C6032" w:rsidRPr="00691B3F" w:rsidRDefault="004C6032" w:rsidP="00367FE4">
      <w:pPr>
        <w:pStyle w:val="a3"/>
        <w:snapToGrid w:val="0"/>
        <w:spacing w:line="360" w:lineRule="auto"/>
        <w:jc w:val="both"/>
        <w:rPr>
          <w:rFonts w:ascii="Book Antiqua" w:hAnsi="Book Antiqua" w:cs="Arial"/>
          <w:b/>
          <w:bCs/>
          <w:sz w:val="24"/>
          <w:szCs w:val="24"/>
        </w:rPr>
      </w:pPr>
    </w:p>
    <w:p w14:paraId="597F056B" w14:textId="77C5F269" w:rsidR="00F33A65" w:rsidRPr="00691B3F" w:rsidRDefault="006A5F19" w:rsidP="00367FE4">
      <w:pPr>
        <w:pStyle w:val="a3"/>
        <w:snapToGrid w:val="0"/>
        <w:spacing w:line="360" w:lineRule="auto"/>
        <w:jc w:val="both"/>
        <w:rPr>
          <w:rFonts w:ascii="Book Antiqua" w:hAnsi="Book Antiqua"/>
          <w:sz w:val="24"/>
          <w:szCs w:val="24"/>
        </w:rPr>
      </w:pPr>
      <w:proofErr w:type="spellStart"/>
      <w:r w:rsidRPr="00691B3F">
        <w:rPr>
          <w:rFonts w:ascii="Book Antiqua" w:hAnsi="Book Antiqua"/>
          <w:sz w:val="24"/>
          <w:szCs w:val="24"/>
        </w:rPr>
        <w:t>Rotundo</w:t>
      </w:r>
      <w:proofErr w:type="spellEnd"/>
      <w:r w:rsidRPr="00691B3F">
        <w:rPr>
          <w:rFonts w:ascii="Book Antiqua" w:hAnsi="Book Antiqua"/>
          <w:sz w:val="24"/>
          <w:szCs w:val="24"/>
        </w:rPr>
        <w:t xml:space="preserve"> L </w:t>
      </w:r>
      <w:r w:rsidRPr="00691B3F">
        <w:rPr>
          <w:rFonts w:ascii="Book Antiqua" w:eastAsia="宋体" w:hAnsi="Book Antiqua" w:cs="Calibri"/>
          <w:i/>
          <w:sz w:val="24"/>
          <w:szCs w:val="24"/>
        </w:rPr>
        <w:t xml:space="preserve">et al. </w:t>
      </w:r>
      <w:r w:rsidR="00433E41" w:rsidRPr="00691B3F">
        <w:rPr>
          <w:rFonts w:ascii="Book Antiqua" w:hAnsi="Book Antiqua"/>
          <w:sz w:val="24"/>
          <w:szCs w:val="24"/>
        </w:rPr>
        <w:t xml:space="preserve">Liver </w:t>
      </w:r>
      <w:r w:rsidRPr="00691B3F">
        <w:rPr>
          <w:rFonts w:ascii="Book Antiqua" w:hAnsi="Book Antiqua"/>
          <w:sz w:val="24"/>
          <w:szCs w:val="24"/>
        </w:rPr>
        <w:t xml:space="preserve">injury by </w:t>
      </w:r>
      <w:proofErr w:type="spellStart"/>
      <w:r w:rsidRPr="00691B3F">
        <w:rPr>
          <w:rFonts w:ascii="Book Antiqua" w:hAnsi="Book Antiqua"/>
          <w:sz w:val="24"/>
          <w:szCs w:val="24"/>
        </w:rPr>
        <w:t>paracetamol</w:t>
      </w:r>
      <w:proofErr w:type="spellEnd"/>
    </w:p>
    <w:p w14:paraId="0A5E2B52" w14:textId="77777777" w:rsidR="006A5F19" w:rsidRPr="00691B3F" w:rsidRDefault="006A5F19" w:rsidP="00367FE4">
      <w:pPr>
        <w:pStyle w:val="a3"/>
        <w:snapToGrid w:val="0"/>
        <w:spacing w:line="360" w:lineRule="auto"/>
        <w:jc w:val="both"/>
        <w:rPr>
          <w:rFonts w:ascii="Book Antiqua" w:hAnsi="Book Antiqua"/>
          <w:sz w:val="24"/>
          <w:szCs w:val="24"/>
        </w:rPr>
      </w:pPr>
    </w:p>
    <w:p w14:paraId="2F258216" w14:textId="2C59C16D" w:rsidR="00C80D98" w:rsidRPr="00691B3F" w:rsidRDefault="00C80D98" w:rsidP="00367FE4">
      <w:pPr>
        <w:pStyle w:val="a3"/>
        <w:snapToGrid w:val="0"/>
        <w:spacing w:line="360" w:lineRule="auto"/>
        <w:jc w:val="both"/>
        <w:rPr>
          <w:rFonts w:ascii="Book Antiqua" w:hAnsi="Book Antiqua"/>
          <w:sz w:val="24"/>
          <w:szCs w:val="24"/>
        </w:rPr>
      </w:pPr>
      <w:r w:rsidRPr="00691B3F">
        <w:rPr>
          <w:rFonts w:ascii="Book Antiqua" w:hAnsi="Book Antiqua"/>
          <w:sz w:val="24"/>
          <w:szCs w:val="24"/>
        </w:rPr>
        <w:t xml:space="preserve">Laura </w:t>
      </w:r>
      <w:proofErr w:type="spellStart"/>
      <w:r w:rsidRPr="00691B3F">
        <w:rPr>
          <w:rFonts w:ascii="Book Antiqua" w:hAnsi="Book Antiqua"/>
          <w:sz w:val="24"/>
          <w:szCs w:val="24"/>
        </w:rPr>
        <w:t>Rotundo</w:t>
      </w:r>
      <w:proofErr w:type="spellEnd"/>
      <w:r w:rsidRPr="00691B3F">
        <w:rPr>
          <w:rFonts w:ascii="Book Antiqua" w:hAnsi="Book Antiqua"/>
          <w:sz w:val="24"/>
          <w:szCs w:val="24"/>
        </w:rPr>
        <w:t xml:space="preserve">, </w:t>
      </w:r>
      <w:proofErr w:type="spellStart"/>
      <w:r w:rsidRPr="00691B3F">
        <w:rPr>
          <w:rFonts w:ascii="Book Antiqua" w:hAnsi="Book Antiqua"/>
          <w:sz w:val="24"/>
          <w:szCs w:val="24"/>
        </w:rPr>
        <w:t>Nikolaos</w:t>
      </w:r>
      <w:proofErr w:type="spellEnd"/>
      <w:r w:rsidRPr="00691B3F">
        <w:rPr>
          <w:rFonts w:ascii="Book Antiqua" w:hAnsi="Book Antiqua"/>
          <w:sz w:val="24"/>
          <w:szCs w:val="24"/>
        </w:rPr>
        <w:t xml:space="preserve"> </w:t>
      </w:r>
      <w:proofErr w:type="spellStart"/>
      <w:r w:rsidRPr="00691B3F">
        <w:rPr>
          <w:rFonts w:ascii="Book Antiqua" w:hAnsi="Book Antiqua"/>
          <w:sz w:val="24"/>
          <w:szCs w:val="24"/>
        </w:rPr>
        <w:t>Pyrsopoulos</w:t>
      </w:r>
      <w:proofErr w:type="spellEnd"/>
    </w:p>
    <w:p w14:paraId="4CFC4F32" w14:textId="77777777" w:rsidR="00C80D98" w:rsidRPr="00691B3F" w:rsidRDefault="00C80D98" w:rsidP="00367FE4">
      <w:pPr>
        <w:pStyle w:val="a3"/>
        <w:snapToGrid w:val="0"/>
        <w:spacing w:line="360" w:lineRule="auto"/>
        <w:jc w:val="both"/>
        <w:rPr>
          <w:rFonts w:ascii="Book Antiqua" w:hAnsi="Book Antiqua"/>
          <w:sz w:val="24"/>
          <w:szCs w:val="24"/>
        </w:rPr>
      </w:pPr>
    </w:p>
    <w:p w14:paraId="494C3787" w14:textId="5177001F" w:rsidR="004C6032" w:rsidRPr="00691B3F" w:rsidRDefault="006A5F19" w:rsidP="00367FE4">
      <w:pPr>
        <w:pStyle w:val="a3"/>
        <w:snapToGrid w:val="0"/>
        <w:spacing w:line="360" w:lineRule="auto"/>
        <w:jc w:val="both"/>
        <w:rPr>
          <w:rFonts w:ascii="Book Antiqua" w:hAnsi="Book Antiqua"/>
          <w:sz w:val="24"/>
          <w:szCs w:val="24"/>
        </w:rPr>
      </w:pPr>
      <w:r w:rsidRPr="00691B3F">
        <w:rPr>
          <w:rFonts w:ascii="Book Antiqua" w:hAnsi="Book Antiqua"/>
          <w:b/>
          <w:bCs/>
          <w:sz w:val="24"/>
          <w:szCs w:val="24"/>
        </w:rPr>
        <w:t xml:space="preserve">Laura </w:t>
      </w:r>
      <w:proofErr w:type="spellStart"/>
      <w:r w:rsidRPr="00691B3F">
        <w:rPr>
          <w:rFonts w:ascii="Book Antiqua" w:hAnsi="Book Antiqua"/>
          <w:b/>
          <w:bCs/>
          <w:sz w:val="24"/>
          <w:szCs w:val="24"/>
        </w:rPr>
        <w:t>Rotundo</w:t>
      </w:r>
      <w:proofErr w:type="spellEnd"/>
      <w:r w:rsidRPr="00691B3F">
        <w:rPr>
          <w:rFonts w:ascii="Book Antiqua" w:hAnsi="Book Antiqua"/>
          <w:b/>
          <w:bCs/>
          <w:sz w:val="24"/>
          <w:szCs w:val="24"/>
          <w:lang w:eastAsia="zh-CN"/>
        </w:rPr>
        <w:t>,</w:t>
      </w:r>
      <w:r w:rsidRPr="00691B3F">
        <w:rPr>
          <w:rFonts w:ascii="Book Antiqua" w:hAnsi="Book Antiqua"/>
          <w:sz w:val="24"/>
          <w:szCs w:val="24"/>
        </w:rPr>
        <w:t xml:space="preserve"> </w:t>
      </w:r>
      <w:r w:rsidR="00C80D98" w:rsidRPr="00691B3F">
        <w:rPr>
          <w:rFonts w:ascii="Book Antiqua" w:hAnsi="Book Antiqua"/>
          <w:sz w:val="24"/>
          <w:szCs w:val="24"/>
        </w:rPr>
        <w:t xml:space="preserve">Department of Medicine, </w:t>
      </w:r>
      <w:r w:rsidR="004C6032" w:rsidRPr="00691B3F">
        <w:rPr>
          <w:rFonts w:ascii="Book Antiqua" w:hAnsi="Book Antiqua"/>
          <w:sz w:val="24"/>
          <w:szCs w:val="24"/>
        </w:rPr>
        <w:t>Rutgers New Jersey Medical School, Newark, NJ</w:t>
      </w:r>
      <w:r w:rsidRPr="00691B3F">
        <w:rPr>
          <w:rFonts w:ascii="Book Antiqua" w:hAnsi="Book Antiqua"/>
          <w:sz w:val="24"/>
          <w:szCs w:val="24"/>
        </w:rPr>
        <w:t xml:space="preserve"> </w:t>
      </w:r>
      <w:r w:rsidR="004C6032" w:rsidRPr="00691B3F">
        <w:rPr>
          <w:rFonts w:ascii="Book Antiqua" w:hAnsi="Book Antiqua"/>
          <w:sz w:val="24"/>
          <w:szCs w:val="24"/>
        </w:rPr>
        <w:t xml:space="preserve">07103, </w:t>
      </w:r>
      <w:r w:rsidR="00932BDC" w:rsidRPr="00691B3F">
        <w:rPr>
          <w:rFonts w:ascii="Book Antiqua" w:hAnsi="Book Antiqua"/>
          <w:sz w:val="24"/>
          <w:szCs w:val="24"/>
        </w:rPr>
        <w:t>United States</w:t>
      </w:r>
    </w:p>
    <w:p w14:paraId="52B8292C" w14:textId="77777777" w:rsidR="006A5F19" w:rsidRPr="00691B3F" w:rsidRDefault="006A5F19" w:rsidP="00367FE4">
      <w:pPr>
        <w:pStyle w:val="a3"/>
        <w:snapToGrid w:val="0"/>
        <w:spacing w:line="360" w:lineRule="auto"/>
        <w:jc w:val="both"/>
        <w:rPr>
          <w:rFonts w:ascii="Book Antiqua" w:hAnsi="Book Antiqua"/>
          <w:b/>
          <w:bCs/>
          <w:sz w:val="24"/>
          <w:szCs w:val="24"/>
        </w:rPr>
      </w:pPr>
    </w:p>
    <w:p w14:paraId="06771CC4" w14:textId="11000B1F" w:rsidR="00C80D98" w:rsidRPr="00691B3F" w:rsidRDefault="006A5F19" w:rsidP="00367FE4">
      <w:pPr>
        <w:pStyle w:val="a3"/>
        <w:snapToGrid w:val="0"/>
        <w:spacing w:line="360" w:lineRule="auto"/>
        <w:jc w:val="both"/>
        <w:rPr>
          <w:rFonts w:ascii="Book Antiqua" w:hAnsi="Book Antiqua"/>
          <w:sz w:val="24"/>
          <w:szCs w:val="24"/>
        </w:rPr>
      </w:pPr>
      <w:proofErr w:type="spellStart"/>
      <w:r w:rsidRPr="00691B3F">
        <w:rPr>
          <w:rFonts w:ascii="Book Antiqua" w:hAnsi="Book Antiqua"/>
          <w:b/>
          <w:bCs/>
          <w:sz w:val="24"/>
          <w:szCs w:val="24"/>
        </w:rPr>
        <w:t>Nikolaos</w:t>
      </w:r>
      <w:proofErr w:type="spellEnd"/>
      <w:r w:rsidRPr="00691B3F">
        <w:rPr>
          <w:rFonts w:ascii="Book Antiqua" w:hAnsi="Book Antiqua"/>
          <w:b/>
          <w:bCs/>
          <w:sz w:val="24"/>
          <w:szCs w:val="24"/>
        </w:rPr>
        <w:t xml:space="preserve"> </w:t>
      </w:r>
      <w:proofErr w:type="spellStart"/>
      <w:r w:rsidRPr="00691B3F">
        <w:rPr>
          <w:rFonts w:ascii="Book Antiqua" w:hAnsi="Book Antiqua"/>
          <w:b/>
          <w:bCs/>
          <w:sz w:val="24"/>
          <w:szCs w:val="24"/>
        </w:rPr>
        <w:t>Pyrsopoulos</w:t>
      </w:r>
      <w:proofErr w:type="spellEnd"/>
      <w:r w:rsidRPr="00691B3F">
        <w:rPr>
          <w:rFonts w:ascii="Book Antiqua" w:hAnsi="Book Antiqua"/>
          <w:b/>
          <w:bCs/>
          <w:sz w:val="24"/>
          <w:szCs w:val="24"/>
        </w:rPr>
        <w:t>,</w:t>
      </w:r>
      <w:r w:rsidR="004C6032" w:rsidRPr="00691B3F">
        <w:rPr>
          <w:rFonts w:ascii="Book Antiqua" w:hAnsi="Book Antiqua"/>
          <w:sz w:val="24"/>
          <w:szCs w:val="24"/>
        </w:rPr>
        <w:t xml:space="preserve"> Department </w:t>
      </w:r>
      <w:r w:rsidR="00C80D98" w:rsidRPr="00691B3F">
        <w:rPr>
          <w:rFonts w:ascii="Book Antiqua" w:hAnsi="Book Antiqua"/>
          <w:sz w:val="24"/>
          <w:szCs w:val="24"/>
        </w:rPr>
        <w:t xml:space="preserve">of Gastroenterology and </w:t>
      </w:r>
      <w:proofErr w:type="spellStart"/>
      <w:r w:rsidR="00C80D98" w:rsidRPr="00691B3F">
        <w:rPr>
          <w:rFonts w:ascii="Book Antiqua" w:hAnsi="Book Antiqua"/>
          <w:sz w:val="24"/>
          <w:szCs w:val="24"/>
        </w:rPr>
        <w:t>Hepatology</w:t>
      </w:r>
      <w:proofErr w:type="spellEnd"/>
      <w:r w:rsidR="00C80D98" w:rsidRPr="00691B3F">
        <w:rPr>
          <w:rFonts w:ascii="Book Antiqua" w:hAnsi="Book Antiqua"/>
          <w:sz w:val="24"/>
          <w:szCs w:val="24"/>
        </w:rPr>
        <w:t>, Rutgers New Jersey Medical School, Newark, NJ</w:t>
      </w:r>
      <w:r w:rsidRPr="00691B3F">
        <w:rPr>
          <w:rFonts w:ascii="Book Antiqua" w:hAnsi="Book Antiqua"/>
          <w:sz w:val="24"/>
          <w:szCs w:val="24"/>
        </w:rPr>
        <w:t xml:space="preserve"> </w:t>
      </w:r>
      <w:r w:rsidR="004C6032" w:rsidRPr="00691B3F">
        <w:rPr>
          <w:rFonts w:ascii="Book Antiqua" w:hAnsi="Book Antiqua"/>
          <w:sz w:val="24"/>
          <w:szCs w:val="24"/>
        </w:rPr>
        <w:t xml:space="preserve">07103, </w:t>
      </w:r>
      <w:r w:rsidR="00932BDC" w:rsidRPr="00691B3F">
        <w:rPr>
          <w:rFonts w:ascii="Book Antiqua" w:hAnsi="Book Antiqua"/>
          <w:sz w:val="24"/>
          <w:szCs w:val="24"/>
        </w:rPr>
        <w:t>United States</w:t>
      </w:r>
    </w:p>
    <w:p w14:paraId="22973863" w14:textId="77777777" w:rsidR="00C80D98" w:rsidRPr="00691B3F" w:rsidRDefault="00C80D98" w:rsidP="00367FE4">
      <w:pPr>
        <w:pStyle w:val="a3"/>
        <w:snapToGrid w:val="0"/>
        <w:spacing w:line="360" w:lineRule="auto"/>
        <w:jc w:val="both"/>
        <w:rPr>
          <w:rFonts w:ascii="Book Antiqua" w:hAnsi="Book Antiqua"/>
          <w:sz w:val="24"/>
          <w:szCs w:val="24"/>
        </w:rPr>
      </w:pPr>
    </w:p>
    <w:p w14:paraId="1432584B" w14:textId="46778CF7" w:rsidR="00B7234D" w:rsidRPr="00691B3F" w:rsidRDefault="006A5F19" w:rsidP="00367FE4">
      <w:pPr>
        <w:pStyle w:val="a3"/>
        <w:snapToGrid w:val="0"/>
        <w:spacing w:line="360" w:lineRule="auto"/>
        <w:jc w:val="both"/>
        <w:rPr>
          <w:rFonts w:ascii="Book Antiqua" w:hAnsi="Book Antiqua"/>
          <w:sz w:val="24"/>
          <w:szCs w:val="24"/>
        </w:rPr>
      </w:pPr>
      <w:r w:rsidRPr="00691B3F">
        <w:rPr>
          <w:rFonts w:ascii="Book Antiqua" w:eastAsia="宋体" w:hAnsi="Book Antiqua" w:cs="Times New Roman"/>
          <w:b/>
          <w:sz w:val="24"/>
          <w:szCs w:val="24"/>
          <w:lang w:val="en-GB"/>
        </w:rPr>
        <w:t>Author contributions:</w:t>
      </w:r>
      <w:r w:rsidR="00B7234D" w:rsidRPr="00691B3F">
        <w:rPr>
          <w:rFonts w:ascii="Book Antiqua" w:hAnsi="Book Antiqua"/>
          <w:sz w:val="24"/>
          <w:szCs w:val="24"/>
        </w:rPr>
        <w:t xml:space="preserve"> All authors designed the study, drafted and revised the manuscript</w:t>
      </w:r>
      <w:r w:rsidR="00B7234D" w:rsidRPr="00691B3F">
        <w:rPr>
          <w:rFonts w:ascii="Book Antiqua" w:hAnsi="Book Antiqua"/>
          <w:sz w:val="24"/>
          <w:szCs w:val="24"/>
          <w:lang w:eastAsia="zh-CN"/>
        </w:rPr>
        <w:t xml:space="preserve">; </w:t>
      </w:r>
      <w:proofErr w:type="spellStart"/>
      <w:r w:rsidR="00B7234D" w:rsidRPr="00691B3F">
        <w:rPr>
          <w:rFonts w:ascii="Book Antiqua" w:hAnsi="Book Antiqua"/>
          <w:sz w:val="24"/>
          <w:szCs w:val="24"/>
        </w:rPr>
        <w:t>Pyrsopoulos</w:t>
      </w:r>
      <w:proofErr w:type="spellEnd"/>
      <w:r w:rsidR="00B7234D" w:rsidRPr="00691B3F">
        <w:rPr>
          <w:rFonts w:ascii="Book Antiqua" w:hAnsi="Book Antiqua"/>
          <w:sz w:val="24"/>
          <w:szCs w:val="24"/>
        </w:rPr>
        <w:t xml:space="preserve"> N supervised the study.</w:t>
      </w:r>
    </w:p>
    <w:p w14:paraId="10761C07" w14:textId="77777777" w:rsidR="006A5F19" w:rsidRPr="00691B3F" w:rsidRDefault="006A5F19" w:rsidP="00367FE4">
      <w:pPr>
        <w:pStyle w:val="a3"/>
        <w:snapToGrid w:val="0"/>
        <w:spacing w:line="360" w:lineRule="auto"/>
        <w:jc w:val="both"/>
        <w:rPr>
          <w:rFonts w:ascii="Book Antiqua" w:eastAsia="宋体" w:hAnsi="Book Antiqua" w:cs="Times New Roman"/>
          <w:b/>
          <w:sz w:val="24"/>
          <w:szCs w:val="24"/>
          <w:lang w:val="en-GB"/>
        </w:rPr>
      </w:pPr>
    </w:p>
    <w:p w14:paraId="687913F7" w14:textId="07DBC300" w:rsidR="00C80D98" w:rsidRPr="00691B3F" w:rsidRDefault="006A5F19" w:rsidP="00367FE4">
      <w:pPr>
        <w:pStyle w:val="a3"/>
        <w:snapToGrid w:val="0"/>
        <w:spacing w:line="360" w:lineRule="auto"/>
        <w:jc w:val="both"/>
        <w:rPr>
          <w:rFonts w:ascii="Book Antiqua" w:hAnsi="Book Antiqua"/>
          <w:sz w:val="24"/>
          <w:szCs w:val="24"/>
        </w:rPr>
      </w:pPr>
      <w:bookmarkStart w:id="2" w:name="_Hlk28872359"/>
      <w:r w:rsidRPr="00691B3F">
        <w:rPr>
          <w:rFonts w:ascii="Book Antiqua" w:eastAsia="宋体" w:hAnsi="Book Antiqua" w:cs="Calibri"/>
          <w:b/>
          <w:sz w:val="24"/>
          <w:szCs w:val="24"/>
          <w:lang w:val="hu-HU"/>
        </w:rPr>
        <w:t>Corresponding author:</w:t>
      </w:r>
      <w:bookmarkEnd w:id="2"/>
      <w:r w:rsidRPr="00691B3F">
        <w:rPr>
          <w:rFonts w:ascii="Book Antiqua" w:eastAsia="宋体" w:hAnsi="Book Antiqua" w:cs="Calibri"/>
          <w:b/>
          <w:sz w:val="24"/>
          <w:szCs w:val="24"/>
          <w:lang w:val="hu-HU"/>
        </w:rPr>
        <w:t xml:space="preserve"> </w:t>
      </w:r>
      <w:proofErr w:type="spellStart"/>
      <w:r w:rsidR="00E30DAB" w:rsidRPr="00691B3F">
        <w:rPr>
          <w:rFonts w:ascii="Book Antiqua" w:hAnsi="Book Antiqua"/>
          <w:b/>
          <w:bCs/>
          <w:sz w:val="24"/>
          <w:szCs w:val="24"/>
        </w:rPr>
        <w:t>Nikolaos</w:t>
      </w:r>
      <w:proofErr w:type="spellEnd"/>
      <w:r w:rsidR="00E30DAB" w:rsidRPr="00691B3F">
        <w:rPr>
          <w:rFonts w:ascii="Book Antiqua" w:hAnsi="Book Antiqua"/>
          <w:b/>
          <w:bCs/>
          <w:sz w:val="24"/>
          <w:szCs w:val="24"/>
        </w:rPr>
        <w:t xml:space="preserve"> </w:t>
      </w:r>
      <w:proofErr w:type="spellStart"/>
      <w:r w:rsidR="00E30DAB" w:rsidRPr="00691B3F">
        <w:rPr>
          <w:rFonts w:ascii="Book Antiqua" w:hAnsi="Book Antiqua"/>
          <w:b/>
          <w:bCs/>
          <w:sz w:val="24"/>
          <w:szCs w:val="24"/>
        </w:rPr>
        <w:t>Pyrsopoulos</w:t>
      </w:r>
      <w:proofErr w:type="spellEnd"/>
      <w:r w:rsidR="00E30DAB" w:rsidRPr="00691B3F">
        <w:rPr>
          <w:rFonts w:ascii="Book Antiqua" w:hAnsi="Book Antiqua"/>
          <w:b/>
          <w:bCs/>
          <w:sz w:val="24"/>
          <w:szCs w:val="24"/>
        </w:rPr>
        <w:t>,</w:t>
      </w:r>
      <w:r w:rsidR="00433E41" w:rsidRPr="00691B3F">
        <w:rPr>
          <w:rFonts w:ascii="Book Antiqua" w:hAnsi="Book Antiqua"/>
          <w:b/>
          <w:bCs/>
          <w:sz w:val="24"/>
          <w:szCs w:val="24"/>
        </w:rPr>
        <w:t xml:space="preserve"> MD, PhD,</w:t>
      </w:r>
      <w:r w:rsidR="00397BA0" w:rsidRPr="00691B3F">
        <w:t xml:space="preserve"> </w:t>
      </w:r>
      <w:r w:rsidR="00397BA0" w:rsidRPr="00691B3F">
        <w:rPr>
          <w:rFonts w:ascii="Book Antiqua" w:hAnsi="Book Antiqua"/>
          <w:b/>
          <w:bCs/>
          <w:sz w:val="24"/>
          <w:szCs w:val="24"/>
        </w:rPr>
        <w:t>Professor,</w:t>
      </w:r>
      <w:r w:rsidR="00E30DAB" w:rsidRPr="00691B3F">
        <w:rPr>
          <w:rFonts w:ascii="Book Antiqua" w:hAnsi="Book Antiqua"/>
          <w:sz w:val="24"/>
          <w:szCs w:val="24"/>
        </w:rPr>
        <w:t xml:space="preserve"> </w:t>
      </w:r>
      <w:r w:rsidRPr="00691B3F">
        <w:rPr>
          <w:rFonts w:ascii="Book Antiqua" w:hAnsi="Book Antiqua"/>
          <w:sz w:val="24"/>
          <w:szCs w:val="24"/>
        </w:rPr>
        <w:t xml:space="preserve">Department of Gastroenterology and </w:t>
      </w:r>
      <w:proofErr w:type="spellStart"/>
      <w:r w:rsidRPr="00691B3F">
        <w:rPr>
          <w:rFonts w:ascii="Book Antiqua" w:hAnsi="Book Antiqua"/>
          <w:sz w:val="24"/>
          <w:szCs w:val="24"/>
        </w:rPr>
        <w:t>Hepatology</w:t>
      </w:r>
      <w:proofErr w:type="spellEnd"/>
      <w:r w:rsidRPr="00691B3F">
        <w:rPr>
          <w:rFonts w:ascii="Book Antiqua" w:hAnsi="Book Antiqua" w:hint="eastAsia"/>
          <w:sz w:val="24"/>
          <w:szCs w:val="24"/>
          <w:lang w:eastAsia="zh-CN"/>
        </w:rPr>
        <w:t>,</w:t>
      </w:r>
      <w:r w:rsidRPr="00691B3F">
        <w:rPr>
          <w:rFonts w:ascii="Book Antiqua" w:hAnsi="Book Antiqua"/>
          <w:sz w:val="24"/>
          <w:szCs w:val="24"/>
          <w:lang w:eastAsia="zh-CN"/>
        </w:rPr>
        <w:t xml:space="preserve"> </w:t>
      </w:r>
      <w:r w:rsidR="00C80D98" w:rsidRPr="00691B3F">
        <w:rPr>
          <w:rFonts w:ascii="Book Antiqua" w:hAnsi="Book Antiqua"/>
          <w:sz w:val="24"/>
          <w:szCs w:val="24"/>
        </w:rPr>
        <w:t xml:space="preserve">Rutgers-New Jersey Medical School, </w:t>
      </w:r>
      <w:r w:rsidR="00E30DAB" w:rsidRPr="00691B3F">
        <w:rPr>
          <w:rFonts w:ascii="Book Antiqua" w:hAnsi="Book Antiqua"/>
          <w:sz w:val="24"/>
          <w:szCs w:val="24"/>
        </w:rPr>
        <w:t xml:space="preserve">University Hospital, </w:t>
      </w:r>
      <w:r w:rsidR="004C6032" w:rsidRPr="00691B3F">
        <w:rPr>
          <w:rFonts w:ascii="Book Antiqua" w:hAnsi="Book Antiqua"/>
          <w:sz w:val="24"/>
          <w:szCs w:val="24"/>
        </w:rPr>
        <w:t>185 South Orange Avenue, MSB H-538, Newark, NJ 07103</w:t>
      </w:r>
      <w:r w:rsidRPr="00691B3F">
        <w:rPr>
          <w:rFonts w:ascii="Book Antiqua" w:hAnsi="Book Antiqua"/>
          <w:sz w:val="24"/>
          <w:szCs w:val="24"/>
        </w:rPr>
        <w:t>,</w:t>
      </w:r>
      <w:r w:rsidR="004C6032" w:rsidRPr="00691B3F">
        <w:rPr>
          <w:rFonts w:ascii="Book Antiqua" w:hAnsi="Book Antiqua"/>
          <w:sz w:val="24"/>
          <w:szCs w:val="24"/>
        </w:rPr>
        <w:t xml:space="preserve"> </w:t>
      </w:r>
      <w:r w:rsidRPr="00691B3F">
        <w:rPr>
          <w:rFonts w:ascii="Book Antiqua" w:hAnsi="Book Antiqua"/>
          <w:sz w:val="24"/>
          <w:szCs w:val="24"/>
        </w:rPr>
        <w:t>U</w:t>
      </w:r>
      <w:r w:rsidR="00397BA0" w:rsidRPr="00691B3F">
        <w:rPr>
          <w:rFonts w:ascii="Book Antiqua" w:hAnsi="Book Antiqua"/>
          <w:sz w:val="24"/>
          <w:szCs w:val="24"/>
        </w:rPr>
        <w:t xml:space="preserve">nited </w:t>
      </w:r>
      <w:r w:rsidRPr="00691B3F">
        <w:rPr>
          <w:rFonts w:ascii="Book Antiqua" w:hAnsi="Book Antiqua"/>
          <w:sz w:val="24"/>
          <w:szCs w:val="24"/>
        </w:rPr>
        <w:t>S</w:t>
      </w:r>
      <w:r w:rsidR="00397BA0" w:rsidRPr="00691B3F">
        <w:rPr>
          <w:rFonts w:ascii="Book Antiqua" w:hAnsi="Book Antiqua"/>
          <w:sz w:val="24"/>
          <w:szCs w:val="24"/>
        </w:rPr>
        <w:t>tates</w:t>
      </w:r>
      <w:r w:rsidRPr="00691B3F">
        <w:rPr>
          <w:rFonts w:ascii="Book Antiqua" w:hAnsi="Book Antiqua" w:hint="eastAsia"/>
          <w:sz w:val="24"/>
          <w:szCs w:val="24"/>
          <w:lang w:eastAsia="zh-CN"/>
        </w:rPr>
        <w:t>.</w:t>
      </w:r>
      <w:r w:rsidRPr="00691B3F">
        <w:rPr>
          <w:rFonts w:ascii="Book Antiqua" w:hAnsi="Book Antiqua"/>
          <w:sz w:val="24"/>
          <w:szCs w:val="24"/>
          <w:lang w:eastAsia="zh-CN"/>
        </w:rPr>
        <w:t xml:space="preserve"> </w:t>
      </w:r>
      <w:r w:rsidR="003832DF" w:rsidRPr="00691B3F">
        <w:rPr>
          <w:rFonts w:ascii="Book Antiqua" w:hAnsi="Book Antiqua"/>
          <w:sz w:val="24"/>
          <w:szCs w:val="24"/>
        </w:rPr>
        <w:t>pyrsopni@njms.rutgers.edu</w:t>
      </w:r>
    </w:p>
    <w:p w14:paraId="4C0A50C0" w14:textId="084FB918" w:rsidR="003832DF" w:rsidRPr="00691B3F" w:rsidRDefault="003832DF" w:rsidP="00367FE4">
      <w:pPr>
        <w:pStyle w:val="a3"/>
        <w:snapToGrid w:val="0"/>
        <w:spacing w:line="360" w:lineRule="auto"/>
        <w:jc w:val="both"/>
        <w:rPr>
          <w:rFonts w:ascii="Book Antiqua" w:hAnsi="Book Antiqua"/>
          <w:sz w:val="24"/>
          <w:szCs w:val="24"/>
        </w:rPr>
      </w:pPr>
    </w:p>
    <w:p w14:paraId="093EF1BD" w14:textId="11382792" w:rsidR="00B7234D" w:rsidRPr="00691B3F" w:rsidRDefault="00B7234D" w:rsidP="00367FE4">
      <w:pPr>
        <w:snapToGrid w:val="0"/>
        <w:spacing w:after="0" w:line="360" w:lineRule="auto"/>
        <w:jc w:val="both"/>
        <w:rPr>
          <w:rFonts w:ascii="Book Antiqua" w:eastAsia="宋体" w:hAnsi="Book Antiqua" w:cs="Times New Roman"/>
          <w:b/>
          <w:sz w:val="24"/>
          <w:szCs w:val="24"/>
          <w:lang w:val="en-GB"/>
        </w:rPr>
      </w:pPr>
      <w:bookmarkStart w:id="3" w:name="_Hlk28872415"/>
      <w:r w:rsidRPr="00691B3F">
        <w:rPr>
          <w:rFonts w:ascii="Book Antiqua" w:eastAsia="宋体" w:hAnsi="Book Antiqua" w:cs="Times New Roman"/>
          <w:b/>
          <w:sz w:val="24"/>
          <w:szCs w:val="24"/>
          <w:lang w:val="en-GB"/>
        </w:rPr>
        <w:t>Received:</w:t>
      </w:r>
      <w:r w:rsidRPr="00691B3F">
        <w:rPr>
          <w:rFonts w:ascii="Book Antiqua" w:eastAsia="宋体" w:hAnsi="Book Antiqua" w:cs="Times New Roman" w:hint="eastAsia"/>
          <w:b/>
          <w:sz w:val="24"/>
          <w:szCs w:val="24"/>
          <w:lang w:val="en-GB" w:eastAsia="zh-CN"/>
        </w:rPr>
        <w:t xml:space="preserve"> </w:t>
      </w:r>
      <w:r w:rsidRPr="00691B3F">
        <w:rPr>
          <w:rFonts w:ascii="Book Antiqua" w:eastAsia="DengXian" w:hAnsi="Book Antiqua" w:cs="Times New Roman"/>
          <w:kern w:val="2"/>
          <w:sz w:val="24"/>
          <w:szCs w:val="24"/>
          <w:lang w:val="en-GB" w:eastAsia="zh-CN"/>
        </w:rPr>
        <w:t>October 11</w:t>
      </w:r>
      <w:r w:rsidRPr="00691B3F">
        <w:rPr>
          <w:rFonts w:ascii="Book Antiqua" w:eastAsia="宋体" w:hAnsi="Book Antiqua" w:cs="Times New Roman"/>
          <w:sz w:val="24"/>
          <w:szCs w:val="24"/>
          <w:lang w:val="en-GB" w:eastAsia="zh-CN"/>
        </w:rPr>
        <w:t>, 201</w:t>
      </w:r>
      <w:r w:rsidRPr="00691B3F">
        <w:rPr>
          <w:rFonts w:ascii="Book Antiqua" w:eastAsia="宋体" w:hAnsi="Book Antiqua" w:cs="Times New Roman" w:hint="eastAsia"/>
          <w:sz w:val="24"/>
          <w:szCs w:val="24"/>
          <w:lang w:val="en-GB" w:eastAsia="zh-CN"/>
        </w:rPr>
        <w:t>9</w:t>
      </w:r>
      <w:r w:rsidRPr="00691B3F">
        <w:rPr>
          <w:rFonts w:ascii="Book Antiqua" w:eastAsia="宋体" w:hAnsi="Book Antiqua" w:cs="Times New Roman"/>
          <w:sz w:val="24"/>
          <w:szCs w:val="24"/>
          <w:lang w:val="en-GB"/>
        </w:rPr>
        <w:t xml:space="preserve"> </w:t>
      </w:r>
    </w:p>
    <w:p w14:paraId="4ECC9A1B" w14:textId="0DCA2082" w:rsidR="00B7234D" w:rsidRPr="00691B3F" w:rsidRDefault="00B7234D" w:rsidP="00367FE4">
      <w:pPr>
        <w:snapToGrid w:val="0"/>
        <w:spacing w:after="0" w:line="360" w:lineRule="auto"/>
        <w:jc w:val="both"/>
        <w:rPr>
          <w:rFonts w:ascii="Book Antiqua" w:eastAsia="宋体" w:hAnsi="Book Antiqua" w:cs="Times New Roman"/>
          <w:b/>
          <w:sz w:val="24"/>
          <w:szCs w:val="24"/>
          <w:lang w:val="en-GB"/>
        </w:rPr>
      </w:pPr>
      <w:r w:rsidRPr="00691B3F">
        <w:rPr>
          <w:rFonts w:ascii="Book Antiqua" w:eastAsia="宋体" w:hAnsi="Book Antiqua" w:cs="Times New Roman"/>
          <w:b/>
          <w:sz w:val="24"/>
          <w:szCs w:val="24"/>
          <w:lang w:val="en-GB"/>
        </w:rPr>
        <w:t>Revised:</w:t>
      </w:r>
      <w:r w:rsidRPr="00691B3F">
        <w:rPr>
          <w:rFonts w:ascii="Book Antiqua" w:eastAsia="宋体" w:hAnsi="Book Antiqua" w:cs="Times New Roman" w:hint="eastAsia"/>
          <w:sz w:val="24"/>
          <w:szCs w:val="24"/>
          <w:lang w:val="en-GB" w:eastAsia="zh-CN"/>
        </w:rPr>
        <w:t xml:space="preserve"> </w:t>
      </w:r>
      <w:bookmarkStart w:id="4" w:name="_Hlk28872471"/>
      <w:r w:rsidRPr="00691B3F">
        <w:rPr>
          <w:rFonts w:ascii="Book Antiqua" w:eastAsia="宋体" w:hAnsi="Book Antiqua" w:cs="Times New Roman"/>
          <w:sz w:val="24"/>
          <w:szCs w:val="24"/>
          <w:lang w:val="en-GB"/>
        </w:rPr>
        <w:t>December</w:t>
      </w:r>
      <w:bookmarkEnd w:id="4"/>
      <w:r w:rsidRPr="00691B3F">
        <w:rPr>
          <w:rFonts w:ascii="Book Antiqua" w:eastAsia="DengXian" w:hAnsi="Book Antiqua" w:cs="Times New Roman"/>
          <w:kern w:val="2"/>
          <w:sz w:val="24"/>
          <w:szCs w:val="24"/>
          <w:lang w:val="en-GB" w:eastAsia="zh-CN"/>
        </w:rPr>
        <w:t xml:space="preserve"> 26</w:t>
      </w:r>
      <w:r w:rsidRPr="00691B3F">
        <w:rPr>
          <w:rFonts w:ascii="Book Antiqua" w:eastAsia="宋体" w:hAnsi="Book Antiqua" w:cs="Times New Roman"/>
          <w:sz w:val="24"/>
          <w:szCs w:val="24"/>
          <w:lang w:val="en-GB" w:eastAsia="zh-CN"/>
        </w:rPr>
        <w:t>, 201</w:t>
      </w:r>
      <w:r w:rsidRPr="00691B3F">
        <w:rPr>
          <w:rFonts w:ascii="Book Antiqua" w:eastAsia="宋体" w:hAnsi="Book Antiqua" w:cs="Times New Roman" w:hint="eastAsia"/>
          <w:sz w:val="24"/>
          <w:szCs w:val="24"/>
          <w:lang w:val="en-GB" w:eastAsia="zh-CN"/>
        </w:rPr>
        <w:t>9</w:t>
      </w:r>
      <w:r w:rsidRPr="00691B3F">
        <w:rPr>
          <w:rFonts w:ascii="Book Antiqua" w:eastAsia="宋体" w:hAnsi="Book Antiqua" w:cs="Times New Roman"/>
          <w:sz w:val="24"/>
          <w:szCs w:val="24"/>
          <w:lang w:val="en-GB"/>
        </w:rPr>
        <w:t xml:space="preserve"> </w:t>
      </w:r>
    </w:p>
    <w:p w14:paraId="1A40CB5D" w14:textId="4A591830" w:rsidR="00B7234D" w:rsidRPr="00691B3F" w:rsidRDefault="00B7234D" w:rsidP="00367FE4">
      <w:pPr>
        <w:snapToGrid w:val="0"/>
        <w:spacing w:after="0" w:line="360" w:lineRule="auto"/>
        <w:jc w:val="both"/>
        <w:rPr>
          <w:rFonts w:ascii="Book Antiqua" w:eastAsia="宋体" w:hAnsi="Book Antiqua" w:cs="Times New Roman"/>
          <w:b/>
          <w:sz w:val="24"/>
          <w:szCs w:val="24"/>
        </w:rPr>
      </w:pPr>
      <w:r w:rsidRPr="00691B3F">
        <w:rPr>
          <w:rFonts w:ascii="Book Antiqua" w:eastAsia="宋体" w:hAnsi="Book Antiqua" w:cs="Times New Roman"/>
          <w:b/>
          <w:sz w:val="24"/>
          <w:szCs w:val="24"/>
          <w:lang w:val="en-GB"/>
        </w:rPr>
        <w:t>Accepted:</w:t>
      </w:r>
      <w:r w:rsidR="008B58D5" w:rsidRPr="00691B3F">
        <w:rPr>
          <w:rFonts w:ascii="Calibri" w:eastAsia="宋体" w:hAnsi="Calibri" w:cs="Times New Roman"/>
        </w:rPr>
        <w:t xml:space="preserve"> </w:t>
      </w:r>
      <w:r w:rsidR="008B58D5" w:rsidRPr="00691B3F">
        <w:rPr>
          <w:rFonts w:ascii="Book Antiqua" w:eastAsia="宋体" w:hAnsi="Book Antiqua" w:cs="Times New Roman"/>
          <w:sz w:val="24"/>
          <w:szCs w:val="24"/>
        </w:rPr>
        <w:t>February 17, 2020</w:t>
      </w:r>
    </w:p>
    <w:p w14:paraId="4509BA86" w14:textId="00A6865D" w:rsidR="00B7234D" w:rsidRPr="00691B3F" w:rsidRDefault="003B781C" w:rsidP="00367FE4">
      <w:pPr>
        <w:snapToGrid w:val="0"/>
        <w:spacing w:after="0" w:line="360" w:lineRule="auto"/>
        <w:jc w:val="both"/>
        <w:rPr>
          <w:rFonts w:ascii="Book Antiqua" w:eastAsia="宋体" w:hAnsi="Book Antiqua" w:cs="Times New Roman"/>
          <w:b/>
          <w:sz w:val="24"/>
          <w:szCs w:val="24"/>
          <w:lang w:val="en-GB"/>
        </w:rPr>
      </w:pPr>
      <w:r w:rsidRPr="00691B3F">
        <w:rPr>
          <w:rFonts w:ascii="Book Antiqua" w:eastAsia="宋体" w:hAnsi="Book Antiqua" w:cs="Times New Roman"/>
          <w:b/>
          <w:sz w:val="24"/>
          <w:szCs w:val="24"/>
          <w:lang w:val="en-GB"/>
        </w:rPr>
        <w:t>Published online:</w:t>
      </w:r>
      <w:r w:rsidRPr="00691B3F">
        <w:rPr>
          <w:rFonts w:ascii="Book Antiqua" w:eastAsia="宋体" w:hAnsi="Book Antiqua" w:cs="Times New Roman" w:hint="eastAsia"/>
          <w:b/>
          <w:sz w:val="24"/>
          <w:szCs w:val="24"/>
          <w:lang w:val="en-GB" w:eastAsia="zh-CN"/>
        </w:rPr>
        <w:t xml:space="preserve"> </w:t>
      </w:r>
      <w:r w:rsidRPr="00691B3F">
        <w:rPr>
          <w:rFonts w:ascii="Book Antiqua" w:eastAsia="宋体" w:hAnsi="Book Antiqua" w:cs="Times New Roman" w:hint="eastAsia"/>
          <w:sz w:val="24"/>
          <w:szCs w:val="24"/>
          <w:lang w:val="en-GB" w:eastAsia="zh-CN"/>
        </w:rPr>
        <w:t>April 27, 2020</w:t>
      </w:r>
      <w:r w:rsidR="00B7234D" w:rsidRPr="00691B3F">
        <w:rPr>
          <w:rFonts w:ascii="Book Antiqua" w:eastAsia="宋体" w:hAnsi="Book Antiqua" w:cs="Times New Roman"/>
          <w:b/>
          <w:sz w:val="24"/>
          <w:szCs w:val="24"/>
          <w:lang w:val="en-GB"/>
        </w:rPr>
        <w:br w:type="page"/>
      </w:r>
    </w:p>
    <w:bookmarkEnd w:id="3"/>
    <w:p w14:paraId="4870A8DF" w14:textId="77777777" w:rsidR="000F2238" w:rsidRPr="00691B3F" w:rsidRDefault="000F2238" w:rsidP="00367FE4">
      <w:pPr>
        <w:adjustRightInd w:val="0"/>
        <w:snapToGrid w:val="0"/>
        <w:spacing w:after="0" w:line="360" w:lineRule="auto"/>
        <w:jc w:val="both"/>
        <w:rPr>
          <w:rFonts w:ascii="Book Antiqua" w:eastAsia="宋体" w:hAnsi="Book Antiqua" w:cs="Calibri"/>
          <w:b/>
          <w:sz w:val="24"/>
          <w:szCs w:val="24"/>
        </w:rPr>
      </w:pPr>
      <w:r w:rsidRPr="00691B3F">
        <w:rPr>
          <w:rFonts w:ascii="Book Antiqua" w:eastAsia="宋体" w:hAnsi="Book Antiqua" w:cs="Calibri"/>
          <w:b/>
          <w:sz w:val="24"/>
          <w:szCs w:val="24"/>
        </w:rPr>
        <w:lastRenderedPageBreak/>
        <w:t>Abstract</w:t>
      </w:r>
    </w:p>
    <w:p w14:paraId="10F140C6" w14:textId="2D98B44E" w:rsidR="006D47D3" w:rsidRPr="00691B3F" w:rsidRDefault="00C80D98" w:rsidP="00367FE4">
      <w:pPr>
        <w:pStyle w:val="a3"/>
        <w:snapToGrid w:val="0"/>
        <w:spacing w:line="360" w:lineRule="auto"/>
        <w:jc w:val="both"/>
        <w:rPr>
          <w:rFonts w:ascii="Book Antiqua" w:hAnsi="Book Antiqua"/>
          <w:sz w:val="24"/>
          <w:szCs w:val="24"/>
        </w:rPr>
      </w:pPr>
      <w:r w:rsidRPr="00691B3F">
        <w:rPr>
          <w:rFonts w:ascii="Book Antiqua" w:hAnsi="Book Antiqua"/>
          <w:bCs/>
          <w:sz w:val="24"/>
          <w:szCs w:val="24"/>
        </w:rPr>
        <w:t>Drug induced liver injury</w:t>
      </w:r>
      <w:r w:rsidR="00371DA9" w:rsidRPr="00691B3F">
        <w:rPr>
          <w:rFonts w:ascii="Book Antiqua" w:hAnsi="Book Antiqua"/>
          <w:bCs/>
          <w:sz w:val="24"/>
          <w:szCs w:val="24"/>
        </w:rPr>
        <w:t xml:space="preserve"> (DILI)</w:t>
      </w:r>
      <w:r w:rsidRPr="00691B3F">
        <w:rPr>
          <w:rFonts w:ascii="Book Antiqua" w:hAnsi="Book Antiqua"/>
          <w:bCs/>
          <w:sz w:val="24"/>
          <w:szCs w:val="24"/>
        </w:rPr>
        <w:t xml:space="preserve"> is a common cause of a</w:t>
      </w:r>
      <w:r w:rsidR="006D47D3" w:rsidRPr="00691B3F">
        <w:rPr>
          <w:rFonts w:ascii="Book Antiqua" w:hAnsi="Book Antiqua"/>
          <w:bCs/>
          <w:sz w:val="24"/>
          <w:szCs w:val="24"/>
        </w:rPr>
        <w:t>cute liver injury</w:t>
      </w:r>
      <w:r w:rsidRPr="00691B3F">
        <w:rPr>
          <w:rFonts w:ascii="Book Antiqua" w:hAnsi="Book Antiqua"/>
          <w:bCs/>
          <w:sz w:val="24"/>
          <w:szCs w:val="24"/>
        </w:rPr>
        <w:t>.</w:t>
      </w:r>
      <w:r w:rsidR="00B7234D" w:rsidRPr="00691B3F">
        <w:rPr>
          <w:rFonts w:ascii="Book Antiqua" w:hAnsi="Book Antiqua"/>
          <w:bCs/>
          <w:sz w:val="24"/>
          <w:szCs w:val="24"/>
        </w:rPr>
        <w:t xml:space="preserve"> </w:t>
      </w:r>
      <w:proofErr w:type="spellStart"/>
      <w:r w:rsidR="006D47D3" w:rsidRPr="00691B3F">
        <w:rPr>
          <w:rFonts w:ascii="Book Antiqua" w:hAnsi="Book Antiqua"/>
          <w:bCs/>
          <w:sz w:val="24"/>
          <w:szCs w:val="24"/>
        </w:rPr>
        <w:t>Paracetamol</w:t>
      </w:r>
      <w:proofErr w:type="spellEnd"/>
      <w:r w:rsidR="006D47D3" w:rsidRPr="00691B3F">
        <w:rPr>
          <w:rFonts w:ascii="Book Antiqua" w:hAnsi="Book Antiqua"/>
          <w:bCs/>
          <w:sz w:val="24"/>
          <w:szCs w:val="24"/>
        </w:rPr>
        <w:t xml:space="preserve">, also known as acetaminophen, is a widely used anti-pyretic that has </w:t>
      </w:r>
      <w:r w:rsidR="00371DA9" w:rsidRPr="00691B3F">
        <w:rPr>
          <w:rFonts w:ascii="Book Antiqua" w:hAnsi="Book Antiqua"/>
          <w:bCs/>
          <w:sz w:val="24"/>
          <w:szCs w:val="24"/>
        </w:rPr>
        <w:t>long been established to cause</w:t>
      </w:r>
      <w:r w:rsidR="006D47D3" w:rsidRPr="00691B3F">
        <w:rPr>
          <w:rFonts w:ascii="Book Antiqua" w:hAnsi="Book Antiqua"/>
          <w:bCs/>
          <w:sz w:val="24"/>
          <w:szCs w:val="24"/>
        </w:rPr>
        <w:t xml:space="preserve"> liver toxicity once above therapeutic levels.</w:t>
      </w:r>
      <w:r w:rsidR="00371DA9" w:rsidRPr="00691B3F">
        <w:rPr>
          <w:rFonts w:ascii="Book Antiqua" w:hAnsi="Book Antiqua"/>
          <w:bCs/>
          <w:sz w:val="24"/>
          <w:szCs w:val="24"/>
        </w:rPr>
        <w:t xml:space="preserve"> Hepatotoxicity from </w:t>
      </w:r>
      <w:proofErr w:type="spellStart"/>
      <w:r w:rsidR="00371DA9" w:rsidRPr="00691B3F">
        <w:rPr>
          <w:rFonts w:ascii="Book Antiqua" w:hAnsi="Book Antiqua"/>
          <w:bCs/>
          <w:sz w:val="24"/>
          <w:szCs w:val="24"/>
        </w:rPr>
        <w:t>paracetamol</w:t>
      </w:r>
      <w:proofErr w:type="spellEnd"/>
      <w:r w:rsidR="00371DA9" w:rsidRPr="00691B3F">
        <w:rPr>
          <w:rFonts w:ascii="Book Antiqua" w:hAnsi="Book Antiqua"/>
          <w:bCs/>
          <w:sz w:val="24"/>
          <w:szCs w:val="24"/>
        </w:rPr>
        <w:t xml:space="preserve"> overdose, whether intentional or non-intentional, is</w:t>
      </w:r>
      <w:r w:rsidR="006D47D3" w:rsidRPr="00691B3F">
        <w:rPr>
          <w:rFonts w:ascii="Book Antiqua" w:hAnsi="Book Antiqua"/>
          <w:bCs/>
          <w:sz w:val="24"/>
          <w:szCs w:val="24"/>
        </w:rPr>
        <w:t xml:space="preserve"> the most common cause of DILI in the United States</w:t>
      </w:r>
      <w:r w:rsidR="00371DA9" w:rsidRPr="00691B3F">
        <w:rPr>
          <w:rFonts w:ascii="Book Antiqua" w:hAnsi="Book Antiqua"/>
          <w:bCs/>
          <w:sz w:val="24"/>
          <w:szCs w:val="24"/>
        </w:rPr>
        <w:t xml:space="preserve"> and remains a global issue.</w:t>
      </w:r>
      <w:r w:rsidR="000F2238" w:rsidRPr="00691B3F">
        <w:rPr>
          <w:rFonts w:ascii="Book Antiqua" w:hAnsi="Book Antiqua"/>
          <w:bCs/>
          <w:sz w:val="24"/>
          <w:szCs w:val="24"/>
        </w:rPr>
        <w:t xml:space="preserve"> </w:t>
      </w:r>
      <w:r w:rsidR="008B13B7" w:rsidRPr="00691B3F">
        <w:rPr>
          <w:rFonts w:ascii="Book Antiqua" w:hAnsi="Book Antiqua"/>
          <w:bCs/>
          <w:sz w:val="24"/>
          <w:szCs w:val="24"/>
        </w:rPr>
        <w:t xml:space="preserve">Given the increased prevalence of combination medications in the form of pain relievers and antihistamines, </w:t>
      </w:r>
      <w:proofErr w:type="spellStart"/>
      <w:r w:rsidR="008B13B7" w:rsidRPr="00691B3F">
        <w:rPr>
          <w:rFonts w:ascii="Book Antiqua" w:hAnsi="Book Antiqua"/>
          <w:bCs/>
          <w:sz w:val="24"/>
          <w:szCs w:val="24"/>
        </w:rPr>
        <w:t>paracetamol</w:t>
      </w:r>
      <w:proofErr w:type="spellEnd"/>
      <w:r w:rsidR="008B13B7" w:rsidRPr="00691B3F">
        <w:rPr>
          <w:rFonts w:ascii="Book Antiqua" w:hAnsi="Book Antiqua"/>
          <w:bCs/>
          <w:sz w:val="24"/>
          <w:szCs w:val="24"/>
        </w:rPr>
        <w:t xml:space="preserve"> </w:t>
      </w:r>
      <w:r w:rsidR="00B251D9" w:rsidRPr="00691B3F">
        <w:rPr>
          <w:rFonts w:ascii="Book Antiqua" w:hAnsi="Book Antiqua"/>
          <w:bCs/>
          <w:sz w:val="24"/>
          <w:szCs w:val="24"/>
        </w:rPr>
        <w:t>can be difficult to identify</w:t>
      </w:r>
      <w:r w:rsidR="00351CFA" w:rsidRPr="00691B3F">
        <w:rPr>
          <w:rFonts w:ascii="Book Antiqua" w:hAnsi="Book Antiqua"/>
          <w:bCs/>
          <w:sz w:val="24"/>
          <w:szCs w:val="24"/>
        </w:rPr>
        <w:t xml:space="preserve"> and remains a significant </w:t>
      </w:r>
      <w:r w:rsidR="00A5333C" w:rsidRPr="00691B3F">
        <w:rPr>
          <w:rFonts w:ascii="Book Antiqua" w:hAnsi="Book Antiqua"/>
          <w:bCs/>
          <w:sz w:val="24"/>
          <w:szCs w:val="24"/>
        </w:rPr>
        <w:t>cause</w:t>
      </w:r>
      <w:r w:rsidR="00351CFA" w:rsidRPr="00691B3F">
        <w:rPr>
          <w:rFonts w:ascii="Book Antiqua" w:hAnsi="Book Antiqua"/>
          <w:bCs/>
          <w:sz w:val="24"/>
          <w:szCs w:val="24"/>
        </w:rPr>
        <w:t xml:space="preserve"> of </w:t>
      </w:r>
      <w:r w:rsidR="008B13B7" w:rsidRPr="00691B3F">
        <w:rPr>
          <w:rFonts w:ascii="Book Antiqua" w:hAnsi="Book Antiqua"/>
          <w:bCs/>
          <w:sz w:val="24"/>
          <w:szCs w:val="24"/>
        </w:rPr>
        <w:t>acute hepatotoxicity</w:t>
      </w:r>
      <w:r w:rsidR="006545EE" w:rsidRPr="00691B3F">
        <w:rPr>
          <w:rFonts w:ascii="Book Antiqua" w:hAnsi="Book Antiqua"/>
          <w:bCs/>
          <w:sz w:val="24"/>
          <w:szCs w:val="24"/>
        </w:rPr>
        <w:t>, as</w:t>
      </w:r>
      <w:r w:rsidR="008B13B7" w:rsidRPr="00691B3F">
        <w:rPr>
          <w:rFonts w:ascii="Book Antiqua" w:hAnsi="Book Antiqua"/>
          <w:bCs/>
          <w:sz w:val="24"/>
          <w:szCs w:val="24"/>
        </w:rPr>
        <w:t xml:space="preserve"> evidenced by </w:t>
      </w:r>
      <w:r w:rsidR="00351CFA" w:rsidRPr="00691B3F">
        <w:rPr>
          <w:rFonts w:ascii="Book Antiqua" w:hAnsi="Book Antiqua"/>
          <w:bCs/>
          <w:sz w:val="24"/>
          <w:szCs w:val="24"/>
        </w:rPr>
        <w:t>its</w:t>
      </w:r>
      <w:r w:rsidR="008B13B7" w:rsidRPr="00691B3F">
        <w:rPr>
          <w:rFonts w:ascii="Book Antiqua" w:hAnsi="Book Antiqua"/>
          <w:bCs/>
          <w:sz w:val="24"/>
          <w:szCs w:val="24"/>
        </w:rPr>
        <w:t xml:space="preserve"> contributi</w:t>
      </w:r>
      <w:r w:rsidR="00351CFA" w:rsidRPr="00691B3F">
        <w:rPr>
          <w:rFonts w:ascii="Book Antiqua" w:hAnsi="Book Antiqua"/>
          <w:bCs/>
          <w:sz w:val="24"/>
          <w:szCs w:val="24"/>
        </w:rPr>
        <w:t>o</w:t>
      </w:r>
      <w:r w:rsidR="008B13B7" w:rsidRPr="00691B3F">
        <w:rPr>
          <w:rFonts w:ascii="Book Antiqua" w:hAnsi="Book Antiqua"/>
          <w:bCs/>
          <w:sz w:val="24"/>
          <w:szCs w:val="24"/>
        </w:rPr>
        <w:t xml:space="preserve">n to over half of </w:t>
      </w:r>
      <w:r w:rsidR="00652E18" w:rsidRPr="00691B3F">
        <w:rPr>
          <w:rFonts w:ascii="Book Antiqua" w:hAnsi="Book Antiqua"/>
          <w:bCs/>
          <w:sz w:val="24"/>
          <w:szCs w:val="24"/>
        </w:rPr>
        <w:t xml:space="preserve">all </w:t>
      </w:r>
      <w:r w:rsidR="008B13B7" w:rsidRPr="00691B3F">
        <w:rPr>
          <w:rFonts w:ascii="Book Antiqua" w:hAnsi="Book Antiqua"/>
          <w:bCs/>
          <w:sz w:val="24"/>
          <w:szCs w:val="24"/>
        </w:rPr>
        <w:t>acute liver failure cases in the United States.</w:t>
      </w:r>
      <w:r w:rsidR="000F2238" w:rsidRPr="00691B3F">
        <w:rPr>
          <w:rFonts w:ascii="Book Antiqua" w:hAnsi="Book Antiqua"/>
          <w:bCs/>
          <w:sz w:val="24"/>
          <w:szCs w:val="24"/>
        </w:rPr>
        <w:t xml:space="preserve"> </w:t>
      </w:r>
      <w:r w:rsidR="008B13B7" w:rsidRPr="00691B3F">
        <w:rPr>
          <w:rFonts w:ascii="Book Antiqua" w:hAnsi="Book Antiqua"/>
          <w:bCs/>
          <w:sz w:val="24"/>
          <w:szCs w:val="24"/>
        </w:rPr>
        <w:t>This is especially concerning given that</w:t>
      </w:r>
      <w:r w:rsidR="00B251D9" w:rsidRPr="00691B3F">
        <w:rPr>
          <w:rFonts w:ascii="Book Antiqua" w:hAnsi="Book Antiqua"/>
          <w:bCs/>
          <w:sz w:val="24"/>
          <w:szCs w:val="24"/>
        </w:rPr>
        <w:t>,</w:t>
      </w:r>
      <w:r w:rsidR="008B13B7" w:rsidRPr="00691B3F">
        <w:rPr>
          <w:rFonts w:ascii="Book Antiqua" w:hAnsi="Book Antiqua"/>
          <w:bCs/>
          <w:sz w:val="24"/>
          <w:szCs w:val="24"/>
        </w:rPr>
        <w:t xml:space="preserve"> when co-ingested with other medications, the rise in serum </w:t>
      </w:r>
      <w:proofErr w:type="spellStart"/>
      <w:r w:rsidR="008B13B7" w:rsidRPr="00691B3F">
        <w:rPr>
          <w:rFonts w:ascii="Book Antiqua" w:hAnsi="Book Antiqua"/>
          <w:bCs/>
          <w:sz w:val="24"/>
          <w:szCs w:val="24"/>
        </w:rPr>
        <w:t>paracetamol</w:t>
      </w:r>
      <w:proofErr w:type="spellEnd"/>
      <w:r w:rsidR="008B13B7" w:rsidRPr="00691B3F">
        <w:rPr>
          <w:rFonts w:ascii="Book Antiqua" w:hAnsi="Book Antiqua"/>
          <w:bCs/>
          <w:sz w:val="24"/>
          <w:szCs w:val="24"/>
        </w:rPr>
        <w:t xml:space="preserve"> levels may be delayed past the 4-hour post-ingestion mark that is currently used to determine patients that require medical therapy.</w:t>
      </w:r>
      <w:r w:rsidR="000F2238" w:rsidRPr="00691B3F">
        <w:rPr>
          <w:rFonts w:ascii="Book Antiqua" w:hAnsi="Book Antiqua"/>
          <w:bCs/>
          <w:sz w:val="24"/>
          <w:szCs w:val="24"/>
        </w:rPr>
        <w:t xml:space="preserve"> </w:t>
      </w:r>
      <w:r w:rsidR="00145DAD" w:rsidRPr="00691B3F">
        <w:rPr>
          <w:rFonts w:ascii="Book Antiqua" w:hAnsi="Book Antiqua"/>
          <w:sz w:val="24"/>
          <w:szCs w:val="24"/>
        </w:rPr>
        <w:t>This review serves</w:t>
      </w:r>
      <w:r w:rsidR="006D47D3" w:rsidRPr="00691B3F">
        <w:rPr>
          <w:rFonts w:ascii="Book Antiqua" w:hAnsi="Book Antiqua"/>
          <w:sz w:val="24"/>
          <w:szCs w:val="24"/>
        </w:rPr>
        <w:t xml:space="preserve"> to describe the clinical and pathophysiologic features of hepatotoxicity secondary to </w:t>
      </w:r>
      <w:proofErr w:type="spellStart"/>
      <w:r w:rsidR="006D47D3" w:rsidRPr="00691B3F">
        <w:rPr>
          <w:rFonts w:ascii="Book Antiqua" w:hAnsi="Book Antiqua"/>
          <w:sz w:val="24"/>
          <w:szCs w:val="24"/>
        </w:rPr>
        <w:t>paracetamol</w:t>
      </w:r>
      <w:proofErr w:type="spellEnd"/>
      <w:r w:rsidR="006D47D3" w:rsidRPr="00691B3F">
        <w:rPr>
          <w:rFonts w:ascii="Book Antiqua" w:hAnsi="Book Antiqua"/>
          <w:sz w:val="24"/>
          <w:szCs w:val="24"/>
        </w:rPr>
        <w:t xml:space="preserve"> and provide an update on current available knowledge and treatment options.</w:t>
      </w:r>
    </w:p>
    <w:p w14:paraId="76A32C8F" w14:textId="6B27ACEE" w:rsidR="00F33A65" w:rsidRPr="00691B3F" w:rsidRDefault="00F33A65" w:rsidP="00367FE4">
      <w:pPr>
        <w:pStyle w:val="a3"/>
        <w:snapToGrid w:val="0"/>
        <w:spacing w:line="360" w:lineRule="auto"/>
        <w:jc w:val="both"/>
        <w:rPr>
          <w:rFonts w:ascii="Book Antiqua" w:hAnsi="Book Antiqua"/>
          <w:sz w:val="24"/>
          <w:szCs w:val="24"/>
        </w:rPr>
      </w:pPr>
    </w:p>
    <w:p w14:paraId="72D502AB" w14:textId="3D974719" w:rsidR="00A703B9" w:rsidRPr="00691B3F" w:rsidRDefault="00A703B9" w:rsidP="00367FE4">
      <w:pPr>
        <w:pStyle w:val="1"/>
        <w:snapToGrid w:val="0"/>
        <w:spacing w:line="360" w:lineRule="auto"/>
        <w:jc w:val="both"/>
        <w:rPr>
          <w:rFonts w:ascii="Book Antiqua" w:eastAsiaTheme="minorEastAsia" w:hAnsi="Book Antiqua" w:cs="Times New Roman"/>
          <w:b/>
          <w:color w:val="auto"/>
          <w:sz w:val="24"/>
          <w:szCs w:val="24"/>
          <w:lang w:val="en-US" w:eastAsia="en-US"/>
        </w:rPr>
      </w:pPr>
      <w:bookmarkStart w:id="5" w:name="_Hlk28872569"/>
      <w:bookmarkStart w:id="6" w:name="OLE_LINK890"/>
      <w:bookmarkStart w:id="7" w:name="OLE_LINK896"/>
      <w:bookmarkStart w:id="8" w:name="OLE_LINK629"/>
      <w:r w:rsidRPr="00691B3F">
        <w:rPr>
          <w:rFonts w:ascii="Book Antiqua" w:hAnsi="Book Antiqua" w:cs="Calibri"/>
          <w:b/>
          <w:sz w:val="24"/>
          <w:szCs w:val="24"/>
          <w:lang w:eastAsia="en-US"/>
        </w:rPr>
        <w:t>Key</w:t>
      </w:r>
      <w:r w:rsidRPr="00691B3F">
        <w:rPr>
          <w:rFonts w:ascii="Book Antiqua" w:hAnsi="Book Antiqua" w:cs="Calibri"/>
          <w:b/>
          <w:sz w:val="24"/>
          <w:szCs w:val="24"/>
        </w:rPr>
        <w:t xml:space="preserve"> </w:t>
      </w:r>
      <w:r w:rsidRPr="00691B3F">
        <w:rPr>
          <w:rFonts w:ascii="Book Antiqua" w:hAnsi="Book Antiqua" w:cs="Calibri"/>
          <w:b/>
          <w:sz w:val="24"/>
          <w:szCs w:val="24"/>
          <w:lang w:eastAsia="en-US"/>
        </w:rPr>
        <w:t>words:</w:t>
      </w:r>
      <w:bookmarkEnd w:id="5"/>
      <w:r w:rsidR="00A368B5" w:rsidRPr="00691B3F">
        <w:rPr>
          <w:rFonts w:ascii="Book Antiqua" w:eastAsiaTheme="minorEastAsia" w:hAnsi="Book Antiqua" w:cs="Times New Roman"/>
          <w:b/>
          <w:color w:val="auto"/>
          <w:sz w:val="24"/>
          <w:szCs w:val="24"/>
          <w:lang w:val="en-US" w:eastAsia="en-US"/>
        </w:rPr>
        <w:t xml:space="preserve"> </w:t>
      </w:r>
      <w:proofErr w:type="spellStart"/>
      <w:r w:rsidR="00A368B5" w:rsidRPr="00691B3F">
        <w:rPr>
          <w:rFonts w:ascii="Book Antiqua" w:eastAsiaTheme="minorEastAsia" w:hAnsi="Book Antiqua" w:cs="Times New Roman"/>
          <w:bCs/>
          <w:color w:val="auto"/>
          <w:sz w:val="24"/>
          <w:szCs w:val="24"/>
          <w:lang w:val="en-US" w:eastAsia="en-US"/>
        </w:rPr>
        <w:t>Paracetamol</w:t>
      </w:r>
      <w:proofErr w:type="spellEnd"/>
      <w:r w:rsidRPr="00691B3F">
        <w:rPr>
          <w:rFonts w:ascii="Book Antiqua" w:eastAsiaTheme="minorEastAsia" w:hAnsi="Book Antiqua" w:cs="Times New Roman" w:hint="eastAsia"/>
          <w:bCs/>
          <w:color w:val="auto"/>
          <w:sz w:val="24"/>
          <w:szCs w:val="24"/>
          <w:lang w:val="en-US" w:eastAsia="zh-CN"/>
        </w:rPr>
        <w:t>;</w:t>
      </w:r>
      <w:r w:rsidR="00A368B5" w:rsidRPr="00691B3F">
        <w:rPr>
          <w:rFonts w:ascii="Book Antiqua" w:eastAsiaTheme="minorEastAsia" w:hAnsi="Book Antiqua" w:cs="Times New Roman"/>
          <w:bCs/>
          <w:color w:val="auto"/>
          <w:sz w:val="24"/>
          <w:szCs w:val="24"/>
          <w:lang w:val="en-US" w:eastAsia="en-US"/>
        </w:rPr>
        <w:t xml:space="preserve"> Drug-induced liver injury</w:t>
      </w:r>
      <w:r w:rsidRPr="00691B3F">
        <w:rPr>
          <w:rFonts w:ascii="Book Antiqua" w:eastAsiaTheme="minorEastAsia" w:hAnsi="Book Antiqua" w:cs="Times New Roman"/>
          <w:bCs/>
          <w:color w:val="auto"/>
          <w:sz w:val="24"/>
          <w:szCs w:val="24"/>
          <w:lang w:val="en-US" w:eastAsia="en-US"/>
        </w:rPr>
        <w:t>;</w:t>
      </w:r>
      <w:r w:rsidR="00A368B5" w:rsidRPr="00691B3F">
        <w:rPr>
          <w:rFonts w:ascii="Book Antiqua" w:eastAsiaTheme="minorEastAsia" w:hAnsi="Book Antiqua" w:cs="Times New Roman"/>
          <w:bCs/>
          <w:color w:val="auto"/>
          <w:sz w:val="24"/>
          <w:szCs w:val="24"/>
          <w:lang w:val="en-US" w:eastAsia="en-US"/>
        </w:rPr>
        <w:t xml:space="preserve"> </w:t>
      </w:r>
      <w:r w:rsidRPr="00691B3F">
        <w:rPr>
          <w:rFonts w:ascii="Book Antiqua" w:eastAsiaTheme="minorEastAsia" w:hAnsi="Book Antiqua" w:cs="Times New Roman"/>
          <w:bCs/>
          <w:color w:val="auto"/>
          <w:sz w:val="24"/>
          <w:szCs w:val="24"/>
          <w:lang w:val="en-US" w:eastAsia="en-US"/>
        </w:rPr>
        <w:t>Hepatotoxicity;</w:t>
      </w:r>
      <w:r w:rsidR="00A368B5" w:rsidRPr="00691B3F">
        <w:rPr>
          <w:rFonts w:ascii="Book Antiqua" w:eastAsiaTheme="minorEastAsia" w:hAnsi="Book Antiqua" w:cs="Times New Roman"/>
          <w:bCs/>
          <w:color w:val="auto"/>
          <w:sz w:val="24"/>
          <w:szCs w:val="24"/>
          <w:lang w:val="en-US" w:eastAsia="en-US"/>
        </w:rPr>
        <w:t xml:space="preserve"> </w:t>
      </w:r>
      <w:r w:rsidRPr="00691B3F">
        <w:rPr>
          <w:rFonts w:ascii="Book Antiqua" w:eastAsiaTheme="minorEastAsia" w:hAnsi="Book Antiqua" w:cs="Times New Roman"/>
          <w:bCs/>
          <w:color w:val="auto"/>
          <w:sz w:val="24"/>
          <w:szCs w:val="24"/>
          <w:lang w:val="en-US" w:eastAsia="en-US"/>
        </w:rPr>
        <w:t xml:space="preserve">Acute </w:t>
      </w:r>
      <w:r w:rsidR="00A368B5" w:rsidRPr="00691B3F">
        <w:rPr>
          <w:rFonts w:ascii="Book Antiqua" w:eastAsiaTheme="minorEastAsia" w:hAnsi="Book Antiqua" w:cs="Times New Roman"/>
          <w:bCs/>
          <w:color w:val="auto"/>
          <w:sz w:val="24"/>
          <w:szCs w:val="24"/>
          <w:lang w:val="en-US" w:eastAsia="en-US"/>
        </w:rPr>
        <w:t>liver failure</w:t>
      </w:r>
      <w:bookmarkStart w:id="9" w:name="OLE_LINK284"/>
      <w:bookmarkStart w:id="10" w:name="OLE_LINK285"/>
    </w:p>
    <w:p w14:paraId="1E6ED9A8" w14:textId="77777777" w:rsidR="00A703B9" w:rsidRPr="00691B3F" w:rsidRDefault="00A703B9" w:rsidP="00367FE4">
      <w:pPr>
        <w:adjustRightInd w:val="0"/>
        <w:snapToGrid w:val="0"/>
        <w:spacing w:after="0" w:line="360" w:lineRule="auto"/>
        <w:jc w:val="both"/>
        <w:rPr>
          <w:rFonts w:ascii="Book Antiqua" w:eastAsia="宋体" w:hAnsi="Book Antiqua" w:cs="Times New Roman"/>
          <w:i/>
          <w:sz w:val="24"/>
          <w:szCs w:val="24"/>
          <w:lang w:eastAsia="zh-CN"/>
        </w:rPr>
      </w:pPr>
    </w:p>
    <w:p w14:paraId="152C58F0" w14:textId="5F55C385" w:rsidR="00547FC9" w:rsidRDefault="00547FC9" w:rsidP="00367FE4">
      <w:pPr>
        <w:adjustRightInd w:val="0"/>
        <w:snapToGrid w:val="0"/>
        <w:spacing w:after="0" w:line="360" w:lineRule="auto"/>
        <w:jc w:val="both"/>
        <w:rPr>
          <w:rFonts w:ascii="Book Antiqua" w:eastAsia="宋体" w:hAnsi="Book Antiqua" w:cs="Times New Roman"/>
          <w:iCs/>
          <w:sz w:val="24"/>
          <w:szCs w:val="24"/>
          <w:lang w:val="el-GR" w:eastAsia="zh-CN"/>
        </w:rPr>
      </w:pPr>
      <w:r w:rsidRPr="00547FC9">
        <w:rPr>
          <w:rFonts w:ascii="Book Antiqua" w:eastAsia="宋体" w:hAnsi="Book Antiqua" w:cs="Times New Roman"/>
          <w:b/>
          <w:iCs/>
          <w:sz w:val="24"/>
          <w:szCs w:val="24"/>
          <w:lang w:eastAsia="zh-CN"/>
        </w:rPr>
        <w:t xml:space="preserve">Citation: </w:t>
      </w:r>
      <w:proofErr w:type="spellStart"/>
      <w:r w:rsidR="00A703B9" w:rsidRPr="00691B3F">
        <w:rPr>
          <w:rFonts w:ascii="Book Antiqua" w:eastAsia="宋体" w:hAnsi="Book Antiqua" w:cs="Times New Roman"/>
          <w:iCs/>
          <w:sz w:val="24"/>
          <w:szCs w:val="24"/>
          <w:lang w:eastAsia="zh-CN"/>
        </w:rPr>
        <w:t>Rotundo</w:t>
      </w:r>
      <w:proofErr w:type="spellEnd"/>
      <w:r w:rsidR="00A703B9" w:rsidRPr="00691B3F">
        <w:rPr>
          <w:rFonts w:ascii="Book Antiqua" w:eastAsia="宋体" w:hAnsi="Book Antiqua" w:cs="Times New Roman"/>
          <w:iCs/>
          <w:sz w:val="24"/>
          <w:szCs w:val="24"/>
          <w:lang w:eastAsia="zh-CN"/>
        </w:rPr>
        <w:t xml:space="preserve"> L, </w:t>
      </w:r>
      <w:proofErr w:type="spellStart"/>
      <w:r w:rsidR="00A703B9" w:rsidRPr="00691B3F">
        <w:rPr>
          <w:rFonts w:ascii="Book Antiqua" w:eastAsia="宋体" w:hAnsi="Book Antiqua" w:cs="Times New Roman"/>
          <w:iCs/>
          <w:sz w:val="24"/>
          <w:szCs w:val="24"/>
          <w:lang w:eastAsia="zh-CN"/>
        </w:rPr>
        <w:t>Pyrsopoulos</w:t>
      </w:r>
      <w:proofErr w:type="spellEnd"/>
      <w:r w:rsidR="000F2238" w:rsidRPr="00691B3F">
        <w:rPr>
          <w:rFonts w:ascii="Book Antiqua" w:eastAsia="宋体" w:hAnsi="Book Antiqua" w:cs="Times New Roman"/>
          <w:iCs/>
          <w:sz w:val="24"/>
          <w:szCs w:val="24"/>
          <w:lang w:eastAsia="zh-CN"/>
        </w:rPr>
        <w:t xml:space="preserve"> N</w:t>
      </w:r>
      <w:r w:rsidR="00A703B9" w:rsidRPr="00691B3F">
        <w:rPr>
          <w:rFonts w:ascii="Book Antiqua" w:eastAsia="宋体" w:hAnsi="Book Antiqua" w:cs="Times New Roman"/>
          <w:iCs/>
          <w:sz w:val="24"/>
          <w:szCs w:val="24"/>
          <w:lang w:eastAsia="zh-CN"/>
        </w:rPr>
        <w:t xml:space="preserve">. Liver injury induced by </w:t>
      </w:r>
      <w:proofErr w:type="spellStart"/>
      <w:r w:rsidR="00A703B9" w:rsidRPr="00691B3F">
        <w:rPr>
          <w:rFonts w:ascii="Book Antiqua" w:eastAsia="宋体" w:hAnsi="Book Antiqua" w:cs="Times New Roman"/>
          <w:iCs/>
          <w:sz w:val="24"/>
          <w:szCs w:val="24"/>
          <w:lang w:eastAsia="zh-CN"/>
        </w:rPr>
        <w:t>paracetamol</w:t>
      </w:r>
      <w:proofErr w:type="spellEnd"/>
      <w:r w:rsidR="00A703B9" w:rsidRPr="00691B3F">
        <w:rPr>
          <w:rFonts w:ascii="Book Antiqua" w:eastAsia="宋体" w:hAnsi="Book Antiqua" w:cs="Times New Roman"/>
          <w:iCs/>
          <w:sz w:val="24"/>
          <w:szCs w:val="24"/>
          <w:lang w:eastAsia="zh-CN"/>
        </w:rPr>
        <w:t xml:space="preserve"> and challenges associated with intentional and unintentional use</w:t>
      </w:r>
      <w:r w:rsidR="00A703B9" w:rsidRPr="00691B3F">
        <w:rPr>
          <w:rFonts w:ascii="Book Antiqua" w:eastAsia="宋体" w:hAnsi="Book Antiqua" w:cs="Times New Roman" w:hint="eastAsia"/>
          <w:iCs/>
          <w:sz w:val="24"/>
          <w:szCs w:val="24"/>
          <w:lang w:eastAsia="zh-CN"/>
        </w:rPr>
        <w:t>.</w:t>
      </w:r>
      <w:r w:rsidR="00A703B9" w:rsidRPr="00691B3F">
        <w:rPr>
          <w:rFonts w:ascii="Book Antiqua" w:eastAsia="宋体" w:hAnsi="Book Antiqua" w:cs="Times New Roman"/>
          <w:i/>
          <w:sz w:val="24"/>
          <w:szCs w:val="24"/>
          <w:lang w:eastAsia="zh-CN"/>
        </w:rPr>
        <w:t xml:space="preserve"> World J </w:t>
      </w:r>
      <w:proofErr w:type="spellStart"/>
      <w:r w:rsidR="00A703B9" w:rsidRPr="00691B3F">
        <w:rPr>
          <w:rFonts w:ascii="Book Antiqua" w:eastAsia="宋体" w:hAnsi="Book Antiqua" w:cs="Times New Roman"/>
          <w:i/>
          <w:sz w:val="24"/>
          <w:szCs w:val="24"/>
          <w:lang w:eastAsia="zh-CN"/>
        </w:rPr>
        <w:t>Hepatol</w:t>
      </w:r>
      <w:proofErr w:type="spellEnd"/>
      <w:r w:rsidR="00A703B9" w:rsidRPr="00691B3F">
        <w:rPr>
          <w:rFonts w:ascii="Book Antiqua" w:eastAsia="宋体" w:hAnsi="Book Antiqua" w:cs="Times New Roman"/>
          <w:i/>
          <w:sz w:val="24"/>
          <w:szCs w:val="24"/>
          <w:lang w:eastAsia="zh-CN"/>
        </w:rPr>
        <w:t xml:space="preserve"> </w:t>
      </w:r>
      <w:r w:rsidR="00920CEC" w:rsidRPr="00691B3F">
        <w:rPr>
          <w:rFonts w:ascii="Book Antiqua" w:eastAsia="宋体" w:hAnsi="Book Antiqua" w:cs="Times New Roman"/>
          <w:iCs/>
          <w:sz w:val="24"/>
          <w:szCs w:val="24"/>
          <w:lang w:val="el-GR" w:eastAsia="zh-CN"/>
        </w:rPr>
        <w:t xml:space="preserve">2020; 12(4): </w:t>
      </w:r>
      <w:r w:rsidR="00247E97" w:rsidRPr="00691B3F">
        <w:rPr>
          <w:rFonts w:ascii="Book Antiqua" w:eastAsia="宋体" w:hAnsi="Book Antiqua" w:cs="Times New Roman" w:hint="eastAsia"/>
          <w:iCs/>
          <w:sz w:val="24"/>
          <w:szCs w:val="24"/>
          <w:lang w:val="el-GR" w:eastAsia="zh-CN"/>
        </w:rPr>
        <w:t>125-136</w:t>
      </w:r>
      <w:r w:rsidR="00920CEC" w:rsidRPr="00691B3F">
        <w:rPr>
          <w:rFonts w:ascii="Book Antiqua" w:eastAsia="宋体" w:hAnsi="Book Antiqua" w:cs="Times New Roman"/>
          <w:iCs/>
          <w:sz w:val="24"/>
          <w:szCs w:val="24"/>
          <w:lang w:val="el-GR" w:eastAsia="zh-CN"/>
        </w:rPr>
        <w:t xml:space="preserve">  </w:t>
      </w:r>
    </w:p>
    <w:p w14:paraId="0FCCA029" w14:textId="615CB851" w:rsidR="00547FC9" w:rsidRDefault="00920CEC" w:rsidP="00367FE4">
      <w:pPr>
        <w:adjustRightInd w:val="0"/>
        <w:snapToGrid w:val="0"/>
        <w:spacing w:after="0" w:line="360" w:lineRule="auto"/>
        <w:jc w:val="both"/>
        <w:rPr>
          <w:rFonts w:ascii="Book Antiqua" w:eastAsia="宋体" w:hAnsi="Book Antiqua" w:cs="Times New Roman"/>
          <w:iCs/>
          <w:sz w:val="24"/>
          <w:szCs w:val="24"/>
          <w:lang w:val="el-GR" w:eastAsia="zh-CN"/>
        </w:rPr>
      </w:pPr>
      <w:r w:rsidRPr="00547FC9">
        <w:rPr>
          <w:rFonts w:ascii="Book Antiqua" w:eastAsia="宋体" w:hAnsi="Book Antiqua" w:cs="Times New Roman"/>
          <w:b/>
          <w:iCs/>
          <w:sz w:val="24"/>
          <w:szCs w:val="24"/>
          <w:lang w:val="el-GR" w:eastAsia="zh-CN"/>
        </w:rPr>
        <w:t>URL:</w:t>
      </w:r>
      <w:r w:rsidRPr="00691B3F">
        <w:rPr>
          <w:rFonts w:ascii="Book Antiqua" w:eastAsia="宋体" w:hAnsi="Book Antiqua" w:cs="Times New Roman"/>
          <w:iCs/>
          <w:sz w:val="24"/>
          <w:szCs w:val="24"/>
          <w:lang w:val="el-GR" w:eastAsia="zh-CN"/>
        </w:rPr>
        <w:t xml:space="preserve"> https://www.wjgnet.com/1948-5182/full/v12/i4/</w:t>
      </w:r>
      <w:r w:rsidR="00247E97" w:rsidRPr="00691B3F">
        <w:rPr>
          <w:rFonts w:ascii="Book Antiqua" w:eastAsia="宋体" w:hAnsi="Book Antiqua" w:cs="Times New Roman" w:hint="eastAsia"/>
          <w:iCs/>
          <w:sz w:val="24"/>
          <w:szCs w:val="24"/>
          <w:lang w:val="el-GR" w:eastAsia="zh-CN"/>
        </w:rPr>
        <w:t>125</w:t>
      </w:r>
      <w:r w:rsidRPr="00691B3F">
        <w:rPr>
          <w:rFonts w:ascii="Book Antiqua" w:eastAsia="宋体" w:hAnsi="Book Antiqua" w:cs="Times New Roman"/>
          <w:iCs/>
          <w:sz w:val="24"/>
          <w:szCs w:val="24"/>
          <w:lang w:val="el-GR" w:eastAsia="zh-CN"/>
        </w:rPr>
        <w:t xml:space="preserve">.htm  </w:t>
      </w:r>
    </w:p>
    <w:p w14:paraId="43C16236" w14:textId="3828ED82" w:rsidR="00A703B9" w:rsidRPr="00691B3F" w:rsidRDefault="00920CEC" w:rsidP="00367FE4">
      <w:pPr>
        <w:adjustRightInd w:val="0"/>
        <w:snapToGrid w:val="0"/>
        <w:spacing w:after="0" w:line="360" w:lineRule="auto"/>
        <w:jc w:val="both"/>
        <w:rPr>
          <w:rFonts w:ascii="Book Antiqua" w:eastAsia="宋体" w:hAnsi="Book Antiqua" w:cs="Times New Roman"/>
          <w:i/>
          <w:sz w:val="24"/>
          <w:szCs w:val="24"/>
          <w:lang w:eastAsia="zh-CN"/>
        </w:rPr>
      </w:pPr>
      <w:r w:rsidRPr="00547FC9">
        <w:rPr>
          <w:rFonts w:ascii="Book Antiqua" w:eastAsia="宋体" w:hAnsi="Book Antiqua" w:cs="Times New Roman"/>
          <w:b/>
          <w:iCs/>
          <w:sz w:val="24"/>
          <w:szCs w:val="24"/>
          <w:lang w:val="el-GR" w:eastAsia="zh-CN"/>
        </w:rPr>
        <w:t xml:space="preserve">DOI: </w:t>
      </w:r>
      <w:r w:rsidRPr="00691B3F">
        <w:rPr>
          <w:rFonts w:ascii="Book Antiqua" w:eastAsia="宋体" w:hAnsi="Book Antiqua" w:cs="Times New Roman"/>
          <w:iCs/>
          <w:sz w:val="24"/>
          <w:szCs w:val="24"/>
          <w:lang w:val="el-GR" w:eastAsia="zh-CN"/>
        </w:rPr>
        <w:t>https://dx.doi.org/10.4254/wjh.v12.i4.</w:t>
      </w:r>
      <w:r w:rsidR="00247E97" w:rsidRPr="00691B3F">
        <w:rPr>
          <w:rFonts w:ascii="Book Antiqua" w:eastAsia="宋体" w:hAnsi="Book Antiqua" w:cs="Times New Roman" w:hint="eastAsia"/>
          <w:iCs/>
          <w:sz w:val="24"/>
          <w:szCs w:val="24"/>
          <w:lang w:val="el-GR" w:eastAsia="zh-CN"/>
        </w:rPr>
        <w:t>125</w:t>
      </w:r>
    </w:p>
    <w:p w14:paraId="2246CCAA" w14:textId="77777777" w:rsidR="00F33A65" w:rsidRPr="00691B3F" w:rsidRDefault="00F33A65" w:rsidP="00367FE4">
      <w:pPr>
        <w:pStyle w:val="1"/>
        <w:snapToGrid w:val="0"/>
        <w:spacing w:line="360" w:lineRule="auto"/>
        <w:jc w:val="both"/>
        <w:rPr>
          <w:rFonts w:ascii="Book Antiqua" w:hAnsi="Book Antiqua" w:cs="Times New Roman"/>
          <w:b/>
          <w:color w:val="auto"/>
          <w:sz w:val="24"/>
          <w:szCs w:val="24"/>
          <w:lang w:val="en-US" w:eastAsia="zh-CN"/>
        </w:rPr>
      </w:pPr>
    </w:p>
    <w:p w14:paraId="08E7C587" w14:textId="3FCEB65B" w:rsidR="00F33A65" w:rsidRPr="00691B3F" w:rsidRDefault="00F33A65" w:rsidP="00367FE4">
      <w:pPr>
        <w:pStyle w:val="1"/>
        <w:snapToGrid w:val="0"/>
        <w:spacing w:line="360" w:lineRule="auto"/>
        <w:jc w:val="both"/>
        <w:rPr>
          <w:rFonts w:ascii="Book Antiqua" w:hAnsi="Book Antiqua"/>
          <w:color w:val="auto"/>
          <w:sz w:val="24"/>
          <w:szCs w:val="24"/>
        </w:rPr>
      </w:pPr>
      <w:bookmarkStart w:id="11" w:name="OLE_LINK1196"/>
      <w:bookmarkStart w:id="12" w:name="OLE_LINK1154"/>
      <w:bookmarkStart w:id="13" w:name="OLE_LINK1155"/>
      <w:bookmarkStart w:id="14" w:name="OLE_LINK1322"/>
      <w:bookmarkStart w:id="15" w:name="OLE_LINK1044"/>
      <w:bookmarkStart w:id="16" w:name="OLE_LINK1224"/>
      <w:bookmarkStart w:id="17" w:name="OLE_LINK1225"/>
      <w:bookmarkStart w:id="18" w:name="OLE_LINK1634"/>
      <w:bookmarkStart w:id="19" w:name="OLE_LINK1635"/>
      <w:bookmarkStart w:id="20" w:name="OLE_LINK1762"/>
      <w:bookmarkStart w:id="21" w:name="OLE_LINK1763"/>
      <w:bookmarkStart w:id="22" w:name="OLE_LINK1764"/>
      <w:bookmarkStart w:id="23" w:name="OLE_LINK1939"/>
      <w:bookmarkStart w:id="24" w:name="OLE_LINK2194"/>
      <w:bookmarkStart w:id="25" w:name="OLE_LINK2878"/>
      <w:bookmarkStart w:id="26" w:name="OLE_LINK531"/>
      <w:bookmarkStart w:id="27" w:name="OLE_LINK533"/>
      <w:bookmarkStart w:id="28" w:name="OLE_LINK711"/>
      <w:bookmarkStart w:id="29" w:name="OLE_LINK742"/>
      <w:bookmarkStart w:id="30" w:name="OLE_LINK905"/>
      <w:bookmarkStart w:id="31" w:name="OLE_LINK948"/>
      <w:bookmarkStart w:id="32" w:name="OLE_LINK949"/>
      <w:bookmarkStart w:id="33" w:name="OLE_LINK607"/>
      <w:bookmarkStart w:id="34" w:name="OLE_LINK609"/>
      <w:bookmarkStart w:id="35" w:name="OLE_LINK63"/>
      <w:bookmarkStart w:id="36" w:name="OLE_LINK602"/>
      <w:r w:rsidRPr="00691B3F">
        <w:rPr>
          <w:rFonts w:ascii="Book Antiqua" w:hAnsi="Book Antiqua" w:cs="Times New Roman"/>
          <w:b/>
          <w:color w:val="auto"/>
          <w:sz w:val="24"/>
          <w:szCs w:val="24"/>
          <w:lang w:val="en-US" w:eastAsia="zh-CN"/>
        </w:rPr>
        <w:t>Core tip:</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691B3F">
        <w:rPr>
          <w:rFonts w:ascii="Book Antiqua" w:hAnsi="Book Antiqua" w:cs="Times New Roman"/>
          <w:b/>
          <w:color w:val="auto"/>
          <w:sz w:val="24"/>
          <w:szCs w:val="24"/>
          <w:lang w:val="en-US" w:eastAsia="zh-CN"/>
        </w:rPr>
        <w:t xml:space="preserve"> </w:t>
      </w:r>
      <w:bookmarkEnd w:id="9"/>
      <w:bookmarkEnd w:id="10"/>
      <w:bookmarkEnd w:id="26"/>
      <w:bookmarkEnd w:id="27"/>
      <w:bookmarkEnd w:id="28"/>
      <w:bookmarkEnd w:id="29"/>
      <w:bookmarkEnd w:id="30"/>
      <w:proofErr w:type="spellStart"/>
      <w:r w:rsidR="006876CD" w:rsidRPr="00691B3F">
        <w:rPr>
          <w:rFonts w:ascii="Book Antiqua" w:hAnsi="Book Antiqua" w:cs="Times New Roman"/>
          <w:color w:val="auto"/>
          <w:sz w:val="24"/>
          <w:szCs w:val="24"/>
          <w:lang w:val="en-US" w:eastAsia="zh-CN"/>
        </w:rPr>
        <w:t>Paracetamol</w:t>
      </w:r>
      <w:proofErr w:type="spellEnd"/>
      <w:r w:rsidR="006876CD" w:rsidRPr="00691B3F">
        <w:rPr>
          <w:rFonts w:ascii="Book Antiqua" w:hAnsi="Book Antiqua" w:cs="Times New Roman"/>
          <w:color w:val="auto"/>
          <w:sz w:val="24"/>
          <w:szCs w:val="24"/>
          <w:lang w:val="en-US" w:eastAsia="zh-CN"/>
        </w:rPr>
        <w:t xml:space="preserve"> is a widely used anti-pyretic that has long been established to cause liver toxicity once above therapeutic levels.</w:t>
      </w:r>
      <w:r w:rsidR="000F2238" w:rsidRPr="00691B3F">
        <w:rPr>
          <w:rFonts w:ascii="Book Antiqua" w:hAnsi="Book Antiqua" w:cs="Times New Roman"/>
          <w:color w:val="auto"/>
          <w:sz w:val="24"/>
          <w:szCs w:val="24"/>
          <w:lang w:val="en-US" w:eastAsia="zh-CN"/>
        </w:rPr>
        <w:t xml:space="preserve"> </w:t>
      </w:r>
      <w:r w:rsidR="006876CD" w:rsidRPr="00691B3F">
        <w:rPr>
          <w:rFonts w:ascii="Book Antiqua" w:hAnsi="Book Antiqua" w:cs="Times New Roman"/>
          <w:color w:val="auto"/>
          <w:sz w:val="24"/>
          <w:szCs w:val="24"/>
          <w:lang w:val="en-US" w:eastAsia="zh-CN"/>
        </w:rPr>
        <w:t xml:space="preserve">Given the increased prevalence of combination medications in the form of pain relievers and antihistamines, </w:t>
      </w:r>
      <w:proofErr w:type="spellStart"/>
      <w:r w:rsidR="006876CD" w:rsidRPr="00691B3F">
        <w:rPr>
          <w:rFonts w:ascii="Book Antiqua" w:hAnsi="Book Antiqua" w:cs="Times New Roman"/>
          <w:color w:val="auto"/>
          <w:sz w:val="24"/>
          <w:szCs w:val="24"/>
          <w:lang w:val="en-US" w:eastAsia="zh-CN"/>
        </w:rPr>
        <w:t>paracetamol</w:t>
      </w:r>
      <w:proofErr w:type="spellEnd"/>
      <w:r w:rsidR="006876CD" w:rsidRPr="00691B3F">
        <w:rPr>
          <w:rFonts w:ascii="Book Antiqua" w:hAnsi="Book Antiqua" w:cs="Times New Roman"/>
          <w:color w:val="auto"/>
          <w:sz w:val="24"/>
          <w:szCs w:val="24"/>
          <w:lang w:val="en-US" w:eastAsia="zh-CN"/>
        </w:rPr>
        <w:t xml:space="preserve"> can be difficult to identify and remains a significant cause of acute hepatotoxicity globally.</w:t>
      </w:r>
      <w:r w:rsidR="000F2238" w:rsidRPr="00691B3F">
        <w:rPr>
          <w:rFonts w:ascii="Book Antiqua" w:hAnsi="Book Antiqua" w:cs="Times New Roman"/>
          <w:color w:val="auto"/>
          <w:sz w:val="24"/>
          <w:szCs w:val="24"/>
          <w:lang w:val="en-US" w:eastAsia="zh-CN"/>
        </w:rPr>
        <w:t xml:space="preserve"> </w:t>
      </w:r>
      <w:r w:rsidR="006876CD" w:rsidRPr="00691B3F">
        <w:rPr>
          <w:rFonts w:ascii="Book Antiqua" w:hAnsi="Book Antiqua" w:cs="Times New Roman"/>
          <w:color w:val="auto"/>
          <w:sz w:val="24"/>
          <w:szCs w:val="24"/>
          <w:lang w:val="en-US" w:eastAsia="zh-CN"/>
        </w:rPr>
        <w:t xml:space="preserve">This is especially concerning given that, when co-ingested with other </w:t>
      </w:r>
      <w:r w:rsidR="006876CD" w:rsidRPr="00691B3F">
        <w:rPr>
          <w:rFonts w:ascii="Book Antiqua" w:hAnsi="Book Antiqua" w:cs="Times New Roman"/>
          <w:color w:val="auto"/>
          <w:sz w:val="24"/>
          <w:szCs w:val="24"/>
          <w:lang w:val="en-US" w:eastAsia="zh-CN"/>
        </w:rPr>
        <w:lastRenderedPageBreak/>
        <w:t xml:space="preserve">medications, the rise in serum </w:t>
      </w:r>
      <w:proofErr w:type="spellStart"/>
      <w:r w:rsidR="006876CD" w:rsidRPr="00691B3F">
        <w:rPr>
          <w:rFonts w:ascii="Book Antiqua" w:hAnsi="Book Antiqua" w:cs="Times New Roman"/>
          <w:color w:val="auto"/>
          <w:sz w:val="24"/>
          <w:szCs w:val="24"/>
          <w:lang w:val="en-US" w:eastAsia="zh-CN"/>
        </w:rPr>
        <w:t>paracetamol</w:t>
      </w:r>
      <w:proofErr w:type="spellEnd"/>
      <w:r w:rsidR="006876CD" w:rsidRPr="00691B3F">
        <w:rPr>
          <w:rFonts w:ascii="Book Antiqua" w:hAnsi="Book Antiqua" w:cs="Times New Roman"/>
          <w:color w:val="auto"/>
          <w:sz w:val="24"/>
          <w:szCs w:val="24"/>
          <w:lang w:val="en-US" w:eastAsia="zh-CN"/>
        </w:rPr>
        <w:t xml:space="preserve"> levels may be delayed and alter medical management.</w:t>
      </w:r>
      <w:r w:rsidR="000F2238" w:rsidRPr="00691B3F">
        <w:rPr>
          <w:rFonts w:ascii="Book Antiqua" w:hAnsi="Book Antiqua" w:cs="Times New Roman"/>
          <w:color w:val="auto"/>
          <w:sz w:val="24"/>
          <w:szCs w:val="24"/>
          <w:lang w:val="en-US" w:eastAsia="zh-CN"/>
        </w:rPr>
        <w:t xml:space="preserve"> </w:t>
      </w:r>
      <w:r w:rsidR="006876CD" w:rsidRPr="00691B3F">
        <w:rPr>
          <w:rFonts w:ascii="Book Antiqua" w:hAnsi="Book Antiqua" w:cs="Times New Roman"/>
          <w:color w:val="auto"/>
          <w:sz w:val="24"/>
          <w:szCs w:val="24"/>
          <w:lang w:val="en-US" w:eastAsia="zh-CN"/>
        </w:rPr>
        <w:t xml:space="preserve">This review serves to describe the clinical and pathophysiologic features of hepatotoxicity secondary to </w:t>
      </w:r>
      <w:proofErr w:type="spellStart"/>
      <w:r w:rsidR="006876CD" w:rsidRPr="00691B3F">
        <w:rPr>
          <w:rFonts w:ascii="Book Antiqua" w:hAnsi="Book Antiqua" w:cs="Times New Roman"/>
          <w:color w:val="auto"/>
          <w:sz w:val="24"/>
          <w:szCs w:val="24"/>
          <w:lang w:val="en-US" w:eastAsia="zh-CN"/>
        </w:rPr>
        <w:t>paracetamol</w:t>
      </w:r>
      <w:proofErr w:type="spellEnd"/>
      <w:r w:rsidR="006876CD" w:rsidRPr="00691B3F">
        <w:rPr>
          <w:rFonts w:ascii="Book Antiqua" w:hAnsi="Book Antiqua" w:cs="Times New Roman"/>
          <w:color w:val="auto"/>
          <w:sz w:val="24"/>
          <w:szCs w:val="24"/>
          <w:lang w:val="en-US" w:eastAsia="zh-CN"/>
        </w:rPr>
        <w:t xml:space="preserve"> and provide an update on current available knowledge and treatment options.</w:t>
      </w:r>
    </w:p>
    <w:bookmarkEnd w:id="6"/>
    <w:bookmarkEnd w:id="7"/>
    <w:bookmarkEnd w:id="8"/>
    <w:bookmarkEnd w:id="31"/>
    <w:bookmarkEnd w:id="32"/>
    <w:bookmarkEnd w:id="33"/>
    <w:bookmarkEnd w:id="34"/>
    <w:bookmarkEnd w:id="35"/>
    <w:bookmarkEnd w:id="36"/>
    <w:p w14:paraId="38389183" w14:textId="6D3314F2" w:rsidR="006D47D3" w:rsidRPr="00691B3F" w:rsidRDefault="006D47D3" w:rsidP="00367FE4">
      <w:pPr>
        <w:snapToGrid w:val="0"/>
        <w:spacing w:after="0" w:line="360" w:lineRule="auto"/>
        <w:jc w:val="both"/>
        <w:rPr>
          <w:rFonts w:ascii="Book Antiqua" w:hAnsi="Book Antiqua"/>
          <w:bCs/>
          <w:sz w:val="24"/>
          <w:szCs w:val="24"/>
        </w:rPr>
      </w:pPr>
      <w:r w:rsidRPr="00691B3F">
        <w:rPr>
          <w:rFonts w:ascii="Book Antiqua" w:hAnsi="Book Antiqua"/>
          <w:bCs/>
          <w:sz w:val="24"/>
          <w:szCs w:val="24"/>
        </w:rPr>
        <w:br w:type="page"/>
      </w:r>
    </w:p>
    <w:p w14:paraId="5660EB9A" w14:textId="77777777" w:rsidR="000F2238" w:rsidRPr="00691B3F" w:rsidRDefault="000F2238" w:rsidP="00367FE4">
      <w:pPr>
        <w:adjustRightInd w:val="0"/>
        <w:snapToGrid w:val="0"/>
        <w:spacing w:after="0" w:line="360" w:lineRule="auto"/>
        <w:jc w:val="both"/>
        <w:rPr>
          <w:rFonts w:ascii="Book Antiqua" w:eastAsia="宋体" w:hAnsi="Book Antiqua" w:cs="Calibri"/>
          <w:b/>
          <w:sz w:val="24"/>
          <w:szCs w:val="24"/>
          <w:u w:val="single"/>
        </w:rPr>
      </w:pPr>
      <w:bookmarkStart w:id="37" w:name="_Hlk27562550"/>
      <w:r w:rsidRPr="00691B3F">
        <w:rPr>
          <w:rFonts w:ascii="Book Antiqua" w:eastAsia="宋体" w:hAnsi="Book Antiqua" w:cs="Calibri"/>
          <w:b/>
          <w:sz w:val="24"/>
          <w:szCs w:val="24"/>
          <w:u w:val="single"/>
        </w:rPr>
        <w:lastRenderedPageBreak/>
        <w:t>INTRODUCTION</w:t>
      </w:r>
    </w:p>
    <w:bookmarkEnd w:id="37"/>
    <w:p w14:paraId="282B9BD8" w14:textId="4BA602A8" w:rsidR="001F6E05" w:rsidRPr="00691B3F" w:rsidRDefault="001F6E05" w:rsidP="00367FE4">
      <w:pPr>
        <w:pStyle w:val="a3"/>
        <w:snapToGrid w:val="0"/>
        <w:spacing w:line="360" w:lineRule="auto"/>
        <w:jc w:val="both"/>
        <w:rPr>
          <w:rFonts w:ascii="Book Antiqua" w:hAnsi="Book Antiqua"/>
          <w:sz w:val="24"/>
          <w:szCs w:val="24"/>
        </w:rPr>
      </w:pPr>
      <w:r w:rsidRPr="00691B3F">
        <w:rPr>
          <w:rFonts w:ascii="Book Antiqua" w:hAnsi="Book Antiqua"/>
          <w:sz w:val="24"/>
          <w:szCs w:val="24"/>
        </w:rPr>
        <w:t>Acute liver failure consists of severe liver dysfunction, as evidenced by coagulopathy</w:t>
      </w:r>
      <w:r w:rsidR="000B3F10" w:rsidRPr="00691B3F">
        <w:rPr>
          <w:rFonts w:ascii="Book Antiqua" w:hAnsi="Book Antiqua"/>
          <w:sz w:val="24"/>
          <w:szCs w:val="24"/>
        </w:rPr>
        <w:t>, jaundice,</w:t>
      </w:r>
      <w:r w:rsidRPr="00691B3F">
        <w:rPr>
          <w:rFonts w:ascii="Book Antiqua" w:hAnsi="Book Antiqua"/>
          <w:sz w:val="24"/>
          <w:szCs w:val="24"/>
        </w:rPr>
        <w:t xml:space="preserve"> and encephalopathy, usually in the absence of underlying liver </w:t>
      </w:r>
      <w:proofErr w:type="gramStart"/>
      <w:r w:rsidRPr="00691B3F">
        <w:rPr>
          <w:rFonts w:ascii="Book Antiqua" w:hAnsi="Book Antiqua"/>
          <w:sz w:val="24"/>
          <w:szCs w:val="24"/>
        </w:rPr>
        <w:t>disease</w:t>
      </w:r>
      <w:r w:rsidR="007B3149" w:rsidRPr="00691B3F">
        <w:rPr>
          <w:rFonts w:ascii="Book Antiqua" w:hAnsi="Book Antiqua"/>
          <w:noProof/>
          <w:sz w:val="24"/>
          <w:szCs w:val="24"/>
          <w:vertAlign w:val="superscript"/>
        </w:rPr>
        <w:t>[</w:t>
      </w:r>
      <w:proofErr w:type="gramEnd"/>
      <w:r w:rsidR="007B3149" w:rsidRPr="00691B3F">
        <w:rPr>
          <w:rFonts w:ascii="Book Antiqua" w:hAnsi="Book Antiqua"/>
          <w:noProof/>
          <w:sz w:val="24"/>
          <w:szCs w:val="24"/>
          <w:vertAlign w:val="superscript"/>
        </w:rPr>
        <w:t>1]</w:t>
      </w:r>
      <w:r w:rsidRPr="00691B3F">
        <w:rPr>
          <w:rFonts w:ascii="Book Antiqua" w:hAnsi="Book Antiqua"/>
          <w:sz w:val="24"/>
          <w:szCs w:val="24"/>
        </w:rPr>
        <w:t>.</w:t>
      </w:r>
      <w:r w:rsidR="000F2238" w:rsidRPr="00691B3F">
        <w:rPr>
          <w:rFonts w:ascii="Book Antiqua" w:hAnsi="Book Antiqua"/>
          <w:sz w:val="24"/>
          <w:szCs w:val="24"/>
        </w:rPr>
        <w:t xml:space="preserve"> </w:t>
      </w:r>
      <w:r w:rsidRPr="00691B3F">
        <w:rPr>
          <w:rFonts w:ascii="Book Antiqua" w:hAnsi="Book Antiqua"/>
          <w:sz w:val="24"/>
          <w:szCs w:val="24"/>
        </w:rPr>
        <w:t>The incidence of acute liver failure</w:t>
      </w:r>
      <w:r w:rsidR="009320FA" w:rsidRPr="00691B3F">
        <w:rPr>
          <w:rFonts w:ascii="Book Antiqua" w:hAnsi="Book Antiqua"/>
          <w:sz w:val="24"/>
          <w:szCs w:val="24"/>
        </w:rPr>
        <w:t xml:space="preserve"> (also termed fulminant hepatic failure)</w:t>
      </w:r>
      <w:r w:rsidRPr="00691B3F">
        <w:rPr>
          <w:rFonts w:ascii="Book Antiqua" w:hAnsi="Book Antiqua"/>
          <w:sz w:val="24"/>
          <w:szCs w:val="24"/>
        </w:rPr>
        <w:t xml:space="preserve"> is roughly </w:t>
      </w:r>
      <w:r w:rsidR="0060673B" w:rsidRPr="00691B3F">
        <w:rPr>
          <w:rFonts w:ascii="Book Antiqua" w:hAnsi="Book Antiqua"/>
          <w:sz w:val="24"/>
          <w:szCs w:val="24"/>
        </w:rPr>
        <w:t xml:space="preserve">10 per one million people annually in developed </w:t>
      </w:r>
      <w:proofErr w:type="gramStart"/>
      <w:r w:rsidR="0060673B" w:rsidRPr="00691B3F">
        <w:rPr>
          <w:rFonts w:ascii="Book Antiqua" w:hAnsi="Book Antiqua"/>
          <w:sz w:val="24"/>
          <w:szCs w:val="24"/>
        </w:rPr>
        <w:t>countries</w:t>
      </w:r>
      <w:r w:rsidR="007B3149" w:rsidRPr="00691B3F">
        <w:rPr>
          <w:rFonts w:ascii="Book Antiqua" w:hAnsi="Book Antiqua"/>
          <w:noProof/>
          <w:sz w:val="24"/>
          <w:szCs w:val="24"/>
          <w:vertAlign w:val="superscript"/>
        </w:rPr>
        <w:t>[</w:t>
      </w:r>
      <w:proofErr w:type="gramEnd"/>
      <w:r w:rsidR="007B3149" w:rsidRPr="00691B3F">
        <w:rPr>
          <w:rFonts w:ascii="Book Antiqua" w:hAnsi="Book Antiqua"/>
          <w:noProof/>
          <w:sz w:val="24"/>
          <w:szCs w:val="24"/>
          <w:vertAlign w:val="superscript"/>
        </w:rPr>
        <w:t>1]</w:t>
      </w:r>
      <w:r w:rsidR="0060673B" w:rsidRPr="00691B3F">
        <w:rPr>
          <w:rFonts w:ascii="Book Antiqua" w:hAnsi="Book Antiqua"/>
          <w:sz w:val="24"/>
          <w:szCs w:val="24"/>
        </w:rPr>
        <w:t xml:space="preserve"> with over 2000 cases in the United States diagnosed </w:t>
      </w:r>
      <w:r w:rsidR="00723A38" w:rsidRPr="00691B3F">
        <w:rPr>
          <w:rFonts w:ascii="Book Antiqua" w:hAnsi="Book Antiqua"/>
          <w:sz w:val="24"/>
          <w:szCs w:val="24"/>
        </w:rPr>
        <w:t>each year</w:t>
      </w:r>
      <w:r w:rsidR="007B3149" w:rsidRPr="00691B3F">
        <w:rPr>
          <w:rFonts w:ascii="Book Antiqua" w:hAnsi="Book Antiqua"/>
          <w:noProof/>
          <w:sz w:val="24"/>
          <w:szCs w:val="24"/>
          <w:vertAlign w:val="superscript"/>
        </w:rPr>
        <w:t>[2]</w:t>
      </w:r>
      <w:r w:rsidR="0060673B" w:rsidRPr="00691B3F">
        <w:rPr>
          <w:rFonts w:ascii="Book Antiqua" w:hAnsi="Book Antiqua"/>
          <w:sz w:val="24"/>
          <w:szCs w:val="24"/>
        </w:rPr>
        <w:t>.</w:t>
      </w:r>
      <w:r w:rsidR="000F2238" w:rsidRPr="00691B3F">
        <w:rPr>
          <w:rFonts w:ascii="Book Antiqua" w:hAnsi="Book Antiqua"/>
          <w:sz w:val="24"/>
          <w:szCs w:val="24"/>
        </w:rPr>
        <w:t xml:space="preserve"> </w:t>
      </w:r>
      <w:r w:rsidRPr="00691B3F">
        <w:rPr>
          <w:rFonts w:ascii="Book Antiqua" w:hAnsi="Book Antiqua"/>
          <w:sz w:val="24"/>
          <w:szCs w:val="24"/>
        </w:rPr>
        <w:t>While</w:t>
      </w:r>
      <w:r w:rsidR="0073235F" w:rsidRPr="00691B3F">
        <w:rPr>
          <w:rFonts w:ascii="Book Antiqua" w:hAnsi="Book Antiqua"/>
          <w:sz w:val="24"/>
          <w:szCs w:val="24"/>
        </w:rPr>
        <w:t xml:space="preserve"> viral hepatitis is a</w:t>
      </w:r>
      <w:r w:rsidR="00360992" w:rsidRPr="00691B3F">
        <w:rPr>
          <w:rFonts w:ascii="Book Antiqua" w:hAnsi="Book Antiqua"/>
          <w:sz w:val="24"/>
          <w:szCs w:val="24"/>
        </w:rPr>
        <w:t>mong the most</w:t>
      </w:r>
      <w:r w:rsidR="0073235F" w:rsidRPr="00691B3F">
        <w:rPr>
          <w:rFonts w:ascii="Book Antiqua" w:hAnsi="Book Antiqua"/>
          <w:sz w:val="24"/>
          <w:szCs w:val="24"/>
        </w:rPr>
        <w:t xml:space="preserve"> common cause of acute liver failure</w:t>
      </w:r>
      <w:r w:rsidR="00360992" w:rsidRPr="00691B3F">
        <w:rPr>
          <w:rFonts w:ascii="Book Antiqua" w:hAnsi="Book Antiqua"/>
          <w:sz w:val="24"/>
          <w:szCs w:val="24"/>
        </w:rPr>
        <w:t xml:space="preserve"> </w:t>
      </w:r>
      <w:proofErr w:type="gramStart"/>
      <w:r w:rsidR="00360992" w:rsidRPr="00691B3F">
        <w:rPr>
          <w:rFonts w:ascii="Book Antiqua" w:hAnsi="Book Antiqua"/>
          <w:sz w:val="24"/>
          <w:szCs w:val="24"/>
        </w:rPr>
        <w:t>worldwide</w:t>
      </w:r>
      <w:r w:rsidR="007B3149" w:rsidRPr="00691B3F">
        <w:rPr>
          <w:rFonts w:ascii="Book Antiqua" w:hAnsi="Book Antiqua"/>
          <w:noProof/>
          <w:sz w:val="24"/>
          <w:szCs w:val="24"/>
          <w:vertAlign w:val="superscript"/>
        </w:rPr>
        <w:t>[</w:t>
      </w:r>
      <w:proofErr w:type="gramEnd"/>
      <w:r w:rsidR="007B3149" w:rsidRPr="00691B3F">
        <w:rPr>
          <w:rFonts w:ascii="Book Antiqua" w:hAnsi="Book Antiqua"/>
          <w:noProof/>
          <w:sz w:val="24"/>
          <w:szCs w:val="24"/>
          <w:vertAlign w:val="superscript"/>
        </w:rPr>
        <w:t>1]</w:t>
      </w:r>
      <w:r w:rsidR="0073235F" w:rsidRPr="00691B3F">
        <w:rPr>
          <w:rFonts w:ascii="Book Antiqua" w:hAnsi="Book Antiqua"/>
          <w:sz w:val="24"/>
          <w:szCs w:val="24"/>
        </w:rPr>
        <w:t>, drug-induced liver injury (DILI) is another culprit of liver damage.</w:t>
      </w:r>
      <w:r w:rsidR="000F2238" w:rsidRPr="00691B3F">
        <w:rPr>
          <w:rFonts w:ascii="Book Antiqua" w:hAnsi="Book Antiqua"/>
          <w:sz w:val="24"/>
          <w:szCs w:val="24"/>
        </w:rPr>
        <w:t xml:space="preserve"> </w:t>
      </w:r>
      <w:bookmarkStart w:id="38" w:name="_Hlk12522681"/>
      <w:r w:rsidR="00AB144B" w:rsidRPr="00691B3F">
        <w:rPr>
          <w:rFonts w:ascii="Book Antiqua" w:hAnsi="Book Antiqua"/>
          <w:sz w:val="24"/>
          <w:szCs w:val="24"/>
        </w:rPr>
        <w:t>H</w:t>
      </w:r>
      <w:r w:rsidR="00191CBA" w:rsidRPr="00691B3F">
        <w:rPr>
          <w:rFonts w:ascii="Book Antiqua" w:hAnsi="Book Antiqua"/>
          <w:sz w:val="24"/>
          <w:szCs w:val="24"/>
        </w:rPr>
        <w:t>alf of all cases of acute liver injury in the United States result from</w:t>
      </w:r>
      <w:r w:rsidR="000D1538" w:rsidRPr="00691B3F">
        <w:rPr>
          <w:rFonts w:ascii="Book Antiqua" w:hAnsi="Book Antiqua"/>
          <w:sz w:val="24"/>
          <w:szCs w:val="24"/>
        </w:rPr>
        <w:t xml:space="preserve"> </w:t>
      </w:r>
      <w:proofErr w:type="gramStart"/>
      <w:r w:rsidR="000F2238" w:rsidRPr="00691B3F">
        <w:rPr>
          <w:rFonts w:ascii="Book Antiqua" w:hAnsi="Book Antiqua"/>
          <w:sz w:val="24"/>
          <w:szCs w:val="24"/>
        </w:rPr>
        <w:t>DILI</w:t>
      </w:r>
      <w:r w:rsidR="007B3149" w:rsidRPr="00691B3F">
        <w:rPr>
          <w:rFonts w:ascii="Book Antiqua" w:hAnsi="Book Antiqua"/>
          <w:noProof/>
          <w:sz w:val="24"/>
          <w:szCs w:val="24"/>
          <w:vertAlign w:val="superscript"/>
        </w:rPr>
        <w:t>[</w:t>
      </w:r>
      <w:proofErr w:type="gramEnd"/>
      <w:r w:rsidR="007B3149" w:rsidRPr="00691B3F">
        <w:rPr>
          <w:rFonts w:ascii="Book Antiqua" w:hAnsi="Book Antiqua"/>
          <w:noProof/>
          <w:sz w:val="24"/>
          <w:szCs w:val="24"/>
          <w:vertAlign w:val="superscript"/>
        </w:rPr>
        <w:t>3]</w:t>
      </w:r>
      <w:r w:rsidR="000D1538" w:rsidRPr="00691B3F">
        <w:rPr>
          <w:rFonts w:ascii="Book Antiqua" w:hAnsi="Book Antiqua"/>
          <w:sz w:val="24"/>
          <w:szCs w:val="24"/>
        </w:rPr>
        <w:t>.</w:t>
      </w:r>
      <w:r w:rsidR="000F2238" w:rsidRPr="00691B3F">
        <w:rPr>
          <w:rFonts w:ascii="Book Antiqua" w:hAnsi="Book Antiqua"/>
          <w:sz w:val="24"/>
          <w:szCs w:val="24"/>
        </w:rPr>
        <w:t xml:space="preserve"> </w:t>
      </w:r>
      <w:proofErr w:type="spellStart"/>
      <w:r w:rsidR="00082A5C" w:rsidRPr="00691B3F">
        <w:rPr>
          <w:rFonts w:ascii="Book Antiqua" w:hAnsi="Book Antiqua"/>
          <w:sz w:val="24"/>
          <w:szCs w:val="24"/>
        </w:rPr>
        <w:t>Paracetamol</w:t>
      </w:r>
      <w:proofErr w:type="spellEnd"/>
      <w:r w:rsidR="0073235F" w:rsidRPr="00691B3F">
        <w:rPr>
          <w:rFonts w:ascii="Book Antiqua" w:hAnsi="Book Antiqua"/>
          <w:sz w:val="24"/>
          <w:szCs w:val="24"/>
        </w:rPr>
        <w:t>,</w:t>
      </w:r>
      <w:r w:rsidR="00360992" w:rsidRPr="00691B3F">
        <w:rPr>
          <w:rFonts w:ascii="Book Antiqua" w:hAnsi="Book Antiqua"/>
          <w:sz w:val="24"/>
          <w:szCs w:val="24"/>
        </w:rPr>
        <w:t xml:space="preserve"> also known as </w:t>
      </w:r>
      <w:r w:rsidR="00082A5C" w:rsidRPr="00691B3F">
        <w:rPr>
          <w:rFonts w:ascii="Book Antiqua" w:hAnsi="Book Antiqua"/>
          <w:sz w:val="24"/>
          <w:szCs w:val="24"/>
        </w:rPr>
        <w:t>acetaminophen</w:t>
      </w:r>
      <w:r w:rsidR="00360992" w:rsidRPr="00691B3F">
        <w:rPr>
          <w:rFonts w:ascii="Book Antiqua" w:hAnsi="Book Antiqua"/>
          <w:sz w:val="24"/>
          <w:szCs w:val="24"/>
        </w:rPr>
        <w:t>, is a widely used anti-pyretic that has</w:t>
      </w:r>
      <w:r w:rsidR="0073235F" w:rsidRPr="00691B3F">
        <w:rPr>
          <w:rFonts w:ascii="Book Antiqua" w:hAnsi="Book Antiqua"/>
          <w:sz w:val="24"/>
          <w:szCs w:val="24"/>
        </w:rPr>
        <w:t xml:space="preserve"> known liver </w:t>
      </w:r>
      <w:r w:rsidR="00360992" w:rsidRPr="00691B3F">
        <w:rPr>
          <w:rFonts w:ascii="Book Antiqua" w:hAnsi="Book Antiqua"/>
          <w:sz w:val="24"/>
          <w:szCs w:val="24"/>
        </w:rPr>
        <w:t>toxicity once</w:t>
      </w:r>
      <w:r w:rsidR="0073235F" w:rsidRPr="00691B3F">
        <w:rPr>
          <w:rFonts w:ascii="Book Antiqua" w:hAnsi="Book Antiqua"/>
          <w:sz w:val="24"/>
          <w:szCs w:val="24"/>
        </w:rPr>
        <w:t xml:space="preserve"> above therapeutic </w:t>
      </w:r>
      <w:r w:rsidR="00360992" w:rsidRPr="00691B3F">
        <w:rPr>
          <w:rFonts w:ascii="Book Antiqua" w:hAnsi="Book Antiqua"/>
          <w:sz w:val="24"/>
          <w:szCs w:val="24"/>
        </w:rPr>
        <w:t>levels</w:t>
      </w:r>
      <w:r w:rsidR="0073235F" w:rsidRPr="00691B3F">
        <w:rPr>
          <w:rFonts w:ascii="Book Antiqua" w:hAnsi="Book Antiqua"/>
          <w:sz w:val="24"/>
          <w:szCs w:val="24"/>
        </w:rPr>
        <w:t xml:space="preserve"> in the </w:t>
      </w:r>
      <w:proofErr w:type="gramStart"/>
      <w:r w:rsidR="0073235F" w:rsidRPr="00691B3F">
        <w:rPr>
          <w:rFonts w:ascii="Book Antiqua" w:hAnsi="Book Antiqua"/>
          <w:sz w:val="24"/>
          <w:szCs w:val="24"/>
        </w:rPr>
        <w:t>blood</w:t>
      </w:r>
      <w:r w:rsidR="007B3149" w:rsidRPr="00691B3F">
        <w:rPr>
          <w:rFonts w:ascii="Book Antiqua" w:hAnsi="Book Antiqua"/>
          <w:noProof/>
          <w:sz w:val="24"/>
          <w:szCs w:val="24"/>
          <w:vertAlign w:val="superscript"/>
        </w:rPr>
        <w:t>[</w:t>
      </w:r>
      <w:proofErr w:type="gramEnd"/>
      <w:r w:rsidR="007B3149" w:rsidRPr="00691B3F">
        <w:rPr>
          <w:rFonts w:ascii="Book Antiqua" w:hAnsi="Book Antiqua"/>
          <w:noProof/>
          <w:sz w:val="24"/>
          <w:szCs w:val="24"/>
          <w:vertAlign w:val="superscript"/>
        </w:rPr>
        <w:t>4]</w:t>
      </w:r>
      <w:r w:rsidR="00360992" w:rsidRPr="00691B3F">
        <w:rPr>
          <w:rFonts w:ascii="Book Antiqua" w:hAnsi="Book Antiqua"/>
          <w:sz w:val="24"/>
          <w:szCs w:val="24"/>
        </w:rPr>
        <w:t>.</w:t>
      </w:r>
      <w:r w:rsidR="000F2238" w:rsidRPr="00691B3F">
        <w:rPr>
          <w:rFonts w:ascii="Book Antiqua" w:hAnsi="Book Antiqua"/>
          <w:sz w:val="24"/>
          <w:szCs w:val="24"/>
        </w:rPr>
        <w:t xml:space="preserve"> </w:t>
      </w:r>
      <w:r w:rsidR="0073235F" w:rsidRPr="00691B3F">
        <w:rPr>
          <w:rFonts w:ascii="Book Antiqua" w:hAnsi="Book Antiqua"/>
          <w:sz w:val="24"/>
          <w:szCs w:val="24"/>
        </w:rPr>
        <w:t xml:space="preserve">In fact, </w:t>
      </w:r>
      <w:proofErr w:type="spellStart"/>
      <w:r w:rsidR="00082A5C" w:rsidRPr="00691B3F">
        <w:rPr>
          <w:rFonts w:ascii="Book Antiqua" w:hAnsi="Book Antiqua"/>
          <w:sz w:val="24"/>
          <w:szCs w:val="24"/>
        </w:rPr>
        <w:t>paracetamol</w:t>
      </w:r>
      <w:proofErr w:type="spellEnd"/>
      <w:r w:rsidR="0073235F" w:rsidRPr="00691B3F">
        <w:rPr>
          <w:rFonts w:ascii="Book Antiqua" w:hAnsi="Book Antiqua"/>
          <w:sz w:val="24"/>
          <w:szCs w:val="24"/>
        </w:rPr>
        <w:t xml:space="preserve"> is the most common cause of DILI</w:t>
      </w:r>
      <w:r w:rsidR="0038589F" w:rsidRPr="00691B3F">
        <w:rPr>
          <w:rFonts w:ascii="Book Antiqua" w:hAnsi="Book Antiqua"/>
          <w:sz w:val="24"/>
          <w:szCs w:val="24"/>
        </w:rPr>
        <w:t xml:space="preserve"> in the United </w:t>
      </w:r>
      <w:proofErr w:type="gramStart"/>
      <w:r w:rsidR="0038589F" w:rsidRPr="00691B3F">
        <w:rPr>
          <w:rFonts w:ascii="Book Antiqua" w:hAnsi="Book Antiqua"/>
          <w:sz w:val="24"/>
          <w:szCs w:val="24"/>
        </w:rPr>
        <w:t>States</w:t>
      </w:r>
      <w:r w:rsidR="007B3149" w:rsidRPr="00691B3F">
        <w:rPr>
          <w:rFonts w:ascii="Book Antiqua" w:hAnsi="Book Antiqua"/>
          <w:noProof/>
          <w:sz w:val="24"/>
          <w:szCs w:val="24"/>
          <w:vertAlign w:val="superscript"/>
        </w:rPr>
        <w:t>[</w:t>
      </w:r>
      <w:proofErr w:type="gramEnd"/>
      <w:r w:rsidR="007B3149" w:rsidRPr="00691B3F">
        <w:rPr>
          <w:rFonts w:ascii="Book Antiqua" w:hAnsi="Book Antiqua"/>
          <w:noProof/>
          <w:sz w:val="24"/>
          <w:szCs w:val="24"/>
          <w:vertAlign w:val="superscript"/>
        </w:rPr>
        <w:t>5]</w:t>
      </w:r>
      <w:bookmarkEnd w:id="38"/>
      <w:r w:rsidR="00360992" w:rsidRPr="00691B3F">
        <w:rPr>
          <w:rFonts w:ascii="Book Antiqua" w:hAnsi="Book Antiqua"/>
          <w:sz w:val="24"/>
          <w:szCs w:val="24"/>
        </w:rPr>
        <w:t>.</w:t>
      </w:r>
      <w:r w:rsidR="000F2238" w:rsidRPr="00691B3F">
        <w:rPr>
          <w:rFonts w:ascii="Book Antiqua" w:hAnsi="Book Antiqua"/>
          <w:sz w:val="24"/>
          <w:szCs w:val="24"/>
        </w:rPr>
        <w:t xml:space="preserve"> </w:t>
      </w:r>
      <w:r w:rsidR="00360992" w:rsidRPr="00691B3F">
        <w:rPr>
          <w:rFonts w:ascii="Book Antiqua" w:hAnsi="Book Antiqua"/>
          <w:sz w:val="24"/>
          <w:szCs w:val="24"/>
        </w:rPr>
        <w:t>Given its ease of access as an over-the-counter medication, the United States Food and Drug Administration had stated it is safe to consume up to a maximum dose of 4000</w:t>
      </w:r>
      <w:r w:rsidR="004F1A9A" w:rsidRPr="00691B3F">
        <w:rPr>
          <w:rFonts w:ascii="Book Antiqua" w:hAnsi="Book Antiqua"/>
          <w:sz w:val="24"/>
          <w:szCs w:val="24"/>
        </w:rPr>
        <w:t xml:space="preserve"> </w:t>
      </w:r>
      <w:r w:rsidR="00360992" w:rsidRPr="00691B3F">
        <w:rPr>
          <w:rFonts w:ascii="Book Antiqua" w:hAnsi="Book Antiqua"/>
          <w:sz w:val="24"/>
          <w:szCs w:val="24"/>
        </w:rPr>
        <w:t>mg within 24 h</w:t>
      </w:r>
      <w:r w:rsidR="007B3149" w:rsidRPr="00691B3F">
        <w:rPr>
          <w:rFonts w:ascii="Book Antiqua" w:hAnsi="Book Antiqua"/>
          <w:noProof/>
          <w:sz w:val="24"/>
          <w:szCs w:val="24"/>
          <w:vertAlign w:val="superscript"/>
        </w:rPr>
        <w:t>[6,7]</w:t>
      </w:r>
      <w:r w:rsidR="00076737" w:rsidRPr="00691B3F">
        <w:rPr>
          <w:rFonts w:ascii="Book Antiqua" w:hAnsi="Book Antiqua"/>
          <w:sz w:val="24"/>
          <w:szCs w:val="24"/>
        </w:rPr>
        <w:t xml:space="preserve"> while expert</w:t>
      </w:r>
      <w:r w:rsidR="000C4EE7" w:rsidRPr="00691B3F">
        <w:rPr>
          <w:rFonts w:ascii="Book Antiqua" w:hAnsi="Book Antiqua"/>
          <w:sz w:val="24"/>
          <w:szCs w:val="24"/>
        </w:rPr>
        <w:t>s</w:t>
      </w:r>
      <w:r w:rsidR="00723A38" w:rsidRPr="00691B3F">
        <w:rPr>
          <w:rFonts w:ascii="Book Antiqua" w:hAnsi="Book Antiqua"/>
          <w:sz w:val="24"/>
          <w:szCs w:val="24"/>
        </w:rPr>
        <w:t xml:space="preserve"> </w:t>
      </w:r>
      <w:r w:rsidR="00076737" w:rsidRPr="00691B3F">
        <w:rPr>
          <w:rFonts w:ascii="Book Antiqua" w:hAnsi="Book Antiqua"/>
          <w:sz w:val="24"/>
          <w:szCs w:val="24"/>
        </w:rPr>
        <w:t xml:space="preserve">recommend </w:t>
      </w:r>
      <w:r w:rsidR="00ED5854" w:rsidRPr="00691B3F">
        <w:rPr>
          <w:rFonts w:ascii="Book Antiqua" w:hAnsi="Book Antiqua"/>
          <w:sz w:val="24"/>
          <w:szCs w:val="24"/>
        </w:rPr>
        <w:t>a dose</w:t>
      </w:r>
      <w:r w:rsidR="00076737" w:rsidRPr="00691B3F">
        <w:rPr>
          <w:rFonts w:ascii="Book Antiqua" w:hAnsi="Book Antiqua"/>
          <w:sz w:val="24"/>
          <w:szCs w:val="24"/>
        </w:rPr>
        <w:t xml:space="preserve"> of 2000 mg or less in patients with existing liver disease or with chronic alcohol use</w:t>
      </w:r>
      <w:r w:rsidR="007B3149" w:rsidRPr="00691B3F">
        <w:rPr>
          <w:rFonts w:ascii="Book Antiqua" w:hAnsi="Book Antiqua"/>
          <w:noProof/>
          <w:sz w:val="24"/>
          <w:szCs w:val="24"/>
          <w:vertAlign w:val="superscript"/>
        </w:rPr>
        <w:t>[8-10]</w:t>
      </w:r>
      <w:r w:rsidR="00076737" w:rsidRPr="00691B3F">
        <w:rPr>
          <w:rFonts w:ascii="Book Antiqua" w:hAnsi="Book Antiqua"/>
          <w:sz w:val="24"/>
          <w:szCs w:val="24"/>
        </w:rPr>
        <w:t>.</w:t>
      </w:r>
      <w:r w:rsidR="000F2238" w:rsidRPr="00691B3F">
        <w:rPr>
          <w:rFonts w:ascii="Book Antiqua" w:hAnsi="Book Antiqua"/>
          <w:sz w:val="24"/>
          <w:szCs w:val="24"/>
        </w:rPr>
        <w:t xml:space="preserve"> </w:t>
      </w:r>
      <w:r w:rsidR="00D676D2" w:rsidRPr="00691B3F">
        <w:rPr>
          <w:rFonts w:ascii="Book Antiqua" w:hAnsi="Book Antiqua"/>
          <w:sz w:val="24"/>
          <w:szCs w:val="24"/>
        </w:rPr>
        <w:t xml:space="preserve">Alternatively, dosing guidelines from drug inserts in European countries recommends maximum of a 3000 mg of </w:t>
      </w:r>
      <w:proofErr w:type="spellStart"/>
      <w:r w:rsidR="00D676D2" w:rsidRPr="00691B3F">
        <w:rPr>
          <w:rFonts w:ascii="Book Antiqua" w:hAnsi="Book Antiqua"/>
          <w:sz w:val="24"/>
          <w:szCs w:val="24"/>
        </w:rPr>
        <w:t>paracetamol</w:t>
      </w:r>
      <w:proofErr w:type="spellEnd"/>
      <w:r w:rsidR="00D676D2" w:rsidRPr="00691B3F">
        <w:rPr>
          <w:rFonts w:ascii="Book Antiqua" w:hAnsi="Book Antiqua"/>
          <w:sz w:val="24"/>
          <w:szCs w:val="24"/>
        </w:rPr>
        <w:t xml:space="preserve"> in older adults either &lt;</w:t>
      </w:r>
      <w:r w:rsidR="000F2238" w:rsidRPr="00691B3F">
        <w:rPr>
          <w:rFonts w:ascii="Book Antiqua" w:hAnsi="Book Antiqua"/>
          <w:sz w:val="24"/>
          <w:szCs w:val="24"/>
        </w:rPr>
        <w:t xml:space="preserve"> </w:t>
      </w:r>
      <w:r w:rsidR="00D676D2" w:rsidRPr="00691B3F">
        <w:rPr>
          <w:rFonts w:ascii="Book Antiqua" w:hAnsi="Book Antiqua"/>
          <w:sz w:val="24"/>
          <w:szCs w:val="24"/>
        </w:rPr>
        <w:t>50 kg or in those &gt;</w:t>
      </w:r>
      <w:r w:rsidR="000F2238" w:rsidRPr="00691B3F">
        <w:rPr>
          <w:rFonts w:ascii="Book Antiqua" w:hAnsi="Book Antiqua"/>
          <w:sz w:val="24"/>
          <w:szCs w:val="24"/>
        </w:rPr>
        <w:t xml:space="preserve"> </w:t>
      </w:r>
      <w:r w:rsidR="00D676D2" w:rsidRPr="00691B3F">
        <w:rPr>
          <w:rFonts w:ascii="Book Antiqua" w:hAnsi="Book Antiqua"/>
          <w:sz w:val="24"/>
          <w:szCs w:val="24"/>
        </w:rPr>
        <w:t>50</w:t>
      </w:r>
      <w:r w:rsidR="000F2238" w:rsidRPr="00691B3F">
        <w:rPr>
          <w:rFonts w:ascii="Book Antiqua" w:hAnsi="Book Antiqua"/>
          <w:sz w:val="24"/>
          <w:szCs w:val="24"/>
        </w:rPr>
        <w:t xml:space="preserve"> </w:t>
      </w:r>
      <w:r w:rsidR="00D676D2" w:rsidRPr="00691B3F">
        <w:rPr>
          <w:rFonts w:ascii="Book Antiqua" w:hAnsi="Book Antiqua"/>
          <w:sz w:val="24"/>
          <w:szCs w:val="24"/>
        </w:rPr>
        <w:t xml:space="preserve">kg with additional risk factors for </w:t>
      </w:r>
      <w:proofErr w:type="gramStart"/>
      <w:r w:rsidR="00D676D2" w:rsidRPr="00691B3F">
        <w:rPr>
          <w:rFonts w:ascii="Book Antiqua" w:hAnsi="Book Antiqua"/>
          <w:sz w:val="24"/>
          <w:szCs w:val="24"/>
        </w:rPr>
        <w:t>hepatotoxicity</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11,12]</w:t>
      </w:r>
      <w:r w:rsidR="00D676D2" w:rsidRPr="00691B3F">
        <w:rPr>
          <w:rFonts w:ascii="Book Antiqua" w:hAnsi="Book Antiqua"/>
          <w:sz w:val="24"/>
          <w:szCs w:val="24"/>
        </w:rPr>
        <w:t>.</w:t>
      </w:r>
      <w:r w:rsidR="000F2238" w:rsidRPr="00691B3F">
        <w:rPr>
          <w:rFonts w:ascii="Book Antiqua" w:hAnsi="Book Antiqua"/>
          <w:sz w:val="24"/>
          <w:szCs w:val="24"/>
        </w:rPr>
        <w:t xml:space="preserve"> </w:t>
      </w:r>
      <w:r w:rsidR="00A4275F" w:rsidRPr="00691B3F">
        <w:rPr>
          <w:rFonts w:ascii="Book Antiqua" w:hAnsi="Book Antiqua"/>
          <w:sz w:val="24"/>
          <w:szCs w:val="24"/>
        </w:rPr>
        <w:t xml:space="preserve">However, toxicity from </w:t>
      </w:r>
      <w:proofErr w:type="spellStart"/>
      <w:r w:rsidR="00A4275F" w:rsidRPr="00691B3F">
        <w:rPr>
          <w:rFonts w:ascii="Book Antiqua" w:hAnsi="Book Antiqua"/>
          <w:sz w:val="24"/>
          <w:szCs w:val="24"/>
        </w:rPr>
        <w:t>paracetamol</w:t>
      </w:r>
      <w:proofErr w:type="spellEnd"/>
      <w:r w:rsidR="00A4275F" w:rsidRPr="00691B3F">
        <w:rPr>
          <w:rFonts w:ascii="Book Antiqua" w:hAnsi="Book Antiqua"/>
          <w:sz w:val="24"/>
          <w:szCs w:val="24"/>
        </w:rPr>
        <w:t xml:space="preserve"> has recently become more challenging to rapidly identify given the increased use of combination medications</w:t>
      </w:r>
      <w:r w:rsidR="000B0957" w:rsidRPr="00691B3F">
        <w:rPr>
          <w:rFonts w:ascii="Book Antiqua" w:hAnsi="Book Antiqua"/>
          <w:sz w:val="24"/>
          <w:szCs w:val="24"/>
        </w:rPr>
        <w:t xml:space="preserve">, </w:t>
      </w:r>
      <w:r w:rsidR="00A4275F" w:rsidRPr="00691B3F">
        <w:rPr>
          <w:rFonts w:ascii="Book Antiqua" w:hAnsi="Book Antiqua"/>
          <w:sz w:val="24"/>
          <w:szCs w:val="24"/>
        </w:rPr>
        <w:t>such as over-the-counter cold medicine or prescription pain relievers</w:t>
      </w:r>
      <w:r w:rsidR="000B0957" w:rsidRPr="00691B3F">
        <w:rPr>
          <w:rFonts w:ascii="Book Antiqua" w:hAnsi="Book Antiqua"/>
          <w:sz w:val="24"/>
          <w:szCs w:val="24"/>
        </w:rPr>
        <w:t>,</w:t>
      </w:r>
      <w:r w:rsidR="00A4275F" w:rsidRPr="00691B3F">
        <w:rPr>
          <w:rFonts w:ascii="Book Antiqua" w:hAnsi="Book Antiqua"/>
          <w:sz w:val="24"/>
          <w:szCs w:val="24"/>
        </w:rPr>
        <w:t xml:space="preserve"> </w:t>
      </w:r>
      <w:r w:rsidR="000B0957" w:rsidRPr="00691B3F">
        <w:rPr>
          <w:rFonts w:ascii="Book Antiqua" w:hAnsi="Book Antiqua"/>
          <w:sz w:val="24"/>
          <w:szCs w:val="24"/>
        </w:rPr>
        <w:t xml:space="preserve">that </w:t>
      </w:r>
      <w:r w:rsidR="00A4275F" w:rsidRPr="00691B3F">
        <w:rPr>
          <w:rFonts w:ascii="Book Antiqua" w:hAnsi="Book Antiqua"/>
          <w:sz w:val="24"/>
          <w:szCs w:val="24"/>
        </w:rPr>
        <w:t xml:space="preserve">also contain </w:t>
      </w:r>
      <w:proofErr w:type="spellStart"/>
      <w:r w:rsidR="00A4275F" w:rsidRPr="00691B3F">
        <w:rPr>
          <w:rFonts w:ascii="Book Antiqua" w:hAnsi="Book Antiqua"/>
          <w:sz w:val="24"/>
          <w:szCs w:val="24"/>
        </w:rPr>
        <w:t>paracetamol</w:t>
      </w:r>
      <w:proofErr w:type="spellEnd"/>
      <w:r w:rsidR="00A4275F" w:rsidRPr="00691B3F">
        <w:rPr>
          <w:rFonts w:ascii="Book Antiqua" w:hAnsi="Book Antiqua"/>
          <w:sz w:val="24"/>
          <w:szCs w:val="24"/>
        </w:rPr>
        <w:t>.</w:t>
      </w:r>
      <w:r w:rsidR="000F2238" w:rsidRPr="00691B3F">
        <w:rPr>
          <w:rFonts w:ascii="Book Antiqua" w:hAnsi="Book Antiqua"/>
          <w:sz w:val="24"/>
          <w:szCs w:val="24"/>
        </w:rPr>
        <w:t xml:space="preserve"> </w:t>
      </w:r>
      <w:r w:rsidR="00A4275F" w:rsidRPr="00691B3F">
        <w:rPr>
          <w:rFonts w:ascii="Book Antiqua" w:hAnsi="Book Antiqua"/>
          <w:sz w:val="24"/>
          <w:szCs w:val="24"/>
        </w:rPr>
        <w:t>In addition, toxic ingestions with these medications</w:t>
      </w:r>
      <w:r w:rsidR="0084000D" w:rsidRPr="00691B3F">
        <w:rPr>
          <w:rFonts w:ascii="Book Antiqua" w:hAnsi="Book Antiqua"/>
          <w:sz w:val="24"/>
          <w:szCs w:val="24"/>
        </w:rPr>
        <w:t xml:space="preserve"> or in combination with alcohol</w:t>
      </w:r>
      <w:r w:rsidR="00A4275F" w:rsidRPr="00691B3F">
        <w:rPr>
          <w:rFonts w:ascii="Book Antiqua" w:hAnsi="Book Antiqua"/>
          <w:sz w:val="24"/>
          <w:szCs w:val="24"/>
        </w:rPr>
        <w:t xml:space="preserve"> may have a delayed presentation of </w:t>
      </w:r>
      <w:proofErr w:type="gramStart"/>
      <w:r w:rsidR="00A4275F" w:rsidRPr="00691B3F">
        <w:rPr>
          <w:rFonts w:ascii="Book Antiqua" w:hAnsi="Book Antiqua"/>
          <w:sz w:val="24"/>
          <w:szCs w:val="24"/>
        </w:rPr>
        <w:t>hepatotoxicity</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13-15]</w:t>
      </w:r>
      <w:r w:rsidR="00A4275F" w:rsidRPr="00691B3F">
        <w:rPr>
          <w:rFonts w:ascii="Book Antiqua" w:hAnsi="Book Antiqua"/>
          <w:sz w:val="24"/>
          <w:szCs w:val="24"/>
        </w:rPr>
        <w:t>.</w:t>
      </w:r>
      <w:r w:rsidR="000F2238" w:rsidRPr="00691B3F">
        <w:rPr>
          <w:rFonts w:ascii="Book Antiqua" w:hAnsi="Book Antiqua"/>
          <w:sz w:val="24"/>
          <w:szCs w:val="24"/>
        </w:rPr>
        <w:t xml:space="preserve"> </w:t>
      </w:r>
      <w:r w:rsidR="009320FA" w:rsidRPr="00691B3F">
        <w:rPr>
          <w:rFonts w:ascii="Book Antiqua" w:hAnsi="Book Antiqua"/>
          <w:sz w:val="24"/>
          <w:szCs w:val="24"/>
        </w:rPr>
        <w:t xml:space="preserve">Previously, only limited data on the mechanism and outlook of patients with acute liver injury </w:t>
      </w:r>
      <w:r w:rsidR="0038589F" w:rsidRPr="00691B3F">
        <w:rPr>
          <w:rFonts w:ascii="Book Antiqua" w:hAnsi="Book Antiqua"/>
          <w:sz w:val="24"/>
          <w:szCs w:val="24"/>
        </w:rPr>
        <w:t>existed.</w:t>
      </w:r>
      <w:r w:rsidR="000F2238" w:rsidRPr="00691B3F">
        <w:rPr>
          <w:rFonts w:ascii="Book Antiqua" w:hAnsi="Book Antiqua"/>
          <w:sz w:val="24"/>
          <w:szCs w:val="24"/>
        </w:rPr>
        <w:t xml:space="preserve"> </w:t>
      </w:r>
      <w:r w:rsidR="0038589F" w:rsidRPr="00691B3F">
        <w:rPr>
          <w:rFonts w:ascii="Book Antiqua" w:hAnsi="Book Antiqua"/>
          <w:sz w:val="24"/>
          <w:szCs w:val="24"/>
        </w:rPr>
        <w:t xml:space="preserve">Because acute liver failure was </w:t>
      </w:r>
      <w:r w:rsidR="009320FA" w:rsidRPr="00691B3F">
        <w:rPr>
          <w:rFonts w:ascii="Book Antiqua" w:hAnsi="Book Antiqua"/>
          <w:sz w:val="24"/>
          <w:szCs w:val="24"/>
        </w:rPr>
        <w:t>poorly studied and understood, centralized data registries, such as the U</w:t>
      </w:r>
      <w:r w:rsidR="00017D50" w:rsidRPr="00691B3F">
        <w:rPr>
          <w:rFonts w:ascii="Book Antiqua" w:hAnsi="Book Antiqua" w:hint="eastAsia"/>
          <w:sz w:val="24"/>
          <w:szCs w:val="24"/>
          <w:lang w:eastAsia="zh-CN"/>
        </w:rPr>
        <w:t>nited States</w:t>
      </w:r>
      <w:r w:rsidR="009320FA" w:rsidRPr="00691B3F">
        <w:rPr>
          <w:rFonts w:ascii="Book Antiqua" w:hAnsi="Book Antiqua"/>
          <w:sz w:val="24"/>
          <w:szCs w:val="24"/>
        </w:rPr>
        <w:t xml:space="preserve"> Acute Liver Failure Study Group</w:t>
      </w:r>
      <w:r w:rsidR="0038589F" w:rsidRPr="00691B3F">
        <w:rPr>
          <w:rFonts w:ascii="Book Antiqua" w:hAnsi="Book Antiqua"/>
          <w:sz w:val="24"/>
          <w:szCs w:val="24"/>
        </w:rPr>
        <w:t xml:space="preserve">, </w:t>
      </w:r>
      <w:r w:rsidR="00652E18" w:rsidRPr="00691B3F">
        <w:rPr>
          <w:rFonts w:ascii="Book Antiqua" w:hAnsi="Book Antiqua"/>
          <w:sz w:val="24"/>
          <w:szCs w:val="24"/>
        </w:rPr>
        <w:t xml:space="preserve">were formed </w:t>
      </w:r>
      <w:r w:rsidR="0038589F" w:rsidRPr="00691B3F">
        <w:rPr>
          <w:rFonts w:ascii="Book Antiqua" w:hAnsi="Book Antiqua"/>
          <w:sz w:val="24"/>
          <w:szCs w:val="24"/>
        </w:rPr>
        <w:t>to improve detection and patient outcomes</w:t>
      </w:r>
      <w:r w:rsidR="009320FA" w:rsidRPr="00691B3F">
        <w:rPr>
          <w:rFonts w:ascii="Book Antiqua" w:hAnsi="Book Antiqua"/>
          <w:sz w:val="24"/>
          <w:szCs w:val="24"/>
        </w:rPr>
        <w:t>.</w:t>
      </w:r>
      <w:r w:rsidR="000F2238" w:rsidRPr="00691B3F">
        <w:rPr>
          <w:rFonts w:ascii="Book Antiqua" w:hAnsi="Book Antiqua"/>
          <w:sz w:val="24"/>
          <w:szCs w:val="24"/>
        </w:rPr>
        <w:t xml:space="preserve"> </w:t>
      </w:r>
      <w:r w:rsidR="00F847F4" w:rsidRPr="00691B3F">
        <w:rPr>
          <w:rFonts w:ascii="Book Antiqua" w:hAnsi="Book Antiqua"/>
          <w:sz w:val="24"/>
          <w:szCs w:val="24"/>
        </w:rPr>
        <w:t xml:space="preserve">Additionally, the </w:t>
      </w:r>
      <w:r w:rsidR="008E6E00" w:rsidRPr="00691B3F">
        <w:rPr>
          <w:rFonts w:ascii="Book Antiqua" w:hAnsi="Book Antiqua"/>
          <w:sz w:val="24"/>
          <w:szCs w:val="24"/>
        </w:rPr>
        <w:t>U</w:t>
      </w:r>
      <w:r w:rsidR="008E6E00" w:rsidRPr="00691B3F">
        <w:rPr>
          <w:rFonts w:ascii="Book Antiqua" w:hAnsi="Book Antiqua" w:hint="eastAsia"/>
          <w:sz w:val="24"/>
          <w:szCs w:val="24"/>
          <w:lang w:eastAsia="zh-CN"/>
        </w:rPr>
        <w:t>nited States</w:t>
      </w:r>
      <w:r w:rsidR="00F847F4" w:rsidRPr="00691B3F">
        <w:rPr>
          <w:rFonts w:ascii="Book Antiqua" w:hAnsi="Book Antiqua"/>
          <w:sz w:val="24"/>
          <w:szCs w:val="24"/>
        </w:rPr>
        <w:t xml:space="preserve"> Drug-Induced Liver Injury Network was formed with the goal of creating a centralized </w:t>
      </w:r>
      <w:r w:rsidR="00EC33D2" w:rsidRPr="00691B3F">
        <w:rPr>
          <w:rFonts w:ascii="Book Antiqua" w:hAnsi="Book Antiqua"/>
          <w:sz w:val="24"/>
          <w:szCs w:val="24"/>
        </w:rPr>
        <w:t>registry</w:t>
      </w:r>
      <w:r w:rsidR="00F847F4" w:rsidRPr="00691B3F">
        <w:rPr>
          <w:rFonts w:ascii="Book Antiqua" w:hAnsi="Book Antiqua"/>
          <w:sz w:val="24"/>
          <w:szCs w:val="24"/>
        </w:rPr>
        <w:t xml:space="preserve"> for all acute liver failure cases that result from </w:t>
      </w:r>
      <w:r w:rsidR="00BE5546" w:rsidRPr="00691B3F">
        <w:rPr>
          <w:rFonts w:ascii="Book Antiqua" w:hAnsi="Book Antiqua"/>
          <w:sz w:val="24"/>
          <w:szCs w:val="24"/>
        </w:rPr>
        <w:t xml:space="preserve">the use of </w:t>
      </w:r>
      <w:r w:rsidR="00F847F4" w:rsidRPr="00691B3F">
        <w:rPr>
          <w:rFonts w:ascii="Book Antiqua" w:hAnsi="Book Antiqua"/>
          <w:sz w:val="24"/>
          <w:szCs w:val="24"/>
        </w:rPr>
        <w:t xml:space="preserve">prescriptions, over-the-counters, and herbal </w:t>
      </w:r>
      <w:proofErr w:type="gramStart"/>
      <w:r w:rsidR="00F847F4" w:rsidRPr="00691B3F">
        <w:rPr>
          <w:rFonts w:ascii="Book Antiqua" w:hAnsi="Book Antiqua"/>
          <w:sz w:val="24"/>
          <w:szCs w:val="24"/>
        </w:rPr>
        <w:t>medications</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16]</w:t>
      </w:r>
      <w:r w:rsidR="00F847F4" w:rsidRPr="00691B3F">
        <w:rPr>
          <w:rFonts w:ascii="Book Antiqua" w:hAnsi="Book Antiqua"/>
          <w:sz w:val="24"/>
          <w:szCs w:val="24"/>
        </w:rPr>
        <w:t>.</w:t>
      </w:r>
      <w:r w:rsidR="000F2238" w:rsidRPr="00691B3F">
        <w:rPr>
          <w:rFonts w:ascii="Book Antiqua" w:hAnsi="Book Antiqua"/>
          <w:sz w:val="24"/>
          <w:szCs w:val="24"/>
        </w:rPr>
        <w:t xml:space="preserve"> </w:t>
      </w:r>
      <w:r w:rsidR="009320FA" w:rsidRPr="00691B3F">
        <w:rPr>
          <w:rFonts w:ascii="Book Antiqua" w:hAnsi="Book Antiqua"/>
          <w:sz w:val="24"/>
          <w:szCs w:val="24"/>
        </w:rPr>
        <w:t xml:space="preserve">Our aim is to describe the </w:t>
      </w:r>
      <w:r w:rsidR="009320FA" w:rsidRPr="00691B3F">
        <w:rPr>
          <w:rFonts w:ascii="Book Antiqua" w:hAnsi="Book Antiqua"/>
          <w:sz w:val="24"/>
          <w:szCs w:val="24"/>
        </w:rPr>
        <w:lastRenderedPageBreak/>
        <w:t xml:space="preserve">clinical and pathophysiologic features of hepatotoxicity secondary to </w:t>
      </w:r>
      <w:proofErr w:type="spellStart"/>
      <w:r w:rsidR="00082A5C" w:rsidRPr="00691B3F">
        <w:rPr>
          <w:rFonts w:ascii="Book Antiqua" w:hAnsi="Book Antiqua"/>
          <w:sz w:val="24"/>
          <w:szCs w:val="24"/>
        </w:rPr>
        <w:t>paracetamol</w:t>
      </w:r>
      <w:proofErr w:type="spellEnd"/>
      <w:r w:rsidR="009320FA" w:rsidRPr="00691B3F">
        <w:rPr>
          <w:rFonts w:ascii="Book Antiqua" w:hAnsi="Book Antiqua"/>
          <w:sz w:val="24"/>
          <w:szCs w:val="24"/>
        </w:rPr>
        <w:t xml:space="preserve"> and provide an update on current </w:t>
      </w:r>
      <w:r w:rsidR="004A66DB" w:rsidRPr="00691B3F">
        <w:rPr>
          <w:rFonts w:ascii="Book Antiqua" w:hAnsi="Book Antiqua"/>
          <w:sz w:val="24"/>
          <w:szCs w:val="24"/>
        </w:rPr>
        <w:t>available knowledge</w:t>
      </w:r>
      <w:r w:rsidR="009320FA" w:rsidRPr="00691B3F">
        <w:rPr>
          <w:rFonts w:ascii="Book Antiqua" w:hAnsi="Book Antiqua"/>
          <w:sz w:val="24"/>
          <w:szCs w:val="24"/>
        </w:rPr>
        <w:t xml:space="preserve"> and treatment</w:t>
      </w:r>
      <w:r w:rsidR="004A66DB" w:rsidRPr="00691B3F">
        <w:rPr>
          <w:rFonts w:ascii="Book Antiqua" w:hAnsi="Book Antiqua"/>
          <w:sz w:val="24"/>
          <w:szCs w:val="24"/>
        </w:rPr>
        <w:t xml:space="preserve"> options.</w:t>
      </w:r>
    </w:p>
    <w:p w14:paraId="18006343" w14:textId="77777777" w:rsidR="00621CC4" w:rsidRPr="00691B3F" w:rsidRDefault="00621CC4" w:rsidP="00367FE4">
      <w:pPr>
        <w:pStyle w:val="a3"/>
        <w:snapToGrid w:val="0"/>
        <w:spacing w:line="360" w:lineRule="auto"/>
        <w:jc w:val="both"/>
        <w:rPr>
          <w:rFonts w:ascii="Book Antiqua" w:hAnsi="Book Antiqua"/>
          <w:sz w:val="24"/>
          <w:szCs w:val="24"/>
        </w:rPr>
      </w:pPr>
    </w:p>
    <w:p w14:paraId="7506FD71" w14:textId="23229B30" w:rsidR="00062CEE" w:rsidRPr="00691B3F" w:rsidRDefault="00F50C8C" w:rsidP="00367FE4">
      <w:pPr>
        <w:pStyle w:val="a3"/>
        <w:snapToGrid w:val="0"/>
        <w:spacing w:line="360" w:lineRule="auto"/>
        <w:jc w:val="both"/>
        <w:rPr>
          <w:rFonts w:ascii="Book Antiqua" w:hAnsi="Book Antiqua"/>
          <w:b/>
          <w:caps/>
          <w:sz w:val="24"/>
          <w:szCs w:val="24"/>
          <w:u w:val="single"/>
        </w:rPr>
      </w:pPr>
      <w:r w:rsidRPr="00691B3F">
        <w:rPr>
          <w:rFonts w:ascii="Book Antiqua" w:hAnsi="Book Antiqua"/>
          <w:b/>
          <w:caps/>
          <w:sz w:val="24"/>
          <w:szCs w:val="24"/>
          <w:u w:val="single"/>
        </w:rPr>
        <w:t>Pathophysiology</w:t>
      </w:r>
    </w:p>
    <w:p w14:paraId="61EEF207" w14:textId="19313C92" w:rsidR="00B95676" w:rsidRPr="00691B3F" w:rsidRDefault="00082A5C" w:rsidP="00367FE4">
      <w:pPr>
        <w:pStyle w:val="a3"/>
        <w:snapToGrid w:val="0"/>
        <w:spacing w:line="360" w:lineRule="auto"/>
        <w:jc w:val="both"/>
        <w:rPr>
          <w:rFonts w:ascii="Book Antiqua" w:hAnsi="Book Antiqua"/>
          <w:sz w:val="24"/>
          <w:szCs w:val="24"/>
        </w:rPr>
      </w:pPr>
      <w:proofErr w:type="spellStart"/>
      <w:r w:rsidRPr="00691B3F">
        <w:rPr>
          <w:rFonts w:ascii="Book Antiqua" w:hAnsi="Book Antiqua"/>
          <w:sz w:val="24"/>
          <w:szCs w:val="24"/>
        </w:rPr>
        <w:t>Paracetamol</w:t>
      </w:r>
      <w:proofErr w:type="spellEnd"/>
      <w:r w:rsidRPr="00691B3F">
        <w:rPr>
          <w:rFonts w:ascii="Book Antiqua" w:hAnsi="Book Antiqua"/>
          <w:sz w:val="24"/>
          <w:szCs w:val="24"/>
        </w:rPr>
        <w:t xml:space="preserve"> was first developed in 1878</w:t>
      </w:r>
      <w:r w:rsidR="00BC401D" w:rsidRPr="00691B3F">
        <w:rPr>
          <w:rFonts w:ascii="Book Antiqua" w:hAnsi="Book Antiqua"/>
          <w:sz w:val="24"/>
          <w:szCs w:val="24"/>
        </w:rPr>
        <w:t xml:space="preserve"> </w:t>
      </w:r>
      <w:r w:rsidR="004E2A27" w:rsidRPr="00691B3F">
        <w:rPr>
          <w:rFonts w:ascii="Book Antiqua" w:hAnsi="Book Antiqua"/>
          <w:sz w:val="24"/>
          <w:szCs w:val="24"/>
        </w:rPr>
        <w:t xml:space="preserve">from </w:t>
      </w:r>
      <w:proofErr w:type="spellStart"/>
      <w:r w:rsidR="004E2A27" w:rsidRPr="00691B3F">
        <w:rPr>
          <w:rFonts w:ascii="Book Antiqua" w:hAnsi="Book Antiqua"/>
          <w:sz w:val="24"/>
          <w:szCs w:val="24"/>
        </w:rPr>
        <w:t>phenacetin</w:t>
      </w:r>
      <w:proofErr w:type="spellEnd"/>
      <w:r w:rsidR="004E2A27" w:rsidRPr="00691B3F">
        <w:rPr>
          <w:rFonts w:ascii="Book Antiqua" w:hAnsi="Book Antiqua"/>
          <w:sz w:val="24"/>
          <w:szCs w:val="24"/>
        </w:rPr>
        <w:t xml:space="preserve"> </w:t>
      </w:r>
      <w:r w:rsidR="00BC401D" w:rsidRPr="00691B3F">
        <w:rPr>
          <w:rFonts w:ascii="Book Antiqua" w:hAnsi="Book Antiqua"/>
          <w:sz w:val="24"/>
          <w:szCs w:val="24"/>
        </w:rPr>
        <w:t>and became widespread in the 1950s as an over-the-counter antipyretic and analgesic.</w:t>
      </w:r>
      <w:r w:rsidR="000F2238" w:rsidRPr="00691B3F">
        <w:rPr>
          <w:rFonts w:ascii="Book Antiqua" w:hAnsi="Book Antiqua"/>
          <w:sz w:val="24"/>
          <w:szCs w:val="24"/>
        </w:rPr>
        <w:t xml:space="preserve"> </w:t>
      </w:r>
      <w:r w:rsidR="005F01DB" w:rsidRPr="00691B3F">
        <w:rPr>
          <w:rFonts w:ascii="Book Antiqua" w:hAnsi="Book Antiqua"/>
          <w:sz w:val="24"/>
          <w:szCs w:val="24"/>
        </w:rPr>
        <w:t>Since that time, there ha</w:t>
      </w:r>
      <w:r w:rsidR="00DB28AF" w:rsidRPr="00691B3F">
        <w:rPr>
          <w:rFonts w:ascii="Book Antiqua" w:hAnsi="Book Antiqua"/>
          <w:sz w:val="24"/>
          <w:szCs w:val="24"/>
        </w:rPr>
        <w:t>ve</w:t>
      </w:r>
      <w:r w:rsidR="005F01DB" w:rsidRPr="00691B3F">
        <w:rPr>
          <w:rFonts w:ascii="Book Antiqua" w:hAnsi="Book Antiqua"/>
          <w:sz w:val="24"/>
          <w:szCs w:val="24"/>
        </w:rPr>
        <w:t xml:space="preserve"> been numerous studies connecting </w:t>
      </w:r>
      <w:proofErr w:type="spellStart"/>
      <w:r w:rsidR="005F01DB" w:rsidRPr="00691B3F">
        <w:rPr>
          <w:rFonts w:ascii="Book Antiqua" w:hAnsi="Book Antiqua"/>
          <w:sz w:val="24"/>
          <w:szCs w:val="24"/>
        </w:rPr>
        <w:t>paracetamol</w:t>
      </w:r>
      <w:proofErr w:type="spellEnd"/>
      <w:r w:rsidR="005F01DB" w:rsidRPr="00691B3F">
        <w:rPr>
          <w:rFonts w:ascii="Book Antiqua" w:hAnsi="Book Antiqua"/>
          <w:sz w:val="24"/>
          <w:szCs w:val="24"/>
        </w:rPr>
        <w:t xml:space="preserve"> ingestion with liver injury in a dose-dependent fashion.</w:t>
      </w:r>
      <w:r w:rsidR="000F2238" w:rsidRPr="00691B3F">
        <w:rPr>
          <w:rFonts w:ascii="Book Antiqua" w:hAnsi="Book Antiqua"/>
          <w:sz w:val="24"/>
          <w:szCs w:val="24"/>
        </w:rPr>
        <w:t xml:space="preserve"> </w:t>
      </w:r>
      <w:r w:rsidR="00AE55C3" w:rsidRPr="00691B3F">
        <w:rPr>
          <w:rFonts w:ascii="Book Antiqua" w:hAnsi="Book Antiqua"/>
          <w:sz w:val="24"/>
          <w:szCs w:val="24"/>
        </w:rPr>
        <w:t xml:space="preserve">These effects are compounded in the setting of concomitant alcohol abuse, starvation ketosis or </w:t>
      </w:r>
      <w:r w:rsidR="00A55D4E" w:rsidRPr="00691B3F">
        <w:rPr>
          <w:rFonts w:ascii="Book Antiqua" w:hAnsi="Book Antiqua"/>
          <w:sz w:val="24"/>
          <w:szCs w:val="24"/>
        </w:rPr>
        <w:t>concurrent infections.</w:t>
      </w:r>
      <w:r w:rsidR="000F2238" w:rsidRPr="00691B3F">
        <w:rPr>
          <w:rFonts w:ascii="Book Antiqua" w:hAnsi="Book Antiqua"/>
          <w:sz w:val="24"/>
          <w:szCs w:val="24"/>
        </w:rPr>
        <w:t xml:space="preserve"> </w:t>
      </w:r>
      <w:r w:rsidR="00696B94" w:rsidRPr="00691B3F">
        <w:rPr>
          <w:rFonts w:ascii="Book Antiqua" w:hAnsi="Book Antiqua"/>
          <w:sz w:val="24"/>
          <w:szCs w:val="24"/>
        </w:rPr>
        <w:t xml:space="preserve">Hepatocytes metabolize </w:t>
      </w:r>
      <w:proofErr w:type="spellStart"/>
      <w:r w:rsidR="002541E2" w:rsidRPr="00691B3F">
        <w:rPr>
          <w:rFonts w:ascii="Book Antiqua" w:hAnsi="Book Antiqua"/>
          <w:sz w:val="24"/>
          <w:szCs w:val="24"/>
        </w:rPr>
        <w:t>paracetamol</w:t>
      </w:r>
      <w:proofErr w:type="spellEnd"/>
      <w:r w:rsidR="00696B94" w:rsidRPr="00691B3F">
        <w:rPr>
          <w:rFonts w:ascii="Book Antiqua" w:hAnsi="Book Antiqua"/>
          <w:sz w:val="24"/>
          <w:szCs w:val="24"/>
        </w:rPr>
        <w:t xml:space="preserve"> via microsomal cytochrome P450</w:t>
      </w:r>
      <w:r w:rsidR="00CD126C" w:rsidRPr="00691B3F">
        <w:rPr>
          <w:rFonts w:ascii="Book Antiqua" w:hAnsi="Book Antiqua"/>
          <w:sz w:val="24"/>
          <w:szCs w:val="24"/>
        </w:rPr>
        <w:t xml:space="preserve"> (CYP450)</w:t>
      </w:r>
      <w:r w:rsidR="00696B94" w:rsidRPr="00691B3F">
        <w:rPr>
          <w:rFonts w:ascii="Book Antiqua" w:hAnsi="Book Antiqua"/>
          <w:sz w:val="24"/>
          <w:szCs w:val="24"/>
        </w:rPr>
        <w:t xml:space="preserve"> into non-toxic byproducts.</w:t>
      </w:r>
      <w:r w:rsidR="000F2238" w:rsidRPr="00691B3F">
        <w:rPr>
          <w:rFonts w:ascii="Book Antiqua" w:hAnsi="Book Antiqua"/>
          <w:sz w:val="24"/>
          <w:szCs w:val="24"/>
        </w:rPr>
        <w:t xml:space="preserve"> </w:t>
      </w:r>
      <w:r w:rsidR="002541E2" w:rsidRPr="00691B3F">
        <w:rPr>
          <w:rFonts w:ascii="Book Antiqua" w:hAnsi="Book Antiqua"/>
          <w:sz w:val="24"/>
          <w:szCs w:val="24"/>
        </w:rPr>
        <w:t>Th</w:t>
      </w:r>
      <w:r w:rsidR="00D03F90" w:rsidRPr="00691B3F">
        <w:rPr>
          <w:rFonts w:ascii="Book Antiqua" w:hAnsi="Book Antiqua"/>
          <w:sz w:val="24"/>
          <w:szCs w:val="24"/>
        </w:rPr>
        <w:t>is</w:t>
      </w:r>
      <w:r w:rsidR="002541E2" w:rsidRPr="00691B3F">
        <w:rPr>
          <w:rFonts w:ascii="Book Antiqua" w:hAnsi="Book Antiqua"/>
          <w:sz w:val="24"/>
          <w:szCs w:val="24"/>
        </w:rPr>
        <w:t xml:space="preserve"> metabolism pathway via </w:t>
      </w:r>
      <w:r w:rsidR="00CD126C" w:rsidRPr="00691B3F">
        <w:rPr>
          <w:rFonts w:ascii="Book Antiqua" w:hAnsi="Book Antiqua"/>
          <w:sz w:val="24"/>
          <w:szCs w:val="24"/>
        </w:rPr>
        <w:t>CY</w:t>
      </w:r>
      <w:r w:rsidR="002541E2" w:rsidRPr="00691B3F">
        <w:rPr>
          <w:rFonts w:ascii="Book Antiqua" w:hAnsi="Book Antiqua"/>
          <w:sz w:val="24"/>
          <w:szCs w:val="24"/>
        </w:rPr>
        <w:t>P450</w:t>
      </w:r>
      <w:r w:rsidR="00723A38" w:rsidRPr="00691B3F">
        <w:rPr>
          <w:rFonts w:ascii="Book Antiqua" w:hAnsi="Book Antiqua"/>
          <w:sz w:val="24"/>
          <w:szCs w:val="24"/>
        </w:rPr>
        <w:t>, specifically cytochrome P450 2E1 (CYP2E1),</w:t>
      </w:r>
      <w:r w:rsidR="002541E2" w:rsidRPr="00691B3F">
        <w:rPr>
          <w:rFonts w:ascii="Book Antiqua" w:hAnsi="Book Antiqua"/>
          <w:sz w:val="24"/>
          <w:szCs w:val="24"/>
        </w:rPr>
        <w:t xml:space="preserve"> produces reactive oxygen </w:t>
      </w:r>
      <w:proofErr w:type="gramStart"/>
      <w:r w:rsidR="002541E2" w:rsidRPr="00691B3F">
        <w:rPr>
          <w:rFonts w:ascii="Book Antiqua" w:hAnsi="Book Antiqua"/>
          <w:sz w:val="24"/>
          <w:szCs w:val="24"/>
        </w:rPr>
        <w:t>species</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17]</w:t>
      </w:r>
      <w:r w:rsidR="00451678" w:rsidRPr="00691B3F">
        <w:rPr>
          <w:rFonts w:ascii="Book Antiqua" w:hAnsi="Book Antiqua"/>
          <w:sz w:val="24"/>
          <w:szCs w:val="24"/>
        </w:rPr>
        <w:t xml:space="preserve">, originally thought to be the ultimate cause of liver injury in </w:t>
      </w:r>
      <w:proofErr w:type="spellStart"/>
      <w:r w:rsidR="00D03F90" w:rsidRPr="00691B3F">
        <w:rPr>
          <w:rFonts w:ascii="Book Antiqua" w:hAnsi="Book Antiqua"/>
          <w:sz w:val="24"/>
          <w:szCs w:val="24"/>
        </w:rPr>
        <w:t>paracetamol</w:t>
      </w:r>
      <w:proofErr w:type="spellEnd"/>
      <w:r w:rsidR="00451678" w:rsidRPr="00691B3F">
        <w:rPr>
          <w:rFonts w:ascii="Book Antiqua" w:hAnsi="Book Antiqua"/>
          <w:sz w:val="24"/>
          <w:szCs w:val="24"/>
        </w:rPr>
        <w:t xml:space="preserve"> overdose</w:t>
      </w:r>
      <w:r w:rsidR="002541E2" w:rsidRPr="00691B3F">
        <w:rPr>
          <w:rFonts w:ascii="Book Antiqua" w:hAnsi="Book Antiqua"/>
          <w:sz w:val="24"/>
          <w:szCs w:val="24"/>
        </w:rPr>
        <w:t>.</w:t>
      </w:r>
      <w:r w:rsidR="000F2238" w:rsidRPr="00691B3F">
        <w:rPr>
          <w:rFonts w:ascii="Book Antiqua" w:hAnsi="Book Antiqua"/>
          <w:sz w:val="24"/>
          <w:szCs w:val="24"/>
        </w:rPr>
        <w:t xml:space="preserve"> </w:t>
      </w:r>
      <w:r w:rsidR="0097058F" w:rsidRPr="00691B3F">
        <w:rPr>
          <w:rFonts w:ascii="Book Antiqua" w:hAnsi="Book Antiqua"/>
          <w:sz w:val="24"/>
          <w:szCs w:val="24"/>
        </w:rPr>
        <w:t xml:space="preserve">After recent </w:t>
      </w:r>
      <w:proofErr w:type="gramStart"/>
      <w:r w:rsidR="0097058F" w:rsidRPr="00691B3F">
        <w:rPr>
          <w:rFonts w:ascii="Book Antiqua" w:hAnsi="Book Antiqua"/>
          <w:sz w:val="24"/>
          <w:szCs w:val="24"/>
        </w:rPr>
        <w:t>debunking</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18-20]</w:t>
      </w:r>
      <w:r w:rsidR="0097058F" w:rsidRPr="00691B3F">
        <w:rPr>
          <w:rFonts w:ascii="Book Antiqua" w:hAnsi="Book Antiqua"/>
          <w:sz w:val="24"/>
          <w:szCs w:val="24"/>
        </w:rPr>
        <w:t xml:space="preserve"> of </w:t>
      </w:r>
      <w:r w:rsidR="00451678" w:rsidRPr="00691B3F">
        <w:rPr>
          <w:rFonts w:ascii="Book Antiqua" w:hAnsi="Book Antiqua"/>
          <w:sz w:val="24"/>
          <w:szCs w:val="24"/>
        </w:rPr>
        <w:t>that</w:t>
      </w:r>
      <w:r w:rsidR="0097058F" w:rsidRPr="00691B3F">
        <w:rPr>
          <w:rFonts w:ascii="Book Antiqua" w:hAnsi="Book Antiqua"/>
          <w:sz w:val="24"/>
          <w:szCs w:val="24"/>
        </w:rPr>
        <w:t xml:space="preserve"> long-standing belief, mitochondrial dysfunction has</w:t>
      </w:r>
      <w:r w:rsidR="00B334B1" w:rsidRPr="00691B3F">
        <w:rPr>
          <w:rFonts w:ascii="Book Antiqua" w:hAnsi="Book Antiqua"/>
          <w:sz w:val="24"/>
          <w:szCs w:val="24"/>
        </w:rPr>
        <w:t xml:space="preserve"> instead</w:t>
      </w:r>
      <w:r w:rsidR="0097058F" w:rsidRPr="00691B3F">
        <w:rPr>
          <w:rFonts w:ascii="Book Antiqua" w:hAnsi="Book Antiqua"/>
          <w:sz w:val="24"/>
          <w:szCs w:val="24"/>
        </w:rPr>
        <w:t xml:space="preserve"> been attributed as the main source of free radicals and oxidative stress in </w:t>
      </w:r>
      <w:proofErr w:type="spellStart"/>
      <w:r w:rsidR="0097058F" w:rsidRPr="00691B3F">
        <w:rPr>
          <w:rFonts w:ascii="Book Antiqua" w:hAnsi="Book Antiqua"/>
          <w:sz w:val="24"/>
          <w:szCs w:val="24"/>
        </w:rPr>
        <w:t>paracetamol</w:t>
      </w:r>
      <w:proofErr w:type="spellEnd"/>
      <w:r w:rsidR="0097058F" w:rsidRPr="00691B3F">
        <w:rPr>
          <w:rFonts w:ascii="Book Antiqua" w:hAnsi="Book Antiqua"/>
          <w:sz w:val="24"/>
          <w:szCs w:val="24"/>
        </w:rPr>
        <w:t xml:space="preserve"> hepatotoxicity</w:t>
      </w:r>
      <w:r w:rsidR="00D676D2" w:rsidRPr="00691B3F">
        <w:rPr>
          <w:rFonts w:ascii="Book Antiqua" w:hAnsi="Book Antiqua"/>
          <w:noProof/>
          <w:sz w:val="24"/>
          <w:szCs w:val="24"/>
          <w:vertAlign w:val="superscript"/>
        </w:rPr>
        <w:t>[21]</w:t>
      </w:r>
      <w:r w:rsidR="0097058F" w:rsidRPr="00691B3F">
        <w:rPr>
          <w:rFonts w:ascii="Book Antiqua" w:hAnsi="Book Antiqua"/>
          <w:sz w:val="24"/>
          <w:szCs w:val="24"/>
        </w:rPr>
        <w:t>.</w:t>
      </w:r>
      <w:r w:rsidR="000F2238" w:rsidRPr="00691B3F">
        <w:rPr>
          <w:rFonts w:ascii="Book Antiqua" w:hAnsi="Book Antiqua"/>
          <w:sz w:val="24"/>
          <w:szCs w:val="24"/>
        </w:rPr>
        <w:t xml:space="preserve"> </w:t>
      </w:r>
      <w:r w:rsidR="0097058F" w:rsidRPr="00691B3F">
        <w:rPr>
          <w:rFonts w:ascii="Book Antiqua" w:hAnsi="Book Antiqua"/>
          <w:sz w:val="24"/>
          <w:szCs w:val="24"/>
        </w:rPr>
        <w:t xml:space="preserve">Mitochondrial dysfunction begins with the formation of drug-protein adducts between the reactive </w:t>
      </w:r>
      <w:proofErr w:type="spellStart"/>
      <w:r w:rsidR="0097058F" w:rsidRPr="00691B3F">
        <w:rPr>
          <w:rFonts w:ascii="Book Antiqua" w:hAnsi="Book Antiqua"/>
          <w:sz w:val="24"/>
          <w:szCs w:val="24"/>
        </w:rPr>
        <w:t>paracetamol</w:t>
      </w:r>
      <w:proofErr w:type="spellEnd"/>
      <w:r w:rsidR="0097058F" w:rsidRPr="00691B3F">
        <w:rPr>
          <w:rFonts w:ascii="Book Antiqua" w:hAnsi="Book Antiqua"/>
          <w:sz w:val="24"/>
          <w:szCs w:val="24"/>
        </w:rPr>
        <w:t xml:space="preserve"> metabolite</w:t>
      </w:r>
      <w:r w:rsidR="00086C41" w:rsidRPr="00691B3F">
        <w:rPr>
          <w:rFonts w:ascii="Book Antiqua" w:hAnsi="Book Antiqua"/>
          <w:sz w:val="24"/>
          <w:szCs w:val="24"/>
        </w:rPr>
        <w:t>,</w:t>
      </w:r>
      <w:r w:rsidR="0097058F" w:rsidRPr="00691B3F">
        <w:rPr>
          <w:rFonts w:ascii="Book Antiqua" w:hAnsi="Book Antiqua"/>
          <w:sz w:val="24"/>
          <w:szCs w:val="24"/>
        </w:rPr>
        <w:t xml:space="preserve"> N-acetyl-p-benzoquinone imine (NAPQI)</w:t>
      </w:r>
      <w:r w:rsidR="00086C41" w:rsidRPr="00691B3F">
        <w:rPr>
          <w:rFonts w:ascii="Book Antiqua" w:hAnsi="Book Antiqua"/>
          <w:sz w:val="24"/>
          <w:szCs w:val="24"/>
        </w:rPr>
        <w:t>,</w:t>
      </w:r>
      <w:r w:rsidR="0097058F" w:rsidRPr="00691B3F">
        <w:rPr>
          <w:rFonts w:ascii="Book Antiqua" w:hAnsi="Book Antiqua"/>
          <w:sz w:val="24"/>
          <w:szCs w:val="24"/>
        </w:rPr>
        <w:t xml:space="preserve"> and mitochondrial proteins involved in the electron transport </w:t>
      </w:r>
      <w:proofErr w:type="gramStart"/>
      <w:r w:rsidR="0097058F" w:rsidRPr="00691B3F">
        <w:rPr>
          <w:rFonts w:ascii="Book Antiqua" w:hAnsi="Book Antiqua"/>
          <w:sz w:val="24"/>
          <w:szCs w:val="24"/>
        </w:rPr>
        <w:t>chain</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22,23]</w:t>
      </w:r>
      <w:r w:rsidR="0097058F" w:rsidRPr="00691B3F">
        <w:rPr>
          <w:rFonts w:ascii="Book Antiqua" w:hAnsi="Book Antiqua"/>
          <w:sz w:val="24"/>
          <w:szCs w:val="24"/>
        </w:rPr>
        <w:t>.</w:t>
      </w:r>
      <w:r w:rsidR="000F2238" w:rsidRPr="00691B3F">
        <w:rPr>
          <w:rFonts w:ascii="Book Antiqua" w:hAnsi="Book Antiqua"/>
          <w:sz w:val="24"/>
          <w:szCs w:val="24"/>
        </w:rPr>
        <w:t xml:space="preserve"> </w:t>
      </w:r>
      <w:r w:rsidR="0097058F" w:rsidRPr="00691B3F">
        <w:rPr>
          <w:rFonts w:ascii="Book Antiqua" w:hAnsi="Book Antiqua"/>
          <w:sz w:val="24"/>
          <w:szCs w:val="24"/>
        </w:rPr>
        <w:t xml:space="preserve">Additionally, increased activity of mitochondrial complex I, a known site of free radical </w:t>
      </w:r>
      <w:proofErr w:type="gramStart"/>
      <w:r w:rsidR="0097058F" w:rsidRPr="00691B3F">
        <w:rPr>
          <w:rFonts w:ascii="Book Antiqua" w:hAnsi="Book Antiqua"/>
          <w:sz w:val="24"/>
          <w:szCs w:val="24"/>
        </w:rPr>
        <w:t>generation</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24]</w:t>
      </w:r>
      <w:r w:rsidR="0097058F" w:rsidRPr="00691B3F">
        <w:rPr>
          <w:rFonts w:ascii="Book Antiqua" w:hAnsi="Book Antiqua"/>
          <w:sz w:val="24"/>
          <w:szCs w:val="24"/>
        </w:rPr>
        <w:t xml:space="preserve">, occurs with </w:t>
      </w:r>
      <w:proofErr w:type="spellStart"/>
      <w:r w:rsidR="0097058F" w:rsidRPr="00691B3F">
        <w:rPr>
          <w:rFonts w:ascii="Book Antiqua" w:hAnsi="Book Antiqua"/>
          <w:sz w:val="24"/>
          <w:szCs w:val="24"/>
        </w:rPr>
        <w:t>paracetamol</w:t>
      </w:r>
      <w:proofErr w:type="spellEnd"/>
      <w:r w:rsidR="0097058F" w:rsidRPr="00691B3F">
        <w:rPr>
          <w:rFonts w:ascii="Book Antiqua" w:hAnsi="Book Antiqua"/>
          <w:sz w:val="24"/>
          <w:szCs w:val="24"/>
        </w:rPr>
        <w:t xml:space="preserve"> overdose, and the level of activity was found to correlate with the degree of liver injury</w:t>
      </w:r>
      <w:r w:rsidR="00D676D2" w:rsidRPr="00691B3F">
        <w:rPr>
          <w:rFonts w:ascii="Book Antiqua" w:hAnsi="Book Antiqua"/>
          <w:noProof/>
          <w:sz w:val="24"/>
          <w:szCs w:val="24"/>
          <w:vertAlign w:val="superscript"/>
        </w:rPr>
        <w:t>[23]</w:t>
      </w:r>
      <w:r w:rsidR="0097058F" w:rsidRPr="00691B3F">
        <w:rPr>
          <w:rFonts w:ascii="Book Antiqua" w:hAnsi="Book Antiqua"/>
          <w:sz w:val="24"/>
          <w:szCs w:val="24"/>
        </w:rPr>
        <w:t>.</w:t>
      </w:r>
      <w:r w:rsidR="000F2238" w:rsidRPr="00691B3F">
        <w:rPr>
          <w:rFonts w:ascii="Book Antiqua" w:hAnsi="Book Antiqua"/>
          <w:sz w:val="24"/>
          <w:szCs w:val="24"/>
        </w:rPr>
        <w:t xml:space="preserve"> </w:t>
      </w:r>
      <w:r w:rsidR="0097058F" w:rsidRPr="00691B3F">
        <w:rPr>
          <w:rFonts w:ascii="Book Antiqua" w:hAnsi="Book Antiqua"/>
          <w:sz w:val="24"/>
          <w:szCs w:val="24"/>
        </w:rPr>
        <w:t xml:space="preserve">Oxidative stress induced by </w:t>
      </w:r>
      <w:proofErr w:type="spellStart"/>
      <w:r w:rsidR="0097058F" w:rsidRPr="00691B3F">
        <w:rPr>
          <w:rFonts w:ascii="Book Antiqua" w:hAnsi="Book Antiqua"/>
          <w:sz w:val="24"/>
          <w:szCs w:val="24"/>
        </w:rPr>
        <w:t>paracetamol</w:t>
      </w:r>
      <w:proofErr w:type="spellEnd"/>
      <w:r w:rsidR="0097058F" w:rsidRPr="00691B3F">
        <w:rPr>
          <w:rFonts w:ascii="Book Antiqua" w:hAnsi="Book Antiqua"/>
          <w:sz w:val="24"/>
          <w:szCs w:val="24"/>
        </w:rPr>
        <w:t xml:space="preserve"> overdose is mainly attributed to mitochondrial superoxide and </w:t>
      </w:r>
      <w:proofErr w:type="spellStart"/>
      <w:proofErr w:type="gramStart"/>
      <w:r w:rsidR="0097058F" w:rsidRPr="00691B3F">
        <w:rPr>
          <w:rFonts w:ascii="Book Antiqua" w:hAnsi="Book Antiqua"/>
          <w:sz w:val="24"/>
          <w:szCs w:val="24"/>
        </w:rPr>
        <w:t>peroxynitrite</w:t>
      </w:r>
      <w:proofErr w:type="spellEnd"/>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24]</w:t>
      </w:r>
      <w:r w:rsidR="0097058F" w:rsidRPr="00691B3F">
        <w:rPr>
          <w:rFonts w:ascii="Book Antiqua" w:hAnsi="Book Antiqua"/>
          <w:sz w:val="24"/>
          <w:szCs w:val="24"/>
        </w:rPr>
        <w:t>.</w:t>
      </w:r>
      <w:r w:rsidR="000F2238" w:rsidRPr="00691B3F">
        <w:rPr>
          <w:rFonts w:ascii="Book Antiqua" w:hAnsi="Book Antiqua"/>
          <w:sz w:val="24"/>
          <w:szCs w:val="24"/>
        </w:rPr>
        <w:t xml:space="preserve"> </w:t>
      </w:r>
      <w:r w:rsidR="0097058F" w:rsidRPr="00691B3F">
        <w:rPr>
          <w:rFonts w:ascii="Book Antiqua" w:hAnsi="Book Antiqua"/>
          <w:sz w:val="24"/>
          <w:szCs w:val="24"/>
        </w:rPr>
        <w:t xml:space="preserve">The superoxide reacts with nitric oxide to form the highly reactive </w:t>
      </w:r>
      <w:proofErr w:type="spellStart"/>
      <w:r w:rsidR="0097058F" w:rsidRPr="00691B3F">
        <w:rPr>
          <w:rFonts w:ascii="Book Antiqua" w:hAnsi="Book Antiqua"/>
          <w:sz w:val="24"/>
          <w:szCs w:val="24"/>
        </w:rPr>
        <w:t>peroxynitrite</w:t>
      </w:r>
      <w:proofErr w:type="spellEnd"/>
      <w:r w:rsidR="0097058F" w:rsidRPr="00691B3F">
        <w:rPr>
          <w:rFonts w:ascii="Book Antiqua" w:hAnsi="Book Antiqua"/>
          <w:sz w:val="24"/>
          <w:szCs w:val="24"/>
        </w:rPr>
        <w:t xml:space="preserve"> species that is main source of oxidative</w:t>
      </w:r>
      <w:r w:rsidR="00C12749" w:rsidRPr="00691B3F">
        <w:rPr>
          <w:rFonts w:ascii="Book Antiqua" w:hAnsi="Book Antiqua"/>
          <w:sz w:val="24"/>
          <w:szCs w:val="24"/>
        </w:rPr>
        <w:t xml:space="preserve"> and </w:t>
      </w:r>
      <w:proofErr w:type="spellStart"/>
      <w:r w:rsidR="0097058F" w:rsidRPr="00691B3F">
        <w:rPr>
          <w:rFonts w:ascii="Book Antiqua" w:hAnsi="Book Antiqua"/>
          <w:sz w:val="24"/>
          <w:szCs w:val="24"/>
        </w:rPr>
        <w:t>nitrosative</w:t>
      </w:r>
      <w:proofErr w:type="spellEnd"/>
      <w:r w:rsidR="0097058F" w:rsidRPr="00691B3F">
        <w:rPr>
          <w:rFonts w:ascii="Book Antiqua" w:hAnsi="Book Antiqua"/>
          <w:sz w:val="24"/>
          <w:szCs w:val="24"/>
        </w:rPr>
        <w:t xml:space="preserve"> </w:t>
      </w:r>
      <w:proofErr w:type="gramStart"/>
      <w:r w:rsidR="0097058F" w:rsidRPr="00691B3F">
        <w:rPr>
          <w:rFonts w:ascii="Book Antiqua" w:hAnsi="Book Antiqua"/>
          <w:sz w:val="24"/>
          <w:szCs w:val="24"/>
        </w:rPr>
        <w:t>stress</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24]</w:t>
      </w:r>
      <w:r w:rsidR="0097058F" w:rsidRPr="00691B3F">
        <w:rPr>
          <w:rFonts w:ascii="Book Antiqua" w:hAnsi="Book Antiqua"/>
          <w:sz w:val="24"/>
          <w:szCs w:val="24"/>
        </w:rPr>
        <w:t>.</w:t>
      </w:r>
      <w:r w:rsidR="000F2238" w:rsidRPr="00691B3F">
        <w:rPr>
          <w:rFonts w:ascii="Book Antiqua" w:hAnsi="Book Antiqua"/>
          <w:sz w:val="24"/>
          <w:szCs w:val="24"/>
        </w:rPr>
        <w:t xml:space="preserve"> </w:t>
      </w:r>
    </w:p>
    <w:p w14:paraId="7FCE06BB" w14:textId="7DF5C4B3" w:rsidR="00FB4F48" w:rsidRPr="00691B3F" w:rsidRDefault="0099678C" w:rsidP="00367FE4">
      <w:pPr>
        <w:pStyle w:val="a3"/>
        <w:snapToGrid w:val="0"/>
        <w:spacing w:line="360" w:lineRule="auto"/>
        <w:ind w:firstLineChars="100" w:firstLine="240"/>
        <w:jc w:val="both"/>
        <w:rPr>
          <w:rFonts w:ascii="Book Antiqua" w:hAnsi="Book Antiqua"/>
          <w:sz w:val="24"/>
          <w:szCs w:val="24"/>
        </w:rPr>
      </w:pPr>
      <w:proofErr w:type="spellStart"/>
      <w:r w:rsidRPr="00691B3F">
        <w:rPr>
          <w:rFonts w:ascii="Book Antiqua" w:hAnsi="Book Antiqua"/>
          <w:sz w:val="24"/>
          <w:szCs w:val="24"/>
        </w:rPr>
        <w:t>Paracetamol</w:t>
      </w:r>
      <w:proofErr w:type="spellEnd"/>
      <w:r w:rsidRPr="00691B3F">
        <w:rPr>
          <w:rFonts w:ascii="Book Antiqua" w:hAnsi="Book Antiqua"/>
          <w:sz w:val="24"/>
          <w:szCs w:val="24"/>
        </w:rPr>
        <w:t xml:space="preserve"> has high bioavailability, with almost 80% of the drug being absorbed when taken </w:t>
      </w:r>
      <w:proofErr w:type="gramStart"/>
      <w:r w:rsidRPr="00691B3F">
        <w:rPr>
          <w:rFonts w:ascii="Book Antiqua" w:hAnsi="Book Antiqua"/>
          <w:sz w:val="24"/>
          <w:szCs w:val="24"/>
        </w:rPr>
        <w:t>orally</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25]</w:t>
      </w:r>
      <w:r w:rsidRPr="00691B3F">
        <w:rPr>
          <w:rFonts w:ascii="Book Antiqua" w:hAnsi="Book Antiqua"/>
          <w:sz w:val="24"/>
          <w:szCs w:val="24"/>
        </w:rPr>
        <w:t>.</w:t>
      </w:r>
      <w:r w:rsidR="000F2238" w:rsidRPr="00691B3F">
        <w:rPr>
          <w:rFonts w:ascii="Book Antiqua" w:hAnsi="Book Antiqua"/>
          <w:sz w:val="24"/>
          <w:szCs w:val="24"/>
        </w:rPr>
        <w:t xml:space="preserve"> </w:t>
      </w:r>
      <w:r w:rsidRPr="00691B3F">
        <w:rPr>
          <w:rFonts w:ascii="Book Antiqua" w:hAnsi="Book Antiqua"/>
          <w:sz w:val="24"/>
          <w:szCs w:val="24"/>
        </w:rPr>
        <w:t xml:space="preserve">In individuals without liver injury, the half-life of </w:t>
      </w:r>
      <w:proofErr w:type="spellStart"/>
      <w:r w:rsidRPr="00691B3F">
        <w:rPr>
          <w:rFonts w:ascii="Book Antiqua" w:hAnsi="Book Antiqua"/>
          <w:sz w:val="24"/>
          <w:szCs w:val="24"/>
        </w:rPr>
        <w:t>paracetamol</w:t>
      </w:r>
      <w:proofErr w:type="spellEnd"/>
      <w:r w:rsidR="007F2D63" w:rsidRPr="00691B3F">
        <w:rPr>
          <w:rFonts w:ascii="Book Antiqua" w:hAnsi="Book Antiqua"/>
          <w:sz w:val="24"/>
          <w:szCs w:val="24"/>
        </w:rPr>
        <w:t xml:space="preserve"> is roughly </w:t>
      </w:r>
      <w:r w:rsidR="000F2238" w:rsidRPr="00691B3F">
        <w:rPr>
          <w:rFonts w:ascii="Book Antiqua" w:hAnsi="Book Antiqua" w:hint="eastAsia"/>
          <w:sz w:val="24"/>
          <w:szCs w:val="24"/>
          <w:lang w:eastAsia="zh-CN"/>
        </w:rPr>
        <w:t>2-3</w:t>
      </w:r>
      <w:r w:rsidR="007F2D63" w:rsidRPr="00691B3F">
        <w:rPr>
          <w:rFonts w:ascii="Book Antiqua" w:hAnsi="Book Antiqua"/>
          <w:sz w:val="24"/>
          <w:szCs w:val="24"/>
        </w:rPr>
        <w:t xml:space="preserve"> </w:t>
      </w:r>
      <w:proofErr w:type="gramStart"/>
      <w:r w:rsidR="007F2D63" w:rsidRPr="00691B3F">
        <w:rPr>
          <w:rFonts w:ascii="Book Antiqua" w:hAnsi="Book Antiqua"/>
          <w:sz w:val="24"/>
          <w:szCs w:val="24"/>
        </w:rPr>
        <w:t>h</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26]</w:t>
      </w:r>
      <w:r w:rsidR="007F2D63" w:rsidRPr="00691B3F">
        <w:rPr>
          <w:rFonts w:ascii="Book Antiqua" w:hAnsi="Book Antiqua"/>
          <w:sz w:val="24"/>
          <w:szCs w:val="24"/>
        </w:rPr>
        <w:t>.</w:t>
      </w:r>
      <w:r w:rsidR="000F2238" w:rsidRPr="00691B3F">
        <w:rPr>
          <w:rFonts w:ascii="Book Antiqua" w:hAnsi="Book Antiqua"/>
          <w:sz w:val="24"/>
          <w:szCs w:val="24"/>
        </w:rPr>
        <w:t xml:space="preserve"> </w:t>
      </w:r>
      <w:r w:rsidR="00A10709" w:rsidRPr="00691B3F">
        <w:rPr>
          <w:rFonts w:ascii="Book Antiqua" w:hAnsi="Book Antiqua"/>
          <w:sz w:val="24"/>
          <w:szCs w:val="24"/>
        </w:rPr>
        <w:t xml:space="preserve">At therapeutic levels in the blood, </w:t>
      </w:r>
      <w:r w:rsidR="00AA2D78" w:rsidRPr="00691B3F">
        <w:rPr>
          <w:rFonts w:ascii="Book Antiqua" w:hAnsi="Book Antiqua"/>
          <w:sz w:val="24"/>
          <w:szCs w:val="24"/>
        </w:rPr>
        <w:t xml:space="preserve">approximately 90% of </w:t>
      </w:r>
      <w:proofErr w:type="spellStart"/>
      <w:r w:rsidR="00A10709" w:rsidRPr="00691B3F">
        <w:rPr>
          <w:rFonts w:ascii="Book Antiqua" w:hAnsi="Book Antiqua"/>
          <w:sz w:val="24"/>
          <w:szCs w:val="24"/>
        </w:rPr>
        <w:t>paracetamol</w:t>
      </w:r>
      <w:proofErr w:type="spellEnd"/>
      <w:r w:rsidR="00A10709" w:rsidRPr="00691B3F">
        <w:rPr>
          <w:rFonts w:ascii="Book Antiqua" w:hAnsi="Book Antiqua"/>
          <w:sz w:val="24"/>
          <w:szCs w:val="24"/>
        </w:rPr>
        <w:t xml:space="preserve"> is broken down into non-toxic metabolites through </w:t>
      </w:r>
      <w:proofErr w:type="spellStart"/>
      <w:r w:rsidR="00A10709" w:rsidRPr="00691B3F">
        <w:rPr>
          <w:rFonts w:ascii="Book Antiqua" w:hAnsi="Book Antiqua"/>
          <w:sz w:val="24"/>
          <w:szCs w:val="24"/>
        </w:rPr>
        <w:t>sulfidation</w:t>
      </w:r>
      <w:proofErr w:type="spellEnd"/>
      <w:r w:rsidR="00A10709" w:rsidRPr="00691B3F">
        <w:rPr>
          <w:rFonts w:ascii="Book Antiqua" w:hAnsi="Book Antiqua"/>
          <w:sz w:val="24"/>
          <w:szCs w:val="24"/>
        </w:rPr>
        <w:t xml:space="preserve"> and </w:t>
      </w:r>
      <w:proofErr w:type="spellStart"/>
      <w:r w:rsidR="00A10709" w:rsidRPr="00691B3F">
        <w:rPr>
          <w:rFonts w:ascii="Book Antiqua" w:hAnsi="Book Antiqua"/>
          <w:sz w:val="24"/>
          <w:szCs w:val="24"/>
        </w:rPr>
        <w:t>glucuronidation</w:t>
      </w:r>
      <w:proofErr w:type="spellEnd"/>
      <w:r w:rsidR="00A10709" w:rsidRPr="00691B3F">
        <w:rPr>
          <w:rFonts w:ascii="Book Antiqua" w:hAnsi="Book Antiqua"/>
          <w:sz w:val="24"/>
          <w:szCs w:val="24"/>
        </w:rPr>
        <w:t xml:space="preserve"> pathways</w:t>
      </w:r>
      <w:r w:rsidR="00AA2D78" w:rsidRPr="00691B3F">
        <w:rPr>
          <w:rFonts w:ascii="Book Antiqua" w:hAnsi="Book Antiqua"/>
          <w:sz w:val="24"/>
          <w:szCs w:val="24"/>
        </w:rPr>
        <w:t xml:space="preserve"> and then </w:t>
      </w:r>
      <w:proofErr w:type="spellStart"/>
      <w:r w:rsidR="00AA2D78" w:rsidRPr="00691B3F">
        <w:rPr>
          <w:rFonts w:ascii="Book Antiqua" w:hAnsi="Book Antiqua"/>
          <w:sz w:val="24"/>
          <w:szCs w:val="24"/>
        </w:rPr>
        <w:t>renally</w:t>
      </w:r>
      <w:proofErr w:type="spellEnd"/>
      <w:r w:rsidR="00AA2D78" w:rsidRPr="00691B3F">
        <w:rPr>
          <w:rFonts w:ascii="Book Antiqua" w:hAnsi="Book Antiqua"/>
          <w:sz w:val="24"/>
          <w:szCs w:val="24"/>
        </w:rPr>
        <w:t xml:space="preserve"> </w:t>
      </w:r>
      <w:proofErr w:type="gramStart"/>
      <w:r w:rsidR="00AA2D78" w:rsidRPr="00691B3F">
        <w:rPr>
          <w:rFonts w:ascii="Book Antiqua" w:hAnsi="Book Antiqua"/>
          <w:sz w:val="24"/>
          <w:szCs w:val="24"/>
        </w:rPr>
        <w:t>excreted</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27]</w:t>
      </w:r>
      <w:r w:rsidR="00A10709" w:rsidRPr="00691B3F">
        <w:rPr>
          <w:rFonts w:ascii="Book Antiqua" w:hAnsi="Book Antiqua"/>
          <w:sz w:val="24"/>
          <w:szCs w:val="24"/>
        </w:rPr>
        <w:t>.</w:t>
      </w:r>
      <w:r w:rsidR="000F2238" w:rsidRPr="00691B3F">
        <w:rPr>
          <w:rFonts w:ascii="Book Antiqua" w:hAnsi="Book Antiqua"/>
          <w:sz w:val="24"/>
          <w:szCs w:val="24"/>
        </w:rPr>
        <w:t xml:space="preserve"> </w:t>
      </w:r>
      <w:r w:rsidR="00A10709" w:rsidRPr="00691B3F">
        <w:rPr>
          <w:rFonts w:ascii="Book Antiqua" w:hAnsi="Book Antiqua"/>
          <w:sz w:val="24"/>
          <w:szCs w:val="24"/>
        </w:rPr>
        <w:t xml:space="preserve">However, at overdose levels, these pathways </w:t>
      </w:r>
      <w:r w:rsidR="00A10709" w:rsidRPr="00691B3F">
        <w:rPr>
          <w:rFonts w:ascii="Book Antiqua" w:hAnsi="Book Antiqua"/>
          <w:sz w:val="24"/>
          <w:szCs w:val="24"/>
        </w:rPr>
        <w:lastRenderedPageBreak/>
        <w:t xml:space="preserve">become saturated, resulting in large amounts of </w:t>
      </w:r>
      <w:proofErr w:type="spellStart"/>
      <w:r w:rsidR="006B0F32" w:rsidRPr="00691B3F">
        <w:rPr>
          <w:rFonts w:ascii="Book Antiqua" w:hAnsi="Book Antiqua"/>
          <w:sz w:val="24"/>
          <w:szCs w:val="24"/>
        </w:rPr>
        <w:t>paracetamol</w:t>
      </w:r>
      <w:proofErr w:type="spellEnd"/>
      <w:r w:rsidR="00A10709" w:rsidRPr="00691B3F">
        <w:rPr>
          <w:rFonts w:ascii="Book Antiqua" w:hAnsi="Book Antiqua"/>
          <w:sz w:val="24"/>
          <w:szCs w:val="24"/>
        </w:rPr>
        <w:t xml:space="preserve"> being converted by </w:t>
      </w:r>
      <w:r w:rsidR="00C35B63" w:rsidRPr="00691B3F">
        <w:rPr>
          <w:rFonts w:ascii="Book Antiqua" w:hAnsi="Book Antiqua"/>
          <w:sz w:val="24"/>
          <w:szCs w:val="24"/>
        </w:rPr>
        <w:t>CY</w:t>
      </w:r>
      <w:r w:rsidR="00A10709" w:rsidRPr="00691B3F">
        <w:rPr>
          <w:rFonts w:ascii="Book Antiqua" w:hAnsi="Book Antiqua"/>
          <w:sz w:val="24"/>
          <w:szCs w:val="24"/>
        </w:rPr>
        <w:t>P4</w:t>
      </w:r>
      <w:r w:rsidR="00C12749" w:rsidRPr="00691B3F">
        <w:rPr>
          <w:rFonts w:ascii="Book Antiqua" w:hAnsi="Book Antiqua"/>
          <w:sz w:val="24"/>
          <w:szCs w:val="24"/>
        </w:rPr>
        <w:t>5</w:t>
      </w:r>
      <w:r w:rsidR="00A10709" w:rsidRPr="00691B3F">
        <w:rPr>
          <w:rFonts w:ascii="Book Antiqua" w:hAnsi="Book Antiqua"/>
          <w:sz w:val="24"/>
          <w:szCs w:val="24"/>
        </w:rPr>
        <w:t xml:space="preserve">0 into its toxic metabolite, </w:t>
      </w:r>
      <w:proofErr w:type="gramStart"/>
      <w:r w:rsidR="00A10709" w:rsidRPr="00691B3F">
        <w:rPr>
          <w:rFonts w:ascii="Book Antiqua" w:hAnsi="Book Antiqua"/>
          <w:sz w:val="24"/>
          <w:szCs w:val="24"/>
        </w:rPr>
        <w:t>NAPQI</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28]</w:t>
      </w:r>
      <w:r w:rsidR="00A10709" w:rsidRPr="00691B3F">
        <w:rPr>
          <w:rFonts w:ascii="Book Antiqua" w:hAnsi="Book Antiqua"/>
          <w:sz w:val="24"/>
          <w:szCs w:val="24"/>
        </w:rPr>
        <w:t>.</w:t>
      </w:r>
      <w:r w:rsidR="000F2238" w:rsidRPr="00691B3F">
        <w:rPr>
          <w:rFonts w:ascii="Book Antiqua" w:hAnsi="Book Antiqua"/>
          <w:sz w:val="24"/>
          <w:szCs w:val="24"/>
        </w:rPr>
        <w:t xml:space="preserve"> </w:t>
      </w:r>
      <w:r w:rsidR="00A10709" w:rsidRPr="00691B3F">
        <w:rPr>
          <w:rFonts w:ascii="Book Antiqua" w:hAnsi="Book Antiqua"/>
          <w:sz w:val="24"/>
          <w:szCs w:val="24"/>
        </w:rPr>
        <w:t>NAPQI is subsequently excreted after glutathione conjugation</w:t>
      </w:r>
      <w:r w:rsidR="00AA2D78" w:rsidRPr="00691B3F">
        <w:rPr>
          <w:rFonts w:ascii="Book Antiqua" w:hAnsi="Book Antiqua"/>
          <w:sz w:val="24"/>
          <w:szCs w:val="24"/>
        </w:rPr>
        <w:t xml:space="preserve"> renders it to harmless metabolites</w:t>
      </w:r>
      <w:r w:rsidR="006A577E" w:rsidRPr="00691B3F">
        <w:rPr>
          <w:rFonts w:ascii="Book Antiqua" w:hAnsi="Book Antiqua"/>
          <w:sz w:val="24"/>
          <w:szCs w:val="24"/>
        </w:rPr>
        <w:t>, as shown in Figure 1</w:t>
      </w:r>
      <w:r w:rsidR="00A10709" w:rsidRPr="00691B3F">
        <w:rPr>
          <w:rFonts w:ascii="Book Antiqua" w:hAnsi="Book Antiqua"/>
          <w:sz w:val="24"/>
          <w:szCs w:val="24"/>
        </w:rPr>
        <w:t>.</w:t>
      </w:r>
      <w:r w:rsidR="000F2238" w:rsidRPr="00691B3F">
        <w:rPr>
          <w:rFonts w:ascii="Book Antiqua" w:hAnsi="Book Antiqua"/>
          <w:sz w:val="24"/>
          <w:szCs w:val="24"/>
        </w:rPr>
        <w:t xml:space="preserve"> </w:t>
      </w:r>
      <w:r w:rsidR="00AA2D78" w:rsidRPr="00691B3F">
        <w:rPr>
          <w:rFonts w:ascii="Book Antiqua" w:hAnsi="Book Antiqua"/>
          <w:sz w:val="24"/>
          <w:szCs w:val="24"/>
        </w:rPr>
        <w:t>Gl</w:t>
      </w:r>
      <w:r w:rsidR="004B6952" w:rsidRPr="00691B3F">
        <w:rPr>
          <w:rFonts w:ascii="Book Antiqua" w:hAnsi="Book Antiqua"/>
          <w:sz w:val="24"/>
          <w:szCs w:val="24"/>
        </w:rPr>
        <w:t>utathione peroxidase activity is reduced by 60%</w:t>
      </w:r>
      <w:r w:rsidR="00AA2D78" w:rsidRPr="00691B3F">
        <w:rPr>
          <w:rFonts w:ascii="Book Antiqua" w:hAnsi="Book Antiqua"/>
          <w:sz w:val="24"/>
          <w:szCs w:val="24"/>
        </w:rPr>
        <w:t xml:space="preserve"> in the setting of </w:t>
      </w:r>
      <w:proofErr w:type="spellStart"/>
      <w:proofErr w:type="gramStart"/>
      <w:r w:rsidR="00AA2D78" w:rsidRPr="00691B3F">
        <w:rPr>
          <w:rFonts w:ascii="Book Antiqua" w:hAnsi="Book Antiqua"/>
          <w:sz w:val="24"/>
          <w:szCs w:val="24"/>
        </w:rPr>
        <w:t>paracetamol</w:t>
      </w:r>
      <w:proofErr w:type="spellEnd"/>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29]</w:t>
      </w:r>
      <w:r w:rsidR="004B6952" w:rsidRPr="00691B3F">
        <w:rPr>
          <w:rFonts w:ascii="Book Antiqua" w:hAnsi="Book Antiqua"/>
          <w:sz w:val="24"/>
          <w:szCs w:val="24"/>
        </w:rPr>
        <w:t>.</w:t>
      </w:r>
      <w:r w:rsidR="000F2238" w:rsidRPr="00691B3F">
        <w:rPr>
          <w:rFonts w:ascii="Book Antiqua" w:hAnsi="Book Antiqua"/>
          <w:sz w:val="24"/>
          <w:szCs w:val="24"/>
        </w:rPr>
        <w:t xml:space="preserve"> </w:t>
      </w:r>
      <w:r w:rsidR="002F21B7" w:rsidRPr="00691B3F">
        <w:rPr>
          <w:rFonts w:ascii="Book Antiqua" w:hAnsi="Book Antiqua"/>
          <w:sz w:val="24"/>
          <w:szCs w:val="24"/>
        </w:rPr>
        <w:t xml:space="preserve">This is dose-dependent, with larger amounts of </w:t>
      </w:r>
      <w:proofErr w:type="spellStart"/>
      <w:r w:rsidR="002F21B7" w:rsidRPr="00691B3F">
        <w:rPr>
          <w:rFonts w:ascii="Book Antiqua" w:hAnsi="Book Antiqua"/>
          <w:sz w:val="24"/>
          <w:szCs w:val="24"/>
        </w:rPr>
        <w:t>paracetamol</w:t>
      </w:r>
      <w:proofErr w:type="spellEnd"/>
      <w:r w:rsidR="002F21B7" w:rsidRPr="00691B3F">
        <w:rPr>
          <w:rFonts w:ascii="Book Antiqua" w:hAnsi="Book Antiqua"/>
          <w:sz w:val="24"/>
          <w:szCs w:val="24"/>
        </w:rPr>
        <w:t xml:space="preserve"> resulting in prolonged depletion of </w:t>
      </w:r>
      <w:proofErr w:type="gramStart"/>
      <w:r w:rsidR="002F21B7" w:rsidRPr="00691B3F">
        <w:rPr>
          <w:rFonts w:ascii="Book Antiqua" w:hAnsi="Book Antiqua"/>
          <w:sz w:val="24"/>
          <w:szCs w:val="24"/>
        </w:rPr>
        <w:t>glutathione</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21]</w:t>
      </w:r>
      <w:r w:rsidR="002F21B7" w:rsidRPr="00691B3F">
        <w:rPr>
          <w:rFonts w:ascii="Book Antiqua" w:hAnsi="Book Antiqua"/>
          <w:sz w:val="24"/>
          <w:szCs w:val="24"/>
        </w:rPr>
        <w:t>.</w:t>
      </w:r>
      <w:r w:rsidR="000F2238" w:rsidRPr="00691B3F">
        <w:rPr>
          <w:rFonts w:ascii="Book Antiqua" w:hAnsi="Book Antiqua"/>
          <w:sz w:val="24"/>
          <w:szCs w:val="24"/>
        </w:rPr>
        <w:t xml:space="preserve"> </w:t>
      </w:r>
      <w:r w:rsidR="006E0EC0" w:rsidRPr="00691B3F">
        <w:rPr>
          <w:rFonts w:ascii="Book Antiqua" w:hAnsi="Book Antiqua"/>
          <w:sz w:val="24"/>
          <w:szCs w:val="24"/>
        </w:rPr>
        <w:t xml:space="preserve">This </w:t>
      </w:r>
      <w:r w:rsidR="004B6952" w:rsidRPr="00691B3F">
        <w:rPr>
          <w:rFonts w:ascii="Book Antiqua" w:hAnsi="Book Antiqua"/>
          <w:sz w:val="24"/>
          <w:szCs w:val="24"/>
        </w:rPr>
        <w:t>reduction</w:t>
      </w:r>
      <w:r w:rsidR="006E0EC0" w:rsidRPr="00691B3F">
        <w:rPr>
          <w:rFonts w:ascii="Book Antiqua" w:hAnsi="Book Antiqua"/>
          <w:sz w:val="24"/>
          <w:szCs w:val="24"/>
        </w:rPr>
        <w:t xml:space="preserve"> of glutathione in the mitochondria and cell cytosol results in </w:t>
      </w:r>
      <w:r w:rsidR="002F21B7" w:rsidRPr="00691B3F">
        <w:rPr>
          <w:rFonts w:ascii="Book Antiqua" w:hAnsi="Book Antiqua"/>
          <w:sz w:val="24"/>
          <w:szCs w:val="24"/>
        </w:rPr>
        <w:t>decreased excretion</w:t>
      </w:r>
      <w:r w:rsidR="006E0EC0" w:rsidRPr="00691B3F">
        <w:rPr>
          <w:rFonts w:ascii="Book Antiqua" w:hAnsi="Book Antiqua"/>
          <w:sz w:val="24"/>
          <w:szCs w:val="24"/>
        </w:rPr>
        <w:t xml:space="preserve"> of reactive oxygen species and </w:t>
      </w:r>
      <w:proofErr w:type="spellStart"/>
      <w:proofErr w:type="gramStart"/>
      <w:r w:rsidR="006E0EC0" w:rsidRPr="00691B3F">
        <w:rPr>
          <w:rFonts w:ascii="Book Antiqua" w:hAnsi="Book Antiqua"/>
          <w:sz w:val="24"/>
          <w:szCs w:val="24"/>
        </w:rPr>
        <w:t>peroxynitrite</w:t>
      </w:r>
      <w:proofErr w:type="spellEnd"/>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30]</w:t>
      </w:r>
      <w:r w:rsidR="006E0EC0" w:rsidRPr="00691B3F">
        <w:rPr>
          <w:rFonts w:ascii="Book Antiqua" w:hAnsi="Book Antiqua"/>
          <w:sz w:val="24"/>
          <w:szCs w:val="24"/>
        </w:rPr>
        <w:t>.</w:t>
      </w:r>
      <w:r w:rsidR="000F2238" w:rsidRPr="00691B3F">
        <w:rPr>
          <w:rFonts w:ascii="Book Antiqua" w:hAnsi="Book Antiqua"/>
          <w:sz w:val="24"/>
          <w:szCs w:val="24"/>
        </w:rPr>
        <w:t xml:space="preserve"> </w:t>
      </w:r>
      <w:r w:rsidR="002F21B7" w:rsidRPr="00691B3F">
        <w:rPr>
          <w:rFonts w:ascii="Book Antiqua" w:hAnsi="Book Antiqua"/>
          <w:sz w:val="24"/>
          <w:szCs w:val="24"/>
        </w:rPr>
        <w:t>Additionally, w</w:t>
      </w:r>
      <w:r w:rsidR="006E0EC0" w:rsidRPr="00691B3F">
        <w:rPr>
          <w:rFonts w:ascii="Book Antiqua" w:hAnsi="Book Antiqua"/>
          <w:sz w:val="24"/>
          <w:szCs w:val="24"/>
        </w:rPr>
        <w:t xml:space="preserve">ithout glutathione, oxidative stress activates the opening of mitochondrial permeability transition pores that results in the destruction of the membrane potential and halts ATP </w:t>
      </w:r>
      <w:proofErr w:type="gramStart"/>
      <w:r w:rsidR="006E0EC0" w:rsidRPr="00691B3F">
        <w:rPr>
          <w:rFonts w:ascii="Book Antiqua" w:hAnsi="Book Antiqua"/>
          <w:sz w:val="24"/>
          <w:szCs w:val="24"/>
        </w:rPr>
        <w:t>synthesis</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21,30]</w:t>
      </w:r>
      <w:r w:rsidR="006E0EC0" w:rsidRPr="00691B3F">
        <w:rPr>
          <w:rFonts w:ascii="Book Antiqua" w:hAnsi="Book Antiqua"/>
          <w:sz w:val="24"/>
          <w:szCs w:val="24"/>
        </w:rPr>
        <w:t>.</w:t>
      </w:r>
      <w:r w:rsidR="000F2238" w:rsidRPr="00691B3F">
        <w:rPr>
          <w:rFonts w:ascii="Book Antiqua" w:hAnsi="Book Antiqua"/>
          <w:sz w:val="24"/>
          <w:szCs w:val="24"/>
        </w:rPr>
        <w:t xml:space="preserve"> </w:t>
      </w:r>
      <w:r w:rsidR="006E0EC0" w:rsidRPr="00691B3F">
        <w:rPr>
          <w:rFonts w:ascii="Book Antiqua" w:hAnsi="Book Antiqua"/>
          <w:sz w:val="24"/>
          <w:szCs w:val="24"/>
        </w:rPr>
        <w:t>Ultimately, this results in the breakdown of DNA</w:t>
      </w:r>
      <w:r w:rsidR="00D134E5" w:rsidRPr="00691B3F">
        <w:rPr>
          <w:rFonts w:ascii="Book Antiqua" w:hAnsi="Book Antiqua"/>
          <w:sz w:val="24"/>
          <w:szCs w:val="24"/>
        </w:rPr>
        <w:t xml:space="preserve"> and cell membranes</w:t>
      </w:r>
      <w:r w:rsidR="006E0EC0" w:rsidRPr="00691B3F">
        <w:rPr>
          <w:rFonts w:ascii="Book Antiqua" w:hAnsi="Book Antiqua"/>
          <w:sz w:val="24"/>
          <w:szCs w:val="24"/>
        </w:rPr>
        <w:t xml:space="preserve"> and</w:t>
      </w:r>
      <w:r w:rsidR="00FB4F48" w:rsidRPr="00691B3F">
        <w:rPr>
          <w:rFonts w:ascii="Book Antiqua" w:hAnsi="Book Antiqua"/>
          <w:sz w:val="24"/>
          <w:szCs w:val="24"/>
        </w:rPr>
        <w:t xml:space="preserve"> the</w:t>
      </w:r>
      <w:r w:rsidR="006E0EC0" w:rsidRPr="00691B3F">
        <w:rPr>
          <w:rFonts w:ascii="Book Antiqua" w:hAnsi="Book Antiqua"/>
          <w:sz w:val="24"/>
          <w:szCs w:val="24"/>
        </w:rPr>
        <w:t xml:space="preserve"> induction of apoptosis, resulting in cell death and acute </w:t>
      </w:r>
      <w:proofErr w:type="gramStart"/>
      <w:r w:rsidR="006E0EC0" w:rsidRPr="00691B3F">
        <w:rPr>
          <w:rFonts w:ascii="Book Antiqua" w:hAnsi="Book Antiqua"/>
          <w:sz w:val="24"/>
          <w:szCs w:val="24"/>
        </w:rPr>
        <w:t>inflammation</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30]</w:t>
      </w:r>
      <w:r w:rsidR="006E0EC0" w:rsidRPr="00691B3F">
        <w:rPr>
          <w:rFonts w:ascii="Book Antiqua" w:hAnsi="Book Antiqua"/>
          <w:sz w:val="24"/>
          <w:szCs w:val="24"/>
        </w:rPr>
        <w:t>.</w:t>
      </w:r>
    </w:p>
    <w:p w14:paraId="1426A84B" w14:textId="77777777" w:rsidR="00E42F8C" w:rsidRPr="00691B3F" w:rsidRDefault="00E42F8C" w:rsidP="00367FE4">
      <w:pPr>
        <w:pStyle w:val="a3"/>
        <w:snapToGrid w:val="0"/>
        <w:spacing w:line="360" w:lineRule="auto"/>
        <w:jc w:val="both"/>
        <w:rPr>
          <w:rFonts w:ascii="Book Antiqua" w:hAnsi="Book Antiqua"/>
          <w:sz w:val="24"/>
          <w:szCs w:val="24"/>
        </w:rPr>
      </w:pPr>
    </w:p>
    <w:p w14:paraId="3DE6C56A" w14:textId="43944B20" w:rsidR="00E5597B" w:rsidRPr="00691B3F" w:rsidRDefault="00F50C8C" w:rsidP="00367FE4">
      <w:pPr>
        <w:pStyle w:val="a3"/>
        <w:snapToGrid w:val="0"/>
        <w:spacing w:line="360" w:lineRule="auto"/>
        <w:jc w:val="both"/>
        <w:rPr>
          <w:rFonts w:ascii="Book Antiqua" w:hAnsi="Book Antiqua"/>
          <w:b/>
          <w:caps/>
          <w:sz w:val="24"/>
          <w:szCs w:val="24"/>
          <w:u w:val="single"/>
        </w:rPr>
      </w:pPr>
      <w:r w:rsidRPr="00691B3F">
        <w:rPr>
          <w:rFonts w:ascii="Book Antiqua" w:hAnsi="Book Antiqua"/>
          <w:b/>
          <w:caps/>
          <w:sz w:val="24"/>
          <w:szCs w:val="24"/>
          <w:u w:val="single"/>
        </w:rPr>
        <w:t xml:space="preserve">Clinical </w:t>
      </w:r>
      <w:r w:rsidR="00621CA9" w:rsidRPr="00691B3F">
        <w:rPr>
          <w:rFonts w:ascii="Book Antiqua" w:hAnsi="Book Antiqua"/>
          <w:b/>
          <w:caps/>
          <w:sz w:val="24"/>
          <w:szCs w:val="24"/>
          <w:u w:val="single"/>
        </w:rPr>
        <w:t>P</w:t>
      </w:r>
      <w:r w:rsidRPr="00691B3F">
        <w:rPr>
          <w:rFonts w:ascii="Book Antiqua" w:hAnsi="Book Antiqua"/>
          <w:b/>
          <w:caps/>
          <w:sz w:val="24"/>
          <w:szCs w:val="24"/>
          <w:u w:val="single"/>
        </w:rPr>
        <w:t>resentation</w:t>
      </w:r>
    </w:p>
    <w:p w14:paraId="33C5060F" w14:textId="7B4E8816" w:rsidR="00365175" w:rsidRPr="00691B3F" w:rsidRDefault="00365175" w:rsidP="00367FE4">
      <w:pPr>
        <w:pStyle w:val="a3"/>
        <w:snapToGrid w:val="0"/>
        <w:spacing w:line="360" w:lineRule="auto"/>
        <w:jc w:val="both"/>
        <w:rPr>
          <w:rFonts w:ascii="Book Antiqua" w:hAnsi="Book Antiqua"/>
          <w:sz w:val="24"/>
          <w:szCs w:val="24"/>
        </w:rPr>
      </w:pPr>
      <w:r w:rsidRPr="00691B3F">
        <w:rPr>
          <w:rFonts w:ascii="Book Antiqua" w:hAnsi="Book Antiqua"/>
          <w:sz w:val="24"/>
          <w:szCs w:val="24"/>
        </w:rPr>
        <w:t xml:space="preserve">In the United States, </w:t>
      </w:r>
      <w:proofErr w:type="spellStart"/>
      <w:r w:rsidR="00082A5C" w:rsidRPr="00691B3F">
        <w:rPr>
          <w:rFonts w:ascii="Book Antiqua" w:hAnsi="Book Antiqua"/>
          <w:sz w:val="24"/>
          <w:szCs w:val="24"/>
        </w:rPr>
        <w:t>paracetamol</w:t>
      </w:r>
      <w:proofErr w:type="spellEnd"/>
      <w:r w:rsidRPr="00691B3F">
        <w:rPr>
          <w:rFonts w:ascii="Book Antiqua" w:hAnsi="Book Antiqua"/>
          <w:sz w:val="24"/>
          <w:szCs w:val="24"/>
        </w:rPr>
        <w:t xml:space="preserve"> is the one of the most widely used over-the-counter analgesic</w:t>
      </w:r>
      <w:r w:rsidR="007B564D" w:rsidRPr="00691B3F">
        <w:rPr>
          <w:rFonts w:ascii="Book Antiqua" w:hAnsi="Book Antiqua"/>
          <w:sz w:val="24"/>
          <w:szCs w:val="24"/>
        </w:rPr>
        <w:t>s</w:t>
      </w:r>
      <w:r w:rsidRPr="00691B3F">
        <w:rPr>
          <w:rFonts w:ascii="Book Antiqua" w:hAnsi="Book Antiqua"/>
          <w:sz w:val="24"/>
          <w:szCs w:val="24"/>
        </w:rPr>
        <w:t>.</w:t>
      </w:r>
      <w:r w:rsidR="000F2238" w:rsidRPr="00691B3F">
        <w:rPr>
          <w:rFonts w:ascii="Book Antiqua" w:hAnsi="Book Antiqua"/>
          <w:sz w:val="24"/>
          <w:szCs w:val="24"/>
        </w:rPr>
        <w:t xml:space="preserve"> </w:t>
      </w:r>
      <w:r w:rsidRPr="00691B3F">
        <w:rPr>
          <w:rFonts w:ascii="Book Antiqua" w:hAnsi="Book Antiqua"/>
          <w:sz w:val="24"/>
          <w:szCs w:val="24"/>
        </w:rPr>
        <w:t>According to the Third National Health and Nutrition Examination Survey</w:t>
      </w:r>
      <w:r w:rsidR="00D134E5" w:rsidRPr="00691B3F">
        <w:rPr>
          <w:rFonts w:ascii="Book Antiqua" w:hAnsi="Book Antiqua"/>
          <w:sz w:val="24"/>
          <w:szCs w:val="24"/>
        </w:rPr>
        <w:t xml:space="preserve"> from 1988-1994</w:t>
      </w:r>
      <w:r w:rsidRPr="00691B3F">
        <w:rPr>
          <w:rFonts w:ascii="Book Antiqua" w:hAnsi="Book Antiqua"/>
          <w:sz w:val="24"/>
          <w:szCs w:val="24"/>
        </w:rPr>
        <w:t xml:space="preserve">, 36% of Americans reported using </w:t>
      </w:r>
      <w:r w:rsidR="00082A5C" w:rsidRPr="00691B3F">
        <w:rPr>
          <w:rFonts w:ascii="Book Antiqua" w:hAnsi="Book Antiqua"/>
          <w:sz w:val="24"/>
          <w:szCs w:val="24"/>
        </w:rPr>
        <w:t>acetaminophen</w:t>
      </w:r>
      <w:r w:rsidRPr="00691B3F">
        <w:rPr>
          <w:rFonts w:ascii="Book Antiqua" w:hAnsi="Book Antiqua"/>
          <w:sz w:val="24"/>
          <w:szCs w:val="24"/>
        </w:rPr>
        <w:t xml:space="preserve"> within </w:t>
      </w:r>
      <w:r w:rsidR="00D134E5" w:rsidRPr="00691B3F">
        <w:rPr>
          <w:rFonts w:ascii="Book Antiqua" w:hAnsi="Book Antiqua"/>
          <w:sz w:val="24"/>
          <w:szCs w:val="24"/>
        </w:rPr>
        <w:t>a</w:t>
      </w:r>
      <w:r w:rsidRPr="00691B3F">
        <w:rPr>
          <w:rFonts w:ascii="Book Antiqua" w:hAnsi="Book Antiqua"/>
          <w:sz w:val="24"/>
          <w:szCs w:val="24"/>
        </w:rPr>
        <w:t xml:space="preserve"> month</w:t>
      </w:r>
      <w:r w:rsidR="00D134E5" w:rsidRPr="00691B3F">
        <w:rPr>
          <w:rFonts w:ascii="Book Antiqua" w:hAnsi="Book Antiqua"/>
          <w:sz w:val="24"/>
          <w:szCs w:val="24"/>
        </w:rPr>
        <w:t xml:space="preserve"> </w:t>
      </w:r>
      <w:proofErr w:type="gramStart"/>
      <w:r w:rsidR="00D134E5" w:rsidRPr="00691B3F">
        <w:rPr>
          <w:rFonts w:ascii="Book Antiqua" w:hAnsi="Book Antiqua"/>
          <w:sz w:val="24"/>
          <w:szCs w:val="24"/>
        </w:rPr>
        <w:t>timeframe</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31]</w:t>
      </w:r>
      <w:r w:rsidRPr="00691B3F">
        <w:rPr>
          <w:rFonts w:ascii="Book Antiqua" w:hAnsi="Book Antiqua"/>
          <w:sz w:val="24"/>
          <w:szCs w:val="24"/>
        </w:rPr>
        <w:t>.</w:t>
      </w:r>
      <w:r w:rsidR="000F2238" w:rsidRPr="00691B3F">
        <w:rPr>
          <w:rFonts w:ascii="Book Antiqua" w:hAnsi="Book Antiqua"/>
          <w:sz w:val="24"/>
          <w:szCs w:val="24"/>
        </w:rPr>
        <w:t xml:space="preserve"> </w:t>
      </w:r>
      <w:r w:rsidR="00A13215" w:rsidRPr="00691B3F">
        <w:rPr>
          <w:rFonts w:ascii="Book Antiqua" w:hAnsi="Book Antiqua"/>
          <w:sz w:val="24"/>
          <w:szCs w:val="24"/>
        </w:rPr>
        <w:t>Due to its ease of access and availability in combination with other medication</w:t>
      </w:r>
      <w:r w:rsidR="00082A5C" w:rsidRPr="00691B3F">
        <w:rPr>
          <w:rFonts w:ascii="Book Antiqua" w:hAnsi="Book Antiqua"/>
          <w:sz w:val="24"/>
          <w:szCs w:val="24"/>
        </w:rPr>
        <w:t xml:space="preserve">s, </w:t>
      </w:r>
      <w:r w:rsidR="007B564D" w:rsidRPr="00691B3F">
        <w:rPr>
          <w:rFonts w:ascii="Book Antiqua" w:hAnsi="Book Antiqua"/>
          <w:sz w:val="24"/>
          <w:szCs w:val="24"/>
        </w:rPr>
        <w:t xml:space="preserve">such as opioids and antihistamines, </w:t>
      </w:r>
      <w:proofErr w:type="spellStart"/>
      <w:r w:rsidR="00082A5C" w:rsidRPr="00691B3F">
        <w:rPr>
          <w:rFonts w:ascii="Book Antiqua" w:hAnsi="Book Antiqua"/>
          <w:sz w:val="24"/>
          <w:szCs w:val="24"/>
        </w:rPr>
        <w:t>paracetamol</w:t>
      </w:r>
      <w:proofErr w:type="spellEnd"/>
      <w:r w:rsidR="00082A5C" w:rsidRPr="00691B3F">
        <w:rPr>
          <w:rFonts w:ascii="Book Antiqua" w:hAnsi="Book Antiqua"/>
          <w:sz w:val="24"/>
          <w:szCs w:val="24"/>
        </w:rPr>
        <w:t xml:space="preserve"> overdose can be accidental or in a suicide attempt.</w:t>
      </w:r>
      <w:r w:rsidR="000F2238" w:rsidRPr="00691B3F">
        <w:rPr>
          <w:rFonts w:ascii="Book Antiqua" w:hAnsi="Book Antiqua"/>
          <w:sz w:val="24"/>
          <w:szCs w:val="24"/>
        </w:rPr>
        <w:t xml:space="preserve"> </w:t>
      </w:r>
      <w:r w:rsidR="000C06BC" w:rsidRPr="00691B3F">
        <w:rPr>
          <w:rFonts w:ascii="Book Antiqua" w:hAnsi="Book Antiqua"/>
          <w:sz w:val="24"/>
          <w:szCs w:val="24"/>
        </w:rPr>
        <w:t>A thorough history and e</w:t>
      </w:r>
      <w:r w:rsidR="00582D82" w:rsidRPr="00691B3F">
        <w:rPr>
          <w:rFonts w:ascii="Book Antiqua" w:hAnsi="Book Antiqua"/>
          <w:sz w:val="24"/>
          <w:szCs w:val="24"/>
        </w:rPr>
        <w:t xml:space="preserve">arly recognition is </w:t>
      </w:r>
      <w:proofErr w:type="gramStart"/>
      <w:r w:rsidR="004E2A27" w:rsidRPr="00691B3F">
        <w:rPr>
          <w:rFonts w:ascii="Book Antiqua" w:hAnsi="Book Antiqua"/>
          <w:sz w:val="24"/>
          <w:szCs w:val="24"/>
        </w:rPr>
        <w:t>key</w:t>
      </w:r>
      <w:proofErr w:type="gramEnd"/>
      <w:r w:rsidR="004E2A27" w:rsidRPr="00691B3F">
        <w:rPr>
          <w:rFonts w:ascii="Book Antiqua" w:hAnsi="Book Antiqua"/>
          <w:sz w:val="24"/>
          <w:szCs w:val="24"/>
        </w:rPr>
        <w:t xml:space="preserve"> </w:t>
      </w:r>
      <w:r w:rsidR="006E74B0" w:rsidRPr="00691B3F">
        <w:rPr>
          <w:rFonts w:ascii="Book Antiqua" w:hAnsi="Book Antiqua"/>
          <w:sz w:val="24"/>
          <w:szCs w:val="24"/>
        </w:rPr>
        <w:t xml:space="preserve">since </w:t>
      </w:r>
      <w:r w:rsidR="004E2A27" w:rsidRPr="00691B3F">
        <w:rPr>
          <w:rFonts w:ascii="Book Antiqua" w:hAnsi="Book Antiqua"/>
          <w:sz w:val="24"/>
          <w:szCs w:val="24"/>
        </w:rPr>
        <w:t xml:space="preserve">long delays to the administration of treatment can result in worse outcomes for </w:t>
      </w:r>
      <w:proofErr w:type="spellStart"/>
      <w:r w:rsidR="004E2A27" w:rsidRPr="00691B3F">
        <w:rPr>
          <w:rFonts w:ascii="Book Antiqua" w:hAnsi="Book Antiqua"/>
          <w:sz w:val="24"/>
          <w:szCs w:val="24"/>
        </w:rPr>
        <w:t>paracetamol</w:t>
      </w:r>
      <w:proofErr w:type="spellEnd"/>
      <w:r w:rsidR="004E2A27" w:rsidRPr="00691B3F">
        <w:rPr>
          <w:rFonts w:ascii="Book Antiqua" w:hAnsi="Book Antiqua"/>
          <w:sz w:val="24"/>
          <w:szCs w:val="24"/>
        </w:rPr>
        <w:t xml:space="preserve">-related </w:t>
      </w:r>
      <w:r w:rsidR="00621CA9" w:rsidRPr="00691B3F">
        <w:rPr>
          <w:rFonts w:ascii="Book Antiqua" w:hAnsi="Book Antiqua"/>
          <w:sz w:val="24"/>
          <w:szCs w:val="24"/>
        </w:rPr>
        <w:t>hepatotoxicity</w:t>
      </w:r>
      <w:r w:rsidR="004E2A27" w:rsidRPr="00691B3F">
        <w:rPr>
          <w:rFonts w:ascii="Book Antiqua" w:hAnsi="Book Antiqua"/>
          <w:sz w:val="24"/>
          <w:szCs w:val="24"/>
        </w:rPr>
        <w:t>.</w:t>
      </w:r>
      <w:r w:rsidR="000F2238" w:rsidRPr="00691B3F">
        <w:rPr>
          <w:rFonts w:ascii="Book Antiqua" w:hAnsi="Book Antiqua"/>
          <w:sz w:val="24"/>
          <w:szCs w:val="24"/>
        </w:rPr>
        <w:t xml:space="preserve"> </w:t>
      </w:r>
      <w:r w:rsidR="006F1307" w:rsidRPr="00691B3F">
        <w:rPr>
          <w:rFonts w:ascii="Book Antiqua" w:hAnsi="Book Antiqua"/>
          <w:sz w:val="24"/>
          <w:szCs w:val="24"/>
        </w:rPr>
        <w:t xml:space="preserve">Depending on the severity of the liver damage, patients can present with a range of symptoms, from being initially asymptomatic to </w:t>
      </w:r>
      <w:r w:rsidR="00D0290F" w:rsidRPr="00691B3F">
        <w:rPr>
          <w:rFonts w:ascii="Book Antiqua" w:hAnsi="Book Antiqua"/>
          <w:sz w:val="24"/>
          <w:szCs w:val="24"/>
        </w:rPr>
        <w:t xml:space="preserve">having overt signs of liver failure, including jaundice, confusion, ascites, nausea and vomiting. </w:t>
      </w:r>
    </w:p>
    <w:p w14:paraId="452C5974" w14:textId="33704CFC" w:rsidR="00A5504E" w:rsidRPr="00691B3F" w:rsidRDefault="000C06BC" w:rsidP="00367FE4">
      <w:pPr>
        <w:pStyle w:val="a3"/>
        <w:snapToGrid w:val="0"/>
        <w:spacing w:line="360" w:lineRule="auto"/>
        <w:ind w:firstLineChars="100" w:firstLine="240"/>
        <w:jc w:val="both"/>
        <w:rPr>
          <w:rFonts w:ascii="Book Antiqua" w:hAnsi="Book Antiqua"/>
          <w:sz w:val="24"/>
          <w:szCs w:val="24"/>
        </w:rPr>
      </w:pPr>
      <w:r w:rsidRPr="00691B3F">
        <w:rPr>
          <w:rFonts w:ascii="Book Antiqua" w:hAnsi="Book Antiqua"/>
          <w:sz w:val="24"/>
          <w:szCs w:val="24"/>
        </w:rPr>
        <w:t xml:space="preserve">Acute liver failure is defined by the presence of </w:t>
      </w:r>
      <w:r w:rsidR="009F6FA0" w:rsidRPr="00691B3F">
        <w:rPr>
          <w:rFonts w:ascii="Book Antiqua" w:hAnsi="Book Antiqua"/>
          <w:sz w:val="24"/>
          <w:szCs w:val="24"/>
        </w:rPr>
        <w:t>hepatic encephalopathy</w:t>
      </w:r>
      <w:r w:rsidR="00D134E5" w:rsidRPr="00691B3F">
        <w:rPr>
          <w:rFonts w:ascii="Book Antiqua" w:hAnsi="Book Antiqua"/>
          <w:sz w:val="24"/>
          <w:szCs w:val="24"/>
        </w:rPr>
        <w:t>, jaundice and</w:t>
      </w:r>
      <w:r w:rsidR="000F2238" w:rsidRPr="00691B3F">
        <w:rPr>
          <w:rFonts w:ascii="Book Antiqua" w:hAnsi="Book Antiqua"/>
          <w:sz w:val="24"/>
          <w:szCs w:val="24"/>
        </w:rPr>
        <w:t xml:space="preserve"> </w:t>
      </w:r>
      <w:r w:rsidR="009F6FA0" w:rsidRPr="00691B3F">
        <w:rPr>
          <w:rFonts w:ascii="Book Antiqua" w:hAnsi="Book Antiqua"/>
          <w:sz w:val="24"/>
          <w:szCs w:val="24"/>
        </w:rPr>
        <w:t xml:space="preserve">coagulopathy in individuals without any history of cirrhosis </w:t>
      </w:r>
      <w:r w:rsidR="00A241D6" w:rsidRPr="00691B3F">
        <w:rPr>
          <w:rFonts w:ascii="Book Antiqua" w:hAnsi="Book Antiqua"/>
          <w:sz w:val="24"/>
          <w:szCs w:val="24"/>
        </w:rPr>
        <w:t xml:space="preserve">occurring </w:t>
      </w:r>
      <w:r w:rsidR="009F6FA0" w:rsidRPr="00691B3F">
        <w:rPr>
          <w:rFonts w:ascii="Book Antiqua" w:hAnsi="Book Antiqua"/>
          <w:sz w:val="24"/>
          <w:szCs w:val="24"/>
        </w:rPr>
        <w:t xml:space="preserve">for less than 26 </w:t>
      </w:r>
      <w:proofErr w:type="spellStart"/>
      <w:proofErr w:type="gramStart"/>
      <w:r w:rsidR="009F6FA0" w:rsidRPr="00691B3F">
        <w:rPr>
          <w:rFonts w:ascii="Book Antiqua" w:hAnsi="Book Antiqua"/>
          <w:sz w:val="24"/>
          <w:szCs w:val="24"/>
        </w:rPr>
        <w:t>w</w:t>
      </w:r>
      <w:r w:rsidR="00A10B55" w:rsidRPr="00691B3F">
        <w:rPr>
          <w:rFonts w:ascii="Book Antiqua" w:hAnsi="Book Antiqua"/>
          <w:sz w:val="24"/>
          <w:szCs w:val="24"/>
        </w:rPr>
        <w:t>k</w:t>
      </w:r>
      <w:proofErr w:type="spellEnd"/>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32]</w:t>
      </w:r>
      <w:r w:rsidR="009F6FA0" w:rsidRPr="00691B3F">
        <w:rPr>
          <w:rFonts w:ascii="Book Antiqua" w:hAnsi="Book Antiqua"/>
          <w:sz w:val="24"/>
          <w:szCs w:val="24"/>
        </w:rPr>
        <w:t>.</w:t>
      </w:r>
      <w:r w:rsidR="000F2238" w:rsidRPr="00691B3F">
        <w:rPr>
          <w:rFonts w:ascii="Book Antiqua" w:hAnsi="Book Antiqua"/>
          <w:sz w:val="24"/>
          <w:szCs w:val="24"/>
        </w:rPr>
        <w:t xml:space="preserve"> </w:t>
      </w:r>
      <w:r w:rsidR="00A5504E" w:rsidRPr="00691B3F">
        <w:rPr>
          <w:rFonts w:ascii="Book Antiqua" w:hAnsi="Book Antiqua"/>
          <w:sz w:val="24"/>
          <w:szCs w:val="24"/>
        </w:rPr>
        <w:t>This includes individuals with Wilson disease, autoimmune</w:t>
      </w:r>
      <w:r w:rsidR="0097566F" w:rsidRPr="00691B3F">
        <w:rPr>
          <w:rFonts w:ascii="Book Antiqua" w:hAnsi="Book Antiqua"/>
          <w:sz w:val="24"/>
          <w:szCs w:val="24"/>
        </w:rPr>
        <w:t xml:space="preserve"> </w:t>
      </w:r>
      <w:r w:rsidR="00E42F8C" w:rsidRPr="00691B3F">
        <w:rPr>
          <w:rFonts w:ascii="Book Antiqua" w:hAnsi="Book Antiqua"/>
          <w:sz w:val="24"/>
          <w:szCs w:val="24"/>
        </w:rPr>
        <w:t>hepatitis</w:t>
      </w:r>
      <w:r w:rsidR="00A5504E" w:rsidRPr="00691B3F">
        <w:rPr>
          <w:rFonts w:ascii="Book Antiqua" w:hAnsi="Book Antiqua"/>
          <w:sz w:val="24"/>
          <w:szCs w:val="24"/>
        </w:rPr>
        <w:t xml:space="preserve"> or viral hepatitis as long as the disease was diagnosed within the last 26 </w:t>
      </w:r>
      <w:proofErr w:type="spellStart"/>
      <w:proofErr w:type="gramStart"/>
      <w:r w:rsidR="00A5504E" w:rsidRPr="00691B3F">
        <w:rPr>
          <w:rFonts w:ascii="Book Antiqua" w:hAnsi="Book Antiqua"/>
          <w:sz w:val="24"/>
          <w:szCs w:val="24"/>
        </w:rPr>
        <w:t>w</w:t>
      </w:r>
      <w:r w:rsidR="00A10B55" w:rsidRPr="00691B3F">
        <w:rPr>
          <w:rFonts w:ascii="Book Antiqua" w:hAnsi="Book Antiqua"/>
          <w:sz w:val="24"/>
          <w:szCs w:val="24"/>
        </w:rPr>
        <w:t>k</w:t>
      </w:r>
      <w:proofErr w:type="spellEnd"/>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32]</w:t>
      </w:r>
      <w:r w:rsidR="00A5504E" w:rsidRPr="00691B3F">
        <w:rPr>
          <w:rFonts w:ascii="Book Antiqua" w:hAnsi="Book Antiqua"/>
          <w:sz w:val="24"/>
          <w:szCs w:val="24"/>
        </w:rPr>
        <w:t>.</w:t>
      </w:r>
      <w:r w:rsidR="000F2238" w:rsidRPr="00691B3F">
        <w:rPr>
          <w:rFonts w:ascii="Book Antiqua" w:hAnsi="Book Antiqua"/>
          <w:sz w:val="24"/>
          <w:szCs w:val="24"/>
        </w:rPr>
        <w:t xml:space="preserve"> </w:t>
      </w:r>
      <w:proofErr w:type="gramStart"/>
      <w:r w:rsidR="00A5504E" w:rsidRPr="00691B3F">
        <w:rPr>
          <w:rFonts w:ascii="Book Antiqua" w:hAnsi="Book Antiqua"/>
          <w:sz w:val="24"/>
          <w:szCs w:val="24"/>
        </w:rPr>
        <w:t>An exclusion</w:t>
      </w:r>
      <w:proofErr w:type="gramEnd"/>
      <w:r w:rsidR="00A5504E" w:rsidRPr="00691B3F">
        <w:rPr>
          <w:rFonts w:ascii="Book Antiqua" w:hAnsi="Book Antiqua"/>
          <w:sz w:val="24"/>
          <w:szCs w:val="24"/>
        </w:rPr>
        <w:t xml:space="preserve"> is </w:t>
      </w:r>
      <w:r w:rsidR="00A5504E" w:rsidRPr="00691B3F">
        <w:rPr>
          <w:rFonts w:ascii="Book Antiqua" w:hAnsi="Book Antiqua"/>
          <w:sz w:val="24"/>
          <w:szCs w:val="24"/>
        </w:rPr>
        <w:lastRenderedPageBreak/>
        <w:t>severe alcoholic hepatitis</w:t>
      </w:r>
      <w:r w:rsidR="0079002E" w:rsidRPr="00691B3F">
        <w:rPr>
          <w:rFonts w:ascii="Book Antiqua" w:hAnsi="Book Antiqua"/>
          <w:sz w:val="24"/>
          <w:szCs w:val="24"/>
        </w:rPr>
        <w:t>,</w:t>
      </w:r>
      <w:r w:rsidR="00A5504E" w:rsidRPr="00691B3F">
        <w:rPr>
          <w:rFonts w:ascii="Book Antiqua" w:hAnsi="Book Antiqua"/>
          <w:sz w:val="24"/>
          <w:szCs w:val="24"/>
        </w:rPr>
        <w:t xml:space="preserve"> as </w:t>
      </w:r>
      <w:r w:rsidR="0079002E" w:rsidRPr="00691B3F">
        <w:rPr>
          <w:rFonts w:ascii="Book Antiqua" w:hAnsi="Book Antiqua"/>
          <w:sz w:val="24"/>
          <w:szCs w:val="24"/>
        </w:rPr>
        <w:t xml:space="preserve">this is </w:t>
      </w:r>
      <w:r w:rsidR="00A5504E" w:rsidRPr="00691B3F">
        <w:rPr>
          <w:rFonts w:ascii="Book Antiqua" w:hAnsi="Book Antiqua"/>
          <w:sz w:val="24"/>
          <w:szCs w:val="24"/>
        </w:rPr>
        <w:t xml:space="preserve">likely </w:t>
      </w:r>
      <w:r w:rsidR="0079002E" w:rsidRPr="00691B3F">
        <w:rPr>
          <w:rFonts w:ascii="Book Antiqua" w:hAnsi="Book Antiqua"/>
          <w:sz w:val="24"/>
          <w:szCs w:val="24"/>
        </w:rPr>
        <w:t xml:space="preserve">accompanied with a history of </w:t>
      </w:r>
      <w:r w:rsidR="00A5504E" w:rsidRPr="00691B3F">
        <w:rPr>
          <w:rFonts w:ascii="Book Antiqua" w:hAnsi="Book Antiqua"/>
          <w:sz w:val="24"/>
          <w:szCs w:val="24"/>
        </w:rPr>
        <w:t>prolonged alcohol abuse</w:t>
      </w:r>
      <w:r w:rsidR="00C960EE" w:rsidRPr="00691B3F">
        <w:rPr>
          <w:rFonts w:ascii="Book Antiqua" w:hAnsi="Book Antiqua"/>
          <w:sz w:val="24"/>
          <w:szCs w:val="24"/>
        </w:rPr>
        <w:t>,</w:t>
      </w:r>
      <w:r w:rsidR="00A5504E" w:rsidRPr="00691B3F">
        <w:rPr>
          <w:rFonts w:ascii="Book Antiqua" w:hAnsi="Book Antiqua"/>
          <w:sz w:val="24"/>
          <w:szCs w:val="24"/>
        </w:rPr>
        <w:t xml:space="preserve"> resulting in chronicity of the liver injury. </w:t>
      </w:r>
    </w:p>
    <w:p w14:paraId="7DE477F7" w14:textId="47DF4A87" w:rsidR="0079002E" w:rsidRPr="00691B3F" w:rsidRDefault="0079002E" w:rsidP="00367FE4">
      <w:pPr>
        <w:pStyle w:val="a3"/>
        <w:snapToGrid w:val="0"/>
        <w:spacing w:line="360" w:lineRule="auto"/>
        <w:ind w:firstLineChars="100" w:firstLine="240"/>
        <w:jc w:val="both"/>
        <w:rPr>
          <w:rFonts w:ascii="Book Antiqua" w:hAnsi="Book Antiqua"/>
          <w:sz w:val="24"/>
          <w:szCs w:val="24"/>
        </w:rPr>
      </w:pPr>
      <w:r w:rsidRPr="00691B3F">
        <w:rPr>
          <w:rFonts w:ascii="Book Antiqua" w:hAnsi="Book Antiqua"/>
          <w:sz w:val="24"/>
          <w:szCs w:val="24"/>
        </w:rPr>
        <w:t xml:space="preserve">There are four phases of acute </w:t>
      </w:r>
      <w:proofErr w:type="spellStart"/>
      <w:r w:rsidRPr="00691B3F">
        <w:rPr>
          <w:rFonts w:ascii="Book Antiqua" w:hAnsi="Book Antiqua"/>
          <w:sz w:val="24"/>
          <w:szCs w:val="24"/>
        </w:rPr>
        <w:t>paracetamol</w:t>
      </w:r>
      <w:proofErr w:type="spellEnd"/>
      <w:r w:rsidRPr="00691B3F">
        <w:rPr>
          <w:rFonts w:ascii="Book Antiqua" w:hAnsi="Book Antiqua"/>
          <w:sz w:val="24"/>
          <w:szCs w:val="24"/>
        </w:rPr>
        <w:t xml:space="preserve"> toxicity: </w:t>
      </w:r>
      <w:r w:rsidR="00A10B55" w:rsidRPr="00691B3F">
        <w:rPr>
          <w:rFonts w:ascii="Book Antiqua" w:hAnsi="Book Antiqua"/>
          <w:sz w:val="24"/>
          <w:szCs w:val="24"/>
        </w:rPr>
        <w:t>Preclinical</w:t>
      </w:r>
      <w:r w:rsidRPr="00691B3F">
        <w:rPr>
          <w:rFonts w:ascii="Book Antiqua" w:hAnsi="Book Antiqua"/>
          <w:sz w:val="24"/>
          <w:szCs w:val="24"/>
        </w:rPr>
        <w:t xml:space="preserve">, hepatic injury, hepatic failure, and </w:t>
      </w:r>
      <w:proofErr w:type="gramStart"/>
      <w:r w:rsidRPr="00691B3F">
        <w:rPr>
          <w:rFonts w:ascii="Book Antiqua" w:hAnsi="Book Antiqua"/>
          <w:sz w:val="24"/>
          <w:szCs w:val="24"/>
        </w:rPr>
        <w:t>recovery</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33]</w:t>
      </w:r>
      <w:r w:rsidRPr="00691B3F">
        <w:rPr>
          <w:rFonts w:ascii="Book Antiqua" w:hAnsi="Book Antiqua"/>
          <w:sz w:val="24"/>
          <w:szCs w:val="24"/>
        </w:rPr>
        <w:t xml:space="preserve">. </w:t>
      </w:r>
      <w:proofErr w:type="gramStart"/>
      <w:r w:rsidRPr="00691B3F">
        <w:rPr>
          <w:rFonts w:ascii="Book Antiqua" w:hAnsi="Book Antiqua"/>
          <w:sz w:val="24"/>
          <w:szCs w:val="24"/>
        </w:rPr>
        <w:t>Phase</w:t>
      </w:r>
      <w:proofErr w:type="gramEnd"/>
      <w:r w:rsidRPr="00691B3F">
        <w:rPr>
          <w:rFonts w:ascii="Book Antiqua" w:hAnsi="Book Antiqua"/>
          <w:sz w:val="24"/>
          <w:szCs w:val="24"/>
        </w:rPr>
        <w:t xml:space="preserve"> one, or the preclinical phase, occurs shortly after ingestion of toxic levels of </w:t>
      </w:r>
      <w:proofErr w:type="spellStart"/>
      <w:r w:rsidRPr="00691B3F">
        <w:rPr>
          <w:rFonts w:ascii="Book Antiqua" w:hAnsi="Book Antiqua"/>
          <w:sz w:val="24"/>
          <w:szCs w:val="24"/>
        </w:rPr>
        <w:t>paracetamol</w:t>
      </w:r>
      <w:proofErr w:type="spellEnd"/>
      <w:r w:rsidR="007F7EB9" w:rsidRPr="00691B3F">
        <w:rPr>
          <w:rFonts w:ascii="Book Antiqua" w:hAnsi="Book Antiqua"/>
          <w:sz w:val="24"/>
          <w:szCs w:val="24"/>
        </w:rPr>
        <w:t xml:space="preserve"> and can last 12</w:t>
      </w:r>
      <w:r w:rsidR="000F2238" w:rsidRPr="00691B3F">
        <w:rPr>
          <w:rFonts w:ascii="Book Antiqua" w:hAnsi="Book Antiqua" w:hint="eastAsia"/>
          <w:sz w:val="24"/>
          <w:szCs w:val="24"/>
          <w:lang w:eastAsia="zh-CN"/>
        </w:rPr>
        <w:t>-</w:t>
      </w:r>
      <w:r w:rsidR="007F7EB9" w:rsidRPr="00691B3F">
        <w:rPr>
          <w:rFonts w:ascii="Book Antiqua" w:hAnsi="Book Antiqua"/>
          <w:sz w:val="24"/>
          <w:szCs w:val="24"/>
        </w:rPr>
        <w:t>24 h.</w:t>
      </w:r>
      <w:r w:rsidR="000F2238" w:rsidRPr="00691B3F">
        <w:rPr>
          <w:rFonts w:ascii="Book Antiqua" w:hAnsi="Book Antiqua"/>
          <w:sz w:val="24"/>
          <w:szCs w:val="24"/>
        </w:rPr>
        <w:t xml:space="preserve"> </w:t>
      </w:r>
      <w:r w:rsidR="007F7EB9" w:rsidRPr="00691B3F">
        <w:rPr>
          <w:rFonts w:ascii="Book Antiqua" w:hAnsi="Book Antiqua"/>
          <w:sz w:val="24"/>
          <w:szCs w:val="24"/>
        </w:rPr>
        <w:t>Non-specific symptoms such as nausea, vomiting, diaphoresis or lethargy may be seen.</w:t>
      </w:r>
      <w:r w:rsidR="000F2238" w:rsidRPr="00691B3F">
        <w:rPr>
          <w:rFonts w:ascii="Book Antiqua" w:hAnsi="Book Antiqua"/>
          <w:sz w:val="24"/>
          <w:szCs w:val="24"/>
        </w:rPr>
        <w:t xml:space="preserve"> </w:t>
      </w:r>
      <w:r w:rsidR="007F7EB9" w:rsidRPr="00691B3F">
        <w:rPr>
          <w:rFonts w:ascii="Book Antiqua" w:hAnsi="Book Antiqua"/>
          <w:sz w:val="24"/>
          <w:szCs w:val="24"/>
        </w:rPr>
        <w:t xml:space="preserve">One to two days following the ingestion, the second phase begins, as evidenced by hepatotoxicity in laboratory values </w:t>
      </w:r>
      <w:r w:rsidR="00A10B55" w:rsidRPr="00691B3F">
        <w:rPr>
          <w:rFonts w:ascii="Book Antiqua" w:hAnsi="Book Antiqua"/>
          <w:sz w:val="24"/>
          <w:szCs w:val="24"/>
        </w:rPr>
        <w:t>[</w:t>
      </w:r>
      <w:r w:rsidR="007F7EB9" w:rsidRPr="00691B3F">
        <w:rPr>
          <w:rFonts w:ascii="Book Antiqua" w:hAnsi="Book Antiqua"/>
          <w:sz w:val="24"/>
          <w:szCs w:val="24"/>
        </w:rPr>
        <w:t>elevation in hepatic enzymes, lactate, international normalized ratio (INR</w:t>
      </w:r>
      <w:r w:rsidR="00425447" w:rsidRPr="00691B3F">
        <w:rPr>
          <w:rFonts w:ascii="Book Antiqua" w:hAnsi="Book Antiqua"/>
          <w:sz w:val="24"/>
          <w:szCs w:val="24"/>
        </w:rPr>
        <w:t>)</w:t>
      </w:r>
      <w:proofErr w:type="gramStart"/>
      <w:r w:rsidR="00A10B55" w:rsidRPr="00691B3F">
        <w:rPr>
          <w:rFonts w:ascii="Book Antiqua" w:hAnsi="Book Antiqua"/>
          <w:sz w:val="24"/>
          <w:szCs w:val="24"/>
        </w:rPr>
        <w:t>]</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33,34]</w:t>
      </w:r>
      <w:r w:rsidR="007F7EB9" w:rsidRPr="00691B3F">
        <w:rPr>
          <w:rFonts w:ascii="Book Antiqua" w:hAnsi="Book Antiqua"/>
          <w:sz w:val="24"/>
          <w:szCs w:val="24"/>
        </w:rPr>
        <w:t>.</w:t>
      </w:r>
      <w:r w:rsidR="000F28FB" w:rsidRPr="00691B3F">
        <w:rPr>
          <w:rFonts w:ascii="Book Antiqua" w:hAnsi="Book Antiqua"/>
          <w:sz w:val="24"/>
          <w:szCs w:val="24"/>
        </w:rPr>
        <w:t xml:space="preserve"> Clinically, right upper quadrant abdominal pain may be present.</w:t>
      </w:r>
      <w:r w:rsidR="000F2238" w:rsidRPr="00691B3F">
        <w:rPr>
          <w:rFonts w:ascii="Book Antiqua" w:hAnsi="Book Antiqua"/>
          <w:sz w:val="24"/>
          <w:szCs w:val="24"/>
        </w:rPr>
        <w:t xml:space="preserve"> </w:t>
      </w:r>
      <w:r w:rsidR="00B60A18" w:rsidRPr="00691B3F">
        <w:rPr>
          <w:rFonts w:ascii="Book Antiqua" w:hAnsi="Book Antiqua"/>
          <w:sz w:val="24"/>
          <w:szCs w:val="24"/>
        </w:rPr>
        <w:t xml:space="preserve">In some cases, liver injury will progress to </w:t>
      </w:r>
      <w:proofErr w:type="gramStart"/>
      <w:r w:rsidR="00B60A18" w:rsidRPr="00691B3F">
        <w:rPr>
          <w:rFonts w:ascii="Book Antiqua" w:hAnsi="Book Antiqua"/>
          <w:sz w:val="24"/>
          <w:szCs w:val="24"/>
        </w:rPr>
        <w:t>phase</w:t>
      </w:r>
      <w:proofErr w:type="gramEnd"/>
      <w:r w:rsidR="00B60A18" w:rsidRPr="00691B3F">
        <w:rPr>
          <w:rFonts w:ascii="Book Antiqua" w:hAnsi="Book Antiqua"/>
          <w:sz w:val="24"/>
          <w:szCs w:val="24"/>
        </w:rPr>
        <w:t xml:space="preserve"> three, typically occurring at days three to five.</w:t>
      </w:r>
      <w:r w:rsidR="000F2238" w:rsidRPr="00691B3F">
        <w:rPr>
          <w:rFonts w:ascii="Book Antiqua" w:hAnsi="Book Antiqua"/>
          <w:sz w:val="24"/>
          <w:szCs w:val="24"/>
        </w:rPr>
        <w:t xml:space="preserve"> </w:t>
      </w:r>
      <w:r w:rsidR="00B60A18" w:rsidRPr="00691B3F">
        <w:rPr>
          <w:rFonts w:ascii="Book Antiqua" w:hAnsi="Book Antiqua"/>
          <w:sz w:val="24"/>
          <w:szCs w:val="24"/>
        </w:rPr>
        <w:t xml:space="preserve">Here, nausea and vomiting may recur or worsen and are accompanied with fatigue, jaundice, and central nervous system depression, varying from confusion to a </w:t>
      </w:r>
      <w:proofErr w:type="gramStart"/>
      <w:r w:rsidR="00B60A18" w:rsidRPr="00691B3F">
        <w:rPr>
          <w:rFonts w:ascii="Book Antiqua" w:hAnsi="Book Antiqua"/>
          <w:sz w:val="24"/>
          <w:szCs w:val="24"/>
        </w:rPr>
        <w:t>coma</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33]</w:t>
      </w:r>
      <w:r w:rsidR="00B60A18" w:rsidRPr="00691B3F">
        <w:rPr>
          <w:rFonts w:ascii="Book Antiqua" w:hAnsi="Book Antiqua"/>
          <w:sz w:val="24"/>
          <w:szCs w:val="24"/>
        </w:rPr>
        <w:t>.</w:t>
      </w:r>
      <w:r w:rsidR="000F2238" w:rsidRPr="00691B3F">
        <w:rPr>
          <w:rFonts w:ascii="Book Antiqua" w:hAnsi="Book Antiqua"/>
          <w:sz w:val="24"/>
          <w:szCs w:val="24"/>
        </w:rPr>
        <w:t xml:space="preserve"> </w:t>
      </w:r>
      <w:r w:rsidR="00212FA6" w:rsidRPr="00691B3F">
        <w:rPr>
          <w:rFonts w:ascii="Book Antiqua" w:hAnsi="Book Antiqua"/>
          <w:sz w:val="24"/>
          <w:szCs w:val="24"/>
        </w:rPr>
        <w:t>Elevation in l</w:t>
      </w:r>
      <w:r w:rsidR="00B60A18" w:rsidRPr="00691B3F">
        <w:rPr>
          <w:rFonts w:ascii="Book Antiqua" w:hAnsi="Book Antiqua"/>
          <w:sz w:val="24"/>
          <w:szCs w:val="24"/>
        </w:rPr>
        <w:t xml:space="preserve">iver </w:t>
      </w:r>
      <w:r w:rsidR="00A241D6" w:rsidRPr="00691B3F">
        <w:rPr>
          <w:rFonts w:ascii="Book Antiqua" w:hAnsi="Book Antiqua"/>
          <w:sz w:val="24"/>
          <w:szCs w:val="24"/>
        </w:rPr>
        <w:t xml:space="preserve">aminotransferases </w:t>
      </w:r>
      <w:r w:rsidR="00212FA6" w:rsidRPr="00691B3F">
        <w:rPr>
          <w:rFonts w:ascii="Book Antiqua" w:hAnsi="Book Antiqua"/>
          <w:sz w:val="24"/>
          <w:szCs w:val="24"/>
        </w:rPr>
        <w:t xml:space="preserve">as high as 10000 IU/L </w:t>
      </w:r>
      <w:r w:rsidR="00B60A18" w:rsidRPr="00691B3F">
        <w:rPr>
          <w:rFonts w:ascii="Book Antiqua" w:hAnsi="Book Antiqua"/>
          <w:sz w:val="24"/>
          <w:szCs w:val="24"/>
        </w:rPr>
        <w:t xml:space="preserve">can be </w:t>
      </w:r>
      <w:proofErr w:type="gramStart"/>
      <w:r w:rsidR="00B60A18" w:rsidRPr="00691B3F">
        <w:rPr>
          <w:rFonts w:ascii="Book Antiqua" w:hAnsi="Book Antiqua"/>
          <w:sz w:val="24"/>
          <w:szCs w:val="24"/>
        </w:rPr>
        <w:t>seen</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35]</w:t>
      </w:r>
      <w:r w:rsidR="00212FA6" w:rsidRPr="00691B3F">
        <w:rPr>
          <w:rFonts w:ascii="Book Antiqua" w:hAnsi="Book Antiqua"/>
          <w:sz w:val="24"/>
          <w:szCs w:val="24"/>
        </w:rPr>
        <w:t>.</w:t>
      </w:r>
      <w:r w:rsidR="000F2238" w:rsidRPr="00691B3F">
        <w:rPr>
          <w:rFonts w:ascii="Book Antiqua" w:hAnsi="Book Antiqua"/>
          <w:sz w:val="24"/>
          <w:szCs w:val="24"/>
        </w:rPr>
        <w:t xml:space="preserve"> </w:t>
      </w:r>
      <w:r w:rsidR="00212FA6" w:rsidRPr="00691B3F">
        <w:rPr>
          <w:rFonts w:ascii="Book Antiqua" w:hAnsi="Book Antiqua"/>
          <w:sz w:val="24"/>
          <w:szCs w:val="24"/>
        </w:rPr>
        <w:t xml:space="preserve">The resultant hepatic necrosis and failure can be fatal and associated with </w:t>
      </w:r>
      <w:proofErr w:type="spellStart"/>
      <w:r w:rsidR="00212FA6" w:rsidRPr="00691B3F">
        <w:rPr>
          <w:rFonts w:ascii="Book Antiqua" w:hAnsi="Book Antiqua"/>
          <w:sz w:val="24"/>
          <w:szCs w:val="24"/>
        </w:rPr>
        <w:t>multiorgan</w:t>
      </w:r>
      <w:proofErr w:type="spellEnd"/>
      <w:r w:rsidR="00212FA6" w:rsidRPr="00691B3F">
        <w:rPr>
          <w:rFonts w:ascii="Book Antiqua" w:hAnsi="Book Antiqua"/>
          <w:sz w:val="24"/>
          <w:szCs w:val="24"/>
        </w:rPr>
        <w:t xml:space="preserve"> </w:t>
      </w:r>
      <w:proofErr w:type="gramStart"/>
      <w:r w:rsidR="00212FA6" w:rsidRPr="00691B3F">
        <w:rPr>
          <w:rFonts w:ascii="Book Antiqua" w:hAnsi="Book Antiqua"/>
          <w:sz w:val="24"/>
          <w:szCs w:val="24"/>
        </w:rPr>
        <w:t>failure</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33,34]</w:t>
      </w:r>
      <w:r w:rsidR="00212FA6" w:rsidRPr="00691B3F">
        <w:rPr>
          <w:rFonts w:ascii="Book Antiqua" w:hAnsi="Book Antiqua"/>
          <w:sz w:val="24"/>
          <w:szCs w:val="24"/>
        </w:rPr>
        <w:t>.</w:t>
      </w:r>
      <w:r w:rsidR="000F2238" w:rsidRPr="00691B3F">
        <w:rPr>
          <w:rFonts w:ascii="Book Antiqua" w:hAnsi="Book Antiqua"/>
          <w:sz w:val="24"/>
          <w:szCs w:val="24"/>
        </w:rPr>
        <w:t xml:space="preserve"> </w:t>
      </w:r>
      <w:r w:rsidR="005D5A0B" w:rsidRPr="00691B3F">
        <w:rPr>
          <w:rFonts w:ascii="Book Antiqua" w:hAnsi="Book Antiqua"/>
          <w:sz w:val="24"/>
          <w:szCs w:val="24"/>
        </w:rPr>
        <w:t>Lastly, phase four is recovery with normalization of laboratory values</w:t>
      </w:r>
      <w:r w:rsidR="002F5645" w:rsidRPr="00691B3F">
        <w:rPr>
          <w:rFonts w:ascii="Book Antiqua" w:hAnsi="Book Antiqua"/>
          <w:sz w:val="24"/>
          <w:szCs w:val="24"/>
        </w:rPr>
        <w:t>; roughly 70% of patients will fully recover</w:t>
      </w:r>
      <w:r w:rsidR="00652E18" w:rsidRPr="00691B3F">
        <w:rPr>
          <w:rFonts w:ascii="Book Antiqua" w:hAnsi="Book Antiqua"/>
          <w:sz w:val="24"/>
          <w:szCs w:val="24"/>
        </w:rPr>
        <w:t>,</w:t>
      </w:r>
      <w:r w:rsidR="002F5645" w:rsidRPr="00691B3F">
        <w:rPr>
          <w:rFonts w:ascii="Book Antiqua" w:hAnsi="Book Antiqua"/>
          <w:sz w:val="24"/>
          <w:szCs w:val="24"/>
        </w:rPr>
        <w:t xml:space="preserve"> while 1</w:t>
      </w:r>
      <w:r w:rsidR="002E63CD" w:rsidRPr="00691B3F">
        <w:rPr>
          <w:rFonts w:ascii="Book Antiqua" w:hAnsi="Book Antiqua"/>
          <w:sz w:val="24"/>
          <w:szCs w:val="24"/>
        </w:rPr>
        <w:t>%</w:t>
      </w:r>
      <w:r w:rsidR="002F5645" w:rsidRPr="00691B3F">
        <w:rPr>
          <w:rFonts w:ascii="Book Antiqua" w:hAnsi="Book Antiqua"/>
          <w:sz w:val="24"/>
          <w:szCs w:val="24"/>
        </w:rPr>
        <w:t xml:space="preserve">-2% will die from hepatic </w:t>
      </w:r>
      <w:proofErr w:type="gramStart"/>
      <w:r w:rsidR="002F5645" w:rsidRPr="00691B3F">
        <w:rPr>
          <w:rFonts w:ascii="Book Antiqua" w:hAnsi="Book Antiqua"/>
          <w:sz w:val="24"/>
          <w:szCs w:val="24"/>
        </w:rPr>
        <w:t>failure</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33]</w:t>
      </w:r>
      <w:r w:rsidR="002F5645" w:rsidRPr="00691B3F">
        <w:rPr>
          <w:rFonts w:ascii="Book Antiqua" w:hAnsi="Book Antiqua"/>
          <w:sz w:val="24"/>
          <w:szCs w:val="24"/>
        </w:rPr>
        <w:t>.</w:t>
      </w:r>
      <w:r w:rsidR="000F2238" w:rsidRPr="00691B3F">
        <w:rPr>
          <w:rFonts w:ascii="Book Antiqua" w:hAnsi="Book Antiqua"/>
          <w:sz w:val="24"/>
          <w:szCs w:val="24"/>
        </w:rPr>
        <w:t xml:space="preserve"> </w:t>
      </w:r>
      <w:r w:rsidR="0097566F" w:rsidRPr="00691B3F">
        <w:rPr>
          <w:rFonts w:ascii="Book Antiqua" w:hAnsi="Book Antiqua"/>
          <w:sz w:val="24"/>
          <w:szCs w:val="24"/>
        </w:rPr>
        <w:t xml:space="preserve">Death from untreated </w:t>
      </w:r>
      <w:proofErr w:type="spellStart"/>
      <w:r w:rsidR="0097566F" w:rsidRPr="00691B3F">
        <w:rPr>
          <w:rFonts w:ascii="Book Antiqua" w:hAnsi="Book Antiqua"/>
          <w:sz w:val="24"/>
          <w:szCs w:val="24"/>
        </w:rPr>
        <w:t>paracetamol</w:t>
      </w:r>
      <w:proofErr w:type="spellEnd"/>
      <w:r w:rsidR="0097566F" w:rsidRPr="00691B3F">
        <w:rPr>
          <w:rFonts w:ascii="Book Antiqua" w:hAnsi="Book Antiqua"/>
          <w:sz w:val="24"/>
          <w:szCs w:val="24"/>
        </w:rPr>
        <w:t xml:space="preserve"> toxicity occurs 4 to 18 days </w:t>
      </w:r>
      <w:proofErr w:type="gramStart"/>
      <w:r w:rsidR="0097566F" w:rsidRPr="00691B3F">
        <w:rPr>
          <w:rFonts w:ascii="Book Antiqua" w:hAnsi="Book Antiqua"/>
          <w:sz w:val="24"/>
          <w:szCs w:val="24"/>
        </w:rPr>
        <w:t>later</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33]</w:t>
      </w:r>
      <w:r w:rsidR="0097566F" w:rsidRPr="00691B3F">
        <w:rPr>
          <w:rFonts w:ascii="Book Antiqua" w:hAnsi="Book Antiqua"/>
          <w:sz w:val="24"/>
          <w:szCs w:val="24"/>
        </w:rPr>
        <w:t>.</w:t>
      </w:r>
      <w:r w:rsidR="000F2238" w:rsidRPr="00691B3F">
        <w:rPr>
          <w:rFonts w:ascii="Book Antiqua" w:hAnsi="Book Antiqua"/>
          <w:sz w:val="24"/>
          <w:szCs w:val="24"/>
        </w:rPr>
        <w:t xml:space="preserve"> </w:t>
      </w:r>
    </w:p>
    <w:p w14:paraId="5165FE6D" w14:textId="77777777" w:rsidR="00621CC4" w:rsidRPr="00691B3F" w:rsidRDefault="00621CC4" w:rsidP="00367FE4">
      <w:pPr>
        <w:pStyle w:val="a3"/>
        <w:snapToGrid w:val="0"/>
        <w:spacing w:line="360" w:lineRule="auto"/>
        <w:jc w:val="both"/>
        <w:rPr>
          <w:rFonts w:ascii="Book Antiqua" w:hAnsi="Book Antiqua"/>
          <w:sz w:val="24"/>
          <w:szCs w:val="24"/>
        </w:rPr>
      </w:pPr>
    </w:p>
    <w:p w14:paraId="1A2FFC89" w14:textId="39F8CAF7" w:rsidR="00F50C8C" w:rsidRPr="00691B3F" w:rsidRDefault="00F50C8C" w:rsidP="00367FE4">
      <w:pPr>
        <w:pStyle w:val="a3"/>
        <w:snapToGrid w:val="0"/>
        <w:spacing w:line="360" w:lineRule="auto"/>
        <w:jc w:val="both"/>
        <w:rPr>
          <w:rFonts w:ascii="Book Antiqua" w:hAnsi="Book Antiqua"/>
          <w:b/>
          <w:bCs/>
          <w:i/>
          <w:sz w:val="24"/>
          <w:szCs w:val="24"/>
        </w:rPr>
      </w:pPr>
      <w:r w:rsidRPr="00691B3F">
        <w:rPr>
          <w:rFonts w:ascii="Book Antiqua" w:hAnsi="Book Antiqua"/>
          <w:b/>
          <w:bCs/>
          <w:i/>
          <w:sz w:val="24"/>
          <w:szCs w:val="24"/>
        </w:rPr>
        <w:t>Lab</w:t>
      </w:r>
      <w:r w:rsidR="0038589F" w:rsidRPr="00691B3F">
        <w:rPr>
          <w:rFonts w:ascii="Book Antiqua" w:hAnsi="Book Antiqua"/>
          <w:b/>
          <w:bCs/>
          <w:i/>
          <w:sz w:val="24"/>
          <w:szCs w:val="24"/>
        </w:rPr>
        <w:t>oratory</w:t>
      </w:r>
      <w:r w:rsidRPr="00691B3F">
        <w:rPr>
          <w:rFonts w:ascii="Book Antiqua" w:hAnsi="Book Antiqua"/>
          <w:b/>
          <w:bCs/>
          <w:i/>
          <w:sz w:val="24"/>
          <w:szCs w:val="24"/>
        </w:rPr>
        <w:t xml:space="preserve"> </w:t>
      </w:r>
      <w:r w:rsidR="002E63CD" w:rsidRPr="00691B3F">
        <w:rPr>
          <w:rFonts w:ascii="Book Antiqua" w:hAnsi="Book Antiqua"/>
          <w:b/>
          <w:bCs/>
          <w:i/>
          <w:sz w:val="24"/>
          <w:szCs w:val="24"/>
        </w:rPr>
        <w:t>findings</w:t>
      </w:r>
    </w:p>
    <w:p w14:paraId="3804A977" w14:textId="39379523" w:rsidR="00A5504E" w:rsidRPr="00691B3F" w:rsidRDefault="00DF1FD4" w:rsidP="00367FE4">
      <w:pPr>
        <w:pStyle w:val="a3"/>
        <w:snapToGrid w:val="0"/>
        <w:spacing w:line="360" w:lineRule="auto"/>
        <w:jc w:val="both"/>
        <w:rPr>
          <w:rFonts w:ascii="Book Antiqua" w:hAnsi="Book Antiqua"/>
          <w:sz w:val="24"/>
          <w:szCs w:val="24"/>
        </w:rPr>
      </w:pPr>
      <w:r w:rsidRPr="00691B3F">
        <w:rPr>
          <w:rFonts w:ascii="Book Antiqua" w:hAnsi="Book Antiqua"/>
          <w:sz w:val="24"/>
          <w:szCs w:val="24"/>
        </w:rPr>
        <w:t xml:space="preserve">Initial laboratory testing in acute liver failure will reveal prolonged </w:t>
      </w:r>
      <w:proofErr w:type="spellStart"/>
      <w:r w:rsidRPr="00691B3F">
        <w:rPr>
          <w:rFonts w:ascii="Book Antiqua" w:hAnsi="Book Antiqua"/>
          <w:sz w:val="24"/>
          <w:szCs w:val="24"/>
        </w:rPr>
        <w:t>prothrombin</w:t>
      </w:r>
      <w:proofErr w:type="spellEnd"/>
      <w:r w:rsidRPr="00691B3F">
        <w:rPr>
          <w:rFonts w:ascii="Book Antiqua" w:hAnsi="Book Antiqua"/>
          <w:sz w:val="24"/>
          <w:szCs w:val="24"/>
        </w:rPr>
        <w:t xml:space="preserve"> time, INR greater than 1.5</w:t>
      </w:r>
      <w:r w:rsidR="00FF7CAE" w:rsidRPr="00691B3F">
        <w:rPr>
          <w:rFonts w:ascii="Book Antiqua" w:hAnsi="Book Antiqua"/>
          <w:sz w:val="24"/>
          <w:szCs w:val="24"/>
        </w:rPr>
        <w:t>, elevated aminotransferase and bilirubin levels, thrombocytopenia, electrolyte abnormalities, elevated ammonia levels</w:t>
      </w:r>
      <w:r w:rsidR="002320CE" w:rsidRPr="00691B3F">
        <w:rPr>
          <w:rFonts w:ascii="Book Antiqua" w:hAnsi="Book Antiqua"/>
          <w:sz w:val="24"/>
          <w:szCs w:val="24"/>
        </w:rPr>
        <w:t xml:space="preserve"> and acid-base disturbances. </w:t>
      </w:r>
      <w:r w:rsidR="006C3E3E" w:rsidRPr="00691B3F">
        <w:rPr>
          <w:rFonts w:ascii="Book Antiqua" w:hAnsi="Book Antiqua"/>
          <w:sz w:val="24"/>
          <w:szCs w:val="24"/>
        </w:rPr>
        <w:t xml:space="preserve">Typically, aminotransferase levels are in the thousands in cases of </w:t>
      </w:r>
      <w:proofErr w:type="spellStart"/>
      <w:r w:rsidR="006C3E3E" w:rsidRPr="00691B3F">
        <w:rPr>
          <w:rFonts w:ascii="Book Antiqua" w:hAnsi="Book Antiqua"/>
          <w:sz w:val="24"/>
          <w:szCs w:val="24"/>
        </w:rPr>
        <w:t>paracetamol</w:t>
      </w:r>
      <w:proofErr w:type="spellEnd"/>
      <w:r w:rsidR="006C3E3E" w:rsidRPr="00691B3F">
        <w:rPr>
          <w:rFonts w:ascii="Book Antiqua" w:hAnsi="Book Antiqua"/>
          <w:sz w:val="24"/>
          <w:szCs w:val="24"/>
        </w:rPr>
        <w:t>-induced acute liver failure.</w:t>
      </w:r>
      <w:r w:rsidR="000F2238" w:rsidRPr="00691B3F">
        <w:rPr>
          <w:rFonts w:ascii="Book Antiqua" w:hAnsi="Book Antiqua"/>
          <w:sz w:val="24"/>
          <w:szCs w:val="24"/>
        </w:rPr>
        <w:t xml:space="preserve"> </w:t>
      </w:r>
      <w:proofErr w:type="spellStart"/>
      <w:r w:rsidR="00A5504E" w:rsidRPr="00691B3F">
        <w:rPr>
          <w:rFonts w:ascii="Book Antiqua" w:hAnsi="Book Antiqua"/>
          <w:sz w:val="24"/>
          <w:szCs w:val="24"/>
        </w:rPr>
        <w:t>Paracetamol</w:t>
      </w:r>
      <w:proofErr w:type="spellEnd"/>
      <w:r w:rsidR="00A5504E" w:rsidRPr="00691B3F">
        <w:rPr>
          <w:rFonts w:ascii="Book Antiqua" w:hAnsi="Book Antiqua"/>
          <w:sz w:val="24"/>
          <w:szCs w:val="24"/>
        </w:rPr>
        <w:t xml:space="preserve"> levels should always be drawn in acute liver injury cases.</w:t>
      </w:r>
      <w:r w:rsidR="000F2238" w:rsidRPr="00691B3F">
        <w:rPr>
          <w:rFonts w:ascii="Book Antiqua" w:hAnsi="Book Antiqua"/>
          <w:sz w:val="24"/>
          <w:szCs w:val="24"/>
        </w:rPr>
        <w:t xml:space="preserve"> </w:t>
      </w:r>
      <w:r w:rsidR="00A5504E" w:rsidRPr="00691B3F">
        <w:rPr>
          <w:rFonts w:ascii="Book Antiqua" w:hAnsi="Book Antiqua"/>
          <w:sz w:val="24"/>
          <w:szCs w:val="24"/>
        </w:rPr>
        <w:t xml:space="preserve">Since the time of ingestion is not always known, such as in accidental overdose, absent or low levels of </w:t>
      </w:r>
      <w:proofErr w:type="spellStart"/>
      <w:r w:rsidR="00A5504E" w:rsidRPr="00691B3F">
        <w:rPr>
          <w:rFonts w:ascii="Book Antiqua" w:hAnsi="Book Antiqua"/>
          <w:sz w:val="24"/>
          <w:szCs w:val="24"/>
        </w:rPr>
        <w:t>paracetamol</w:t>
      </w:r>
      <w:proofErr w:type="spellEnd"/>
      <w:r w:rsidR="00A5504E" w:rsidRPr="00691B3F">
        <w:rPr>
          <w:rFonts w:ascii="Book Antiqua" w:hAnsi="Book Antiqua"/>
          <w:sz w:val="24"/>
          <w:szCs w:val="24"/>
        </w:rPr>
        <w:t xml:space="preserve"> should not exclude </w:t>
      </w:r>
      <w:proofErr w:type="spellStart"/>
      <w:r w:rsidR="00A5504E" w:rsidRPr="00691B3F">
        <w:rPr>
          <w:rFonts w:ascii="Book Antiqua" w:hAnsi="Book Antiqua"/>
          <w:sz w:val="24"/>
          <w:szCs w:val="24"/>
        </w:rPr>
        <w:t>paracetamol</w:t>
      </w:r>
      <w:proofErr w:type="spellEnd"/>
      <w:r w:rsidR="00A5504E" w:rsidRPr="00691B3F">
        <w:rPr>
          <w:rFonts w:ascii="Book Antiqua" w:hAnsi="Book Antiqua"/>
          <w:sz w:val="24"/>
          <w:szCs w:val="24"/>
        </w:rPr>
        <w:t>-induced liver injury in those cases where it is suspected.</w:t>
      </w:r>
      <w:r w:rsidR="000F2238" w:rsidRPr="00691B3F">
        <w:rPr>
          <w:rFonts w:ascii="Book Antiqua" w:hAnsi="Book Antiqua"/>
          <w:sz w:val="24"/>
          <w:szCs w:val="24"/>
        </w:rPr>
        <w:t xml:space="preserve"> </w:t>
      </w:r>
      <w:r w:rsidR="00A10709" w:rsidRPr="00691B3F">
        <w:rPr>
          <w:rFonts w:ascii="Book Antiqua" w:hAnsi="Book Antiqua"/>
          <w:sz w:val="24"/>
          <w:szCs w:val="24"/>
        </w:rPr>
        <w:t xml:space="preserve">Laboratory variables most indicative of patient outcome were the peak bilirubin and </w:t>
      </w:r>
      <w:proofErr w:type="spellStart"/>
      <w:r w:rsidR="00A10709" w:rsidRPr="00691B3F">
        <w:rPr>
          <w:rFonts w:ascii="Book Antiqua" w:hAnsi="Book Antiqua"/>
          <w:sz w:val="24"/>
          <w:szCs w:val="24"/>
        </w:rPr>
        <w:t>prothrombin</w:t>
      </w:r>
      <w:proofErr w:type="spellEnd"/>
      <w:r w:rsidR="00A10709" w:rsidRPr="00691B3F">
        <w:rPr>
          <w:rFonts w:ascii="Book Antiqua" w:hAnsi="Book Antiqua"/>
          <w:sz w:val="24"/>
          <w:szCs w:val="24"/>
        </w:rPr>
        <w:t xml:space="preserve"> time levels with bilirubin directly correlated to </w:t>
      </w:r>
      <w:proofErr w:type="gramStart"/>
      <w:r w:rsidR="00A10709" w:rsidRPr="00691B3F">
        <w:rPr>
          <w:rFonts w:ascii="Book Antiqua" w:hAnsi="Book Antiqua"/>
          <w:sz w:val="24"/>
          <w:szCs w:val="24"/>
        </w:rPr>
        <w:t>survival</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36]</w:t>
      </w:r>
      <w:r w:rsidR="00A10709" w:rsidRPr="00691B3F">
        <w:rPr>
          <w:rFonts w:ascii="Book Antiqua" w:hAnsi="Book Antiqua"/>
          <w:sz w:val="24"/>
          <w:szCs w:val="24"/>
        </w:rPr>
        <w:t>.</w:t>
      </w:r>
    </w:p>
    <w:p w14:paraId="58DD04A7" w14:textId="553AE26A" w:rsidR="002320CE" w:rsidRPr="00691B3F" w:rsidRDefault="002320CE" w:rsidP="00367FE4">
      <w:pPr>
        <w:pStyle w:val="a3"/>
        <w:snapToGrid w:val="0"/>
        <w:spacing w:line="360" w:lineRule="auto"/>
        <w:ind w:firstLineChars="100" w:firstLine="240"/>
        <w:jc w:val="both"/>
        <w:rPr>
          <w:rFonts w:ascii="Book Antiqua" w:hAnsi="Book Antiqua"/>
          <w:sz w:val="24"/>
          <w:szCs w:val="24"/>
        </w:rPr>
      </w:pPr>
      <w:r w:rsidRPr="00691B3F">
        <w:rPr>
          <w:rFonts w:ascii="Book Antiqua" w:hAnsi="Book Antiqua"/>
          <w:sz w:val="24"/>
          <w:szCs w:val="24"/>
        </w:rPr>
        <w:lastRenderedPageBreak/>
        <w:t>Liver biopsy is not routinely performed in the diagnosis of acute liver failure as it is associated with a high risk of bleeding and mortality.</w:t>
      </w:r>
      <w:r w:rsidR="000F2238" w:rsidRPr="00691B3F">
        <w:rPr>
          <w:rFonts w:ascii="Book Antiqua" w:hAnsi="Book Antiqua"/>
          <w:sz w:val="24"/>
          <w:szCs w:val="24"/>
        </w:rPr>
        <w:t xml:space="preserve"> </w:t>
      </w:r>
      <w:r w:rsidRPr="00691B3F">
        <w:rPr>
          <w:rFonts w:ascii="Book Antiqua" w:hAnsi="Book Antiqua"/>
          <w:sz w:val="24"/>
          <w:szCs w:val="24"/>
        </w:rPr>
        <w:t xml:space="preserve">In addition, in </w:t>
      </w:r>
      <w:r w:rsidR="00B90080" w:rsidRPr="00691B3F">
        <w:rPr>
          <w:rFonts w:ascii="Book Antiqua" w:hAnsi="Book Antiqua"/>
          <w:sz w:val="24"/>
          <w:szCs w:val="24"/>
        </w:rPr>
        <w:t xml:space="preserve">prior </w:t>
      </w:r>
      <w:r w:rsidRPr="00691B3F">
        <w:rPr>
          <w:rFonts w:ascii="Book Antiqua" w:hAnsi="Book Antiqua"/>
          <w:sz w:val="24"/>
          <w:szCs w:val="24"/>
        </w:rPr>
        <w:t>studies assessing</w:t>
      </w:r>
      <w:r w:rsidR="00B90080" w:rsidRPr="00691B3F">
        <w:rPr>
          <w:rFonts w:ascii="Book Antiqua" w:hAnsi="Book Antiqua"/>
          <w:sz w:val="24"/>
          <w:szCs w:val="24"/>
        </w:rPr>
        <w:t xml:space="preserve"> the role and</w:t>
      </w:r>
      <w:r w:rsidRPr="00691B3F">
        <w:rPr>
          <w:rFonts w:ascii="Book Antiqua" w:hAnsi="Book Antiqua"/>
          <w:sz w:val="24"/>
          <w:szCs w:val="24"/>
        </w:rPr>
        <w:t xml:space="preserve"> accuracy of liver biopsy</w:t>
      </w:r>
      <w:r w:rsidR="00B90080" w:rsidRPr="00691B3F">
        <w:rPr>
          <w:rFonts w:ascii="Book Antiqua" w:hAnsi="Book Antiqua"/>
          <w:sz w:val="24"/>
          <w:szCs w:val="24"/>
        </w:rPr>
        <w:t xml:space="preserve"> in acute liver failure</w:t>
      </w:r>
      <w:r w:rsidRPr="00691B3F">
        <w:rPr>
          <w:rFonts w:ascii="Book Antiqua" w:hAnsi="Book Antiqua"/>
          <w:sz w:val="24"/>
          <w:szCs w:val="24"/>
        </w:rPr>
        <w:t>, the diagnosis changed in 18% of case</w:t>
      </w:r>
      <w:r w:rsidR="00B90080" w:rsidRPr="00691B3F">
        <w:rPr>
          <w:rFonts w:ascii="Book Antiqua" w:hAnsi="Book Antiqua"/>
          <w:sz w:val="24"/>
          <w:szCs w:val="24"/>
        </w:rPr>
        <w:t xml:space="preserve">s; there was no report on whether biopsy information altered the clinical course or </w:t>
      </w:r>
      <w:proofErr w:type="gramStart"/>
      <w:r w:rsidR="00B90080" w:rsidRPr="00691B3F">
        <w:rPr>
          <w:rFonts w:ascii="Book Antiqua" w:hAnsi="Book Antiqua"/>
          <w:sz w:val="24"/>
          <w:szCs w:val="24"/>
        </w:rPr>
        <w:t>treatment</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37]</w:t>
      </w:r>
      <w:r w:rsidRPr="00691B3F">
        <w:rPr>
          <w:rFonts w:ascii="Book Antiqua" w:hAnsi="Book Antiqua"/>
          <w:sz w:val="24"/>
          <w:szCs w:val="24"/>
        </w:rPr>
        <w:t>.</w:t>
      </w:r>
      <w:r w:rsidR="000F2238" w:rsidRPr="00691B3F">
        <w:rPr>
          <w:rFonts w:ascii="Book Antiqua" w:hAnsi="Book Antiqua"/>
          <w:sz w:val="24"/>
          <w:szCs w:val="24"/>
        </w:rPr>
        <w:t xml:space="preserve"> </w:t>
      </w:r>
      <w:r w:rsidRPr="00691B3F">
        <w:rPr>
          <w:rFonts w:ascii="Book Antiqua" w:hAnsi="Book Antiqua"/>
          <w:sz w:val="24"/>
          <w:szCs w:val="24"/>
        </w:rPr>
        <w:t xml:space="preserve">In fact, the American Gastroenterological Association </w:t>
      </w:r>
      <w:r w:rsidR="00B90080" w:rsidRPr="00691B3F">
        <w:rPr>
          <w:rFonts w:ascii="Book Antiqua" w:hAnsi="Book Antiqua"/>
          <w:sz w:val="24"/>
          <w:szCs w:val="24"/>
        </w:rPr>
        <w:t>“</w:t>
      </w:r>
      <w:r w:rsidRPr="00691B3F">
        <w:rPr>
          <w:rFonts w:ascii="Book Antiqua" w:hAnsi="Book Antiqua"/>
          <w:sz w:val="24"/>
          <w:szCs w:val="24"/>
        </w:rPr>
        <w:t>suggests against routine use of liver biopsy</w:t>
      </w:r>
      <w:r w:rsidR="00B90080" w:rsidRPr="00691B3F">
        <w:rPr>
          <w:rFonts w:ascii="Book Antiqua" w:hAnsi="Book Antiqua"/>
          <w:sz w:val="24"/>
          <w:szCs w:val="24"/>
        </w:rPr>
        <w:t>”</w:t>
      </w:r>
      <w:r w:rsidRPr="00691B3F">
        <w:rPr>
          <w:rFonts w:ascii="Book Antiqua" w:hAnsi="Book Antiqua"/>
          <w:sz w:val="24"/>
          <w:szCs w:val="24"/>
        </w:rPr>
        <w:t xml:space="preserve"> in the workup of acute liver </w:t>
      </w:r>
      <w:proofErr w:type="gramStart"/>
      <w:r w:rsidRPr="00691B3F">
        <w:rPr>
          <w:rFonts w:ascii="Book Antiqua" w:hAnsi="Book Antiqua"/>
          <w:sz w:val="24"/>
          <w:szCs w:val="24"/>
        </w:rPr>
        <w:t>failure</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37]</w:t>
      </w:r>
      <w:r w:rsidRPr="00691B3F">
        <w:rPr>
          <w:rFonts w:ascii="Book Antiqua" w:hAnsi="Book Antiqua"/>
          <w:sz w:val="24"/>
          <w:szCs w:val="24"/>
        </w:rPr>
        <w:t xml:space="preserve">. </w:t>
      </w:r>
    </w:p>
    <w:p w14:paraId="06D9CEF2" w14:textId="77777777" w:rsidR="002E22E9" w:rsidRPr="00691B3F" w:rsidRDefault="002E22E9" w:rsidP="00367FE4">
      <w:pPr>
        <w:pStyle w:val="a3"/>
        <w:snapToGrid w:val="0"/>
        <w:spacing w:line="360" w:lineRule="auto"/>
        <w:jc w:val="both"/>
        <w:rPr>
          <w:rFonts w:ascii="Book Antiqua" w:hAnsi="Book Antiqua"/>
          <w:sz w:val="24"/>
          <w:szCs w:val="24"/>
        </w:rPr>
      </w:pPr>
    </w:p>
    <w:p w14:paraId="4011EC54" w14:textId="77777777" w:rsidR="0053121B" w:rsidRPr="00691B3F" w:rsidRDefault="0053121B" w:rsidP="00367FE4">
      <w:pPr>
        <w:pStyle w:val="a3"/>
        <w:snapToGrid w:val="0"/>
        <w:spacing w:line="360" w:lineRule="auto"/>
        <w:jc w:val="both"/>
        <w:rPr>
          <w:rFonts w:ascii="Book Antiqua" w:hAnsi="Book Antiqua"/>
          <w:b/>
          <w:bCs/>
          <w:caps/>
          <w:sz w:val="24"/>
          <w:szCs w:val="24"/>
          <w:u w:val="single"/>
        </w:rPr>
      </w:pPr>
      <w:r w:rsidRPr="00691B3F">
        <w:rPr>
          <w:rFonts w:ascii="Book Antiqua" w:hAnsi="Book Antiqua"/>
          <w:b/>
          <w:bCs/>
          <w:caps/>
          <w:sz w:val="24"/>
          <w:szCs w:val="24"/>
          <w:u w:val="single"/>
        </w:rPr>
        <w:t>Hepatotoxicity Risk Factors</w:t>
      </w:r>
    </w:p>
    <w:p w14:paraId="0AA42B76" w14:textId="59269DCF" w:rsidR="0053121B" w:rsidRPr="00691B3F" w:rsidRDefault="0053121B" w:rsidP="00367FE4">
      <w:pPr>
        <w:pStyle w:val="a3"/>
        <w:snapToGrid w:val="0"/>
        <w:spacing w:line="360" w:lineRule="auto"/>
        <w:jc w:val="both"/>
        <w:rPr>
          <w:rFonts w:ascii="Book Antiqua" w:hAnsi="Book Antiqua"/>
          <w:sz w:val="24"/>
          <w:szCs w:val="24"/>
        </w:rPr>
      </w:pPr>
      <w:r w:rsidRPr="00691B3F">
        <w:rPr>
          <w:rFonts w:ascii="Book Antiqua" w:hAnsi="Book Antiqua"/>
          <w:sz w:val="24"/>
          <w:szCs w:val="24"/>
        </w:rPr>
        <w:t xml:space="preserve">The dose of ingestion as well as the time span between ingestion of </w:t>
      </w:r>
      <w:proofErr w:type="spellStart"/>
      <w:r w:rsidRPr="00691B3F">
        <w:rPr>
          <w:rFonts w:ascii="Book Antiqua" w:hAnsi="Book Antiqua"/>
          <w:sz w:val="24"/>
          <w:szCs w:val="24"/>
        </w:rPr>
        <w:t>paracetamol</w:t>
      </w:r>
      <w:proofErr w:type="spellEnd"/>
      <w:r w:rsidRPr="00691B3F">
        <w:rPr>
          <w:rFonts w:ascii="Book Antiqua" w:hAnsi="Book Antiqua"/>
          <w:sz w:val="24"/>
          <w:szCs w:val="24"/>
        </w:rPr>
        <w:t xml:space="preserve"> and of the treatment drug N-</w:t>
      </w:r>
      <w:proofErr w:type="spellStart"/>
      <w:r w:rsidRPr="00691B3F">
        <w:rPr>
          <w:rFonts w:ascii="Book Antiqua" w:hAnsi="Book Antiqua"/>
          <w:sz w:val="24"/>
          <w:szCs w:val="24"/>
        </w:rPr>
        <w:t>acetylcysteine</w:t>
      </w:r>
      <w:proofErr w:type="spellEnd"/>
      <w:r w:rsidRPr="00691B3F">
        <w:rPr>
          <w:rFonts w:ascii="Book Antiqua" w:hAnsi="Book Antiqua"/>
          <w:sz w:val="24"/>
          <w:szCs w:val="24"/>
        </w:rPr>
        <w:t xml:space="preserve"> (NAC) are the most influential factors in the manifestation and severity of </w:t>
      </w:r>
      <w:proofErr w:type="spellStart"/>
      <w:r w:rsidRPr="00691B3F">
        <w:rPr>
          <w:rFonts w:ascii="Book Antiqua" w:hAnsi="Book Antiqua"/>
          <w:sz w:val="24"/>
          <w:szCs w:val="24"/>
        </w:rPr>
        <w:t>paracetamol</w:t>
      </w:r>
      <w:proofErr w:type="spellEnd"/>
      <w:r w:rsidRPr="00691B3F">
        <w:rPr>
          <w:rFonts w:ascii="Book Antiqua" w:hAnsi="Book Antiqua"/>
          <w:sz w:val="24"/>
          <w:szCs w:val="24"/>
        </w:rPr>
        <w:t xml:space="preserve"> hepatotoxicity</w:t>
      </w:r>
      <w:r w:rsidR="00D676D2" w:rsidRPr="00691B3F">
        <w:rPr>
          <w:rFonts w:ascii="Book Antiqua" w:hAnsi="Book Antiqua"/>
          <w:noProof/>
          <w:sz w:val="24"/>
          <w:szCs w:val="24"/>
          <w:vertAlign w:val="superscript"/>
        </w:rPr>
        <w:t>[4,38-40]</w:t>
      </w:r>
      <w:r w:rsidRPr="00691B3F">
        <w:rPr>
          <w:rFonts w:ascii="Book Antiqua" w:hAnsi="Book Antiqua"/>
          <w:sz w:val="24"/>
          <w:szCs w:val="24"/>
        </w:rPr>
        <w:t>.</w:t>
      </w:r>
      <w:r w:rsidR="000F2238" w:rsidRPr="00691B3F">
        <w:rPr>
          <w:rFonts w:ascii="Book Antiqua" w:hAnsi="Book Antiqua"/>
          <w:sz w:val="24"/>
          <w:szCs w:val="24"/>
        </w:rPr>
        <w:t xml:space="preserve"> </w:t>
      </w:r>
      <w:r w:rsidRPr="00691B3F">
        <w:rPr>
          <w:rFonts w:ascii="Book Antiqua" w:hAnsi="Book Antiqua"/>
          <w:sz w:val="24"/>
          <w:szCs w:val="24"/>
        </w:rPr>
        <w:t>While acute liver injury can occur when used at or below the recommended daily maximum dose (4000 mg</w:t>
      </w:r>
      <w:proofErr w:type="gramStart"/>
      <w:r w:rsidRPr="00691B3F">
        <w:rPr>
          <w:rFonts w:ascii="Book Antiqua" w:hAnsi="Book Antiqua"/>
          <w:sz w:val="24"/>
          <w:szCs w:val="24"/>
        </w:rPr>
        <w:t>)</w:t>
      </w:r>
      <w:r w:rsidR="007B3149" w:rsidRPr="00691B3F">
        <w:rPr>
          <w:rFonts w:ascii="Book Antiqua" w:hAnsi="Book Antiqua"/>
          <w:noProof/>
          <w:sz w:val="24"/>
          <w:szCs w:val="24"/>
          <w:vertAlign w:val="superscript"/>
        </w:rPr>
        <w:t>[</w:t>
      </w:r>
      <w:proofErr w:type="gramEnd"/>
      <w:r w:rsidR="007B3149" w:rsidRPr="00691B3F">
        <w:rPr>
          <w:rFonts w:ascii="Book Antiqua" w:hAnsi="Book Antiqua"/>
          <w:noProof/>
          <w:sz w:val="24"/>
          <w:szCs w:val="24"/>
          <w:vertAlign w:val="superscript"/>
        </w:rPr>
        <w:t>4]</w:t>
      </w:r>
      <w:r w:rsidRPr="00691B3F">
        <w:rPr>
          <w:rFonts w:ascii="Book Antiqua" w:hAnsi="Book Antiqua"/>
          <w:sz w:val="24"/>
          <w:szCs w:val="24"/>
        </w:rPr>
        <w:t xml:space="preserve">, </w:t>
      </w:r>
      <w:proofErr w:type="spellStart"/>
      <w:r w:rsidRPr="00691B3F">
        <w:rPr>
          <w:rFonts w:ascii="Book Antiqua" w:hAnsi="Book Antiqua"/>
          <w:sz w:val="24"/>
          <w:szCs w:val="24"/>
        </w:rPr>
        <w:t>paracetamol</w:t>
      </w:r>
      <w:proofErr w:type="spellEnd"/>
      <w:r w:rsidRPr="00691B3F">
        <w:rPr>
          <w:rFonts w:ascii="Book Antiqua" w:hAnsi="Book Antiqua"/>
          <w:sz w:val="24"/>
          <w:szCs w:val="24"/>
        </w:rPr>
        <w:t xml:space="preserve"> toxicity is often the result of ingestion of </w:t>
      </w:r>
      <w:proofErr w:type="spellStart"/>
      <w:r w:rsidRPr="00691B3F">
        <w:rPr>
          <w:rFonts w:ascii="Book Antiqua" w:hAnsi="Book Antiqua"/>
          <w:sz w:val="24"/>
          <w:szCs w:val="24"/>
        </w:rPr>
        <w:t>paracetamol</w:t>
      </w:r>
      <w:proofErr w:type="spellEnd"/>
      <w:r w:rsidRPr="00691B3F">
        <w:rPr>
          <w:rFonts w:ascii="Book Antiqua" w:hAnsi="Book Antiqua"/>
          <w:sz w:val="24"/>
          <w:szCs w:val="24"/>
        </w:rPr>
        <w:t xml:space="preserve"> over this maximum dose.</w:t>
      </w:r>
      <w:r w:rsidR="000F2238" w:rsidRPr="00691B3F">
        <w:rPr>
          <w:rFonts w:ascii="Book Antiqua" w:hAnsi="Book Antiqua"/>
          <w:sz w:val="24"/>
          <w:szCs w:val="24"/>
        </w:rPr>
        <w:t xml:space="preserve"> </w:t>
      </w:r>
      <w:r w:rsidRPr="00691B3F">
        <w:rPr>
          <w:rFonts w:ascii="Book Antiqua" w:hAnsi="Book Antiqua"/>
          <w:sz w:val="24"/>
          <w:szCs w:val="24"/>
        </w:rPr>
        <w:t xml:space="preserve">In fact, the maximum daily dosage has been a topic of controversy, with some manufacturers voluntarily lowering this recommended threshold on their products in order to increase the safety of </w:t>
      </w:r>
      <w:proofErr w:type="gramStart"/>
      <w:r w:rsidRPr="00691B3F">
        <w:rPr>
          <w:rFonts w:ascii="Book Antiqua" w:hAnsi="Book Antiqua"/>
          <w:sz w:val="24"/>
          <w:szCs w:val="24"/>
        </w:rPr>
        <w:t>patients</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41,42]</w:t>
      </w:r>
      <w:r w:rsidRPr="00691B3F">
        <w:rPr>
          <w:rFonts w:ascii="Book Antiqua" w:hAnsi="Book Antiqua"/>
          <w:sz w:val="24"/>
          <w:szCs w:val="24"/>
        </w:rPr>
        <w:t>.</w:t>
      </w:r>
      <w:r w:rsidR="000F2238" w:rsidRPr="00691B3F">
        <w:rPr>
          <w:rFonts w:ascii="Book Antiqua" w:hAnsi="Book Antiqua"/>
          <w:sz w:val="24"/>
          <w:szCs w:val="24"/>
        </w:rPr>
        <w:t xml:space="preserve"> </w:t>
      </w:r>
    </w:p>
    <w:p w14:paraId="5723F248" w14:textId="5086E69F" w:rsidR="0053121B" w:rsidRPr="00691B3F" w:rsidRDefault="0053121B" w:rsidP="00367FE4">
      <w:pPr>
        <w:pStyle w:val="a3"/>
        <w:snapToGrid w:val="0"/>
        <w:spacing w:line="360" w:lineRule="auto"/>
        <w:ind w:firstLineChars="100" w:firstLine="240"/>
        <w:jc w:val="both"/>
        <w:rPr>
          <w:rFonts w:ascii="Book Antiqua" w:hAnsi="Book Antiqua"/>
          <w:sz w:val="24"/>
          <w:szCs w:val="24"/>
        </w:rPr>
      </w:pPr>
      <w:proofErr w:type="gramStart"/>
      <w:r w:rsidRPr="00691B3F">
        <w:rPr>
          <w:rFonts w:ascii="Book Antiqua" w:hAnsi="Book Antiqua"/>
          <w:sz w:val="24"/>
          <w:szCs w:val="24"/>
        </w:rPr>
        <w:t xml:space="preserve">Beyond exceeding the recommended daily dose, the risk for liver injury increases when </w:t>
      </w:r>
      <w:proofErr w:type="spellStart"/>
      <w:r w:rsidRPr="00691B3F">
        <w:rPr>
          <w:rFonts w:ascii="Book Antiqua" w:hAnsi="Book Antiqua"/>
          <w:sz w:val="24"/>
          <w:szCs w:val="24"/>
        </w:rPr>
        <w:t>paracetamol</w:t>
      </w:r>
      <w:proofErr w:type="spellEnd"/>
      <w:r w:rsidRPr="00691B3F">
        <w:rPr>
          <w:rFonts w:ascii="Book Antiqua" w:hAnsi="Book Antiqua"/>
          <w:sz w:val="24"/>
          <w:szCs w:val="24"/>
        </w:rPr>
        <w:t xml:space="preserve"> is used in combination with other drugs and substances, such as alcohol.</w:t>
      </w:r>
      <w:proofErr w:type="gramEnd"/>
      <w:r w:rsidR="000F2238" w:rsidRPr="00691B3F">
        <w:rPr>
          <w:rFonts w:ascii="Book Antiqua" w:hAnsi="Book Antiqua"/>
          <w:sz w:val="24"/>
          <w:szCs w:val="24"/>
        </w:rPr>
        <w:t xml:space="preserve"> </w:t>
      </w:r>
      <w:r w:rsidRPr="00691B3F">
        <w:rPr>
          <w:rFonts w:ascii="Book Antiqua" w:hAnsi="Book Antiqua"/>
          <w:sz w:val="24"/>
          <w:szCs w:val="24"/>
        </w:rPr>
        <w:t xml:space="preserve">The interplay between </w:t>
      </w:r>
      <w:proofErr w:type="spellStart"/>
      <w:r w:rsidRPr="00691B3F">
        <w:rPr>
          <w:rFonts w:ascii="Book Antiqua" w:hAnsi="Book Antiqua"/>
          <w:sz w:val="24"/>
          <w:szCs w:val="24"/>
        </w:rPr>
        <w:t>paracetamol</w:t>
      </w:r>
      <w:proofErr w:type="spellEnd"/>
      <w:r w:rsidRPr="00691B3F">
        <w:rPr>
          <w:rFonts w:ascii="Book Antiqua" w:hAnsi="Book Antiqua"/>
          <w:sz w:val="24"/>
          <w:szCs w:val="24"/>
        </w:rPr>
        <w:t xml:space="preserve"> and alcohol is an interesting one, because these compounds are competitive substrates for </w:t>
      </w:r>
      <w:r w:rsidR="00150CA8" w:rsidRPr="00691B3F">
        <w:rPr>
          <w:rFonts w:ascii="Book Antiqua" w:hAnsi="Book Antiqua"/>
          <w:sz w:val="24"/>
          <w:szCs w:val="24"/>
        </w:rPr>
        <w:t>CYP2E1</w:t>
      </w:r>
      <w:r w:rsidRPr="00691B3F">
        <w:rPr>
          <w:rFonts w:ascii="Book Antiqua" w:hAnsi="Book Antiqua"/>
          <w:sz w:val="24"/>
          <w:szCs w:val="24"/>
        </w:rPr>
        <w:t xml:space="preserve">, which reduces the production of the reactive NAPQI species generated in </w:t>
      </w:r>
      <w:proofErr w:type="spellStart"/>
      <w:r w:rsidRPr="00691B3F">
        <w:rPr>
          <w:rFonts w:ascii="Book Antiqua" w:hAnsi="Book Antiqua"/>
          <w:sz w:val="24"/>
          <w:szCs w:val="24"/>
        </w:rPr>
        <w:t>paracetamol</w:t>
      </w:r>
      <w:proofErr w:type="spellEnd"/>
      <w:r w:rsidRPr="00691B3F">
        <w:rPr>
          <w:rFonts w:ascii="Book Antiqua" w:hAnsi="Book Antiqua"/>
          <w:sz w:val="24"/>
          <w:szCs w:val="24"/>
        </w:rPr>
        <w:t xml:space="preserve"> metabolism; as a result, acute alcohol ingestion may in fact act as a protective mechanism against </w:t>
      </w:r>
      <w:proofErr w:type="spellStart"/>
      <w:r w:rsidRPr="00691B3F">
        <w:rPr>
          <w:rFonts w:ascii="Book Antiqua" w:hAnsi="Book Antiqua"/>
          <w:sz w:val="24"/>
          <w:szCs w:val="24"/>
        </w:rPr>
        <w:t>paracetamol</w:t>
      </w:r>
      <w:proofErr w:type="spellEnd"/>
      <w:r w:rsidRPr="00691B3F">
        <w:rPr>
          <w:rFonts w:ascii="Book Antiqua" w:hAnsi="Book Antiqua"/>
          <w:sz w:val="24"/>
          <w:szCs w:val="24"/>
        </w:rPr>
        <w:t xml:space="preserve"> </w:t>
      </w:r>
      <w:proofErr w:type="gramStart"/>
      <w:r w:rsidRPr="00691B3F">
        <w:rPr>
          <w:rFonts w:ascii="Book Antiqua" w:hAnsi="Book Antiqua"/>
          <w:sz w:val="24"/>
          <w:szCs w:val="24"/>
        </w:rPr>
        <w:t>hepatotoxicity</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43-46]</w:t>
      </w:r>
      <w:r w:rsidRPr="00691B3F">
        <w:rPr>
          <w:rFonts w:ascii="Book Antiqua" w:hAnsi="Book Antiqua"/>
          <w:sz w:val="24"/>
          <w:szCs w:val="24"/>
        </w:rPr>
        <w:t>.</w:t>
      </w:r>
      <w:r w:rsidR="000F2238" w:rsidRPr="00691B3F">
        <w:rPr>
          <w:rFonts w:ascii="Book Antiqua" w:hAnsi="Book Antiqua"/>
          <w:sz w:val="24"/>
          <w:szCs w:val="24"/>
        </w:rPr>
        <w:t xml:space="preserve"> </w:t>
      </w:r>
      <w:r w:rsidRPr="00691B3F">
        <w:rPr>
          <w:rFonts w:ascii="Book Antiqua" w:hAnsi="Book Antiqua"/>
          <w:sz w:val="24"/>
          <w:szCs w:val="24"/>
        </w:rPr>
        <w:t xml:space="preserve">On the other hand, </w:t>
      </w:r>
      <w:proofErr w:type="spellStart"/>
      <w:r w:rsidRPr="00691B3F">
        <w:rPr>
          <w:rFonts w:ascii="Book Antiqua" w:hAnsi="Book Antiqua"/>
          <w:sz w:val="24"/>
          <w:szCs w:val="24"/>
        </w:rPr>
        <w:t>paracetamol</w:t>
      </w:r>
      <w:proofErr w:type="spellEnd"/>
      <w:r w:rsidRPr="00691B3F">
        <w:rPr>
          <w:rFonts w:ascii="Book Antiqua" w:hAnsi="Book Antiqua"/>
          <w:sz w:val="24"/>
          <w:szCs w:val="24"/>
        </w:rPr>
        <w:t xml:space="preserve"> hepatotoxicity is augmented with chronic alcohol consumption through the up-regulation and increased synthesis and activity of </w:t>
      </w:r>
      <w:r w:rsidR="00C72F0F" w:rsidRPr="00691B3F">
        <w:rPr>
          <w:rFonts w:ascii="Book Antiqua" w:hAnsi="Book Antiqua"/>
          <w:sz w:val="24"/>
          <w:szCs w:val="24"/>
        </w:rPr>
        <w:t>CYP2E1</w:t>
      </w:r>
      <w:r w:rsidRPr="00691B3F">
        <w:rPr>
          <w:rFonts w:ascii="Book Antiqua" w:hAnsi="Book Antiqua"/>
          <w:sz w:val="24"/>
          <w:szCs w:val="24"/>
        </w:rPr>
        <w:t xml:space="preserve"> as well as the decreased production of glutathione; these activities result in enhanced liver necrosis and an exacerbated </w:t>
      </w:r>
      <w:proofErr w:type="gramStart"/>
      <w:r w:rsidRPr="00691B3F">
        <w:rPr>
          <w:rFonts w:ascii="Book Antiqua" w:hAnsi="Book Antiqua"/>
          <w:sz w:val="24"/>
          <w:szCs w:val="24"/>
        </w:rPr>
        <w:t>prognosis</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43,46]</w:t>
      </w:r>
      <w:r w:rsidRPr="00691B3F">
        <w:rPr>
          <w:rFonts w:ascii="Book Antiqua" w:hAnsi="Book Antiqua"/>
          <w:sz w:val="24"/>
          <w:szCs w:val="24"/>
        </w:rPr>
        <w:t>.</w:t>
      </w:r>
      <w:r w:rsidR="000F2238" w:rsidRPr="00691B3F">
        <w:rPr>
          <w:rFonts w:ascii="Book Antiqua" w:hAnsi="Book Antiqua"/>
          <w:sz w:val="24"/>
          <w:szCs w:val="24"/>
        </w:rPr>
        <w:t xml:space="preserve"> </w:t>
      </w:r>
      <w:r w:rsidRPr="00691B3F">
        <w:rPr>
          <w:rFonts w:ascii="Book Antiqua" w:hAnsi="Book Antiqua"/>
          <w:sz w:val="24"/>
          <w:szCs w:val="24"/>
        </w:rPr>
        <w:t xml:space="preserve">While the risk of liver failure may be increased in the case of chronic alcoholism in combination with </w:t>
      </w:r>
      <w:proofErr w:type="spellStart"/>
      <w:r w:rsidRPr="00691B3F">
        <w:rPr>
          <w:rFonts w:ascii="Book Antiqua" w:hAnsi="Book Antiqua"/>
          <w:sz w:val="24"/>
          <w:szCs w:val="24"/>
        </w:rPr>
        <w:t>paracetamol</w:t>
      </w:r>
      <w:proofErr w:type="spellEnd"/>
      <w:r w:rsidRPr="00691B3F">
        <w:rPr>
          <w:rFonts w:ascii="Book Antiqua" w:hAnsi="Book Antiqua"/>
          <w:sz w:val="24"/>
          <w:szCs w:val="24"/>
        </w:rPr>
        <w:t xml:space="preserve"> overdose, alcoholism does not necessarily increase the risk of </w:t>
      </w:r>
      <w:proofErr w:type="spellStart"/>
      <w:r w:rsidRPr="00691B3F">
        <w:rPr>
          <w:rFonts w:ascii="Book Antiqua" w:hAnsi="Book Antiqua"/>
          <w:sz w:val="24"/>
          <w:szCs w:val="24"/>
        </w:rPr>
        <w:t>paracetamol</w:t>
      </w:r>
      <w:proofErr w:type="spellEnd"/>
      <w:r w:rsidRPr="00691B3F">
        <w:rPr>
          <w:rFonts w:ascii="Book Antiqua" w:hAnsi="Book Antiqua"/>
          <w:sz w:val="24"/>
          <w:szCs w:val="24"/>
        </w:rPr>
        <w:t xml:space="preserve"> hepatotoxicity when in combination with therapeutic </w:t>
      </w:r>
      <w:proofErr w:type="gramStart"/>
      <w:r w:rsidRPr="00691B3F">
        <w:rPr>
          <w:rFonts w:ascii="Book Antiqua" w:hAnsi="Book Antiqua"/>
          <w:sz w:val="24"/>
          <w:szCs w:val="24"/>
        </w:rPr>
        <w:t>doses</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43]</w:t>
      </w:r>
      <w:r w:rsidRPr="00691B3F">
        <w:rPr>
          <w:rFonts w:ascii="Book Antiqua" w:hAnsi="Book Antiqua"/>
          <w:sz w:val="24"/>
          <w:szCs w:val="24"/>
        </w:rPr>
        <w:t>.</w:t>
      </w:r>
      <w:r w:rsidR="000F2238" w:rsidRPr="00691B3F">
        <w:rPr>
          <w:rFonts w:ascii="Book Antiqua" w:hAnsi="Book Antiqua"/>
          <w:sz w:val="24"/>
          <w:szCs w:val="24"/>
        </w:rPr>
        <w:t xml:space="preserve"> </w:t>
      </w:r>
      <w:r w:rsidRPr="00691B3F">
        <w:rPr>
          <w:rFonts w:ascii="Book Antiqua" w:hAnsi="Book Antiqua"/>
          <w:sz w:val="24"/>
          <w:szCs w:val="24"/>
        </w:rPr>
        <w:t xml:space="preserve">Beyond alcohol, there </w:t>
      </w:r>
      <w:r w:rsidRPr="00691B3F">
        <w:rPr>
          <w:rFonts w:ascii="Book Antiqua" w:hAnsi="Book Antiqua"/>
          <w:sz w:val="24"/>
          <w:szCs w:val="24"/>
        </w:rPr>
        <w:lastRenderedPageBreak/>
        <w:t xml:space="preserve">are various prescribed and over-the-counter medications that can predispose a patient to </w:t>
      </w:r>
      <w:proofErr w:type="spellStart"/>
      <w:r w:rsidRPr="00691B3F">
        <w:rPr>
          <w:rFonts w:ascii="Book Antiqua" w:hAnsi="Book Antiqua"/>
          <w:sz w:val="24"/>
          <w:szCs w:val="24"/>
        </w:rPr>
        <w:t>paracetamol</w:t>
      </w:r>
      <w:proofErr w:type="spellEnd"/>
      <w:r w:rsidRPr="00691B3F">
        <w:rPr>
          <w:rFonts w:ascii="Book Antiqua" w:hAnsi="Book Antiqua"/>
          <w:sz w:val="24"/>
          <w:szCs w:val="24"/>
        </w:rPr>
        <w:t xml:space="preserve"> hepatotoxicity, including opioids, anti-tuberculosis </w:t>
      </w:r>
      <w:proofErr w:type="gramStart"/>
      <w:r w:rsidRPr="00691B3F">
        <w:rPr>
          <w:rFonts w:ascii="Book Antiqua" w:hAnsi="Book Antiqua"/>
          <w:sz w:val="24"/>
          <w:szCs w:val="24"/>
        </w:rPr>
        <w:t>drugs</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47]</w:t>
      </w:r>
      <w:r w:rsidR="001C0C40" w:rsidRPr="00691B3F">
        <w:rPr>
          <w:rFonts w:ascii="Book Antiqua" w:hAnsi="Book Antiqua"/>
          <w:sz w:val="24"/>
          <w:szCs w:val="24"/>
        </w:rPr>
        <w:t>,</w:t>
      </w:r>
      <w:r w:rsidRPr="00691B3F">
        <w:rPr>
          <w:rFonts w:ascii="Book Antiqua" w:hAnsi="Book Antiqua"/>
          <w:sz w:val="24"/>
          <w:szCs w:val="24"/>
        </w:rPr>
        <w:t xml:space="preserve"> and anti-epileptic drugs as well as herbs and dietary supplements, such as St. John’s </w:t>
      </w:r>
      <w:proofErr w:type="spellStart"/>
      <w:r w:rsidRPr="00691B3F">
        <w:rPr>
          <w:rFonts w:ascii="Book Antiqua" w:hAnsi="Book Antiqua"/>
          <w:sz w:val="24"/>
          <w:szCs w:val="24"/>
        </w:rPr>
        <w:t>wort</w:t>
      </w:r>
      <w:proofErr w:type="spellEnd"/>
      <w:r w:rsidRPr="00691B3F">
        <w:rPr>
          <w:rFonts w:ascii="Book Antiqua" w:hAnsi="Book Antiqua"/>
          <w:sz w:val="24"/>
          <w:szCs w:val="24"/>
        </w:rPr>
        <w:t>, garlic and germander</w:t>
      </w:r>
      <w:r w:rsidR="00791D07" w:rsidRPr="00691B3F">
        <w:rPr>
          <w:rFonts w:ascii="Book Antiqua" w:hAnsi="Book Antiqua"/>
          <w:sz w:val="24"/>
          <w:szCs w:val="24"/>
        </w:rPr>
        <w:t>, through their effects on CYP450 metabolism</w:t>
      </w:r>
      <w:r w:rsidR="004E6E44" w:rsidRPr="00691B3F">
        <w:rPr>
          <w:rFonts w:ascii="Book Antiqua" w:hAnsi="Book Antiqua"/>
          <w:sz w:val="24"/>
          <w:szCs w:val="24"/>
        </w:rPr>
        <w:t xml:space="preserve"> (Table 1)</w:t>
      </w:r>
      <w:r w:rsidR="007B3149" w:rsidRPr="00691B3F">
        <w:rPr>
          <w:rFonts w:ascii="Book Antiqua" w:hAnsi="Book Antiqua"/>
          <w:noProof/>
          <w:sz w:val="24"/>
          <w:szCs w:val="24"/>
          <w:vertAlign w:val="superscript"/>
        </w:rPr>
        <w:t>[7]</w:t>
      </w:r>
      <w:r w:rsidRPr="00691B3F">
        <w:rPr>
          <w:rFonts w:ascii="Book Antiqua" w:hAnsi="Book Antiqua"/>
          <w:sz w:val="24"/>
          <w:szCs w:val="24"/>
        </w:rPr>
        <w:t>.</w:t>
      </w:r>
    </w:p>
    <w:p w14:paraId="191298A3" w14:textId="11583955" w:rsidR="0053121B" w:rsidRPr="00691B3F" w:rsidRDefault="0053121B" w:rsidP="00367FE4">
      <w:pPr>
        <w:pStyle w:val="a3"/>
        <w:snapToGrid w:val="0"/>
        <w:spacing w:line="360" w:lineRule="auto"/>
        <w:ind w:firstLineChars="100" w:firstLine="240"/>
        <w:jc w:val="both"/>
        <w:rPr>
          <w:rFonts w:ascii="Book Antiqua" w:hAnsi="Book Antiqua"/>
          <w:sz w:val="24"/>
          <w:szCs w:val="24"/>
        </w:rPr>
      </w:pPr>
      <w:r w:rsidRPr="00691B3F">
        <w:rPr>
          <w:rFonts w:ascii="Book Antiqua" w:hAnsi="Book Antiqua"/>
          <w:sz w:val="24"/>
          <w:szCs w:val="24"/>
        </w:rPr>
        <w:t xml:space="preserve">The risk for </w:t>
      </w:r>
      <w:proofErr w:type="spellStart"/>
      <w:r w:rsidRPr="00691B3F">
        <w:rPr>
          <w:rFonts w:ascii="Book Antiqua" w:hAnsi="Book Antiqua"/>
          <w:sz w:val="24"/>
          <w:szCs w:val="24"/>
        </w:rPr>
        <w:t>paracetamol</w:t>
      </w:r>
      <w:proofErr w:type="spellEnd"/>
      <w:r w:rsidRPr="00691B3F">
        <w:rPr>
          <w:rFonts w:ascii="Book Antiqua" w:hAnsi="Book Antiqua"/>
          <w:sz w:val="24"/>
          <w:szCs w:val="24"/>
        </w:rPr>
        <w:t xml:space="preserve"> hepatotoxicity is increased in patients with malnutrition, as glutathione stores are depleted and no longer available for conjugation with the reactive NAPQI </w:t>
      </w:r>
      <w:proofErr w:type="gramStart"/>
      <w:r w:rsidRPr="00691B3F">
        <w:rPr>
          <w:rFonts w:ascii="Book Antiqua" w:hAnsi="Book Antiqua"/>
          <w:sz w:val="24"/>
          <w:szCs w:val="24"/>
        </w:rPr>
        <w:t>species</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48]</w:t>
      </w:r>
      <w:r w:rsidRPr="00691B3F">
        <w:rPr>
          <w:rFonts w:ascii="Book Antiqua" w:hAnsi="Book Antiqua"/>
          <w:sz w:val="24"/>
          <w:szCs w:val="24"/>
        </w:rPr>
        <w:t>.</w:t>
      </w:r>
      <w:r w:rsidR="000F2238" w:rsidRPr="00691B3F">
        <w:rPr>
          <w:rFonts w:ascii="Book Antiqua" w:hAnsi="Book Antiqua"/>
          <w:sz w:val="24"/>
          <w:szCs w:val="24"/>
        </w:rPr>
        <w:t xml:space="preserve"> </w:t>
      </w:r>
      <w:r w:rsidRPr="00691B3F">
        <w:rPr>
          <w:rFonts w:ascii="Book Antiqua" w:hAnsi="Book Antiqua"/>
          <w:sz w:val="24"/>
          <w:szCs w:val="24"/>
        </w:rPr>
        <w:t xml:space="preserve">Individuals at a particular risk for poor nutritional status include those with chronic </w:t>
      </w:r>
      <w:proofErr w:type="gramStart"/>
      <w:r w:rsidRPr="00691B3F">
        <w:rPr>
          <w:rFonts w:ascii="Book Antiqua" w:hAnsi="Book Antiqua"/>
          <w:sz w:val="24"/>
          <w:szCs w:val="24"/>
        </w:rPr>
        <w:t>alcoholism</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48]</w:t>
      </w:r>
      <w:r w:rsidRPr="00691B3F">
        <w:rPr>
          <w:rFonts w:ascii="Book Antiqua" w:hAnsi="Book Antiqua"/>
          <w:sz w:val="24"/>
          <w:szCs w:val="24"/>
        </w:rPr>
        <w:t>, and while patients with anorexia nervosa are malnourished and have low glutathione reserves, they also</w:t>
      </w:r>
      <w:r w:rsidR="000F2238" w:rsidRPr="00691B3F">
        <w:rPr>
          <w:rFonts w:ascii="Book Antiqua" w:hAnsi="Book Antiqua"/>
          <w:sz w:val="24"/>
          <w:szCs w:val="24"/>
        </w:rPr>
        <w:t xml:space="preserve"> </w:t>
      </w:r>
      <w:r w:rsidRPr="00691B3F">
        <w:rPr>
          <w:rFonts w:ascii="Book Antiqua" w:hAnsi="Book Antiqua"/>
          <w:sz w:val="24"/>
          <w:szCs w:val="24"/>
        </w:rPr>
        <w:t xml:space="preserve">have reduced </w:t>
      </w:r>
      <w:r w:rsidR="00C72F0F" w:rsidRPr="00691B3F">
        <w:rPr>
          <w:rFonts w:ascii="Book Antiqua" w:hAnsi="Book Antiqua"/>
          <w:sz w:val="24"/>
          <w:szCs w:val="24"/>
        </w:rPr>
        <w:t>CYP2E1</w:t>
      </w:r>
      <w:r w:rsidRPr="00691B3F">
        <w:rPr>
          <w:rFonts w:ascii="Book Antiqua" w:hAnsi="Book Antiqua"/>
          <w:sz w:val="24"/>
          <w:szCs w:val="24"/>
        </w:rPr>
        <w:t xml:space="preserve"> activity, which in fact does not exacerbate the risk of </w:t>
      </w:r>
      <w:proofErr w:type="spellStart"/>
      <w:r w:rsidRPr="00691B3F">
        <w:rPr>
          <w:rFonts w:ascii="Book Antiqua" w:hAnsi="Book Antiqua"/>
          <w:sz w:val="24"/>
          <w:szCs w:val="24"/>
        </w:rPr>
        <w:t>paracetamol</w:t>
      </w:r>
      <w:proofErr w:type="spellEnd"/>
      <w:r w:rsidRPr="00691B3F">
        <w:rPr>
          <w:rFonts w:ascii="Book Antiqua" w:hAnsi="Book Antiqua"/>
          <w:sz w:val="24"/>
          <w:szCs w:val="24"/>
        </w:rPr>
        <w:t xml:space="preserve"> toxicity in this subset of malnourished patients</w:t>
      </w:r>
      <w:r w:rsidR="00D676D2" w:rsidRPr="00691B3F">
        <w:rPr>
          <w:rFonts w:ascii="Book Antiqua" w:hAnsi="Book Antiqua"/>
          <w:noProof/>
          <w:sz w:val="24"/>
          <w:szCs w:val="24"/>
          <w:vertAlign w:val="superscript"/>
        </w:rPr>
        <w:t>[49]</w:t>
      </w:r>
      <w:r w:rsidRPr="00691B3F">
        <w:rPr>
          <w:rFonts w:ascii="Book Antiqua" w:hAnsi="Book Antiqua"/>
          <w:sz w:val="24"/>
          <w:szCs w:val="24"/>
        </w:rPr>
        <w:t>.</w:t>
      </w:r>
      <w:r w:rsidR="000F2238" w:rsidRPr="00691B3F">
        <w:rPr>
          <w:rFonts w:ascii="Book Antiqua" w:hAnsi="Book Antiqua"/>
          <w:sz w:val="24"/>
          <w:szCs w:val="24"/>
        </w:rPr>
        <w:t xml:space="preserve"> </w:t>
      </w:r>
      <w:r w:rsidRPr="00691B3F">
        <w:rPr>
          <w:rFonts w:ascii="Book Antiqua" w:hAnsi="Book Antiqua"/>
          <w:sz w:val="24"/>
          <w:szCs w:val="24"/>
        </w:rPr>
        <w:t xml:space="preserve">Age also impacts hepatotoxicity risk, with advanced age (over 40 years old) being associated with a higher risk of acute liver failure, liver transplantation, and death </w:t>
      </w:r>
      <w:r w:rsidR="001C0C40" w:rsidRPr="00691B3F">
        <w:rPr>
          <w:rFonts w:ascii="Book Antiqua" w:hAnsi="Book Antiqua"/>
          <w:sz w:val="24"/>
          <w:szCs w:val="24"/>
        </w:rPr>
        <w:t>from</w:t>
      </w:r>
      <w:r w:rsidRPr="00691B3F">
        <w:rPr>
          <w:rFonts w:ascii="Book Antiqua" w:hAnsi="Book Antiqua"/>
          <w:sz w:val="24"/>
          <w:szCs w:val="24"/>
        </w:rPr>
        <w:t xml:space="preserve"> </w:t>
      </w:r>
      <w:proofErr w:type="spellStart"/>
      <w:r w:rsidRPr="00691B3F">
        <w:rPr>
          <w:rFonts w:ascii="Book Antiqua" w:hAnsi="Book Antiqua"/>
          <w:sz w:val="24"/>
          <w:szCs w:val="24"/>
        </w:rPr>
        <w:t>paracetamol</w:t>
      </w:r>
      <w:proofErr w:type="spellEnd"/>
      <w:r w:rsidRPr="00691B3F">
        <w:rPr>
          <w:rFonts w:ascii="Book Antiqua" w:hAnsi="Book Antiqua"/>
          <w:sz w:val="24"/>
          <w:szCs w:val="24"/>
        </w:rPr>
        <w:t xml:space="preserve"> overdose</w:t>
      </w:r>
      <w:r w:rsidR="00D676D2" w:rsidRPr="00691B3F">
        <w:rPr>
          <w:rFonts w:ascii="Book Antiqua" w:hAnsi="Book Antiqua"/>
          <w:noProof/>
          <w:sz w:val="24"/>
          <w:szCs w:val="24"/>
          <w:vertAlign w:val="superscript"/>
        </w:rPr>
        <w:t>[50]</w:t>
      </w:r>
      <w:r w:rsidRPr="00691B3F">
        <w:rPr>
          <w:rFonts w:ascii="Book Antiqua" w:hAnsi="Book Antiqua"/>
          <w:sz w:val="24"/>
          <w:szCs w:val="24"/>
        </w:rPr>
        <w:t>.</w:t>
      </w:r>
      <w:r w:rsidR="000F2238" w:rsidRPr="00691B3F">
        <w:rPr>
          <w:rFonts w:ascii="Book Antiqua" w:hAnsi="Book Antiqua"/>
          <w:sz w:val="24"/>
          <w:szCs w:val="24"/>
        </w:rPr>
        <w:t xml:space="preserve"> </w:t>
      </w:r>
      <w:r w:rsidRPr="00691B3F">
        <w:rPr>
          <w:rFonts w:ascii="Book Antiqua" w:hAnsi="Book Antiqua"/>
          <w:sz w:val="24"/>
          <w:szCs w:val="24"/>
        </w:rPr>
        <w:t xml:space="preserve">The metabolism of </w:t>
      </w:r>
      <w:proofErr w:type="spellStart"/>
      <w:r w:rsidRPr="00691B3F">
        <w:rPr>
          <w:rFonts w:ascii="Book Antiqua" w:hAnsi="Book Antiqua"/>
          <w:sz w:val="24"/>
          <w:szCs w:val="24"/>
        </w:rPr>
        <w:t>paracetamol</w:t>
      </w:r>
      <w:proofErr w:type="spellEnd"/>
      <w:r w:rsidRPr="00691B3F">
        <w:rPr>
          <w:rFonts w:ascii="Book Antiqua" w:hAnsi="Book Antiqua"/>
          <w:sz w:val="24"/>
          <w:szCs w:val="24"/>
        </w:rPr>
        <w:t xml:space="preserve"> appears to be dependent on </w:t>
      </w:r>
      <w:proofErr w:type="gramStart"/>
      <w:r w:rsidRPr="00691B3F">
        <w:rPr>
          <w:rFonts w:ascii="Book Antiqua" w:hAnsi="Book Antiqua"/>
          <w:sz w:val="24"/>
          <w:szCs w:val="24"/>
        </w:rPr>
        <w:t>age</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51]</w:t>
      </w:r>
      <w:r w:rsidRPr="00691B3F">
        <w:rPr>
          <w:rFonts w:ascii="Book Antiqua" w:hAnsi="Book Antiqua"/>
          <w:sz w:val="24"/>
          <w:szCs w:val="24"/>
        </w:rPr>
        <w:t xml:space="preserve">, and </w:t>
      </w:r>
      <w:proofErr w:type="spellStart"/>
      <w:r w:rsidRPr="00691B3F">
        <w:rPr>
          <w:rFonts w:ascii="Book Antiqua" w:hAnsi="Book Antiqua"/>
          <w:sz w:val="24"/>
          <w:szCs w:val="24"/>
        </w:rPr>
        <w:t>paracetamol</w:t>
      </w:r>
      <w:proofErr w:type="spellEnd"/>
      <w:r w:rsidRPr="00691B3F">
        <w:rPr>
          <w:rFonts w:ascii="Book Antiqua" w:hAnsi="Book Antiqua"/>
          <w:sz w:val="24"/>
          <w:szCs w:val="24"/>
        </w:rPr>
        <w:t xml:space="preserve"> use alone and in combination with opiates is widespread among advanced-age adults for treatment of chronic pain or cancer.</w:t>
      </w:r>
      <w:r w:rsidR="000F2238" w:rsidRPr="00691B3F">
        <w:rPr>
          <w:rFonts w:ascii="Book Antiqua" w:hAnsi="Book Antiqua"/>
          <w:sz w:val="24"/>
          <w:szCs w:val="24"/>
        </w:rPr>
        <w:t xml:space="preserve"> </w:t>
      </w:r>
      <w:r w:rsidRPr="00691B3F">
        <w:rPr>
          <w:rFonts w:ascii="Book Antiqua" w:hAnsi="Book Antiqua"/>
          <w:sz w:val="24"/>
          <w:szCs w:val="24"/>
        </w:rPr>
        <w:t xml:space="preserve">Chronic liver disease patients are also at increased risk for hepatotoxicity, as </w:t>
      </w:r>
      <w:proofErr w:type="spellStart"/>
      <w:r w:rsidRPr="00691B3F">
        <w:rPr>
          <w:rFonts w:ascii="Book Antiqua" w:hAnsi="Book Antiqua"/>
          <w:sz w:val="24"/>
          <w:szCs w:val="24"/>
        </w:rPr>
        <w:t>paracetamol</w:t>
      </w:r>
      <w:proofErr w:type="spellEnd"/>
      <w:r w:rsidRPr="00691B3F">
        <w:rPr>
          <w:rFonts w:ascii="Book Antiqua" w:hAnsi="Book Antiqua"/>
          <w:sz w:val="24"/>
          <w:szCs w:val="24"/>
        </w:rPr>
        <w:t xml:space="preserve"> metabolism is decreased in patients with cirrhotic livers.</w:t>
      </w:r>
      <w:r w:rsidR="000F2238" w:rsidRPr="00691B3F">
        <w:rPr>
          <w:rFonts w:ascii="Book Antiqua" w:hAnsi="Book Antiqua"/>
          <w:sz w:val="24"/>
          <w:szCs w:val="24"/>
        </w:rPr>
        <w:t xml:space="preserve"> </w:t>
      </w:r>
      <w:r w:rsidRPr="00691B3F">
        <w:rPr>
          <w:rFonts w:ascii="Book Antiqua" w:hAnsi="Book Antiqua"/>
          <w:sz w:val="24"/>
          <w:szCs w:val="24"/>
        </w:rPr>
        <w:t xml:space="preserve">While there is no evidence suggesting pregnancy as a predisposing risk factor for </w:t>
      </w:r>
      <w:proofErr w:type="spellStart"/>
      <w:r w:rsidRPr="00691B3F">
        <w:rPr>
          <w:rFonts w:ascii="Book Antiqua" w:hAnsi="Book Antiqua"/>
          <w:sz w:val="24"/>
          <w:szCs w:val="24"/>
        </w:rPr>
        <w:t>paracetamol</w:t>
      </w:r>
      <w:proofErr w:type="spellEnd"/>
      <w:r w:rsidRPr="00691B3F">
        <w:rPr>
          <w:rFonts w:ascii="Book Antiqua" w:hAnsi="Book Antiqua"/>
          <w:sz w:val="24"/>
          <w:szCs w:val="24"/>
        </w:rPr>
        <w:t xml:space="preserve"> </w:t>
      </w:r>
      <w:proofErr w:type="gramStart"/>
      <w:r w:rsidRPr="00691B3F">
        <w:rPr>
          <w:rFonts w:ascii="Book Antiqua" w:hAnsi="Book Antiqua"/>
          <w:sz w:val="24"/>
          <w:szCs w:val="24"/>
        </w:rPr>
        <w:t>toxicity</w:t>
      </w:r>
      <w:r w:rsidR="007B3149" w:rsidRPr="00691B3F">
        <w:rPr>
          <w:rFonts w:ascii="Book Antiqua" w:hAnsi="Book Antiqua"/>
          <w:noProof/>
          <w:sz w:val="24"/>
          <w:szCs w:val="24"/>
          <w:vertAlign w:val="superscript"/>
        </w:rPr>
        <w:t>[</w:t>
      </w:r>
      <w:proofErr w:type="gramEnd"/>
      <w:r w:rsidR="007B3149" w:rsidRPr="00691B3F">
        <w:rPr>
          <w:rFonts w:ascii="Book Antiqua" w:hAnsi="Book Antiqua"/>
          <w:noProof/>
          <w:sz w:val="24"/>
          <w:szCs w:val="24"/>
          <w:vertAlign w:val="superscript"/>
        </w:rPr>
        <w:t>7]</w:t>
      </w:r>
      <w:r w:rsidRPr="00691B3F">
        <w:rPr>
          <w:rFonts w:ascii="Book Antiqua" w:hAnsi="Book Antiqua"/>
          <w:sz w:val="24"/>
          <w:szCs w:val="24"/>
        </w:rPr>
        <w:t xml:space="preserve">, the use of </w:t>
      </w:r>
      <w:proofErr w:type="spellStart"/>
      <w:r w:rsidRPr="00691B3F">
        <w:rPr>
          <w:rFonts w:ascii="Book Antiqua" w:hAnsi="Book Antiqua"/>
          <w:sz w:val="24"/>
          <w:szCs w:val="24"/>
        </w:rPr>
        <w:t>paracetamol</w:t>
      </w:r>
      <w:proofErr w:type="spellEnd"/>
      <w:r w:rsidRPr="00691B3F">
        <w:rPr>
          <w:rFonts w:ascii="Book Antiqua" w:hAnsi="Book Antiqua"/>
          <w:sz w:val="24"/>
          <w:szCs w:val="24"/>
        </w:rPr>
        <w:t xml:space="preserve"> during pregnancy should be carefully monitored, since </w:t>
      </w:r>
      <w:proofErr w:type="spellStart"/>
      <w:r w:rsidRPr="00691B3F">
        <w:rPr>
          <w:rFonts w:ascii="Book Antiqua" w:hAnsi="Book Antiqua"/>
          <w:sz w:val="24"/>
          <w:szCs w:val="24"/>
        </w:rPr>
        <w:t>paracetamol</w:t>
      </w:r>
      <w:proofErr w:type="spellEnd"/>
      <w:r w:rsidRPr="00691B3F">
        <w:rPr>
          <w:rFonts w:ascii="Book Antiqua" w:hAnsi="Book Antiqua"/>
          <w:sz w:val="24"/>
          <w:szCs w:val="24"/>
        </w:rPr>
        <w:t xml:space="preserve"> is the most common overdose during pregnancy, and toxicity in such cases can results in significant morbidity and mortality for both the fetus and mother</w:t>
      </w:r>
      <w:r w:rsidR="00D676D2" w:rsidRPr="00691B3F">
        <w:rPr>
          <w:rFonts w:ascii="Book Antiqua" w:hAnsi="Book Antiqua"/>
          <w:noProof/>
          <w:sz w:val="24"/>
          <w:szCs w:val="24"/>
          <w:vertAlign w:val="superscript"/>
        </w:rPr>
        <w:t>[52]</w:t>
      </w:r>
      <w:r w:rsidRPr="00691B3F">
        <w:rPr>
          <w:rFonts w:ascii="Book Antiqua" w:hAnsi="Book Antiqua"/>
          <w:sz w:val="24"/>
          <w:szCs w:val="24"/>
        </w:rPr>
        <w:t>.</w:t>
      </w:r>
      <w:r w:rsidR="000F2238" w:rsidRPr="00691B3F">
        <w:rPr>
          <w:rFonts w:ascii="Book Antiqua" w:hAnsi="Book Antiqua"/>
          <w:sz w:val="24"/>
          <w:szCs w:val="24"/>
        </w:rPr>
        <w:t xml:space="preserve"> </w:t>
      </w:r>
    </w:p>
    <w:p w14:paraId="79766EF1" w14:textId="41BB2364" w:rsidR="0053121B" w:rsidRPr="00691B3F" w:rsidRDefault="0053121B" w:rsidP="00367FE4">
      <w:pPr>
        <w:pStyle w:val="a3"/>
        <w:snapToGrid w:val="0"/>
        <w:spacing w:line="360" w:lineRule="auto"/>
        <w:ind w:firstLineChars="100" w:firstLine="240"/>
        <w:jc w:val="both"/>
        <w:rPr>
          <w:rFonts w:ascii="Book Antiqua" w:hAnsi="Book Antiqua"/>
          <w:sz w:val="24"/>
          <w:szCs w:val="24"/>
        </w:rPr>
      </w:pPr>
      <w:r w:rsidRPr="00691B3F">
        <w:rPr>
          <w:rFonts w:ascii="Book Antiqua" w:hAnsi="Book Antiqua"/>
          <w:sz w:val="24"/>
          <w:szCs w:val="24"/>
        </w:rPr>
        <w:t xml:space="preserve">The aforementioned confounding factors that influence the development and acuteness of liver injury are summarized in the flowchart in Figure </w:t>
      </w:r>
      <w:r w:rsidR="006A577E" w:rsidRPr="00691B3F">
        <w:rPr>
          <w:rFonts w:ascii="Book Antiqua" w:hAnsi="Book Antiqua"/>
          <w:sz w:val="24"/>
          <w:szCs w:val="24"/>
        </w:rPr>
        <w:t>2</w:t>
      </w:r>
      <w:r w:rsidRPr="00691B3F">
        <w:rPr>
          <w:rFonts w:ascii="Book Antiqua" w:hAnsi="Book Antiqua"/>
          <w:sz w:val="24"/>
          <w:szCs w:val="24"/>
        </w:rPr>
        <w:t>.</w:t>
      </w:r>
    </w:p>
    <w:p w14:paraId="75EFBCDD" w14:textId="77777777" w:rsidR="000C433E" w:rsidRPr="00691B3F" w:rsidRDefault="000C433E" w:rsidP="00367FE4">
      <w:pPr>
        <w:pStyle w:val="a3"/>
        <w:snapToGrid w:val="0"/>
        <w:spacing w:line="360" w:lineRule="auto"/>
        <w:jc w:val="both"/>
        <w:rPr>
          <w:rFonts w:ascii="Book Antiqua" w:hAnsi="Book Antiqua"/>
          <w:bCs/>
          <w:sz w:val="24"/>
          <w:szCs w:val="24"/>
        </w:rPr>
      </w:pPr>
    </w:p>
    <w:p w14:paraId="734C500F" w14:textId="33738D61" w:rsidR="004A29D0" w:rsidRPr="00691B3F" w:rsidRDefault="004A29D0" w:rsidP="00367FE4">
      <w:pPr>
        <w:pStyle w:val="a3"/>
        <w:snapToGrid w:val="0"/>
        <w:spacing w:line="360" w:lineRule="auto"/>
        <w:jc w:val="both"/>
        <w:rPr>
          <w:rFonts w:ascii="Book Antiqua" w:hAnsi="Book Antiqua"/>
          <w:b/>
          <w:caps/>
          <w:sz w:val="24"/>
          <w:szCs w:val="24"/>
          <w:u w:val="single"/>
        </w:rPr>
      </w:pPr>
      <w:r w:rsidRPr="00691B3F">
        <w:rPr>
          <w:rFonts w:ascii="Book Antiqua" w:hAnsi="Book Antiqua"/>
          <w:b/>
          <w:caps/>
          <w:sz w:val="24"/>
          <w:szCs w:val="24"/>
          <w:u w:val="single"/>
        </w:rPr>
        <w:t>Prognostication</w:t>
      </w:r>
    </w:p>
    <w:p w14:paraId="50C5272B" w14:textId="295B7E43" w:rsidR="006C3E3E" w:rsidRPr="00691B3F" w:rsidRDefault="00DB28AF" w:rsidP="00367FE4">
      <w:pPr>
        <w:pStyle w:val="a3"/>
        <w:snapToGrid w:val="0"/>
        <w:spacing w:line="360" w:lineRule="auto"/>
        <w:jc w:val="both"/>
        <w:rPr>
          <w:rFonts w:ascii="Book Antiqua" w:hAnsi="Book Antiqua"/>
          <w:sz w:val="24"/>
          <w:szCs w:val="24"/>
        </w:rPr>
      </w:pPr>
      <w:r w:rsidRPr="00691B3F">
        <w:rPr>
          <w:rFonts w:ascii="Book Antiqua" w:hAnsi="Book Antiqua"/>
          <w:sz w:val="24"/>
          <w:szCs w:val="24"/>
        </w:rPr>
        <w:t>While the extent of liver injury has been found to be dose dependent, there are a few possible risk factors for DILI.</w:t>
      </w:r>
      <w:r w:rsidR="000F2238" w:rsidRPr="00691B3F">
        <w:rPr>
          <w:rFonts w:ascii="Book Antiqua" w:hAnsi="Book Antiqua"/>
          <w:sz w:val="24"/>
          <w:szCs w:val="24"/>
        </w:rPr>
        <w:t xml:space="preserve"> </w:t>
      </w:r>
      <w:r w:rsidRPr="00691B3F">
        <w:rPr>
          <w:rFonts w:ascii="Book Antiqua" w:hAnsi="Book Antiqua"/>
          <w:sz w:val="24"/>
          <w:szCs w:val="24"/>
        </w:rPr>
        <w:t xml:space="preserve">One study has found that </w:t>
      </w:r>
      <w:r w:rsidR="000F7A39" w:rsidRPr="00691B3F">
        <w:rPr>
          <w:rFonts w:ascii="Book Antiqua" w:hAnsi="Book Antiqua"/>
          <w:sz w:val="24"/>
          <w:szCs w:val="24"/>
        </w:rPr>
        <w:t xml:space="preserve">men and younger age was associated with an increased risk in hepatocellular </w:t>
      </w:r>
      <w:proofErr w:type="gramStart"/>
      <w:r w:rsidR="000F7A39" w:rsidRPr="00691B3F">
        <w:rPr>
          <w:rFonts w:ascii="Book Antiqua" w:hAnsi="Book Antiqua"/>
          <w:sz w:val="24"/>
          <w:szCs w:val="24"/>
        </w:rPr>
        <w:t>damage</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53]</w:t>
      </w:r>
      <w:r w:rsidR="000F7A39" w:rsidRPr="00691B3F">
        <w:rPr>
          <w:rFonts w:ascii="Book Antiqua" w:hAnsi="Book Antiqua"/>
          <w:sz w:val="24"/>
          <w:szCs w:val="24"/>
        </w:rPr>
        <w:t>.</w:t>
      </w:r>
      <w:r w:rsidR="000F2238" w:rsidRPr="00691B3F">
        <w:rPr>
          <w:rFonts w:ascii="Book Antiqua" w:hAnsi="Book Antiqua"/>
          <w:sz w:val="24"/>
          <w:szCs w:val="24"/>
        </w:rPr>
        <w:t xml:space="preserve"> </w:t>
      </w:r>
      <w:r w:rsidR="00CB7B8C" w:rsidRPr="00691B3F">
        <w:rPr>
          <w:rFonts w:ascii="Book Antiqua" w:hAnsi="Book Antiqua"/>
          <w:sz w:val="24"/>
          <w:szCs w:val="24"/>
        </w:rPr>
        <w:t xml:space="preserve">Traditionally, there are a </w:t>
      </w:r>
      <w:r w:rsidR="00CB7B8C" w:rsidRPr="00691B3F">
        <w:rPr>
          <w:rFonts w:ascii="Book Antiqua" w:hAnsi="Book Antiqua"/>
          <w:sz w:val="24"/>
          <w:szCs w:val="24"/>
        </w:rPr>
        <w:lastRenderedPageBreak/>
        <w:t xml:space="preserve">few scoring systems available to prognosticate those </w:t>
      </w:r>
      <w:r w:rsidR="007352B5" w:rsidRPr="00691B3F">
        <w:rPr>
          <w:rFonts w:ascii="Book Antiqua" w:hAnsi="Book Antiqua"/>
          <w:sz w:val="24"/>
          <w:szCs w:val="24"/>
        </w:rPr>
        <w:t>with acute liver failure though none are considered gold standard criteria.</w:t>
      </w:r>
      <w:r w:rsidR="000F2238" w:rsidRPr="00691B3F">
        <w:rPr>
          <w:rFonts w:ascii="Book Antiqua" w:hAnsi="Book Antiqua"/>
          <w:sz w:val="24"/>
          <w:szCs w:val="24"/>
        </w:rPr>
        <w:t xml:space="preserve"> </w:t>
      </w:r>
      <w:r w:rsidR="004160C6" w:rsidRPr="00691B3F">
        <w:rPr>
          <w:rFonts w:ascii="Book Antiqua" w:hAnsi="Book Antiqua"/>
          <w:sz w:val="24"/>
          <w:szCs w:val="24"/>
        </w:rPr>
        <w:t xml:space="preserve">The King’s College liver failure </w:t>
      </w:r>
      <w:proofErr w:type="gramStart"/>
      <w:r w:rsidR="004160C6" w:rsidRPr="00691B3F">
        <w:rPr>
          <w:rFonts w:ascii="Book Antiqua" w:hAnsi="Book Antiqua"/>
          <w:sz w:val="24"/>
          <w:szCs w:val="24"/>
        </w:rPr>
        <w:t>criteria</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36]</w:t>
      </w:r>
      <w:r w:rsidR="004160C6" w:rsidRPr="00691B3F">
        <w:rPr>
          <w:rFonts w:ascii="Book Antiqua" w:hAnsi="Book Antiqua"/>
          <w:sz w:val="24"/>
          <w:szCs w:val="24"/>
        </w:rPr>
        <w:t xml:space="preserve"> uses serum laboratory values to determine the prognosis of DILI and tested these prognostications by retrospectively analyzing those patients that had to undergo liver transplantation.</w:t>
      </w:r>
      <w:r w:rsidR="000F2238" w:rsidRPr="00691B3F">
        <w:rPr>
          <w:rFonts w:ascii="Book Antiqua" w:hAnsi="Book Antiqua"/>
          <w:sz w:val="24"/>
          <w:szCs w:val="24"/>
        </w:rPr>
        <w:t xml:space="preserve"> </w:t>
      </w:r>
      <w:r w:rsidR="007352B5" w:rsidRPr="00691B3F">
        <w:rPr>
          <w:rFonts w:ascii="Book Antiqua" w:hAnsi="Book Antiqua"/>
          <w:sz w:val="24"/>
          <w:szCs w:val="24"/>
        </w:rPr>
        <w:t xml:space="preserve">The </w:t>
      </w:r>
      <w:proofErr w:type="spellStart"/>
      <w:r w:rsidR="007352B5" w:rsidRPr="00691B3F">
        <w:rPr>
          <w:rFonts w:ascii="Book Antiqua" w:hAnsi="Book Antiqua"/>
          <w:sz w:val="24"/>
          <w:szCs w:val="24"/>
        </w:rPr>
        <w:t>Roussel</w:t>
      </w:r>
      <w:proofErr w:type="spellEnd"/>
      <w:r w:rsidR="007352B5" w:rsidRPr="00691B3F">
        <w:rPr>
          <w:rFonts w:ascii="Book Antiqua" w:hAnsi="Book Antiqua"/>
          <w:sz w:val="24"/>
          <w:szCs w:val="24"/>
        </w:rPr>
        <w:t xml:space="preserve"> </w:t>
      </w:r>
      <w:proofErr w:type="spellStart"/>
      <w:r w:rsidR="007352B5" w:rsidRPr="00691B3F">
        <w:rPr>
          <w:rFonts w:ascii="Book Antiqua" w:hAnsi="Book Antiqua"/>
          <w:sz w:val="24"/>
          <w:szCs w:val="24"/>
        </w:rPr>
        <w:t>Uclaf</w:t>
      </w:r>
      <w:proofErr w:type="spellEnd"/>
      <w:r w:rsidR="007352B5" w:rsidRPr="00691B3F">
        <w:rPr>
          <w:rFonts w:ascii="Book Antiqua" w:hAnsi="Book Antiqua"/>
          <w:sz w:val="24"/>
          <w:szCs w:val="24"/>
        </w:rPr>
        <w:t xml:space="preserve"> Causality Assessment </w:t>
      </w:r>
      <w:proofErr w:type="gramStart"/>
      <w:r w:rsidR="007352B5" w:rsidRPr="00691B3F">
        <w:rPr>
          <w:rFonts w:ascii="Book Antiqua" w:hAnsi="Book Antiqua"/>
          <w:sz w:val="24"/>
          <w:szCs w:val="24"/>
        </w:rPr>
        <w:t>Method</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54]</w:t>
      </w:r>
      <w:r w:rsidR="007352B5" w:rsidRPr="00691B3F">
        <w:rPr>
          <w:rFonts w:ascii="Book Antiqua" w:hAnsi="Book Antiqua"/>
          <w:sz w:val="24"/>
          <w:szCs w:val="24"/>
        </w:rPr>
        <w:t xml:space="preserve"> is a sensitive test but difficult to perform based on its complicated system.</w:t>
      </w:r>
      <w:r w:rsidR="000F2238" w:rsidRPr="00691B3F">
        <w:rPr>
          <w:rFonts w:ascii="Book Antiqua" w:hAnsi="Book Antiqua"/>
          <w:sz w:val="24"/>
          <w:szCs w:val="24"/>
        </w:rPr>
        <w:t xml:space="preserve"> </w:t>
      </w:r>
      <w:r w:rsidR="001F05C2" w:rsidRPr="00691B3F">
        <w:rPr>
          <w:rFonts w:ascii="Book Antiqua" w:hAnsi="Book Antiqua"/>
          <w:sz w:val="24"/>
          <w:szCs w:val="24"/>
        </w:rPr>
        <w:t xml:space="preserve">The </w:t>
      </w:r>
      <w:proofErr w:type="spellStart"/>
      <w:r w:rsidR="002E63CD" w:rsidRPr="00691B3F">
        <w:rPr>
          <w:rFonts w:ascii="Book Antiqua" w:hAnsi="Book Antiqua"/>
          <w:sz w:val="24"/>
          <w:szCs w:val="24"/>
        </w:rPr>
        <w:t>Roussel</w:t>
      </w:r>
      <w:proofErr w:type="spellEnd"/>
      <w:r w:rsidR="002E63CD" w:rsidRPr="00691B3F">
        <w:rPr>
          <w:rFonts w:ascii="Book Antiqua" w:hAnsi="Book Antiqua"/>
          <w:sz w:val="24"/>
          <w:szCs w:val="24"/>
        </w:rPr>
        <w:t xml:space="preserve"> </w:t>
      </w:r>
      <w:proofErr w:type="spellStart"/>
      <w:r w:rsidR="002E63CD" w:rsidRPr="00691B3F">
        <w:rPr>
          <w:rFonts w:ascii="Book Antiqua" w:hAnsi="Book Antiqua"/>
          <w:sz w:val="24"/>
          <w:szCs w:val="24"/>
        </w:rPr>
        <w:t>Uclaf</w:t>
      </w:r>
      <w:proofErr w:type="spellEnd"/>
      <w:r w:rsidR="002E63CD" w:rsidRPr="00691B3F">
        <w:rPr>
          <w:rFonts w:ascii="Book Antiqua" w:hAnsi="Book Antiqua"/>
          <w:sz w:val="24"/>
          <w:szCs w:val="24"/>
        </w:rPr>
        <w:t xml:space="preserve"> Causality Assessment Method </w:t>
      </w:r>
      <w:r w:rsidR="001F05C2" w:rsidRPr="00691B3F">
        <w:rPr>
          <w:rFonts w:ascii="Book Antiqua" w:hAnsi="Book Antiqua"/>
          <w:sz w:val="24"/>
          <w:szCs w:val="24"/>
        </w:rPr>
        <w:t xml:space="preserve">score is based off of seven measures that include the time of DILI onset, concomitant risk factors or drug use, non-drug related liver injury, the patient’s clinical course, prior liver injury toxicity and </w:t>
      </w:r>
      <w:r w:rsidR="00914D22" w:rsidRPr="00691B3F">
        <w:rPr>
          <w:rFonts w:ascii="Book Antiqua" w:hAnsi="Book Antiqua"/>
          <w:sz w:val="24"/>
          <w:szCs w:val="24"/>
        </w:rPr>
        <w:t>the response to re-challenge of the drug</w:t>
      </w:r>
      <w:proofErr w:type="gramStart"/>
      <w:r w:rsidR="00914D22" w:rsidRPr="00691B3F">
        <w:rPr>
          <w:rFonts w:ascii="Book Antiqua" w:hAnsi="Book Antiqua"/>
          <w:sz w:val="24"/>
          <w:szCs w:val="24"/>
        </w:rPr>
        <w:t>.</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54]</w:t>
      </w:r>
      <w:r w:rsidR="000F2238" w:rsidRPr="00691B3F">
        <w:rPr>
          <w:rFonts w:ascii="Book Antiqua" w:hAnsi="Book Antiqua"/>
          <w:sz w:val="24"/>
          <w:szCs w:val="24"/>
        </w:rPr>
        <w:t xml:space="preserve"> </w:t>
      </w:r>
      <w:r w:rsidR="007352B5" w:rsidRPr="00691B3F">
        <w:rPr>
          <w:rFonts w:ascii="Book Antiqua" w:hAnsi="Book Antiqua"/>
          <w:sz w:val="24"/>
          <w:szCs w:val="24"/>
        </w:rPr>
        <w:t>A modification to this is the Digestive Disease Week-Japan</w:t>
      </w:r>
      <w:r w:rsidR="002E63CD" w:rsidRPr="00691B3F">
        <w:rPr>
          <w:rFonts w:ascii="Book Antiqua" w:hAnsi="Book Antiqua"/>
          <w:sz w:val="24"/>
          <w:szCs w:val="24"/>
        </w:rPr>
        <w:t xml:space="preserve"> </w:t>
      </w:r>
      <w:r w:rsidR="007352B5" w:rsidRPr="00691B3F">
        <w:rPr>
          <w:rFonts w:ascii="Book Antiqua" w:hAnsi="Book Antiqua"/>
          <w:sz w:val="24"/>
          <w:szCs w:val="24"/>
        </w:rPr>
        <w:t>scale</w:t>
      </w:r>
      <w:r w:rsidR="00D676D2" w:rsidRPr="00691B3F">
        <w:rPr>
          <w:rFonts w:ascii="Book Antiqua" w:hAnsi="Book Antiqua"/>
          <w:noProof/>
          <w:sz w:val="24"/>
          <w:szCs w:val="24"/>
          <w:vertAlign w:val="superscript"/>
        </w:rPr>
        <w:t>[55]</w:t>
      </w:r>
      <w:r w:rsidR="007352B5" w:rsidRPr="00691B3F">
        <w:rPr>
          <w:rFonts w:ascii="Book Antiqua" w:hAnsi="Book Antiqua"/>
          <w:sz w:val="24"/>
          <w:szCs w:val="24"/>
        </w:rPr>
        <w:t>, which adds the lymphocyte stimulation test.</w:t>
      </w:r>
      <w:r w:rsidR="000F2238" w:rsidRPr="00691B3F">
        <w:rPr>
          <w:rFonts w:ascii="Book Antiqua" w:hAnsi="Book Antiqua"/>
          <w:sz w:val="24"/>
          <w:szCs w:val="24"/>
        </w:rPr>
        <w:t xml:space="preserve"> </w:t>
      </w:r>
      <w:r w:rsidR="006C3E3E" w:rsidRPr="00691B3F">
        <w:rPr>
          <w:rFonts w:ascii="Book Antiqua" w:hAnsi="Book Antiqua"/>
          <w:sz w:val="24"/>
          <w:szCs w:val="24"/>
        </w:rPr>
        <w:t xml:space="preserve">Prior to transplantation, the finding of jaundice in DILI patients was associated with a poor prognosis with </w:t>
      </w:r>
      <w:r w:rsidR="009D0520" w:rsidRPr="00691B3F">
        <w:rPr>
          <w:rFonts w:ascii="Book Antiqua" w:hAnsi="Book Antiqua"/>
          <w:sz w:val="24"/>
          <w:szCs w:val="24"/>
        </w:rPr>
        <w:t>over 10%</w:t>
      </w:r>
      <w:r w:rsidR="006C3E3E" w:rsidRPr="00691B3F">
        <w:rPr>
          <w:rFonts w:ascii="Book Antiqua" w:hAnsi="Book Antiqua"/>
          <w:sz w:val="24"/>
          <w:szCs w:val="24"/>
        </w:rPr>
        <w:t xml:space="preserve"> mortality prior to liver transplantation for </w:t>
      </w:r>
      <w:proofErr w:type="spellStart"/>
      <w:r w:rsidR="006C3E3E" w:rsidRPr="00691B3F">
        <w:rPr>
          <w:rFonts w:ascii="Book Antiqua" w:hAnsi="Book Antiqua"/>
          <w:sz w:val="24"/>
          <w:szCs w:val="24"/>
        </w:rPr>
        <w:t>paracetamol</w:t>
      </w:r>
      <w:proofErr w:type="spellEnd"/>
      <w:r w:rsidR="006C3E3E" w:rsidRPr="00691B3F">
        <w:rPr>
          <w:rFonts w:ascii="Book Antiqua" w:hAnsi="Book Antiqua"/>
          <w:sz w:val="24"/>
          <w:szCs w:val="24"/>
        </w:rPr>
        <w:t xml:space="preserve">-induced liver </w:t>
      </w:r>
      <w:proofErr w:type="gramStart"/>
      <w:r w:rsidR="006C3E3E" w:rsidRPr="00691B3F">
        <w:rPr>
          <w:rFonts w:ascii="Book Antiqua" w:hAnsi="Book Antiqua"/>
          <w:sz w:val="24"/>
          <w:szCs w:val="24"/>
        </w:rPr>
        <w:t>injury</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56]</w:t>
      </w:r>
      <w:r w:rsidR="006C3E3E" w:rsidRPr="00691B3F">
        <w:rPr>
          <w:rFonts w:ascii="Book Antiqua" w:hAnsi="Book Antiqua"/>
          <w:sz w:val="24"/>
          <w:szCs w:val="24"/>
        </w:rPr>
        <w:t>.</w:t>
      </w:r>
      <w:r w:rsidR="000F2238" w:rsidRPr="00691B3F">
        <w:rPr>
          <w:rFonts w:ascii="Book Antiqua" w:hAnsi="Book Antiqua"/>
          <w:sz w:val="24"/>
          <w:szCs w:val="24"/>
        </w:rPr>
        <w:t xml:space="preserve"> </w:t>
      </w:r>
      <w:r w:rsidR="00A81FA0" w:rsidRPr="00691B3F">
        <w:rPr>
          <w:rFonts w:ascii="Book Antiqua" w:hAnsi="Book Antiqua"/>
          <w:sz w:val="24"/>
          <w:szCs w:val="24"/>
        </w:rPr>
        <w:t>This prognostic finding of hepatocellular injury significant enough to alter bilirubin excretion (with elevations greater than two times the upper limit of normal) is referred to as “</w:t>
      </w:r>
      <w:proofErr w:type="spellStart"/>
      <w:r w:rsidR="00A81FA0" w:rsidRPr="00691B3F">
        <w:rPr>
          <w:rFonts w:ascii="Book Antiqua" w:hAnsi="Book Antiqua"/>
          <w:sz w:val="24"/>
          <w:szCs w:val="24"/>
        </w:rPr>
        <w:t>Hy’s</w:t>
      </w:r>
      <w:proofErr w:type="spellEnd"/>
      <w:r w:rsidR="00A81FA0" w:rsidRPr="00691B3F">
        <w:rPr>
          <w:rFonts w:ascii="Book Antiqua" w:hAnsi="Book Antiqua"/>
          <w:sz w:val="24"/>
          <w:szCs w:val="24"/>
        </w:rPr>
        <w:t xml:space="preserve"> Law Cases”</w:t>
      </w:r>
      <w:r w:rsidR="00D676D2" w:rsidRPr="00691B3F">
        <w:rPr>
          <w:rFonts w:ascii="Book Antiqua" w:hAnsi="Book Antiqua"/>
          <w:noProof/>
          <w:sz w:val="24"/>
          <w:szCs w:val="24"/>
          <w:vertAlign w:val="superscript"/>
        </w:rPr>
        <w:t>[56]</w:t>
      </w:r>
      <w:r w:rsidR="00A81FA0" w:rsidRPr="00691B3F">
        <w:rPr>
          <w:rFonts w:ascii="Book Antiqua" w:hAnsi="Book Antiqua"/>
          <w:sz w:val="24"/>
          <w:szCs w:val="24"/>
        </w:rPr>
        <w:t xml:space="preserve">. </w:t>
      </w:r>
    </w:p>
    <w:p w14:paraId="2803AFED" w14:textId="35EEB9A5" w:rsidR="00EC157B" w:rsidRPr="00691B3F" w:rsidRDefault="00560D0D" w:rsidP="00367FE4">
      <w:pPr>
        <w:pStyle w:val="a3"/>
        <w:snapToGrid w:val="0"/>
        <w:spacing w:line="360" w:lineRule="auto"/>
        <w:ind w:firstLineChars="100" w:firstLine="240"/>
        <w:jc w:val="both"/>
        <w:rPr>
          <w:rFonts w:ascii="Book Antiqua" w:hAnsi="Book Antiqua"/>
          <w:sz w:val="24"/>
          <w:szCs w:val="24"/>
        </w:rPr>
      </w:pPr>
      <w:r w:rsidRPr="00691B3F">
        <w:rPr>
          <w:rFonts w:ascii="Book Antiqua" w:hAnsi="Book Antiqua"/>
          <w:sz w:val="24"/>
          <w:szCs w:val="24"/>
        </w:rPr>
        <w:t xml:space="preserve">Patient outcomes are dependent upon what phase of </w:t>
      </w:r>
      <w:proofErr w:type="spellStart"/>
      <w:r w:rsidRPr="00691B3F">
        <w:rPr>
          <w:rFonts w:ascii="Book Antiqua" w:hAnsi="Book Antiqua"/>
          <w:sz w:val="24"/>
          <w:szCs w:val="24"/>
        </w:rPr>
        <w:t>paracetamol</w:t>
      </w:r>
      <w:proofErr w:type="spellEnd"/>
      <w:r w:rsidRPr="00691B3F">
        <w:rPr>
          <w:rFonts w:ascii="Book Antiqua" w:hAnsi="Book Antiqua"/>
          <w:sz w:val="24"/>
          <w:szCs w:val="24"/>
        </w:rPr>
        <w:t xml:space="preserve"> poisoning that treatment is initiated in.</w:t>
      </w:r>
      <w:r w:rsidR="000F2238" w:rsidRPr="00691B3F">
        <w:rPr>
          <w:rFonts w:ascii="Book Antiqua" w:hAnsi="Book Antiqua"/>
          <w:sz w:val="24"/>
          <w:szCs w:val="24"/>
        </w:rPr>
        <w:t xml:space="preserve"> </w:t>
      </w:r>
      <w:r w:rsidRPr="00691B3F">
        <w:rPr>
          <w:rFonts w:ascii="Book Antiqua" w:hAnsi="Book Antiqua"/>
          <w:sz w:val="24"/>
          <w:szCs w:val="24"/>
        </w:rPr>
        <w:t xml:space="preserve">If the antidote is given during phase one (in cases where medical history reveals a suspicion of </w:t>
      </w:r>
      <w:proofErr w:type="spellStart"/>
      <w:r w:rsidRPr="00691B3F">
        <w:rPr>
          <w:rFonts w:ascii="Book Antiqua" w:hAnsi="Book Antiqua"/>
          <w:sz w:val="24"/>
          <w:szCs w:val="24"/>
        </w:rPr>
        <w:t>paracetamol</w:t>
      </w:r>
      <w:proofErr w:type="spellEnd"/>
      <w:r w:rsidRPr="00691B3F">
        <w:rPr>
          <w:rFonts w:ascii="Book Antiqua" w:hAnsi="Book Antiqua"/>
          <w:sz w:val="24"/>
          <w:szCs w:val="24"/>
        </w:rPr>
        <w:t xml:space="preserve"> overdose), patients are expected to fully recover with only a transient period of liver </w:t>
      </w:r>
      <w:proofErr w:type="gramStart"/>
      <w:r w:rsidRPr="00691B3F">
        <w:rPr>
          <w:rFonts w:ascii="Book Antiqua" w:hAnsi="Book Antiqua"/>
          <w:sz w:val="24"/>
          <w:szCs w:val="24"/>
        </w:rPr>
        <w:t>injury</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57,58]</w:t>
      </w:r>
      <w:r w:rsidRPr="00691B3F">
        <w:rPr>
          <w:rFonts w:ascii="Book Antiqua" w:hAnsi="Book Antiqua"/>
          <w:sz w:val="24"/>
          <w:szCs w:val="24"/>
        </w:rPr>
        <w:t>.</w:t>
      </w:r>
      <w:r w:rsidR="000F2238" w:rsidRPr="00691B3F">
        <w:rPr>
          <w:rFonts w:ascii="Book Antiqua" w:hAnsi="Book Antiqua"/>
          <w:sz w:val="24"/>
          <w:szCs w:val="24"/>
        </w:rPr>
        <w:t xml:space="preserve"> </w:t>
      </w:r>
      <w:r w:rsidRPr="00691B3F">
        <w:rPr>
          <w:rFonts w:ascii="Book Antiqua" w:hAnsi="Book Antiqua"/>
          <w:sz w:val="24"/>
          <w:szCs w:val="24"/>
        </w:rPr>
        <w:t xml:space="preserve">In fact, the administration of </w:t>
      </w:r>
      <w:r w:rsidR="00B16F02" w:rsidRPr="00691B3F">
        <w:rPr>
          <w:rFonts w:ascii="Book Antiqua" w:hAnsi="Book Antiqua"/>
          <w:iCs/>
          <w:sz w:val="24"/>
          <w:szCs w:val="24"/>
        </w:rPr>
        <w:t>N</w:t>
      </w:r>
      <w:r w:rsidR="00B16F02" w:rsidRPr="00691B3F">
        <w:rPr>
          <w:rFonts w:ascii="Book Antiqua" w:hAnsi="Book Antiqua"/>
          <w:sz w:val="24"/>
          <w:szCs w:val="24"/>
        </w:rPr>
        <w:t>-</w:t>
      </w:r>
      <w:proofErr w:type="spellStart"/>
      <w:r w:rsidRPr="00691B3F">
        <w:rPr>
          <w:rFonts w:ascii="Book Antiqua" w:hAnsi="Book Antiqua"/>
          <w:sz w:val="24"/>
          <w:szCs w:val="24"/>
        </w:rPr>
        <w:t>acetylcysteine</w:t>
      </w:r>
      <w:proofErr w:type="spellEnd"/>
      <w:r w:rsidRPr="00691B3F">
        <w:rPr>
          <w:rFonts w:ascii="Book Antiqua" w:hAnsi="Book Antiqua"/>
          <w:sz w:val="24"/>
          <w:szCs w:val="24"/>
        </w:rPr>
        <w:t xml:space="preserve"> will prevent most patients from progressing past phase two of hepatic </w:t>
      </w:r>
      <w:proofErr w:type="gramStart"/>
      <w:r w:rsidRPr="00691B3F">
        <w:rPr>
          <w:rFonts w:ascii="Book Antiqua" w:hAnsi="Book Antiqua"/>
          <w:sz w:val="24"/>
          <w:szCs w:val="24"/>
        </w:rPr>
        <w:t>injury</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34]</w:t>
      </w:r>
      <w:r w:rsidRPr="00691B3F">
        <w:rPr>
          <w:rFonts w:ascii="Book Antiqua" w:hAnsi="Book Antiqua"/>
          <w:sz w:val="24"/>
          <w:szCs w:val="24"/>
        </w:rPr>
        <w:t>.</w:t>
      </w:r>
      <w:r w:rsidR="000F2238" w:rsidRPr="00691B3F">
        <w:rPr>
          <w:rFonts w:ascii="Book Antiqua" w:hAnsi="Book Antiqua"/>
          <w:sz w:val="24"/>
          <w:szCs w:val="24"/>
        </w:rPr>
        <w:t xml:space="preserve"> </w:t>
      </w:r>
      <w:r w:rsidR="00B4504A" w:rsidRPr="00691B3F">
        <w:rPr>
          <w:rFonts w:ascii="Book Antiqua" w:hAnsi="Book Antiqua"/>
          <w:sz w:val="24"/>
          <w:szCs w:val="24"/>
        </w:rPr>
        <w:t xml:space="preserve">Additionally, the presence of other organ involvement, such as altered mental status or acute renal failure portends a worse prognosis and is often an indication for monitoring the patient in a critical care </w:t>
      </w:r>
      <w:proofErr w:type="gramStart"/>
      <w:r w:rsidR="00B4504A" w:rsidRPr="00691B3F">
        <w:rPr>
          <w:rFonts w:ascii="Book Antiqua" w:hAnsi="Book Antiqua"/>
          <w:sz w:val="24"/>
          <w:szCs w:val="24"/>
        </w:rPr>
        <w:t>setting</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59]</w:t>
      </w:r>
      <w:r w:rsidR="00E42F8C" w:rsidRPr="00691B3F">
        <w:rPr>
          <w:rFonts w:ascii="Book Antiqua" w:hAnsi="Book Antiqua"/>
          <w:sz w:val="24"/>
          <w:szCs w:val="24"/>
        </w:rPr>
        <w:t>.</w:t>
      </w:r>
      <w:r w:rsidR="00B4504A" w:rsidRPr="00691B3F">
        <w:rPr>
          <w:rFonts w:ascii="Book Antiqua" w:hAnsi="Book Antiqua"/>
          <w:sz w:val="24"/>
          <w:szCs w:val="24"/>
        </w:rPr>
        <w:t xml:space="preserve"> </w:t>
      </w:r>
    </w:p>
    <w:p w14:paraId="2D0E027F" w14:textId="77777777" w:rsidR="000C433E" w:rsidRPr="00691B3F" w:rsidRDefault="000C433E" w:rsidP="00367FE4">
      <w:pPr>
        <w:pStyle w:val="a3"/>
        <w:snapToGrid w:val="0"/>
        <w:spacing w:line="360" w:lineRule="auto"/>
        <w:jc w:val="both"/>
        <w:rPr>
          <w:rFonts w:ascii="Book Antiqua" w:hAnsi="Book Antiqua"/>
          <w:sz w:val="24"/>
          <w:szCs w:val="24"/>
        </w:rPr>
      </w:pPr>
    </w:p>
    <w:p w14:paraId="378AF333" w14:textId="56138B7C" w:rsidR="00B06021" w:rsidRPr="00691B3F" w:rsidRDefault="00F50C8C" w:rsidP="00367FE4">
      <w:pPr>
        <w:pStyle w:val="a3"/>
        <w:snapToGrid w:val="0"/>
        <w:spacing w:line="360" w:lineRule="auto"/>
        <w:jc w:val="both"/>
        <w:rPr>
          <w:rFonts w:ascii="Book Antiqua" w:hAnsi="Book Antiqua"/>
          <w:b/>
          <w:caps/>
          <w:sz w:val="24"/>
          <w:szCs w:val="24"/>
          <w:u w:val="single"/>
        </w:rPr>
      </w:pPr>
      <w:r w:rsidRPr="00691B3F">
        <w:rPr>
          <w:rFonts w:ascii="Book Antiqua" w:hAnsi="Book Antiqua"/>
          <w:b/>
          <w:caps/>
          <w:sz w:val="24"/>
          <w:szCs w:val="24"/>
          <w:u w:val="single"/>
        </w:rPr>
        <w:t>Treatment</w:t>
      </w:r>
    </w:p>
    <w:p w14:paraId="4B84ADDF" w14:textId="7AC718A1" w:rsidR="00B06021" w:rsidRPr="00691B3F" w:rsidRDefault="00B06021" w:rsidP="00367FE4">
      <w:pPr>
        <w:pStyle w:val="a3"/>
        <w:snapToGrid w:val="0"/>
        <w:spacing w:line="360" w:lineRule="auto"/>
        <w:jc w:val="both"/>
        <w:rPr>
          <w:rFonts w:ascii="Book Antiqua" w:hAnsi="Book Antiqua"/>
          <w:sz w:val="24"/>
          <w:szCs w:val="24"/>
        </w:rPr>
      </w:pPr>
      <w:r w:rsidRPr="00691B3F">
        <w:rPr>
          <w:rFonts w:ascii="Book Antiqua" w:hAnsi="Book Antiqua"/>
          <w:sz w:val="24"/>
          <w:szCs w:val="24"/>
        </w:rPr>
        <w:t>Early initiation of treatment is critical immediately following recognition of DILI.</w:t>
      </w:r>
      <w:r w:rsidR="000F2238" w:rsidRPr="00691B3F">
        <w:rPr>
          <w:rFonts w:ascii="Book Antiqua" w:hAnsi="Book Antiqua"/>
          <w:sz w:val="24"/>
          <w:szCs w:val="24"/>
        </w:rPr>
        <w:t xml:space="preserve"> </w:t>
      </w:r>
      <w:r w:rsidRPr="00691B3F">
        <w:rPr>
          <w:rFonts w:ascii="Book Antiqua" w:hAnsi="Book Antiqua"/>
          <w:sz w:val="24"/>
          <w:szCs w:val="24"/>
        </w:rPr>
        <w:t xml:space="preserve">The </w:t>
      </w:r>
      <w:proofErr w:type="spellStart"/>
      <w:r w:rsidR="00F51EEC" w:rsidRPr="00691B3F">
        <w:rPr>
          <w:rFonts w:ascii="Book Antiqua" w:hAnsi="Book Antiqua"/>
          <w:sz w:val="24"/>
          <w:szCs w:val="24"/>
        </w:rPr>
        <w:t>Rumack</w:t>
      </w:r>
      <w:proofErr w:type="spellEnd"/>
      <w:r w:rsidR="00F51EEC" w:rsidRPr="00691B3F">
        <w:rPr>
          <w:rFonts w:ascii="Book Antiqua" w:hAnsi="Book Antiqua"/>
          <w:sz w:val="24"/>
          <w:szCs w:val="24"/>
        </w:rPr>
        <w:t>-Matthew</w:t>
      </w:r>
      <w:r w:rsidRPr="00691B3F">
        <w:rPr>
          <w:rFonts w:ascii="Book Antiqua" w:hAnsi="Book Antiqua"/>
          <w:sz w:val="24"/>
          <w:szCs w:val="24"/>
        </w:rPr>
        <w:t xml:space="preserve"> </w:t>
      </w:r>
      <w:proofErr w:type="spellStart"/>
      <w:r w:rsidRPr="00691B3F">
        <w:rPr>
          <w:rFonts w:ascii="Book Antiqua" w:hAnsi="Book Antiqua"/>
          <w:sz w:val="24"/>
          <w:szCs w:val="24"/>
        </w:rPr>
        <w:t>nomogram</w:t>
      </w:r>
      <w:proofErr w:type="spellEnd"/>
      <w:r w:rsidRPr="00691B3F">
        <w:rPr>
          <w:rFonts w:ascii="Book Antiqua" w:hAnsi="Book Antiqua"/>
          <w:sz w:val="24"/>
          <w:szCs w:val="24"/>
        </w:rPr>
        <w:t xml:space="preserve"> is a tool that uses serum </w:t>
      </w:r>
      <w:proofErr w:type="spellStart"/>
      <w:r w:rsidRPr="00691B3F">
        <w:rPr>
          <w:rFonts w:ascii="Book Antiqua" w:hAnsi="Book Antiqua"/>
          <w:sz w:val="24"/>
          <w:szCs w:val="24"/>
        </w:rPr>
        <w:t>paracetamol</w:t>
      </w:r>
      <w:proofErr w:type="spellEnd"/>
      <w:r w:rsidRPr="00691B3F">
        <w:rPr>
          <w:rFonts w:ascii="Book Antiqua" w:hAnsi="Book Antiqua"/>
          <w:sz w:val="24"/>
          <w:szCs w:val="24"/>
        </w:rPr>
        <w:t xml:space="preserve"> levels at a specific time point in the overdose, typically measured between 4- and 24-hours post-ingestion, to predict the risk of hepatotoxicity and guide </w:t>
      </w:r>
      <w:r w:rsidR="00A60D81" w:rsidRPr="00691B3F">
        <w:rPr>
          <w:rFonts w:ascii="Book Antiqua" w:hAnsi="Book Antiqua"/>
          <w:sz w:val="24"/>
          <w:szCs w:val="24"/>
        </w:rPr>
        <w:t xml:space="preserve">medical </w:t>
      </w:r>
      <w:proofErr w:type="gramStart"/>
      <w:r w:rsidRPr="00691B3F">
        <w:rPr>
          <w:rFonts w:ascii="Book Antiqua" w:hAnsi="Book Antiqua"/>
          <w:sz w:val="24"/>
          <w:szCs w:val="24"/>
        </w:rPr>
        <w:t>management</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60,61]</w:t>
      </w:r>
      <w:r w:rsidRPr="00691B3F">
        <w:rPr>
          <w:rFonts w:ascii="Book Antiqua" w:hAnsi="Book Antiqua"/>
          <w:sz w:val="24"/>
          <w:szCs w:val="24"/>
        </w:rPr>
        <w:t>.</w:t>
      </w:r>
      <w:r w:rsidR="000F2238" w:rsidRPr="00691B3F">
        <w:rPr>
          <w:rFonts w:ascii="Book Antiqua" w:hAnsi="Book Antiqua"/>
          <w:sz w:val="24"/>
          <w:szCs w:val="24"/>
        </w:rPr>
        <w:t xml:space="preserve"> </w:t>
      </w:r>
      <w:r w:rsidRPr="00691B3F">
        <w:rPr>
          <w:rFonts w:ascii="Book Antiqua" w:hAnsi="Book Antiqua"/>
          <w:sz w:val="24"/>
          <w:szCs w:val="24"/>
        </w:rPr>
        <w:t>If the</w:t>
      </w:r>
      <w:r w:rsidR="00F51EEC" w:rsidRPr="00691B3F">
        <w:rPr>
          <w:rFonts w:ascii="Book Antiqua" w:hAnsi="Book Antiqua"/>
          <w:sz w:val="24"/>
          <w:szCs w:val="24"/>
        </w:rPr>
        <w:t xml:space="preserve"> </w:t>
      </w:r>
      <w:proofErr w:type="spellStart"/>
      <w:r w:rsidR="00F51EEC" w:rsidRPr="00691B3F">
        <w:rPr>
          <w:rFonts w:ascii="Book Antiqua" w:hAnsi="Book Antiqua"/>
          <w:sz w:val="24"/>
          <w:szCs w:val="24"/>
        </w:rPr>
        <w:lastRenderedPageBreak/>
        <w:t>paracetamol</w:t>
      </w:r>
      <w:proofErr w:type="spellEnd"/>
      <w:r w:rsidRPr="00691B3F">
        <w:rPr>
          <w:rFonts w:ascii="Book Antiqua" w:hAnsi="Book Antiqua"/>
          <w:sz w:val="24"/>
          <w:szCs w:val="24"/>
        </w:rPr>
        <w:t xml:space="preserve"> level is above a certain cutoff, </w:t>
      </w:r>
      <w:r w:rsidR="00D676D2" w:rsidRPr="00691B3F">
        <w:rPr>
          <w:rFonts w:ascii="Book Antiqua" w:hAnsi="Book Antiqua"/>
          <w:sz w:val="24"/>
          <w:szCs w:val="24"/>
        </w:rPr>
        <w:t>also called the “treatment line” that typically starts at 150 µg/mL at 4 h and extends to 4.7 µg/mL at 24 h</w:t>
      </w:r>
      <w:r w:rsidRPr="00691B3F">
        <w:rPr>
          <w:rFonts w:ascii="Book Antiqua" w:hAnsi="Book Antiqua"/>
          <w:sz w:val="24"/>
          <w:szCs w:val="24"/>
        </w:rPr>
        <w:t>, then treatment is indicated</w:t>
      </w:r>
      <w:r w:rsidR="00D676D2" w:rsidRPr="00691B3F">
        <w:rPr>
          <w:rFonts w:ascii="Book Antiqua" w:hAnsi="Book Antiqua"/>
          <w:noProof/>
          <w:sz w:val="24"/>
          <w:szCs w:val="24"/>
          <w:vertAlign w:val="superscript"/>
        </w:rPr>
        <w:t>[62,63]</w:t>
      </w:r>
      <w:r w:rsidR="00D676D2" w:rsidRPr="00691B3F">
        <w:rPr>
          <w:rFonts w:ascii="Book Antiqua" w:hAnsi="Book Antiqua"/>
          <w:sz w:val="24"/>
          <w:szCs w:val="24"/>
        </w:rPr>
        <w:t xml:space="preserve"> (outlined in Figure 3).</w:t>
      </w:r>
      <w:r w:rsidR="000F2238" w:rsidRPr="00691B3F">
        <w:rPr>
          <w:rFonts w:ascii="Book Antiqua" w:hAnsi="Book Antiqua"/>
          <w:sz w:val="24"/>
          <w:szCs w:val="24"/>
        </w:rPr>
        <w:t xml:space="preserve"> </w:t>
      </w:r>
      <w:r w:rsidR="00D676D2" w:rsidRPr="00691B3F">
        <w:rPr>
          <w:rFonts w:ascii="Book Antiqua" w:hAnsi="Book Antiqua"/>
          <w:sz w:val="24"/>
          <w:szCs w:val="24"/>
        </w:rPr>
        <w:t xml:space="preserve">If the time of ingestion is unknown but within 24 h, the earliest possible time of ingestion should be estimated and plotted on the </w:t>
      </w:r>
      <w:proofErr w:type="spellStart"/>
      <w:r w:rsidR="00D676D2" w:rsidRPr="00691B3F">
        <w:rPr>
          <w:rFonts w:ascii="Book Antiqua" w:hAnsi="Book Antiqua"/>
          <w:sz w:val="24"/>
          <w:szCs w:val="24"/>
        </w:rPr>
        <w:t>nomogram</w:t>
      </w:r>
      <w:proofErr w:type="spellEnd"/>
      <w:r w:rsidR="00D676D2" w:rsidRPr="00691B3F">
        <w:rPr>
          <w:rFonts w:ascii="Book Antiqua" w:hAnsi="Book Antiqua"/>
          <w:sz w:val="24"/>
          <w:szCs w:val="24"/>
        </w:rPr>
        <w:t xml:space="preserve"> to see if treatment with NAC should be initiated (</w:t>
      </w:r>
      <w:r w:rsidR="00D676D2" w:rsidRPr="00691B3F">
        <w:rPr>
          <w:rFonts w:ascii="Book Antiqua" w:hAnsi="Book Antiqua"/>
          <w:i/>
          <w:iCs/>
          <w:sz w:val="24"/>
          <w:szCs w:val="24"/>
        </w:rPr>
        <w:t>i.e.</w:t>
      </w:r>
      <w:r w:rsidR="00D676D2" w:rsidRPr="00691B3F">
        <w:rPr>
          <w:rFonts w:ascii="Book Antiqua" w:hAnsi="Book Antiqua"/>
          <w:sz w:val="24"/>
          <w:szCs w:val="24"/>
        </w:rPr>
        <w:t xml:space="preserve"> if above the treatment line). The use of the </w:t>
      </w:r>
      <w:proofErr w:type="spellStart"/>
      <w:r w:rsidR="00D676D2" w:rsidRPr="00691B3F">
        <w:rPr>
          <w:rFonts w:ascii="Book Antiqua" w:hAnsi="Book Antiqua"/>
          <w:sz w:val="24"/>
          <w:szCs w:val="24"/>
        </w:rPr>
        <w:t>nomogram</w:t>
      </w:r>
      <w:proofErr w:type="spellEnd"/>
      <w:r w:rsidR="00D676D2" w:rsidRPr="00691B3F">
        <w:rPr>
          <w:rFonts w:ascii="Book Antiqua" w:hAnsi="Book Antiqua"/>
          <w:sz w:val="24"/>
          <w:szCs w:val="24"/>
        </w:rPr>
        <w:t xml:space="preserve"> should be avoided until </w:t>
      </w:r>
      <w:r w:rsidR="000F2238" w:rsidRPr="00691B3F">
        <w:rPr>
          <w:rFonts w:ascii="Book Antiqua" w:hAnsi="Book Antiqua" w:hint="eastAsia"/>
          <w:sz w:val="24"/>
          <w:szCs w:val="24"/>
          <w:lang w:eastAsia="zh-CN"/>
        </w:rPr>
        <w:t>4</w:t>
      </w:r>
      <w:r w:rsidR="00D676D2" w:rsidRPr="00691B3F">
        <w:rPr>
          <w:rFonts w:ascii="Book Antiqua" w:hAnsi="Book Antiqua"/>
          <w:sz w:val="24"/>
          <w:szCs w:val="24"/>
        </w:rPr>
        <w:t xml:space="preserve"> h or more after ingestion as the levels may be misleading during this timeframe from the point of acute ingestion and not be an accurate predictor of </w:t>
      </w:r>
      <w:proofErr w:type="gramStart"/>
      <w:r w:rsidR="00D676D2" w:rsidRPr="00691B3F">
        <w:rPr>
          <w:rFonts w:ascii="Book Antiqua" w:hAnsi="Book Antiqua"/>
          <w:sz w:val="24"/>
          <w:szCs w:val="24"/>
        </w:rPr>
        <w:t>toxicity</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64,65]</w:t>
      </w:r>
      <w:r w:rsidRPr="00691B3F">
        <w:rPr>
          <w:rFonts w:ascii="Book Antiqua" w:hAnsi="Book Antiqua"/>
          <w:sz w:val="24"/>
          <w:szCs w:val="24"/>
        </w:rPr>
        <w:t>.</w:t>
      </w:r>
      <w:r w:rsidR="000F2238" w:rsidRPr="00691B3F">
        <w:rPr>
          <w:rFonts w:ascii="Book Antiqua" w:hAnsi="Book Antiqua"/>
          <w:sz w:val="24"/>
          <w:szCs w:val="24"/>
        </w:rPr>
        <w:t xml:space="preserve"> </w:t>
      </w:r>
      <w:r w:rsidR="00A60D81" w:rsidRPr="00691B3F">
        <w:rPr>
          <w:rFonts w:ascii="Book Antiqua" w:hAnsi="Book Antiqua"/>
          <w:sz w:val="24"/>
          <w:szCs w:val="24"/>
        </w:rPr>
        <w:t xml:space="preserve">Classically, the </w:t>
      </w:r>
      <w:proofErr w:type="spellStart"/>
      <w:r w:rsidR="00A60D81" w:rsidRPr="00691B3F">
        <w:rPr>
          <w:rFonts w:ascii="Book Antiqua" w:hAnsi="Book Antiqua"/>
          <w:sz w:val="24"/>
          <w:szCs w:val="24"/>
        </w:rPr>
        <w:t>nomogram</w:t>
      </w:r>
      <w:proofErr w:type="spellEnd"/>
      <w:r w:rsidR="00A60D81" w:rsidRPr="00691B3F">
        <w:rPr>
          <w:rFonts w:ascii="Book Antiqua" w:hAnsi="Book Antiqua"/>
          <w:sz w:val="24"/>
          <w:szCs w:val="24"/>
        </w:rPr>
        <w:t xml:space="preserve"> is used in conjunction with the patient’s history and laboratory findings </w:t>
      </w:r>
      <w:r w:rsidR="00092EB8" w:rsidRPr="00691B3F">
        <w:rPr>
          <w:rFonts w:ascii="Book Antiqua" w:hAnsi="Book Antiqua"/>
          <w:sz w:val="24"/>
          <w:szCs w:val="24"/>
        </w:rPr>
        <w:t>to determine medical management.</w:t>
      </w:r>
      <w:r w:rsidR="000F2238" w:rsidRPr="00691B3F">
        <w:rPr>
          <w:rFonts w:ascii="Book Antiqua" w:hAnsi="Book Antiqua"/>
          <w:sz w:val="24"/>
          <w:szCs w:val="24"/>
        </w:rPr>
        <w:t xml:space="preserve"> </w:t>
      </w:r>
      <w:r w:rsidR="00D676D2" w:rsidRPr="00691B3F">
        <w:rPr>
          <w:rFonts w:ascii="Book Antiqua" w:hAnsi="Book Antiqua"/>
          <w:sz w:val="24"/>
          <w:szCs w:val="24"/>
        </w:rPr>
        <w:t xml:space="preserve">If medication review reveals co-ingestion with opioids or </w:t>
      </w:r>
      <w:proofErr w:type="spellStart"/>
      <w:r w:rsidR="00D676D2" w:rsidRPr="00691B3F">
        <w:rPr>
          <w:rFonts w:ascii="Book Antiqua" w:hAnsi="Book Antiqua"/>
          <w:sz w:val="24"/>
          <w:szCs w:val="24"/>
        </w:rPr>
        <w:t>anticholingeric</w:t>
      </w:r>
      <w:proofErr w:type="spellEnd"/>
      <w:r w:rsidR="00D676D2" w:rsidRPr="00691B3F">
        <w:rPr>
          <w:rFonts w:ascii="Book Antiqua" w:hAnsi="Book Antiqua"/>
          <w:sz w:val="24"/>
          <w:szCs w:val="24"/>
        </w:rPr>
        <w:t xml:space="preserve"> medications, the post-ingestion level should be checked at 4 h and repeated at 6 h post-ingestion if the initial level falls below the treatment line to account for possible delay in maximum serum concentrations of </w:t>
      </w:r>
      <w:proofErr w:type="spellStart"/>
      <w:proofErr w:type="gramStart"/>
      <w:r w:rsidR="00D676D2" w:rsidRPr="00691B3F">
        <w:rPr>
          <w:rFonts w:ascii="Book Antiqua" w:hAnsi="Book Antiqua"/>
          <w:sz w:val="24"/>
          <w:szCs w:val="24"/>
        </w:rPr>
        <w:t>paracetamol</w:t>
      </w:r>
      <w:proofErr w:type="spellEnd"/>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13]</w:t>
      </w:r>
      <w:r w:rsidR="00D676D2" w:rsidRPr="00691B3F">
        <w:rPr>
          <w:rFonts w:ascii="Book Antiqua" w:hAnsi="Book Antiqua"/>
          <w:sz w:val="24"/>
          <w:szCs w:val="24"/>
        </w:rPr>
        <w:t>.</w:t>
      </w:r>
      <w:r w:rsidR="000F2238" w:rsidRPr="00691B3F">
        <w:rPr>
          <w:rFonts w:ascii="Book Antiqua" w:hAnsi="Book Antiqua"/>
          <w:sz w:val="24"/>
          <w:szCs w:val="24"/>
        </w:rPr>
        <w:t xml:space="preserve"> </w:t>
      </w:r>
      <w:r w:rsidR="00A60D81" w:rsidRPr="00691B3F">
        <w:rPr>
          <w:rFonts w:ascii="Book Antiqua" w:hAnsi="Book Antiqua"/>
          <w:sz w:val="24"/>
          <w:szCs w:val="24"/>
        </w:rPr>
        <w:t xml:space="preserve">However, other aspects of the history such as the reported dose in </w:t>
      </w:r>
      <w:proofErr w:type="spellStart"/>
      <w:r w:rsidR="00A60D81" w:rsidRPr="00691B3F">
        <w:rPr>
          <w:rFonts w:ascii="Book Antiqua" w:hAnsi="Book Antiqua"/>
          <w:sz w:val="24"/>
          <w:szCs w:val="24"/>
        </w:rPr>
        <w:t>paracetamol</w:t>
      </w:r>
      <w:proofErr w:type="spellEnd"/>
      <w:r w:rsidR="00A60D81" w:rsidRPr="00691B3F">
        <w:rPr>
          <w:rFonts w:ascii="Book Antiqua" w:hAnsi="Book Antiqua"/>
          <w:sz w:val="24"/>
          <w:szCs w:val="24"/>
        </w:rPr>
        <w:t xml:space="preserve"> </w:t>
      </w:r>
      <w:proofErr w:type="gramStart"/>
      <w:r w:rsidR="00A60D81" w:rsidRPr="00691B3F">
        <w:rPr>
          <w:rFonts w:ascii="Book Antiqua" w:hAnsi="Book Antiqua"/>
          <w:sz w:val="24"/>
          <w:szCs w:val="24"/>
        </w:rPr>
        <w:t>toxicity,</w:t>
      </w:r>
      <w:proofErr w:type="gramEnd"/>
      <w:r w:rsidR="00A60D81" w:rsidRPr="00691B3F">
        <w:rPr>
          <w:rFonts w:ascii="Book Antiqua" w:hAnsi="Book Antiqua"/>
          <w:sz w:val="24"/>
          <w:szCs w:val="24"/>
        </w:rPr>
        <w:t xml:space="preserve"> can be used to predict patient outcomes.</w:t>
      </w:r>
      <w:r w:rsidR="000F2238" w:rsidRPr="00691B3F">
        <w:rPr>
          <w:rFonts w:ascii="Book Antiqua" w:hAnsi="Book Antiqua"/>
          <w:sz w:val="24"/>
          <w:szCs w:val="24"/>
        </w:rPr>
        <w:t xml:space="preserve"> </w:t>
      </w:r>
      <w:r w:rsidR="00A60D81" w:rsidRPr="00691B3F">
        <w:rPr>
          <w:rFonts w:ascii="Book Antiqua" w:hAnsi="Book Antiqua"/>
          <w:sz w:val="24"/>
          <w:szCs w:val="24"/>
        </w:rPr>
        <w:t xml:space="preserve">A prospective study demonstrated that individuals who had a reported overdose with 50 g of </w:t>
      </w:r>
      <w:proofErr w:type="spellStart"/>
      <w:r w:rsidR="00A60D81" w:rsidRPr="00691B3F">
        <w:rPr>
          <w:rFonts w:ascii="Book Antiqua" w:hAnsi="Book Antiqua"/>
          <w:sz w:val="24"/>
          <w:szCs w:val="24"/>
        </w:rPr>
        <w:t>paracetamol</w:t>
      </w:r>
      <w:proofErr w:type="spellEnd"/>
      <w:r w:rsidR="006A288B" w:rsidRPr="00691B3F">
        <w:rPr>
          <w:rFonts w:ascii="Book Antiqua" w:hAnsi="Book Antiqua"/>
          <w:sz w:val="24"/>
          <w:szCs w:val="24"/>
        </w:rPr>
        <w:t xml:space="preserve"> had a 90% probability of being over the treatment value cutoff, suggesting that dosing can help rapidly identify individuals that need treatment immediately </w:t>
      </w:r>
      <w:proofErr w:type="gramStart"/>
      <w:r w:rsidR="006A288B" w:rsidRPr="00691B3F">
        <w:rPr>
          <w:rFonts w:ascii="Book Antiqua" w:hAnsi="Book Antiqua"/>
          <w:sz w:val="24"/>
          <w:szCs w:val="24"/>
        </w:rPr>
        <w:t>initiated</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66]</w:t>
      </w:r>
      <w:r w:rsidR="006A288B" w:rsidRPr="00691B3F">
        <w:rPr>
          <w:rFonts w:ascii="Book Antiqua" w:hAnsi="Book Antiqua"/>
          <w:sz w:val="24"/>
          <w:szCs w:val="24"/>
        </w:rPr>
        <w:t xml:space="preserve">. </w:t>
      </w:r>
    </w:p>
    <w:p w14:paraId="34334C52" w14:textId="199C8106" w:rsidR="006C3E3E" w:rsidRPr="00691B3F" w:rsidRDefault="00CB7B8C" w:rsidP="00367FE4">
      <w:pPr>
        <w:pStyle w:val="a3"/>
        <w:snapToGrid w:val="0"/>
        <w:spacing w:line="360" w:lineRule="auto"/>
        <w:ind w:firstLineChars="100" w:firstLine="240"/>
        <w:jc w:val="both"/>
        <w:rPr>
          <w:rFonts w:ascii="Book Antiqua" w:hAnsi="Book Antiqua"/>
          <w:sz w:val="24"/>
          <w:szCs w:val="24"/>
        </w:rPr>
      </w:pPr>
      <w:r w:rsidRPr="00691B3F">
        <w:rPr>
          <w:rFonts w:ascii="Book Antiqua" w:hAnsi="Book Antiqua"/>
          <w:sz w:val="24"/>
          <w:szCs w:val="24"/>
        </w:rPr>
        <w:t xml:space="preserve">Currently, the </w:t>
      </w:r>
      <w:r w:rsidR="00A74F06" w:rsidRPr="00691B3F">
        <w:rPr>
          <w:rFonts w:ascii="Book Antiqua" w:hAnsi="Book Antiqua"/>
          <w:sz w:val="24"/>
          <w:szCs w:val="24"/>
        </w:rPr>
        <w:t>mainstay therapy is</w:t>
      </w:r>
      <w:r w:rsidR="00092EB8" w:rsidRPr="00691B3F">
        <w:rPr>
          <w:rFonts w:ascii="Book Antiqua" w:hAnsi="Book Antiqua"/>
          <w:sz w:val="24"/>
          <w:szCs w:val="24"/>
        </w:rPr>
        <w:t xml:space="preserve"> NAC</w:t>
      </w:r>
      <w:r w:rsidR="00A74F06" w:rsidRPr="00691B3F">
        <w:rPr>
          <w:rFonts w:ascii="Book Antiqua" w:hAnsi="Book Antiqua"/>
          <w:sz w:val="24"/>
          <w:szCs w:val="24"/>
        </w:rPr>
        <w:t xml:space="preserve">, given intravenously as soon as the diagnosis of </w:t>
      </w:r>
      <w:proofErr w:type="spellStart"/>
      <w:r w:rsidR="00A74F06" w:rsidRPr="00691B3F">
        <w:rPr>
          <w:rFonts w:ascii="Book Antiqua" w:hAnsi="Book Antiqua"/>
          <w:sz w:val="24"/>
          <w:szCs w:val="24"/>
        </w:rPr>
        <w:t>paracetamol</w:t>
      </w:r>
      <w:proofErr w:type="spellEnd"/>
      <w:r w:rsidR="00A74F06" w:rsidRPr="00691B3F">
        <w:rPr>
          <w:rFonts w:ascii="Book Antiqua" w:hAnsi="Book Antiqua"/>
          <w:sz w:val="24"/>
          <w:szCs w:val="24"/>
        </w:rPr>
        <w:t xml:space="preserve"> hepatotoxicity is made.</w:t>
      </w:r>
      <w:r w:rsidR="000F2238" w:rsidRPr="00691B3F">
        <w:rPr>
          <w:rFonts w:ascii="Book Antiqua" w:hAnsi="Book Antiqua"/>
          <w:sz w:val="24"/>
          <w:szCs w:val="24"/>
        </w:rPr>
        <w:t xml:space="preserve"> </w:t>
      </w:r>
      <w:r w:rsidR="00A74F06" w:rsidRPr="00691B3F">
        <w:rPr>
          <w:rFonts w:ascii="Book Antiqua" w:hAnsi="Book Antiqua"/>
          <w:sz w:val="24"/>
          <w:szCs w:val="24"/>
        </w:rPr>
        <w:t>NAC a</w:t>
      </w:r>
      <w:r w:rsidR="005B26E4" w:rsidRPr="00691B3F">
        <w:rPr>
          <w:rFonts w:ascii="Book Antiqua" w:hAnsi="Book Antiqua"/>
          <w:sz w:val="24"/>
          <w:szCs w:val="24"/>
        </w:rPr>
        <w:t xml:space="preserve">cts by restoring glutathione levels that then allow for the removal of NAPQI from the </w:t>
      </w:r>
      <w:proofErr w:type="gramStart"/>
      <w:r w:rsidR="005B26E4" w:rsidRPr="00691B3F">
        <w:rPr>
          <w:rFonts w:ascii="Book Antiqua" w:hAnsi="Book Antiqua"/>
          <w:sz w:val="24"/>
          <w:szCs w:val="24"/>
        </w:rPr>
        <w:t>body</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67]</w:t>
      </w:r>
      <w:r w:rsidR="005B26E4" w:rsidRPr="00691B3F">
        <w:rPr>
          <w:rFonts w:ascii="Book Antiqua" w:hAnsi="Book Antiqua"/>
          <w:sz w:val="24"/>
          <w:szCs w:val="24"/>
        </w:rPr>
        <w:t>.</w:t>
      </w:r>
      <w:r w:rsidR="000F2238" w:rsidRPr="00691B3F">
        <w:rPr>
          <w:rFonts w:ascii="Book Antiqua" w:hAnsi="Book Antiqua"/>
          <w:sz w:val="24"/>
          <w:szCs w:val="24"/>
        </w:rPr>
        <w:t xml:space="preserve"> </w:t>
      </w:r>
      <w:r w:rsidR="00805A7A" w:rsidRPr="00691B3F">
        <w:rPr>
          <w:rFonts w:ascii="Book Antiqua" w:hAnsi="Book Antiqua"/>
          <w:sz w:val="24"/>
          <w:szCs w:val="24"/>
        </w:rPr>
        <w:t>Specifically, NAC is hydrolyzed to cysteine, which in turns restores glutathione as well as provide</w:t>
      </w:r>
      <w:r w:rsidR="00196FAF" w:rsidRPr="00691B3F">
        <w:rPr>
          <w:rFonts w:ascii="Book Antiqua" w:hAnsi="Book Antiqua"/>
          <w:sz w:val="24"/>
          <w:szCs w:val="24"/>
        </w:rPr>
        <w:t>s</w:t>
      </w:r>
      <w:r w:rsidR="00805A7A" w:rsidRPr="00691B3F">
        <w:rPr>
          <w:rFonts w:ascii="Book Antiqua" w:hAnsi="Book Antiqua"/>
          <w:sz w:val="24"/>
          <w:szCs w:val="24"/>
        </w:rPr>
        <w:t xml:space="preserve"> </w:t>
      </w:r>
      <w:proofErr w:type="spellStart"/>
      <w:r w:rsidR="00805A7A" w:rsidRPr="00691B3F">
        <w:rPr>
          <w:rFonts w:ascii="Book Antiqua" w:hAnsi="Book Antiqua"/>
          <w:sz w:val="24"/>
          <w:szCs w:val="24"/>
        </w:rPr>
        <w:t>thiol</w:t>
      </w:r>
      <w:proofErr w:type="spellEnd"/>
      <w:r w:rsidR="00805A7A" w:rsidRPr="00691B3F">
        <w:rPr>
          <w:rFonts w:ascii="Book Antiqua" w:hAnsi="Book Antiqua"/>
          <w:sz w:val="24"/>
          <w:szCs w:val="24"/>
        </w:rPr>
        <w:t xml:space="preserve"> groups that react directly with NAPQI in the </w:t>
      </w:r>
      <w:proofErr w:type="gramStart"/>
      <w:r w:rsidR="00805A7A" w:rsidRPr="00691B3F">
        <w:rPr>
          <w:rFonts w:ascii="Book Antiqua" w:hAnsi="Book Antiqua"/>
          <w:sz w:val="24"/>
          <w:szCs w:val="24"/>
        </w:rPr>
        <w:t>hepatocytes</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57,68]</w:t>
      </w:r>
      <w:r w:rsidR="00805A7A" w:rsidRPr="00691B3F">
        <w:rPr>
          <w:rFonts w:ascii="Book Antiqua" w:hAnsi="Book Antiqua"/>
          <w:sz w:val="24"/>
          <w:szCs w:val="24"/>
        </w:rPr>
        <w:t>.</w:t>
      </w:r>
      <w:r w:rsidR="000F2238" w:rsidRPr="00691B3F">
        <w:rPr>
          <w:rFonts w:ascii="Book Antiqua" w:hAnsi="Book Antiqua"/>
          <w:sz w:val="24"/>
          <w:szCs w:val="24"/>
        </w:rPr>
        <w:t xml:space="preserve"> </w:t>
      </w:r>
      <w:r w:rsidR="008069C8" w:rsidRPr="00691B3F">
        <w:rPr>
          <w:rFonts w:ascii="Book Antiqua" w:hAnsi="Book Antiqua"/>
          <w:sz w:val="24"/>
          <w:szCs w:val="24"/>
        </w:rPr>
        <w:t>A</w:t>
      </w:r>
      <w:r w:rsidR="00924A60" w:rsidRPr="00691B3F">
        <w:rPr>
          <w:rFonts w:ascii="Book Antiqua" w:hAnsi="Book Antiqua"/>
          <w:sz w:val="24"/>
          <w:szCs w:val="24"/>
        </w:rPr>
        <w:t xml:space="preserve">dministration of NAC </w:t>
      </w:r>
      <w:r w:rsidR="006B481D" w:rsidRPr="00691B3F">
        <w:rPr>
          <w:rFonts w:ascii="Book Antiqua" w:hAnsi="Book Antiqua"/>
          <w:sz w:val="24"/>
          <w:szCs w:val="24"/>
        </w:rPr>
        <w:t xml:space="preserve">is the mainstay treatment and standard of care in </w:t>
      </w:r>
      <w:proofErr w:type="spellStart"/>
      <w:r w:rsidR="006B481D" w:rsidRPr="00691B3F">
        <w:rPr>
          <w:rFonts w:ascii="Book Antiqua" w:hAnsi="Book Antiqua"/>
          <w:sz w:val="24"/>
          <w:szCs w:val="24"/>
        </w:rPr>
        <w:t>paracetamol</w:t>
      </w:r>
      <w:proofErr w:type="spellEnd"/>
      <w:r w:rsidR="006B481D" w:rsidRPr="00691B3F">
        <w:rPr>
          <w:rFonts w:ascii="Book Antiqua" w:hAnsi="Book Antiqua"/>
          <w:sz w:val="24"/>
          <w:szCs w:val="24"/>
        </w:rPr>
        <w:t xml:space="preserve"> overdose, with the most benefit seen if initiated wit</w:t>
      </w:r>
      <w:r w:rsidR="00924A60" w:rsidRPr="00691B3F">
        <w:rPr>
          <w:rFonts w:ascii="Book Antiqua" w:hAnsi="Book Antiqua"/>
          <w:sz w:val="24"/>
          <w:szCs w:val="24"/>
        </w:rPr>
        <w:t xml:space="preserve">hin </w:t>
      </w:r>
      <w:r w:rsidR="0007446C" w:rsidRPr="00691B3F">
        <w:rPr>
          <w:rFonts w:ascii="Book Antiqua" w:hAnsi="Book Antiqua"/>
          <w:sz w:val="24"/>
          <w:szCs w:val="24"/>
        </w:rPr>
        <w:t xml:space="preserve">the first </w:t>
      </w:r>
      <w:r w:rsidR="000F2238" w:rsidRPr="00691B3F">
        <w:rPr>
          <w:rFonts w:ascii="Book Antiqua" w:hAnsi="Book Antiqua" w:hint="eastAsia"/>
          <w:sz w:val="24"/>
          <w:szCs w:val="24"/>
          <w:lang w:eastAsia="zh-CN"/>
        </w:rPr>
        <w:t>8</w:t>
      </w:r>
      <w:r w:rsidR="00924A60" w:rsidRPr="00691B3F">
        <w:rPr>
          <w:rFonts w:ascii="Book Antiqua" w:hAnsi="Book Antiqua"/>
          <w:sz w:val="24"/>
          <w:szCs w:val="24"/>
        </w:rPr>
        <w:t xml:space="preserve"> h </w:t>
      </w:r>
      <w:r w:rsidR="008069C8" w:rsidRPr="00691B3F">
        <w:rPr>
          <w:rFonts w:ascii="Book Antiqua" w:hAnsi="Book Antiqua"/>
          <w:sz w:val="24"/>
          <w:szCs w:val="24"/>
        </w:rPr>
        <w:t xml:space="preserve">from the time of </w:t>
      </w:r>
      <w:proofErr w:type="spellStart"/>
      <w:r w:rsidR="00924A60" w:rsidRPr="00691B3F">
        <w:rPr>
          <w:rFonts w:ascii="Book Antiqua" w:hAnsi="Book Antiqua"/>
          <w:sz w:val="24"/>
          <w:szCs w:val="24"/>
        </w:rPr>
        <w:t>paracetamol</w:t>
      </w:r>
      <w:proofErr w:type="spellEnd"/>
      <w:r w:rsidR="00924A60" w:rsidRPr="00691B3F">
        <w:rPr>
          <w:rFonts w:ascii="Book Antiqua" w:hAnsi="Book Antiqua"/>
          <w:sz w:val="24"/>
          <w:szCs w:val="24"/>
        </w:rPr>
        <w:t xml:space="preserve"> </w:t>
      </w:r>
      <w:proofErr w:type="gramStart"/>
      <w:r w:rsidR="00924A60" w:rsidRPr="00691B3F">
        <w:rPr>
          <w:rFonts w:ascii="Book Antiqua" w:hAnsi="Book Antiqua"/>
          <w:sz w:val="24"/>
          <w:szCs w:val="24"/>
        </w:rPr>
        <w:t>overdose</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57,58]</w:t>
      </w:r>
      <w:r w:rsidR="00924A60" w:rsidRPr="00691B3F">
        <w:rPr>
          <w:rFonts w:ascii="Book Antiqua" w:hAnsi="Book Antiqua"/>
          <w:sz w:val="24"/>
          <w:szCs w:val="24"/>
        </w:rPr>
        <w:t>.</w:t>
      </w:r>
      <w:r w:rsidR="000F2238" w:rsidRPr="00691B3F">
        <w:rPr>
          <w:rFonts w:ascii="Book Antiqua" w:hAnsi="Book Antiqua"/>
          <w:sz w:val="24"/>
          <w:szCs w:val="24"/>
        </w:rPr>
        <w:t xml:space="preserve"> </w:t>
      </w:r>
      <w:r w:rsidR="006B481D" w:rsidRPr="00691B3F">
        <w:rPr>
          <w:rFonts w:ascii="Book Antiqua" w:hAnsi="Book Antiqua"/>
          <w:sz w:val="24"/>
          <w:szCs w:val="24"/>
        </w:rPr>
        <w:t xml:space="preserve">However, </w:t>
      </w:r>
      <w:r w:rsidR="008069C8" w:rsidRPr="00691B3F">
        <w:rPr>
          <w:rFonts w:ascii="Book Antiqua" w:hAnsi="Book Antiqua"/>
          <w:sz w:val="24"/>
          <w:szCs w:val="24"/>
        </w:rPr>
        <w:t>it</w:t>
      </w:r>
      <w:r w:rsidR="006B481D" w:rsidRPr="00691B3F">
        <w:rPr>
          <w:rFonts w:ascii="Book Antiqua" w:hAnsi="Book Antiqua"/>
          <w:sz w:val="24"/>
          <w:szCs w:val="24"/>
        </w:rPr>
        <w:t xml:space="preserve"> has</w:t>
      </w:r>
      <w:r w:rsidR="008069C8" w:rsidRPr="00691B3F">
        <w:rPr>
          <w:rFonts w:ascii="Book Antiqua" w:hAnsi="Book Antiqua"/>
          <w:sz w:val="24"/>
          <w:szCs w:val="24"/>
        </w:rPr>
        <w:t xml:space="preserve"> been</w:t>
      </w:r>
      <w:r w:rsidR="006B481D" w:rsidRPr="00691B3F">
        <w:rPr>
          <w:rFonts w:ascii="Book Antiqua" w:hAnsi="Book Antiqua"/>
          <w:sz w:val="24"/>
          <w:szCs w:val="24"/>
        </w:rPr>
        <w:t xml:space="preserve"> shown </w:t>
      </w:r>
      <w:r w:rsidR="000D6271" w:rsidRPr="00691B3F">
        <w:rPr>
          <w:rFonts w:ascii="Book Antiqua" w:hAnsi="Book Antiqua"/>
          <w:sz w:val="24"/>
          <w:szCs w:val="24"/>
        </w:rPr>
        <w:t xml:space="preserve">that mortality is significantly decreased by the administration of NAC </w:t>
      </w:r>
      <w:r w:rsidR="006B481D" w:rsidRPr="00691B3F">
        <w:rPr>
          <w:rFonts w:ascii="Book Antiqua" w:hAnsi="Book Antiqua"/>
          <w:sz w:val="24"/>
          <w:szCs w:val="24"/>
        </w:rPr>
        <w:t>even up to</w:t>
      </w:r>
      <w:r w:rsidR="000D6271" w:rsidRPr="00691B3F">
        <w:rPr>
          <w:rFonts w:ascii="Book Antiqua" w:hAnsi="Book Antiqua"/>
          <w:sz w:val="24"/>
          <w:szCs w:val="24"/>
        </w:rPr>
        <w:t xml:space="preserve"> 36 h after the</w:t>
      </w:r>
      <w:r w:rsidR="008069C8" w:rsidRPr="00691B3F">
        <w:rPr>
          <w:rFonts w:ascii="Book Antiqua" w:hAnsi="Book Antiqua"/>
          <w:sz w:val="24"/>
          <w:szCs w:val="24"/>
        </w:rPr>
        <w:t xml:space="preserve"> toxic</w:t>
      </w:r>
      <w:r w:rsidR="000D6271" w:rsidRPr="00691B3F">
        <w:rPr>
          <w:rFonts w:ascii="Book Antiqua" w:hAnsi="Book Antiqua"/>
          <w:sz w:val="24"/>
          <w:szCs w:val="24"/>
        </w:rPr>
        <w:t xml:space="preserve"> </w:t>
      </w:r>
      <w:r w:rsidR="006B481D" w:rsidRPr="00691B3F">
        <w:rPr>
          <w:rFonts w:ascii="Book Antiqua" w:hAnsi="Book Antiqua"/>
          <w:sz w:val="24"/>
          <w:szCs w:val="24"/>
        </w:rPr>
        <w:t>ingestion</w:t>
      </w:r>
      <w:r w:rsidR="00A74F06" w:rsidRPr="00691B3F">
        <w:rPr>
          <w:rFonts w:ascii="Book Antiqua" w:hAnsi="Book Antiqua"/>
          <w:sz w:val="24"/>
          <w:szCs w:val="24"/>
        </w:rPr>
        <w:t xml:space="preserve"> and that th</w:t>
      </w:r>
      <w:r w:rsidR="006B481D" w:rsidRPr="00691B3F">
        <w:rPr>
          <w:rFonts w:ascii="Book Antiqua" w:hAnsi="Book Antiqua"/>
          <w:sz w:val="24"/>
          <w:szCs w:val="24"/>
        </w:rPr>
        <w:t>is cohort of</w:t>
      </w:r>
      <w:r w:rsidR="00A74F06" w:rsidRPr="00691B3F">
        <w:rPr>
          <w:rFonts w:ascii="Book Antiqua" w:hAnsi="Book Antiqua"/>
          <w:sz w:val="24"/>
          <w:szCs w:val="24"/>
        </w:rPr>
        <w:t xml:space="preserve"> patients </w:t>
      </w:r>
      <w:r w:rsidR="00196FAF" w:rsidRPr="00691B3F">
        <w:rPr>
          <w:rFonts w:ascii="Book Antiqua" w:hAnsi="Book Antiqua"/>
          <w:sz w:val="24"/>
          <w:szCs w:val="24"/>
        </w:rPr>
        <w:t xml:space="preserve">is </w:t>
      </w:r>
      <w:r w:rsidR="00A74F06" w:rsidRPr="00691B3F">
        <w:rPr>
          <w:rFonts w:ascii="Book Antiqua" w:hAnsi="Book Antiqua"/>
          <w:sz w:val="24"/>
          <w:szCs w:val="24"/>
        </w:rPr>
        <w:t xml:space="preserve">less likely to progress to grade III/IV </w:t>
      </w:r>
      <w:r w:rsidR="002E6D9E" w:rsidRPr="00691B3F">
        <w:rPr>
          <w:rFonts w:ascii="Book Antiqua" w:hAnsi="Book Antiqua"/>
          <w:sz w:val="24"/>
          <w:szCs w:val="24"/>
        </w:rPr>
        <w:t xml:space="preserve">hepatic </w:t>
      </w:r>
      <w:r w:rsidR="00A74F06" w:rsidRPr="00691B3F">
        <w:rPr>
          <w:rFonts w:ascii="Book Antiqua" w:hAnsi="Book Antiqua"/>
          <w:sz w:val="24"/>
          <w:szCs w:val="24"/>
        </w:rPr>
        <w:t>coma</w:t>
      </w:r>
      <w:r w:rsidR="006B481D" w:rsidRPr="00691B3F">
        <w:rPr>
          <w:rFonts w:ascii="Book Antiqua" w:hAnsi="Book Antiqua"/>
          <w:sz w:val="24"/>
          <w:szCs w:val="24"/>
        </w:rPr>
        <w:t xml:space="preserve"> after receiving treatment with </w:t>
      </w:r>
      <w:proofErr w:type="gramStart"/>
      <w:r w:rsidR="006B481D" w:rsidRPr="00691B3F">
        <w:rPr>
          <w:rFonts w:ascii="Book Antiqua" w:hAnsi="Book Antiqua"/>
          <w:sz w:val="24"/>
          <w:szCs w:val="24"/>
        </w:rPr>
        <w:t>NAC</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69]</w:t>
      </w:r>
      <w:r w:rsidR="00A74F06" w:rsidRPr="00691B3F">
        <w:rPr>
          <w:rFonts w:ascii="Book Antiqua" w:hAnsi="Book Antiqua"/>
          <w:sz w:val="24"/>
          <w:szCs w:val="24"/>
        </w:rPr>
        <w:t>.</w:t>
      </w:r>
      <w:r w:rsidR="000F2238" w:rsidRPr="00691B3F">
        <w:rPr>
          <w:rFonts w:ascii="Book Antiqua" w:hAnsi="Book Antiqua"/>
          <w:sz w:val="24"/>
          <w:szCs w:val="24"/>
        </w:rPr>
        <w:t xml:space="preserve"> </w:t>
      </w:r>
      <w:r w:rsidR="00A352CE" w:rsidRPr="00691B3F">
        <w:rPr>
          <w:rFonts w:ascii="Book Antiqua" w:hAnsi="Book Antiqua"/>
          <w:sz w:val="24"/>
          <w:szCs w:val="24"/>
        </w:rPr>
        <w:t xml:space="preserve">NAC is typically administered intravenously over three weight-based </w:t>
      </w:r>
      <w:r w:rsidR="00A352CE" w:rsidRPr="00691B3F">
        <w:rPr>
          <w:rFonts w:ascii="Book Antiqua" w:hAnsi="Book Antiqua"/>
          <w:sz w:val="24"/>
          <w:szCs w:val="24"/>
        </w:rPr>
        <w:lastRenderedPageBreak/>
        <w:t xml:space="preserve">doses: the initial 150 mg/kg dose in the first </w:t>
      </w:r>
      <w:r w:rsidR="00226487" w:rsidRPr="00691B3F">
        <w:rPr>
          <w:rFonts w:ascii="Book Antiqua" w:hAnsi="Book Antiqua"/>
          <w:sz w:val="24"/>
          <w:szCs w:val="24"/>
        </w:rPr>
        <w:t>15-60 minutes</w:t>
      </w:r>
      <w:r w:rsidR="00A352CE" w:rsidRPr="00691B3F">
        <w:rPr>
          <w:rFonts w:ascii="Book Antiqua" w:hAnsi="Book Antiqua"/>
          <w:sz w:val="24"/>
          <w:szCs w:val="24"/>
        </w:rPr>
        <w:t>, followed by 50 mg/kg over 4 h, and then 100 mg/kg over 16 h</w:t>
      </w:r>
      <w:r w:rsidR="00D676D2" w:rsidRPr="00691B3F">
        <w:rPr>
          <w:rFonts w:ascii="Book Antiqua" w:hAnsi="Book Antiqua"/>
          <w:noProof/>
          <w:sz w:val="24"/>
          <w:szCs w:val="24"/>
          <w:vertAlign w:val="superscript"/>
        </w:rPr>
        <w:t>[60,70]</w:t>
      </w:r>
      <w:r w:rsidR="00A352CE" w:rsidRPr="00691B3F">
        <w:rPr>
          <w:rFonts w:ascii="Book Antiqua" w:hAnsi="Book Antiqua"/>
          <w:sz w:val="24"/>
          <w:szCs w:val="24"/>
        </w:rPr>
        <w:t>.</w:t>
      </w:r>
      <w:r w:rsidR="000F2238" w:rsidRPr="00691B3F">
        <w:rPr>
          <w:rFonts w:ascii="Book Antiqua" w:hAnsi="Book Antiqua"/>
          <w:sz w:val="24"/>
          <w:szCs w:val="24"/>
        </w:rPr>
        <w:t xml:space="preserve"> </w:t>
      </w:r>
      <w:r w:rsidR="007876F0" w:rsidRPr="00691B3F">
        <w:rPr>
          <w:rFonts w:ascii="Book Antiqua" w:hAnsi="Book Antiqua"/>
          <w:sz w:val="24"/>
          <w:szCs w:val="24"/>
        </w:rPr>
        <w:t xml:space="preserve">In cases where NAC is administered orally, the typical dosing regimen is a loading dose of 140 mg/kg, subsequently followed by 70 mg/kg every </w:t>
      </w:r>
      <w:r w:rsidR="000F2238" w:rsidRPr="00691B3F">
        <w:rPr>
          <w:rFonts w:ascii="Book Antiqua" w:hAnsi="Book Antiqua" w:hint="eastAsia"/>
          <w:sz w:val="24"/>
          <w:szCs w:val="24"/>
          <w:lang w:eastAsia="zh-CN"/>
        </w:rPr>
        <w:t>4</w:t>
      </w:r>
      <w:r w:rsidR="007876F0" w:rsidRPr="00691B3F">
        <w:rPr>
          <w:rFonts w:ascii="Book Antiqua" w:hAnsi="Book Antiqua"/>
          <w:sz w:val="24"/>
          <w:szCs w:val="24"/>
        </w:rPr>
        <w:t xml:space="preserve"> h until 18 doses are </w:t>
      </w:r>
      <w:proofErr w:type="gramStart"/>
      <w:r w:rsidR="007876F0" w:rsidRPr="00691B3F">
        <w:rPr>
          <w:rFonts w:ascii="Book Antiqua" w:hAnsi="Book Antiqua"/>
          <w:sz w:val="24"/>
          <w:szCs w:val="24"/>
        </w:rPr>
        <w:t>administered</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60,68]</w:t>
      </w:r>
      <w:r w:rsidR="007876F0" w:rsidRPr="00691B3F">
        <w:rPr>
          <w:rFonts w:ascii="Book Antiqua" w:hAnsi="Book Antiqua"/>
          <w:sz w:val="24"/>
          <w:szCs w:val="24"/>
        </w:rPr>
        <w:t>.</w:t>
      </w:r>
      <w:r w:rsidR="000F2238" w:rsidRPr="00691B3F">
        <w:rPr>
          <w:rFonts w:ascii="Book Antiqua" w:hAnsi="Book Antiqua"/>
          <w:sz w:val="24"/>
          <w:szCs w:val="24"/>
        </w:rPr>
        <w:t xml:space="preserve"> </w:t>
      </w:r>
      <w:r w:rsidR="007876F0" w:rsidRPr="00691B3F">
        <w:rPr>
          <w:rFonts w:ascii="Book Antiqua" w:hAnsi="Book Antiqua"/>
          <w:sz w:val="24"/>
          <w:szCs w:val="24"/>
        </w:rPr>
        <w:t xml:space="preserve">After NAC dosing is complete, re-evaluation of the </w:t>
      </w:r>
      <w:proofErr w:type="spellStart"/>
      <w:r w:rsidR="007876F0" w:rsidRPr="00691B3F">
        <w:rPr>
          <w:rFonts w:ascii="Book Antiqua" w:hAnsi="Book Antiqua"/>
          <w:sz w:val="24"/>
          <w:szCs w:val="24"/>
        </w:rPr>
        <w:t>paracetamol</w:t>
      </w:r>
      <w:proofErr w:type="spellEnd"/>
      <w:r w:rsidR="007876F0" w:rsidRPr="00691B3F">
        <w:rPr>
          <w:rFonts w:ascii="Book Antiqua" w:hAnsi="Book Antiqua"/>
          <w:sz w:val="24"/>
          <w:szCs w:val="24"/>
        </w:rPr>
        <w:t xml:space="preserve"> level and liver function tests should be done to assess if repeat dosing is indicated.</w:t>
      </w:r>
      <w:r w:rsidR="000F2238" w:rsidRPr="00691B3F">
        <w:rPr>
          <w:rFonts w:ascii="Book Antiqua" w:hAnsi="Book Antiqua"/>
          <w:sz w:val="24"/>
          <w:szCs w:val="24"/>
        </w:rPr>
        <w:t xml:space="preserve"> </w:t>
      </w:r>
      <w:r w:rsidR="00F62F82" w:rsidRPr="00691B3F">
        <w:rPr>
          <w:rFonts w:ascii="Book Antiqua" w:hAnsi="Book Antiqua"/>
          <w:sz w:val="24"/>
          <w:szCs w:val="24"/>
        </w:rPr>
        <w:t xml:space="preserve">Dosing of NAC can be continued if the serum </w:t>
      </w:r>
      <w:proofErr w:type="spellStart"/>
      <w:r w:rsidR="00F62F82" w:rsidRPr="00691B3F">
        <w:rPr>
          <w:rFonts w:ascii="Book Antiqua" w:hAnsi="Book Antiqua"/>
          <w:sz w:val="24"/>
          <w:szCs w:val="24"/>
        </w:rPr>
        <w:t>paracetamol</w:t>
      </w:r>
      <w:proofErr w:type="spellEnd"/>
      <w:r w:rsidR="00F62F82" w:rsidRPr="00691B3F">
        <w:rPr>
          <w:rFonts w:ascii="Book Antiqua" w:hAnsi="Book Antiqua"/>
          <w:sz w:val="24"/>
          <w:szCs w:val="24"/>
        </w:rPr>
        <w:t xml:space="preserve"> level is above 10 </w:t>
      </w:r>
      <w:r w:rsidR="00DF60DD" w:rsidRPr="00691B3F">
        <w:rPr>
          <w:rFonts w:ascii="Book Antiqua" w:hAnsi="Book Antiqua" w:cstheme="minorHAnsi"/>
          <w:sz w:val="24"/>
          <w:szCs w:val="24"/>
        </w:rPr>
        <w:t>µ</w:t>
      </w:r>
      <w:r w:rsidR="00F62F82" w:rsidRPr="00691B3F">
        <w:rPr>
          <w:rFonts w:ascii="Book Antiqua" w:hAnsi="Book Antiqua"/>
          <w:sz w:val="24"/>
          <w:szCs w:val="24"/>
        </w:rPr>
        <w:t xml:space="preserve">g/mL or if alanine aminotransferase (ALT) elevation persists, especially in the setting of acidosis, coagulopathy, acute kidney injury and </w:t>
      </w:r>
      <w:proofErr w:type="spellStart"/>
      <w:r w:rsidR="00F62F82" w:rsidRPr="00691B3F">
        <w:rPr>
          <w:rFonts w:ascii="Book Antiqua" w:hAnsi="Book Antiqua"/>
          <w:sz w:val="24"/>
          <w:szCs w:val="24"/>
        </w:rPr>
        <w:t>hyperbilirubinemia</w:t>
      </w:r>
      <w:proofErr w:type="spellEnd"/>
      <w:r w:rsidR="00B62A66" w:rsidRPr="00691B3F">
        <w:rPr>
          <w:rFonts w:ascii="Book Antiqua" w:hAnsi="Book Antiqua"/>
          <w:sz w:val="24"/>
          <w:szCs w:val="24"/>
        </w:rPr>
        <w:t xml:space="preserve"> as these patients have worse </w:t>
      </w:r>
      <w:proofErr w:type="gramStart"/>
      <w:r w:rsidR="00B62A66" w:rsidRPr="00691B3F">
        <w:rPr>
          <w:rFonts w:ascii="Book Antiqua" w:hAnsi="Book Antiqua"/>
          <w:sz w:val="24"/>
          <w:szCs w:val="24"/>
        </w:rPr>
        <w:t>outcomes</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71]</w:t>
      </w:r>
      <w:r w:rsidR="00F62F82" w:rsidRPr="00691B3F">
        <w:rPr>
          <w:rFonts w:ascii="Book Antiqua" w:hAnsi="Book Antiqua"/>
          <w:sz w:val="24"/>
          <w:szCs w:val="24"/>
        </w:rPr>
        <w:t xml:space="preserve">. </w:t>
      </w:r>
    </w:p>
    <w:p w14:paraId="53C96EF0" w14:textId="125E231B" w:rsidR="00F51EEC" w:rsidRPr="00691B3F" w:rsidRDefault="00510A3C" w:rsidP="00367FE4">
      <w:pPr>
        <w:pStyle w:val="a3"/>
        <w:snapToGrid w:val="0"/>
        <w:spacing w:line="360" w:lineRule="auto"/>
        <w:ind w:firstLineChars="100" w:firstLine="240"/>
        <w:jc w:val="both"/>
        <w:rPr>
          <w:rFonts w:ascii="Book Antiqua" w:hAnsi="Book Antiqua"/>
          <w:sz w:val="24"/>
          <w:szCs w:val="24"/>
        </w:rPr>
      </w:pPr>
      <w:r w:rsidRPr="00691B3F">
        <w:rPr>
          <w:rFonts w:ascii="Book Antiqua" w:hAnsi="Book Antiqua"/>
          <w:sz w:val="24"/>
          <w:szCs w:val="24"/>
        </w:rPr>
        <w:t xml:space="preserve">With opioid use being more prevalent, medication interactions that slow gut motility have important implications in </w:t>
      </w:r>
      <w:proofErr w:type="spellStart"/>
      <w:r w:rsidRPr="00691B3F">
        <w:rPr>
          <w:rFonts w:ascii="Book Antiqua" w:hAnsi="Book Antiqua"/>
          <w:sz w:val="24"/>
          <w:szCs w:val="24"/>
        </w:rPr>
        <w:t>paracetamol</w:t>
      </w:r>
      <w:proofErr w:type="spellEnd"/>
      <w:r w:rsidRPr="00691B3F">
        <w:rPr>
          <w:rFonts w:ascii="Book Antiqua" w:hAnsi="Book Antiqua"/>
          <w:sz w:val="24"/>
          <w:szCs w:val="24"/>
        </w:rPr>
        <w:t xml:space="preserve"> toxicity.</w:t>
      </w:r>
      <w:r w:rsidR="000F2238" w:rsidRPr="00691B3F">
        <w:rPr>
          <w:rFonts w:ascii="Book Antiqua" w:hAnsi="Book Antiqua"/>
          <w:sz w:val="24"/>
          <w:szCs w:val="24"/>
        </w:rPr>
        <w:t xml:space="preserve"> </w:t>
      </w:r>
      <w:r w:rsidR="00F51EEC" w:rsidRPr="00691B3F">
        <w:rPr>
          <w:rFonts w:ascii="Book Antiqua" w:hAnsi="Book Antiqua"/>
          <w:sz w:val="24"/>
          <w:szCs w:val="24"/>
        </w:rPr>
        <w:t xml:space="preserve">Recent studies have shown that there are limitations to the </w:t>
      </w:r>
      <w:proofErr w:type="spellStart"/>
      <w:r w:rsidR="00F51EEC" w:rsidRPr="00691B3F">
        <w:rPr>
          <w:rFonts w:ascii="Book Antiqua" w:hAnsi="Book Antiqua"/>
          <w:sz w:val="24"/>
          <w:szCs w:val="24"/>
        </w:rPr>
        <w:t>Rumack</w:t>
      </w:r>
      <w:proofErr w:type="spellEnd"/>
      <w:r w:rsidR="00F51EEC" w:rsidRPr="00691B3F">
        <w:rPr>
          <w:rFonts w:ascii="Book Antiqua" w:hAnsi="Book Antiqua"/>
          <w:sz w:val="24"/>
          <w:szCs w:val="24"/>
        </w:rPr>
        <w:t xml:space="preserve">-Matthew </w:t>
      </w:r>
      <w:proofErr w:type="spellStart"/>
      <w:r w:rsidR="00F51EEC" w:rsidRPr="00691B3F">
        <w:rPr>
          <w:rFonts w:ascii="Book Antiqua" w:hAnsi="Book Antiqua"/>
          <w:sz w:val="24"/>
          <w:szCs w:val="24"/>
        </w:rPr>
        <w:t>nomogram</w:t>
      </w:r>
      <w:proofErr w:type="spellEnd"/>
      <w:r w:rsidR="00F51EEC" w:rsidRPr="00691B3F">
        <w:rPr>
          <w:rFonts w:ascii="Book Antiqua" w:hAnsi="Book Antiqua"/>
          <w:sz w:val="24"/>
          <w:szCs w:val="24"/>
        </w:rPr>
        <w:t xml:space="preserve"> in predicting the risk of hepatotoxicity in the setting of combination medications</w:t>
      </w:r>
      <w:r w:rsidRPr="00691B3F">
        <w:rPr>
          <w:rFonts w:ascii="Book Antiqua" w:hAnsi="Book Antiqua"/>
          <w:sz w:val="24"/>
          <w:szCs w:val="24"/>
        </w:rPr>
        <w:t xml:space="preserve"> due to a delay in the onset of symptoms and laboratory </w:t>
      </w:r>
      <w:proofErr w:type="gramStart"/>
      <w:r w:rsidRPr="00691B3F">
        <w:rPr>
          <w:rFonts w:ascii="Book Antiqua" w:hAnsi="Book Antiqua"/>
          <w:sz w:val="24"/>
          <w:szCs w:val="24"/>
        </w:rPr>
        <w:t>abnormalities</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13-15]</w:t>
      </w:r>
      <w:r w:rsidR="00F51EEC" w:rsidRPr="00691B3F">
        <w:rPr>
          <w:rFonts w:ascii="Book Antiqua" w:hAnsi="Book Antiqua"/>
          <w:sz w:val="24"/>
          <w:szCs w:val="24"/>
        </w:rPr>
        <w:t>.</w:t>
      </w:r>
      <w:r w:rsidR="000F2238" w:rsidRPr="00691B3F">
        <w:rPr>
          <w:rFonts w:ascii="Book Antiqua" w:hAnsi="Book Antiqua"/>
          <w:sz w:val="24"/>
          <w:szCs w:val="24"/>
        </w:rPr>
        <w:t xml:space="preserve"> </w:t>
      </w:r>
      <w:r w:rsidR="00F51EEC" w:rsidRPr="00691B3F">
        <w:rPr>
          <w:rFonts w:ascii="Book Antiqua" w:hAnsi="Book Antiqua"/>
          <w:sz w:val="24"/>
          <w:szCs w:val="24"/>
        </w:rPr>
        <w:t xml:space="preserve">In particular, </w:t>
      </w:r>
      <w:proofErr w:type="spellStart"/>
      <w:r w:rsidR="00F51EEC" w:rsidRPr="00691B3F">
        <w:rPr>
          <w:rFonts w:ascii="Book Antiqua" w:hAnsi="Book Antiqua"/>
          <w:sz w:val="24"/>
          <w:szCs w:val="24"/>
        </w:rPr>
        <w:t>paracetamol</w:t>
      </w:r>
      <w:proofErr w:type="spellEnd"/>
      <w:r w:rsidR="00F51EEC" w:rsidRPr="00691B3F">
        <w:rPr>
          <w:rFonts w:ascii="Book Antiqua" w:hAnsi="Book Antiqua"/>
          <w:sz w:val="24"/>
          <w:szCs w:val="24"/>
        </w:rPr>
        <w:t xml:space="preserve"> combined with </w:t>
      </w:r>
      <w:r w:rsidR="009E7BC8" w:rsidRPr="00691B3F">
        <w:rPr>
          <w:rFonts w:ascii="Book Antiqua" w:hAnsi="Book Antiqua"/>
          <w:sz w:val="24"/>
          <w:szCs w:val="24"/>
        </w:rPr>
        <w:t>antihistamines</w:t>
      </w:r>
      <w:r w:rsidR="00F51EEC" w:rsidRPr="00691B3F">
        <w:rPr>
          <w:rFonts w:ascii="Book Antiqua" w:hAnsi="Book Antiqua"/>
          <w:sz w:val="24"/>
          <w:szCs w:val="24"/>
        </w:rPr>
        <w:t xml:space="preserve"> or opioids have been shown to have serum </w:t>
      </w:r>
      <w:proofErr w:type="spellStart"/>
      <w:r w:rsidR="00F51EEC" w:rsidRPr="00691B3F">
        <w:rPr>
          <w:rFonts w:ascii="Book Antiqua" w:hAnsi="Book Antiqua"/>
          <w:sz w:val="24"/>
          <w:szCs w:val="24"/>
        </w:rPr>
        <w:t>paracetamol</w:t>
      </w:r>
      <w:proofErr w:type="spellEnd"/>
      <w:r w:rsidR="00F51EEC" w:rsidRPr="00691B3F">
        <w:rPr>
          <w:rFonts w:ascii="Book Antiqua" w:hAnsi="Book Antiqua"/>
          <w:sz w:val="24"/>
          <w:szCs w:val="24"/>
        </w:rPr>
        <w:t xml:space="preserve"> levels below 150 </w:t>
      </w:r>
      <w:r w:rsidR="00B16F02" w:rsidRPr="00691B3F">
        <w:rPr>
          <w:rFonts w:ascii="Book Antiqua" w:hAnsi="Book Antiqua" w:cstheme="minorHAnsi"/>
          <w:sz w:val="24"/>
          <w:szCs w:val="24"/>
        </w:rPr>
        <w:t>µ</w:t>
      </w:r>
      <w:r w:rsidR="00F51EEC" w:rsidRPr="00691B3F">
        <w:rPr>
          <w:rFonts w:ascii="Book Antiqua" w:hAnsi="Book Antiqua"/>
          <w:sz w:val="24"/>
          <w:szCs w:val="24"/>
        </w:rPr>
        <w:t xml:space="preserve">g at the 4-hour post-ingestion mark but would cross above the treatment threshold when levels were rechecked within the 24-hour </w:t>
      </w:r>
      <w:proofErr w:type="gramStart"/>
      <w:r w:rsidR="00F51EEC" w:rsidRPr="00691B3F">
        <w:rPr>
          <w:rFonts w:ascii="Book Antiqua" w:hAnsi="Book Antiqua"/>
          <w:sz w:val="24"/>
          <w:szCs w:val="24"/>
        </w:rPr>
        <w:t>period</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13]</w:t>
      </w:r>
      <w:r w:rsidR="00F51EEC" w:rsidRPr="00691B3F">
        <w:rPr>
          <w:rFonts w:ascii="Book Antiqua" w:hAnsi="Book Antiqua"/>
          <w:sz w:val="24"/>
          <w:szCs w:val="24"/>
        </w:rPr>
        <w:t>.</w:t>
      </w:r>
      <w:r w:rsidR="000F2238" w:rsidRPr="00691B3F">
        <w:rPr>
          <w:rFonts w:ascii="Book Antiqua" w:hAnsi="Book Antiqua"/>
          <w:sz w:val="24"/>
          <w:szCs w:val="24"/>
        </w:rPr>
        <w:t xml:space="preserve"> </w:t>
      </w:r>
      <w:r w:rsidR="009E7BC8" w:rsidRPr="00691B3F">
        <w:rPr>
          <w:rFonts w:ascii="Book Antiqua" w:hAnsi="Book Antiqua"/>
          <w:sz w:val="24"/>
          <w:szCs w:val="24"/>
        </w:rPr>
        <w:t xml:space="preserve">In fact, a United States prospective cohort </w:t>
      </w:r>
      <w:proofErr w:type="gramStart"/>
      <w:r w:rsidR="009E7BC8" w:rsidRPr="00691B3F">
        <w:rPr>
          <w:rFonts w:ascii="Book Antiqua" w:hAnsi="Book Antiqua"/>
          <w:sz w:val="24"/>
          <w:szCs w:val="24"/>
        </w:rPr>
        <w:t>study</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14]</w:t>
      </w:r>
      <w:r w:rsidR="009E7BC8" w:rsidRPr="00691B3F">
        <w:rPr>
          <w:rFonts w:ascii="Book Antiqua" w:hAnsi="Book Antiqua"/>
          <w:sz w:val="24"/>
          <w:szCs w:val="24"/>
        </w:rPr>
        <w:t xml:space="preserve"> </w:t>
      </w:r>
      <w:r w:rsidR="00F43AC1" w:rsidRPr="00691B3F">
        <w:rPr>
          <w:rFonts w:ascii="Book Antiqua" w:hAnsi="Book Antiqua"/>
          <w:sz w:val="24"/>
          <w:szCs w:val="24"/>
        </w:rPr>
        <w:t>showed</w:t>
      </w:r>
      <w:r w:rsidR="009E7BC8" w:rsidRPr="00691B3F">
        <w:rPr>
          <w:rFonts w:ascii="Book Antiqua" w:hAnsi="Book Antiqua"/>
          <w:sz w:val="24"/>
          <w:szCs w:val="24"/>
        </w:rPr>
        <w:t xml:space="preserve"> that </w:t>
      </w:r>
      <w:r w:rsidR="00705FC6" w:rsidRPr="00691B3F">
        <w:rPr>
          <w:rFonts w:ascii="Book Antiqua" w:hAnsi="Book Antiqua"/>
          <w:sz w:val="24"/>
          <w:szCs w:val="24"/>
        </w:rPr>
        <w:t xml:space="preserve">6% of </w:t>
      </w:r>
      <w:r w:rsidR="009E7BC8" w:rsidRPr="00691B3F">
        <w:rPr>
          <w:rFonts w:ascii="Book Antiqua" w:hAnsi="Book Antiqua"/>
          <w:sz w:val="24"/>
          <w:szCs w:val="24"/>
        </w:rPr>
        <w:t>patients with an acute</w:t>
      </w:r>
      <w:r w:rsidR="00705FC6" w:rsidRPr="00691B3F">
        <w:rPr>
          <w:rFonts w:ascii="Book Antiqua" w:hAnsi="Book Antiqua"/>
          <w:sz w:val="24"/>
          <w:szCs w:val="24"/>
        </w:rPr>
        <w:t xml:space="preserve"> combination medication overdose of </w:t>
      </w:r>
      <w:proofErr w:type="spellStart"/>
      <w:r w:rsidR="00705FC6" w:rsidRPr="00691B3F">
        <w:rPr>
          <w:rFonts w:ascii="Book Antiqua" w:hAnsi="Book Antiqua"/>
          <w:sz w:val="24"/>
          <w:szCs w:val="24"/>
        </w:rPr>
        <w:t>paracetamol</w:t>
      </w:r>
      <w:proofErr w:type="spellEnd"/>
      <w:r w:rsidR="00705FC6" w:rsidRPr="00691B3F">
        <w:rPr>
          <w:rFonts w:ascii="Book Antiqua" w:hAnsi="Book Antiqua"/>
          <w:sz w:val="24"/>
          <w:szCs w:val="24"/>
        </w:rPr>
        <w:t xml:space="preserve"> with antihistamines or opioid</w:t>
      </w:r>
      <w:r w:rsidR="00F43AC1" w:rsidRPr="00691B3F">
        <w:rPr>
          <w:rFonts w:ascii="Book Antiqua" w:hAnsi="Book Antiqua"/>
          <w:sz w:val="24"/>
          <w:szCs w:val="24"/>
        </w:rPr>
        <w:t xml:space="preserve">s had </w:t>
      </w:r>
      <w:proofErr w:type="spellStart"/>
      <w:r w:rsidR="00705FC6" w:rsidRPr="00691B3F">
        <w:rPr>
          <w:rFonts w:ascii="Book Antiqua" w:hAnsi="Book Antiqua"/>
          <w:sz w:val="24"/>
          <w:szCs w:val="24"/>
        </w:rPr>
        <w:t>paracetamol</w:t>
      </w:r>
      <w:proofErr w:type="spellEnd"/>
      <w:r w:rsidR="00705FC6" w:rsidRPr="00691B3F">
        <w:rPr>
          <w:rFonts w:ascii="Book Antiqua" w:hAnsi="Book Antiqua"/>
          <w:sz w:val="24"/>
          <w:szCs w:val="24"/>
        </w:rPr>
        <w:t xml:space="preserve"> levels that were initially low at the 4-hour time mark </w:t>
      </w:r>
      <w:r w:rsidR="00F43AC1" w:rsidRPr="00691B3F">
        <w:rPr>
          <w:rFonts w:ascii="Book Antiqua" w:hAnsi="Book Antiqua"/>
          <w:sz w:val="24"/>
          <w:szCs w:val="24"/>
        </w:rPr>
        <w:t xml:space="preserve">but </w:t>
      </w:r>
      <w:r w:rsidR="00705FC6" w:rsidRPr="00691B3F">
        <w:rPr>
          <w:rFonts w:ascii="Book Antiqua" w:hAnsi="Book Antiqua"/>
          <w:sz w:val="24"/>
          <w:szCs w:val="24"/>
        </w:rPr>
        <w:t xml:space="preserve">were later found to be above the </w:t>
      </w:r>
      <w:r w:rsidR="00F43AC1" w:rsidRPr="00691B3F">
        <w:rPr>
          <w:rFonts w:ascii="Book Antiqua" w:hAnsi="Book Antiqua"/>
          <w:sz w:val="24"/>
          <w:szCs w:val="24"/>
        </w:rPr>
        <w:t xml:space="preserve">150 </w:t>
      </w:r>
      <w:r w:rsidR="00F43AC1" w:rsidRPr="00691B3F">
        <w:rPr>
          <w:rFonts w:ascii="Book Antiqua" w:hAnsi="Book Antiqua" w:cstheme="minorHAnsi"/>
          <w:sz w:val="24"/>
          <w:szCs w:val="24"/>
        </w:rPr>
        <w:t>µ</w:t>
      </w:r>
      <w:r w:rsidR="00F43AC1" w:rsidRPr="00691B3F">
        <w:rPr>
          <w:rFonts w:ascii="Book Antiqua" w:hAnsi="Book Antiqua"/>
          <w:sz w:val="24"/>
          <w:szCs w:val="24"/>
        </w:rPr>
        <w:t xml:space="preserve">g/mL </w:t>
      </w:r>
      <w:r w:rsidR="00705FC6" w:rsidRPr="00691B3F">
        <w:rPr>
          <w:rFonts w:ascii="Book Antiqua" w:hAnsi="Book Antiqua"/>
          <w:sz w:val="24"/>
          <w:szCs w:val="24"/>
        </w:rPr>
        <w:t>treatment threshold.</w:t>
      </w:r>
      <w:r w:rsidR="009E7BC8" w:rsidRPr="00691B3F">
        <w:rPr>
          <w:rFonts w:ascii="Book Antiqua" w:hAnsi="Book Antiqua"/>
          <w:sz w:val="24"/>
          <w:szCs w:val="24"/>
        </w:rPr>
        <w:t xml:space="preserve"> </w:t>
      </w:r>
    </w:p>
    <w:p w14:paraId="544C7C2B" w14:textId="6D353C9B" w:rsidR="00226487" w:rsidRPr="00691B3F" w:rsidRDefault="00A75E20" w:rsidP="00367FE4">
      <w:pPr>
        <w:pStyle w:val="a3"/>
        <w:snapToGrid w:val="0"/>
        <w:spacing w:line="360" w:lineRule="auto"/>
        <w:ind w:firstLineChars="100" w:firstLine="240"/>
        <w:jc w:val="both"/>
        <w:rPr>
          <w:rFonts w:ascii="Book Antiqua" w:hAnsi="Book Antiqua"/>
          <w:sz w:val="24"/>
          <w:szCs w:val="24"/>
        </w:rPr>
      </w:pPr>
      <w:r w:rsidRPr="00691B3F">
        <w:rPr>
          <w:rFonts w:ascii="Book Antiqua" w:hAnsi="Book Antiqua"/>
          <w:sz w:val="24"/>
          <w:szCs w:val="24"/>
        </w:rPr>
        <w:t xml:space="preserve">In conjunction with NAC therapy, activated charcoal has been proven to be beneficial in reducing the number of patients that develop toxic serum </w:t>
      </w:r>
      <w:proofErr w:type="spellStart"/>
      <w:r w:rsidRPr="00691B3F">
        <w:rPr>
          <w:rFonts w:ascii="Book Antiqua" w:hAnsi="Book Antiqua"/>
          <w:sz w:val="24"/>
          <w:szCs w:val="24"/>
        </w:rPr>
        <w:t>paracetamol</w:t>
      </w:r>
      <w:proofErr w:type="spellEnd"/>
      <w:r w:rsidRPr="00691B3F">
        <w:rPr>
          <w:rFonts w:ascii="Book Antiqua" w:hAnsi="Book Antiqua"/>
          <w:sz w:val="24"/>
          <w:szCs w:val="24"/>
        </w:rPr>
        <w:t xml:space="preserve"> levels</w:t>
      </w:r>
      <w:r w:rsidR="00D676D2" w:rsidRPr="00691B3F">
        <w:rPr>
          <w:rFonts w:ascii="Book Antiqua" w:hAnsi="Book Antiqua"/>
          <w:noProof/>
          <w:sz w:val="24"/>
          <w:szCs w:val="24"/>
          <w:vertAlign w:val="superscript"/>
        </w:rPr>
        <w:t>[72]</w:t>
      </w:r>
      <w:r w:rsidRPr="00691B3F">
        <w:rPr>
          <w:rFonts w:ascii="Book Antiqua" w:hAnsi="Book Antiqua"/>
          <w:sz w:val="24"/>
          <w:szCs w:val="24"/>
        </w:rPr>
        <w:t xml:space="preserve"> and has been shown to decrease the extent of liver injury, as evidenced through a reduction in serum transaminase levels and </w:t>
      </w:r>
      <w:proofErr w:type="spellStart"/>
      <w:r w:rsidRPr="00691B3F">
        <w:rPr>
          <w:rFonts w:ascii="Book Antiqua" w:hAnsi="Book Antiqua"/>
          <w:sz w:val="24"/>
          <w:szCs w:val="24"/>
        </w:rPr>
        <w:t>prothrombin</w:t>
      </w:r>
      <w:proofErr w:type="spellEnd"/>
      <w:r w:rsidRPr="00691B3F">
        <w:rPr>
          <w:rFonts w:ascii="Book Antiqua" w:hAnsi="Book Antiqua"/>
          <w:sz w:val="24"/>
          <w:szCs w:val="24"/>
        </w:rPr>
        <w:t xml:space="preserve"> time</w:t>
      </w:r>
      <w:r w:rsidR="00D676D2" w:rsidRPr="00691B3F">
        <w:rPr>
          <w:rFonts w:ascii="Book Antiqua" w:hAnsi="Book Antiqua"/>
          <w:noProof/>
          <w:sz w:val="24"/>
          <w:szCs w:val="24"/>
          <w:vertAlign w:val="superscript"/>
        </w:rPr>
        <w:t>[72,73]</w:t>
      </w:r>
      <w:r w:rsidRPr="00691B3F">
        <w:rPr>
          <w:rFonts w:ascii="Book Antiqua" w:hAnsi="Book Antiqua"/>
          <w:sz w:val="24"/>
          <w:szCs w:val="24"/>
        </w:rPr>
        <w:t>.</w:t>
      </w:r>
      <w:r w:rsidR="000F2238" w:rsidRPr="00691B3F">
        <w:rPr>
          <w:rFonts w:ascii="Book Antiqua" w:hAnsi="Book Antiqua"/>
          <w:sz w:val="24"/>
          <w:szCs w:val="24"/>
        </w:rPr>
        <w:t xml:space="preserve"> </w:t>
      </w:r>
      <w:r w:rsidR="008D3765" w:rsidRPr="00691B3F">
        <w:rPr>
          <w:rFonts w:ascii="Book Antiqua" w:hAnsi="Book Antiqua"/>
          <w:sz w:val="24"/>
          <w:szCs w:val="24"/>
        </w:rPr>
        <w:t xml:space="preserve">Since </w:t>
      </w:r>
      <w:r w:rsidR="00E707B6" w:rsidRPr="00691B3F">
        <w:rPr>
          <w:rFonts w:ascii="Book Antiqua" w:hAnsi="Book Antiqua"/>
          <w:sz w:val="24"/>
          <w:szCs w:val="24"/>
        </w:rPr>
        <w:t xml:space="preserve">the </w:t>
      </w:r>
      <w:r w:rsidR="008D3765" w:rsidRPr="00691B3F">
        <w:rPr>
          <w:rFonts w:ascii="Book Antiqua" w:hAnsi="Book Antiqua"/>
          <w:sz w:val="24"/>
          <w:szCs w:val="24"/>
        </w:rPr>
        <w:t xml:space="preserve">majority of </w:t>
      </w:r>
      <w:proofErr w:type="spellStart"/>
      <w:r w:rsidR="008D3765" w:rsidRPr="00691B3F">
        <w:rPr>
          <w:rFonts w:ascii="Book Antiqua" w:hAnsi="Book Antiqua"/>
          <w:sz w:val="24"/>
          <w:szCs w:val="24"/>
        </w:rPr>
        <w:t>paracetamol</w:t>
      </w:r>
      <w:proofErr w:type="spellEnd"/>
      <w:r w:rsidR="008D3765" w:rsidRPr="00691B3F">
        <w:rPr>
          <w:rFonts w:ascii="Book Antiqua" w:hAnsi="Book Antiqua"/>
          <w:sz w:val="24"/>
          <w:szCs w:val="24"/>
        </w:rPr>
        <w:t xml:space="preserve"> absorption in the gastrointestinal tract occurs within the first </w:t>
      </w:r>
      <w:r w:rsidR="000F2238" w:rsidRPr="00691B3F">
        <w:rPr>
          <w:rFonts w:ascii="Book Antiqua" w:hAnsi="Book Antiqua" w:hint="eastAsia"/>
          <w:sz w:val="24"/>
          <w:szCs w:val="24"/>
          <w:lang w:eastAsia="zh-CN"/>
        </w:rPr>
        <w:t>4</w:t>
      </w:r>
      <w:r w:rsidR="008D3765" w:rsidRPr="00691B3F">
        <w:rPr>
          <w:rFonts w:ascii="Book Antiqua" w:hAnsi="Book Antiqua"/>
          <w:sz w:val="24"/>
          <w:szCs w:val="24"/>
        </w:rPr>
        <w:t xml:space="preserve"> </w:t>
      </w:r>
      <w:proofErr w:type="gramStart"/>
      <w:r w:rsidR="008D3765" w:rsidRPr="00691B3F">
        <w:rPr>
          <w:rFonts w:ascii="Book Antiqua" w:hAnsi="Book Antiqua"/>
          <w:sz w:val="24"/>
          <w:szCs w:val="24"/>
        </w:rPr>
        <w:t>h</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40]</w:t>
      </w:r>
      <w:r w:rsidR="008D3765" w:rsidRPr="00691B3F">
        <w:rPr>
          <w:rFonts w:ascii="Book Antiqua" w:hAnsi="Book Antiqua"/>
          <w:sz w:val="24"/>
          <w:szCs w:val="24"/>
        </w:rPr>
        <w:t>, activated charcoal is generally believed to be most beneficial if administered within that time period</w:t>
      </w:r>
      <w:r w:rsidR="00142DAC" w:rsidRPr="00691B3F">
        <w:rPr>
          <w:rFonts w:ascii="Book Antiqua" w:hAnsi="Book Antiqua"/>
          <w:sz w:val="24"/>
          <w:szCs w:val="24"/>
        </w:rPr>
        <w:t>,</w:t>
      </w:r>
      <w:r w:rsidR="00950E24" w:rsidRPr="00691B3F">
        <w:rPr>
          <w:rFonts w:ascii="Book Antiqua" w:hAnsi="Book Antiqua"/>
          <w:sz w:val="24"/>
          <w:szCs w:val="24"/>
        </w:rPr>
        <w:t xml:space="preserve"> as its mechanism of action is to interfere with </w:t>
      </w:r>
      <w:proofErr w:type="spellStart"/>
      <w:r w:rsidR="00950E24" w:rsidRPr="00691B3F">
        <w:rPr>
          <w:rFonts w:ascii="Book Antiqua" w:hAnsi="Book Antiqua"/>
          <w:sz w:val="24"/>
          <w:szCs w:val="24"/>
        </w:rPr>
        <w:t>paracetamol</w:t>
      </w:r>
      <w:proofErr w:type="spellEnd"/>
      <w:r w:rsidR="00950E24" w:rsidRPr="00691B3F">
        <w:rPr>
          <w:rFonts w:ascii="Book Antiqua" w:hAnsi="Book Antiqua"/>
          <w:sz w:val="24"/>
          <w:szCs w:val="24"/>
        </w:rPr>
        <w:t xml:space="preserve"> absorption</w:t>
      </w:r>
      <w:r w:rsidR="00142DAC" w:rsidRPr="00691B3F">
        <w:rPr>
          <w:rFonts w:ascii="Book Antiqua" w:hAnsi="Book Antiqua"/>
          <w:sz w:val="24"/>
          <w:szCs w:val="24"/>
        </w:rPr>
        <w:t>.</w:t>
      </w:r>
      <w:r w:rsidR="000F2238" w:rsidRPr="00691B3F">
        <w:rPr>
          <w:rFonts w:ascii="Book Antiqua" w:hAnsi="Book Antiqua"/>
          <w:sz w:val="24"/>
          <w:szCs w:val="24"/>
        </w:rPr>
        <w:t xml:space="preserve"> </w:t>
      </w:r>
      <w:r w:rsidR="00142DAC" w:rsidRPr="00691B3F">
        <w:rPr>
          <w:rFonts w:ascii="Book Antiqua" w:hAnsi="Book Antiqua"/>
          <w:sz w:val="24"/>
          <w:szCs w:val="24"/>
        </w:rPr>
        <w:t>However, activated charcoal has been shown to provide</w:t>
      </w:r>
      <w:r w:rsidR="008D3765" w:rsidRPr="00691B3F">
        <w:rPr>
          <w:rFonts w:ascii="Book Antiqua" w:hAnsi="Book Antiqua"/>
          <w:sz w:val="24"/>
          <w:szCs w:val="24"/>
        </w:rPr>
        <w:t xml:space="preserve"> some benefit even with later </w:t>
      </w:r>
      <w:r w:rsidR="008D3765" w:rsidRPr="00691B3F">
        <w:rPr>
          <w:rFonts w:ascii="Book Antiqua" w:hAnsi="Book Antiqua"/>
          <w:sz w:val="24"/>
          <w:szCs w:val="24"/>
        </w:rPr>
        <w:lastRenderedPageBreak/>
        <w:t>administration</w:t>
      </w:r>
      <w:r w:rsidR="00142DAC" w:rsidRPr="00691B3F">
        <w:rPr>
          <w:rFonts w:ascii="Book Antiqua" w:hAnsi="Book Antiqua"/>
          <w:sz w:val="24"/>
          <w:szCs w:val="24"/>
        </w:rPr>
        <w:t xml:space="preserve">, suggesting an additional mechanism for improvement in </w:t>
      </w:r>
      <w:proofErr w:type="gramStart"/>
      <w:r w:rsidR="00142DAC" w:rsidRPr="00691B3F">
        <w:rPr>
          <w:rFonts w:ascii="Book Antiqua" w:hAnsi="Book Antiqua"/>
          <w:sz w:val="24"/>
          <w:szCs w:val="24"/>
        </w:rPr>
        <w:t>hepatotoxicity</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72]</w:t>
      </w:r>
      <w:r w:rsidR="008D3765" w:rsidRPr="00691B3F">
        <w:rPr>
          <w:rFonts w:ascii="Book Antiqua" w:hAnsi="Book Antiqua"/>
          <w:sz w:val="24"/>
          <w:szCs w:val="24"/>
        </w:rPr>
        <w:t>.</w:t>
      </w:r>
    </w:p>
    <w:p w14:paraId="7CE410E3" w14:textId="77777777" w:rsidR="000C433E" w:rsidRPr="00691B3F" w:rsidRDefault="000C433E" w:rsidP="00367FE4">
      <w:pPr>
        <w:pStyle w:val="a3"/>
        <w:snapToGrid w:val="0"/>
        <w:spacing w:line="360" w:lineRule="auto"/>
        <w:jc w:val="both"/>
        <w:rPr>
          <w:rFonts w:ascii="Book Antiqua" w:hAnsi="Book Antiqua"/>
          <w:sz w:val="24"/>
          <w:szCs w:val="24"/>
        </w:rPr>
      </w:pPr>
    </w:p>
    <w:p w14:paraId="2EAB968A" w14:textId="3F25DDB2" w:rsidR="009F7C0D" w:rsidRPr="00691B3F" w:rsidRDefault="009F7C0D" w:rsidP="00367FE4">
      <w:pPr>
        <w:pStyle w:val="a3"/>
        <w:snapToGrid w:val="0"/>
        <w:spacing w:line="360" w:lineRule="auto"/>
        <w:jc w:val="both"/>
        <w:rPr>
          <w:rFonts w:ascii="Book Antiqua" w:hAnsi="Book Antiqua"/>
          <w:b/>
          <w:bCs/>
          <w:sz w:val="24"/>
          <w:szCs w:val="24"/>
        </w:rPr>
      </w:pPr>
      <w:r w:rsidRPr="00691B3F">
        <w:rPr>
          <w:rFonts w:ascii="Book Antiqua" w:hAnsi="Book Antiqua"/>
          <w:b/>
          <w:bCs/>
          <w:i/>
          <w:iCs/>
          <w:sz w:val="24"/>
          <w:szCs w:val="24"/>
        </w:rPr>
        <w:t xml:space="preserve">Treatment </w:t>
      </w:r>
      <w:r w:rsidR="002E63CD" w:rsidRPr="00691B3F">
        <w:rPr>
          <w:rFonts w:ascii="Book Antiqua" w:hAnsi="Book Antiqua"/>
          <w:b/>
          <w:bCs/>
          <w:i/>
          <w:iCs/>
          <w:sz w:val="24"/>
          <w:szCs w:val="24"/>
        </w:rPr>
        <w:t>updates and alternatives</w:t>
      </w:r>
    </w:p>
    <w:p w14:paraId="5298A45A" w14:textId="6C5A9C21" w:rsidR="009F7C0D" w:rsidRPr="00691B3F" w:rsidRDefault="009F7C0D" w:rsidP="00367FE4">
      <w:pPr>
        <w:pStyle w:val="a3"/>
        <w:snapToGrid w:val="0"/>
        <w:spacing w:line="360" w:lineRule="auto"/>
        <w:jc w:val="both"/>
        <w:rPr>
          <w:rFonts w:ascii="Book Antiqua" w:hAnsi="Book Antiqua"/>
          <w:sz w:val="24"/>
          <w:szCs w:val="24"/>
        </w:rPr>
      </w:pPr>
      <w:r w:rsidRPr="00691B3F">
        <w:rPr>
          <w:rFonts w:ascii="Book Antiqua" w:hAnsi="Book Antiqua"/>
          <w:sz w:val="24"/>
          <w:szCs w:val="24"/>
        </w:rPr>
        <w:t xml:space="preserve">While the mechanism of toxicity in </w:t>
      </w:r>
      <w:proofErr w:type="spellStart"/>
      <w:r w:rsidRPr="00691B3F">
        <w:rPr>
          <w:rFonts w:ascii="Book Antiqua" w:hAnsi="Book Antiqua"/>
          <w:sz w:val="24"/>
          <w:szCs w:val="24"/>
        </w:rPr>
        <w:t>paracetamol</w:t>
      </w:r>
      <w:proofErr w:type="spellEnd"/>
      <w:r w:rsidRPr="00691B3F">
        <w:rPr>
          <w:rFonts w:ascii="Book Antiqua" w:hAnsi="Book Antiqua"/>
          <w:sz w:val="24"/>
          <w:szCs w:val="24"/>
        </w:rPr>
        <w:t xml:space="preserve"> overdose is thought to be due to glutathione depletion and subsequent buildup of harmful metabolites as previously mentioned, studies on the repletion of glutathione as a therapy option are few and in early stages but yielded positive results.</w:t>
      </w:r>
      <w:r w:rsidR="000F2238" w:rsidRPr="00691B3F">
        <w:rPr>
          <w:rFonts w:ascii="Book Antiqua" w:hAnsi="Book Antiqua"/>
          <w:sz w:val="24"/>
          <w:szCs w:val="24"/>
        </w:rPr>
        <w:t xml:space="preserve"> </w:t>
      </w:r>
      <w:r w:rsidRPr="00691B3F">
        <w:rPr>
          <w:rFonts w:ascii="Book Antiqua" w:hAnsi="Book Antiqua"/>
          <w:sz w:val="24"/>
          <w:szCs w:val="24"/>
        </w:rPr>
        <w:t xml:space="preserve">In one animal </w:t>
      </w:r>
      <w:proofErr w:type="gramStart"/>
      <w:r w:rsidRPr="00691B3F">
        <w:rPr>
          <w:rFonts w:ascii="Book Antiqua" w:hAnsi="Book Antiqua"/>
          <w:sz w:val="24"/>
          <w:szCs w:val="24"/>
        </w:rPr>
        <w:t>study</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74]</w:t>
      </w:r>
      <w:r w:rsidRPr="00691B3F">
        <w:rPr>
          <w:rFonts w:ascii="Book Antiqua" w:hAnsi="Book Antiqua"/>
          <w:sz w:val="24"/>
          <w:szCs w:val="24"/>
        </w:rPr>
        <w:t xml:space="preserve">, both free and </w:t>
      </w:r>
      <w:proofErr w:type="spellStart"/>
      <w:r w:rsidRPr="00691B3F">
        <w:rPr>
          <w:rFonts w:ascii="Book Antiqua" w:hAnsi="Book Antiqua"/>
          <w:sz w:val="24"/>
          <w:szCs w:val="24"/>
        </w:rPr>
        <w:t>niosomal</w:t>
      </w:r>
      <w:proofErr w:type="spellEnd"/>
      <w:r w:rsidRPr="00691B3F">
        <w:rPr>
          <w:rFonts w:ascii="Book Antiqua" w:hAnsi="Book Antiqua"/>
          <w:sz w:val="24"/>
          <w:szCs w:val="24"/>
        </w:rPr>
        <w:t xml:space="preserve"> (or encapsulated) glutathione administered intravenously had been shown to reduce hepatotoxicity in </w:t>
      </w:r>
      <w:proofErr w:type="spellStart"/>
      <w:r w:rsidRPr="00691B3F">
        <w:rPr>
          <w:rFonts w:ascii="Book Antiqua" w:hAnsi="Book Antiqua"/>
          <w:sz w:val="24"/>
          <w:szCs w:val="24"/>
        </w:rPr>
        <w:t>paracetamol</w:t>
      </w:r>
      <w:proofErr w:type="spellEnd"/>
      <w:r w:rsidRPr="00691B3F">
        <w:rPr>
          <w:rFonts w:ascii="Book Antiqua" w:hAnsi="Book Antiqua"/>
          <w:sz w:val="24"/>
          <w:szCs w:val="24"/>
        </w:rPr>
        <w:t xml:space="preserve"> overdose with serum concentration at 150 mg/kg.</w:t>
      </w:r>
      <w:r w:rsidR="000F2238" w:rsidRPr="00691B3F">
        <w:rPr>
          <w:rFonts w:ascii="Book Antiqua" w:hAnsi="Book Antiqua"/>
          <w:sz w:val="24"/>
          <w:szCs w:val="24"/>
        </w:rPr>
        <w:t xml:space="preserve"> </w:t>
      </w:r>
      <w:r w:rsidRPr="00691B3F">
        <w:rPr>
          <w:rFonts w:ascii="Book Antiqua" w:hAnsi="Book Antiqua"/>
          <w:sz w:val="24"/>
          <w:szCs w:val="24"/>
        </w:rPr>
        <w:t>This promising finding may represent an avenue for treatment in the future after further investigations are performed.</w:t>
      </w:r>
      <w:r w:rsidR="000F2238" w:rsidRPr="00691B3F">
        <w:rPr>
          <w:rFonts w:ascii="Book Antiqua" w:hAnsi="Book Antiqua"/>
          <w:sz w:val="24"/>
          <w:szCs w:val="24"/>
        </w:rPr>
        <w:t xml:space="preserve"> </w:t>
      </w:r>
      <w:r w:rsidR="002B63FF" w:rsidRPr="00691B3F">
        <w:rPr>
          <w:rFonts w:ascii="Book Antiqua" w:hAnsi="Book Antiqua"/>
          <w:sz w:val="24"/>
          <w:szCs w:val="24"/>
        </w:rPr>
        <w:t xml:space="preserve">An additional novel therapy is </w:t>
      </w:r>
      <w:r w:rsidR="002B63FF" w:rsidRPr="00691B3F">
        <w:rPr>
          <w:rFonts w:ascii="Book Antiqua" w:hAnsi="Book Antiqua"/>
          <w:iCs/>
          <w:sz w:val="24"/>
          <w:szCs w:val="24"/>
        </w:rPr>
        <w:t>N</w:t>
      </w:r>
      <w:r w:rsidR="002B63FF" w:rsidRPr="00691B3F">
        <w:rPr>
          <w:rFonts w:ascii="Book Antiqua" w:hAnsi="Book Antiqua"/>
          <w:sz w:val="24"/>
          <w:szCs w:val="24"/>
        </w:rPr>
        <w:t>-</w:t>
      </w:r>
      <w:proofErr w:type="spellStart"/>
      <w:r w:rsidR="002B63FF" w:rsidRPr="00691B3F">
        <w:rPr>
          <w:rFonts w:ascii="Book Antiqua" w:hAnsi="Book Antiqua"/>
          <w:sz w:val="24"/>
          <w:szCs w:val="24"/>
        </w:rPr>
        <w:t>acetylcysteine</w:t>
      </w:r>
      <w:proofErr w:type="spellEnd"/>
      <w:r w:rsidR="002B63FF" w:rsidRPr="00691B3F">
        <w:rPr>
          <w:rFonts w:ascii="Book Antiqua" w:hAnsi="Book Antiqua"/>
          <w:sz w:val="24"/>
          <w:szCs w:val="24"/>
        </w:rPr>
        <w:t xml:space="preserve"> amide (NACA), which is a variant of NAC with an amide in place of a carboxyl group, which in turn increases the compound’s </w:t>
      </w:r>
      <w:proofErr w:type="spellStart"/>
      <w:proofErr w:type="gramStart"/>
      <w:r w:rsidR="002B63FF" w:rsidRPr="00691B3F">
        <w:rPr>
          <w:rFonts w:ascii="Book Antiqua" w:hAnsi="Book Antiqua"/>
          <w:sz w:val="24"/>
          <w:szCs w:val="24"/>
        </w:rPr>
        <w:t>lipophilicity</w:t>
      </w:r>
      <w:proofErr w:type="spellEnd"/>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75]</w:t>
      </w:r>
      <w:r w:rsidR="002B63FF" w:rsidRPr="00691B3F">
        <w:rPr>
          <w:rFonts w:ascii="Book Antiqua" w:hAnsi="Book Antiqua"/>
          <w:sz w:val="24"/>
          <w:szCs w:val="24"/>
        </w:rPr>
        <w:t>.</w:t>
      </w:r>
      <w:r w:rsidR="000F2238" w:rsidRPr="00691B3F">
        <w:rPr>
          <w:rFonts w:ascii="Book Antiqua" w:hAnsi="Book Antiqua"/>
          <w:sz w:val="24"/>
          <w:szCs w:val="24"/>
        </w:rPr>
        <w:t xml:space="preserve"> </w:t>
      </w:r>
      <w:r w:rsidR="002B63FF" w:rsidRPr="00691B3F">
        <w:rPr>
          <w:rFonts w:ascii="Book Antiqua" w:hAnsi="Book Antiqua"/>
          <w:sz w:val="24"/>
          <w:szCs w:val="24"/>
        </w:rPr>
        <w:t>This allows NACA to more easily transverse cell membranes, meaning it is effective at lower doses when compared to NAC</w:t>
      </w:r>
      <w:r w:rsidR="007A50F5" w:rsidRPr="00691B3F">
        <w:rPr>
          <w:rFonts w:ascii="Book Antiqua" w:hAnsi="Book Antiqua"/>
          <w:sz w:val="24"/>
          <w:szCs w:val="24"/>
        </w:rPr>
        <w:t xml:space="preserve"> and potentially avoid some adverse side effects.</w:t>
      </w:r>
      <w:r w:rsidR="000F2238" w:rsidRPr="00691B3F">
        <w:rPr>
          <w:rFonts w:ascii="Book Antiqua" w:hAnsi="Book Antiqua"/>
          <w:sz w:val="24"/>
          <w:szCs w:val="24"/>
        </w:rPr>
        <w:t xml:space="preserve"> </w:t>
      </w:r>
      <w:r w:rsidR="007A50F5" w:rsidRPr="00691B3F">
        <w:rPr>
          <w:rFonts w:ascii="Book Antiqua" w:hAnsi="Book Antiqua"/>
          <w:sz w:val="24"/>
          <w:szCs w:val="24"/>
        </w:rPr>
        <w:t>NACA</w:t>
      </w:r>
      <w:r w:rsidR="00684E80" w:rsidRPr="00691B3F">
        <w:rPr>
          <w:rFonts w:ascii="Book Antiqua" w:hAnsi="Book Antiqua"/>
          <w:sz w:val="24"/>
          <w:szCs w:val="24"/>
        </w:rPr>
        <w:t>’s therapeutic benefit is multifactorial: it acts as a precursor to glutathione, promotes intracellular metabolism of toxic compounds and is a free radical scavenger.</w:t>
      </w:r>
      <w:r w:rsidR="000F2238" w:rsidRPr="00691B3F">
        <w:rPr>
          <w:rFonts w:ascii="Book Antiqua" w:hAnsi="Book Antiqua"/>
          <w:sz w:val="24"/>
          <w:szCs w:val="24"/>
        </w:rPr>
        <w:t xml:space="preserve"> </w:t>
      </w:r>
      <w:r w:rsidR="00684E80" w:rsidRPr="00691B3F">
        <w:rPr>
          <w:rFonts w:ascii="Book Antiqua" w:hAnsi="Book Antiqua"/>
          <w:sz w:val="24"/>
          <w:szCs w:val="24"/>
        </w:rPr>
        <w:t xml:space="preserve">In this study, NACA was </w:t>
      </w:r>
      <w:r w:rsidR="00A5742F" w:rsidRPr="00691B3F">
        <w:rPr>
          <w:rFonts w:ascii="Book Antiqua" w:hAnsi="Book Antiqua"/>
          <w:sz w:val="24"/>
          <w:szCs w:val="24"/>
        </w:rPr>
        <w:t>dosed</w:t>
      </w:r>
      <w:r w:rsidR="002A3F7C" w:rsidRPr="00691B3F">
        <w:rPr>
          <w:rFonts w:ascii="Book Antiqua" w:hAnsi="Book Antiqua"/>
          <w:sz w:val="24"/>
          <w:szCs w:val="24"/>
        </w:rPr>
        <w:t xml:space="preserve"> at 106 mg/kg every 12 h for a maximum of up to 72 h.</w:t>
      </w:r>
      <w:r w:rsidR="000F2238" w:rsidRPr="00691B3F">
        <w:rPr>
          <w:rFonts w:ascii="Book Antiqua" w:hAnsi="Book Antiqua"/>
          <w:sz w:val="24"/>
          <w:szCs w:val="24"/>
        </w:rPr>
        <w:t xml:space="preserve"> </w:t>
      </w:r>
      <w:r w:rsidR="002A3F7C" w:rsidRPr="00691B3F">
        <w:rPr>
          <w:rFonts w:ascii="Book Antiqua" w:hAnsi="Book Antiqua"/>
          <w:sz w:val="24"/>
          <w:szCs w:val="24"/>
        </w:rPr>
        <w:t xml:space="preserve">With this dosing regimen, NACA was found to have increased survival in mice as well as improved ability to decrease damage from oxidation and </w:t>
      </w:r>
      <w:proofErr w:type="spellStart"/>
      <w:r w:rsidR="002A3F7C" w:rsidRPr="00691B3F">
        <w:rPr>
          <w:rFonts w:ascii="Book Antiqua" w:hAnsi="Book Antiqua"/>
          <w:sz w:val="24"/>
          <w:szCs w:val="24"/>
        </w:rPr>
        <w:t>paracetamol</w:t>
      </w:r>
      <w:proofErr w:type="spellEnd"/>
      <w:r w:rsidR="00D676D2" w:rsidRPr="00691B3F">
        <w:rPr>
          <w:rFonts w:ascii="Book Antiqua" w:hAnsi="Book Antiqua"/>
          <w:noProof/>
          <w:sz w:val="24"/>
          <w:szCs w:val="24"/>
          <w:vertAlign w:val="superscript"/>
        </w:rPr>
        <w:t>[75]</w:t>
      </w:r>
      <w:r w:rsidR="002A3F7C" w:rsidRPr="00691B3F">
        <w:rPr>
          <w:rFonts w:ascii="Book Antiqua" w:hAnsi="Book Antiqua"/>
          <w:sz w:val="24"/>
          <w:szCs w:val="24"/>
        </w:rPr>
        <w:t xml:space="preserve">. </w:t>
      </w:r>
    </w:p>
    <w:p w14:paraId="11B0A90D" w14:textId="250537D1" w:rsidR="00B40BC0" w:rsidRPr="00691B3F" w:rsidRDefault="00B62A66" w:rsidP="00367FE4">
      <w:pPr>
        <w:pStyle w:val="a3"/>
        <w:snapToGrid w:val="0"/>
        <w:spacing w:line="360" w:lineRule="auto"/>
        <w:ind w:firstLineChars="100" w:firstLine="240"/>
        <w:jc w:val="both"/>
        <w:rPr>
          <w:rFonts w:ascii="Book Antiqua" w:hAnsi="Book Antiqua"/>
          <w:sz w:val="24"/>
          <w:szCs w:val="24"/>
        </w:rPr>
      </w:pPr>
      <w:r w:rsidRPr="00691B3F">
        <w:rPr>
          <w:rFonts w:ascii="Book Antiqua" w:hAnsi="Book Antiqua"/>
          <w:sz w:val="24"/>
          <w:szCs w:val="24"/>
        </w:rPr>
        <w:t xml:space="preserve">Additionally, recent research has explored the effectiveness of lower doses of NAC in the treatment of hepatotoxicity from </w:t>
      </w:r>
      <w:proofErr w:type="spellStart"/>
      <w:r w:rsidRPr="00691B3F">
        <w:rPr>
          <w:rFonts w:ascii="Book Antiqua" w:hAnsi="Book Antiqua"/>
          <w:sz w:val="24"/>
          <w:szCs w:val="24"/>
        </w:rPr>
        <w:t>paracetamol</w:t>
      </w:r>
      <w:proofErr w:type="spellEnd"/>
      <w:r w:rsidRPr="00691B3F">
        <w:rPr>
          <w:rFonts w:ascii="Book Antiqua" w:hAnsi="Book Antiqua"/>
          <w:sz w:val="24"/>
          <w:szCs w:val="24"/>
        </w:rPr>
        <w:t xml:space="preserve"> overdose.</w:t>
      </w:r>
      <w:r w:rsidR="000F2238" w:rsidRPr="00691B3F">
        <w:rPr>
          <w:rFonts w:ascii="Book Antiqua" w:hAnsi="Book Antiqua"/>
          <w:sz w:val="24"/>
          <w:szCs w:val="24"/>
        </w:rPr>
        <w:t xml:space="preserve"> </w:t>
      </w:r>
      <w:r w:rsidR="00750902" w:rsidRPr="00691B3F">
        <w:rPr>
          <w:rFonts w:ascii="Book Antiqua" w:hAnsi="Book Antiqua"/>
          <w:sz w:val="24"/>
          <w:szCs w:val="24"/>
        </w:rPr>
        <w:t xml:space="preserve">The study by </w:t>
      </w:r>
      <w:proofErr w:type="spellStart"/>
      <w:r w:rsidR="00750902" w:rsidRPr="00691B3F">
        <w:rPr>
          <w:rFonts w:ascii="Book Antiqua" w:hAnsi="Book Antiqua"/>
          <w:sz w:val="24"/>
          <w:szCs w:val="24"/>
        </w:rPr>
        <w:t>Shen</w:t>
      </w:r>
      <w:proofErr w:type="spellEnd"/>
      <w:r w:rsidR="00750902" w:rsidRPr="00691B3F">
        <w:rPr>
          <w:rFonts w:ascii="Book Antiqua" w:hAnsi="Book Antiqua"/>
          <w:sz w:val="24"/>
          <w:szCs w:val="24"/>
        </w:rPr>
        <w:t xml:space="preserve"> </w:t>
      </w:r>
      <w:r w:rsidR="00750902" w:rsidRPr="00691B3F">
        <w:rPr>
          <w:rFonts w:ascii="Book Antiqua" w:hAnsi="Book Antiqua"/>
          <w:i/>
          <w:iCs/>
          <w:sz w:val="24"/>
          <w:szCs w:val="24"/>
        </w:rPr>
        <w:t xml:space="preserve">et </w:t>
      </w:r>
      <w:proofErr w:type="gramStart"/>
      <w:r w:rsidR="00750902" w:rsidRPr="00691B3F">
        <w:rPr>
          <w:rFonts w:ascii="Book Antiqua" w:hAnsi="Book Antiqua"/>
          <w:i/>
          <w:iCs/>
          <w:sz w:val="24"/>
          <w:szCs w:val="24"/>
        </w:rPr>
        <w:t>al</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76]</w:t>
      </w:r>
      <w:r w:rsidR="00750902" w:rsidRPr="00691B3F">
        <w:rPr>
          <w:rFonts w:ascii="Book Antiqua" w:hAnsi="Book Antiqua"/>
          <w:sz w:val="24"/>
          <w:szCs w:val="24"/>
        </w:rPr>
        <w:t xml:space="preserve"> demonstrated that NAC was still effective at an initial lower infusion rate (200 mg/kg over 9 h, or 23 mg/kg/h)</w:t>
      </w:r>
      <w:r w:rsidRPr="00691B3F">
        <w:rPr>
          <w:rFonts w:ascii="Book Antiqua" w:hAnsi="Book Antiqua"/>
          <w:sz w:val="24"/>
          <w:szCs w:val="24"/>
        </w:rPr>
        <w:t xml:space="preserve"> </w:t>
      </w:r>
      <w:r w:rsidR="00750902" w:rsidRPr="00691B3F">
        <w:rPr>
          <w:rFonts w:ascii="Book Antiqua" w:hAnsi="Book Antiqua"/>
          <w:sz w:val="24"/>
          <w:szCs w:val="24"/>
        </w:rPr>
        <w:t>followed by the third dose of the conventional treatment regimen.</w:t>
      </w:r>
      <w:r w:rsidR="000F2238" w:rsidRPr="00691B3F">
        <w:rPr>
          <w:rFonts w:ascii="Book Antiqua" w:hAnsi="Book Antiqua"/>
          <w:sz w:val="24"/>
          <w:szCs w:val="24"/>
        </w:rPr>
        <w:t xml:space="preserve"> </w:t>
      </w:r>
      <w:r w:rsidR="00750902" w:rsidRPr="00691B3F">
        <w:rPr>
          <w:rFonts w:ascii="Book Antiqua" w:hAnsi="Book Antiqua"/>
          <w:sz w:val="24"/>
          <w:szCs w:val="24"/>
        </w:rPr>
        <w:t xml:space="preserve">The lower initial infusion would allow for immediate treatment in suspected acute liver failure from overdose cases to prevent delay while awaiting serum </w:t>
      </w:r>
      <w:proofErr w:type="spellStart"/>
      <w:r w:rsidR="00750902" w:rsidRPr="00691B3F">
        <w:rPr>
          <w:rFonts w:ascii="Book Antiqua" w:hAnsi="Book Antiqua"/>
          <w:sz w:val="24"/>
          <w:szCs w:val="24"/>
        </w:rPr>
        <w:t>paracetamol</w:t>
      </w:r>
      <w:proofErr w:type="spellEnd"/>
      <w:r w:rsidR="00750902" w:rsidRPr="00691B3F">
        <w:rPr>
          <w:rFonts w:ascii="Book Antiqua" w:hAnsi="Book Antiqua"/>
          <w:sz w:val="24"/>
          <w:szCs w:val="24"/>
        </w:rPr>
        <w:t xml:space="preserve"> levels and liver function tests.</w:t>
      </w:r>
      <w:r w:rsidR="000F2238" w:rsidRPr="00691B3F">
        <w:rPr>
          <w:rFonts w:ascii="Book Antiqua" w:hAnsi="Book Antiqua"/>
          <w:sz w:val="24"/>
          <w:szCs w:val="24"/>
        </w:rPr>
        <w:t xml:space="preserve"> </w:t>
      </w:r>
      <w:r w:rsidRPr="00691B3F">
        <w:rPr>
          <w:rFonts w:ascii="Book Antiqua" w:hAnsi="Book Antiqua"/>
          <w:sz w:val="24"/>
          <w:szCs w:val="24"/>
        </w:rPr>
        <w:t xml:space="preserve">This is beneficial as serious adverse events including hypersensitivity reactions, such as rashes to even anaphylaxis, can occur </w:t>
      </w:r>
      <w:r w:rsidRPr="00691B3F">
        <w:rPr>
          <w:rFonts w:ascii="Book Antiqua" w:hAnsi="Book Antiqua"/>
          <w:sz w:val="24"/>
          <w:szCs w:val="24"/>
        </w:rPr>
        <w:lastRenderedPageBreak/>
        <w:t xml:space="preserve">following high dose NAC </w:t>
      </w:r>
      <w:proofErr w:type="gramStart"/>
      <w:r w:rsidRPr="00691B3F">
        <w:rPr>
          <w:rFonts w:ascii="Book Antiqua" w:hAnsi="Book Antiqua"/>
          <w:sz w:val="24"/>
          <w:szCs w:val="24"/>
        </w:rPr>
        <w:t>infusions</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58,77,78]</w:t>
      </w:r>
      <w:r w:rsidRPr="00691B3F">
        <w:rPr>
          <w:rFonts w:ascii="Book Antiqua" w:hAnsi="Book Antiqua"/>
          <w:sz w:val="24"/>
          <w:szCs w:val="24"/>
        </w:rPr>
        <w:t>.</w:t>
      </w:r>
      <w:r w:rsidR="000F2238" w:rsidRPr="00691B3F">
        <w:rPr>
          <w:rFonts w:ascii="Book Antiqua" w:hAnsi="Book Antiqua"/>
          <w:sz w:val="24"/>
          <w:szCs w:val="24"/>
        </w:rPr>
        <w:t xml:space="preserve"> </w:t>
      </w:r>
      <w:r w:rsidR="00B40BC0" w:rsidRPr="00691B3F">
        <w:rPr>
          <w:rFonts w:ascii="Book Antiqua" w:hAnsi="Book Antiqua"/>
          <w:sz w:val="24"/>
          <w:szCs w:val="24"/>
        </w:rPr>
        <w:t>Furthermore</w:t>
      </w:r>
      <w:r w:rsidR="00EC04A3" w:rsidRPr="00691B3F">
        <w:rPr>
          <w:rFonts w:ascii="Book Antiqua" w:hAnsi="Book Antiqua"/>
          <w:sz w:val="24"/>
          <w:szCs w:val="24"/>
        </w:rPr>
        <w:t>,</w:t>
      </w:r>
      <w:r w:rsidR="00B40BC0" w:rsidRPr="00691B3F">
        <w:rPr>
          <w:rFonts w:ascii="Book Antiqua" w:hAnsi="Book Antiqua"/>
          <w:sz w:val="24"/>
          <w:szCs w:val="24"/>
        </w:rPr>
        <w:t xml:space="preserve"> gastric lavage and molecular adsorbent recirculating system (MARS)</w:t>
      </w:r>
      <w:r w:rsidR="00EC04A3" w:rsidRPr="00691B3F">
        <w:rPr>
          <w:rFonts w:ascii="Book Antiqua" w:hAnsi="Book Antiqua"/>
          <w:sz w:val="24"/>
          <w:szCs w:val="24"/>
        </w:rPr>
        <w:t xml:space="preserve"> are two other treatment options for </w:t>
      </w:r>
      <w:proofErr w:type="spellStart"/>
      <w:r w:rsidR="004F25BF" w:rsidRPr="00691B3F">
        <w:rPr>
          <w:rFonts w:ascii="Book Antiqua" w:hAnsi="Book Antiqua"/>
          <w:sz w:val="24"/>
          <w:szCs w:val="24"/>
        </w:rPr>
        <w:t>paracetamol</w:t>
      </w:r>
      <w:proofErr w:type="spellEnd"/>
      <w:r w:rsidR="00EC04A3" w:rsidRPr="00691B3F">
        <w:rPr>
          <w:rFonts w:ascii="Book Antiqua" w:hAnsi="Book Antiqua"/>
          <w:sz w:val="24"/>
          <w:szCs w:val="24"/>
        </w:rPr>
        <w:t xml:space="preserve"> overdose</w:t>
      </w:r>
      <w:r w:rsidR="00B40BC0" w:rsidRPr="00691B3F">
        <w:rPr>
          <w:rFonts w:ascii="Book Antiqua" w:hAnsi="Book Antiqua"/>
          <w:sz w:val="24"/>
          <w:szCs w:val="24"/>
        </w:rPr>
        <w:t>.</w:t>
      </w:r>
      <w:r w:rsidR="000F2238" w:rsidRPr="00691B3F">
        <w:rPr>
          <w:rFonts w:ascii="Book Antiqua" w:hAnsi="Book Antiqua"/>
          <w:sz w:val="24"/>
          <w:szCs w:val="24"/>
        </w:rPr>
        <w:t xml:space="preserve"> </w:t>
      </w:r>
      <w:r w:rsidR="00EC04A3" w:rsidRPr="00691B3F">
        <w:rPr>
          <w:rFonts w:ascii="Book Antiqua" w:hAnsi="Book Antiqua"/>
          <w:sz w:val="24"/>
          <w:szCs w:val="24"/>
        </w:rPr>
        <w:t xml:space="preserve">While gastric lavage is used for numerous types of drug overdose, its use for the treatment of </w:t>
      </w:r>
      <w:proofErr w:type="spellStart"/>
      <w:r w:rsidR="00EC04A3" w:rsidRPr="00691B3F">
        <w:rPr>
          <w:rFonts w:ascii="Book Antiqua" w:hAnsi="Book Antiqua"/>
          <w:sz w:val="24"/>
          <w:szCs w:val="24"/>
        </w:rPr>
        <w:t>paracetamol</w:t>
      </w:r>
      <w:proofErr w:type="spellEnd"/>
      <w:r w:rsidR="00EC04A3" w:rsidRPr="00691B3F">
        <w:rPr>
          <w:rFonts w:ascii="Book Antiqua" w:hAnsi="Book Antiqua"/>
          <w:sz w:val="24"/>
          <w:szCs w:val="24"/>
        </w:rPr>
        <w:t xml:space="preserve"> toxicity has fallen out of favor as there are more effective conventional treatments with better </w:t>
      </w:r>
      <w:proofErr w:type="gramStart"/>
      <w:r w:rsidR="00EC04A3" w:rsidRPr="00691B3F">
        <w:rPr>
          <w:rFonts w:ascii="Book Antiqua" w:hAnsi="Book Antiqua"/>
          <w:sz w:val="24"/>
          <w:szCs w:val="24"/>
        </w:rPr>
        <w:t>outcomes</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79]</w:t>
      </w:r>
      <w:r w:rsidR="00EC04A3" w:rsidRPr="00691B3F">
        <w:rPr>
          <w:rFonts w:ascii="Book Antiqua" w:hAnsi="Book Antiqua"/>
          <w:sz w:val="24"/>
          <w:szCs w:val="24"/>
        </w:rPr>
        <w:t>.</w:t>
      </w:r>
      <w:r w:rsidR="000F2238" w:rsidRPr="00691B3F">
        <w:rPr>
          <w:rFonts w:ascii="Book Antiqua" w:hAnsi="Book Antiqua"/>
          <w:sz w:val="24"/>
          <w:szCs w:val="24"/>
        </w:rPr>
        <w:t xml:space="preserve"> </w:t>
      </w:r>
      <w:r w:rsidR="0075503B" w:rsidRPr="00691B3F">
        <w:rPr>
          <w:rFonts w:ascii="Book Antiqua" w:hAnsi="Book Antiqua"/>
          <w:sz w:val="24"/>
          <w:szCs w:val="24"/>
        </w:rPr>
        <w:t xml:space="preserve">A study looking at the use of MARS in acute liver failure patients showed that this system could increase the removal of </w:t>
      </w:r>
      <w:proofErr w:type="spellStart"/>
      <w:r w:rsidR="0075503B" w:rsidRPr="00691B3F">
        <w:rPr>
          <w:rFonts w:ascii="Book Antiqua" w:hAnsi="Book Antiqua"/>
          <w:sz w:val="24"/>
          <w:szCs w:val="24"/>
        </w:rPr>
        <w:t>paracetamol</w:t>
      </w:r>
      <w:proofErr w:type="spellEnd"/>
      <w:r w:rsidR="0075503B" w:rsidRPr="00691B3F">
        <w:rPr>
          <w:rFonts w:ascii="Book Antiqua" w:hAnsi="Book Antiqua"/>
          <w:sz w:val="24"/>
          <w:szCs w:val="24"/>
        </w:rPr>
        <w:t xml:space="preserve"> </w:t>
      </w:r>
      <w:r w:rsidR="002208C5" w:rsidRPr="00691B3F">
        <w:rPr>
          <w:rFonts w:ascii="Book Antiqua" w:hAnsi="Book Antiqua"/>
          <w:sz w:val="24"/>
          <w:szCs w:val="24"/>
        </w:rPr>
        <w:t xml:space="preserve">and was associated with improved survival times when compared to </w:t>
      </w:r>
      <w:r w:rsidR="00507645" w:rsidRPr="00691B3F">
        <w:rPr>
          <w:rFonts w:ascii="Book Antiqua" w:hAnsi="Book Antiqua"/>
          <w:sz w:val="24"/>
          <w:szCs w:val="24"/>
        </w:rPr>
        <w:t>current standard therapy alone</w:t>
      </w:r>
      <w:r w:rsidR="00D676D2" w:rsidRPr="00691B3F">
        <w:rPr>
          <w:rFonts w:ascii="Book Antiqua" w:hAnsi="Book Antiqua"/>
          <w:noProof/>
          <w:sz w:val="24"/>
          <w:szCs w:val="24"/>
          <w:vertAlign w:val="superscript"/>
        </w:rPr>
        <w:t>[80]</w:t>
      </w:r>
      <w:r w:rsidR="00507645" w:rsidRPr="00691B3F">
        <w:rPr>
          <w:rFonts w:ascii="Book Antiqua" w:hAnsi="Book Antiqua"/>
          <w:sz w:val="24"/>
          <w:szCs w:val="24"/>
        </w:rPr>
        <w:t>.</w:t>
      </w:r>
      <w:r w:rsidR="000F2238" w:rsidRPr="00691B3F">
        <w:rPr>
          <w:rFonts w:ascii="Book Antiqua" w:hAnsi="Book Antiqua"/>
          <w:sz w:val="24"/>
          <w:szCs w:val="24"/>
        </w:rPr>
        <w:t xml:space="preserve"> </w:t>
      </w:r>
    </w:p>
    <w:p w14:paraId="1DAA242A" w14:textId="77777777" w:rsidR="00621CC4" w:rsidRPr="00691B3F" w:rsidRDefault="00621CC4" w:rsidP="00367FE4">
      <w:pPr>
        <w:pStyle w:val="a3"/>
        <w:snapToGrid w:val="0"/>
        <w:spacing w:line="360" w:lineRule="auto"/>
        <w:jc w:val="both"/>
        <w:rPr>
          <w:rFonts w:ascii="Book Antiqua" w:hAnsi="Book Antiqua"/>
          <w:sz w:val="24"/>
          <w:szCs w:val="24"/>
        </w:rPr>
      </w:pPr>
    </w:p>
    <w:p w14:paraId="0B80B28C" w14:textId="5D123E78" w:rsidR="00F50C8C" w:rsidRPr="00691B3F" w:rsidRDefault="009F7C0D" w:rsidP="00367FE4">
      <w:pPr>
        <w:pStyle w:val="a3"/>
        <w:snapToGrid w:val="0"/>
        <w:spacing w:line="360" w:lineRule="auto"/>
        <w:jc w:val="both"/>
        <w:rPr>
          <w:rFonts w:ascii="Book Antiqua" w:hAnsi="Book Antiqua"/>
          <w:b/>
          <w:caps/>
          <w:sz w:val="24"/>
          <w:szCs w:val="24"/>
          <w:u w:val="single"/>
        </w:rPr>
      </w:pPr>
      <w:r w:rsidRPr="00691B3F">
        <w:rPr>
          <w:rFonts w:ascii="Book Antiqua" w:hAnsi="Book Antiqua"/>
          <w:b/>
          <w:caps/>
          <w:sz w:val="24"/>
          <w:szCs w:val="24"/>
          <w:u w:val="single"/>
        </w:rPr>
        <w:t>Clinical</w:t>
      </w:r>
      <w:r w:rsidR="0014445E" w:rsidRPr="00691B3F">
        <w:rPr>
          <w:rFonts w:ascii="Book Antiqua" w:hAnsi="Book Antiqua"/>
          <w:b/>
          <w:caps/>
          <w:sz w:val="24"/>
          <w:szCs w:val="24"/>
          <w:u w:val="single"/>
        </w:rPr>
        <w:t xml:space="preserve"> Outcomes</w:t>
      </w:r>
      <w:r w:rsidRPr="00691B3F">
        <w:rPr>
          <w:rFonts w:ascii="Book Antiqua" w:hAnsi="Book Antiqua"/>
          <w:b/>
          <w:caps/>
          <w:sz w:val="24"/>
          <w:szCs w:val="24"/>
          <w:u w:val="single"/>
        </w:rPr>
        <w:t xml:space="preserve"> </w:t>
      </w:r>
    </w:p>
    <w:p w14:paraId="10FEFD32" w14:textId="5EBB0B43" w:rsidR="00170949" w:rsidRPr="00691B3F" w:rsidRDefault="00170949" w:rsidP="00367FE4">
      <w:pPr>
        <w:pStyle w:val="a3"/>
        <w:snapToGrid w:val="0"/>
        <w:spacing w:line="360" w:lineRule="auto"/>
        <w:jc w:val="both"/>
        <w:rPr>
          <w:rFonts w:ascii="Book Antiqua" w:hAnsi="Book Antiqua"/>
          <w:sz w:val="24"/>
          <w:szCs w:val="24"/>
        </w:rPr>
      </w:pPr>
      <w:r w:rsidRPr="00691B3F">
        <w:rPr>
          <w:rFonts w:ascii="Book Antiqua" w:hAnsi="Book Antiqua"/>
          <w:sz w:val="24"/>
          <w:szCs w:val="24"/>
        </w:rPr>
        <w:t xml:space="preserve">Outcomes of </w:t>
      </w:r>
      <w:proofErr w:type="spellStart"/>
      <w:r w:rsidRPr="00691B3F">
        <w:rPr>
          <w:rFonts w:ascii="Book Antiqua" w:hAnsi="Book Antiqua"/>
          <w:sz w:val="24"/>
          <w:szCs w:val="24"/>
        </w:rPr>
        <w:t>paracetamol</w:t>
      </w:r>
      <w:proofErr w:type="spellEnd"/>
      <w:r w:rsidRPr="00691B3F">
        <w:rPr>
          <w:rFonts w:ascii="Book Antiqua" w:hAnsi="Book Antiqua"/>
          <w:sz w:val="24"/>
          <w:szCs w:val="24"/>
        </w:rPr>
        <w:t xml:space="preserve"> overdose have been reported from numerous countries.</w:t>
      </w:r>
      <w:r w:rsidR="000F2238" w:rsidRPr="00691B3F">
        <w:rPr>
          <w:rFonts w:ascii="Book Antiqua" w:hAnsi="Book Antiqua"/>
          <w:sz w:val="24"/>
          <w:szCs w:val="24"/>
        </w:rPr>
        <w:t xml:space="preserve"> </w:t>
      </w:r>
      <w:r w:rsidRPr="00691B3F">
        <w:rPr>
          <w:rFonts w:ascii="Book Antiqua" w:hAnsi="Book Antiqua"/>
          <w:sz w:val="24"/>
          <w:szCs w:val="24"/>
        </w:rPr>
        <w:t xml:space="preserve">A study from Australia reported over 440 deaths from </w:t>
      </w:r>
      <w:proofErr w:type="spellStart"/>
      <w:r w:rsidRPr="00691B3F">
        <w:rPr>
          <w:rFonts w:ascii="Book Antiqua" w:hAnsi="Book Antiqua"/>
          <w:sz w:val="24"/>
          <w:szCs w:val="24"/>
        </w:rPr>
        <w:t>paracetamol</w:t>
      </w:r>
      <w:proofErr w:type="spellEnd"/>
      <w:r w:rsidRPr="00691B3F">
        <w:rPr>
          <w:rFonts w:ascii="Book Antiqua" w:hAnsi="Book Antiqua"/>
          <w:sz w:val="24"/>
          <w:szCs w:val="24"/>
        </w:rPr>
        <w:t xml:space="preserve"> in combination with codeine from accidental overdose, with roughly 25% of these cases also involving other sedating medications, such as </w:t>
      </w:r>
      <w:proofErr w:type="gramStart"/>
      <w:r w:rsidRPr="00691B3F">
        <w:rPr>
          <w:rFonts w:ascii="Book Antiqua" w:hAnsi="Book Antiqua"/>
          <w:sz w:val="24"/>
          <w:szCs w:val="24"/>
        </w:rPr>
        <w:t>antihistamines</w:t>
      </w:r>
      <w:r w:rsidRPr="00691B3F">
        <w:rPr>
          <w:rFonts w:ascii="Book Antiqua" w:hAnsi="Book Antiqua"/>
          <w:noProof/>
          <w:sz w:val="24"/>
          <w:szCs w:val="24"/>
          <w:vertAlign w:val="superscript"/>
        </w:rPr>
        <w:t>[</w:t>
      </w:r>
      <w:proofErr w:type="gramEnd"/>
      <w:r w:rsidRPr="00691B3F">
        <w:rPr>
          <w:rFonts w:ascii="Book Antiqua" w:hAnsi="Book Antiqua"/>
          <w:noProof/>
          <w:sz w:val="24"/>
          <w:szCs w:val="24"/>
          <w:vertAlign w:val="superscript"/>
        </w:rPr>
        <w:t>81]</w:t>
      </w:r>
      <w:r w:rsidRPr="00691B3F">
        <w:rPr>
          <w:rFonts w:ascii="Book Antiqua" w:hAnsi="Book Antiqua"/>
          <w:sz w:val="24"/>
          <w:szCs w:val="24"/>
        </w:rPr>
        <w:t>.</w:t>
      </w:r>
      <w:r w:rsidR="000F2238" w:rsidRPr="00691B3F">
        <w:rPr>
          <w:rFonts w:ascii="Book Antiqua" w:hAnsi="Book Antiqua"/>
          <w:sz w:val="24"/>
          <w:szCs w:val="24"/>
        </w:rPr>
        <w:t xml:space="preserve"> </w:t>
      </w:r>
      <w:r w:rsidRPr="00691B3F">
        <w:rPr>
          <w:rFonts w:ascii="Book Antiqua" w:hAnsi="Book Antiqua"/>
          <w:sz w:val="24"/>
          <w:szCs w:val="24"/>
        </w:rPr>
        <w:t xml:space="preserve">While </w:t>
      </w:r>
      <w:proofErr w:type="spellStart"/>
      <w:r w:rsidRPr="00691B3F">
        <w:rPr>
          <w:rFonts w:ascii="Book Antiqua" w:hAnsi="Book Antiqua"/>
          <w:sz w:val="24"/>
          <w:szCs w:val="24"/>
        </w:rPr>
        <w:t>paracetamol</w:t>
      </w:r>
      <w:proofErr w:type="spellEnd"/>
      <w:r w:rsidRPr="00691B3F">
        <w:rPr>
          <w:rFonts w:ascii="Book Antiqua" w:hAnsi="Book Antiqua"/>
          <w:sz w:val="24"/>
          <w:szCs w:val="24"/>
        </w:rPr>
        <w:t xml:space="preserve"> has been the main cause of DILI in the United States and the England, it is less common in other European countries, such as Portugal and Germany, only making up roughly 10% of ALF cases according to the European Liver Transplant Registry (ELTR) </w:t>
      </w:r>
      <w:proofErr w:type="gramStart"/>
      <w:r w:rsidRPr="00691B3F">
        <w:rPr>
          <w:rFonts w:ascii="Book Antiqua" w:hAnsi="Book Antiqua"/>
          <w:sz w:val="24"/>
          <w:szCs w:val="24"/>
        </w:rPr>
        <w:t>database</w:t>
      </w:r>
      <w:r w:rsidRPr="00691B3F">
        <w:rPr>
          <w:rFonts w:ascii="Book Antiqua" w:hAnsi="Book Antiqua"/>
          <w:noProof/>
          <w:sz w:val="24"/>
          <w:szCs w:val="24"/>
          <w:vertAlign w:val="superscript"/>
        </w:rPr>
        <w:t>[</w:t>
      </w:r>
      <w:proofErr w:type="gramEnd"/>
      <w:r w:rsidRPr="00691B3F">
        <w:rPr>
          <w:rFonts w:ascii="Book Antiqua" w:hAnsi="Book Antiqua"/>
          <w:noProof/>
          <w:sz w:val="24"/>
          <w:szCs w:val="24"/>
          <w:vertAlign w:val="superscript"/>
        </w:rPr>
        <w:t>82]</w:t>
      </w:r>
      <w:r w:rsidRPr="00691B3F">
        <w:rPr>
          <w:rFonts w:ascii="Book Antiqua" w:hAnsi="Book Antiqua"/>
          <w:sz w:val="24"/>
          <w:szCs w:val="24"/>
        </w:rPr>
        <w:t>.</w:t>
      </w:r>
      <w:r w:rsidR="000F2238" w:rsidRPr="00691B3F">
        <w:rPr>
          <w:rFonts w:ascii="Book Antiqua" w:hAnsi="Book Antiqua"/>
          <w:sz w:val="24"/>
          <w:szCs w:val="24"/>
        </w:rPr>
        <w:t xml:space="preserve"> </w:t>
      </w:r>
      <w:r w:rsidRPr="00691B3F">
        <w:rPr>
          <w:rFonts w:ascii="Book Antiqua" w:hAnsi="Book Antiqua"/>
          <w:sz w:val="24"/>
          <w:szCs w:val="24"/>
        </w:rPr>
        <w:t xml:space="preserve">In part, this could be from the increased usage of </w:t>
      </w:r>
      <w:proofErr w:type="spellStart"/>
      <w:r w:rsidRPr="00691B3F">
        <w:rPr>
          <w:rFonts w:ascii="Book Antiqua" w:hAnsi="Book Antiqua"/>
          <w:sz w:val="24"/>
          <w:szCs w:val="24"/>
        </w:rPr>
        <w:t>paracetamol</w:t>
      </w:r>
      <w:proofErr w:type="spellEnd"/>
      <w:r w:rsidRPr="00691B3F">
        <w:rPr>
          <w:rFonts w:ascii="Book Antiqua" w:hAnsi="Book Antiqua"/>
          <w:sz w:val="24"/>
          <w:szCs w:val="24"/>
        </w:rPr>
        <w:t xml:space="preserve"> intake in the United States in comparison to European countries.</w:t>
      </w:r>
      <w:r w:rsidR="000F2238" w:rsidRPr="00691B3F">
        <w:rPr>
          <w:rFonts w:ascii="Book Antiqua" w:hAnsi="Book Antiqua"/>
          <w:sz w:val="24"/>
          <w:szCs w:val="24"/>
        </w:rPr>
        <w:t xml:space="preserve"> </w:t>
      </w:r>
      <w:r w:rsidRPr="00691B3F">
        <w:rPr>
          <w:rFonts w:ascii="Book Antiqua" w:hAnsi="Book Antiqua"/>
          <w:sz w:val="24"/>
          <w:szCs w:val="24"/>
        </w:rPr>
        <w:t xml:space="preserve">A summary of clinical outcomes from </w:t>
      </w:r>
      <w:proofErr w:type="spellStart"/>
      <w:r w:rsidRPr="00691B3F">
        <w:rPr>
          <w:rFonts w:ascii="Book Antiqua" w:hAnsi="Book Antiqua"/>
          <w:sz w:val="24"/>
          <w:szCs w:val="24"/>
        </w:rPr>
        <w:t>paracetamol</w:t>
      </w:r>
      <w:proofErr w:type="spellEnd"/>
      <w:r w:rsidRPr="00691B3F">
        <w:rPr>
          <w:rFonts w:ascii="Book Antiqua" w:hAnsi="Book Antiqua"/>
          <w:sz w:val="24"/>
          <w:szCs w:val="24"/>
        </w:rPr>
        <w:t>-induced acute liver failure can be found in Table 2.</w:t>
      </w:r>
    </w:p>
    <w:p w14:paraId="3338EF8A" w14:textId="3053AD9E" w:rsidR="009F7C0D" w:rsidRPr="00691B3F" w:rsidRDefault="004E2A16" w:rsidP="00367FE4">
      <w:pPr>
        <w:pStyle w:val="a3"/>
        <w:snapToGrid w:val="0"/>
        <w:spacing w:line="360" w:lineRule="auto"/>
        <w:ind w:firstLineChars="100" w:firstLine="240"/>
        <w:jc w:val="both"/>
        <w:rPr>
          <w:rFonts w:ascii="Book Antiqua" w:hAnsi="Book Antiqua"/>
          <w:sz w:val="24"/>
          <w:szCs w:val="24"/>
        </w:rPr>
      </w:pPr>
      <w:r w:rsidRPr="00691B3F">
        <w:rPr>
          <w:rFonts w:ascii="Book Antiqua" w:hAnsi="Book Antiqua"/>
          <w:sz w:val="24"/>
          <w:szCs w:val="24"/>
        </w:rPr>
        <w:t xml:space="preserve">Recently, a multinational study, the </w:t>
      </w:r>
      <w:bookmarkStart w:id="39" w:name="_Hlk12524474"/>
      <w:r w:rsidRPr="00691B3F">
        <w:rPr>
          <w:rFonts w:ascii="Book Antiqua" w:hAnsi="Book Antiqua"/>
          <w:sz w:val="24"/>
          <w:szCs w:val="24"/>
        </w:rPr>
        <w:t xml:space="preserve">Study of Acute Liver Transplantation </w:t>
      </w:r>
      <w:bookmarkEnd w:id="39"/>
      <w:r w:rsidRPr="00691B3F">
        <w:rPr>
          <w:rFonts w:ascii="Book Antiqua" w:hAnsi="Book Antiqua"/>
          <w:sz w:val="24"/>
          <w:szCs w:val="24"/>
        </w:rPr>
        <w:t>(SALT</w:t>
      </w:r>
      <w:proofErr w:type="gramStart"/>
      <w:r w:rsidRPr="00691B3F">
        <w:rPr>
          <w:rFonts w:ascii="Book Antiqua" w:hAnsi="Book Antiqua"/>
          <w:sz w:val="24"/>
          <w:szCs w:val="24"/>
        </w:rPr>
        <w:t>)</w:t>
      </w:r>
      <w:r w:rsidR="00170949" w:rsidRPr="00691B3F">
        <w:rPr>
          <w:rFonts w:ascii="Book Antiqua" w:hAnsi="Book Antiqua"/>
          <w:noProof/>
          <w:sz w:val="24"/>
          <w:szCs w:val="24"/>
          <w:vertAlign w:val="superscript"/>
        </w:rPr>
        <w:t>[</w:t>
      </w:r>
      <w:proofErr w:type="gramEnd"/>
      <w:r w:rsidR="00170949" w:rsidRPr="00691B3F">
        <w:rPr>
          <w:rFonts w:ascii="Book Antiqua" w:hAnsi="Book Antiqua"/>
          <w:noProof/>
          <w:sz w:val="24"/>
          <w:szCs w:val="24"/>
          <w:vertAlign w:val="superscript"/>
        </w:rPr>
        <w:t>86]</w:t>
      </w:r>
      <w:r w:rsidRPr="00691B3F">
        <w:rPr>
          <w:rFonts w:ascii="Book Antiqua" w:hAnsi="Book Antiqua"/>
          <w:sz w:val="24"/>
          <w:szCs w:val="24"/>
        </w:rPr>
        <w:t xml:space="preserve">, identified cases where drug </w:t>
      </w:r>
      <w:r w:rsidR="008717DD" w:rsidRPr="00691B3F">
        <w:rPr>
          <w:rFonts w:ascii="Book Antiqua" w:hAnsi="Book Antiqua"/>
          <w:sz w:val="24"/>
          <w:szCs w:val="24"/>
        </w:rPr>
        <w:t>exposure, specifically</w:t>
      </w:r>
      <w:r w:rsidR="00652360" w:rsidRPr="00691B3F">
        <w:rPr>
          <w:rFonts w:ascii="Book Antiqua" w:hAnsi="Book Antiqua"/>
          <w:sz w:val="24"/>
          <w:szCs w:val="24"/>
        </w:rPr>
        <w:t xml:space="preserve"> </w:t>
      </w:r>
      <w:proofErr w:type="spellStart"/>
      <w:r w:rsidR="0042247A" w:rsidRPr="00691B3F">
        <w:rPr>
          <w:rFonts w:ascii="Book Antiqua" w:hAnsi="Book Antiqua"/>
          <w:sz w:val="24"/>
          <w:szCs w:val="24"/>
        </w:rPr>
        <w:t>n</w:t>
      </w:r>
      <w:r w:rsidR="00652360" w:rsidRPr="00691B3F">
        <w:rPr>
          <w:rFonts w:ascii="Book Antiqua" w:hAnsi="Book Antiqua"/>
          <w:sz w:val="24"/>
          <w:szCs w:val="24"/>
        </w:rPr>
        <w:t>onsteroidal</w:t>
      </w:r>
      <w:proofErr w:type="spellEnd"/>
      <w:r w:rsidR="00652360" w:rsidRPr="00691B3F">
        <w:rPr>
          <w:rFonts w:ascii="Book Antiqua" w:hAnsi="Book Antiqua"/>
          <w:sz w:val="24"/>
          <w:szCs w:val="24"/>
        </w:rPr>
        <w:t xml:space="preserve"> anti-inflammatory drugs</w:t>
      </w:r>
      <w:r w:rsidR="008717DD" w:rsidRPr="00691B3F">
        <w:rPr>
          <w:rFonts w:ascii="Book Antiqua" w:hAnsi="Book Antiqua"/>
          <w:sz w:val="24"/>
          <w:szCs w:val="24"/>
        </w:rPr>
        <w:t xml:space="preserve"> </w:t>
      </w:r>
      <w:r w:rsidR="00652360" w:rsidRPr="00691B3F">
        <w:rPr>
          <w:rFonts w:ascii="Book Antiqua" w:hAnsi="Book Antiqua"/>
          <w:sz w:val="24"/>
          <w:szCs w:val="24"/>
        </w:rPr>
        <w:t>(</w:t>
      </w:r>
      <w:r w:rsidR="008717DD" w:rsidRPr="00691B3F">
        <w:rPr>
          <w:rFonts w:ascii="Book Antiqua" w:hAnsi="Book Antiqua"/>
          <w:sz w:val="24"/>
          <w:szCs w:val="24"/>
        </w:rPr>
        <w:t>NSAIDs</w:t>
      </w:r>
      <w:r w:rsidR="00652360" w:rsidRPr="00691B3F">
        <w:rPr>
          <w:rFonts w:ascii="Book Antiqua" w:hAnsi="Book Antiqua"/>
          <w:sz w:val="24"/>
          <w:szCs w:val="24"/>
        </w:rPr>
        <w:t>)</w:t>
      </w:r>
      <w:r w:rsidR="008717DD" w:rsidRPr="00691B3F">
        <w:rPr>
          <w:rFonts w:ascii="Book Antiqua" w:hAnsi="Book Antiqua"/>
          <w:sz w:val="24"/>
          <w:szCs w:val="24"/>
        </w:rPr>
        <w:t xml:space="preserve"> and </w:t>
      </w:r>
      <w:proofErr w:type="spellStart"/>
      <w:r w:rsidR="008717DD" w:rsidRPr="00691B3F">
        <w:rPr>
          <w:rFonts w:ascii="Book Antiqua" w:hAnsi="Book Antiqua"/>
          <w:sz w:val="24"/>
          <w:szCs w:val="24"/>
        </w:rPr>
        <w:t>paracetamol</w:t>
      </w:r>
      <w:proofErr w:type="spellEnd"/>
      <w:r w:rsidR="008717DD" w:rsidRPr="00691B3F">
        <w:rPr>
          <w:rFonts w:ascii="Book Antiqua" w:hAnsi="Book Antiqua"/>
          <w:sz w:val="24"/>
          <w:szCs w:val="24"/>
        </w:rPr>
        <w:t>,</w:t>
      </w:r>
      <w:r w:rsidRPr="00691B3F">
        <w:rPr>
          <w:rFonts w:ascii="Book Antiqua" w:hAnsi="Book Antiqua"/>
          <w:sz w:val="24"/>
          <w:szCs w:val="24"/>
        </w:rPr>
        <w:t xml:space="preserve"> had led to acute liver failure and resultant registration for liver transplantation.</w:t>
      </w:r>
      <w:r w:rsidR="000F2238" w:rsidRPr="00691B3F">
        <w:rPr>
          <w:rFonts w:ascii="Book Antiqua" w:hAnsi="Book Antiqua"/>
          <w:sz w:val="24"/>
          <w:szCs w:val="24"/>
        </w:rPr>
        <w:t xml:space="preserve"> </w:t>
      </w:r>
      <w:r w:rsidR="008717DD" w:rsidRPr="00691B3F">
        <w:rPr>
          <w:rFonts w:ascii="Book Antiqua" w:hAnsi="Book Antiqua"/>
          <w:sz w:val="24"/>
          <w:szCs w:val="24"/>
        </w:rPr>
        <w:t>Among all the individuals in the study, there was no significant difference in the development of acute liver failure in the setting of exposure to</w:t>
      </w:r>
      <w:r w:rsidR="00847977" w:rsidRPr="00691B3F">
        <w:rPr>
          <w:rFonts w:ascii="Book Antiqua" w:hAnsi="Book Antiqua"/>
          <w:sz w:val="24"/>
          <w:szCs w:val="24"/>
        </w:rPr>
        <w:t xml:space="preserve"> various</w:t>
      </w:r>
      <w:r w:rsidR="008717DD" w:rsidRPr="00691B3F">
        <w:rPr>
          <w:rFonts w:ascii="Book Antiqua" w:hAnsi="Book Antiqua"/>
          <w:sz w:val="24"/>
          <w:szCs w:val="24"/>
        </w:rPr>
        <w:t xml:space="preserve"> NSAIDs </w:t>
      </w:r>
      <w:r w:rsidR="008E4714" w:rsidRPr="00691B3F">
        <w:rPr>
          <w:rFonts w:ascii="Book Antiqua" w:hAnsi="Book Antiqua"/>
          <w:sz w:val="24"/>
          <w:szCs w:val="24"/>
        </w:rPr>
        <w:t xml:space="preserve">with incidence of </w:t>
      </w:r>
      <w:r w:rsidR="008717DD" w:rsidRPr="00691B3F">
        <w:rPr>
          <w:rFonts w:ascii="Book Antiqua" w:hAnsi="Book Antiqua"/>
          <w:sz w:val="24"/>
          <w:szCs w:val="24"/>
        </w:rPr>
        <w:t>patients registered for liver transplantation</w:t>
      </w:r>
      <w:r w:rsidR="008E4714" w:rsidRPr="00691B3F">
        <w:rPr>
          <w:rFonts w:ascii="Book Antiqua" w:hAnsi="Book Antiqua"/>
          <w:sz w:val="24"/>
          <w:szCs w:val="24"/>
        </w:rPr>
        <w:t xml:space="preserve"> in these cases being rare.</w:t>
      </w:r>
      <w:r w:rsidR="000F2238" w:rsidRPr="00691B3F">
        <w:rPr>
          <w:rFonts w:ascii="Book Antiqua" w:hAnsi="Book Antiqua"/>
          <w:sz w:val="24"/>
          <w:szCs w:val="24"/>
        </w:rPr>
        <w:t xml:space="preserve"> </w:t>
      </w:r>
      <w:r w:rsidR="008E4714" w:rsidRPr="00691B3F">
        <w:rPr>
          <w:rFonts w:ascii="Book Antiqua" w:hAnsi="Book Antiqua"/>
          <w:sz w:val="24"/>
          <w:szCs w:val="24"/>
        </w:rPr>
        <w:t xml:space="preserve">In comparison, </w:t>
      </w:r>
      <w:proofErr w:type="spellStart"/>
      <w:r w:rsidR="008E4714" w:rsidRPr="00691B3F">
        <w:rPr>
          <w:rFonts w:ascii="Book Antiqua" w:hAnsi="Book Antiqua"/>
          <w:sz w:val="24"/>
          <w:szCs w:val="24"/>
        </w:rPr>
        <w:t>paracetamol</w:t>
      </w:r>
      <w:proofErr w:type="spellEnd"/>
      <w:r w:rsidR="008E4714" w:rsidRPr="00691B3F">
        <w:rPr>
          <w:rFonts w:ascii="Book Antiqua" w:hAnsi="Book Antiqua"/>
          <w:sz w:val="24"/>
          <w:szCs w:val="24"/>
        </w:rPr>
        <w:t xml:space="preserve"> was associated with a three-fold higher risk</w:t>
      </w:r>
      <w:r w:rsidR="005A508D" w:rsidRPr="00691B3F">
        <w:rPr>
          <w:rFonts w:ascii="Book Antiqua" w:hAnsi="Book Antiqua"/>
          <w:sz w:val="24"/>
          <w:szCs w:val="24"/>
        </w:rPr>
        <w:t xml:space="preserve"> of being registered for liver transplantation from associated acute liver injury</w:t>
      </w:r>
      <w:r w:rsidR="008E4714" w:rsidRPr="00691B3F">
        <w:rPr>
          <w:rFonts w:ascii="Book Antiqua" w:hAnsi="Book Antiqua"/>
          <w:sz w:val="24"/>
          <w:szCs w:val="24"/>
        </w:rPr>
        <w:t xml:space="preserve"> in non-overdose levels</w:t>
      </w:r>
      <w:r w:rsidR="005A508D" w:rsidRPr="00691B3F">
        <w:rPr>
          <w:rFonts w:ascii="Book Antiqua" w:hAnsi="Book Antiqua"/>
          <w:sz w:val="24"/>
          <w:szCs w:val="24"/>
        </w:rPr>
        <w:t xml:space="preserve"> and </w:t>
      </w:r>
      <w:r w:rsidR="00EC04A3" w:rsidRPr="00691B3F">
        <w:rPr>
          <w:rFonts w:ascii="Book Antiqua" w:hAnsi="Book Antiqua"/>
          <w:sz w:val="24"/>
          <w:szCs w:val="24"/>
        </w:rPr>
        <w:t xml:space="preserve">a </w:t>
      </w:r>
      <w:r w:rsidR="005A508D" w:rsidRPr="00691B3F">
        <w:rPr>
          <w:rFonts w:ascii="Book Antiqua" w:hAnsi="Book Antiqua"/>
          <w:sz w:val="24"/>
          <w:szCs w:val="24"/>
        </w:rPr>
        <w:t xml:space="preserve">seven-fold higher in overdose </w:t>
      </w:r>
      <w:r w:rsidR="005A508D" w:rsidRPr="00691B3F">
        <w:rPr>
          <w:rFonts w:ascii="Book Antiqua" w:hAnsi="Book Antiqua"/>
          <w:sz w:val="24"/>
          <w:szCs w:val="24"/>
        </w:rPr>
        <w:lastRenderedPageBreak/>
        <w:t xml:space="preserve">levels of </w:t>
      </w:r>
      <w:proofErr w:type="spellStart"/>
      <w:r w:rsidR="005A508D" w:rsidRPr="00691B3F">
        <w:rPr>
          <w:rFonts w:ascii="Book Antiqua" w:hAnsi="Book Antiqua"/>
          <w:sz w:val="24"/>
          <w:szCs w:val="24"/>
        </w:rPr>
        <w:t>paracetamol</w:t>
      </w:r>
      <w:proofErr w:type="spellEnd"/>
      <w:r w:rsidR="005A508D" w:rsidRPr="00691B3F">
        <w:rPr>
          <w:rFonts w:ascii="Book Antiqua" w:hAnsi="Book Antiqua"/>
          <w:sz w:val="24"/>
          <w:szCs w:val="24"/>
        </w:rPr>
        <w:t xml:space="preserve"> </w:t>
      </w:r>
      <w:proofErr w:type="gramStart"/>
      <w:r w:rsidR="005A508D" w:rsidRPr="00691B3F">
        <w:rPr>
          <w:rFonts w:ascii="Book Antiqua" w:hAnsi="Book Antiqua"/>
          <w:sz w:val="24"/>
          <w:szCs w:val="24"/>
        </w:rPr>
        <w:t>exposure</w:t>
      </w:r>
      <w:r w:rsidR="00170949" w:rsidRPr="00691B3F">
        <w:rPr>
          <w:rFonts w:ascii="Book Antiqua" w:hAnsi="Book Antiqua"/>
          <w:noProof/>
          <w:sz w:val="24"/>
          <w:szCs w:val="24"/>
          <w:vertAlign w:val="superscript"/>
        </w:rPr>
        <w:t>[</w:t>
      </w:r>
      <w:proofErr w:type="gramEnd"/>
      <w:r w:rsidR="00170949" w:rsidRPr="00691B3F">
        <w:rPr>
          <w:rFonts w:ascii="Book Antiqua" w:hAnsi="Book Antiqua"/>
          <w:noProof/>
          <w:sz w:val="24"/>
          <w:szCs w:val="24"/>
          <w:vertAlign w:val="superscript"/>
        </w:rPr>
        <w:t>86]</w:t>
      </w:r>
      <w:r w:rsidR="005A508D" w:rsidRPr="00691B3F">
        <w:rPr>
          <w:rFonts w:ascii="Book Antiqua" w:hAnsi="Book Antiqua"/>
          <w:sz w:val="24"/>
          <w:szCs w:val="24"/>
        </w:rPr>
        <w:t>.</w:t>
      </w:r>
      <w:r w:rsidR="000F2238" w:rsidRPr="00691B3F">
        <w:rPr>
          <w:rFonts w:ascii="Book Antiqua" w:hAnsi="Book Antiqua"/>
          <w:sz w:val="24"/>
          <w:szCs w:val="24"/>
        </w:rPr>
        <w:t xml:space="preserve"> </w:t>
      </w:r>
      <w:r w:rsidR="008717DD" w:rsidRPr="00691B3F">
        <w:rPr>
          <w:rFonts w:ascii="Book Antiqua" w:hAnsi="Book Antiqua"/>
          <w:sz w:val="24"/>
          <w:szCs w:val="24"/>
        </w:rPr>
        <w:t>In a follow up s</w:t>
      </w:r>
      <w:r w:rsidR="00E4038C" w:rsidRPr="00691B3F">
        <w:rPr>
          <w:rFonts w:ascii="Book Antiqua" w:hAnsi="Book Antiqua"/>
          <w:sz w:val="24"/>
          <w:szCs w:val="24"/>
        </w:rPr>
        <w:t>tudy</w:t>
      </w:r>
      <w:r w:rsidR="008717DD" w:rsidRPr="00691B3F">
        <w:rPr>
          <w:rFonts w:ascii="Book Antiqua" w:hAnsi="Book Antiqua"/>
          <w:sz w:val="24"/>
          <w:szCs w:val="24"/>
        </w:rPr>
        <w:t xml:space="preserve">, </w:t>
      </w:r>
      <w:proofErr w:type="spellStart"/>
      <w:r w:rsidR="00E4038C" w:rsidRPr="00691B3F">
        <w:rPr>
          <w:rFonts w:ascii="Book Antiqua" w:hAnsi="Book Antiqua"/>
          <w:sz w:val="24"/>
          <w:szCs w:val="24"/>
        </w:rPr>
        <w:t>Gulmez</w:t>
      </w:r>
      <w:proofErr w:type="spellEnd"/>
      <w:r w:rsidR="00E4038C" w:rsidRPr="00691B3F">
        <w:rPr>
          <w:rFonts w:ascii="Book Antiqua" w:hAnsi="Book Antiqua"/>
          <w:sz w:val="24"/>
          <w:szCs w:val="24"/>
        </w:rPr>
        <w:t xml:space="preserve"> </w:t>
      </w:r>
      <w:r w:rsidR="00E4038C" w:rsidRPr="00691B3F">
        <w:rPr>
          <w:rFonts w:ascii="Book Antiqua" w:hAnsi="Book Antiqua"/>
          <w:i/>
          <w:iCs/>
          <w:sz w:val="24"/>
          <w:szCs w:val="24"/>
        </w:rPr>
        <w:t xml:space="preserve">et </w:t>
      </w:r>
      <w:proofErr w:type="gramStart"/>
      <w:r w:rsidR="00E4038C" w:rsidRPr="00691B3F">
        <w:rPr>
          <w:rFonts w:ascii="Book Antiqua" w:hAnsi="Book Antiqua"/>
          <w:i/>
          <w:iCs/>
          <w:sz w:val="24"/>
          <w:szCs w:val="24"/>
        </w:rPr>
        <w:t>al</w:t>
      </w:r>
      <w:r w:rsidR="00170949" w:rsidRPr="00691B3F">
        <w:rPr>
          <w:rFonts w:ascii="Book Antiqua" w:hAnsi="Book Antiqua"/>
          <w:noProof/>
          <w:sz w:val="24"/>
          <w:szCs w:val="24"/>
          <w:vertAlign w:val="superscript"/>
        </w:rPr>
        <w:t>[</w:t>
      </w:r>
      <w:proofErr w:type="gramEnd"/>
      <w:r w:rsidR="00170949" w:rsidRPr="00691B3F">
        <w:rPr>
          <w:rFonts w:ascii="Book Antiqua" w:hAnsi="Book Antiqua"/>
          <w:noProof/>
          <w:sz w:val="24"/>
          <w:szCs w:val="24"/>
          <w:vertAlign w:val="superscript"/>
        </w:rPr>
        <w:t>87]</w:t>
      </w:r>
      <w:r w:rsidR="00E4038C" w:rsidRPr="00691B3F">
        <w:rPr>
          <w:rFonts w:ascii="Book Antiqua" w:hAnsi="Book Antiqua"/>
          <w:sz w:val="24"/>
          <w:szCs w:val="24"/>
        </w:rPr>
        <w:t xml:space="preserve"> </w:t>
      </w:r>
      <w:r w:rsidR="00434930" w:rsidRPr="00691B3F">
        <w:rPr>
          <w:rFonts w:ascii="Book Antiqua" w:hAnsi="Book Antiqua"/>
          <w:sz w:val="24"/>
          <w:szCs w:val="24"/>
        </w:rPr>
        <w:t>analyzed</w:t>
      </w:r>
      <w:r w:rsidR="00E4038C" w:rsidRPr="00691B3F">
        <w:rPr>
          <w:rFonts w:ascii="Book Antiqua" w:hAnsi="Book Antiqua"/>
          <w:sz w:val="24"/>
          <w:szCs w:val="24"/>
        </w:rPr>
        <w:t xml:space="preserve"> </w:t>
      </w:r>
      <w:r w:rsidR="00434930" w:rsidRPr="00691B3F">
        <w:rPr>
          <w:rFonts w:ascii="Book Antiqua" w:hAnsi="Book Antiqua"/>
          <w:sz w:val="24"/>
          <w:szCs w:val="24"/>
        </w:rPr>
        <w:t>all the cases of individuals on the transplant registry</w:t>
      </w:r>
      <w:r w:rsidR="00E4038C" w:rsidRPr="00691B3F">
        <w:rPr>
          <w:rFonts w:ascii="Book Antiqua" w:hAnsi="Book Antiqua"/>
          <w:sz w:val="24"/>
          <w:szCs w:val="24"/>
        </w:rPr>
        <w:t xml:space="preserve"> </w:t>
      </w:r>
      <w:r w:rsidR="00502CC5" w:rsidRPr="00691B3F">
        <w:rPr>
          <w:rFonts w:ascii="Book Antiqua" w:hAnsi="Book Antiqua"/>
          <w:sz w:val="24"/>
          <w:szCs w:val="24"/>
        </w:rPr>
        <w:t>and identified those that had drug overdose with resultant liver failure.</w:t>
      </w:r>
      <w:r w:rsidR="000F2238" w:rsidRPr="00691B3F">
        <w:rPr>
          <w:rFonts w:ascii="Book Antiqua" w:hAnsi="Book Antiqua"/>
          <w:sz w:val="24"/>
          <w:szCs w:val="24"/>
        </w:rPr>
        <w:t xml:space="preserve"> </w:t>
      </w:r>
      <w:r w:rsidR="00502CC5" w:rsidRPr="00691B3F">
        <w:rPr>
          <w:rFonts w:ascii="Book Antiqua" w:hAnsi="Book Antiqua"/>
          <w:sz w:val="24"/>
          <w:szCs w:val="24"/>
        </w:rPr>
        <w:t xml:space="preserve">Of those, </w:t>
      </w:r>
      <w:proofErr w:type="spellStart"/>
      <w:r w:rsidR="008717DD" w:rsidRPr="00691B3F">
        <w:rPr>
          <w:rFonts w:ascii="Book Antiqua" w:hAnsi="Book Antiqua"/>
          <w:sz w:val="24"/>
          <w:szCs w:val="24"/>
        </w:rPr>
        <w:t>paracetamol</w:t>
      </w:r>
      <w:proofErr w:type="spellEnd"/>
      <w:r w:rsidR="008717DD" w:rsidRPr="00691B3F">
        <w:rPr>
          <w:rFonts w:ascii="Book Antiqua" w:hAnsi="Book Antiqua"/>
          <w:sz w:val="24"/>
          <w:szCs w:val="24"/>
        </w:rPr>
        <w:t xml:space="preserve"> </w:t>
      </w:r>
      <w:r w:rsidR="00502CC5" w:rsidRPr="00691B3F">
        <w:rPr>
          <w:rFonts w:ascii="Book Antiqua" w:hAnsi="Book Antiqua"/>
          <w:sz w:val="24"/>
          <w:szCs w:val="24"/>
        </w:rPr>
        <w:t>was responsible for one-sixth of all cases</w:t>
      </w:r>
      <w:r w:rsidR="00D01D40" w:rsidRPr="00691B3F">
        <w:rPr>
          <w:rFonts w:ascii="Book Antiqua" w:hAnsi="Book Antiqua"/>
          <w:sz w:val="24"/>
          <w:szCs w:val="24"/>
        </w:rPr>
        <w:t>,</w:t>
      </w:r>
      <w:r w:rsidR="00502CC5" w:rsidRPr="00691B3F">
        <w:rPr>
          <w:rFonts w:ascii="Book Antiqua" w:hAnsi="Book Antiqua"/>
          <w:sz w:val="24"/>
          <w:szCs w:val="24"/>
        </w:rPr>
        <w:t xml:space="preserve"> </w:t>
      </w:r>
      <w:r w:rsidR="00434930" w:rsidRPr="00691B3F">
        <w:rPr>
          <w:rFonts w:ascii="Book Antiqua" w:hAnsi="Book Antiqua"/>
          <w:sz w:val="24"/>
          <w:szCs w:val="24"/>
        </w:rPr>
        <w:t>and</w:t>
      </w:r>
      <w:r w:rsidR="00502CC5" w:rsidRPr="00691B3F">
        <w:rPr>
          <w:rFonts w:ascii="Book Antiqua" w:hAnsi="Book Antiqua"/>
          <w:sz w:val="24"/>
          <w:szCs w:val="24"/>
        </w:rPr>
        <w:t xml:space="preserve"> </w:t>
      </w:r>
      <w:proofErr w:type="spellStart"/>
      <w:r w:rsidR="00434930" w:rsidRPr="00691B3F">
        <w:rPr>
          <w:rFonts w:ascii="Book Antiqua" w:hAnsi="Book Antiqua"/>
          <w:sz w:val="24"/>
          <w:szCs w:val="24"/>
        </w:rPr>
        <w:t>paracetamol</w:t>
      </w:r>
      <w:proofErr w:type="spellEnd"/>
      <w:r w:rsidR="00434930" w:rsidRPr="00691B3F">
        <w:rPr>
          <w:rFonts w:ascii="Book Antiqua" w:hAnsi="Book Antiqua"/>
          <w:sz w:val="24"/>
          <w:szCs w:val="24"/>
        </w:rPr>
        <w:t xml:space="preserve"> overdose was responsible for 97% of </w:t>
      </w:r>
      <w:r w:rsidR="00502CC5" w:rsidRPr="00691B3F">
        <w:rPr>
          <w:rFonts w:ascii="Book Antiqua" w:hAnsi="Book Antiqua"/>
          <w:sz w:val="24"/>
          <w:szCs w:val="24"/>
        </w:rPr>
        <w:t xml:space="preserve">all </w:t>
      </w:r>
      <w:r w:rsidR="00434930" w:rsidRPr="00691B3F">
        <w:rPr>
          <w:rFonts w:ascii="Book Antiqua" w:hAnsi="Book Antiqua"/>
          <w:sz w:val="24"/>
          <w:szCs w:val="24"/>
        </w:rPr>
        <w:t>drug overdoses associated with acute liver failure.</w:t>
      </w:r>
      <w:r w:rsidR="000F2238" w:rsidRPr="00691B3F">
        <w:rPr>
          <w:rFonts w:ascii="Book Antiqua" w:hAnsi="Book Antiqua"/>
          <w:sz w:val="24"/>
          <w:szCs w:val="24"/>
        </w:rPr>
        <w:t xml:space="preserve"> </w:t>
      </w:r>
      <w:r w:rsidR="00AB6C66" w:rsidRPr="00691B3F">
        <w:rPr>
          <w:rFonts w:ascii="Book Antiqua" w:hAnsi="Book Antiqua"/>
          <w:sz w:val="24"/>
          <w:szCs w:val="24"/>
        </w:rPr>
        <w:t>In response to the</w:t>
      </w:r>
      <w:r w:rsidR="0032131B" w:rsidRPr="00691B3F">
        <w:rPr>
          <w:rFonts w:ascii="Book Antiqua" w:hAnsi="Book Antiqua"/>
          <w:sz w:val="24"/>
          <w:szCs w:val="24"/>
        </w:rPr>
        <w:t xml:space="preserve"> findings of the</w:t>
      </w:r>
      <w:r w:rsidR="00AB6C66" w:rsidRPr="00691B3F">
        <w:rPr>
          <w:rFonts w:ascii="Book Antiqua" w:hAnsi="Book Antiqua"/>
          <w:sz w:val="24"/>
          <w:szCs w:val="24"/>
        </w:rPr>
        <w:t xml:space="preserve"> SALT study, the EPIHAM </w:t>
      </w:r>
      <w:proofErr w:type="gramStart"/>
      <w:r w:rsidR="00AB6C66" w:rsidRPr="00691B3F">
        <w:rPr>
          <w:rFonts w:ascii="Book Antiqua" w:hAnsi="Book Antiqua"/>
          <w:sz w:val="24"/>
          <w:szCs w:val="24"/>
        </w:rPr>
        <w:t>study</w:t>
      </w:r>
      <w:r w:rsidR="00170949" w:rsidRPr="00691B3F">
        <w:rPr>
          <w:rFonts w:ascii="Book Antiqua" w:hAnsi="Book Antiqua"/>
          <w:noProof/>
          <w:sz w:val="24"/>
          <w:szCs w:val="24"/>
          <w:vertAlign w:val="superscript"/>
        </w:rPr>
        <w:t>[</w:t>
      </w:r>
      <w:proofErr w:type="gramEnd"/>
      <w:r w:rsidR="00170949" w:rsidRPr="00691B3F">
        <w:rPr>
          <w:rFonts w:ascii="Book Antiqua" w:hAnsi="Book Antiqua"/>
          <w:noProof/>
          <w:sz w:val="24"/>
          <w:szCs w:val="24"/>
          <w:vertAlign w:val="superscript"/>
        </w:rPr>
        <w:t>88]</w:t>
      </w:r>
      <w:r w:rsidR="00AB6C66" w:rsidRPr="00691B3F">
        <w:rPr>
          <w:rFonts w:ascii="Book Antiqua" w:hAnsi="Book Antiqua"/>
          <w:sz w:val="24"/>
          <w:szCs w:val="24"/>
        </w:rPr>
        <w:t xml:space="preserve"> was conducted to compare the risk of non-overdose levels of </w:t>
      </w:r>
      <w:proofErr w:type="spellStart"/>
      <w:r w:rsidR="00AB6C66" w:rsidRPr="00691B3F">
        <w:rPr>
          <w:rFonts w:ascii="Book Antiqua" w:hAnsi="Book Antiqua"/>
          <w:sz w:val="24"/>
          <w:szCs w:val="24"/>
        </w:rPr>
        <w:t>paracetamol</w:t>
      </w:r>
      <w:proofErr w:type="spellEnd"/>
      <w:r w:rsidR="00AB6C66" w:rsidRPr="00691B3F">
        <w:rPr>
          <w:rFonts w:ascii="Book Antiqua" w:hAnsi="Book Antiqua"/>
          <w:sz w:val="24"/>
          <w:szCs w:val="24"/>
        </w:rPr>
        <w:t xml:space="preserve"> versus NSAIDs resulting in admission for acute liver injury.</w:t>
      </w:r>
      <w:r w:rsidR="000F2238" w:rsidRPr="00691B3F">
        <w:rPr>
          <w:rFonts w:ascii="Book Antiqua" w:hAnsi="Book Antiqua"/>
          <w:sz w:val="24"/>
          <w:szCs w:val="24"/>
        </w:rPr>
        <w:t xml:space="preserve"> </w:t>
      </w:r>
      <w:r w:rsidR="00AB6C66" w:rsidRPr="00691B3F">
        <w:rPr>
          <w:rFonts w:ascii="Book Antiqua" w:hAnsi="Book Antiqua"/>
          <w:sz w:val="24"/>
          <w:szCs w:val="24"/>
        </w:rPr>
        <w:t xml:space="preserve">However, the three-fold risk associated with </w:t>
      </w:r>
      <w:proofErr w:type="spellStart"/>
      <w:r w:rsidR="00AB6C66" w:rsidRPr="00691B3F">
        <w:rPr>
          <w:rFonts w:ascii="Book Antiqua" w:hAnsi="Book Antiqua"/>
          <w:sz w:val="24"/>
          <w:szCs w:val="24"/>
        </w:rPr>
        <w:t>paracetamol</w:t>
      </w:r>
      <w:proofErr w:type="spellEnd"/>
      <w:r w:rsidR="00AB6C66" w:rsidRPr="00691B3F">
        <w:rPr>
          <w:rFonts w:ascii="Book Antiqua" w:hAnsi="Book Antiqua"/>
          <w:sz w:val="24"/>
          <w:szCs w:val="24"/>
        </w:rPr>
        <w:t xml:space="preserve"> in transplantation registry was not seen for acute liver injury in this </w:t>
      </w:r>
      <w:proofErr w:type="gramStart"/>
      <w:r w:rsidR="00AB6C66" w:rsidRPr="00691B3F">
        <w:rPr>
          <w:rFonts w:ascii="Book Antiqua" w:hAnsi="Book Antiqua"/>
          <w:sz w:val="24"/>
          <w:szCs w:val="24"/>
        </w:rPr>
        <w:t>study</w:t>
      </w:r>
      <w:r w:rsidR="00170949" w:rsidRPr="00691B3F">
        <w:rPr>
          <w:rFonts w:ascii="Book Antiqua" w:hAnsi="Book Antiqua"/>
          <w:noProof/>
          <w:sz w:val="24"/>
          <w:szCs w:val="24"/>
          <w:vertAlign w:val="superscript"/>
        </w:rPr>
        <w:t>[</w:t>
      </w:r>
      <w:proofErr w:type="gramEnd"/>
      <w:r w:rsidR="00170949" w:rsidRPr="00691B3F">
        <w:rPr>
          <w:rFonts w:ascii="Book Antiqua" w:hAnsi="Book Antiqua"/>
          <w:noProof/>
          <w:sz w:val="24"/>
          <w:szCs w:val="24"/>
          <w:vertAlign w:val="superscript"/>
        </w:rPr>
        <w:t>88]</w:t>
      </w:r>
      <w:r w:rsidR="009F7C0D" w:rsidRPr="00691B3F">
        <w:rPr>
          <w:rFonts w:ascii="Book Antiqua" w:hAnsi="Book Antiqua"/>
          <w:sz w:val="24"/>
          <w:szCs w:val="24"/>
        </w:rPr>
        <w:t>.</w:t>
      </w:r>
    </w:p>
    <w:p w14:paraId="63F72CEF" w14:textId="0F7C636C" w:rsidR="00965237" w:rsidRPr="00691B3F" w:rsidRDefault="00BB4AC4" w:rsidP="00367FE4">
      <w:pPr>
        <w:pStyle w:val="a3"/>
        <w:snapToGrid w:val="0"/>
        <w:spacing w:line="360" w:lineRule="auto"/>
        <w:ind w:firstLineChars="100" w:firstLine="240"/>
        <w:jc w:val="both"/>
        <w:rPr>
          <w:rFonts w:ascii="Book Antiqua" w:hAnsi="Book Antiqua"/>
          <w:sz w:val="24"/>
          <w:szCs w:val="24"/>
        </w:rPr>
      </w:pPr>
      <w:r w:rsidRPr="00691B3F">
        <w:rPr>
          <w:rFonts w:ascii="Book Antiqua" w:hAnsi="Book Antiqua"/>
          <w:sz w:val="24"/>
          <w:szCs w:val="24"/>
        </w:rPr>
        <w:t xml:space="preserve">Acute liver failure from </w:t>
      </w:r>
      <w:proofErr w:type="spellStart"/>
      <w:r w:rsidRPr="00691B3F">
        <w:rPr>
          <w:rFonts w:ascii="Book Antiqua" w:hAnsi="Book Antiqua"/>
          <w:sz w:val="24"/>
          <w:szCs w:val="24"/>
        </w:rPr>
        <w:t>paracetamol</w:t>
      </w:r>
      <w:proofErr w:type="spellEnd"/>
      <w:r w:rsidRPr="00691B3F">
        <w:rPr>
          <w:rFonts w:ascii="Book Antiqua" w:hAnsi="Book Antiqua"/>
          <w:sz w:val="24"/>
          <w:szCs w:val="24"/>
        </w:rPr>
        <w:t xml:space="preserve"> toxicity has a high mortality rate of 30% if there is no l</w:t>
      </w:r>
      <w:r w:rsidR="00965237" w:rsidRPr="00691B3F">
        <w:rPr>
          <w:rFonts w:ascii="Book Antiqua" w:hAnsi="Book Antiqua"/>
          <w:sz w:val="24"/>
          <w:szCs w:val="24"/>
        </w:rPr>
        <w:t>iver transplantation</w:t>
      </w:r>
      <w:r w:rsidRPr="00691B3F">
        <w:rPr>
          <w:rFonts w:ascii="Book Antiqua" w:hAnsi="Book Antiqua"/>
          <w:sz w:val="24"/>
          <w:szCs w:val="24"/>
        </w:rPr>
        <w:t xml:space="preserve"> </w:t>
      </w:r>
      <w:proofErr w:type="gramStart"/>
      <w:r w:rsidRPr="00691B3F">
        <w:rPr>
          <w:rFonts w:ascii="Book Antiqua" w:hAnsi="Book Antiqua"/>
          <w:sz w:val="24"/>
          <w:szCs w:val="24"/>
        </w:rPr>
        <w:t>available</w:t>
      </w:r>
      <w:r w:rsidR="00170949" w:rsidRPr="00691B3F">
        <w:rPr>
          <w:rFonts w:ascii="Book Antiqua" w:hAnsi="Book Antiqua"/>
          <w:noProof/>
          <w:sz w:val="24"/>
          <w:szCs w:val="24"/>
          <w:vertAlign w:val="superscript"/>
        </w:rPr>
        <w:t>[</w:t>
      </w:r>
      <w:proofErr w:type="gramEnd"/>
      <w:r w:rsidR="00170949" w:rsidRPr="00691B3F">
        <w:rPr>
          <w:rFonts w:ascii="Book Antiqua" w:hAnsi="Book Antiqua"/>
          <w:noProof/>
          <w:sz w:val="24"/>
          <w:szCs w:val="24"/>
          <w:vertAlign w:val="superscript"/>
        </w:rPr>
        <w:t>89,90]</w:t>
      </w:r>
      <w:r w:rsidRPr="00691B3F">
        <w:rPr>
          <w:rFonts w:ascii="Book Antiqua" w:hAnsi="Book Antiqua"/>
          <w:sz w:val="24"/>
          <w:szCs w:val="24"/>
        </w:rPr>
        <w:t>.</w:t>
      </w:r>
      <w:r w:rsidR="000F2238" w:rsidRPr="00691B3F">
        <w:rPr>
          <w:rFonts w:ascii="Book Antiqua" w:hAnsi="Book Antiqua"/>
          <w:sz w:val="24"/>
          <w:szCs w:val="24"/>
        </w:rPr>
        <w:t xml:space="preserve"> </w:t>
      </w:r>
      <w:r w:rsidR="00D80F40" w:rsidRPr="00691B3F">
        <w:rPr>
          <w:rFonts w:ascii="Book Antiqua" w:hAnsi="Book Antiqua"/>
          <w:sz w:val="24"/>
          <w:szCs w:val="24"/>
        </w:rPr>
        <w:t>Among intentional and accidental overdose, the</w:t>
      </w:r>
      <w:r w:rsidRPr="00691B3F">
        <w:rPr>
          <w:rFonts w:ascii="Book Antiqua" w:hAnsi="Book Antiqua"/>
          <w:sz w:val="24"/>
          <w:szCs w:val="24"/>
        </w:rPr>
        <w:t xml:space="preserve"> </w:t>
      </w:r>
      <w:r w:rsidR="00CC269E" w:rsidRPr="00691B3F">
        <w:rPr>
          <w:rFonts w:ascii="Book Antiqua" w:hAnsi="Book Antiqua"/>
          <w:sz w:val="24"/>
          <w:szCs w:val="24"/>
        </w:rPr>
        <w:t xml:space="preserve">liver transplant-free </w:t>
      </w:r>
      <w:r w:rsidRPr="00691B3F">
        <w:rPr>
          <w:rFonts w:ascii="Book Antiqua" w:hAnsi="Book Antiqua"/>
          <w:sz w:val="24"/>
          <w:szCs w:val="24"/>
        </w:rPr>
        <w:t xml:space="preserve">survival </w:t>
      </w:r>
      <w:r w:rsidR="00D80F40" w:rsidRPr="00691B3F">
        <w:rPr>
          <w:rFonts w:ascii="Book Antiqua" w:hAnsi="Book Antiqua"/>
          <w:sz w:val="24"/>
          <w:szCs w:val="24"/>
        </w:rPr>
        <w:t>rate was not found to significant</w:t>
      </w:r>
      <w:r w:rsidR="00CC269E" w:rsidRPr="00691B3F">
        <w:rPr>
          <w:rFonts w:ascii="Book Antiqua" w:hAnsi="Book Antiqua"/>
          <w:sz w:val="24"/>
          <w:szCs w:val="24"/>
        </w:rPr>
        <w:t>ly</w:t>
      </w:r>
      <w:r w:rsidR="00D80F40" w:rsidRPr="00691B3F">
        <w:rPr>
          <w:rFonts w:ascii="Book Antiqua" w:hAnsi="Book Antiqua"/>
          <w:sz w:val="24"/>
          <w:szCs w:val="24"/>
        </w:rPr>
        <w:t xml:space="preserve"> differ.</w:t>
      </w:r>
      <w:r w:rsidR="000F2238" w:rsidRPr="00691B3F">
        <w:rPr>
          <w:rFonts w:ascii="Book Antiqua" w:hAnsi="Book Antiqua"/>
          <w:sz w:val="24"/>
          <w:szCs w:val="24"/>
        </w:rPr>
        <w:t xml:space="preserve"> </w:t>
      </w:r>
      <w:r w:rsidR="00CC269E" w:rsidRPr="00691B3F">
        <w:rPr>
          <w:rFonts w:ascii="Book Antiqua" w:hAnsi="Book Antiqua"/>
          <w:sz w:val="24"/>
          <w:szCs w:val="24"/>
        </w:rPr>
        <w:t>Prognostic criteria, such as the King’s College criteria, can be used to determine appropriate candidates for liver transplantation referral based on those with expected high mortality of over 80</w:t>
      </w:r>
      <w:proofErr w:type="gramStart"/>
      <w:r w:rsidR="00CC269E" w:rsidRPr="00691B3F">
        <w:rPr>
          <w:rFonts w:ascii="Book Antiqua" w:hAnsi="Book Antiqua"/>
          <w:sz w:val="24"/>
          <w:szCs w:val="24"/>
        </w:rPr>
        <w:t>%</w:t>
      </w:r>
      <w:r w:rsidR="00170949" w:rsidRPr="00691B3F">
        <w:rPr>
          <w:rFonts w:ascii="Book Antiqua" w:hAnsi="Book Antiqua"/>
          <w:noProof/>
          <w:sz w:val="24"/>
          <w:szCs w:val="24"/>
          <w:vertAlign w:val="superscript"/>
        </w:rPr>
        <w:t>[</w:t>
      </w:r>
      <w:proofErr w:type="gramEnd"/>
      <w:r w:rsidR="00170949" w:rsidRPr="00691B3F">
        <w:rPr>
          <w:rFonts w:ascii="Book Antiqua" w:hAnsi="Book Antiqua"/>
          <w:noProof/>
          <w:sz w:val="24"/>
          <w:szCs w:val="24"/>
          <w:vertAlign w:val="superscript"/>
        </w:rPr>
        <w:t>36,91]</w:t>
      </w:r>
      <w:r w:rsidR="00B109AC" w:rsidRPr="00691B3F">
        <w:rPr>
          <w:rFonts w:ascii="Book Antiqua" w:hAnsi="Book Antiqua"/>
          <w:sz w:val="24"/>
          <w:szCs w:val="24"/>
        </w:rPr>
        <w:t>.</w:t>
      </w:r>
      <w:r w:rsidR="000F2238" w:rsidRPr="00691B3F">
        <w:rPr>
          <w:rFonts w:ascii="Book Antiqua" w:hAnsi="Book Antiqua"/>
          <w:sz w:val="24"/>
          <w:szCs w:val="24"/>
        </w:rPr>
        <w:t xml:space="preserve"> </w:t>
      </w:r>
      <w:r w:rsidR="00140F3C" w:rsidRPr="00691B3F">
        <w:rPr>
          <w:rFonts w:ascii="Book Antiqua" w:hAnsi="Book Antiqua"/>
          <w:sz w:val="24"/>
          <w:szCs w:val="24"/>
        </w:rPr>
        <w:t xml:space="preserve">As previously mentioned, those with phase three liver injury and signs of progressive organ dysfunction, severe acidosis or </w:t>
      </w:r>
      <w:proofErr w:type="spellStart"/>
      <w:r w:rsidR="00140F3C" w:rsidRPr="00691B3F">
        <w:rPr>
          <w:rFonts w:ascii="Book Antiqua" w:hAnsi="Book Antiqua"/>
          <w:sz w:val="24"/>
          <w:szCs w:val="24"/>
        </w:rPr>
        <w:t>multiorgan</w:t>
      </w:r>
      <w:proofErr w:type="spellEnd"/>
      <w:r w:rsidR="00140F3C" w:rsidRPr="00691B3F">
        <w:rPr>
          <w:rFonts w:ascii="Book Antiqua" w:hAnsi="Book Antiqua"/>
          <w:sz w:val="24"/>
          <w:szCs w:val="24"/>
        </w:rPr>
        <w:t xml:space="preserve"> failure have a poor prognosis and should be referred for possible liver transplantation.</w:t>
      </w:r>
      <w:r w:rsidR="000F2238" w:rsidRPr="00691B3F">
        <w:rPr>
          <w:rFonts w:ascii="Book Antiqua" w:hAnsi="Book Antiqua"/>
          <w:sz w:val="24"/>
          <w:szCs w:val="24"/>
        </w:rPr>
        <w:t xml:space="preserve"> </w:t>
      </w:r>
      <w:r w:rsidR="00C344E6" w:rsidRPr="00691B3F">
        <w:rPr>
          <w:rFonts w:ascii="Book Antiqua" w:hAnsi="Book Antiqua"/>
          <w:sz w:val="24"/>
          <w:szCs w:val="24"/>
        </w:rPr>
        <w:t xml:space="preserve">Those patients that undergo liver transplantation due to </w:t>
      </w:r>
      <w:proofErr w:type="spellStart"/>
      <w:r w:rsidR="00C344E6" w:rsidRPr="00691B3F">
        <w:rPr>
          <w:rFonts w:ascii="Book Antiqua" w:hAnsi="Book Antiqua"/>
          <w:sz w:val="24"/>
          <w:szCs w:val="24"/>
        </w:rPr>
        <w:t>paracetamol</w:t>
      </w:r>
      <w:proofErr w:type="spellEnd"/>
      <w:r w:rsidR="00C344E6" w:rsidRPr="00691B3F">
        <w:rPr>
          <w:rFonts w:ascii="Book Antiqua" w:hAnsi="Book Antiqua"/>
          <w:sz w:val="24"/>
          <w:szCs w:val="24"/>
        </w:rPr>
        <w:t xml:space="preserve"> liver failure have good clinical outcomes, with a 5-year survival of over 70</w:t>
      </w:r>
      <w:proofErr w:type="gramStart"/>
      <w:r w:rsidR="00C344E6" w:rsidRPr="00691B3F">
        <w:rPr>
          <w:rFonts w:ascii="Book Antiqua" w:hAnsi="Book Antiqua"/>
          <w:sz w:val="24"/>
          <w:szCs w:val="24"/>
        </w:rPr>
        <w:t>%</w:t>
      </w:r>
      <w:r w:rsidR="00D676D2" w:rsidRPr="00691B3F">
        <w:rPr>
          <w:rFonts w:ascii="Book Antiqua" w:hAnsi="Book Antiqua"/>
          <w:noProof/>
          <w:sz w:val="24"/>
          <w:szCs w:val="24"/>
          <w:vertAlign w:val="superscript"/>
        </w:rPr>
        <w:t>[</w:t>
      </w:r>
      <w:proofErr w:type="gramEnd"/>
      <w:r w:rsidR="00D676D2" w:rsidRPr="00691B3F">
        <w:rPr>
          <w:rFonts w:ascii="Book Antiqua" w:hAnsi="Book Antiqua"/>
          <w:noProof/>
          <w:sz w:val="24"/>
          <w:szCs w:val="24"/>
          <w:vertAlign w:val="superscript"/>
        </w:rPr>
        <w:t>59]</w:t>
      </w:r>
      <w:r w:rsidR="00641A61" w:rsidRPr="00691B3F">
        <w:rPr>
          <w:rFonts w:ascii="Book Antiqua" w:hAnsi="Book Antiqua"/>
          <w:sz w:val="24"/>
          <w:szCs w:val="24"/>
        </w:rPr>
        <w:t>.</w:t>
      </w:r>
    </w:p>
    <w:p w14:paraId="64FC0897" w14:textId="77777777" w:rsidR="00641A61" w:rsidRPr="00691B3F" w:rsidRDefault="00641A61" w:rsidP="00367FE4">
      <w:pPr>
        <w:pStyle w:val="a3"/>
        <w:snapToGrid w:val="0"/>
        <w:spacing w:line="360" w:lineRule="auto"/>
        <w:jc w:val="both"/>
        <w:rPr>
          <w:rFonts w:ascii="Book Antiqua" w:hAnsi="Book Antiqua"/>
          <w:sz w:val="24"/>
          <w:szCs w:val="24"/>
        </w:rPr>
      </w:pPr>
    </w:p>
    <w:p w14:paraId="40580587" w14:textId="1FF37A75" w:rsidR="006D47D3" w:rsidRPr="00691B3F" w:rsidRDefault="006D47D3" w:rsidP="00367FE4">
      <w:pPr>
        <w:pStyle w:val="a3"/>
        <w:snapToGrid w:val="0"/>
        <w:spacing w:line="360" w:lineRule="auto"/>
        <w:jc w:val="both"/>
        <w:rPr>
          <w:rFonts w:ascii="Book Antiqua" w:hAnsi="Book Antiqua"/>
          <w:caps/>
          <w:sz w:val="24"/>
          <w:szCs w:val="24"/>
          <w:u w:val="single"/>
        </w:rPr>
      </w:pPr>
      <w:r w:rsidRPr="00691B3F">
        <w:rPr>
          <w:rFonts w:ascii="Book Antiqua" w:hAnsi="Book Antiqua"/>
          <w:b/>
          <w:bCs/>
          <w:caps/>
          <w:sz w:val="24"/>
          <w:szCs w:val="24"/>
          <w:u w:val="single"/>
        </w:rPr>
        <w:t>Conclusion</w:t>
      </w:r>
    </w:p>
    <w:p w14:paraId="198046F1" w14:textId="45742E96" w:rsidR="00A13215" w:rsidRPr="00691B3F" w:rsidRDefault="00965237" w:rsidP="00367FE4">
      <w:pPr>
        <w:pStyle w:val="a3"/>
        <w:snapToGrid w:val="0"/>
        <w:spacing w:line="360" w:lineRule="auto"/>
        <w:jc w:val="both"/>
        <w:rPr>
          <w:rFonts w:ascii="Book Antiqua" w:hAnsi="Book Antiqua"/>
          <w:sz w:val="24"/>
          <w:szCs w:val="24"/>
        </w:rPr>
      </w:pPr>
      <w:proofErr w:type="spellStart"/>
      <w:proofErr w:type="gramStart"/>
      <w:r w:rsidRPr="00691B3F">
        <w:rPr>
          <w:rFonts w:ascii="Book Antiqua" w:hAnsi="Book Antiqua"/>
          <w:sz w:val="24"/>
          <w:szCs w:val="24"/>
        </w:rPr>
        <w:t>Paracetamol</w:t>
      </w:r>
      <w:proofErr w:type="spellEnd"/>
      <w:r w:rsidRPr="00691B3F">
        <w:rPr>
          <w:rFonts w:ascii="Book Antiqua" w:hAnsi="Book Antiqua"/>
          <w:sz w:val="24"/>
          <w:szCs w:val="24"/>
        </w:rPr>
        <w:t xml:space="preserve"> toxicity, albeit accidental or intentional overdose, is an ongoing global problem that continues to result in cases of hepatotoxicity, acute liver failure, and even irreversible liver injury necessitating liver transplantation.</w:t>
      </w:r>
      <w:proofErr w:type="gramEnd"/>
      <w:r w:rsidR="000F2238" w:rsidRPr="00691B3F">
        <w:rPr>
          <w:rFonts w:ascii="Book Antiqua" w:hAnsi="Book Antiqua"/>
          <w:sz w:val="24"/>
          <w:szCs w:val="24"/>
        </w:rPr>
        <w:t xml:space="preserve"> </w:t>
      </w:r>
      <w:r w:rsidR="00A84EF7" w:rsidRPr="00691B3F">
        <w:rPr>
          <w:rFonts w:ascii="Book Antiqua" w:hAnsi="Book Antiqua"/>
          <w:sz w:val="24"/>
          <w:szCs w:val="24"/>
        </w:rPr>
        <w:t xml:space="preserve">Given the increased prevalence of combination medications in the form of pain relievers and antihistamines, </w:t>
      </w:r>
      <w:proofErr w:type="spellStart"/>
      <w:r w:rsidR="00A84EF7" w:rsidRPr="00691B3F">
        <w:rPr>
          <w:rFonts w:ascii="Book Antiqua" w:hAnsi="Book Antiqua"/>
          <w:sz w:val="24"/>
          <w:szCs w:val="24"/>
        </w:rPr>
        <w:t>paracetamol</w:t>
      </w:r>
      <w:proofErr w:type="spellEnd"/>
      <w:r w:rsidR="00A84EF7" w:rsidRPr="00691B3F">
        <w:rPr>
          <w:rFonts w:ascii="Book Antiqua" w:hAnsi="Book Antiqua"/>
          <w:sz w:val="24"/>
          <w:szCs w:val="24"/>
        </w:rPr>
        <w:t xml:space="preserve"> remains a significant cause of acute hepatotoxicity, as evidenced by </w:t>
      </w:r>
      <w:proofErr w:type="spellStart"/>
      <w:r w:rsidR="00A84EF7" w:rsidRPr="00691B3F">
        <w:rPr>
          <w:rFonts w:ascii="Book Antiqua" w:hAnsi="Book Antiqua"/>
          <w:sz w:val="24"/>
          <w:szCs w:val="24"/>
        </w:rPr>
        <w:t>paracetamol</w:t>
      </w:r>
      <w:proofErr w:type="spellEnd"/>
      <w:r w:rsidR="00A84EF7" w:rsidRPr="00691B3F">
        <w:rPr>
          <w:rFonts w:ascii="Book Antiqua" w:hAnsi="Book Antiqua"/>
          <w:sz w:val="24"/>
          <w:szCs w:val="24"/>
        </w:rPr>
        <w:t xml:space="preserve"> contributing to over half of acute liver failure cases in the United States.</w:t>
      </w:r>
      <w:r w:rsidR="000F2238" w:rsidRPr="00691B3F">
        <w:rPr>
          <w:rFonts w:ascii="Book Antiqua" w:hAnsi="Book Antiqua"/>
          <w:sz w:val="24"/>
          <w:szCs w:val="24"/>
        </w:rPr>
        <w:t xml:space="preserve"> </w:t>
      </w:r>
      <w:r w:rsidR="00A84EF7" w:rsidRPr="00691B3F">
        <w:rPr>
          <w:rFonts w:ascii="Book Antiqua" w:hAnsi="Book Antiqua"/>
          <w:sz w:val="24"/>
          <w:szCs w:val="24"/>
        </w:rPr>
        <w:t xml:space="preserve">This is especially concerning given that when co-ingested with other medications, the rise in serum </w:t>
      </w:r>
      <w:proofErr w:type="spellStart"/>
      <w:r w:rsidR="00A84EF7" w:rsidRPr="00691B3F">
        <w:rPr>
          <w:rFonts w:ascii="Book Antiqua" w:hAnsi="Book Antiqua"/>
          <w:sz w:val="24"/>
          <w:szCs w:val="24"/>
        </w:rPr>
        <w:t>paracetamol</w:t>
      </w:r>
      <w:proofErr w:type="spellEnd"/>
      <w:r w:rsidR="00A84EF7" w:rsidRPr="00691B3F">
        <w:rPr>
          <w:rFonts w:ascii="Book Antiqua" w:hAnsi="Book Antiqua"/>
          <w:sz w:val="24"/>
          <w:szCs w:val="24"/>
        </w:rPr>
        <w:t xml:space="preserve"> levels may be delayed past the 4-hour post-ingestion mark </w:t>
      </w:r>
      <w:r w:rsidR="00A84EF7" w:rsidRPr="00691B3F">
        <w:rPr>
          <w:rFonts w:ascii="Book Antiqua" w:hAnsi="Book Antiqua"/>
          <w:sz w:val="24"/>
          <w:szCs w:val="24"/>
        </w:rPr>
        <w:lastRenderedPageBreak/>
        <w:t>that is currently used to determine patients that require medical therapy.</w:t>
      </w:r>
      <w:r w:rsidR="000F2238" w:rsidRPr="00691B3F">
        <w:rPr>
          <w:rFonts w:ascii="Book Antiqua" w:hAnsi="Book Antiqua"/>
          <w:sz w:val="24"/>
          <w:szCs w:val="24"/>
        </w:rPr>
        <w:t xml:space="preserve"> </w:t>
      </w:r>
      <w:r w:rsidR="00A84EF7" w:rsidRPr="00691B3F">
        <w:rPr>
          <w:rFonts w:ascii="Book Antiqua" w:hAnsi="Book Antiqua"/>
          <w:sz w:val="24"/>
          <w:szCs w:val="24"/>
        </w:rPr>
        <w:t xml:space="preserve">Current research is exploring the outcomes of </w:t>
      </w:r>
      <w:proofErr w:type="spellStart"/>
      <w:r w:rsidR="00A84EF7" w:rsidRPr="00691B3F">
        <w:rPr>
          <w:rFonts w:ascii="Book Antiqua" w:hAnsi="Book Antiqua"/>
          <w:sz w:val="24"/>
          <w:szCs w:val="24"/>
        </w:rPr>
        <w:t>paracetamol</w:t>
      </w:r>
      <w:proofErr w:type="spellEnd"/>
      <w:r w:rsidR="00A84EF7" w:rsidRPr="00691B3F">
        <w:rPr>
          <w:rFonts w:ascii="Book Antiqua" w:hAnsi="Book Antiqua"/>
          <w:sz w:val="24"/>
          <w:szCs w:val="24"/>
        </w:rPr>
        <w:t>-related DILI cases and its relationship with liver transplantation as well as other treatment modalities.</w:t>
      </w:r>
      <w:r w:rsidR="000F2238" w:rsidRPr="00691B3F">
        <w:rPr>
          <w:rFonts w:ascii="Book Antiqua" w:hAnsi="Book Antiqua"/>
          <w:sz w:val="24"/>
          <w:szCs w:val="24"/>
        </w:rPr>
        <w:t xml:space="preserve"> </w:t>
      </w:r>
    </w:p>
    <w:p w14:paraId="6274819D" w14:textId="6F40043B" w:rsidR="00641A61" w:rsidRPr="00691B3F" w:rsidRDefault="00641A61" w:rsidP="00367FE4">
      <w:pPr>
        <w:pStyle w:val="a3"/>
        <w:snapToGrid w:val="0"/>
        <w:spacing w:line="360" w:lineRule="auto"/>
        <w:jc w:val="both"/>
        <w:rPr>
          <w:rFonts w:ascii="Book Antiqua" w:hAnsi="Book Antiqua"/>
          <w:sz w:val="24"/>
          <w:szCs w:val="24"/>
        </w:rPr>
      </w:pPr>
    </w:p>
    <w:p w14:paraId="33E75CCB" w14:textId="77777777" w:rsidR="00AD7131" w:rsidRPr="00691B3F" w:rsidRDefault="00AD7131" w:rsidP="00367FE4">
      <w:pPr>
        <w:autoSpaceDE w:val="0"/>
        <w:autoSpaceDN w:val="0"/>
        <w:adjustRightInd w:val="0"/>
        <w:snapToGrid w:val="0"/>
        <w:spacing w:after="0" w:line="360" w:lineRule="auto"/>
        <w:jc w:val="both"/>
        <w:rPr>
          <w:rFonts w:ascii="Book Antiqua" w:eastAsia="宋体" w:hAnsi="Book Antiqua" w:cs="Calibri"/>
          <w:noProof/>
          <w:sz w:val="24"/>
          <w:szCs w:val="24"/>
        </w:rPr>
      </w:pPr>
      <w:bookmarkStart w:id="40" w:name="_Hlk27141798"/>
      <w:r w:rsidRPr="00691B3F">
        <w:rPr>
          <w:rFonts w:ascii="Book Antiqua" w:eastAsia="宋体" w:hAnsi="Book Antiqua" w:cs="Calibri"/>
          <w:b/>
          <w:sz w:val="24"/>
          <w:szCs w:val="24"/>
        </w:rPr>
        <w:t>REFERENCES</w:t>
      </w:r>
    </w:p>
    <w:p w14:paraId="1A686590" w14:textId="4ABB32B2" w:rsidR="003D21C9" w:rsidRPr="00691B3F" w:rsidRDefault="003D21C9" w:rsidP="00367FE4">
      <w:pPr>
        <w:spacing w:after="0" w:line="360" w:lineRule="auto"/>
        <w:jc w:val="both"/>
        <w:rPr>
          <w:rFonts w:ascii="Book Antiqua" w:eastAsia="DengXian" w:hAnsi="Book Antiqua" w:cs="Times New Roman"/>
          <w:kern w:val="2"/>
          <w:sz w:val="24"/>
          <w:szCs w:val="24"/>
          <w:lang w:eastAsia="zh-CN"/>
        </w:rPr>
      </w:pPr>
      <w:bookmarkStart w:id="41" w:name="_Hlk27143351"/>
      <w:bookmarkStart w:id="42" w:name="_Hlk27570199"/>
      <w:bookmarkEnd w:id="40"/>
      <w:proofErr w:type="gramStart"/>
      <w:r w:rsidRPr="00691B3F">
        <w:rPr>
          <w:rFonts w:ascii="Book Antiqua" w:eastAsia="DengXian" w:hAnsi="Book Antiqua" w:cs="Times New Roman"/>
          <w:kern w:val="2"/>
          <w:sz w:val="24"/>
          <w:szCs w:val="24"/>
          <w:lang w:eastAsia="zh-CN"/>
        </w:rPr>
        <w:t xml:space="preserve">1 </w:t>
      </w:r>
      <w:r w:rsidRPr="00691B3F">
        <w:rPr>
          <w:rFonts w:ascii="Book Antiqua" w:eastAsia="DengXian" w:hAnsi="Book Antiqua" w:cs="Times New Roman"/>
          <w:b/>
          <w:kern w:val="2"/>
          <w:sz w:val="24"/>
          <w:szCs w:val="24"/>
          <w:lang w:eastAsia="zh-CN"/>
        </w:rPr>
        <w:t>Bernal W</w:t>
      </w:r>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kern w:val="2"/>
          <w:sz w:val="24"/>
          <w:szCs w:val="24"/>
          <w:lang w:eastAsia="zh-CN"/>
        </w:rPr>
        <w:t>Wendon</w:t>
      </w:r>
      <w:proofErr w:type="spellEnd"/>
      <w:r w:rsidRPr="00691B3F">
        <w:rPr>
          <w:rFonts w:ascii="Book Antiqua" w:eastAsia="DengXian" w:hAnsi="Book Antiqua" w:cs="Times New Roman"/>
          <w:kern w:val="2"/>
          <w:sz w:val="24"/>
          <w:szCs w:val="24"/>
          <w:lang w:eastAsia="zh-CN"/>
        </w:rPr>
        <w:t xml:space="preserve"> J. Acute liver failure.</w:t>
      </w:r>
      <w:proofErr w:type="gramEnd"/>
      <w:r w:rsidRPr="00691B3F">
        <w:rPr>
          <w:rFonts w:ascii="Book Antiqua" w:eastAsia="DengXian" w:hAnsi="Book Antiqua" w:cs="Times New Roman"/>
          <w:kern w:val="2"/>
          <w:sz w:val="24"/>
          <w:szCs w:val="24"/>
          <w:lang w:eastAsia="zh-CN"/>
        </w:rPr>
        <w:t xml:space="preserve"> </w:t>
      </w:r>
      <w:r w:rsidRPr="00691B3F">
        <w:rPr>
          <w:rFonts w:ascii="Book Antiqua" w:eastAsia="DengXian" w:hAnsi="Book Antiqua" w:cs="Times New Roman"/>
          <w:i/>
          <w:kern w:val="2"/>
          <w:sz w:val="24"/>
          <w:szCs w:val="24"/>
          <w:lang w:eastAsia="zh-CN"/>
        </w:rPr>
        <w:t xml:space="preserve">N </w:t>
      </w:r>
      <w:proofErr w:type="spellStart"/>
      <w:r w:rsidRPr="00691B3F">
        <w:rPr>
          <w:rFonts w:ascii="Book Antiqua" w:eastAsia="DengXian" w:hAnsi="Book Antiqua" w:cs="Times New Roman"/>
          <w:i/>
          <w:kern w:val="2"/>
          <w:sz w:val="24"/>
          <w:szCs w:val="24"/>
          <w:lang w:eastAsia="zh-CN"/>
        </w:rPr>
        <w:t>Engl</w:t>
      </w:r>
      <w:proofErr w:type="spellEnd"/>
      <w:r w:rsidRPr="00691B3F">
        <w:rPr>
          <w:rFonts w:ascii="Book Antiqua" w:eastAsia="DengXian" w:hAnsi="Book Antiqua" w:cs="Times New Roman"/>
          <w:i/>
          <w:kern w:val="2"/>
          <w:sz w:val="24"/>
          <w:szCs w:val="24"/>
          <w:lang w:eastAsia="zh-CN"/>
        </w:rPr>
        <w:t xml:space="preserve"> J Med</w:t>
      </w:r>
      <w:r w:rsidRPr="00691B3F">
        <w:rPr>
          <w:rFonts w:ascii="Book Antiqua" w:eastAsia="DengXian" w:hAnsi="Book Antiqua" w:cs="Times New Roman"/>
          <w:kern w:val="2"/>
          <w:sz w:val="24"/>
          <w:szCs w:val="24"/>
          <w:lang w:eastAsia="zh-CN"/>
        </w:rPr>
        <w:t xml:space="preserve"> 2013; </w:t>
      </w:r>
      <w:r w:rsidRPr="00691B3F">
        <w:rPr>
          <w:rFonts w:ascii="Book Antiqua" w:eastAsia="DengXian" w:hAnsi="Book Antiqua" w:cs="Times New Roman"/>
          <w:b/>
          <w:kern w:val="2"/>
          <w:sz w:val="24"/>
          <w:szCs w:val="24"/>
          <w:lang w:eastAsia="zh-CN"/>
        </w:rPr>
        <w:t>369</w:t>
      </w:r>
      <w:r w:rsidRPr="00691B3F">
        <w:rPr>
          <w:rFonts w:ascii="Book Antiqua" w:eastAsia="DengXian" w:hAnsi="Book Antiqua" w:cs="Times New Roman"/>
          <w:kern w:val="2"/>
          <w:sz w:val="24"/>
          <w:szCs w:val="24"/>
          <w:lang w:eastAsia="zh-CN"/>
        </w:rPr>
        <w:t>: 2525-2534 [PMID: 24369077 DOI: 10.1056/NEJMra1208937]</w:t>
      </w:r>
    </w:p>
    <w:p w14:paraId="320D0561"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proofErr w:type="gramStart"/>
      <w:r w:rsidRPr="00691B3F">
        <w:rPr>
          <w:rFonts w:ascii="Book Antiqua" w:eastAsia="DengXian" w:hAnsi="Book Antiqua" w:cs="Times New Roman"/>
          <w:kern w:val="2"/>
          <w:sz w:val="24"/>
          <w:szCs w:val="24"/>
          <w:lang w:eastAsia="zh-CN"/>
        </w:rPr>
        <w:t xml:space="preserve">2 </w:t>
      </w:r>
      <w:r w:rsidRPr="00691B3F">
        <w:rPr>
          <w:rFonts w:ascii="Book Antiqua" w:eastAsia="DengXian" w:hAnsi="Book Antiqua" w:cs="Times New Roman"/>
          <w:b/>
          <w:kern w:val="2"/>
          <w:sz w:val="24"/>
          <w:szCs w:val="24"/>
          <w:lang w:eastAsia="zh-CN"/>
        </w:rPr>
        <w:t>Bower WA</w:t>
      </w:r>
      <w:r w:rsidRPr="00691B3F">
        <w:rPr>
          <w:rFonts w:ascii="Book Antiqua" w:eastAsia="DengXian" w:hAnsi="Book Antiqua" w:cs="Times New Roman"/>
          <w:kern w:val="2"/>
          <w:sz w:val="24"/>
          <w:szCs w:val="24"/>
          <w:lang w:eastAsia="zh-CN"/>
        </w:rPr>
        <w:t>, Johns M, Margolis HS, Williams IT, Bell BP. Population-based surveillance for acute liver failure.</w:t>
      </w:r>
      <w:proofErr w:type="gramEnd"/>
      <w:r w:rsidRPr="00691B3F">
        <w:rPr>
          <w:rFonts w:ascii="Book Antiqua" w:eastAsia="DengXian" w:hAnsi="Book Antiqua" w:cs="Times New Roman"/>
          <w:kern w:val="2"/>
          <w:sz w:val="24"/>
          <w:szCs w:val="24"/>
          <w:lang w:eastAsia="zh-CN"/>
        </w:rPr>
        <w:t xml:space="preserve"> </w:t>
      </w:r>
      <w:r w:rsidRPr="00691B3F">
        <w:rPr>
          <w:rFonts w:ascii="Book Antiqua" w:eastAsia="DengXian" w:hAnsi="Book Antiqua" w:cs="Times New Roman"/>
          <w:i/>
          <w:kern w:val="2"/>
          <w:sz w:val="24"/>
          <w:szCs w:val="24"/>
          <w:lang w:eastAsia="zh-CN"/>
        </w:rPr>
        <w:t xml:space="preserve">Am J </w:t>
      </w:r>
      <w:proofErr w:type="spellStart"/>
      <w:r w:rsidRPr="00691B3F">
        <w:rPr>
          <w:rFonts w:ascii="Book Antiqua" w:eastAsia="DengXian" w:hAnsi="Book Antiqua" w:cs="Times New Roman"/>
          <w:i/>
          <w:kern w:val="2"/>
          <w:sz w:val="24"/>
          <w:szCs w:val="24"/>
          <w:lang w:eastAsia="zh-CN"/>
        </w:rPr>
        <w:t>Gastroenterol</w:t>
      </w:r>
      <w:proofErr w:type="spellEnd"/>
      <w:r w:rsidRPr="00691B3F">
        <w:rPr>
          <w:rFonts w:ascii="Book Antiqua" w:eastAsia="DengXian" w:hAnsi="Book Antiqua" w:cs="Times New Roman"/>
          <w:kern w:val="2"/>
          <w:sz w:val="24"/>
          <w:szCs w:val="24"/>
          <w:lang w:eastAsia="zh-CN"/>
        </w:rPr>
        <w:t xml:space="preserve"> 2007; </w:t>
      </w:r>
      <w:r w:rsidRPr="00691B3F">
        <w:rPr>
          <w:rFonts w:ascii="Book Antiqua" w:eastAsia="DengXian" w:hAnsi="Book Antiqua" w:cs="Times New Roman"/>
          <w:b/>
          <w:kern w:val="2"/>
          <w:sz w:val="24"/>
          <w:szCs w:val="24"/>
          <w:lang w:eastAsia="zh-CN"/>
        </w:rPr>
        <w:t>102</w:t>
      </w:r>
      <w:r w:rsidRPr="00691B3F">
        <w:rPr>
          <w:rFonts w:ascii="Book Antiqua" w:eastAsia="DengXian" w:hAnsi="Book Antiqua" w:cs="Times New Roman"/>
          <w:kern w:val="2"/>
          <w:sz w:val="24"/>
          <w:szCs w:val="24"/>
          <w:lang w:eastAsia="zh-CN"/>
        </w:rPr>
        <w:t>: 2459-2463 [PMID: 17608778 DOI: 10.1111/j.1572-0241.2007.01388.x]</w:t>
      </w:r>
    </w:p>
    <w:p w14:paraId="38941954"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proofErr w:type="gramStart"/>
      <w:r w:rsidRPr="00691B3F">
        <w:rPr>
          <w:rFonts w:ascii="Book Antiqua" w:eastAsia="DengXian" w:hAnsi="Book Antiqua" w:cs="Times New Roman"/>
          <w:kern w:val="2"/>
          <w:sz w:val="24"/>
          <w:szCs w:val="24"/>
          <w:lang w:eastAsia="zh-CN"/>
        </w:rPr>
        <w:t xml:space="preserve">3 </w:t>
      </w:r>
      <w:r w:rsidRPr="00691B3F">
        <w:rPr>
          <w:rFonts w:ascii="Book Antiqua" w:eastAsia="DengXian" w:hAnsi="Book Antiqua" w:cs="Times New Roman"/>
          <w:b/>
          <w:kern w:val="2"/>
          <w:sz w:val="24"/>
          <w:szCs w:val="24"/>
          <w:lang w:eastAsia="zh-CN"/>
        </w:rPr>
        <w:t>Reuben A</w:t>
      </w:r>
      <w:r w:rsidRPr="00691B3F">
        <w:rPr>
          <w:rFonts w:ascii="Book Antiqua" w:eastAsia="DengXian" w:hAnsi="Book Antiqua" w:cs="Times New Roman"/>
          <w:kern w:val="2"/>
          <w:sz w:val="24"/>
          <w:szCs w:val="24"/>
          <w:lang w:eastAsia="zh-CN"/>
        </w:rPr>
        <w:t>, Koch DG, Lee WM; Acute Liver Failure Study Group.</w:t>
      </w:r>
      <w:proofErr w:type="gramEnd"/>
      <w:r w:rsidRPr="00691B3F">
        <w:rPr>
          <w:rFonts w:ascii="Book Antiqua" w:eastAsia="DengXian" w:hAnsi="Book Antiqua" w:cs="Times New Roman"/>
          <w:kern w:val="2"/>
          <w:sz w:val="24"/>
          <w:szCs w:val="24"/>
          <w:lang w:eastAsia="zh-CN"/>
        </w:rPr>
        <w:t xml:space="preserve"> Drug-induced acute liver failure: results of a U.S. multicenter, prospective study. </w:t>
      </w:r>
      <w:proofErr w:type="spellStart"/>
      <w:r w:rsidRPr="00691B3F">
        <w:rPr>
          <w:rFonts w:ascii="Book Antiqua" w:eastAsia="DengXian" w:hAnsi="Book Antiqua" w:cs="Times New Roman"/>
          <w:i/>
          <w:kern w:val="2"/>
          <w:sz w:val="24"/>
          <w:szCs w:val="24"/>
          <w:lang w:eastAsia="zh-CN"/>
        </w:rPr>
        <w:t>Hepatology</w:t>
      </w:r>
      <w:proofErr w:type="spellEnd"/>
      <w:r w:rsidRPr="00691B3F">
        <w:rPr>
          <w:rFonts w:ascii="Book Antiqua" w:eastAsia="DengXian" w:hAnsi="Book Antiqua" w:cs="Times New Roman"/>
          <w:kern w:val="2"/>
          <w:sz w:val="24"/>
          <w:szCs w:val="24"/>
          <w:lang w:eastAsia="zh-CN"/>
        </w:rPr>
        <w:t xml:space="preserve"> 2010; </w:t>
      </w:r>
      <w:r w:rsidRPr="00691B3F">
        <w:rPr>
          <w:rFonts w:ascii="Book Antiqua" w:eastAsia="DengXian" w:hAnsi="Book Antiqua" w:cs="Times New Roman"/>
          <w:b/>
          <w:kern w:val="2"/>
          <w:sz w:val="24"/>
          <w:szCs w:val="24"/>
          <w:lang w:eastAsia="zh-CN"/>
        </w:rPr>
        <w:t>52</w:t>
      </w:r>
      <w:r w:rsidRPr="00691B3F">
        <w:rPr>
          <w:rFonts w:ascii="Book Antiqua" w:eastAsia="DengXian" w:hAnsi="Book Antiqua" w:cs="Times New Roman"/>
          <w:kern w:val="2"/>
          <w:sz w:val="24"/>
          <w:szCs w:val="24"/>
          <w:lang w:eastAsia="zh-CN"/>
        </w:rPr>
        <w:t>: 2065-2076 [PMID: 20949552 DOI: 10.1002/hep.23937]</w:t>
      </w:r>
    </w:p>
    <w:p w14:paraId="249C831C"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4 </w:t>
      </w:r>
      <w:r w:rsidRPr="00691B3F">
        <w:rPr>
          <w:rFonts w:ascii="Book Antiqua" w:eastAsia="DengXian" w:hAnsi="Book Antiqua" w:cs="Times New Roman"/>
          <w:b/>
          <w:kern w:val="2"/>
          <w:sz w:val="24"/>
          <w:szCs w:val="24"/>
          <w:lang w:eastAsia="zh-CN"/>
        </w:rPr>
        <w:t>Watkins PB</w:t>
      </w:r>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kern w:val="2"/>
          <w:sz w:val="24"/>
          <w:szCs w:val="24"/>
          <w:lang w:eastAsia="zh-CN"/>
        </w:rPr>
        <w:t>Kaplowitz</w:t>
      </w:r>
      <w:proofErr w:type="spellEnd"/>
      <w:r w:rsidRPr="00691B3F">
        <w:rPr>
          <w:rFonts w:ascii="Book Antiqua" w:eastAsia="DengXian" w:hAnsi="Book Antiqua" w:cs="Times New Roman"/>
          <w:kern w:val="2"/>
          <w:sz w:val="24"/>
          <w:szCs w:val="24"/>
          <w:lang w:eastAsia="zh-CN"/>
        </w:rPr>
        <w:t xml:space="preserve"> N, Slattery JT, </w:t>
      </w:r>
      <w:proofErr w:type="spellStart"/>
      <w:r w:rsidRPr="00691B3F">
        <w:rPr>
          <w:rFonts w:ascii="Book Antiqua" w:eastAsia="DengXian" w:hAnsi="Book Antiqua" w:cs="Times New Roman"/>
          <w:kern w:val="2"/>
          <w:sz w:val="24"/>
          <w:szCs w:val="24"/>
          <w:lang w:eastAsia="zh-CN"/>
        </w:rPr>
        <w:t>Colonese</w:t>
      </w:r>
      <w:proofErr w:type="spellEnd"/>
      <w:r w:rsidRPr="00691B3F">
        <w:rPr>
          <w:rFonts w:ascii="Book Antiqua" w:eastAsia="DengXian" w:hAnsi="Book Antiqua" w:cs="Times New Roman"/>
          <w:kern w:val="2"/>
          <w:sz w:val="24"/>
          <w:szCs w:val="24"/>
          <w:lang w:eastAsia="zh-CN"/>
        </w:rPr>
        <w:t xml:space="preserve"> CR, </w:t>
      </w:r>
      <w:proofErr w:type="spellStart"/>
      <w:r w:rsidRPr="00691B3F">
        <w:rPr>
          <w:rFonts w:ascii="Book Antiqua" w:eastAsia="DengXian" w:hAnsi="Book Antiqua" w:cs="Times New Roman"/>
          <w:kern w:val="2"/>
          <w:sz w:val="24"/>
          <w:szCs w:val="24"/>
          <w:lang w:eastAsia="zh-CN"/>
        </w:rPr>
        <w:t>Colucci</w:t>
      </w:r>
      <w:proofErr w:type="spellEnd"/>
      <w:r w:rsidRPr="00691B3F">
        <w:rPr>
          <w:rFonts w:ascii="Book Antiqua" w:eastAsia="DengXian" w:hAnsi="Book Antiqua" w:cs="Times New Roman"/>
          <w:kern w:val="2"/>
          <w:sz w:val="24"/>
          <w:szCs w:val="24"/>
          <w:lang w:eastAsia="zh-CN"/>
        </w:rPr>
        <w:t xml:space="preserve"> SV, Stewart PW, Harris SC. Aminotransferase elevations in healthy adults receiving 4 grams of acetaminophen daily: a randomized controlled trial. </w:t>
      </w:r>
      <w:r w:rsidRPr="00691B3F">
        <w:rPr>
          <w:rFonts w:ascii="Book Antiqua" w:eastAsia="DengXian" w:hAnsi="Book Antiqua" w:cs="Times New Roman"/>
          <w:i/>
          <w:kern w:val="2"/>
          <w:sz w:val="24"/>
          <w:szCs w:val="24"/>
          <w:lang w:eastAsia="zh-CN"/>
        </w:rPr>
        <w:t>JAMA</w:t>
      </w:r>
      <w:r w:rsidRPr="00691B3F">
        <w:rPr>
          <w:rFonts w:ascii="Book Antiqua" w:eastAsia="DengXian" w:hAnsi="Book Antiqua" w:cs="Times New Roman"/>
          <w:kern w:val="2"/>
          <w:sz w:val="24"/>
          <w:szCs w:val="24"/>
          <w:lang w:eastAsia="zh-CN"/>
        </w:rPr>
        <w:t xml:space="preserve"> 2006; </w:t>
      </w:r>
      <w:r w:rsidRPr="00691B3F">
        <w:rPr>
          <w:rFonts w:ascii="Book Antiqua" w:eastAsia="DengXian" w:hAnsi="Book Antiqua" w:cs="Times New Roman"/>
          <w:b/>
          <w:kern w:val="2"/>
          <w:sz w:val="24"/>
          <w:szCs w:val="24"/>
          <w:lang w:eastAsia="zh-CN"/>
        </w:rPr>
        <w:t>296</w:t>
      </w:r>
      <w:r w:rsidRPr="00691B3F">
        <w:rPr>
          <w:rFonts w:ascii="Book Antiqua" w:eastAsia="DengXian" w:hAnsi="Book Antiqua" w:cs="Times New Roman"/>
          <w:kern w:val="2"/>
          <w:sz w:val="24"/>
          <w:szCs w:val="24"/>
          <w:lang w:eastAsia="zh-CN"/>
        </w:rPr>
        <w:t>: 87-93 [PMID: 16820551 DOI: 10.1001/jama.296.1.87]</w:t>
      </w:r>
    </w:p>
    <w:p w14:paraId="235E899D"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5 </w:t>
      </w:r>
      <w:proofErr w:type="spellStart"/>
      <w:r w:rsidRPr="00691B3F">
        <w:rPr>
          <w:rFonts w:ascii="Book Antiqua" w:eastAsia="DengXian" w:hAnsi="Book Antiqua" w:cs="Times New Roman"/>
          <w:b/>
          <w:kern w:val="2"/>
          <w:sz w:val="24"/>
          <w:szCs w:val="24"/>
          <w:lang w:eastAsia="zh-CN"/>
        </w:rPr>
        <w:t>Ostapowicz</w:t>
      </w:r>
      <w:proofErr w:type="spellEnd"/>
      <w:r w:rsidRPr="00691B3F">
        <w:rPr>
          <w:rFonts w:ascii="Book Antiqua" w:eastAsia="DengXian" w:hAnsi="Book Antiqua" w:cs="Times New Roman"/>
          <w:b/>
          <w:kern w:val="2"/>
          <w:sz w:val="24"/>
          <w:szCs w:val="24"/>
          <w:lang w:eastAsia="zh-CN"/>
        </w:rPr>
        <w:t xml:space="preserve"> G</w:t>
      </w:r>
      <w:r w:rsidRPr="00691B3F">
        <w:rPr>
          <w:rFonts w:ascii="Book Antiqua" w:eastAsia="DengXian" w:hAnsi="Book Antiqua" w:cs="Times New Roman"/>
          <w:kern w:val="2"/>
          <w:sz w:val="24"/>
          <w:szCs w:val="24"/>
          <w:lang w:eastAsia="zh-CN"/>
        </w:rPr>
        <w:t xml:space="preserve">, Fontana RJ, </w:t>
      </w:r>
      <w:proofErr w:type="spellStart"/>
      <w:r w:rsidRPr="00691B3F">
        <w:rPr>
          <w:rFonts w:ascii="Book Antiqua" w:eastAsia="DengXian" w:hAnsi="Book Antiqua" w:cs="Times New Roman"/>
          <w:kern w:val="2"/>
          <w:sz w:val="24"/>
          <w:szCs w:val="24"/>
          <w:lang w:eastAsia="zh-CN"/>
        </w:rPr>
        <w:t>Schiødt</w:t>
      </w:r>
      <w:proofErr w:type="spellEnd"/>
      <w:r w:rsidRPr="00691B3F">
        <w:rPr>
          <w:rFonts w:ascii="Book Antiqua" w:eastAsia="DengXian" w:hAnsi="Book Antiqua" w:cs="Times New Roman"/>
          <w:kern w:val="2"/>
          <w:sz w:val="24"/>
          <w:szCs w:val="24"/>
          <w:lang w:eastAsia="zh-CN"/>
        </w:rPr>
        <w:t xml:space="preserve"> FV, Larson A, </w:t>
      </w:r>
      <w:proofErr w:type="spellStart"/>
      <w:r w:rsidRPr="00691B3F">
        <w:rPr>
          <w:rFonts w:ascii="Book Antiqua" w:eastAsia="DengXian" w:hAnsi="Book Antiqua" w:cs="Times New Roman"/>
          <w:kern w:val="2"/>
          <w:sz w:val="24"/>
          <w:szCs w:val="24"/>
          <w:lang w:eastAsia="zh-CN"/>
        </w:rPr>
        <w:t>Davern</w:t>
      </w:r>
      <w:proofErr w:type="spellEnd"/>
      <w:r w:rsidRPr="00691B3F">
        <w:rPr>
          <w:rFonts w:ascii="Book Antiqua" w:eastAsia="DengXian" w:hAnsi="Book Antiqua" w:cs="Times New Roman"/>
          <w:kern w:val="2"/>
          <w:sz w:val="24"/>
          <w:szCs w:val="24"/>
          <w:lang w:eastAsia="zh-CN"/>
        </w:rPr>
        <w:t xml:space="preserve"> TJ, Han SH, </w:t>
      </w:r>
      <w:proofErr w:type="spellStart"/>
      <w:r w:rsidRPr="00691B3F">
        <w:rPr>
          <w:rFonts w:ascii="Book Antiqua" w:eastAsia="DengXian" w:hAnsi="Book Antiqua" w:cs="Times New Roman"/>
          <w:kern w:val="2"/>
          <w:sz w:val="24"/>
          <w:szCs w:val="24"/>
          <w:lang w:eastAsia="zh-CN"/>
        </w:rPr>
        <w:t>McCashland</w:t>
      </w:r>
      <w:proofErr w:type="spellEnd"/>
      <w:r w:rsidRPr="00691B3F">
        <w:rPr>
          <w:rFonts w:ascii="Book Antiqua" w:eastAsia="DengXian" w:hAnsi="Book Antiqua" w:cs="Times New Roman"/>
          <w:kern w:val="2"/>
          <w:sz w:val="24"/>
          <w:szCs w:val="24"/>
          <w:lang w:eastAsia="zh-CN"/>
        </w:rPr>
        <w:t xml:space="preserve"> TM, </w:t>
      </w:r>
      <w:proofErr w:type="spellStart"/>
      <w:r w:rsidRPr="00691B3F">
        <w:rPr>
          <w:rFonts w:ascii="Book Antiqua" w:eastAsia="DengXian" w:hAnsi="Book Antiqua" w:cs="Times New Roman"/>
          <w:kern w:val="2"/>
          <w:sz w:val="24"/>
          <w:szCs w:val="24"/>
          <w:lang w:eastAsia="zh-CN"/>
        </w:rPr>
        <w:t>Shakil</w:t>
      </w:r>
      <w:proofErr w:type="spellEnd"/>
      <w:r w:rsidRPr="00691B3F">
        <w:rPr>
          <w:rFonts w:ascii="Book Antiqua" w:eastAsia="DengXian" w:hAnsi="Book Antiqua" w:cs="Times New Roman"/>
          <w:kern w:val="2"/>
          <w:sz w:val="24"/>
          <w:szCs w:val="24"/>
          <w:lang w:eastAsia="zh-CN"/>
        </w:rPr>
        <w:t xml:space="preserve"> AO, Hay JE, </w:t>
      </w:r>
      <w:proofErr w:type="spellStart"/>
      <w:r w:rsidRPr="00691B3F">
        <w:rPr>
          <w:rFonts w:ascii="Book Antiqua" w:eastAsia="DengXian" w:hAnsi="Book Antiqua" w:cs="Times New Roman"/>
          <w:kern w:val="2"/>
          <w:sz w:val="24"/>
          <w:szCs w:val="24"/>
          <w:lang w:eastAsia="zh-CN"/>
        </w:rPr>
        <w:t>Hynan</w:t>
      </w:r>
      <w:proofErr w:type="spellEnd"/>
      <w:r w:rsidRPr="00691B3F">
        <w:rPr>
          <w:rFonts w:ascii="Book Antiqua" w:eastAsia="DengXian" w:hAnsi="Book Antiqua" w:cs="Times New Roman"/>
          <w:kern w:val="2"/>
          <w:sz w:val="24"/>
          <w:szCs w:val="24"/>
          <w:lang w:eastAsia="zh-CN"/>
        </w:rPr>
        <w:t xml:space="preserve"> L, </w:t>
      </w:r>
      <w:proofErr w:type="spellStart"/>
      <w:r w:rsidRPr="00691B3F">
        <w:rPr>
          <w:rFonts w:ascii="Book Antiqua" w:eastAsia="DengXian" w:hAnsi="Book Antiqua" w:cs="Times New Roman"/>
          <w:kern w:val="2"/>
          <w:sz w:val="24"/>
          <w:szCs w:val="24"/>
          <w:lang w:eastAsia="zh-CN"/>
        </w:rPr>
        <w:t>Crippin</w:t>
      </w:r>
      <w:proofErr w:type="spellEnd"/>
      <w:r w:rsidRPr="00691B3F">
        <w:rPr>
          <w:rFonts w:ascii="Book Antiqua" w:eastAsia="DengXian" w:hAnsi="Book Antiqua" w:cs="Times New Roman"/>
          <w:kern w:val="2"/>
          <w:sz w:val="24"/>
          <w:szCs w:val="24"/>
          <w:lang w:eastAsia="zh-CN"/>
        </w:rPr>
        <w:t xml:space="preserve"> JS, </w:t>
      </w:r>
      <w:proofErr w:type="spellStart"/>
      <w:r w:rsidRPr="00691B3F">
        <w:rPr>
          <w:rFonts w:ascii="Book Antiqua" w:eastAsia="DengXian" w:hAnsi="Book Antiqua" w:cs="Times New Roman"/>
          <w:kern w:val="2"/>
          <w:sz w:val="24"/>
          <w:szCs w:val="24"/>
          <w:lang w:eastAsia="zh-CN"/>
        </w:rPr>
        <w:t>Blei</w:t>
      </w:r>
      <w:proofErr w:type="spellEnd"/>
      <w:r w:rsidRPr="00691B3F">
        <w:rPr>
          <w:rFonts w:ascii="Book Antiqua" w:eastAsia="DengXian" w:hAnsi="Book Antiqua" w:cs="Times New Roman"/>
          <w:kern w:val="2"/>
          <w:sz w:val="24"/>
          <w:szCs w:val="24"/>
          <w:lang w:eastAsia="zh-CN"/>
        </w:rPr>
        <w:t xml:space="preserve"> AT, Samuel G, </w:t>
      </w:r>
      <w:proofErr w:type="spellStart"/>
      <w:r w:rsidRPr="00691B3F">
        <w:rPr>
          <w:rFonts w:ascii="Book Antiqua" w:eastAsia="DengXian" w:hAnsi="Book Antiqua" w:cs="Times New Roman"/>
          <w:kern w:val="2"/>
          <w:sz w:val="24"/>
          <w:szCs w:val="24"/>
          <w:lang w:eastAsia="zh-CN"/>
        </w:rPr>
        <w:t>Reisch</w:t>
      </w:r>
      <w:proofErr w:type="spellEnd"/>
      <w:r w:rsidRPr="00691B3F">
        <w:rPr>
          <w:rFonts w:ascii="Book Antiqua" w:eastAsia="DengXian" w:hAnsi="Book Antiqua" w:cs="Times New Roman"/>
          <w:kern w:val="2"/>
          <w:sz w:val="24"/>
          <w:szCs w:val="24"/>
          <w:lang w:eastAsia="zh-CN"/>
        </w:rPr>
        <w:t xml:space="preserve"> J, Lee WM; U.S. Acute Liver Failure Study Group. </w:t>
      </w:r>
      <w:proofErr w:type="gramStart"/>
      <w:r w:rsidRPr="00691B3F">
        <w:rPr>
          <w:rFonts w:ascii="Book Antiqua" w:eastAsia="DengXian" w:hAnsi="Book Antiqua" w:cs="Times New Roman"/>
          <w:kern w:val="2"/>
          <w:sz w:val="24"/>
          <w:szCs w:val="24"/>
          <w:lang w:eastAsia="zh-CN"/>
        </w:rPr>
        <w:t>Results of a prospective study of acute liver failure at 17 tertiary care centers in the United States.</w:t>
      </w:r>
      <w:proofErr w:type="gramEnd"/>
      <w:r w:rsidRPr="00691B3F">
        <w:rPr>
          <w:rFonts w:ascii="Book Antiqua" w:eastAsia="DengXian" w:hAnsi="Book Antiqua" w:cs="Times New Roman"/>
          <w:kern w:val="2"/>
          <w:sz w:val="24"/>
          <w:szCs w:val="24"/>
          <w:lang w:eastAsia="zh-CN"/>
        </w:rPr>
        <w:t xml:space="preserve"> </w:t>
      </w:r>
      <w:r w:rsidRPr="00691B3F">
        <w:rPr>
          <w:rFonts w:ascii="Book Antiqua" w:eastAsia="DengXian" w:hAnsi="Book Antiqua" w:cs="Times New Roman"/>
          <w:i/>
          <w:kern w:val="2"/>
          <w:sz w:val="24"/>
          <w:szCs w:val="24"/>
          <w:lang w:eastAsia="zh-CN"/>
        </w:rPr>
        <w:t>Ann Intern Med</w:t>
      </w:r>
      <w:r w:rsidRPr="00691B3F">
        <w:rPr>
          <w:rFonts w:ascii="Book Antiqua" w:eastAsia="DengXian" w:hAnsi="Book Antiqua" w:cs="Times New Roman"/>
          <w:kern w:val="2"/>
          <w:sz w:val="24"/>
          <w:szCs w:val="24"/>
          <w:lang w:eastAsia="zh-CN"/>
        </w:rPr>
        <w:t xml:space="preserve"> 2002; </w:t>
      </w:r>
      <w:r w:rsidRPr="00691B3F">
        <w:rPr>
          <w:rFonts w:ascii="Book Antiqua" w:eastAsia="DengXian" w:hAnsi="Book Antiqua" w:cs="Times New Roman"/>
          <w:b/>
          <w:kern w:val="2"/>
          <w:sz w:val="24"/>
          <w:szCs w:val="24"/>
          <w:lang w:eastAsia="zh-CN"/>
        </w:rPr>
        <w:t>137</w:t>
      </w:r>
      <w:r w:rsidRPr="00691B3F">
        <w:rPr>
          <w:rFonts w:ascii="Book Antiqua" w:eastAsia="DengXian" w:hAnsi="Book Antiqua" w:cs="Times New Roman"/>
          <w:kern w:val="2"/>
          <w:sz w:val="24"/>
          <w:szCs w:val="24"/>
          <w:lang w:eastAsia="zh-CN"/>
        </w:rPr>
        <w:t>: 947-954 [PMID: 12484709 DOI: 10.7326/0003-4819-137-12-200212170-00007]</w:t>
      </w:r>
    </w:p>
    <w:p w14:paraId="7CD2079A"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proofErr w:type="gramStart"/>
      <w:r w:rsidRPr="00691B3F">
        <w:rPr>
          <w:rFonts w:ascii="Book Antiqua" w:eastAsia="DengXian" w:hAnsi="Book Antiqua" w:cs="Times New Roman"/>
          <w:kern w:val="2"/>
          <w:sz w:val="24"/>
          <w:szCs w:val="24"/>
          <w:lang w:eastAsia="zh-CN"/>
        </w:rPr>
        <w:t xml:space="preserve">6 </w:t>
      </w:r>
      <w:r w:rsidRPr="00691B3F">
        <w:rPr>
          <w:rFonts w:ascii="Book Antiqua" w:eastAsia="DengXian" w:hAnsi="Book Antiqua" w:cs="Times New Roman"/>
          <w:b/>
          <w:kern w:val="2"/>
          <w:sz w:val="24"/>
          <w:szCs w:val="24"/>
          <w:lang w:eastAsia="zh-CN"/>
        </w:rPr>
        <w:t>Herndon CM</w:t>
      </w:r>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kern w:val="2"/>
          <w:sz w:val="24"/>
          <w:szCs w:val="24"/>
          <w:lang w:eastAsia="zh-CN"/>
        </w:rPr>
        <w:t>Dankenbring</w:t>
      </w:r>
      <w:proofErr w:type="spellEnd"/>
      <w:r w:rsidRPr="00691B3F">
        <w:rPr>
          <w:rFonts w:ascii="Book Antiqua" w:eastAsia="DengXian" w:hAnsi="Book Antiqua" w:cs="Times New Roman"/>
          <w:kern w:val="2"/>
          <w:sz w:val="24"/>
          <w:szCs w:val="24"/>
          <w:lang w:eastAsia="zh-CN"/>
        </w:rPr>
        <w:t xml:space="preserve"> DM. Patient perception and knowledge of acetaminophen in a large family medicine service.</w:t>
      </w:r>
      <w:proofErr w:type="gramEnd"/>
      <w:r w:rsidRPr="00691B3F">
        <w:rPr>
          <w:rFonts w:ascii="Book Antiqua" w:eastAsia="DengXian" w:hAnsi="Book Antiqua" w:cs="Times New Roman"/>
          <w:kern w:val="2"/>
          <w:sz w:val="24"/>
          <w:szCs w:val="24"/>
          <w:lang w:eastAsia="zh-CN"/>
        </w:rPr>
        <w:t xml:space="preserve"> </w:t>
      </w:r>
      <w:r w:rsidRPr="00691B3F">
        <w:rPr>
          <w:rFonts w:ascii="Book Antiqua" w:eastAsia="DengXian" w:hAnsi="Book Antiqua" w:cs="Times New Roman"/>
          <w:i/>
          <w:kern w:val="2"/>
          <w:sz w:val="24"/>
          <w:szCs w:val="24"/>
          <w:lang w:eastAsia="zh-CN"/>
        </w:rPr>
        <w:t xml:space="preserve">J Pain </w:t>
      </w:r>
      <w:proofErr w:type="spellStart"/>
      <w:r w:rsidRPr="00691B3F">
        <w:rPr>
          <w:rFonts w:ascii="Book Antiqua" w:eastAsia="DengXian" w:hAnsi="Book Antiqua" w:cs="Times New Roman"/>
          <w:i/>
          <w:kern w:val="2"/>
          <w:sz w:val="24"/>
          <w:szCs w:val="24"/>
          <w:lang w:eastAsia="zh-CN"/>
        </w:rPr>
        <w:t>Palliat</w:t>
      </w:r>
      <w:proofErr w:type="spellEnd"/>
      <w:r w:rsidRPr="00691B3F">
        <w:rPr>
          <w:rFonts w:ascii="Book Antiqua" w:eastAsia="DengXian" w:hAnsi="Book Antiqua" w:cs="Times New Roman"/>
          <w:i/>
          <w:kern w:val="2"/>
          <w:sz w:val="24"/>
          <w:szCs w:val="24"/>
          <w:lang w:eastAsia="zh-CN"/>
        </w:rPr>
        <w:t xml:space="preserve"> Care </w:t>
      </w:r>
      <w:proofErr w:type="spellStart"/>
      <w:r w:rsidRPr="00691B3F">
        <w:rPr>
          <w:rFonts w:ascii="Book Antiqua" w:eastAsia="DengXian" w:hAnsi="Book Antiqua" w:cs="Times New Roman"/>
          <w:i/>
          <w:kern w:val="2"/>
          <w:sz w:val="24"/>
          <w:szCs w:val="24"/>
          <w:lang w:eastAsia="zh-CN"/>
        </w:rPr>
        <w:t>Pharmacother</w:t>
      </w:r>
      <w:proofErr w:type="spellEnd"/>
      <w:r w:rsidRPr="00691B3F">
        <w:rPr>
          <w:rFonts w:ascii="Book Antiqua" w:eastAsia="DengXian" w:hAnsi="Book Antiqua" w:cs="Times New Roman"/>
          <w:kern w:val="2"/>
          <w:sz w:val="24"/>
          <w:szCs w:val="24"/>
          <w:lang w:eastAsia="zh-CN"/>
        </w:rPr>
        <w:t xml:space="preserve"> 2014; </w:t>
      </w:r>
      <w:r w:rsidRPr="00691B3F">
        <w:rPr>
          <w:rFonts w:ascii="Book Antiqua" w:eastAsia="DengXian" w:hAnsi="Book Antiqua" w:cs="Times New Roman"/>
          <w:b/>
          <w:kern w:val="2"/>
          <w:sz w:val="24"/>
          <w:szCs w:val="24"/>
          <w:lang w:eastAsia="zh-CN"/>
        </w:rPr>
        <w:t>28</w:t>
      </w:r>
      <w:r w:rsidRPr="00691B3F">
        <w:rPr>
          <w:rFonts w:ascii="Book Antiqua" w:eastAsia="DengXian" w:hAnsi="Book Antiqua" w:cs="Times New Roman"/>
          <w:kern w:val="2"/>
          <w:sz w:val="24"/>
          <w:szCs w:val="24"/>
          <w:lang w:eastAsia="zh-CN"/>
        </w:rPr>
        <w:t>: 109-116 [PMID: 24813653 DOI: 10.3109/15360288.2014.908993]</w:t>
      </w:r>
    </w:p>
    <w:p w14:paraId="207A884C"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proofErr w:type="gramStart"/>
      <w:r w:rsidRPr="00691B3F">
        <w:rPr>
          <w:rFonts w:ascii="Book Antiqua" w:eastAsia="DengXian" w:hAnsi="Book Antiqua" w:cs="Times New Roman"/>
          <w:kern w:val="2"/>
          <w:sz w:val="24"/>
          <w:szCs w:val="24"/>
          <w:lang w:eastAsia="zh-CN"/>
        </w:rPr>
        <w:t xml:space="preserve">7 </w:t>
      </w:r>
      <w:proofErr w:type="spellStart"/>
      <w:r w:rsidRPr="00691B3F">
        <w:rPr>
          <w:rFonts w:ascii="Book Antiqua" w:eastAsia="DengXian" w:hAnsi="Book Antiqua" w:cs="Times New Roman"/>
          <w:b/>
          <w:kern w:val="2"/>
          <w:sz w:val="24"/>
          <w:szCs w:val="24"/>
          <w:lang w:eastAsia="zh-CN"/>
        </w:rPr>
        <w:t>Bunchorntavakul</w:t>
      </w:r>
      <w:proofErr w:type="spellEnd"/>
      <w:r w:rsidRPr="00691B3F">
        <w:rPr>
          <w:rFonts w:ascii="Book Antiqua" w:eastAsia="DengXian" w:hAnsi="Book Antiqua" w:cs="Times New Roman"/>
          <w:b/>
          <w:kern w:val="2"/>
          <w:sz w:val="24"/>
          <w:szCs w:val="24"/>
          <w:lang w:eastAsia="zh-CN"/>
        </w:rPr>
        <w:t xml:space="preserve"> C</w:t>
      </w:r>
      <w:r w:rsidRPr="00691B3F">
        <w:rPr>
          <w:rFonts w:ascii="Book Antiqua" w:eastAsia="DengXian" w:hAnsi="Book Antiqua" w:cs="Times New Roman"/>
          <w:kern w:val="2"/>
          <w:sz w:val="24"/>
          <w:szCs w:val="24"/>
          <w:lang w:eastAsia="zh-CN"/>
        </w:rPr>
        <w:t>, Reddy KR. Acetaminophen-related hepatotoxicity.</w:t>
      </w:r>
      <w:proofErr w:type="gramEnd"/>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i/>
          <w:kern w:val="2"/>
          <w:sz w:val="24"/>
          <w:szCs w:val="24"/>
          <w:lang w:eastAsia="zh-CN"/>
        </w:rPr>
        <w:t>Clin</w:t>
      </w:r>
      <w:proofErr w:type="spellEnd"/>
      <w:r w:rsidRPr="00691B3F">
        <w:rPr>
          <w:rFonts w:ascii="Book Antiqua" w:eastAsia="DengXian" w:hAnsi="Book Antiqua" w:cs="Times New Roman"/>
          <w:i/>
          <w:kern w:val="2"/>
          <w:sz w:val="24"/>
          <w:szCs w:val="24"/>
          <w:lang w:eastAsia="zh-CN"/>
        </w:rPr>
        <w:t xml:space="preserve"> Liver Dis</w:t>
      </w:r>
      <w:r w:rsidRPr="00691B3F">
        <w:rPr>
          <w:rFonts w:ascii="Book Antiqua" w:eastAsia="DengXian" w:hAnsi="Book Antiqua" w:cs="Times New Roman"/>
          <w:kern w:val="2"/>
          <w:sz w:val="24"/>
          <w:szCs w:val="24"/>
          <w:lang w:eastAsia="zh-CN"/>
        </w:rPr>
        <w:t xml:space="preserve"> 2013; </w:t>
      </w:r>
      <w:r w:rsidRPr="00691B3F">
        <w:rPr>
          <w:rFonts w:ascii="Book Antiqua" w:eastAsia="DengXian" w:hAnsi="Book Antiqua" w:cs="Times New Roman"/>
          <w:b/>
          <w:kern w:val="2"/>
          <w:sz w:val="24"/>
          <w:szCs w:val="24"/>
          <w:lang w:eastAsia="zh-CN"/>
        </w:rPr>
        <w:t>17</w:t>
      </w:r>
      <w:r w:rsidRPr="00691B3F">
        <w:rPr>
          <w:rFonts w:ascii="Book Antiqua" w:eastAsia="DengXian" w:hAnsi="Book Antiqua" w:cs="Times New Roman"/>
          <w:kern w:val="2"/>
          <w:sz w:val="24"/>
          <w:szCs w:val="24"/>
          <w:lang w:eastAsia="zh-CN"/>
        </w:rPr>
        <w:t>: 587-607, viii [PMID: 24099020 DOI: 10.1016/j.cld.2013.07.005]</w:t>
      </w:r>
    </w:p>
    <w:p w14:paraId="17CB8E13"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8 </w:t>
      </w:r>
      <w:proofErr w:type="spellStart"/>
      <w:r w:rsidRPr="00691B3F">
        <w:rPr>
          <w:rFonts w:ascii="Book Antiqua" w:eastAsia="DengXian" w:hAnsi="Book Antiqua" w:cs="Times New Roman"/>
          <w:b/>
          <w:kern w:val="2"/>
          <w:sz w:val="24"/>
          <w:szCs w:val="24"/>
          <w:lang w:eastAsia="zh-CN"/>
        </w:rPr>
        <w:t>Bosilkovska</w:t>
      </w:r>
      <w:proofErr w:type="spellEnd"/>
      <w:r w:rsidRPr="00691B3F">
        <w:rPr>
          <w:rFonts w:ascii="Book Antiqua" w:eastAsia="DengXian" w:hAnsi="Book Antiqua" w:cs="Times New Roman"/>
          <w:b/>
          <w:kern w:val="2"/>
          <w:sz w:val="24"/>
          <w:szCs w:val="24"/>
          <w:lang w:eastAsia="zh-CN"/>
        </w:rPr>
        <w:t xml:space="preserve"> M</w:t>
      </w:r>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kern w:val="2"/>
          <w:sz w:val="24"/>
          <w:szCs w:val="24"/>
          <w:lang w:eastAsia="zh-CN"/>
        </w:rPr>
        <w:t>Walder</w:t>
      </w:r>
      <w:proofErr w:type="spellEnd"/>
      <w:r w:rsidRPr="00691B3F">
        <w:rPr>
          <w:rFonts w:ascii="Book Antiqua" w:eastAsia="DengXian" w:hAnsi="Book Antiqua" w:cs="Times New Roman"/>
          <w:kern w:val="2"/>
          <w:sz w:val="24"/>
          <w:szCs w:val="24"/>
          <w:lang w:eastAsia="zh-CN"/>
        </w:rPr>
        <w:t xml:space="preserve"> B, </w:t>
      </w:r>
      <w:proofErr w:type="spellStart"/>
      <w:r w:rsidRPr="00691B3F">
        <w:rPr>
          <w:rFonts w:ascii="Book Antiqua" w:eastAsia="DengXian" w:hAnsi="Book Antiqua" w:cs="Times New Roman"/>
          <w:kern w:val="2"/>
          <w:sz w:val="24"/>
          <w:szCs w:val="24"/>
          <w:lang w:eastAsia="zh-CN"/>
        </w:rPr>
        <w:t>Besson</w:t>
      </w:r>
      <w:proofErr w:type="spellEnd"/>
      <w:r w:rsidRPr="00691B3F">
        <w:rPr>
          <w:rFonts w:ascii="Book Antiqua" w:eastAsia="DengXian" w:hAnsi="Book Antiqua" w:cs="Times New Roman"/>
          <w:kern w:val="2"/>
          <w:sz w:val="24"/>
          <w:szCs w:val="24"/>
          <w:lang w:eastAsia="zh-CN"/>
        </w:rPr>
        <w:t xml:space="preserve"> M, </w:t>
      </w:r>
      <w:proofErr w:type="spellStart"/>
      <w:r w:rsidRPr="00691B3F">
        <w:rPr>
          <w:rFonts w:ascii="Book Antiqua" w:eastAsia="DengXian" w:hAnsi="Book Antiqua" w:cs="Times New Roman"/>
          <w:kern w:val="2"/>
          <w:sz w:val="24"/>
          <w:szCs w:val="24"/>
          <w:lang w:eastAsia="zh-CN"/>
        </w:rPr>
        <w:t>Daali</w:t>
      </w:r>
      <w:proofErr w:type="spellEnd"/>
      <w:r w:rsidRPr="00691B3F">
        <w:rPr>
          <w:rFonts w:ascii="Book Antiqua" w:eastAsia="DengXian" w:hAnsi="Book Antiqua" w:cs="Times New Roman"/>
          <w:kern w:val="2"/>
          <w:sz w:val="24"/>
          <w:szCs w:val="24"/>
          <w:lang w:eastAsia="zh-CN"/>
        </w:rPr>
        <w:t xml:space="preserve"> Y, </w:t>
      </w:r>
      <w:proofErr w:type="spellStart"/>
      <w:r w:rsidRPr="00691B3F">
        <w:rPr>
          <w:rFonts w:ascii="Book Antiqua" w:eastAsia="DengXian" w:hAnsi="Book Antiqua" w:cs="Times New Roman"/>
          <w:kern w:val="2"/>
          <w:sz w:val="24"/>
          <w:szCs w:val="24"/>
          <w:lang w:eastAsia="zh-CN"/>
        </w:rPr>
        <w:t>Desmeules</w:t>
      </w:r>
      <w:proofErr w:type="spellEnd"/>
      <w:r w:rsidRPr="00691B3F">
        <w:rPr>
          <w:rFonts w:ascii="Book Antiqua" w:eastAsia="DengXian" w:hAnsi="Book Antiqua" w:cs="Times New Roman"/>
          <w:kern w:val="2"/>
          <w:sz w:val="24"/>
          <w:szCs w:val="24"/>
          <w:lang w:eastAsia="zh-CN"/>
        </w:rPr>
        <w:t xml:space="preserve"> J. Analgesics in patients with hepatic impairment: pharmacology and clinical implications. </w:t>
      </w:r>
      <w:r w:rsidRPr="00691B3F">
        <w:rPr>
          <w:rFonts w:ascii="Book Antiqua" w:eastAsia="DengXian" w:hAnsi="Book Antiqua" w:cs="Times New Roman"/>
          <w:i/>
          <w:kern w:val="2"/>
          <w:sz w:val="24"/>
          <w:szCs w:val="24"/>
          <w:lang w:eastAsia="zh-CN"/>
        </w:rPr>
        <w:t>Drugs</w:t>
      </w:r>
      <w:r w:rsidRPr="00691B3F">
        <w:rPr>
          <w:rFonts w:ascii="Book Antiqua" w:eastAsia="DengXian" w:hAnsi="Book Antiqua" w:cs="Times New Roman"/>
          <w:kern w:val="2"/>
          <w:sz w:val="24"/>
          <w:szCs w:val="24"/>
          <w:lang w:eastAsia="zh-CN"/>
        </w:rPr>
        <w:t xml:space="preserve"> 2012; </w:t>
      </w:r>
      <w:r w:rsidRPr="00691B3F">
        <w:rPr>
          <w:rFonts w:ascii="Book Antiqua" w:eastAsia="DengXian" w:hAnsi="Book Antiqua" w:cs="Times New Roman"/>
          <w:b/>
          <w:kern w:val="2"/>
          <w:sz w:val="24"/>
          <w:szCs w:val="24"/>
          <w:lang w:eastAsia="zh-CN"/>
        </w:rPr>
        <w:t>72</w:t>
      </w:r>
      <w:r w:rsidRPr="00691B3F">
        <w:rPr>
          <w:rFonts w:ascii="Book Antiqua" w:eastAsia="DengXian" w:hAnsi="Book Antiqua" w:cs="Times New Roman"/>
          <w:kern w:val="2"/>
          <w:sz w:val="24"/>
          <w:szCs w:val="24"/>
          <w:lang w:eastAsia="zh-CN"/>
        </w:rPr>
        <w:t>: 1645-</w:t>
      </w:r>
      <w:r w:rsidRPr="00691B3F">
        <w:rPr>
          <w:rFonts w:ascii="Book Antiqua" w:eastAsia="DengXian" w:hAnsi="Book Antiqua" w:cs="Times New Roman"/>
          <w:kern w:val="2"/>
          <w:sz w:val="24"/>
          <w:szCs w:val="24"/>
          <w:lang w:eastAsia="zh-CN"/>
        </w:rPr>
        <w:lastRenderedPageBreak/>
        <w:t>1669 [PMID: 22867045 DOI: 10.2165/11635500-000000000-00000]</w:t>
      </w:r>
    </w:p>
    <w:p w14:paraId="771626CC"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9 </w:t>
      </w:r>
      <w:proofErr w:type="spellStart"/>
      <w:r w:rsidRPr="00691B3F">
        <w:rPr>
          <w:rFonts w:ascii="Book Antiqua" w:eastAsia="DengXian" w:hAnsi="Book Antiqua" w:cs="Times New Roman"/>
          <w:b/>
          <w:kern w:val="2"/>
          <w:sz w:val="24"/>
          <w:szCs w:val="24"/>
          <w:lang w:eastAsia="zh-CN"/>
        </w:rPr>
        <w:t>Chandok</w:t>
      </w:r>
      <w:proofErr w:type="spellEnd"/>
      <w:r w:rsidRPr="00691B3F">
        <w:rPr>
          <w:rFonts w:ascii="Book Antiqua" w:eastAsia="DengXian" w:hAnsi="Book Antiqua" w:cs="Times New Roman"/>
          <w:b/>
          <w:kern w:val="2"/>
          <w:sz w:val="24"/>
          <w:szCs w:val="24"/>
          <w:lang w:eastAsia="zh-CN"/>
        </w:rPr>
        <w:t xml:space="preserve"> N,</w:t>
      </w:r>
      <w:r w:rsidRPr="00691B3F">
        <w:rPr>
          <w:rFonts w:ascii="Book Antiqua" w:eastAsia="DengXian" w:hAnsi="Book Antiqua" w:cs="Times New Roman"/>
          <w:kern w:val="2"/>
          <w:sz w:val="24"/>
          <w:szCs w:val="24"/>
          <w:lang w:eastAsia="zh-CN"/>
        </w:rPr>
        <w:t xml:space="preserve"> Watt KD. Pain management in the cirrhotic patient: the clinical challenge.</w:t>
      </w:r>
      <w:r w:rsidRPr="00691B3F">
        <w:rPr>
          <w:rFonts w:ascii="DengXian" w:eastAsia="DengXian" w:hAnsi="DengXian" w:cs="Times New Roman"/>
          <w:kern w:val="2"/>
          <w:sz w:val="21"/>
          <w:lang w:eastAsia="zh-CN"/>
        </w:rPr>
        <w:t xml:space="preserve"> </w:t>
      </w:r>
      <w:r w:rsidRPr="00691B3F">
        <w:rPr>
          <w:rFonts w:ascii="Book Antiqua" w:eastAsia="DengXian" w:hAnsi="Book Antiqua" w:cs="Times New Roman"/>
          <w:i/>
          <w:iCs/>
          <w:kern w:val="2"/>
          <w:sz w:val="24"/>
          <w:szCs w:val="24"/>
          <w:lang w:eastAsia="zh-CN"/>
        </w:rPr>
        <w:t xml:space="preserve">Mayo </w:t>
      </w:r>
      <w:proofErr w:type="spellStart"/>
      <w:r w:rsidRPr="00691B3F">
        <w:rPr>
          <w:rFonts w:ascii="Book Antiqua" w:eastAsia="DengXian" w:hAnsi="Book Antiqua" w:cs="Times New Roman"/>
          <w:i/>
          <w:iCs/>
          <w:kern w:val="2"/>
          <w:sz w:val="24"/>
          <w:szCs w:val="24"/>
          <w:lang w:eastAsia="zh-CN"/>
        </w:rPr>
        <w:t>Clin</w:t>
      </w:r>
      <w:proofErr w:type="spellEnd"/>
      <w:r w:rsidRPr="00691B3F">
        <w:rPr>
          <w:rFonts w:ascii="Book Antiqua" w:eastAsia="DengXian" w:hAnsi="Book Antiqua" w:cs="Times New Roman"/>
          <w:i/>
          <w:iCs/>
          <w:kern w:val="2"/>
          <w:sz w:val="24"/>
          <w:szCs w:val="24"/>
          <w:lang w:eastAsia="zh-CN"/>
        </w:rPr>
        <w:t xml:space="preserve"> </w:t>
      </w:r>
      <w:proofErr w:type="spellStart"/>
      <w:r w:rsidRPr="00691B3F">
        <w:rPr>
          <w:rFonts w:ascii="Book Antiqua" w:eastAsia="DengXian" w:hAnsi="Book Antiqua" w:cs="Times New Roman"/>
          <w:i/>
          <w:iCs/>
          <w:kern w:val="2"/>
          <w:sz w:val="24"/>
          <w:szCs w:val="24"/>
          <w:lang w:eastAsia="zh-CN"/>
        </w:rPr>
        <w:t>Proc</w:t>
      </w:r>
      <w:proofErr w:type="spellEnd"/>
      <w:r w:rsidRPr="00691B3F">
        <w:rPr>
          <w:rFonts w:ascii="Book Antiqua" w:eastAsia="DengXian" w:hAnsi="Book Antiqua" w:cs="Times New Roman"/>
          <w:kern w:val="2"/>
          <w:sz w:val="24"/>
          <w:szCs w:val="24"/>
          <w:lang w:eastAsia="zh-CN"/>
        </w:rPr>
        <w:t xml:space="preserve"> 2010; </w:t>
      </w:r>
      <w:r w:rsidRPr="00691B3F">
        <w:rPr>
          <w:rFonts w:ascii="Book Antiqua" w:eastAsia="DengXian" w:hAnsi="Book Antiqua" w:cs="Times New Roman"/>
          <w:b/>
          <w:bCs/>
          <w:kern w:val="2"/>
          <w:sz w:val="24"/>
          <w:szCs w:val="24"/>
          <w:lang w:eastAsia="zh-CN"/>
        </w:rPr>
        <w:t>85</w:t>
      </w:r>
      <w:r w:rsidRPr="00691B3F">
        <w:rPr>
          <w:rFonts w:ascii="Book Antiqua" w:eastAsia="DengXian" w:hAnsi="Book Antiqua" w:cs="Times New Roman"/>
          <w:kern w:val="2"/>
          <w:sz w:val="24"/>
          <w:szCs w:val="24"/>
          <w:lang w:eastAsia="zh-CN"/>
        </w:rPr>
        <w:t>: 451-458 [PMID: 20357277 DOI: 10.4065/mcp.2009.0534]</w:t>
      </w:r>
    </w:p>
    <w:p w14:paraId="27DB4D48"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10 </w:t>
      </w:r>
      <w:proofErr w:type="spellStart"/>
      <w:r w:rsidRPr="00691B3F">
        <w:rPr>
          <w:rFonts w:ascii="Book Antiqua" w:eastAsia="DengXian" w:hAnsi="Book Antiqua" w:cs="Times New Roman"/>
          <w:b/>
          <w:kern w:val="2"/>
          <w:sz w:val="24"/>
          <w:szCs w:val="24"/>
          <w:lang w:eastAsia="zh-CN"/>
        </w:rPr>
        <w:t>Delcò</w:t>
      </w:r>
      <w:proofErr w:type="spellEnd"/>
      <w:r w:rsidRPr="00691B3F">
        <w:rPr>
          <w:rFonts w:ascii="Book Antiqua" w:eastAsia="DengXian" w:hAnsi="Book Antiqua" w:cs="Times New Roman"/>
          <w:b/>
          <w:kern w:val="2"/>
          <w:sz w:val="24"/>
          <w:szCs w:val="24"/>
          <w:lang w:eastAsia="zh-CN"/>
        </w:rPr>
        <w:t xml:space="preserve"> F</w:t>
      </w:r>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kern w:val="2"/>
          <w:sz w:val="24"/>
          <w:szCs w:val="24"/>
          <w:lang w:eastAsia="zh-CN"/>
        </w:rPr>
        <w:t>Tchambaz</w:t>
      </w:r>
      <w:proofErr w:type="spellEnd"/>
      <w:r w:rsidRPr="00691B3F">
        <w:rPr>
          <w:rFonts w:ascii="Book Antiqua" w:eastAsia="DengXian" w:hAnsi="Book Antiqua" w:cs="Times New Roman"/>
          <w:kern w:val="2"/>
          <w:sz w:val="24"/>
          <w:szCs w:val="24"/>
          <w:lang w:eastAsia="zh-CN"/>
        </w:rPr>
        <w:t xml:space="preserve"> L, </w:t>
      </w:r>
      <w:proofErr w:type="spellStart"/>
      <w:r w:rsidRPr="00691B3F">
        <w:rPr>
          <w:rFonts w:ascii="Book Antiqua" w:eastAsia="DengXian" w:hAnsi="Book Antiqua" w:cs="Times New Roman"/>
          <w:kern w:val="2"/>
          <w:sz w:val="24"/>
          <w:szCs w:val="24"/>
          <w:lang w:eastAsia="zh-CN"/>
        </w:rPr>
        <w:t>Schlienger</w:t>
      </w:r>
      <w:proofErr w:type="spellEnd"/>
      <w:r w:rsidRPr="00691B3F">
        <w:rPr>
          <w:rFonts w:ascii="Book Antiqua" w:eastAsia="DengXian" w:hAnsi="Book Antiqua" w:cs="Times New Roman"/>
          <w:kern w:val="2"/>
          <w:sz w:val="24"/>
          <w:szCs w:val="24"/>
          <w:lang w:eastAsia="zh-CN"/>
        </w:rPr>
        <w:t xml:space="preserve"> R, </w:t>
      </w:r>
      <w:proofErr w:type="spellStart"/>
      <w:r w:rsidRPr="00691B3F">
        <w:rPr>
          <w:rFonts w:ascii="Book Antiqua" w:eastAsia="DengXian" w:hAnsi="Book Antiqua" w:cs="Times New Roman"/>
          <w:kern w:val="2"/>
          <w:sz w:val="24"/>
          <w:szCs w:val="24"/>
          <w:lang w:eastAsia="zh-CN"/>
        </w:rPr>
        <w:t>Drewe</w:t>
      </w:r>
      <w:proofErr w:type="spellEnd"/>
      <w:r w:rsidRPr="00691B3F">
        <w:rPr>
          <w:rFonts w:ascii="Book Antiqua" w:eastAsia="DengXian" w:hAnsi="Book Antiqua" w:cs="Times New Roman"/>
          <w:kern w:val="2"/>
          <w:sz w:val="24"/>
          <w:szCs w:val="24"/>
          <w:lang w:eastAsia="zh-CN"/>
        </w:rPr>
        <w:t xml:space="preserve"> J, </w:t>
      </w:r>
      <w:proofErr w:type="spellStart"/>
      <w:r w:rsidRPr="00691B3F">
        <w:rPr>
          <w:rFonts w:ascii="Book Antiqua" w:eastAsia="DengXian" w:hAnsi="Book Antiqua" w:cs="Times New Roman"/>
          <w:kern w:val="2"/>
          <w:sz w:val="24"/>
          <w:szCs w:val="24"/>
          <w:lang w:eastAsia="zh-CN"/>
        </w:rPr>
        <w:t>Krähenbühl</w:t>
      </w:r>
      <w:proofErr w:type="spellEnd"/>
      <w:r w:rsidRPr="00691B3F">
        <w:rPr>
          <w:rFonts w:ascii="Book Antiqua" w:eastAsia="DengXian" w:hAnsi="Book Antiqua" w:cs="Times New Roman"/>
          <w:kern w:val="2"/>
          <w:sz w:val="24"/>
          <w:szCs w:val="24"/>
          <w:lang w:eastAsia="zh-CN"/>
        </w:rPr>
        <w:t xml:space="preserve"> S. Dose adjustment in patients with liver disease. </w:t>
      </w:r>
      <w:r w:rsidRPr="00691B3F">
        <w:rPr>
          <w:rFonts w:ascii="Book Antiqua" w:eastAsia="DengXian" w:hAnsi="Book Antiqua" w:cs="Times New Roman"/>
          <w:i/>
          <w:kern w:val="2"/>
          <w:sz w:val="24"/>
          <w:szCs w:val="24"/>
          <w:lang w:eastAsia="zh-CN"/>
        </w:rPr>
        <w:t xml:space="preserve">Drug </w:t>
      </w:r>
      <w:proofErr w:type="spellStart"/>
      <w:r w:rsidRPr="00691B3F">
        <w:rPr>
          <w:rFonts w:ascii="Book Antiqua" w:eastAsia="DengXian" w:hAnsi="Book Antiqua" w:cs="Times New Roman"/>
          <w:i/>
          <w:kern w:val="2"/>
          <w:sz w:val="24"/>
          <w:szCs w:val="24"/>
          <w:lang w:eastAsia="zh-CN"/>
        </w:rPr>
        <w:t>Saf</w:t>
      </w:r>
      <w:proofErr w:type="spellEnd"/>
      <w:r w:rsidRPr="00691B3F">
        <w:rPr>
          <w:rFonts w:ascii="Book Antiqua" w:eastAsia="DengXian" w:hAnsi="Book Antiqua" w:cs="Times New Roman"/>
          <w:kern w:val="2"/>
          <w:sz w:val="24"/>
          <w:szCs w:val="24"/>
          <w:lang w:eastAsia="zh-CN"/>
        </w:rPr>
        <w:t xml:space="preserve"> 2005; </w:t>
      </w:r>
      <w:r w:rsidRPr="00691B3F">
        <w:rPr>
          <w:rFonts w:ascii="Book Antiqua" w:eastAsia="DengXian" w:hAnsi="Book Antiqua" w:cs="Times New Roman"/>
          <w:b/>
          <w:kern w:val="2"/>
          <w:sz w:val="24"/>
          <w:szCs w:val="24"/>
          <w:lang w:eastAsia="zh-CN"/>
        </w:rPr>
        <w:t>28</w:t>
      </w:r>
      <w:r w:rsidRPr="00691B3F">
        <w:rPr>
          <w:rFonts w:ascii="Book Antiqua" w:eastAsia="DengXian" w:hAnsi="Book Antiqua" w:cs="Times New Roman"/>
          <w:kern w:val="2"/>
          <w:sz w:val="24"/>
          <w:szCs w:val="24"/>
          <w:lang w:eastAsia="zh-CN"/>
        </w:rPr>
        <w:t>: 529-545 [PMID: 15924505 DOI: 10.2165/00002018-200528060-00005]</w:t>
      </w:r>
    </w:p>
    <w:p w14:paraId="23308FA9"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proofErr w:type="gramStart"/>
      <w:r w:rsidRPr="00691B3F">
        <w:rPr>
          <w:rFonts w:ascii="Book Antiqua" w:eastAsia="DengXian" w:hAnsi="Book Antiqua" w:cs="Times New Roman"/>
          <w:kern w:val="2"/>
          <w:sz w:val="24"/>
          <w:szCs w:val="24"/>
          <w:lang w:eastAsia="zh-CN"/>
        </w:rPr>
        <w:t xml:space="preserve">11 </w:t>
      </w:r>
      <w:proofErr w:type="spellStart"/>
      <w:r w:rsidRPr="00691B3F">
        <w:rPr>
          <w:rFonts w:ascii="Book Antiqua" w:eastAsia="DengXian" w:hAnsi="Book Antiqua" w:cs="Times New Roman"/>
          <w:kern w:val="2"/>
          <w:sz w:val="24"/>
          <w:szCs w:val="24"/>
          <w:lang w:eastAsia="zh-CN"/>
        </w:rPr>
        <w:t>Perfalgan</w:t>
      </w:r>
      <w:proofErr w:type="spellEnd"/>
      <w:r w:rsidRPr="00691B3F">
        <w:rPr>
          <w:rFonts w:ascii="Book Antiqua" w:eastAsia="DengXian" w:hAnsi="Book Antiqua" w:cs="Times New Roman"/>
          <w:kern w:val="2"/>
          <w:sz w:val="24"/>
          <w:szCs w:val="24"/>
          <w:lang w:eastAsia="zh-CN"/>
        </w:rPr>
        <w:t xml:space="preserve"> 10 mg/ml, solution for infusion.</w:t>
      </w:r>
      <w:proofErr w:type="gramEnd"/>
      <w:r w:rsidRPr="00691B3F">
        <w:rPr>
          <w:rFonts w:ascii="Book Antiqua" w:eastAsia="DengXian" w:hAnsi="Book Antiqua" w:cs="Times New Roman"/>
          <w:kern w:val="2"/>
          <w:sz w:val="24"/>
          <w:szCs w:val="24"/>
          <w:lang w:eastAsia="zh-CN"/>
        </w:rPr>
        <w:t xml:space="preserve"> Middlesex: BMSP. Available from: https://www.medicines.org.uk/emc/files/pil.60.pdf</w:t>
      </w:r>
    </w:p>
    <w:p w14:paraId="19040B55"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12 </w:t>
      </w:r>
      <w:proofErr w:type="spellStart"/>
      <w:r w:rsidRPr="00691B3F">
        <w:rPr>
          <w:rFonts w:ascii="Book Antiqua" w:eastAsia="DengXian" w:hAnsi="Book Antiqua" w:cs="Times New Roman"/>
          <w:b/>
          <w:kern w:val="2"/>
          <w:sz w:val="24"/>
          <w:szCs w:val="24"/>
          <w:lang w:eastAsia="zh-CN"/>
        </w:rPr>
        <w:t>Mian</w:t>
      </w:r>
      <w:proofErr w:type="spellEnd"/>
      <w:r w:rsidRPr="00691B3F">
        <w:rPr>
          <w:rFonts w:ascii="Book Antiqua" w:eastAsia="DengXian" w:hAnsi="Book Antiqua" w:cs="Times New Roman"/>
          <w:b/>
          <w:kern w:val="2"/>
          <w:sz w:val="24"/>
          <w:szCs w:val="24"/>
          <w:lang w:eastAsia="zh-CN"/>
        </w:rPr>
        <w:t xml:space="preserve"> P</w:t>
      </w:r>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kern w:val="2"/>
          <w:sz w:val="24"/>
          <w:szCs w:val="24"/>
          <w:lang w:eastAsia="zh-CN"/>
        </w:rPr>
        <w:t>Allegaert</w:t>
      </w:r>
      <w:proofErr w:type="spellEnd"/>
      <w:r w:rsidRPr="00691B3F">
        <w:rPr>
          <w:rFonts w:ascii="Book Antiqua" w:eastAsia="DengXian" w:hAnsi="Book Antiqua" w:cs="Times New Roman"/>
          <w:kern w:val="2"/>
          <w:sz w:val="24"/>
          <w:szCs w:val="24"/>
          <w:lang w:eastAsia="zh-CN"/>
        </w:rPr>
        <w:t xml:space="preserve"> K, </w:t>
      </w:r>
      <w:proofErr w:type="spellStart"/>
      <w:r w:rsidRPr="00691B3F">
        <w:rPr>
          <w:rFonts w:ascii="Book Antiqua" w:eastAsia="DengXian" w:hAnsi="Book Antiqua" w:cs="Times New Roman"/>
          <w:kern w:val="2"/>
          <w:sz w:val="24"/>
          <w:szCs w:val="24"/>
          <w:lang w:eastAsia="zh-CN"/>
        </w:rPr>
        <w:t>Spriet</w:t>
      </w:r>
      <w:proofErr w:type="spellEnd"/>
      <w:r w:rsidRPr="00691B3F">
        <w:rPr>
          <w:rFonts w:ascii="Book Antiqua" w:eastAsia="DengXian" w:hAnsi="Book Antiqua" w:cs="Times New Roman"/>
          <w:kern w:val="2"/>
          <w:sz w:val="24"/>
          <w:szCs w:val="24"/>
          <w:lang w:eastAsia="zh-CN"/>
        </w:rPr>
        <w:t xml:space="preserve"> I, </w:t>
      </w:r>
      <w:proofErr w:type="spellStart"/>
      <w:r w:rsidRPr="00691B3F">
        <w:rPr>
          <w:rFonts w:ascii="Book Antiqua" w:eastAsia="DengXian" w:hAnsi="Book Antiqua" w:cs="Times New Roman"/>
          <w:kern w:val="2"/>
          <w:sz w:val="24"/>
          <w:szCs w:val="24"/>
          <w:lang w:eastAsia="zh-CN"/>
        </w:rPr>
        <w:t>Tibboel</w:t>
      </w:r>
      <w:proofErr w:type="spellEnd"/>
      <w:r w:rsidRPr="00691B3F">
        <w:rPr>
          <w:rFonts w:ascii="Book Antiqua" w:eastAsia="DengXian" w:hAnsi="Book Antiqua" w:cs="Times New Roman"/>
          <w:kern w:val="2"/>
          <w:sz w:val="24"/>
          <w:szCs w:val="24"/>
          <w:lang w:eastAsia="zh-CN"/>
        </w:rPr>
        <w:t xml:space="preserve"> D, </w:t>
      </w:r>
      <w:proofErr w:type="spellStart"/>
      <w:r w:rsidRPr="00691B3F">
        <w:rPr>
          <w:rFonts w:ascii="Book Antiqua" w:eastAsia="DengXian" w:hAnsi="Book Antiqua" w:cs="Times New Roman"/>
          <w:kern w:val="2"/>
          <w:sz w:val="24"/>
          <w:szCs w:val="24"/>
          <w:lang w:eastAsia="zh-CN"/>
        </w:rPr>
        <w:t>Petrovic</w:t>
      </w:r>
      <w:proofErr w:type="spellEnd"/>
      <w:r w:rsidRPr="00691B3F">
        <w:rPr>
          <w:rFonts w:ascii="Book Antiqua" w:eastAsia="DengXian" w:hAnsi="Book Antiqua" w:cs="Times New Roman"/>
          <w:kern w:val="2"/>
          <w:sz w:val="24"/>
          <w:szCs w:val="24"/>
          <w:lang w:eastAsia="zh-CN"/>
        </w:rPr>
        <w:t xml:space="preserve"> M. </w:t>
      </w:r>
      <w:proofErr w:type="spellStart"/>
      <w:r w:rsidRPr="00691B3F">
        <w:rPr>
          <w:rFonts w:ascii="Book Antiqua" w:eastAsia="DengXian" w:hAnsi="Book Antiqua" w:cs="Times New Roman"/>
          <w:kern w:val="2"/>
          <w:sz w:val="24"/>
          <w:szCs w:val="24"/>
          <w:lang w:eastAsia="zh-CN"/>
        </w:rPr>
        <w:t>Paracetamol</w:t>
      </w:r>
      <w:proofErr w:type="spellEnd"/>
      <w:r w:rsidRPr="00691B3F">
        <w:rPr>
          <w:rFonts w:ascii="Book Antiqua" w:eastAsia="DengXian" w:hAnsi="Book Antiqua" w:cs="Times New Roman"/>
          <w:kern w:val="2"/>
          <w:sz w:val="24"/>
          <w:szCs w:val="24"/>
          <w:lang w:eastAsia="zh-CN"/>
        </w:rPr>
        <w:t xml:space="preserve"> in Older People: Towards Evidence-Based Dosing? </w:t>
      </w:r>
      <w:r w:rsidRPr="00691B3F">
        <w:rPr>
          <w:rFonts w:ascii="Book Antiqua" w:eastAsia="DengXian" w:hAnsi="Book Antiqua" w:cs="Times New Roman"/>
          <w:i/>
          <w:kern w:val="2"/>
          <w:sz w:val="24"/>
          <w:szCs w:val="24"/>
          <w:lang w:eastAsia="zh-CN"/>
        </w:rPr>
        <w:t>Drugs Aging</w:t>
      </w:r>
      <w:r w:rsidRPr="00691B3F">
        <w:rPr>
          <w:rFonts w:ascii="Book Antiqua" w:eastAsia="DengXian" w:hAnsi="Book Antiqua" w:cs="Times New Roman"/>
          <w:kern w:val="2"/>
          <w:sz w:val="24"/>
          <w:szCs w:val="24"/>
          <w:lang w:eastAsia="zh-CN"/>
        </w:rPr>
        <w:t xml:space="preserve"> 2018; </w:t>
      </w:r>
      <w:r w:rsidRPr="00691B3F">
        <w:rPr>
          <w:rFonts w:ascii="Book Antiqua" w:eastAsia="DengXian" w:hAnsi="Book Antiqua" w:cs="Times New Roman"/>
          <w:b/>
          <w:kern w:val="2"/>
          <w:sz w:val="24"/>
          <w:szCs w:val="24"/>
          <w:lang w:eastAsia="zh-CN"/>
        </w:rPr>
        <w:t>35</w:t>
      </w:r>
      <w:r w:rsidRPr="00691B3F">
        <w:rPr>
          <w:rFonts w:ascii="Book Antiqua" w:eastAsia="DengXian" w:hAnsi="Book Antiqua" w:cs="Times New Roman"/>
          <w:kern w:val="2"/>
          <w:sz w:val="24"/>
          <w:szCs w:val="24"/>
          <w:lang w:eastAsia="zh-CN"/>
        </w:rPr>
        <w:t>: 603-624 [PMID: 29916138 DOI: 10.1007/s40266-018-0559-x]</w:t>
      </w:r>
    </w:p>
    <w:p w14:paraId="4B33738D"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proofErr w:type="gramStart"/>
      <w:r w:rsidRPr="00691B3F">
        <w:rPr>
          <w:rFonts w:ascii="Book Antiqua" w:eastAsia="DengXian" w:hAnsi="Book Antiqua" w:cs="Times New Roman"/>
          <w:kern w:val="2"/>
          <w:sz w:val="24"/>
          <w:szCs w:val="24"/>
          <w:lang w:eastAsia="zh-CN"/>
        </w:rPr>
        <w:t xml:space="preserve">13 </w:t>
      </w:r>
      <w:r w:rsidRPr="00691B3F">
        <w:rPr>
          <w:rFonts w:ascii="Book Antiqua" w:eastAsia="DengXian" w:hAnsi="Book Antiqua" w:cs="Times New Roman"/>
          <w:b/>
          <w:kern w:val="2"/>
          <w:sz w:val="24"/>
          <w:szCs w:val="24"/>
          <w:lang w:eastAsia="zh-CN"/>
        </w:rPr>
        <w:t>Dougherty PP</w:t>
      </w:r>
      <w:r w:rsidRPr="00691B3F">
        <w:rPr>
          <w:rFonts w:ascii="Book Antiqua" w:eastAsia="DengXian" w:hAnsi="Book Antiqua" w:cs="Times New Roman"/>
          <w:kern w:val="2"/>
          <w:sz w:val="24"/>
          <w:szCs w:val="24"/>
          <w:lang w:eastAsia="zh-CN"/>
        </w:rPr>
        <w:t>, Klein-Schwartz W. Unexpected late rise in plasma acetaminophen concentrations with change in risk stratification in acute acetaminophen overdoses.</w:t>
      </w:r>
      <w:proofErr w:type="gramEnd"/>
      <w:r w:rsidRPr="00691B3F">
        <w:rPr>
          <w:rFonts w:ascii="Book Antiqua" w:eastAsia="DengXian" w:hAnsi="Book Antiqua" w:cs="Times New Roman"/>
          <w:kern w:val="2"/>
          <w:sz w:val="24"/>
          <w:szCs w:val="24"/>
          <w:lang w:eastAsia="zh-CN"/>
        </w:rPr>
        <w:t xml:space="preserve"> </w:t>
      </w:r>
      <w:r w:rsidRPr="00691B3F">
        <w:rPr>
          <w:rFonts w:ascii="Book Antiqua" w:eastAsia="DengXian" w:hAnsi="Book Antiqua" w:cs="Times New Roman"/>
          <w:i/>
          <w:kern w:val="2"/>
          <w:sz w:val="24"/>
          <w:szCs w:val="24"/>
          <w:lang w:eastAsia="zh-CN"/>
        </w:rPr>
        <w:t xml:space="preserve">J </w:t>
      </w:r>
      <w:proofErr w:type="spellStart"/>
      <w:r w:rsidRPr="00691B3F">
        <w:rPr>
          <w:rFonts w:ascii="Book Antiqua" w:eastAsia="DengXian" w:hAnsi="Book Antiqua" w:cs="Times New Roman"/>
          <w:i/>
          <w:kern w:val="2"/>
          <w:sz w:val="24"/>
          <w:szCs w:val="24"/>
          <w:lang w:eastAsia="zh-CN"/>
        </w:rPr>
        <w:t>Emerg</w:t>
      </w:r>
      <w:proofErr w:type="spellEnd"/>
      <w:r w:rsidRPr="00691B3F">
        <w:rPr>
          <w:rFonts w:ascii="Book Antiqua" w:eastAsia="DengXian" w:hAnsi="Book Antiqua" w:cs="Times New Roman"/>
          <w:i/>
          <w:kern w:val="2"/>
          <w:sz w:val="24"/>
          <w:szCs w:val="24"/>
          <w:lang w:eastAsia="zh-CN"/>
        </w:rPr>
        <w:t xml:space="preserve"> Med</w:t>
      </w:r>
      <w:r w:rsidRPr="00691B3F">
        <w:rPr>
          <w:rFonts w:ascii="Book Antiqua" w:eastAsia="DengXian" w:hAnsi="Book Antiqua" w:cs="Times New Roman"/>
          <w:kern w:val="2"/>
          <w:sz w:val="24"/>
          <w:szCs w:val="24"/>
          <w:lang w:eastAsia="zh-CN"/>
        </w:rPr>
        <w:t xml:space="preserve"> 2012; </w:t>
      </w:r>
      <w:r w:rsidRPr="00691B3F">
        <w:rPr>
          <w:rFonts w:ascii="Book Antiqua" w:eastAsia="DengXian" w:hAnsi="Book Antiqua" w:cs="Times New Roman"/>
          <w:b/>
          <w:kern w:val="2"/>
          <w:sz w:val="24"/>
          <w:szCs w:val="24"/>
          <w:lang w:eastAsia="zh-CN"/>
        </w:rPr>
        <w:t>43</w:t>
      </w:r>
      <w:r w:rsidRPr="00691B3F">
        <w:rPr>
          <w:rFonts w:ascii="Book Antiqua" w:eastAsia="DengXian" w:hAnsi="Book Antiqua" w:cs="Times New Roman"/>
          <w:kern w:val="2"/>
          <w:sz w:val="24"/>
          <w:szCs w:val="24"/>
          <w:lang w:eastAsia="zh-CN"/>
        </w:rPr>
        <w:t>: 58-63 [PMID: 21719230 DOI: 10.1016/j.jemermed.2011.05.023]</w:t>
      </w:r>
    </w:p>
    <w:p w14:paraId="0FE4C07E"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14 </w:t>
      </w:r>
      <w:proofErr w:type="spellStart"/>
      <w:r w:rsidRPr="00691B3F">
        <w:rPr>
          <w:rFonts w:ascii="Book Antiqua" w:eastAsia="DengXian" w:hAnsi="Book Antiqua" w:cs="Times New Roman"/>
          <w:b/>
          <w:kern w:val="2"/>
          <w:sz w:val="24"/>
          <w:szCs w:val="24"/>
          <w:lang w:eastAsia="zh-CN"/>
        </w:rPr>
        <w:t>Kirschner</w:t>
      </w:r>
      <w:proofErr w:type="spellEnd"/>
      <w:r w:rsidRPr="00691B3F">
        <w:rPr>
          <w:rFonts w:ascii="Book Antiqua" w:eastAsia="DengXian" w:hAnsi="Book Antiqua" w:cs="Times New Roman"/>
          <w:b/>
          <w:kern w:val="2"/>
          <w:sz w:val="24"/>
          <w:szCs w:val="24"/>
          <w:lang w:eastAsia="zh-CN"/>
        </w:rPr>
        <w:t xml:space="preserve"> RI</w:t>
      </w:r>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kern w:val="2"/>
          <w:sz w:val="24"/>
          <w:szCs w:val="24"/>
          <w:lang w:eastAsia="zh-CN"/>
        </w:rPr>
        <w:t>Rozier</w:t>
      </w:r>
      <w:proofErr w:type="spellEnd"/>
      <w:r w:rsidRPr="00691B3F">
        <w:rPr>
          <w:rFonts w:ascii="Book Antiqua" w:eastAsia="DengXian" w:hAnsi="Book Antiqua" w:cs="Times New Roman"/>
          <w:kern w:val="2"/>
          <w:sz w:val="24"/>
          <w:szCs w:val="24"/>
          <w:lang w:eastAsia="zh-CN"/>
        </w:rPr>
        <w:t xml:space="preserve"> CM, Smith LM, </w:t>
      </w:r>
      <w:proofErr w:type="spellStart"/>
      <w:r w:rsidRPr="00691B3F">
        <w:rPr>
          <w:rFonts w:ascii="Book Antiqua" w:eastAsia="DengXian" w:hAnsi="Book Antiqua" w:cs="Times New Roman"/>
          <w:kern w:val="2"/>
          <w:sz w:val="24"/>
          <w:szCs w:val="24"/>
          <w:lang w:eastAsia="zh-CN"/>
        </w:rPr>
        <w:t>Jacobitz</w:t>
      </w:r>
      <w:proofErr w:type="spellEnd"/>
      <w:r w:rsidRPr="00691B3F">
        <w:rPr>
          <w:rFonts w:ascii="Book Antiqua" w:eastAsia="DengXian" w:hAnsi="Book Antiqua" w:cs="Times New Roman"/>
          <w:kern w:val="2"/>
          <w:sz w:val="24"/>
          <w:szCs w:val="24"/>
          <w:lang w:eastAsia="zh-CN"/>
        </w:rPr>
        <w:t xml:space="preserve"> KL. </w:t>
      </w:r>
      <w:proofErr w:type="spellStart"/>
      <w:proofErr w:type="gramStart"/>
      <w:r w:rsidRPr="00691B3F">
        <w:rPr>
          <w:rFonts w:ascii="Book Antiqua" w:eastAsia="DengXian" w:hAnsi="Book Antiqua" w:cs="Times New Roman"/>
          <w:kern w:val="2"/>
          <w:sz w:val="24"/>
          <w:szCs w:val="24"/>
          <w:lang w:eastAsia="zh-CN"/>
        </w:rPr>
        <w:t>Nomogram</w:t>
      </w:r>
      <w:proofErr w:type="spellEnd"/>
      <w:r w:rsidRPr="00691B3F">
        <w:rPr>
          <w:rFonts w:ascii="Book Antiqua" w:eastAsia="DengXian" w:hAnsi="Book Antiqua" w:cs="Times New Roman"/>
          <w:kern w:val="2"/>
          <w:sz w:val="24"/>
          <w:szCs w:val="24"/>
          <w:lang w:eastAsia="zh-CN"/>
        </w:rPr>
        <w:t xml:space="preserve"> line crossing after acetaminophen combination product overdose.</w:t>
      </w:r>
      <w:proofErr w:type="gramEnd"/>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i/>
          <w:kern w:val="2"/>
          <w:sz w:val="24"/>
          <w:szCs w:val="24"/>
          <w:lang w:eastAsia="zh-CN"/>
        </w:rPr>
        <w:t>Clin</w:t>
      </w:r>
      <w:proofErr w:type="spellEnd"/>
      <w:r w:rsidRPr="00691B3F">
        <w:rPr>
          <w:rFonts w:ascii="Book Antiqua" w:eastAsia="DengXian" w:hAnsi="Book Antiqua" w:cs="Times New Roman"/>
          <w:i/>
          <w:kern w:val="2"/>
          <w:sz w:val="24"/>
          <w:szCs w:val="24"/>
          <w:lang w:eastAsia="zh-CN"/>
        </w:rPr>
        <w:t xml:space="preserve"> </w:t>
      </w:r>
      <w:proofErr w:type="spellStart"/>
      <w:r w:rsidRPr="00691B3F">
        <w:rPr>
          <w:rFonts w:ascii="Book Antiqua" w:eastAsia="DengXian" w:hAnsi="Book Antiqua" w:cs="Times New Roman"/>
          <w:i/>
          <w:kern w:val="2"/>
          <w:sz w:val="24"/>
          <w:szCs w:val="24"/>
          <w:lang w:eastAsia="zh-CN"/>
        </w:rPr>
        <w:t>Toxicol</w:t>
      </w:r>
      <w:proofErr w:type="spellEnd"/>
      <w:r w:rsidRPr="00691B3F">
        <w:rPr>
          <w:rFonts w:ascii="Book Antiqua" w:eastAsia="DengXian" w:hAnsi="Book Antiqua" w:cs="Times New Roman"/>
          <w:i/>
          <w:kern w:val="2"/>
          <w:sz w:val="24"/>
          <w:szCs w:val="24"/>
          <w:lang w:eastAsia="zh-CN"/>
        </w:rPr>
        <w:t xml:space="preserve"> (</w:t>
      </w:r>
      <w:proofErr w:type="spellStart"/>
      <w:r w:rsidRPr="00691B3F">
        <w:rPr>
          <w:rFonts w:ascii="Book Antiqua" w:eastAsia="DengXian" w:hAnsi="Book Antiqua" w:cs="Times New Roman"/>
          <w:i/>
          <w:kern w:val="2"/>
          <w:sz w:val="24"/>
          <w:szCs w:val="24"/>
          <w:lang w:eastAsia="zh-CN"/>
        </w:rPr>
        <w:t>Phila</w:t>
      </w:r>
      <w:proofErr w:type="spellEnd"/>
      <w:r w:rsidRPr="00691B3F">
        <w:rPr>
          <w:rFonts w:ascii="Book Antiqua" w:eastAsia="DengXian" w:hAnsi="Book Antiqua" w:cs="Times New Roman"/>
          <w:i/>
          <w:kern w:val="2"/>
          <w:sz w:val="24"/>
          <w:szCs w:val="24"/>
          <w:lang w:eastAsia="zh-CN"/>
        </w:rPr>
        <w:t>)</w:t>
      </w:r>
      <w:r w:rsidRPr="00691B3F">
        <w:rPr>
          <w:rFonts w:ascii="Book Antiqua" w:eastAsia="DengXian" w:hAnsi="Book Antiqua" w:cs="Times New Roman"/>
          <w:kern w:val="2"/>
          <w:sz w:val="24"/>
          <w:szCs w:val="24"/>
          <w:lang w:eastAsia="zh-CN"/>
        </w:rPr>
        <w:t xml:space="preserve"> 2016; </w:t>
      </w:r>
      <w:r w:rsidRPr="00691B3F">
        <w:rPr>
          <w:rFonts w:ascii="Book Antiqua" w:eastAsia="DengXian" w:hAnsi="Book Antiqua" w:cs="Times New Roman"/>
          <w:b/>
          <w:kern w:val="2"/>
          <w:sz w:val="24"/>
          <w:szCs w:val="24"/>
          <w:lang w:eastAsia="zh-CN"/>
        </w:rPr>
        <w:t>54</w:t>
      </w:r>
      <w:r w:rsidRPr="00691B3F">
        <w:rPr>
          <w:rFonts w:ascii="Book Antiqua" w:eastAsia="DengXian" w:hAnsi="Book Antiqua" w:cs="Times New Roman"/>
          <w:kern w:val="2"/>
          <w:sz w:val="24"/>
          <w:szCs w:val="24"/>
          <w:lang w:eastAsia="zh-CN"/>
        </w:rPr>
        <w:t>: 40-46 [PMID: 26567585 DOI: 10.3109/15563650.2015.1110591]</w:t>
      </w:r>
    </w:p>
    <w:p w14:paraId="55B95433"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15 </w:t>
      </w:r>
      <w:proofErr w:type="spellStart"/>
      <w:r w:rsidRPr="00691B3F">
        <w:rPr>
          <w:rFonts w:ascii="Book Antiqua" w:eastAsia="DengXian" w:hAnsi="Book Antiqua" w:cs="Times New Roman"/>
          <w:b/>
          <w:kern w:val="2"/>
          <w:sz w:val="24"/>
          <w:szCs w:val="24"/>
          <w:lang w:eastAsia="zh-CN"/>
        </w:rPr>
        <w:t>Graudins</w:t>
      </w:r>
      <w:proofErr w:type="spellEnd"/>
      <w:r w:rsidRPr="00691B3F">
        <w:rPr>
          <w:rFonts w:ascii="Book Antiqua" w:eastAsia="DengXian" w:hAnsi="Book Antiqua" w:cs="Times New Roman"/>
          <w:b/>
          <w:kern w:val="2"/>
          <w:sz w:val="24"/>
          <w:szCs w:val="24"/>
          <w:lang w:eastAsia="zh-CN"/>
        </w:rPr>
        <w:t xml:space="preserve"> A</w:t>
      </w:r>
      <w:r w:rsidRPr="00691B3F">
        <w:rPr>
          <w:rFonts w:ascii="Book Antiqua" w:eastAsia="DengXian" w:hAnsi="Book Antiqua" w:cs="Times New Roman"/>
          <w:kern w:val="2"/>
          <w:sz w:val="24"/>
          <w:szCs w:val="24"/>
          <w:lang w:eastAsia="zh-CN"/>
        </w:rPr>
        <w:t xml:space="preserve">. Overdose with modified-release </w:t>
      </w:r>
      <w:proofErr w:type="spellStart"/>
      <w:r w:rsidRPr="00691B3F">
        <w:rPr>
          <w:rFonts w:ascii="Book Antiqua" w:eastAsia="DengXian" w:hAnsi="Book Antiqua" w:cs="Times New Roman"/>
          <w:kern w:val="2"/>
          <w:sz w:val="24"/>
          <w:szCs w:val="24"/>
          <w:lang w:eastAsia="zh-CN"/>
        </w:rPr>
        <w:t>paracetamol</w:t>
      </w:r>
      <w:proofErr w:type="spellEnd"/>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kern w:val="2"/>
          <w:sz w:val="24"/>
          <w:szCs w:val="24"/>
          <w:lang w:eastAsia="zh-CN"/>
        </w:rPr>
        <w:t>Panadol</w:t>
      </w:r>
      <w:proofErr w:type="spellEnd"/>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kern w:val="2"/>
          <w:sz w:val="24"/>
          <w:szCs w:val="24"/>
          <w:lang w:eastAsia="zh-CN"/>
        </w:rPr>
        <w:t>Osteo</w:t>
      </w:r>
      <w:proofErr w:type="spellEnd"/>
      <w:r w:rsidRPr="00691B3F">
        <w:rPr>
          <w:rFonts w:ascii="Book Antiqua" w:eastAsia="DengXian" w:hAnsi="Book Antiqua" w:cs="Times New Roman"/>
          <w:kern w:val="2"/>
          <w:sz w:val="24"/>
          <w:szCs w:val="24"/>
          <w:lang w:eastAsia="zh-CN"/>
        </w:rPr>
        <w:t xml:space="preserve">®) presenting to a metropolitan emergency medicine network: a case series. </w:t>
      </w:r>
      <w:proofErr w:type="spellStart"/>
      <w:r w:rsidRPr="00691B3F">
        <w:rPr>
          <w:rFonts w:ascii="Book Antiqua" w:eastAsia="DengXian" w:hAnsi="Book Antiqua" w:cs="Times New Roman"/>
          <w:i/>
          <w:kern w:val="2"/>
          <w:sz w:val="24"/>
          <w:szCs w:val="24"/>
          <w:lang w:eastAsia="zh-CN"/>
        </w:rPr>
        <w:t>Emerg</w:t>
      </w:r>
      <w:proofErr w:type="spellEnd"/>
      <w:r w:rsidRPr="00691B3F">
        <w:rPr>
          <w:rFonts w:ascii="Book Antiqua" w:eastAsia="DengXian" w:hAnsi="Book Antiqua" w:cs="Times New Roman"/>
          <w:i/>
          <w:kern w:val="2"/>
          <w:sz w:val="24"/>
          <w:szCs w:val="24"/>
          <w:lang w:eastAsia="zh-CN"/>
        </w:rPr>
        <w:t xml:space="preserve"> Med </w:t>
      </w:r>
      <w:proofErr w:type="spellStart"/>
      <w:r w:rsidRPr="00691B3F">
        <w:rPr>
          <w:rFonts w:ascii="Book Antiqua" w:eastAsia="DengXian" w:hAnsi="Book Antiqua" w:cs="Times New Roman"/>
          <w:i/>
          <w:kern w:val="2"/>
          <w:sz w:val="24"/>
          <w:szCs w:val="24"/>
          <w:lang w:eastAsia="zh-CN"/>
        </w:rPr>
        <w:t>Australas</w:t>
      </w:r>
      <w:proofErr w:type="spellEnd"/>
      <w:r w:rsidRPr="00691B3F">
        <w:rPr>
          <w:rFonts w:ascii="Book Antiqua" w:eastAsia="DengXian" w:hAnsi="Book Antiqua" w:cs="Times New Roman"/>
          <w:kern w:val="2"/>
          <w:sz w:val="24"/>
          <w:szCs w:val="24"/>
          <w:lang w:eastAsia="zh-CN"/>
        </w:rPr>
        <w:t xml:space="preserve"> 2014; </w:t>
      </w:r>
      <w:r w:rsidRPr="00691B3F">
        <w:rPr>
          <w:rFonts w:ascii="Book Antiqua" w:eastAsia="DengXian" w:hAnsi="Book Antiqua" w:cs="Times New Roman"/>
          <w:b/>
          <w:kern w:val="2"/>
          <w:sz w:val="24"/>
          <w:szCs w:val="24"/>
          <w:lang w:eastAsia="zh-CN"/>
        </w:rPr>
        <w:t>26</w:t>
      </w:r>
      <w:r w:rsidRPr="00691B3F">
        <w:rPr>
          <w:rFonts w:ascii="Book Antiqua" w:eastAsia="DengXian" w:hAnsi="Book Antiqua" w:cs="Times New Roman"/>
          <w:kern w:val="2"/>
          <w:sz w:val="24"/>
          <w:szCs w:val="24"/>
          <w:lang w:eastAsia="zh-CN"/>
        </w:rPr>
        <w:t>: 398-402 [PMID: 24934700 DOI: 10.1111/1742-6723.12249]</w:t>
      </w:r>
    </w:p>
    <w:p w14:paraId="41E00BBC"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16 </w:t>
      </w:r>
      <w:r w:rsidRPr="00691B3F">
        <w:rPr>
          <w:rFonts w:ascii="Book Antiqua" w:eastAsia="DengXian" w:hAnsi="Book Antiqua" w:cs="Times New Roman"/>
          <w:b/>
          <w:kern w:val="2"/>
          <w:sz w:val="24"/>
          <w:szCs w:val="24"/>
          <w:lang w:eastAsia="zh-CN"/>
        </w:rPr>
        <w:t>Hayashi PH</w:t>
      </w:r>
      <w:r w:rsidRPr="00691B3F">
        <w:rPr>
          <w:rFonts w:ascii="Book Antiqua" w:eastAsia="DengXian" w:hAnsi="Book Antiqua" w:cs="Times New Roman"/>
          <w:kern w:val="2"/>
          <w:sz w:val="24"/>
          <w:szCs w:val="24"/>
          <w:lang w:eastAsia="zh-CN"/>
        </w:rPr>
        <w:t xml:space="preserve">. Drug-Induced Liver Injury Network Causality Assessment: Criteria and Experience in the United States. </w:t>
      </w:r>
      <w:proofErr w:type="spellStart"/>
      <w:r w:rsidRPr="00691B3F">
        <w:rPr>
          <w:rFonts w:ascii="Book Antiqua" w:eastAsia="DengXian" w:hAnsi="Book Antiqua" w:cs="Times New Roman"/>
          <w:i/>
          <w:kern w:val="2"/>
          <w:sz w:val="24"/>
          <w:szCs w:val="24"/>
          <w:lang w:eastAsia="zh-CN"/>
        </w:rPr>
        <w:t>Int</w:t>
      </w:r>
      <w:proofErr w:type="spellEnd"/>
      <w:r w:rsidRPr="00691B3F">
        <w:rPr>
          <w:rFonts w:ascii="Book Antiqua" w:eastAsia="DengXian" w:hAnsi="Book Antiqua" w:cs="Times New Roman"/>
          <w:i/>
          <w:kern w:val="2"/>
          <w:sz w:val="24"/>
          <w:szCs w:val="24"/>
          <w:lang w:eastAsia="zh-CN"/>
        </w:rPr>
        <w:t xml:space="preserve"> J </w:t>
      </w:r>
      <w:proofErr w:type="spellStart"/>
      <w:r w:rsidRPr="00691B3F">
        <w:rPr>
          <w:rFonts w:ascii="Book Antiqua" w:eastAsia="DengXian" w:hAnsi="Book Antiqua" w:cs="Times New Roman"/>
          <w:i/>
          <w:kern w:val="2"/>
          <w:sz w:val="24"/>
          <w:szCs w:val="24"/>
          <w:lang w:eastAsia="zh-CN"/>
        </w:rPr>
        <w:t>Mol</w:t>
      </w:r>
      <w:proofErr w:type="spellEnd"/>
      <w:r w:rsidRPr="00691B3F">
        <w:rPr>
          <w:rFonts w:ascii="Book Antiqua" w:eastAsia="DengXian" w:hAnsi="Book Antiqua" w:cs="Times New Roman"/>
          <w:i/>
          <w:kern w:val="2"/>
          <w:sz w:val="24"/>
          <w:szCs w:val="24"/>
          <w:lang w:eastAsia="zh-CN"/>
        </w:rPr>
        <w:t xml:space="preserve"> </w:t>
      </w:r>
      <w:proofErr w:type="spellStart"/>
      <w:r w:rsidRPr="00691B3F">
        <w:rPr>
          <w:rFonts w:ascii="Book Antiqua" w:eastAsia="DengXian" w:hAnsi="Book Antiqua" w:cs="Times New Roman"/>
          <w:i/>
          <w:kern w:val="2"/>
          <w:sz w:val="24"/>
          <w:szCs w:val="24"/>
          <w:lang w:eastAsia="zh-CN"/>
        </w:rPr>
        <w:t>Sci</w:t>
      </w:r>
      <w:proofErr w:type="spellEnd"/>
      <w:r w:rsidRPr="00691B3F">
        <w:rPr>
          <w:rFonts w:ascii="Book Antiqua" w:eastAsia="DengXian" w:hAnsi="Book Antiqua" w:cs="Times New Roman"/>
          <w:kern w:val="2"/>
          <w:sz w:val="24"/>
          <w:szCs w:val="24"/>
          <w:lang w:eastAsia="zh-CN"/>
        </w:rPr>
        <w:t xml:space="preserve"> 2016; </w:t>
      </w:r>
      <w:r w:rsidRPr="00691B3F">
        <w:rPr>
          <w:rFonts w:ascii="Book Antiqua" w:eastAsia="DengXian" w:hAnsi="Book Antiqua" w:cs="Times New Roman"/>
          <w:b/>
          <w:kern w:val="2"/>
          <w:sz w:val="24"/>
          <w:szCs w:val="24"/>
          <w:lang w:eastAsia="zh-CN"/>
        </w:rPr>
        <w:t>17</w:t>
      </w:r>
      <w:r w:rsidRPr="00691B3F">
        <w:rPr>
          <w:rFonts w:ascii="Book Antiqua" w:eastAsia="DengXian" w:hAnsi="Book Antiqua" w:cs="Times New Roman"/>
          <w:kern w:val="2"/>
          <w:sz w:val="24"/>
          <w:szCs w:val="24"/>
          <w:lang w:eastAsia="zh-CN"/>
        </w:rPr>
        <w:t>: 201 [PMID: 26861284 DOI: 10.3390/ijms17020201]</w:t>
      </w:r>
    </w:p>
    <w:p w14:paraId="4B2EF1A7"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proofErr w:type="gramStart"/>
      <w:r w:rsidRPr="00691B3F">
        <w:rPr>
          <w:rFonts w:ascii="Book Antiqua" w:eastAsia="DengXian" w:hAnsi="Book Antiqua" w:cs="Times New Roman"/>
          <w:kern w:val="2"/>
          <w:sz w:val="24"/>
          <w:szCs w:val="24"/>
          <w:lang w:eastAsia="zh-CN"/>
        </w:rPr>
        <w:t xml:space="preserve">17 </w:t>
      </w:r>
      <w:proofErr w:type="spellStart"/>
      <w:r w:rsidRPr="00691B3F">
        <w:rPr>
          <w:rFonts w:ascii="Book Antiqua" w:eastAsia="DengXian" w:hAnsi="Book Antiqua" w:cs="Times New Roman"/>
          <w:b/>
          <w:kern w:val="2"/>
          <w:sz w:val="24"/>
          <w:szCs w:val="24"/>
          <w:lang w:eastAsia="zh-CN"/>
        </w:rPr>
        <w:t>Wendel</w:t>
      </w:r>
      <w:proofErr w:type="spellEnd"/>
      <w:r w:rsidRPr="00691B3F">
        <w:rPr>
          <w:rFonts w:ascii="Book Antiqua" w:eastAsia="DengXian" w:hAnsi="Book Antiqua" w:cs="Times New Roman"/>
          <w:b/>
          <w:kern w:val="2"/>
          <w:sz w:val="24"/>
          <w:szCs w:val="24"/>
          <w:lang w:eastAsia="zh-CN"/>
        </w:rPr>
        <w:t xml:space="preserve"> A</w:t>
      </w:r>
      <w:r w:rsidRPr="00691B3F">
        <w:rPr>
          <w:rFonts w:ascii="Book Antiqua" w:eastAsia="DengXian" w:hAnsi="Book Antiqua" w:cs="Times New Roman"/>
          <w:kern w:val="2"/>
          <w:sz w:val="24"/>
          <w:szCs w:val="24"/>
          <w:lang w:eastAsia="zh-CN"/>
        </w:rPr>
        <w:t>, Feuerstein S. Drug-induced lipid peroxidation in mice--I.</w:t>
      </w:r>
      <w:proofErr w:type="gramEnd"/>
      <w:r w:rsidRPr="00691B3F">
        <w:rPr>
          <w:rFonts w:ascii="Book Antiqua" w:eastAsia="DengXian" w:hAnsi="Book Antiqua" w:cs="Times New Roman"/>
          <w:kern w:val="2"/>
          <w:sz w:val="24"/>
          <w:szCs w:val="24"/>
          <w:lang w:eastAsia="zh-CN"/>
        </w:rPr>
        <w:t xml:space="preserve"> </w:t>
      </w:r>
      <w:proofErr w:type="gramStart"/>
      <w:r w:rsidRPr="00691B3F">
        <w:rPr>
          <w:rFonts w:ascii="Book Antiqua" w:eastAsia="DengXian" w:hAnsi="Book Antiqua" w:cs="Times New Roman"/>
          <w:kern w:val="2"/>
          <w:sz w:val="24"/>
          <w:szCs w:val="24"/>
          <w:lang w:eastAsia="zh-CN"/>
        </w:rPr>
        <w:t xml:space="preserve">Modulation by </w:t>
      </w:r>
      <w:proofErr w:type="spellStart"/>
      <w:r w:rsidRPr="00691B3F">
        <w:rPr>
          <w:rFonts w:ascii="Book Antiqua" w:eastAsia="DengXian" w:hAnsi="Book Antiqua" w:cs="Times New Roman"/>
          <w:kern w:val="2"/>
          <w:sz w:val="24"/>
          <w:szCs w:val="24"/>
          <w:lang w:eastAsia="zh-CN"/>
        </w:rPr>
        <w:t>monooxygenase</w:t>
      </w:r>
      <w:proofErr w:type="spellEnd"/>
      <w:r w:rsidRPr="00691B3F">
        <w:rPr>
          <w:rFonts w:ascii="Book Antiqua" w:eastAsia="DengXian" w:hAnsi="Book Antiqua" w:cs="Times New Roman"/>
          <w:kern w:val="2"/>
          <w:sz w:val="24"/>
          <w:szCs w:val="24"/>
          <w:lang w:eastAsia="zh-CN"/>
        </w:rPr>
        <w:t xml:space="preserve"> activity, glutathione and selenium status.</w:t>
      </w:r>
      <w:proofErr w:type="gramEnd"/>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i/>
          <w:kern w:val="2"/>
          <w:sz w:val="24"/>
          <w:szCs w:val="24"/>
          <w:lang w:eastAsia="zh-CN"/>
        </w:rPr>
        <w:t>Biochem</w:t>
      </w:r>
      <w:proofErr w:type="spellEnd"/>
      <w:r w:rsidRPr="00691B3F">
        <w:rPr>
          <w:rFonts w:ascii="Book Antiqua" w:eastAsia="DengXian" w:hAnsi="Book Antiqua" w:cs="Times New Roman"/>
          <w:i/>
          <w:kern w:val="2"/>
          <w:sz w:val="24"/>
          <w:szCs w:val="24"/>
          <w:lang w:eastAsia="zh-CN"/>
        </w:rPr>
        <w:t xml:space="preserve"> </w:t>
      </w:r>
      <w:proofErr w:type="spellStart"/>
      <w:r w:rsidRPr="00691B3F">
        <w:rPr>
          <w:rFonts w:ascii="Book Antiqua" w:eastAsia="DengXian" w:hAnsi="Book Antiqua" w:cs="Times New Roman"/>
          <w:i/>
          <w:kern w:val="2"/>
          <w:sz w:val="24"/>
          <w:szCs w:val="24"/>
          <w:lang w:eastAsia="zh-CN"/>
        </w:rPr>
        <w:t>Pharmacol</w:t>
      </w:r>
      <w:proofErr w:type="spellEnd"/>
      <w:r w:rsidRPr="00691B3F">
        <w:rPr>
          <w:rFonts w:ascii="Book Antiqua" w:eastAsia="DengXian" w:hAnsi="Book Antiqua" w:cs="Times New Roman"/>
          <w:kern w:val="2"/>
          <w:sz w:val="24"/>
          <w:szCs w:val="24"/>
          <w:lang w:eastAsia="zh-CN"/>
        </w:rPr>
        <w:t xml:space="preserve"> 1981; </w:t>
      </w:r>
      <w:r w:rsidRPr="00691B3F">
        <w:rPr>
          <w:rFonts w:ascii="Book Antiqua" w:eastAsia="DengXian" w:hAnsi="Book Antiqua" w:cs="Times New Roman"/>
          <w:b/>
          <w:kern w:val="2"/>
          <w:sz w:val="24"/>
          <w:szCs w:val="24"/>
          <w:lang w:eastAsia="zh-CN"/>
        </w:rPr>
        <w:t>30</w:t>
      </w:r>
      <w:r w:rsidRPr="00691B3F">
        <w:rPr>
          <w:rFonts w:ascii="Book Antiqua" w:eastAsia="DengXian" w:hAnsi="Book Antiqua" w:cs="Times New Roman"/>
          <w:kern w:val="2"/>
          <w:sz w:val="24"/>
          <w:szCs w:val="24"/>
          <w:lang w:eastAsia="zh-CN"/>
        </w:rPr>
        <w:t>: 2513-2520 [PMID: 7306203 DOI: 10.1016/0006-2952(81)90576-1]</w:t>
      </w:r>
    </w:p>
    <w:p w14:paraId="62F98302"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proofErr w:type="gramStart"/>
      <w:r w:rsidRPr="00691B3F">
        <w:rPr>
          <w:rFonts w:ascii="Book Antiqua" w:eastAsia="DengXian" w:hAnsi="Book Antiqua" w:cs="Times New Roman"/>
          <w:kern w:val="2"/>
          <w:sz w:val="24"/>
          <w:szCs w:val="24"/>
          <w:lang w:eastAsia="zh-CN"/>
        </w:rPr>
        <w:t xml:space="preserve">18 </w:t>
      </w:r>
      <w:r w:rsidRPr="00691B3F">
        <w:rPr>
          <w:rFonts w:ascii="Book Antiqua" w:eastAsia="DengXian" w:hAnsi="Book Antiqua" w:cs="Times New Roman"/>
          <w:b/>
          <w:kern w:val="2"/>
          <w:sz w:val="24"/>
          <w:szCs w:val="24"/>
          <w:lang w:eastAsia="zh-CN"/>
        </w:rPr>
        <w:t>Smith CV</w:t>
      </w:r>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kern w:val="2"/>
          <w:sz w:val="24"/>
          <w:szCs w:val="24"/>
          <w:lang w:eastAsia="zh-CN"/>
        </w:rPr>
        <w:t>Jaeschke</w:t>
      </w:r>
      <w:proofErr w:type="spellEnd"/>
      <w:r w:rsidRPr="00691B3F">
        <w:rPr>
          <w:rFonts w:ascii="Book Antiqua" w:eastAsia="DengXian" w:hAnsi="Book Antiqua" w:cs="Times New Roman"/>
          <w:kern w:val="2"/>
          <w:sz w:val="24"/>
          <w:szCs w:val="24"/>
          <w:lang w:eastAsia="zh-CN"/>
        </w:rPr>
        <w:t xml:space="preserve"> H. Effect of acetaminophen on hepatic content and biliary efflux of glutathione disulfide in mice.</w:t>
      </w:r>
      <w:proofErr w:type="gramEnd"/>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i/>
          <w:kern w:val="2"/>
          <w:sz w:val="24"/>
          <w:szCs w:val="24"/>
          <w:lang w:eastAsia="zh-CN"/>
        </w:rPr>
        <w:t>Chem</w:t>
      </w:r>
      <w:proofErr w:type="spellEnd"/>
      <w:r w:rsidRPr="00691B3F">
        <w:rPr>
          <w:rFonts w:ascii="Book Antiqua" w:eastAsia="DengXian" w:hAnsi="Book Antiqua" w:cs="Times New Roman"/>
          <w:i/>
          <w:kern w:val="2"/>
          <w:sz w:val="24"/>
          <w:szCs w:val="24"/>
          <w:lang w:eastAsia="zh-CN"/>
        </w:rPr>
        <w:t xml:space="preserve"> </w:t>
      </w:r>
      <w:proofErr w:type="spellStart"/>
      <w:r w:rsidRPr="00691B3F">
        <w:rPr>
          <w:rFonts w:ascii="Book Antiqua" w:eastAsia="DengXian" w:hAnsi="Book Antiqua" w:cs="Times New Roman"/>
          <w:i/>
          <w:kern w:val="2"/>
          <w:sz w:val="24"/>
          <w:szCs w:val="24"/>
          <w:lang w:eastAsia="zh-CN"/>
        </w:rPr>
        <w:t>Biol</w:t>
      </w:r>
      <w:proofErr w:type="spellEnd"/>
      <w:r w:rsidRPr="00691B3F">
        <w:rPr>
          <w:rFonts w:ascii="Book Antiqua" w:eastAsia="DengXian" w:hAnsi="Book Antiqua" w:cs="Times New Roman"/>
          <w:i/>
          <w:kern w:val="2"/>
          <w:sz w:val="24"/>
          <w:szCs w:val="24"/>
          <w:lang w:eastAsia="zh-CN"/>
        </w:rPr>
        <w:t xml:space="preserve"> Interact</w:t>
      </w:r>
      <w:r w:rsidRPr="00691B3F">
        <w:rPr>
          <w:rFonts w:ascii="Book Antiqua" w:eastAsia="DengXian" w:hAnsi="Book Antiqua" w:cs="Times New Roman"/>
          <w:kern w:val="2"/>
          <w:sz w:val="24"/>
          <w:szCs w:val="24"/>
          <w:lang w:eastAsia="zh-CN"/>
        </w:rPr>
        <w:t xml:space="preserve"> 1989; </w:t>
      </w:r>
      <w:r w:rsidRPr="00691B3F">
        <w:rPr>
          <w:rFonts w:ascii="Book Antiqua" w:eastAsia="DengXian" w:hAnsi="Book Antiqua" w:cs="Times New Roman"/>
          <w:b/>
          <w:kern w:val="2"/>
          <w:sz w:val="24"/>
          <w:szCs w:val="24"/>
          <w:lang w:eastAsia="zh-CN"/>
        </w:rPr>
        <w:t>70</w:t>
      </w:r>
      <w:r w:rsidRPr="00691B3F">
        <w:rPr>
          <w:rFonts w:ascii="Book Antiqua" w:eastAsia="DengXian" w:hAnsi="Book Antiqua" w:cs="Times New Roman"/>
          <w:kern w:val="2"/>
          <w:sz w:val="24"/>
          <w:szCs w:val="24"/>
          <w:lang w:eastAsia="zh-CN"/>
        </w:rPr>
        <w:t>: 241-248 [PMID: 2743472 DOI: 10.1016/0009-2797(89)90047-1]</w:t>
      </w:r>
    </w:p>
    <w:p w14:paraId="1923E0C9"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lastRenderedPageBreak/>
        <w:t xml:space="preserve">19 </w:t>
      </w:r>
      <w:proofErr w:type="spellStart"/>
      <w:r w:rsidRPr="00691B3F">
        <w:rPr>
          <w:rFonts w:ascii="Book Antiqua" w:eastAsia="DengXian" w:hAnsi="Book Antiqua" w:cs="Times New Roman"/>
          <w:b/>
          <w:kern w:val="2"/>
          <w:sz w:val="24"/>
          <w:szCs w:val="24"/>
          <w:lang w:eastAsia="zh-CN"/>
        </w:rPr>
        <w:t>Bajt</w:t>
      </w:r>
      <w:proofErr w:type="spellEnd"/>
      <w:r w:rsidRPr="00691B3F">
        <w:rPr>
          <w:rFonts w:ascii="Book Antiqua" w:eastAsia="DengXian" w:hAnsi="Book Antiqua" w:cs="Times New Roman"/>
          <w:b/>
          <w:kern w:val="2"/>
          <w:sz w:val="24"/>
          <w:szCs w:val="24"/>
          <w:lang w:eastAsia="zh-CN"/>
        </w:rPr>
        <w:t xml:space="preserve"> ML</w:t>
      </w:r>
      <w:r w:rsidRPr="00691B3F">
        <w:rPr>
          <w:rFonts w:ascii="Book Antiqua" w:eastAsia="DengXian" w:hAnsi="Book Antiqua" w:cs="Times New Roman"/>
          <w:kern w:val="2"/>
          <w:sz w:val="24"/>
          <w:szCs w:val="24"/>
          <w:lang w:eastAsia="zh-CN"/>
        </w:rPr>
        <w:t xml:space="preserve">, Knight TR, </w:t>
      </w:r>
      <w:proofErr w:type="spellStart"/>
      <w:r w:rsidRPr="00691B3F">
        <w:rPr>
          <w:rFonts w:ascii="Book Antiqua" w:eastAsia="DengXian" w:hAnsi="Book Antiqua" w:cs="Times New Roman"/>
          <w:kern w:val="2"/>
          <w:sz w:val="24"/>
          <w:szCs w:val="24"/>
          <w:lang w:eastAsia="zh-CN"/>
        </w:rPr>
        <w:t>Lemasters</w:t>
      </w:r>
      <w:proofErr w:type="spellEnd"/>
      <w:r w:rsidRPr="00691B3F">
        <w:rPr>
          <w:rFonts w:ascii="Book Antiqua" w:eastAsia="DengXian" w:hAnsi="Book Antiqua" w:cs="Times New Roman"/>
          <w:kern w:val="2"/>
          <w:sz w:val="24"/>
          <w:szCs w:val="24"/>
          <w:lang w:eastAsia="zh-CN"/>
        </w:rPr>
        <w:t xml:space="preserve"> JJ, </w:t>
      </w:r>
      <w:proofErr w:type="spellStart"/>
      <w:r w:rsidRPr="00691B3F">
        <w:rPr>
          <w:rFonts w:ascii="Book Antiqua" w:eastAsia="DengXian" w:hAnsi="Book Antiqua" w:cs="Times New Roman"/>
          <w:kern w:val="2"/>
          <w:sz w:val="24"/>
          <w:szCs w:val="24"/>
          <w:lang w:eastAsia="zh-CN"/>
        </w:rPr>
        <w:t>Jaeschke</w:t>
      </w:r>
      <w:proofErr w:type="spellEnd"/>
      <w:r w:rsidRPr="00691B3F">
        <w:rPr>
          <w:rFonts w:ascii="Book Antiqua" w:eastAsia="DengXian" w:hAnsi="Book Antiqua" w:cs="Times New Roman"/>
          <w:kern w:val="2"/>
          <w:sz w:val="24"/>
          <w:szCs w:val="24"/>
          <w:lang w:eastAsia="zh-CN"/>
        </w:rPr>
        <w:t xml:space="preserve"> H. Acetaminophen-induced oxidant stress and cell injury in cultured mouse hepatocytes: protection by N-acetyl cysteine. </w:t>
      </w:r>
      <w:proofErr w:type="spellStart"/>
      <w:r w:rsidRPr="00691B3F">
        <w:rPr>
          <w:rFonts w:ascii="Book Antiqua" w:eastAsia="DengXian" w:hAnsi="Book Antiqua" w:cs="Times New Roman"/>
          <w:i/>
          <w:kern w:val="2"/>
          <w:sz w:val="24"/>
          <w:szCs w:val="24"/>
          <w:lang w:eastAsia="zh-CN"/>
        </w:rPr>
        <w:t>Toxicol</w:t>
      </w:r>
      <w:proofErr w:type="spellEnd"/>
      <w:r w:rsidRPr="00691B3F">
        <w:rPr>
          <w:rFonts w:ascii="Book Antiqua" w:eastAsia="DengXian" w:hAnsi="Book Antiqua" w:cs="Times New Roman"/>
          <w:i/>
          <w:kern w:val="2"/>
          <w:sz w:val="24"/>
          <w:szCs w:val="24"/>
          <w:lang w:eastAsia="zh-CN"/>
        </w:rPr>
        <w:t xml:space="preserve"> </w:t>
      </w:r>
      <w:proofErr w:type="spellStart"/>
      <w:r w:rsidRPr="00691B3F">
        <w:rPr>
          <w:rFonts w:ascii="Book Antiqua" w:eastAsia="DengXian" w:hAnsi="Book Antiqua" w:cs="Times New Roman"/>
          <w:i/>
          <w:kern w:val="2"/>
          <w:sz w:val="24"/>
          <w:szCs w:val="24"/>
          <w:lang w:eastAsia="zh-CN"/>
        </w:rPr>
        <w:t>Sci</w:t>
      </w:r>
      <w:proofErr w:type="spellEnd"/>
      <w:r w:rsidRPr="00691B3F">
        <w:rPr>
          <w:rFonts w:ascii="Book Antiqua" w:eastAsia="DengXian" w:hAnsi="Book Antiqua" w:cs="Times New Roman"/>
          <w:kern w:val="2"/>
          <w:sz w:val="24"/>
          <w:szCs w:val="24"/>
          <w:lang w:eastAsia="zh-CN"/>
        </w:rPr>
        <w:t xml:space="preserve"> 2004; </w:t>
      </w:r>
      <w:r w:rsidRPr="00691B3F">
        <w:rPr>
          <w:rFonts w:ascii="Book Antiqua" w:eastAsia="DengXian" w:hAnsi="Book Antiqua" w:cs="Times New Roman"/>
          <w:b/>
          <w:kern w:val="2"/>
          <w:sz w:val="24"/>
          <w:szCs w:val="24"/>
          <w:lang w:eastAsia="zh-CN"/>
        </w:rPr>
        <w:t>80</w:t>
      </w:r>
      <w:r w:rsidRPr="00691B3F">
        <w:rPr>
          <w:rFonts w:ascii="Book Antiqua" w:eastAsia="DengXian" w:hAnsi="Book Antiqua" w:cs="Times New Roman"/>
          <w:kern w:val="2"/>
          <w:sz w:val="24"/>
          <w:szCs w:val="24"/>
          <w:lang w:eastAsia="zh-CN"/>
        </w:rPr>
        <w:t>: 343-349 [PMID: 15115886 DOI: 10.1093/</w:t>
      </w:r>
      <w:proofErr w:type="spellStart"/>
      <w:r w:rsidRPr="00691B3F">
        <w:rPr>
          <w:rFonts w:ascii="Book Antiqua" w:eastAsia="DengXian" w:hAnsi="Book Antiqua" w:cs="Times New Roman"/>
          <w:kern w:val="2"/>
          <w:sz w:val="24"/>
          <w:szCs w:val="24"/>
          <w:lang w:eastAsia="zh-CN"/>
        </w:rPr>
        <w:t>toxsci</w:t>
      </w:r>
      <w:proofErr w:type="spellEnd"/>
      <w:r w:rsidRPr="00691B3F">
        <w:rPr>
          <w:rFonts w:ascii="Book Antiqua" w:eastAsia="DengXian" w:hAnsi="Book Antiqua" w:cs="Times New Roman"/>
          <w:kern w:val="2"/>
          <w:sz w:val="24"/>
          <w:szCs w:val="24"/>
          <w:lang w:eastAsia="zh-CN"/>
        </w:rPr>
        <w:t>/kfh151]</w:t>
      </w:r>
    </w:p>
    <w:p w14:paraId="10733891"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20 </w:t>
      </w:r>
      <w:proofErr w:type="spellStart"/>
      <w:r w:rsidRPr="00691B3F">
        <w:rPr>
          <w:rFonts w:ascii="Book Antiqua" w:eastAsia="DengXian" w:hAnsi="Book Antiqua" w:cs="Times New Roman"/>
          <w:b/>
          <w:kern w:val="2"/>
          <w:sz w:val="24"/>
          <w:szCs w:val="24"/>
          <w:lang w:eastAsia="zh-CN"/>
        </w:rPr>
        <w:t>Lauterburg</w:t>
      </w:r>
      <w:proofErr w:type="spellEnd"/>
      <w:r w:rsidRPr="00691B3F">
        <w:rPr>
          <w:rFonts w:ascii="Book Antiqua" w:eastAsia="DengXian" w:hAnsi="Book Antiqua" w:cs="Times New Roman"/>
          <w:b/>
          <w:kern w:val="2"/>
          <w:sz w:val="24"/>
          <w:szCs w:val="24"/>
          <w:lang w:eastAsia="zh-CN"/>
        </w:rPr>
        <w:t xml:space="preserve"> BH</w:t>
      </w:r>
      <w:r w:rsidRPr="00691B3F">
        <w:rPr>
          <w:rFonts w:ascii="Book Antiqua" w:eastAsia="DengXian" w:hAnsi="Book Antiqua" w:cs="Times New Roman"/>
          <w:kern w:val="2"/>
          <w:sz w:val="24"/>
          <w:szCs w:val="24"/>
          <w:lang w:eastAsia="zh-CN"/>
        </w:rPr>
        <w:t xml:space="preserve">, Smith CV, Hughes H, Mitchell JR. Biliary excretion of glutathione and glutathione disulfide in the rat. </w:t>
      </w:r>
      <w:proofErr w:type="gramStart"/>
      <w:r w:rsidRPr="00691B3F">
        <w:rPr>
          <w:rFonts w:ascii="Book Antiqua" w:eastAsia="DengXian" w:hAnsi="Book Antiqua" w:cs="Times New Roman"/>
          <w:kern w:val="2"/>
          <w:sz w:val="24"/>
          <w:szCs w:val="24"/>
          <w:lang w:eastAsia="zh-CN"/>
        </w:rPr>
        <w:t>Regulation and response to oxidative stress.</w:t>
      </w:r>
      <w:proofErr w:type="gramEnd"/>
      <w:r w:rsidRPr="00691B3F">
        <w:rPr>
          <w:rFonts w:ascii="Book Antiqua" w:eastAsia="DengXian" w:hAnsi="Book Antiqua" w:cs="Times New Roman"/>
          <w:kern w:val="2"/>
          <w:sz w:val="24"/>
          <w:szCs w:val="24"/>
          <w:lang w:eastAsia="zh-CN"/>
        </w:rPr>
        <w:t xml:space="preserve"> </w:t>
      </w:r>
      <w:r w:rsidRPr="00691B3F">
        <w:rPr>
          <w:rFonts w:ascii="Book Antiqua" w:eastAsia="DengXian" w:hAnsi="Book Antiqua" w:cs="Times New Roman"/>
          <w:i/>
          <w:kern w:val="2"/>
          <w:sz w:val="24"/>
          <w:szCs w:val="24"/>
          <w:lang w:eastAsia="zh-CN"/>
        </w:rPr>
        <w:t xml:space="preserve">J </w:t>
      </w:r>
      <w:proofErr w:type="spellStart"/>
      <w:r w:rsidRPr="00691B3F">
        <w:rPr>
          <w:rFonts w:ascii="Book Antiqua" w:eastAsia="DengXian" w:hAnsi="Book Antiqua" w:cs="Times New Roman"/>
          <w:i/>
          <w:kern w:val="2"/>
          <w:sz w:val="24"/>
          <w:szCs w:val="24"/>
          <w:lang w:eastAsia="zh-CN"/>
        </w:rPr>
        <w:t>Clin</w:t>
      </w:r>
      <w:proofErr w:type="spellEnd"/>
      <w:r w:rsidRPr="00691B3F">
        <w:rPr>
          <w:rFonts w:ascii="Book Antiqua" w:eastAsia="DengXian" w:hAnsi="Book Antiqua" w:cs="Times New Roman"/>
          <w:i/>
          <w:kern w:val="2"/>
          <w:sz w:val="24"/>
          <w:szCs w:val="24"/>
          <w:lang w:eastAsia="zh-CN"/>
        </w:rPr>
        <w:t xml:space="preserve"> Invest</w:t>
      </w:r>
      <w:r w:rsidRPr="00691B3F">
        <w:rPr>
          <w:rFonts w:ascii="Book Antiqua" w:eastAsia="DengXian" w:hAnsi="Book Antiqua" w:cs="Times New Roman"/>
          <w:kern w:val="2"/>
          <w:sz w:val="24"/>
          <w:szCs w:val="24"/>
          <w:lang w:eastAsia="zh-CN"/>
        </w:rPr>
        <w:t xml:space="preserve"> 1984; </w:t>
      </w:r>
      <w:r w:rsidRPr="00691B3F">
        <w:rPr>
          <w:rFonts w:ascii="Book Antiqua" w:eastAsia="DengXian" w:hAnsi="Book Antiqua" w:cs="Times New Roman"/>
          <w:b/>
          <w:kern w:val="2"/>
          <w:sz w:val="24"/>
          <w:szCs w:val="24"/>
          <w:lang w:eastAsia="zh-CN"/>
        </w:rPr>
        <w:t>73</w:t>
      </w:r>
      <w:r w:rsidRPr="00691B3F">
        <w:rPr>
          <w:rFonts w:ascii="Book Antiqua" w:eastAsia="DengXian" w:hAnsi="Book Antiqua" w:cs="Times New Roman"/>
          <w:kern w:val="2"/>
          <w:sz w:val="24"/>
          <w:szCs w:val="24"/>
          <w:lang w:eastAsia="zh-CN"/>
        </w:rPr>
        <w:t>: 124-133 [PMID: 6690473 DOI: 10.1172/JCI111182]</w:t>
      </w:r>
    </w:p>
    <w:p w14:paraId="2F4DD956"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21 </w:t>
      </w:r>
      <w:proofErr w:type="spellStart"/>
      <w:r w:rsidRPr="00691B3F">
        <w:rPr>
          <w:rFonts w:ascii="Book Antiqua" w:eastAsia="DengXian" w:hAnsi="Book Antiqua" w:cs="Times New Roman"/>
          <w:b/>
          <w:kern w:val="2"/>
          <w:sz w:val="24"/>
          <w:szCs w:val="24"/>
          <w:lang w:eastAsia="zh-CN"/>
        </w:rPr>
        <w:t>Jaeschke</w:t>
      </w:r>
      <w:proofErr w:type="spellEnd"/>
      <w:r w:rsidRPr="00691B3F">
        <w:rPr>
          <w:rFonts w:ascii="Book Antiqua" w:eastAsia="DengXian" w:hAnsi="Book Antiqua" w:cs="Times New Roman"/>
          <w:b/>
          <w:kern w:val="2"/>
          <w:sz w:val="24"/>
          <w:szCs w:val="24"/>
          <w:lang w:eastAsia="zh-CN"/>
        </w:rPr>
        <w:t xml:space="preserve"> H</w:t>
      </w:r>
      <w:r w:rsidRPr="00691B3F">
        <w:rPr>
          <w:rFonts w:ascii="Book Antiqua" w:eastAsia="DengXian" w:hAnsi="Book Antiqua" w:cs="Times New Roman"/>
          <w:kern w:val="2"/>
          <w:sz w:val="24"/>
          <w:szCs w:val="24"/>
          <w:lang w:eastAsia="zh-CN"/>
        </w:rPr>
        <w:t xml:space="preserve">, McGill MR, </w:t>
      </w:r>
      <w:proofErr w:type="spellStart"/>
      <w:r w:rsidRPr="00691B3F">
        <w:rPr>
          <w:rFonts w:ascii="Book Antiqua" w:eastAsia="DengXian" w:hAnsi="Book Antiqua" w:cs="Times New Roman"/>
          <w:kern w:val="2"/>
          <w:sz w:val="24"/>
          <w:szCs w:val="24"/>
          <w:lang w:eastAsia="zh-CN"/>
        </w:rPr>
        <w:t>Ramachandran</w:t>
      </w:r>
      <w:proofErr w:type="spellEnd"/>
      <w:r w:rsidRPr="00691B3F">
        <w:rPr>
          <w:rFonts w:ascii="Book Antiqua" w:eastAsia="DengXian" w:hAnsi="Book Antiqua" w:cs="Times New Roman"/>
          <w:kern w:val="2"/>
          <w:sz w:val="24"/>
          <w:szCs w:val="24"/>
          <w:lang w:eastAsia="zh-CN"/>
        </w:rPr>
        <w:t xml:space="preserve"> A. Oxidant stress, mitochondria, and cell death mechanisms in drug-induced liver injury: lessons learned from acetaminophen hepatotoxicity. </w:t>
      </w:r>
      <w:r w:rsidRPr="00691B3F">
        <w:rPr>
          <w:rFonts w:ascii="Book Antiqua" w:eastAsia="DengXian" w:hAnsi="Book Antiqua" w:cs="Times New Roman"/>
          <w:i/>
          <w:kern w:val="2"/>
          <w:sz w:val="24"/>
          <w:szCs w:val="24"/>
          <w:lang w:eastAsia="zh-CN"/>
        </w:rPr>
        <w:t xml:space="preserve">Drug </w:t>
      </w:r>
      <w:proofErr w:type="spellStart"/>
      <w:r w:rsidRPr="00691B3F">
        <w:rPr>
          <w:rFonts w:ascii="Book Antiqua" w:eastAsia="DengXian" w:hAnsi="Book Antiqua" w:cs="Times New Roman"/>
          <w:i/>
          <w:kern w:val="2"/>
          <w:sz w:val="24"/>
          <w:szCs w:val="24"/>
          <w:lang w:eastAsia="zh-CN"/>
        </w:rPr>
        <w:t>Metab</w:t>
      </w:r>
      <w:proofErr w:type="spellEnd"/>
      <w:r w:rsidRPr="00691B3F">
        <w:rPr>
          <w:rFonts w:ascii="Book Antiqua" w:eastAsia="DengXian" w:hAnsi="Book Antiqua" w:cs="Times New Roman"/>
          <w:i/>
          <w:kern w:val="2"/>
          <w:sz w:val="24"/>
          <w:szCs w:val="24"/>
          <w:lang w:eastAsia="zh-CN"/>
        </w:rPr>
        <w:t xml:space="preserve"> Rev</w:t>
      </w:r>
      <w:r w:rsidRPr="00691B3F">
        <w:rPr>
          <w:rFonts w:ascii="Book Antiqua" w:eastAsia="DengXian" w:hAnsi="Book Antiqua" w:cs="Times New Roman"/>
          <w:kern w:val="2"/>
          <w:sz w:val="24"/>
          <w:szCs w:val="24"/>
          <w:lang w:eastAsia="zh-CN"/>
        </w:rPr>
        <w:t xml:space="preserve"> 2012; </w:t>
      </w:r>
      <w:r w:rsidRPr="00691B3F">
        <w:rPr>
          <w:rFonts w:ascii="Book Antiqua" w:eastAsia="DengXian" w:hAnsi="Book Antiqua" w:cs="Times New Roman"/>
          <w:b/>
          <w:kern w:val="2"/>
          <w:sz w:val="24"/>
          <w:szCs w:val="24"/>
          <w:lang w:eastAsia="zh-CN"/>
        </w:rPr>
        <w:t>44</w:t>
      </w:r>
      <w:r w:rsidRPr="00691B3F">
        <w:rPr>
          <w:rFonts w:ascii="Book Antiqua" w:eastAsia="DengXian" w:hAnsi="Book Antiqua" w:cs="Times New Roman"/>
          <w:kern w:val="2"/>
          <w:sz w:val="24"/>
          <w:szCs w:val="24"/>
          <w:lang w:eastAsia="zh-CN"/>
        </w:rPr>
        <w:t>: 88-106 [PMID: 22229890 DOI: 10.3109/03602532.2011.602688]</w:t>
      </w:r>
    </w:p>
    <w:p w14:paraId="589776BB"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22 </w:t>
      </w:r>
      <w:proofErr w:type="spellStart"/>
      <w:r w:rsidRPr="00691B3F">
        <w:rPr>
          <w:rFonts w:ascii="Book Antiqua" w:eastAsia="DengXian" w:hAnsi="Book Antiqua" w:cs="Times New Roman"/>
          <w:b/>
          <w:kern w:val="2"/>
          <w:sz w:val="24"/>
          <w:szCs w:val="24"/>
          <w:lang w:eastAsia="zh-CN"/>
        </w:rPr>
        <w:t>Qiu</w:t>
      </w:r>
      <w:proofErr w:type="spellEnd"/>
      <w:r w:rsidRPr="00691B3F">
        <w:rPr>
          <w:rFonts w:ascii="Book Antiqua" w:eastAsia="DengXian" w:hAnsi="Book Antiqua" w:cs="Times New Roman"/>
          <w:b/>
          <w:kern w:val="2"/>
          <w:sz w:val="24"/>
          <w:szCs w:val="24"/>
          <w:lang w:eastAsia="zh-CN"/>
        </w:rPr>
        <w:t xml:space="preserve"> Y</w:t>
      </w:r>
      <w:r w:rsidRPr="00691B3F">
        <w:rPr>
          <w:rFonts w:ascii="Book Antiqua" w:eastAsia="DengXian" w:hAnsi="Book Antiqua" w:cs="Times New Roman"/>
          <w:kern w:val="2"/>
          <w:sz w:val="24"/>
          <w:szCs w:val="24"/>
          <w:lang w:eastAsia="zh-CN"/>
        </w:rPr>
        <w:t xml:space="preserve">, Benet LZ, Burlingame AL. Identification of the hepatic protein targets of reactive metabolites of acetaminophen in vivo in mice using two-dimensional gel electrophoresis and mass spectrometry. </w:t>
      </w:r>
      <w:r w:rsidRPr="00691B3F">
        <w:rPr>
          <w:rFonts w:ascii="Book Antiqua" w:eastAsia="DengXian" w:hAnsi="Book Antiqua" w:cs="Times New Roman"/>
          <w:i/>
          <w:kern w:val="2"/>
          <w:sz w:val="24"/>
          <w:szCs w:val="24"/>
          <w:lang w:eastAsia="zh-CN"/>
        </w:rPr>
        <w:t xml:space="preserve">J </w:t>
      </w:r>
      <w:proofErr w:type="spellStart"/>
      <w:r w:rsidRPr="00691B3F">
        <w:rPr>
          <w:rFonts w:ascii="Book Antiqua" w:eastAsia="DengXian" w:hAnsi="Book Antiqua" w:cs="Times New Roman"/>
          <w:i/>
          <w:kern w:val="2"/>
          <w:sz w:val="24"/>
          <w:szCs w:val="24"/>
          <w:lang w:eastAsia="zh-CN"/>
        </w:rPr>
        <w:t>Biol</w:t>
      </w:r>
      <w:proofErr w:type="spellEnd"/>
      <w:r w:rsidRPr="00691B3F">
        <w:rPr>
          <w:rFonts w:ascii="Book Antiqua" w:eastAsia="DengXian" w:hAnsi="Book Antiqua" w:cs="Times New Roman"/>
          <w:i/>
          <w:kern w:val="2"/>
          <w:sz w:val="24"/>
          <w:szCs w:val="24"/>
          <w:lang w:eastAsia="zh-CN"/>
        </w:rPr>
        <w:t xml:space="preserve"> </w:t>
      </w:r>
      <w:proofErr w:type="spellStart"/>
      <w:r w:rsidRPr="00691B3F">
        <w:rPr>
          <w:rFonts w:ascii="Book Antiqua" w:eastAsia="DengXian" w:hAnsi="Book Antiqua" w:cs="Times New Roman"/>
          <w:i/>
          <w:kern w:val="2"/>
          <w:sz w:val="24"/>
          <w:szCs w:val="24"/>
          <w:lang w:eastAsia="zh-CN"/>
        </w:rPr>
        <w:t>Chem</w:t>
      </w:r>
      <w:proofErr w:type="spellEnd"/>
      <w:r w:rsidRPr="00691B3F">
        <w:rPr>
          <w:rFonts w:ascii="Book Antiqua" w:eastAsia="DengXian" w:hAnsi="Book Antiqua" w:cs="Times New Roman"/>
          <w:kern w:val="2"/>
          <w:sz w:val="24"/>
          <w:szCs w:val="24"/>
          <w:lang w:eastAsia="zh-CN"/>
        </w:rPr>
        <w:t xml:space="preserve"> 1998; </w:t>
      </w:r>
      <w:r w:rsidRPr="00691B3F">
        <w:rPr>
          <w:rFonts w:ascii="Book Antiqua" w:eastAsia="DengXian" w:hAnsi="Book Antiqua" w:cs="Times New Roman"/>
          <w:b/>
          <w:kern w:val="2"/>
          <w:sz w:val="24"/>
          <w:szCs w:val="24"/>
          <w:lang w:eastAsia="zh-CN"/>
        </w:rPr>
        <w:t>273</w:t>
      </w:r>
      <w:r w:rsidRPr="00691B3F">
        <w:rPr>
          <w:rFonts w:ascii="Book Antiqua" w:eastAsia="DengXian" w:hAnsi="Book Antiqua" w:cs="Times New Roman"/>
          <w:kern w:val="2"/>
          <w:sz w:val="24"/>
          <w:szCs w:val="24"/>
          <w:lang w:eastAsia="zh-CN"/>
        </w:rPr>
        <w:t>: 17940-17953 [PMID: 9651401 DOI: 10.1074/jbc.273.28.17940]</w:t>
      </w:r>
    </w:p>
    <w:p w14:paraId="45B2D081"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23 </w:t>
      </w:r>
      <w:r w:rsidRPr="00691B3F">
        <w:rPr>
          <w:rFonts w:ascii="Book Antiqua" w:eastAsia="DengXian" w:hAnsi="Book Antiqua" w:cs="Times New Roman"/>
          <w:b/>
          <w:kern w:val="2"/>
          <w:sz w:val="24"/>
          <w:szCs w:val="24"/>
          <w:lang w:eastAsia="zh-CN"/>
        </w:rPr>
        <w:t>Du K</w:t>
      </w:r>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kern w:val="2"/>
          <w:sz w:val="24"/>
          <w:szCs w:val="24"/>
          <w:lang w:eastAsia="zh-CN"/>
        </w:rPr>
        <w:t>Ramachandran</w:t>
      </w:r>
      <w:proofErr w:type="spellEnd"/>
      <w:r w:rsidRPr="00691B3F">
        <w:rPr>
          <w:rFonts w:ascii="Book Antiqua" w:eastAsia="DengXian" w:hAnsi="Book Antiqua" w:cs="Times New Roman"/>
          <w:kern w:val="2"/>
          <w:sz w:val="24"/>
          <w:szCs w:val="24"/>
          <w:lang w:eastAsia="zh-CN"/>
        </w:rPr>
        <w:t xml:space="preserve"> A, </w:t>
      </w:r>
      <w:proofErr w:type="spellStart"/>
      <w:r w:rsidRPr="00691B3F">
        <w:rPr>
          <w:rFonts w:ascii="Book Antiqua" w:eastAsia="DengXian" w:hAnsi="Book Antiqua" w:cs="Times New Roman"/>
          <w:kern w:val="2"/>
          <w:sz w:val="24"/>
          <w:szCs w:val="24"/>
          <w:lang w:eastAsia="zh-CN"/>
        </w:rPr>
        <w:t>Weemhoff</w:t>
      </w:r>
      <w:proofErr w:type="spellEnd"/>
      <w:r w:rsidRPr="00691B3F">
        <w:rPr>
          <w:rFonts w:ascii="Book Antiqua" w:eastAsia="DengXian" w:hAnsi="Book Antiqua" w:cs="Times New Roman"/>
          <w:kern w:val="2"/>
          <w:sz w:val="24"/>
          <w:szCs w:val="24"/>
          <w:lang w:eastAsia="zh-CN"/>
        </w:rPr>
        <w:t xml:space="preserve"> JL, </w:t>
      </w:r>
      <w:proofErr w:type="spellStart"/>
      <w:r w:rsidRPr="00691B3F">
        <w:rPr>
          <w:rFonts w:ascii="Book Antiqua" w:eastAsia="DengXian" w:hAnsi="Book Antiqua" w:cs="Times New Roman"/>
          <w:kern w:val="2"/>
          <w:sz w:val="24"/>
          <w:szCs w:val="24"/>
          <w:lang w:eastAsia="zh-CN"/>
        </w:rPr>
        <w:t>Chavan</w:t>
      </w:r>
      <w:proofErr w:type="spellEnd"/>
      <w:r w:rsidRPr="00691B3F">
        <w:rPr>
          <w:rFonts w:ascii="Book Antiqua" w:eastAsia="DengXian" w:hAnsi="Book Antiqua" w:cs="Times New Roman"/>
          <w:kern w:val="2"/>
          <w:sz w:val="24"/>
          <w:szCs w:val="24"/>
          <w:lang w:eastAsia="zh-CN"/>
        </w:rPr>
        <w:t xml:space="preserve"> H, </w:t>
      </w:r>
      <w:proofErr w:type="spellStart"/>
      <w:r w:rsidRPr="00691B3F">
        <w:rPr>
          <w:rFonts w:ascii="Book Antiqua" w:eastAsia="DengXian" w:hAnsi="Book Antiqua" w:cs="Times New Roman"/>
          <w:kern w:val="2"/>
          <w:sz w:val="24"/>
          <w:szCs w:val="24"/>
          <w:lang w:eastAsia="zh-CN"/>
        </w:rPr>
        <w:t>Xie</w:t>
      </w:r>
      <w:proofErr w:type="spellEnd"/>
      <w:r w:rsidRPr="00691B3F">
        <w:rPr>
          <w:rFonts w:ascii="Book Antiqua" w:eastAsia="DengXian" w:hAnsi="Book Antiqua" w:cs="Times New Roman"/>
          <w:kern w:val="2"/>
          <w:sz w:val="24"/>
          <w:szCs w:val="24"/>
          <w:lang w:eastAsia="zh-CN"/>
        </w:rPr>
        <w:t xml:space="preserve"> Y, Krishnamurthy P, </w:t>
      </w:r>
      <w:proofErr w:type="spellStart"/>
      <w:r w:rsidRPr="00691B3F">
        <w:rPr>
          <w:rFonts w:ascii="Book Antiqua" w:eastAsia="DengXian" w:hAnsi="Book Antiqua" w:cs="Times New Roman"/>
          <w:kern w:val="2"/>
          <w:sz w:val="24"/>
          <w:szCs w:val="24"/>
          <w:lang w:eastAsia="zh-CN"/>
        </w:rPr>
        <w:t>Jaeschke</w:t>
      </w:r>
      <w:proofErr w:type="spellEnd"/>
      <w:r w:rsidRPr="00691B3F">
        <w:rPr>
          <w:rFonts w:ascii="Book Antiqua" w:eastAsia="DengXian" w:hAnsi="Book Antiqua" w:cs="Times New Roman"/>
          <w:kern w:val="2"/>
          <w:sz w:val="24"/>
          <w:szCs w:val="24"/>
          <w:lang w:eastAsia="zh-CN"/>
        </w:rPr>
        <w:t xml:space="preserve"> H. Editor's Highlight: Metformin Protects Against Acetaminophen Hepatotoxicity by Attenuation of Mitochondrial Oxidant Stress and Dysfunction. </w:t>
      </w:r>
      <w:proofErr w:type="spellStart"/>
      <w:r w:rsidRPr="00691B3F">
        <w:rPr>
          <w:rFonts w:ascii="Book Antiqua" w:eastAsia="DengXian" w:hAnsi="Book Antiqua" w:cs="Times New Roman"/>
          <w:i/>
          <w:kern w:val="2"/>
          <w:sz w:val="24"/>
          <w:szCs w:val="24"/>
          <w:lang w:eastAsia="zh-CN"/>
        </w:rPr>
        <w:t>Toxicol</w:t>
      </w:r>
      <w:proofErr w:type="spellEnd"/>
      <w:r w:rsidRPr="00691B3F">
        <w:rPr>
          <w:rFonts w:ascii="Book Antiqua" w:eastAsia="DengXian" w:hAnsi="Book Antiqua" w:cs="Times New Roman"/>
          <w:i/>
          <w:kern w:val="2"/>
          <w:sz w:val="24"/>
          <w:szCs w:val="24"/>
          <w:lang w:eastAsia="zh-CN"/>
        </w:rPr>
        <w:t xml:space="preserve"> </w:t>
      </w:r>
      <w:proofErr w:type="spellStart"/>
      <w:r w:rsidRPr="00691B3F">
        <w:rPr>
          <w:rFonts w:ascii="Book Antiqua" w:eastAsia="DengXian" w:hAnsi="Book Antiqua" w:cs="Times New Roman"/>
          <w:i/>
          <w:kern w:val="2"/>
          <w:sz w:val="24"/>
          <w:szCs w:val="24"/>
          <w:lang w:eastAsia="zh-CN"/>
        </w:rPr>
        <w:t>Sci</w:t>
      </w:r>
      <w:proofErr w:type="spellEnd"/>
      <w:r w:rsidRPr="00691B3F">
        <w:rPr>
          <w:rFonts w:ascii="Book Antiqua" w:eastAsia="DengXian" w:hAnsi="Book Antiqua" w:cs="Times New Roman"/>
          <w:kern w:val="2"/>
          <w:sz w:val="24"/>
          <w:szCs w:val="24"/>
          <w:lang w:eastAsia="zh-CN"/>
        </w:rPr>
        <w:t xml:space="preserve"> 2016; </w:t>
      </w:r>
      <w:r w:rsidRPr="00691B3F">
        <w:rPr>
          <w:rFonts w:ascii="Book Antiqua" w:eastAsia="DengXian" w:hAnsi="Book Antiqua" w:cs="Times New Roman"/>
          <w:b/>
          <w:kern w:val="2"/>
          <w:sz w:val="24"/>
          <w:szCs w:val="24"/>
          <w:lang w:eastAsia="zh-CN"/>
        </w:rPr>
        <w:t>154</w:t>
      </w:r>
      <w:r w:rsidRPr="00691B3F">
        <w:rPr>
          <w:rFonts w:ascii="Book Antiqua" w:eastAsia="DengXian" w:hAnsi="Book Antiqua" w:cs="Times New Roman"/>
          <w:kern w:val="2"/>
          <w:sz w:val="24"/>
          <w:szCs w:val="24"/>
          <w:lang w:eastAsia="zh-CN"/>
        </w:rPr>
        <w:t>: 214-226 [PMID: 27562556 DOI: 10.1093/</w:t>
      </w:r>
      <w:proofErr w:type="spellStart"/>
      <w:r w:rsidRPr="00691B3F">
        <w:rPr>
          <w:rFonts w:ascii="Book Antiqua" w:eastAsia="DengXian" w:hAnsi="Book Antiqua" w:cs="Times New Roman"/>
          <w:kern w:val="2"/>
          <w:sz w:val="24"/>
          <w:szCs w:val="24"/>
          <w:lang w:eastAsia="zh-CN"/>
        </w:rPr>
        <w:t>toxsci</w:t>
      </w:r>
      <w:proofErr w:type="spellEnd"/>
      <w:r w:rsidRPr="00691B3F">
        <w:rPr>
          <w:rFonts w:ascii="Book Antiqua" w:eastAsia="DengXian" w:hAnsi="Book Antiqua" w:cs="Times New Roman"/>
          <w:kern w:val="2"/>
          <w:sz w:val="24"/>
          <w:szCs w:val="24"/>
          <w:lang w:eastAsia="zh-CN"/>
        </w:rPr>
        <w:t>/kfw158]</w:t>
      </w:r>
    </w:p>
    <w:p w14:paraId="77F5C644"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24 </w:t>
      </w:r>
      <w:r w:rsidRPr="00691B3F">
        <w:rPr>
          <w:rFonts w:ascii="Book Antiqua" w:eastAsia="DengXian" w:hAnsi="Book Antiqua" w:cs="Times New Roman"/>
          <w:b/>
          <w:kern w:val="2"/>
          <w:sz w:val="24"/>
          <w:szCs w:val="24"/>
          <w:lang w:eastAsia="zh-CN"/>
        </w:rPr>
        <w:t>Du K</w:t>
      </w:r>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kern w:val="2"/>
          <w:sz w:val="24"/>
          <w:szCs w:val="24"/>
          <w:lang w:eastAsia="zh-CN"/>
        </w:rPr>
        <w:t>Ramachandran</w:t>
      </w:r>
      <w:proofErr w:type="spellEnd"/>
      <w:r w:rsidRPr="00691B3F">
        <w:rPr>
          <w:rFonts w:ascii="Book Antiqua" w:eastAsia="DengXian" w:hAnsi="Book Antiqua" w:cs="Times New Roman"/>
          <w:kern w:val="2"/>
          <w:sz w:val="24"/>
          <w:szCs w:val="24"/>
          <w:lang w:eastAsia="zh-CN"/>
        </w:rPr>
        <w:t xml:space="preserve"> A, </w:t>
      </w:r>
      <w:proofErr w:type="spellStart"/>
      <w:r w:rsidRPr="00691B3F">
        <w:rPr>
          <w:rFonts w:ascii="Book Antiqua" w:eastAsia="DengXian" w:hAnsi="Book Antiqua" w:cs="Times New Roman"/>
          <w:kern w:val="2"/>
          <w:sz w:val="24"/>
          <w:szCs w:val="24"/>
          <w:lang w:eastAsia="zh-CN"/>
        </w:rPr>
        <w:t>Jaeschke</w:t>
      </w:r>
      <w:proofErr w:type="spellEnd"/>
      <w:r w:rsidRPr="00691B3F">
        <w:rPr>
          <w:rFonts w:ascii="Book Antiqua" w:eastAsia="DengXian" w:hAnsi="Book Antiqua" w:cs="Times New Roman"/>
          <w:kern w:val="2"/>
          <w:sz w:val="24"/>
          <w:szCs w:val="24"/>
          <w:lang w:eastAsia="zh-CN"/>
        </w:rPr>
        <w:t xml:space="preserve"> H. Oxidative stress during acetaminophen hepatotoxicity: Sources, pathophysiological role and therapeutic potential. </w:t>
      </w:r>
      <w:r w:rsidRPr="00691B3F">
        <w:rPr>
          <w:rFonts w:ascii="Book Antiqua" w:eastAsia="DengXian" w:hAnsi="Book Antiqua" w:cs="Times New Roman"/>
          <w:i/>
          <w:kern w:val="2"/>
          <w:sz w:val="24"/>
          <w:szCs w:val="24"/>
          <w:lang w:eastAsia="zh-CN"/>
        </w:rPr>
        <w:t xml:space="preserve">Redox </w:t>
      </w:r>
      <w:proofErr w:type="spellStart"/>
      <w:r w:rsidRPr="00691B3F">
        <w:rPr>
          <w:rFonts w:ascii="Book Antiqua" w:eastAsia="DengXian" w:hAnsi="Book Antiqua" w:cs="Times New Roman"/>
          <w:i/>
          <w:kern w:val="2"/>
          <w:sz w:val="24"/>
          <w:szCs w:val="24"/>
          <w:lang w:eastAsia="zh-CN"/>
        </w:rPr>
        <w:t>Biol</w:t>
      </w:r>
      <w:proofErr w:type="spellEnd"/>
      <w:r w:rsidRPr="00691B3F">
        <w:rPr>
          <w:rFonts w:ascii="Book Antiqua" w:eastAsia="DengXian" w:hAnsi="Book Antiqua" w:cs="Times New Roman"/>
          <w:kern w:val="2"/>
          <w:sz w:val="24"/>
          <w:szCs w:val="24"/>
          <w:lang w:eastAsia="zh-CN"/>
        </w:rPr>
        <w:t xml:space="preserve"> 2016; </w:t>
      </w:r>
      <w:r w:rsidRPr="00691B3F">
        <w:rPr>
          <w:rFonts w:ascii="Book Antiqua" w:eastAsia="DengXian" w:hAnsi="Book Antiqua" w:cs="Times New Roman"/>
          <w:b/>
          <w:kern w:val="2"/>
          <w:sz w:val="24"/>
          <w:szCs w:val="24"/>
          <w:lang w:eastAsia="zh-CN"/>
        </w:rPr>
        <w:t>10</w:t>
      </w:r>
      <w:r w:rsidRPr="00691B3F">
        <w:rPr>
          <w:rFonts w:ascii="Book Antiqua" w:eastAsia="DengXian" w:hAnsi="Book Antiqua" w:cs="Times New Roman"/>
          <w:kern w:val="2"/>
          <w:sz w:val="24"/>
          <w:szCs w:val="24"/>
          <w:lang w:eastAsia="zh-CN"/>
        </w:rPr>
        <w:t>: 148-156 [PMID: 27744120 DOI: 10.1016/j.redox.2016.10.001]</w:t>
      </w:r>
    </w:p>
    <w:p w14:paraId="2AC42401"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25 </w:t>
      </w:r>
      <w:proofErr w:type="spellStart"/>
      <w:r w:rsidRPr="00691B3F">
        <w:rPr>
          <w:rFonts w:ascii="Book Antiqua" w:eastAsia="DengXian" w:hAnsi="Book Antiqua" w:cs="Times New Roman"/>
          <w:b/>
          <w:kern w:val="2"/>
          <w:sz w:val="24"/>
          <w:szCs w:val="24"/>
          <w:lang w:eastAsia="zh-CN"/>
        </w:rPr>
        <w:t>Ameer</w:t>
      </w:r>
      <w:proofErr w:type="spellEnd"/>
      <w:r w:rsidRPr="00691B3F">
        <w:rPr>
          <w:rFonts w:ascii="Book Antiqua" w:eastAsia="DengXian" w:hAnsi="Book Antiqua" w:cs="Times New Roman"/>
          <w:b/>
          <w:kern w:val="2"/>
          <w:sz w:val="24"/>
          <w:szCs w:val="24"/>
          <w:lang w:eastAsia="zh-CN"/>
        </w:rPr>
        <w:t xml:space="preserve"> B</w:t>
      </w:r>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kern w:val="2"/>
          <w:sz w:val="24"/>
          <w:szCs w:val="24"/>
          <w:lang w:eastAsia="zh-CN"/>
        </w:rPr>
        <w:t>Divoll</w:t>
      </w:r>
      <w:proofErr w:type="spellEnd"/>
      <w:r w:rsidRPr="00691B3F">
        <w:rPr>
          <w:rFonts w:ascii="Book Antiqua" w:eastAsia="DengXian" w:hAnsi="Book Antiqua" w:cs="Times New Roman"/>
          <w:kern w:val="2"/>
          <w:sz w:val="24"/>
          <w:szCs w:val="24"/>
          <w:lang w:eastAsia="zh-CN"/>
        </w:rPr>
        <w:t xml:space="preserve"> M, Abernethy DR, Greenblatt DJ, </w:t>
      </w:r>
      <w:proofErr w:type="spellStart"/>
      <w:r w:rsidRPr="00691B3F">
        <w:rPr>
          <w:rFonts w:ascii="Book Antiqua" w:eastAsia="DengXian" w:hAnsi="Book Antiqua" w:cs="Times New Roman"/>
          <w:kern w:val="2"/>
          <w:sz w:val="24"/>
          <w:szCs w:val="24"/>
          <w:lang w:eastAsia="zh-CN"/>
        </w:rPr>
        <w:t>Shargel</w:t>
      </w:r>
      <w:proofErr w:type="spellEnd"/>
      <w:r w:rsidRPr="00691B3F">
        <w:rPr>
          <w:rFonts w:ascii="Book Antiqua" w:eastAsia="DengXian" w:hAnsi="Book Antiqua" w:cs="Times New Roman"/>
          <w:kern w:val="2"/>
          <w:sz w:val="24"/>
          <w:szCs w:val="24"/>
          <w:lang w:eastAsia="zh-CN"/>
        </w:rPr>
        <w:t xml:space="preserve"> L. Absolute and relative bioavailability of oral acetaminophen preparations. </w:t>
      </w:r>
      <w:r w:rsidRPr="00691B3F">
        <w:rPr>
          <w:rFonts w:ascii="Book Antiqua" w:eastAsia="DengXian" w:hAnsi="Book Antiqua" w:cs="Times New Roman"/>
          <w:i/>
          <w:kern w:val="2"/>
          <w:sz w:val="24"/>
          <w:szCs w:val="24"/>
          <w:lang w:eastAsia="zh-CN"/>
        </w:rPr>
        <w:t xml:space="preserve">J Pharm </w:t>
      </w:r>
      <w:proofErr w:type="spellStart"/>
      <w:r w:rsidRPr="00691B3F">
        <w:rPr>
          <w:rFonts w:ascii="Book Antiqua" w:eastAsia="DengXian" w:hAnsi="Book Antiqua" w:cs="Times New Roman"/>
          <w:i/>
          <w:kern w:val="2"/>
          <w:sz w:val="24"/>
          <w:szCs w:val="24"/>
          <w:lang w:eastAsia="zh-CN"/>
        </w:rPr>
        <w:t>Sci</w:t>
      </w:r>
      <w:proofErr w:type="spellEnd"/>
      <w:r w:rsidRPr="00691B3F">
        <w:rPr>
          <w:rFonts w:ascii="Book Antiqua" w:eastAsia="DengXian" w:hAnsi="Book Antiqua" w:cs="Times New Roman"/>
          <w:kern w:val="2"/>
          <w:sz w:val="24"/>
          <w:szCs w:val="24"/>
          <w:lang w:eastAsia="zh-CN"/>
        </w:rPr>
        <w:t xml:space="preserve"> 1983; </w:t>
      </w:r>
      <w:r w:rsidRPr="00691B3F">
        <w:rPr>
          <w:rFonts w:ascii="Book Antiqua" w:eastAsia="DengXian" w:hAnsi="Book Antiqua" w:cs="Times New Roman"/>
          <w:b/>
          <w:kern w:val="2"/>
          <w:sz w:val="24"/>
          <w:szCs w:val="24"/>
          <w:lang w:eastAsia="zh-CN"/>
        </w:rPr>
        <w:t>72</w:t>
      </w:r>
      <w:r w:rsidRPr="00691B3F">
        <w:rPr>
          <w:rFonts w:ascii="Book Antiqua" w:eastAsia="DengXian" w:hAnsi="Book Antiqua" w:cs="Times New Roman"/>
          <w:kern w:val="2"/>
          <w:sz w:val="24"/>
          <w:szCs w:val="24"/>
          <w:lang w:eastAsia="zh-CN"/>
        </w:rPr>
        <w:t>: 955-958 [PMID: 6688635 DOI: 10.1002/jps.2600720832]</w:t>
      </w:r>
    </w:p>
    <w:p w14:paraId="41A5F33C" w14:textId="71602051"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proofErr w:type="gramStart"/>
      <w:r w:rsidRPr="00691B3F">
        <w:rPr>
          <w:rFonts w:ascii="Book Antiqua" w:eastAsia="DengXian" w:hAnsi="Book Antiqua" w:cs="Times New Roman"/>
          <w:kern w:val="2"/>
          <w:sz w:val="24"/>
          <w:szCs w:val="24"/>
          <w:lang w:eastAsia="zh-CN"/>
        </w:rPr>
        <w:t>26 Tylenol (acetaminophen) professional product information.</w:t>
      </w:r>
      <w:proofErr w:type="gramEnd"/>
      <w:r w:rsidRPr="00691B3F">
        <w:rPr>
          <w:rFonts w:ascii="Book Antiqua" w:eastAsia="DengXian" w:hAnsi="Book Antiqua" w:cs="Times New Roman"/>
          <w:kern w:val="2"/>
          <w:sz w:val="24"/>
          <w:szCs w:val="24"/>
          <w:lang w:eastAsia="zh-CN"/>
        </w:rPr>
        <w:t xml:space="preserve"> In: McNeil Consumer Healthcare. Fort Washington: PA, 2010</w:t>
      </w:r>
    </w:p>
    <w:p w14:paraId="16711978"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27 </w:t>
      </w:r>
      <w:proofErr w:type="spellStart"/>
      <w:r w:rsidRPr="00691B3F">
        <w:rPr>
          <w:rFonts w:ascii="Book Antiqua" w:eastAsia="DengXian" w:hAnsi="Book Antiqua" w:cs="Times New Roman"/>
          <w:b/>
          <w:kern w:val="2"/>
          <w:sz w:val="24"/>
          <w:szCs w:val="24"/>
          <w:lang w:eastAsia="zh-CN"/>
        </w:rPr>
        <w:t>Hodgman</w:t>
      </w:r>
      <w:proofErr w:type="spellEnd"/>
      <w:r w:rsidRPr="00691B3F">
        <w:rPr>
          <w:rFonts w:ascii="Book Antiqua" w:eastAsia="DengXian" w:hAnsi="Book Antiqua" w:cs="Times New Roman"/>
          <w:b/>
          <w:kern w:val="2"/>
          <w:sz w:val="24"/>
          <w:szCs w:val="24"/>
          <w:lang w:eastAsia="zh-CN"/>
        </w:rPr>
        <w:t xml:space="preserve"> MJ</w:t>
      </w:r>
      <w:r w:rsidRPr="00691B3F">
        <w:rPr>
          <w:rFonts w:ascii="Book Antiqua" w:eastAsia="DengXian" w:hAnsi="Book Antiqua" w:cs="Times New Roman"/>
          <w:kern w:val="2"/>
          <w:sz w:val="24"/>
          <w:szCs w:val="24"/>
          <w:lang w:eastAsia="zh-CN"/>
        </w:rPr>
        <w:t xml:space="preserve">, Garrard AR. </w:t>
      </w:r>
      <w:proofErr w:type="gramStart"/>
      <w:r w:rsidRPr="00691B3F">
        <w:rPr>
          <w:rFonts w:ascii="Book Antiqua" w:eastAsia="DengXian" w:hAnsi="Book Antiqua" w:cs="Times New Roman"/>
          <w:kern w:val="2"/>
          <w:sz w:val="24"/>
          <w:szCs w:val="24"/>
          <w:lang w:eastAsia="zh-CN"/>
        </w:rPr>
        <w:t>A review of acetaminophen poisoning.</w:t>
      </w:r>
      <w:proofErr w:type="gramEnd"/>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i/>
          <w:kern w:val="2"/>
          <w:sz w:val="24"/>
          <w:szCs w:val="24"/>
          <w:lang w:eastAsia="zh-CN"/>
        </w:rPr>
        <w:t>Crit</w:t>
      </w:r>
      <w:proofErr w:type="spellEnd"/>
      <w:r w:rsidRPr="00691B3F">
        <w:rPr>
          <w:rFonts w:ascii="Book Antiqua" w:eastAsia="DengXian" w:hAnsi="Book Antiqua" w:cs="Times New Roman"/>
          <w:i/>
          <w:kern w:val="2"/>
          <w:sz w:val="24"/>
          <w:szCs w:val="24"/>
          <w:lang w:eastAsia="zh-CN"/>
        </w:rPr>
        <w:t xml:space="preserve"> Care </w:t>
      </w:r>
      <w:proofErr w:type="spellStart"/>
      <w:r w:rsidRPr="00691B3F">
        <w:rPr>
          <w:rFonts w:ascii="Book Antiqua" w:eastAsia="DengXian" w:hAnsi="Book Antiqua" w:cs="Times New Roman"/>
          <w:i/>
          <w:kern w:val="2"/>
          <w:sz w:val="24"/>
          <w:szCs w:val="24"/>
          <w:lang w:eastAsia="zh-CN"/>
        </w:rPr>
        <w:t>Clin</w:t>
      </w:r>
      <w:proofErr w:type="spellEnd"/>
      <w:r w:rsidRPr="00691B3F">
        <w:rPr>
          <w:rFonts w:ascii="Book Antiqua" w:eastAsia="DengXian" w:hAnsi="Book Antiqua" w:cs="Times New Roman"/>
          <w:kern w:val="2"/>
          <w:sz w:val="24"/>
          <w:szCs w:val="24"/>
          <w:lang w:eastAsia="zh-CN"/>
        </w:rPr>
        <w:t xml:space="preserve"> 2012; </w:t>
      </w:r>
      <w:r w:rsidRPr="00691B3F">
        <w:rPr>
          <w:rFonts w:ascii="Book Antiqua" w:eastAsia="DengXian" w:hAnsi="Book Antiqua" w:cs="Times New Roman"/>
          <w:b/>
          <w:kern w:val="2"/>
          <w:sz w:val="24"/>
          <w:szCs w:val="24"/>
          <w:lang w:eastAsia="zh-CN"/>
        </w:rPr>
        <w:t>28</w:t>
      </w:r>
      <w:r w:rsidRPr="00691B3F">
        <w:rPr>
          <w:rFonts w:ascii="Book Antiqua" w:eastAsia="DengXian" w:hAnsi="Book Antiqua" w:cs="Times New Roman"/>
          <w:kern w:val="2"/>
          <w:sz w:val="24"/>
          <w:szCs w:val="24"/>
          <w:lang w:eastAsia="zh-CN"/>
        </w:rPr>
        <w:t>: 499-516 [PMID: 22998987 DOI: 10.1016/j.ccc.2012.07.006]</w:t>
      </w:r>
    </w:p>
    <w:p w14:paraId="0BEACDD0"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proofErr w:type="gramStart"/>
      <w:r w:rsidRPr="00691B3F">
        <w:rPr>
          <w:rFonts w:ascii="Book Antiqua" w:eastAsia="DengXian" w:hAnsi="Book Antiqua" w:cs="Times New Roman"/>
          <w:kern w:val="2"/>
          <w:sz w:val="24"/>
          <w:szCs w:val="24"/>
          <w:lang w:eastAsia="zh-CN"/>
        </w:rPr>
        <w:t xml:space="preserve">28 </w:t>
      </w:r>
      <w:proofErr w:type="spellStart"/>
      <w:r w:rsidRPr="00691B3F">
        <w:rPr>
          <w:rFonts w:ascii="Book Antiqua" w:eastAsia="DengXian" w:hAnsi="Book Antiqua" w:cs="Times New Roman"/>
          <w:b/>
          <w:kern w:val="2"/>
          <w:sz w:val="24"/>
          <w:szCs w:val="24"/>
          <w:lang w:eastAsia="zh-CN"/>
        </w:rPr>
        <w:t>Ramachandran</w:t>
      </w:r>
      <w:proofErr w:type="spellEnd"/>
      <w:r w:rsidRPr="00691B3F">
        <w:rPr>
          <w:rFonts w:ascii="Book Antiqua" w:eastAsia="DengXian" w:hAnsi="Book Antiqua" w:cs="Times New Roman"/>
          <w:b/>
          <w:kern w:val="2"/>
          <w:sz w:val="24"/>
          <w:szCs w:val="24"/>
          <w:lang w:eastAsia="zh-CN"/>
        </w:rPr>
        <w:t xml:space="preserve"> A</w:t>
      </w:r>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kern w:val="2"/>
          <w:sz w:val="24"/>
          <w:szCs w:val="24"/>
          <w:lang w:eastAsia="zh-CN"/>
        </w:rPr>
        <w:t>Jaeschke</w:t>
      </w:r>
      <w:proofErr w:type="spellEnd"/>
      <w:r w:rsidRPr="00691B3F">
        <w:rPr>
          <w:rFonts w:ascii="Book Antiqua" w:eastAsia="DengXian" w:hAnsi="Book Antiqua" w:cs="Times New Roman"/>
          <w:kern w:val="2"/>
          <w:sz w:val="24"/>
          <w:szCs w:val="24"/>
          <w:lang w:eastAsia="zh-CN"/>
        </w:rPr>
        <w:t xml:space="preserve"> H. Oxidative Stress and Acute Hepatic Injury.</w:t>
      </w:r>
      <w:proofErr w:type="gramEnd"/>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i/>
          <w:kern w:val="2"/>
          <w:sz w:val="24"/>
          <w:szCs w:val="24"/>
          <w:lang w:eastAsia="zh-CN"/>
        </w:rPr>
        <w:t>Curr</w:t>
      </w:r>
      <w:proofErr w:type="spellEnd"/>
      <w:r w:rsidRPr="00691B3F">
        <w:rPr>
          <w:rFonts w:ascii="Book Antiqua" w:eastAsia="DengXian" w:hAnsi="Book Antiqua" w:cs="Times New Roman"/>
          <w:i/>
          <w:kern w:val="2"/>
          <w:sz w:val="24"/>
          <w:szCs w:val="24"/>
          <w:lang w:eastAsia="zh-CN"/>
        </w:rPr>
        <w:t xml:space="preserve"> </w:t>
      </w:r>
      <w:proofErr w:type="spellStart"/>
      <w:r w:rsidRPr="00691B3F">
        <w:rPr>
          <w:rFonts w:ascii="Book Antiqua" w:eastAsia="DengXian" w:hAnsi="Book Antiqua" w:cs="Times New Roman"/>
          <w:i/>
          <w:kern w:val="2"/>
          <w:sz w:val="24"/>
          <w:szCs w:val="24"/>
          <w:lang w:eastAsia="zh-CN"/>
        </w:rPr>
        <w:t>Opin</w:t>
      </w:r>
      <w:proofErr w:type="spellEnd"/>
      <w:r w:rsidRPr="00691B3F">
        <w:rPr>
          <w:rFonts w:ascii="Book Antiqua" w:eastAsia="DengXian" w:hAnsi="Book Antiqua" w:cs="Times New Roman"/>
          <w:i/>
          <w:kern w:val="2"/>
          <w:sz w:val="24"/>
          <w:szCs w:val="24"/>
          <w:lang w:eastAsia="zh-CN"/>
        </w:rPr>
        <w:t xml:space="preserve"> </w:t>
      </w:r>
      <w:proofErr w:type="spellStart"/>
      <w:r w:rsidRPr="00691B3F">
        <w:rPr>
          <w:rFonts w:ascii="Book Antiqua" w:eastAsia="DengXian" w:hAnsi="Book Antiqua" w:cs="Times New Roman"/>
          <w:i/>
          <w:kern w:val="2"/>
          <w:sz w:val="24"/>
          <w:szCs w:val="24"/>
          <w:lang w:eastAsia="zh-CN"/>
        </w:rPr>
        <w:lastRenderedPageBreak/>
        <w:t>Toxicol</w:t>
      </w:r>
      <w:proofErr w:type="spellEnd"/>
      <w:r w:rsidRPr="00691B3F">
        <w:rPr>
          <w:rFonts w:ascii="Book Antiqua" w:eastAsia="DengXian" w:hAnsi="Book Antiqua" w:cs="Times New Roman"/>
          <w:kern w:val="2"/>
          <w:sz w:val="24"/>
          <w:szCs w:val="24"/>
          <w:lang w:eastAsia="zh-CN"/>
        </w:rPr>
        <w:t xml:space="preserve"> 2018; </w:t>
      </w:r>
      <w:r w:rsidRPr="00691B3F">
        <w:rPr>
          <w:rFonts w:ascii="Book Antiqua" w:eastAsia="DengXian" w:hAnsi="Book Antiqua" w:cs="Times New Roman"/>
          <w:b/>
          <w:kern w:val="2"/>
          <w:sz w:val="24"/>
          <w:szCs w:val="24"/>
          <w:lang w:eastAsia="zh-CN"/>
        </w:rPr>
        <w:t>7</w:t>
      </w:r>
      <w:r w:rsidRPr="00691B3F">
        <w:rPr>
          <w:rFonts w:ascii="Book Antiqua" w:eastAsia="DengXian" w:hAnsi="Book Antiqua" w:cs="Times New Roman"/>
          <w:kern w:val="2"/>
          <w:sz w:val="24"/>
          <w:szCs w:val="24"/>
          <w:lang w:eastAsia="zh-CN"/>
        </w:rPr>
        <w:t>: 17-21 [PMID: 29399645 DOI: 10.1016/j.cotox.2017.10.011]</w:t>
      </w:r>
    </w:p>
    <w:p w14:paraId="49E66766"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proofErr w:type="gramStart"/>
      <w:r w:rsidRPr="00691B3F">
        <w:rPr>
          <w:rFonts w:ascii="Book Antiqua" w:eastAsia="DengXian" w:hAnsi="Book Antiqua" w:cs="Times New Roman"/>
          <w:kern w:val="2"/>
          <w:sz w:val="24"/>
          <w:szCs w:val="24"/>
          <w:lang w:eastAsia="zh-CN"/>
        </w:rPr>
        <w:t xml:space="preserve">29 </w:t>
      </w:r>
      <w:proofErr w:type="spellStart"/>
      <w:r w:rsidRPr="00691B3F">
        <w:rPr>
          <w:rFonts w:ascii="Book Antiqua" w:eastAsia="DengXian" w:hAnsi="Book Antiqua" w:cs="Times New Roman"/>
          <w:b/>
          <w:kern w:val="2"/>
          <w:sz w:val="24"/>
          <w:szCs w:val="24"/>
          <w:lang w:eastAsia="zh-CN"/>
        </w:rPr>
        <w:t>Tirmenstein</w:t>
      </w:r>
      <w:proofErr w:type="spellEnd"/>
      <w:r w:rsidRPr="00691B3F">
        <w:rPr>
          <w:rFonts w:ascii="Book Antiqua" w:eastAsia="DengXian" w:hAnsi="Book Antiqua" w:cs="Times New Roman"/>
          <w:b/>
          <w:kern w:val="2"/>
          <w:sz w:val="24"/>
          <w:szCs w:val="24"/>
          <w:lang w:eastAsia="zh-CN"/>
        </w:rPr>
        <w:t xml:space="preserve"> MA</w:t>
      </w:r>
      <w:r w:rsidRPr="00691B3F">
        <w:rPr>
          <w:rFonts w:ascii="Book Antiqua" w:eastAsia="DengXian" w:hAnsi="Book Antiqua" w:cs="Times New Roman"/>
          <w:kern w:val="2"/>
          <w:sz w:val="24"/>
          <w:szCs w:val="24"/>
          <w:lang w:eastAsia="zh-CN"/>
        </w:rPr>
        <w:t xml:space="preserve">, Nelson SD. Acetaminophen-induced oxidation of protein </w:t>
      </w:r>
      <w:proofErr w:type="spellStart"/>
      <w:r w:rsidRPr="00691B3F">
        <w:rPr>
          <w:rFonts w:ascii="Book Antiqua" w:eastAsia="DengXian" w:hAnsi="Book Antiqua" w:cs="Times New Roman"/>
          <w:kern w:val="2"/>
          <w:sz w:val="24"/>
          <w:szCs w:val="24"/>
          <w:lang w:eastAsia="zh-CN"/>
        </w:rPr>
        <w:t>thiols</w:t>
      </w:r>
      <w:proofErr w:type="spellEnd"/>
      <w:r w:rsidRPr="00691B3F">
        <w:rPr>
          <w:rFonts w:ascii="Book Antiqua" w:eastAsia="DengXian" w:hAnsi="Book Antiqua" w:cs="Times New Roman"/>
          <w:kern w:val="2"/>
          <w:sz w:val="24"/>
          <w:szCs w:val="24"/>
          <w:lang w:eastAsia="zh-CN"/>
        </w:rPr>
        <w:t>.</w:t>
      </w:r>
      <w:proofErr w:type="gramEnd"/>
      <w:r w:rsidRPr="00691B3F">
        <w:rPr>
          <w:rFonts w:ascii="Book Antiqua" w:eastAsia="DengXian" w:hAnsi="Book Antiqua" w:cs="Times New Roman"/>
          <w:kern w:val="2"/>
          <w:sz w:val="24"/>
          <w:szCs w:val="24"/>
          <w:lang w:eastAsia="zh-CN"/>
        </w:rPr>
        <w:t xml:space="preserve"> </w:t>
      </w:r>
      <w:proofErr w:type="gramStart"/>
      <w:r w:rsidRPr="00691B3F">
        <w:rPr>
          <w:rFonts w:ascii="Book Antiqua" w:eastAsia="DengXian" w:hAnsi="Book Antiqua" w:cs="Times New Roman"/>
          <w:kern w:val="2"/>
          <w:sz w:val="24"/>
          <w:szCs w:val="24"/>
          <w:lang w:eastAsia="zh-CN"/>
        </w:rPr>
        <w:t xml:space="preserve">Contribution of impaired </w:t>
      </w:r>
      <w:proofErr w:type="spellStart"/>
      <w:r w:rsidRPr="00691B3F">
        <w:rPr>
          <w:rFonts w:ascii="Book Antiqua" w:eastAsia="DengXian" w:hAnsi="Book Antiqua" w:cs="Times New Roman"/>
          <w:kern w:val="2"/>
          <w:sz w:val="24"/>
          <w:szCs w:val="24"/>
          <w:lang w:eastAsia="zh-CN"/>
        </w:rPr>
        <w:t>thiol</w:t>
      </w:r>
      <w:proofErr w:type="spellEnd"/>
      <w:r w:rsidRPr="00691B3F">
        <w:rPr>
          <w:rFonts w:ascii="Book Antiqua" w:eastAsia="DengXian" w:hAnsi="Book Antiqua" w:cs="Times New Roman"/>
          <w:kern w:val="2"/>
          <w:sz w:val="24"/>
          <w:szCs w:val="24"/>
          <w:lang w:eastAsia="zh-CN"/>
        </w:rPr>
        <w:t>-metabolizing enzymes and the breakdown of adenine nucleotides.</w:t>
      </w:r>
      <w:proofErr w:type="gramEnd"/>
      <w:r w:rsidRPr="00691B3F">
        <w:rPr>
          <w:rFonts w:ascii="Book Antiqua" w:eastAsia="DengXian" w:hAnsi="Book Antiqua" w:cs="Times New Roman"/>
          <w:kern w:val="2"/>
          <w:sz w:val="24"/>
          <w:szCs w:val="24"/>
          <w:lang w:eastAsia="zh-CN"/>
        </w:rPr>
        <w:t xml:space="preserve"> </w:t>
      </w:r>
      <w:r w:rsidRPr="00691B3F">
        <w:rPr>
          <w:rFonts w:ascii="Book Antiqua" w:eastAsia="DengXian" w:hAnsi="Book Antiqua" w:cs="Times New Roman"/>
          <w:i/>
          <w:kern w:val="2"/>
          <w:sz w:val="24"/>
          <w:szCs w:val="24"/>
          <w:lang w:eastAsia="zh-CN"/>
        </w:rPr>
        <w:t xml:space="preserve">J </w:t>
      </w:r>
      <w:proofErr w:type="spellStart"/>
      <w:r w:rsidRPr="00691B3F">
        <w:rPr>
          <w:rFonts w:ascii="Book Antiqua" w:eastAsia="DengXian" w:hAnsi="Book Antiqua" w:cs="Times New Roman"/>
          <w:i/>
          <w:kern w:val="2"/>
          <w:sz w:val="24"/>
          <w:szCs w:val="24"/>
          <w:lang w:eastAsia="zh-CN"/>
        </w:rPr>
        <w:t>Biol</w:t>
      </w:r>
      <w:proofErr w:type="spellEnd"/>
      <w:r w:rsidRPr="00691B3F">
        <w:rPr>
          <w:rFonts w:ascii="Book Antiqua" w:eastAsia="DengXian" w:hAnsi="Book Antiqua" w:cs="Times New Roman"/>
          <w:i/>
          <w:kern w:val="2"/>
          <w:sz w:val="24"/>
          <w:szCs w:val="24"/>
          <w:lang w:eastAsia="zh-CN"/>
        </w:rPr>
        <w:t xml:space="preserve"> </w:t>
      </w:r>
      <w:proofErr w:type="spellStart"/>
      <w:r w:rsidRPr="00691B3F">
        <w:rPr>
          <w:rFonts w:ascii="Book Antiqua" w:eastAsia="DengXian" w:hAnsi="Book Antiqua" w:cs="Times New Roman"/>
          <w:i/>
          <w:kern w:val="2"/>
          <w:sz w:val="24"/>
          <w:szCs w:val="24"/>
          <w:lang w:eastAsia="zh-CN"/>
        </w:rPr>
        <w:t>Chem</w:t>
      </w:r>
      <w:proofErr w:type="spellEnd"/>
      <w:r w:rsidRPr="00691B3F">
        <w:rPr>
          <w:rFonts w:ascii="Book Antiqua" w:eastAsia="DengXian" w:hAnsi="Book Antiqua" w:cs="Times New Roman"/>
          <w:kern w:val="2"/>
          <w:sz w:val="24"/>
          <w:szCs w:val="24"/>
          <w:lang w:eastAsia="zh-CN"/>
        </w:rPr>
        <w:t xml:space="preserve"> 1990; </w:t>
      </w:r>
      <w:r w:rsidRPr="00691B3F">
        <w:rPr>
          <w:rFonts w:ascii="Book Antiqua" w:eastAsia="DengXian" w:hAnsi="Book Antiqua" w:cs="Times New Roman"/>
          <w:b/>
          <w:kern w:val="2"/>
          <w:sz w:val="24"/>
          <w:szCs w:val="24"/>
          <w:lang w:eastAsia="zh-CN"/>
        </w:rPr>
        <w:t>265</w:t>
      </w:r>
      <w:r w:rsidRPr="00691B3F">
        <w:rPr>
          <w:rFonts w:ascii="Book Antiqua" w:eastAsia="DengXian" w:hAnsi="Book Antiqua" w:cs="Times New Roman"/>
          <w:kern w:val="2"/>
          <w:sz w:val="24"/>
          <w:szCs w:val="24"/>
          <w:lang w:eastAsia="zh-CN"/>
        </w:rPr>
        <w:t>: 3059-3065 [PMID: 2303440]</w:t>
      </w:r>
    </w:p>
    <w:p w14:paraId="27198ECB"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proofErr w:type="gramStart"/>
      <w:r w:rsidRPr="00691B3F">
        <w:rPr>
          <w:rFonts w:ascii="Book Antiqua" w:eastAsia="DengXian" w:hAnsi="Book Antiqua" w:cs="Times New Roman"/>
          <w:kern w:val="2"/>
          <w:sz w:val="24"/>
          <w:szCs w:val="24"/>
          <w:lang w:eastAsia="zh-CN"/>
        </w:rPr>
        <w:t xml:space="preserve">30 </w:t>
      </w:r>
      <w:proofErr w:type="spellStart"/>
      <w:r w:rsidRPr="00691B3F">
        <w:rPr>
          <w:rFonts w:ascii="Book Antiqua" w:eastAsia="DengXian" w:hAnsi="Book Antiqua" w:cs="Times New Roman"/>
          <w:b/>
          <w:kern w:val="2"/>
          <w:sz w:val="24"/>
          <w:szCs w:val="24"/>
          <w:lang w:eastAsia="zh-CN"/>
        </w:rPr>
        <w:t>Jaeschke</w:t>
      </w:r>
      <w:proofErr w:type="spellEnd"/>
      <w:r w:rsidRPr="00691B3F">
        <w:rPr>
          <w:rFonts w:ascii="Book Antiqua" w:eastAsia="DengXian" w:hAnsi="Book Antiqua" w:cs="Times New Roman"/>
          <w:b/>
          <w:kern w:val="2"/>
          <w:sz w:val="24"/>
          <w:szCs w:val="24"/>
          <w:lang w:eastAsia="zh-CN"/>
        </w:rPr>
        <w:t xml:space="preserve"> H</w:t>
      </w:r>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kern w:val="2"/>
          <w:sz w:val="24"/>
          <w:szCs w:val="24"/>
          <w:lang w:eastAsia="zh-CN"/>
        </w:rPr>
        <w:t>Bajt</w:t>
      </w:r>
      <w:proofErr w:type="spellEnd"/>
      <w:r w:rsidRPr="00691B3F">
        <w:rPr>
          <w:rFonts w:ascii="Book Antiqua" w:eastAsia="DengXian" w:hAnsi="Book Antiqua" w:cs="Times New Roman"/>
          <w:kern w:val="2"/>
          <w:sz w:val="24"/>
          <w:szCs w:val="24"/>
          <w:lang w:eastAsia="zh-CN"/>
        </w:rPr>
        <w:t xml:space="preserve"> ML. Intracellular signaling mechanisms of acetaminophen-induced liver cell death.</w:t>
      </w:r>
      <w:proofErr w:type="gramEnd"/>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i/>
          <w:kern w:val="2"/>
          <w:sz w:val="24"/>
          <w:szCs w:val="24"/>
          <w:lang w:eastAsia="zh-CN"/>
        </w:rPr>
        <w:t>Toxicol</w:t>
      </w:r>
      <w:proofErr w:type="spellEnd"/>
      <w:r w:rsidRPr="00691B3F">
        <w:rPr>
          <w:rFonts w:ascii="Book Antiqua" w:eastAsia="DengXian" w:hAnsi="Book Antiqua" w:cs="Times New Roman"/>
          <w:i/>
          <w:kern w:val="2"/>
          <w:sz w:val="24"/>
          <w:szCs w:val="24"/>
          <w:lang w:eastAsia="zh-CN"/>
        </w:rPr>
        <w:t xml:space="preserve"> </w:t>
      </w:r>
      <w:proofErr w:type="spellStart"/>
      <w:r w:rsidRPr="00691B3F">
        <w:rPr>
          <w:rFonts w:ascii="Book Antiqua" w:eastAsia="DengXian" w:hAnsi="Book Antiqua" w:cs="Times New Roman"/>
          <w:i/>
          <w:kern w:val="2"/>
          <w:sz w:val="24"/>
          <w:szCs w:val="24"/>
          <w:lang w:eastAsia="zh-CN"/>
        </w:rPr>
        <w:t>Sci</w:t>
      </w:r>
      <w:proofErr w:type="spellEnd"/>
      <w:r w:rsidRPr="00691B3F">
        <w:rPr>
          <w:rFonts w:ascii="Book Antiqua" w:eastAsia="DengXian" w:hAnsi="Book Antiqua" w:cs="Times New Roman"/>
          <w:kern w:val="2"/>
          <w:sz w:val="24"/>
          <w:szCs w:val="24"/>
          <w:lang w:eastAsia="zh-CN"/>
        </w:rPr>
        <w:t xml:space="preserve"> 2006; </w:t>
      </w:r>
      <w:r w:rsidRPr="00691B3F">
        <w:rPr>
          <w:rFonts w:ascii="Book Antiqua" w:eastAsia="DengXian" w:hAnsi="Book Antiqua" w:cs="Times New Roman"/>
          <w:b/>
          <w:kern w:val="2"/>
          <w:sz w:val="24"/>
          <w:szCs w:val="24"/>
          <w:lang w:eastAsia="zh-CN"/>
        </w:rPr>
        <w:t>89</w:t>
      </w:r>
      <w:r w:rsidRPr="00691B3F">
        <w:rPr>
          <w:rFonts w:ascii="Book Antiqua" w:eastAsia="DengXian" w:hAnsi="Book Antiqua" w:cs="Times New Roman"/>
          <w:kern w:val="2"/>
          <w:sz w:val="24"/>
          <w:szCs w:val="24"/>
          <w:lang w:eastAsia="zh-CN"/>
        </w:rPr>
        <w:t>: 31-41 [PMID: 16177235 DOI: 10.1093/</w:t>
      </w:r>
      <w:proofErr w:type="spellStart"/>
      <w:r w:rsidRPr="00691B3F">
        <w:rPr>
          <w:rFonts w:ascii="Book Antiqua" w:eastAsia="DengXian" w:hAnsi="Book Antiqua" w:cs="Times New Roman"/>
          <w:kern w:val="2"/>
          <w:sz w:val="24"/>
          <w:szCs w:val="24"/>
          <w:lang w:eastAsia="zh-CN"/>
        </w:rPr>
        <w:t>toxsci</w:t>
      </w:r>
      <w:proofErr w:type="spellEnd"/>
      <w:r w:rsidRPr="00691B3F">
        <w:rPr>
          <w:rFonts w:ascii="Book Antiqua" w:eastAsia="DengXian" w:hAnsi="Book Antiqua" w:cs="Times New Roman"/>
          <w:kern w:val="2"/>
          <w:sz w:val="24"/>
          <w:szCs w:val="24"/>
          <w:lang w:eastAsia="zh-CN"/>
        </w:rPr>
        <w:t>/kfi336]</w:t>
      </w:r>
    </w:p>
    <w:p w14:paraId="1A87DA50" w14:textId="76746978"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proofErr w:type="gramStart"/>
      <w:r w:rsidRPr="00691B3F">
        <w:rPr>
          <w:rFonts w:ascii="Book Antiqua" w:eastAsia="DengXian" w:hAnsi="Book Antiqua" w:cs="Times New Roman"/>
          <w:kern w:val="2"/>
          <w:sz w:val="24"/>
          <w:szCs w:val="24"/>
          <w:lang w:eastAsia="zh-CN"/>
        </w:rPr>
        <w:t>31 NHANES III Second Laboratory Data.</w:t>
      </w:r>
      <w:proofErr w:type="gramEnd"/>
      <w:r w:rsidRPr="00691B3F">
        <w:rPr>
          <w:rFonts w:ascii="Book Antiqua" w:eastAsia="DengXian" w:hAnsi="Book Antiqua" w:cs="Times New Roman"/>
          <w:kern w:val="2"/>
          <w:sz w:val="24"/>
          <w:szCs w:val="24"/>
          <w:lang w:eastAsia="zh-CN"/>
        </w:rPr>
        <w:t xml:space="preserve"> U.S. Department of Health and Human Services, </w:t>
      </w:r>
      <w:r w:rsidRPr="00691B3F">
        <w:rPr>
          <w:rFonts w:ascii="Book Antiqua" w:eastAsia="DengXian" w:hAnsi="Book Antiqua" w:cs="Times New Roman"/>
          <w:bCs/>
          <w:kern w:val="2"/>
          <w:sz w:val="24"/>
          <w:szCs w:val="24"/>
          <w:lang w:eastAsia="zh-CN"/>
        </w:rPr>
        <w:t>1988-1994; Cen</w:t>
      </w:r>
      <w:r w:rsidRPr="00691B3F">
        <w:rPr>
          <w:rFonts w:ascii="Book Antiqua" w:eastAsia="DengXian" w:hAnsi="Book Antiqua" w:cs="Times New Roman"/>
          <w:kern w:val="2"/>
          <w:sz w:val="24"/>
          <w:szCs w:val="24"/>
          <w:lang w:eastAsia="zh-CN"/>
        </w:rPr>
        <w:t xml:space="preserve">ters for Disease Control and Prevention, 1998. In: </w:t>
      </w:r>
      <w:r w:rsidRPr="00691B3F">
        <w:rPr>
          <w:rFonts w:ascii="Book Antiqua" w:eastAsia="DengXian" w:hAnsi="Book Antiqua" w:cs="Times New Roman"/>
          <w:bCs/>
          <w:kern w:val="2"/>
          <w:sz w:val="24"/>
          <w:szCs w:val="24"/>
          <w:lang w:eastAsia="zh-CN"/>
        </w:rPr>
        <w:t>Third National Health and Nutrition Examination Survey</w:t>
      </w:r>
    </w:p>
    <w:p w14:paraId="68CEFD5C"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32 </w:t>
      </w:r>
      <w:r w:rsidRPr="00691B3F">
        <w:rPr>
          <w:rFonts w:ascii="Book Antiqua" w:eastAsia="DengXian" w:hAnsi="Book Antiqua" w:cs="Times New Roman"/>
          <w:b/>
          <w:kern w:val="2"/>
          <w:sz w:val="24"/>
          <w:szCs w:val="24"/>
          <w:lang w:eastAsia="zh-CN"/>
        </w:rPr>
        <w:t>Lee WM</w:t>
      </w:r>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kern w:val="2"/>
          <w:sz w:val="24"/>
          <w:szCs w:val="24"/>
          <w:lang w:eastAsia="zh-CN"/>
        </w:rPr>
        <w:t>Stravitz</w:t>
      </w:r>
      <w:proofErr w:type="spellEnd"/>
      <w:r w:rsidRPr="00691B3F">
        <w:rPr>
          <w:rFonts w:ascii="Book Antiqua" w:eastAsia="DengXian" w:hAnsi="Book Antiqua" w:cs="Times New Roman"/>
          <w:kern w:val="2"/>
          <w:sz w:val="24"/>
          <w:szCs w:val="24"/>
          <w:lang w:eastAsia="zh-CN"/>
        </w:rPr>
        <w:t xml:space="preserve"> RT, Larson AM. </w:t>
      </w:r>
      <w:proofErr w:type="gramStart"/>
      <w:r w:rsidRPr="00691B3F">
        <w:rPr>
          <w:rFonts w:ascii="Book Antiqua" w:eastAsia="DengXian" w:hAnsi="Book Antiqua" w:cs="Times New Roman"/>
          <w:kern w:val="2"/>
          <w:sz w:val="24"/>
          <w:szCs w:val="24"/>
          <w:lang w:eastAsia="zh-CN"/>
        </w:rPr>
        <w:t>Introduction to the revised American Association for the Study of Liver Diseases Position Paper on acute liver failure 2011.</w:t>
      </w:r>
      <w:proofErr w:type="gramEnd"/>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i/>
          <w:kern w:val="2"/>
          <w:sz w:val="24"/>
          <w:szCs w:val="24"/>
          <w:lang w:eastAsia="zh-CN"/>
        </w:rPr>
        <w:t>Hepatology</w:t>
      </w:r>
      <w:proofErr w:type="spellEnd"/>
      <w:r w:rsidRPr="00691B3F">
        <w:rPr>
          <w:rFonts w:ascii="Book Antiqua" w:eastAsia="DengXian" w:hAnsi="Book Antiqua" w:cs="Times New Roman"/>
          <w:kern w:val="2"/>
          <w:sz w:val="24"/>
          <w:szCs w:val="24"/>
          <w:lang w:eastAsia="zh-CN"/>
        </w:rPr>
        <w:t xml:space="preserve"> 2012; </w:t>
      </w:r>
      <w:r w:rsidRPr="00691B3F">
        <w:rPr>
          <w:rFonts w:ascii="Book Antiqua" w:eastAsia="DengXian" w:hAnsi="Book Antiqua" w:cs="Times New Roman"/>
          <w:b/>
          <w:kern w:val="2"/>
          <w:sz w:val="24"/>
          <w:szCs w:val="24"/>
          <w:lang w:eastAsia="zh-CN"/>
        </w:rPr>
        <w:t>55</w:t>
      </w:r>
      <w:r w:rsidRPr="00691B3F">
        <w:rPr>
          <w:rFonts w:ascii="Book Antiqua" w:eastAsia="DengXian" w:hAnsi="Book Antiqua" w:cs="Times New Roman"/>
          <w:kern w:val="2"/>
          <w:sz w:val="24"/>
          <w:szCs w:val="24"/>
          <w:lang w:eastAsia="zh-CN"/>
        </w:rPr>
        <w:t>: 965-967 [PMID: 22213561 DOI: 10.1002/hep.25551]</w:t>
      </w:r>
    </w:p>
    <w:p w14:paraId="67DAAB81"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33 </w:t>
      </w:r>
      <w:r w:rsidRPr="00691B3F">
        <w:rPr>
          <w:rFonts w:ascii="Book Antiqua" w:eastAsia="DengXian" w:hAnsi="Book Antiqua" w:cs="Times New Roman"/>
          <w:b/>
          <w:kern w:val="2"/>
          <w:sz w:val="24"/>
          <w:szCs w:val="24"/>
          <w:lang w:eastAsia="zh-CN"/>
        </w:rPr>
        <w:t>Chun LJ</w:t>
      </w:r>
      <w:r w:rsidRPr="00691B3F">
        <w:rPr>
          <w:rFonts w:ascii="Book Antiqua" w:eastAsia="DengXian" w:hAnsi="Book Antiqua" w:cs="Times New Roman"/>
          <w:kern w:val="2"/>
          <w:sz w:val="24"/>
          <w:szCs w:val="24"/>
          <w:lang w:eastAsia="zh-CN"/>
        </w:rPr>
        <w:t xml:space="preserve">, Tong MJ, </w:t>
      </w:r>
      <w:proofErr w:type="spellStart"/>
      <w:r w:rsidRPr="00691B3F">
        <w:rPr>
          <w:rFonts w:ascii="Book Antiqua" w:eastAsia="DengXian" w:hAnsi="Book Antiqua" w:cs="Times New Roman"/>
          <w:kern w:val="2"/>
          <w:sz w:val="24"/>
          <w:szCs w:val="24"/>
          <w:lang w:eastAsia="zh-CN"/>
        </w:rPr>
        <w:t>Busuttil</w:t>
      </w:r>
      <w:proofErr w:type="spellEnd"/>
      <w:r w:rsidRPr="00691B3F">
        <w:rPr>
          <w:rFonts w:ascii="Book Antiqua" w:eastAsia="DengXian" w:hAnsi="Book Antiqua" w:cs="Times New Roman"/>
          <w:kern w:val="2"/>
          <w:sz w:val="24"/>
          <w:szCs w:val="24"/>
          <w:lang w:eastAsia="zh-CN"/>
        </w:rPr>
        <w:t xml:space="preserve"> RW, Hiatt JR. Acetaminophen hepatotoxicity and acute liver failure. </w:t>
      </w:r>
      <w:r w:rsidRPr="00691B3F">
        <w:rPr>
          <w:rFonts w:ascii="Book Antiqua" w:eastAsia="DengXian" w:hAnsi="Book Antiqua" w:cs="Times New Roman"/>
          <w:i/>
          <w:kern w:val="2"/>
          <w:sz w:val="24"/>
          <w:szCs w:val="24"/>
          <w:lang w:eastAsia="zh-CN"/>
        </w:rPr>
        <w:t xml:space="preserve">J </w:t>
      </w:r>
      <w:proofErr w:type="spellStart"/>
      <w:r w:rsidRPr="00691B3F">
        <w:rPr>
          <w:rFonts w:ascii="Book Antiqua" w:eastAsia="DengXian" w:hAnsi="Book Antiqua" w:cs="Times New Roman"/>
          <w:i/>
          <w:kern w:val="2"/>
          <w:sz w:val="24"/>
          <w:szCs w:val="24"/>
          <w:lang w:eastAsia="zh-CN"/>
        </w:rPr>
        <w:t>Clin</w:t>
      </w:r>
      <w:proofErr w:type="spellEnd"/>
      <w:r w:rsidRPr="00691B3F">
        <w:rPr>
          <w:rFonts w:ascii="Book Antiqua" w:eastAsia="DengXian" w:hAnsi="Book Antiqua" w:cs="Times New Roman"/>
          <w:i/>
          <w:kern w:val="2"/>
          <w:sz w:val="24"/>
          <w:szCs w:val="24"/>
          <w:lang w:eastAsia="zh-CN"/>
        </w:rPr>
        <w:t xml:space="preserve"> </w:t>
      </w:r>
      <w:proofErr w:type="spellStart"/>
      <w:r w:rsidRPr="00691B3F">
        <w:rPr>
          <w:rFonts w:ascii="Book Antiqua" w:eastAsia="DengXian" w:hAnsi="Book Antiqua" w:cs="Times New Roman"/>
          <w:i/>
          <w:kern w:val="2"/>
          <w:sz w:val="24"/>
          <w:szCs w:val="24"/>
          <w:lang w:eastAsia="zh-CN"/>
        </w:rPr>
        <w:t>Gastroenterol</w:t>
      </w:r>
      <w:proofErr w:type="spellEnd"/>
      <w:r w:rsidRPr="00691B3F">
        <w:rPr>
          <w:rFonts w:ascii="Book Antiqua" w:eastAsia="DengXian" w:hAnsi="Book Antiqua" w:cs="Times New Roman"/>
          <w:kern w:val="2"/>
          <w:sz w:val="24"/>
          <w:szCs w:val="24"/>
          <w:lang w:eastAsia="zh-CN"/>
        </w:rPr>
        <w:t xml:space="preserve"> 2009; </w:t>
      </w:r>
      <w:r w:rsidRPr="00691B3F">
        <w:rPr>
          <w:rFonts w:ascii="Book Antiqua" w:eastAsia="DengXian" w:hAnsi="Book Antiqua" w:cs="Times New Roman"/>
          <w:b/>
          <w:kern w:val="2"/>
          <w:sz w:val="24"/>
          <w:szCs w:val="24"/>
          <w:lang w:eastAsia="zh-CN"/>
        </w:rPr>
        <w:t>43</w:t>
      </w:r>
      <w:r w:rsidRPr="00691B3F">
        <w:rPr>
          <w:rFonts w:ascii="Book Antiqua" w:eastAsia="DengXian" w:hAnsi="Book Antiqua" w:cs="Times New Roman"/>
          <w:kern w:val="2"/>
          <w:sz w:val="24"/>
          <w:szCs w:val="24"/>
          <w:lang w:eastAsia="zh-CN"/>
        </w:rPr>
        <w:t>: 342-349 [PMID: 19169150 DOI: 10.1097/MCG.0b013e31818a3854]</w:t>
      </w:r>
    </w:p>
    <w:p w14:paraId="4AF26215"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34 </w:t>
      </w:r>
      <w:r w:rsidRPr="00691B3F">
        <w:rPr>
          <w:rFonts w:ascii="Book Antiqua" w:eastAsia="DengXian" w:hAnsi="Book Antiqua" w:cs="Times New Roman"/>
          <w:b/>
          <w:kern w:val="2"/>
          <w:sz w:val="24"/>
          <w:szCs w:val="24"/>
          <w:lang w:eastAsia="zh-CN"/>
        </w:rPr>
        <w:t xml:space="preserve">Schilling </w:t>
      </w:r>
      <w:proofErr w:type="gramStart"/>
      <w:r w:rsidRPr="00691B3F">
        <w:rPr>
          <w:rFonts w:ascii="Book Antiqua" w:eastAsia="DengXian" w:hAnsi="Book Antiqua" w:cs="Times New Roman"/>
          <w:b/>
          <w:kern w:val="2"/>
          <w:sz w:val="24"/>
          <w:szCs w:val="24"/>
          <w:lang w:eastAsia="zh-CN"/>
        </w:rPr>
        <w:t>A</w:t>
      </w:r>
      <w:proofErr w:type="gramEnd"/>
      <w:r w:rsidRPr="00691B3F">
        <w:rPr>
          <w:rFonts w:ascii="Book Antiqua" w:eastAsia="DengXian" w:hAnsi="Book Antiqua" w:cs="Times New Roman"/>
          <w:kern w:val="2"/>
          <w:sz w:val="24"/>
          <w:szCs w:val="24"/>
          <w:lang w:eastAsia="zh-CN"/>
        </w:rPr>
        <w:t xml:space="preserve">, Corey R, Leonard M, </w:t>
      </w:r>
      <w:proofErr w:type="spellStart"/>
      <w:r w:rsidRPr="00691B3F">
        <w:rPr>
          <w:rFonts w:ascii="Book Antiqua" w:eastAsia="DengXian" w:hAnsi="Book Antiqua" w:cs="Times New Roman"/>
          <w:kern w:val="2"/>
          <w:sz w:val="24"/>
          <w:szCs w:val="24"/>
          <w:lang w:eastAsia="zh-CN"/>
        </w:rPr>
        <w:t>Eghtesad</w:t>
      </w:r>
      <w:proofErr w:type="spellEnd"/>
      <w:r w:rsidRPr="00691B3F">
        <w:rPr>
          <w:rFonts w:ascii="Book Antiqua" w:eastAsia="DengXian" w:hAnsi="Book Antiqua" w:cs="Times New Roman"/>
          <w:kern w:val="2"/>
          <w:sz w:val="24"/>
          <w:szCs w:val="24"/>
          <w:lang w:eastAsia="zh-CN"/>
        </w:rPr>
        <w:t xml:space="preserve"> B. Acetaminophen: old drug, new warnings. </w:t>
      </w:r>
      <w:r w:rsidRPr="00691B3F">
        <w:rPr>
          <w:rFonts w:ascii="Book Antiqua" w:eastAsia="DengXian" w:hAnsi="Book Antiqua" w:cs="Times New Roman"/>
          <w:i/>
          <w:kern w:val="2"/>
          <w:sz w:val="24"/>
          <w:szCs w:val="24"/>
          <w:lang w:eastAsia="zh-CN"/>
        </w:rPr>
        <w:t xml:space="preserve">Cleve </w:t>
      </w:r>
      <w:proofErr w:type="spellStart"/>
      <w:r w:rsidRPr="00691B3F">
        <w:rPr>
          <w:rFonts w:ascii="Book Antiqua" w:eastAsia="DengXian" w:hAnsi="Book Antiqua" w:cs="Times New Roman"/>
          <w:i/>
          <w:kern w:val="2"/>
          <w:sz w:val="24"/>
          <w:szCs w:val="24"/>
          <w:lang w:eastAsia="zh-CN"/>
        </w:rPr>
        <w:t>Clin</w:t>
      </w:r>
      <w:proofErr w:type="spellEnd"/>
      <w:r w:rsidRPr="00691B3F">
        <w:rPr>
          <w:rFonts w:ascii="Book Antiqua" w:eastAsia="DengXian" w:hAnsi="Book Antiqua" w:cs="Times New Roman"/>
          <w:i/>
          <w:kern w:val="2"/>
          <w:sz w:val="24"/>
          <w:szCs w:val="24"/>
          <w:lang w:eastAsia="zh-CN"/>
        </w:rPr>
        <w:t xml:space="preserve"> J Med</w:t>
      </w:r>
      <w:r w:rsidRPr="00691B3F">
        <w:rPr>
          <w:rFonts w:ascii="Book Antiqua" w:eastAsia="DengXian" w:hAnsi="Book Antiqua" w:cs="Times New Roman"/>
          <w:kern w:val="2"/>
          <w:sz w:val="24"/>
          <w:szCs w:val="24"/>
          <w:lang w:eastAsia="zh-CN"/>
        </w:rPr>
        <w:t xml:space="preserve"> 2010; </w:t>
      </w:r>
      <w:r w:rsidRPr="00691B3F">
        <w:rPr>
          <w:rFonts w:ascii="Book Antiqua" w:eastAsia="DengXian" w:hAnsi="Book Antiqua" w:cs="Times New Roman"/>
          <w:b/>
          <w:kern w:val="2"/>
          <w:sz w:val="24"/>
          <w:szCs w:val="24"/>
          <w:lang w:eastAsia="zh-CN"/>
        </w:rPr>
        <w:t>77</w:t>
      </w:r>
      <w:r w:rsidRPr="00691B3F">
        <w:rPr>
          <w:rFonts w:ascii="Book Antiqua" w:eastAsia="DengXian" w:hAnsi="Book Antiqua" w:cs="Times New Roman"/>
          <w:kern w:val="2"/>
          <w:sz w:val="24"/>
          <w:szCs w:val="24"/>
          <w:lang w:eastAsia="zh-CN"/>
        </w:rPr>
        <w:t>: 19-27 [PMID: 20048026 DOI: 10.3949/ccjm.77a.09084]</w:t>
      </w:r>
    </w:p>
    <w:p w14:paraId="4FA9A0E3"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35 </w:t>
      </w:r>
      <w:proofErr w:type="spellStart"/>
      <w:r w:rsidRPr="00691B3F">
        <w:rPr>
          <w:rFonts w:ascii="Book Antiqua" w:eastAsia="DengXian" w:hAnsi="Book Antiqua" w:cs="Times New Roman"/>
          <w:b/>
          <w:kern w:val="2"/>
          <w:sz w:val="24"/>
          <w:szCs w:val="24"/>
          <w:lang w:eastAsia="zh-CN"/>
        </w:rPr>
        <w:t>Kwo</w:t>
      </w:r>
      <w:proofErr w:type="spellEnd"/>
      <w:r w:rsidRPr="00691B3F">
        <w:rPr>
          <w:rFonts w:ascii="Book Antiqua" w:eastAsia="DengXian" w:hAnsi="Book Antiqua" w:cs="Times New Roman"/>
          <w:b/>
          <w:kern w:val="2"/>
          <w:sz w:val="24"/>
          <w:szCs w:val="24"/>
          <w:lang w:eastAsia="zh-CN"/>
        </w:rPr>
        <w:t xml:space="preserve"> PY</w:t>
      </w:r>
      <w:r w:rsidRPr="00691B3F">
        <w:rPr>
          <w:rFonts w:ascii="Book Antiqua" w:eastAsia="DengXian" w:hAnsi="Book Antiqua" w:cs="Times New Roman"/>
          <w:kern w:val="2"/>
          <w:sz w:val="24"/>
          <w:szCs w:val="24"/>
          <w:lang w:eastAsia="zh-CN"/>
        </w:rPr>
        <w:t xml:space="preserve">, Cohen SM, Lim JK. ACG Clinical Guideline: Evaluation of Abnormal Liver Chemistries. </w:t>
      </w:r>
      <w:r w:rsidRPr="00691B3F">
        <w:rPr>
          <w:rFonts w:ascii="Book Antiqua" w:eastAsia="DengXian" w:hAnsi="Book Antiqua" w:cs="Times New Roman"/>
          <w:i/>
          <w:kern w:val="2"/>
          <w:sz w:val="24"/>
          <w:szCs w:val="24"/>
          <w:lang w:eastAsia="zh-CN"/>
        </w:rPr>
        <w:t xml:space="preserve">Am J </w:t>
      </w:r>
      <w:proofErr w:type="spellStart"/>
      <w:r w:rsidRPr="00691B3F">
        <w:rPr>
          <w:rFonts w:ascii="Book Antiqua" w:eastAsia="DengXian" w:hAnsi="Book Antiqua" w:cs="Times New Roman"/>
          <w:i/>
          <w:kern w:val="2"/>
          <w:sz w:val="24"/>
          <w:szCs w:val="24"/>
          <w:lang w:eastAsia="zh-CN"/>
        </w:rPr>
        <w:t>Gastroenterol</w:t>
      </w:r>
      <w:proofErr w:type="spellEnd"/>
      <w:r w:rsidRPr="00691B3F">
        <w:rPr>
          <w:rFonts w:ascii="Book Antiqua" w:eastAsia="DengXian" w:hAnsi="Book Antiqua" w:cs="Times New Roman"/>
          <w:kern w:val="2"/>
          <w:sz w:val="24"/>
          <w:szCs w:val="24"/>
          <w:lang w:eastAsia="zh-CN"/>
        </w:rPr>
        <w:t xml:space="preserve"> 2017; </w:t>
      </w:r>
      <w:r w:rsidRPr="00691B3F">
        <w:rPr>
          <w:rFonts w:ascii="Book Antiqua" w:eastAsia="DengXian" w:hAnsi="Book Antiqua" w:cs="Times New Roman"/>
          <w:b/>
          <w:kern w:val="2"/>
          <w:sz w:val="24"/>
          <w:szCs w:val="24"/>
          <w:lang w:eastAsia="zh-CN"/>
        </w:rPr>
        <w:t>112</w:t>
      </w:r>
      <w:r w:rsidRPr="00691B3F">
        <w:rPr>
          <w:rFonts w:ascii="Book Antiqua" w:eastAsia="DengXian" w:hAnsi="Book Antiqua" w:cs="Times New Roman"/>
          <w:kern w:val="2"/>
          <w:sz w:val="24"/>
          <w:szCs w:val="24"/>
          <w:lang w:eastAsia="zh-CN"/>
        </w:rPr>
        <w:t>: 18-35 [PMID: 27995906 DOI: 10.1038/ajg.2016.517]</w:t>
      </w:r>
    </w:p>
    <w:p w14:paraId="398DF577"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36 </w:t>
      </w:r>
      <w:r w:rsidRPr="00691B3F">
        <w:rPr>
          <w:rFonts w:ascii="Book Antiqua" w:eastAsia="DengXian" w:hAnsi="Book Antiqua" w:cs="Times New Roman"/>
          <w:b/>
          <w:kern w:val="2"/>
          <w:sz w:val="24"/>
          <w:szCs w:val="24"/>
          <w:lang w:eastAsia="zh-CN"/>
        </w:rPr>
        <w:t>O'Grady JG</w:t>
      </w:r>
      <w:r w:rsidRPr="00691B3F">
        <w:rPr>
          <w:rFonts w:ascii="Book Antiqua" w:eastAsia="DengXian" w:hAnsi="Book Antiqua" w:cs="Times New Roman"/>
          <w:kern w:val="2"/>
          <w:sz w:val="24"/>
          <w:szCs w:val="24"/>
          <w:lang w:eastAsia="zh-CN"/>
        </w:rPr>
        <w:t xml:space="preserve">, Alexander GJ, </w:t>
      </w:r>
      <w:proofErr w:type="spellStart"/>
      <w:r w:rsidRPr="00691B3F">
        <w:rPr>
          <w:rFonts w:ascii="Book Antiqua" w:eastAsia="DengXian" w:hAnsi="Book Antiqua" w:cs="Times New Roman"/>
          <w:kern w:val="2"/>
          <w:sz w:val="24"/>
          <w:szCs w:val="24"/>
          <w:lang w:eastAsia="zh-CN"/>
        </w:rPr>
        <w:t>Hayllar</w:t>
      </w:r>
      <w:proofErr w:type="spellEnd"/>
      <w:r w:rsidRPr="00691B3F">
        <w:rPr>
          <w:rFonts w:ascii="Book Antiqua" w:eastAsia="DengXian" w:hAnsi="Book Antiqua" w:cs="Times New Roman"/>
          <w:kern w:val="2"/>
          <w:sz w:val="24"/>
          <w:szCs w:val="24"/>
          <w:lang w:eastAsia="zh-CN"/>
        </w:rPr>
        <w:t xml:space="preserve"> KM, Williams R. </w:t>
      </w:r>
      <w:proofErr w:type="gramStart"/>
      <w:r w:rsidRPr="00691B3F">
        <w:rPr>
          <w:rFonts w:ascii="Book Antiqua" w:eastAsia="DengXian" w:hAnsi="Book Antiqua" w:cs="Times New Roman"/>
          <w:kern w:val="2"/>
          <w:sz w:val="24"/>
          <w:szCs w:val="24"/>
          <w:lang w:eastAsia="zh-CN"/>
        </w:rPr>
        <w:t>Early indicators of prognosis in fulminant hepatic failure.</w:t>
      </w:r>
      <w:proofErr w:type="gramEnd"/>
      <w:r w:rsidRPr="00691B3F">
        <w:rPr>
          <w:rFonts w:ascii="Book Antiqua" w:eastAsia="DengXian" w:hAnsi="Book Antiqua" w:cs="Times New Roman"/>
          <w:kern w:val="2"/>
          <w:sz w:val="24"/>
          <w:szCs w:val="24"/>
          <w:lang w:eastAsia="zh-CN"/>
        </w:rPr>
        <w:t xml:space="preserve"> </w:t>
      </w:r>
      <w:r w:rsidRPr="00691B3F">
        <w:rPr>
          <w:rFonts w:ascii="Book Antiqua" w:eastAsia="DengXian" w:hAnsi="Book Antiqua" w:cs="Times New Roman"/>
          <w:i/>
          <w:kern w:val="2"/>
          <w:sz w:val="24"/>
          <w:szCs w:val="24"/>
          <w:lang w:eastAsia="zh-CN"/>
        </w:rPr>
        <w:t>Gastroenterology</w:t>
      </w:r>
      <w:r w:rsidRPr="00691B3F">
        <w:rPr>
          <w:rFonts w:ascii="Book Antiqua" w:eastAsia="DengXian" w:hAnsi="Book Antiqua" w:cs="Times New Roman"/>
          <w:kern w:val="2"/>
          <w:sz w:val="24"/>
          <w:szCs w:val="24"/>
          <w:lang w:eastAsia="zh-CN"/>
        </w:rPr>
        <w:t xml:space="preserve"> 1989; </w:t>
      </w:r>
      <w:r w:rsidRPr="00691B3F">
        <w:rPr>
          <w:rFonts w:ascii="Book Antiqua" w:eastAsia="DengXian" w:hAnsi="Book Antiqua" w:cs="Times New Roman"/>
          <w:b/>
          <w:kern w:val="2"/>
          <w:sz w:val="24"/>
          <w:szCs w:val="24"/>
          <w:lang w:eastAsia="zh-CN"/>
        </w:rPr>
        <w:t>97</w:t>
      </w:r>
      <w:r w:rsidRPr="00691B3F">
        <w:rPr>
          <w:rFonts w:ascii="Book Antiqua" w:eastAsia="DengXian" w:hAnsi="Book Antiqua" w:cs="Times New Roman"/>
          <w:kern w:val="2"/>
          <w:sz w:val="24"/>
          <w:szCs w:val="24"/>
          <w:lang w:eastAsia="zh-CN"/>
        </w:rPr>
        <w:t>: 439-445 [PMID: 2490426 DOI: 10.1016/0016-5085(89)90081-4]</w:t>
      </w:r>
    </w:p>
    <w:p w14:paraId="160E9745"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37 </w:t>
      </w:r>
      <w:proofErr w:type="spellStart"/>
      <w:r w:rsidRPr="00691B3F">
        <w:rPr>
          <w:rFonts w:ascii="Book Antiqua" w:eastAsia="DengXian" w:hAnsi="Book Antiqua" w:cs="Times New Roman"/>
          <w:b/>
          <w:kern w:val="2"/>
          <w:sz w:val="24"/>
          <w:szCs w:val="24"/>
          <w:lang w:eastAsia="zh-CN"/>
        </w:rPr>
        <w:t>Flamm</w:t>
      </w:r>
      <w:proofErr w:type="spellEnd"/>
      <w:r w:rsidRPr="00691B3F">
        <w:rPr>
          <w:rFonts w:ascii="Book Antiqua" w:eastAsia="DengXian" w:hAnsi="Book Antiqua" w:cs="Times New Roman"/>
          <w:b/>
          <w:kern w:val="2"/>
          <w:sz w:val="24"/>
          <w:szCs w:val="24"/>
          <w:lang w:eastAsia="zh-CN"/>
        </w:rPr>
        <w:t xml:space="preserve"> SL</w:t>
      </w:r>
      <w:r w:rsidRPr="00691B3F">
        <w:rPr>
          <w:rFonts w:ascii="Book Antiqua" w:eastAsia="DengXian" w:hAnsi="Book Antiqua" w:cs="Times New Roman"/>
          <w:kern w:val="2"/>
          <w:sz w:val="24"/>
          <w:szCs w:val="24"/>
          <w:lang w:eastAsia="zh-CN"/>
        </w:rPr>
        <w:t xml:space="preserve">, Yang YX, Singh S, </w:t>
      </w:r>
      <w:proofErr w:type="spellStart"/>
      <w:r w:rsidRPr="00691B3F">
        <w:rPr>
          <w:rFonts w:ascii="Book Antiqua" w:eastAsia="DengXian" w:hAnsi="Book Antiqua" w:cs="Times New Roman"/>
          <w:kern w:val="2"/>
          <w:sz w:val="24"/>
          <w:szCs w:val="24"/>
          <w:lang w:eastAsia="zh-CN"/>
        </w:rPr>
        <w:t>Falck-Ytter</w:t>
      </w:r>
      <w:proofErr w:type="spellEnd"/>
      <w:r w:rsidRPr="00691B3F">
        <w:rPr>
          <w:rFonts w:ascii="Book Antiqua" w:eastAsia="DengXian" w:hAnsi="Book Antiqua" w:cs="Times New Roman"/>
          <w:kern w:val="2"/>
          <w:sz w:val="24"/>
          <w:szCs w:val="24"/>
          <w:lang w:eastAsia="zh-CN"/>
        </w:rPr>
        <w:t xml:space="preserve"> YT; AGA Institute Clinical Guidelines Committee. </w:t>
      </w:r>
      <w:proofErr w:type="gramStart"/>
      <w:r w:rsidRPr="00691B3F">
        <w:rPr>
          <w:rFonts w:ascii="Book Antiqua" w:eastAsia="DengXian" w:hAnsi="Book Antiqua" w:cs="Times New Roman"/>
          <w:kern w:val="2"/>
          <w:sz w:val="24"/>
          <w:szCs w:val="24"/>
          <w:lang w:eastAsia="zh-CN"/>
        </w:rPr>
        <w:t>American Gastroenterological Association Institute Guidelines for the Diagnosis and Management of Acute Liver Failure.</w:t>
      </w:r>
      <w:proofErr w:type="gramEnd"/>
      <w:r w:rsidRPr="00691B3F">
        <w:rPr>
          <w:rFonts w:ascii="Book Antiqua" w:eastAsia="DengXian" w:hAnsi="Book Antiqua" w:cs="Times New Roman"/>
          <w:kern w:val="2"/>
          <w:sz w:val="24"/>
          <w:szCs w:val="24"/>
          <w:lang w:eastAsia="zh-CN"/>
        </w:rPr>
        <w:t xml:space="preserve"> </w:t>
      </w:r>
      <w:r w:rsidRPr="00691B3F">
        <w:rPr>
          <w:rFonts w:ascii="Book Antiqua" w:eastAsia="DengXian" w:hAnsi="Book Antiqua" w:cs="Times New Roman"/>
          <w:i/>
          <w:kern w:val="2"/>
          <w:sz w:val="24"/>
          <w:szCs w:val="24"/>
          <w:lang w:eastAsia="zh-CN"/>
        </w:rPr>
        <w:t>Gastroenterology</w:t>
      </w:r>
      <w:r w:rsidRPr="00691B3F">
        <w:rPr>
          <w:rFonts w:ascii="Book Antiqua" w:eastAsia="DengXian" w:hAnsi="Book Antiqua" w:cs="Times New Roman"/>
          <w:kern w:val="2"/>
          <w:sz w:val="24"/>
          <w:szCs w:val="24"/>
          <w:lang w:eastAsia="zh-CN"/>
        </w:rPr>
        <w:t xml:space="preserve"> 2017; </w:t>
      </w:r>
      <w:r w:rsidRPr="00691B3F">
        <w:rPr>
          <w:rFonts w:ascii="Book Antiqua" w:eastAsia="DengXian" w:hAnsi="Book Antiqua" w:cs="Times New Roman"/>
          <w:b/>
          <w:kern w:val="2"/>
          <w:sz w:val="24"/>
          <w:szCs w:val="24"/>
          <w:lang w:eastAsia="zh-CN"/>
        </w:rPr>
        <w:t>152</w:t>
      </w:r>
      <w:r w:rsidRPr="00691B3F">
        <w:rPr>
          <w:rFonts w:ascii="Book Antiqua" w:eastAsia="DengXian" w:hAnsi="Book Antiqua" w:cs="Times New Roman"/>
          <w:kern w:val="2"/>
          <w:sz w:val="24"/>
          <w:szCs w:val="24"/>
          <w:lang w:eastAsia="zh-CN"/>
        </w:rPr>
        <w:t>: 644-647 [PMID: 28056348 DOI: 10.1053/j.gastro.2016.12.026]</w:t>
      </w:r>
    </w:p>
    <w:p w14:paraId="48CDFF04"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38 </w:t>
      </w:r>
      <w:r w:rsidRPr="00691B3F">
        <w:rPr>
          <w:rFonts w:ascii="Book Antiqua" w:eastAsia="DengXian" w:hAnsi="Book Antiqua" w:cs="Times New Roman"/>
          <w:b/>
          <w:kern w:val="2"/>
          <w:sz w:val="24"/>
          <w:szCs w:val="24"/>
          <w:lang w:eastAsia="zh-CN"/>
        </w:rPr>
        <w:t>Liu ZX</w:t>
      </w:r>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kern w:val="2"/>
          <w:sz w:val="24"/>
          <w:szCs w:val="24"/>
          <w:lang w:eastAsia="zh-CN"/>
        </w:rPr>
        <w:t>Govindarajan</w:t>
      </w:r>
      <w:proofErr w:type="spellEnd"/>
      <w:r w:rsidRPr="00691B3F">
        <w:rPr>
          <w:rFonts w:ascii="Book Antiqua" w:eastAsia="DengXian" w:hAnsi="Book Antiqua" w:cs="Times New Roman"/>
          <w:kern w:val="2"/>
          <w:sz w:val="24"/>
          <w:szCs w:val="24"/>
          <w:lang w:eastAsia="zh-CN"/>
        </w:rPr>
        <w:t xml:space="preserve"> S, </w:t>
      </w:r>
      <w:proofErr w:type="spellStart"/>
      <w:r w:rsidRPr="00691B3F">
        <w:rPr>
          <w:rFonts w:ascii="Book Antiqua" w:eastAsia="DengXian" w:hAnsi="Book Antiqua" w:cs="Times New Roman"/>
          <w:kern w:val="2"/>
          <w:sz w:val="24"/>
          <w:szCs w:val="24"/>
          <w:lang w:eastAsia="zh-CN"/>
        </w:rPr>
        <w:t>Kaplowitz</w:t>
      </w:r>
      <w:proofErr w:type="spellEnd"/>
      <w:r w:rsidRPr="00691B3F">
        <w:rPr>
          <w:rFonts w:ascii="Book Antiqua" w:eastAsia="DengXian" w:hAnsi="Book Antiqua" w:cs="Times New Roman"/>
          <w:kern w:val="2"/>
          <w:sz w:val="24"/>
          <w:szCs w:val="24"/>
          <w:lang w:eastAsia="zh-CN"/>
        </w:rPr>
        <w:t xml:space="preserve"> N. Innate immune system plays a critical role in determining the progression and severity of acetaminophen hepatotoxicity. </w:t>
      </w:r>
      <w:r w:rsidRPr="00691B3F">
        <w:rPr>
          <w:rFonts w:ascii="Book Antiqua" w:eastAsia="DengXian" w:hAnsi="Book Antiqua" w:cs="Times New Roman"/>
          <w:i/>
          <w:kern w:val="2"/>
          <w:sz w:val="24"/>
          <w:szCs w:val="24"/>
          <w:lang w:eastAsia="zh-CN"/>
        </w:rPr>
        <w:lastRenderedPageBreak/>
        <w:t>Gastroenterology</w:t>
      </w:r>
      <w:r w:rsidRPr="00691B3F">
        <w:rPr>
          <w:rFonts w:ascii="Book Antiqua" w:eastAsia="DengXian" w:hAnsi="Book Antiqua" w:cs="Times New Roman"/>
          <w:kern w:val="2"/>
          <w:sz w:val="24"/>
          <w:szCs w:val="24"/>
          <w:lang w:eastAsia="zh-CN"/>
        </w:rPr>
        <w:t xml:space="preserve"> 2004; </w:t>
      </w:r>
      <w:r w:rsidRPr="00691B3F">
        <w:rPr>
          <w:rFonts w:ascii="Book Antiqua" w:eastAsia="DengXian" w:hAnsi="Book Antiqua" w:cs="Times New Roman"/>
          <w:b/>
          <w:kern w:val="2"/>
          <w:sz w:val="24"/>
          <w:szCs w:val="24"/>
          <w:lang w:eastAsia="zh-CN"/>
        </w:rPr>
        <w:t>127</w:t>
      </w:r>
      <w:r w:rsidRPr="00691B3F">
        <w:rPr>
          <w:rFonts w:ascii="Book Antiqua" w:eastAsia="DengXian" w:hAnsi="Book Antiqua" w:cs="Times New Roman"/>
          <w:kern w:val="2"/>
          <w:sz w:val="24"/>
          <w:szCs w:val="24"/>
          <w:lang w:eastAsia="zh-CN"/>
        </w:rPr>
        <w:t>: 1760-1774 [PMID: 15578514 DOI: 10.1053/j.gastro.2004.08.053]</w:t>
      </w:r>
    </w:p>
    <w:p w14:paraId="21BD2B33"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39 </w:t>
      </w:r>
      <w:proofErr w:type="spellStart"/>
      <w:r w:rsidRPr="00691B3F">
        <w:rPr>
          <w:rFonts w:ascii="Book Antiqua" w:eastAsia="DengXian" w:hAnsi="Book Antiqua" w:cs="Times New Roman"/>
          <w:b/>
          <w:kern w:val="2"/>
          <w:sz w:val="24"/>
          <w:szCs w:val="24"/>
          <w:lang w:eastAsia="zh-CN"/>
        </w:rPr>
        <w:t>Xie</w:t>
      </w:r>
      <w:proofErr w:type="spellEnd"/>
      <w:r w:rsidRPr="00691B3F">
        <w:rPr>
          <w:rFonts w:ascii="Book Antiqua" w:eastAsia="DengXian" w:hAnsi="Book Antiqua" w:cs="Times New Roman"/>
          <w:b/>
          <w:kern w:val="2"/>
          <w:sz w:val="24"/>
          <w:szCs w:val="24"/>
          <w:lang w:eastAsia="zh-CN"/>
        </w:rPr>
        <w:t xml:space="preserve"> Y</w:t>
      </w:r>
      <w:r w:rsidRPr="00691B3F">
        <w:rPr>
          <w:rFonts w:ascii="Book Antiqua" w:eastAsia="DengXian" w:hAnsi="Book Antiqua" w:cs="Times New Roman"/>
          <w:kern w:val="2"/>
          <w:sz w:val="24"/>
          <w:szCs w:val="24"/>
          <w:lang w:eastAsia="zh-CN"/>
        </w:rPr>
        <w:t xml:space="preserve">, McGill MR, </w:t>
      </w:r>
      <w:proofErr w:type="spellStart"/>
      <w:r w:rsidRPr="00691B3F">
        <w:rPr>
          <w:rFonts w:ascii="Book Antiqua" w:eastAsia="DengXian" w:hAnsi="Book Antiqua" w:cs="Times New Roman"/>
          <w:kern w:val="2"/>
          <w:sz w:val="24"/>
          <w:szCs w:val="24"/>
          <w:lang w:eastAsia="zh-CN"/>
        </w:rPr>
        <w:t>Dorko</w:t>
      </w:r>
      <w:proofErr w:type="spellEnd"/>
      <w:r w:rsidRPr="00691B3F">
        <w:rPr>
          <w:rFonts w:ascii="Book Antiqua" w:eastAsia="DengXian" w:hAnsi="Book Antiqua" w:cs="Times New Roman"/>
          <w:kern w:val="2"/>
          <w:sz w:val="24"/>
          <w:szCs w:val="24"/>
          <w:lang w:eastAsia="zh-CN"/>
        </w:rPr>
        <w:t xml:space="preserve"> K, </w:t>
      </w:r>
      <w:proofErr w:type="spellStart"/>
      <w:r w:rsidRPr="00691B3F">
        <w:rPr>
          <w:rFonts w:ascii="Book Antiqua" w:eastAsia="DengXian" w:hAnsi="Book Antiqua" w:cs="Times New Roman"/>
          <w:kern w:val="2"/>
          <w:sz w:val="24"/>
          <w:szCs w:val="24"/>
          <w:lang w:eastAsia="zh-CN"/>
        </w:rPr>
        <w:t>Kumer</w:t>
      </w:r>
      <w:proofErr w:type="spellEnd"/>
      <w:r w:rsidRPr="00691B3F">
        <w:rPr>
          <w:rFonts w:ascii="Book Antiqua" w:eastAsia="DengXian" w:hAnsi="Book Antiqua" w:cs="Times New Roman"/>
          <w:kern w:val="2"/>
          <w:sz w:val="24"/>
          <w:szCs w:val="24"/>
          <w:lang w:eastAsia="zh-CN"/>
        </w:rPr>
        <w:t xml:space="preserve"> SC, Schmitt TM, Forster J, </w:t>
      </w:r>
      <w:proofErr w:type="spellStart"/>
      <w:r w:rsidRPr="00691B3F">
        <w:rPr>
          <w:rFonts w:ascii="Book Antiqua" w:eastAsia="DengXian" w:hAnsi="Book Antiqua" w:cs="Times New Roman"/>
          <w:kern w:val="2"/>
          <w:sz w:val="24"/>
          <w:szCs w:val="24"/>
          <w:lang w:eastAsia="zh-CN"/>
        </w:rPr>
        <w:t>Jaeschke</w:t>
      </w:r>
      <w:proofErr w:type="spellEnd"/>
      <w:r w:rsidRPr="00691B3F">
        <w:rPr>
          <w:rFonts w:ascii="Book Antiqua" w:eastAsia="DengXian" w:hAnsi="Book Antiqua" w:cs="Times New Roman"/>
          <w:kern w:val="2"/>
          <w:sz w:val="24"/>
          <w:szCs w:val="24"/>
          <w:lang w:eastAsia="zh-CN"/>
        </w:rPr>
        <w:t xml:space="preserve"> H. Mechanisms of acetaminophen-induced cell death in primary human hepatocytes. </w:t>
      </w:r>
      <w:proofErr w:type="spellStart"/>
      <w:r w:rsidRPr="00691B3F">
        <w:rPr>
          <w:rFonts w:ascii="Book Antiqua" w:eastAsia="DengXian" w:hAnsi="Book Antiqua" w:cs="Times New Roman"/>
          <w:i/>
          <w:kern w:val="2"/>
          <w:sz w:val="24"/>
          <w:szCs w:val="24"/>
          <w:lang w:eastAsia="zh-CN"/>
        </w:rPr>
        <w:t>Toxicol</w:t>
      </w:r>
      <w:proofErr w:type="spellEnd"/>
      <w:r w:rsidRPr="00691B3F">
        <w:rPr>
          <w:rFonts w:ascii="Book Antiqua" w:eastAsia="DengXian" w:hAnsi="Book Antiqua" w:cs="Times New Roman"/>
          <w:i/>
          <w:kern w:val="2"/>
          <w:sz w:val="24"/>
          <w:szCs w:val="24"/>
          <w:lang w:eastAsia="zh-CN"/>
        </w:rPr>
        <w:t xml:space="preserve"> </w:t>
      </w:r>
      <w:proofErr w:type="spellStart"/>
      <w:r w:rsidRPr="00691B3F">
        <w:rPr>
          <w:rFonts w:ascii="Book Antiqua" w:eastAsia="DengXian" w:hAnsi="Book Antiqua" w:cs="Times New Roman"/>
          <w:i/>
          <w:kern w:val="2"/>
          <w:sz w:val="24"/>
          <w:szCs w:val="24"/>
          <w:lang w:eastAsia="zh-CN"/>
        </w:rPr>
        <w:t>Appl</w:t>
      </w:r>
      <w:proofErr w:type="spellEnd"/>
      <w:r w:rsidRPr="00691B3F">
        <w:rPr>
          <w:rFonts w:ascii="Book Antiqua" w:eastAsia="DengXian" w:hAnsi="Book Antiqua" w:cs="Times New Roman"/>
          <w:i/>
          <w:kern w:val="2"/>
          <w:sz w:val="24"/>
          <w:szCs w:val="24"/>
          <w:lang w:eastAsia="zh-CN"/>
        </w:rPr>
        <w:t xml:space="preserve"> </w:t>
      </w:r>
      <w:proofErr w:type="spellStart"/>
      <w:r w:rsidRPr="00691B3F">
        <w:rPr>
          <w:rFonts w:ascii="Book Antiqua" w:eastAsia="DengXian" w:hAnsi="Book Antiqua" w:cs="Times New Roman"/>
          <w:i/>
          <w:kern w:val="2"/>
          <w:sz w:val="24"/>
          <w:szCs w:val="24"/>
          <w:lang w:eastAsia="zh-CN"/>
        </w:rPr>
        <w:t>Pharmacol</w:t>
      </w:r>
      <w:proofErr w:type="spellEnd"/>
      <w:r w:rsidRPr="00691B3F">
        <w:rPr>
          <w:rFonts w:ascii="Book Antiqua" w:eastAsia="DengXian" w:hAnsi="Book Antiqua" w:cs="Times New Roman"/>
          <w:kern w:val="2"/>
          <w:sz w:val="24"/>
          <w:szCs w:val="24"/>
          <w:lang w:eastAsia="zh-CN"/>
        </w:rPr>
        <w:t xml:space="preserve"> 2014; </w:t>
      </w:r>
      <w:r w:rsidRPr="00691B3F">
        <w:rPr>
          <w:rFonts w:ascii="Book Antiqua" w:eastAsia="DengXian" w:hAnsi="Book Antiqua" w:cs="Times New Roman"/>
          <w:b/>
          <w:kern w:val="2"/>
          <w:sz w:val="24"/>
          <w:szCs w:val="24"/>
          <w:lang w:eastAsia="zh-CN"/>
        </w:rPr>
        <w:t>279</w:t>
      </w:r>
      <w:r w:rsidRPr="00691B3F">
        <w:rPr>
          <w:rFonts w:ascii="Book Antiqua" w:eastAsia="DengXian" w:hAnsi="Book Antiqua" w:cs="Times New Roman"/>
          <w:kern w:val="2"/>
          <w:sz w:val="24"/>
          <w:szCs w:val="24"/>
          <w:lang w:eastAsia="zh-CN"/>
        </w:rPr>
        <w:t>: 266-274 [PMID: 24905542 DOI: 10.1016/j.taap.2014.05.010]</w:t>
      </w:r>
    </w:p>
    <w:p w14:paraId="712F08D5"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proofErr w:type="gramStart"/>
      <w:r w:rsidRPr="00691B3F">
        <w:rPr>
          <w:rFonts w:ascii="Book Antiqua" w:eastAsia="DengXian" w:hAnsi="Book Antiqua" w:cs="Times New Roman"/>
          <w:kern w:val="2"/>
          <w:sz w:val="24"/>
          <w:szCs w:val="24"/>
          <w:lang w:eastAsia="zh-CN"/>
        </w:rPr>
        <w:t xml:space="preserve">40 </w:t>
      </w:r>
      <w:r w:rsidRPr="00691B3F">
        <w:rPr>
          <w:rFonts w:ascii="Book Antiqua" w:eastAsia="DengXian" w:hAnsi="Book Antiqua" w:cs="Times New Roman"/>
          <w:b/>
          <w:kern w:val="2"/>
          <w:sz w:val="24"/>
          <w:szCs w:val="24"/>
          <w:lang w:eastAsia="zh-CN"/>
        </w:rPr>
        <w:t>Douglas DR</w:t>
      </w:r>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kern w:val="2"/>
          <w:sz w:val="24"/>
          <w:szCs w:val="24"/>
          <w:lang w:eastAsia="zh-CN"/>
        </w:rPr>
        <w:t>Sholar</w:t>
      </w:r>
      <w:proofErr w:type="spellEnd"/>
      <w:r w:rsidRPr="00691B3F">
        <w:rPr>
          <w:rFonts w:ascii="Book Antiqua" w:eastAsia="DengXian" w:hAnsi="Book Antiqua" w:cs="Times New Roman"/>
          <w:kern w:val="2"/>
          <w:sz w:val="24"/>
          <w:szCs w:val="24"/>
          <w:lang w:eastAsia="zh-CN"/>
        </w:rPr>
        <w:t xml:space="preserve"> JB, </w:t>
      </w:r>
      <w:proofErr w:type="spellStart"/>
      <w:r w:rsidRPr="00691B3F">
        <w:rPr>
          <w:rFonts w:ascii="Book Antiqua" w:eastAsia="DengXian" w:hAnsi="Book Antiqua" w:cs="Times New Roman"/>
          <w:kern w:val="2"/>
          <w:sz w:val="24"/>
          <w:szCs w:val="24"/>
          <w:lang w:eastAsia="zh-CN"/>
        </w:rPr>
        <w:t>Smilkstein</w:t>
      </w:r>
      <w:proofErr w:type="spellEnd"/>
      <w:r w:rsidRPr="00691B3F">
        <w:rPr>
          <w:rFonts w:ascii="Book Antiqua" w:eastAsia="DengXian" w:hAnsi="Book Antiqua" w:cs="Times New Roman"/>
          <w:kern w:val="2"/>
          <w:sz w:val="24"/>
          <w:szCs w:val="24"/>
          <w:lang w:eastAsia="zh-CN"/>
        </w:rPr>
        <w:t xml:space="preserve"> MJ.</w:t>
      </w:r>
      <w:proofErr w:type="gramEnd"/>
      <w:r w:rsidRPr="00691B3F">
        <w:rPr>
          <w:rFonts w:ascii="Book Antiqua" w:eastAsia="DengXian" w:hAnsi="Book Antiqua" w:cs="Times New Roman"/>
          <w:kern w:val="2"/>
          <w:sz w:val="24"/>
          <w:szCs w:val="24"/>
          <w:lang w:eastAsia="zh-CN"/>
        </w:rPr>
        <w:t xml:space="preserve"> A pharmacokinetic comparison of acetaminophen products (Tylenol Extended Relief </w:t>
      </w:r>
      <w:proofErr w:type="spellStart"/>
      <w:r w:rsidRPr="00691B3F">
        <w:rPr>
          <w:rFonts w:ascii="Book Antiqua" w:eastAsia="DengXian" w:hAnsi="Book Antiqua" w:cs="Times New Roman"/>
          <w:kern w:val="2"/>
          <w:sz w:val="24"/>
          <w:szCs w:val="24"/>
          <w:lang w:eastAsia="zh-CN"/>
        </w:rPr>
        <w:t>vs</w:t>
      </w:r>
      <w:proofErr w:type="spellEnd"/>
      <w:r w:rsidRPr="00691B3F">
        <w:rPr>
          <w:rFonts w:ascii="Book Antiqua" w:eastAsia="DengXian" w:hAnsi="Book Antiqua" w:cs="Times New Roman"/>
          <w:kern w:val="2"/>
          <w:sz w:val="24"/>
          <w:szCs w:val="24"/>
          <w:lang w:eastAsia="zh-CN"/>
        </w:rPr>
        <w:t xml:space="preserve"> regular Tylenol) </w:t>
      </w:r>
      <w:proofErr w:type="spellStart"/>
      <w:r w:rsidRPr="00691B3F">
        <w:rPr>
          <w:rFonts w:ascii="Book Antiqua" w:eastAsia="DengXian" w:hAnsi="Book Antiqua" w:cs="Times New Roman"/>
          <w:i/>
          <w:kern w:val="2"/>
          <w:sz w:val="24"/>
          <w:szCs w:val="24"/>
          <w:lang w:eastAsia="zh-CN"/>
        </w:rPr>
        <w:t>Acad</w:t>
      </w:r>
      <w:proofErr w:type="spellEnd"/>
      <w:r w:rsidRPr="00691B3F">
        <w:rPr>
          <w:rFonts w:ascii="Book Antiqua" w:eastAsia="DengXian" w:hAnsi="Book Antiqua" w:cs="Times New Roman"/>
          <w:i/>
          <w:kern w:val="2"/>
          <w:sz w:val="24"/>
          <w:szCs w:val="24"/>
          <w:lang w:eastAsia="zh-CN"/>
        </w:rPr>
        <w:t xml:space="preserve"> </w:t>
      </w:r>
      <w:proofErr w:type="spellStart"/>
      <w:r w:rsidRPr="00691B3F">
        <w:rPr>
          <w:rFonts w:ascii="Book Antiqua" w:eastAsia="DengXian" w:hAnsi="Book Antiqua" w:cs="Times New Roman"/>
          <w:i/>
          <w:kern w:val="2"/>
          <w:sz w:val="24"/>
          <w:szCs w:val="24"/>
          <w:lang w:eastAsia="zh-CN"/>
        </w:rPr>
        <w:t>Emerg</w:t>
      </w:r>
      <w:proofErr w:type="spellEnd"/>
      <w:r w:rsidRPr="00691B3F">
        <w:rPr>
          <w:rFonts w:ascii="Book Antiqua" w:eastAsia="DengXian" w:hAnsi="Book Antiqua" w:cs="Times New Roman"/>
          <w:i/>
          <w:kern w:val="2"/>
          <w:sz w:val="24"/>
          <w:szCs w:val="24"/>
          <w:lang w:eastAsia="zh-CN"/>
        </w:rPr>
        <w:t xml:space="preserve"> Med</w:t>
      </w:r>
      <w:r w:rsidRPr="00691B3F">
        <w:rPr>
          <w:rFonts w:ascii="Book Antiqua" w:eastAsia="DengXian" w:hAnsi="Book Antiqua" w:cs="Times New Roman"/>
          <w:kern w:val="2"/>
          <w:sz w:val="24"/>
          <w:szCs w:val="24"/>
          <w:lang w:eastAsia="zh-CN"/>
        </w:rPr>
        <w:t xml:space="preserve"> 1996; </w:t>
      </w:r>
      <w:r w:rsidRPr="00691B3F">
        <w:rPr>
          <w:rFonts w:ascii="Book Antiqua" w:eastAsia="DengXian" w:hAnsi="Book Antiqua" w:cs="Times New Roman"/>
          <w:b/>
          <w:kern w:val="2"/>
          <w:sz w:val="24"/>
          <w:szCs w:val="24"/>
          <w:lang w:eastAsia="zh-CN"/>
        </w:rPr>
        <w:t>3</w:t>
      </w:r>
      <w:r w:rsidRPr="00691B3F">
        <w:rPr>
          <w:rFonts w:ascii="Book Antiqua" w:eastAsia="DengXian" w:hAnsi="Book Antiqua" w:cs="Times New Roman"/>
          <w:kern w:val="2"/>
          <w:sz w:val="24"/>
          <w:szCs w:val="24"/>
          <w:lang w:eastAsia="zh-CN"/>
        </w:rPr>
        <w:t>: 740-744 [PMID: 8853667 DOI: 10.1111/j.1553-2712.1996.tb03508.x]</w:t>
      </w:r>
    </w:p>
    <w:p w14:paraId="3472D442"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proofErr w:type="gramStart"/>
      <w:r w:rsidRPr="00691B3F">
        <w:rPr>
          <w:rFonts w:ascii="Book Antiqua" w:eastAsia="DengXian" w:hAnsi="Book Antiqua" w:cs="Times New Roman"/>
          <w:kern w:val="2"/>
          <w:sz w:val="24"/>
          <w:szCs w:val="24"/>
          <w:lang w:eastAsia="zh-CN"/>
        </w:rPr>
        <w:t xml:space="preserve">41 </w:t>
      </w:r>
      <w:proofErr w:type="spellStart"/>
      <w:r w:rsidRPr="00691B3F">
        <w:rPr>
          <w:rFonts w:ascii="Book Antiqua" w:eastAsia="DengXian" w:hAnsi="Book Antiqua" w:cs="Times New Roman"/>
          <w:b/>
          <w:kern w:val="2"/>
          <w:sz w:val="24"/>
          <w:szCs w:val="24"/>
          <w:lang w:eastAsia="zh-CN"/>
        </w:rPr>
        <w:t>Krenzelok</w:t>
      </w:r>
      <w:proofErr w:type="spellEnd"/>
      <w:r w:rsidRPr="00691B3F">
        <w:rPr>
          <w:rFonts w:ascii="Book Antiqua" w:eastAsia="DengXian" w:hAnsi="Book Antiqua" w:cs="Times New Roman"/>
          <w:b/>
          <w:kern w:val="2"/>
          <w:sz w:val="24"/>
          <w:szCs w:val="24"/>
          <w:lang w:eastAsia="zh-CN"/>
        </w:rPr>
        <w:t xml:space="preserve"> EP</w:t>
      </w:r>
      <w:r w:rsidRPr="00691B3F">
        <w:rPr>
          <w:rFonts w:ascii="Book Antiqua" w:eastAsia="DengXian" w:hAnsi="Book Antiqua" w:cs="Times New Roman"/>
          <w:kern w:val="2"/>
          <w:sz w:val="24"/>
          <w:szCs w:val="24"/>
          <w:lang w:eastAsia="zh-CN"/>
        </w:rPr>
        <w:t>, Royal MA.</w:t>
      </w:r>
      <w:proofErr w:type="gramEnd"/>
      <w:r w:rsidRPr="00691B3F">
        <w:rPr>
          <w:rFonts w:ascii="Book Antiqua" w:eastAsia="DengXian" w:hAnsi="Book Antiqua" w:cs="Times New Roman"/>
          <w:kern w:val="2"/>
          <w:sz w:val="24"/>
          <w:szCs w:val="24"/>
          <w:lang w:eastAsia="zh-CN"/>
        </w:rPr>
        <w:t xml:space="preserve"> Confusion: acetaminophen dosing changes based on NO evidence in adults. </w:t>
      </w:r>
      <w:r w:rsidRPr="00691B3F">
        <w:rPr>
          <w:rFonts w:ascii="Book Antiqua" w:eastAsia="DengXian" w:hAnsi="Book Antiqua" w:cs="Times New Roman"/>
          <w:i/>
          <w:kern w:val="2"/>
          <w:sz w:val="24"/>
          <w:szCs w:val="24"/>
          <w:lang w:eastAsia="zh-CN"/>
        </w:rPr>
        <w:t>Drugs R D</w:t>
      </w:r>
      <w:r w:rsidRPr="00691B3F">
        <w:rPr>
          <w:rFonts w:ascii="Book Antiqua" w:eastAsia="DengXian" w:hAnsi="Book Antiqua" w:cs="Times New Roman"/>
          <w:kern w:val="2"/>
          <w:sz w:val="24"/>
          <w:szCs w:val="24"/>
          <w:lang w:eastAsia="zh-CN"/>
        </w:rPr>
        <w:t xml:space="preserve"> 2012; </w:t>
      </w:r>
      <w:r w:rsidRPr="00691B3F">
        <w:rPr>
          <w:rFonts w:ascii="Book Antiqua" w:eastAsia="DengXian" w:hAnsi="Book Antiqua" w:cs="Times New Roman"/>
          <w:b/>
          <w:kern w:val="2"/>
          <w:sz w:val="24"/>
          <w:szCs w:val="24"/>
          <w:lang w:eastAsia="zh-CN"/>
        </w:rPr>
        <w:t>12</w:t>
      </w:r>
      <w:r w:rsidRPr="00691B3F">
        <w:rPr>
          <w:rFonts w:ascii="Book Antiqua" w:eastAsia="DengXian" w:hAnsi="Book Antiqua" w:cs="Times New Roman"/>
          <w:kern w:val="2"/>
          <w:sz w:val="24"/>
          <w:szCs w:val="24"/>
          <w:lang w:eastAsia="zh-CN"/>
        </w:rPr>
        <w:t>: 45-48 [PMID: 22530736 DOI: 10.2165/11633010-000000000-00000]</w:t>
      </w:r>
    </w:p>
    <w:p w14:paraId="3445ABA3"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42 US Department of Health and Human Services Food and Drug Administration Center for Drug Evaluation and Research (CDER). Organ-specific warnings: internal analgesic, antipyretic, and </w:t>
      </w:r>
      <w:proofErr w:type="spellStart"/>
      <w:r w:rsidRPr="00691B3F">
        <w:rPr>
          <w:rFonts w:ascii="Book Antiqua" w:eastAsia="DengXian" w:hAnsi="Book Antiqua" w:cs="Times New Roman"/>
          <w:kern w:val="2"/>
          <w:sz w:val="24"/>
          <w:szCs w:val="24"/>
          <w:lang w:eastAsia="zh-CN"/>
        </w:rPr>
        <w:t>antirheumatic</w:t>
      </w:r>
      <w:proofErr w:type="spellEnd"/>
      <w:r w:rsidRPr="00691B3F">
        <w:rPr>
          <w:rFonts w:ascii="Book Antiqua" w:eastAsia="DengXian" w:hAnsi="Book Antiqua" w:cs="Times New Roman"/>
          <w:kern w:val="2"/>
          <w:sz w:val="24"/>
          <w:szCs w:val="24"/>
          <w:lang w:eastAsia="zh-CN"/>
        </w:rPr>
        <w:t xml:space="preserve"> drug products for over-the-counter human use-labeling for products that contain acetaminophen; guidance for industry; availability.</w:t>
      </w:r>
      <w:r w:rsidRPr="00691B3F">
        <w:rPr>
          <w:rFonts w:ascii="DengXian" w:eastAsia="DengXian" w:hAnsi="DengXian" w:cs="Times New Roman"/>
          <w:kern w:val="2"/>
          <w:sz w:val="21"/>
          <w:lang w:eastAsia="zh-CN"/>
        </w:rPr>
        <w:t xml:space="preserve"> </w:t>
      </w:r>
      <w:r w:rsidRPr="00691B3F">
        <w:rPr>
          <w:rFonts w:ascii="Book Antiqua" w:eastAsia="DengXian" w:hAnsi="Book Antiqua" w:cs="Times New Roman"/>
          <w:kern w:val="2"/>
          <w:sz w:val="24"/>
          <w:szCs w:val="24"/>
          <w:lang w:eastAsia="zh-CN"/>
        </w:rPr>
        <w:t>Available from: https://www.fda.gov/media/83588/download</w:t>
      </w:r>
    </w:p>
    <w:p w14:paraId="6FD666E0"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43 </w:t>
      </w:r>
      <w:r w:rsidRPr="00691B3F">
        <w:rPr>
          <w:rFonts w:ascii="Book Antiqua" w:eastAsia="DengXian" w:hAnsi="Book Antiqua" w:cs="Times New Roman"/>
          <w:b/>
          <w:kern w:val="2"/>
          <w:sz w:val="24"/>
          <w:szCs w:val="24"/>
          <w:lang w:eastAsia="zh-CN"/>
        </w:rPr>
        <w:t>Dart RC</w:t>
      </w:r>
      <w:r w:rsidRPr="00691B3F">
        <w:rPr>
          <w:rFonts w:ascii="Book Antiqua" w:eastAsia="DengXian" w:hAnsi="Book Antiqua" w:cs="Times New Roman"/>
          <w:kern w:val="2"/>
          <w:sz w:val="24"/>
          <w:szCs w:val="24"/>
          <w:lang w:eastAsia="zh-CN"/>
        </w:rPr>
        <w:t xml:space="preserve">, Erdman AR, Olson KR, Christianson G, </w:t>
      </w:r>
      <w:proofErr w:type="spellStart"/>
      <w:r w:rsidRPr="00691B3F">
        <w:rPr>
          <w:rFonts w:ascii="Book Antiqua" w:eastAsia="DengXian" w:hAnsi="Book Antiqua" w:cs="Times New Roman"/>
          <w:kern w:val="2"/>
          <w:sz w:val="24"/>
          <w:szCs w:val="24"/>
          <w:lang w:eastAsia="zh-CN"/>
        </w:rPr>
        <w:t>Manoguerra</w:t>
      </w:r>
      <w:proofErr w:type="spellEnd"/>
      <w:r w:rsidRPr="00691B3F">
        <w:rPr>
          <w:rFonts w:ascii="Book Antiqua" w:eastAsia="DengXian" w:hAnsi="Book Antiqua" w:cs="Times New Roman"/>
          <w:kern w:val="2"/>
          <w:sz w:val="24"/>
          <w:szCs w:val="24"/>
          <w:lang w:eastAsia="zh-CN"/>
        </w:rPr>
        <w:t xml:space="preserve"> AS, </w:t>
      </w:r>
      <w:proofErr w:type="spellStart"/>
      <w:r w:rsidRPr="00691B3F">
        <w:rPr>
          <w:rFonts w:ascii="Book Antiqua" w:eastAsia="DengXian" w:hAnsi="Book Antiqua" w:cs="Times New Roman"/>
          <w:kern w:val="2"/>
          <w:sz w:val="24"/>
          <w:szCs w:val="24"/>
          <w:lang w:eastAsia="zh-CN"/>
        </w:rPr>
        <w:t>Chyka</w:t>
      </w:r>
      <w:proofErr w:type="spellEnd"/>
      <w:r w:rsidRPr="00691B3F">
        <w:rPr>
          <w:rFonts w:ascii="Book Antiqua" w:eastAsia="DengXian" w:hAnsi="Book Antiqua" w:cs="Times New Roman"/>
          <w:kern w:val="2"/>
          <w:sz w:val="24"/>
          <w:szCs w:val="24"/>
          <w:lang w:eastAsia="zh-CN"/>
        </w:rPr>
        <w:t xml:space="preserve"> PA, </w:t>
      </w:r>
      <w:proofErr w:type="spellStart"/>
      <w:r w:rsidRPr="00691B3F">
        <w:rPr>
          <w:rFonts w:ascii="Book Antiqua" w:eastAsia="DengXian" w:hAnsi="Book Antiqua" w:cs="Times New Roman"/>
          <w:kern w:val="2"/>
          <w:sz w:val="24"/>
          <w:szCs w:val="24"/>
          <w:lang w:eastAsia="zh-CN"/>
        </w:rPr>
        <w:t>Caravati</w:t>
      </w:r>
      <w:proofErr w:type="spellEnd"/>
      <w:r w:rsidRPr="00691B3F">
        <w:rPr>
          <w:rFonts w:ascii="Book Antiqua" w:eastAsia="DengXian" w:hAnsi="Book Antiqua" w:cs="Times New Roman"/>
          <w:kern w:val="2"/>
          <w:sz w:val="24"/>
          <w:szCs w:val="24"/>
          <w:lang w:eastAsia="zh-CN"/>
        </w:rPr>
        <w:t xml:space="preserve"> EM, Wax PM, Keyes DC, Woolf AD, </w:t>
      </w:r>
      <w:proofErr w:type="spellStart"/>
      <w:r w:rsidRPr="00691B3F">
        <w:rPr>
          <w:rFonts w:ascii="Book Antiqua" w:eastAsia="DengXian" w:hAnsi="Book Antiqua" w:cs="Times New Roman"/>
          <w:kern w:val="2"/>
          <w:sz w:val="24"/>
          <w:szCs w:val="24"/>
          <w:lang w:eastAsia="zh-CN"/>
        </w:rPr>
        <w:t>Scharman</w:t>
      </w:r>
      <w:proofErr w:type="spellEnd"/>
      <w:r w:rsidRPr="00691B3F">
        <w:rPr>
          <w:rFonts w:ascii="Book Antiqua" w:eastAsia="DengXian" w:hAnsi="Book Antiqua" w:cs="Times New Roman"/>
          <w:kern w:val="2"/>
          <w:sz w:val="24"/>
          <w:szCs w:val="24"/>
          <w:lang w:eastAsia="zh-CN"/>
        </w:rPr>
        <w:t xml:space="preserve"> EJ, Booze LL, Troutman WG; American Association of Poison Control Centers. Acetaminophen poisoning: an evidence-based consensus guideline for out-of-hospital management. </w:t>
      </w:r>
      <w:proofErr w:type="spellStart"/>
      <w:r w:rsidRPr="00691B3F">
        <w:rPr>
          <w:rFonts w:ascii="Book Antiqua" w:eastAsia="DengXian" w:hAnsi="Book Antiqua" w:cs="Times New Roman"/>
          <w:i/>
          <w:kern w:val="2"/>
          <w:sz w:val="24"/>
          <w:szCs w:val="24"/>
          <w:lang w:eastAsia="zh-CN"/>
        </w:rPr>
        <w:t>Clin</w:t>
      </w:r>
      <w:proofErr w:type="spellEnd"/>
      <w:r w:rsidRPr="00691B3F">
        <w:rPr>
          <w:rFonts w:ascii="Book Antiqua" w:eastAsia="DengXian" w:hAnsi="Book Antiqua" w:cs="Times New Roman"/>
          <w:i/>
          <w:kern w:val="2"/>
          <w:sz w:val="24"/>
          <w:szCs w:val="24"/>
          <w:lang w:eastAsia="zh-CN"/>
        </w:rPr>
        <w:t xml:space="preserve"> </w:t>
      </w:r>
      <w:proofErr w:type="spellStart"/>
      <w:r w:rsidRPr="00691B3F">
        <w:rPr>
          <w:rFonts w:ascii="Book Antiqua" w:eastAsia="DengXian" w:hAnsi="Book Antiqua" w:cs="Times New Roman"/>
          <w:i/>
          <w:kern w:val="2"/>
          <w:sz w:val="24"/>
          <w:szCs w:val="24"/>
          <w:lang w:eastAsia="zh-CN"/>
        </w:rPr>
        <w:t>Toxicol</w:t>
      </w:r>
      <w:proofErr w:type="spellEnd"/>
      <w:r w:rsidRPr="00691B3F">
        <w:rPr>
          <w:rFonts w:ascii="Book Antiqua" w:eastAsia="DengXian" w:hAnsi="Book Antiqua" w:cs="Times New Roman"/>
          <w:i/>
          <w:kern w:val="2"/>
          <w:sz w:val="24"/>
          <w:szCs w:val="24"/>
          <w:lang w:eastAsia="zh-CN"/>
        </w:rPr>
        <w:t xml:space="preserve"> (</w:t>
      </w:r>
      <w:proofErr w:type="spellStart"/>
      <w:r w:rsidRPr="00691B3F">
        <w:rPr>
          <w:rFonts w:ascii="Book Antiqua" w:eastAsia="DengXian" w:hAnsi="Book Antiqua" w:cs="Times New Roman"/>
          <w:i/>
          <w:kern w:val="2"/>
          <w:sz w:val="24"/>
          <w:szCs w:val="24"/>
          <w:lang w:eastAsia="zh-CN"/>
        </w:rPr>
        <w:t>Phila</w:t>
      </w:r>
      <w:proofErr w:type="spellEnd"/>
      <w:r w:rsidRPr="00691B3F">
        <w:rPr>
          <w:rFonts w:ascii="Book Antiqua" w:eastAsia="DengXian" w:hAnsi="Book Antiqua" w:cs="Times New Roman"/>
          <w:i/>
          <w:kern w:val="2"/>
          <w:sz w:val="24"/>
          <w:szCs w:val="24"/>
          <w:lang w:eastAsia="zh-CN"/>
        </w:rPr>
        <w:t>)</w:t>
      </w:r>
      <w:r w:rsidRPr="00691B3F">
        <w:rPr>
          <w:rFonts w:ascii="Book Antiqua" w:eastAsia="DengXian" w:hAnsi="Book Antiqua" w:cs="Times New Roman"/>
          <w:kern w:val="2"/>
          <w:sz w:val="24"/>
          <w:szCs w:val="24"/>
          <w:lang w:eastAsia="zh-CN"/>
        </w:rPr>
        <w:t xml:space="preserve"> 2006; </w:t>
      </w:r>
      <w:r w:rsidRPr="00691B3F">
        <w:rPr>
          <w:rFonts w:ascii="Book Antiqua" w:eastAsia="DengXian" w:hAnsi="Book Antiqua" w:cs="Times New Roman"/>
          <w:b/>
          <w:kern w:val="2"/>
          <w:sz w:val="24"/>
          <w:szCs w:val="24"/>
          <w:lang w:eastAsia="zh-CN"/>
        </w:rPr>
        <w:t>44</w:t>
      </w:r>
      <w:r w:rsidRPr="00691B3F">
        <w:rPr>
          <w:rFonts w:ascii="Book Antiqua" w:eastAsia="DengXian" w:hAnsi="Book Antiqua" w:cs="Times New Roman"/>
          <w:kern w:val="2"/>
          <w:sz w:val="24"/>
          <w:szCs w:val="24"/>
          <w:lang w:eastAsia="zh-CN"/>
        </w:rPr>
        <w:t>: 1-18 [PMID: 16496488 DOI: 10.1080/15563650500394571]</w:t>
      </w:r>
    </w:p>
    <w:p w14:paraId="0F359757"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proofErr w:type="gramStart"/>
      <w:r w:rsidRPr="00691B3F">
        <w:rPr>
          <w:rFonts w:ascii="Book Antiqua" w:eastAsia="DengXian" w:hAnsi="Book Antiqua" w:cs="Times New Roman"/>
          <w:kern w:val="2"/>
          <w:sz w:val="24"/>
          <w:szCs w:val="24"/>
          <w:lang w:eastAsia="zh-CN"/>
        </w:rPr>
        <w:t xml:space="preserve">44 </w:t>
      </w:r>
      <w:r w:rsidRPr="00691B3F">
        <w:rPr>
          <w:rFonts w:ascii="Book Antiqua" w:eastAsia="DengXian" w:hAnsi="Book Antiqua" w:cs="Times New Roman"/>
          <w:b/>
          <w:kern w:val="2"/>
          <w:sz w:val="24"/>
          <w:szCs w:val="24"/>
          <w:lang w:eastAsia="zh-CN"/>
        </w:rPr>
        <w:t>Schmidt LE</w:t>
      </w:r>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kern w:val="2"/>
          <w:sz w:val="24"/>
          <w:szCs w:val="24"/>
          <w:lang w:eastAsia="zh-CN"/>
        </w:rPr>
        <w:t>Dalhoff</w:t>
      </w:r>
      <w:proofErr w:type="spellEnd"/>
      <w:r w:rsidRPr="00691B3F">
        <w:rPr>
          <w:rFonts w:ascii="Book Antiqua" w:eastAsia="DengXian" w:hAnsi="Book Antiqua" w:cs="Times New Roman"/>
          <w:kern w:val="2"/>
          <w:sz w:val="24"/>
          <w:szCs w:val="24"/>
          <w:lang w:eastAsia="zh-CN"/>
        </w:rPr>
        <w:t xml:space="preserve"> K, </w:t>
      </w:r>
      <w:proofErr w:type="spellStart"/>
      <w:r w:rsidRPr="00691B3F">
        <w:rPr>
          <w:rFonts w:ascii="Book Antiqua" w:eastAsia="DengXian" w:hAnsi="Book Antiqua" w:cs="Times New Roman"/>
          <w:kern w:val="2"/>
          <w:sz w:val="24"/>
          <w:szCs w:val="24"/>
          <w:lang w:eastAsia="zh-CN"/>
        </w:rPr>
        <w:t>Poulsen</w:t>
      </w:r>
      <w:proofErr w:type="spellEnd"/>
      <w:r w:rsidRPr="00691B3F">
        <w:rPr>
          <w:rFonts w:ascii="Book Antiqua" w:eastAsia="DengXian" w:hAnsi="Book Antiqua" w:cs="Times New Roman"/>
          <w:kern w:val="2"/>
          <w:sz w:val="24"/>
          <w:szCs w:val="24"/>
          <w:lang w:eastAsia="zh-CN"/>
        </w:rPr>
        <w:t xml:space="preserve"> HE.</w:t>
      </w:r>
      <w:proofErr w:type="gramEnd"/>
      <w:r w:rsidRPr="00691B3F">
        <w:rPr>
          <w:rFonts w:ascii="Book Antiqua" w:eastAsia="DengXian" w:hAnsi="Book Antiqua" w:cs="Times New Roman"/>
          <w:kern w:val="2"/>
          <w:sz w:val="24"/>
          <w:szCs w:val="24"/>
          <w:lang w:eastAsia="zh-CN"/>
        </w:rPr>
        <w:t xml:space="preserve"> </w:t>
      </w:r>
      <w:proofErr w:type="gramStart"/>
      <w:r w:rsidRPr="00691B3F">
        <w:rPr>
          <w:rFonts w:ascii="Book Antiqua" w:eastAsia="DengXian" w:hAnsi="Book Antiqua" w:cs="Times New Roman"/>
          <w:kern w:val="2"/>
          <w:sz w:val="24"/>
          <w:szCs w:val="24"/>
          <w:lang w:eastAsia="zh-CN"/>
        </w:rPr>
        <w:t>Acute versus chronic alcohol consumption in acetaminophen-induced hepatotoxicity.</w:t>
      </w:r>
      <w:proofErr w:type="gramEnd"/>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i/>
          <w:kern w:val="2"/>
          <w:sz w:val="24"/>
          <w:szCs w:val="24"/>
          <w:lang w:eastAsia="zh-CN"/>
        </w:rPr>
        <w:t>Hepatology</w:t>
      </w:r>
      <w:proofErr w:type="spellEnd"/>
      <w:r w:rsidRPr="00691B3F">
        <w:rPr>
          <w:rFonts w:ascii="Book Antiqua" w:eastAsia="DengXian" w:hAnsi="Book Antiqua" w:cs="Times New Roman"/>
          <w:kern w:val="2"/>
          <w:sz w:val="24"/>
          <w:szCs w:val="24"/>
          <w:lang w:eastAsia="zh-CN"/>
        </w:rPr>
        <w:t xml:space="preserve"> 2002; </w:t>
      </w:r>
      <w:r w:rsidRPr="00691B3F">
        <w:rPr>
          <w:rFonts w:ascii="Book Antiqua" w:eastAsia="DengXian" w:hAnsi="Book Antiqua" w:cs="Times New Roman"/>
          <w:b/>
          <w:kern w:val="2"/>
          <w:sz w:val="24"/>
          <w:szCs w:val="24"/>
          <w:lang w:eastAsia="zh-CN"/>
        </w:rPr>
        <w:t>35</w:t>
      </w:r>
      <w:r w:rsidRPr="00691B3F">
        <w:rPr>
          <w:rFonts w:ascii="Book Antiqua" w:eastAsia="DengXian" w:hAnsi="Book Antiqua" w:cs="Times New Roman"/>
          <w:kern w:val="2"/>
          <w:sz w:val="24"/>
          <w:szCs w:val="24"/>
          <w:lang w:eastAsia="zh-CN"/>
        </w:rPr>
        <w:t>: 876-882 [PMID: 11915034 DOI: 10.1053/jhep.2002.32148]</w:t>
      </w:r>
    </w:p>
    <w:p w14:paraId="15FB90BE"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45 </w:t>
      </w:r>
      <w:proofErr w:type="spellStart"/>
      <w:r w:rsidRPr="00691B3F">
        <w:rPr>
          <w:rFonts w:ascii="Book Antiqua" w:eastAsia="DengXian" w:hAnsi="Book Antiqua" w:cs="Times New Roman"/>
          <w:b/>
          <w:kern w:val="2"/>
          <w:sz w:val="24"/>
          <w:szCs w:val="24"/>
          <w:lang w:eastAsia="zh-CN"/>
        </w:rPr>
        <w:t>Waring</w:t>
      </w:r>
      <w:proofErr w:type="spellEnd"/>
      <w:r w:rsidRPr="00691B3F">
        <w:rPr>
          <w:rFonts w:ascii="Book Antiqua" w:eastAsia="DengXian" w:hAnsi="Book Antiqua" w:cs="Times New Roman"/>
          <w:b/>
          <w:kern w:val="2"/>
          <w:sz w:val="24"/>
          <w:szCs w:val="24"/>
          <w:lang w:eastAsia="zh-CN"/>
        </w:rPr>
        <w:t xml:space="preserve"> WS</w:t>
      </w:r>
      <w:r w:rsidRPr="00691B3F">
        <w:rPr>
          <w:rFonts w:ascii="Book Antiqua" w:eastAsia="DengXian" w:hAnsi="Book Antiqua" w:cs="Times New Roman"/>
          <w:kern w:val="2"/>
          <w:sz w:val="24"/>
          <w:szCs w:val="24"/>
          <w:lang w:eastAsia="zh-CN"/>
        </w:rPr>
        <w:t xml:space="preserve">, Stephen AF, </w:t>
      </w:r>
      <w:proofErr w:type="spellStart"/>
      <w:r w:rsidRPr="00691B3F">
        <w:rPr>
          <w:rFonts w:ascii="Book Antiqua" w:eastAsia="DengXian" w:hAnsi="Book Antiqua" w:cs="Times New Roman"/>
          <w:kern w:val="2"/>
          <w:sz w:val="24"/>
          <w:szCs w:val="24"/>
          <w:lang w:eastAsia="zh-CN"/>
        </w:rPr>
        <w:t>Malkowska</w:t>
      </w:r>
      <w:proofErr w:type="spellEnd"/>
      <w:r w:rsidRPr="00691B3F">
        <w:rPr>
          <w:rFonts w:ascii="Book Antiqua" w:eastAsia="DengXian" w:hAnsi="Book Antiqua" w:cs="Times New Roman"/>
          <w:kern w:val="2"/>
          <w:sz w:val="24"/>
          <w:szCs w:val="24"/>
          <w:lang w:eastAsia="zh-CN"/>
        </w:rPr>
        <w:t xml:space="preserve"> AM, Robinson OD. Acute ethanol </w:t>
      </w:r>
      <w:proofErr w:type="spellStart"/>
      <w:r w:rsidRPr="00691B3F">
        <w:rPr>
          <w:rFonts w:ascii="Book Antiqua" w:eastAsia="DengXian" w:hAnsi="Book Antiqua" w:cs="Times New Roman"/>
          <w:kern w:val="2"/>
          <w:sz w:val="24"/>
          <w:szCs w:val="24"/>
          <w:lang w:eastAsia="zh-CN"/>
        </w:rPr>
        <w:t>coingestion</w:t>
      </w:r>
      <w:proofErr w:type="spellEnd"/>
      <w:r w:rsidRPr="00691B3F">
        <w:rPr>
          <w:rFonts w:ascii="Book Antiqua" w:eastAsia="DengXian" w:hAnsi="Book Antiqua" w:cs="Times New Roman"/>
          <w:kern w:val="2"/>
          <w:sz w:val="24"/>
          <w:szCs w:val="24"/>
          <w:lang w:eastAsia="zh-CN"/>
        </w:rPr>
        <w:t xml:space="preserve"> confers a lower risk of hepatotoxicity after deliberate acetaminophen overdose. </w:t>
      </w:r>
      <w:proofErr w:type="spellStart"/>
      <w:r w:rsidRPr="00691B3F">
        <w:rPr>
          <w:rFonts w:ascii="Book Antiqua" w:eastAsia="DengXian" w:hAnsi="Book Antiqua" w:cs="Times New Roman"/>
          <w:i/>
          <w:kern w:val="2"/>
          <w:sz w:val="24"/>
          <w:szCs w:val="24"/>
          <w:lang w:eastAsia="zh-CN"/>
        </w:rPr>
        <w:t>Acad</w:t>
      </w:r>
      <w:proofErr w:type="spellEnd"/>
      <w:r w:rsidRPr="00691B3F">
        <w:rPr>
          <w:rFonts w:ascii="Book Antiqua" w:eastAsia="DengXian" w:hAnsi="Book Antiqua" w:cs="Times New Roman"/>
          <w:i/>
          <w:kern w:val="2"/>
          <w:sz w:val="24"/>
          <w:szCs w:val="24"/>
          <w:lang w:eastAsia="zh-CN"/>
        </w:rPr>
        <w:t xml:space="preserve"> </w:t>
      </w:r>
      <w:proofErr w:type="spellStart"/>
      <w:r w:rsidRPr="00691B3F">
        <w:rPr>
          <w:rFonts w:ascii="Book Antiqua" w:eastAsia="DengXian" w:hAnsi="Book Antiqua" w:cs="Times New Roman"/>
          <w:i/>
          <w:kern w:val="2"/>
          <w:sz w:val="24"/>
          <w:szCs w:val="24"/>
          <w:lang w:eastAsia="zh-CN"/>
        </w:rPr>
        <w:t>Emerg</w:t>
      </w:r>
      <w:proofErr w:type="spellEnd"/>
      <w:r w:rsidRPr="00691B3F">
        <w:rPr>
          <w:rFonts w:ascii="Book Antiqua" w:eastAsia="DengXian" w:hAnsi="Book Antiqua" w:cs="Times New Roman"/>
          <w:i/>
          <w:kern w:val="2"/>
          <w:sz w:val="24"/>
          <w:szCs w:val="24"/>
          <w:lang w:eastAsia="zh-CN"/>
        </w:rPr>
        <w:t xml:space="preserve"> Med</w:t>
      </w:r>
      <w:r w:rsidRPr="00691B3F">
        <w:rPr>
          <w:rFonts w:ascii="Book Antiqua" w:eastAsia="DengXian" w:hAnsi="Book Antiqua" w:cs="Times New Roman"/>
          <w:kern w:val="2"/>
          <w:sz w:val="24"/>
          <w:szCs w:val="24"/>
          <w:lang w:eastAsia="zh-CN"/>
        </w:rPr>
        <w:t xml:space="preserve"> 2008; </w:t>
      </w:r>
      <w:r w:rsidRPr="00691B3F">
        <w:rPr>
          <w:rFonts w:ascii="Book Antiqua" w:eastAsia="DengXian" w:hAnsi="Book Antiqua" w:cs="Times New Roman"/>
          <w:b/>
          <w:kern w:val="2"/>
          <w:sz w:val="24"/>
          <w:szCs w:val="24"/>
          <w:lang w:eastAsia="zh-CN"/>
        </w:rPr>
        <w:t>15</w:t>
      </w:r>
      <w:r w:rsidRPr="00691B3F">
        <w:rPr>
          <w:rFonts w:ascii="Book Antiqua" w:eastAsia="DengXian" w:hAnsi="Book Antiqua" w:cs="Times New Roman"/>
          <w:kern w:val="2"/>
          <w:sz w:val="24"/>
          <w:szCs w:val="24"/>
          <w:lang w:eastAsia="zh-CN"/>
        </w:rPr>
        <w:t>: 54-58 [PMID: 18211314 DOI: 10.1111/j.1553-2712.2007.00019.x]</w:t>
      </w:r>
    </w:p>
    <w:p w14:paraId="6EEC7BF9"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46 </w:t>
      </w:r>
      <w:r w:rsidRPr="00691B3F">
        <w:rPr>
          <w:rFonts w:ascii="Book Antiqua" w:eastAsia="DengXian" w:hAnsi="Book Antiqua" w:cs="Times New Roman"/>
          <w:b/>
          <w:kern w:val="2"/>
          <w:sz w:val="24"/>
          <w:szCs w:val="24"/>
          <w:lang w:eastAsia="zh-CN"/>
        </w:rPr>
        <w:t>McGill MR</w:t>
      </w:r>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kern w:val="2"/>
          <w:sz w:val="24"/>
          <w:szCs w:val="24"/>
          <w:lang w:eastAsia="zh-CN"/>
        </w:rPr>
        <w:t>Jaeschke</w:t>
      </w:r>
      <w:proofErr w:type="spellEnd"/>
      <w:r w:rsidRPr="00691B3F">
        <w:rPr>
          <w:rFonts w:ascii="Book Antiqua" w:eastAsia="DengXian" w:hAnsi="Book Antiqua" w:cs="Times New Roman"/>
          <w:kern w:val="2"/>
          <w:sz w:val="24"/>
          <w:szCs w:val="24"/>
          <w:lang w:eastAsia="zh-CN"/>
        </w:rPr>
        <w:t xml:space="preserve"> H. Metabolism and disposition of acetaminophen: recent advances in relation to hepatotoxicity and diagnosis. </w:t>
      </w:r>
      <w:r w:rsidRPr="00691B3F">
        <w:rPr>
          <w:rFonts w:ascii="Book Antiqua" w:eastAsia="DengXian" w:hAnsi="Book Antiqua" w:cs="Times New Roman"/>
          <w:i/>
          <w:kern w:val="2"/>
          <w:sz w:val="24"/>
          <w:szCs w:val="24"/>
          <w:lang w:eastAsia="zh-CN"/>
        </w:rPr>
        <w:t>Pharm Res</w:t>
      </w:r>
      <w:r w:rsidRPr="00691B3F">
        <w:rPr>
          <w:rFonts w:ascii="Book Antiqua" w:eastAsia="DengXian" w:hAnsi="Book Antiqua" w:cs="Times New Roman"/>
          <w:kern w:val="2"/>
          <w:sz w:val="24"/>
          <w:szCs w:val="24"/>
          <w:lang w:eastAsia="zh-CN"/>
        </w:rPr>
        <w:t xml:space="preserve"> 2013; </w:t>
      </w:r>
      <w:r w:rsidRPr="00691B3F">
        <w:rPr>
          <w:rFonts w:ascii="Book Antiqua" w:eastAsia="DengXian" w:hAnsi="Book Antiqua" w:cs="Times New Roman"/>
          <w:b/>
          <w:kern w:val="2"/>
          <w:sz w:val="24"/>
          <w:szCs w:val="24"/>
          <w:lang w:eastAsia="zh-CN"/>
        </w:rPr>
        <w:t>30</w:t>
      </w:r>
      <w:r w:rsidRPr="00691B3F">
        <w:rPr>
          <w:rFonts w:ascii="Book Antiqua" w:eastAsia="DengXian" w:hAnsi="Book Antiqua" w:cs="Times New Roman"/>
          <w:kern w:val="2"/>
          <w:sz w:val="24"/>
          <w:szCs w:val="24"/>
          <w:lang w:eastAsia="zh-CN"/>
        </w:rPr>
        <w:t xml:space="preserve">: 2174-2187 </w:t>
      </w:r>
      <w:r w:rsidRPr="00691B3F">
        <w:rPr>
          <w:rFonts w:ascii="Book Antiqua" w:eastAsia="DengXian" w:hAnsi="Book Antiqua" w:cs="Times New Roman"/>
          <w:kern w:val="2"/>
          <w:sz w:val="24"/>
          <w:szCs w:val="24"/>
          <w:lang w:eastAsia="zh-CN"/>
        </w:rPr>
        <w:lastRenderedPageBreak/>
        <w:t>[PMID: 23462933 DOI: 10.1007/s11095-013-1007-6]</w:t>
      </w:r>
    </w:p>
    <w:p w14:paraId="015CED15"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proofErr w:type="gramStart"/>
      <w:r w:rsidRPr="00691B3F">
        <w:rPr>
          <w:rFonts w:ascii="Book Antiqua" w:eastAsia="DengXian" w:hAnsi="Book Antiqua" w:cs="Times New Roman"/>
          <w:kern w:val="2"/>
          <w:sz w:val="24"/>
          <w:szCs w:val="24"/>
          <w:lang w:eastAsia="zh-CN"/>
        </w:rPr>
        <w:t xml:space="preserve">47 </w:t>
      </w:r>
      <w:r w:rsidRPr="00691B3F">
        <w:rPr>
          <w:rFonts w:ascii="Book Antiqua" w:eastAsia="DengXian" w:hAnsi="Book Antiqua" w:cs="Times New Roman"/>
          <w:b/>
          <w:kern w:val="2"/>
          <w:sz w:val="24"/>
          <w:szCs w:val="24"/>
          <w:lang w:eastAsia="zh-CN"/>
        </w:rPr>
        <w:t>Wang P</w:t>
      </w:r>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kern w:val="2"/>
          <w:sz w:val="24"/>
          <w:szCs w:val="24"/>
          <w:lang w:eastAsia="zh-CN"/>
        </w:rPr>
        <w:t>Pradhan</w:t>
      </w:r>
      <w:proofErr w:type="spellEnd"/>
      <w:r w:rsidRPr="00691B3F">
        <w:rPr>
          <w:rFonts w:ascii="Book Antiqua" w:eastAsia="DengXian" w:hAnsi="Book Antiqua" w:cs="Times New Roman"/>
          <w:kern w:val="2"/>
          <w:sz w:val="24"/>
          <w:szCs w:val="24"/>
          <w:lang w:eastAsia="zh-CN"/>
        </w:rPr>
        <w:t xml:space="preserve"> K, </w:t>
      </w:r>
      <w:proofErr w:type="spellStart"/>
      <w:r w:rsidRPr="00691B3F">
        <w:rPr>
          <w:rFonts w:ascii="Book Antiqua" w:eastAsia="DengXian" w:hAnsi="Book Antiqua" w:cs="Times New Roman"/>
          <w:kern w:val="2"/>
          <w:sz w:val="24"/>
          <w:szCs w:val="24"/>
          <w:lang w:eastAsia="zh-CN"/>
        </w:rPr>
        <w:t>Zhong</w:t>
      </w:r>
      <w:proofErr w:type="spellEnd"/>
      <w:r w:rsidRPr="00691B3F">
        <w:rPr>
          <w:rFonts w:ascii="Book Antiqua" w:eastAsia="DengXian" w:hAnsi="Book Antiqua" w:cs="Times New Roman"/>
          <w:kern w:val="2"/>
          <w:sz w:val="24"/>
          <w:szCs w:val="24"/>
          <w:lang w:eastAsia="zh-CN"/>
        </w:rPr>
        <w:t xml:space="preserve"> XB, Ma X. Isoniazid metabolism and hepatotoxicity.</w:t>
      </w:r>
      <w:proofErr w:type="gramEnd"/>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i/>
          <w:kern w:val="2"/>
          <w:sz w:val="24"/>
          <w:szCs w:val="24"/>
          <w:lang w:eastAsia="zh-CN"/>
        </w:rPr>
        <w:t>Acta</w:t>
      </w:r>
      <w:proofErr w:type="spellEnd"/>
      <w:r w:rsidRPr="00691B3F">
        <w:rPr>
          <w:rFonts w:ascii="Book Antiqua" w:eastAsia="DengXian" w:hAnsi="Book Antiqua" w:cs="Times New Roman"/>
          <w:i/>
          <w:kern w:val="2"/>
          <w:sz w:val="24"/>
          <w:szCs w:val="24"/>
          <w:lang w:eastAsia="zh-CN"/>
        </w:rPr>
        <w:t xml:space="preserve"> Pharm Sin B</w:t>
      </w:r>
      <w:r w:rsidRPr="00691B3F">
        <w:rPr>
          <w:rFonts w:ascii="Book Antiqua" w:eastAsia="DengXian" w:hAnsi="Book Antiqua" w:cs="Times New Roman"/>
          <w:kern w:val="2"/>
          <w:sz w:val="24"/>
          <w:szCs w:val="24"/>
          <w:lang w:eastAsia="zh-CN"/>
        </w:rPr>
        <w:t xml:space="preserve"> 2016; </w:t>
      </w:r>
      <w:r w:rsidRPr="00691B3F">
        <w:rPr>
          <w:rFonts w:ascii="Book Antiqua" w:eastAsia="DengXian" w:hAnsi="Book Antiqua" w:cs="Times New Roman"/>
          <w:b/>
          <w:kern w:val="2"/>
          <w:sz w:val="24"/>
          <w:szCs w:val="24"/>
          <w:lang w:eastAsia="zh-CN"/>
        </w:rPr>
        <w:t>6</w:t>
      </w:r>
      <w:r w:rsidRPr="00691B3F">
        <w:rPr>
          <w:rFonts w:ascii="Book Antiqua" w:eastAsia="DengXian" w:hAnsi="Book Antiqua" w:cs="Times New Roman"/>
          <w:kern w:val="2"/>
          <w:sz w:val="24"/>
          <w:szCs w:val="24"/>
          <w:lang w:eastAsia="zh-CN"/>
        </w:rPr>
        <w:t>: 384-392 [PMID: 27709007 DOI: 10.1016/j.apsb.2016.07.014]</w:t>
      </w:r>
    </w:p>
    <w:p w14:paraId="64FFE836"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proofErr w:type="gramStart"/>
      <w:r w:rsidRPr="00691B3F">
        <w:rPr>
          <w:rFonts w:ascii="Book Antiqua" w:eastAsia="DengXian" w:hAnsi="Book Antiqua" w:cs="Times New Roman"/>
          <w:kern w:val="2"/>
          <w:sz w:val="24"/>
          <w:szCs w:val="24"/>
          <w:lang w:eastAsia="zh-CN"/>
        </w:rPr>
        <w:t xml:space="preserve">48 </w:t>
      </w:r>
      <w:r w:rsidRPr="00691B3F">
        <w:rPr>
          <w:rFonts w:ascii="Book Antiqua" w:eastAsia="DengXian" w:hAnsi="Book Antiqua" w:cs="Times New Roman"/>
          <w:b/>
          <w:kern w:val="2"/>
          <w:sz w:val="24"/>
          <w:szCs w:val="24"/>
          <w:lang w:eastAsia="zh-CN"/>
        </w:rPr>
        <w:t>Whitcomb DC</w:t>
      </w:r>
      <w:r w:rsidRPr="00691B3F">
        <w:rPr>
          <w:rFonts w:ascii="Book Antiqua" w:eastAsia="DengXian" w:hAnsi="Book Antiqua" w:cs="Times New Roman"/>
          <w:kern w:val="2"/>
          <w:sz w:val="24"/>
          <w:szCs w:val="24"/>
          <w:lang w:eastAsia="zh-CN"/>
        </w:rPr>
        <w:t>, Block GD. Association of acetaminophen hepatotoxicity with fasting and ethanol use.</w:t>
      </w:r>
      <w:proofErr w:type="gramEnd"/>
      <w:r w:rsidRPr="00691B3F">
        <w:rPr>
          <w:rFonts w:ascii="Book Antiqua" w:eastAsia="DengXian" w:hAnsi="Book Antiqua" w:cs="Times New Roman"/>
          <w:kern w:val="2"/>
          <w:sz w:val="24"/>
          <w:szCs w:val="24"/>
          <w:lang w:eastAsia="zh-CN"/>
        </w:rPr>
        <w:t xml:space="preserve"> </w:t>
      </w:r>
      <w:r w:rsidRPr="00691B3F">
        <w:rPr>
          <w:rFonts w:ascii="Book Antiqua" w:eastAsia="DengXian" w:hAnsi="Book Antiqua" w:cs="Times New Roman"/>
          <w:i/>
          <w:kern w:val="2"/>
          <w:sz w:val="24"/>
          <w:szCs w:val="24"/>
          <w:lang w:eastAsia="zh-CN"/>
        </w:rPr>
        <w:t>JAMA</w:t>
      </w:r>
      <w:r w:rsidRPr="00691B3F">
        <w:rPr>
          <w:rFonts w:ascii="Book Antiqua" w:eastAsia="DengXian" w:hAnsi="Book Antiqua" w:cs="Times New Roman"/>
          <w:kern w:val="2"/>
          <w:sz w:val="24"/>
          <w:szCs w:val="24"/>
          <w:lang w:eastAsia="zh-CN"/>
        </w:rPr>
        <w:t xml:space="preserve"> 1994; </w:t>
      </w:r>
      <w:r w:rsidRPr="00691B3F">
        <w:rPr>
          <w:rFonts w:ascii="Book Antiqua" w:eastAsia="DengXian" w:hAnsi="Book Antiqua" w:cs="Times New Roman"/>
          <w:b/>
          <w:kern w:val="2"/>
          <w:sz w:val="24"/>
          <w:szCs w:val="24"/>
          <w:lang w:eastAsia="zh-CN"/>
        </w:rPr>
        <w:t>272</w:t>
      </w:r>
      <w:r w:rsidRPr="00691B3F">
        <w:rPr>
          <w:rFonts w:ascii="Book Antiqua" w:eastAsia="DengXian" w:hAnsi="Book Antiqua" w:cs="Times New Roman"/>
          <w:kern w:val="2"/>
          <w:sz w:val="24"/>
          <w:szCs w:val="24"/>
          <w:lang w:eastAsia="zh-CN"/>
        </w:rPr>
        <w:t>: 1845-1850 [PMID: 7990219 DOI: 10.1001/jama.1994.03520230055038]</w:t>
      </w:r>
    </w:p>
    <w:p w14:paraId="487C588D"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49 </w:t>
      </w:r>
      <w:r w:rsidRPr="00691B3F">
        <w:rPr>
          <w:rFonts w:ascii="Book Antiqua" w:eastAsia="DengXian" w:hAnsi="Book Antiqua" w:cs="Times New Roman"/>
          <w:b/>
          <w:kern w:val="2"/>
          <w:sz w:val="24"/>
          <w:szCs w:val="24"/>
          <w:lang w:eastAsia="zh-CN"/>
        </w:rPr>
        <w:t>Zenger F</w:t>
      </w:r>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kern w:val="2"/>
          <w:sz w:val="24"/>
          <w:szCs w:val="24"/>
          <w:lang w:eastAsia="zh-CN"/>
        </w:rPr>
        <w:t>Russmann</w:t>
      </w:r>
      <w:proofErr w:type="spellEnd"/>
      <w:r w:rsidRPr="00691B3F">
        <w:rPr>
          <w:rFonts w:ascii="Book Antiqua" w:eastAsia="DengXian" w:hAnsi="Book Antiqua" w:cs="Times New Roman"/>
          <w:kern w:val="2"/>
          <w:sz w:val="24"/>
          <w:szCs w:val="24"/>
          <w:lang w:eastAsia="zh-CN"/>
        </w:rPr>
        <w:t xml:space="preserve"> S, Junker E, </w:t>
      </w:r>
      <w:proofErr w:type="spellStart"/>
      <w:r w:rsidRPr="00691B3F">
        <w:rPr>
          <w:rFonts w:ascii="Book Antiqua" w:eastAsia="DengXian" w:hAnsi="Book Antiqua" w:cs="Times New Roman"/>
          <w:kern w:val="2"/>
          <w:sz w:val="24"/>
          <w:szCs w:val="24"/>
          <w:lang w:eastAsia="zh-CN"/>
        </w:rPr>
        <w:t>Wüthrich</w:t>
      </w:r>
      <w:proofErr w:type="spellEnd"/>
      <w:r w:rsidRPr="00691B3F">
        <w:rPr>
          <w:rFonts w:ascii="Book Antiqua" w:eastAsia="DengXian" w:hAnsi="Book Antiqua" w:cs="Times New Roman"/>
          <w:kern w:val="2"/>
          <w:sz w:val="24"/>
          <w:szCs w:val="24"/>
          <w:lang w:eastAsia="zh-CN"/>
        </w:rPr>
        <w:t xml:space="preserve"> C, Bui MH, </w:t>
      </w:r>
      <w:proofErr w:type="spellStart"/>
      <w:r w:rsidRPr="00691B3F">
        <w:rPr>
          <w:rFonts w:ascii="Book Antiqua" w:eastAsia="DengXian" w:hAnsi="Book Antiqua" w:cs="Times New Roman"/>
          <w:kern w:val="2"/>
          <w:sz w:val="24"/>
          <w:szCs w:val="24"/>
          <w:lang w:eastAsia="zh-CN"/>
        </w:rPr>
        <w:t>Lauterburg</w:t>
      </w:r>
      <w:proofErr w:type="spellEnd"/>
      <w:r w:rsidRPr="00691B3F">
        <w:rPr>
          <w:rFonts w:ascii="Book Antiqua" w:eastAsia="DengXian" w:hAnsi="Book Antiqua" w:cs="Times New Roman"/>
          <w:kern w:val="2"/>
          <w:sz w:val="24"/>
          <w:szCs w:val="24"/>
          <w:lang w:eastAsia="zh-CN"/>
        </w:rPr>
        <w:t xml:space="preserve"> BH. </w:t>
      </w:r>
      <w:proofErr w:type="gramStart"/>
      <w:r w:rsidRPr="00691B3F">
        <w:rPr>
          <w:rFonts w:ascii="Book Antiqua" w:eastAsia="DengXian" w:hAnsi="Book Antiqua" w:cs="Times New Roman"/>
          <w:kern w:val="2"/>
          <w:sz w:val="24"/>
          <w:szCs w:val="24"/>
          <w:lang w:eastAsia="zh-CN"/>
        </w:rPr>
        <w:t>Decreased glutathione in patients with anorexia nervosa.</w:t>
      </w:r>
      <w:proofErr w:type="gramEnd"/>
      <w:r w:rsidRPr="00691B3F">
        <w:rPr>
          <w:rFonts w:ascii="Book Antiqua" w:eastAsia="DengXian" w:hAnsi="Book Antiqua" w:cs="Times New Roman"/>
          <w:kern w:val="2"/>
          <w:sz w:val="24"/>
          <w:szCs w:val="24"/>
          <w:lang w:eastAsia="zh-CN"/>
        </w:rPr>
        <w:t xml:space="preserve"> </w:t>
      </w:r>
      <w:proofErr w:type="gramStart"/>
      <w:r w:rsidRPr="00691B3F">
        <w:rPr>
          <w:rFonts w:ascii="Book Antiqua" w:eastAsia="DengXian" w:hAnsi="Book Antiqua" w:cs="Times New Roman"/>
          <w:kern w:val="2"/>
          <w:sz w:val="24"/>
          <w:szCs w:val="24"/>
          <w:lang w:eastAsia="zh-CN"/>
        </w:rPr>
        <w:t>Risk factor for toxic liver injury?</w:t>
      </w:r>
      <w:proofErr w:type="gramEnd"/>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i/>
          <w:kern w:val="2"/>
          <w:sz w:val="24"/>
          <w:szCs w:val="24"/>
          <w:lang w:eastAsia="zh-CN"/>
        </w:rPr>
        <w:t>Eur</w:t>
      </w:r>
      <w:proofErr w:type="spellEnd"/>
      <w:r w:rsidRPr="00691B3F">
        <w:rPr>
          <w:rFonts w:ascii="Book Antiqua" w:eastAsia="DengXian" w:hAnsi="Book Antiqua" w:cs="Times New Roman"/>
          <w:i/>
          <w:kern w:val="2"/>
          <w:sz w:val="24"/>
          <w:szCs w:val="24"/>
          <w:lang w:eastAsia="zh-CN"/>
        </w:rPr>
        <w:t xml:space="preserve"> J </w:t>
      </w:r>
      <w:proofErr w:type="spellStart"/>
      <w:r w:rsidRPr="00691B3F">
        <w:rPr>
          <w:rFonts w:ascii="Book Antiqua" w:eastAsia="DengXian" w:hAnsi="Book Antiqua" w:cs="Times New Roman"/>
          <w:i/>
          <w:kern w:val="2"/>
          <w:sz w:val="24"/>
          <w:szCs w:val="24"/>
          <w:lang w:eastAsia="zh-CN"/>
        </w:rPr>
        <w:t>Clin</w:t>
      </w:r>
      <w:proofErr w:type="spellEnd"/>
      <w:r w:rsidRPr="00691B3F">
        <w:rPr>
          <w:rFonts w:ascii="Book Antiqua" w:eastAsia="DengXian" w:hAnsi="Book Antiqua" w:cs="Times New Roman"/>
          <w:i/>
          <w:kern w:val="2"/>
          <w:sz w:val="24"/>
          <w:szCs w:val="24"/>
          <w:lang w:eastAsia="zh-CN"/>
        </w:rPr>
        <w:t xml:space="preserve"> </w:t>
      </w:r>
      <w:proofErr w:type="spellStart"/>
      <w:r w:rsidRPr="00691B3F">
        <w:rPr>
          <w:rFonts w:ascii="Book Antiqua" w:eastAsia="DengXian" w:hAnsi="Book Antiqua" w:cs="Times New Roman"/>
          <w:i/>
          <w:kern w:val="2"/>
          <w:sz w:val="24"/>
          <w:szCs w:val="24"/>
          <w:lang w:eastAsia="zh-CN"/>
        </w:rPr>
        <w:t>Nutr</w:t>
      </w:r>
      <w:proofErr w:type="spellEnd"/>
      <w:r w:rsidRPr="00691B3F">
        <w:rPr>
          <w:rFonts w:ascii="Book Antiqua" w:eastAsia="DengXian" w:hAnsi="Book Antiqua" w:cs="Times New Roman"/>
          <w:kern w:val="2"/>
          <w:sz w:val="24"/>
          <w:szCs w:val="24"/>
          <w:lang w:eastAsia="zh-CN"/>
        </w:rPr>
        <w:t xml:space="preserve"> 2004; </w:t>
      </w:r>
      <w:r w:rsidRPr="00691B3F">
        <w:rPr>
          <w:rFonts w:ascii="Book Antiqua" w:eastAsia="DengXian" w:hAnsi="Book Antiqua" w:cs="Times New Roman"/>
          <w:b/>
          <w:kern w:val="2"/>
          <w:sz w:val="24"/>
          <w:szCs w:val="24"/>
          <w:lang w:eastAsia="zh-CN"/>
        </w:rPr>
        <w:t>58</w:t>
      </w:r>
      <w:r w:rsidRPr="00691B3F">
        <w:rPr>
          <w:rFonts w:ascii="Book Antiqua" w:eastAsia="DengXian" w:hAnsi="Book Antiqua" w:cs="Times New Roman"/>
          <w:kern w:val="2"/>
          <w:sz w:val="24"/>
          <w:szCs w:val="24"/>
          <w:lang w:eastAsia="zh-CN"/>
        </w:rPr>
        <w:t>: 238-243 [PMID: 14749742 DOI: 10.1038/sj.ejcn.1601772]</w:t>
      </w:r>
    </w:p>
    <w:p w14:paraId="655E04F8"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proofErr w:type="gramStart"/>
      <w:r w:rsidRPr="00691B3F">
        <w:rPr>
          <w:rFonts w:ascii="Book Antiqua" w:eastAsia="DengXian" w:hAnsi="Book Antiqua" w:cs="Times New Roman"/>
          <w:kern w:val="2"/>
          <w:sz w:val="24"/>
          <w:szCs w:val="24"/>
          <w:lang w:eastAsia="zh-CN"/>
        </w:rPr>
        <w:t xml:space="preserve">50 </w:t>
      </w:r>
      <w:proofErr w:type="spellStart"/>
      <w:r w:rsidRPr="00691B3F">
        <w:rPr>
          <w:rFonts w:ascii="Book Antiqua" w:eastAsia="DengXian" w:hAnsi="Book Antiqua" w:cs="Times New Roman"/>
          <w:b/>
          <w:kern w:val="2"/>
          <w:sz w:val="24"/>
          <w:szCs w:val="24"/>
          <w:lang w:eastAsia="zh-CN"/>
        </w:rPr>
        <w:t>Michna</w:t>
      </w:r>
      <w:proofErr w:type="spellEnd"/>
      <w:r w:rsidRPr="00691B3F">
        <w:rPr>
          <w:rFonts w:ascii="Book Antiqua" w:eastAsia="DengXian" w:hAnsi="Book Antiqua" w:cs="Times New Roman"/>
          <w:b/>
          <w:kern w:val="2"/>
          <w:sz w:val="24"/>
          <w:szCs w:val="24"/>
          <w:lang w:eastAsia="zh-CN"/>
        </w:rPr>
        <w:t xml:space="preserve"> E</w:t>
      </w:r>
      <w:r w:rsidRPr="00691B3F">
        <w:rPr>
          <w:rFonts w:ascii="Book Antiqua" w:eastAsia="DengXian" w:hAnsi="Book Antiqua" w:cs="Times New Roman"/>
          <w:kern w:val="2"/>
          <w:sz w:val="24"/>
          <w:szCs w:val="24"/>
          <w:lang w:eastAsia="zh-CN"/>
        </w:rPr>
        <w:t xml:space="preserve">, Duh MS, </w:t>
      </w:r>
      <w:proofErr w:type="spellStart"/>
      <w:r w:rsidRPr="00691B3F">
        <w:rPr>
          <w:rFonts w:ascii="Book Antiqua" w:eastAsia="DengXian" w:hAnsi="Book Antiqua" w:cs="Times New Roman"/>
          <w:kern w:val="2"/>
          <w:sz w:val="24"/>
          <w:szCs w:val="24"/>
          <w:lang w:eastAsia="zh-CN"/>
        </w:rPr>
        <w:t>Korves</w:t>
      </w:r>
      <w:proofErr w:type="spellEnd"/>
      <w:r w:rsidRPr="00691B3F">
        <w:rPr>
          <w:rFonts w:ascii="Book Antiqua" w:eastAsia="DengXian" w:hAnsi="Book Antiqua" w:cs="Times New Roman"/>
          <w:kern w:val="2"/>
          <w:sz w:val="24"/>
          <w:szCs w:val="24"/>
          <w:lang w:eastAsia="zh-CN"/>
        </w:rPr>
        <w:t xml:space="preserve"> C, Dahl JL.</w:t>
      </w:r>
      <w:proofErr w:type="gramEnd"/>
      <w:r w:rsidRPr="00691B3F">
        <w:rPr>
          <w:rFonts w:ascii="Book Antiqua" w:eastAsia="DengXian" w:hAnsi="Book Antiqua" w:cs="Times New Roman"/>
          <w:kern w:val="2"/>
          <w:sz w:val="24"/>
          <w:szCs w:val="24"/>
          <w:lang w:eastAsia="zh-CN"/>
        </w:rPr>
        <w:t xml:space="preserve"> Removal of opioid/acetaminophen combination prescription pain medications: assessing the evidence for hepatotoxicity and consequences of removal of these medications. </w:t>
      </w:r>
      <w:r w:rsidRPr="00691B3F">
        <w:rPr>
          <w:rFonts w:ascii="Book Antiqua" w:eastAsia="DengXian" w:hAnsi="Book Antiqua" w:cs="Times New Roman"/>
          <w:i/>
          <w:kern w:val="2"/>
          <w:sz w:val="24"/>
          <w:szCs w:val="24"/>
          <w:lang w:eastAsia="zh-CN"/>
        </w:rPr>
        <w:t>Pain Med</w:t>
      </w:r>
      <w:r w:rsidRPr="00691B3F">
        <w:rPr>
          <w:rFonts w:ascii="Book Antiqua" w:eastAsia="DengXian" w:hAnsi="Book Antiqua" w:cs="Times New Roman"/>
          <w:kern w:val="2"/>
          <w:sz w:val="24"/>
          <w:szCs w:val="24"/>
          <w:lang w:eastAsia="zh-CN"/>
        </w:rPr>
        <w:t xml:space="preserve"> 2010; </w:t>
      </w:r>
      <w:r w:rsidRPr="00691B3F">
        <w:rPr>
          <w:rFonts w:ascii="Book Antiqua" w:eastAsia="DengXian" w:hAnsi="Book Antiqua" w:cs="Times New Roman"/>
          <w:b/>
          <w:kern w:val="2"/>
          <w:sz w:val="24"/>
          <w:szCs w:val="24"/>
          <w:lang w:eastAsia="zh-CN"/>
        </w:rPr>
        <w:t>11</w:t>
      </w:r>
      <w:r w:rsidRPr="00691B3F">
        <w:rPr>
          <w:rFonts w:ascii="Book Antiqua" w:eastAsia="DengXian" w:hAnsi="Book Antiqua" w:cs="Times New Roman"/>
          <w:kern w:val="2"/>
          <w:sz w:val="24"/>
          <w:szCs w:val="24"/>
          <w:lang w:eastAsia="zh-CN"/>
        </w:rPr>
        <w:t>: 369-378 [PMID: 20447306 DOI: 10.1111/j.1526-4637.2010.00811.x]</w:t>
      </w:r>
    </w:p>
    <w:p w14:paraId="62F17F93"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51 </w:t>
      </w:r>
      <w:proofErr w:type="spellStart"/>
      <w:r w:rsidRPr="00691B3F">
        <w:rPr>
          <w:rFonts w:ascii="Book Antiqua" w:eastAsia="DengXian" w:hAnsi="Book Antiqua" w:cs="Times New Roman"/>
          <w:b/>
          <w:kern w:val="2"/>
          <w:sz w:val="24"/>
          <w:szCs w:val="24"/>
          <w:lang w:eastAsia="zh-CN"/>
        </w:rPr>
        <w:t>Rumore</w:t>
      </w:r>
      <w:proofErr w:type="spellEnd"/>
      <w:r w:rsidRPr="00691B3F">
        <w:rPr>
          <w:rFonts w:ascii="Book Antiqua" w:eastAsia="DengXian" w:hAnsi="Book Antiqua" w:cs="Times New Roman"/>
          <w:b/>
          <w:kern w:val="2"/>
          <w:sz w:val="24"/>
          <w:szCs w:val="24"/>
          <w:lang w:eastAsia="zh-CN"/>
        </w:rPr>
        <w:t xml:space="preserve"> MM</w:t>
      </w:r>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kern w:val="2"/>
          <w:sz w:val="24"/>
          <w:szCs w:val="24"/>
          <w:lang w:eastAsia="zh-CN"/>
        </w:rPr>
        <w:t>Blaiklock</w:t>
      </w:r>
      <w:proofErr w:type="spellEnd"/>
      <w:r w:rsidRPr="00691B3F">
        <w:rPr>
          <w:rFonts w:ascii="Book Antiqua" w:eastAsia="DengXian" w:hAnsi="Book Antiqua" w:cs="Times New Roman"/>
          <w:kern w:val="2"/>
          <w:sz w:val="24"/>
          <w:szCs w:val="24"/>
          <w:lang w:eastAsia="zh-CN"/>
        </w:rPr>
        <w:t xml:space="preserve"> RG. Influence of age-dependent pharmacokinetics and metabolism on acetaminophen hepatotoxicity. </w:t>
      </w:r>
      <w:r w:rsidRPr="00691B3F">
        <w:rPr>
          <w:rFonts w:ascii="Book Antiqua" w:eastAsia="DengXian" w:hAnsi="Book Antiqua" w:cs="Times New Roman"/>
          <w:i/>
          <w:kern w:val="2"/>
          <w:sz w:val="24"/>
          <w:szCs w:val="24"/>
          <w:lang w:eastAsia="zh-CN"/>
        </w:rPr>
        <w:t xml:space="preserve">J Pharm </w:t>
      </w:r>
      <w:proofErr w:type="spellStart"/>
      <w:r w:rsidRPr="00691B3F">
        <w:rPr>
          <w:rFonts w:ascii="Book Antiqua" w:eastAsia="DengXian" w:hAnsi="Book Antiqua" w:cs="Times New Roman"/>
          <w:i/>
          <w:kern w:val="2"/>
          <w:sz w:val="24"/>
          <w:szCs w:val="24"/>
          <w:lang w:eastAsia="zh-CN"/>
        </w:rPr>
        <w:t>Sci</w:t>
      </w:r>
      <w:proofErr w:type="spellEnd"/>
      <w:r w:rsidRPr="00691B3F">
        <w:rPr>
          <w:rFonts w:ascii="Book Antiqua" w:eastAsia="DengXian" w:hAnsi="Book Antiqua" w:cs="Times New Roman"/>
          <w:kern w:val="2"/>
          <w:sz w:val="24"/>
          <w:szCs w:val="24"/>
          <w:lang w:eastAsia="zh-CN"/>
        </w:rPr>
        <w:t xml:space="preserve"> 1992; </w:t>
      </w:r>
      <w:r w:rsidRPr="00691B3F">
        <w:rPr>
          <w:rFonts w:ascii="Book Antiqua" w:eastAsia="DengXian" w:hAnsi="Book Antiqua" w:cs="Times New Roman"/>
          <w:b/>
          <w:kern w:val="2"/>
          <w:sz w:val="24"/>
          <w:szCs w:val="24"/>
          <w:lang w:eastAsia="zh-CN"/>
        </w:rPr>
        <w:t>81</w:t>
      </w:r>
      <w:r w:rsidRPr="00691B3F">
        <w:rPr>
          <w:rFonts w:ascii="Book Antiqua" w:eastAsia="DengXian" w:hAnsi="Book Antiqua" w:cs="Times New Roman"/>
          <w:kern w:val="2"/>
          <w:sz w:val="24"/>
          <w:szCs w:val="24"/>
          <w:lang w:eastAsia="zh-CN"/>
        </w:rPr>
        <w:t>: 203-207 [PMID: 1640353 DOI: 10.1002/jps.2600810302]</w:t>
      </w:r>
    </w:p>
    <w:p w14:paraId="65B8104E"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proofErr w:type="gramStart"/>
      <w:r w:rsidRPr="00691B3F">
        <w:rPr>
          <w:rFonts w:ascii="Book Antiqua" w:eastAsia="DengXian" w:hAnsi="Book Antiqua" w:cs="Times New Roman"/>
          <w:kern w:val="2"/>
          <w:sz w:val="24"/>
          <w:szCs w:val="24"/>
          <w:lang w:eastAsia="zh-CN"/>
        </w:rPr>
        <w:t xml:space="preserve">52 </w:t>
      </w:r>
      <w:r w:rsidRPr="00691B3F">
        <w:rPr>
          <w:rFonts w:ascii="Book Antiqua" w:eastAsia="DengXian" w:hAnsi="Book Antiqua" w:cs="Times New Roman"/>
          <w:b/>
          <w:kern w:val="2"/>
          <w:sz w:val="24"/>
          <w:szCs w:val="24"/>
          <w:lang w:eastAsia="zh-CN"/>
        </w:rPr>
        <w:t>Wilkes JM</w:t>
      </w:r>
      <w:r w:rsidRPr="00691B3F">
        <w:rPr>
          <w:rFonts w:ascii="Book Antiqua" w:eastAsia="DengXian" w:hAnsi="Book Antiqua" w:cs="Times New Roman"/>
          <w:kern w:val="2"/>
          <w:sz w:val="24"/>
          <w:szCs w:val="24"/>
          <w:lang w:eastAsia="zh-CN"/>
        </w:rPr>
        <w:t>, Clark LE, Herrera JL.</w:t>
      </w:r>
      <w:proofErr w:type="gramEnd"/>
      <w:r w:rsidRPr="00691B3F">
        <w:rPr>
          <w:rFonts w:ascii="Book Antiqua" w:eastAsia="DengXian" w:hAnsi="Book Antiqua" w:cs="Times New Roman"/>
          <w:kern w:val="2"/>
          <w:sz w:val="24"/>
          <w:szCs w:val="24"/>
          <w:lang w:eastAsia="zh-CN"/>
        </w:rPr>
        <w:t xml:space="preserve"> Acetaminophen overdose in pregnancy. </w:t>
      </w:r>
      <w:r w:rsidRPr="00691B3F">
        <w:rPr>
          <w:rFonts w:ascii="Book Antiqua" w:eastAsia="DengXian" w:hAnsi="Book Antiqua" w:cs="Times New Roman"/>
          <w:i/>
          <w:kern w:val="2"/>
          <w:sz w:val="24"/>
          <w:szCs w:val="24"/>
          <w:lang w:eastAsia="zh-CN"/>
        </w:rPr>
        <w:t>South Med J</w:t>
      </w:r>
      <w:r w:rsidRPr="00691B3F">
        <w:rPr>
          <w:rFonts w:ascii="Book Antiqua" w:eastAsia="DengXian" w:hAnsi="Book Antiqua" w:cs="Times New Roman"/>
          <w:kern w:val="2"/>
          <w:sz w:val="24"/>
          <w:szCs w:val="24"/>
          <w:lang w:eastAsia="zh-CN"/>
        </w:rPr>
        <w:t xml:space="preserve"> 2005; </w:t>
      </w:r>
      <w:r w:rsidRPr="00691B3F">
        <w:rPr>
          <w:rFonts w:ascii="Book Antiqua" w:eastAsia="DengXian" w:hAnsi="Book Antiqua" w:cs="Times New Roman"/>
          <w:b/>
          <w:kern w:val="2"/>
          <w:sz w:val="24"/>
          <w:szCs w:val="24"/>
          <w:lang w:eastAsia="zh-CN"/>
        </w:rPr>
        <w:t>98</w:t>
      </w:r>
      <w:r w:rsidRPr="00691B3F">
        <w:rPr>
          <w:rFonts w:ascii="Book Antiqua" w:eastAsia="DengXian" w:hAnsi="Book Antiqua" w:cs="Times New Roman"/>
          <w:kern w:val="2"/>
          <w:sz w:val="24"/>
          <w:szCs w:val="24"/>
          <w:lang w:eastAsia="zh-CN"/>
        </w:rPr>
        <w:t>: 1118-1122 [PMID: 16351032 DOI: 10.1097/01.smj.0000184792.15407.51]</w:t>
      </w:r>
    </w:p>
    <w:p w14:paraId="61565B5F"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53 </w:t>
      </w:r>
      <w:proofErr w:type="spellStart"/>
      <w:r w:rsidRPr="00691B3F">
        <w:rPr>
          <w:rFonts w:ascii="Book Antiqua" w:eastAsia="DengXian" w:hAnsi="Book Antiqua" w:cs="Times New Roman"/>
          <w:b/>
          <w:kern w:val="2"/>
          <w:sz w:val="24"/>
          <w:szCs w:val="24"/>
          <w:lang w:eastAsia="zh-CN"/>
        </w:rPr>
        <w:t>Lucena</w:t>
      </w:r>
      <w:proofErr w:type="spellEnd"/>
      <w:r w:rsidRPr="00691B3F">
        <w:rPr>
          <w:rFonts w:ascii="Book Antiqua" w:eastAsia="DengXian" w:hAnsi="Book Antiqua" w:cs="Times New Roman"/>
          <w:b/>
          <w:kern w:val="2"/>
          <w:sz w:val="24"/>
          <w:szCs w:val="24"/>
          <w:lang w:eastAsia="zh-CN"/>
        </w:rPr>
        <w:t xml:space="preserve"> MI</w:t>
      </w:r>
      <w:r w:rsidRPr="00691B3F">
        <w:rPr>
          <w:rFonts w:ascii="Book Antiqua" w:eastAsia="DengXian" w:hAnsi="Book Antiqua" w:cs="Times New Roman"/>
          <w:kern w:val="2"/>
          <w:sz w:val="24"/>
          <w:szCs w:val="24"/>
          <w:lang w:eastAsia="zh-CN"/>
        </w:rPr>
        <w:t xml:space="preserve">, Andrade RJ, </w:t>
      </w:r>
      <w:proofErr w:type="spellStart"/>
      <w:r w:rsidRPr="00691B3F">
        <w:rPr>
          <w:rFonts w:ascii="Book Antiqua" w:eastAsia="DengXian" w:hAnsi="Book Antiqua" w:cs="Times New Roman"/>
          <w:kern w:val="2"/>
          <w:sz w:val="24"/>
          <w:szCs w:val="24"/>
          <w:lang w:eastAsia="zh-CN"/>
        </w:rPr>
        <w:t>Kaplowitz</w:t>
      </w:r>
      <w:proofErr w:type="spellEnd"/>
      <w:r w:rsidRPr="00691B3F">
        <w:rPr>
          <w:rFonts w:ascii="Book Antiqua" w:eastAsia="DengXian" w:hAnsi="Book Antiqua" w:cs="Times New Roman"/>
          <w:kern w:val="2"/>
          <w:sz w:val="24"/>
          <w:szCs w:val="24"/>
          <w:lang w:eastAsia="zh-CN"/>
        </w:rPr>
        <w:t xml:space="preserve"> N, </w:t>
      </w:r>
      <w:proofErr w:type="spellStart"/>
      <w:r w:rsidRPr="00691B3F">
        <w:rPr>
          <w:rFonts w:ascii="Book Antiqua" w:eastAsia="DengXian" w:hAnsi="Book Antiqua" w:cs="Times New Roman"/>
          <w:kern w:val="2"/>
          <w:sz w:val="24"/>
          <w:szCs w:val="24"/>
          <w:lang w:eastAsia="zh-CN"/>
        </w:rPr>
        <w:t>García</w:t>
      </w:r>
      <w:proofErr w:type="spellEnd"/>
      <w:r w:rsidRPr="00691B3F">
        <w:rPr>
          <w:rFonts w:ascii="Book Antiqua" w:eastAsia="DengXian" w:hAnsi="Book Antiqua" w:cs="Times New Roman"/>
          <w:kern w:val="2"/>
          <w:sz w:val="24"/>
          <w:szCs w:val="24"/>
          <w:lang w:eastAsia="zh-CN"/>
        </w:rPr>
        <w:t xml:space="preserve">-Cortes M, </w:t>
      </w:r>
      <w:proofErr w:type="spellStart"/>
      <w:r w:rsidRPr="00691B3F">
        <w:rPr>
          <w:rFonts w:ascii="Book Antiqua" w:eastAsia="DengXian" w:hAnsi="Book Antiqua" w:cs="Times New Roman"/>
          <w:kern w:val="2"/>
          <w:sz w:val="24"/>
          <w:szCs w:val="24"/>
          <w:lang w:eastAsia="zh-CN"/>
        </w:rPr>
        <w:t>Fernández</w:t>
      </w:r>
      <w:proofErr w:type="spellEnd"/>
      <w:r w:rsidRPr="00691B3F">
        <w:rPr>
          <w:rFonts w:ascii="Book Antiqua" w:eastAsia="DengXian" w:hAnsi="Book Antiqua" w:cs="Times New Roman"/>
          <w:kern w:val="2"/>
          <w:sz w:val="24"/>
          <w:szCs w:val="24"/>
          <w:lang w:eastAsia="zh-CN"/>
        </w:rPr>
        <w:t xml:space="preserve"> MC, Romero-Gomez M, </w:t>
      </w:r>
      <w:proofErr w:type="spellStart"/>
      <w:r w:rsidRPr="00691B3F">
        <w:rPr>
          <w:rFonts w:ascii="Book Antiqua" w:eastAsia="DengXian" w:hAnsi="Book Antiqua" w:cs="Times New Roman"/>
          <w:kern w:val="2"/>
          <w:sz w:val="24"/>
          <w:szCs w:val="24"/>
          <w:lang w:eastAsia="zh-CN"/>
        </w:rPr>
        <w:t>Bruguera</w:t>
      </w:r>
      <w:proofErr w:type="spellEnd"/>
      <w:r w:rsidRPr="00691B3F">
        <w:rPr>
          <w:rFonts w:ascii="Book Antiqua" w:eastAsia="DengXian" w:hAnsi="Book Antiqua" w:cs="Times New Roman"/>
          <w:kern w:val="2"/>
          <w:sz w:val="24"/>
          <w:szCs w:val="24"/>
          <w:lang w:eastAsia="zh-CN"/>
        </w:rPr>
        <w:t xml:space="preserve"> M, </w:t>
      </w:r>
      <w:proofErr w:type="spellStart"/>
      <w:r w:rsidRPr="00691B3F">
        <w:rPr>
          <w:rFonts w:ascii="Book Antiqua" w:eastAsia="DengXian" w:hAnsi="Book Antiqua" w:cs="Times New Roman"/>
          <w:kern w:val="2"/>
          <w:sz w:val="24"/>
          <w:szCs w:val="24"/>
          <w:lang w:eastAsia="zh-CN"/>
        </w:rPr>
        <w:t>Hallal</w:t>
      </w:r>
      <w:proofErr w:type="spellEnd"/>
      <w:r w:rsidRPr="00691B3F">
        <w:rPr>
          <w:rFonts w:ascii="Book Antiqua" w:eastAsia="DengXian" w:hAnsi="Book Antiqua" w:cs="Times New Roman"/>
          <w:kern w:val="2"/>
          <w:sz w:val="24"/>
          <w:szCs w:val="24"/>
          <w:lang w:eastAsia="zh-CN"/>
        </w:rPr>
        <w:t xml:space="preserve"> H, Robles-Diaz M, Rodriguez-González JF, Navarro JM, </w:t>
      </w:r>
      <w:proofErr w:type="spellStart"/>
      <w:r w:rsidRPr="00691B3F">
        <w:rPr>
          <w:rFonts w:ascii="Book Antiqua" w:eastAsia="DengXian" w:hAnsi="Book Antiqua" w:cs="Times New Roman"/>
          <w:kern w:val="2"/>
          <w:sz w:val="24"/>
          <w:szCs w:val="24"/>
          <w:lang w:eastAsia="zh-CN"/>
        </w:rPr>
        <w:t>Salmeron</w:t>
      </w:r>
      <w:proofErr w:type="spellEnd"/>
      <w:r w:rsidRPr="00691B3F">
        <w:rPr>
          <w:rFonts w:ascii="Book Antiqua" w:eastAsia="DengXian" w:hAnsi="Book Antiqua" w:cs="Times New Roman"/>
          <w:kern w:val="2"/>
          <w:sz w:val="24"/>
          <w:szCs w:val="24"/>
          <w:lang w:eastAsia="zh-CN"/>
        </w:rPr>
        <w:t xml:space="preserve"> J, Martinez-</w:t>
      </w:r>
      <w:proofErr w:type="spellStart"/>
      <w:r w:rsidRPr="00691B3F">
        <w:rPr>
          <w:rFonts w:ascii="Book Antiqua" w:eastAsia="DengXian" w:hAnsi="Book Antiqua" w:cs="Times New Roman"/>
          <w:kern w:val="2"/>
          <w:sz w:val="24"/>
          <w:szCs w:val="24"/>
          <w:lang w:eastAsia="zh-CN"/>
        </w:rPr>
        <w:t>Odriozola</w:t>
      </w:r>
      <w:proofErr w:type="spellEnd"/>
      <w:r w:rsidRPr="00691B3F">
        <w:rPr>
          <w:rFonts w:ascii="Book Antiqua" w:eastAsia="DengXian" w:hAnsi="Book Antiqua" w:cs="Times New Roman"/>
          <w:kern w:val="2"/>
          <w:sz w:val="24"/>
          <w:szCs w:val="24"/>
          <w:lang w:eastAsia="zh-CN"/>
        </w:rPr>
        <w:t xml:space="preserve"> P, Pérez-Alvarez R, </w:t>
      </w:r>
      <w:proofErr w:type="spellStart"/>
      <w:r w:rsidRPr="00691B3F">
        <w:rPr>
          <w:rFonts w:ascii="Book Antiqua" w:eastAsia="DengXian" w:hAnsi="Book Antiqua" w:cs="Times New Roman"/>
          <w:kern w:val="2"/>
          <w:sz w:val="24"/>
          <w:szCs w:val="24"/>
          <w:lang w:eastAsia="zh-CN"/>
        </w:rPr>
        <w:t>Borraz</w:t>
      </w:r>
      <w:proofErr w:type="spellEnd"/>
      <w:r w:rsidRPr="00691B3F">
        <w:rPr>
          <w:rFonts w:ascii="Book Antiqua" w:eastAsia="DengXian" w:hAnsi="Book Antiqua" w:cs="Times New Roman"/>
          <w:kern w:val="2"/>
          <w:sz w:val="24"/>
          <w:szCs w:val="24"/>
          <w:lang w:eastAsia="zh-CN"/>
        </w:rPr>
        <w:t xml:space="preserve"> Y, Hidalgo R; Spanish Group for the Study of Drug-Induced Liver Disease. Phenotypic characterization of idiosyncratic drug-induced liver injury: the influence of age and sex. </w:t>
      </w:r>
      <w:proofErr w:type="spellStart"/>
      <w:r w:rsidRPr="00691B3F">
        <w:rPr>
          <w:rFonts w:ascii="Book Antiqua" w:eastAsia="DengXian" w:hAnsi="Book Antiqua" w:cs="Times New Roman"/>
          <w:i/>
          <w:kern w:val="2"/>
          <w:sz w:val="24"/>
          <w:szCs w:val="24"/>
          <w:lang w:eastAsia="zh-CN"/>
        </w:rPr>
        <w:t>Hepatology</w:t>
      </w:r>
      <w:proofErr w:type="spellEnd"/>
      <w:r w:rsidRPr="00691B3F">
        <w:rPr>
          <w:rFonts w:ascii="Book Antiqua" w:eastAsia="DengXian" w:hAnsi="Book Antiqua" w:cs="Times New Roman"/>
          <w:kern w:val="2"/>
          <w:sz w:val="24"/>
          <w:szCs w:val="24"/>
          <w:lang w:eastAsia="zh-CN"/>
        </w:rPr>
        <w:t xml:space="preserve"> 2009; </w:t>
      </w:r>
      <w:r w:rsidRPr="00691B3F">
        <w:rPr>
          <w:rFonts w:ascii="Book Antiqua" w:eastAsia="DengXian" w:hAnsi="Book Antiqua" w:cs="Times New Roman"/>
          <w:b/>
          <w:kern w:val="2"/>
          <w:sz w:val="24"/>
          <w:szCs w:val="24"/>
          <w:lang w:eastAsia="zh-CN"/>
        </w:rPr>
        <w:t>49</w:t>
      </w:r>
      <w:r w:rsidRPr="00691B3F">
        <w:rPr>
          <w:rFonts w:ascii="Book Antiqua" w:eastAsia="DengXian" w:hAnsi="Book Antiqua" w:cs="Times New Roman"/>
          <w:kern w:val="2"/>
          <w:sz w:val="24"/>
          <w:szCs w:val="24"/>
          <w:lang w:eastAsia="zh-CN"/>
        </w:rPr>
        <w:t>: 2001-2009 [PMID: 19475693 DOI: 10.1002/hep.22895]</w:t>
      </w:r>
    </w:p>
    <w:p w14:paraId="48FC3FF3"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54 </w:t>
      </w:r>
      <w:proofErr w:type="spellStart"/>
      <w:r w:rsidRPr="00691B3F">
        <w:rPr>
          <w:rFonts w:ascii="Book Antiqua" w:eastAsia="DengXian" w:hAnsi="Book Antiqua" w:cs="Times New Roman"/>
          <w:b/>
          <w:kern w:val="2"/>
          <w:sz w:val="24"/>
          <w:szCs w:val="24"/>
          <w:lang w:eastAsia="zh-CN"/>
        </w:rPr>
        <w:t>Rochon</w:t>
      </w:r>
      <w:proofErr w:type="spellEnd"/>
      <w:r w:rsidRPr="00691B3F">
        <w:rPr>
          <w:rFonts w:ascii="Book Antiqua" w:eastAsia="DengXian" w:hAnsi="Book Antiqua" w:cs="Times New Roman"/>
          <w:b/>
          <w:kern w:val="2"/>
          <w:sz w:val="24"/>
          <w:szCs w:val="24"/>
          <w:lang w:eastAsia="zh-CN"/>
        </w:rPr>
        <w:t xml:space="preserve"> J</w:t>
      </w:r>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kern w:val="2"/>
          <w:sz w:val="24"/>
          <w:szCs w:val="24"/>
          <w:lang w:eastAsia="zh-CN"/>
        </w:rPr>
        <w:t>Protiva</w:t>
      </w:r>
      <w:proofErr w:type="spellEnd"/>
      <w:r w:rsidRPr="00691B3F">
        <w:rPr>
          <w:rFonts w:ascii="Book Antiqua" w:eastAsia="DengXian" w:hAnsi="Book Antiqua" w:cs="Times New Roman"/>
          <w:kern w:val="2"/>
          <w:sz w:val="24"/>
          <w:szCs w:val="24"/>
          <w:lang w:eastAsia="zh-CN"/>
        </w:rPr>
        <w:t xml:space="preserve"> P, </w:t>
      </w:r>
      <w:proofErr w:type="spellStart"/>
      <w:r w:rsidRPr="00691B3F">
        <w:rPr>
          <w:rFonts w:ascii="Book Antiqua" w:eastAsia="DengXian" w:hAnsi="Book Antiqua" w:cs="Times New Roman"/>
          <w:kern w:val="2"/>
          <w:sz w:val="24"/>
          <w:szCs w:val="24"/>
          <w:lang w:eastAsia="zh-CN"/>
        </w:rPr>
        <w:t>Seeff</w:t>
      </w:r>
      <w:proofErr w:type="spellEnd"/>
      <w:r w:rsidRPr="00691B3F">
        <w:rPr>
          <w:rFonts w:ascii="Book Antiqua" w:eastAsia="DengXian" w:hAnsi="Book Antiqua" w:cs="Times New Roman"/>
          <w:kern w:val="2"/>
          <w:sz w:val="24"/>
          <w:szCs w:val="24"/>
          <w:lang w:eastAsia="zh-CN"/>
        </w:rPr>
        <w:t xml:space="preserve"> LB, Fontana RJ, </w:t>
      </w:r>
      <w:proofErr w:type="spellStart"/>
      <w:r w:rsidRPr="00691B3F">
        <w:rPr>
          <w:rFonts w:ascii="Book Antiqua" w:eastAsia="DengXian" w:hAnsi="Book Antiqua" w:cs="Times New Roman"/>
          <w:kern w:val="2"/>
          <w:sz w:val="24"/>
          <w:szCs w:val="24"/>
          <w:lang w:eastAsia="zh-CN"/>
        </w:rPr>
        <w:t>Liangpunsakul</w:t>
      </w:r>
      <w:proofErr w:type="spellEnd"/>
      <w:r w:rsidRPr="00691B3F">
        <w:rPr>
          <w:rFonts w:ascii="Book Antiqua" w:eastAsia="DengXian" w:hAnsi="Book Antiqua" w:cs="Times New Roman"/>
          <w:kern w:val="2"/>
          <w:sz w:val="24"/>
          <w:szCs w:val="24"/>
          <w:lang w:eastAsia="zh-CN"/>
        </w:rPr>
        <w:t xml:space="preserve"> S, Watkins PB, </w:t>
      </w:r>
      <w:proofErr w:type="spellStart"/>
      <w:r w:rsidRPr="00691B3F">
        <w:rPr>
          <w:rFonts w:ascii="Book Antiqua" w:eastAsia="DengXian" w:hAnsi="Book Antiqua" w:cs="Times New Roman"/>
          <w:kern w:val="2"/>
          <w:sz w:val="24"/>
          <w:szCs w:val="24"/>
          <w:lang w:eastAsia="zh-CN"/>
        </w:rPr>
        <w:t>Davern</w:t>
      </w:r>
      <w:proofErr w:type="spellEnd"/>
      <w:r w:rsidRPr="00691B3F">
        <w:rPr>
          <w:rFonts w:ascii="Book Antiqua" w:eastAsia="DengXian" w:hAnsi="Book Antiqua" w:cs="Times New Roman"/>
          <w:kern w:val="2"/>
          <w:sz w:val="24"/>
          <w:szCs w:val="24"/>
          <w:lang w:eastAsia="zh-CN"/>
        </w:rPr>
        <w:t xml:space="preserve"> T, </w:t>
      </w:r>
      <w:proofErr w:type="spellStart"/>
      <w:r w:rsidRPr="00691B3F">
        <w:rPr>
          <w:rFonts w:ascii="Book Antiqua" w:eastAsia="DengXian" w:hAnsi="Book Antiqua" w:cs="Times New Roman"/>
          <w:kern w:val="2"/>
          <w:sz w:val="24"/>
          <w:szCs w:val="24"/>
          <w:lang w:eastAsia="zh-CN"/>
        </w:rPr>
        <w:t>McHutchison</w:t>
      </w:r>
      <w:proofErr w:type="spellEnd"/>
      <w:r w:rsidRPr="00691B3F">
        <w:rPr>
          <w:rFonts w:ascii="Book Antiqua" w:eastAsia="DengXian" w:hAnsi="Book Antiqua" w:cs="Times New Roman"/>
          <w:kern w:val="2"/>
          <w:sz w:val="24"/>
          <w:szCs w:val="24"/>
          <w:lang w:eastAsia="zh-CN"/>
        </w:rPr>
        <w:t xml:space="preserve"> JG; Drug-Induced Liver Injury Network (DILIN). </w:t>
      </w:r>
      <w:proofErr w:type="gramStart"/>
      <w:r w:rsidRPr="00691B3F">
        <w:rPr>
          <w:rFonts w:ascii="Book Antiqua" w:eastAsia="DengXian" w:hAnsi="Book Antiqua" w:cs="Times New Roman"/>
          <w:kern w:val="2"/>
          <w:sz w:val="24"/>
          <w:szCs w:val="24"/>
          <w:lang w:eastAsia="zh-CN"/>
        </w:rPr>
        <w:t xml:space="preserve">Reliability of the </w:t>
      </w:r>
      <w:proofErr w:type="spellStart"/>
      <w:r w:rsidRPr="00691B3F">
        <w:rPr>
          <w:rFonts w:ascii="Book Antiqua" w:eastAsia="DengXian" w:hAnsi="Book Antiqua" w:cs="Times New Roman"/>
          <w:kern w:val="2"/>
          <w:sz w:val="24"/>
          <w:szCs w:val="24"/>
          <w:lang w:eastAsia="zh-CN"/>
        </w:rPr>
        <w:t>Roussel</w:t>
      </w:r>
      <w:proofErr w:type="spellEnd"/>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kern w:val="2"/>
          <w:sz w:val="24"/>
          <w:szCs w:val="24"/>
          <w:lang w:eastAsia="zh-CN"/>
        </w:rPr>
        <w:t>Uclaf</w:t>
      </w:r>
      <w:proofErr w:type="spellEnd"/>
      <w:r w:rsidRPr="00691B3F">
        <w:rPr>
          <w:rFonts w:ascii="Book Antiqua" w:eastAsia="DengXian" w:hAnsi="Book Antiqua" w:cs="Times New Roman"/>
          <w:kern w:val="2"/>
          <w:sz w:val="24"/>
          <w:szCs w:val="24"/>
          <w:lang w:eastAsia="zh-CN"/>
        </w:rPr>
        <w:t xml:space="preserve"> Causality Assessment Method for assessing causality in drug-induced liver injury.</w:t>
      </w:r>
      <w:proofErr w:type="gramEnd"/>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i/>
          <w:kern w:val="2"/>
          <w:sz w:val="24"/>
          <w:szCs w:val="24"/>
          <w:lang w:eastAsia="zh-CN"/>
        </w:rPr>
        <w:t>Hepatology</w:t>
      </w:r>
      <w:proofErr w:type="spellEnd"/>
      <w:r w:rsidRPr="00691B3F">
        <w:rPr>
          <w:rFonts w:ascii="Book Antiqua" w:eastAsia="DengXian" w:hAnsi="Book Antiqua" w:cs="Times New Roman"/>
          <w:kern w:val="2"/>
          <w:sz w:val="24"/>
          <w:szCs w:val="24"/>
          <w:lang w:eastAsia="zh-CN"/>
        </w:rPr>
        <w:t xml:space="preserve"> 2008; </w:t>
      </w:r>
      <w:r w:rsidRPr="00691B3F">
        <w:rPr>
          <w:rFonts w:ascii="Book Antiqua" w:eastAsia="DengXian" w:hAnsi="Book Antiqua" w:cs="Times New Roman"/>
          <w:b/>
          <w:kern w:val="2"/>
          <w:sz w:val="24"/>
          <w:szCs w:val="24"/>
          <w:lang w:eastAsia="zh-CN"/>
        </w:rPr>
        <w:t>48</w:t>
      </w:r>
      <w:r w:rsidRPr="00691B3F">
        <w:rPr>
          <w:rFonts w:ascii="Book Antiqua" w:eastAsia="DengXian" w:hAnsi="Book Antiqua" w:cs="Times New Roman"/>
          <w:kern w:val="2"/>
          <w:sz w:val="24"/>
          <w:szCs w:val="24"/>
          <w:lang w:eastAsia="zh-CN"/>
        </w:rPr>
        <w:t>: 1175-1183 [PMID: 18798340 DOI: 10.1002/hep.22442]</w:t>
      </w:r>
    </w:p>
    <w:p w14:paraId="102E3176"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55 </w:t>
      </w:r>
      <w:proofErr w:type="spellStart"/>
      <w:r w:rsidRPr="00691B3F">
        <w:rPr>
          <w:rFonts w:ascii="Book Antiqua" w:eastAsia="DengXian" w:hAnsi="Book Antiqua" w:cs="Times New Roman"/>
          <w:b/>
          <w:kern w:val="2"/>
          <w:sz w:val="24"/>
          <w:szCs w:val="24"/>
          <w:lang w:eastAsia="zh-CN"/>
        </w:rPr>
        <w:t>Takikawa</w:t>
      </w:r>
      <w:proofErr w:type="spellEnd"/>
      <w:r w:rsidRPr="00691B3F">
        <w:rPr>
          <w:rFonts w:ascii="Book Antiqua" w:eastAsia="DengXian" w:hAnsi="Book Antiqua" w:cs="Times New Roman"/>
          <w:b/>
          <w:kern w:val="2"/>
          <w:sz w:val="24"/>
          <w:szCs w:val="24"/>
          <w:lang w:eastAsia="zh-CN"/>
        </w:rPr>
        <w:t xml:space="preserve"> H</w:t>
      </w:r>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kern w:val="2"/>
          <w:sz w:val="24"/>
          <w:szCs w:val="24"/>
          <w:lang w:eastAsia="zh-CN"/>
        </w:rPr>
        <w:t>Takamori</w:t>
      </w:r>
      <w:proofErr w:type="spellEnd"/>
      <w:r w:rsidRPr="00691B3F">
        <w:rPr>
          <w:rFonts w:ascii="Book Antiqua" w:eastAsia="DengXian" w:hAnsi="Book Antiqua" w:cs="Times New Roman"/>
          <w:kern w:val="2"/>
          <w:sz w:val="24"/>
          <w:szCs w:val="24"/>
          <w:lang w:eastAsia="zh-CN"/>
        </w:rPr>
        <w:t xml:space="preserve"> Y, </w:t>
      </w:r>
      <w:proofErr w:type="spellStart"/>
      <w:r w:rsidRPr="00691B3F">
        <w:rPr>
          <w:rFonts w:ascii="Book Antiqua" w:eastAsia="DengXian" w:hAnsi="Book Antiqua" w:cs="Times New Roman"/>
          <w:kern w:val="2"/>
          <w:sz w:val="24"/>
          <w:szCs w:val="24"/>
          <w:lang w:eastAsia="zh-CN"/>
        </w:rPr>
        <w:t>Kumagi</w:t>
      </w:r>
      <w:proofErr w:type="spellEnd"/>
      <w:r w:rsidRPr="00691B3F">
        <w:rPr>
          <w:rFonts w:ascii="Book Antiqua" w:eastAsia="DengXian" w:hAnsi="Book Antiqua" w:cs="Times New Roman"/>
          <w:kern w:val="2"/>
          <w:sz w:val="24"/>
          <w:szCs w:val="24"/>
          <w:lang w:eastAsia="zh-CN"/>
        </w:rPr>
        <w:t xml:space="preserve"> T, </w:t>
      </w:r>
      <w:proofErr w:type="spellStart"/>
      <w:r w:rsidRPr="00691B3F">
        <w:rPr>
          <w:rFonts w:ascii="Book Antiqua" w:eastAsia="DengXian" w:hAnsi="Book Antiqua" w:cs="Times New Roman"/>
          <w:kern w:val="2"/>
          <w:sz w:val="24"/>
          <w:szCs w:val="24"/>
          <w:lang w:eastAsia="zh-CN"/>
        </w:rPr>
        <w:t>Onji</w:t>
      </w:r>
      <w:proofErr w:type="spellEnd"/>
      <w:r w:rsidRPr="00691B3F">
        <w:rPr>
          <w:rFonts w:ascii="Book Antiqua" w:eastAsia="DengXian" w:hAnsi="Book Antiqua" w:cs="Times New Roman"/>
          <w:kern w:val="2"/>
          <w:sz w:val="24"/>
          <w:szCs w:val="24"/>
          <w:lang w:eastAsia="zh-CN"/>
        </w:rPr>
        <w:t xml:space="preserve"> M, Watanabe M, Shibuya A, </w:t>
      </w:r>
      <w:proofErr w:type="spellStart"/>
      <w:r w:rsidRPr="00691B3F">
        <w:rPr>
          <w:rFonts w:ascii="Book Antiqua" w:eastAsia="DengXian" w:hAnsi="Book Antiqua" w:cs="Times New Roman"/>
          <w:kern w:val="2"/>
          <w:sz w:val="24"/>
          <w:szCs w:val="24"/>
          <w:lang w:eastAsia="zh-CN"/>
        </w:rPr>
        <w:t>Hisamochi</w:t>
      </w:r>
      <w:proofErr w:type="spellEnd"/>
      <w:r w:rsidRPr="00691B3F">
        <w:rPr>
          <w:rFonts w:ascii="Book Antiqua" w:eastAsia="DengXian" w:hAnsi="Book Antiqua" w:cs="Times New Roman"/>
          <w:kern w:val="2"/>
          <w:sz w:val="24"/>
          <w:szCs w:val="24"/>
          <w:lang w:eastAsia="zh-CN"/>
        </w:rPr>
        <w:t xml:space="preserve"> A, </w:t>
      </w:r>
      <w:proofErr w:type="spellStart"/>
      <w:r w:rsidRPr="00691B3F">
        <w:rPr>
          <w:rFonts w:ascii="Book Antiqua" w:eastAsia="DengXian" w:hAnsi="Book Antiqua" w:cs="Times New Roman"/>
          <w:kern w:val="2"/>
          <w:sz w:val="24"/>
          <w:szCs w:val="24"/>
          <w:lang w:eastAsia="zh-CN"/>
        </w:rPr>
        <w:lastRenderedPageBreak/>
        <w:t>Kumashiro</w:t>
      </w:r>
      <w:proofErr w:type="spellEnd"/>
      <w:r w:rsidRPr="00691B3F">
        <w:rPr>
          <w:rFonts w:ascii="Book Antiqua" w:eastAsia="DengXian" w:hAnsi="Book Antiqua" w:cs="Times New Roman"/>
          <w:kern w:val="2"/>
          <w:sz w:val="24"/>
          <w:szCs w:val="24"/>
          <w:lang w:eastAsia="zh-CN"/>
        </w:rPr>
        <w:t xml:space="preserve"> R, Ito T, </w:t>
      </w:r>
      <w:proofErr w:type="spellStart"/>
      <w:r w:rsidRPr="00691B3F">
        <w:rPr>
          <w:rFonts w:ascii="Book Antiqua" w:eastAsia="DengXian" w:hAnsi="Book Antiqua" w:cs="Times New Roman"/>
          <w:kern w:val="2"/>
          <w:sz w:val="24"/>
          <w:szCs w:val="24"/>
          <w:lang w:eastAsia="zh-CN"/>
        </w:rPr>
        <w:t>Mitsumoto</w:t>
      </w:r>
      <w:proofErr w:type="spellEnd"/>
      <w:r w:rsidRPr="00691B3F">
        <w:rPr>
          <w:rFonts w:ascii="Book Antiqua" w:eastAsia="DengXian" w:hAnsi="Book Antiqua" w:cs="Times New Roman"/>
          <w:kern w:val="2"/>
          <w:sz w:val="24"/>
          <w:szCs w:val="24"/>
          <w:lang w:eastAsia="zh-CN"/>
        </w:rPr>
        <w:t xml:space="preserve"> Y, Nakamura A, </w:t>
      </w:r>
      <w:proofErr w:type="spellStart"/>
      <w:r w:rsidRPr="00691B3F">
        <w:rPr>
          <w:rFonts w:ascii="Book Antiqua" w:eastAsia="DengXian" w:hAnsi="Book Antiqua" w:cs="Times New Roman"/>
          <w:kern w:val="2"/>
          <w:sz w:val="24"/>
          <w:szCs w:val="24"/>
          <w:lang w:eastAsia="zh-CN"/>
        </w:rPr>
        <w:t>Sakaguchi</w:t>
      </w:r>
      <w:proofErr w:type="spellEnd"/>
      <w:r w:rsidRPr="00691B3F">
        <w:rPr>
          <w:rFonts w:ascii="Book Antiqua" w:eastAsia="DengXian" w:hAnsi="Book Antiqua" w:cs="Times New Roman"/>
          <w:kern w:val="2"/>
          <w:sz w:val="24"/>
          <w:szCs w:val="24"/>
          <w:lang w:eastAsia="zh-CN"/>
        </w:rPr>
        <w:t xml:space="preserve"> T. Assessment of 287 Japanese cases of drug induced liver injury by the diagnostic scale of the International Consensus Meeting. </w:t>
      </w:r>
      <w:proofErr w:type="spellStart"/>
      <w:r w:rsidRPr="00691B3F">
        <w:rPr>
          <w:rFonts w:ascii="Book Antiqua" w:eastAsia="DengXian" w:hAnsi="Book Antiqua" w:cs="Times New Roman"/>
          <w:i/>
          <w:kern w:val="2"/>
          <w:sz w:val="24"/>
          <w:szCs w:val="24"/>
          <w:lang w:eastAsia="zh-CN"/>
        </w:rPr>
        <w:t>Hepatol</w:t>
      </w:r>
      <w:proofErr w:type="spellEnd"/>
      <w:r w:rsidRPr="00691B3F">
        <w:rPr>
          <w:rFonts w:ascii="Book Antiqua" w:eastAsia="DengXian" w:hAnsi="Book Antiqua" w:cs="Times New Roman"/>
          <w:i/>
          <w:kern w:val="2"/>
          <w:sz w:val="24"/>
          <w:szCs w:val="24"/>
          <w:lang w:eastAsia="zh-CN"/>
        </w:rPr>
        <w:t xml:space="preserve"> Res</w:t>
      </w:r>
      <w:r w:rsidRPr="00691B3F">
        <w:rPr>
          <w:rFonts w:ascii="Book Antiqua" w:eastAsia="DengXian" w:hAnsi="Book Antiqua" w:cs="Times New Roman"/>
          <w:kern w:val="2"/>
          <w:sz w:val="24"/>
          <w:szCs w:val="24"/>
          <w:lang w:eastAsia="zh-CN"/>
        </w:rPr>
        <w:t xml:space="preserve"> 2003; </w:t>
      </w:r>
      <w:r w:rsidRPr="00691B3F">
        <w:rPr>
          <w:rFonts w:ascii="Book Antiqua" w:eastAsia="DengXian" w:hAnsi="Book Antiqua" w:cs="Times New Roman"/>
          <w:b/>
          <w:kern w:val="2"/>
          <w:sz w:val="24"/>
          <w:szCs w:val="24"/>
          <w:lang w:eastAsia="zh-CN"/>
        </w:rPr>
        <w:t>27</w:t>
      </w:r>
      <w:r w:rsidRPr="00691B3F">
        <w:rPr>
          <w:rFonts w:ascii="Book Antiqua" w:eastAsia="DengXian" w:hAnsi="Book Antiqua" w:cs="Times New Roman"/>
          <w:kern w:val="2"/>
          <w:sz w:val="24"/>
          <w:szCs w:val="24"/>
          <w:lang w:eastAsia="zh-CN"/>
        </w:rPr>
        <w:t>: 192-195 [PMID: 14585395 DOI: 10.1016/S1386-6346(03)00232-8]</w:t>
      </w:r>
    </w:p>
    <w:p w14:paraId="572C29B9"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56 </w:t>
      </w:r>
      <w:r w:rsidRPr="00691B3F">
        <w:rPr>
          <w:rFonts w:ascii="Book Antiqua" w:eastAsia="DengXian" w:hAnsi="Book Antiqua" w:cs="Times New Roman"/>
          <w:b/>
          <w:kern w:val="2"/>
          <w:sz w:val="24"/>
          <w:szCs w:val="24"/>
          <w:lang w:eastAsia="zh-CN"/>
        </w:rPr>
        <w:t>Temple R</w:t>
      </w:r>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kern w:val="2"/>
          <w:sz w:val="24"/>
          <w:szCs w:val="24"/>
          <w:lang w:eastAsia="zh-CN"/>
        </w:rPr>
        <w:t>Hy's</w:t>
      </w:r>
      <w:proofErr w:type="spellEnd"/>
      <w:r w:rsidRPr="00691B3F">
        <w:rPr>
          <w:rFonts w:ascii="Book Antiqua" w:eastAsia="DengXian" w:hAnsi="Book Antiqua" w:cs="Times New Roman"/>
          <w:kern w:val="2"/>
          <w:sz w:val="24"/>
          <w:szCs w:val="24"/>
          <w:lang w:eastAsia="zh-CN"/>
        </w:rPr>
        <w:t xml:space="preserve"> law: predicting serious hepatotoxicity. </w:t>
      </w:r>
      <w:proofErr w:type="spellStart"/>
      <w:r w:rsidRPr="00691B3F">
        <w:rPr>
          <w:rFonts w:ascii="Book Antiqua" w:eastAsia="DengXian" w:hAnsi="Book Antiqua" w:cs="Times New Roman"/>
          <w:i/>
          <w:kern w:val="2"/>
          <w:sz w:val="24"/>
          <w:szCs w:val="24"/>
          <w:lang w:eastAsia="zh-CN"/>
        </w:rPr>
        <w:t>Pharmacoepidemiol</w:t>
      </w:r>
      <w:proofErr w:type="spellEnd"/>
      <w:r w:rsidRPr="00691B3F">
        <w:rPr>
          <w:rFonts w:ascii="Book Antiqua" w:eastAsia="DengXian" w:hAnsi="Book Antiqua" w:cs="Times New Roman"/>
          <w:i/>
          <w:kern w:val="2"/>
          <w:sz w:val="24"/>
          <w:szCs w:val="24"/>
          <w:lang w:eastAsia="zh-CN"/>
        </w:rPr>
        <w:t xml:space="preserve"> Drug </w:t>
      </w:r>
      <w:proofErr w:type="spellStart"/>
      <w:r w:rsidRPr="00691B3F">
        <w:rPr>
          <w:rFonts w:ascii="Book Antiqua" w:eastAsia="DengXian" w:hAnsi="Book Antiqua" w:cs="Times New Roman"/>
          <w:i/>
          <w:kern w:val="2"/>
          <w:sz w:val="24"/>
          <w:szCs w:val="24"/>
          <w:lang w:eastAsia="zh-CN"/>
        </w:rPr>
        <w:t>Saf</w:t>
      </w:r>
      <w:proofErr w:type="spellEnd"/>
      <w:r w:rsidRPr="00691B3F">
        <w:rPr>
          <w:rFonts w:ascii="Book Antiqua" w:eastAsia="DengXian" w:hAnsi="Book Antiqua" w:cs="Times New Roman"/>
          <w:kern w:val="2"/>
          <w:sz w:val="24"/>
          <w:szCs w:val="24"/>
          <w:lang w:eastAsia="zh-CN"/>
        </w:rPr>
        <w:t xml:space="preserve"> 2006; </w:t>
      </w:r>
      <w:r w:rsidRPr="00691B3F">
        <w:rPr>
          <w:rFonts w:ascii="Book Antiqua" w:eastAsia="DengXian" w:hAnsi="Book Antiqua" w:cs="Times New Roman"/>
          <w:b/>
          <w:kern w:val="2"/>
          <w:sz w:val="24"/>
          <w:szCs w:val="24"/>
          <w:lang w:eastAsia="zh-CN"/>
        </w:rPr>
        <w:t>15</w:t>
      </w:r>
      <w:r w:rsidRPr="00691B3F">
        <w:rPr>
          <w:rFonts w:ascii="Book Antiqua" w:eastAsia="DengXian" w:hAnsi="Book Antiqua" w:cs="Times New Roman"/>
          <w:kern w:val="2"/>
          <w:sz w:val="24"/>
          <w:szCs w:val="24"/>
          <w:lang w:eastAsia="zh-CN"/>
        </w:rPr>
        <w:t>: 241-243 [PMID: 16552790 DOI: 10.1002/pds.1211]</w:t>
      </w:r>
    </w:p>
    <w:p w14:paraId="54497E57"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57 </w:t>
      </w:r>
      <w:r w:rsidRPr="00691B3F">
        <w:rPr>
          <w:rFonts w:ascii="Book Antiqua" w:eastAsia="DengXian" w:hAnsi="Book Antiqua" w:cs="Times New Roman"/>
          <w:b/>
          <w:kern w:val="2"/>
          <w:sz w:val="24"/>
          <w:szCs w:val="24"/>
          <w:lang w:eastAsia="zh-CN"/>
        </w:rPr>
        <w:t>Jones AL</w:t>
      </w:r>
      <w:r w:rsidRPr="00691B3F">
        <w:rPr>
          <w:rFonts w:ascii="Book Antiqua" w:eastAsia="DengXian" w:hAnsi="Book Antiqua" w:cs="Times New Roman"/>
          <w:kern w:val="2"/>
          <w:sz w:val="24"/>
          <w:szCs w:val="24"/>
          <w:lang w:eastAsia="zh-CN"/>
        </w:rPr>
        <w:t>. Mechanism of action and value of N-</w:t>
      </w:r>
      <w:proofErr w:type="spellStart"/>
      <w:r w:rsidRPr="00691B3F">
        <w:rPr>
          <w:rFonts w:ascii="Book Antiqua" w:eastAsia="DengXian" w:hAnsi="Book Antiqua" w:cs="Times New Roman"/>
          <w:kern w:val="2"/>
          <w:sz w:val="24"/>
          <w:szCs w:val="24"/>
          <w:lang w:eastAsia="zh-CN"/>
        </w:rPr>
        <w:t>acetylcysteine</w:t>
      </w:r>
      <w:proofErr w:type="spellEnd"/>
      <w:r w:rsidRPr="00691B3F">
        <w:rPr>
          <w:rFonts w:ascii="Book Antiqua" w:eastAsia="DengXian" w:hAnsi="Book Antiqua" w:cs="Times New Roman"/>
          <w:kern w:val="2"/>
          <w:sz w:val="24"/>
          <w:szCs w:val="24"/>
          <w:lang w:eastAsia="zh-CN"/>
        </w:rPr>
        <w:t xml:space="preserve"> in the treatment of early and late acetaminophen poisoning: a critical review. </w:t>
      </w:r>
      <w:r w:rsidRPr="00691B3F">
        <w:rPr>
          <w:rFonts w:ascii="Book Antiqua" w:eastAsia="DengXian" w:hAnsi="Book Antiqua" w:cs="Times New Roman"/>
          <w:i/>
          <w:kern w:val="2"/>
          <w:sz w:val="24"/>
          <w:szCs w:val="24"/>
          <w:lang w:eastAsia="zh-CN"/>
        </w:rPr>
        <w:t xml:space="preserve">J </w:t>
      </w:r>
      <w:proofErr w:type="spellStart"/>
      <w:r w:rsidRPr="00691B3F">
        <w:rPr>
          <w:rFonts w:ascii="Book Antiqua" w:eastAsia="DengXian" w:hAnsi="Book Antiqua" w:cs="Times New Roman"/>
          <w:i/>
          <w:kern w:val="2"/>
          <w:sz w:val="24"/>
          <w:szCs w:val="24"/>
          <w:lang w:eastAsia="zh-CN"/>
        </w:rPr>
        <w:t>Toxicol</w:t>
      </w:r>
      <w:proofErr w:type="spellEnd"/>
      <w:r w:rsidRPr="00691B3F">
        <w:rPr>
          <w:rFonts w:ascii="Book Antiqua" w:eastAsia="DengXian" w:hAnsi="Book Antiqua" w:cs="Times New Roman"/>
          <w:i/>
          <w:kern w:val="2"/>
          <w:sz w:val="24"/>
          <w:szCs w:val="24"/>
          <w:lang w:eastAsia="zh-CN"/>
        </w:rPr>
        <w:t xml:space="preserve"> </w:t>
      </w:r>
      <w:proofErr w:type="spellStart"/>
      <w:r w:rsidRPr="00691B3F">
        <w:rPr>
          <w:rFonts w:ascii="Book Antiqua" w:eastAsia="DengXian" w:hAnsi="Book Antiqua" w:cs="Times New Roman"/>
          <w:i/>
          <w:kern w:val="2"/>
          <w:sz w:val="24"/>
          <w:szCs w:val="24"/>
          <w:lang w:eastAsia="zh-CN"/>
        </w:rPr>
        <w:t>Clin</w:t>
      </w:r>
      <w:proofErr w:type="spellEnd"/>
      <w:r w:rsidRPr="00691B3F">
        <w:rPr>
          <w:rFonts w:ascii="Book Antiqua" w:eastAsia="DengXian" w:hAnsi="Book Antiqua" w:cs="Times New Roman"/>
          <w:i/>
          <w:kern w:val="2"/>
          <w:sz w:val="24"/>
          <w:szCs w:val="24"/>
          <w:lang w:eastAsia="zh-CN"/>
        </w:rPr>
        <w:t xml:space="preserve"> </w:t>
      </w:r>
      <w:proofErr w:type="spellStart"/>
      <w:r w:rsidRPr="00691B3F">
        <w:rPr>
          <w:rFonts w:ascii="Book Antiqua" w:eastAsia="DengXian" w:hAnsi="Book Antiqua" w:cs="Times New Roman"/>
          <w:i/>
          <w:kern w:val="2"/>
          <w:sz w:val="24"/>
          <w:szCs w:val="24"/>
          <w:lang w:eastAsia="zh-CN"/>
        </w:rPr>
        <w:t>Toxicol</w:t>
      </w:r>
      <w:proofErr w:type="spellEnd"/>
      <w:r w:rsidRPr="00691B3F">
        <w:rPr>
          <w:rFonts w:ascii="Book Antiqua" w:eastAsia="DengXian" w:hAnsi="Book Antiqua" w:cs="Times New Roman"/>
          <w:kern w:val="2"/>
          <w:sz w:val="24"/>
          <w:szCs w:val="24"/>
          <w:lang w:eastAsia="zh-CN"/>
        </w:rPr>
        <w:t xml:space="preserve"> 1998; </w:t>
      </w:r>
      <w:r w:rsidRPr="00691B3F">
        <w:rPr>
          <w:rFonts w:ascii="Book Antiqua" w:eastAsia="DengXian" w:hAnsi="Book Antiqua" w:cs="Times New Roman"/>
          <w:b/>
          <w:kern w:val="2"/>
          <w:sz w:val="24"/>
          <w:szCs w:val="24"/>
          <w:lang w:eastAsia="zh-CN"/>
        </w:rPr>
        <w:t>36</w:t>
      </w:r>
      <w:r w:rsidRPr="00691B3F">
        <w:rPr>
          <w:rFonts w:ascii="Book Antiqua" w:eastAsia="DengXian" w:hAnsi="Book Antiqua" w:cs="Times New Roman"/>
          <w:kern w:val="2"/>
          <w:sz w:val="24"/>
          <w:szCs w:val="24"/>
          <w:lang w:eastAsia="zh-CN"/>
        </w:rPr>
        <w:t>: 277-285 [PMID: 9711192 DOI: 10.3109/15563659809028022]</w:t>
      </w:r>
    </w:p>
    <w:p w14:paraId="2280AB2C"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proofErr w:type="gramStart"/>
      <w:r w:rsidRPr="00691B3F">
        <w:rPr>
          <w:rFonts w:ascii="Book Antiqua" w:eastAsia="DengXian" w:hAnsi="Book Antiqua" w:cs="Times New Roman"/>
          <w:kern w:val="2"/>
          <w:sz w:val="24"/>
          <w:szCs w:val="24"/>
          <w:lang w:eastAsia="zh-CN"/>
        </w:rPr>
        <w:t xml:space="preserve">58 </w:t>
      </w:r>
      <w:r w:rsidRPr="00691B3F">
        <w:rPr>
          <w:rFonts w:ascii="Book Antiqua" w:eastAsia="DengXian" w:hAnsi="Book Antiqua" w:cs="Times New Roman"/>
          <w:b/>
          <w:kern w:val="2"/>
          <w:sz w:val="24"/>
          <w:szCs w:val="24"/>
          <w:lang w:eastAsia="zh-CN"/>
        </w:rPr>
        <w:t>Kerr F</w:t>
      </w:r>
      <w:r w:rsidRPr="00691B3F">
        <w:rPr>
          <w:rFonts w:ascii="Book Antiqua" w:eastAsia="DengXian" w:hAnsi="Book Antiqua" w:cs="Times New Roman"/>
          <w:kern w:val="2"/>
          <w:sz w:val="24"/>
          <w:szCs w:val="24"/>
          <w:lang w:eastAsia="zh-CN"/>
        </w:rPr>
        <w:t xml:space="preserve">, Dawson A, Whyte IM, Buckley N, Murray L, </w:t>
      </w:r>
      <w:proofErr w:type="spellStart"/>
      <w:r w:rsidRPr="00691B3F">
        <w:rPr>
          <w:rFonts w:ascii="Book Antiqua" w:eastAsia="DengXian" w:hAnsi="Book Antiqua" w:cs="Times New Roman"/>
          <w:kern w:val="2"/>
          <w:sz w:val="24"/>
          <w:szCs w:val="24"/>
          <w:lang w:eastAsia="zh-CN"/>
        </w:rPr>
        <w:t>Graudins</w:t>
      </w:r>
      <w:proofErr w:type="spellEnd"/>
      <w:r w:rsidRPr="00691B3F">
        <w:rPr>
          <w:rFonts w:ascii="Book Antiqua" w:eastAsia="DengXian" w:hAnsi="Book Antiqua" w:cs="Times New Roman"/>
          <w:kern w:val="2"/>
          <w:sz w:val="24"/>
          <w:szCs w:val="24"/>
          <w:lang w:eastAsia="zh-CN"/>
        </w:rPr>
        <w:t xml:space="preserve"> A, Chan B, </w:t>
      </w:r>
      <w:proofErr w:type="spellStart"/>
      <w:r w:rsidRPr="00691B3F">
        <w:rPr>
          <w:rFonts w:ascii="Book Antiqua" w:eastAsia="DengXian" w:hAnsi="Book Antiqua" w:cs="Times New Roman"/>
          <w:kern w:val="2"/>
          <w:sz w:val="24"/>
          <w:szCs w:val="24"/>
          <w:lang w:eastAsia="zh-CN"/>
        </w:rPr>
        <w:t>Trudinger</w:t>
      </w:r>
      <w:proofErr w:type="spellEnd"/>
      <w:r w:rsidRPr="00691B3F">
        <w:rPr>
          <w:rFonts w:ascii="Book Antiqua" w:eastAsia="DengXian" w:hAnsi="Book Antiqua" w:cs="Times New Roman"/>
          <w:kern w:val="2"/>
          <w:sz w:val="24"/>
          <w:szCs w:val="24"/>
          <w:lang w:eastAsia="zh-CN"/>
        </w:rPr>
        <w:t xml:space="preserve"> B.</w:t>
      </w:r>
      <w:proofErr w:type="gramEnd"/>
      <w:r w:rsidRPr="00691B3F">
        <w:rPr>
          <w:rFonts w:ascii="Book Antiqua" w:eastAsia="DengXian" w:hAnsi="Book Antiqua" w:cs="Times New Roman"/>
          <w:kern w:val="2"/>
          <w:sz w:val="24"/>
          <w:szCs w:val="24"/>
          <w:lang w:eastAsia="zh-CN"/>
        </w:rPr>
        <w:t xml:space="preserve"> The Australasian Clinical Toxicology Investigators Collaboration randomized trial of different loading infusion rates of N-</w:t>
      </w:r>
      <w:proofErr w:type="spellStart"/>
      <w:r w:rsidRPr="00691B3F">
        <w:rPr>
          <w:rFonts w:ascii="Book Antiqua" w:eastAsia="DengXian" w:hAnsi="Book Antiqua" w:cs="Times New Roman"/>
          <w:kern w:val="2"/>
          <w:sz w:val="24"/>
          <w:szCs w:val="24"/>
          <w:lang w:eastAsia="zh-CN"/>
        </w:rPr>
        <w:t>acetylcysteine</w:t>
      </w:r>
      <w:proofErr w:type="spellEnd"/>
      <w:r w:rsidRPr="00691B3F">
        <w:rPr>
          <w:rFonts w:ascii="Book Antiqua" w:eastAsia="DengXian" w:hAnsi="Book Antiqua" w:cs="Times New Roman"/>
          <w:kern w:val="2"/>
          <w:sz w:val="24"/>
          <w:szCs w:val="24"/>
          <w:lang w:eastAsia="zh-CN"/>
        </w:rPr>
        <w:t xml:space="preserve">. </w:t>
      </w:r>
      <w:r w:rsidRPr="00691B3F">
        <w:rPr>
          <w:rFonts w:ascii="Book Antiqua" w:eastAsia="DengXian" w:hAnsi="Book Antiqua" w:cs="Times New Roman"/>
          <w:i/>
          <w:kern w:val="2"/>
          <w:sz w:val="24"/>
          <w:szCs w:val="24"/>
          <w:lang w:eastAsia="zh-CN"/>
        </w:rPr>
        <w:t xml:space="preserve">Ann </w:t>
      </w:r>
      <w:proofErr w:type="spellStart"/>
      <w:r w:rsidRPr="00691B3F">
        <w:rPr>
          <w:rFonts w:ascii="Book Antiqua" w:eastAsia="DengXian" w:hAnsi="Book Antiqua" w:cs="Times New Roman"/>
          <w:i/>
          <w:kern w:val="2"/>
          <w:sz w:val="24"/>
          <w:szCs w:val="24"/>
          <w:lang w:eastAsia="zh-CN"/>
        </w:rPr>
        <w:t>Emerg</w:t>
      </w:r>
      <w:proofErr w:type="spellEnd"/>
      <w:r w:rsidRPr="00691B3F">
        <w:rPr>
          <w:rFonts w:ascii="Book Antiqua" w:eastAsia="DengXian" w:hAnsi="Book Antiqua" w:cs="Times New Roman"/>
          <w:i/>
          <w:kern w:val="2"/>
          <w:sz w:val="24"/>
          <w:szCs w:val="24"/>
          <w:lang w:eastAsia="zh-CN"/>
        </w:rPr>
        <w:t xml:space="preserve"> Med</w:t>
      </w:r>
      <w:r w:rsidRPr="00691B3F">
        <w:rPr>
          <w:rFonts w:ascii="Book Antiqua" w:eastAsia="DengXian" w:hAnsi="Book Antiqua" w:cs="Times New Roman"/>
          <w:kern w:val="2"/>
          <w:sz w:val="24"/>
          <w:szCs w:val="24"/>
          <w:lang w:eastAsia="zh-CN"/>
        </w:rPr>
        <w:t xml:space="preserve"> 2005; </w:t>
      </w:r>
      <w:r w:rsidRPr="00691B3F">
        <w:rPr>
          <w:rFonts w:ascii="Book Antiqua" w:eastAsia="DengXian" w:hAnsi="Book Antiqua" w:cs="Times New Roman"/>
          <w:b/>
          <w:kern w:val="2"/>
          <w:sz w:val="24"/>
          <w:szCs w:val="24"/>
          <w:lang w:eastAsia="zh-CN"/>
        </w:rPr>
        <w:t>45</w:t>
      </w:r>
      <w:r w:rsidRPr="00691B3F">
        <w:rPr>
          <w:rFonts w:ascii="Book Antiqua" w:eastAsia="DengXian" w:hAnsi="Book Antiqua" w:cs="Times New Roman"/>
          <w:kern w:val="2"/>
          <w:sz w:val="24"/>
          <w:szCs w:val="24"/>
          <w:lang w:eastAsia="zh-CN"/>
        </w:rPr>
        <w:t>: 402-408 [PMID: 15795719 DOI: 10.1016/j.annemergmed.2004.08.040]</w:t>
      </w:r>
    </w:p>
    <w:p w14:paraId="3D33691D"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proofErr w:type="gramStart"/>
      <w:r w:rsidRPr="00691B3F">
        <w:rPr>
          <w:rFonts w:ascii="Book Antiqua" w:eastAsia="DengXian" w:hAnsi="Book Antiqua" w:cs="Times New Roman"/>
          <w:kern w:val="2"/>
          <w:sz w:val="24"/>
          <w:szCs w:val="24"/>
          <w:lang w:eastAsia="zh-CN"/>
        </w:rPr>
        <w:t xml:space="preserve">59 </w:t>
      </w:r>
      <w:r w:rsidRPr="00691B3F">
        <w:rPr>
          <w:rFonts w:ascii="Book Antiqua" w:eastAsia="DengXian" w:hAnsi="Book Antiqua" w:cs="Times New Roman"/>
          <w:b/>
          <w:kern w:val="2"/>
          <w:sz w:val="24"/>
          <w:szCs w:val="24"/>
          <w:lang w:eastAsia="zh-CN"/>
        </w:rPr>
        <w:t>Fontana RJ</w:t>
      </w:r>
      <w:r w:rsidRPr="00691B3F">
        <w:rPr>
          <w:rFonts w:ascii="Book Antiqua" w:eastAsia="DengXian" w:hAnsi="Book Antiqua" w:cs="Times New Roman"/>
          <w:kern w:val="2"/>
          <w:sz w:val="24"/>
          <w:szCs w:val="24"/>
          <w:lang w:eastAsia="zh-CN"/>
        </w:rPr>
        <w:t>.</w:t>
      </w:r>
      <w:proofErr w:type="gramEnd"/>
      <w:r w:rsidRPr="00691B3F">
        <w:rPr>
          <w:rFonts w:ascii="Book Antiqua" w:eastAsia="DengXian" w:hAnsi="Book Antiqua" w:cs="Times New Roman"/>
          <w:kern w:val="2"/>
          <w:sz w:val="24"/>
          <w:szCs w:val="24"/>
          <w:lang w:eastAsia="zh-CN"/>
        </w:rPr>
        <w:t xml:space="preserve"> </w:t>
      </w:r>
      <w:proofErr w:type="gramStart"/>
      <w:r w:rsidRPr="00691B3F">
        <w:rPr>
          <w:rFonts w:ascii="Book Antiqua" w:eastAsia="DengXian" w:hAnsi="Book Antiqua" w:cs="Times New Roman"/>
          <w:kern w:val="2"/>
          <w:sz w:val="24"/>
          <w:szCs w:val="24"/>
          <w:lang w:eastAsia="zh-CN"/>
        </w:rPr>
        <w:t>Acute liver failure including acetaminophen overdose.</w:t>
      </w:r>
      <w:proofErr w:type="gramEnd"/>
      <w:r w:rsidRPr="00691B3F">
        <w:rPr>
          <w:rFonts w:ascii="Book Antiqua" w:eastAsia="DengXian" w:hAnsi="Book Antiqua" w:cs="Times New Roman"/>
          <w:kern w:val="2"/>
          <w:sz w:val="24"/>
          <w:szCs w:val="24"/>
          <w:lang w:eastAsia="zh-CN"/>
        </w:rPr>
        <w:t xml:space="preserve"> </w:t>
      </w:r>
      <w:r w:rsidRPr="00691B3F">
        <w:rPr>
          <w:rFonts w:ascii="Book Antiqua" w:eastAsia="DengXian" w:hAnsi="Book Antiqua" w:cs="Times New Roman"/>
          <w:i/>
          <w:kern w:val="2"/>
          <w:sz w:val="24"/>
          <w:szCs w:val="24"/>
          <w:lang w:eastAsia="zh-CN"/>
        </w:rPr>
        <w:t xml:space="preserve">Med </w:t>
      </w:r>
      <w:proofErr w:type="spellStart"/>
      <w:r w:rsidRPr="00691B3F">
        <w:rPr>
          <w:rFonts w:ascii="Book Antiqua" w:eastAsia="DengXian" w:hAnsi="Book Antiqua" w:cs="Times New Roman"/>
          <w:i/>
          <w:kern w:val="2"/>
          <w:sz w:val="24"/>
          <w:szCs w:val="24"/>
          <w:lang w:eastAsia="zh-CN"/>
        </w:rPr>
        <w:t>Clin</w:t>
      </w:r>
      <w:proofErr w:type="spellEnd"/>
      <w:r w:rsidRPr="00691B3F">
        <w:rPr>
          <w:rFonts w:ascii="Book Antiqua" w:eastAsia="DengXian" w:hAnsi="Book Antiqua" w:cs="Times New Roman"/>
          <w:i/>
          <w:kern w:val="2"/>
          <w:sz w:val="24"/>
          <w:szCs w:val="24"/>
          <w:lang w:eastAsia="zh-CN"/>
        </w:rPr>
        <w:t xml:space="preserve"> North Am</w:t>
      </w:r>
      <w:r w:rsidRPr="00691B3F">
        <w:rPr>
          <w:rFonts w:ascii="Book Antiqua" w:eastAsia="DengXian" w:hAnsi="Book Antiqua" w:cs="Times New Roman"/>
          <w:kern w:val="2"/>
          <w:sz w:val="24"/>
          <w:szCs w:val="24"/>
          <w:lang w:eastAsia="zh-CN"/>
        </w:rPr>
        <w:t xml:space="preserve"> 2008; </w:t>
      </w:r>
      <w:r w:rsidRPr="00691B3F">
        <w:rPr>
          <w:rFonts w:ascii="Book Antiqua" w:eastAsia="DengXian" w:hAnsi="Book Antiqua" w:cs="Times New Roman"/>
          <w:b/>
          <w:kern w:val="2"/>
          <w:sz w:val="24"/>
          <w:szCs w:val="24"/>
          <w:lang w:eastAsia="zh-CN"/>
        </w:rPr>
        <w:t>92</w:t>
      </w:r>
      <w:r w:rsidRPr="00691B3F">
        <w:rPr>
          <w:rFonts w:ascii="Book Antiqua" w:eastAsia="DengXian" w:hAnsi="Book Antiqua" w:cs="Times New Roman"/>
          <w:kern w:val="2"/>
          <w:sz w:val="24"/>
          <w:szCs w:val="24"/>
          <w:lang w:eastAsia="zh-CN"/>
        </w:rPr>
        <w:t>: 761-794, viii [PMID: 18570942 DOI: 10.1016/j.mcna.2008.03.005]</w:t>
      </w:r>
    </w:p>
    <w:p w14:paraId="785444DD"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proofErr w:type="gramStart"/>
      <w:r w:rsidRPr="00691B3F">
        <w:rPr>
          <w:rFonts w:ascii="Book Antiqua" w:eastAsia="DengXian" w:hAnsi="Book Antiqua" w:cs="Times New Roman"/>
          <w:kern w:val="2"/>
          <w:sz w:val="24"/>
          <w:szCs w:val="24"/>
          <w:lang w:eastAsia="zh-CN"/>
        </w:rPr>
        <w:t xml:space="preserve">60 </w:t>
      </w:r>
      <w:proofErr w:type="spellStart"/>
      <w:r w:rsidRPr="00691B3F">
        <w:rPr>
          <w:rFonts w:ascii="Book Antiqua" w:eastAsia="DengXian" w:hAnsi="Book Antiqua" w:cs="Times New Roman"/>
          <w:b/>
          <w:kern w:val="2"/>
          <w:sz w:val="24"/>
          <w:szCs w:val="24"/>
          <w:lang w:eastAsia="zh-CN"/>
        </w:rPr>
        <w:t>Rumack</w:t>
      </w:r>
      <w:proofErr w:type="spellEnd"/>
      <w:r w:rsidRPr="00691B3F">
        <w:rPr>
          <w:rFonts w:ascii="Book Antiqua" w:eastAsia="DengXian" w:hAnsi="Book Antiqua" w:cs="Times New Roman"/>
          <w:b/>
          <w:kern w:val="2"/>
          <w:sz w:val="24"/>
          <w:szCs w:val="24"/>
          <w:lang w:eastAsia="zh-CN"/>
        </w:rPr>
        <w:t xml:space="preserve"> BH</w:t>
      </w:r>
      <w:r w:rsidRPr="00691B3F">
        <w:rPr>
          <w:rFonts w:ascii="Book Antiqua" w:eastAsia="DengXian" w:hAnsi="Book Antiqua" w:cs="Times New Roman"/>
          <w:kern w:val="2"/>
          <w:sz w:val="24"/>
          <w:szCs w:val="24"/>
          <w:lang w:eastAsia="zh-CN"/>
        </w:rPr>
        <w:t>.</w:t>
      </w:r>
      <w:proofErr w:type="gramEnd"/>
      <w:r w:rsidRPr="00691B3F">
        <w:rPr>
          <w:rFonts w:ascii="Book Antiqua" w:eastAsia="DengXian" w:hAnsi="Book Antiqua" w:cs="Times New Roman"/>
          <w:kern w:val="2"/>
          <w:sz w:val="24"/>
          <w:szCs w:val="24"/>
          <w:lang w:eastAsia="zh-CN"/>
        </w:rPr>
        <w:t xml:space="preserve"> Acetaminophen hepatotoxicity: the first 35 years. </w:t>
      </w:r>
      <w:r w:rsidRPr="00691B3F">
        <w:rPr>
          <w:rFonts w:ascii="Book Antiqua" w:eastAsia="DengXian" w:hAnsi="Book Antiqua" w:cs="Times New Roman"/>
          <w:i/>
          <w:kern w:val="2"/>
          <w:sz w:val="24"/>
          <w:szCs w:val="24"/>
          <w:lang w:eastAsia="zh-CN"/>
        </w:rPr>
        <w:t xml:space="preserve">J </w:t>
      </w:r>
      <w:proofErr w:type="spellStart"/>
      <w:r w:rsidRPr="00691B3F">
        <w:rPr>
          <w:rFonts w:ascii="Book Antiqua" w:eastAsia="DengXian" w:hAnsi="Book Antiqua" w:cs="Times New Roman"/>
          <w:i/>
          <w:kern w:val="2"/>
          <w:sz w:val="24"/>
          <w:szCs w:val="24"/>
          <w:lang w:eastAsia="zh-CN"/>
        </w:rPr>
        <w:t>Toxicol</w:t>
      </w:r>
      <w:proofErr w:type="spellEnd"/>
      <w:r w:rsidRPr="00691B3F">
        <w:rPr>
          <w:rFonts w:ascii="Book Antiqua" w:eastAsia="DengXian" w:hAnsi="Book Antiqua" w:cs="Times New Roman"/>
          <w:i/>
          <w:kern w:val="2"/>
          <w:sz w:val="24"/>
          <w:szCs w:val="24"/>
          <w:lang w:eastAsia="zh-CN"/>
        </w:rPr>
        <w:t xml:space="preserve"> </w:t>
      </w:r>
      <w:proofErr w:type="spellStart"/>
      <w:r w:rsidRPr="00691B3F">
        <w:rPr>
          <w:rFonts w:ascii="Book Antiqua" w:eastAsia="DengXian" w:hAnsi="Book Antiqua" w:cs="Times New Roman"/>
          <w:i/>
          <w:kern w:val="2"/>
          <w:sz w:val="24"/>
          <w:szCs w:val="24"/>
          <w:lang w:eastAsia="zh-CN"/>
        </w:rPr>
        <w:t>Clin</w:t>
      </w:r>
      <w:proofErr w:type="spellEnd"/>
      <w:r w:rsidRPr="00691B3F">
        <w:rPr>
          <w:rFonts w:ascii="Book Antiqua" w:eastAsia="DengXian" w:hAnsi="Book Antiqua" w:cs="Times New Roman"/>
          <w:i/>
          <w:kern w:val="2"/>
          <w:sz w:val="24"/>
          <w:szCs w:val="24"/>
          <w:lang w:eastAsia="zh-CN"/>
        </w:rPr>
        <w:t xml:space="preserve"> </w:t>
      </w:r>
      <w:proofErr w:type="spellStart"/>
      <w:r w:rsidRPr="00691B3F">
        <w:rPr>
          <w:rFonts w:ascii="Book Antiqua" w:eastAsia="DengXian" w:hAnsi="Book Antiqua" w:cs="Times New Roman"/>
          <w:i/>
          <w:kern w:val="2"/>
          <w:sz w:val="24"/>
          <w:szCs w:val="24"/>
          <w:lang w:eastAsia="zh-CN"/>
        </w:rPr>
        <w:t>Toxicol</w:t>
      </w:r>
      <w:proofErr w:type="spellEnd"/>
      <w:r w:rsidRPr="00691B3F">
        <w:rPr>
          <w:rFonts w:ascii="Book Antiqua" w:eastAsia="DengXian" w:hAnsi="Book Antiqua" w:cs="Times New Roman"/>
          <w:kern w:val="2"/>
          <w:sz w:val="24"/>
          <w:szCs w:val="24"/>
          <w:lang w:eastAsia="zh-CN"/>
        </w:rPr>
        <w:t xml:space="preserve"> 2002; </w:t>
      </w:r>
      <w:r w:rsidRPr="00691B3F">
        <w:rPr>
          <w:rFonts w:ascii="Book Antiqua" w:eastAsia="DengXian" w:hAnsi="Book Antiqua" w:cs="Times New Roman"/>
          <w:b/>
          <w:kern w:val="2"/>
          <w:sz w:val="24"/>
          <w:szCs w:val="24"/>
          <w:lang w:eastAsia="zh-CN"/>
        </w:rPr>
        <w:t>40</w:t>
      </w:r>
      <w:r w:rsidRPr="00691B3F">
        <w:rPr>
          <w:rFonts w:ascii="Book Antiqua" w:eastAsia="DengXian" w:hAnsi="Book Antiqua" w:cs="Times New Roman"/>
          <w:kern w:val="2"/>
          <w:sz w:val="24"/>
          <w:szCs w:val="24"/>
          <w:lang w:eastAsia="zh-CN"/>
        </w:rPr>
        <w:t>: 3-20 [PMID: 11990202 DOI: 10.1081/CLT-120002882]</w:t>
      </w:r>
    </w:p>
    <w:p w14:paraId="53E2CF7D"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61 </w:t>
      </w:r>
      <w:proofErr w:type="gramStart"/>
      <w:r w:rsidRPr="00691B3F">
        <w:rPr>
          <w:rFonts w:ascii="Book Antiqua" w:eastAsia="DengXian" w:hAnsi="Book Antiqua" w:cs="Times New Roman"/>
          <w:kern w:val="2"/>
          <w:sz w:val="24"/>
          <w:szCs w:val="24"/>
          <w:lang w:eastAsia="zh-CN"/>
        </w:rPr>
        <w:t>Food</w:t>
      </w:r>
      <w:proofErr w:type="gramEnd"/>
      <w:r w:rsidRPr="00691B3F">
        <w:rPr>
          <w:rFonts w:ascii="Book Antiqua" w:eastAsia="DengXian" w:hAnsi="Book Antiqua" w:cs="Times New Roman"/>
          <w:kern w:val="2"/>
          <w:sz w:val="24"/>
          <w:szCs w:val="24"/>
          <w:lang w:eastAsia="zh-CN"/>
        </w:rPr>
        <w:t xml:space="preserve"> and Drug Administration. </w:t>
      </w:r>
      <w:proofErr w:type="spellStart"/>
      <w:r w:rsidRPr="00691B3F">
        <w:rPr>
          <w:rFonts w:ascii="Book Antiqua" w:eastAsia="DengXian" w:hAnsi="Book Antiqua" w:cs="Times New Roman"/>
          <w:kern w:val="2"/>
          <w:sz w:val="24"/>
          <w:szCs w:val="24"/>
          <w:lang w:eastAsia="zh-CN"/>
        </w:rPr>
        <w:t>Acetadote</w:t>
      </w:r>
      <w:proofErr w:type="spellEnd"/>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kern w:val="2"/>
          <w:sz w:val="24"/>
          <w:szCs w:val="24"/>
          <w:lang w:eastAsia="zh-CN"/>
        </w:rPr>
        <w:t>acetylcysteine</w:t>
      </w:r>
      <w:proofErr w:type="spellEnd"/>
      <w:r w:rsidRPr="00691B3F">
        <w:rPr>
          <w:rFonts w:ascii="Book Antiqua" w:eastAsia="DengXian" w:hAnsi="Book Antiqua" w:cs="Times New Roman"/>
          <w:kern w:val="2"/>
          <w:sz w:val="24"/>
          <w:szCs w:val="24"/>
          <w:lang w:eastAsia="zh-CN"/>
        </w:rPr>
        <w:t>) injection package insert. Available from: https://www.accessdata.fda.gov/drugsatfda_docs/label/2006/021539s004lbl.pdf</w:t>
      </w:r>
    </w:p>
    <w:p w14:paraId="3F3EDC55"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62 </w:t>
      </w:r>
      <w:r w:rsidRPr="00691B3F">
        <w:rPr>
          <w:rFonts w:ascii="Book Antiqua" w:eastAsia="DengXian" w:hAnsi="Book Antiqua" w:cs="Times New Roman"/>
          <w:b/>
          <w:kern w:val="2"/>
          <w:sz w:val="24"/>
          <w:szCs w:val="24"/>
          <w:lang w:eastAsia="zh-CN"/>
        </w:rPr>
        <w:t>Bateman DN</w:t>
      </w:r>
      <w:r w:rsidRPr="00691B3F">
        <w:rPr>
          <w:rFonts w:ascii="Book Antiqua" w:eastAsia="DengXian" w:hAnsi="Book Antiqua" w:cs="Times New Roman"/>
          <w:kern w:val="2"/>
          <w:sz w:val="24"/>
          <w:szCs w:val="24"/>
          <w:lang w:eastAsia="zh-CN"/>
        </w:rPr>
        <w:t xml:space="preserve">, Carroll R, </w:t>
      </w:r>
      <w:proofErr w:type="spellStart"/>
      <w:r w:rsidRPr="00691B3F">
        <w:rPr>
          <w:rFonts w:ascii="Book Antiqua" w:eastAsia="DengXian" w:hAnsi="Book Antiqua" w:cs="Times New Roman"/>
          <w:kern w:val="2"/>
          <w:sz w:val="24"/>
          <w:szCs w:val="24"/>
          <w:lang w:eastAsia="zh-CN"/>
        </w:rPr>
        <w:t>Pettie</w:t>
      </w:r>
      <w:proofErr w:type="spellEnd"/>
      <w:r w:rsidRPr="00691B3F">
        <w:rPr>
          <w:rFonts w:ascii="Book Antiqua" w:eastAsia="DengXian" w:hAnsi="Book Antiqua" w:cs="Times New Roman"/>
          <w:kern w:val="2"/>
          <w:sz w:val="24"/>
          <w:szCs w:val="24"/>
          <w:lang w:eastAsia="zh-CN"/>
        </w:rPr>
        <w:t xml:space="preserve"> J, Yamamoto T, </w:t>
      </w:r>
      <w:proofErr w:type="spellStart"/>
      <w:r w:rsidRPr="00691B3F">
        <w:rPr>
          <w:rFonts w:ascii="Book Antiqua" w:eastAsia="DengXian" w:hAnsi="Book Antiqua" w:cs="Times New Roman"/>
          <w:kern w:val="2"/>
          <w:sz w:val="24"/>
          <w:szCs w:val="24"/>
          <w:lang w:eastAsia="zh-CN"/>
        </w:rPr>
        <w:t>Elamin</w:t>
      </w:r>
      <w:proofErr w:type="spellEnd"/>
      <w:r w:rsidRPr="00691B3F">
        <w:rPr>
          <w:rFonts w:ascii="Book Antiqua" w:eastAsia="DengXian" w:hAnsi="Book Antiqua" w:cs="Times New Roman"/>
          <w:kern w:val="2"/>
          <w:sz w:val="24"/>
          <w:szCs w:val="24"/>
          <w:lang w:eastAsia="zh-CN"/>
        </w:rPr>
        <w:t xml:space="preserve"> ME, </w:t>
      </w:r>
      <w:proofErr w:type="spellStart"/>
      <w:r w:rsidRPr="00691B3F">
        <w:rPr>
          <w:rFonts w:ascii="Book Antiqua" w:eastAsia="DengXian" w:hAnsi="Book Antiqua" w:cs="Times New Roman"/>
          <w:kern w:val="2"/>
          <w:sz w:val="24"/>
          <w:szCs w:val="24"/>
          <w:lang w:eastAsia="zh-CN"/>
        </w:rPr>
        <w:t>Peart</w:t>
      </w:r>
      <w:proofErr w:type="spellEnd"/>
      <w:r w:rsidRPr="00691B3F">
        <w:rPr>
          <w:rFonts w:ascii="Book Antiqua" w:eastAsia="DengXian" w:hAnsi="Book Antiqua" w:cs="Times New Roman"/>
          <w:kern w:val="2"/>
          <w:sz w:val="24"/>
          <w:szCs w:val="24"/>
          <w:lang w:eastAsia="zh-CN"/>
        </w:rPr>
        <w:t xml:space="preserve"> L, Dow M, Coyle J, </w:t>
      </w:r>
      <w:proofErr w:type="spellStart"/>
      <w:r w:rsidRPr="00691B3F">
        <w:rPr>
          <w:rFonts w:ascii="Book Antiqua" w:eastAsia="DengXian" w:hAnsi="Book Antiqua" w:cs="Times New Roman"/>
          <w:kern w:val="2"/>
          <w:sz w:val="24"/>
          <w:szCs w:val="24"/>
          <w:lang w:eastAsia="zh-CN"/>
        </w:rPr>
        <w:t>Cranfield</w:t>
      </w:r>
      <w:proofErr w:type="spellEnd"/>
      <w:r w:rsidRPr="00691B3F">
        <w:rPr>
          <w:rFonts w:ascii="Book Antiqua" w:eastAsia="DengXian" w:hAnsi="Book Antiqua" w:cs="Times New Roman"/>
          <w:kern w:val="2"/>
          <w:sz w:val="24"/>
          <w:szCs w:val="24"/>
          <w:lang w:eastAsia="zh-CN"/>
        </w:rPr>
        <w:t xml:space="preserve"> KR, Hook C, Sandilands EA, </w:t>
      </w:r>
      <w:proofErr w:type="spellStart"/>
      <w:r w:rsidRPr="00691B3F">
        <w:rPr>
          <w:rFonts w:ascii="Book Antiqua" w:eastAsia="DengXian" w:hAnsi="Book Antiqua" w:cs="Times New Roman"/>
          <w:kern w:val="2"/>
          <w:sz w:val="24"/>
          <w:szCs w:val="24"/>
          <w:lang w:eastAsia="zh-CN"/>
        </w:rPr>
        <w:t>Veiraiah</w:t>
      </w:r>
      <w:proofErr w:type="spellEnd"/>
      <w:r w:rsidRPr="00691B3F">
        <w:rPr>
          <w:rFonts w:ascii="Book Antiqua" w:eastAsia="DengXian" w:hAnsi="Book Antiqua" w:cs="Times New Roman"/>
          <w:kern w:val="2"/>
          <w:sz w:val="24"/>
          <w:szCs w:val="24"/>
          <w:lang w:eastAsia="zh-CN"/>
        </w:rPr>
        <w:t xml:space="preserve"> A, Webb D, Gray A, </w:t>
      </w:r>
      <w:proofErr w:type="spellStart"/>
      <w:r w:rsidRPr="00691B3F">
        <w:rPr>
          <w:rFonts w:ascii="Book Antiqua" w:eastAsia="DengXian" w:hAnsi="Book Antiqua" w:cs="Times New Roman"/>
          <w:kern w:val="2"/>
          <w:sz w:val="24"/>
          <w:szCs w:val="24"/>
          <w:lang w:eastAsia="zh-CN"/>
        </w:rPr>
        <w:t>Dargan</w:t>
      </w:r>
      <w:proofErr w:type="spellEnd"/>
      <w:r w:rsidRPr="00691B3F">
        <w:rPr>
          <w:rFonts w:ascii="Book Antiqua" w:eastAsia="DengXian" w:hAnsi="Book Antiqua" w:cs="Times New Roman"/>
          <w:kern w:val="2"/>
          <w:sz w:val="24"/>
          <w:szCs w:val="24"/>
          <w:lang w:eastAsia="zh-CN"/>
        </w:rPr>
        <w:t xml:space="preserve"> PI, Wood DM, Thomas SH, Dear JW, </w:t>
      </w:r>
      <w:proofErr w:type="spellStart"/>
      <w:r w:rsidRPr="00691B3F">
        <w:rPr>
          <w:rFonts w:ascii="Book Antiqua" w:eastAsia="DengXian" w:hAnsi="Book Antiqua" w:cs="Times New Roman"/>
          <w:kern w:val="2"/>
          <w:sz w:val="24"/>
          <w:szCs w:val="24"/>
          <w:lang w:eastAsia="zh-CN"/>
        </w:rPr>
        <w:t>Eddleston</w:t>
      </w:r>
      <w:proofErr w:type="spellEnd"/>
      <w:r w:rsidRPr="00691B3F">
        <w:rPr>
          <w:rFonts w:ascii="Book Antiqua" w:eastAsia="DengXian" w:hAnsi="Book Antiqua" w:cs="Times New Roman"/>
          <w:kern w:val="2"/>
          <w:sz w:val="24"/>
          <w:szCs w:val="24"/>
          <w:lang w:eastAsia="zh-CN"/>
        </w:rPr>
        <w:t xml:space="preserve"> M. Effect of the UK's revised </w:t>
      </w:r>
      <w:proofErr w:type="spellStart"/>
      <w:r w:rsidRPr="00691B3F">
        <w:rPr>
          <w:rFonts w:ascii="Book Antiqua" w:eastAsia="DengXian" w:hAnsi="Book Antiqua" w:cs="Times New Roman"/>
          <w:kern w:val="2"/>
          <w:sz w:val="24"/>
          <w:szCs w:val="24"/>
          <w:lang w:eastAsia="zh-CN"/>
        </w:rPr>
        <w:t>paracetamol</w:t>
      </w:r>
      <w:proofErr w:type="spellEnd"/>
      <w:r w:rsidRPr="00691B3F">
        <w:rPr>
          <w:rFonts w:ascii="Book Antiqua" w:eastAsia="DengXian" w:hAnsi="Book Antiqua" w:cs="Times New Roman"/>
          <w:kern w:val="2"/>
          <w:sz w:val="24"/>
          <w:szCs w:val="24"/>
          <w:lang w:eastAsia="zh-CN"/>
        </w:rPr>
        <w:t xml:space="preserve"> poisoning management guidelines on admissions, adverse reactions and costs of treatment. </w:t>
      </w:r>
      <w:r w:rsidRPr="00691B3F">
        <w:rPr>
          <w:rFonts w:ascii="Book Antiqua" w:eastAsia="DengXian" w:hAnsi="Book Antiqua" w:cs="Times New Roman"/>
          <w:i/>
          <w:kern w:val="2"/>
          <w:sz w:val="24"/>
          <w:szCs w:val="24"/>
          <w:lang w:eastAsia="zh-CN"/>
        </w:rPr>
        <w:t xml:space="preserve">Br J </w:t>
      </w:r>
      <w:proofErr w:type="spellStart"/>
      <w:r w:rsidRPr="00691B3F">
        <w:rPr>
          <w:rFonts w:ascii="Book Antiqua" w:eastAsia="DengXian" w:hAnsi="Book Antiqua" w:cs="Times New Roman"/>
          <w:i/>
          <w:kern w:val="2"/>
          <w:sz w:val="24"/>
          <w:szCs w:val="24"/>
          <w:lang w:eastAsia="zh-CN"/>
        </w:rPr>
        <w:t>Clin</w:t>
      </w:r>
      <w:proofErr w:type="spellEnd"/>
      <w:r w:rsidRPr="00691B3F">
        <w:rPr>
          <w:rFonts w:ascii="Book Antiqua" w:eastAsia="DengXian" w:hAnsi="Book Antiqua" w:cs="Times New Roman"/>
          <w:i/>
          <w:kern w:val="2"/>
          <w:sz w:val="24"/>
          <w:szCs w:val="24"/>
          <w:lang w:eastAsia="zh-CN"/>
        </w:rPr>
        <w:t xml:space="preserve"> </w:t>
      </w:r>
      <w:proofErr w:type="spellStart"/>
      <w:r w:rsidRPr="00691B3F">
        <w:rPr>
          <w:rFonts w:ascii="Book Antiqua" w:eastAsia="DengXian" w:hAnsi="Book Antiqua" w:cs="Times New Roman"/>
          <w:i/>
          <w:kern w:val="2"/>
          <w:sz w:val="24"/>
          <w:szCs w:val="24"/>
          <w:lang w:eastAsia="zh-CN"/>
        </w:rPr>
        <w:t>Pharmacol</w:t>
      </w:r>
      <w:proofErr w:type="spellEnd"/>
      <w:r w:rsidRPr="00691B3F">
        <w:rPr>
          <w:rFonts w:ascii="Book Antiqua" w:eastAsia="DengXian" w:hAnsi="Book Antiqua" w:cs="Times New Roman"/>
          <w:kern w:val="2"/>
          <w:sz w:val="24"/>
          <w:szCs w:val="24"/>
          <w:lang w:eastAsia="zh-CN"/>
        </w:rPr>
        <w:t xml:space="preserve"> 2014; </w:t>
      </w:r>
      <w:r w:rsidRPr="00691B3F">
        <w:rPr>
          <w:rFonts w:ascii="Book Antiqua" w:eastAsia="DengXian" w:hAnsi="Book Antiqua" w:cs="Times New Roman"/>
          <w:b/>
          <w:kern w:val="2"/>
          <w:sz w:val="24"/>
          <w:szCs w:val="24"/>
          <w:lang w:eastAsia="zh-CN"/>
        </w:rPr>
        <w:t>78</w:t>
      </w:r>
      <w:r w:rsidRPr="00691B3F">
        <w:rPr>
          <w:rFonts w:ascii="Book Antiqua" w:eastAsia="DengXian" w:hAnsi="Book Antiqua" w:cs="Times New Roman"/>
          <w:kern w:val="2"/>
          <w:sz w:val="24"/>
          <w:szCs w:val="24"/>
          <w:lang w:eastAsia="zh-CN"/>
        </w:rPr>
        <w:t>: 610-618 [PMID: 24666324 DOI: 10.1111/bcp.12362]</w:t>
      </w:r>
    </w:p>
    <w:p w14:paraId="69976E43"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63 </w:t>
      </w:r>
      <w:r w:rsidRPr="00691B3F">
        <w:rPr>
          <w:rFonts w:ascii="Book Antiqua" w:eastAsia="DengXian" w:hAnsi="Book Antiqua" w:cs="Times New Roman"/>
          <w:b/>
          <w:kern w:val="2"/>
          <w:sz w:val="24"/>
          <w:szCs w:val="24"/>
          <w:lang w:eastAsia="zh-CN"/>
        </w:rPr>
        <w:t>Bond GR,</w:t>
      </w:r>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kern w:val="2"/>
          <w:sz w:val="24"/>
          <w:szCs w:val="24"/>
          <w:lang w:eastAsia="zh-CN"/>
        </w:rPr>
        <w:t>Caravati</w:t>
      </w:r>
      <w:proofErr w:type="spellEnd"/>
      <w:r w:rsidRPr="00691B3F">
        <w:rPr>
          <w:rFonts w:ascii="Book Antiqua" w:eastAsia="DengXian" w:hAnsi="Book Antiqua" w:cs="Times New Roman"/>
          <w:kern w:val="2"/>
          <w:sz w:val="24"/>
          <w:szCs w:val="24"/>
          <w:lang w:eastAsia="zh-CN"/>
        </w:rPr>
        <w:t xml:space="preserve"> EM, Dart RC, Heard KJ, Hoffman RS, </w:t>
      </w:r>
      <w:proofErr w:type="spellStart"/>
      <w:r w:rsidRPr="00691B3F">
        <w:rPr>
          <w:rFonts w:ascii="Book Antiqua" w:eastAsia="DengXian" w:hAnsi="Book Antiqua" w:cs="Times New Roman"/>
          <w:kern w:val="2"/>
          <w:sz w:val="24"/>
          <w:szCs w:val="24"/>
          <w:lang w:eastAsia="zh-CN"/>
        </w:rPr>
        <w:t>Rumack</w:t>
      </w:r>
      <w:proofErr w:type="spellEnd"/>
      <w:r w:rsidRPr="00691B3F">
        <w:rPr>
          <w:rFonts w:ascii="Book Antiqua" w:eastAsia="DengXian" w:hAnsi="Book Antiqua" w:cs="Times New Roman"/>
          <w:kern w:val="2"/>
          <w:sz w:val="24"/>
          <w:szCs w:val="24"/>
          <w:lang w:eastAsia="zh-CN"/>
        </w:rPr>
        <w:t xml:space="preserve"> BH, Snodgrass WR. </w:t>
      </w:r>
      <w:proofErr w:type="gramStart"/>
      <w:r w:rsidRPr="00691B3F">
        <w:rPr>
          <w:rFonts w:ascii="Book Antiqua" w:eastAsia="DengXian" w:hAnsi="Book Antiqua" w:cs="Times New Roman"/>
          <w:kern w:val="2"/>
          <w:sz w:val="24"/>
          <w:szCs w:val="24"/>
          <w:lang w:eastAsia="zh-CN"/>
        </w:rPr>
        <w:t>Guidelines for the Management of Acetaminophen Overdose.</w:t>
      </w:r>
      <w:proofErr w:type="gramEnd"/>
      <w:r w:rsidRPr="00691B3F">
        <w:rPr>
          <w:rFonts w:ascii="Book Antiqua" w:eastAsia="DengXian" w:hAnsi="Book Antiqua" w:cs="Times New Roman"/>
          <w:kern w:val="2"/>
          <w:sz w:val="24"/>
          <w:szCs w:val="24"/>
          <w:lang w:eastAsia="zh-CN"/>
        </w:rPr>
        <w:t xml:space="preserve"> Available from: https://www.tylenolprofessional.com/sites/tylenol_hcp_us/files/acetaminphen_over</w:t>
      </w:r>
      <w:r w:rsidRPr="00691B3F">
        <w:rPr>
          <w:rFonts w:ascii="Book Antiqua" w:eastAsia="DengXian" w:hAnsi="Book Antiqua" w:cs="Times New Roman"/>
          <w:kern w:val="2"/>
          <w:sz w:val="24"/>
          <w:szCs w:val="24"/>
          <w:lang w:eastAsia="zh-CN"/>
        </w:rPr>
        <w:lastRenderedPageBreak/>
        <w:t>dose_treatment_info.pdf</w:t>
      </w:r>
    </w:p>
    <w:p w14:paraId="716DE1D2"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64 </w:t>
      </w:r>
      <w:proofErr w:type="spellStart"/>
      <w:r w:rsidRPr="00691B3F">
        <w:rPr>
          <w:rFonts w:ascii="Book Antiqua" w:eastAsia="DengXian" w:hAnsi="Book Antiqua" w:cs="Times New Roman"/>
          <w:b/>
          <w:kern w:val="2"/>
          <w:sz w:val="24"/>
          <w:szCs w:val="24"/>
          <w:lang w:eastAsia="zh-CN"/>
        </w:rPr>
        <w:t>Rumack</w:t>
      </w:r>
      <w:proofErr w:type="spellEnd"/>
      <w:r w:rsidRPr="00691B3F">
        <w:rPr>
          <w:rFonts w:ascii="Book Antiqua" w:eastAsia="DengXian" w:hAnsi="Book Antiqua" w:cs="Times New Roman"/>
          <w:b/>
          <w:kern w:val="2"/>
          <w:sz w:val="24"/>
          <w:szCs w:val="24"/>
          <w:lang w:eastAsia="zh-CN"/>
        </w:rPr>
        <w:t xml:space="preserve"> BH</w:t>
      </w:r>
      <w:r w:rsidRPr="00691B3F">
        <w:rPr>
          <w:rFonts w:ascii="Book Antiqua" w:eastAsia="DengXian" w:hAnsi="Book Antiqua" w:cs="Times New Roman"/>
          <w:kern w:val="2"/>
          <w:sz w:val="24"/>
          <w:szCs w:val="24"/>
          <w:lang w:eastAsia="zh-CN"/>
        </w:rPr>
        <w:t xml:space="preserve">, Peterson RC, Koch GG, Amara IA. </w:t>
      </w:r>
      <w:proofErr w:type="gramStart"/>
      <w:r w:rsidRPr="00691B3F">
        <w:rPr>
          <w:rFonts w:ascii="Book Antiqua" w:eastAsia="DengXian" w:hAnsi="Book Antiqua" w:cs="Times New Roman"/>
          <w:kern w:val="2"/>
          <w:sz w:val="24"/>
          <w:szCs w:val="24"/>
          <w:lang w:eastAsia="zh-CN"/>
        </w:rPr>
        <w:t>Acetaminophen overdose.</w:t>
      </w:r>
      <w:proofErr w:type="gramEnd"/>
      <w:r w:rsidRPr="00691B3F">
        <w:rPr>
          <w:rFonts w:ascii="Book Antiqua" w:eastAsia="DengXian" w:hAnsi="Book Antiqua" w:cs="Times New Roman"/>
          <w:kern w:val="2"/>
          <w:sz w:val="24"/>
          <w:szCs w:val="24"/>
          <w:lang w:eastAsia="zh-CN"/>
        </w:rPr>
        <w:t xml:space="preserve"> </w:t>
      </w:r>
      <w:proofErr w:type="gramStart"/>
      <w:r w:rsidRPr="00691B3F">
        <w:rPr>
          <w:rFonts w:ascii="Book Antiqua" w:eastAsia="DengXian" w:hAnsi="Book Antiqua" w:cs="Times New Roman"/>
          <w:kern w:val="2"/>
          <w:sz w:val="24"/>
          <w:szCs w:val="24"/>
          <w:lang w:eastAsia="zh-CN"/>
        </w:rPr>
        <w:t xml:space="preserve">662 cases with evaluation of oral </w:t>
      </w:r>
      <w:proofErr w:type="spellStart"/>
      <w:r w:rsidRPr="00691B3F">
        <w:rPr>
          <w:rFonts w:ascii="Book Antiqua" w:eastAsia="DengXian" w:hAnsi="Book Antiqua" w:cs="Times New Roman"/>
          <w:kern w:val="2"/>
          <w:sz w:val="24"/>
          <w:szCs w:val="24"/>
          <w:lang w:eastAsia="zh-CN"/>
        </w:rPr>
        <w:t>acetylcysteine</w:t>
      </w:r>
      <w:proofErr w:type="spellEnd"/>
      <w:r w:rsidRPr="00691B3F">
        <w:rPr>
          <w:rFonts w:ascii="Book Antiqua" w:eastAsia="DengXian" w:hAnsi="Book Antiqua" w:cs="Times New Roman"/>
          <w:kern w:val="2"/>
          <w:sz w:val="24"/>
          <w:szCs w:val="24"/>
          <w:lang w:eastAsia="zh-CN"/>
        </w:rPr>
        <w:t xml:space="preserve"> treatment.</w:t>
      </w:r>
      <w:proofErr w:type="gramEnd"/>
      <w:r w:rsidRPr="00691B3F">
        <w:rPr>
          <w:rFonts w:ascii="Book Antiqua" w:eastAsia="DengXian" w:hAnsi="Book Antiqua" w:cs="Times New Roman"/>
          <w:kern w:val="2"/>
          <w:sz w:val="24"/>
          <w:szCs w:val="24"/>
          <w:lang w:eastAsia="zh-CN"/>
        </w:rPr>
        <w:t xml:space="preserve"> </w:t>
      </w:r>
      <w:r w:rsidRPr="00691B3F">
        <w:rPr>
          <w:rFonts w:ascii="Book Antiqua" w:eastAsia="DengXian" w:hAnsi="Book Antiqua" w:cs="Times New Roman"/>
          <w:i/>
          <w:kern w:val="2"/>
          <w:sz w:val="24"/>
          <w:szCs w:val="24"/>
          <w:lang w:eastAsia="zh-CN"/>
        </w:rPr>
        <w:t>Arch Intern Med</w:t>
      </w:r>
      <w:r w:rsidRPr="00691B3F">
        <w:rPr>
          <w:rFonts w:ascii="Book Antiqua" w:eastAsia="DengXian" w:hAnsi="Book Antiqua" w:cs="Times New Roman"/>
          <w:kern w:val="2"/>
          <w:sz w:val="24"/>
          <w:szCs w:val="24"/>
          <w:lang w:eastAsia="zh-CN"/>
        </w:rPr>
        <w:t xml:space="preserve"> 1981; </w:t>
      </w:r>
      <w:r w:rsidRPr="00691B3F">
        <w:rPr>
          <w:rFonts w:ascii="Book Antiqua" w:eastAsia="DengXian" w:hAnsi="Book Antiqua" w:cs="Times New Roman"/>
          <w:b/>
          <w:kern w:val="2"/>
          <w:sz w:val="24"/>
          <w:szCs w:val="24"/>
          <w:lang w:eastAsia="zh-CN"/>
        </w:rPr>
        <w:t>141</w:t>
      </w:r>
      <w:r w:rsidRPr="00691B3F">
        <w:rPr>
          <w:rFonts w:ascii="Book Antiqua" w:eastAsia="DengXian" w:hAnsi="Book Antiqua" w:cs="Times New Roman"/>
          <w:kern w:val="2"/>
          <w:sz w:val="24"/>
          <w:szCs w:val="24"/>
          <w:lang w:eastAsia="zh-CN"/>
        </w:rPr>
        <w:t>: 380-385 [PMID: 7469629 DOI: 10.1001/archinte.1981.00340030112020]</w:t>
      </w:r>
    </w:p>
    <w:p w14:paraId="1F7D1B32"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65 </w:t>
      </w:r>
      <w:proofErr w:type="spellStart"/>
      <w:r w:rsidRPr="00691B3F">
        <w:rPr>
          <w:rFonts w:ascii="Book Antiqua" w:eastAsia="DengXian" w:hAnsi="Book Antiqua" w:cs="Times New Roman"/>
          <w:b/>
          <w:kern w:val="2"/>
          <w:sz w:val="24"/>
          <w:szCs w:val="24"/>
          <w:lang w:eastAsia="zh-CN"/>
        </w:rPr>
        <w:t>Smilkstein</w:t>
      </w:r>
      <w:proofErr w:type="spellEnd"/>
      <w:r w:rsidRPr="00691B3F">
        <w:rPr>
          <w:rFonts w:ascii="Book Antiqua" w:eastAsia="DengXian" w:hAnsi="Book Antiqua" w:cs="Times New Roman"/>
          <w:b/>
          <w:kern w:val="2"/>
          <w:sz w:val="24"/>
          <w:szCs w:val="24"/>
          <w:lang w:eastAsia="zh-CN"/>
        </w:rPr>
        <w:t xml:space="preserve"> MJ</w:t>
      </w:r>
      <w:r w:rsidRPr="00691B3F">
        <w:rPr>
          <w:rFonts w:ascii="Book Antiqua" w:eastAsia="DengXian" w:hAnsi="Book Antiqua" w:cs="Times New Roman"/>
          <w:kern w:val="2"/>
          <w:sz w:val="24"/>
          <w:szCs w:val="24"/>
          <w:lang w:eastAsia="zh-CN"/>
        </w:rPr>
        <w:t xml:space="preserve">, Knapp GL, </w:t>
      </w:r>
      <w:proofErr w:type="spellStart"/>
      <w:r w:rsidRPr="00691B3F">
        <w:rPr>
          <w:rFonts w:ascii="Book Antiqua" w:eastAsia="DengXian" w:hAnsi="Book Antiqua" w:cs="Times New Roman"/>
          <w:kern w:val="2"/>
          <w:sz w:val="24"/>
          <w:szCs w:val="24"/>
          <w:lang w:eastAsia="zh-CN"/>
        </w:rPr>
        <w:t>Kulig</w:t>
      </w:r>
      <w:proofErr w:type="spellEnd"/>
      <w:r w:rsidRPr="00691B3F">
        <w:rPr>
          <w:rFonts w:ascii="Book Antiqua" w:eastAsia="DengXian" w:hAnsi="Book Antiqua" w:cs="Times New Roman"/>
          <w:kern w:val="2"/>
          <w:sz w:val="24"/>
          <w:szCs w:val="24"/>
          <w:lang w:eastAsia="zh-CN"/>
        </w:rPr>
        <w:t xml:space="preserve"> KW, </w:t>
      </w:r>
      <w:proofErr w:type="spellStart"/>
      <w:r w:rsidRPr="00691B3F">
        <w:rPr>
          <w:rFonts w:ascii="Book Antiqua" w:eastAsia="DengXian" w:hAnsi="Book Antiqua" w:cs="Times New Roman"/>
          <w:kern w:val="2"/>
          <w:sz w:val="24"/>
          <w:szCs w:val="24"/>
          <w:lang w:eastAsia="zh-CN"/>
        </w:rPr>
        <w:t>Rumack</w:t>
      </w:r>
      <w:proofErr w:type="spellEnd"/>
      <w:r w:rsidRPr="00691B3F">
        <w:rPr>
          <w:rFonts w:ascii="Book Antiqua" w:eastAsia="DengXian" w:hAnsi="Book Antiqua" w:cs="Times New Roman"/>
          <w:kern w:val="2"/>
          <w:sz w:val="24"/>
          <w:szCs w:val="24"/>
          <w:lang w:eastAsia="zh-CN"/>
        </w:rPr>
        <w:t xml:space="preserve"> BH. </w:t>
      </w:r>
      <w:proofErr w:type="gramStart"/>
      <w:r w:rsidRPr="00691B3F">
        <w:rPr>
          <w:rFonts w:ascii="Book Antiqua" w:eastAsia="DengXian" w:hAnsi="Book Antiqua" w:cs="Times New Roman"/>
          <w:kern w:val="2"/>
          <w:sz w:val="24"/>
          <w:szCs w:val="24"/>
          <w:lang w:eastAsia="zh-CN"/>
        </w:rPr>
        <w:t>Efficacy of oral N-</w:t>
      </w:r>
      <w:proofErr w:type="spellStart"/>
      <w:r w:rsidRPr="00691B3F">
        <w:rPr>
          <w:rFonts w:ascii="Book Antiqua" w:eastAsia="DengXian" w:hAnsi="Book Antiqua" w:cs="Times New Roman"/>
          <w:kern w:val="2"/>
          <w:sz w:val="24"/>
          <w:szCs w:val="24"/>
          <w:lang w:eastAsia="zh-CN"/>
        </w:rPr>
        <w:t>acetylcysteine</w:t>
      </w:r>
      <w:proofErr w:type="spellEnd"/>
      <w:r w:rsidRPr="00691B3F">
        <w:rPr>
          <w:rFonts w:ascii="Book Antiqua" w:eastAsia="DengXian" w:hAnsi="Book Antiqua" w:cs="Times New Roman"/>
          <w:kern w:val="2"/>
          <w:sz w:val="24"/>
          <w:szCs w:val="24"/>
          <w:lang w:eastAsia="zh-CN"/>
        </w:rPr>
        <w:t xml:space="preserve"> in the treatment of acetaminophen overdose.</w:t>
      </w:r>
      <w:proofErr w:type="gramEnd"/>
      <w:r w:rsidRPr="00691B3F">
        <w:rPr>
          <w:rFonts w:ascii="Book Antiqua" w:eastAsia="DengXian" w:hAnsi="Book Antiqua" w:cs="Times New Roman"/>
          <w:kern w:val="2"/>
          <w:sz w:val="24"/>
          <w:szCs w:val="24"/>
          <w:lang w:eastAsia="zh-CN"/>
        </w:rPr>
        <w:t xml:space="preserve"> Analysis of the national multicenter study (1976 to 1985) </w:t>
      </w:r>
      <w:r w:rsidRPr="00691B3F">
        <w:rPr>
          <w:rFonts w:ascii="Book Antiqua" w:eastAsia="DengXian" w:hAnsi="Book Antiqua" w:cs="Times New Roman"/>
          <w:i/>
          <w:kern w:val="2"/>
          <w:sz w:val="24"/>
          <w:szCs w:val="24"/>
          <w:lang w:eastAsia="zh-CN"/>
        </w:rPr>
        <w:t xml:space="preserve">N </w:t>
      </w:r>
      <w:proofErr w:type="spellStart"/>
      <w:r w:rsidRPr="00691B3F">
        <w:rPr>
          <w:rFonts w:ascii="Book Antiqua" w:eastAsia="DengXian" w:hAnsi="Book Antiqua" w:cs="Times New Roman"/>
          <w:i/>
          <w:kern w:val="2"/>
          <w:sz w:val="24"/>
          <w:szCs w:val="24"/>
          <w:lang w:eastAsia="zh-CN"/>
        </w:rPr>
        <w:t>Engl</w:t>
      </w:r>
      <w:proofErr w:type="spellEnd"/>
      <w:r w:rsidRPr="00691B3F">
        <w:rPr>
          <w:rFonts w:ascii="Book Antiqua" w:eastAsia="DengXian" w:hAnsi="Book Antiqua" w:cs="Times New Roman"/>
          <w:i/>
          <w:kern w:val="2"/>
          <w:sz w:val="24"/>
          <w:szCs w:val="24"/>
          <w:lang w:eastAsia="zh-CN"/>
        </w:rPr>
        <w:t xml:space="preserve"> J Med</w:t>
      </w:r>
      <w:r w:rsidRPr="00691B3F">
        <w:rPr>
          <w:rFonts w:ascii="Book Antiqua" w:eastAsia="DengXian" w:hAnsi="Book Antiqua" w:cs="Times New Roman"/>
          <w:kern w:val="2"/>
          <w:sz w:val="24"/>
          <w:szCs w:val="24"/>
          <w:lang w:eastAsia="zh-CN"/>
        </w:rPr>
        <w:t xml:space="preserve"> 1988; </w:t>
      </w:r>
      <w:r w:rsidRPr="00691B3F">
        <w:rPr>
          <w:rFonts w:ascii="Book Antiqua" w:eastAsia="DengXian" w:hAnsi="Book Antiqua" w:cs="Times New Roman"/>
          <w:b/>
          <w:kern w:val="2"/>
          <w:sz w:val="24"/>
          <w:szCs w:val="24"/>
          <w:lang w:eastAsia="zh-CN"/>
        </w:rPr>
        <w:t>319</w:t>
      </w:r>
      <w:r w:rsidRPr="00691B3F">
        <w:rPr>
          <w:rFonts w:ascii="Book Antiqua" w:eastAsia="DengXian" w:hAnsi="Book Antiqua" w:cs="Times New Roman"/>
          <w:kern w:val="2"/>
          <w:sz w:val="24"/>
          <w:szCs w:val="24"/>
          <w:lang w:eastAsia="zh-CN"/>
        </w:rPr>
        <w:t>: 1557-1562 [PMID: 3059186 DOI: 10.1056/NEJM198812153192401]</w:t>
      </w:r>
    </w:p>
    <w:p w14:paraId="1D8901D7"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proofErr w:type="gramStart"/>
      <w:r w:rsidRPr="00691B3F">
        <w:rPr>
          <w:rFonts w:ascii="Book Antiqua" w:eastAsia="DengXian" w:hAnsi="Book Antiqua" w:cs="Times New Roman"/>
          <w:kern w:val="2"/>
          <w:sz w:val="24"/>
          <w:szCs w:val="24"/>
          <w:lang w:eastAsia="zh-CN"/>
        </w:rPr>
        <w:t xml:space="preserve">66 </w:t>
      </w:r>
      <w:proofErr w:type="spellStart"/>
      <w:r w:rsidRPr="00691B3F">
        <w:rPr>
          <w:rFonts w:ascii="Book Antiqua" w:eastAsia="DengXian" w:hAnsi="Book Antiqua" w:cs="Times New Roman"/>
          <w:b/>
          <w:kern w:val="2"/>
          <w:sz w:val="24"/>
          <w:szCs w:val="24"/>
          <w:lang w:eastAsia="zh-CN"/>
        </w:rPr>
        <w:t>Duffull</w:t>
      </w:r>
      <w:proofErr w:type="spellEnd"/>
      <w:r w:rsidRPr="00691B3F">
        <w:rPr>
          <w:rFonts w:ascii="Book Antiqua" w:eastAsia="DengXian" w:hAnsi="Book Antiqua" w:cs="Times New Roman"/>
          <w:b/>
          <w:kern w:val="2"/>
          <w:sz w:val="24"/>
          <w:szCs w:val="24"/>
          <w:lang w:eastAsia="zh-CN"/>
        </w:rPr>
        <w:t xml:space="preserve"> SB</w:t>
      </w:r>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kern w:val="2"/>
          <w:sz w:val="24"/>
          <w:szCs w:val="24"/>
          <w:lang w:eastAsia="zh-CN"/>
        </w:rPr>
        <w:t>Isbister</w:t>
      </w:r>
      <w:proofErr w:type="spellEnd"/>
      <w:r w:rsidRPr="00691B3F">
        <w:rPr>
          <w:rFonts w:ascii="Book Antiqua" w:eastAsia="DengXian" w:hAnsi="Book Antiqua" w:cs="Times New Roman"/>
          <w:kern w:val="2"/>
          <w:sz w:val="24"/>
          <w:szCs w:val="24"/>
          <w:lang w:eastAsia="zh-CN"/>
        </w:rPr>
        <w:t xml:space="preserve"> GK.</w:t>
      </w:r>
      <w:proofErr w:type="gramEnd"/>
      <w:r w:rsidRPr="00691B3F">
        <w:rPr>
          <w:rFonts w:ascii="Book Antiqua" w:eastAsia="DengXian" w:hAnsi="Book Antiqua" w:cs="Times New Roman"/>
          <w:kern w:val="2"/>
          <w:sz w:val="24"/>
          <w:szCs w:val="24"/>
          <w:lang w:eastAsia="zh-CN"/>
        </w:rPr>
        <w:t xml:space="preserve"> </w:t>
      </w:r>
      <w:proofErr w:type="gramStart"/>
      <w:r w:rsidRPr="00691B3F">
        <w:rPr>
          <w:rFonts w:ascii="Book Antiqua" w:eastAsia="DengXian" w:hAnsi="Book Antiqua" w:cs="Times New Roman"/>
          <w:kern w:val="2"/>
          <w:sz w:val="24"/>
          <w:szCs w:val="24"/>
          <w:lang w:eastAsia="zh-CN"/>
        </w:rPr>
        <w:t>Predicting the requirement for N-</w:t>
      </w:r>
      <w:proofErr w:type="spellStart"/>
      <w:r w:rsidRPr="00691B3F">
        <w:rPr>
          <w:rFonts w:ascii="Book Antiqua" w:eastAsia="DengXian" w:hAnsi="Book Antiqua" w:cs="Times New Roman"/>
          <w:kern w:val="2"/>
          <w:sz w:val="24"/>
          <w:szCs w:val="24"/>
          <w:lang w:eastAsia="zh-CN"/>
        </w:rPr>
        <w:t>acetylcysteine</w:t>
      </w:r>
      <w:proofErr w:type="spellEnd"/>
      <w:r w:rsidRPr="00691B3F">
        <w:rPr>
          <w:rFonts w:ascii="Book Antiqua" w:eastAsia="DengXian" w:hAnsi="Book Antiqua" w:cs="Times New Roman"/>
          <w:kern w:val="2"/>
          <w:sz w:val="24"/>
          <w:szCs w:val="24"/>
          <w:lang w:eastAsia="zh-CN"/>
        </w:rPr>
        <w:t xml:space="preserve"> in </w:t>
      </w:r>
      <w:proofErr w:type="spellStart"/>
      <w:r w:rsidRPr="00691B3F">
        <w:rPr>
          <w:rFonts w:ascii="Book Antiqua" w:eastAsia="DengXian" w:hAnsi="Book Antiqua" w:cs="Times New Roman"/>
          <w:kern w:val="2"/>
          <w:sz w:val="24"/>
          <w:szCs w:val="24"/>
          <w:lang w:eastAsia="zh-CN"/>
        </w:rPr>
        <w:t>paracetamol</w:t>
      </w:r>
      <w:proofErr w:type="spellEnd"/>
      <w:r w:rsidRPr="00691B3F">
        <w:rPr>
          <w:rFonts w:ascii="Book Antiqua" w:eastAsia="DengXian" w:hAnsi="Book Antiqua" w:cs="Times New Roman"/>
          <w:kern w:val="2"/>
          <w:sz w:val="24"/>
          <w:szCs w:val="24"/>
          <w:lang w:eastAsia="zh-CN"/>
        </w:rPr>
        <w:t xml:space="preserve"> poisoning from reported dose.</w:t>
      </w:r>
      <w:proofErr w:type="gramEnd"/>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i/>
          <w:kern w:val="2"/>
          <w:sz w:val="24"/>
          <w:szCs w:val="24"/>
          <w:lang w:eastAsia="zh-CN"/>
        </w:rPr>
        <w:t>Clin</w:t>
      </w:r>
      <w:proofErr w:type="spellEnd"/>
      <w:r w:rsidRPr="00691B3F">
        <w:rPr>
          <w:rFonts w:ascii="Book Antiqua" w:eastAsia="DengXian" w:hAnsi="Book Antiqua" w:cs="Times New Roman"/>
          <w:i/>
          <w:kern w:val="2"/>
          <w:sz w:val="24"/>
          <w:szCs w:val="24"/>
          <w:lang w:eastAsia="zh-CN"/>
        </w:rPr>
        <w:t xml:space="preserve"> </w:t>
      </w:r>
      <w:proofErr w:type="spellStart"/>
      <w:r w:rsidRPr="00691B3F">
        <w:rPr>
          <w:rFonts w:ascii="Book Antiqua" w:eastAsia="DengXian" w:hAnsi="Book Antiqua" w:cs="Times New Roman"/>
          <w:i/>
          <w:kern w:val="2"/>
          <w:sz w:val="24"/>
          <w:szCs w:val="24"/>
          <w:lang w:eastAsia="zh-CN"/>
        </w:rPr>
        <w:t>Toxicol</w:t>
      </w:r>
      <w:proofErr w:type="spellEnd"/>
      <w:r w:rsidRPr="00691B3F">
        <w:rPr>
          <w:rFonts w:ascii="Book Antiqua" w:eastAsia="DengXian" w:hAnsi="Book Antiqua" w:cs="Times New Roman"/>
          <w:i/>
          <w:kern w:val="2"/>
          <w:sz w:val="24"/>
          <w:szCs w:val="24"/>
          <w:lang w:eastAsia="zh-CN"/>
        </w:rPr>
        <w:t xml:space="preserve"> (</w:t>
      </w:r>
      <w:proofErr w:type="spellStart"/>
      <w:r w:rsidRPr="00691B3F">
        <w:rPr>
          <w:rFonts w:ascii="Book Antiqua" w:eastAsia="DengXian" w:hAnsi="Book Antiqua" w:cs="Times New Roman"/>
          <w:i/>
          <w:kern w:val="2"/>
          <w:sz w:val="24"/>
          <w:szCs w:val="24"/>
          <w:lang w:eastAsia="zh-CN"/>
        </w:rPr>
        <w:t>Phila</w:t>
      </w:r>
      <w:proofErr w:type="spellEnd"/>
      <w:r w:rsidRPr="00691B3F">
        <w:rPr>
          <w:rFonts w:ascii="Book Antiqua" w:eastAsia="DengXian" w:hAnsi="Book Antiqua" w:cs="Times New Roman"/>
          <w:i/>
          <w:kern w:val="2"/>
          <w:sz w:val="24"/>
          <w:szCs w:val="24"/>
          <w:lang w:eastAsia="zh-CN"/>
        </w:rPr>
        <w:t>)</w:t>
      </w:r>
      <w:r w:rsidRPr="00691B3F">
        <w:rPr>
          <w:rFonts w:ascii="Book Antiqua" w:eastAsia="DengXian" w:hAnsi="Book Antiqua" w:cs="Times New Roman"/>
          <w:kern w:val="2"/>
          <w:sz w:val="24"/>
          <w:szCs w:val="24"/>
          <w:lang w:eastAsia="zh-CN"/>
        </w:rPr>
        <w:t xml:space="preserve"> 2013; </w:t>
      </w:r>
      <w:r w:rsidRPr="00691B3F">
        <w:rPr>
          <w:rFonts w:ascii="Book Antiqua" w:eastAsia="DengXian" w:hAnsi="Book Antiqua" w:cs="Times New Roman"/>
          <w:b/>
          <w:kern w:val="2"/>
          <w:sz w:val="24"/>
          <w:szCs w:val="24"/>
          <w:lang w:eastAsia="zh-CN"/>
        </w:rPr>
        <w:t>51</w:t>
      </w:r>
      <w:r w:rsidRPr="00691B3F">
        <w:rPr>
          <w:rFonts w:ascii="Book Antiqua" w:eastAsia="DengXian" w:hAnsi="Book Antiqua" w:cs="Times New Roman"/>
          <w:kern w:val="2"/>
          <w:sz w:val="24"/>
          <w:szCs w:val="24"/>
          <w:lang w:eastAsia="zh-CN"/>
        </w:rPr>
        <w:t>: 772-776 [PMID: 23964853 DOI: 10.3109/15563650.2013.830733]</w:t>
      </w:r>
    </w:p>
    <w:p w14:paraId="2C18632F"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proofErr w:type="gramStart"/>
      <w:r w:rsidRPr="00691B3F">
        <w:rPr>
          <w:rFonts w:ascii="Book Antiqua" w:eastAsia="DengXian" w:hAnsi="Book Antiqua" w:cs="Times New Roman"/>
          <w:kern w:val="2"/>
          <w:sz w:val="24"/>
          <w:szCs w:val="24"/>
          <w:lang w:eastAsia="zh-CN"/>
        </w:rPr>
        <w:t xml:space="preserve">67 </w:t>
      </w:r>
      <w:r w:rsidRPr="00691B3F">
        <w:rPr>
          <w:rFonts w:ascii="Book Antiqua" w:eastAsia="DengXian" w:hAnsi="Book Antiqua" w:cs="Times New Roman"/>
          <w:b/>
          <w:kern w:val="2"/>
          <w:sz w:val="24"/>
          <w:szCs w:val="24"/>
          <w:lang w:eastAsia="zh-CN"/>
        </w:rPr>
        <w:t>Maher SZ</w:t>
      </w:r>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kern w:val="2"/>
          <w:sz w:val="24"/>
          <w:szCs w:val="24"/>
          <w:lang w:eastAsia="zh-CN"/>
        </w:rPr>
        <w:t>Schreibman</w:t>
      </w:r>
      <w:proofErr w:type="spellEnd"/>
      <w:r w:rsidRPr="00691B3F">
        <w:rPr>
          <w:rFonts w:ascii="Book Antiqua" w:eastAsia="DengXian" w:hAnsi="Book Antiqua" w:cs="Times New Roman"/>
          <w:kern w:val="2"/>
          <w:sz w:val="24"/>
          <w:szCs w:val="24"/>
          <w:lang w:eastAsia="zh-CN"/>
        </w:rPr>
        <w:t xml:space="preserve"> IR.</w:t>
      </w:r>
      <w:proofErr w:type="gramEnd"/>
      <w:r w:rsidRPr="00691B3F">
        <w:rPr>
          <w:rFonts w:ascii="Book Antiqua" w:eastAsia="DengXian" w:hAnsi="Book Antiqua" w:cs="Times New Roman"/>
          <w:kern w:val="2"/>
          <w:sz w:val="24"/>
          <w:szCs w:val="24"/>
          <w:lang w:eastAsia="zh-CN"/>
        </w:rPr>
        <w:t xml:space="preserve"> </w:t>
      </w:r>
      <w:proofErr w:type="gramStart"/>
      <w:r w:rsidRPr="00691B3F">
        <w:rPr>
          <w:rFonts w:ascii="Book Antiqua" w:eastAsia="DengXian" w:hAnsi="Book Antiqua" w:cs="Times New Roman"/>
          <w:kern w:val="2"/>
          <w:sz w:val="24"/>
          <w:szCs w:val="24"/>
          <w:lang w:eastAsia="zh-CN"/>
        </w:rPr>
        <w:t>The Clinical Spectrum and Manifestations of Acute Liver Failure.</w:t>
      </w:r>
      <w:proofErr w:type="gramEnd"/>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i/>
          <w:kern w:val="2"/>
          <w:sz w:val="24"/>
          <w:szCs w:val="24"/>
          <w:lang w:eastAsia="zh-CN"/>
        </w:rPr>
        <w:t>Clin</w:t>
      </w:r>
      <w:proofErr w:type="spellEnd"/>
      <w:r w:rsidRPr="00691B3F">
        <w:rPr>
          <w:rFonts w:ascii="Book Antiqua" w:eastAsia="DengXian" w:hAnsi="Book Antiqua" w:cs="Times New Roman"/>
          <w:i/>
          <w:kern w:val="2"/>
          <w:sz w:val="24"/>
          <w:szCs w:val="24"/>
          <w:lang w:eastAsia="zh-CN"/>
        </w:rPr>
        <w:t xml:space="preserve"> Liver Dis</w:t>
      </w:r>
      <w:r w:rsidRPr="00691B3F">
        <w:rPr>
          <w:rFonts w:ascii="Book Antiqua" w:eastAsia="DengXian" w:hAnsi="Book Antiqua" w:cs="Times New Roman"/>
          <w:kern w:val="2"/>
          <w:sz w:val="24"/>
          <w:szCs w:val="24"/>
          <w:lang w:eastAsia="zh-CN"/>
        </w:rPr>
        <w:t xml:space="preserve"> 2018; </w:t>
      </w:r>
      <w:r w:rsidRPr="00691B3F">
        <w:rPr>
          <w:rFonts w:ascii="Book Antiqua" w:eastAsia="DengXian" w:hAnsi="Book Antiqua" w:cs="Times New Roman"/>
          <w:b/>
          <w:kern w:val="2"/>
          <w:sz w:val="24"/>
          <w:szCs w:val="24"/>
          <w:lang w:eastAsia="zh-CN"/>
        </w:rPr>
        <w:t>22</w:t>
      </w:r>
      <w:r w:rsidRPr="00691B3F">
        <w:rPr>
          <w:rFonts w:ascii="Book Antiqua" w:eastAsia="DengXian" w:hAnsi="Book Antiqua" w:cs="Times New Roman"/>
          <w:kern w:val="2"/>
          <w:sz w:val="24"/>
          <w:szCs w:val="24"/>
          <w:lang w:eastAsia="zh-CN"/>
        </w:rPr>
        <w:t>: 361-374 [PMID: 29605071 DOI: 10.1016/j.cld.2018.01.012]</w:t>
      </w:r>
    </w:p>
    <w:p w14:paraId="3EA1BFE4"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proofErr w:type="gramStart"/>
      <w:r w:rsidRPr="00691B3F">
        <w:rPr>
          <w:rFonts w:ascii="Book Antiqua" w:eastAsia="DengXian" w:hAnsi="Book Antiqua" w:cs="Times New Roman"/>
          <w:kern w:val="2"/>
          <w:sz w:val="24"/>
          <w:szCs w:val="24"/>
          <w:lang w:eastAsia="zh-CN"/>
        </w:rPr>
        <w:t xml:space="preserve">68 </w:t>
      </w:r>
      <w:r w:rsidRPr="00691B3F">
        <w:rPr>
          <w:rFonts w:ascii="Book Antiqua" w:eastAsia="DengXian" w:hAnsi="Book Antiqua" w:cs="Times New Roman"/>
          <w:b/>
          <w:kern w:val="2"/>
          <w:sz w:val="24"/>
          <w:szCs w:val="24"/>
          <w:lang w:eastAsia="zh-CN"/>
        </w:rPr>
        <w:t>Heard KJ</w:t>
      </w:r>
      <w:r w:rsidRPr="00691B3F">
        <w:rPr>
          <w:rFonts w:ascii="Book Antiqua" w:eastAsia="DengXian" w:hAnsi="Book Antiqua" w:cs="Times New Roman"/>
          <w:kern w:val="2"/>
          <w:sz w:val="24"/>
          <w:szCs w:val="24"/>
          <w:lang w:eastAsia="zh-CN"/>
        </w:rPr>
        <w:t>.</w:t>
      </w:r>
      <w:proofErr w:type="gramEnd"/>
      <w:r w:rsidRPr="00691B3F">
        <w:rPr>
          <w:rFonts w:ascii="Book Antiqua" w:eastAsia="DengXian" w:hAnsi="Book Antiqua" w:cs="Times New Roman"/>
          <w:kern w:val="2"/>
          <w:sz w:val="24"/>
          <w:szCs w:val="24"/>
          <w:lang w:eastAsia="zh-CN"/>
        </w:rPr>
        <w:t xml:space="preserve"> </w:t>
      </w:r>
      <w:proofErr w:type="spellStart"/>
      <w:proofErr w:type="gramStart"/>
      <w:r w:rsidRPr="00691B3F">
        <w:rPr>
          <w:rFonts w:ascii="Book Antiqua" w:eastAsia="DengXian" w:hAnsi="Book Antiqua" w:cs="Times New Roman"/>
          <w:kern w:val="2"/>
          <w:sz w:val="24"/>
          <w:szCs w:val="24"/>
          <w:lang w:eastAsia="zh-CN"/>
        </w:rPr>
        <w:t>Acetylcysteine</w:t>
      </w:r>
      <w:proofErr w:type="spellEnd"/>
      <w:r w:rsidRPr="00691B3F">
        <w:rPr>
          <w:rFonts w:ascii="Book Antiqua" w:eastAsia="DengXian" w:hAnsi="Book Antiqua" w:cs="Times New Roman"/>
          <w:kern w:val="2"/>
          <w:sz w:val="24"/>
          <w:szCs w:val="24"/>
          <w:lang w:eastAsia="zh-CN"/>
        </w:rPr>
        <w:t xml:space="preserve"> for acetaminophen poisoning.</w:t>
      </w:r>
      <w:proofErr w:type="gramEnd"/>
      <w:r w:rsidRPr="00691B3F">
        <w:rPr>
          <w:rFonts w:ascii="Book Antiqua" w:eastAsia="DengXian" w:hAnsi="Book Antiqua" w:cs="Times New Roman"/>
          <w:kern w:val="2"/>
          <w:sz w:val="24"/>
          <w:szCs w:val="24"/>
          <w:lang w:eastAsia="zh-CN"/>
        </w:rPr>
        <w:t xml:space="preserve"> </w:t>
      </w:r>
      <w:r w:rsidRPr="00691B3F">
        <w:rPr>
          <w:rFonts w:ascii="Book Antiqua" w:eastAsia="DengXian" w:hAnsi="Book Antiqua" w:cs="Times New Roman"/>
          <w:i/>
          <w:kern w:val="2"/>
          <w:sz w:val="24"/>
          <w:szCs w:val="24"/>
          <w:lang w:eastAsia="zh-CN"/>
        </w:rPr>
        <w:t xml:space="preserve">N </w:t>
      </w:r>
      <w:proofErr w:type="spellStart"/>
      <w:r w:rsidRPr="00691B3F">
        <w:rPr>
          <w:rFonts w:ascii="Book Antiqua" w:eastAsia="DengXian" w:hAnsi="Book Antiqua" w:cs="Times New Roman"/>
          <w:i/>
          <w:kern w:val="2"/>
          <w:sz w:val="24"/>
          <w:szCs w:val="24"/>
          <w:lang w:eastAsia="zh-CN"/>
        </w:rPr>
        <w:t>Engl</w:t>
      </w:r>
      <w:proofErr w:type="spellEnd"/>
      <w:r w:rsidRPr="00691B3F">
        <w:rPr>
          <w:rFonts w:ascii="Book Antiqua" w:eastAsia="DengXian" w:hAnsi="Book Antiqua" w:cs="Times New Roman"/>
          <w:i/>
          <w:kern w:val="2"/>
          <w:sz w:val="24"/>
          <w:szCs w:val="24"/>
          <w:lang w:eastAsia="zh-CN"/>
        </w:rPr>
        <w:t xml:space="preserve"> J Med</w:t>
      </w:r>
      <w:r w:rsidRPr="00691B3F">
        <w:rPr>
          <w:rFonts w:ascii="Book Antiqua" w:eastAsia="DengXian" w:hAnsi="Book Antiqua" w:cs="Times New Roman"/>
          <w:kern w:val="2"/>
          <w:sz w:val="24"/>
          <w:szCs w:val="24"/>
          <w:lang w:eastAsia="zh-CN"/>
        </w:rPr>
        <w:t xml:space="preserve"> 2008; </w:t>
      </w:r>
      <w:r w:rsidRPr="00691B3F">
        <w:rPr>
          <w:rFonts w:ascii="Book Antiqua" w:eastAsia="DengXian" w:hAnsi="Book Antiqua" w:cs="Times New Roman"/>
          <w:b/>
          <w:kern w:val="2"/>
          <w:sz w:val="24"/>
          <w:szCs w:val="24"/>
          <w:lang w:eastAsia="zh-CN"/>
        </w:rPr>
        <w:t>359</w:t>
      </w:r>
      <w:r w:rsidRPr="00691B3F">
        <w:rPr>
          <w:rFonts w:ascii="Book Antiqua" w:eastAsia="DengXian" w:hAnsi="Book Antiqua" w:cs="Times New Roman"/>
          <w:kern w:val="2"/>
          <w:sz w:val="24"/>
          <w:szCs w:val="24"/>
          <w:lang w:eastAsia="zh-CN"/>
        </w:rPr>
        <w:t>: 285-292 [PMID: 18635433 DOI: 10.1056/NEJMct0708278]</w:t>
      </w:r>
    </w:p>
    <w:p w14:paraId="5E4B620C"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69 </w:t>
      </w:r>
      <w:r w:rsidRPr="00691B3F">
        <w:rPr>
          <w:rFonts w:ascii="Book Antiqua" w:eastAsia="DengXian" w:hAnsi="Book Antiqua" w:cs="Times New Roman"/>
          <w:b/>
          <w:kern w:val="2"/>
          <w:sz w:val="24"/>
          <w:szCs w:val="24"/>
          <w:lang w:eastAsia="zh-CN"/>
        </w:rPr>
        <w:t>Harrison PM</w:t>
      </w:r>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kern w:val="2"/>
          <w:sz w:val="24"/>
          <w:szCs w:val="24"/>
          <w:lang w:eastAsia="zh-CN"/>
        </w:rPr>
        <w:t>Keays</w:t>
      </w:r>
      <w:proofErr w:type="spellEnd"/>
      <w:r w:rsidRPr="00691B3F">
        <w:rPr>
          <w:rFonts w:ascii="Book Antiqua" w:eastAsia="DengXian" w:hAnsi="Book Antiqua" w:cs="Times New Roman"/>
          <w:kern w:val="2"/>
          <w:sz w:val="24"/>
          <w:szCs w:val="24"/>
          <w:lang w:eastAsia="zh-CN"/>
        </w:rPr>
        <w:t xml:space="preserve"> R, Bray GP, Alexander GJ, Williams R. Improved outcome of </w:t>
      </w:r>
      <w:proofErr w:type="spellStart"/>
      <w:r w:rsidRPr="00691B3F">
        <w:rPr>
          <w:rFonts w:ascii="Book Antiqua" w:eastAsia="DengXian" w:hAnsi="Book Antiqua" w:cs="Times New Roman"/>
          <w:kern w:val="2"/>
          <w:sz w:val="24"/>
          <w:szCs w:val="24"/>
          <w:lang w:eastAsia="zh-CN"/>
        </w:rPr>
        <w:t>paracetamol</w:t>
      </w:r>
      <w:proofErr w:type="spellEnd"/>
      <w:r w:rsidRPr="00691B3F">
        <w:rPr>
          <w:rFonts w:ascii="Book Antiqua" w:eastAsia="DengXian" w:hAnsi="Book Antiqua" w:cs="Times New Roman"/>
          <w:kern w:val="2"/>
          <w:sz w:val="24"/>
          <w:szCs w:val="24"/>
          <w:lang w:eastAsia="zh-CN"/>
        </w:rPr>
        <w:t xml:space="preserve">-induced fulminant hepatic failure by late administration of </w:t>
      </w:r>
      <w:proofErr w:type="spellStart"/>
      <w:r w:rsidRPr="00691B3F">
        <w:rPr>
          <w:rFonts w:ascii="Book Antiqua" w:eastAsia="DengXian" w:hAnsi="Book Antiqua" w:cs="Times New Roman"/>
          <w:kern w:val="2"/>
          <w:sz w:val="24"/>
          <w:szCs w:val="24"/>
          <w:lang w:eastAsia="zh-CN"/>
        </w:rPr>
        <w:t>acetylcysteine</w:t>
      </w:r>
      <w:proofErr w:type="spellEnd"/>
      <w:r w:rsidRPr="00691B3F">
        <w:rPr>
          <w:rFonts w:ascii="Book Antiqua" w:eastAsia="DengXian" w:hAnsi="Book Antiqua" w:cs="Times New Roman"/>
          <w:kern w:val="2"/>
          <w:sz w:val="24"/>
          <w:szCs w:val="24"/>
          <w:lang w:eastAsia="zh-CN"/>
        </w:rPr>
        <w:t xml:space="preserve">. </w:t>
      </w:r>
      <w:r w:rsidRPr="00691B3F">
        <w:rPr>
          <w:rFonts w:ascii="Book Antiqua" w:eastAsia="DengXian" w:hAnsi="Book Antiqua" w:cs="Times New Roman"/>
          <w:i/>
          <w:kern w:val="2"/>
          <w:sz w:val="24"/>
          <w:szCs w:val="24"/>
          <w:lang w:eastAsia="zh-CN"/>
        </w:rPr>
        <w:t>Lancet</w:t>
      </w:r>
      <w:r w:rsidRPr="00691B3F">
        <w:rPr>
          <w:rFonts w:ascii="Book Antiqua" w:eastAsia="DengXian" w:hAnsi="Book Antiqua" w:cs="Times New Roman"/>
          <w:kern w:val="2"/>
          <w:sz w:val="24"/>
          <w:szCs w:val="24"/>
          <w:lang w:eastAsia="zh-CN"/>
        </w:rPr>
        <w:t xml:space="preserve"> 1990; </w:t>
      </w:r>
      <w:r w:rsidRPr="00691B3F">
        <w:rPr>
          <w:rFonts w:ascii="Book Antiqua" w:eastAsia="DengXian" w:hAnsi="Book Antiqua" w:cs="Times New Roman"/>
          <w:b/>
          <w:kern w:val="2"/>
          <w:sz w:val="24"/>
          <w:szCs w:val="24"/>
          <w:lang w:eastAsia="zh-CN"/>
        </w:rPr>
        <w:t>335</w:t>
      </w:r>
      <w:r w:rsidRPr="00691B3F">
        <w:rPr>
          <w:rFonts w:ascii="Book Antiqua" w:eastAsia="DengXian" w:hAnsi="Book Antiqua" w:cs="Times New Roman"/>
          <w:kern w:val="2"/>
          <w:sz w:val="24"/>
          <w:szCs w:val="24"/>
          <w:lang w:eastAsia="zh-CN"/>
        </w:rPr>
        <w:t>: 1572-1573 [PMID: 1972496 DOI: 10.1016/0140-6736(90)91388-Q]</w:t>
      </w:r>
    </w:p>
    <w:p w14:paraId="0CFD467F"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proofErr w:type="gramStart"/>
      <w:r w:rsidRPr="00691B3F">
        <w:rPr>
          <w:rFonts w:ascii="Book Antiqua" w:eastAsia="DengXian" w:hAnsi="Book Antiqua" w:cs="Times New Roman"/>
          <w:kern w:val="2"/>
          <w:sz w:val="24"/>
          <w:szCs w:val="24"/>
          <w:lang w:eastAsia="zh-CN"/>
        </w:rPr>
        <w:t xml:space="preserve">70 </w:t>
      </w:r>
      <w:r w:rsidRPr="00691B3F">
        <w:rPr>
          <w:rFonts w:ascii="Book Antiqua" w:eastAsia="DengXian" w:hAnsi="Book Antiqua" w:cs="Times New Roman"/>
          <w:b/>
          <w:kern w:val="2"/>
          <w:sz w:val="24"/>
          <w:szCs w:val="24"/>
          <w:lang w:eastAsia="zh-CN"/>
        </w:rPr>
        <w:t>Prescott LF</w:t>
      </w:r>
      <w:r w:rsidRPr="00691B3F">
        <w:rPr>
          <w:rFonts w:ascii="Book Antiqua" w:eastAsia="DengXian" w:hAnsi="Book Antiqua" w:cs="Times New Roman"/>
          <w:kern w:val="2"/>
          <w:sz w:val="24"/>
          <w:szCs w:val="24"/>
          <w:lang w:eastAsia="zh-CN"/>
        </w:rPr>
        <w:t xml:space="preserve">, Illingworth RN, </w:t>
      </w:r>
      <w:proofErr w:type="spellStart"/>
      <w:r w:rsidRPr="00691B3F">
        <w:rPr>
          <w:rFonts w:ascii="Book Antiqua" w:eastAsia="DengXian" w:hAnsi="Book Antiqua" w:cs="Times New Roman"/>
          <w:kern w:val="2"/>
          <w:sz w:val="24"/>
          <w:szCs w:val="24"/>
          <w:lang w:eastAsia="zh-CN"/>
        </w:rPr>
        <w:t>Critchley</w:t>
      </w:r>
      <w:proofErr w:type="spellEnd"/>
      <w:r w:rsidRPr="00691B3F">
        <w:rPr>
          <w:rFonts w:ascii="Book Antiqua" w:eastAsia="DengXian" w:hAnsi="Book Antiqua" w:cs="Times New Roman"/>
          <w:kern w:val="2"/>
          <w:sz w:val="24"/>
          <w:szCs w:val="24"/>
          <w:lang w:eastAsia="zh-CN"/>
        </w:rPr>
        <w:t xml:space="preserve"> JA, Stewart MJ, Adam RD, </w:t>
      </w:r>
      <w:proofErr w:type="spellStart"/>
      <w:r w:rsidRPr="00691B3F">
        <w:rPr>
          <w:rFonts w:ascii="Book Antiqua" w:eastAsia="DengXian" w:hAnsi="Book Antiqua" w:cs="Times New Roman"/>
          <w:kern w:val="2"/>
          <w:sz w:val="24"/>
          <w:szCs w:val="24"/>
          <w:lang w:eastAsia="zh-CN"/>
        </w:rPr>
        <w:t>Proudfoot</w:t>
      </w:r>
      <w:proofErr w:type="spellEnd"/>
      <w:r w:rsidRPr="00691B3F">
        <w:rPr>
          <w:rFonts w:ascii="Book Antiqua" w:eastAsia="DengXian" w:hAnsi="Book Antiqua" w:cs="Times New Roman"/>
          <w:kern w:val="2"/>
          <w:sz w:val="24"/>
          <w:szCs w:val="24"/>
          <w:lang w:eastAsia="zh-CN"/>
        </w:rPr>
        <w:t xml:space="preserve"> AT.</w:t>
      </w:r>
      <w:proofErr w:type="gramEnd"/>
      <w:r w:rsidRPr="00691B3F">
        <w:rPr>
          <w:rFonts w:ascii="Book Antiqua" w:eastAsia="DengXian" w:hAnsi="Book Antiqua" w:cs="Times New Roman"/>
          <w:kern w:val="2"/>
          <w:sz w:val="24"/>
          <w:szCs w:val="24"/>
          <w:lang w:eastAsia="zh-CN"/>
        </w:rPr>
        <w:t xml:space="preserve"> Intravenous N-</w:t>
      </w:r>
      <w:proofErr w:type="spellStart"/>
      <w:r w:rsidRPr="00691B3F">
        <w:rPr>
          <w:rFonts w:ascii="Book Antiqua" w:eastAsia="DengXian" w:hAnsi="Book Antiqua" w:cs="Times New Roman"/>
          <w:kern w:val="2"/>
          <w:sz w:val="24"/>
          <w:szCs w:val="24"/>
          <w:lang w:eastAsia="zh-CN"/>
        </w:rPr>
        <w:t>acetylcystine</w:t>
      </w:r>
      <w:proofErr w:type="spellEnd"/>
      <w:r w:rsidRPr="00691B3F">
        <w:rPr>
          <w:rFonts w:ascii="Book Antiqua" w:eastAsia="DengXian" w:hAnsi="Book Antiqua" w:cs="Times New Roman"/>
          <w:kern w:val="2"/>
          <w:sz w:val="24"/>
          <w:szCs w:val="24"/>
          <w:lang w:eastAsia="zh-CN"/>
        </w:rPr>
        <w:t xml:space="preserve">: the treatment of choice for </w:t>
      </w:r>
      <w:proofErr w:type="spellStart"/>
      <w:r w:rsidRPr="00691B3F">
        <w:rPr>
          <w:rFonts w:ascii="Book Antiqua" w:eastAsia="DengXian" w:hAnsi="Book Antiqua" w:cs="Times New Roman"/>
          <w:kern w:val="2"/>
          <w:sz w:val="24"/>
          <w:szCs w:val="24"/>
          <w:lang w:eastAsia="zh-CN"/>
        </w:rPr>
        <w:t>paracetamol</w:t>
      </w:r>
      <w:proofErr w:type="spellEnd"/>
      <w:r w:rsidRPr="00691B3F">
        <w:rPr>
          <w:rFonts w:ascii="Book Antiqua" w:eastAsia="DengXian" w:hAnsi="Book Antiqua" w:cs="Times New Roman"/>
          <w:kern w:val="2"/>
          <w:sz w:val="24"/>
          <w:szCs w:val="24"/>
          <w:lang w:eastAsia="zh-CN"/>
        </w:rPr>
        <w:t xml:space="preserve"> poisoning. </w:t>
      </w:r>
      <w:r w:rsidRPr="00691B3F">
        <w:rPr>
          <w:rFonts w:ascii="Book Antiqua" w:eastAsia="DengXian" w:hAnsi="Book Antiqua" w:cs="Times New Roman"/>
          <w:i/>
          <w:kern w:val="2"/>
          <w:sz w:val="24"/>
          <w:szCs w:val="24"/>
          <w:lang w:eastAsia="zh-CN"/>
        </w:rPr>
        <w:t>Br Med J</w:t>
      </w:r>
      <w:r w:rsidRPr="00691B3F">
        <w:rPr>
          <w:rFonts w:ascii="Book Antiqua" w:eastAsia="DengXian" w:hAnsi="Book Antiqua" w:cs="Times New Roman"/>
          <w:kern w:val="2"/>
          <w:sz w:val="24"/>
          <w:szCs w:val="24"/>
          <w:lang w:eastAsia="zh-CN"/>
        </w:rPr>
        <w:t xml:space="preserve"> 1979; </w:t>
      </w:r>
      <w:r w:rsidRPr="00691B3F">
        <w:rPr>
          <w:rFonts w:ascii="Book Antiqua" w:eastAsia="DengXian" w:hAnsi="Book Antiqua" w:cs="Times New Roman"/>
          <w:b/>
          <w:kern w:val="2"/>
          <w:sz w:val="24"/>
          <w:szCs w:val="24"/>
          <w:lang w:eastAsia="zh-CN"/>
        </w:rPr>
        <w:t>2</w:t>
      </w:r>
      <w:r w:rsidRPr="00691B3F">
        <w:rPr>
          <w:rFonts w:ascii="Book Antiqua" w:eastAsia="DengXian" w:hAnsi="Book Antiqua" w:cs="Times New Roman"/>
          <w:kern w:val="2"/>
          <w:sz w:val="24"/>
          <w:szCs w:val="24"/>
          <w:lang w:eastAsia="zh-CN"/>
        </w:rPr>
        <w:t>: 1097-1100 [PMID: 519312 DOI: 10.1136/bmj.2.6198.1097]</w:t>
      </w:r>
    </w:p>
    <w:p w14:paraId="6B862B55"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71 </w:t>
      </w:r>
      <w:r w:rsidRPr="00691B3F">
        <w:rPr>
          <w:rFonts w:ascii="Book Antiqua" w:eastAsia="DengXian" w:hAnsi="Book Antiqua" w:cs="Times New Roman"/>
          <w:b/>
          <w:kern w:val="2"/>
          <w:sz w:val="24"/>
          <w:szCs w:val="24"/>
          <w:lang w:eastAsia="zh-CN"/>
        </w:rPr>
        <w:t>McGovern AJ</w:t>
      </w:r>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kern w:val="2"/>
          <w:sz w:val="24"/>
          <w:szCs w:val="24"/>
          <w:lang w:eastAsia="zh-CN"/>
        </w:rPr>
        <w:t>Vitkovitsky</w:t>
      </w:r>
      <w:proofErr w:type="spellEnd"/>
      <w:r w:rsidRPr="00691B3F">
        <w:rPr>
          <w:rFonts w:ascii="Book Antiqua" w:eastAsia="DengXian" w:hAnsi="Book Antiqua" w:cs="Times New Roman"/>
          <w:kern w:val="2"/>
          <w:sz w:val="24"/>
          <w:szCs w:val="24"/>
          <w:lang w:eastAsia="zh-CN"/>
        </w:rPr>
        <w:t xml:space="preserve"> IV, Jones DL, Mullins ME. Can AST/ALT ratio indicate recovery after acute </w:t>
      </w:r>
      <w:proofErr w:type="spellStart"/>
      <w:r w:rsidRPr="00691B3F">
        <w:rPr>
          <w:rFonts w:ascii="Book Antiqua" w:eastAsia="DengXian" w:hAnsi="Book Antiqua" w:cs="Times New Roman"/>
          <w:kern w:val="2"/>
          <w:sz w:val="24"/>
          <w:szCs w:val="24"/>
          <w:lang w:eastAsia="zh-CN"/>
        </w:rPr>
        <w:t>paracetamol</w:t>
      </w:r>
      <w:proofErr w:type="spellEnd"/>
      <w:r w:rsidRPr="00691B3F">
        <w:rPr>
          <w:rFonts w:ascii="Book Antiqua" w:eastAsia="DengXian" w:hAnsi="Book Antiqua" w:cs="Times New Roman"/>
          <w:kern w:val="2"/>
          <w:sz w:val="24"/>
          <w:szCs w:val="24"/>
          <w:lang w:eastAsia="zh-CN"/>
        </w:rPr>
        <w:t xml:space="preserve"> poisoning? </w:t>
      </w:r>
      <w:proofErr w:type="spellStart"/>
      <w:r w:rsidRPr="00691B3F">
        <w:rPr>
          <w:rFonts w:ascii="Book Antiqua" w:eastAsia="DengXian" w:hAnsi="Book Antiqua" w:cs="Times New Roman"/>
          <w:i/>
          <w:kern w:val="2"/>
          <w:sz w:val="24"/>
          <w:szCs w:val="24"/>
          <w:lang w:eastAsia="zh-CN"/>
        </w:rPr>
        <w:t>Clin</w:t>
      </w:r>
      <w:proofErr w:type="spellEnd"/>
      <w:r w:rsidRPr="00691B3F">
        <w:rPr>
          <w:rFonts w:ascii="Book Antiqua" w:eastAsia="DengXian" w:hAnsi="Book Antiqua" w:cs="Times New Roman"/>
          <w:i/>
          <w:kern w:val="2"/>
          <w:sz w:val="24"/>
          <w:szCs w:val="24"/>
          <w:lang w:eastAsia="zh-CN"/>
        </w:rPr>
        <w:t xml:space="preserve"> </w:t>
      </w:r>
      <w:proofErr w:type="spellStart"/>
      <w:r w:rsidRPr="00691B3F">
        <w:rPr>
          <w:rFonts w:ascii="Book Antiqua" w:eastAsia="DengXian" w:hAnsi="Book Antiqua" w:cs="Times New Roman"/>
          <w:i/>
          <w:kern w:val="2"/>
          <w:sz w:val="24"/>
          <w:szCs w:val="24"/>
          <w:lang w:eastAsia="zh-CN"/>
        </w:rPr>
        <w:t>Toxicol</w:t>
      </w:r>
      <w:proofErr w:type="spellEnd"/>
      <w:r w:rsidRPr="00691B3F">
        <w:rPr>
          <w:rFonts w:ascii="Book Antiqua" w:eastAsia="DengXian" w:hAnsi="Book Antiqua" w:cs="Times New Roman"/>
          <w:i/>
          <w:kern w:val="2"/>
          <w:sz w:val="24"/>
          <w:szCs w:val="24"/>
          <w:lang w:eastAsia="zh-CN"/>
        </w:rPr>
        <w:t xml:space="preserve"> (</w:t>
      </w:r>
      <w:proofErr w:type="spellStart"/>
      <w:r w:rsidRPr="00691B3F">
        <w:rPr>
          <w:rFonts w:ascii="Book Antiqua" w:eastAsia="DengXian" w:hAnsi="Book Antiqua" w:cs="Times New Roman"/>
          <w:i/>
          <w:kern w:val="2"/>
          <w:sz w:val="24"/>
          <w:szCs w:val="24"/>
          <w:lang w:eastAsia="zh-CN"/>
        </w:rPr>
        <w:t>Phila</w:t>
      </w:r>
      <w:proofErr w:type="spellEnd"/>
      <w:r w:rsidRPr="00691B3F">
        <w:rPr>
          <w:rFonts w:ascii="Book Antiqua" w:eastAsia="DengXian" w:hAnsi="Book Antiqua" w:cs="Times New Roman"/>
          <w:i/>
          <w:kern w:val="2"/>
          <w:sz w:val="24"/>
          <w:szCs w:val="24"/>
          <w:lang w:eastAsia="zh-CN"/>
        </w:rPr>
        <w:t>)</w:t>
      </w:r>
      <w:r w:rsidRPr="00691B3F">
        <w:rPr>
          <w:rFonts w:ascii="Book Antiqua" w:eastAsia="DengXian" w:hAnsi="Book Antiqua" w:cs="Times New Roman"/>
          <w:kern w:val="2"/>
          <w:sz w:val="24"/>
          <w:szCs w:val="24"/>
          <w:lang w:eastAsia="zh-CN"/>
        </w:rPr>
        <w:t xml:space="preserve"> 2015; </w:t>
      </w:r>
      <w:r w:rsidRPr="00691B3F">
        <w:rPr>
          <w:rFonts w:ascii="Book Antiqua" w:eastAsia="DengXian" w:hAnsi="Book Antiqua" w:cs="Times New Roman"/>
          <w:b/>
          <w:kern w:val="2"/>
          <w:sz w:val="24"/>
          <w:szCs w:val="24"/>
          <w:lang w:eastAsia="zh-CN"/>
        </w:rPr>
        <w:t>53</w:t>
      </w:r>
      <w:r w:rsidRPr="00691B3F">
        <w:rPr>
          <w:rFonts w:ascii="Book Antiqua" w:eastAsia="DengXian" w:hAnsi="Book Antiqua" w:cs="Times New Roman"/>
          <w:kern w:val="2"/>
          <w:sz w:val="24"/>
          <w:szCs w:val="24"/>
          <w:lang w:eastAsia="zh-CN"/>
        </w:rPr>
        <w:t>: 164-167 [PMID: 25652258 DOI: 10.3109/15563650.2015.1006399]</w:t>
      </w:r>
    </w:p>
    <w:p w14:paraId="15395ABC"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72 </w:t>
      </w:r>
      <w:r w:rsidRPr="00691B3F">
        <w:rPr>
          <w:rFonts w:ascii="Book Antiqua" w:eastAsia="DengXian" w:hAnsi="Book Antiqua" w:cs="Times New Roman"/>
          <w:b/>
          <w:kern w:val="2"/>
          <w:sz w:val="24"/>
          <w:szCs w:val="24"/>
          <w:lang w:eastAsia="zh-CN"/>
        </w:rPr>
        <w:t>Spiller HA</w:t>
      </w:r>
      <w:r w:rsidRPr="00691B3F">
        <w:rPr>
          <w:rFonts w:ascii="Book Antiqua" w:eastAsia="DengXian" w:hAnsi="Book Antiqua" w:cs="Times New Roman"/>
          <w:kern w:val="2"/>
          <w:sz w:val="24"/>
          <w:szCs w:val="24"/>
          <w:lang w:eastAsia="zh-CN"/>
        </w:rPr>
        <w:t xml:space="preserve">, Winter ML, Klein-Schwartz W, </w:t>
      </w:r>
      <w:proofErr w:type="spellStart"/>
      <w:r w:rsidRPr="00691B3F">
        <w:rPr>
          <w:rFonts w:ascii="Book Antiqua" w:eastAsia="DengXian" w:hAnsi="Book Antiqua" w:cs="Times New Roman"/>
          <w:kern w:val="2"/>
          <w:sz w:val="24"/>
          <w:szCs w:val="24"/>
          <w:lang w:eastAsia="zh-CN"/>
        </w:rPr>
        <w:t>Bangh</w:t>
      </w:r>
      <w:proofErr w:type="spellEnd"/>
      <w:r w:rsidRPr="00691B3F">
        <w:rPr>
          <w:rFonts w:ascii="Book Antiqua" w:eastAsia="DengXian" w:hAnsi="Book Antiqua" w:cs="Times New Roman"/>
          <w:kern w:val="2"/>
          <w:sz w:val="24"/>
          <w:szCs w:val="24"/>
          <w:lang w:eastAsia="zh-CN"/>
        </w:rPr>
        <w:t xml:space="preserve"> SA. Efficacy of activated charcoal administered more than four hours after acetaminophen overdose. </w:t>
      </w:r>
      <w:r w:rsidRPr="00691B3F">
        <w:rPr>
          <w:rFonts w:ascii="Book Antiqua" w:eastAsia="DengXian" w:hAnsi="Book Antiqua" w:cs="Times New Roman"/>
          <w:i/>
          <w:kern w:val="2"/>
          <w:sz w:val="24"/>
          <w:szCs w:val="24"/>
          <w:lang w:eastAsia="zh-CN"/>
        </w:rPr>
        <w:t xml:space="preserve">J </w:t>
      </w:r>
      <w:proofErr w:type="spellStart"/>
      <w:r w:rsidRPr="00691B3F">
        <w:rPr>
          <w:rFonts w:ascii="Book Antiqua" w:eastAsia="DengXian" w:hAnsi="Book Antiqua" w:cs="Times New Roman"/>
          <w:i/>
          <w:kern w:val="2"/>
          <w:sz w:val="24"/>
          <w:szCs w:val="24"/>
          <w:lang w:eastAsia="zh-CN"/>
        </w:rPr>
        <w:t>Emerg</w:t>
      </w:r>
      <w:proofErr w:type="spellEnd"/>
      <w:r w:rsidRPr="00691B3F">
        <w:rPr>
          <w:rFonts w:ascii="Book Antiqua" w:eastAsia="DengXian" w:hAnsi="Book Antiqua" w:cs="Times New Roman"/>
          <w:i/>
          <w:kern w:val="2"/>
          <w:sz w:val="24"/>
          <w:szCs w:val="24"/>
          <w:lang w:eastAsia="zh-CN"/>
        </w:rPr>
        <w:t xml:space="preserve"> Med</w:t>
      </w:r>
      <w:r w:rsidRPr="00691B3F">
        <w:rPr>
          <w:rFonts w:ascii="Book Antiqua" w:eastAsia="DengXian" w:hAnsi="Book Antiqua" w:cs="Times New Roman"/>
          <w:kern w:val="2"/>
          <w:sz w:val="24"/>
          <w:szCs w:val="24"/>
          <w:lang w:eastAsia="zh-CN"/>
        </w:rPr>
        <w:t xml:space="preserve"> 2006; </w:t>
      </w:r>
      <w:r w:rsidRPr="00691B3F">
        <w:rPr>
          <w:rFonts w:ascii="Book Antiqua" w:eastAsia="DengXian" w:hAnsi="Book Antiqua" w:cs="Times New Roman"/>
          <w:b/>
          <w:kern w:val="2"/>
          <w:sz w:val="24"/>
          <w:szCs w:val="24"/>
          <w:lang w:eastAsia="zh-CN"/>
        </w:rPr>
        <w:t>30</w:t>
      </w:r>
      <w:r w:rsidRPr="00691B3F">
        <w:rPr>
          <w:rFonts w:ascii="Book Antiqua" w:eastAsia="DengXian" w:hAnsi="Book Antiqua" w:cs="Times New Roman"/>
          <w:kern w:val="2"/>
          <w:sz w:val="24"/>
          <w:szCs w:val="24"/>
          <w:lang w:eastAsia="zh-CN"/>
        </w:rPr>
        <w:t>: 1-5 [PMID: 16434328 DOI: 10.1016/j.jemermed.2005.02.019]</w:t>
      </w:r>
    </w:p>
    <w:p w14:paraId="545AA5B4"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73 </w:t>
      </w:r>
      <w:r w:rsidRPr="00691B3F">
        <w:rPr>
          <w:rFonts w:ascii="Book Antiqua" w:eastAsia="DengXian" w:hAnsi="Book Antiqua" w:cs="Times New Roman"/>
          <w:b/>
          <w:kern w:val="2"/>
          <w:sz w:val="24"/>
          <w:szCs w:val="24"/>
          <w:lang w:eastAsia="zh-CN"/>
        </w:rPr>
        <w:t>Spiller HA</w:t>
      </w:r>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kern w:val="2"/>
          <w:sz w:val="24"/>
          <w:szCs w:val="24"/>
          <w:lang w:eastAsia="zh-CN"/>
        </w:rPr>
        <w:t>Krenzelok</w:t>
      </w:r>
      <w:proofErr w:type="spellEnd"/>
      <w:r w:rsidRPr="00691B3F">
        <w:rPr>
          <w:rFonts w:ascii="Book Antiqua" w:eastAsia="DengXian" w:hAnsi="Book Antiqua" w:cs="Times New Roman"/>
          <w:kern w:val="2"/>
          <w:sz w:val="24"/>
          <w:szCs w:val="24"/>
          <w:lang w:eastAsia="zh-CN"/>
        </w:rPr>
        <w:t xml:space="preserve"> EP, Grande GA, </w:t>
      </w:r>
      <w:proofErr w:type="spellStart"/>
      <w:r w:rsidRPr="00691B3F">
        <w:rPr>
          <w:rFonts w:ascii="Book Antiqua" w:eastAsia="DengXian" w:hAnsi="Book Antiqua" w:cs="Times New Roman"/>
          <w:kern w:val="2"/>
          <w:sz w:val="24"/>
          <w:szCs w:val="24"/>
          <w:lang w:eastAsia="zh-CN"/>
        </w:rPr>
        <w:t>Safir</w:t>
      </w:r>
      <w:proofErr w:type="spellEnd"/>
      <w:r w:rsidRPr="00691B3F">
        <w:rPr>
          <w:rFonts w:ascii="Book Antiqua" w:eastAsia="DengXian" w:hAnsi="Book Antiqua" w:cs="Times New Roman"/>
          <w:kern w:val="2"/>
          <w:sz w:val="24"/>
          <w:szCs w:val="24"/>
          <w:lang w:eastAsia="zh-CN"/>
        </w:rPr>
        <w:t xml:space="preserve"> EF, Diamond JJ. </w:t>
      </w:r>
      <w:proofErr w:type="gramStart"/>
      <w:r w:rsidRPr="00691B3F">
        <w:rPr>
          <w:rFonts w:ascii="Book Antiqua" w:eastAsia="DengXian" w:hAnsi="Book Antiqua" w:cs="Times New Roman"/>
          <w:kern w:val="2"/>
          <w:sz w:val="24"/>
          <w:szCs w:val="24"/>
          <w:lang w:eastAsia="zh-CN"/>
        </w:rPr>
        <w:t>A prospective evaluation of the effect of activated charcoal before oral N-</w:t>
      </w:r>
      <w:proofErr w:type="spellStart"/>
      <w:r w:rsidRPr="00691B3F">
        <w:rPr>
          <w:rFonts w:ascii="Book Antiqua" w:eastAsia="DengXian" w:hAnsi="Book Antiqua" w:cs="Times New Roman"/>
          <w:kern w:val="2"/>
          <w:sz w:val="24"/>
          <w:szCs w:val="24"/>
          <w:lang w:eastAsia="zh-CN"/>
        </w:rPr>
        <w:t>acetylcysteine</w:t>
      </w:r>
      <w:proofErr w:type="spellEnd"/>
      <w:r w:rsidRPr="00691B3F">
        <w:rPr>
          <w:rFonts w:ascii="Book Antiqua" w:eastAsia="DengXian" w:hAnsi="Book Antiqua" w:cs="Times New Roman"/>
          <w:kern w:val="2"/>
          <w:sz w:val="24"/>
          <w:szCs w:val="24"/>
          <w:lang w:eastAsia="zh-CN"/>
        </w:rPr>
        <w:t xml:space="preserve"> in </w:t>
      </w:r>
      <w:r w:rsidRPr="00691B3F">
        <w:rPr>
          <w:rFonts w:ascii="Book Antiqua" w:eastAsia="DengXian" w:hAnsi="Book Antiqua" w:cs="Times New Roman"/>
          <w:kern w:val="2"/>
          <w:sz w:val="24"/>
          <w:szCs w:val="24"/>
          <w:lang w:eastAsia="zh-CN"/>
        </w:rPr>
        <w:lastRenderedPageBreak/>
        <w:t>acetaminophen overdose.</w:t>
      </w:r>
      <w:proofErr w:type="gramEnd"/>
      <w:r w:rsidRPr="00691B3F">
        <w:rPr>
          <w:rFonts w:ascii="Book Antiqua" w:eastAsia="DengXian" w:hAnsi="Book Antiqua" w:cs="Times New Roman"/>
          <w:kern w:val="2"/>
          <w:sz w:val="24"/>
          <w:szCs w:val="24"/>
          <w:lang w:eastAsia="zh-CN"/>
        </w:rPr>
        <w:t xml:space="preserve"> </w:t>
      </w:r>
      <w:r w:rsidRPr="00691B3F">
        <w:rPr>
          <w:rFonts w:ascii="Book Antiqua" w:eastAsia="DengXian" w:hAnsi="Book Antiqua" w:cs="Times New Roman"/>
          <w:i/>
          <w:kern w:val="2"/>
          <w:sz w:val="24"/>
          <w:szCs w:val="24"/>
          <w:lang w:eastAsia="zh-CN"/>
        </w:rPr>
        <w:t xml:space="preserve">Ann </w:t>
      </w:r>
      <w:proofErr w:type="spellStart"/>
      <w:r w:rsidRPr="00691B3F">
        <w:rPr>
          <w:rFonts w:ascii="Book Antiqua" w:eastAsia="DengXian" w:hAnsi="Book Antiqua" w:cs="Times New Roman"/>
          <w:i/>
          <w:kern w:val="2"/>
          <w:sz w:val="24"/>
          <w:szCs w:val="24"/>
          <w:lang w:eastAsia="zh-CN"/>
        </w:rPr>
        <w:t>Emerg</w:t>
      </w:r>
      <w:proofErr w:type="spellEnd"/>
      <w:r w:rsidRPr="00691B3F">
        <w:rPr>
          <w:rFonts w:ascii="Book Antiqua" w:eastAsia="DengXian" w:hAnsi="Book Antiqua" w:cs="Times New Roman"/>
          <w:i/>
          <w:kern w:val="2"/>
          <w:sz w:val="24"/>
          <w:szCs w:val="24"/>
          <w:lang w:eastAsia="zh-CN"/>
        </w:rPr>
        <w:t xml:space="preserve"> Med</w:t>
      </w:r>
      <w:r w:rsidRPr="00691B3F">
        <w:rPr>
          <w:rFonts w:ascii="Book Antiqua" w:eastAsia="DengXian" w:hAnsi="Book Antiqua" w:cs="Times New Roman"/>
          <w:kern w:val="2"/>
          <w:sz w:val="24"/>
          <w:szCs w:val="24"/>
          <w:lang w:eastAsia="zh-CN"/>
        </w:rPr>
        <w:t xml:space="preserve"> 1994; </w:t>
      </w:r>
      <w:r w:rsidRPr="00691B3F">
        <w:rPr>
          <w:rFonts w:ascii="Book Antiqua" w:eastAsia="DengXian" w:hAnsi="Book Antiqua" w:cs="Times New Roman"/>
          <w:b/>
          <w:kern w:val="2"/>
          <w:sz w:val="24"/>
          <w:szCs w:val="24"/>
          <w:lang w:eastAsia="zh-CN"/>
        </w:rPr>
        <w:t>23</w:t>
      </w:r>
      <w:r w:rsidRPr="00691B3F">
        <w:rPr>
          <w:rFonts w:ascii="Book Antiqua" w:eastAsia="DengXian" w:hAnsi="Book Antiqua" w:cs="Times New Roman"/>
          <w:kern w:val="2"/>
          <w:sz w:val="24"/>
          <w:szCs w:val="24"/>
          <w:lang w:eastAsia="zh-CN"/>
        </w:rPr>
        <w:t>: 519-523 [PMID: 8135427 DOI: 10.1016/S0196-0644(94)70071-0]</w:t>
      </w:r>
    </w:p>
    <w:p w14:paraId="3493C834"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74 </w:t>
      </w:r>
      <w:proofErr w:type="spellStart"/>
      <w:r w:rsidRPr="00691B3F">
        <w:rPr>
          <w:rFonts w:ascii="Book Antiqua" w:eastAsia="DengXian" w:hAnsi="Book Antiqua" w:cs="Times New Roman"/>
          <w:b/>
          <w:kern w:val="2"/>
          <w:sz w:val="24"/>
          <w:szCs w:val="24"/>
          <w:lang w:eastAsia="zh-CN"/>
        </w:rPr>
        <w:t>Vulcano</w:t>
      </w:r>
      <w:proofErr w:type="spellEnd"/>
      <w:r w:rsidRPr="00691B3F">
        <w:rPr>
          <w:rFonts w:ascii="Book Antiqua" w:eastAsia="DengXian" w:hAnsi="Book Antiqua" w:cs="Times New Roman"/>
          <w:b/>
          <w:kern w:val="2"/>
          <w:sz w:val="24"/>
          <w:szCs w:val="24"/>
          <w:lang w:eastAsia="zh-CN"/>
        </w:rPr>
        <w:t xml:space="preserve"> LA</w:t>
      </w:r>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kern w:val="2"/>
          <w:sz w:val="24"/>
          <w:szCs w:val="24"/>
          <w:lang w:eastAsia="zh-CN"/>
        </w:rPr>
        <w:t>Confalonieri</w:t>
      </w:r>
      <w:proofErr w:type="spellEnd"/>
      <w:r w:rsidRPr="00691B3F">
        <w:rPr>
          <w:rFonts w:ascii="Book Antiqua" w:eastAsia="DengXian" w:hAnsi="Book Antiqua" w:cs="Times New Roman"/>
          <w:kern w:val="2"/>
          <w:sz w:val="24"/>
          <w:szCs w:val="24"/>
          <w:lang w:eastAsia="zh-CN"/>
        </w:rPr>
        <w:t xml:space="preserve"> O, </w:t>
      </w:r>
      <w:proofErr w:type="spellStart"/>
      <w:r w:rsidRPr="00691B3F">
        <w:rPr>
          <w:rFonts w:ascii="Book Antiqua" w:eastAsia="DengXian" w:hAnsi="Book Antiqua" w:cs="Times New Roman"/>
          <w:kern w:val="2"/>
          <w:sz w:val="24"/>
          <w:szCs w:val="24"/>
          <w:lang w:eastAsia="zh-CN"/>
        </w:rPr>
        <w:t>Franci</w:t>
      </w:r>
      <w:proofErr w:type="spellEnd"/>
      <w:r w:rsidRPr="00691B3F">
        <w:rPr>
          <w:rFonts w:ascii="Book Antiqua" w:eastAsia="DengXian" w:hAnsi="Book Antiqua" w:cs="Times New Roman"/>
          <w:kern w:val="2"/>
          <w:sz w:val="24"/>
          <w:szCs w:val="24"/>
          <w:lang w:eastAsia="zh-CN"/>
        </w:rPr>
        <w:t xml:space="preserve"> R, Tapia MO, </w:t>
      </w:r>
      <w:proofErr w:type="spellStart"/>
      <w:r w:rsidRPr="00691B3F">
        <w:rPr>
          <w:rFonts w:ascii="Book Antiqua" w:eastAsia="DengXian" w:hAnsi="Book Antiqua" w:cs="Times New Roman"/>
          <w:kern w:val="2"/>
          <w:sz w:val="24"/>
          <w:szCs w:val="24"/>
          <w:lang w:eastAsia="zh-CN"/>
        </w:rPr>
        <w:t>Soraci</w:t>
      </w:r>
      <w:proofErr w:type="spellEnd"/>
      <w:r w:rsidRPr="00691B3F">
        <w:rPr>
          <w:rFonts w:ascii="Book Antiqua" w:eastAsia="DengXian" w:hAnsi="Book Antiqua" w:cs="Times New Roman"/>
          <w:kern w:val="2"/>
          <w:sz w:val="24"/>
          <w:szCs w:val="24"/>
          <w:lang w:eastAsia="zh-CN"/>
        </w:rPr>
        <w:t xml:space="preserve"> AL. Efficacy of free glutathione and </w:t>
      </w:r>
      <w:proofErr w:type="spellStart"/>
      <w:r w:rsidRPr="00691B3F">
        <w:rPr>
          <w:rFonts w:ascii="Book Antiqua" w:eastAsia="DengXian" w:hAnsi="Book Antiqua" w:cs="Times New Roman"/>
          <w:kern w:val="2"/>
          <w:sz w:val="24"/>
          <w:szCs w:val="24"/>
          <w:lang w:eastAsia="zh-CN"/>
        </w:rPr>
        <w:t>niosomal</w:t>
      </w:r>
      <w:proofErr w:type="spellEnd"/>
      <w:r w:rsidRPr="00691B3F">
        <w:rPr>
          <w:rFonts w:ascii="Book Antiqua" w:eastAsia="DengXian" w:hAnsi="Book Antiqua" w:cs="Times New Roman"/>
          <w:kern w:val="2"/>
          <w:sz w:val="24"/>
          <w:szCs w:val="24"/>
          <w:lang w:eastAsia="zh-CN"/>
        </w:rPr>
        <w:t xml:space="preserve"> glutathione in the treatment of acetaminophen-induced hepatotoxicity in cats. </w:t>
      </w:r>
      <w:r w:rsidRPr="00691B3F">
        <w:rPr>
          <w:rFonts w:ascii="Book Antiqua" w:eastAsia="DengXian" w:hAnsi="Book Antiqua" w:cs="Times New Roman"/>
          <w:i/>
          <w:kern w:val="2"/>
          <w:sz w:val="24"/>
          <w:szCs w:val="24"/>
          <w:lang w:eastAsia="zh-CN"/>
        </w:rPr>
        <w:t>Open Vet J</w:t>
      </w:r>
      <w:r w:rsidRPr="00691B3F">
        <w:rPr>
          <w:rFonts w:ascii="Book Antiqua" w:eastAsia="DengXian" w:hAnsi="Book Antiqua" w:cs="Times New Roman"/>
          <w:kern w:val="2"/>
          <w:sz w:val="24"/>
          <w:szCs w:val="24"/>
          <w:lang w:eastAsia="zh-CN"/>
        </w:rPr>
        <w:t xml:space="preserve"> 2013; </w:t>
      </w:r>
      <w:r w:rsidRPr="00691B3F">
        <w:rPr>
          <w:rFonts w:ascii="Book Antiqua" w:eastAsia="DengXian" w:hAnsi="Book Antiqua" w:cs="Times New Roman"/>
          <w:b/>
          <w:kern w:val="2"/>
          <w:sz w:val="24"/>
          <w:szCs w:val="24"/>
          <w:lang w:eastAsia="zh-CN"/>
        </w:rPr>
        <w:t>3</w:t>
      </w:r>
      <w:r w:rsidRPr="00691B3F">
        <w:rPr>
          <w:rFonts w:ascii="Book Antiqua" w:eastAsia="DengXian" w:hAnsi="Book Antiqua" w:cs="Times New Roman"/>
          <w:kern w:val="2"/>
          <w:sz w:val="24"/>
          <w:szCs w:val="24"/>
          <w:lang w:eastAsia="zh-CN"/>
        </w:rPr>
        <w:t>: 56-63 [PMID: 26623313]</w:t>
      </w:r>
    </w:p>
    <w:p w14:paraId="24743641"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75 </w:t>
      </w:r>
      <w:proofErr w:type="spellStart"/>
      <w:r w:rsidRPr="00691B3F">
        <w:rPr>
          <w:rFonts w:ascii="Book Antiqua" w:eastAsia="DengXian" w:hAnsi="Book Antiqua" w:cs="Times New Roman"/>
          <w:b/>
          <w:kern w:val="2"/>
          <w:sz w:val="24"/>
          <w:szCs w:val="24"/>
          <w:lang w:eastAsia="zh-CN"/>
        </w:rPr>
        <w:t>Khayyat</w:t>
      </w:r>
      <w:proofErr w:type="spellEnd"/>
      <w:r w:rsidRPr="00691B3F">
        <w:rPr>
          <w:rFonts w:ascii="Book Antiqua" w:eastAsia="DengXian" w:hAnsi="Book Antiqua" w:cs="Times New Roman"/>
          <w:b/>
          <w:kern w:val="2"/>
          <w:sz w:val="24"/>
          <w:szCs w:val="24"/>
          <w:lang w:eastAsia="zh-CN"/>
        </w:rPr>
        <w:t xml:space="preserve"> A</w:t>
      </w:r>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kern w:val="2"/>
          <w:sz w:val="24"/>
          <w:szCs w:val="24"/>
          <w:lang w:eastAsia="zh-CN"/>
        </w:rPr>
        <w:t>Tobwala</w:t>
      </w:r>
      <w:proofErr w:type="spellEnd"/>
      <w:r w:rsidRPr="00691B3F">
        <w:rPr>
          <w:rFonts w:ascii="Book Antiqua" w:eastAsia="DengXian" w:hAnsi="Book Antiqua" w:cs="Times New Roman"/>
          <w:kern w:val="2"/>
          <w:sz w:val="24"/>
          <w:szCs w:val="24"/>
          <w:lang w:eastAsia="zh-CN"/>
        </w:rPr>
        <w:t xml:space="preserve"> S, Hart M, </w:t>
      </w:r>
      <w:proofErr w:type="spellStart"/>
      <w:r w:rsidRPr="00691B3F">
        <w:rPr>
          <w:rFonts w:ascii="Book Antiqua" w:eastAsia="DengXian" w:hAnsi="Book Antiqua" w:cs="Times New Roman"/>
          <w:kern w:val="2"/>
          <w:sz w:val="24"/>
          <w:szCs w:val="24"/>
          <w:lang w:eastAsia="zh-CN"/>
        </w:rPr>
        <w:t>Ercal</w:t>
      </w:r>
      <w:proofErr w:type="spellEnd"/>
      <w:r w:rsidRPr="00691B3F">
        <w:rPr>
          <w:rFonts w:ascii="Book Antiqua" w:eastAsia="DengXian" w:hAnsi="Book Antiqua" w:cs="Times New Roman"/>
          <w:kern w:val="2"/>
          <w:sz w:val="24"/>
          <w:szCs w:val="24"/>
          <w:lang w:eastAsia="zh-CN"/>
        </w:rPr>
        <w:t xml:space="preserve"> N. N-</w:t>
      </w:r>
      <w:proofErr w:type="spellStart"/>
      <w:r w:rsidRPr="00691B3F">
        <w:rPr>
          <w:rFonts w:ascii="Book Antiqua" w:eastAsia="DengXian" w:hAnsi="Book Antiqua" w:cs="Times New Roman"/>
          <w:kern w:val="2"/>
          <w:sz w:val="24"/>
          <w:szCs w:val="24"/>
          <w:lang w:eastAsia="zh-CN"/>
        </w:rPr>
        <w:t>acetylcysteine</w:t>
      </w:r>
      <w:proofErr w:type="spellEnd"/>
      <w:r w:rsidRPr="00691B3F">
        <w:rPr>
          <w:rFonts w:ascii="Book Antiqua" w:eastAsia="DengXian" w:hAnsi="Book Antiqua" w:cs="Times New Roman"/>
          <w:kern w:val="2"/>
          <w:sz w:val="24"/>
          <w:szCs w:val="24"/>
          <w:lang w:eastAsia="zh-CN"/>
        </w:rPr>
        <w:t xml:space="preserve"> amide, a promising antidote for acetaminophen toxicity. </w:t>
      </w:r>
      <w:proofErr w:type="spellStart"/>
      <w:r w:rsidRPr="00691B3F">
        <w:rPr>
          <w:rFonts w:ascii="Book Antiqua" w:eastAsia="DengXian" w:hAnsi="Book Antiqua" w:cs="Times New Roman"/>
          <w:i/>
          <w:kern w:val="2"/>
          <w:sz w:val="24"/>
          <w:szCs w:val="24"/>
          <w:lang w:eastAsia="zh-CN"/>
        </w:rPr>
        <w:t>Toxicol</w:t>
      </w:r>
      <w:proofErr w:type="spellEnd"/>
      <w:r w:rsidRPr="00691B3F">
        <w:rPr>
          <w:rFonts w:ascii="Book Antiqua" w:eastAsia="DengXian" w:hAnsi="Book Antiqua" w:cs="Times New Roman"/>
          <w:i/>
          <w:kern w:val="2"/>
          <w:sz w:val="24"/>
          <w:szCs w:val="24"/>
          <w:lang w:eastAsia="zh-CN"/>
        </w:rPr>
        <w:t xml:space="preserve"> </w:t>
      </w:r>
      <w:proofErr w:type="spellStart"/>
      <w:r w:rsidRPr="00691B3F">
        <w:rPr>
          <w:rFonts w:ascii="Book Antiqua" w:eastAsia="DengXian" w:hAnsi="Book Antiqua" w:cs="Times New Roman"/>
          <w:i/>
          <w:kern w:val="2"/>
          <w:sz w:val="24"/>
          <w:szCs w:val="24"/>
          <w:lang w:eastAsia="zh-CN"/>
        </w:rPr>
        <w:t>Lett</w:t>
      </w:r>
      <w:proofErr w:type="spellEnd"/>
      <w:r w:rsidRPr="00691B3F">
        <w:rPr>
          <w:rFonts w:ascii="Book Antiqua" w:eastAsia="DengXian" w:hAnsi="Book Antiqua" w:cs="Times New Roman"/>
          <w:kern w:val="2"/>
          <w:sz w:val="24"/>
          <w:szCs w:val="24"/>
          <w:lang w:eastAsia="zh-CN"/>
        </w:rPr>
        <w:t xml:space="preserve"> 2016; </w:t>
      </w:r>
      <w:r w:rsidRPr="00691B3F">
        <w:rPr>
          <w:rFonts w:ascii="Book Antiqua" w:eastAsia="DengXian" w:hAnsi="Book Antiqua" w:cs="Times New Roman"/>
          <w:b/>
          <w:kern w:val="2"/>
          <w:sz w:val="24"/>
          <w:szCs w:val="24"/>
          <w:lang w:eastAsia="zh-CN"/>
        </w:rPr>
        <w:t>241</w:t>
      </w:r>
      <w:r w:rsidRPr="00691B3F">
        <w:rPr>
          <w:rFonts w:ascii="Book Antiqua" w:eastAsia="DengXian" w:hAnsi="Book Antiqua" w:cs="Times New Roman"/>
          <w:kern w:val="2"/>
          <w:sz w:val="24"/>
          <w:szCs w:val="24"/>
          <w:lang w:eastAsia="zh-CN"/>
        </w:rPr>
        <w:t>: 133-142 [PMID: 26602168 DOI: 10.1016/j.toxlet.2015.11.008]</w:t>
      </w:r>
    </w:p>
    <w:p w14:paraId="19521A68"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76 </w:t>
      </w:r>
      <w:proofErr w:type="spellStart"/>
      <w:r w:rsidRPr="00691B3F">
        <w:rPr>
          <w:rFonts w:ascii="Book Antiqua" w:eastAsia="DengXian" w:hAnsi="Book Antiqua" w:cs="Times New Roman"/>
          <w:b/>
          <w:kern w:val="2"/>
          <w:sz w:val="24"/>
          <w:szCs w:val="24"/>
          <w:lang w:eastAsia="zh-CN"/>
        </w:rPr>
        <w:t>Shen</w:t>
      </w:r>
      <w:proofErr w:type="spellEnd"/>
      <w:r w:rsidRPr="00691B3F">
        <w:rPr>
          <w:rFonts w:ascii="Book Antiqua" w:eastAsia="DengXian" w:hAnsi="Book Antiqua" w:cs="Times New Roman"/>
          <w:b/>
          <w:kern w:val="2"/>
          <w:sz w:val="24"/>
          <w:szCs w:val="24"/>
          <w:lang w:eastAsia="zh-CN"/>
        </w:rPr>
        <w:t xml:space="preserve"> F</w:t>
      </w:r>
      <w:r w:rsidRPr="00691B3F">
        <w:rPr>
          <w:rFonts w:ascii="Book Antiqua" w:eastAsia="DengXian" w:hAnsi="Book Antiqua" w:cs="Times New Roman"/>
          <w:kern w:val="2"/>
          <w:sz w:val="24"/>
          <w:szCs w:val="24"/>
          <w:lang w:eastAsia="zh-CN"/>
        </w:rPr>
        <w:t xml:space="preserve">, Coulter CV, </w:t>
      </w:r>
      <w:proofErr w:type="spellStart"/>
      <w:r w:rsidRPr="00691B3F">
        <w:rPr>
          <w:rFonts w:ascii="Book Antiqua" w:eastAsia="DengXian" w:hAnsi="Book Antiqua" w:cs="Times New Roman"/>
          <w:kern w:val="2"/>
          <w:sz w:val="24"/>
          <w:szCs w:val="24"/>
          <w:lang w:eastAsia="zh-CN"/>
        </w:rPr>
        <w:t>Isbister</w:t>
      </w:r>
      <w:proofErr w:type="spellEnd"/>
      <w:r w:rsidRPr="00691B3F">
        <w:rPr>
          <w:rFonts w:ascii="Book Antiqua" w:eastAsia="DengXian" w:hAnsi="Book Antiqua" w:cs="Times New Roman"/>
          <w:kern w:val="2"/>
          <w:sz w:val="24"/>
          <w:szCs w:val="24"/>
          <w:lang w:eastAsia="zh-CN"/>
        </w:rPr>
        <w:t xml:space="preserve"> GK, </w:t>
      </w:r>
      <w:proofErr w:type="spellStart"/>
      <w:r w:rsidRPr="00691B3F">
        <w:rPr>
          <w:rFonts w:ascii="Book Antiqua" w:eastAsia="DengXian" w:hAnsi="Book Antiqua" w:cs="Times New Roman"/>
          <w:kern w:val="2"/>
          <w:sz w:val="24"/>
          <w:szCs w:val="24"/>
          <w:lang w:eastAsia="zh-CN"/>
        </w:rPr>
        <w:t>Duffull</w:t>
      </w:r>
      <w:proofErr w:type="spellEnd"/>
      <w:r w:rsidRPr="00691B3F">
        <w:rPr>
          <w:rFonts w:ascii="Book Antiqua" w:eastAsia="DengXian" w:hAnsi="Book Antiqua" w:cs="Times New Roman"/>
          <w:kern w:val="2"/>
          <w:sz w:val="24"/>
          <w:szCs w:val="24"/>
          <w:lang w:eastAsia="zh-CN"/>
        </w:rPr>
        <w:t xml:space="preserve"> SB. </w:t>
      </w:r>
      <w:proofErr w:type="gramStart"/>
      <w:r w:rsidRPr="00691B3F">
        <w:rPr>
          <w:rFonts w:ascii="Book Antiqua" w:eastAsia="DengXian" w:hAnsi="Book Antiqua" w:cs="Times New Roman"/>
          <w:kern w:val="2"/>
          <w:sz w:val="24"/>
          <w:szCs w:val="24"/>
          <w:lang w:eastAsia="zh-CN"/>
        </w:rPr>
        <w:t>A dosing regimen for immediate N-</w:t>
      </w:r>
      <w:proofErr w:type="spellStart"/>
      <w:r w:rsidRPr="00691B3F">
        <w:rPr>
          <w:rFonts w:ascii="Book Antiqua" w:eastAsia="DengXian" w:hAnsi="Book Antiqua" w:cs="Times New Roman"/>
          <w:kern w:val="2"/>
          <w:sz w:val="24"/>
          <w:szCs w:val="24"/>
          <w:lang w:eastAsia="zh-CN"/>
        </w:rPr>
        <w:t>acetylcysteine</w:t>
      </w:r>
      <w:proofErr w:type="spellEnd"/>
      <w:r w:rsidRPr="00691B3F">
        <w:rPr>
          <w:rFonts w:ascii="Book Antiqua" w:eastAsia="DengXian" w:hAnsi="Book Antiqua" w:cs="Times New Roman"/>
          <w:kern w:val="2"/>
          <w:sz w:val="24"/>
          <w:szCs w:val="24"/>
          <w:lang w:eastAsia="zh-CN"/>
        </w:rPr>
        <w:t xml:space="preserve"> treatment for acute </w:t>
      </w:r>
      <w:proofErr w:type="spellStart"/>
      <w:r w:rsidRPr="00691B3F">
        <w:rPr>
          <w:rFonts w:ascii="Book Antiqua" w:eastAsia="DengXian" w:hAnsi="Book Antiqua" w:cs="Times New Roman"/>
          <w:kern w:val="2"/>
          <w:sz w:val="24"/>
          <w:szCs w:val="24"/>
          <w:lang w:eastAsia="zh-CN"/>
        </w:rPr>
        <w:t>paracetamol</w:t>
      </w:r>
      <w:proofErr w:type="spellEnd"/>
      <w:r w:rsidRPr="00691B3F">
        <w:rPr>
          <w:rFonts w:ascii="Book Antiqua" w:eastAsia="DengXian" w:hAnsi="Book Antiqua" w:cs="Times New Roman"/>
          <w:kern w:val="2"/>
          <w:sz w:val="24"/>
          <w:szCs w:val="24"/>
          <w:lang w:eastAsia="zh-CN"/>
        </w:rPr>
        <w:t xml:space="preserve"> overdose.</w:t>
      </w:r>
      <w:proofErr w:type="gramEnd"/>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i/>
          <w:kern w:val="2"/>
          <w:sz w:val="24"/>
          <w:szCs w:val="24"/>
          <w:lang w:eastAsia="zh-CN"/>
        </w:rPr>
        <w:t>Clin</w:t>
      </w:r>
      <w:proofErr w:type="spellEnd"/>
      <w:r w:rsidRPr="00691B3F">
        <w:rPr>
          <w:rFonts w:ascii="Book Antiqua" w:eastAsia="DengXian" w:hAnsi="Book Antiqua" w:cs="Times New Roman"/>
          <w:i/>
          <w:kern w:val="2"/>
          <w:sz w:val="24"/>
          <w:szCs w:val="24"/>
          <w:lang w:eastAsia="zh-CN"/>
        </w:rPr>
        <w:t xml:space="preserve"> </w:t>
      </w:r>
      <w:proofErr w:type="spellStart"/>
      <w:r w:rsidRPr="00691B3F">
        <w:rPr>
          <w:rFonts w:ascii="Book Antiqua" w:eastAsia="DengXian" w:hAnsi="Book Antiqua" w:cs="Times New Roman"/>
          <w:i/>
          <w:kern w:val="2"/>
          <w:sz w:val="24"/>
          <w:szCs w:val="24"/>
          <w:lang w:eastAsia="zh-CN"/>
        </w:rPr>
        <w:t>Toxicol</w:t>
      </w:r>
      <w:proofErr w:type="spellEnd"/>
      <w:r w:rsidRPr="00691B3F">
        <w:rPr>
          <w:rFonts w:ascii="Book Antiqua" w:eastAsia="DengXian" w:hAnsi="Book Antiqua" w:cs="Times New Roman"/>
          <w:i/>
          <w:kern w:val="2"/>
          <w:sz w:val="24"/>
          <w:szCs w:val="24"/>
          <w:lang w:eastAsia="zh-CN"/>
        </w:rPr>
        <w:t xml:space="preserve"> (</w:t>
      </w:r>
      <w:proofErr w:type="spellStart"/>
      <w:r w:rsidRPr="00691B3F">
        <w:rPr>
          <w:rFonts w:ascii="Book Antiqua" w:eastAsia="DengXian" w:hAnsi="Book Antiqua" w:cs="Times New Roman"/>
          <w:i/>
          <w:kern w:val="2"/>
          <w:sz w:val="24"/>
          <w:szCs w:val="24"/>
          <w:lang w:eastAsia="zh-CN"/>
        </w:rPr>
        <w:t>Phila</w:t>
      </w:r>
      <w:proofErr w:type="spellEnd"/>
      <w:r w:rsidRPr="00691B3F">
        <w:rPr>
          <w:rFonts w:ascii="Book Antiqua" w:eastAsia="DengXian" w:hAnsi="Book Antiqua" w:cs="Times New Roman"/>
          <w:i/>
          <w:kern w:val="2"/>
          <w:sz w:val="24"/>
          <w:szCs w:val="24"/>
          <w:lang w:eastAsia="zh-CN"/>
        </w:rPr>
        <w:t>)</w:t>
      </w:r>
      <w:r w:rsidRPr="00691B3F">
        <w:rPr>
          <w:rFonts w:ascii="Book Antiqua" w:eastAsia="DengXian" w:hAnsi="Book Antiqua" w:cs="Times New Roman"/>
          <w:kern w:val="2"/>
          <w:sz w:val="24"/>
          <w:szCs w:val="24"/>
          <w:lang w:eastAsia="zh-CN"/>
        </w:rPr>
        <w:t xml:space="preserve"> 2011; </w:t>
      </w:r>
      <w:r w:rsidRPr="00691B3F">
        <w:rPr>
          <w:rFonts w:ascii="Book Antiqua" w:eastAsia="DengXian" w:hAnsi="Book Antiqua" w:cs="Times New Roman"/>
          <w:b/>
          <w:kern w:val="2"/>
          <w:sz w:val="24"/>
          <w:szCs w:val="24"/>
          <w:lang w:eastAsia="zh-CN"/>
        </w:rPr>
        <w:t>49</w:t>
      </w:r>
      <w:r w:rsidRPr="00691B3F">
        <w:rPr>
          <w:rFonts w:ascii="Book Antiqua" w:eastAsia="DengXian" w:hAnsi="Book Antiqua" w:cs="Times New Roman"/>
          <w:kern w:val="2"/>
          <w:sz w:val="24"/>
          <w:szCs w:val="24"/>
          <w:lang w:eastAsia="zh-CN"/>
        </w:rPr>
        <w:t>: 643-647 [PMID: 21854081 DOI: 10.3109/15563650.2011.604034]</w:t>
      </w:r>
    </w:p>
    <w:p w14:paraId="7DCBC37F"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77 </w:t>
      </w:r>
      <w:r w:rsidRPr="00691B3F">
        <w:rPr>
          <w:rFonts w:ascii="Book Antiqua" w:eastAsia="DengXian" w:hAnsi="Book Antiqua" w:cs="Times New Roman"/>
          <w:b/>
          <w:kern w:val="2"/>
          <w:sz w:val="24"/>
          <w:szCs w:val="24"/>
          <w:lang w:eastAsia="zh-CN"/>
        </w:rPr>
        <w:t>Chan TY</w:t>
      </w:r>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kern w:val="2"/>
          <w:sz w:val="24"/>
          <w:szCs w:val="24"/>
          <w:lang w:eastAsia="zh-CN"/>
        </w:rPr>
        <w:t>Critchley</w:t>
      </w:r>
      <w:proofErr w:type="spellEnd"/>
      <w:r w:rsidRPr="00691B3F">
        <w:rPr>
          <w:rFonts w:ascii="Book Antiqua" w:eastAsia="DengXian" w:hAnsi="Book Antiqua" w:cs="Times New Roman"/>
          <w:kern w:val="2"/>
          <w:sz w:val="24"/>
          <w:szCs w:val="24"/>
          <w:lang w:eastAsia="zh-CN"/>
        </w:rPr>
        <w:t xml:space="preserve"> JA. </w:t>
      </w:r>
      <w:proofErr w:type="gramStart"/>
      <w:r w:rsidRPr="00691B3F">
        <w:rPr>
          <w:rFonts w:ascii="Book Antiqua" w:eastAsia="DengXian" w:hAnsi="Book Antiqua" w:cs="Times New Roman"/>
          <w:kern w:val="2"/>
          <w:sz w:val="24"/>
          <w:szCs w:val="24"/>
          <w:lang w:eastAsia="zh-CN"/>
        </w:rPr>
        <w:t>Adverse reactions to intravenous N-</w:t>
      </w:r>
      <w:proofErr w:type="spellStart"/>
      <w:r w:rsidRPr="00691B3F">
        <w:rPr>
          <w:rFonts w:ascii="Book Antiqua" w:eastAsia="DengXian" w:hAnsi="Book Antiqua" w:cs="Times New Roman"/>
          <w:kern w:val="2"/>
          <w:sz w:val="24"/>
          <w:szCs w:val="24"/>
          <w:lang w:eastAsia="zh-CN"/>
        </w:rPr>
        <w:t>acetylcysteine</w:t>
      </w:r>
      <w:proofErr w:type="spellEnd"/>
      <w:r w:rsidRPr="00691B3F">
        <w:rPr>
          <w:rFonts w:ascii="Book Antiqua" w:eastAsia="DengXian" w:hAnsi="Book Antiqua" w:cs="Times New Roman"/>
          <w:kern w:val="2"/>
          <w:sz w:val="24"/>
          <w:szCs w:val="24"/>
          <w:lang w:eastAsia="zh-CN"/>
        </w:rPr>
        <w:t xml:space="preserve"> in Chinese patients with </w:t>
      </w:r>
      <w:proofErr w:type="spellStart"/>
      <w:r w:rsidRPr="00691B3F">
        <w:rPr>
          <w:rFonts w:ascii="Book Antiqua" w:eastAsia="DengXian" w:hAnsi="Book Antiqua" w:cs="Times New Roman"/>
          <w:kern w:val="2"/>
          <w:sz w:val="24"/>
          <w:szCs w:val="24"/>
          <w:lang w:eastAsia="zh-CN"/>
        </w:rPr>
        <w:t>paracetamol</w:t>
      </w:r>
      <w:proofErr w:type="spellEnd"/>
      <w:r w:rsidRPr="00691B3F">
        <w:rPr>
          <w:rFonts w:ascii="Book Antiqua" w:eastAsia="DengXian" w:hAnsi="Book Antiqua" w:cs="Times New Roman"/>
          <w:kern w:val="2"/>
          <w:sz w:val="24"/>
          <w:szCs w:val="24"/>
          <w:lang w:eastAsia="zh-CN"/>
        </w:rPr>
        <w:t xml:space="preserve"> (acetaminophen) poisoning.</w:t>
      </w:r>
      <w:proofErr w:type="gramEnd"/>
      <w:r w:rsidRPr="00691B3F">
        <w:rPr>
          <w:rFonts w:ascii="Book Antiqua" w:eastAsia="DengXian" w:hAnsi="Book Antiqua" w:cs="Times New Roman"/>
          <w:kern w:val="2"/>
          <w:sz w:val="24"/>
          <w:szCs w:val="24"/>
          <w:lang w:eastAsia="zh-CN"/>
        </w:rPr>
        <w:t xml:space="preserve"> </w:t>
      </w:r>
      <w:r w:rsidRPr="00691B3F">
        <w:rPr>
          <w:rFonts w:ascii="Book Antiqua" w:eastAsia="DengXian" w:hAnsi="Book Antiqua" w:cs="Times New Roman"/>
          <w:i/>
          <w:kern w:val="2"/>
          <w:sz w:val="24"/>
          <w:szCs w:val="24"/>
          <w:lang w:eastAsia="zh-CN"/>
        </w:rPr>
        <w:t xml:space="preserve">Hum </w:t>
      </w:r>
      <w:proofErr w:type="spellStart"/>
      <w:r w:rsidRPr="00691B3F">
        <w:rPr>
          <w:rFonts w:ascii="Book Antiqua" w:eastAsia="DengXian" w:hAnsi="Book Antiqua" w:cs="Times New Roman"/>
          <w:i/>
          <w:kern w:val="2"/>
          <w:sz w:val="24"/>
          <w:szCs w:val="24"/>
          <w:lang w:eastAsia="zh-CN"/>
        </w:rPr>
        <w:t>Exp</w:t>
      </w:r>
      <w:proofErr w:type="spellEnd"/>
      <w:r w:rsidRPr="00691B3F">
        <w:rPr>
          <w:rFonts w:ascii="Book Antiqua" w:eastAsia="DengXian" w:hAnsi="Book Antiqua" w:cs="Times New Roman"/>
          <w:i/>
          <w:kern w:val="2"/>
          <w:sz w:val="24"/>
          <w:szCs w:val="24"/>
          <w:lang w:eastAsia="zh-CN"/>
        </w:rPr>
        <w:t xml:space="preserve"> </w:t>
      </w:r>
      <w:proofErr w:type="spellStart"/>
      <w:r w:rsidRPr="00691B3F">
        <w:rPr>
          <w:rFonts w:ascii="Book Antiqua" w:eastAsia="DengXian" w:hAnsi="Book Antiqua" w:cs="Times New Roman"/>
          <w:i/>
          <w:kern w:val="2"/>
          <w:sz w:val="24"/>
          <w:szCs w:val="24"/>
          <w:lang w:eastAsia="zh-CN"/>
        </w:rPr>
        <w:t>Toxicol</w:t>
      </w:r>
      <w:proofErr w:type="spellEnd"/>
      <w:r w:rsidRPr="00691B3F">
        <w:rPr>
          <w:rFonts w:ascii="Book Antiqua" w:eastAsia="DengXian" w:hAnsi="Book Antiqua" w:cs="Times New Roman"/>
          <w:kern w:val="2"/>
          <w:sz w:val="24"/>
          <w:szCs w:val="24"/>
          <w:lang w:eastAsia="zh-CN"/>
        </w:rPr>
        <w:t xml:space="preserve"> 1994; </w:t>
      </w:r>
      <w:r w:rsidRPr="00691B3F">
        <w:rPr>
          <w:rFonts w:ascii="Book Antiqua" w:eastAsia="DengXian" w:hAnsi="Book Antiqua" w:cs="Times New Roman"/>
          <w:b/>
          <w:kern w:val="2"/>
          <w:sz w:val="24"/>
          <w:szCs w:val="24"/>
          <w:lang w:eastAsia="zh-CN"/>
        </w:rPr>
        <w:t>13</w:t>
      </w:r>
      <w:r w:rsidRPr="00691B3F">
        <w:rPr>
          <w:rFonts w:ascii="Book Antiqua" w:eastAsia="DengXian" w:hAnsi="Book Antiqua" w:cs="Times New Roman"/>
          <w:kern w:val="2"/>
          <w:sz w:val="24"/>
          <w:szCs w:val="24"/>
          <w:lang w:eastAsia="zh-CN"/>
        </w:rPr>
        <w:t>: 542-544 [PMID: 7946509 DOI: 10.1177/096032719401300806]</w:t>
      </w:r>
    </w:p>
    <w:p w14:paraId="0D17D66D"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78 </w:t>
      </w:r>
      <w:r w:rsidRPr="00691B3F">
        <w:rPr>
          <w:rFonts w:ascii="Book Antiqua" w:eastAsia="DengXian" w:hAnsi="Book Antiqua" w:cs="Times New Roman"/>
          <w:b/>
          <w:kern w:val="2"/>
          <w:sz w:val="24"/>
          <w:szCs w:val="24"/>
          <w:lang w:eastAsia="zh-CN"/>
        </w:rPr>
        <w:t>Bailey B</w:t>
      </w:r>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kern w:val="2"/>
          <w:sz w:val="24"/>
          <w:szCs w:val="24"/>
          <w:lang w:eastAsia="zh-CN"/>
        </w:rPr>
        <w:t>McGuigan</w:t>
      </w:r>
      <w:proofErr w:type="spellEnd"/>
      <w:r w:rsidRPr="00691B3F">
        <w:rPr>
          <w:rFonts w:ascii="Book Antiqua" w:eastAsia="DengXian" w:hAnsi="Book Antiqua" w:cs="Times New Roman"/>
          <w:kern w:val="2"/>
          <w:sz w:val="24"/>
          <w:szCs w:val="24"/>
          <w:lang w:eastAsia="zh-CN"/>
        </w:rPr>
        <w:t xml:space="preserve"> MA. </w:t>
      </w:r>
      <w:proofErr w:type="gramStart"/>
      <w:r w:rsidRPr="00691B3F">
        <w:rPr>
          <w:rFonts w:ascii="Book Antiqua" w:eastAsia="DengXian" w:hAnsi="Book Antiqua" w:cs="Times New Roman"/>
          <w:kern w:val="2"/>
          <w:sz w:val="24"/>
          <w:szCs w:val="24"/>
          <w:lang w:eastAsia="zh-CN"/>
        </w:rPr>
        <w:t xml:space="preserve">Management of </w:t>
      </w:r>
      <w:proofErr w:type="spellStart"/>
      <w:r w:rsidRPr="00691B3F">
        <w:rPr>
          <w:rFonts w:ascii="Book Antiqua" w:eastAsia="DengXian" w:hAnsi="Book Antiqua" w:cs="Times New Roman"/>
          <w:kern w:val="2"/>
          <w:sz w:val="24"/>
          <w:szCs w:val="24"/>
          <w:lang w:eastAsia="zh-CN"/>
        </w:rPr>
        <w:t>anaphylactoid</w:t>
      </w:r>
      <w:proofErr w:type="spellEnd"/>
      <w:r w:rsidRPr="00691B3F">
        <w:rPr>
          <w:rFonts w:ascii="Book Antiqua" w:eastAsia="DengXian" w:hAnsi="Book Antiqua" w:cs="Times New Roman"/>
          <w:kern w:val="2"/>
          <w:sz w:val="24"/>
          <w:szCs w:val="24"/>
          <w:lang w:eastAsia="zh-CN"/>
        </w:rPr>
        <w:t xml:space="preserve"> reactions to intravenous N-</w:t>
      </w:r>
      <w:proofErr w:type="spellStart"/>
      <w:r w:rsidRPr="00691B3F">
        <w:rPr>
          <w:rFonts w:ascii="Book Antiqua" w:eastAsia="DengXian" w:hAnsi="Book Antiqua" w:cs="Times New Roman"/>
          <w:kern w:val="2"/>
          <w:sz w:val="24"/>
          <w:szCs w:val="24"/>
          <w:lang w:eastAsia="zh-CN"/>
        </w:rPr>
        <w:t>acetylcysteine</w:t>
      </w:r>
      <w:proofErr w:type="spellEnd"/>
      <w:r w:rsidRPr="00691B3F">
        <w:rPr>
          <w:rFonts w:ascii="Book Antiqua" w:eastAsia="DengXian" w:hAnsi="Book Antiqua" w:cs="Times New Roman"/>
          <w:kern w:val="2"/>
          <w:sz w:val="24"/>
          <w:szCs w:val="24"/>
          <w:lang w:eastAsia="zh-CN"/>
        </w:rPr>
        <w:t>.</w:t>
      </w:r>
      <w:proofErr w:type="gramEnd"/>
      <w:r w:rsidRPr="00691B3F">
        <w:rPr>
          <w:rFonts w:ascii="Book Antiqua" w:eastAsia="DengXian" w:hAnsi="Book Antiqua" w:cs="Times New Roman"/>
          <w:kern w:val="2"/>
          <w:sz w:val="24"/>
          <w:szCs w:val="24"/>
          <w:lang w:eastAsia="zh-CN"/>
        </w:rPr>
        <w:t xml:space="preserve"> </w:t>
      </w:r>
      <w:r w:rsidRPr="00691B3F">
        <w:rPr>
          <w:rFonts w:ascii="Book Antiqua" w:eastAsia="DengXian" w:hAnsi="Book Antiqua" w:cs="Times New Roman"/>
          <w:i/>
          <w:kern w:val="2"/>
          <w:sz w:val="24"/>
          <w:szCs w:val="24"/>
          <w:lang w:eastAsia="zh-CN"/>
        </w:rPr>
        <w:t xml:space="preserve">Ann </w:t>
      </w:r>
      <w:proofErr w:type="spellStart"/>
      <w:r w:rsidRPr="00691B3F">
        <w:rPr>
          <w:rFonts w:ascii="Book Antiqua" w:eastAsia="DengXian" w:hAnsi="Book Antiqua" w:cs="Times New Roman"/>
          <w:i/>
          <w:kern w:val="2"/>
          <w:sz w:val="24"/>
          <w:szCs w:val="24"/>
          <w:lang w:eastAsia="zh-CN"/>
        </w:rPr>
        <w:t>Emerg</w:t>
      </w:r>
      <w:proofErr w:type="spellEnd"/>
      <w:r w:rsidRPr="00691B3F">
        <w:rPr>
          <w:rFonts w:ascii="Book Antiqua" w:eastAsia="DengXian" w:hAnsi="Book Antiqua" w:cs="Times New Roman"/>
          <w:i/>
          <w:kern w:val="2"/>
          <w:sz w:val="24"/>
          <w:szCs w:val="24"/>
          <w:lang w:eastAsia="zh-CN"/>
        </w:rPr>
        <w:t xml:space="preserve"> Med</w:t>
      </w:r>
      <w:r w:rsidRPr="00691B3F">
        <w:rPr>
          <w:rFonts w:ascii="Book Antiqua" w:eastAsia="DengXian" w:hAnsi="Book Antiqua" w:cs="Times New Roman"/>
          <w:kern w:val="2"/>
          <w:sz w:val="24"/>
          <w:szCs w:val="24"/>
          <w:lang w:eastAsia="zh-CN"/>
        </w:rPr>
        <w:t xml:space="preserve"> 1998; </w:t>
      </w:r>
      <w:r w:rsidRPr="00691B3F">
        <w:rPr>
          <w:rFonts w:ascii="Book Antiqua" w:eastAsia="DengXian" w:hAnsi="Book Antiqua" w:cs="Times New Roman"/>
          <w:b/>
          <w:kern w:val="2"/>
          <w:sz w:val="24"/>
          <w:szCs w:val="24"/>
          <w:lang w:eastAsia="zh-CN"/>
        </w:rPr>
        <w:t>31</w:t>
      </w:r>
      <w:r w:rsidRPr="00691B3F">
        <w:rPr>
          <w:rFonts w:ascii="Book Antiqua" w:eastAsia="DengXian" w:hAnsi="Book Antiqua" w:cs="Times New Roman"/>
          <w:kern w:val="2"/>
          <w:sz w:val="24"/>
          <w:szCs w:val="24"/>
          <w:lang w:eastAsia="zh-CN"/>
        </w:rPr>
        <w:t>: 710-715 [PMID: 9624310 DOI: 10.1016/S0196-0644(98)70229-X]</w:t>
      </w:r>
    </w:p>
    <w:p w14:paraId="6689CDAA"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79 </w:t>
      </w:r>
      <w:proofErr w:type="spellStart"/>
      <w:r w:rsidRPr="00691B3F">
        <w:rPr>
          <w:rFonts w:ascii="Book Antiqua" w:eastAsia="DengXian" w:hAnsi="Book Antiqua" w:cs="Times New Roman"/>
          <w:b/>
          <w:kern w:val="2"/>
          <w:sz w:val="24"/>
          <w:szCs w:val="24"/>
          <w:lang w:eastAsia="zh-CN"/>
        </w:rPr>
        <w:t>Chiew</w:t>
      </w:r>
      <w:proofErr w:type="spellEnd"/>
      <w:r w:rsidRPr="00691B3F">
        <w:rPr>
          <w:rFonts w:ascii="Book Antiqua" w:eastAsia="DengXian" w:hAnsi="Book Antiqua" w:cs="Times New Roman"/>
          <w:b/>
          <w:kern w:val="2"/>
          <w:sz w:val="24"/>
          <w:szCs w:val="24"/>
          <w:lang w:eastAsia="zh-CN"/>
        </w:rPr>
        <w:t xml:space="preserve"> AL</w:t>
      </w:r>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kern w:val="2"/>
          <w:sz w:val="24"/>
          <w:szCs w:val="24"/>
          <w:lang w:eastAsia="zh-CN"/>
        </w:rPr>
        <w:t>Gluud</w:t>
      </w:r>
      <w:proofErr w:type="spellEnd"/>
      <w:r w:rsidRPr="00691B3F">
        <w:rPr>
          <w:rFonts w:ascii="Book Antiqua" w:eastAsia="DengXian" w:hAnsi="Book Antiqua" w:cs="Times New Roman"/>
          <w:kern w:val="2"/>
          <w:sz w:val="24"/>
          <w:szCs w:val="24"/>
          <w:lang w:eastAsia="zh-CN"/>
        </w:rPr>
        <w:t xml:space="preserve"> C, </w:t>
      </w:r>
      <w:proofErr w:type="spellStart"/>
      <w:r w:rsidRPr="00691B3F">
        <w:rPr>
          <w:rFonts w:ascii="Book Antiqua" w:eastAsia="DengXian" w:hAnsi="Book Antiqua" w:cs="Times New Roman"/>
          <w:kern w:val="2"/>
          <w:sz w:val="24"/>
          <w:szCs w:val="24"/>
          <w:lang w:eastAsia="zh-CN"/>
        </w:rPr>
        <w:t>Brok</w:t>
      </w:r>
      <w:proofErr w:type="spellEnd"/>
      <w:r w:rsidRPr="00691B3F">
        <w:rPr>
          <w:rFonts w:ascii="Book Antiqua" w:eastAsia="DengXian" w:hAnsi="Book Antiqua" w:cs="Times New Roman"/>
          <w:kern w:val="2"/>
          <w:sz w:val="24"/>
          <w:szCs w:val="24"/>
          <w:lang w:eastAsia="zh-CN"/>
        </w:rPr>
        <w:t xml:space="preserve"> J, Buckley NA. Interventions for </w:t>
      </w:r>
      <w:proofErr w:type="spellStart"/>
      <w:r w:rsidRPr="00691B3F">
        <w:rPr>
          <w:rFonts w:ascii="Book Antiqua" w:eastAsia="DengXian" w:hAnsi="Book Antiqua" w:cs="Times New Roman"/>
          <w:kern w:val="2"/>
          <w:sz w:val="24"/>
          <w:szCs w:val="24"/>
          <w:lang w:eastAsia="zh-CN"/>
        </w:rPr>
        <w:t>paracetamol</w:t>
      </w:r>
      <w:proofErr w:type="spellEnd"/>
      <w:r w:rsidRPr="00691B3F">
        <w:rPr>
          <w:rFonts w:ascii="Book Antiqua" w:eastAsia="DengXian" w:hAnsi="Book Antiqua" w:cs="Times New Roman"/>
          <w:kern w:val="2"/>
          <w:sz w:val="24"/>
          <w:szCs w:val="24"/>
          <w:lang w:eastAsia="zh-CN"/>
        </w:rPr>
        <w:t xml:space="preserve"> (acetaminophen) overdose. </w:t>
      </w:r>
      <w:r w:rsidRPr="00691B3F">
        <w:rPr>
          <w:rFonts w:ascii="Book Antiqua" w:eastAsia="DengXian" w:hAnsi="Book Antiqua" w:cs="Times New Roman"/>
          <w:i/>
          <w:kern w:val="2"/>
          <w:sz w:val="24"/>
          <w:szCs w:val="24"/>
          <w:lang w:eastAsia="zh-CN"/>
        </w:rPr>
        <w:t xml:space="preserve">Cochrane Database </w:t>
      </w:r>
      <w:proofErr w:type="spellStart"/>
      <w:r w:rsidRPr="00691B3F">
        <w:rPr>
          <w:rFonts w:ascii="Book Antiqua" w:eastAsia="DengXian" w:hAnsi="Book Antiqua" w:cs="Times New Roman"/>
          <w:i/>
          <w:kern w:val="2"/>
          <w:sz w:val="24"/>
          <w:szCs w:val="24"/>
          <w:lang w:eastAsia="zh-CN"/>
        </w:rPr>
        <w:t>Syst</w:t>
      </w:r>
      <w:proofErr w:type="spellEnd"/>
      <w:r w:rsidRPr="00691B3F">
        <w:rPr>
          <w:rFonts w:ascii="Book Antiqua" w:eastAsia="DengXian" w:hAnsi="Book Antiqua" w:cs="Times New Roman"/>
          <w:i/>
          <w:kern w:val="2"/>
          <w:sz w:val="24"/>
          <w:szCs w:val="24"/>
          <w:lang w:eastAsia="zh-CN"/>
        </w:rPr>
        <w:t xml:space="preserve"> Rev</w:t>
      </w:r>
      <w:r w:rsidRPr="00691B3F">
        <w:rPr>
          <w:rFonts w:ascii="Book Antiqua" w:eastAsia="DengXian" w:hAnsi="Book Antiqua" w:cs="Times New Roman"/>
          <w:kern w:val="2"/>
          <w:sz w:val="24"/>
          <w:szCs w:val="24"/>
          <w:lang w:eastAsia="zh-CN"/>
        </w:rPr>
        <w:t xml:space="preserve"> 2018; </w:t>
      </w:r>
      <w:r w:rsidRPr="00691B3F">
        <w:rPr>
          <w:rFonts w:ascii="Book Antiqua" w:eastAsia="DengXian" w:hAnsi="Book Antiqua" w:cs="Times New Roman"/>
          <w:b/>
          <w:kern w:val="2"/>
          <w:sz w:val="24"/>
          <w:szCs w:val="24"/>
          <w:lang w:eastAsia="zh-CN"/>
        </w:rPr>
        <w:t>2</w:t>
      </w:r>
      <w:r w:rsidRPr="00691B3F">
        <w:rPr>
          <w:rFonts w:ascii="Book Antiqua" w:eastAsia="DengXian" w:hAnsi="Book Antiqua" w:cs="Times New Roman"/>
          <w:kern w:val="2"/>
          <w:sz w:val="24"/>
          <w:szCs w:val="24"/>
          <w:lang w:eastAsia="zh-CN"/>
        </w:rPr>
        <w:t>: CD003328 [PMID: 29473717 DOI: 10.1002/14651858.CD003328.pub3]</w:t>
      </w:r>
    </w:p>
    <w:p w14:paraId="4FA3EA31"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80 </w:t>
      </w:r>
      <w:proofErr w:type="spellStart"/>
      <w:r w:rsidRPr="00691B3F">
        <w:rPr>
          <w:rFonts w:ascii="Book Antiqua" w:eastAsia="DengXian" w:hAnsi="Book Antiqua" w:cs="Times New Roman"/>
          <w:b/>
          <w:kern w:val="2"/>
          <w:sz w:val="24"/>
          <w:szCs w:val="24"/>
          <w:lang w:eastAsia="zh-CN"/>
        </w:rPr>
        <w:t>Wittebole</w:t>
      </w:r>
      <w:proofErr w:type="spellEnd"/>
      <w:r w:rsidRPr="00691B3F">
        <w:rPr>
          <w:rFonts w:ascii="Book Antiqua" w:eastAsia="DengXian" w:hAnsi="Book Antiqua" w:cs="Times New Roman"/>
          <w:b/>
          <w:kern w:val="2"/>
          <w:sz w:val="24"/>
          <w:szCs w:val="24"/>
          <w:lang w:eastAsia="zh-CN"/>
        </w:rPr>
        <w:t xml:space="preserve"> X</w:t>
      </w:r>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kern w:val="2"/>
          <w:sz w:val="24"/>
          <w:szCs w:val="24"/>
          <w:lang w:eastAsia="zh-CN"/>
        </w:rPr>
        <w:t>Hantson</w:t>
      </w:r>
      <w:proofErr w:type="spellEnd"/>
      <w:r w:rsidRPr="00691B3F">
        <w:rPr>
          <w:rFonts w:ascii="Book Antiqua" w:eastAsia="DengXian" w:hAnsi="Book Antiqua" w:cs="Times New Roman"/>
          <w:kern w:val="2"/>
          <w:sz w:val="24"/>
          <w:szCs w:val="24"/>
          <w:lang w:eastAsia="zh-CN"/>
        </w:rPr>
        <w:t xml:space="preserve"> P. Use of the molecular adsorbent recirculating system (MARS™) for the management of acute poisoning with or without liver failure. </w:t>
      </w:r>
      <w:proofErr w:type="spellStart"/>
      <w:r w:rsidRPr="00691B3F">
        <w:rPr>
          <w:rFonts w:ascii="Book Antiqua" w:eastAsia="DengXian" w:hAnsi="Book Antiqua" w:cs="Times New Roman"/>
          <w:i/>
          <w:kern w:val="2"/>
          <w:sz w:val="24"/>
          <w:szCs w:val="24"/>
          <w:lang w:eastAsia="zh-CN"/>
        </w:rPr>
        <w:t>Clin</w:t>
      </w:r>
      <w:proofErr w:type="spellEnd"/>
      <w:r w:rsidRPr="00691B3F">
        <w:rPr>
          <w:rFonts w:ascii="Book Antiqua" w:eastAsia="DengXian" w:hAnsi="Book Antiqua" w:cs="Times New Roman"/>
          <w:i/>
          <w:kern w:val="2"/>
          <w:sz w:val="24"/>
          <w:szCs w:val="24"/>
          <w:lang w:eastAsia="zh-CN"/>
        </w:rPr>
        <w:t xml:space="preserve"> </w:t>
      </w:r>
      <w:proofErr w:type="spellStart"/>
      <w:r w:rsidRPr="00691B3F">
        <w:rPr>
          <w:rFonts w:ascii="Book Antiqua" w:eastAsia="DengXian" w:hAnsi="Book Antiqua" w:cs="Times New Roman"/>
          <w:i/>
          <w:kern w:val="2"/>
          <w:sz w:val="24"/>
          <w:szCs w:val="24"/>
          <w:lang w:eastAsia="zh-CN"/>
        </w:rPr>
        <w:t>Toxicol</w:t>
      </w:r>
      <w:proofErr w:type="spellEnd"/>
      <w:r w:rsidRPr="00691B3F">
        <w:rPr>
          <w:rFonts w:ascii="Book Antiqua" w:eastAsia="DengXian" w:hAnsi="Book Antiqua" w:cs="Times New Roman"/>
          <w:i/>
          <w:kern w:val="2"/>
          <w:sz w:val="24"/>
          <w:szCs w:val="24"/>
          <w:lang w:eastAsia="zh-CN"/>
        </w:rPr>
        <w:t xml:space="preserve"> (</w:t>
      </w:r>
      <w:proofErr w:type="spellStart"/>
      <w:r w:rsidRPr="00691B3F">
        <w:rPr>
          <w:rFonts w:ascii="Book Antiqua" w:eastAsia="DengXian" w:hAnsi="Book Antiqua" w:cs="Times New Roman"/>
          <w:i/>
          <w:kern w:val="2"/>
          <w:sz w:val="24"/>
          <w:szCs w:val="24"/>
          <w:lang w:eastAsia="zh-CN"/>
        </w:rPr>
        <w:t>Phila</w:t>
      </w:r>
      <w:proofErr w:type="spellEnd"/>
      <w:r w:rsidRPr="00691B3F">
        <w:rPr>
          <w:rFonts w:ascii="Book Antiqua" w:eastAsia="DengXian" w:hAnsi="Book Antiqua" w:cs="Times New Roman"/>
          <w:i/>
          <w:kern w:val="2"/>
          <w:sz w:val="24"/>
          <w:szCs w:val="24"/>
          <w:lang w:eastAsia="zh-CN"/>
        </w:rPr>
        <w:t>)</w:t>
      </w:r>
      <w:r w:rsidRPr="00691B3F">
        <w:rPr>
          <w:rFonts w:ascii="Book Antiqua" w:eastAsia="DengXian" w:hAnsi="Book Antiqua" w:cs="Times New Roman"/>
          <w:kern w:val="2"/>
          <w:sz w:val="24"/>
          <w:szCs w:val="24"/>
          <w:lang w:eastAsia="zh-CN"/>
        </w:rPr>
        <w:t xml:space="preserve"> 2011; </w:t>
      </w:r>
      <w:r w:rsidRPr="00691B3F">
        <w:rPr>
          <w:rFonts w:ascii="Book Antiqua" w:eastAsia="DengXian" w:hAnsi="Book Antiqua" w:cs="Times New Roman"/>
          <w:b/>
          <w:kern w:val="2"/>
          <w:sz w:val="24"/>
          <w:szCs w:val="24"/>
          <w:lang w:eastAsia="zh-CN"/>
        </w:rPr>
        <w:t>49</w:t>
      </w:r>
      <w:r w:rsidRPr="00691B3F">
        <w:rPr>
          <w:rFonts w:ascii="Book Antiqua" w:eastAsia="DengXian" w:hAnsi="Book Antiqua" w:cs="Times New Roman"/>
          <w:kern w:val="2"/>
          <w:sz w:val="24"/>
          <w:szCs w:val="24"/>
          <w:lang w:eastAsia="zh-CN"/>
        </w:rPr>
        <w:t>: 782-793 [PMID: 22077243 DOI: 10.3109/15563650.2011.624102]</w:t>
      </w:r>
    </w:p>
    <w:p w14:paraId="5E5C482B"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proofErr w:type="gramStart"/>
      <w:r w:rsidRPr="00691B3F">
        <w:rPr>
          <w:rFonts w:ascii="Book Antiqua" w:eastAsia="DengXian" w:hAnsi="Book Antiqua" w:cs="Times New Roman"/>
          <w:kern w:val="2"/>
          <w:sz w:val="24"/>
          <w:szCs w:val="24"/>
          <w:lang w:eastAsia="zh-CN"/>
        </w:rPr>
        <w:t xml:space="preserve">81 </w:t>
      </w:r>
      <w:r w:rsidRPr="00691B3F">
        <w:rPr>
          <w:rFonts w:ascii="Book Antiqua" w:eastAsia="DengXian" w:hAnsi="Book Antiqua" w:cs="Times New Roman"/>
          <w:b/>
          <w:kern w:val="2"/>
          <w:sz w:val="24"/>
          <w:szCs w:val="24"/>
          <w:lang w:eastAsia="zh-CN"/>
        </w:rPr>
        <w:t>Hopkins RE</w:t>
      </w:r>
      <w:r w:rsidRPr="00691B3F">
        <w:rPr>
          <w:rFonts w:ascii="Book Antiqua" w:eastAsia="DengXian" w:hAnsi="Book Antiqua" w:cs="Times New Roman"/>
          <w:kern w:val="2"/>
          <w:sz w:val="24"/>
          <w:szCs w:val="24"/>
          <w:lang w:eastAsia="zh-CN"/>
        </w:rPr>
        <w:t>, Dobbin M, Pilgrim JL.</w:t>
      </w:r>
      <w:proofErr w:type="gramEnd"/>
      <w:r w:rsidRPr="00691B3F">
        <w:rPr>
          <w:rFonts w:ascii="Book Antiqua" w:eastAsia="DengXian" w:hAnsi="Book Antiqua" w:cs="Times New Roman"/>
          <w:kern w:val="2"/>
          <w:sz w:val="24"/>
          <w:szCs w:val="24"/>
          <w:lang w:eastAsia="zh-CN"/>
        </w:rPr>
        <w:t xml:space="preserve"> Unintentional mortality associated with </w:t>
      </w:r>
      <w:proofErr w:type="spellStart"/>
      <w:r w:rsidRPr="00691B3F">
        <w:rPr>
          <w:rFonts w:ascii="Book Antiqua" w:eastAsia="DengXian" w:hAnsi="Book Antiqua" w:cs="Times New Roman"/>
          <w:kern w:val="2"/>
          <w:sz w:val="24"/>
          <w:szCs w:val="24"/>
          <w:lang w:eastAsia="zh-CN"/>
        </w:rPr>
        <w:t>paracetamol</w:t>
      </w:r>
      <w:proofErr w:type="spellEnd"/>
      <w:r w:rsidRPr="00691B3F">
        <w:rPr>
          <w:rFonts w:ascii="Book Antiqua" w:eastAsia="DengXian" w:hAnsi="Book Antiqua" w:cs="Times New Roman"/>
          <w:kern w:val="2"/>
          <w:sz w:val="24"/>
          <w:szCs w:val="24"/>
          <w:lang w:eastAsia="zh-CN"/>
        </w:rPr>
        <w:t xml:space="preserve"> and codeine preparations, with and without </w:t>
      </w:r>
      <w:proofErr w:type="spellStart"/>
      <w:r w:rsidRPr="00691B3F">
        <w:rPr>
          <w:rFonts w:ascii="Book Antiqua" w:eastAsia="DengXian" w:hAnsi="Book Antiqua" w:cs="Times New Roman"/>
          <w:kern w:val="2"/>
          <w:sz w:val="24"/>
          <w:szCs w:val="24"/>
          <w:lang w:eastAsia="zh-CN"/>
        </w:rPr>
        <w:t>doxylamine</w:t>
      </w:r>
      <w:proofErr w:type="spellEnd"/>
      <w:r w:rsidRPr="00691B3F">
        <w:rPr>
          <w:rFonts w:ascii="Book Antiqua" w:eastAsia="DengXian" w:hAnsi="Book Antiqua" w:cs="Times New Roman"/>
          <w:kern w:val="2"/>
          <w:sz w:val="24"/>
          <w:szCs w:val="24"/>
          <w:lang w:eastAsia="zh-CN"/>
        </w:rPr>
        <w:t xml:space="preserve">, in Australia. </w:t>
      </w:r>
      <w:r w:rsidRPr="00691B3F">
        <w:rPr>
          <w:rFonts w:ascii="Book Antiqua" w:eastAsia="DengXian" w:hAnsi="Book Antiqua" w:cs="Times New Roman"/>
          <w:i/>
          <w:kern w:val="2"/>
          <w:sz w:val="24"/>
          <w:szCs w:val="24"/>
          <w:lang w:eastAsia="zh-CN"/>
        </w:rPr>
        <w:t xml:space="preserve">Forensic </w:t>
      </w:r>
      <w:proofErr w:type="spellStart"/>
      <w:r w:rsidRPr="00691B3F">
        <w:rPr>
          <w:rFonts w:ascii="Book Antiqua" w:eastAsia="DengXian" w:hAnsi="Book Antiqua" w:cs="Times New Roman"/>
          <w:i/>
          <w:kern w:val="2"/>
          <w:sz w:val="24"/>
          <w:szCs w:val="24"/>
          <w:lang w:eastAsia="zh-CN"/>
        </w:rPr>
        <w:t>Sci</w:t>
      </w:r>
      <w:proofErr w:type="spellEnd"/>
      <w:r w:rsidRPr="00691B3F">
        <w:rPr>
          <w:rFonts w:ascii="Book Antiqua" w:eastAsia="DengXian" w:hAnsi="Book Antiqua" w:cs="Times New Roman"/>
          <w:i/>
          <w:kern w:val="2"/>
          <w:sz w:val="24"/>
          <w:szCs w:val="24"/>
          <w:lang w:eastAsia="zh-CN"/>
        </w:rPr>
        <w:t xml:space="preserve"> </w:t>
      </w:r>
      <w:proofErr w:type="spellStart"/>
      <w:r w:rsidRPr="00691B3F">
        <w:rPr>
          <w:rFonts w:ascii="Book Antiqua" w:eastAsia="DengXian" w:hAnsi="Book Antiqua" w:cs="Times New Roman"/>
          <w:i/>
          <w:kern w:val="2"/>
          <w:sz w:val="24"/>
          <w:szCs w:val="24"/>
          <w:lang w:eastAsia="zh-CN"/>
        </w:rPr>
        <w:t>Int</w:t>
      </w:r>
      <w:proofErr w:type="spellEnd"/>
      <w:r w:rsidRPr="00691B3F">
        <w:rPr>
          <w:rFonts w:ascii="Book Antiqua" w:eastAsia="DengXian" w:hAnsi="Book Antiqua" w:cs="Times New Roman"/>
          <w:kern w:val="2"/>
          <w:sz w:val="24"/>
          <w:szCs w:val="24"/>
          <w:lang w:eastAsia="zh-CN"/>
        </w:rPr>
        <w:t xml:space="preserve"> 2018; </w:t>
      </w:r>
      <w:r w:rsidRPr="00691B3F">
        <w:rPr>
          <w:rFonts w:ascii="Book Antiqua" w:eastAsia="DengXian" w:hAnsi="Book Antiqua" w:cs="Times New Roman"/>
          <w:b/>
          <w:kern w:val="2"/>
          <w:sz w:val="24"/>
          <w:szCs w:val="24"/>
          <w:lang w:eastAsia="zh-CN"/>
        </w:rPr>
        <w:t>282</w:t>
      </w:r>
      <w:r w:rsidRPr="00691B3F">
        <w:rPr>
          <w:rFonts w:ascii="Book Antiqua" w:eastAsia="DengXian" w:hAnsi="Book Antiqua" w:cs="Times New Roman"/>
          <w:kern w:val="2"/>
          <w:sz w:val="24"/>
          <w:szCs w:val="24"/>
          <w:lang w:eastAsia="zh-CN"/>
        </w:rPr>
        <w:t>: 122-126 [PMID: 29182956 DOI: 10.1016/j.forsciint.2017.11.026]</w:t>
      </w:r>
    </w:p>
    <w:p w14:paraId="154988D1"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82 </w:t>
      </w:r>
      <w:proofErr w:type="spellStart"/>
      <w:r w:rsidRPr="00691B3F">
        <w:rPr>
          <w:rFonts w:ascii="Book Antiqua" w:eastAsia="DengXian" w:hAnsi="Book Antiqua" w:cs="Times New Roman"/>
          <w:b/>
          <w:kern w:val="2"/>
          <w:sz w:val="24"/>
          <w:szCs w:val="24"/>
          <w:lang w:eastAsia="zh-CN"/>
        </w:rPr>
        <w:t>Germani</w:t>
      </w:r>
      <w:proofErr w:type="spellEnd"/>
      <w:r w:rsidRPr="00691B3F">
        <w:rPr>
          <w:rFonts w:ascii="Book Antiqua" w:eastAsia="DengXian" w:hAnsi="Book Antiqua" w:cs="Times New Roman"/>
          <w:b/>
          <w:kern w:val="2"/>
          <w:sz w:val="24"/>
          <w:szCs w:val="24"/>
          <w:lang w:eastAsia="zh-CN"/>
        </w:rPr>
        <w:t xml:space="preserve"> G</w:t>
      </w:r>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kern w:val="2"/>
          <w:sz w:val="24"/>
          <w:szCs w:val="24"/>
          <w:lang w:eastAsia="zh-CN"/>
        </w:rPr>
        <w:t>Theocharidou</w:t>
      </w:r>
      <w:proofErr w:type="spellEnd"/>
      <w:r w:rsidRPr="00691B3F">
        <w:rPr>
          <w:rFonts w:ascii="Book Antiqua" w:eastAsia="DengXian" w:hAnsi="Book Antiqua" w:cs="Times New Roman"/>
          <w:kern w:val="2"/>
          <w:sz w:val="24"/>
          <w:szCs w:val="24"/>
          <w:lang w:eastAsia="zh-CN"/>
        </w:rPr>
        <w:t xml:space="preserve"> E, Adam R, </w:t>
      </w:r>
      <w:proofErr w:type="spellStart"/>
      <w:r w:rsidRPr="00691B3F">
        <w:rPr>
          <w:rFonts w:ascii="Book Antiqua" w:eastAsia="DengXian" w:hAnsi="Book Antiqua" w:cs="Times New Roman"/>
          <w:kern w:val="2"/>
          <w:sz w:val="24"/>
          <w:szCs w:val="24"/>
          <w:lang w:eastAsia="zh-CN"/>
        </w:rPr>
        <w:t>Karam</w:t>
      </w:r>
      <w:proofErr w:type="spellEnd"/>
      <w:r w:rsidRPr="00691B3F">
        <w:rPr>
          <w:rFonts w:ascii="Book Antiqua" w:eastAsia="DengXian" w:hAnsi="Book Antiqua" w:cs="Times New Roman"/>
          <w:kern w:val="2"/>
          <w:sz w:val="24"/>
          <w:szCs w:val="24"/>
          <w:lang w:eastAsia="zh-CN"/>
        </w:rPr>
        <w:t xml:space="preserve"> V, </w:t>
      </w:r>
      <w:proofErr w:type="spellStart"/>
      <w:r w:rsidRPr="00691B3F">
        <w:rPr>
          <w:rFonts w:ascii="Book Antiqua" w:eastAsia="DengXian" w:hAnsi="Book Antiqua" w:cs="Times New Roman"/>
          <w:kern w:val="2"/>
          <w:sz w:val="24"/>
          <w:szCs w:val="24"/>
          <w:lang w:eastAsia="zh-CN"/>
        </w:rPr>
        <w:t>Wendon</w:t>
      </w:r>
      <w:proofErr w:type="spellEnd"/>
      <w:r w:rsidRPr="00691B3F">
        <w:rPr>
          <w:rFonts w:ascii="Book Antiqua" w:eastAsia="DengXian" w:hAnsi="Book Antiqua" w:cs="Times New Roman"/>
          <w:kern w:val="2"/>
          <w:sz w:val="24"/>
          <w:szCs w:val="24"/>
          <w:lang w:eastAsia="zh-CN"/>
        </w:rPr>
        <w:t xml:space="preserve"> J, O'Grady J, </w:t>
      </w:r>
      <w:proofErr w:type="spellStart"/>
      <w:r w:rsidRPr="00691B3F">
        <w:rPr>
          <w:rFonts w:ascii="Book Antiqua" w:eastAsia="DengXian" w:hAnsi="Book Antiqua" w:cs="Times New Roman"/>
          <w:kern w:val="2"/>
          <w:sz w:val="24"/>
          <w:szCs w:val="24"/>
          <w:lang w:eastAsia="zh-CN"/>
        </w:rPr>
        <w:t>Burra</w:t>
      </w:r>
      <w:proofErr w:type="spellEnd"/>
      <w:r w:rsidRPr="00691B3F">
        <w:rPr>
          <w:rFonts w:ascii="Book Antiqua" w:eastAsia="DengXian" w:hAnsi="Book Antiqua" w:cs="Times New Roman"/>
          <w:kern w:val="2"/>
          <w:sz w:val="24"/>
          <w:szCs w:val="24"/>
          <w:lang w:eastAsia="zh-CN"/>
        </w:rPr>
        <w:t xml:space="preserve"> P, </w:t>
      </w:r>
      <w:proofErr w:type="spellStart"/>
      <w:r w:rsidRPr="00691B3F">
        <w:rPr>
          <w:rFonts w:ascii="Book Antiqua" w:eastAsia="DengXian" w:hAnsi="Book Antiqua" w:cs="Times New Roman"/>
          <w:kern w:val="2"/>
          <w:sz w:val="24"/>
          <w:szCs w:val="24"/>
          <w:lang w:eastAsia="zh-CN"/>
        </w:rPr>
        <w:t>Senzolo</w:t>
      </w:r>
      <w:proofErr w:type="spellEnd"/>
      <w:r w:rsidRPr="00691B3F">
        <w:rPr>
          <w:rFonts w:ascii="Book Antiqua" w:eastAsia="DengXian" w:hAnsi="Book Antiqua" w:cs="Times New Roman"/>
          <w:kern w:val="2"/>
          <w:sz w:val="24"/>
          <w:szCs w:val="24"/>
          <w:lang w:eastAsia="zh-CN"/>
        </w:rPr>
        <w:t xml:space="preserve"> M, </w:t>
      </w:r>
      <w:proofErr w:type="spellStart"/>
      <w:r w:rsidRPr="00691B3F">
        <w:rPr>
          <w:rFonts w:ascii="Book Antiqua" w:eastAsia="DengXian" w:hAnsi="Book Antiqua" w:cs="Times New Roman"/>
          <w:kern w:val="2"/>
          <w:sz w:val="24"/>
          <w:szCs w:val="24"/>
          <w:lang w:eastAsia="zh-CN"/>
        </w:rPr>
        <w:t>Mirza</w:t>
      </w:r>
      <w:proofErr w:type="spellEnd"/>
      <w:r w:rsidRPr="00691B3F">
        <w:rPr>
          <w:rFonts w:ascii="Book Antiqua" w:eastAsia="DengXian" w:hAnsi="Book Antiqua" w:cs="Times New Roman"/>
          <w:kern w:val="2"/>
          <w:sz w:val="24"/>
          <w:szCs w:val="24"/>
          <w:lang w:eastAsia="zh-CN"/>
        </w:rPr>
        <w:t xml:space="preserve"> D, </w:t>
      </w:r>
      <w:proofErr w:type="spellStart"/>
      <w:r w:rsidRPr="00691B3F">
        <w:rPr>
          <w:rFonts w:ascii="Book Antiqua" w:eastAsia="DengXian" w:hAnsi="Book Antiqua" w:cs="Times New Roman"/>
          <w:kern w:val="2"/>
          <w:sz w:val="24"/>
          <w:szCs w:val="24"/>
          <w:lang w:eastAsia="zh-CN"/>
        </w:rPr>
        <w:t>Castaing</w:t>
      </w:r>
      <w:proofErr w:type="spellEnd"/>
      <w:r w:rsidRPr="00691B3F">
        <w:rPr>
          <w:rFonts w:ascii="Book Antiqua" w:eastAsia="DengXian" w:hAnsi="Book Antiqua" w:cs="Times New Roman"/>
          <w:kern w:val="2"/>
          <w:sz w:val="24"/>
          <w:szCs w:val="24"/>
          <w:lang w:eastAsia="zh-CN"/>
        </w:rPr>
        <w:t xml:space="preserve"> D, </w:t>
      </w:r>
      <w:proofErr w:type="spellStart"/>
      <w:r w:rsidRPr="00691B3F">
        <w:rPr>
          <w:rFonts w:ascii="Book Antiqua" w:eastAsia="DengXian" w:hAnsi="Book Antiqua" w:cs="Times New Roman"/>
          <w:kern w:val="2"/>
          <w:sz w:val="24"/>
          <w:szCs w:val="24"/>
          <w:lang w:eastAsia="zh-CN"/>
        </w:rPr>
        <w:t>Klempnauer</w:t>
      </w:r>
      <w:proofErr w:type="spellEnd"/>
      <w:r w:rsidRPr="00691B3F">
        <w:rPr>
          <w:rFonts w:ascii="Book Antiqua" w:eastAsia="DengXian" w:hAnsi="Book Antiqua" w:cs="Times New Roman"/>
          <w:kern w:val="2"/>
          <w:sz w:val="24"/>
          <w:szCs w:val="24"/>
          <w:lang w:eastAsia="zh-CN"/>
        </w:rPr>
        <w:t xml:space="preserve"> J, Pollard S, Paul A, </w:t>
      </w:r>
      <w:proofErr w:type="spellStart"/>
      <w:r w:rsidRPr="00691B3F">
        <w:rPr>
          <w:rFonts w:ascii="Book Antiqua" w:eastAsia="DengXian" w:hAnsi="Book Antiqua" w:cs="Times New Roman"/>
          <w:kern w:val="2"/>
          <w:sz w:val="24"/>
          <w:szCs w:val="24"/>
          <w:lang w:eastAsia="zh-CN"/>
        </w:rPr>
        <w:t>Belghiti</w:t>
      </w:r>
      <w:proofErr w:type="spellEnd"/>
      <w:r w:rsidRPr="00691B3F">
        <w:rPr>
          <w:rFonts w:ascii="Book Antiqua" w:eastAsia="DengXian" w:hAnsi="Book Antiqua" w:cs="Times New Roman"/>
          <w:kern w:val="2"/>
          <w:sz w:val="24"/>
          <w:szCs w:val="24"/>
          <w:lang w:eastAsia="zh-CN"/>
        </w:rPr>
        <w:t xml:space="preserve"> J, </w:t>
      </w:r>
      <w:proofErr w:type="spellStart"/>
      <w:r w:rsidRPr="00691B3F">
        <w:rPr>
          <w:rFonts w:ascii="Book Antiqua" w:eastAsia="DengXian" w:hAnsi="Book Antiqua" w:cs="Times New Roman"/>
          <w:kern w:val="2"/>
          <w:sz w:val="24"/>
          <w:szCs w:val="24"/>
          <w:lang w:eastAsia="zh-CN"/>
        </w:rPr>
        <w:t>Tsochatzis</w:t>
      </w:r>
      <w:proofErr w:type="spellEnd"/>
      <w:r w:rsidRPr="00691B3F">
        <w:rPr>
          <w:rFonts w:ascii="Book Antiqua" w:eastAsia="DengXian" w:hAnsi="Book Antiqua" w:cs="Times New Roman"/>
          <w:kern w:val="2"/>
          <w:sz w:val="24"/>
          <w:szCs w:val="24"/>
          <w:lang w:eastAsia="zh-CN"/>
        </w:rPr>
        <w:t xml:space="preserve"> E, Burroughs AK. Liver transplantation for acute liver failure in Europe: outcomes over </w:t>
      </w:r>
      <w:r w:rsidRPr="00691B3F">
        <w:rPr>
          <w:rFonts w:ascii="Book Antiqua" w:eastAsia="DengXian" w:hAnsi="Book Antiqua" w:cs="Times New Roman"/>
          <w:kern w:val="2"/>
          <w:sz w:val="24"/>
          <w:szCs w:val="24"/>
          <w:lang w:eastAsia="zh-CN"/>
        </w:rPr>
        <w:lastRenderedPageBreak/>
        <w:t xml:space="preserve">20 years from the ELTR database. </w:t>
      </w:r>
      <w:r w:rsidRPr="00691B3F">
        <w:rPr>
          <w:rFonts w:ascii="Book Antiqua" w:eastAsia="DengXian" w:hAnsi="Book Antiqua" w:cs="Times New Roman"/>
          <w:i/>
          <w:kern w:val="2"/>
          <w:sz w:val="24"/>
          <w:szCs w:val="24"/>
          <w:lang w:eastAsia="zh-CN"/>
        </w:rPr>
        <w:t xml:space="preserve">J </w:t>
      </w:r>
      <w:proofErr w:type="spellStart"/>
      <w:r w:rsidRPr="00691B3F">
        <w:rPr>
          <w:rFonts w:ascii="Book Antiqua" w:eastAsia="DengXian" w:hAnsi="Book Antiqua" w:cs="Times New Roman"/>
          <w:i/>
          <w:kern w:val="2"/>
          <w:sz w:val="24"/>
          <w:szCs w:val="24"/>
          <w:lang w:eastAsia="zh-CN"/>
        </w:rPr>
        <w:t>Hepatol</w:t>
      </w:r>
      <w:proofErr w:type="spellEnd"/>
      <w:r w:rsidRPr="00691B3F">
        <w:rPr>
          <w:rFonts w:ascii="Book Antiqua" w:eastAsia="DengXian" w:hAnsi="Book Antiqua" w:cs="Times New Roman"/>
          <w:kern w:val="2"/>
          <w:sz w:val="24"/>
          <w:szCs w:val="24"/>
          <w:lang w:eastAsia="zh-CN"/>
        </w:rPr>
        <w:t xml:space="preserve"> 2012; </w:t>
      </w:r>
      <w:r w:rsidRPr="00691B3F">
        <w:rPr>
          <w:rFonts w:ascii="Book Antiqua" w:eastAsia="DengXian" w:hAnsi="Book Antiqua" w:cs="Times New Roman"/>
          <w:b/>
          <w:kern w:val="2"/>
          <w:sz w:val="24"/>
          <w:szCs w:val="24"/>
          <w:lang w:eastAsia="zh-CN"/>
        </w:rPr>
        <w:t>57</w:t>
      </w:r>
      <w:r w:rsidRPr="00691B3F">
        <w:rPr>
          <w:rFonts w:ascii="Book Antiqua" w:eastAsia="DengXian" w:hAnsi="Book Antiqua" w:cs="Times New Roman"/>
          <w:kern w:val="2"/>
          <w:sz w:val="24"/>
          <w:szCs w:val="24"/>
          <w:lang w:eastAsia="zh-CN"/>
        </w:rPr>
        <w:t>: 288-296 [PMID: 22521347 DOI: 10.1016/j.jhep.2012.03.017]</w:t>
      </w:r>
    </w:p>
    <w:p w14:paraId="411282AE"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83 </w:t>
      </w:r>
      <w:r w:rsidRPr="00691B3F">
        <w:rPr>
          <w:rFonts w:ascii="Book Antiqua" w:eastAsia="DengXian" w:hAnsi="Book Antiqua" w:cs="Times New Roman"/>
          <w:b/>
          <w:kern w:val="2"/>
          <w:sz w:val="24"/>
          <w:szCs w:val="24"/>
          <w:lang w:eastAsia="zh-CN"/>
        </w:rPr>
        <w:t>Bernal W</w:t>
      </w:r>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kern w:val="2"/>
          <w:sz w:val="24"/>
          <w:szCs w:val="24"/>
          <w:lang w:eastAsia="zh-CN"/>
        </w:rPr>
        <w:t>Hyyrylainen</w:t>
      </w:r>
      <w:proofErr w:type="spellEnd"/>
      <w:r w:rsidRPr="00691B3F">
        <w:rPr>
          <w:rFonts w:ascii="Book Antiqua" w:eastAsia="DengXian" w:hAnsi="Book Antiqua" w:cs="Times New Roman"/>
          <w:kern w:val="2"/>
          <w:sz w:val="24"/>
          <w:szCs w:val="24"/>
          <w:lang w:eastAsia="zh-CN"/>
        </w:rPr>
        <w:t xml:space="preserve"> A, Gera A, </w:t>
      </w:r>
      <w:proofErr w:type="spellStart"/>
      <w:r w:rsidRPr="00691B3F">
        <w:rPr>
          <w:rFonts w:ascii="Book Antiqua" w:eastAsia="DengXian" w:hAnsi="Book Antiqua" w:cs="Times New Roman"/>
          <w:kern w:val="2"/>
          <w:sz w:val="24"/>
          <w:szCs w:val="24"/>
          <w:lang w:eastAsia="zh-CN"/>
        </w:rPr>
        <w:t>Audimoolam</w:t>
      </w:r>
      <w:proofErr w:type="spellEnd"/>
      <w:r w:rsidRPr="00691B3F">
        <w:rPr>
          <w:rFonts w:ascii="Book Antiqua" w:eastAsia="DengXian" w:hAnsi="Book Antiqua" w:cs="Times New Roman"/>
          <w:kern w:val="2"/>
          <w:sz w:val="24"/>
          <w:szCs w:val="24"/>
          <w:lang w:eastAsia="zh-CN"/>
        </w:rPr>
        <w:t xml:space="preserve"> VK, </w:t>
      </w:r>
      <w:proofErr w:type="spellStart"/>
      <w:r w:rsidRPr="00691B3F">
        <w:rPr>
          <w:rFonts w:ascii="Book Antiqua" w:eastAsia="DengXian" w:hAnsi="Book Antiqua" w:cs="Times New Roman"/>
          <w:kern w:val="2"/>
          <w:sz w:val="24"/>
          <w:szCs w:val="24"/>
          <w:lang w:eastAsia="zh-CN"/>
        </w:rPr>
        <w:t>McPhail</w:t>
      </w:r>
      <w:proofErr w:type="spellEnd"/>
      <w:r w:rsidRPr="00691B3F">
        <w:rPr>
          <w:rFonts w:ascii="Book Antiqua" w:eastAsia="DengXian" w:hAnsi="Book Antiqua" w:cs="Times New Roman"/>
          <w:kern w:val="2"/>
          <w:sz w:val="24"/>
          <w:szCs w:val="24"/>
          <w:lang w:eastAsia="zh-CN"/>
        </w:rPr>
        <w:t xml:space="preserve"> MJ, </w:t>
      </w:r>
      <w:proofErr w:type="spellStart"/>
      <w:r w:rsidRPr="00691B3F">
        <w:rPr>
          <w:rFonts w:ascii="Book Antiqua" w:eastAsia="DengXian" w:hAnsi="Book Antiqua" w:cs="Times New Roman"/>
          <w:kern w:val="2"/>
          <w:sz w:val="24"/>
          <w:szCs w:val="24"/>
          <w:lang w:eastAsia="zh-CN"/>
        </w:rPr>
        <w:t>Auzinger</w:t>
      </w:r>
      <w:proofErr w:type="spellEnd"/>
      <w:r w:rsidRPr="00691B3F">
        <w:rPr>
          <w:rFonts w:ascii="Book Antiqua" w:eastAsia="DengXian" w:hAnsi="Book Antiqua" w:cs="Times New Roman"/>
          <w:kern w:val="2"/>
          <w:sz w:val="24"/>
          <w:szCs w:val="24"/>
          <w:lang w:eastAsia="zh-CN"/>
        </w:rPr>
        <w:t xml:space="preserve"> G, </w:t>
      </w:r>
      <w:proofErr w:type="spellStart"/>
      <w:r w:rsidRPr="00691B3F">
        <w:rPr>
          <w:rFonts w:ascii="Book Antiqua" w:eastAsia="DengXian" w:hAnsi="Book Antiqua" w:cs="Times New Roman"/>
          <w:kern w:val="2"/>
          <w:sz w:val="24"/>
          <w:szCs w:val="24"/>
          <w:lang w:eastAsia="zh-CN"/>
        </w:rPr>
        <w:t>Rela</w:t>
      </w:r>
      <w:proofErr w:type="spellEnd"/>
      <w:r w:rsidRPr="00691B3F">
        <w:rPr>
          <w:rFonts w:ascii="Book Antiqua" w:eastAsia="DengXian" w:hAnsi="Book Antiqua" w:cs="Times New Roman"/>
          <w:kern w:val="2"/>
          <w:sz w:val="24"/>
          <w:szCs w:val="24"/>
          <w:lang w:eastAsia="zh-CN"/>
        </w:rPr>
        <w:t xml:space="preserve"> M, Heaton N, O'Grady JG, </w:t>
      </w:r>
      <w:proofErr w:type="spellStart"/>
      <w:r w:rsidRPr="00691B3F">
        <w:rPr>
          <w:rFonts w:ascii="Book Antiqua" w:eastAsia="DengXian" w:hAnsi="Book Antiqua" w:cs="Times New Roman"/>
          <w:kern w:val="2"/>
          <w:sz w:val="24"/>
          <w:szCs w:val="24"/>
          <w:lang w:eastAsia="zh-CN"/>
        </w:rPr>
        <w:t>Wendon</w:t>
      </w:r>
      <w:proofErr w:type="spellEnd"/>
      <w:r w:rsidRPr="00691B3F">
        <w:rPr>
          <w:rFonts w:ascii="Book Antiqua" w:eastAsia="DengXian" w:hAnsi="Book Antiqua" w:cs="Times New Roman"/>
          <w:kern w:val="2"/>
          <w:sz w:val="24"/>
          <w:szCs w:val="24"/>
          <w:lang w:eastAsia="zh-CN"/>
        </w:rPr>
        <w:t xml:space="preserve"> J, Williams R. Lessons from look-back in acute liver failure? </w:t>
      </w:r>
      <w:proofErr w:type="gramStart"/>
      <w:r w:rsidRPr="00691B3F">
        <w:rPr>
          <w:rFonts w:ascii="Book Antiqua" w:eastAsia="DengXian" w:hAnsi="Book Antiqua" w:cs="Times New Roman"/>
          <w:kern w:val="2"/>
          <w:sz w:val="24"/>
          <w:szCs w:val="24"/>
          <w:lang w:eastAsia="zh-CN"/>
        </w:rPr>
        <w:t xml:space="preserve">A single </w:t>
      </w:r>
      <w:proofErr w:type="spellStart"/>
      <w:r w:rsidRPr="00691B3F">
        <w:rPr>
          <w:rFonts w:ascii="Book Antiqua" w:eastAsia="DengXian" w:hAnsi="Book Antiqua" w:cs="Times New Roman"/>
          <w:kern w:val="2"/>
          <w:sz w:val="24"/>
          <w:szCs w:val="24"/>
          <w:lang w:eastAsia="zh-CN"/>
        </w:rPr>
        <w:t>centre</w:t>
      </w:r>
      <w:proofErr w:type="spellEnd"/>
      <w:r w:rsidRPr="00691B3F">
        <w:rPr>
          <w:rFonts w:ascii="Book Antiqua" w:eastAsia="DengXian" w:hAnsi="Book Antiqua" w:cs="Times New Roman"/>
          <w:kern w:val="2"/>
          <w:sz w:val="24"/>
          <w:szCs w:val="24"/>
          <w:lang w:eastAsia="zh-CN"/>
        </w:rPr>
        <w:t xml:space="preserve"> experience of 3300 patients.</w:t>
      </w:r>
      <w:proofErr w:type="gramEnd"/>
      <w:r w:rsidRPr="00691B3F">
        <w:rPr>
          <w:rFonts w:ascii="Book Antiqua" w:eastAsia="DengXian" w:hAnsi="Book Antiqua" w:cs="Times New Roman"/>
          <w:kern w:val="2"/>
          <w:sz w:val="24"/>
          <w:szCs w:val="24"/>
          <w:lang w:eastAsia="zh-CN"/>
        </w:rPr>
        <w:t xml:space="preserve"> </w:t>
      </w:r>
      <w:r w:rsidRPr="00691B3F">
        <w:rPr>
          <w:rFonts w:ascii="Book Antiqua" w:eastAsia="DengXian" w:hAnsi="Book Antiqua" w:cs="Times New Roman"/>
          <w:i/>
          <w:kern w:val="2"/>
          <w:sz w:val="24"/>
          <w:szCs w:val="24"/>
          <w:lang w:eastAsia="zh-CN"/>
        </w:rPr>
        <w:t xml:space="preserve">J </w:t>
      </w:r>
      <w:proofErr w:type="spellStart"/>
      <w:r w:rsidRPr="00691B3F">
        <w:rPr>
          <w:rFonts w:ascii="Book Antiqua" w:eastAsia="DengXian" w:hAnsi="Book Antiqua" w:cs="Times New Roman"/>
          <w:i/>
          <w:kern w:val="2"/>
          <w:sz w:val="24"/>
          <w:szCs w:val="24"/>
          <w:lang w:eastAsia="zh-CN"/>
        </w:rPr>
        <w:t>Hepatol</w:t>
      </w:r>
      <w:proofErr w:type="spellEnd"/>
      <w:r w:rsidRPr="00691B3F">
        <w:rPr>
          <w:rFonts w:ascii="Book Antiqua" w:eastAsia="DengXian" w:hAnsi="Book Antiqua" w:cs="Times New Roman"/>
          <w:kern w:val="2"/>
          <w:sz w:val="24"/>
          <w:szCs w:val="24"/>
          <w:lang w:eastAsia="zh-CN"/>
        </w:rPr>
        <w:t xml:space="preserve"> 2013; </w:t>
      </w:r>
      <w:r w:rsidRPr="00691B3F">
        <w:rPr>
          <w:rFonts w:ascii="Book Antiqua" w:eastAsia="DengXian" w:hAnsi="Book Antiqua" w:cs="Times New Roman"/>
          <w:b/>
          <w:kern w:val="2"/>
          <w:sz w:val="24"/>
          <w:szCs w:val="24"/>
          <w:lang w:eastAsia="zh-CN"/>
        </w:rPr>
        <w:t>59</w:t>
      </w:r>
      <w:r w:rsidRPr="00691B3F">
        <w:rPr>
          <w:rFonts w:ascii="Book Antiqua" w:eastAsia="DengXian" w:hAnsi="Book Antiqua" w:cs="Times New Roman"/>
          <w:kern w:val="2"/>
          <w:sz w:val="24"/>
          <w:szCs w:val="24"/>
          <w:lang w:eastAsia="zh-CN"/>
        </w:rPr>
        <w:t>: 74-80 [PMID: 23439263 DOI: 10.1016/j.jhep.2013.02.010]</w:t>
      </w:r>
    </w:p>
    <w:p w14:paraId="7E2C355C"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84 </w:t>
      </w:r>
      <w:proofErr w:type="spellStart"/>
      <w:r w:rsidRPr="00691B3F">
        <w:rPr>
          <w:rFonts w:ascii="Book Antiqua" w:eastAsia="DengXian" w:hAnsi="Book Antiqua" w:cs="Times New Roman"/>
          <w:b/>
          <w:kern w:val="2"/>
          <w:sz w:val="24"/>
          <w:szCs w:val="24"/>
          <w:lang w:eastAsia="zh-CN"/>
        </w:rPr>
        <w:t>Simões</w:t>
      </w:r>
      <w:proofErr w:type="spellEnd"/>
      <w:r w:rsidRPr="00691B3F">
        <w:rPr>
          <w:rFonts w:ascii="Book Antiqua" w:eastAsia="DengXian" w:hAnsi="Book Antiqua" w:cs="Times New Roman"/>
          <w:b/>
          <w:kern w:val="2"/>
          <w:sz w:val="24"/>
          <w:szCs w:val="24"/>
          <w:lang w:eastAsia="zh-CN"/>
        </w:rPr>
        <w:t xml:space="preserve"> C</w:t>
      </w:r>
      <w:r w:rsidRPr="00691B3F">
        <w:rPr>
          <w:rFonts w:ascii="Book Antiqua" w:eastAsia="DengXian" w:hAnsi="Book Antiqua" w:cs="Times New Roman"/>
          <w:kern w:val="2"/>
          <w:sz w:val="24"/>
          <w:szCs w:val="24"/>
          <w:lang w:eastAsia="zh-CN"/>
        </w:rPr>
        <w:t xml:space="preserve">, Santos S, Vicente M, Sousa Cardoso F. Epidemiology of Acute Liver Failure from a Regional Liver Transplant Center in Portugal. </w:t>
      </w:r>
      <w:r w:rsidRPr="00691B3F">
        <w:rPr>
          <w:rFonts w:ascii="Book Antiqua" w:eastAsia="DengXian" w:hAnsi="Book Antiqua" w:cs="Times New Roman"/>
          <w:i/>
          <w:kern w:val="2"/>
          <w:sz w:val="24"/>
          <w:szCs w:val="24"/>
          <w:lang w:eastAsia="zh-CN"/>
        </w:rPr>
        <w:t xml:space="preserve">GE Port J </w:t>
      </w:r>
      <w:proofErr w:type="spellStart"/>
      <w:r w:rsidRPr="00691B3F">
        <w:rPr>
          <w:rFonts w:ascii="Book Antiqua" w:eastAsia="DengXian" w:hAnsi="Book Antiqua" w:cs="Times New Roman"/>
          <w:i/>
          <w:kern w:val="2"/>
          <w:sz w:val="24"/>
          <w:szCs w:val="24"/>
          <w:lang w:eastAsia="zh-CN"/>
        </w:rPr>
        <w:t>Gastroenterol</w:t>
      </w:r>
      <w:proofErr w:type="spellEnd"/>
      <w:r w:rsidRPr="00691B3F">
        <w:rPr>
          <w:rFonts w:ascii="Book Antiqua" w:eastAsia="DengXian" w:hAnsi="Book Antiqua" w:cs="Times New Roman"/>
          <w:kern w:val="2"/>
          <w:sz w:val="24"/>
          <w:szCs w:val="24"/>
          <w:lang w:eastAsia="zh-CN"/>
        </w:rPr>
        <w:t xml:space="preserve"> 2018; </w:t>
      </w:r>
      <w:r w:rsidRPr="00691B3F">
        <w:rPr>
          <w:rFonts w:ascii="Book Antiqua" w:eastAsia="DengXian" w:hAnsi="Book Antiqua" w:cs="Times New Roman"/>
          <w:b/>
          <w:kern w:val="2"/>
          <w:sz w:val="24"/>
          <w:szCs w:val="24"/>
          <w:lang w:eastAsia="zh-CN"/>
        </w:rPr>
        <w:t>26</w:t>
      </w:r>
      <w:r w:rsidRPr="00691B3F">
        <w:rPr>
          <w:rFonts w:ascii="Book Antiqua" w:eastAsia="DengXian" w:hAnsi="Book Antiqua" w:cs="Times New Roman"/>
          <w:kern w:val="2"/>
          <w:sz w:val="24"/>
          <w:szCs w:val="24"/>
          <w:lang w:eastAsia="zh-CN"/>
        </w:rPr>
        <w:t>: 33-39 [PMID: 30675502 DOI: 10.1159/000487312]</w:t>
      </w:r>
    </w:p>
    <w:p w14:paraId="0107F6B3"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85 </w:t>
      </w:r>
      <w:proofErr w:type="spellStart"/>
      <w:r w:rsidRPr="00691B3F">
        <w:rPr>
          <w:rFonts w:ascii="Book Antiqua" w:eastAsia="DengXian" w:hAnsi="Book Antiqua" w:cs="Times New Roman"/>
          <w:b/>
          <w:kern w:val="2"/>
          <w:sz w:val="24"/>
          <w:szCs w:val="24"/>
          <w:lang w:eastAsia="zh-CN"/>
        </w:rPr>
        <w:t>Hadem</w:t>
      </w:r>
      <w:proofErr w:type="spellEnd"/>
      <w:r w:rsidRPr="00691B3F">
        <w:rPr>
          <w:rFonts w:ascii="Book Antiqua" w:eastAsia="DengXian" w:hAnsi="Book Antiqua" w:cs="Times New Roman"/>
          <w:b/>
          <w:kern w:val="2"/>
          <w:sz w:val="24"/>
          <w:szCs w:val="24"/>
          <w:lang w:eastAsia="zh-CN"/>
        </w:rPr>
        <w:t xml:space="preserve"> J</w:t>
      </w:r>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kern w:val="2"/>
          <w:sz w:val="24"/>
          <w:szCs w:val="24"/>
          <w:lang w:eastAsia="zh-CN"/>
        </w:rPr>
        <w:t>Tacke</w:t>
      </w:r>
      <w:proofErr w:type="spellEnd"/>
      <w:r w:rsidRPr="00691B3F">
        <w:rPr>
          <w:rFonts w:ascii="Book Antiqua" w:eastAsia="DengXian" w:hAnsi="Book Antiqua" w:cs="Times New Roman"/>
          <w:kern w:val="2"/>
          <w:sz w:val="24"/>
          <w:szCs w:val="24"/>
          <w:lang w:eastAsia="zh-CN"/>
        </w:rPr>
        <w:t xml:space="preserve"> F, </w:t>
      </w:r>
      <w:proofErr w:type="spellStart"/>
      <w:r w:rsidRPr="00691B3F">
        <w:rPr>
          <w:rFonts w:ascii="Book Antiqua" w:eastAsia="DengXian" w:hAnsi="Book Antiqua" w:cs="Times New Roman"/>
          <w:kern w:val="2"/>
          <w:sz w:val="24"/>
          <w:szCs w:val="24"/>
          <w:lang w:eastAsia="zh-CN"/>
        </w:rPr>
        <w:t>Bruns</w:t>
      </w:r>
      <w:proofErr w:type="spellEnd"/>
      <w:r w:rsidRPr="00691B3F">
        <w:rPr>
          <w:rFonts w:ascii="Book Antiqua" w:eastAsia="DengXian" w:hAnsi="Book Antiqua" w:cs="Times New Roman"/>
          <w:kern w:val="2"/>
          <w:sz w:val="24"/>
          <w:szCs w:val="24"/>
          <w:lang w:eastAsia="zh-CN"/>
        </w:rPr>
        <w:t xml:space="preserve"> T, </w:t>
      </w:r>
      <w:proofErr w:type="spellStart"/>
      <w:r w:rsidRPr="00691B3F">
        <w:rPr>
          <w:rFonts w:ascii="Book Antiqua" w:eastAsia="DengXian" w:hAnsi="Book Antiqua" w:cs="Times New Roman"/>
          <w:kern w:val="2"/>
          <w:sz w:val="24"/>
          <w:szCs w:val="24"/>
          <w:lang w:eastAsia="zh-CN"/>
        </w:rPr>
        <w:t>Langgartner</w:t>
      </w:r>
      <w:proofErr w:type="spellEnd"/>
      <w:r w:rsidRPr="00691B3F">
        <w:rPr>
          <w:rFonts w:ascii="Book Antiqua" w:eastAsia="DengXian" w:hAnsi="Book Antiqua" w:cs="Times New Roman"/>
          <w:kern w:val="2"/>
          <w:sz w:val="24"/>
          <w:szCs w:val="24"/>
          <w:lang w:eastAsia="zh-CN"/>
        </w:rPr>
        <w:t xml:space="preserve"> J, </w:t>
      </w:r>
      <w:proofErr w:type="spellStart"/>
      <w:r w:rsidRPr="00691B3F">
        <w:rPr>
          <w:rFonts w:ascii="Book Antiqua" w:eastAsia="DengXian" w:hAnsi="Book Antiqua" w:cs="Times New Roman"/>
          <w:kern w:val="2"/>
          <w:sz w:val="24"/>
          <w:szCs w:val="24"/>
          <w:lang w:eastAsia="zh-CN"/>
        </w:rPr>
        <w:t>Strnad</w:t>
      </w:r>
      <w:proofErr w:type="spellEnd"/>
      <w:r w:rsidRPr="00691B3F">
        <w:rPr>
          <w:rFonts w:ascii="Book Antiqua" w:eastAsia="DengXian" w:hAnsi="Book Antiqua" w:cs="Times New Roman"/>
          <w:kern w:val="2"/>
          <w:sz w:val="24"/>
          <w:szCs w:val="24"/>
          <w:lang w:eastAsia="zh-CN"/>
        </w:rPr>
        <w:t xml:space="preserve"> P, </w:t>
      </w:r>
      <w:proofErr w:type="spellStart"/>
      <w:r w:rsidRPr="00691B3F">
        <w:rPr>
          <w:rFonts w:ascii="Book Antiqua" w:eastAsia="DengXian" w:hAnsi="Book Antiqua" w:cs="Times New Roman"/>
          <w:kern w:val="2"/>
          <w:sz w:val="24"/>
          <w:szCs w:val="24"/>
          <w:lang w:eastAsia="zh-CN"/>
        </w:rPr>
        <w:t>Denk</w:t>
      </w:r>
      <w:proofErr w:type="spellEnd"/>
      <w:r w:rsidRPr="00691B3F">
        <w:rPr>
          <w:rFonts w:ascii="Book Antiqua" w:eastAsia="DengXian" w:hAnsi="Book Antiqua" w:cs="Times New Roman"/>
          <w:kern w:val="2"/>
          <w:sz w:val="24"/>
          <w:szCs w:val="24"/>
          <w:lang w:eastAsia="zh-CN"/>
        </w:rPr>
        <w:t xml:space="preserve"> GU, </w:t>
      </w:r>
      <w:proofErr w:type="spellStart"/>
      <w:r w:rsidRPr="00691B3F">
        <w:rPr>
          <w:rFonts w:ascii="Book Antiqua" w:eastAsia="DengXian" w:hAnsi="Book Antiqua" w:cs="Times New Roman"/>
          <w:kern w:val="2"/>
          <w:sz w:val="24"/>
          <w:szCs w:val="24"/>
          <w:lang w:eastAsia="zh-CN"/>
        </w:rPr>
        <w:t>Fikatas</w:t>
      </w:r>
      <w:proofErr w:type="spellEnd"/>
      <w:r w:rsidRPr="00691B3F">
        <w:rPr>
          <w:rFonts w:ascii="Book Antiqua" w:eastAsia="DengXian" w:hAnsi="Book Antiqua" w:cs="Times New Roman"/>
          <w:kern w:val="2"/>
          <w:sz w:val="24"/>
          <w:szCs w:val="24"/>
          <w:lang w:eastAsia="zh-CN"/>
        </w:rPr>
        <w:t xml:space="preserve"> P, </w:t>
      </w:r>
      <w:proofErr w:type="spellStart"/>
      <w:r w:rsidRPr="00691B3F">
        <w:rPr>
          <w:rFonts w:ascii="Book Antiqua" w:eastAsia="DengXian" w:hAnsi="Book Antiqua" w:cs="Times New Roman"/>
          <w:kern w:val="2"/>
          <w:sz w:val="24"/>
          <w:szCs w:val="24"/>
          <w:lang w:eastAsia="zh-CN"/>
        </w:rPr>
        <w:t>Manns</w:t>
      </w:r>
      <w:proofErr w:type="spellEnd"/>
      <w:r w:rsidRPr="00691B3F">
        <w:rPr>
          <w:rFonts w:ascii="Book Antiqua" w:eastAsia="DengXian" w:hAnsi="Book Antiqua" w:cs="Times New Roman"/>
          <w:kern w:val="2"/>
          <w:sz w:val="24"/>
          <w:szCs w:val="24"/>
          <w:lang w:eastAsia="zh-CN"/>
        </w:rPr>
        <w:t xml:space="preserve"> MP, Hofmann WP, </w:t>
      </w:r>
      <w:proofErr w:type="spellStart"/>
      <w:r w:rsidRPr="00691B3F">
        <w:rPr>
          <w:rFonts w:ascii="Book Antiqua" w:eastAsia="DengXian" w:hAnsi="Book Antiqua" w:cs="Times New Roman"/>
          <w:kern w:val="2"/>
          <w:sz w:val="24"/>
          <w:szCs w:val="24"/>
          <w:lang w:eastAsia="zh-CN"/>
        </w:rPr>
        <w:t>Gerken</w:t>
      </w:r>
      <w:proofErr w:type="spellEnd"/>
      <w:r w:rsidRPr="00691B3F">
        <w:rPr>
          <w:rFonts w:ascii="Book Antiqua" w:eastAsia="DengXian" w:hAnsi="Book Antiqua" w:cs="Times New Roman"/>
          <w:kern w:val="2"/>
          <w:sz w:val="24"/>
          <w:szCs w:val="24"/>
          <w:lang w:eastAsia="zh-CN"/>
        </w:rPr>
        <w:t xml:space="preserve"> G, </w:t>
      </w:r>
      <w:proofErr w:type="spellStart"/>
      <w:r w:rsidRPr="00691B3F">
        <w:rPr>
          <w:rFonts w:ascii="Book Antiqua" w:eastAsia="DengXian" w:hAnsi="Book Antiqua" w:cs="Times New Roman"/>
          <w:kern w:val="2"/>
          <w:sz w:val="24"/>
          <w:szCs w:val="24"/>
          <w:lang w:eastAsia="zh-CN"/>
        </w:rPr>
        <w:t>Grünhage</w:t>
      </w:r>
      <w:proofErr w:type="spellEnd"/>
      <w:r w:rsidRPr="00691B3F">
        <w:rPr>
          <w:rFonts w:ascii="Book Antiqua" w:eastAsia="DengXian" w:hAnsi="Book Antiqua" w:cs="Times New Roman"/>
          <w:kern w:val="2"/>
          <w:sz w:val="24"/>
          <w:szCs w:val="24"/>
          <w:lang w:eastAsia="zh-CN"/>
        </w:rPr>
        <w:t xml:space="preserve"> F, </w:t>
      </w:r>
      <w:proofErr w:type="spellStart"/>
      <w:r w:rsidRPr="00691B3F">
        <w:rPr>
          <w:rFonts w:ascii="Book Antiqua" w:eastAsia="DengXian" w:hAnsi="Book Antiqua" w:cs="Times New Roman"/>
          <w:kern w:val="2"/>
          <w:sz w:val="24"/>
          <w:szCs w:val="24"/>
          <w:lang w:eastAsia="zh-CN"/>
        </w:rPr>
        <w:t>Umgelter</w:t>
      </w:r>
      <w:proofErr w:type="spellEnd"/>
      <w:r w:rsidRPr="00691B3F">
        <w:rPr>
          <w:rFonts w:ascii="Book Antiqua" w:eastAsia="DengXian" w:hAnsi="Book Antiqua" w:cs="Times New Roman"/>
          <w:kern w:val="2"/>
          <w:sz w:val="24"/>
          <w:szCs w:val="24"/>
          <w:lang w:eastAsia="zh-CN"/>
        </w:rPr>
        <w:t xml:space="preserve"> A, </w:t>
      </w:r>
      <w:proofErr w:type="spellStart"/>
      <w:r w:rsidRPr="00691B3F">
        <w:rPr>
          <w:rFonts w:ascii="Book Antiqua" w:eastAsia="DengXian" w:hAnsi="Book Antiqua" w:cs="Times New Roman"/>
          <w:kern w:val="2"/>
          <w:sz w:val="24"/>
          <w:szCs w:val="24"/>
          <w:lang w:eastAsia="zh-CN"/>
        </w:rPr>
        <w:t>Trautwein</w:t>
      </w:r>
      <w:proofErr w:type="spellEnd"/>
      <w:r w:rsidRPr="00691B3F">
        <w:rPr>
          <w:rFonts w:ascii="Book Antiqua" w:eastAsia="DengXian" w:hAnsi="Book Antiqua" w:cs="Times New Roman"/>
          <w:kern w:val="2"/>
          <w:sz w:val="24"/>
          <w:szCs w:val="24"/>
          <w:lang w:eastAsia="zh-CN"/>
        </w:rPr>
        <w:t xml:space="preserve"> C, </w:t>
      </w:r>
      <w:proofErr w:type="spellStart"/>
      <w:r w:rsidRPr="00691B3F">
        <w:rPr>
          <w:rFonts w:ascii="Book Antiqua" w:eastAsia="DengXian" w:hAnsi="Book Antiqua" w:cs="Times New Roman"/>
          <w:kern w:val="2"/>
          <w:sz w:val="24"/>
          <w:szCs w:val="24"/>
          <w:lang w:eastAsia="zh-CN"/>
        </w:rPr>
        <w:t>Canbay</w:t>
      </w:r>
      <w:proofErr w:type="spellEnd"/>
      <w:r w:rsidRPr="00691B3F">
        <w:rPr>
          <w:rFonts w:ascii="Book Antiqua" w:eastAsia="DengXian" w:hAnsi="Book Antiqua" w:cs="Times New Roman"/>
          <w:kern w:val="2"/>
          <w:sz w:val="24"/>
          <w:szCs w:val="24"/>
          <w:lang w:eastAsia="zh-CN"/>
        </w:rPr>
        <w:t xml:space="preserve"> A; Acute Liver Failure Study Group Germany. </w:t>
      </w:r>
      <w:proofErr w:type="gramStart"/>
      <w:r w:rsidRPr="00691B3F">
        <w:rPr>
          <w:rFonts w:ascii="Book Antiqua" w:eastAsia="DengXian" w:hAnsi="Book Antiqua" w:cs="Times New Roman"/>
          <w:kern w:val="2"/>
          <w:sz w:val="24"/>
          <w:szCs w:val="24"/>
          <w:lang w:eastAsia="zh-CN"/>
        </w:rPr>
        <w:t>Etiologies and outcomes of acute liver failure in Germany.</w:t>
      </w:r>
      <w:proofErr w:type="gramEnd"/>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i/>
          <w:kern w:val="2"/>
          <w:sz w:val="24"/>
          <w:szCs w:val="24"/>
          <w:lang w:eastAsia="zh-CN"/>
        </w:rPr>
        <w:t>Clin</w:t>
      </w:r>
      <w:proofErr w:type="spellEnd"/>
      <w:r w:rsidRPr="00691B3F">
        <w:rPr>
          <w:rFonts w:ascii="Book Antiqua" w:eastAsia="DengXian" w:hAnsi="Book Antiqua" w:cs="Times New Roman"/>
          <w:i/>
          <w:kern w:val="2"/>
          <w:sz w:val="24"/>
          <w:szCs w:val="24"/>
          <w:lang w:eastAsia="zh-CN"/>
        </w:rPr>
        <w:t xml:space="preserve"> </w:t>
      </w:r>
      <w:proofErr w:type="spellStart"/>
      <w:r w:rsidRPr="00691B3F">
        <w:rPr>
          <w:rFonts w:ascii="Book Antiqua" w:eastAsia="DengXian" w:hAnsi="Book Antiqua" w:cs="Times New Roman"/>
          <w:i/>
          <w:kern w:val="2"/>
          <w:sz w:val="24"/>
          <w:szCs w:val="24"/>
          <w:lang w:eastAsia="zh-CN"/>
        </w:rPr>
        <w:t>Gastroenterol</w:t>
      </w:r>
      <w:proofErr w:type="spellEnd"/>
      <w:r w:rsidRPr="00691B3F">
        <w:rPr>
          <w:rFonts w:ascii="Book Antiqua" w:eastAsia="DengXian" w:hAnsi="Book Antiqua" w:cs="Times New Roman"/>
          <w:i/>
          <w:kern w:val="2"/>
          <w:sz w:val="24"/>
          <w:szCs w:val="24"/>
          <w:lang w:eastAsia="zh-CN"/>
        </w:rPr>
        <w:t xml:space="preserve"> </w:t>
      </w:r>
      <w:proofErr w:type="spellStart"/>
      <w:r w:rsidRPr="00691B3F">
        <w:rPr>
          <w:rFonts w:ascii="Book Antiqua" w:eastAsia="DengXian" w:hAnsi="Book Antiqua" w:cs="Times New Roman"/>
          <w:i/>
          <w:kern w:val="2"/>
          <w:sz w:val="24"/>
          <w:szCs w:val="24"/>
          <w:lang w:eastAsia="zh-CN"/>
        </w:rPr>
        <w:t>Hepatol</w:t>
      </w:r>
      <w:proofErr w:type="spellEnd"/>
      <w:r w:rsidRPr="00691B3F">
        <w:rPr>
          <w:rFonts w:ascii="Book Antiqua" w:eastAsia="DengXian" w:hAnsi="Book Antiqua" w:cs="Times New Roman"/>
          <w:kern w:val="2"/>
          <w:sz w:val="24"/>
          <w:szCs w:val="24"/>
          <w:lang w:eastAsia="zh-CN"/>
        </w:rPr>
        <w:t xml:space="preserve"> 2012; </w:t>
      </w:r>
      <w:r w:rsidRPr="00691B3F">
        <w:rPr>
          <w:rFonts w:ascii="Book Antiqua" w:eastAsia="DengXian" w:hAnsi="Book Antiqua" w:cs="Times New Roman"/>
          <w:b/>
          <w:kern w:val="2"/>
          <w:sz w:val="24"/>
          <w:szCs w:val="24"/>
          <w:lang w:eastAsia="zh-CN"/>
        </w:rPr>
        <w:t>10</w:t>
      </w:r>
      <w:r w:rsidRPr="00691B3F">
        <w:rPr>
          <w:rFonts w:ascii="Book Antiqua" w:eastAsia="DengXian" w:hAnsi="Book Antiqua" w:cs="Times New Roman"/>
          <w:kern w:val="2"/>
          <w:sz w:val="24"/>
          <w:szCs w:val="24"/>
          <w:lang w:eastAsia="zh-CN"/>
        </w:rPr>
        <w:t>: 664-9.e2 [PMID: 22373724 DOI: 10.1016/j.cgh.2012.02.016]</w:t>
      </w:r>
    </w:p>
    <w:p w14:paraId="298FD046"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86 </w:t>
      </w:r>
      <w:proofErr w:type="spellStart"/>
      <w:r w:rsidRPr="00691B3F">
        <w:rPr>
          <w:rFonts w:ascii="Book Antiqua" w:eastAsia="DengXian" w:hAnsi="Book Antiqua" w:cs="Times New Roman"/>
          <w:b/>
          <w:kern w:val="2"/>
          <w:sz w:val="24"/>
          <w:szCs w:val="24"/>
          <w:lang w:eastAsia="zh-CN"/>
        </w:rPr>
        <w:t>Gulmez</w:t>
      </w:r>
      <w:proofErr w:type="spellEnd"/>
      <w:r w:rsidRPr="00691B3F">
        <w:rPr>
          <w:rFonts w:ascii="Book Antiqua" w:eastAsia="DengXian" w:hAnsi="Book Antiqua" w:cs="Times New Roman"/>
          <w:b/>
          <w:kern w:val="2"/>
          <w:sz w:val="24"/>
          <w:szCs w:val="24"/>
          <w:lang w:eastAsia="zh-CN"/>
        </w:rPr>
        <w:t xml:space="preserve"> SE</w:t>
      </w:r>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kern w:val="2"/>
          <w:sz w:val="24"/>
          <w:szCs w:val="24"/>
          <w:lang w:eastAsia="zh-CN"/>
        </w:rPr>
        <w:t>Larrey</w:t>
      </w:r>
      <w:proofErr w:type="spellEnd"/>
      <w:r w:rsidRPr="00691B3F">
        <w:rPr>
          <w:rFonts w:ascii="Book Antiqua" w:eastAsia="DengXian" w:hAnsi="Book Antiqua" w:cs="Times New Roman"/>
          <w:kern w:val="2"/>
          <w:sz w:val="24"/>
          <w:szCs w:val="24"/>
          <w:lang w:eastAsia="zh-CN"/>
        </w:rPr>
        <w:t xml:space="preserve"> D, </w:t>
      </w:r>
      <w:proofErr w:type="spellStart"/>
      <w:r w:rsidRPr="00691B3F">
        <w:rPr>
          <w:rFonts w:ascii="Book Antiqua" w:eastAsia="DengXian" w:hAnsi="Book Antiqua" w:cs="Times New Roman"/>
          <w:kern w:val="2"/>
          <w:sz w:val="24"/>
          <w:szCs w:val="24"/>
          <w:lang w:eastAsia="zh-CN"/>
        </w:rPr>
        <w:t>Pageaux</w:t>
      </w:r>
      <w:proofErr w:type="spellEnd"/>
      <w:r w:rsidRPr="00691B3F">
        <w:rPr>
          <w:rFonts w:ascii="Book Antiqua" w:eastAsia="DengXian" w:hAnsi="Book Antiqua" w:cs="Times New Roman"/>
          <w:kern w:val="2"/>
          <w:sz w:val="24"/>
          <w:szCs w:val="24"/>
          <w:lang w:eastAsia="zh-CN"/>
        </w:rPr>
        <w:t xml:space="preserve"> GP, </w:t>
      </w:r>
      <w:proofErr w:type="spellStart"/>
      <w:r w:rsidRPr="00691B3F">
        <w:rPr>
          <w:rFonts w:ascii="Book Antiqua" w:eastAsia="DengXian" w:hAnsi="Book Antiqua" w:cs="Times New Roman"/>
          <w:kern w:val="2"/>
          <w:sz w:val="24"/>
          <w:szCs w:val="24"/>
          <w:lang w:eastAsia="zh-CN"/>
        </w:rPr>
        <w:t>Lignot</w:t>
      </w:r>
      <w:proofErr w:type="spellEnd"/>
      <w:r w:rsidRPr="00691B3F">
        <w:rPr>
          <w:rFonts w:ascii="Book Antiqua" w:eastAsia="DengXian" w:hAnsi="Book Antiqua" w:cs="Times New Roman"/>
          <w:kern w:val="2"/>
          <w:sz w:val="24"/>
          <w:szCs w:val="24"/>
          <w:lang w:eastAsia="zh-CN"/>
        </w:rPr>
        <w:t xml:space="preserve"> S, Lassalle R, </w:t>
      </w:r>
      <w:proofErr w:type="spellStart"/>
      <w:r w:rsidRPr="00691B3F">
        <w:rPr>
          <w:rFonts w:ascii="Book Antiqua" w:eastAsia="DengXian" w:hAnsi="Book Antiqua" w:cs="Times New Roman"/>
          <w:kern w:val="2"/>
          <w:sz w:val="24"/>
          <w:szCs w:val="24"/>
          <w:lang w:eastAsia="zh-CN"/>
        </w:rPr>
        <w:t>Jové</w:t>
      </w:r>
      <w:proofErr w:type="spellEnd"/>
      <w:r w:rsidRPr="00691B3F">
        <w:rPr>
          <w:rFonts w:ascii="Book Antiqua" w:eastAsia="DengXian" w:hAnsi="Book Antiqua" w:cs="Times New Roman"/>
          <w:kern w:val="2"/>
          <w:sz w:val="24"/>
          <w:szCs w:val="24"/>
          <w:lang w:eastAsia="zh-CN"/>
        </w:rPr>
        <w:t xml:space="preserve"> J, </w:t>
      </w:r>
      <w:proofErr w:type="spellStart"/>
      <w:r w:rsidRPr="00691B3F">
        <w:rPr>
          <w:rFonts w:ascii="Book Antiqua" w:eastAsia="DengXian" w:hAnsi="Book Antiqua" w:cs="Times New Roman"/>
          <w:kern w:val="2"/>
          <w:sz w:val="24"/>
          <w:szCs w:val="24"/>
          <w:lang w:eastAsia="zh-CN"/>
        </w:rPr>
        <w:t>Gatta</w:t>
      </w:r>
      <w:proofErr w:type="spellEnd"/>
      <w:r w:rsidRPr="00691B3F">
        <w:rPr>
          <w:rFonts w:ascii="Book Antiqua" w:eastAsia="DengXian" w:hAnsi="Book Antiqua" w:cs="Times New Roman"/>
          <w:kern w:val="2"/>
          <w:sz w:val="24"/>
          <w:szCs w:val="24"/>
          <w:lang w:eastAsia="zh-CN"/>
        </w:rPr>
        <w:t xml:space="preserve"> A, McCormick PA, </w:t>
      </w:r>
      <w:proofErr w:type="spellStart"/>
      <w:r w:rsidRPr="00691B3F">
        <w:rPr>
          <w:rFonts w:ascii="Book Antiqua" w:eastAsia="DengXian" w:hAnsi="Book Antiqua" w:cs="Times New Roman"/>
          <w:kern w:val="2"/>
          <w:sz w:val="24"/>
          <w:szCs w:val="24"/>
          <w:lang w:eastAsia="zh-CN"/>
        </w:rPr>
        <w:t>Metselaar</w:t>
      </w:r>
      <w:proofErr w:type="spellEnd"/>
      <w:r w:rsidRPr="00691B3F">
        <w:rPr>
          <w:rFonts w:ascii="Book Antiqua" w:eastAsia="DengXian" w:hAnsi="Book Antiqua" w:cs="Times New Roman"/>
          <w:kern w:val="2"/>
          <w:sz w:val="24"/>
          <w:szCs w:val="24"/>
          <w:lang w:eastAsia="zh-CN"/>
        </w:rPr>
        <w:t xml:space="preserve"> HJ, </w:t>
      </w:r>
      <w:proofErr w:type="spellStart"/>
      <w:r w:rsidRPr="00691B3F">
        <w:rPr>
          <w:rFonts w:ascii="Book Antiqua" w:eastAsia="DengXian" w:hAnsi="Book Antiqua" w:cs="Times New Roman"/>
          <w:kern w:val="2"/>
          <w:sz w:val="24"/>
          <w:szCs w:val="24"/>
          <w:lang w:eastAsia="zh-CN"/>
        </w:rPr>
        <w:t>Monteiro</w:t>
      </w:r>
      <w:proofErr w:type="spellEnd"/>
      <w:r w:rsidRPr="00691B3F">
        <w:rPr>
          <w:rFonts w:ascii="Book Antiqua" w:eastAsia="DengXian" w:hAnsi="Book Antiqua" w:cs="Times New Roman"/>
          <w:kern w:val="2"/>
          <w:sz w:val="24"/>
          <w:szCs w:val="24"/>
          <w:lang w:eastAsia="zh-CN"/>
        </w:rPr>
        <w:t xml:space="preserve"> E, </w:t>
      </w:r>
      <w:proofErr w:type="spellStart"/>
      <w:r w:rsidRPr="00691B3F">
        <w:rPr>
          <w:rFonts w:ascii="Book Antiqua" w:eastAsia="DengXian" w:hAnsi="Book Antiqua" w:cs="Times New Roman"/>
          <w:kern w:val="2"/>
          <w:sz w:val="24"/>
          <w:szCs w:val="24"/>
          <w:lang w:eastAsia="zh-CN"/>
        </w:rPr>
        <w:t>Thorburn</w:t>
      </w:r>
      <w:proofErr w:type="spellEnd"/>
      <w:r w:rsidRPr="00691B3F">
        <w:rPr>
          <w:rFonts w:ascii="Book Antiqua" w:eastAsia="DengXian" w:hAnsi="Book Antiqua" w:cs="Times New Roman"/>
          <w:kern w:val="2"/>
          <w:sz w:val="24"/>
          <w:szCs w:val="24"/>
          <w:lang w:eastAsia="zh-CN"/>
        </w:rPr>
        <w:t xml:space="preserve"> D, Bernal W, </w:t>
      </w:r>
      <w:proofErr w:type="spellStart"/>
      <w:r w:rsidRPr="00691B3F">
        <w:rPr>
          <w:rFonts w:ascii="Book Antiqua" w:eastAsia="DengXian" w:hAnsi="Book Antiqua" w:cs="Times New Roman"/>
          <w:kern w:val="2"/>
          <w:sz w:val="24"/>
          <w:szCs w:val="24"/>
          <w:lang w:eastAsia="zh-CN"/>
        </w:rPr>
        <w:t>Zouboulis-Vafiadis</w:t>
      </w:r>
      <w:proofErr w:type="spellEnd"/>
      <w:r w:rsidRPr="00691B3F">
        <w:rPr>
          <w:rFonts w:ascii="Book Antiqua" w:eastAsia="DengXian" w:hAnsi="Book Antiqua" w:cs="Times New Roman"/>
          <w:kern w:val="2"/>
          <w:sz w:val="24"/>
          <w:szCs w:val="24"/>
          <w:lang w:eastAsia="zh-CN"/>
        </w:rPr>
        <w:t xml:space="preserve"> I, de </w:t>
      </w:r>
      <w:proofErr w:type="spellStart"/>
      <w:r w:rsidRPr="00691B3F">
        <w:rPr>
          <w:rFonts w:ascii="Book Antiqua" w:eastAsia="DengXian" w:hAnsi="Book Antiqua" w:cs="Times New Roman"/>
          <w:kern w:val="2"/>
          <w:sz w:val="24"/>
          <w:szCs w:val="24"/>
          <w:lang w:eastAsia="zh-CN"/>
        </w:rPr>
        <w:t>Vries</w:t>
      </w:r>
      <w:proofErr w:type="spellEnd"/>
      <w:r w:rsidRPr="00691B3F">
        <w:rPr>
          <w:rFonts w:ascii="Book Antiqua" w:eastAsia="DengXian" w:hAnsi="Book Antiqua" w:cs="Times New Roman"/>
          <w:kern w:val="2"/>
          <w:sz w:val="24"/>
          <w:szCs w:val="24"/>
          <w:lang w:eastAsia="zh-CN"/>
        </w:rPr>
        <w:t xml:space="preserve"> C, Perez-</w:t>
      </w:r>
      <w:proofErr w:type="spellStart"/>
      <w:r w:rsidRPr="00691B3F">
        <w:rPr>
          <w:rFonts w:ascii="Book Antiqua" w:eastAsia="DengXian" w:hAnsi="Book Antiqua" w:cs="Times New Roman"/>
          <w:kern w:val="2"/>
          <w:sz w:val="24"/>
          <w:szCs w:val="24"/>
          <w:lang w:eastAsia="zh-CN"/>
        </w:rPr>
        <w:t>Gutthann</w:t>
      </w:r>
      <w:proofErr w:type="spellEnd"/>
      <w:r w:rsidRPr="00691B3F">
        <w:rPr>
          <w:rFonts w:ascii="Book Antiqua" w:eastAsia="DengXian" w:hAnsi="Book Antiqua" w:cs="Times New Roman"/>
          <w:kern w:val="2"/>
          <w:sz w:val="24"/>
          <w:szCs w:val="24"/>
          <w:lang w:eastAsia="zh-CN"/>
        </w:rPr>
        <w:t xml:space="preserve"> S, </w:t>
      </w:r>
      <w:proofErr w:type="spellStart"/>
      <w:r w:rsidRPr="00691B3F">
        <w:rPr>
          <w:rFonts w:ascii="Book Antiqua" w:eastAsia="DengXian" w:hAnsi="Book Antiqua" w:cs="Times New Roman"/>
          <w:kern w:val="2"/>
          <w:sz w:val="24"/>
          <w:szCs w:val="24"/>
          <w:lang w:eastAsia="zh-CN"/>
        </w:rPr>
        <w:t>Sturkenboom</w:t>
      </w:r>
      <w:proofErr w:type="spellEnd"/>
      <w:r w:rsidRPr="00691B3F">
        <w:rPr>
          <w:rFonts w:ascii="Book Antiqua" w:eastAsia="DengXian" w:hAnsi="Book Antiqua" w:cs="Times New Roman"/>
          <w:kern w:val="2"/>
          <w:sz w:val="24"/>
          <w:szCs w:val="24"/>
          <w:lang w:eastAsia="zh-CN"/>
        </w:rPr>
        <w:t xml:space="preserve"> M, </w:t>
      </w:r>
      <w:proofErr w:type="spellStart"/>
      <w:r w:rsidRPr="00691B3F">
        <w:rPr>
          <w:rFonts w:ascii="Book Antiqua" w:eastAsia="DengXian" w:hAnsi="Book Antiqua" w:cs="Times New Roman"/>
          <w:kern w:val="2"/>
          <w:sz w:val="24"/>
          <w:szCs w:val="24"/>
          <w:lang w:eastAsia="zh-CN"/>
        </w:rPr>
        <w:t>Bénichou</w:t>
      </w:r>
      <w:proofErr w:type="spellEnd"/>
      <w:r w:rsidRPr="00691B3F">
        <w:rPr>
          <w:rFonts w:ascii="Book Antiqua" w:eastAsia="DengXian" w:hAnsi="Book Antiqua" w:cs="Times New Roman"/>
          <w:kern w:val="2"/>
          <w:sz w:val="24"/>
          <w:szCs w:val="24"/>
          <w:lang w:eastAsia="zh-CN"/>
        </w:rPr>
        <w:t xml:space="preserve"> J, </w:t>
      </w:r>
      <w:proofErr w:type="spellStart"/>
      <w:r w:rsidRPr="00691B3F">
        <w:rPr>
          <w:rFonts w:ascii="Book Antiqua" w:eastAsia="DengXian" w:hAnsi="Book Antiqua" w:cs="Times New Roman"/>
          <w:kern w:val="2"/>
          <w:sz w:val="24"/>
          <w:szCs w:val="24"/>
          <w:lang w:eastAsia="zh-CN"/>
        </w:rPr>
        <w:t>Montastruc</w:t>
      </w:r>
      <w:proofErr w:type="spellEnd"/>
      <w:r w:rsidRPr="00691B3F">
        <w:rPr>
          <w:rFonts w:ascii="Book Antiqua" w:eastAsia="DengXian" w:hAnsi="Book Antiqua" w:cs="Times New Roman"/>
          <w:kern w:val="2"/>
          <w:sz w:val="24"/>
          <w:szCs w:val="24"/>
          <w:lang w:eastAsia="zh-CN"/>
        </w:rPr>
        <w:t xml:space="preserve"> JL, </w:t>
      </w:r>
      <w:proofErr w:type="spellStart"/>
      <w:r w:rsidRPr="00691B3F">
        <w:rPr>
          <w:rFonts w:ascii="Book Antiqua" w:eastAsia="DengXian" w:hAnsi="Book Antiqua" w:cs="Times New Roman"/>
          <w:kern w:val="2"/>
          <w:sz w:val="24"/>
          <w:szCs w:val="24"/>
          <w:lang w:eastAsia="zh-CN"/>
        </w:rPr>
        <w:t>Horsmans</w:t>
      </w:r>
      <w:proofErr w:type="spellEnd"/>
      <w:r w:rsidRPr="00691B3F">
        <w:rPr>
          <w:rFonts w:ascii="Book Antiqua" w:eastAsia="DengXian" w:hAnsi="Book Antiqua" w:cs="Times New Roman"/>
          <w:kern w:val="2"/>
          <w:sz w:val="24"/>
          <w:szCs w:val="24"/>
          <w:lang w:eastAsia="zh-CN"/>
        </w:rPr>
        <w:t xml:space="preserve"> Y, Salvo F, </w:t>
      </w:r>
      <w:proofErr w:type="spellStart"/>
      <w:r w:rsidRPr="00691B3F">
        <w:rPr>
          <w:rFonts w:ascii="Book Antiqua" w:eastAsia="DengXian" w:hAnsi="Book Antiqua" w:cs="Times New Roman"/>
          <w:kern w:val="2"/>
          <w:sz w:val="24"/>
          <w:szCs w:val="24"/>
          <w:lang w:eastAsia="zh-CN"/>
        </w:rPr>
        <w:t>Hamoud</w:t>
      </w:r>
      <w:proofErr w:type="spellEnd"/>
      <w:r w:rsidRPr="00691B3F">
        <w:rPr>
          <w:rFonts w:ascii="Book Antiqua" w:eastAsia="DengXian" w:hAnsi="Book Antiqua" w:cs="Times New Roman"/>
          <w:kern w:val="2"/>
          <w:sz w:val="24"/>
          <w:szCs w:val="24"/>
          <w:lang w:eastAsia="zh-CN"/>
        </w:rPr>
        <w:t xml:space="preserve"> F, </w:t>
      </w:r>
      <w:proofErr w:type="spellStart"/>
      <w:r w:rsidRPr="00691B3F">
        <w:rPr>
          <w:rFonts w:ascii="Book Antiqua" w:eastAsia="DengXian" w:hAnsi="Book Antiqua" w:cs="Times New Roman"/>
          <w:kern w:val="2"/>
          <w:sz w:val="24"/>
          <w:szCs w:val="24"/>
          <w:lang w:eastAsia="zh-CN"/>
        </w:rPr>
        <w:t>Micon</w:t>
      </w:r>
      <w:proofErr w:type="spellEnd"/>
      <w:r w:rsidRPr="00691B3F">
        <w:rPr>
          <w:rFonts w:ascii="Book Antiqua" w:eastAsia="DengXian" w:hAnsi="Book Antiqua" w:cs="Times New Roman"/>
          <w:kern w:val="2"/>
          <w:sz w:val="24"/>
          <w:szCs w:val="24"/>
          <w:lang w:eastAsia="zh-CN"/>
        </w:rPr>
        <w:t xml:space="preserve"> S, </w:t>
      </w:r>
      <w:proofErr w:type="spellStart"/>
      <w:r w:rsidRPr="00691B3F">
        <w:rPr>
          <w:rFonts w:ascii="Book Antiqua" w:eastAsia="DengXian" w:hAnsi="Book Antiqua" w:cs="Times New Roman"/>
          <w:kern w:val="2"/>
          <w:sz w:val="24"/>
          <w:szCs w:val="24"/>
          <w:lang w:eastAsia="zh-CN"/>
        </w:rPr>
        <w:t>Droz-Perroteau</w:t>
      </w:r>
      <w:proofErr w:type="spellEnd"/>
      <w:r w:rsidRPr="00691B3F">
        <w:rPr>
          <w:rFonts w:ascii="Book Antiqua" w:eastAsia="DengXian" w:hAnsi="Book Antiqua" w:cs="Times New Roman"/>
          <w:kern w:val="2"/>
          <w:sz w:val="24"/>
          <w:szCs w:val="24"/>
          <w:lang w:eastAsia="zh-CN"/>
        </w:rPr>
        <w:t xml:space="preserve"> C, </w:t>
      </w:r>
      <w:proofErr w:type="spellStart"/>
      <w:r w:rsidRPr="00691B3F">
        <w:rPr>
          <w:rFonts w:ascii="Book Antiqua" w:eastAsia="DengXian" w:hAnsi="Book Antiqua" w:cs="Times New Roman"/>
          <w:kern w:val="2"/>
          <w:sz w:val="24"/>
          <w:szCs w:val="24"/>
          <w:lang w:eastAsia="zh-CN"/>
        </w:rPr>
        <w:t>Blin</w:t>
      </w:r>
      <w:proofErr w:type="spellEnd"/>
      <w:r w:rsidRPr="00691B3F">
        <w:rPr>
          <w:rFonts w:ascii="Book Antiqua" w:eastAsia="DengXian" w:hAnsi="Book Antiqua" w:cs="Times New Roman"/>
          <w:kern w:val="2"/>
          <w:sz w:val="24"/>
          <w:szCs w:val="24"/>
          <w:lang w:eastAsia="zh-CN"/>
        </w:rPr>
        <w:t xml:space="preserve"> P, Moore N. Transplantation for acute liver failure in patients exposed to NSAIDs or </w:t>
      </w:r>
      <w:proofErr w:type="spellStart"/>
      <w:r w:rsidRPr="00691B3F">
        <w:rPr>
          <w:rFonts w:ascii="Book Antiqua" w:eastAsia="DengXian" w:hAnsi="Book Antiqua" w:cs="Times New Roman"/>
          <w:kern w:val="2"/>
          <w:sz w:val="24"/>
          <w:szCs w:val="24"/>
          <w:lang w:eastAsia="zh-CN"/>
        </w:rPr>
        <w:t>paracetamol</w:t>
      </w:r>
      <w:proofErr w:type="spellEnd"/>
      <w:r w:rsidRPr="00691B3F">
        <w:rPr>
          <w:rFonts w:ascii="Book Antiqua" w:eastAsia="DengXian" w:hAnsi="Book Antiqua" w:cs="Times New Roman"/>
          <w:kern w:val="2"/>
          <w:sz w:val="24"/>
          <w:szCs w:val="24"/>
          <w:lang w:eastAsia="zh-CN"/>
        </w:rPr>
        <w:t xml:space="preserve"> (acetaminophen): the multinational case-population SALT study. </w:t>
      </w:r>
      <w:r w:rsidRPr="00691B3F">
        <w:rPr>
          <w:rFonts w:ascii="Book Antiqua" w:eastAsia="DengXian" w:hAnsi="Book Antiqua" w:cs="Times New Roman"/>
          <w:i/>
          <w:kern w:val="2"/>
          <w:sz w:val="24"/>
          <w:szCs w:val="24"/>
          <w:lang w:eastAsia="zh-CN"/>
        </w:rPr>
        <w:t xml:space="preserve">Drug </w:t>
      </w:r>
      <w:proofErr w:type="spellStart"/>
      <w:r w:rsidRPr="00691B3F">
        <w:rPr>
          <w:rFonts w:ascii="Book Antiqua" w:eastAsia="DengXian" w:hAnsi="Book Antiqua" w:cs="Times New Roman"/>
          <w:i/>
          <w:kern w:val="2"/>
          <w:sz w:val="24"/>
          <w:szCs w:val="24"/>
          <w:lang w:eastAsia="zh-CN"/>
        </w:rPr>
        <w:t>Saf</w:t>
      </w:r>
      <w:proofErr w:type="spellEnd"/>
      <w:r w:rsidRPr="00691B3F">
        <w:rPr>
          <w:rFonts w:ascii="Book Antiqua" w:eastAsia="DengXian" w:hAnsi="Book Antiqua" w:cs="Times New Roman"/>
          <w:kern w:val="2"/>
          <w:sz w:val="24"/>
          <w:szCs w:val="24"/>
          <w:lang w:eastAsia="zh-CN"/>
        </w:rPr>
        <w:t xml:space="preserve"> 2013; </w:t>
      </w:r>
      <w:r w:rsidRPr="00691B3F">
        <w:rPr>
          <w:rFonts w:ascii="Book Antiqua" w:eastAsia="DengXian" w:hAnsi="Book Antiqua" w:cs="Times New Roman"/>
          <w:b/>
          <w:kern w:val="2"/>
          <w:sz w:val="24"/>
          <w:szCs w:val="24"/>
          <w:lang w:eastAsia="zh-CN"/>
        </w:rPr>
        <w:t>36</w:t>
      </w:r>
      <w:r w:rsidRPr="00691B3F">
        <w:rPr>
          <w:rFonts w:ascii="Book Antiqua" w:eastAsia="DengXian" w:hAnsi="Book Antiqua" w:cs="Times New Roman"/>
          <w:kern w:val="2"/>
          <w:sz w:val="24"/>
          <w:szCs w:val="24"/>
          <w:lang w:eastAsia="zh-CN"/>
        </w:rPr>
        <w:t>: 135-144 [PMID: 23325533 DOI: 10.1007/s40264-012-0013-7]</w:t>
      </w:r>
    </w:p>
    <w:p w14:paraId="0D35DD75"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87 </w:t>
      </w:r>
      <w:proofErr w:type="spellStart"/>
      <w:r w:rsidRPr="00691B3F">
        <w:rPr>
          <w:rFonts w:ascii="Book Antiqua" w:eastAsia="DengXian" w:hAnsi="Book Antiqua" w:cs="Times New Roman"/>
          <w:b/>
          <w:kern w:val="2"/>
          <w:sz w:val="24"/>
          <w:szCs w:val="24"/>
          <w:lang w:eastAsia="zh-CN"/>
        </w:rPr>
        <w:t>Gulmez</w:t>
      </w:r>
      <w:proofErr w:type="spellEnd"/>
      <w:r w:rsidRPr="00691B3F">
        <w:rPr>
          <w:rFonts w:ascii="Book Antiqua" w:eastAsia="DengXian" w:hAnsi="Book Antiqua" w:cs="Times New Roman"/>
          <w:b/>
          <w:kern w:val="2"/>
          <w:sz w:val="24"/>
          <w:szCs w:val="24"/>
          <w:lang w:eastAsia="zh-CN"/>
        </w:rPr>
        <w:t xml:space="preserve"> SE</w:t>
      </w:r>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kern w:val="2"/>
          <w:sz w:val="24"/>
          <w:szCs w:val="24"/>
          <w:lang w:eastAsia="zh-CN"/>
        </w:rPr>
        <w:t>Larrey</w:t>
      </w:r>
      <w:proofErr w:type="spellEnd"/>
      <w:r w:rsidRPr="00691B3F">
        <w:rPr>
          <w:rFonts w:ascii="Book Antiqua" w:eastAsia="DengXian" w:hAnsi="Book Antiqua" w:cs="Times New Roman"/>
          <w:kern w:val="2"/>
          <w:sz w:val="24"/>
          <w:szCs w:val="24"/>
          <w:lang w:eastAsia="zh-CN"/>
        </w:rPr>
        <w:t xml:space="preserve"> D, </w:t>
      </w:r>
      <w:proofErr w:type="spellStart"/>
      <w:r w:rsidRPr="00691B3F">
        <w:rPr>
          <w:rFonts w:ascii="Book Antiqua" w:eastAsia="DengXian" w:hAnsi="Book Antiqua" w:cs="Times New Roman"/>
          <w:kern w:val="2"/>
          <w:sz w:val="24"/>
          <w:szCs w:val="24"/>
          <w:lang w:eastAsia="zh-CN"/>
        </w:rPr>
        <w:t>Pageaux</w:t>
      </w:r>
      <w:proofErr w:type="spellEnd"/>
      <w:r w:rsidRPr="00691B3F">
        <w:rPr>
          <w:rFonts w:ascii="Book Antiqua" w:eastAsia="DengXian" w:hAnsi="Book Antiqua" w:cs="Times New Roman"/>
          <w:kern w:val="2"/>
          <w:sz w:val="24"/>
          <w:szCs w:val="24"/>
          <w:lang w:eastAsia="zh-CN"/>
        </w:rPr>
        <w:t xml:space="preserve"> GP, </w:t>
      </w:r>
      <w:proofErr w:type="spellStart"/>
      <w:r w:rsidRPr="00691B3F">
        <w:rPr>
          <w:rFonts w:ascii="Book Antiqua" w:eastAsia="DengXian" w:hAnsi="Book Antiqua" w:cs="Times New Roman"/>
          <w:kern w:val="2"/>
          <w:sz w:val="24"/>
          <w:szCs w:val="24"/>
          <w:lang w:eastAsia="zh-CN"/>
        </w:rPr>
        <w:t>Bernuau</w:t>
      </w:r>
      <w:proofErr w:type="spellEnd"/>
      <w:r w:rsidRPr="00691B3F">
        <w:rPr>
          <w:rFonts w:ascii="Book Antiqua" w:eastAsia="DengXian" w:hAnsi="Book Antiqua" w:cs="Times New Roman"/>
          <w:kern w:val="2"/>
          <w:sz w:val="24"/>
          <w:szCs w:val="24"/>
          <w:lang w:eastAsia="zh-CN"/>
        </w:rPr>
        <w:t xml:space="preserve"> J, </w:t>
      </w:r>
      <w:proofErr w:type="spellStart"/>
      <w:r w:rsidRPr="00691B3F">
        <w:rPr>
          <w:rFonts w:ascii="Book Antiqua" w:eastAsia="DengXian" w:hAnsi="Book Antiqua" w:cs="Times New Roman"/>
          <w:kern w:val="2"/>
          <w:sz w:val="24"/>
          <w:szCs w:val="24"/>
          <w:lang w:eastAsia="zh-CN"/>
        </w:rPr>
        <w:t>Bissoli</w:t>
      </w:r>
      <w:proofErr w:type="spellEnd"/>
      <w:r w:rsidRPr="00691B3F">
        <w:rPr>
          <w:rFonts w:ascii="Book Antiqua" w:eastAsia="DengXian" w:hAnsi="Book Antiqua" w:cs="Times New Roman"/>
          <w:kern w:val="2"/>
          <w:sz w:val="24"/>
          <w:szCs w:val="24"/>
          <w:lang w:eastAsia="zh-CN"/>
        </w:rPr>
        <w:t xml:space="preserve"> F, </w:t>
      </w:r>
      <w:proofErr w:type="spellStart"/>
      <w:r w:rsidRPr="00691B3F">
        <w:rPr>
          <w:rFonts w:ascii="Book Antiqua" w:eastAsia="DengXian" w:hAnsi="Book Antiqua" w:cs="Times New Roman"/>
          <w:kern w:val="2"/>
          <w:sz w:val="24"/>
          <w:szCs w:val="24"/>
          <w:lang w:eastAsia="zh-CN"/>
        </w:rPr>
        <w:t>Horsmans</w:t>
      </w:r>
      <w:proofErr w:type="spellEnd"/>
      <w:r w:rsidRPr="00691B3F">
        <w:rPr>
          <w:rFonts w:ascii="Book Antiqua" w:eastAsia="DengXian" w:hAnsi="Book Antiqua" w:cs="Times New Roman"/>
          <w:kern w:val="2"/>
          <w:sz w:val="24"/>
          <w:szCs w:val="24"/>
          <w:lang w:eastAsia="zh-CN"/>
        </w:rPr>
        <w:t xml:space="preserve"> Y, </w:t>
      </w:r>
      <w:proofErr w:type="spellStart"/>
      <w:r w:rsidRPr="00691B3F">
        <w:rPr>
          <w:rFonts w:ascii="Book Antiqua" w:eastAsia="DengXian" w:hAnsi="Book Antiqua" w:cs="Times New Roman"/>
          <w:kern w:val="2"/>
          <w:sz w:val="24"/>
          <w:szCs w:val="24"/>
          <w:lang w:eastAsia="zh-CN"/>
        </w:rPr>
        <w:t>Thorburn</w:t>
      </w:r>
      <w:proofErr w:type="spellEnd"/>
      <w:r w:rsidRPr="00691B3F">
        <w:rPr>
          <w:rFonts w:ascii="Book Antiqua" w:eastAsia="DengXian" w:hAnsi="Book Antiqua" w:cs="Times New Roman"/>
          <w:kern w:val="2"/>
          <w:sz w:val="24"/>
          <w:szCs w:val="24"/>
          <w:lang w:eastAsia="zh-CN"/>
        </w:rPr>
        <w:t xml:space="preserve"> D, McCormick PA, </w:t>
      </w:r>
      <w:proofErr w:type="spellStart"/>
      <w:r w:rsidRPr="00691B3F">
        <w:rPr>
          <w:rFonts w:ascii="Book Antiqua" w:eastAsia="DengXian" w:hAnsi="Book Antiqua" w:cs="Times New Roman"/>
          <w:kern w:val="2"/>
          <w:sz w:val="24"/>
          <w:szCs w:val="24"/>
          <w:lang w:eastAsia="zh-CN"/>
        </w:rPr>
        <w:t>Stricker</w:t>
      </w:r>
      <w:proofErr w:type="spellEnd"/>
      <w:r w:rsidRPr="00691B3F">
        <w:rPr>
          <w:rFonts w:ascii="Book Antiqua" w:eastAsia="DengXian" w:hAnsi="Book Antiqua" w:cs="Times New Roman"/>
          <w:kern w:val="2"/>
          <w:sz w:val="24"/>
          <w:szCs w:val="24"/>
          <w:lang w:eastAsia="zh-CN"/>
        </w:rPr>
        <w:t xml:space="preserve"> B, </w:t>
      </w:r>
      <w:proofErr w:type="spellStart"/>
      <w:r w:rsidRPr="00691B3F">
        <w:rPr>
          <w:rFonts w:ascii="Book Antiqua" w:eastAsia="DengXian" w:hAnsi="Book Antiqua" w:cs="Times New Roman"/>
          <w:kern w:val="2"/>
          <w:sz w:val="24"/>
          <w:szCs w:val="24"/>
          <w:lang w:eastAsia="zh-CN"/>
        </w:rPr>
        <w:t>Toussi</w:t>
      </w:r>
      <w:proofErr w:type="spellEnd"/>
      <w:r w:rsidRPr="00691B3F">
        <w:rPr>
          <w:rFonts w:ascii="Book Antiqua" w:eastAsia="DengXian" w:hAnsi="Book Antiqua" w:cs="Times New Roman"/>
          <w:kern w:val="2"/>
          <w:sz w:val="24"/>
          <w:szCs w:val="24"/>
          <w:lang w:eastAsia="zh-CN"/>
        </w:rPr>
        <w:t xml:space="preserve"> M, </w:t>
      </w:r>
      <w:proofErr w:type="spellStart"/>
      <w:r w:rsidRPr="00691B3F">
        <w:rPr>
          <w:rFonts w:ascii="Book Antiqua" w:eastAsia="DengXian" w:hAnsi="Book Antiqua" w:cs="Times New Roman"/>
          <w:kern w:val="2"/>
          <w:sz w:val="24"/>
          <w:szCs w:val="24"/>
          <w:lang w:eastAsia="zh-CN"/>
        </w:rPr>
        <w:t>Lignot-Maleyran</w:t>
      </w:r>
      <w:proofErr w:type="spellEnd"/>
      <w:r w:rsidRPr="00691B3F">
        <w:rPr>
          <w:rFonts w:ascii="Book Antiqua" w:eastAsia="DengXian" w:hAnsi="Book Antiqua" w:cs="Times New Roman"/>
          <w:kern w:val="2"/>
          <w:sz w:val="24"/>
          <w:szCs w:val="24"/>
          <w:lang w:eastAsia="zh-CN"/>
        </w:rPr>
        <w:t xml:space="preserve"> S, </w:t>
      </w:r>
      <w:proofErr w:type="spellStart"/>
      <w:r w:rsidRPr="00691B3F">
        <w:rPr>
          <w:rFonts w:ascii="Book Antiqua" w:eastAsia="DengXian" w:hAnsi="Book Antiqua" w:cs="Times New Roman"/>
          <w:kern w:val="2"/>
          <w:sz w:val="24"/>
          <w:szCs w:val="24"/>
          <w:lang w:eastAsia="zh-CN"/>
        </w:rPr>
        <w:t>Micon</w:t>
      </w:r>
      <w:proofErr w:type="spellEnd"/>
      <w:r w:rsidRPr="00691B3F">
        <w:rPr>
          <w:rFonts w:ascii="Book Antiqua" w:eastAsia="DengXian" w:hAnsi="Book Antiqua" w:cs="Times New Roman"/>
          <w:kern w:val="2"/>
          <w:sz w:val="24"/>
          <w:szCs w:val="24"/>
          <w:lang w:eastAsia="zh-CN"/>
        </w:rPr>
        <w:t xml:space="preserve"> S, </w:t>
      </w:r>
      <w:proofErr w:type="spellStart"/>
      <w:r w:rsidRPr="00691B3F">
        <w:rPr>
          <w:rFonts w:ascii="Book Antiqua" w:eastAsia="DengXian" w:hAnsi="Book Antiqua" w:cs="Times New Roman"/>
          <w:kern w:val="2"/>
          <w:sz w:val="24"/>
          <w:szCs w:val="24"/>
          <w:lang w:eastAsia="zh-CN"/>
        </w:rPr>
        <w:t>Hamoud</w:t>
      </w:r>
      <w:proofErr w:type="spellEnd"/>
      <w:r w:rsidRPr="00691B3F">
        <w:rPr>
          <w:rFonts w:ascii="Book Antiqua" w:eastAsia="DengXian" w:hAnsi="Book Antiqua" w:cs="Times New Roman"/>
          <w:kern w:val="2"/>
          <w:sz w:val="24"/>
          <w:szCs w:val="24"/>
          <w:lang w:eastAsia="zh-CN"/>
        </w:rPr>
        <w:t xml:space="preserve"> F, Lassalle R, </w:t>
      </w:r>
      <w:proofErr w:type="spellStart"/>
      <w:r w:rsidRPr="00691B3F">
        <w:rPr>
          <w:rFonts w:ascii="Book Antiqua" w:eastAsia="DengXian" w:hAnsi="Book Antiqua" w:cs="Times New Roman"/>
          <w:kern w:val="2"/>
          <w:sz w:val="24"/>
          <w:szCs w:val="24"/>
          <w:lang w:eastAsia="zh-CN"/>
        </w:rPr>
        <w:t>Jové</w:t>
      </w:r>
      <w:proofErr w:type="spellEnd"/>
      <w:r w:rsidRPr="00691B3F">
        <w:rPr>
          <w:rFonts w:ascii="Book Antiqua" w:eastAsia="DengXian" w:hAnsi="Book Antiqua" w:cs="Times New Roman"/>
          <w:kern w:val="2"/>
          <w:sz w:val="24"/>
          <w:szCs w:val="24"/>
          <w:lang w:eastAsia="zh-CN"/>
        </w:rPr>
        <w:t xml:space="preserve"> J, </w:t>
      </w:r>
      <w:proofErr w:type="spellStart"/>
      <w:r w:rsidRPr="00691B3F">
        <w:rPr>
          <w:rFonts w:ascii="Book Antiqua" w:eastAsia="DengXian" w:hAnsi="Book Antiqua" w:cs="Times New Roman"/>
          <w:kern w:val="2"/>
          <w:sz w:val="24"/>
          <w:szCs w:val="24"/>
          <w:lang w:eastAsia="zh-CN"/>
        </w:rPr>
        <w:t>Blin</w:t>
      </w:r>
      <w:proofErr w:type="spellEnd"/>
      <w:r w:rsidRPr="00691B3F">
        <w:rPr>
          <w:rFonts w:ascii="Book Antiqua" w:eastAsia="DengXian" w:hAnsi="Book Antiqua" w:cs="Times New Roman"/>
          <w:kern w:val="2"/>
          <w:sz w:val="24"/>
          <w:szCs w:val="24"/>
          <w:lang w:eastAsia="zh-CN"/>
        </w:rPr>
        <w:t xml:space="preserve"> P, Moore N. Liver transplant associated with </w:t>
      </w:r>
      <w:proofErr w:type="spellStart"/>
      <w:r w:rsidRPr="00691B3F">
        <w:rPr>
          <w:rFonts w:ascii="Book Antiqua" w:eastAsia="DengXian" w:hAnsi="Book Antiqua" w:cs="Times New Roman"/>
          <w:kern w:val="2"/>
          <w:sz w:val="24"/>
          <w:szCs w:val="24"/>
          <w:lang w:eastAsia="zh-CN"/>
        </w:rPr>
        <w:t>paracetamol</w:t>
      </w:r>
      <w:proofErr w:type="spellEnd"/>
      <w:r w:rsidRPr="00691B3F">
        <w:rPr>
          <w:rFonts w:ascii="Book Antiqua" w:eastAsia="DengXian" w:hAnsi="Book Antiqua" w:cs="Times New Roman"/>
          <w:kern w:val="2"/>
          <w:sz w:val="24"/>
          <w:szCs w:val="24"/>
          <w:lang w:eastAsia="zh-CN"/>
        </w:rPr>
        <w:t xml:space="preserve"> overdose: results from the seven-country SALT study. </w:t>
      </w:r>
      <w:r w:rsidRPr="00691B3F">
        <w:rPr>
          <w:rFonts w:ascii="Book Antiqua" w:eastAsia="DengXian" w:hAnsi="Book Antiqua" w:cs="Times New Roman"/>
          <w:i/>
          <w:kern w:val="2"/>
          <w:sz w:val="24"/>
          <w:szCs w:val="24"/>
          <w:lang w:eastAsia="zh-CN"/>
        </w:rPr>
        <w:t xml:space="preserve">Br J </w:t>
      </w:r>
      <w:proofErr w:type="spellStart"/>
      <w:r w:rsidRPr="00691B3F">
        <w:rPr>
          <w:rFonts w:ascii="Book Antiqua" w:eastAsia="DengXian" w:hAnsi="Book Antiqua" w:cs="Times New Roman"/>
          <w:i/>
          <w:kern w:val="2"/>
          <w:sz w:val="24"/>
          <w:szCs w:val="24"/>
          <w:lang w:eastAsia="zh-CN"/>
        </w:rPr>
        <w:t>Clin</w:t>
      </w:r>
      <w:proofErr w:type="spellEnd"/>
      <w:r w:rsidRPr="00691B3F">
        <w:rPr>
          <w:rFonts w:ascii="Book Antiqua" w:eastAsia="DengXian" w:hAnsi="Book Antiqua" w:cs="Times New Roman"/>
          <w:i/>
          <w:kern w:val="2"/>
          <w:sz w:val="24"/>
          <w:szCs w:val="24"/>
          <w:lang w:eastAsia="zh-CN"/>
        </w:rPr>
        <w:t xml:space="preserve"> </w:t>
      </w:r>
      <w:proofErr w:type="spellStart"/>
      <w:r w:rsidRPr="00691B3F">
        <w:rPr>
          <w:rFonts w:ascii="Book Antiqua" w:eastAsia="DengXian" w:hAnsi="Book Antiqua" w:cs="Times New Roman"/>
          <w:i/>
          <w:kern w:val="2"/>
          <w:sz w:val="24"/>
          <w:szCs w:val="24"/>
          <w:lang w:eastAsia="zh-CN"/>
        </w:rPr>
        <w:t>Pharmacol</w:t>
      </w:r>
      <w:proofErr w:type="spellEnd"/>
      <w:r w:rsidRPr="00691B3F">
        <w:rPr>
          <w:rFonts w:ascii="Book Antiqua" w:eastAsia="DengXian" w:hAnsi="Book Antiqua" w:cs="Times New Roman"/>
          <w:kern w:val="2"/>
          <w:sz w:val="24"/>
          <w:szCs w:val="24"/>
          <w:lang w:eastAsia="zh-CN"/>
        </w:rPr>
        <w:t xml:space="preserve"> 2015; </w:t>
      </w:r>
      <w:r w:rsidRPr="00691B3F">
        <w:rPr>
          <w:rFonts w:ascii="Book Antiqua" w:eastAsia="DengXian" w:hAnsi="Book Antiqua" w:cs="Times New Roman"/>
          <w:b/>
          <w:kern w:val="2"/>
          <w:sz w:val="24"/>
          <w:szCs w:val="24"/>
          <w:lang w:eastAsia="zh-CN"/>
        </w:rPr>
        <w:t>80</w:t>
      </w:r>
      <w:r w:rsidRPr="00691B3F">
        <w:rPr>
          <w:rFonts w:ascii="Book Antiqua" w:eastAsia="DengXian" w:hAnsi="Book Antiqua" w:cs="Times New Roman"/>
          <w:kern w:val="2"/>
          <w:sz w:val="24"/>
          <w:szCs w:val="24"/>
          <w:lang w:eastAsia="zh-CN"/>
        </w:rPr>
        <w:t>: 599-606 [PMID: 26017643 DOI: 10.1111/bcp.12635]</w:t>
      </w:r>
    </w:p>
    <w:p w14:paraId="667D902E"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88 </w:t>
      </w:r>
      <w:proofErr w:type="spellStart"/>
      <w:r w:rsidRPr="00691B3F">
        <w:rPr>
          <w:rFonts w:ascii="Book Antiqua" w:eastAsia="DengXian" w:hAnsi="Book Antiqua" w:cs="Times New Roman"/>
          <w:b/>
          <w:kern w:val="2"/>
          <w:sz w:val="24"/>
          <w:szCs w:val="24"/>
          <w:lang w:eastAsia="zh-CN"/>
        </w:rPr>
        <w:t>Gulmez</w:t>
      </w:r>
      <w:proofErr w:type="spellEnd"/>
      <w:r w:rsidRPr="00691B3F">
        <w:rPr>
          <w:rFonts w:ascii="Book Antiqua" w:eastAsia="DengXian" w:hAnsi="Book Antiqua" w:cs="Times New Roman"/>
          <w:b/>
          <w:kern w:val="2"/>
          <w:sz w:val="24"/>
          <w:szCs w:val="24"/>
          <w:lang w:eastAsia="zh-CN"/>
        </w:rPr>
        <w:t xml:space="preserve"> SE</w:t>
      </w:r>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kern w:val="2"/>
          <w:sz w:val="24"/>
          <w:szCs w:val="24"/>
          <w:lang w:eastAsia="zh-CN"/>
        </w:rPr>
        <w:t>Unal</w:t>
      </w:r>
      <w:proofErr w:type="spellEnd"/>
      <w:r w:rsidRPr="00691B3F">
        <w:rPr>
          <w:rFonts w:ascii="Book Antiqua" w:eastAsia="DengXian" w:hAnsi="Book Antiqua" w:cs="Times New Roman"/>
          <w:kern w:val="2"/>
          <w:sz w:val="24"/>
          <w:szCs w:val="24"/>
          <w:lang w:eastAsia="zh-CN"/>
        </w:rPr>
        <w:t xml:space="preserve"> US, Lassalle R, </w:t>
      </w:r>
      <w:proofErr w:type="spellStart"/>
      <w:r w:rsidRPr="00691B3F">
        <w:rPr>
          <w:rFonts w:ascii="Book Antiqua" w:eastAsia="DengXian" w:hAnsi="Book Antiqua" w:cs="Times New Roman"/>
          <w:kern w:val="2"/>
          <w:sz w:val="24"/>
          <w:szCs w:val="24"/>
          <w:lang w:eastAsia="zh-CN"/>
        </w:rPr>
        <w:t>Chartier</w:t>
      </w:r>
      <w:proofErr w:type="spellEnd"/>
      <w:r w:rsidRPr="00691B3F">
        <w:rPr>
          <w:rFonts w:ascii="Book Antiqua" w:eastAsia="DengXian" w:hAnsi="Book Antiqua" w:cs="Times New Roman"/>
          <w:kern w:val="2"/>
          <w:sz w:val="24"/>
          <w:szCs w:val="24"/>
          <w:lang w:eastAsia="zh-CN"/>
        </w:rPr>
        <w:t xml:space="preserve"> A, </w:t>
      </w:r>
      <w:proofErr w:type="spellStart"/>
      <w:r w:rsidRPr="00691B3F">
        <w:rPr>
          <w:rFonts w:ascii="Book Antiqua" w:eastAsia="DengXian" w:hAnsi="Book Antiqua" w:cs="Times New Roman"/>
          <w:kern w:val="2"/>
          <w:sz w:val="24"/>
          <w:szCs w:val="24"/>
          <w:lang w:eastAsia="zh-CN"/>
        </w:rPr>
        <w:t>Grolleau</w:t>
      </w:r>
      <w:proofErr w:type="spellEnd"/>
      <w:r w:rsidRPr="00691B3F">
        <w:rPr>
          <w:rFonts w:ascii="Book Antiqua" w:eastAsia="DengXian" w:hAnsi="Book Antiqua" w:cs="Times New Roman"/>
          <w:kern w:val="2"/>
          <w:sz w:val="24"/>
          <w:szCs w:val="24"/>
          <w:lang w:eastAsia="zh-CN"/>
        </w:rPr>
        <w:t xml:space="preserve"> A, Moore N. Risk of hospital admission for liver injury in users of NSAIDs and </w:t>
      </w:r>
      <w:proofErr w:type="spellStart"/>
      <w:r w:rsidRPr="00691B3F">
        <w:rPr>
          <w:rFonts w:ascii="Book Antiqua" w:eastAsia="DengXian" w:hAnsi="Book Antiqua" w:cs="Times New Roman"/>
          <w:kern w:val="2"/>
          <w:sz w:val="24"/>
          <w:szCs w:val="24"/>
          <w:lang w:eastAsia="zh-CN"/>
        </w:rPr>
        <w:t>nonoverdose</w:t>
      </w:r>
      <w:proofErr w:type="spellEnd"/>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kern w:val="2"/>
          <w:sz w:val="24"/>
          <w:szCs w:val="24"/>
          <w:lang w:eastAsia="zh-CN"/>
        </w:rPr>
        <w:t>paracetamol</w:t>
      </w:r>
      <w:proofErr w:type="spellEnd"/>
      <w:r w:rsidRPr="00691B3F">
        <w:rPr>
          <w:rFonts w:ascii="Book Antiqua" w:eastAsia="DengXian" w:hAnsi="Book Antiqua" w:cs="Times New Roman"/>
          <w:kern w:val="2"/>
          <w:sz w:val="24"/>
          <w:szCs w:val="24"/>
          <w:lang w:eastAsia="zh-CN"/>
        </w:rPr>
        <w:t xml:space="preserve">: Preliminary results from the EPIHAM study. </w:t>
      </w:r>
      <w:proofErr w:type="spellStart"/>
      <w:r w:rsidRPr="00691B3F">
        <w:rPr>
          <w:rFonts w:ascii="Book Antiqua" w:eastAsia="DengXian" w:hAnsi="Book Antiqua" w:cs="Times New Roman"/>
          <w:i/>
          <w:kern w:val="2"/>
          <w:sz w:val="24"/>
          <w:szCs w:val="24"/>
          <w:lang w:eastAsia="zh-CN"/>
        </w:rPr>
        <w:t>Pharmacoepidemiol</w:t>
      </w:r>
      <w:proofErr w:type="spellEnd"/>
      <w:r w:rsidRPr="00691B3F">
        <w:rPr>
          <w:rFonts w:ascii="Book Antiqua" w:eastAsia="DengXian" w:hAnsi="Book Antiqua" w:cs="Times New Roman"/>
          <w:i/>
          <w:kern w:val="2"/>
          <w:sz w:val="24"/>
          <w:szCs w:val="24"/>
          <w:lang w:eastAsia="zh-CN"/>
        </w:rPr>
        <w:t xml:space="preserve"> Drug </w:t>
      </w:r>
      <w:proofErr w:type="spellStart"/>
      <w:r w:rsidRPr="00691B3F">
        <w:rPr>
          <w:rFonts w:ascii="Book Antiqua" w:eastAsia="DengXian" w:hAnsi="Book Antiqua" w:cs="Times New Roman"/>
          <w:i/>
          <w:kern w:val="2"/>
          <w:sz w:val="24"/>
          <w:szCs w:val="24"/>
          <w:lang w:eastAsia="zh-CN"/>
        </w:rPr>
        <w:t>Saf</w:t>
      </w:r>
      <w:proofErr w:type="spellEnd"/>
      <w:r w:rsidRPr="00691B3F">
        <w:rPr>
          <w:rFonts w:ascii="Book Antiqua" w:eastAsia="DengXian" w:hAnsi="Book Antiqua" w:cs="Times New Roman"/>
          <w:kern w:val="2"/>
          <w:sz w:val="24"/>
          <w:szCs w:val="24"/>
          <w:lang w:eastAsia="zh-CN"/>
        </w:rPr>
        <w:t xml:space="preserve"> 2018; </w:t>
      </w:r>
      <w:r w:rsidRPr="00691B3F">
        <w:rPr>
          <w:rFonts w:ascii="Book Antiqua" w:eastAsia="DengXian" w:hAnsi="Book Antiqua" w:cs="Times New Roman"/>
          <w:b/>
          <w:kern w:val="2"/>
          <w:sz w:val="24"/>
          <w:szCs w:val="24"/>
          <w:lang w:eastAsia="zh-CN"/>
        </w:rPr>
        <w:t>27</w:t>
      </w:r>
      <w:r w:rsidRPr="00691B3F">
        <w:rPr>
          <w:rFonts w:ascii="Book Antiqua" w:eastAsia="DengXian" w:hAnsi="Book Antiqua" w:cs="Times New Roman"/>
          <w:kern w:val="2"/>
          <w:sz w:val="24"/>
          <w:szCs w:val="24"/>
          <w:lang w:eastAsia="zh-CN"/>
        </w:rPr>
        <w:t>: 1174-</w:t>
      </w:r>
      <w:r w:rsidRPr="00691B3F">
        <w:rPr>
          <w:rFonts w:ascii="Book Antiqua" w:eastAsia="DengXian" w:hAnsi="Book Antiqua" w:cs="Times New Roman"/>
          <w:kern w:val="2"/>
          <w:sz w:val="24"/>
          <w:szCs w:val="24"/>
          <w:lang w:eastAsia="zh-CN"/>
        </w:rPr>
        <w:lastRenderedPageBreak/>
        <w:t>1181 [PMID: 30112779 DOI: 10.1002/pds.4640]</w:t>
      </w:r>
    </w:p>
    <w:p w14:paraId="7A111F85"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89 </w:t>
      </w:r>
      <w:r w:rsidRPr="00691B3F">
        <w:rPr>
          <w:rFonts w:ascii="Book Antiqua" w:eastAsia="DengXian" w:hAnsi="Book Antiqua" w:cs="Times New Roman"/>
          <w:b/>
          <w:kern w:val="2"/>
          <w:sz w:val="24"/>
          <w:szCs w:val="24"/>
          <w:lang w:eastAsia="zh-CN"/>
        </w:rPr>
        <w:t>Cooper SC</w:t>
      </w:r>
      <w:r w:rsidRPr="00691B3F">
        <w:rPr>
          <w:rFonts w:ascii="Book Antiqua" w:eastAsia="DengXian" w:hAnsi="Book Antiqua" w:cs="Times New Roman"/>
          <w:kern w:val="2"/>
          <w:sz w:val="24"/>
          <w:szCs w:val="24"/>
          <w:lang w:eastAsia="zh-CN"/>
        </w:rPr>
        <w:t xml:space="preserve">, Aldridge RC, Shah T, Webb K, Nightingale P, Paris S, </w:t>
      </w:r>
      <w:proofErr w:type="spellStart"/>
      <w:r w:rsidRPr="00691B3F">
        <w:rPr>
          <w:rFonts w:ascii="Book Antiqua" w:eastAsia="DengXian" w:hAnsi="Book Antiqua" w:cs="Times New Roman"/>
          <w:kern w:val="2"/>
          <w:sz w:val="24"/>
          <w:szCs w:val="24"/>
          <w:lang w:eastAsia="zh-CN"/>
        </w:rPr>
        <w:t>Gunson</w:t>
      </w:r>
      <w:proofErr w:type="spellEnd"/>
      <w:r w:rsidRPr="00691B3F">
        <w:rPr>
          <w:rFonts w:ascii="Book Antiqua" w:eastAsia="DengXian" w:hAnsi="Book Antiqua" w:cs="Times New Roman"/>
          <w:kern w:val="2"/>
          <w:sz w:val="24"/>
          <w:szCs w:val="24"/>
          <w:lang w:eastAsia="zh-CN"/>
        </w:rPr>
        <w:t xml:space="preserve"> BK, </w:t>
      </w:r>
      <w:proofErr w:type="spellStart"/>
      <w:r w:rsidRPr="00691B3F">
        <w:rPr>
          <w:rFonts w:ascii="Book Antiqua" w:eastAsia="DengXian" w:hAnsi="Book Antiqua" w:cs="Times New Roman"/>
          <w:kern w:val="2"/>
          <w:sz w:val="24"/>
          <w:szCs w:val="24"/>
          <w:lang w:eastAsia="zh-CN"/>
        </w:rPr>
        <w:t>Mutimer</w:t>
      </w:r>
      <w:proofErr w:type="spellEnd"/>
      <w:r w:rsidRPr="00691B3F">
        <w:rPr>
          <w:rFonts w:ascii="Book Antiqua" w:eastAsia="DengXian" w:hAnsi="Book Antiqua" w:cs="Times New Roman"/>
          <w:kern w:val="2"/>
          <w:sz w:val="24"/>
          <w:szCs w:val="24"/>
          <w:lang w:eastAsia="zh-CN"/>
        </w:rPr>
        <w:t xml:space="preserve"> DJ, Neuberger JM. Outcomes of liver transplantation for </w:t>
      </w:r>
      <w:proofErr w:type="spellStart"/>
      <w:r w:rsidRPr="00691B3F">
        <w:rPr>
          <w:rFonts w:ascii="Book Antiqua" w:eastAsia="DengXian" w:hAnsi="Book Antiqua" w:cs="Times New Roman"/>
          <w:kern w:val="2"/>
          <w:sz w:val="24"/>
          <w:szCs w:val="24"/>
          <w:lang w:eastAsia="zh-CN"/>
        </w:rPr>
        <w:t>paracetamol</w:t>
      </w:r>
      <w:proofErr w:type="spellEnd"/>
      <w:r w:rsidRPr="00691B3F">
        <w:rPr>
          <w:rFonts w:ascii="Book Antiqua" w:eastAsia="DengXian" w:hAnsi="Book Antiqua" w:cs="Times New Roman"/>
          <w:kern w:val="2"/>
          <w:sz w:val="24"/>
          <w:szCs w:val="24"/>
          <w:lang w:eastAsia="zh-CN"/>
        </w:rPr>
        <w:t xml:space="preserve"> (acetaminophen)-induced hepatic failure. </w:t>
      </w:r>
      <w:r w:rsidRPr="00691B3F">
        <w:rPr>
          <w:rFonts w:ascii="Book Antiqua" w:eastAsia="DengXian" w:hAnsi="Book Antiqua" w:cs="Times New Roman"/>
          <w:i/>
          <w:kern w:val="2"/>
          <w:sz w:val="24"/>
          <w:szCs w:val="24"/>
          <w:lang w:eastAsia="zh-CN"/>
        </w:rPr>
        <w:t xml:space="preserve">Liver </w:t>
      </w:r>
      <w:proofErr w:type="spellStart"/>
      <w:r w:rsidRPr="00691B3F">
        <w:rPr>
          <w:rFonts w:ascii="Book Antiqua" w:eastAsia="DengXian" w:hAnsi="Book Antiqua" w:cs="Times New Roman"/>
          <w:i/>
          <w:kern w:val="2"/>
          <w:sz w:val="24"/>
          <w:szCs w:val="24"/>
          <w:lang w:eastAsia="zh-CN"/>
        </w:rPr>
        <w:t>Transpl</w:t>
      </w:r>
      <w:proofErr w:type="spellEnd"/>
      <w:r w:rsidRPr="00691B3F">
        <w:rPr>
          <w:rFonts w:ascii="Book Antiqua" w:eastAsia="DengXian" w:hAnsi="Book Antiqua" w:cs="Times New Roman"/>
          <w:kern w:val="2"/>
          <w:sz w:val="24"/>
          <w:szCs w:val="24"/>
          <w:lang w:eastAsia="zh-CN"/>
        </w:rPr>
        <w:t xml:space="preserve"> 2009; </w:t>
      </w:r>
      <w:r w:rsidRPr="00691B3F">
        <w:rPr>
          <w:rFonts w:ascii="Book Antiqua" w:eastAsia="DengXian" w:hAnsi="Book Antiqua" w:cs="Times New Roman"/>
          <w:b/>
          <w:kern w:val="2"/>
          <w:sz w:val="24"/>
          <w:szCs w:val="24"/>
          <w:lang w:eastAsia="zh-CN"/>
        </w:rPr>
        <w:t>15</w:t>
      </w:r>
      <w:r w:rsidRPr="00691B3F">
        <w:rPr>
          <w:rFonts w:ascii="Book Antiqua" w:eastAsia="DengXian" w:hAnsi="Book Antiqua" w:cs="Times New Roman"/>
          <w:kern w:val="2"/>
          <w:sz w:val="24"/>
          <w:szCs w:val="24"/>
          <w:lang w:eastAsia="zh-CN"/>
        </w:rPr>
        <w:t>: 1351-1357 [PMID: 19790165 DOI: 10.1002/lt.21799]</w:t>
      </w:r>
    </w:p>
    <w:p w14:paraId="7DF31B90"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90 </w:t>
      </w:r>
      <w:r w:rsidRPr="00691B3F">
        <w:rPr>
          <w:rFonts w:ascii="Book Antiqua" w:eastAsia="DengXian" w:hAnsi="Book Antiqua" w:cs="Times New Roman"/>
          <w:b/>
          <w:kern w:val="2"/>
          <w:sz w:val="24"/>
          <w:szCs w:val="24"/>
          <w:lang w:eastAsia="zh-CN"/>
        </w:rPr>
        <w:t>Larson AM</w:t>
      </w:r>
      <w:r w:rsidRPr="00691B3F">
        <w:rPr>
          <w:rFonts w:ascii="Book Antiqua" w:eastAsia="DengXian" w:hAnsi="Book Antiqua" w:cs="Times New Roman"/>
          <w:kern w:val="2"/>
          <w:sz w:val="24"/>
          <w:szCs w:val="24"/>
          <w:lang w:eastAsia="zh-CN"/>
        </w:rPr>
        <w:t xml:space="preserve">, Polson J, Fontana RJ, </w:t>
      </w:r>
      <w:proofErr w:type="spellStart"/>
      <w:r w:rsidRPr="00691B3F">
        <w:rPr>
          <w:rFonts w:ascii="Book Antiqua" w:eastAsia="DengXian" w:hAnsi="Book Antiqua" w:cs="Times New Roman"/>
          <w:kern w:val="2"/>
          <w:sz w:val="24"/>
          <w:szCs w:val="24"/>
          <w:lang w:eastAsia="zh-CN"/>
        </w:rPr>
        <w:t>Davern</w:t>
      </w:r>
      <w:proofErr w:type="spellEnd"/>
      <w:r w:rsidRPr="00691B3F">
        <w:rPr>
          <w:rFonts w:ascii="Book Antiqua" w:eastAsia="DengXian" w:hAnsi="Book Antiqua" w:cs="Times New Roman"/>
          <w:kern w:val="2"/>
          <w:sz w:val="24"/>
          <w:szCs w:val="24"/>
          <w:lang w:eastAsia="zh-CN"/>
        </w:rPr>
        <w:t xml:space="preserve"> TJ, </w:t>
      </w:r>
      <w:proofErr w:type="spellStart"/>
      <w:r w:rsidRPr="00691B3F">
        <w:rPr>
          <w:rFonts w:ascii="Book Antiqua" w:eastAsia="DengXian" w:hAnsi="Book Antiqua" w:cs="Times New Roman"/>
          <w:kern w:val="2"/>
          <w:sz w:val="24"/>
          <w:szCs w:val="24"/>
          <w:lang w:eastAsia="zh-CN"/>
        </w:rPr>
        <w:t>Lalani</w:t>
      </w:r>
      <w:proofErr w:type="spellEnd"/>
      <w:r w:rsidRPr="00691B3F">
        <w:rPr>
          <w:rFonts w:ascii="Book Antiqua" w:eastAsia="DengXian" w:hAnsi="Book Antiqua" w:cs="Times New Roman"/>
          <w:kern w:val="2"/>
          <w:sz w:val="24"/>
          <w:szCs w:val="24"/>
          <w:lang w:eastAsia="zh-CN"/>
        </w:rPr>
        <w:t xml:space="preserve"> E, </w:t>
      </w:r>
      <w:proofErr w:type="spellStart"/>
      <w:r w:rsidRPr="00691B3F">
        <w:rPr>
          <w:rFonts w:ascii="Book Antiqua" w:eastAsia="DengXian" w:hAnsi="Book Antiqua" w:cs="Times New Roman"/>
          <w:kern w:val="2"/>
          <w:sz w:val="24"/>
          <w:szCs w:val="24"/>
          <w:lang w:eastAsia="zh-CN"/>
        </w:rPr>
        <w:t>Hynan</w:t>
      </w:r>
      <w:proofErr w:type="spellEnd"/>
      <w:r w:rsidRPr="00691B3F">
        <w:rPr>
          <w:rFonts w:ascii="Book Antiqua" w:eastAsia="DengXian" w:hAnsi="Book Antiqua" w:cs="Times New Roman"/>
          <w:kern w:val="2"/>
          <w:sz w:val="24"/>
          <w:szCs w:val="24"/>
          <w:lang w:eastAsia="zh-CN"/>
        </w:rPr>
        <w:t xml:space="preserve"> LS, </w:t>
      </w:r>
      <w:proofErr w:type="spellStart"/>
      <w:r w:rsidRPr="00691B3F">
        <w:rPr>
          <w:rFonts w:ascii="Book Antiqua" w:eastAsia="DengXian" w:hAnsi="Book Antiqua" w:cs="Times New Roman"/>
          <w:kern w:val="2"/>
          <w:sz w:val="24"/>
          <w:szCs w:val="24"/>
          <w:lang w:eastAsia="zh-CN"/>
        </w:rPr>
        <w:t>Reisch</w:t>
      </w:r>
      <w:proofErr w:type="spellEnd"/>
      <w:r w:rsidRPr="00691B3F">
        <w:rPr>
          <w:rFonts w:ascii="Book Antiqua" w:eastAsia="DengXian" w:hAnsi="Book Antiqua" w:cs="Times New Roman"/>
          <w:kern w:val="2"/>
          <w:sz w:val="24"/>
          <w:szCs w:val="24"/>
          <w:lang w:eastAsia="zh-CN"/>
        </w:rPr>
        <w:t xml:space="preserve"> JS, </w:t>
      </w:r>
      <w:proofErr w:type="spellStart"/>
      <w:r w:rsidRPr="00691B3F">
        <w:rPr>
          <w:rFonts w:ascii="Book Antiqua" w:eastAsia="DengXian" w:hAnsi="Book Antiqua" w:cs="Times New Roman"/>
          <w:kern w:val="2"/>
          <w:sz w:val="24"/>
          <w:szCs w:val="24"/>
          <w:lang w:eastAsia="zh-CN"/>
        </w:rPr>
        <w:t>Schiødt</w:t>
      </w:r>
      <w:proofErr w:type="spellEnd"/>
      <w:r w:rsidRPr="00691B3F">
        <w:rPr>
          <w:rFonts w:ascii="Book Antiqua" w:eastAsia="DengXian" w:hAnsi="Book Antiqua" w:cs="Times New Roman"/>
          <w:kern w:val="2"/>
          <w:sz w:val="24"/>
          <w:szCs w:val="24"/>
          <w:lang w:eastAsia="zh-CN"/>
        </w:rPr>
        <w:t xml:space="preserve"> FV, </w:t>
      </w:r>
      <w:proofErr w:type="spellStart"/>
      <w:r w:rsidRPr="00691B3F">
        <w:rPr>
          <w:rFonts w:ascii="Book Antiqua" w:eastAsia="DengXian" w:hAnsi="Book Antiqua" w:cs="Times New Roman"/>
          <w:kern w:val="2"/>
          <w:sz w:val="24"/>
          <w:szCs w:val="24"/>
          <w:lang w:eastAsia="zh-CN"/>
        </w:rPr>
        <w:t>Ostapowicz</w:t>
      </w:r>
      <w:proofErr w:type="spellEnd"/>
      <w:r w:rsidRPr="00691B3F">
        <w:rPr>
          <w:rFonts w:ascii="Book Antiqua" w:eastAsia="DengXian" w:hAnsi="Book Antiqua" w:cs="Times New Roman"/>
          <w:kern w:val="2"/>
          <w:sz w:val="24"/>
          <w:szCs w:val="24"/>
          <w:lang w:eastAsia="zh-CN"/>
        </w:rPr>
        <w:t xml:space="preserve"> G, </w:t>
      </w:r>
      <w:proofErr w:type="spellStart"/>
      <w:r w:rsidRPr="00691B3F">
        <w:rPr>
          <w:rFonts w:ascii="Book Antiqua" w:eastAsia="DengXian" w:hAnsi="Book Antiqua" w:cs="Times New Roman"/>
          <w:kern w:val="2"/>
          <w:sz w:val="24"/>
          <w:szCs w:val="24"/>
          <w:lang w:eastAsia="zh-CN"/>
        </w:rPr>
        <w:t>Shakil</w:t>
      </w:r>
      <w:proofErr w:type="spellEnd"/>
      <w:r w:rsidRPr="00691B3F">
        <w:rPr>
          <w:rFonts w:ascii="Book Antiqua" w:eastAsia="DengXian" w:hAnsi="Book Antiqua" w:cs="Times New Roman"/>
          <w:kern w:val="2"/>
          <w:sz w:val="24"/>
          <w:szCs w:val="24"/>
          <w:lang w:eastAsia="zh-CN"/>
        </w:rPr>
        <w:t xml:space="preserve"> AO, Lee WM; Acute Liver Failure Study Group. Acetaminophen-induced acute liver failure: results of a United States multicenter, prospective study. </w:t>
      </w:r>
      <w:proofErr w:type="spellStart"/>
      <w:r w:rsidRPr="00691B3F">
        <w:rPr>
          <w:rFonts w:ascii="Book Antiqua" w:eastAsia="DengXian" w:hAnsi="Book Antiqua" w:cs="Times New Roman"/>
          <w:i/>
          <w:kern w:val="2"/>
          <w:sz w:val="24"/>
          <w:szCs w:val="24"/>
          <w:lang w:eastAsia="zh-CN"/>
        </w:rPr>
        <w:t>Hepatology</w:t>
      </w:r>
      <w:proofErr w:type="spellEnd"/>
      <w:r w:rsidRPr="00691B3F">
        <w:rPr>
          <w:rFonts w:ascii="Book Antiqua" w:eastAsia="DengXian" w:hAnsi="Book Antiqua" w:cs="Times New Roman"/>
          <w:kern w:val="2"/>
          <w:sz w:val="24"/>
          <w:szCs w:val="24"/>
          <w:lang w:eastAsia="zh-CN"/>
        </w:rPr>
        <w:t xml:space="preserve"> 2005; </w:t>
      </w:r>
      <w:r w:rsidRPr="00691B3F">
        <w:rPr>
          <w:rFonts w:ascii="Book Antiqua" w:eastAsia="DengXian" w:hAnsi="Book Antiqua" w:cs="Times New Roman"/>
          <w:b/>
          <w:kern w:val="2"/>
          <w:sz w:val="24"/>
          <w:szCs w:val="24"/>
          <w:lang w:eastAsia="zh-CN"/>
        </w:rPr>
        <w:t>42</w:t>
      </w:r>
      <w:r w:rsidRPr="00691B3F">
        <w:rPr>
          <w:rFonts w:ascii="Book Antiqua" w:eastAsia="DengXian" w:hAnsi="Book Antiqua" w:cs="Times New Roman"/>
          <w:kern w:val="2"/>
          <w:sz w:val="24"/>
          <w:szCs w:val="24"/>
          <w:lang w:eastAsia="zh-CN"/>
        </w:rPr>
        <w:t>: 1364-1372 [PMID: 16317692 DOI: 10.1002/hep.20948]</w:t>
      </w:r>
    </w:p>
    <w:p w14:paraId="72755307" w14:textId="77777777" w:rsidR="003D21C9" w:rsidRPr="00691B3F"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691B3F">
        <w:rPr>
          <w:rFonts w:ascii="Book Antiqua" w:eastAsia="DengXian" w:hAnsi="Book Antiqua" w:cs="Times New Roman"/>
          <w:kern w:val="2"/>
          <w:sz w:val="24"/>
          <w:szCs w:val="24"/>
          <w:lang w:eastAsia="zh-CN"/>
        </w:rPr>
        <w:t xml:space="preserve">91 </w:t>
      </w:r>
      <w:r w:rsidRPr="00691B3F">
        <w:rPr>
          <w:rFonts w:ascii="Book Antiqua" w:eastAsia="DengXian" w:hAnsi="Book Antiqua" w:cs="Times New Roman"/>
          <w:b/>
          <w:kern w:val="2"/>
          <w:sz w:val="24"/>
          <w:szCs w:val="24"/>
          <w:lang w:eastAsia="zh-CN"/>
        </w:rPr>
        <w:t>Larson AM</w:t>
      </w:r>
      <w:r w:rsidRPr="00691B3F">
        <w:rPr>
          <w:rFonts w:ascii="Book Antiqua" w:eastAsia="DengXian" w:hAnsi="Book Antiqua" w:cs="Times New Roman"/>
          <w:kern w:val="2"/>
          <w:sz w:val="24"/>
          <w:szCs w:val="24"/>
          <w:lang w:eastAsia="zh-CN"/>
        </w:rPr>
        <w:t xml:space="preserve">. </w:t>
      </w:r>
      <w:proofErr w:type="gramStart"/>
      <w:r w:rsidRPr="00691B3F">
        <w:rPr>
          <w:rFonts w:ascii="Book Antiqua" w:eastAsia="DengXian" w:hAnsi="Book Antiqua" w:cs="Times New Roman"/>
          <w:kern w:val="2"/>
          <w:sz w:val="24"/>
          <w:szCs w:val="24"/>
          <w:lang w:eastAsia="zh-CN"/>
        </w:rPr>
        <w:t>Acetaminophen hepatotoxicity.</w:t>
      </w:r>
      <w:proofErr w:type="gramEnd"/>
      <w:r w:rsidRPr="00691B3F">
        <w:rPr>
          <w:rFonts w:ascii="Book Antiqua" w:eastAsia="DengXian" w:hAnsi="Book Antiqua" w:cs="Times New Roman"/>
          <w:kern w:val="2"/>
          <w:sz w:val="24"/>
          <w:szCs w:val="24"/>
          <w:lang w:eastAsia="zh-CN"/>
        </w:rPr>
        <w:t xml:space="preserve"> </w:t>
      </w:r>
      <w:proofErr w:type="spellStart"/>
      <w:r w:rsidRPr="00691B3F">
        <w:rPr>
          <w:rFonts w:ascii="Book Antiqua" w:eastAsia="DengXian" w:hAnsi="Book Antiqua" w:cs="Times New Roman"/>
          <w:i/>
          <w:kern w:val="2"/>
          <w:sz w:val="24"/>
          <w:szCs w:val="24"/>
          <w:lang w:eastAsia="zh-CN"/>
        </w:rPr>
        <w:t>Clin</w:t>
      </w:r>
      <w:proofErr w:type="spellEnd"/>
      <w:r w:rsidRPr="00691B3F">
        <w:rPr>
          <w:rFonts w:ascii="Book Antiqua" w:eastAsia="DengXian" w:hAnsi="Book Antiqua" w:cs="Times New Roman"/>
          <w:i/>
          <w:kern w:val="2"/>
          <w:sz w:val="24"/>
          <w:szCs w:val="24"/>
          <w:lang w:eastAsia="zh-CN"/>
        </w:rPr>
        <w:t xml:space="preserve"> Liver Dis</w:t>
      </w:r>
      <w:r w:rsidRPr="00691B3F">
        <w:rPr>
          <w:rFonts w:ascii="Book Antiqua" w:eastAsia="DengXian" w:hAnsi="Book Antiqua" w:cs="Times New Roman"/>
          <w:kern w:val="2"/>
          <w:sz w:val="24"/>
          <w:szCs w:val="24"/>
          <w:lang w:eastAsia="zh-CN"/>
        </w:rPr>
        <w:t xml:space="preserve"> 2007; </w:t>
      </w:r>
      <w:r w:rsidRPr="00691B3F">
        <w:rPr>
          <w:rFonts w:ascii="Book Antiqua" w:eastAsia="DengXian" w:hAnsi="Book Antiqua" w:cs="Times New Roman"/>
          <w:b/>
          <w:kern w:val="2"/>
          <w:sz w:val="24"/>
          <w:szCs w:val="24"/>
          <w:lang w:eastAsia="zh-CN"/>
        </w:rPr>
        <w:t>11</w:t>
      </w:r>
      <w:r w:rsidRPr="00691B3F">
        <w:rPr>
          <w:rFonts w:ascii="Book Antiqua" w:eastAsia="DengXian" w:hAnsi="Book Antiqua" w:cs="Times New Roman"/>
          <w:kern w:val="2"/>
          <w:sz w:val="24"/>
          <w:szCs w:val="24"/>
          <w:lang w:eastAsia="zh-CN"/>
        </w:rPr>
        <w:t xml:space="preserve">: 525-548, </w:t>
      </w:r>
      <w:proofErr w:type="gramStart"/>
      <w:r w:rsidRPr="00691B3F">
        <w:rPr>
          <w:rFonts w:ascii="Book Antiqua" w:eastAsia="DengXian" w:hAnsi="Book Antiqua" w:cs="Times New Roman"/>
          <w:kern w:val="2"/>
          <w:sz w:val="24"/>
          <w:szCs w:val="24"/>
          <w:lang w:eastAsia="zh-CN"/>
        </w:rPr>
        <w:t>vi</w:t>
      </w:r>
      <w:proofErr w:type="gramEnd"/>
      <w:r w:rsidRPr="00691B3F">
        <w:rPr>
          <w:rFonts w:ascii="Book Antiqua" w:eastAsia="DengXian" w:hAnsi="Book Antiqua" w:cs="Times New Roman"/>
          <w:kern w:val="2"/>
          <w:sz w:val="24"/>
          <w:szCs w:val="24"/>
          <w:lang w:eastAsia="zh-CN"/>
        </w:rPr>
        <w:t xml:space="preserve"> [PMID: 17723918 DOI: 10.1016/j.cld.2007.06.006]</w:t>
      </w:r>
    </w:p>
    <w:p w14:paraId="02E76E1C" w14:textId="77777777" w:rsidR="003D21C9" w:rsidRPr="00691B3F" w:rsidRDefault="003D21C9" w:rsidP="00367FE4">
      <w:pPr>
        <w:spacing w:after="0" w:line="360" w:lineRule="auto"/>
        <w:rPr>
          <w:rFonts w:ascii="Book Antiqua" w:eastAsia="宋体" w:hAnsi="Book Antiqua" w:cs="Times New Roman"/>
          <w:b/>
          <w:sz w:val="24"/>
          <w:szCs w:val="24"/>
          <w:lang w:val="el-GR"/>
        </w:rPr>
      </w:pPr>
      <w:r w:rsidRPr="00691B3F">
        <w:rPr>
          <w:rFonts w:ascii="Book Antiqua" w:eastAsia="宋体" w:hAnsi="Book Antiqua" w:cs="Times New Roman"/>
          <w:b/>
          <w:sz w:val="24"/>
          <w:szCs w:val="24"/>
          <w:lang w:val="el-GR"/>
        </w:rPr>
        <w:br w:type="page"/>
      </w:r>
    </w:p>
    <w:p w14:paraId="2328E83E" w14:textId="1F0E4E88" w:rsidR="00AD7131" w:rsidRPr="00691B3F" w:rsidRDefault="00AD7131" w:rsidP="00367FE4">
      <w:pPr>
        <w:spacing w:after="0" w:line="360" w:lineRule="auto"/>
        <w:rPr>
          <w:rFonts w:ascii="Book Antiqua" w:eastAsia="宋体" w:hAnsi="Book Antiqua" w:cs="Times New Roman"/>
          <w:b/>
          <w:sz w:val="24"/>
          <w:szCs w:val="24"/>
          <w:lang w:val="el-GR"/>
        </w:rPr>
      </w:pPr>
      <w:r w:rsidRPr="00691B3F">
        <w:rPr>
          <w:rFonts w:ascii="Book Antiqua" w:eastAsia="宋体" w:hAnsi="Book Antiqua" w:cs="Times New Roman"/>
          <w:b/>
          <w:sz w:val="24"/>
          <w:szCs w:val="24"/>
          <w:lang w:val="el-GR"/>
        </w:rPr>
        <w:lastRenderedPageBreak/>
        <w:t>Footnotes</w:t>
      </w:r>
    </w:p>
    <w:p w14:paraId="7362682A" w14:textId="1152F930" w:rsidR="00AD7131" w:rsidRPr="00691B3F" w:rsidRDefault="00AD7131" w:rsidP="00367FE4">
      <w:pPr>
        <w:autoSpaceDE w:val="0"/>
        <w:autoSpaceDN w:val="0"/>
        <w:adjustRightInd w:val="0"/>
        <w:snapToGrid w:val="0"/>
        <w:spacing w:after="0" w:line="360" w:lineRule="auto"/>
        <w:jc w:val="both"/>
        <w:rPr>
          <w:rFonts w:ascii="Book Antiqua" w:hAnsi="Book Antiqua"/>
          <w:sz w:val="24"/>
          <w:szCs w:val="24"/>
        </w:rPr>
      </w:pPr>
      <w:bookmarkStart w:id="43" w:name="_Hlk28272023"/>
      <w:bookmarkEnd w:id="41"/>
      <w:r w:rsidRPr="00691B3F">
        <w:rPr>
          <w:rFonts w:ascii="Book Antiqua" w:eastAsia="宋体" w:hAnsi="Book Antiqua" w:cs="Tahoma"/>
          <w:b/>
          <w:sz w:val="24"/>
          <w:szCs w:val="24"/>
          <w:lang w:val="en-GB"/>
        </w:rPr>
        <w:t>Conflict-of-interest statement:</w:t>
      </w:r>
      <w:r w:rsidRPr="00691B3F">
        <w:rPr>
          <w:rFonts w:ascii="Book Antiqua" w:eastAsia="宋体" w:hAnsi="Book Antiqua" w:cs="Tahoma"/>
          <w:sz w:val="24"/>
          <w:szCs w:val="24"/>
          <w:lang w:val="en-GB"/>
        </w:rPr>
        <w:t xml:space="preserve"> </w:t>
      </w:r>
      <w:bookmarkEnd w:id="42"/>
      <w:bookmarkEnd w:id="43"/>
      <w:r w:rsidRPr="00691B3F">
        <w:rPr>
          <w:rFonts w:ascii="Book Antiqua" w:hAnsi="Book Antiqua"/>
          <w:sz w:val="24"/>
          <w:szCs w:val="24"/>
        </w:rPr>
        <w:t xml:space="preserve">Dr. </w:t>
      </w:r>
      <w:proofErr w:type="spellStart"/>
      <w:r w:rsidRPr="00691B3F">
        <w:rPr>
          <w:rFonts w:ascii="Book Antiqua" w:hAnsi="Book Antiqua"/>
          <w:sz w:val="24"/>
          <w:szCs w:val="24"/>
        </w:rPr>
        <w:t>Pyrsopoulos</w:t>
      </w:r>
      <w:proofErr w:type="spellEnd"/>
      <w:r w:rsidRPr="00691B3F">
        <w:rPr>
          <w:rFonts w:ascii="Book Antiqua" w:hAnsi="Book Antiqua"/>
          <w:sz w:val="24"/>
          <w:szCs w:val="24"/>
        </w:rPr>
        <w:t xml:space="preserve"> reports grants from Allergan, grants from Bayer, grants from </w:t>
      </w:r>
      <w:proofErr w:type="spellStart"/>
      <w:r w:rsidRPr="00691B3F">
        <w:rPr>
          <w:rFonts w:ascii="Book Antiqua" w:hAnsi="Book Antiqua"/>
          <w:sz w:val="24"/>
          <w:szCs w:val="24"/>
        </w:rPr>
        <w:t>Beigene</w:t>
      </w:r>
      <w:proofErr w:type="spellEnd"/>
      <w:r w:rsidRPr="00691B3F">
        <w:rPr>
          <w:rFonts w:ascii="Book Antiqua" w:hAnsi="Book Antiqua"/>
          <w:sz w:val="24"/>
          <w:szCs w:val="24"/>
        </w:rPr>
        <w:t xml:space="preserve">, grants from Bristol Myers, grants from Confirm, grants from Conatus, grants from Intercept, grants from Mallinckrodt, grants from Novartis, grants from </w:t>
      </w:r>
      <w:proofErr w:type="spellStart"/>
      <w:r w:rsidRPr="00691B3F">
        <w:rPr>
          <w:rFonts w:ascii="Book Antiqua" w:hAnsi="Book Antiqua"/>
          <w:sz w:val="24"/>
          <w:szCs w:val="24"/>
        </w:rPr>
        <w:t>Resusix</w:t>
      </w:r>
      <w:proofErr w:type="spellEnd"/>
      <w:r w:rsidRPr="00691B3F">
        <w:rPr>
          <w:rFonts w:ascii="Book Antiqua" w:hAnsi="Book Antiqua"/>
          <w:sz w:val="24"/>
          <w:szCs w:val="24"/>
        </w:rPr>
        <w:t xml:space="preserve">, grants from </w:t>
      </w:r>
      <w:proofErr w:type="spellStart"/>
      <w:r w:rsidRPr="00691B3F">
        <w:rPr>
          <w:rFonts w:ascii="Book Antiqua" w:hAnsi="Book Antiqua"/>
          <w:sz w:val="24"/>
          <w:szCs w:val="24"/>
        </w:rPr>
        <w:t>Saro</w:t>
      </w:r>
      <w:proofErr w:type="spellEnd"/>
      <w:r w:rsidRPr="00691B3F">
        <w:rPr>
          <w:rFonts w:ascii="Book Antiqua" w:hAnsi="Book Antiqua"/>
          <w:sz w:val="24"/>
          <w:szCs w:val="24"/>
        </w:rPr>
        <w:t xml:space="preserve">, grants from Valeant, grants from Gilead, grants from </w:t>
      </w:r>
      <w:proofErr w:type="spellStart"/>
      <w:r w:rsidRPr="00691B3F">
        <w:rPr>
          <w:rFonts w:ascii="Book Antiqua" w:hAnsi="Book Antiqua"/>
          <w:sz w:val="24"/>
          <w:szCs w:val="24"/>
        </w:rPr>
        <w:t>Exelixis</w:t>
      </w:r>
      <w:proofErr w:type="spellEnd"/>
      <w:r w:rsidRPr="00691B3F">
        <w:rPr>
          <w:rFonts w:ascii="Book Antiqua" w:hAnsi="Book Antiqua"/>
          <w:sz w:val="24"/>
          <w:szCs w:val="24"/>
        </w:rPr>
        <w:t xml:space="preserve">, grants from </w:t>
      </w:r>
      <w:proofErr w:type="spellStart"/>
      <w:r w:rsidRPr="00691B3F">
        <w:rPr>
          <w:rFonts w:ascii="Book Antiqua" w:hAnsi="Book Antiqua"/>
          <w:sz w:val="24"/>
          <w:szCs w:val="24"/>
        </w:rPr>
        <w:t>Hologic</w:t>
      </w:r>
      <w:proofErr w:type="spellEnd"/>
      <w:r w:rsidRPr="00691B3F">
        <w:rPr>
          <w:rFonts w:ascii="Book Antiqua" w:hAnsi="Book Antiqua"/>
          <w:sz w:val="24"/>
          <w:szCs w:val="24"/>
        </w:rPr>
        <w:t xml:space="preserve">, grants from Shire, grants from </w:t>
      </w:r>
      <w:proofErr w:type="spellStart"/>
      <w:r w:rsidRPr="00691B3F">
        <w:rPr>
          <w:rFonts w:ascii="Book Antiqua" w:hAnsi="Book Antiqua"/>
          <w:sz w:val="24"/>
          <w:szCs w:val="24"/>
        </w:rPr>
        <w:t>Genfit</w:t>
      </w:r>
      <w:proofErr w:type="spellEnd"/>
      <w:r w:rsidRPr="00691B3F">
        <w:rPr>
          <w:rFonts w:ascii="Book Antiqua" w:hAnsi="Book Antiqua"/>
          <w:sz w:val="24"/>
          <w:szCs w:val="24"/>
        </w:rPr>
        <w:t xml:space="preserve">, grants from Prometheus, outside the submitted work. Dr. </w:t>
      </w:r>
      <w:proofErr w:type="spellStart"/>
      <w:r w:rsidRPr="00691B3F">
        <w:rPr>
          <w:rFonts w:ascii="Book Antiqua" w:hAnsi="Book Antiqua"/>
          <w:sz w:val="24"/>
          <w:szCs w:val="24"/>
        </w:rPr>
        <w:t>Rotundo</w:t>
      </w:r>
      <w:proofErr w:type="spellEnd"/>
      <w:r w:rsidRPr="00691B3F">
        <w:rPr>
          <w:rFonts w:ascii="Book Antiqua" w:hAnsi="Book Antiqua"/>
          <w:sz w:val="24"/>
          <w:szCs w:val="24"/>
        </w:rPr>
        <w:t xml:space="preserve"> certifies that she has no affiliations with or involvement in any organization or entity with any financial interest or non-financial interest in the subject matter or materials discussed in this manuscript.</w:t>
      </w:r>
    </w:p>
    <w:p w14:paraId="01423CD9" w14:textId="77777777" w:rsidR="003D21C9" w:rsidRPr="00691B3F" w:rsidRDefault="003D21C9" w:rsidP="00367FE4">
      <w:pPr>
        <w:spacing w:after="0" w:line="360" w:lineRule="auto"/>
        <w:jc w:val="both"/>
        <w:rPr>
          <w:rFonts w:ascii="Book Antiqua" w:eastAsia="MS Mincho" w:hAnsi="Book Antiqua" w:cs="Times New Roman"/>
          <w:b/>
          <w:color w:val="000000"/>
          <w:sz w:val="24"/>
          <w:szCs w:val="24"/>
          <w:lang w:val="es-ES_tradnl" w:eastAsia="ja-JP"/>
        </w:rPr>
      </w:pPr>
    </w:p>
    <w:p w14:paraId="0FB996B9" w14:textId="4422AC8C" w:rsidR="003D21C9" w:rsidRPr="00691B3F" w:rsidRDefault="003D21C9" w:rsidP="00367FE4">
      <w:pPr>
        <w:spacing w:after="0" w:line="360" w:lineRule="auto"/>
        <w:jc w:val="both"/>
        <w:rPr>
          <w:rFonts w:ascii="Book Antiqua" w:eastAsia="MS Mincho" w:hAnsi="Book Antiqua" w:cs="Times New Roman"/>
          <w:sz w:val="24"/>
          <w:szCs w:val="24"/>
          <w:lang w:val="es-ES_tradnl" w:eastAsia="ja-JP"/>
        </w:rPr>
      </w:pPr>
      <w:r w:rsidRPr="00691B3F">
        <w:rPr>
          <w:rFonts w:ascii="Book Antiqua" w:eastAsia="MS Mincho" w:hAnsi="Book Antiqua" w:cs="Times New Roman"/>
          <w:b/>
          <w:color w:val="000000"/>
          <w:sz w:val="24"/>
          <w:szCs w:val="24"/>
          <w:lang w:val="es-ES_tradnl" w:eastAsia="ja-JP"/>
        </w:rPr>
        <w:t>Open-Access:</w:t>
      </w:r>
      <w:r w:rsidRPr="00691B3F">
        <w:rPr>
          <w:rFonts w:ascii="Book Antiqua" w:eastAsia="MS Mincho" w:hAnsi="Book Antiqua" w:cs="Times New Roman"/>
          <w:color w:val="000000"/>
          <w:sz w:val="24"/>
          <w:szCs w:val="24"/>
          <w:lang w:val="es-ES_tradnl" w:eastAsia="ja-JP"/>
        </w:rPr>
        <w:t xml:space="preserve"> This article is an open-access </w:t>
      </w:r>
      <w:r w:rsidRPr="00691B3F">
        <w:rPr>
          <w:rFonts w:ascii="Book Antiqua" w:eastAsia="MS Mincho" w:hAnsi="Book Antiqua" w:cs="Times New Roman"/>
          <w:sz w:val="24"/>
          <w:szCs w:val="24"/>
          <w:lang w:val="es-ES_tradnl" w:eastAsia="ja-JP"/>
        </w:rPr>
        <w:t xml:space="preserve">article that was selected </w:t>
      </w:r>
      <w:r w:rsidRPr="00691B3F">
        <w:rPr>
          <w:rFonts w:ascii="Book Antiqua" w:eastAsia="MS Mincho" w:hAnsi="Book Antiqua" w:cs="Times New Roman"/>
          <w:color w:val="000000"/>
          <w:sz w:val="24"/>
          <w:szCs w:val="24"/>
          <w:lang w:val="es-ES_tradnl" w:eastAsia="ja-JP"/>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DD8038F" w14:textId="77777777" w:rsidR="003D21C9" w:rsidRPr="00691B3F" w:rsidRDefault="003D21C9" w:rsidP="00367FE4">
      <w:pPr>
        <w:suppressAutoHyphens/>
        <w:spacing w:after="0" w:line="360" w:lineRule="auto"/>
        <w:jc w:val="both"/>
        <w:rPr>
          <w:rFonts w:ascii="Book Antiqua" w:eastAsia="宋体" w:hAnsi="Book Antiqua" w:cs="Times New Roman"/>
          <w:bCs/>
          <w:color w:val="000000"/>
          <w:sz w:val="24"/>
          <w:szCs w:val="24"/>
          <w:lang w:eastAsia="zh-CN"/>
        </w:rPr>
      </w:pPr>
    </w:p>
    <w:p w14:paraId="430D624F" w14:textId="77777777" w:rsidR="003D21C9" w:rsidRPr="00691B3F" w:rsidRDefault="003D21C9" w:rsidP="00367FE4">
      <w:pPr>
        <w:adjustRightInd w:val="0"/>
        <w:snapToGrid w:val="0"/>
        <w:spacing w:after="0" w:line="360" w:lineRule="auto"/>
        <w:jc w:val="both"/>
        <w:rPr>
          <w:rFonts w:ascii="Book Antiqua" w:eastAsia="MS Mincho" w:hAnsi="Book Antiqua" w:cs="Times New Roman"/>
          <w:bCs/>
          <w:color w:val="000000"/>
          <w:sz w:val="24"/>
          <w:szCs w:val="24"/>
          <w:lang w:val="es-ES_tradnl" w:eastAsia="zh-CN"/>
        </w:rPr>
      </w:pPr>
      <w:r w:rsidRPr="00691B3F">
        <w:rPr>
          <w:rFonts w:ascii="Book Antiqua" w:eastAsia="MS Mincho" w:hAnsi="Book Antiqua" w:cs="Times New Roman"/>
          <w:b/>
          <w:bCs/>
          <w:color w:val="000000"/>
          <w:sz w:val="24"/>
          <w:szCs w:val="24"/>
          <w:lang w:val="es-ES_tradnl" w:eastAsia="pl-PL"/>
        </w:rPr>
        <w:t>Manuscript source:</w:t>
      </w:r>
      <w:r w:rsidRPr="00691B3F">
        <w:rPr>
          <w:rFonts w:ascii="Book Antiqua" w:eastAsia="MS Mincho" w:hAnsi="Book Antiqua" w:cs="Times New Roman"/>
          <w:b/>
          <w:bCs/>
          <w:color w:val="000000"/>
          <w:sz w:val="24"/>
          <w:szCs w:val="24"/>
          <w:lang w:val="es-ES_tradnl" w:eastAsia="zh-CN"/>
        </w:rPr>
        <w:t xml:space="preserve"> </w:t>
      </w:r>
      <w:r w:rsidRPr="00691B3F">
        <w:rPr>
          <w:rFonts w:ascii="Book Antiqua" w:eastAsia="MS Mincho" w:hAnsi="Book Antiqua" w:cs="Times New Roman"/>
          <w:bCs/>
          <w:color w:val="000000"/>
          <w:sz w:val="24"/>
          <w:szCs w:val="24"/>
          <w:lang w:val="es-ES_tradnl" w:eastAsia="pl-PL"/>
        </w:rPr>
        <w:t>Unsolicited manuscript</w:t>
      </w:r>
    </w:p>
    <w:p w14:paraId="4AFE9F13" w14:textId="77777777" w:rsidR="003D21C9" w:rsidRPr="00691B3F" w:rsidRDefault="003D21C9" w:rsidP="00367FE4">
      <w:pPr>
        <w:widowControl w:val="0"/>
        <w:adjustRightInd w:val="0"/>
        <w:snapToGrid w:val="0"/>
        <w:spacing w:after="0" w:line="360" w:lineRule="auto"/>
        <w:jc w:val="both"/>
        <w:rPr>
          <w:rFonts w:ascii="Book Antiqua" w:eastAsia="MS Mincho" w:hAnsi="Book Antiqua" w:cs="Times New Roman"/>
          <w:b/>
          <w:kern w:val="2"/>
          <w:sz w:val="24"/>
          <w:szCs w:val="24"/>
          <w:lang w:val="es-ES_tradnl" w:eastAsia="zh-CN"/>
        </w:rPr>
      </w:pPr>
    </w:p>
    <w:p w14:paraId="252981F5" w14:textId="4A6E73BD" w:rsidR="003D21C9" w:rsidRPr="00691B3F" w:rsidRDefault="003D21C9" w:rsidP="00367FE4">
      <w:pPr>
        <w:spacing w:after="0" w:line="360" w:lineRule="auto"/>
        <w:jc w:val="both"/>
        <w:rPr>
          <w:rFonts w:ascii="Book Antiqua" w:eastAsia="宋体" w:hAnsi="Book Antiqua" w:cs="Times New Roman"/>
          <w:b/>
          <w:sz w:val="24"/>
          <w:szCs w:val="24"/>
          <w:lang w:val="es-ES_tradnl" w:eastAsia="zh-CN"/>
        </w:rPr>
      </w:pPr>
      <w:r w:rsidRPr="00691B3F">
        <w:rPr>
          <w:rFonts w:ascii="Book Antiqua" w:eastAsia="MS Mincho" w:hAnsi="Book Antiqua" w:cs="Times New Roman"/>
          <w:b/>
          <w:sz w:val="24"/>
          <w:szCs w:val="24"/>
          <w:lang w:val="es-ES_tradnl" w:eastAsia="ja-JP"/>
        </w:rPr>
        <w:t>Peer-review started:</w:t>
      </w:r>
      <w:r w:rsidRPr="00691B3F">
        <w:rPr>
          <w:rFonts w:ascii="Book Antiqua" w:eastAsia="宋体" w:hAnsi="Book Antiqua" w:cs="Times New Roman"/>
          <w:b/>
          <w:sz w:val="24"/>
          <w:szCs w:val="24"/>
          <w:lang w:val="es-ES_tradnl" w:eastAsia="zh-CN"/>
        </w:rPr>
        <w:t xml:space="preserve"> </w:t>
      </w:r>
      <w:r w:rsidRPr="00691B3F">
        <w:rPr>
          <w:rFonts w:ascii="Book Antiqua" w:eastAsia="宋体" w:hAnsi="Book Antiqua" w:cs="Times New Roman"/>
          <w:sz w:val="24"/>
          <w:szCs w:val="24"/>
          <w:lang w:val="en-GB"/>
        </w:rPr>
        <w:t>October</w:t>
      </w:r>
      <w:r w:rsidRPr="00691B3F">
        <w:rPr>
          <w:rFonts w:ascii="Book Antiqua" w:eastAsia="宋体" w:hAnsi="Book Antiqua" w:cs="Times New Roman" w:hint="eastAsia"/>
          <w:sz w:val="24"/>
          <w:szCs w:val="24"/>
          <w:lang w:val="en-GB"/>
        </w:rPr>
        <w:t xml:space="preserve"> </w:t>
      </w:r>
      <w:r w:rsidRPr="00691B3F">
        <w:rPr>
          <w:rFonts w:ascii="Book Antiqua" w:eastAsia="宋体" w:hAnsi="Book Antiqua" w:cs="Times New Roman"/>
          <w:sz w:val="24"/>
          <w:szCs w:val="24"/>
          <w:lang w:val="es-ES_tradnl" w:eastAsia="zh-CN"/>
        </w:rPr>
        <w:t>11, 2019</w:t>
      </w:r>
      <w:r w:rsidRPr="00691B3F">
        <w:rPr>
          <w:rFonts w:ascii="Book Antiqua" w:eastAsia="MS Mincho" w:hAnsi="Book Antiqua" w:cs="Times New Roman"/>
          <w:b/>
          <w:sz w:val="24"/>
          <w:szCs w:val="24"/>
          <w:lang w:val="es-ES_tradnl" w:eastAsia="ja-JP"/>
        </w:rPr>
        <w:t xml:space="preserve"> </w:t>
      </w:r>
    </w:p>
    <w:p w14:paraId="446B569D" w14:textId="08A15E86" w:rsidR="003D21C9" w:rsidRPr="00691B3F" w:rsidRDefault="003D21C9" w:rsidP="00367FE4">
      <w:pPr>
        <w:spacing w:after="0" w:line="360" w:lineRule="auto"/>
        <w:jc w:val="both"/>
        <w:rPr>
          <w:rFonts w:ascii="Book Antiqua" w:eastAsia="宋体" w:hAnsi="Book Antiqua" w:cs="Times New Roman"/>
          <w:b/>
          <w:sz w:val="24"/>
          <w:szCs w:val="24"/>
          <w:lang w:val="es-ES_tradnl" w:eastAsia="zh-CN"/>
        </w:rPr>
      </w:pPr>
      <w:r w:rsidRPr="00691B3F">
        <w:rPr>
          <w:rFonts w:ascii="Book Antiqua" w:eastAsia="MS Mincho" w:hAnsi="Book Antiqua" w:cs="Times New Roman"/>
          <w:b/>
          <w:sz w:val="24"/>
          <w:szCs w:val="24"/>
          <w:lang w:val="es-ES_tradnl" w:eastAsia="ja-JP"/>
        </w:rPr>
        <w:t>First decision:</w:t>
      </w:r>
      <w:r w:rsidRPr="00691B3F">
        <w:rPr>
          <w:rFonts w:ascii="Book Antiqua" w:eastAsia="宋体" w:hAnsi="Book Antiqua" w:cs="Times New Roman"/>
          <w:b/>
          <w:sz w:val="24"/>
          <w:szCs w:val="24"/>
          <w:lang w:val="es-ES_tradnl" w:eastAsia="zh-CN"/>
        </w:rPr>
        <w:t xml:space="preserve"> </w:t>
      </w:r>
      <w:r w:rsidRPr="00691B3F">
        <w:rPr>
          <w:rFonts w:ascii="Book Antiqua" w:eastAsia="宋体" w:hAnsi="Book Antiqua" w:cs="Times New Roman"/>
          <w:sz w:val="24"/>
          <w:szCs w:val="24"/>
          <w:lang w:val="en-GB"/>
        </w:rPr>
        <w:t>November</w:t>
      </w:r>
      <w:r w:rsidRPr="00691B3F">
        <w:rPr>
          <w:rFonts w:ascii="Book Antiqua" w:eastAsia="宋体" w:hAnsi="Book Antiqua" w:cs="Times New Roman" w:hint="eastAsia"/>
          <w:sz w:val="24"/>
          <w:szCs w:val="24"/>
          <w:lang w:val="en-GB"/>
        </w:rPr>
        <w:t xml:space="preserve"> </w:t>
      </w:r>
      <w:r w:rsidRPr="00691B3F">
        <w:rPr>
          <w:rFonts w:ascii="Book Antiqua" w:eastAsia="宋体" w:hAnsi="Book Antiqua" w:cs="Times New Roman"/>
          <w:sz w:val="24"/>
          <w:szCs w:val="24"/>
          <w:lang w:val="es-ES_tradnl" w:eastAsia="zh-CN"/>
        </w:rPr>
        <w:t>2, 2019</w:t>
      </w:r>
    </w:p>
    <w:p w14:paraId="64E6B13B" w14:textId="68352EA1" w:rsidR="003D21C9" w:rsidRPr="00691B3F" w:rsidRDefault="003D21C9" w:rsidP="00367FE4">
      <w:pPr>
        <w:spacing w:after="0" w:line="360" w:lineRule="auto"/>
        <w:jc w:val="both"/>
        <w:rPr>
          <w:rFonts w:ascii="Book Antiqua" w:eastAsia="MS Mincho" w:hAnsi="Book Antiqua" w:cs="Times New Roman"/>
          <w:b/>
          <w:sz w:val="24"/>
          <w:szCs w:val="24"/>
          <w:lang w:val="es-ES_tradnl" w:eastAsia="ja-JP"/>
        </w:rPr>
      </w:pPr>
      <w:r w:rsidRPr="00691B3F">
        <w:rPr>
          <w:rFonts w:ascii="Book Antiqua" w:eastAsia="MS Mincho" w:hAnsi="Book Antiqua" w:cs="Times New Roman"/>
          <w:b/>
          <w:sz w:val="24"/>
          <w:szCs w:val="24"/>
          <w:lang w:val="es-ES_tradnl" w:eastAsia="ja-JP"/>
        </w:rPr>
        <w:t>Article in press:</w:t>
      </w:r>
      <w:r w:rsidR="000B06B8" w:rsidRPr="00691B3F">
        <w:rPr>
          <w:rFonts w:ascii="Book Antiqua" w:eastAsia="宋体" w:hAnsi="Book Antiqua" w:cs="Times New Roman"/>
          <w:sz w:val="24"/>
          <w:szCs w:val="24"/>
        </w:rPr>
        <w:t xml:space="preserve"> February 17, 2020</w:t>
      </w:r>
    </w:p>
    <w:p w14:paraId="012A095E" w14:textId="77777777" w:rsidR="003D21C9" w:rsidRPr="00691B3F" w:rsidRDefault="003D21C9" w:rsidP="00367FE4">
      <w:pPr>
        <w:spacing w:after="0" w:line="360" w:lineRule="auto"/>
        <w:rPr>
          <w:rFonts w:ascii="Book Antiqua" w:eastAsia="宋体" w:hAnsi="Book Antiqua" w:cs="Times New Roman"/>
          <w:color w:val="000000"/>
          <w:sz w:val="24"/>
          <w:szCs w:val="24"/>
          <w:lang w:val="es-ES_tradnl" w:eastAsia="zh-CN"/>
        </w:rPr>
      </w:pPr>
    </w:p>
    <w:p w14:paraId="44B601F6" w14:textId="2F8253F9" w:rsidR="003D21C9" w:rsidRPr="00691B3F" w:rsidRDefault="003D21C9" w:rsidP="00367FE4">
      <w:pPr>
        <w:widowControl w:val="0"/>
        <w:adjustRightInd w:val="0"/>
        <w:snapToGrid w:val="0"/>
        <w:spacing w:after="0" w:line="360" w:lineRule="auto"/>
        <w:jc w:val="both"/>
        <w:rPr>
          <w:rFonts w:ascii="Book Antiqua" w:eastAsia="微软雅黑" w:hAnsi="Book Antiqua" w:cs="宋体"/>
          <w:sz w:val="24"/>
          <w:szCs w:val="24"/>
          <w:lang w:val="es-ES_tradnl" w:eastAsia="zh-CN"/>
        </w:rPr>
      </w:pPr>
      <w:r w:rsidRPr="00691B3F">
        <w:rPr>
          <w:rFonts w:ascii="Book Antiqua" w:eastAsia="MS Mincho" w:hAnsi="Book Antiqua" w:cs="宋体"/>
          <w:b/>
          <w:sz w:val="24"/>
          <w:szCs w:val="24"/>
          <w:lang w:val="es-ES_tradnl" w:eastAsia="zh-CN"/>
        </w:rPr>
        <w:t xml:space="preserve">Specialty type: </w:t>
      </w:r>
      <w:r w:rsidRPr="00691B3F">
        <w:rPr>
          <w:rFonts w:ascii="Book Antiqua" w:eastAsia="微软雅黑" w:hAnsi="Book Antiqua" w:cs="宋体"/>
          <w:sz w:val="24"/>
          <w:szCs w:val="24"/>
        </w:rPr>
        <w:t xml:space="preserve">Gastroenterology and </w:t>
      </w:r>
      <w:proofErr w:type="spellStart"/>
      <w:r w:rsidRPr="00691B3F">
        <w:rPr>
          <w:rFonts w:ascii="Book Antiqua" w:eastAsia="微软雅黑" w:hAnsi="Book Antiqua" w:cs="宋体"/>
          <w:sz w:val="24"/>
          <w:szCs w:val="24"/>
        </w:rPr>
        <w:t>hepatology</w:t>
      </w:r>
      <w:proofErr w:type="spellEnd"/>
    </w:p>
    <w:p w14:paraId="157617A8" w14:textId="23F14021" w:rsidR="003D21C9" w:rsidRPr="00691B3F" w:rsidRDefault="00E767F3" w:rsidP="00367FE4">
      <w:pPr>
        <w:widowControl w:val="0"/>
        <w:adjustRightInd w:val="0"/>
        <w:snapToGrid w:val="0"/>
        <w:spacing w:after="0" w:line="360" w:lineRule="auto"/>
        <w:jc w:val="both"/>
        <w:rPr>
          <w:rFonts w:ascii="Book Antiqua" w:eastAsia="MS Mincho" w:hAnsi="Book Antiqua" w:cs="宋体"/>
          <w:sz w:val="24"/>
          <w:szCs w:val="24"/>
          <w:lang w:val="es-ES_tradnl" w:eastAsia="zh-CN"/>
        </w:rPr>
      </w:pPr>
      <w:r w:rsidRPr="00DF022D">
        <w:rPr>
          <w:rFonts w:ascii="Book Antiqua" w:hAnsi="Book Antiqua" w:cs="宋体"/>
          <w:b/>
          <w:sz w:val="24"/>
          <w:szCs w:val="24"/>
          <w:lang w:eastAsia="zh-CN"/>
        </w:rPr>
        <w:t>Country/Territory of origin:</w:t>
      </w:r>
      <w:r w:rsidR="003D21C9" w:rsidRPr="00691B3F">
        <w:rPr>
          <w:rFonts w:ascii="Book Antiqua" w:eastAsia="MS Mincho" w:hAnsi="Book Antiqua" w:cs="宋体"/>
          <w:b/>
          <w:sz w:val="24"/>
          <w:szCs w:val="24"/>
          <w:lang w:val="es-ES_tradnl" w:eastAsia="zh-CN"/>
        </w:rPr>
        <w:t xml:space="preserve"> </w:t>
      </w:r>
      <w:r w:rsidR="003D21C9" w:rsidRPr="00691B3F">
        <w:rPr>
          <w:rFonts w:ascii="Book Antiqua" w:eastAsia="宋体" w:hAnsi="Book Antiqua" w:cs="Times New Roman"/>
          <w:sz w:val="24"/>
          <w:szCs w:val="24"/>
          <w:lang w:val="es-ES_tradnl" w:eastAsia="es-ES_tradnl"/>
        </w:rPr>
        <w:t>United States</w:t>
      </w:r>
    </w:p>
    <w:p w14:paraId="77352E29" w14:textId="77777777" w:rsidR="00E767F3" w:rsidRDefault="00E767F3" w:rsidP="00E767F3">
      <w:pPr>
        <w:widowControl w:val="0"/>
        <w:adjustRightInd w:val="0"/>
        <w:snapToGrid w:val="0"/>
        <w:spacing w:after="0" w:line="360" w:lineRule="auto"/>
        <w:jc w:val="both"/>
        <w:rPr>
          <w:rFonts w:ascii="Book Antiqua" w:eastAsia="宋体" w:hAnsi="Book Antiqua" w:cs="宋体" w:hint="eastAsia"/>
          <w:b/>
          <w:sz w:val="24"/>
          <w:szCs w:val="24"/>
          <w:lang w:eastAsia="zh-CN"/>
        </w:rPr>
      </w:pPr>
      <w:r w:rsidRPr="00DF022D">
        <w:rPr>
          <w:rFonts w:ascii="Book Antiqua" w:hAnsi="Book Antiqua" w:cs="宋体"/>
          <w:b/>
          <w:sz w:val="24"/>
          <w:szCs w:val="24"/>
          <w:lang w:eastAsia="zh-CN"/>
        </w:rPr>
        <w:t>Peer-review report’s scientific quality classification</w:t>
      </w:r>
    </w:p>
    <w:p w14:paraId="4B5F5EAC" w14:textId="77777777" w:rsidR="003D21C9" w:rsidRPr="00691B3F" w:rsidRDefault="003D21C9" w:rsidP="00367FE4">
      <w:pPr>
        <w:widowControl w:val="0"/>
        <w:adjustRightInd w:val="0"/>
        <w:snapToGrid w:val="0"/>
        <w:spacing w:after="0" w:line="360" w:lineRule="auto"/>
        <w:jc w:val="both"/>
        <w:rPr>
          <w:rFonts w:ascii="Book Antiqua" w:eastAsia="MS Mincho" w:hAnsi="Book Antiqua" w:cs="宋体"/>
          <w:sz w:val="24"/>
          <w:szCs w:val="24"/>
          <w:lang w:val="es-ES_tradnl" w:eastAsia="zh-CN"/>
        </w:rPr>
      </w:pPr>
      <w:bookmarkStart w:id="44" w:name="_GoBack"/>
      <w:bookmarkEnd w:id="44"/>
      <w:r w:rsidRPr="00691B3F">
        <w:rPr>
          <w:rFonts w:ascii="Book Antiqua" w:eastAsia="MS Mincho" w:hAnsi="Book Antiqua" w:cs="宋体"/>
          <w:sz w:val="24"/>
          <w:szCs w:val="24"/>
          <w:lang w:val="es-ES_tradnl" w:eastAsia="zh-CN"/>
        </w:rPr>
        <w:t>Grade A (Excellent): A</w:t>
      </w:r>
    </w:p>
    <w:p w14:paraId="24BFBB3C" w14:textId="705D1F27" w:rsidR="003D21C9" w:rsidRPr="00691B3F" w:rsidRDefault="003D21C9" w:rsidP="00367FE4">
      <w:pPr>
        <w:widowControl w:val="0"/>
        <w:adjustRightInd w:val="0"/>
        <w:snapToGrid w:val="0"/>
        <w:spacing w:after="0" w:line="360" w:lineRule="auto"/>
        <w:jc w:val="both"/>
        <w:rPr>
          <w:rFonts w:ascii="Book Antiqua" w:eastAsia="宋体" w:hAnsi="Book Antiqua" w:cs="宋体"/>
          <w:sz w:val="24"/>
          <w:szCs w:val="24"/>
          <w:lang w:val="es-ES_tradnl" w:eastAsia="zh-CN"/>
        </w:rPr>
      </w:pPr>
      <w:r w:rsidRPr="00691B3F">
        <w:rPr>
          <w:rFonts w:ascii="Book Antiqua" w:eastAsia="MS Mincho" w:hAnsi="Book Antiqua" w:cs="宋体"/>
          <w:sz w:val="24"/>
          <w:szCs w:val="24"/>
          <w:lang w:val="es-ES_tradnl" w:eastAsia="zh-CN"/>
        </w:rPr>
        <w:lastRenderedPageBreak/>
        <w:t xml:space="preserve">Grade B (Very good): </w:t>
      </w:r>
      <w:r w:rsidRPr="00691B3F">
        <w:rPr>
          <w:rFonts w:ascii="Book Antiqua" w:eastAsia="宋体" w:hAnsi="Book Antiqua" w:cs="宋体" w:hint="eastAsia"/>
          <w:sz w:val="24"/>
          <w:szCs w:val="24"/>
          <w:lang w:val="es-ES_tradnl" w:eastAsia="zh-CN"/>
        </w:rPr>
        <w:t>B</w:t>
      </w:r>
    </w:p>
    <w:p w14:paraId="6A7EC2F6" w14:textId="55F39FEE" w:rsidR="003D21C9" w:rsidRPr="00691B3F" w:rsidRDefault="003D21C9" w:rsidP="00367FE4">
      <w:pPr>
        <w:widowControl w:val="0"/>
        <w:adjustRightInd w:val="0"/>
        <w:snapToGrid w:val="0"/>
        <w:spacing w:after="0" w:line="360" w:lineRule="auto"/>
        <w:jc w:val="both"/>
        <w:rPr>
          <w:rFonts w:ascii="Book Antiqua" w:eastAsia="MS Mincho" w:hAnsi="Book Antiqua" w:cs="宋体"/>
          <w:sz w:val="24"/>
          <w:szCs w:val="24"/>
          <w:lang w:val="es-ES_tradnl" w:eastAsia="zh-CN"/>
        </w:rPr>
      </w:pPr>
      <w:r w:rsidRPr="00691B3F">
        <w:rPr>
          <w:rFonts w:ascii="Book Antiqua" w:eastAsia="MS Mincho" w:hAnsi="Book Antiqua" w:cs="宋体"/>
          <w:sz w:val="24"/>
          <w:szCs w:val="24"/>
          <w:lang w:val="es-ES_tradnl" w:eastAsia="zh-CN"/>
        </w:rPr>
        <w:t>Grade C (Good): C</w:t>
      </w:r>
      <w:r w:rsidR="00A53928" w:rsidRPr="00691B3F">
        <w:rPr>
          <w:rFonts w:ascii="Book Antiqua" w:eastAsia="MS Mincho" w:hAnsi="Book Antiqua" w:cs="宋体"/>
          <w:sz w:val="24"/>
          <w:szCs w:val="24"/>
          <w:lang w:val="es-ES_tradnl" w:eastAsia="zh-CN"/>
        </w:rPr>
        <w:t>, C</w:t>
      </w:r>
    </w:p>
    <w:p w14:paraId="1C0A533A" w14:textId="77777777" w:rsidR="003D21C9" w:rsidRPr="00691B3F" w:rsidRDefault="003D21C9" w:rsidP="00367FE4">
      <w:pPr>
        <w:widowControl w:val="0"/>
        <w:adjustRightInd w:val="0"/>
        <w:snapToGrid w:val="0"/>
        <w:spacing w:after="0" w:line="360" w:lineRule="auto"/>
        <w:jc w:val="both"/>
        <w:rPr>
          <w:rFonts w:ascii="Book Antiqua" w:eastAsia="MS Mincho" w:hAnsi="Book Antiqua" w:cs="宋体"/>
          <w:sz w:val="24"/>
          <w:szCs w:val="24"/>
          <w:lang w:val="es-ES_tradnl" w:eastAsia="zh-CN"/>
        </w:rPr>
      </w:pPr>
      <w:r w:rsidRPr="00691B3F">
        <w:rPr>
          <w:rFonts w:ascii="Book Antiqua" w:eastAsia="MS Mincho" w:hAnsi="Book Antiqua" w:cs="宋体"/>
          <w:sz w:val="24"/>
          <w:szCs w:val="24"/>
          <w:lang w:val="es-ES_tradnl" w:eastAsia="zh-CN"/>
        </w:rPr>
        <w:t>Grade D (Fair): 0</w:t>
      </w:r>
    </w:p>
    <w:p w14:paraId="53279536" w14:textId="77777777" w:rsidR="003D21C9" w:rsidRPr="00691B3F" w:rsidRDefault="003D21C9" w:rsidP="00367FE4">
      <w:pPr>
        <w:widowControl w:val="0"/>
        <w:adjustRightInd w:val="0"/>
        <w:snapToGrid w:val="0"/>
        <w:spacing w:after="0" w:line="360" w:lineRule="auto"/>
        <w:jc w:val="both"/>
        <w:rPr>
          <w:rFonts w:ascii="Book Antiqua" w:eastAsia="DengXian" w:hAnsi="Book Antiqua" w:cs="Times New Roman"/>
          <w:kern w:val="2"/>
          <w:sz w:val="24"/>
          <w:szCs w:val="24"/>
          <w:lang w:val="hu-HU" w:eastAsia="zh-CN"/>
        </w:rPr>
      </w:pPr>
      <w:r w:rsidRPr="00691B3F">
        <w:rPr>
          <w:rFonts w:ascii="Book Antiqua" w:eastAsia="MS Mincho" w:hAnsi="Book Antiqua" w:cs="宋体"/>
          <w:sz w:val="24"/>
          <w:szCs w:val="24"/>
          <w:lang w:val="es-ES_tradnl" w:eastAsia="zh-CN"/>
        </w:rPr>
        <w:t>Grade E (Poor): 0</w:t>
      </w:r>
    </w:p>
    <w:p w14:paraId="30941AD9" w14:textId="77777777" w:rsidR="003D21C9" w:rsidRPr="00691B3F" w:rsidRDefault="003D21C9" w:rsidP="00367FE4">
      <w:pPr>
        <w:spacing w:after="0" w:line="360" w:lineRule="auto"/>
        <w:rPr>
          <w:rFonts w:ascii="Book Antiqua" w:eastAsia="宋体" w:hAnsi="Book Antiqua" w:cs="Times New Roman"/>
          <w:b/>
          <w:sz w:val="24"/>
          <w:szCs w:val="24"/>
          <w:lang w:val="hu-HU" w:eastAsia="zh-CN"/>
        </w:rPr>
      </w:pPr>
    </w:p>
    <w:p w14:paraId="3CD6D5B1" w14:textId="3D94DE75" w:rsidR="003D21C9" w:rsidRPr="00691B3F" w:rsidRDefault="003D21C9" w:rsidP="00367FE4">
      <w:pPr>
        <w:spacing w:after="0" w:line="360" w:lineRule="auto"/>
        <w:rPr>
          <w:rFonts w:ascii="Book Antiqua" w:hAnsi="Book Antiqua" w:cs="Times New Roman"/>
          <w:sz w:val="24"/>
          <w:szCs w:val="24"/>
          <w:lang w:val="es-ES_tradnl" w:eastAsia="zh-CN"/>
        </w:rPr>
      </w:pPr>
      <w:r w:rsidRPr="00691B3F">
        <w:rPr>
          <w:rFonts w:ascii="Book Antiqua" w:eastAsia="MS Mincho" w:hAnsi="Book Antiqua" w:cs="Times New Roman"/>
          <w:b/>
          <w:sz w:val="24"/>
          <w:szCs w:val="24"/>
          <w:lang w:val="es-ES_tradnl" w:eastAsia="ja-JP"/>
        </w:rPr>
        <w:t>P- Reviewer:</w:t>
      </w:r>
      <w:r w:rsidRPr="00691B3F">
        <w:rPr>
          <w:rFonts w:ascii="Book Antiqua" w:eastAsia="宋体" w:hAnsi="Book Antiqua" w:cs="Times New Roman"/>
          <w:bCs/>
          <w:sz w:val="24"/>
          <w:szCs w:val="24"/>
          <w:lang w:val="es-ES_tradnl" w:eastAsia="zh-CN"/>
        </w:rPr>
        <w:t xml:space="preserve"> </w:t>
      </w:r>
      <w:r w:rsidR="00A53928" w:rsidRPr="00691B3F">
        <w:rPr>
          <w:rFonts w:ascii="Book Antiqua" w:eastAsia="宋体" w:hAnsi="Book Antiqua" w:cs="Times New Roman"/>
          <w:bCs/>
          <w:sz w:val="24"/>
          <w:szCs w:val="24"/>
          <w:lang w:val="es-ES_tradnl" w:eastAsia="zh-CN"/>
        </w:rPr>
        <w:t>Cure E, De Ponti F, Lei YC, Qadir MI</w:t>
      </w:r>
      <w:r w:rsidR="00A53928" w:rsidRPr="00691B3F">
        <w:rPr>
          <w:rFonts w:ascii="Book Antiqua" w:eastAsia="宋体" w:hAnsi="Book Antiqua" w:cs="Times New Roman"/>
          <w:b/>
          <w:sz w:val="24"/>
          <w:szCs w:val="24"/>
          <w:lang w:val="es-ES_tradnl" w:eastAsia="zh-CN"/>
        </w:rPr>
        <w:t xml:space="preserve"> </w:t>
      </w:r>
      <w:r w:rsidRPr="00691B3F">
        <w:rPr>
          <w:rFonts w:ascii="Book Antiqua" w:eastAsia="MS Mincho" w:hAnsi="Book Antiqua" w:cs="Times New Roman"/>
          <w:b/>
          <w:sz w:val="24"/>
          <w:szCs w:val="24"/>
          <w:lang w:val="es-ES_tradnl" w:eastAsia="ja-JP"/>
        </w:rPr>
        <w:t>S- Editor:</w:t>
      </w:r>
      <w:r w:rsidRPr="00691B3F">
        <w:rPr>
          <w:rFonts w:ascii="Book Antiqua" w:eastAsia="MS Mincho" w:hAnsi="Book Antiqua" w:cs="Times New Roman"/>
          <w:sz w:val="24"/>
          <w:szCs w:val="24"/>
          <w:lang w:val="es-ES_tradnl" w:eastAsia="ja-JP"/>
        </w:rPr>
        <w:t xml:space="preserve"> </w:t>
      </w:r>
      <w:r w:rsidR="00A53928" w:rsidRPr="00691B3F">
        <w:rPr>
          <w:rFonts w:ascii="Book Antiqua" w:eastAsia="MS Mincho" w:hAnsi="Book Antiqua" w:cs="Times New Roman"/>
          <w:sz w:val="24"/>
          <w:szCs w:val="24"/>
          <w:lang w:val="es-ES_tradnl" w:eastAsia="ja-JP"/>
        </w:rPr>
        <w:t>Wang YQ</w:t>
      </w:r>
      <w:r w:rsidRPr="00691B3F">
        <w:rPr>
          <w:rFonts w:ascii="Book Antiqua" w:eastAsia="宋体" w:hAnsi="Book Antiqua" w:cs="Times New Roman" w:hint="eastAsia"/>
          <w:sz w:val="24"/>
          <w:szCs w:val="24"/>
          <w:lang w:val="es-ES_tradnl" w:eastAsia="zh-CN"/>
        </w:rPr>
        <w:t xml:space="preserve"> </w:t>
      </w:r>
      <w:r w:rsidRPr="00691B3F">
        <w:rPr>
          <w:rFonts w:ascii="Book Antiqua" w:eastAsia="MS Mincho" w:hAnsi="Book Antiqua" w:cs="Times New Roman"/>
          <w:b/>
          <w:sz w:val="24"/>
          <w:szCs w:val="24"/>
          <w:lang w:val="es-ES_tradnl" w:eastAsia="ja-JP"/>
        </w:rPr>
        <w:t>L- Editor:</w:t>
      </w:r>
      <w:r w:rsidRPr="00691B3F">
        <w:rPr>
          <w:rFonts w:ascii="Book Antiqua" w:eastAsia="MS Mincho" w:hAnsi="Book Antiqua" w:cs="Times New Roman"/>
          <w:sz w:val="24"/>
          <w:szCs w:val="24"/>
          <w:lang w:val="es-ES_tradnl" w:eastAsia="ja-JP"/>
        </w:rPr>
        <w:t xml:space="preserve"> </w:t>
      </w:r>
      <w:r w:rsidR="00021DA8" w:rsidRPr="00691B3F">
        <w:rPr>
          <w:rFonts w:ascii="Book Antiqua" w:hAnsi="Book Antiqua" w:cs="Times New Roman" w:hint="eastAsia"/>
          <w:sz w:val="24"/>
          <w:szCs w:val="24"/>
          <w:lang w:val="es-ES_tradnl" w:eastAsia="zh-CN"/>
        </w:rPr>
        <w:t xml:space="preserve">A </w:t>
      </w:r>
      <w:r w:rsidRPr="00691B3F">
        <w:rPr>
          <w:rFonts w:ascii="Book Antiqua" w:eastAsia="MS Mincho" w:hAnsi="Book Antiqua" w:cs="Times New Roman"/>
          <w:b/>
          <w:sz w:val="24"/>
          <w:szCs w:val="24"/>
          <w:lang w:val="es-ES_tradnl" w:eastAsia="ja-JP"/>
        </w:rPr>
        <w:t>E- Editor:</w:t>
      </w:r>
      <w:r w:rsidR="00021DA8" w:rsidRPr="00691B3F">
        <w:rPr>
          <w:rFonts w:ascii="Book Antiqua" w:hAnsi="Book Antiqua" w:cs="Times New Roman" w:hint="eastAsia"/>
          <w:b/>
          <w:sz w:val="24"/>
          <w:szCs w:val="24"/>
          <w:lang w:val="es-ES_tradnl" w:eastAsia="zh-CN"/>
        </w:rPr>
        <w:t xml:space="preserve"> </w:t>
      </w:r>
      <w:r w:rsidR="00021DA8" w:rsidRPr="00691B3F">
        <w:rPr>
          <w:rFonts w:ascii="Book Antiqua" w:hAnsi="Book Antiqua" w:cs="Times New Roman" w:hint="eastAsia"/>
          <w:sz w:val="24"/>
          <w:szCs w:val="24"/>
          <w:lang w:val="es-ES_tradnl" w:eastAsia="zh-CN"/>
        </w:rPr>
        <w:t>Wu YX</w:t>
      </w:r>
      <w:r w:rsidR="00FC1BB3" w:rsidRPr="00691B3F">
        <w:rPr>
          <w:rFonts w:ascii="Book Antiqua" w:hAnsi="Book Antiqua" w:cs="Times New Roman" w:hint="eastAsia"/>
          <w:sz w:val="24"/>
          <w:szCs w:val="24"/>
          <w:lang w:val="es-ES_tradnl" w:eastAsia="zh-CN"/>
        </w:rPr>
        <w:t>J</w:t>
      </w:r>
    </w:p>
    <w:p w14:paraId="372E73D7" w14:textId="77777777" w:rsidR="003D21C9" w:rsidRPr="00691B3F" w:rsidRDefault="003D21C9" w:rsidP="00367FE4">
      <w:pPr>
        <w:autoSpaceDE w:val="0"/>
        <w:autoSpaceDN w:val="0"/>
        <w:adjustRightInd w:val="0"/>
        <w:snapToGrid w:val="0"/>
        <w:spacing w:after="0" w:line="360" w:lineRule="auto"/>
        <w:jc w:val="both"/>
        <w:rPr>
          <w:rFonts w:ascii="Book Antiqua" w:hAnsi="Book Antiqua"/>
          <w:sz w:val="24"/>
          <w:szCs w:val="24"/>
          <w:lang w:val="es-ES_tradnl"/>
        </w:rPr>
      </w:pPr>
    </w:p>
    <w:p w14:paraId="214304B4" w14:textId="77777777" w:rsidR="00AD7131" w:rsidRPr="00691B3F" w:rsidRDefault="00AD7131" w:rsidP="00367FE4">
      <w:pPr>
        <w:autoSpaceDE w:val="0"/>
        <w:autoSpaceDN w:val="0"/>
        <w:adjustRightInd w:val="0"/>
        <w:snapToGrid w:val="0"/>
        <w:spacing w:after="0" w:line="360" w:lineRule="auto"/>
        <w:jc w:val="both"/>
        <w:rPr>
          <w:rFonts w:ascii="Book Antiqua" w:hAnsi="Book Antiqua"/>
          <w:sz w:val="24"/>
          <w:szCs w:val="24"/>
        </w:rPr>
      </w:pPr>
      <w:r w:rsidRPr="00691B3F">
        <w:rPr>
          <w:rFonts w:ascii="Book Antiqua" w:hAnsi="Book Antiqua"/>
          <w:sz w:val="24"/>
          <w:szCs w:val="24"/>
        </w:rPr>
        <w:br w:type="page"/>
      </w:r>
    </w:p>
    <w:p w14:paraId="73B88B46" w14:textId="77777777" w:rsidR="00A53928" w:rsidRPr="00691B3F" w:rsidRDefault="00A53928" w:rsidP="00367FE4">
      <w:pPr>
        <w:adjustRightInd w:val="0"/>
        <w:snapToGrid w:val="0"/>
        <w:spacing w:after="0" w:line="360" w:lineRule="auto"/>
        <w:jc w:val="both"/>
        <w:rPr>
          <w:rFonts w:ascii="Book Antiqua" w:eastAsia="宋体" w:hAnsi="Book Antiqua" w:cs="Times New Roman"/>
          <w:b/>
          <w:sz w:val="24"/>
          <w:szCs w:val="24"/>
          <w:lang w:val="el-GR" w:eastAsia="zh-CN"/>
        </w:rPr>
      </w:pPr>
      <w:bookmarkStart w:id="45" w:name="_Hlk27143547"/>
      <w:r w:rsidRPr="00691B3F">
        <w:rPr>
          <w:rFonts w:ascii="Book Antiqua" w:eastAsia="宋体" w:hAnsi="Book Antiqua" w:cs="Times New Roman"/>
          <w:b/>
          <w:sz w:val="24"/>
          <w:szCs w:val="24"/>
          <w:lang w:val="el-GR"/>
        </w:rPr>
        <w:lastRenderedPageBreak/>
        <w:t>Figure Legends</w:t>
      </w:r>
    </w:p>
    <w:bookmarkEnd w:id="45"/>
    <w:p w14:paraId="4E48E664" w14:textId="40553D43" w:rsidR="00A10B55" w:rsidRPr="00691B3F" w:rsidRDefault="00215D25" w:rsidP="00367FE4">
      <w:pPr>
        <w:pStyle w:val="a3"/>
        <w:snapToGrid w:val="0"/>
        <w:spacing w:line="360" w:lineRule="auto"/>
        <w:jc w:val="both"/>
        <w:rPr>
          <w:rFonts w:ascii="Book Antiqua" w:hAnsi="Book Antiqua"/>
          <w:i/>
          <w:iCs/>
          <w:sz w:val="24"/>
          <w:szCs w:val="24"/>
        </w:rPr>
      </w:pPr>
      <w:r w:rsidRPr="00691B3F">
        <w:rPr>
          <w:noProof/>
          <w:lang w:eastAsia="zh-CN"/>
        </w:rPr>
        <w:drawing>
          <wp:inline distT="0" distB="0" distL="0" distR="0" wp14:anchorId="211C0949" wp14:editId="4B9CF61B">
            <wp:extent cx="4667490" cy="356253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67490" cy="3562533"/>
                    </a:xfrm>
                    <a:prstGeom prst="rect">
                      <a:avLst/>
                    </a:prstGeom>
                  </pic:spPr>
                </pic:pic>
              </a:graphicData>
            </a:graphic>
          </wp:inline>
        </w:drawing>
      </w:r>
    </w:p>
    <w:p w14:paraId="5DBB5E06" w14:textId="41FFB613" w:rsidR="00A10B55" w:rsidRPr="00691B3F" w:rsidRDefault="00A10B55" w:rsidP="00367FE4">
      <w:pPr>
        <w:pStyle w:val="a3"/>
        <w:snapToGrid w:val="0"/>
        <w:spacing w:line="360" w:lineRule="auto"/>
        <w:jc w:val="both"/>
        <w:rPr>
          <w:rFonts w:ascii="Book Antiqua" w:hAnsi="Book Antiqua"/>
          <w:sz w:val="24"/>
          <w:szCs w:val="24"/>
        </w:rPr>
      </w:pPr>
      <w:r w:rsidRPr="00691B3F">
        <w:rPr>
          <w:rFonts w:ascii="Book Antiqua" w:hAnsi="Book Antiqua"/>
          <w:b/>
          <w:bCs/>
          <w:sz w:val="24"/>
          <w:szCs w:val="24"/>
        </w:rPr>
        <w:t xml:space="preserve">Figure 1 </w:t>
      </w:r>
      <w:proofErr w:type="spellStart"/>
      <w:r w:rsidRPr="00691B3F">
        <w:rPr>
          <w:rFonts w:ascii="Book Antiqua" w:hAnsi="Book Antiqua"/>
          <w:b/>
          <w:bCs/>
          <w:sz w:val="24"/>
          <w:szCs w:val="24"/>
        </w:rPr>
        <w:t>Paracetamol</w:t>
      </w:r>
      <w:proofErr w:type="spellEnd"/>
      <w:r w:rsidRPr="00691B3F">
        <w:rPr>
          <w:rFonts w:ascii="Book Antiqua" w:hAnsi="Book Antiqua"/>
          <w:b/>
          <w:bCs/>
          <w:sz w:val="24"/>
          <w:szCs w:val="24"/>
        </w:rPr>
        <w:t xml:space="preserve"> metabolism pathways and breakdown into </w:t>
      </w:r>
      <w:bookmarkStart w:id="46" w:name="_Hlk32322801"/>
      <w:r w:rsidRPr="00691B3F">
        <w:rPr>
          <w:rFonts w:ascii="Book Antiqua" w:hAnsi="Book Antiqua"/>
          <w:b/>
          <w:bCs/>
          <w:sz w:val="24"/>
          <w:szCs w:val="24"/>
        </w:rPr>
        <w:t>N-acetyl-p-benzoquinone imine</w:t>
      </w:r>
      <w:bookmarkEnd w:id="46"/>
      <w:r w:rsidRPr="00691B3F">
        <w:rPr>
          <w:rFonts w:ascii="Book Antiqua" w:hAnsi="Book Antiqua"/>
          <w:b/>
          <w:bCs/>
          <w:sz w:val="24"/>
          <w:szCs w:val="24"/>
        </w:rPr>
        <w:t>, by cytochrome P450 2E1.</w:t>
      </w:r>
      <w:r w:rsidRPr="00691B3F">
        <w:rPr>
          <w:rFonts w:ascii="Book Antiqua" w:hAnsi="Book Antiqua"/>
          <w:sz w:val="24"/>
          <w:szCs w:val="24"/>
        </w:rPr>
        <w:t xml:space="preserve"> </w:t>
      </w:r>
      <w:r w:rsidR="00A53928" w:rsidRPr="00691B3F">
        <w:rPr>
          <w:rFonts w:ascii="Book Antiqua" w:hAnsi="Book Antiqua"/>
          <w:sz w:val="24"/>
          <w:szCs w:val="24"/>
        </w:rPr>
        <w:t>N-acetyl-p-benzoquinone imine</w:t>
      </w:r>
      <w:r w:rsidRPr="00691B3F">
        <w:rPr>
          <w:rFonts w:ascii="Book Antiqua" w:hAnsi="Book Antiqua"/>
          <w:sz w:val="24"/>
          <w:szCs w:val="24"/>
        </w:rPr>
        <w:t xml:space="preserve"> is the toxic metabolite produced from </w:t>
      </w:r>
      <w:proofErr w:type="spellStart"/>
      <w:r w:rsidRPr="00691B3F">
        <w:rPr>
          <w:rFonts w:ascii="Book Antiqua" w:hAnsi="Book Antiqua"/>
          <w:sz w:val="24"/>
          <w:szCs w:val="24"/>
        </w:rPr>
        <w:t>paracetamol</w:t>
      </w:r>
      <w:proofErr w:type="spellEnd"/>
      <w:r w:rsidRPr="00691B3F">
        <w:rPr>
          <w:rFonts w:ascii="Book Antiqua" w:hAnsi="Book Antiqua"/>
          <w:sz w:val="24"/>
          <w:szCs w:val="24"/>
        </w:rPr>
        <w:t xml:space="preserve"> metabolism when the other two conjugation pathways become over-saturated. The resultant toxic </w:t>
      </w:r>
      <w:r w:rsidR="00A53928" w:rsidRPr="00691B3F">
        <w:rPr>
          <w:rFonts w:ascii="Book Antiqua" w:hAnsi="Book Antiqua"/>
          <w:sz w:val="24"/>
          <w:szCs w:val="24"/>
        </w:rPr>
        <w:t xml:space="preserve">N-acetyl-p-benzoquinone imine </w:t>
      </w:r>
      <w:r w:rsidRPr="00691B3F">
        <w:rPr>
          <w:rFonts w:ascii="Book Antiqua" w:hAnsi="Book Antiqua"/>
          <w:sz w:val="24"/>
          <w:szCs w:val="24"/>
        </w:rPr>
        <w:t>byproduct is converted into nontoxic metabolites by glutathione, which is regenerated by N-</w:t>
      </w:r>
      <w:proofErr w:type="spellStart"/>
      <w:r w:rsidRPr="00691B3F">
        <w:rPr>
          <w:rFonts w:ascii="Book Antiqua" w:hAnsi="Book Antiqua"/>
          <w:sz w:val="24"/>
          <w:szCs w:val="24"/>
        </w:rPr>
        <w:t>acetylcysteine</w:t>
      </w:r>
      <w:proofErr w:type="spellEnd"/>
      <w:r w:rsidRPr="00691B3F">
        <w:rPr>
          <w:rFonts w:ascii="Book Antiqua" w:hAnsi="Book Antiqua"/>
          <w:sz w:val="24"/>
          <w:szCs w:val="24"/>
        </w:rPr>
        <w:t>.</w:t>
      </w:r>
      <w:r w:rsidR="00A53928" w:rsidRPr="00691B3F">
        <w:rPr>
          <w:rFonts w:ascii="Book Antiqua" w:hAnsi="Book Antiqua"/>
          <w:b/>
          <w:bCs/>
          <w:sz w:val="24"/>
          <w:szCs w:val="24"/>
        </w:rPr>
        <w:t xml:space="preserve"> </w:t>
      </w:r>
      <w:r w:rsidR="00A53928" w:rsidRPr="00691B3F">
        <w:rPr>
          <w:rFonts w:ascii="Book Antiqua" w:hAnsi="Book Antiqua"/>
          <w:sz w:val="24"/>
          <w:szCs w:val="24"/>
        </w:rPr>
        <w:t>NAPQI: N-acetyl-p-benzoquinone imine; CYP2E1: Cytochrome P450 2E1; NAC: N-</w:t>
      </w:r>
      <w:proofErr w:type="spellStart"/>
      <w:r w:rsidR="00A53928" w:rsidRPr="00691B3F">
        <w:rPr>
          <w:rFonts w:ascii="Book Antiqua" w:hAnsi="Book Antiqua"/>
          <w:sz w:val="24"/>
          <w:szCs w:val="24"/>
        </w:rPr>
        <w:t>acetylcysteine</w:t>
      </w:r>
      <w:proofErr w:type="spellEnd"/>
      <w:r w:rsidR="00A53928" w:rsidRPr="00691B3F">
        <w:rPr>
          <w:rFonts w:ascii="Book Antiqua" w:hAnsi="Book Antiqua"/>
          <w:sz w:val="24"/>
          <w:szCs w:val="24"/>
        </w:rPr>
        <w:t>.</w:t>
      </w:r>
    </w:p>
    <w:p w14:paraId="18EB0757" w14:textId="77777777" w:rsidR="002E63CD" w:rsidRPr="00691B3F" w:rsidRDefault="002E63CD" w:rsidP="00367FE4">
      <w:pPr>
        <w:pStyle w:val="a3"/>
        <w:snapToGrid w:val="0"/>
        <w:spacing w:line="360" w:lineRule="auto"/>
        <w:jc w:val="both"/>
        <w:rPr>
          <w:rFonts w:ascii="Book Antiqua" w:hAnsi="Book Antiqua"/>
          <w:sz w:val="24"/>
          <w:szCs w:val="24"/>
        </w:rPr>
      </w:pPr>
    </w:p>
    <w:p w14:paraId="0B855DAA" w14:textId="5DF423EE" w:rsidR="002E63CD" w:rsidRPr="00691B3F" w:rsidRDefault="00215D25" w:rsidP="00367FE4">
      <w:pPr>
        <w:pStyle w:val="a3"/>
        <w:snapToGrid w:val="0"/>
        <w:spacing w:line="360" w:lineRule="auto"/>
        <w:jc w:val="both"/>
        <w:rPr>
          <w:rFonts w:ascii="Book Antiqua" w:hAnsi="Book Antiqua"/>
          <w:bCs/>
          <w:i/>
          <w:iCs/>
          <w:sz w:val="24"/>
          <w:szCs w:val="24"/>
        </w:rPr>
      </w:pPr>
      <w:r w:rsidRPr="00691B3F">
        <w:rPr>
          <w:noProof/>
          <w:lang w:eastAsia="zh-CN"/>
        </w:rPr>
        <w:lastRenderedPageBreak/>
        <w:drawing>
          <wp:inline distT="0" distB="0" distL="0" distR="0" wp14:anchorId="7A1346FC" wp14:editId="70CA2999">
            <wp:extent cx="5943600" cy="2124710"/>
            <wp:effectExtent l="0" t="0" r="0" b="889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124710"/>
                    </a:xfrm>
                    <a:prstGeom prst="rect">
                      <a:avLst/>
                    </a:prstGeom>
                  </pic:spPr>
                </pic:pic>
              </a:graphicData>
            </a:graphic>
          </wp:inline>
        </w:drawing>
      </w:r>
    </w:p>
    <w:p w14:paraId="1666FA0F" w14:textId="43865BBD" w:rsidR="002E63CD" w:rsidRPr="00691B3F" w:rsidRDefault="002E63CD" w:rsidP="00367FE4">
      <w:pPr>
        <w:pStyle w:val="a3"/>
        <w:snapToGrid w:val="0"/>
        <w:spacing w:line="360" w:lineRule="auto"/>
        <w:jc w:val="both"/>
        <w:rPr>
          <w:rFonts w:ascii="Book Antiqua" w:hAnsi="Book Antiqua"/>
          <w:b/>
          <w:sz w:val="24"/>
          <w:szCs w:val="24"/>
        </w:rPr>
      </w:pPr>
      <w:r w:rsidRPr="00691B3F">
        <w:rPr>
          <w:rFonts w:ascii="Book Antiqua" w:hAnsi="Book Antiqua"/>
          <w:b/>
          <w:sz w:val="24"/>
          <w:szCs w:val="24"/>
        </w:rPr>
        <w:t>Figure 2</w:t>
      </w:r>
      <w:r w:rsidR="00A53928" w:rsidRPr="00691B3F">
        <w:rPr>
          <w:rFonts w:ascii="Book Antiqua" w:hAnsi="Book Antiqua"/>
          <w:b/>
          <w:sz w:val="24"/>
          <w:szCs w:val="24"/>
        </w:rPr>
        <w:t xml:space="preserve"> </w:t>
      </w:r>
      <w:r w:rsidRPr="00691B3F">
        <w:rPr>
          <w:rFonts w:ascii="Book Antiqua" w:hAnsi="Book Antiqua"/>
          <w:b/>
          <w:sz w:val="24"/>
          <w:szCs w:val="24"/>
        </w:rPr>
        <w:t xml:space="preserve">Factors that pre-dispose patients to increased </w:t>
      </w:r>
      <w:proofErr w:type="spellStart"/>
      <w:r w:rsidRPr="00691B3F">
        <w:rPr>
          <w:rFonts w:ascii="Book Antiqua" w:hAnsi="Book Antiqua"/>
          <w:b/>
          <w:sz w:val="24"/>
          <w:szCs w:val="24"/>
        </w:rPr>
        <w:t>paracetamol</w:t>
      </w:r>
      <w:proofErr w:type="spellEnd"/>
      <w:r w:rsidRPr="00691B3F">
        <w:rPr>
          <w:rFonts w:ascii="Book Antiqua" w:hAnsi="Book Antiqua"/>
          <w:b/>
          <w:sz w:val="24"/>
          <w:szCs w:val="24"/>
        </w:rPr>
        <w:t xml:space="preserve"> toxicity</w:t>
      </w:r>
      <w:r w:rsidR="00A53928" w:rsidRPr="00691B3F">
        <w:rPr>
          <w:rFonts w:ascii="Book Antiqua" w:hAnsi="Book Antiqua"/>
          <w:b/>
          <w:sz w:val="24"/>
          <w:szCs w:val="24"/>
        </w:rPr>
        <w:t>.</w:t>
      </w:r>
    </w:p>
    <w:p w14:paraId="1767253F" w14:textId="0D4D0FAE" w:rsidR="002E63CD" w:rsidRPr="00691B3F" w:rsidRDefault="002E63CD" w:rsidP="00367FE4">
      <w:pPr>
        <w:pStyle w:val="a3"/>
        <w:snapToGrid w:val="0"/>
        <w:spacing w:line="360" w:lineRule="auto"/>
        <w:jc w:val="both"/>
        <w:rPr>
          <w:rFonts w:ascii="Book Antiqua" w:hAnsi="Book Antiqua"/>
          <w:sz w:val="24"/>
          <w:szCs w:val="24"/>
        </w:rPr>
      </w:pPr>
    </w:p>
    <w:p w14:paraId="3D05EA69" w14:textId="7F6AB0F7" w:rsidR="007629B1" w:rsidRPr="00691B3F" w:rsidRDefault="007629B1" w:rsidP="00367FE4">
      <w:pPr>
        <w:pStyle w:val="a3"/>
        <w:snapToGrid w:val="0"/>
        <w:spacing w:line="360" w:lineRule="auto"/>
        <w:jc w:val="both"/>
        <w:rPr>
          <w:rFonts w:ascii="Book Antiqua" w:hAnsi="Book Antiqua"/>
          <w:b/>
          <w:bCs/>
          <w:sz w:val="24"/>
          <w:szCs w:val="24"/>
        </w:rPr>
      </w:pPr>
      <w:r w:rsidRPr="00691B3F">
        <w:rPr>
          <w:noProof/>
          <w:lang w:eastAsia="zh-CN"/>
        </w:rPr>
        <w:drawing>
          <wp:inline distT="0" distB="0" distL="0" distR="0" wp14:anchorId="3B13F0DD" wp14:editId="1EE333F5">
            <wp:extent cx="5943600" cy="341439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414395"/>
                    </a:xfrm>
                    <a:prstGeom prst="rect">
                      <a:avLst/>
                    </a:prstGeom>
                  </pic:spPr>
                </pic:pic>
              </a:graphicData>
            </a:graphic>
          </wp:inline>
        </w:drawing>
      </w:r>
    </w:p>
    <w:p w14:paraId="6B0C97FC" w14:textId="31DE6CEF" w:rsidR="002E63CD" w:rsidRPr="00691B3F" w:rsidRDefault="002E63CD" w:rsidP="00367FE4">
      <w:pPr>
        <w:pStyle w:val="a3"/>
        <w:snapToGrid w:val="0"/>
        <w:spacing w:line="360" w:lineRule="auto"/>
        <w:jc w:val="both"/>
        <w:rPr>
          <w:rFonts w:ascii="Book Antiqua" w:hAnsi="Book Antiqua"/>
          <w:b/>
          <w:bCs/>
          <w:sz w:val="24"/>
          <w:szCs w:val="24"/>
        </w:rPr>
      </w:pPr>
      <w:r w:rsidRPr="00691B3F">
        <w:rPr>
          <w:rFonts w:ascii="Book Antiqua" w:hAnsi="Book Antiqua"/>
          <w:b/>
          <w:bCs/>
          <w:sz w:val="24"/>
          <w:szCs w:val="24"/>
        </w:rPr>
        <w:t>Figure 3</w:t>
      </w:r>
      <w:r w:rsidR="00A53928" w:rsidRPr="00691B3F">
        <w:rPr>
          <w:rFonts w:ascii="Book Antiqua" w:hAnsi="Book Antiqua"/>
          <w:b/>
          <w:bCs/>
          <w:sz w:val="24"/>
          <w:szCs w:val="24"/>
        </w:rPr>
        <w:t xml:space="preserve"> </w:t>
      </w:r>
      <w:r w:rsidRPr="00691B3F">
        <w:rPr>
          <w:rFonts w:ascii="Book Antiqua" w:hAnsi="Book Antiqua"/>
          <w:b/>
          <w:bCs/>
          <w:sz w:val="24"/>
          <w:szCs w:val="24"/>
        </w:rPr>
        <w:t xml:space="preserve">Flowchart depicting the management pathway for acute </w:t>
      </w:r>
      <w:proofErr w:type="spellStart"/>
      <w:r w:rsidRPr="00691B3F">
        <w:rPr>
          <w:rFonts w:ascii="Book Antiqua" w:hAnsi="Book Antiqua"/>
          <w:b/>
          <w:bCs/>
          <w:sz w:val="24"/>
          <w:szCs w:val="24"/>
        </w:rPr>
        <w:t>paracetamol</w:t>
      </w:r>
      <w:proofErr w:type="spellEnd"/>
      <w:r w:rsidRPr="00691B3F">
        <w:rPr>
          <w:rFonts w:ascii="Book Antiqua" w:hAnsi="Book Antiqua"/>
          <w:b/>
          <w:bCs/>
          <w:sz w:val="24"/>
          <w:szCs w:val="24"/>
        </w:rPr>
        <w:t xml:space="preserve"> overdose/ toxicity</w:t>
      </w:r>
      <w:r w:rsidR="00A53928" w:rsidRPr="00691B3F">
        <w:rPr>
          <w:rFonts w:ascii="Book Antiqua" w:hAnsi="Book Antiqua"/>
          <w:b/>
          <w:bCs/>
          <w:sz w:val="24"/>
          <w:szCs w:val="24"/>
        </w:rPr>
        <w:t xml:space="preserve">. </w:t>
      </w:r>
      <w:r w:rsidR="00A53928" w:rsidRPr="00691B3F">
        <w:rPr>
          <w:rFonts w:ascii="Book Antiqua" w:hAnsi="Book Antiqua"/>
          <w:sz w:val="24"/>
          <w:szCs w:val="24"/>
        </w:rPr>
        <w:t>ALT: Aminotransferase; AST: Aspartate aminotransferase.</w:t>
      </w:r>
    </w:p>
    <w:p w14:paraId="457B0B99" w14:textId="77777777" w:rsidR="002E63CD" w:rsidRPr="00691B3F" w:rsidRDefault="002E63CD" w:rsidP="00367FE4">
      <w:pPr>
        <w:pStyle w:val="a3"/>
        <w:snapToGrid w:val="0"/>
        <w:spacing w:line="360" w:lineRule="auto"/>
        <w:jc w:val="both"/>
        <w:rPr>
          <w:rFonts w:ascii="Book Antiqua" w:hAnsi="Book Antiqua"/>
          <w:sz w:val="24"/>
          <w:szCs w:val="24"/>
        </w:rPr>
      </w:pPr>
    </w:p>
    <w:p w14:paraId="719D20C6" w14:textId="77777777" w:rsidR="00D81DBB" w:rsidRPr="00691B3F" w:rsidRDefault="00D81DBB" w:rsidP="00367FE4">
      <w:pPr>
        <w:spacing w:after="0" w:line="360" w:lineRule="auto"/>
        <w:rPr>
          <w:rFonts w:ascii="Book Antiqua" w:hAnsi="Book Antiqua"/>
          <w:b/>
          <w:bCs/>
          <w:sz w:val="24"/>
          <w:szCs w:val="24"/>
        </w:rPr>
      </w:pPr>
      <w:r w:rsidRPr="00691B3F">
        <w:rPr>
          <w:rFonts w:ascii="Book Antiqua" w:hAnsi="Book Antiqua"/>
          <w:b/>
          <w:bCs/>
          <w:sz w:val="24"/>
          <w:szCs w:val="24"/>
        </w:rPr>
        <w:br w:type="page"/>
      </w:r>
    </w:p>
    <w:p w14:paraId="235A2EB0" w14:textId="423C0E03" w:rsidR="002E63CD" w:rsidRPr="00691B3F" w:rsidRDefault="002E63CD" w:rsidP="00367FE4">
      <w:pPr>
        <w:pStyle w:val="a3"/>
        <w:snapToGrid w:val="0"/>
        <w:spacing w:line="360" w:lineRule="auto"/>
        <w:jc w:val="both"/>
        <w:rPr>
          <w:rFonts w:ascii="Book Antiqua" w:hAnsi="Book Antiqua"/>
          <w:b/>
          <w:bCs/>
          <w:sz w:val="24"/>
          <w:szCs w:val="24"/>
        </w:rPr>
      </w:pPr>
      <w:r w:rsidRPr="00691B3F">
        <w:rPr>
          <w:rFonts w:ascii="Book Antiqua" w:hAnsi="Book Antiqua"/>
          <w:b/>
          <w:bCs/>
          <w:sz w:val="24"/>
          <w:szCs w:val="24"/>
        </w:rPr>
        <w:lastRenderedPageBreak/>
        <w:t>Table 1</w:t>
      </w:r>
      <w:r w:rsidR="00D81DBB" w:rsidRPr="00691B3F">
        <w:rPr>
          <w:rFonts w:ascii="Book Antiqua" w:hAnsi="Book Antiqua"/>
          <w:b/>
          <w:bCs/>
          <w:sz w:val="24"/>
          <w:szCs w:val="24"/>
        </w:rPr>
        <w:t xml:space="preserve"> </w:t>
      </w:r>
      <w:r w:rsidRPr="00691B3F">
        <w:rPr>
          <w:rFonts w:ascii="Book Antiqua" w:hAnsi="Book Antiqua"/>
          <w:b/>
          <w:bCs/>
          <w:sz w:val="24"/>
          <w:szCs w:val="24"/>
        </w:rPr>
        <w:t xml:space="preserve">Drugs and substances that affect cytochrome P450 2E1 activity and can interfere with </w:t>
      </w:r>
      <w:proofErr w:type="spellStart"/>
      <w:r w:rsidRPr="00691B3F">
        <w:rPr>
          <w:rFonts w:ascii="Book Antiqua" w:hAnsi="Book Antiqua"/>
          <w:b/>
          <w:bCs/>
          <w:sz w:val="24"/>
          <w:szCs w:val="24"/>
        </w:rPr>
        <w:t>paracetamol</w:t>
      </w:r>
      <w:proofErr w:type="spellEnd"/>
      <w:r w:rsidRPr="00691B3F">
        <w:rPr>
          <w:rFonts w:ascii="Book Antiqua" w:hAnsi="Book Antiqua"/>
          <w:b/>
          <w:bCs/>
          <w:sz w:val="24"/>
          <w:szCs w:val="24"/>
        </w:rPr>
        <w:t xml:space="preserve"> metabolism</w:t>
      </w:r>
    </w:p>
    <w:tbl>
      <w:tblPr>
        <w:tblStyle w:val="PlainTable31"/>
        <w:tblW w:w="0" w:type="auto"/>
        <w:tblLook w:val="04A0" w:firstRow="1" w:lastRow="0" w:firstColumn="1" w:lastColumn="0" w:noHBand="0" w:noVBand="1"/>
      </w:tblPr>
      <w:tblGrid>
        <w:gridCol w:w="3116"/>
        <w:gridCol w:w="3117"/>
        <w:gridCol w:w="3117"/>
      </w:tblGrid>
      <w:tr w:rsidR="002E63CD" w:rsidRPr="00691B3F" w14:paraId="618556DF" w14:textId="77777777" w:rsidTr="00367FE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6" w:type="dxa"/>
            <w:tcBorders>
              <w:top w:val="single" w:sz="4" w:space="0" w:color="auto"/>
              <w:bottom w:val="single" w:sz="4" w:space="0" w:color="auto"/>
            </w:tcBorders>
            <w:shd w:val="clear" w:color="auto" w:fill="auto"/>
          </w:tcPr>
          <w:p w14:paraId="55BDEE77" w14:textId="33682FD5" w:rsidR="002E63CD" w:rsidRPr="00691B3F" w:rsidRDefault="00D81DBB" w:rsidP="00367FE4">
            <w:pPr>
              <w:pStyle w:val="a3"/>
              <w:snapToGrid w:val="0"/>
              <w:spacing w:line="360" w:lineRule="auto"/>
              <w:jc w:val="both"/>
              <w:rPr>
                <w:rFonts w:ascii="Book Antiqua" w:hAnsi="Book Antiqua"/>
                <w:sz w:val="24"/>
                <w:szCs w:val="24"/>
              </w:rPr>
            </w:pPr>
            <w:r w:rsidRPr="00691B3F">
              <w:rPr>
                <w:rFonts w:ascii="Book Antiqua" w:hAnsi="Book Antiqua"/>
                <w:caps w:val="0"/>
                <w:sz w:val="24"/>
                <w:szCs w:val="24"/>
              </w:rPr>
              <w:t xml:space="preserve">Cytochrome </w:t>
            </w:r>
            <w:r w:rsidR="002E63CD" w:rsidRPr="00691B3F">
              <w:rPr>
                <w:rFonts w:ascii="Book Antiqua" w:hAnsi="Book Antiqua"/>
                <w:sz w:val="24"/>
                <w:szCs w:val="24"/>
              </w:rPr>
              <w:t>P450</w:t>
            </w:r>
          </w:p>
        </w:tc>
        <w:tc>
          <w:tcPr>
            <w:tcW w:w="3117" w:type="dxa"/>
            <w:tcBorders>
              <w:top w:val="single" w:sz="4" w:space="0" w:color="auto"/>
              <w:bottom w:val="single" w:sz="4" w:space="0" w:color="auto"/>
            </w:tcBorders>
            <w:shd w:val="clear" w:color="auto" w:fill="auto"/>
          </w:tcPr>
          <w:p w14:paraId="7272293A" w14:textId="5C608750" w:rsidR="002E63CD" w:rsidRPr="00691B3F" w:rsidRDefault="00D81DBB" w:rsidP="00367FE4">
            <w:pPr>
              <w:pStyle w:val="a3"/>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691B3F">
              <w:rPr>
                <w:rFonts w:ascii="Book Antiqua" w:hAnsi="Book Antiqua"/>
                <w:caps w:val="0"/>
                <w:sz w:val="24"/>
                <w:szCs w:val="24"/>
              </w:rPr>
              <w:t>Inducers</w:t>
            </w:r>
          </w:p>
        </w:tc>
        <w:tc>
          <w:tcPr>
            <w:tcW w:w="3117" w:type="dxa"/>
            <w:tcBorders>
              <w:top w:val="single" w:sz="4" w:space="0" w:color="auto"/>
              <w:bottom w:val="single" w:sz="4" w:space="0" w:color="auto"/>
            </w:tcBorders>
            <w:shd w:val="clear" w:color="auto" w:fill="auto"/>
          </w:tcPr>
          <w:p w14:paraId="20A47E13" w14:textId="11E5E09E" w:rsidR="002E63CD" w:rsidRPr="00691B3F" w:rsidRDefault="00D81DBB" w:rsidP="00367FE4">
            <w:pPr>
              <w:pStyle w:val="a3"/>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691B3F">
              <w:rPr>
                <w:rFonts w:ascii="Book Antiqua" w:hAnsi="Book Antiqua"/>
                <w:caps w:val="0"/>
                <w:sz w:val="24"/>
                <w:szCs w:val="24"/>
              </w:rPr>
              <w:t>Inhibitors</w:t>
            </w:r>
          </w:p>
        </w:tc>
      </w:tr>
      <w:tr w:rsidR="002E63CD" w:rsidRPr="00691B3F" w14:paraId="4F7865C0" w14:textId="77777777" w:rsidTr="00367F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auto"/>
              <w:bottom w:val="single" w:sz="4" w:space="0" w:color="auto"/>
              <w:right w:val="none" w:sz="0" w:space="0" w:color="auto"/>
            </w:tcBorders>
            <w:shd w:val="clear" w:color="auto" w:fill="auto"/>
          </w:tcPr>
          <w:p w14:paraId="53629D26" w14:textId="77777777" w:rsidR="002E63CD" w:rsidRPr="00691B3F" w:rsidRDefault="002E63CD" w:rsidP="00367FE4">
            <w:pPr>
              <w:pStyle w:val="a3"/>
              <w:snapToGrid w:val="0"/>
              <w:spacing w:line="360" w:lineRule="auto"/>
              <w:jc w:val="both"/>
              <w:rPr>
                <w:rFonts w:ascii="Book Antiqua" w:hAnsi="Book Antiqua"/>
                <w:b w:val="0"/>
                <w:bCs w:val="0"/>
                <w:caps w:val="0"/>
                <w:sz w:val="24"/>
                <w:szCs w:val="24"/>
              </w:rPr>
            </w:pPr>
            <w:r w:rsidRPr="00691B3F">
              <w:rPr>
                <w:rFonts w:ascii="Book Antiqua" w:hAnsi="Book Antiqua"/>
                <w:b w:val="0"/>
                <w:bCs w:val="0"/>
                <w:sz w:val="24"/>
                <w:szCs w:val="24"/>
              </w:rPr>
              <w:t>CYP2E1</w:t>
            </w:r>
          </w:p>
        </w:tc>
        <w:tc>
          <w:tcPr>
            <w:tcW w:w="3117" w:type="dxa"/>
            <w:tcBorders>
              <w:top w:val="single" w:sz="4" w:space="0" w:color="auto"/>
              <w:bottom w:val="single" w:sz="4" w:space="0" w:color="auto"/>
            </w:tcBorders>
            <w:shd w:val="clear" w:color="auto" w:fill="auto"/>
          </w:tcPr>
          <w:p w14:paraId="0933A97A" w14:textId="77777777" w:rsidR="002E63CD" w:rsidRPr="00691B3F" w:rsidRDefault="002E63CD" w:rsidP="00367FE4">
            <w:pPr>
              <w:pStyle w:val="a3"/>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91B3F">
              <w:rPr>
                <w:rFonts w:ascii="Book Antiqua" w:hAnsi="Book Antiqua"/>
                <w:sz w:val="24"/>
                <w:szCs w:val="24"/>
              </w:rPr>
              <w:t>Ethanol</w:t>
            </w:r>
          </w:p>
          <w:p w14:paraId="1DF96BAA" w14:textId="77777777" w:rsidR="002E63CD" w:rsidRPr="00691B3F" w:rsidRDefault="002E63CD" w:rsidP="00367FE4">
            <w:pPr>
              <w:pStyle w:val="a3"/>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91B3F">
              <w:rPr>
                <w:rFonts w:ascii="Book Antiqua" w:hAnsi="Book Antiqua"/>
                <w:sz w:val="24"/>
                <w:szCs w:val="24"/>
              </w:rPr>
              <w:t>Isoniazid</w:t>
            </w:r>
          </w:p>
          <w:p w14:paraId="04A41108" w14:textId="77777777" w:rsidR="002E63CD" w:rsidRPr="00691B3F" w:rsidRDefault="002E63CD" w:rsidP="00367FE4">
            <w:pPr>
              <w:pStyle w:val="a3"/>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91B3F">
              <w:rPr>
                <w:rFonts w:ascii="Book Antiqua" w:hAnsi="Book Antiqua"/>
                <w:sz w:val="24"/>
                <w:szCs w:val="24"/>
              </w:rPr>
              <w:t xml:space="preserve">St. John’s </w:t>
            </w:r>
            <w:proofErr w:type="spellStart"/>
            <w:r w:rsidRPr="00691B3F">
              <w:rPr>
                <w:rFonts w:ascii="Book Antiqua" w:hAnsi="Book Antiqua"/>
                <w:sz w:val="24"/>
                <w:szCs w:val="24"/>
              </w:rPr>
              <w:t>wort</w:t>
            </w:r>
            <w:proofErr w:type="spellEnd"/>
          </w:p>
          <w:p w14:paraId="252E2332" w14:textId="77777777" w:rsidR="002E63CD" w:rsidRPr="00691B3F" w:rsidRDefault="002E63CD" w:rsidP="00367FE4">
            <w:pPr>
              <w:pStyle w:val="a3"/>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91B3F">
              <w:rPr>
                <w:rFonts w:ascii="Book Antiqua" w:hAnsi="Book Antiqua"/>
                <w:sz w:val="24"/>
                <w:szCs w:val="24"/>
              </w:rPr>
              <w:t>Garlic, Germander</w:t>
            </w:r>
          </w:p>
        </w:tc>
        <w:tc>
          <w:tcPr>
            <w:tcW w:w="3117" w:type="dxa"/>
            <w:tcBorders>
              <w:top w:val="single" w:sz="4" w:space="0" w:color="auto"/>
              <w:bottom w:val="single" w:sz="4" w:space="0" w:color="auto"/>
            </w:tcBorders>
            <w:shd w:val="clear" w:color="auto" w:fill="auto"/>
          </w:tcPr>
          <w:p w14:paraId="7608ECFC" w14:textId="77777777" w:rsidR="002E63CD" w:rsidRPr="00691B3F" w:rsidRDefault="002E63CD" w:rsidP="00367FE4">
            <w:pPr>
              <w:pStyle w:val="a3"/>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roofErr w:type="spellStart"/>
            <w:r w:rsidRPr="00691B3F">
              <w:rPr>
                <w:rFonts w:ascii="Book Antiqua" w:hAnsi="Book Antiqua"/>
                <w:sz w:val="24"/>
                <w:szCs w:val="24"/>
              </w:rPr>
              <w:t>Disulfram</w:t>
            </w:r>
            <w:proofErr w:type="spellEnd"/>
          </w:p>
        </w:tc>
      </w:tr>
    </w:tbl>
    <w:p w14:paraId="0CFE6C1D" w14:textId="0D00199E" w:rsidR="00D81DBB" w:rsidRPr="00691B3F" w:rsidRDefault="00D81DBB" w:rsidP="00367FE4">
      <w:pPr>
        <w:pStyle w:val="a3"/>
        <w:snapToGrid w:val="0"/>
        <w:spacing w:line="360" w:lineRule="auto"/>
        <w:jc w:val="both"/>
        <w:rPr>
          <w:rFonts w:ascii="Book Antiqua" w:hAnsi="Book Antiqua"/>
          <w:sz w:val="24"/>
          <w:szCs w:val="24"/>
        </w:rPr>
      </w:pPr>
      <w:r w:rsidRPr="00691B3F">
        <w:rPr>
          <w:rFonts w:ascii="Book Antiqua" w:hAnsi="Book Antiqua"/>
          <w:sz w:val="24"/>
          <w:szCs w:val="24"/>
        </w:rPr>
        <w:t>CYP2E1: Cytochrome P450 2E1.</w:t>
      </w:r>
    </w:p>
    <w:p w14:paraId="14859846" w14:textId="77777777" w:rsidR="00D81DBB" w:rsidRPr="00691B3F" w:rsidRDefault="00D81DBB" w:rsidP="00367FE4">
      <w:pPr>
        <w:pStyle w:val="a3"/>
        <w:snapToGrid w:val="0"/>
        <w:spacing w:line="360" w:lineRule="auto"/>
        <w:jc w:val="both"/>
        <w:rPr>
          <w:rFonts w:ascii="Book Antiqua" w:hAnsi="Book Antiqua"/>
          <w:sz w:val="24"/>
          <w:szCs w:val="24"/>
        </w:rPr>
      </w:pPr>
    </w:p>
    <w:p w14:paraId="00B29F2E" w14:textId="1193CE1F" w:rsidR="002E63CD" w:rsidRPr="00691B3F" w:rsidRDefault="002E63CD" w:rsidP="00367FE4">
      <w:pPr>
        <w:pStyle w:val="a3"/>
        <w:snapToGrid w:val="0"/>
        <w:spacing w:line="360" w:lineRule="auto"/>
        <w:jc w:val="both"/>
        <w:rPr>
          <w:rFonts w:ascii="Book Antiqua" w:hAnsi="Book Antiqua"/>
          <w:b/>
          <w:bCs/>
          <w:sz w:val="24"/>
          <w:szCs w:val="24"/>
        </w:rPr>
      </w:pPr>
      <w:r w:rsidRPr="00691B3F">
        <w:rPr>
          <w:rFonts w:ascii="Book Antiqua" w:hAnsi="Book Antiqua"/>
          <w:b/>
          <w:bCs/>
          <w:sz w:val="24"/>
          <w:szCs w:val="24"/>
        </w:rPr>
        <w:t>Table 2</w:t>
      </w:r>
      <w:r w:rsidR="00D81DBB" w:rsidRPr="00691B3F">
        <w:rPr>
          <w:rFonts w:ascii="Book Antiqua" w:hAnsi="Book Antiqua"/>
          <w:b/>
          <w:bCs/>
          <w:sz w:val="24"/>
          <w:szCs w:val="24"/>
        </w:rPr>
        <w:t xml:space="preserve"> </w:t>
      </w:r>
      <w:r w:rsidRPr="00691B3F">
        <w:rPr>
          <w:rFonts w:ascii="Book Antiqua" w:hAnsi="Book Antiqua"/>
          <w:b/>
          <w:bCs/>
          <w:sz w:val="24"/>
          <w:szCs w:val="24"/>
        </w:rPr>
        <w:t xml:space="preserve">Outcomes of </w:t>
      </w:r>
      <w:r w:rsidR="00D81DBB" w:rsidRPr="00691B3F">
        <w:rPr>
          <w:rFonts w:ascii="Book Antiqua" w:hAnsi="Book Antiqua"/>
          <w:b/>
          <w:bCs/>
          <w:sz w:val="24"/>
          <w:szCs w:val="24"/>
        </w:rPr>
        <w:t xml:space="preserve">acute liver failure from </w:t>
      </w:r>
      <w:proofErr w:type="spellStart"/>
      <w:r w:rsidR="00D81DBB" w:rsidRPr="00691B3F">
        <w:rPr>
          <w:rFonts w:ascii="Book Antiqua" w:hAnsi="Book Antiqua"/>
          <w:b/>
          <w:bCs/>
          <w:sz w:val="24"/>
          <w:szCs w:val="24"/>
        </w:rPr>
        <w:t>paracetamol</w:t>
      </w:r>
      <w:proofErr w:type="spellEnd"/>
      <w:r w:rsidR="00D81DBB" w:rsidRPr="00691B3F">
        <w:rPr>
          <w:rFonts w:ascii="Book Antiqua" w:hAnsi="Book Antiqua"/>
          <w:b/>
          <w:bCs/>
          <w:sz w:val="24"/>
          <w:szCs w:val="24"/>
        </w:rPr>
        <w:t xml:space="preserve"> among selected countries</w:t>
      </w:r>
    </w:p>
    <w:tbl>
      <w:tblPr>
        <w:tblStyle w:val="PlainTable31"/>
        <w:tblW w:w="9900" w:type="dxa"/>
        <w:tblBorders>
          <w:top w:val="single" w:sz="4" w:space="0" w:color="auto"/>
        </w:tblBorders>
        <w:tblLook w:val="04A0" w:firstRow="1" w:lastRow="0" w:firstColumn="1" w:lastColumn="0" w:noHBand="0" w:noVBand="1"/>
      </w:tblPr>
      <w:tblGrid>
        <w:gridCol w:w="1800"/>
        <w:gridCol w:w="2700"/>
        <w:gridCol w:w="2970"/>
        <w:gridCol w:w="2430"/>
      </w:tblGrid>
      <w:tr w:rsidR="002E63CD" w:rsidRPr="00691B3F" w14:paraId="0882FBF2" w14:textId="77777777" w:rsidTr="006C42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0" w:type="dxa"/>
            <w:tcBorders>
              <w:top w:val="single" w:sz="4" w:space="0" w:color="auto"/>
              <w:bottom w:val="single" w:sz="4" w:space="0" w:color="auto"/>
              <w:right w:val="none" w:sz="0" w:space="0" w:color="auto"/>
            </w:tcBorders>
            <w:shd w:val="clear" w:color="auto" w:fill="auto"/>
          </w:tcPr>
          <w:p w14:paraId="5F914CB9" w14:textId="3A9C5AED" w:rsidR="002E63CD" w:rsidRPr="00691B3F" w:rsidRDefault="00D81DBB" w:rsidP="00367FE4">
            <w:pPr>
              <w:pStyle w:val="a3"/>
              <w:snapToGrid w:val="0"/>
              <w:spacing w:line="360" w:lineRule="auto"/>
              <w:jc w:val="both"/>
              <w:rPr>
                <w:rFonts w:ascii="Book Antiqua" w:hAnsi="Book Antiqua"/>
                <w:sz w:val="24"/>
                <w:szCs w:val="24"/>
              </w:rPr>
            </w:pPr>
            <w:r w:rsidRPr="00691B3F">
              <w:rPr>
                <w:rFonts w:ascii="Book Antiqua" w:hAnsi="Book Antiqua"/>
                <w:caps w:val="0"/>
                <w:sz w:val="24"/>
                <w:szCs w:val="24"/>
              </w:rPr>
              <w:t>Country</w:t>
            </w:r>
          </w:p>
        </w:tc>
        <w:tc>
          <w:tcPr>
            <w:tcW w:w="2700" w:type="dxa"/>
            <w:tcBorders>
              <w:top w:val="single" w:sz="4" w:space="0" w:color="auto"/>
              <w:bottom w:val="single" w:sz="4" w:space="0" w:color="auto"/>
            </w:tcBorders>
            <w:shd w:val="clear" w:color="auto" w:fill="auto"/>
          </w:tcPr>
          <w:p w14:paraId="64394B12" w14:textId="41862A37" w:rsidR="002E63CD" w:rsidRPr="00691B3F" w:rsidRDefault="00D81DBB" w:rsidP="00367FE4">
            <w:pPr>
              <w:pStyle w:val="a3"/>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691B3F">
              <w:rPr>
                <w:rFonts w:ascii="Book Antiqua" w:hAnsi="Book Antiqua"/>
                <w:caps w:val="0"/>
                <w:sz w:val="24"/>
                <w:szCs w:val="24"/>
              </w:rPr>
              <w:t xml:space="preserve">Acute liver failure from </w:t>
            </w:r>
            <w:proofErr w:type="spellStart"/>
            <w:r w:rsidRPr="00691B3F">
              <w:rPr>
                <w:rFonts w:ascii="Book Antiqua" w:hAnsi="Book Antiqua"/>
                <w:caps w:val="0"/>
                <w:sz w:val="24"/>
                <w:szCs w:val="24"/>
              </w:rPr>
              <w:t>paracetamol</w:t>
            </w:r>
            <w:proofErr w:type="spellEnd"/>
          </w:p>
        </w:tc>
        <w:tc>
          <w:tcPr>
            <w:tcW w:w="2970" w:type="dxa"/>
            <w:tcBorders>
              <w:top w:val="single" w:sz="4" w:space="0" w:color="auto"/>
              <w:bottom w:val="single" w:sz="4" w:space="0" w:color="auto"/>
            </w:tcBorders>
            <w:shd w:val="clear" w:color="auto" w:fill="auto"/>
          </w:tcPr>
          <w:p w14:paraId="0501CC22" w14:textId="681744C7" w:rsidR="002E63CD" w:rsidRPr="00691B3F" w:rsidRDefault="00D81DBB" w:rsidP="00367FE4">
            <w:pPr>
              <w:pStyle w:val="a3"/>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691B3F">
              <w:rPr>
                <w:rFonts w:ascii="Book Antiqua" w:hAnsi="Book Antiqua"/>
                <w:caps w:val="0"/>
                <w:sz w:val="24"/>
                <w:szCs w:val="24"/>
              </w:rPr>
              <w:t>Hepatic failure resulting in death or transplant</w:t>
            </w:r>
          </w:p>
        </w:tc>
        <w:tc>
          <w:tcPr>
            <w:tcW w:w="2430" w:type="dxa"/>
            <w:tcBorders>
              <w:top w:val="single" w:sz="4" w:space="0" w:color="auto"/>
              <w:bottom w:val="single" w:sz="4" w:space="0" w:color="auto"/>
            </w:tcBorders>
            <w:shd w:val="clear" w:color="auto" w:fill="auto"/>
          </w:tcPr>
          <w:p w14:paraId="3100D89E" w14:textId="774CF393" w:rsidR="002E63CD" w:rsidRPr="00691B3F" w:rsidRDefault="00D81DBB" w:rsidP="00367FE4">
            <w:pPr>
              <w:pStyle w:val="a3"/>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691B3F">
              <w:rPr>
                <w:rFonts w:ascii="Book Antiqua" w:hAnsi="Book Antiqua"/>
                <w:caps w:val="0"/>
                <w:sz w:val="24"/>
                <w:szCs w:val="24"/>
              </w:rPr>
              <w:t>Concomitant medication use/ suicide attempts</w:t>
            </w:r>
          </w:p>
        </w:tc>
      </w:tr>
      <w:tr w:rsidR="002E63CD" w:rsidRPr="00691B3F" w14:paraId="7F1F9568" w14:textId="77777777" w:rsidTr="006C4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single" w:sz="4" w:space="0" w:color="auto"/>
              <w:right w:val="none" w:sz="0" w:space="0" w:color="auto"/>
            </w:tcBorders>
            <w:shd w:val="clear" w:color="auto" w:fill="auto"/>
          </w:tcPr>
          <w:p w14:paraId="24081E86" w14:textId="334E47D8" w:rsidR="002E63CD" w:rsidRPr="00691B3F" w:rsidRDefault="00D81DBB" w:rsidP="00367FE4">
            <w:pPr>
              <w:pStyle w:val="a3"/>
              <w:snapToGrid w:val="0"/>
              <w:spacing w:line="360" w:lineRule="auto"/>
              <w:jc w:val="both"/>
              <w:rPr>
                <w:rFonts w:ascii="Book Antiqua" w:hAnsi="Book Antiqua"/>
                <w:b w:val="0"/>
                <w:bCs w:val="0"/>
                <w:sz w:val="24"/>
                <w:szCs w:val="24"/>
              </w:rPr>
            </w:pPr>
            <w:r w:rsidRPr="00691B3F">
              <w:rPr>
                <w:rFonts w:ascii="Book Antiqua" w:hAnsi="Book Antiqua"/>
                <w:b w:val="0"/>
                <w:bCs w:val="0"/>
                <w:caps w:val="0"/>
                <w:sz w:val="24"/>
                <w:szCs w:val="24"/>
              </w:rPr>
              <w:t>Australia</w:t>
            </w:r>
            <w:r w:rsidRPr="00691B3F">
              <w:rPr>
                <w:rFonts w:ascii="Book Antiqua" w:hAnsi="Book Antiqua"/>
                <w:b w:val="0"/>
                <w:bCs w:val="0"/>
                <w:caps w:val="0"/>
                <w:noProof/>
                <w:sz w:val="24"/>
                <w:szCs w:val="24"/>
                <w:vertAlign w:val="superscript"/>
              </w:rPr>
              <w:t>[81]</w:t>
            </w:r>
          </w:p>
        </w:tc>
        <w:tc>
          <w:tcPr>
            <w:tcW w:w="2700" w:type="dxa"/>
            <w:tcBorders>
              <w:top w:val="single" w:sz="4" w:space="0" w:color="auto"/>
            </w:tcBorders>
            <w:shd w:val="clear" w:color="auto" w:fill="auto"/>
          </w:tcPr>
          <w:p w14:paraId="6687C994" w14:textId="77777777" w:rsidR="002E63CD" w:rsidRPr="00691B3F" w:rsidRDefault="002E63CD" w:rsidP="00367FE4">
            <w:pPr>
              <w:pStyle w:val="a3"/>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91B3F">
              <w:rPr>
                <w:rFonts w:ascii="Book Antiqua" w:hAnsi="Book Antiqua"/>
                <w:sz w:val="24"/>
                <w:szCs w:val="24"/>
              </w:rPr>
              <w:t>Not disclosed</w:t>
            </w:r>
          </w:p>
        </w:tc>
        <w:tc>
          <w:tcPr>
            <w:tcW w:w="2970" w:type="dxa"/>
            <w:tcBorders>
              <w:top w:val="single" w:sz="4" w:space="0" w:color="auto"/>
            </w:tcBorders>
            <w:shd w:val="clear" w:color="auto" w:fill="auto"/>
          </w:tcPr>
          <w:p w14:paraId="024D16E0" w14:textId="77777777" w:rsidR="002E63CD" w:rsidRPr="00691B3F" w:rsidRDefault="002E63CD" w:rsidP="00367FE4">
            <w:pPr>
              <w:pStyle w:val="a3"/>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91B3F">
              <w:rPr>
                <w:rFonts w:ascii="Book Antiqua" w:hAnsi="Book Antiqua"/>
                <w:sz w:val="24"/>
                <w:szCs w:val="24"/>
              </w:rPr>
              <w:t xml:space="preserve">Death in 8.8% of cases </w:t>
            </w:r>
          </w:p>
          <w:p w14:paraId="62733643" w14:textId="77777777" w:rsidR="002E63CD" w:rsidRPr="00691B3F" w:rsidRDefault="002E63CD" w:rsidP="00367FE4">
            <w:pPr>
              <w:pStyle w:val="a3"/>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91B3F">
              <w:rPr>
                <w:rFonts w:ascii="Book Antiqua" w:hAnsi="Book Antiqua"/>
                <w:sz w:val="24"/>
                <w:szCs w:val="24"/>
              </w:rPr>
              <w:t>(39 deaths total)</w:t>
            </w:r>
          </w:p>
        </w:tc>
        <w:tc>
          <w:tcPr>
            <w:tcW w:w="2430" w:type="dxa"/>
            <w:tcBorders>
              <w:top w:val="single" w:sz="4" w:space="0" w:color="auto"/>
            </w:tcBorders>
            <w:shd w:val="clear" w:color="auto" w:fill="auto"/>
          </w:tcPr>
          <w:p w14:paraId="78F58C98" w14:textId="77777777" w:rsidR="002E63CD" w:rsidRPr="00691B3F" w:rsidRDefault="002E63CD" w:rsidP="00367FE4">
            <w:pPr>
              <w:pStyle w:val="a3"/>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91B3F">
              <w:rPr>
                <w:rFonts w:ascii="Book Antiqua" w:hAnsi="Book Antiqua"/>
                <w:sz w:val="24"/>
                <w:szCs w:val="24"/>
              </w:rPr>
              <w:t xml:space="preserve">79% of cases with co-ingestion of opioids or benzodiazepines </w:t>
            </w:r>
          </w:p>
        </w:tc>
      </w:tr>
      <w:tr w:rsidR="002E63CD" w:rsidRPr="00691B3F" w14:paraId="57F44A73" w14:textId="77777777" w:rsidTr="006C42A4">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shd w:val="clear" w:color="auto" w:fill="auto"/>
          </w:tcPr>
          <w:p w14:paraId="79B3B016" w14:textId="5DB21FA3" w:rsidR="002E63CD" w:rsidRPr="00691B3F" w:rsidRDefault="00D81DBB" w:rsidP="00367FE4">
            <w:pPr>
              <w:pStyle w:val="a3"/>
              <w:snapToGrid w:val="0"/>
              <w:spacing w:line="360" w:lineRule="auto"/>
              <w:jc w:val="both"/>
              <w:rPr>
                <w:rFonts w:ascii="Book Antiqua" w:hAnsi="Book Antiqua"/>
                <w:b w:val="0"/>
                <w:bCs w:val="0"/>
                <w:sz w:val="24"/>
                <w:szCs w:val="24"/>
              </w:rPr>
            </w:pPr>
            <w:r w:rsidRPr="00691B3F">
              <w:rPr>
                <w:rFonts w:ascii="Book Antiqua" w:hAnsi="Book Antiqua"/>
                <w:b w:val="0"/>
                <w:bCs w:val="0"/>
                <w:caps w:val="0"/>
                <w:sz w:val="24"/>
                <w:szCs w:val="24"/>
              </w:rPr>
              <w:t>United Kingdom</w:t>
            </w:r>
            <w:r w:rsidRPr="00691B3F">
              <w:rPr>
                <w:rFonts w:ascii="Book Antiqua" w:hAnsi="Book Antiqua"/>
                <w:b w:val="0"/>
                <w:bCs w:val="0"/>
                <w:caps w:val="0"/>
                <w:noProof/>
                <w:sz w:val="24"/>
                <w:szCs w:val="24"/>
                <w:vertAlign w:val="superscript"/>
              </w:rPr>
              <w:t>[83]</w:t>
            </w:r>
          </w:p>
        </w:tc>
        <w:tc>
          <w:tcPr>
            <w:tcW w:w="2700" w:type="dxa"/>
            <w:shd w:val="clear" w:color="auto" w:fill="auto"/>
          </w:tcPr>
          <w:p w14:paraId="7D773F30" w14:textId="77777777" w:rsidR="002E63CD" w:rsidRPr="00691B3F" w:rsidRDefault="002E63CD" w:rsidP="00367FE4">
            <w:pPr>
              <w:pStyle w:val="a3"/>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91B3F">
              <w:rPr>
                <w:rFonts w:ascii="Book Antiqua" w:hAnsi="Book Antiqua"/>
                <w:sz w:val="24"/>
                <w:szCs w:val="24"/>
              </w:rPr>
              <w:t>2163 cases (65% of total ALF cases)</w:t>
            </w:r>
          </w:p>
        </w:tc>
        <w:tc>
          <w:tcPr>
            <w:tcW w:w="2970" w:type="dxa"/>
            <w:shd w:val="clear" w:color="auto" w:fill="auto"/>
          </w:tcPr>
          <w:p w14:paraId="62C016BC" w14:textId="77777777" w:rsidR="002E63CD" w:rsidRPr="00691B3F" w:rsidRDefault="002E63CD" w:rsidP="00367FE4">
            <w:pPr>
              <w:pStyle w:val="a3"/>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91B3F">
              <w:rPr>
                <w:rFonts w:ascii="Book Antiqua" w:hAnsi="Book Antiqua"/>
                <w:sz w:val="24"/>
                <w:szCs w:val="24"/>
              </w:rPr>
              <w:t>Death in 36% of cases (778 deaths total), 147 transplant cases</w:t>
            </w:r>
          </w:p>
        </w:tc>
        <w:tc>
          <w:tcPr>
            <w:tcW w:w="2430" w:type="dxa"/>
            <w:shd w:val="clear" w:color="auto" w:fill="auto"/>
          </w:tcPr>
          <w:p w14:paraId="7E3525B3" w14:textId="77777777" w:rsidR="002E63CD" w:rsidRPr="00691B3F" w:rsidRDefault="002E63CD" w:rsidP="00367FE4">
            <w:pPr>
              <w:pStyle w:val="a3"/>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91B3F">
              <w:rPr>
                <w:rFonts w:ascii="Book Antiqua" w:hAnsi="Book Antiqua"/>
                <w:sz w:val="24"/>
                <w:szCs w:val="24"/>
              </w:rPr>
              <w:t>Not disclosed</w:t>
            </w:r>
          </w:p>
        </w:tc>
      </w:tr>
      <w:tr w:rsidR="002E63CD" w:rsidRPr="00691B3F" w14:paraId="0E1DD39A" w14:textId="77777777" w:rsidTr="006C4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shd w:val="clear" w:color="auto" w:fill="auto"/>
          </w:tcPr>
          <w:p w14:paraId="51D8F285" w14:textId="3E6D3C05" w:rsidR="002E63CD" w:rsidRPr="00691B3F" w:rsidRDefault="00D81DBB" w:rsidP="00367FE4">
            <w:pPr>
              <w:pStyle w:val="a3"/>
              <w:snapToGrid w:val="0"/>
              <w:spacing w:line="360" w:lineRule="auto"/>
              <w:jc w:val="both"/>
              <w:rPr>
                <w:rFonts w:ascii="Book Antiqua" w:hAnsi="Book Antiqua"/>
                <w:b w:val="0"/>
                <w:bCs w:val="0"/>
                <w:sz w:val="24"/>
                <w:szCs w:val="24"/>
              </w:rPr>
            </w:pPr>
            <w:r w:rsidRPr="00691B3F">
              <w:rPr>
                <w:rFonts w:ascii="Book Antiqua" w:hAnsi="Book Antiqua"/>
                <w:b w:val="0"/>
                <w:bCs w:val="0"/>
                <w:caps w:val="0"/>
                <w:sz w:val="24"/>
                <w:szCs w:val="24"/>
              </w:rPr>
              <w:t>United States</w:t>
            </w:r>
            <w:r w:rsidRPr="00691B3F">
              <w:rPr>
                <w:rFonts w:ascii="Book Antiqua" w:hAnsi="Book Antiqua"/>
                <w:b w:val="0"/>
                <w:bCs w:val="0"/>
                <w:caps w:val="0"/>
                <w:noProof/>
                <w:sz w:val="24"/>
                <w:szCs w:val="24"/>
                <w:vertAlign w:val="superscript"/>
              </w:rPr>
              <w:t>[5]</w:t>
            </w:r>
          </w:p>
        </w:tc>
        <w:tc>
          <w:tcPr>
            <w:tcW w:w="2700" w:type="dxa"/>
            <w:shd w:val="clear" w:color="auto" w:fill="auto"/>
          </w:tcPr>
          <w:p w14:paraId="0ADCC2DE" w14:textId="77777777" w:rsidR="002E63CD" w:rsidRPr="00691B3F" w:rsidRDefault="002E63CD" w:rsidP="00367FE4">
            <w:pPr>
              <w:pStyle w:val="a3"/>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91B3F">
              <w:rPr>
                <w:rFonts w:ascii="Book Antiqua" w:hAnsi="Book Antiqua"/>
                <w:sz w:val="24"/>
                <w:szCs w:val="24"/>
              </w:rPr>
              <w:t>120 cases (39% of total ALF cases)</w:t>
            </w:r>
          </w:p>
        </w:tc>
        <w:tc>
          <w:tcPr>
            <w:tcW w:w="2970" w:type="dxa"/>
            <w:shd w:val="clear" w:color="auto" w:fill="auto"/>
          </w:tcPr>
          <w:p w14:paraId="522C7D5D" w14:textId="77777777" w:rsidR="002E63CD" w:rsidRPr="00691B3F" w:rsidRDefault="002E63CD" w:rsidP="00367FE4">
            <w:pPr>
              <w:pStyle w:val="a3"/>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91B3F">
              <w:rPr>
                <w:rFonts w:ascii="Book Antiqua" w:hAnsi="Book Antiqua"/>
                <w:sz w:val="24"/>
                <w:szCs w:val="24"/>
              </w:rPr>
              <w:t>Transplantation in 6% of cases, mortality in 27% of cases</w:t>
            </w:r>
          </w:p>
        </w:tc>
        <w:tc>
          <w:tcPr>
            <w:tcW w:w="2430" w:type="dxa"/>
            <w:shd w:val="clear" w:color="auto" w:fill="auto"/>
          </w:tcPr>
          <w:p w14:paraId="0FD233E7" w14:textId="77777777" w:rsidR="002E63CD" w:rsidRPr="00691B3F" w:rsidRDefault="002E63CD" w:rsidP="00367FE4">
            <w:pPr>
              <w:pStyle w:val="a3"/>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91B3F">
              <w:rPr>
                <w:rFonts w:ascii="Book Antiqua" w:hAnsi="Book Antiqua"/>
                <w:sz w:val="24"/>
                <w:szCs w:val="24"/>
              </w:rPr>
              <w:t>44 cases (37%) were suicide attempts</w:t>
            </w:r>
          </w:p>
        </w:tc>
      </w:tr>
      <w:tr w:rsidR="002E63CD" w:rsidRPr="00691B3F" w14:paraId="79FCBC7E" w14:textId="77777777" w:rsidTr="006C42A4">
        <w:tc>
          <w:tcPr>
            <w:cnfStyle w:val="001000000000" w:firstRow="0" w:lastRow="0" w:firstColumn="1" w:lastColumn="0" w:oddVBand="0" w:evenVBand="0" w:oddHBand="0" w:evenHBand="0" w:firstRowFirstColumn="0" w:firstRowLastColumn="0" w:lastRowFirstColumn="0" w:lastRowLastColumn="0"/>
            <w:tcW w:w="1800" w:type="dxa"/>
            <w:tcBorders>
              <w:bottom w:val="nil"/>
              <w:right w:val="none" w:sz="0" w:space="0" w:color="auto"/>
            </w:tcBorders>
            <w:shd w:val="clear" w:color="auto" w:fill="auto"/>
          </w:tcPr>
          <w:p w14:paraId="294B74A4" w14:textId="24FFB6D5" w:rsidR="002E63CD" w:rsidRPr="00691B3F" w:rsidRDefault="00D81DBB" w:rsidP="00367FE4">
            <w:pPr>
              <w:pStyle w:val="a3"/>
              <w:snapToGrid w:val="0"/>
              <w:spacing w:line="360" w:lineRule="auto"/>
              <w:jc w:val="both"/>
              <w:rPr>
                <w:rFonts w:ascii="Book Antiqua" w:hAnsi="Book Antiqua"/>
                <w:b w:val="0"/>
                <w:bCs w:val="0"/>
                <w:sz w:val="24"/>
                <w:szCs w:val="24"/>
              </w:rPr>
            </w:pPr>
            <w:r w:rsidRPr="00691B3F">
              <w:rPr>
                <w:rFonts w:ascii="Book Antiqua" w:hAnsi="Book Antiqua"/>
                <w:b w:val="0"/>
                <w:bCs w:val="0"/>
                <w:caps w:val="0"/>
                <w:sz w:val="24"/>
                <w:szCs w:val="24"/>
              </w:rPr>
              <w:t>Portugal</w:t>
            </w:r>
            <w:r w:rsidRPr="00691B3F">
              <w:rPr>
                <w:rFonts w:ascii="Book Antiqua" w:hAnsi="Book Antiqua"/>
                <w:b w:val="0"/>
                <w:bCs w:val="0"/>
                <w:caps w:val="0"/>
                <w:noProof/>
                <w:sz w:val="24"/>
                <w:szCs w:val="24"/>
                <w:vertAlign w:val="superscript"/>
              </w:rPr>
              <w:t>[84]</w:t>
            </w:r>
          </w:p>
        </w:tc>
        <w:tc>
          <w:tcPr>
            <w:tcW w:w="2700" w:type="dxa"/>
            <w:tcBorders>
              <w:bottom w:val="nil"/>
            </w:tcBorders>
            <w:shd w:val="clear" w:color="auto" w:fill="auto"/>
          </w:tcPr>
          <w:p w14:paraId="4EC68C2C" w14:textId="77777777" w:rsidR="002E63CD" w:rsidRPr="00691B3F" w:rsidRDefault="002E63CD" w:rsidP="00367FE4">
            <w:pPr>
              <w:pStyle w:val="a3"/>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91B3F">
              <w:rPr>
                <w:rFonts w:ascii="Book Antiqua" w:hAnsi="Book Antiqua"/>
                <w:sz w:val="24"/>
                <w:szCs w:val="24"/>
              </w:rPr>
              <w:t>5 cases over 3 years (11% of total ALF cases)</w:t>
            </w:r>
          </w:p>
        </w:tc>
        <w:tc>
          <w:tcPr>
            <w:tcW w:w="2970" w:type="dxa"/>
            <w:tcBorders>
              <w:bottom w:val="nil"/>
            </w:tcBorders>
            <w:shd w:val="clear" w:color="auto" w:fill="auto"/>
          </w:tcPr>
          <w:p w14:paraId="31FC5099" w14:textId="77777777" w:rsidR="002E63CD" w:rsidRPr="00691B3F" w:rsidRDefault="002E63CD" w:rsidP="00367FE4">
            <w:pPr>
              <w:pStyle w:val="a3"/>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91B3F">
              <w:rPr>
                <w:rFonts w:ascii="Book Antiqua" w:hAnsi="Book Antiqua"/>
                <w:sz w:val="24"/>
                <w:szCs w:val="24"/>
              </w:rPr>
              <w:t>1 liver transplant case</w:t>
            </w:r>
          </w:p>
        </w:tc>
        <w:tc>
          <w:tcPr>
            <w:tcW w:w="2430" w:type="dxa"/>
            <w:tcBorders>
              <w:bottom w:val="nil"/>
            </w:tcBorders>
            <w:shd w:val="clear" w:color="auto" w:fill="auto"/>
          </w:tcPr>
          <w:p w14:paraId="37ACC48A" w14:textId="77777777" w:rsidR="002E63CD" w:rsidRPr="00691B3F" w:rsidRDefault="002E63CD" w:rsidP="00367FE4">
            <w:pPr>
              <w:pStyle w:val="a3"/>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91B3F">
              <w:rPr>
                <w:rFonts w:ascii="Book Antiqua" w:hAnsi="Book Antiqua"/>
                <w:sz w:val="24"/>
                <w:szCs w:val="24"/>
              </w:rPr>
              <w:t>Not disclosed</w:t>
            </w:r>
          </w:p>
        </w:tc>
      </w:tr>
      <w:tr w:rsidR="002E63CD" w:rsidRPr="006A5F19" w14:paraId="4EFD64F6" w14:textId="77777777" w:rsidTr="006C4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il"/>
              <w:bottom w:val="single" w:sz="4" w:space="0" w:color="auto"/>
              <w:right w:val="none" w:sz="0" w:space="0" w:color="auto"/>
            </w:tcBorders>
            <w:shd w:val="clear" w:color="auto" w:fill="auto"/>
          </w:tcPr>
          <w:p w14:paraId="6FD83039" w14:textId="23213DD1" w:rsidR="002E63CD" w:rsidRPr="00691B3F" w:rsidRDefault="00D81DBB" w:rsidP="00367FE4">
            <w:pPr>
              <w:pStyle w:val="a3"/>
              <w:snapToGrid w:val="0"/>
              <w:spacing w:line="360" w:lineRule="auto"/>
              <w:jc w:val="both"/>
              <w:rPr>
                <w:rFonts w:ascii="Book Antiqua" w:hAnsi="Book Antiqua"/>
                <w:b w:val="0"/>
                <w:bCs w:val="0"/>
                <w:sz w:val="24"/>
                <w:szCs w:val="24"/>
              </w:rPr>
            </w:pPr>
            <w:r w:rsidRPr="00691B3F">
              <w:rPr>
                <w:rFonts w:ascii="Book Antiqua" w:hAnsi="Book Antiqua"/>
                <w:b w:val="0"/>
                <w:bCs w:val="0"/>
                <w:caps w:val="0"/>
                <w:sz w:val="24"/>
                <w:szCs w:val="24"/>
              </w:rPr>
              <w:t>Germany</w:t>
            </w:r>
            <w:r w:rsidRPr="00691B3F">
              <w:rPr>
                <w:rFonts w:ascii="Book Antiqua" w:hAnsi="Book Antiqua"/>
                <w:b w:val="0"/>
                <w:bCs w:val="0"/>
                <w:caps w:val="0"/>
                <w:noProof/>
                <w:sz w:val="24"/>
                <w:szCs w:val="24"/>
                <w:vertAlign w:val="superscript"/>
              </w:rPr>
              <w:t>[85]</w:t>
            </w:r>
          </w:p>
        </w:tc>
        <w:tc>
          <w:tcPr>
            <w:tcW w:w="2700" w:type="dxa"/>
            <w:tcBorders>
              <w:top w:val="nil"/>
              <w:bottom w:val="single" w:sz="4" w:space="0" w:color="auto"/>
            </w:tcBorders>
            <w:shd w:val="clear" w:color="auto" w:fill="auto"/>
          </w:tcPr>
          <w:p w14:paraId="53BEDDB0" w14:textId="77777777" w:rsidR="002E63CD" w:rsidRPr="00691B3F" w:rsidRDefault="002E63CD" w:rsidP="00367FE4">
            <w:pPr>
              <w:pStyle w:val="a3"/>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91B3F">
              <w:rPr>
                <w:rFonts w:ascii="Book Antiqua" w:hAnsi="Book Antiqua"/>
                <w:sz w:val="24"/>
                <w:szCs w:val="24"/>
              </w:rPr>
              <w:t>10 cases (9.2% of total ALF cases)</w:t>
            </w:r>
          </w:p>
        </w:tc>
        <w:tc>
          <w:tcPr>
            <w:tcW w:w="2970" w:type="dxa"/>
            <w:tcBorders>
              <w:top w:val="nil"/>
              <w:bottom w:val="single" w:sz="4" w:space="0" w:color="auto"/>
            </w:tcBorders>
            <w:shd w:val="clear" w:color="auto" w:fill="auto"/>
          </w:tcPr>
          <w:p w14:paraId="5C4B80D4" w14:textId="77777777" w:rsidR="002E63CD" w:rsidRPr="00691B3F" w:rsidRDefault="002E63CD" w:rsidP="00367FE4">
            <w:pPr>
              <w:pStyle w:val="a3"/>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91B3F">
              <w:rPr>
                <w:rFonts w:ascii="Book Antiqua" w:hAnsi="Book Antiqua"/>
                <w:sz w:val="24"/>
                <w:szCs w:val="24"/>
              </w:rPr>
              <w:t>3 liver transplant cases, 1 death</w:t>
            </w:r>
          </w:p>
        </w:tc>
        <w:tc>
          <w:tcPr>
            <w:tcW w:w="2430" w:type="dxa"/>
            <w:tcBorders>
              <w:top w:val="nil"/>
              <w:bottom w:val="single" w:sz="4" w:space="0" w:color="auto"/>
            </w:tcBorders>
            <w:shd w:val="clear" w:color="auto" w:fill="auto"/>
          </w:tcPr>
          <w:p w14:paraId="579A2153" w14:textId="77777777" w:rsidR="002E63CD" w:rsidRPr="006A5F19" w:rsidRDefault="002E63CD" w:rsidP="00367FE4">
            <w:pPr>
              <w:pStyle w:val="a3"/>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91B3F">
              <w:rPr>
                <w:rFonts w:ascii="Book Antiqua" w:hAnsi="Book Antiqua"/>
                <w:sz w:val="24"/>
                <w:szCs w:val="24"/>
              </w:rPr>
              <w:t>Not disclosed</w:t>
            </w:r>
          </w:p>
        </w:tc>
      </w:tr>
    </w:tbl>
    <w:p w14:paraId="6A171C36" w14:textId="77777777" w:rsidR="002E63CD" w:rsidRPr="006A5F19" w:rsidRDefault="002E63CD" w:rsidP="00367FE4">
      <w:pPr>
        <w:pStyle w:val="a3"/>
        <w:snapToGrid w:val="0"/>
        <w:spacing w:line="360" w:lineRule="auto"/>
        <w:jc w:val="both"/>
        <w:rPr>
          <w:rFonts w:ascii="Book Antiqua" w:hAnsi="Book Antiqua"/>
          <w:sz w:val="24"/>
          <w:szCs w:val="24"/>
        </w:rPr>
      </w:pPr>
    </w:p>
    <w:sectPr w:rsidR="002E63CD" w:rsidRPr="006A5F19" w:rsidSect="00B7234D">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6CCE4" w14:textId="77777777" w:rsidR="00AB4C9D" w:rsidRDefault="00AB4C9D" w:rsidP="00F847F4">
      <w:pPr>
        <w:spacing w:after="0" w:line="240" w:lineRule="auto"/>
      </w:pPr>
      <w:r>
        <w:separator/>
      </w:r>
    </w:p>
  </w:endnote>
  <w:endnote w:type="continuationSeparator" w:id="0">
    <w:p w14:paraId="6ECA2564" w14:textId="77777777" w:rsidR="00AB4C9D" w:rsidRDefault="00AB4C9D" w:rsidP="00F84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gXian">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微软雅黑">
    <w:altName w:val="Arial Unicode MS"/>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306541"/>
      <w:docPartObj>
        <w:docPartGallery w:val="Page Numbers (Bottom of Page)"/>
        <w:docPartUnique/>
      </w:docPartObj>
    </w:sdtPr>
    <w:sdtEndPr>
      <w:rPr>
        <w:noProof/>
      </w:rPr>
    </w:sdtEndPr>
    <w:sdtContent>
      <w:p w14:paraId="4E18A952" w14:textId="77777777" w:rsidR="008B58D5" w:rsidRDefault="008B58D5">
        <w:pPr>
          <w:pStyle w:val="ab"/>
          <w:jc w:val="right"/>
        </w:pPr>
        <w:r>
          <w:fldChar w:fldCharType="begin"/>
        </w:r>
        <w:r>
          <w:instrText xml:space="preserve"> PAGE   \* MERGEFORMAT </w:instrText>
        </w:r>
        <w:r>
          <w:fldChar w:fldCharType="separate"/>
        </w:r>
        <w:r w:rsidR="00E767F3">
          <w:rPr>
            <w:noProof/>
          </w:rPr>
          <w:t>27</w:t>
        </w:r>
        <w:r>
          <w:rPr>
            <w:noProof/>
          </w:rPr>
          <w:fldChar w:fldCharType="end"/>
        </w:r>
      </w:p>
    </w:sdtContent>
  </w:sdt>
  <w:p w14:paraId="232495D1" w14:textId="77777777" w:rsidR="008B58D5" w:rsidRDefault="008B58D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E4571" w14:textId="77777777" w:rsidR="00AB4C9D" w:rsidRDefault="00AB4C9D" w:rsidP="00F847F4">
      <w:pPr>
        <w:spacing w:after="0" w:line="240" w:lineRule="auto"/>
      </w:pPr>
      <w:r>
        <w:separator/>
      </w:r>
    </w:p>
  </w:footnote>
  <w:footnote w:type="continuationSeparator" w:id="0">
    <w:p w14:paraId="49C91D32" w14:textId="77777777" w:rsidR="00AB4C9D" w:rsidRDefault="00AB4C9D" w:rsidP="00F847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C786D"/>
    <w:multiLevelType w:val="hybridMultilevel"/>
    <w:tmpl w:val="811A6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A639BD"/>
    <w:multiLevelType w:val="hybridMultilevel"/>
    <w:tmpl w:val="BDBC533A"/>
    <w:lvl w:ilvl="0" w:tplc="4E5EE8E8">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EB500E"/>
    <w:multiLevelType w:val="hybridMultilevel"/>
    <w:tmpl w:val="B658E2B6"/>
    <w:lvl w:ilvl="0" w:tplc="EE025C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dtaxtd565e2faefrrlpvaf99twf0dvfsvx2&quot;&gt;DILI Review&lt;record-ids&gt;&lt;item&gt;1&lt;/item&gt;&lt;item&gt;2&lt;/item&gt;&lt;item&gt;3&lt;/item&gt;&lt;item&gt;4&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5&lt;/item&gt;&lt;item&gt;46&lt;/item&gt;&lt;item&gt;47&lt;/item&gt;&lt;item&gt;48&lt;/item&gt;&lt;item&gt;49&lt;/item&gt;&lt;item&gt;51&lt;/item&gt;&lt;item&gt;52&lt;/item&gt;&lt;item&gt;53&lt;/item&gt;&lt;item&gt;54&lt;/item&gt;&lt;item&gt;55&lt;/item&gt;&lt;item&gt;56&lt;/item&gt;&lt;item&gt;57&lt;/item&gt;&lt;item&gt;60&lt;/item&gt;&lt;item&gt;61&lt;/item&gt;&lt;item&gt;63&lt;/item&gt;&lt;item&gt;64&lt;/item&gt;&lt;item&gt;65&lt;/item&gt;&lt;item&gt;66&lt;/item&gt;&lt;item&gt;67&lt;/item&gt;&lt;item&gt;68&lt;/item&gt;&lt;item&gt;69&lt;/item&gt;&lt;item&gt;71&lt;/item&gt;&lt;item&gt;72&lt;/item&gt;&lt;item&gt;73&lt;/item&gt;&lt;item&gt;74&lt;/item&gt;&lt;item&gt;75&lt;/item&gt;&lt;item&gt;76&lt;/item&gt;&lt;item&gt;77&lt;/item&gt;&lt;item&gt;78&lt;/item&gt;&lt;item&gt;80&lt;/item&gt;&lt;item&gt;81&lt;/item&gt;&lt;item&gt;83&lt;/item&gt;&lt;item&gt;84&lt;/item&gt;&lt;item&gt;85&lt;/item&gt;&lt;item&gt;86&lt;/item&gt;&lt;item&gt;87&lt;/item&gt;&lt;item&gt;88&lt;/item&gt;&lt;item&gt;89&lt;/item&gt;&lt;item&gt;91&lt;/item&gt;&lt;item&gt;92&lt;/item&gt;&lt;item&gt;94&lt;/item&gt;&lt;item&gt;96&lt;/item&gt;&lt;item&gt;97&lt;/item&gt;&lt;item&gt;99&lt;/item&gt;&lt;item&gt;100&lt;/item&gt;&lt;item&gt;101&lt;/item&gt;&lt;item&gt;103&lt;/item&gt;&lt;item&gt;106&lt;/item&gt;&lt;item&gt;107&lt;/item&gt;&lt;item&gt;108&lt;/item&gt;&lt;/record-ids&gt;&lt;/item&gt;&lt;/Libraries&gt;"/>
  </w:docVars>
  <w:rsids>
    <w:rsidRoot w:val="007F4FB7"/>
    <w:rsid w:val="00017D50"/>
    <w:rsid w:val="00021DA8"/>
    <w:rsid w:val="0003268C"/>
    <w:rsid w:val="0003274E"/>
    <w:rsid w:val="00033B27"/>
    <w:rsid w:val="00044C98"/>
    <w:rsid w:val="00053B47"/>
    <w:rsid w:val="00056D40"/>
    <w:rsid w:val="00062CEE"/>
    <w:rsid w:val="00072AC1"/>
    <w:rsid w:val="0007446C"/>
    <w:rsid w:val="00076737"/>
    <w:rsid w:val="0008078B"/>
    <w:rsid w:val="00082A5C"/>
    <w:rsid w:val="00086C41"/>
    <w:rsid w:val="00092EB8"/>
    <w:rsid w:val="000A7165"/>
    <w:rsid w:val="000A73A4"/>
    <w:rsid w:val="000B06B8"/>
    <w:rsid w:val="000B0957"/>
    <w:rsid w:val="000B3F10"/>
    <w:rsid w:val="000B4185"/>
    <w:rsid w:val="000C06BC"/>
    <w:rsid w:val="000C127A"/>
    <w:rsid w:val="000C433E"/>
    <w:rsid w:val="000C4C0B"/>
    <w:rsid w:val="000C4EE7"/>
    <w:rsid w:val="000C500C"/>
    <w:rsid w:val="000D1538"/>
    <w:rsid w:val="000D6271"/>
    <w:rsid w:val="000E41D4"/>
    <w:rsid w:val="000F2238"/>
    <w:rsid w:val="000F28FB"/>
    <w:rsid w:val="000F72BF"/>
    <w:rsid w:val="000F7A39"/>
    <w:rsid w:val="00106184"/>
    <w:rsid w:val="0012081E"/>
    <w:rsid w:val="00140F3C"/>
    <w:rsid w:val="00140F9B"/>
    <w:rsid w:val="00142DAC"/>
    <w:rsid w:val="0014445E"/>
    <w:rsid w:val="00145DAD"/>
    <w:rsid w:val="001462D9"/>
    <w:rsid w:val="00150CA8"/>
    <w:rsid w:val="00166965"/>
    <w:rsid w:val="00166BE7"/>
    <w:rsid w:val="00170949"/>
    <w:rsid w:val="00173689"/>
    <w:rsid w:val="00177977"/>
    <w:rsid w:val="00191CBA"/>
    <w:rsid w:val="00193478"/>
    <w:rsid w:val="00194529"/>
    <w:rsid w:val="00196FAF"/>
    <w:rsid w:val="001A7E7A"/>
    <w:rsid w:val="001B2C5B"/>
    <w:rsid w:val="001C0C40"/>
    <w:rsid w:val="001C275E"/>
    <w:rsid w:val="001D5CEF"/>
    <w:rsid w:val="001E5881"/>
    <w:rsid w:val="001F05C2"/>
    <w:rsid w:val="001F4E8D"/>
    <w:rsid w:val="001F6AFA"/>
    <w:rsid w:val="001F6E05"/>
    <w:rsid w:val="0020232D"/>
    <w:rsid w:val="00212FA6"/>
    <w:rsid w:val="00215D25"/>
    <w:rsid w:val="00217010"/>
    <w:rsid w:val="002208C5"/>
    <w:rsid w:val="00221178"/>
    <w:rsid w:val="00226487"/>
    <w:rsid w:val="002320CE"/>
    <w:rsid w:val="00247E97"/>
    <w:rsid w:val="002541E2"/>
    <w:rsid w:val="002603A5"/>
    <w:rsid w:val="00280C82"/>
    <w:rsid w:val="0028249E"/>
    <w:rsid w:val="002961D6"/>
    <w:rsid w:val="002A3F7C"/>
    <w:rsid w:val="002B63FF"/>
    <w:rsid w:val="002C2180"/>
    <w:rsid w:val="002C344F"/>
    <w:rsid w:val="002D7068"/>
    <w:rsid w:val="002E22E9"/>
    <w:rsid w:val="002E63CD"/>
    <w:rsid w:val="002E6D9E"/>
    <w:rsid w:val="002F21B7"/>
    <w:rsid w:val="002F5645"/>
    <w:rsid w:val="00301532"/>
    <w:rsid w:val="0030494A"/>
    <w:rsid w:val="00317D89"/>
    <w:rsid w:val="0032131B"/>
    <w:rsid w:val="00331E90"/>
    <w:rsid w:val="00336D86"/>
    <w:rsid w:val="003462CA"/>
    <w:rsid w:val="00351CFA"/>
    <w:rsid w:val="00355055"/>
    <w:rsid w:val="00356726"/>
    <w:rsid w:val="00360992"/>
    <w:rsid w:val="00362D01"/>
    <w:rsid w:val="00365175"/>
    <w:rsid w:val="00367FE4"/>
    <w:rsid w:val="00371367"/>
    <w:rsid w:val="00371DA9"/>
    <w:rsid w:val="0038077D"/>
    <w:rsid w:val="003832DF"/>
    <w:rsid w:val="00383EBB"/>
    <w:rsid w:val="0038589F"/>
    <w:rsid w:val="003867F1"/>
    <w:rsid w:val="003936A4"/>
    <w:rsid w:val="003948F2"/>
    <w:rsid w:val="00397BA0"/>
    <w:rsid w:val="00397E52"/>
    <w:rsid w:val="003A638C"/>
    <w:rsid w:val="003B0DD9"/>
    <w:rsid w:val="003B781C"/>
    <w:rsid w:val="003D1669"/>
    <w:rsid w:val="003D21C9"/>
    <w:rsid w:val="003F23C1"/>
    <w:rsid w:val="00404384"/>
    <w:rsid w:val="004074BF"/>
    <w:rsid w:val="004160C6"/>
    <w:rsid w:val="00420BCE"/>
    <w:rsid w:val="0042247A"/>
    <w:rsid w:val="00425447"/>
    <w:rsid w:val="00433E41"/>
    <w:rsid w:val="00434930"/>
    <w:rsid w:val="00437BC4"/>
    <w:rsid w:val="00446CBF"/>
    <w:rsid w:val="00451678"/>
    <w:rsid w:val="00457983"/>
    <w:rsid w:val="00461E73"/>
    <w:rsid w:val="004718BF"/>
    <w:rsid w:val="004930ED"/>
    <w:rsid w:val="004A29D0"/>
    <w:rsid w:val="004A66DB"/>
    <w:rsid w:val="004B6952"/>
    <w:rsid w:val="004C6032"/>
    <w:rsid w:val="004D6878"/>
    <w:rsid w:val="004E2A16"/>
    <w:rsid w:val="004E2A27"/>
    <w:rsid w:val="004E6E44"/>
    <w:rsid w:val="004F1876"/>
    <w:rsid w:val="004F1A9A"/>
    <w:rsid w:val="004F25BF"/>
    <w:rsid w:val="004F5373"/>
    <w:rsid w:val="004F7885"/>
    <w:rsid w:val="005009AF"/>
    <w:rsid w:val="00502CC5"/>
    <w:rsid w:val="00504CA8"/>
    <w:rsid w:val="00507645"/>
    <w:rsid w:val="00510A3C"/>
    <w:rsid w:val="00514FBD"/>
    <w:rsid w:val="0053121B"/>
    <w:rsid w:val="005322F6"/>
    <w:rsid w:val="005364ED"/>
    <w:rsid w:val="00536524"/>
    <w:rsid w:val="00546624"/>
    <w:rsid w:val="00547FC9"/>
    <w:rsid w:val="0055397A"/>
    <w:rsid w:val="00560D0D"/>
    <w:rsid w:val="00582078"/>
    <w:rsid w:val="00582D82"/>
    <w:rsid w:val="005A508D"/>
    <w:rsid w:val="005A513A"/>
    <w:rsid w:val="005B26E4"/>
    <w:rsid w:val="005C064C"/>
    <w:rsid w:val="005D5A0B"/>
    <w:rsid w:val="005F01DB"/>
    <w:rsid w:val="00603EC5"/>
    <w:rsid w:val="00605015"/>
    <w:rsid w:val="00605915"/>
    <w:rsid w:val="00605E80"/>
    <w:rsid w:val="0060673B"/>
    <w:rsid w:val="00613249"/>
    <w:rsid w:val="00613573"/>
    <w:rsid w:val="00621CA9"/>
    <w:rsid w:val="00621CC4"/>
    <w:rsid w:val="00641A61"/>
    <w:rsid w:val="006449AF"/>
    <w:rsid w:val="00652360"/>
    <w:rsid w:val="00652E18"/>
    <w:rsid w:val="006539CF"/>
    <w:rsid w:val="006545EE"/>
    <w:rsid w:val="006702D6"/>
    <w:rsid w:val="00684E80"/>
    <w:rsid w:val="006876CD"/>
    <w:rsid w:val="00691B3F"/>
    <w:rsid w:val="00696B94"/>
    <w:rsid w:val="006A288B"/>
    <w:rsid w:val="006A577E"/>
    <w:rsid w:val="006A5F19"/>
    <w:rsid w:val="006B0F32"/>
    <w:rsid w:val="006B481D"/>
    <w:rsid w:val="006C3E3E"/>
    <w:rsid w:val="006C42A4"/>
    <w:rsid w:val="006D47D3"/>
    <w:rsid w:val="006E0EC0"/>
    <w:rsid w:val="006E74B0"/>
    <w:rsid w:val="006F1307"/>
    <w:rsid w:val="006F456D"/>
    <w:rsid w:val="007002E7"/>
    <w:rsid w:val="007004A0"/>
    <w:rsid w:val="00705FC6"/>
    <w:rsid w:val="00721F26"/>
    <w:rsid w:val="00723A38"/>
    <w:rsid w:val="0073235F"/>
    <w:rsid w:val="007352B5"/>
    <w:rsid w:val="00750902"/>
    <w:rsid w:val="0075503B"/>
    <w:rsid w:val="00755690"/>
    <w:rsid w:val="00757BAF"/>
    <w:rsid w:val="007629B1"/>
    <w:rsid w:val="00772A54"/>
    <w:rsid w:val="00780244"/>
    <w:rsid w:val="007876F0"/>
    <w:rsid w:val="0079002E"/>
    <w:rsid w:val="00791D07"/>
    <w:rsid w:val="007A50F5"/>
    <w:rsid w:val="007A56C3"/>
    <w:rsid w:val="007B3149"/>
    <w:rsid w:val="007B445B"/>
    <w:rsid w:val="007B564D"/>
    <w:rsid w:val="007D5480"/>
    <w:rsid w:val="007E357D"/>
    <w:rsid w:val="007F2D63"/>
    <w:rsid w:val="007F4456"/>
    <w:rsid w:val="007F4FB7"/>
    <w:rsid w:val="007F7EB9"/>
    <w:rsid w:val="00805A7A"/>
    <w:rsid w:val="008069C8"/>
    <w:rsid w:val="0081612E"/>
    <w:rsid w:val="0083371B"/>
    <w:rsid w:val="0084000D"/>
    <w:rsid w:val="0084233E"/>
    <w:rsid w:val="00847977"/>
    <w:rsid w:val="00855677"/>
    <w:rsid w:val="00857830"/>
    <w:rsid w:val="00863FCE"/>
    <w:rsid w:val="008717DD"/>
    <w:rsid w:val="0088065D"/>
    <w:rsid w:val="00883548"/>
    <w:rsid w:val="00885AE2"/>
    <w:rsid w:val="008A6FE0"/>
    <w:rsid w:val="008B13B7"/>
    <w:rsid w:val="008B32AA"/>
    <w:rsid w:val="008B58D5"/>
    <w:rsid w:val="008C4B1B"/>
    <w:rsid w:val="008D3765"/>
    <w:rsid w:val="008E4714"/>
    <w:rsid w:val="008E4A74"/>
    <w:rsid w:val="008E6E00"/>
    <w:rsid w:val="008F64E5"/>
    <w:rsid w:val="00904040"/>
    <w:rsid w:val="00914D22"/>
    <w:rsid w:val="00920CEC"/>
    <w:rsid w:val="00924A60"/>
    <w:rsid w:val="009320FA"/>
    <w:rsid w:val="00932BDC"/>
    <w:rsid w:val="00950E24"/>
    <w:rsid w:val="00953B4A"/>
    <w:rsid w:val="0096201A"/>
    <w:rsid w:val="0096479B"/>
    <w:rsid w:val="00965237"/>
    <w:rsid w:val="0097058F"/>
    <w:rsid w:val="0097566F"/>
    <w:rsid w:val="0098034A"/>
    <w:rsid w:val="00987230"/>
    <w:rsid w:val="00991D45"/>
    <w:rsid w:val="009955DF"/>
    <w:rsid w:val="0099678C"/>
    <w:rsid w:val="009A15B6"/>
    <w:rsid w:val="009D0520"/>
    <w:rsid w:val="009E6F3A"/>
    <w:rsid w:val="009E7BC8"/>
    <w:rsid w:val="009F105C"/>
    <w:rsid w:val="009F6FA0"/>
    <w:rsid w:val="009F7C0D"/>
    <w:rsid w:val="00A03523"/>
    <w:rsid w:val="00A10709"/>
    <w:rsid w:val="00A10B55"/>
    <w:rsid w:val="00A13215"/>
    <w:rsid w:val="00A17D38"/>
    <w:rsid w:val="00A241D6"/>
    <w:rsid w:val="00A352CE"/>
    <w:rsid w:val="00A368B5"/>
    <w:rsid w:val="00A4172D"/>
    <w:rsid w:val="00A4275F"/>
    <w:rsid w:val="00A513AA"/>
    <w:rsid w:val="00A5333C"/>
    <w:rsid w:val="00A53928"/>
    <w:rsid w:val="00A5504E"/>
    <w:rsid w:val="00A55D4E"/>
    <w:rsid w:val="00A5742F"/>
    <w:rsid w:val="00A60D81"/>
    <w:rsid w:val="00A6356F"/>
    <w:rsid w:val="00A664C3"/>
    <w:rsid w:val="00A703B9"/>
    <w:rsid w:val="00A74F06"/>
    <w:rsid w:val="00A75E20"/>
    <w:rsid w:val="00A81FA0"/>
    <w:rsid w:val="00A84EF7"/>
    <w:rsid w:val="00A94FB0"/>
    <w:rsid w:val="00AA2D78"/>
    <w:rsid w:val="00AA3B46"/>
    <w:rsid w:val="00AA417F"/>
    <w:rsid w:val="00AB144B"/>
    <w:rsid w:val="00AB39D3"/>
    <w:rsid w:val="00AB4C9D"/>
    <w:rsid w:val="00AB6C66"/>
    <w:rsid w:val="00AC5FA8"/>
    <w:rsid w:val="00AD09EF"/>
    <w:rsid w:val="00AD7131"/>
    <w:rsid w:val="00AE55C3"/>
    <w:rsid w:val="00B06021"/>
    <w:rsid w:val="00B109AC"/>
    <w:rsid w:val="00B12224"/>
    <w:rsid w:val="00B16F02"/>
    <w:rsid w:val="00B251D9"/>
    <w:rsid w:val="00B334B1"/>
    <w:rsid w:val="00B368F0"/>
    <w:rsid w:val="00B40BC0"/>
    <w:rsid w:val="00B4504A"/>
    <w:rsid w:val="00B4539F"/>
    <w:rsid w:val="00B57265"/>
    <w:rsid w:val="00B60A18"/>
    <w:rsid w:val="00B62A66"/>
    <w:rsid w:val="00B64BD4"/>
    <w:rsid w:val="00B65851"/>
    <w:rsid w:val="00B7234D"/>
    <w:rsid w:val="00B86848"/>
    <w:rsid w:val="00B90080"/>
    <w:rsid w:val="00B92902"/>
    <w:rsid w:val="00B92C31"/>
    <w:rsid w:val="00B95676"/>
    <w:rsid w:val="00BA2364"/>
    <w:rsid w:val="00BA3CED"/>
    <w:rsid w:val="00BB4AC4"/>
    <w:rsid w:val="00BC401D"/>
    <w:rsid w:val="00BD2DE1"/>
    <w:rsid w:val="00BE5546"/>
    <w:rsid w:val="00BE6315"/>
    <w:rsid w:val="00C02D51"/>
    <w:rsid w:val="00C12749"/>
    <w:rsid w:val="00C252A1"/>
    <w:rsid w:val="00C301F5"/>
    <w:rsid w:val="00C344E6"/>
    <w:rsid w:val="00C35B63"/>
    <w:rsid w:val="00C42EA1"/>
    <w:rsid w:val="00C473EC"/>
    <w:rsid w:val="00C72F0F"/>
    <w:rsid w:val="00C73442"/>
    <w:rsid w:val="00C7596F"/>
    <w:rsid w:val="00C80D98"/>
    <w:rsid w:val="00C8579B"/>
    <w:rsid w:val="00C9012F"/>
    <w:rsid w:val="00C960EE"/>
    <w:rsid w:val="00C96AC5"/>
    <w:rsid w:val="00CA24D8"/>
    <w:rsid w:val="00CA5102"/>
    <w:rsid w:val="00CB0715"/>
    <w:rsid w:val="00CB7B8C"/>
    <w:rsid w:val="00CC11A9"/>
    <w:rsid w:val="00CC269E"/>
    <w:rsid w:val="00CC640B"/>
    <w:rsid w:val="00CD126C"/>
    <w:rsid w:val="00CE7C70"/>
    <w:rsid w:val="00D01D40"/>
    <w:rsid w:val="00D0290F"/>
    <w:rsid w:val="00D03F90"/>
    <w:rsid w:val="00D110B5"/>
    <w:rsid w:val="00D134E5"/>
    <w:rsid w:val="00D34E62"/>
    <w:rsid w:val="00D46D9B"/>
    <w:rsid w:val="00D51D9D"/>
    <w:rsid w:val="00D676D2"/>
    <w:rsid w:val="00D80F40"/>
    <w:rsid w:val="00D81DBB"/>
    <w:rsid w:val="00D858DF"/>
    <w:rsid w:val="00D85D3D"/>
    <w:rsid w:val="00D85F66"/>
    <w:rsid w:val="00D9018C"/>
    <w:rsid w:val="00D94637"/>
    <w:rsid w:val="00DB28AF"/>
    <w:rsid w:val="00DC56C9"/>
    <w:rsid w:val="00DF1FD4"/>
    <w:rsid w:val="00DF60DD"/>
    <w:rsid w:val="00E0383D"/>
    <w:rsid w:val="00E06801"/>
    <w:rsid w:val="00E11CE0"/>
    <w:rsid w:val="00E21711"/>
    <w:rsid w:val="00E27E1A"/>
    <w:rsid w:val="00E30DAB"/>
    <w:rsid w:val="00E355A3"/>
    <w:rsid w:val="00E4038C"/>
    <w:rsid w:val="00E42F8C"/>
    <w:rsid w:val="00E5597B"/>
    <w:rsid w:val="00E611B2"/>
    <w:rsid w:val="00E668A7"/>
    <w:rsid w:val="00E707B6"/>
    <w:rsid w:val="00E76075"/>
    <w:rsid w:val="00E767F3"/>
    <w:rsid w:val="00E822FF"/>
    <w:rsid w:val="00EC04A3"/>
    <w:rsid w:val="00EC157B"/>
    <w:rsid w:val="00EC33D2"/>
    <w:rsid w:val="00EC52B0"/>
    <w:rsid w:val="00ED37B9"/>
    <w:rsid w:val="00ED5854"/>
    <w:rsid w:val="00EE4912"/>
    <w:rsid w:val="00F019DB"/>
    <w:rsid w:val="00F02467"/>
    <w:rsid w:val="00F06290"/>
    <w:rsid w:val="00F167FA"/>
    <w:rsid w:val="00F23E48"/>
    <w:rsid w:val="00F33A65"/>
    <w:rsid w:val="00F43AC1"/>
    <w:rsid w:val="00F43F73"/>
    <w:rsid w:val="00F50C8C"/>
    <w:rsid w:val="00F51EEC"/>
    <w:rsid w:val="00F62F82"/>
    <w:rsid w:val="00F847F4"/>
    <w:rsid w:val="00FA66C9"/>
    <w:rsid w:val="00FB4F48"/>
    <w:rsid w:val="00FC1BB3"/>
    <w:rsid w:val="00FC4DB2"/>
    <w:rsid w:val="00FF3B4B"/>
    <w:rsid w:val="00FF7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5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9F6F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7F4FB7"/>
    <w:pPr>
      <w:spacing w:after="0" w:line="240" w:lineRule="auto"/>
    </w:pPr>
  </w:style>
  <w:style w:type="character" w:styleId="a4">
    <w:name w:val="Hyperlink"/>
    <w:basedOn w:val="a0"/>
    <w:uiPriority w:val="99"/>
    <w:unhideWhenUsed/>
    <w:rsid w:val="00336D86"/>
    <w:rPr>
      <w:color w:val="0563C1" w:themeColor="hyperlink"/>
      <w:u w:val="single"/>
    </w:rPr>
  </w:style>
  <w:style w:type="character" w:customStyle="1" w:styleId="UnresolvedMention1">
    <w:name w:val="Unresolved Mention1"/>
    <w:basedOn w:val="a0"/>
    <w:uiPriority w:val="99"/>
    <w:semiHidden/>
    <w:unhideWhenUsed/>
    <w:rsid w:val="00336D86"/>
    <w:rPr>
      <w:color w:val="605E5C"/>
      <w:shd w:val="clear" w:color="auto" w:fill="E1DFDD"/>
    </w:rPr>
  </w:style>
  <w:style w:type="paragraph" w:customStyle="1" w:styleId="EndNoteBibliographyTitle">
    <w:name w:val="EndNote Bibliography Title"/>
    <w:basedOn w:val="a"/>
    <w:link w:val="EndNoteBibliographyTitleChar"/>
    <w:rsid w:val="00360992"/>
    <w:pPr>
      <w:spacing w:after="0"/>
      <w:jc w:val="center"/>
    </w:pPr>
    <w:rPr>
      <w:rFonts w:ascii="Calibri" w:hAnsi="Calibri" w:cs="Calibri"/>
      <w:noProof/>
    </w:rPr>
  </w:style>
  <w:style w:type="character" w:customStyle="1" w:styleId="Char">
    <w:name w:val="无间隔 Char"/>
    <w:basedOn w:val="a0"/>
    <w:link w:val="a3"/>
    <w:uiPriority w:val="1"/>
    <w:rsid w:val="00360992"/>
  </w:style>
  <w:style w:type="character" w:customStyle="1" w:styleId="EndNoteBibliographyTitleChar">
    <w:name w:val="EndNote Bibliography Title Char"/>
    <w:basedOn w:val="Char"/>
    <w:link w:val="EndNoteBibliographyTitle"/>
    <w:rsid w:val="00360992"/>
    <w:rPr>
      <w:rFonts w:ascii="Calibri" w:hAnsi="Calibri" w:cs="Calibri"/>
      <w:noProof/>
    </w:rPr>
  </w:style>
  <w:style w:type="paragraph" w:customStyle="1" w:styleId="EndNoteBibliography">
    <w:name w:val="EndNote Bibliography"/>
    <w:basedOn w:val="a"/>
    <w:link w:val="EndNoteBibliographyChar"/>
    <w:rsid w:val="00360992"/>
    <w:pPr>
      <w:spacing w:line="240" w:lineRule="auto"/>
    </w:pPr>
    <w:rPr>
      <w:rFonts w:ascii="Calibri" w:hAnsi="Calibri" w:cs="Calibri"/>
      <w:noProof/>
    </w:rPr>
  </w:style>
  <w:style w:type="character" w:customStyle="1" w:styleId="EndNoteBibliographyChar">
    <w:name w:val="EndNote Bibliography Char"/>
    <w:basedOn w:val="Char"/>
    <w:link w:val="EndNoteBibliography"/>
    <w:rsid w:val="00360992"/>
    <w:rPr>
      <w:rFonts w:ascii="Calibri" w:hAnsi="Calibri" w:cs="Calibri"/>
      <w:noProof/>
    </w:rPr>
  </w:style>
  <w:style w:type="character" w:styleId="a5">
    <w:name w:val="annotation reference"/>
    <w:basedOn w:val="a0"/>
    <w:uiPriority w:val="99"/>
    <w:semiHidden/>
    <w:unhideWhenUsed/>
    <w:rsid w:val="004E2A27"/>
    <w:rPr>
      <w:sz w:val="16"/>
      <w:szCs w:val="16"/>
    </w:rPr>
  </w:style>
  <w:style w:type="paragraph" w:styleId="a6">
    <w:name w:val="annotation text"/>
    <w:basedOn w:val="a"/>
    <w:link w:val="Char0"/>
    <w:uiPriority w:val="99"/>
    <w:unhideWhenUsed/>
    <w:rsid w:val="004E2A27"/>
    <w:pPr>
      <w:spacing w:line="240" w:lineRule="auto"/>
    </w:pPr>
    <w:rPr>
      <w:sz w:val="20"/>
      <w:szCs w:val="20"/>
    </w:rPr>
  </w:style>
  <w:style w:type="character" w:customStyle="1" w:styleId="Char0">
    <w:name w:val="批注文字 Char"/>
    <w:basedOn w:val="a0"/>
    <w:link w:val="a6"/>
    <w:uiPriority w:val="99"/>
    <w:rsid w:val="004E2A27"/>
    <w:rPr>
      <w:sz w:val="20"/>
      <w:szCs w:val="20"/>
    </w:rPr>
  </w:style>
  <w:style w:type="paragraph" w:styleId="a7">
    <w:name w:val="annotation subject"/>
    <w:basedOn w:val="a6"/>
    <w:next w:val="a6"/>
    <w:link w:val="Char1"/>
    <w:uiPriority w:val="99"/>
    <w:semiHidden/>
    <w:unhideWhenUsed/>
    <w:rsid w:val="004E2A27"/>
    <w:rPr>
      <w:b/>
      <w:bCs/>
    </w:rPr>
  </w:style>
  <w:style w:type="character" w:customStyle="1" w:styleId="Char1">
    <w:name w:val="批注主题 Char"/>
    <w:basedOn w:val="Char0"/>
    <w:link w:val="a7"/>
    <w:uiPriority w:val="99"/>
    <w:semiHidden/>
    <w:rsid w:val="004E2A27"/>
    <w:rPr>
      <w:b/>
      <w:bCs/>
      <w:sz w:val="20"/>
      <w:szCs w:val="20"/>
    </w:rPr>
  </w:style>
  <w:style w:type="paragraph" w:styleId="a8">
    <w:name w:val="Balloon Text"/>
    <w:basedOn w:val="a"/>
    <w:link w:val="Char2"/>
    <w:uiPriority w:val="99"/>
    <w:semiHidden/>
    <w:unhideWhenUsed/>
    <w:rsid w:val="004E2A27"/>
    <w:pPr>
      <w:spacing w:after="0" w:line="240" w:lineRule="auto"/>
    </w:pPr>
    <w:rPr>
      <w:rFonts w:ascii="Segoe UI" w:hAnsi="Segoe UI" w:cs="Segoe UI"/>
      <w:sz w:val="18"/>
      <w:szCs w:val="18"/>
    </w:rPr>
  </w:style>
  <w:style w:type="character" w:customStyle="1" w:styleId="Char2">
    <w:name w:val="批注框文本 Char"/>
    <w:basedOn w:val="a0"/>
    <w:link w:val="a8"/>
    <w:uiPriority w:val="99"/>
    <w:semiHidden/>
    <w:rsid w:val="004E2A27"/>
    <w:rPr>
      <w:rFonts w:ascii="Segoe UI" w:hAnsi="Segoe UI" w:cs="Segoe UI"/>
      <w:sz w:val="18"/>
      <w:szCs w:val="18"/>
    </w:rPr>
  </w:style>
  <w:style w:type="character" w:customStyle="1" w:styleId="2Char">
    <w:name w:val="标题 2 Char"/>
    <w:basedOn w:val="a0"/>
    <w:link w:val="2"/>
    <w:uiPriority w:val="9"/>
    <w:rsid w:val="009F6FA0"/>
    <w:rPr>
      <w:rFonts w:ascii="Times New Roman" w:eastAsia="Times New Roman" w:hAnsi="Times New Roman" w:cs="Times New Roman"/>
      <w:b/>
      <w:bCs/>
      <w:sz w:val="36"/>
      <w:szCs w:val="36"/>
    </w:rPr>
  </w:style>
  <w:style w:type="character" w:styleId="a9">
    <w:name w:val="FollowedHyperlink"/>
    <w:basedOn w:val="a0"/>
    <w:uiPriority w:val="99"/>
    <w:semiHidden/>
    <w:unhideWhenUsed/>
    <w:rsid w:val="00D51D9D"/>
    <w:rPr>
      <w:color w:val="954F72" w:themeColor="followedHyperlink"/>
      <w:u w:val="single"/>
    </w:rPr>
  </w:style>
  <w:style w:type="character" w:customStyle="1" w:styleId="tl8wme">
    <w:name w:val="tl8wme"/>
    <w:basedOn w:val="a0"/>
    <w:rsid w:val="00B06021"/>
  </w:style>
  <w:style w:type="character" w:customStyle="1" w:styleId="ur">
    <w:name w:val="ur"/>
    <w:basedOn w:val="a0"/>
    <w:rsid w:val="00A352CE"/>
  </w:style>
  <w:style w:type="character" w:customStyle="1" w:styleId="vpqmgb">
    <w:name w:val="vpqmgb"/>
    <w:basedOn w:val="a0"/>
    <w:rsid w:val="00A352CE"/>
  </w:style>
  <w:style w:type="character" w:customStyle="1" w:styleId="sv">
    <w:name w:val="sv"/>
    <w:basedOn w:val="a0"/>
    <w:rsid w:val="00A352CE"/>
  </w:style>
  <w:style w:type="paragraph" w:styleId="aa">
    <w:name w:val="header"/>
    <w:basedOn w:val="a"/>
    <w:link w:val="Char3"/>
    <w:uiPriority w:val="99"/>
    <w:unhideWhenUsed/>
    <w:rsid w:val="00F847F4"/>
    <w:pPr>
      <w:tabs>
        <w:tab w:val="center" w:pos="4680"/>
        <w:tab w:val="right" w:pos="9360"/>
      </w:tabs>
      <w:spacing w:after="0" w:line="240" w:lineRule="auto"/>
    </w:pPr>
  </w:style>
  <w:style w:type="character" w:customStyle="1" w:styleId="Char3">
    <w:name w:val="页眉 Char"/>
    <w:basedOn w:val="a0"/>
    <w:link w:val="aa"/>
    <w:uiPriority w:val="99"/>
    <w:rsid w:val="00F847F4"/>
  </w:style>
  <w:style w:type="paragraph" w:styleId="ab">
    <w:name w:val="footer"/>
    <w:basedOn w:val="a"/>
    <w:link w:val="Char4"/>
    <w:uiPriority w:val="99"/>
    <w:unhideWhenUsed/>
    <w:rsid w:val="00F847F4"/>
    <w:pPr>
      <w:tabs>
        <w:tab w:val="center" w:pos="4680"/>
        <w:tab w:val="right" w:pos="9360"/>
      </w:tabs>
      <w:spacing w:after="0" w:line="240" w:lineRule="auto"/>
    </w:pPr>
  </w:style>
  <w:style w:type="character" w:customStyle="1" w:styleId="Char4">
    <w:name w:val="页脚 Char"/>
    <w:basedOn w:val="a0"/>
    <w:link w:val="ab"/>
    <w:uiPriority w:val="99"/>
    <w:rsid w:val="00F847F4"/>
  </w:style>
  <w:style w:type="character" w:styleId="ac">
    <w:name w:val="line number"/>
    <w:basedOn w:val="a0"/>
    <w:uiPriority w:val="99"/>
    <w:semiHidden/>
    <w:unhideWhenUsed/>
    <w:rsid w:val="00FF3B4B"/>
  </w:style>
  <w:style w:type="table" w:styleId="ad">
    <w:name w:val="Table Grid"/>
    <w:basedOn w:val="a1"/>
    <w:uiPriority w:val="39"/>
    <w:rsid w:val="00FB4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a1"/>
    <w:uiPriority w:val="43"/>
    <w:rsid w:val="00FB4F4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e">
    <w:name w:val="Revision"/>
    <w:hidden/>
    <w:uiPriority w:val="99"/>
    <w:semiHidden/>
    <w:rsid w:val="00221178"/>
    <w:pPr>
      <w:spacing w:after="0" w:line="240" w:lineRule="auto"/>
    </w:pPr>
  </w:style>
  <w:style w:type="paragraph" w:customStyle="1" w:styleId="1">
    <w:name w:val="正文1"/>
    <w:uiPriority w:val="99"/>
    <w:rsid w:val="00F33A65"/>
    <w:pPr>
      <w:spacing w:after="0" w:line="276" w:lineRule="auto"/>
    </w:pPr>
    <w:rPr>
      <w:rFonts w:ascii="Arial" w:eastAsia="宋体" w:hAnsi="Arial" w:cs="Arial"/>
      <w:color w:val="000000"/>
      <w:szCs w:val="20"/>
      <w:lang w:val="pl-PL" w:eastAsia="pl-PL"/>
    </w:rPr>
  </w:style>
  <w:style w:type="paragraph" w:customStyle="1" w:styleId="p1">
    <w:name w:val="p1"/>
    <w:basedOn w:val="a"/>
    <w:rsid w:val="00F33A65"/>
    <w:pPr>
      <w:spacing w:after="0" w:line="240" w:lineRule="auto"/>
    </w:pPr>
    <w:rPr>
      <w:rFonts w:ascii="Helvetica" w:hAnsi="Helvetica" w:cs="Times New Roman"/>
      <w:sz w:val="18"/>
      <w:szCs w:val="18"/>
      <w:lang w:eastAsia="zh-CN"/>
    </w:rPr>
  </w:style>
  <w:style w:type="character" w:styleId="af">
    <w:name w:val="Strong"/>
    <w:basedOn w:val="a0"/>
    <w:uiPriority w:val="22"/>
    <w:qFormat/>
    <w:rsid w:val="00F33A65"/>
    <w:rPr>
      <w:b/>
      <w:bCs/>
    </w:rPr>
  </w:style>
  <w:style w:type="paragraph" w:styleId="af0">
    <w:name w:val="List Paragraph"/>
    <w:basedOn w:val="a"/>
    <w:uiPriority w:val="34"/>
    <w:qFormat/>
    <w:rsid w:val="00F33A65"/>
    <w:pPr>
      <w:widowControl w:val="0"/>
      <w:spacing w:after="0" w:line="240" w:lineRule="auto"/>
      <w:ind w:firstLineChars="200" w:firstLine="420"/>
      <w:jc w:val="both"/>
    </w:pPr>
    <w:rPr>
      <w:kern w:val="2"/>
      <w:sz w:val="21"/>
      <w:lang w:eastAsia="zh-CN"/>
    </w:rPr>
  </w:style>
  <w:style w:type="paragraph" w:customStyle="1" w:styleId="6">
    <w:name w:val="样式6"/>
    <w:link w:val="6Char"/>
    <w:qFormat/>
    <w:rsid w:val="006A5F19"/>
    <w:pPr>
      <w:spacing w:after="0" w:line="240" w:lineRule="auto"/>
      <w:ind w:left="1800" w:hangingChars="1000" w:hanging="1800"/>
      <w:jc w:val="both"/>
    </w:pPr>
    <w:rPr>
      <w:rFonts w:ascii="Times New Roman" w:hAnsi="Times New Roman"/>
      <w:color w:val="000000"/>
      <w:kern w:val="2"/>
      <w:sz w:val="18"/>
      <w:szCs w:val="18"/>
      <w:lang w:eastAsia="zh-CN"/>
    </w:rPr>
  </w:style>
  <w:style w:type="character" w:customStyle="1" w:styleId="6Char">
    <w:name w:val="样式6 Char"/>
    <w:basedOn w:val="a0"/>
    <w:link w:val="6"/>
    <w:rsid w:val="006A5F19"/>
    <w:rPr>
      <w:rFonts w:ascii="Times New Roman" w:hAnsi="Times New Roman"/>
      <w:color w:val="000000"/>
      <w:kern w:val="2"/>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9F6F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7F4FB7"/>
    <w:pPr>
      <w:spacing w:after="0" w:line="240" w:lineRule="auto"/>
    </w:pPr>
  </w:style>
  <w:style w:type="character" w:styleId="a4">
    <w:name w:val="Hyperlink"/>
    <w:basedOn w:val="a0"/>
    <w:uiPriority w:val="99"/>
    <w:unhideWhenUsed/>
    <w:rsid w:val="00336D86"/>
    <w:rPr>
      <w:color w:val="0563C1" w:themeColor="hyperlink"/>
      <w:u w:val="single"/>
    </w:rPr>
  </w:style>
  <w:style w:type="character" w:customStyle="1" w:styleId="UnresolvedMention1">
    <w:name w:val="Unresolved Mention1"/>
    <w:basedOn w:val="a0"/>
    <w:uiPriority w:val="99"/>
    <w:semiHidden/>
    <w:unhideWhenUsed/>
    <w:rsid w:val="00336D86"/>
    <w:rPr>
      <w:color w:val="605E5C"/>
      <w:shd w:val="clear" w:color="auto" w:fill="E1DFDD"/>
    </w:rPr>
  </w:style>
  <w:style w:type="paragraph" w:customStyle="1" w:styleId="EndNoteBibliographyTitle">
    <w:name w:val="EndNote Bibliography Title"/>
    <w:basedOn w:val="a"/>
    <w:link w:val="EndNoteBibliographyTitleChar"/>
    <w:rsid w:val="00360992"/>
    <w:pPr>
      <w:spacing w:after="0"/>
      <w:jc w:val="center"/>
    </w:pPr>
    <w:rPr>
      <w:rFonts w:ascii="Calibri" w:hAnsi="Calibri" w:cs="Calibri"/>
      <w:noProof/>
    </w:rPr>
  </w:style>
  <w:style w:type="character" w:customStyle="1" w:styleId="Char">
    <w:name w:val="无间隔 Char"/>
    <w:basedOn w:val="a0"/>
    <w:link w:val="a3"/>
    <w:uiPriority w:val="1"/>
    <w:rsid w:val="00360992"/>
  </w:style>
  <w:style w:type="character" w:customStyle="1" w:styleId="EndNoteBibliographyTitleChar">
    <w:name w:val="EndNote Bibliography Title Char"/>
    <w:basedOn w:val="Char"/>
    <w:link w:val="EndNoteBibliographyTitle"/>
    <w:rsid w:val="00360992"/>
    <w:rPr>
      <w:rFonts w:ascii="Calibri" w:hAnsi="Calibri" w:cs="Calibri"/>
      <w:noProof/>
    </w:rPr>
  </w:style>
  <w:style w:type="paragraph" w:customStyle="1" w:styleId="EndNoteBibliography">
    <w:name w:val="EndNote Bibliography"/>
    <w:basedOn w:val="a"/>
    <w:link w:val="EndNoteBibliographyChar"/>
    <w:rsid w:val="00360992"/>
    <w:pPr>
      <w:spacing w:line="240" w:lineRule="auto"/>
    </w:pPr>
    <w:rPr>
      <w:rFonts w:ascii="Calibri" w:hAnsi="Calibri" w:cs="Calibri"/>
      <w:noProof/>
    </w:rPr>
  </w:style>
  <w:style w:type="character" w:customStyle="1" w:styleId="EndNoteBibliographyChar">
    <w:name w:val="EndNote Bibliography Char"/>
    <w:basedOn w:val="Char"/>
    <w:link w:val="EndNoteBibliography"/>
    <w:rsid w:val="00360992"/>
    <w:rPr>
      <w:rFonts w:ascii="Calibri" w:hAnsi="Calibri" w:cs="Calibri"/>
      <w:noProof/>
    </w:rPr>
  </w:style>
  <w:style w:type="character" w:styleId="a5">
    <w:name w:val="annotation reference"/>
    <w:basedOn w:val="a0"/>
    <w:uiPriority w:val="99"/>
    <w:semiHidden/>
    <w:unhideWhenUsed/>
    <w:rsid w:val="004E2A27"/>
    <w:rPr>
      <w:sz w:val="16"/>
      <w:szCs w:val="16"/>
    </w:rPr>
  </w:style>
  <w:style w:type="paragraph" w:styleId="a6">
    <w:name w:val="annotation text"/>
    <w:basedOn w:val="a"/>
    <w:link w:val="Char0"/>
    <w:uiPriority w:val="99"/>
    <w:unhideWhenUsed/>
    <w:rsid w:val="004E2A27"/>
    <w:pPr>
      <w:spacing w:line="240" w:lineRule="auto"/>
    </w:pPr>
    <w:rPr>
      <w:sz w:val="20"/>
      <w:szCs w:val="20"/>
    </w:rPr>
  </w:style>
  <w:style w:type="character" w:customStyle="1" w:styleId="Char0">
    <w:name w:val="批注文字 Char"/>
    <w:basedOn w:val="a0"/>
    <w:link w:val="a6"/>
    <w:uiPriority w:val="99"/>
    <w:rsid w:val="004E2A27"/>
    <w:rPr>
      <w:sz w:val="20"/>
      <w:szCs w:val="20"/>
    </w:rPr>
  </w:style>
  <w:style w:type="paragraph" w:styleId="a7">
    <w:name w:val="annotation subject"/>
    <w:basedOn w:val="a6"/>
    <w:next w:val="a6"/>
    <w:link w:val="Char1"/>
    <w:uiPriority w:val="99"/>
    <w:semiHidden/>
    <w:unhideWhenUsed/>
    <w:rsid w:val="004E2A27"/>
    <w:rPr>
      <w:b/>
      <w:bCs/>
    </w:rPr>
  </w:style>
  <w:style w:type="character" w:customStyle="1" w:styleId="Char1">
    <w:name w:val="批注主题 Char"/>
    <w:basedOn w:val="Char0"/>
    <w:link w:val="a7"/>
    <w:uiPriority w:val="99"/>
    <w:semiHidden/>
    <w:rsid w:val="004E2A27"/>
    <w:rPr>
      <w:b/>
      <w:bCs/>
      <w:sz w:val="20"/>
      <w:szCs w:val="20"/>
    </w:rPr>
  </w:style>
  <w:style w:type="paragraph" w:styleId="a8">
    <w:name w:val="Balloon Text"/>
    <w:basedOn w:val="a"/>
    <w:link w:val="Char2"/>
    <w:uiPriority w:val="99"/>
    <w:semiHidden/>
    <w:unhideWhenUsed/>
    <w:rsid w:val="004E2A27"/>
    <w:pPr>
      <w:spacing w:after="0" w:line="240" w:lineRule="auto"/>
    </w:pPr>
    <w:rPr>
      <w:rFonts w:ascii="Segoe UI" w:hAnsi="Segoe UI" w:cs="Segoe UI"/>
      <w:sz w:val="18"/>
      <w:szCs w:val="18"/>
    </w:rPr>
  </w:style>
  <w:style w:type="character" w:customStyle="1" w:styleId="Char2">
    <w:name w:val="批注框文本 Char"/>
    <w:basedOn w:val="a0"/>
    <w:link w:val="a8"/>
    <w:uiPriority w:val="99"/>
    <w:semiHidden/>
    <w:rsid w:val="004E2A27"/>
    <w:rPr>
      <w:rFonts w:ascii="Segoe UI" w:hAnsi="Segoe UI" w:cs="Segoe UI"/>
      <w:sz w:val="18"/>
      <w:szCs w:val="18"/>
    </w:rPr>
  </w:style>
  <w:style w:type="character" w:customStyle="1" w:styleId="2Char">
    <w:name w:val="标题 2 Char"/>
    <w:basedOn w:val="a0"/>
    <w:link w:val="2"/>
    <w:uiPriority w:val="9"/>
    <w:rsid w:val="009F6FA0"/>
    <w:rPr>
      <w:rFonts w:ascii="Times New Roman" w:eastAsia="Times New Roman" w:hAnsi="Times New Roman" w:cs="Times New Roman"/>
      <w:b/>
      <w:bCs/>
      <w:sz w:val="36"/>
      <w:szCs w:val="36"/>
    </w:rPr>
  </w:style>
  <w:style w:type="character" w:styleId="a9">
    <w:name w:val="FollowedHyperlink"/>
    <w:basedOn w:val="a0"/>
    <w:uiPriority w:val="99"/>
    <w:semiHidden/>
    <w:unhideWhenUsed/>
    <w:rsid w:val="00D51D9D"/>
    <w:rPr>
      <w:color w:val="954F72" w:themeColor="followedHyperlink"/>
      <w:u w:val="single"/>
    </w:rPr>
  </w:style>
  <w:style w:type="character" w:customStyle="1" w:styleId="tl8wme">
    <w:name w:val="tl8wme"/>
    <w:basedOn w:val="a0"/>
    <w:rsid w:val="00B06021"/>
  </w:style>
  <w:style w:type="character" w:customStyle="1" w:styleId="ur">
    <w:name w:val="ur"/>
    <w:basedOn w:val="a0"/>
    <w:rsid w:val="00A352CE"/>
  </w:style>
  <w:style w:type="character" w:customStyle="1" w:styleId="vpqmgb">
    <w:name w:val="vpqmgb"/>
    <w:basedOn w:val="a0"/>
    <w:rsid w:val="00A352CE"/>
  </w:style>
  <w:style w:type="character" w:customStyle="1" w:styleId="sv">
    <w:name w:val="sv"/>
    <w:basedOn w:val="a0"/>
    <w:rsid w:val="00A352CE"/>
  </w:style>
  <w:style w:type="paragraph" w:styleId="aa">
    <w:name w:val="header"/>
    <w:basedOn w:val="a"/>
    <w:link w:val="Char3"/>
    <w:uiPriority w:val="99"/>
    <w:unhideWhenUsed/>
    <w:rsid w:val="00F847F4"/>
    <w:pPr>
      <w:tabs>
        <w:tab w:val="center" w:pos="4680"/>
        <w:tab w:val="right" w:pos="9360"/>
      </w:tabs>
      <w:spacing w:after="0" w:line="240" w:lineRule="auto"/>
    </w:pPr>
  </w:style>
  <w:style w:type="character" w:customStyle="1" w:styleId="Char3">
    <w:name w:val="页眉 Char"/>
    <w:basedOn w:val="a0"/>
    <w:link w:val="aa"/>
    <w:uiPriority w:val="99"/>
    <w:rsid w:val="00F847F4"/>
  </w:style>
  <w:style w:type="paragraph" w:styleId="ab">
    <w:name w:val="footer"/>
    <w:basedOn w:val="a"/>
    <w:link w:val="Char4"/>
    <w:uiPriority w:val="99"/>
    <w:unhideWhenUsed/>
    <w:rsid w:val="00F847F4"/>
    <w:pPr>
      <w:tabs>
        <w:tab w:val="center" w:pos="4680"/>
        <w:tab w:val="right" w:pos="9360"/>
      </w:tabs>
      <w:spacing w:after="0" w:line="240" w:lineRule="auto"/>
    </w:pPr>
  </w:style>
  <w:style w:type="character" w:customStyle="1" w:styleId="Char4">
    <w:name w:val="页脚 Char"/>
    <w:basedOn w:val="a0"/>
    <w:link w:val="ab"/>
    <w:uiPriority w:val="99"/>
    <w:rsid w:val="00F847F4"/>
  </w:style>
  <w:style w:type="character" w:styleId="ac">
    <w:name w:val="line number"/>
    <w:basedOn w:val="a0"/>
    <w:uiPriority w:val="99"/>
    <w:semiHidden/>
    <w:unhideWhenUsed/>
    <w:rsid w:val="00FF3B4B"/>
  </w:style>
  <w:style w:type="table" w:styleId="ad">
    <w:name w:val="Table Grid"/>
    <w:basedOn w:val="a1"/>
    <w:uiPriority w:val="39"/>
    <w:rsid w:val="00FB4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a1"/>
    <w:uiPriority w:val="43"/>
    <w:rsid w:val="00FB4F4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e">
    <w:name w:val="Revision"/>
    <w:hidden/>
    <w:uiPriority w:val="99"/>
    <w:semiHidden/>
    <w:rsid w:val="00221178"/>
    <w:pPr>
      <w:spacing w:after="0" w:line="240" w:lineRule="auto"/>
    </w:pPr>
  </w:style>
  <w:style w:type="paragraph" w:customStyle="1" w:styleId="1">
    <w:name w:val="正文1"/>
    <w:uiPriority w:val="99"/>
    <w:rsid w:val="00F33A65"/>
    <w:pPr>
      <w:spacing w:after="0" w:line="276" w:lineRule="auto"/>
    </w:pPr>
    <w:rPr>
      <w:rFonts w:ascii="Arial" w:eastAsia="宋体" w:hAnsi="Arial" w:cs="Arial"/>
      <w:color w:val="000000"/>
      <w:szCs w:val="20"/>
      <w:lang w:val="pl-PL" w:eastAsia="pl-PL"/>
    </w:rPr>
  </w:style>
  <w:style w:type="paragraph" w:customStyle="1" w:styleId="p1">
    <w:name w:val="p1"/>
    <w:basedOn w:val="a"/>
    <w:rsid w:val="00F33A65"/>
    <w:pPr>
      <w:spacing w:after="0" w:line="240" w:lineRule="auto"/>
    </w:pPr>
    <w:rPr>
      <w:rFonts w:ascii="Helvetica" w:hAnsi="Helvetica" w:cs="Times New Roman"/>
      <w:sz w:val="18"/>
      <w:szCs w:val="18"/>
      <w:lang w:eastAsia="zh-CN"/>
    </w:rPr>
  </w:style>
  <w:style w:type="character" w:styleId="af">
    <w:name w:val="Strong"/>
    <w:basedOn w:val="a0"/>
    <w:uiPriority w:val="22"/>
    <w:qFormat/>
    <w:rsid w:val="00F33A65"/>
    <w:rPr>
      <w:b/>
      <w:bCs/>
    </w:rPr>
  </w:style>
  <w:style w:type="paragraph" w:styleId="af0">
    <w:name w:val="List Paragraph"/>
    <w:basedOn w:val="a"/>
    <w:uiPriority w:val="34"/>
    <w:qFormat/>
    <w:rsid w:val="00F33A65"/>
    <w:pPr>
      <w:widowControl w:val="0"/>
      <w:spacing w:after="0" w:line="240" w:lineRule="auto"/>
      <w:ind w:firstLineChars="200" w:firstLine="420"/>
      <w:jc w:val="both"/>
    </w:pPr>
    <w:rPr>
      <w:kern w:val="2"/>
      <w:sz w:val="21"/>
      <w:lang w:eastAsia="zh-CN"/>
    </w:rPr>
  </w:style>
  <w:style w:type="paragraph" w:customStyle="1" w:styleId="6">
    <w:name w:val="样式6"/>
    <w:link w:val="6Char"/>
    <w:qFormat/>
    <w:rsid w:val="006A5F19"/>
    <w:pPr>
      <w:spacing w:after="0" w:line="240" w:lineRule="auto"/>
      <w:ind w:left="1800" w:hangingChars="1000" w:hanging="1800"/>
      <w:jc w:val="both"/>
    </w:pPr>
    <w:rPr>
      <w:rFonts w:ascii="Times New Roman" w:hAnsi="Times New Roman"/>
      <w:color w:val="000000"/>
      <w:kern w:val="2"/>
      <w:sz w:val="18"/>
      <w:szCs w:val="18"/>
      <w:lang w:eastAsia="zh-CN"/>
    </w:rPr>
  </w:style>
  <w:style w:type="character" w:customStyle="1" w:styleId="6Char">
    <w:name w:val="样式6 Char"/>
    <w:basedOn w:val="a0"/>
    <w:link w:val="6"/>
    <w:rsid w:val="006A5F19"/>
    <w:rPr>
      <w:rFonts w:ascii="Times New Roman" w:hAnsi="Times New Roman"/>
      <w:color w:val="000000"/>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7757">
      <w:bodyDiv w:val="1"/>
      <w:marLeft w:val="0"/>
      <w:marRight w:val="0"/>
      <w:marTop w:val="0"/>
      <w:marBottom w:val="0"/>
      <w:divBdr>
        <w:top w:val="none" w:sz="0" w:space="0" w:color="auto"/>
        <w:left w:val="none" w:sz="0" w:space="0" w:color="auto"/>
        <w:bottom w:val="none" w:sz="0" w:space="0" w:color="auto"/>
        <w:right w:val="none" w:sz="0" w:space="0" w:color="auto"/>
      </w:divBdr>
      <w:divsChild>
        <w:div w:id="228855271">
          <w:marLeft w:val="135"/>
          <w:marRight w:val="135"/>
          <w:marTop w:val="0"/>
          <w:marBottom w:val="90"/>
          <w:divBdr>
            <w:top w:val="none" w:sz="0" w:space="0" w:color="auto"/>
            <w:left w:val="none" w:sz="0" w:space="0" w:color="auto"/>
            <w:bottom w:val="none" w:sz="0" w:space="0" w:color="auto"/>
            <w:right w:val="none" w:sz="0" w:space="0" w:color="auto"/>
          </w:divBdr>
        </w:div>
        <w:div w:id="1866675234">
          <w:marLeft w:val="135"/>
          <w:marRight w:val="135"/>
          <w:marTop w:val="0"/>
          <w:marBottom w:val="90"/>
          <w:divBdr>
            <w:top w:val="none" w:sz="0" w:space="0" w:color="auto"/>
            <w:left w:val="none" w:sz="0" w:space="0" w:color="auto"/>
            <w:bottom w:val="none" w:sz="0" w:space="0" w:color="auto"/>
            <w:right w:val="none" w:sz="0" w:space="0" w:color="auto"/>
          </w:divBdr>
        </w:div>
      </w:divsChild>
    </w:div>
    <w:div w:id="650211945">
      <w:bodyDiv w:val="1"/>
      <w:marLeft w:val="0"/>
      <w:marRight w:val="0"/>
      <w:marTop w:val="0"/>
      <w:marBottom w:val="0"/>
      <w:divBdr>
        <w:top w:val="none" w:sz="0" w:space="0" w:color="auto"/>
        <w:left w:val="none" w:sz="0" w:space="0" w:color="auto"/>
        <w:bottom w:val="none" w:sz="0" w:space="0" w:color="auto"/>
        <w:right w:val="none" w:sz="0" w:space="0" w:color="auto"/>
      </w:divBdr>
      <w:divsChild>
        <w:div w:id="97794667">
          <w:marLeft w:val="0"/>
          <w:marRight w:val="0"/>
          <w:marTop w:val="0"/>
          <w:marBottom w:val="0"/>
          <w:divBdr>
            <w:top w:val="none" w:sz="0" w:space="0" w:color="auto"/>
            <w:left w:val="none" w:sz="0" w:space="0" w:color="auto"/>
            <w:bottom w:val="none" w:sz="0" w:space="0" w:color="auto"/>
            <w:right w:val="none" w:sz="0" w:space="0" w:color="auto"/>
          </w:divBdr>
          <w:divsChild>
            <w:div w:id="1132556556">
              <w:marLeft w:val="0"/>
              <w:marRight w:val="0"/>
              <w:marTop w:val="0"/>
              <w:marBottom w:val="0"/>
              <w:divBdr>
                <w:top w:val="none" w:sz="0" w:space="0" w:color="auto"/>
                <w:left w:val="none" w:sz="0" w:space="0" w:color="auto"/>
                <w:bottom w:val="none" w:sz="0" w:space="0" w:color="auto"/>
                <w:right w:val="none" w:sz="0" w:space="0" w:color="auto"/>
              </w:divBdr>
              <w:divsChild>
                <w:div w:id="1273630930">
                  <w:marLeft w:val="0"/>
                  <w:marRight w:val="0"/>
                  <w:marTop w:val="0"/>
                  <w:marBottom w:val="0"/>
                  <w:divBdr>
                    <w:top w:val="none" w:sz="0" w:space="0" w:color="auto"/>
                    <w:left w:val="none" w:sz="0" w:space="0" w:color="auto"/>
                    <w:bottom w:val="none" w:sz="0" w:space="0" w:color="auto"/>
                    <w:right w:val="none" w:sz="0" w:space="0" w:color="auto"/>
                  </w:divBdr>
                  <w:divsChild>
                    <w:div w:id="663584011">
                      <w:marLeft w:val="0"/>
                      <w:marRight w:val="0"/>
                      <w:marTop w:val="0"/>
                      <w:marBottom w:val="0"/>
                      <w:divBdr>
                        <w:top w:val="none" w:sz="0" w:space="0" w:color="auto"/>
                        <w:left w:val="none" w:sz="0" w:space="0" w:color="auto"/>
                        <w:bottom w:val="none" w:sz="0" w:space="0" w:color="auto"/>
                        <w:right w:val="none" w:sz="0" w:space="0" w:color="auto"/>
                      </w:divBdr>
                      <w:divsChild>
                        <w:div w:id="2084373098">
                          <w:marLeft w:val="0"/>
                          <w:marRight w:val="0"/>
                          <w:marTop w:val="0"/>
                          <w:marBottom w:val="0"/>
                          <w:divBdr>
                            <w:top w:val="none" w:sz="0" w:space="0" w:color="auto"/>
                            <w:left w:val="none" w:sz="0" w:space="0" w:color="auto"/>
                            <w:bottom w:val="none" w:sz="0" w:space="0" w:color="auto"/>
                            <w:right w:val="none" w:sz="0" w:space="0" w:color="auto"/>
                          </w:divBdr>
                          <w:divsChild>
                            <w:div w:id="1591154259">
                              <w:marLeft w:val="0"/>
                              <w:marRight w:val="0"/>
                              <w:marTop w:val="0"/>
                              <w:marBottom w:val="0"/>
                              <w:divBdr>
                                <w:top w:val="none" w:sz="0" w:space="0" w:color="auto"/>
                                <w:left w:val="none" w:sz="0" w:space="0" w:color="auto"/>
                                <w:bottom w:val="none" w:sz="0" w:space="0" w:color="auto"/>
                                <w:right w:val="none" w:sz="0" w:space="0" w:color="auto"/>
                              </w:divBdr>
                              <w:divsChild>
                                <w:div w:id="7821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651356">
                      <w:marLeft w:val="60"/>
                      <w:marRight w:val="0"/>
                      <w:marTop w:val="0"/>
                      <w:marBottom w:val="0"/>
                      <w:divBdr>
                        <w:top w:val="none" w:sz="0" w:space="0" w:color="auto"/>
                        <w:left w:val="none" w:sz="0" w:space="0" w:color="auto"/>
                        <w:bottom w:val="none" w:sz="0" w:space="0" w:color="auto"/>
                        <w:right w:val="none" w:sz="0" w:space="0" w:color="auto"/>
                      </w:divBdr>
                      <w:divsChild>
                        <w:div w:id="824473040">
                          <w:marLeft w:val="0"/>
                          <w:marRight w:val="0"/>
                          <w:marTop w:val="0"/>
                          <w:marBottom w:val="0"/>
                          <w:divBdr>
                            <w:top w:val="none" w:sz="0" w:space="0" w:color="auto"/>
                            <w:left w:val="none" w:sz="0" w:space="0" w:color="auto"/>
                            <w:bottom w:val="none" w:sz="0" w:space="0" w:color="auto"/>
                            <w:right w:val="none" w:sz="0" w:space="0" w:color="auto"/>
                          </w:divBdr>
                          <w:divsChild>
                            <w:div w:id="87412590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064714776">
          <w:marLeft w:val="0"/>
          <w:marRight w:val="0"/>
          <w:marTop w:val="0"/>
          <w:marBottom w:val="0"/>
          <w:divBdr>
            <w:top w:val="none" w:sz="0" w:space="0" w:color="auto"/>
            <w:left w:val="none" w:sz="0" w:space="0" w:color="auto"/>
            <w:bottom w:val="none" w:sz="0" w:space="0" w:color="auto"/>
            <w:right w:val="none" w:sz="0" w:space="0" w:color="auto"/>
          </w:divBdr>
          <w:divsChild>
            <w:div w:id="409885956">
              <w:marLeft w:val="0"/>
              <w:marRight w:val="0"/>
              <w:marTop w:val="0"/>
              <w:marBottom w:val="0"/>
              <w:divBdr>
                <w:top w:val="none" w:sz="0" w:space="0" w:color="auto"/>
                <w:left w:val="none" w:sz="0" w:space="0" w:color="auto"/>
                <w:bottom w:val="none" w:sz="0" w:space="0" w:color="auto"/>
                <w:right w:val="none" w:sz="0" w:space="0" w:color="auto"/>
              </w:divBdr>
              <w:divsChild>
                <w:div w:id="1346132589">
                  <w:marLeft w:val="0"/>
                  <w:marRight w:val="0"/>
                  <w:marTop w:val="0"/>
                  <w:marBottom w:val="0"/>
                  <w:divBdr>
                    <w:top w:val="none" w:sz="0" w:space="0" w:color="auto"/>
                    <w:left w:val="none" w:sz="0" w:space="0" w:color="auto"/>
                    <w:bottom w:val="none" w:sz="0" w:space="0" w:color="auto"/>
                    <w:right w:val="none" w:sz="0" w:space="0" w:color="auto"/>
                  </w:divBdr>
                </w:div>
                <w:div w:id="2089689359">
                  <w:marLeft w:val="0"/>
                  <w:marRight w:val="0"/>
                  <w:marTop w:val="0"/>
                  <w:marBottom w:val="0"/>
                  <w:divBdr>
                    <w:top w:val="none" w:sz="0" w:space="0" w:color="auto"/>
                    <w:left w:val="none" w:sz="0" w:space="0" w:color="auto"/>
                    <w:bottom w:val="none" w:sz="0" w:space="0" w:color="auto"/>
                    <w:right w:val="none" w:sz="0" w:space="0" w:color="auto"/>
                  </w:divBdr>
                  <w:divsChild>
                    <w:div w:id="1106804598">
                      <w:marLeft w:val="60"/>
                      <w:marRight w:val="0"/>
                      <w:marTop w:val="0"/>
                      <w:marBottom w:val="0"/>
                      <w:divBdr>
                        <w:top w:val="none" w:sz="0" w:space="0" w:color="auto"/>
                        <w:left w:val="none" w:sz="0" w:space="0" w:color="auto"/>
                        <w:bottom w:val="none" w:sz="0" w:space="0" w:color="auto"/>
                        <w:right w:val="none" w:sz="0" w:space="0" w:color="auto"/>
                      </w:divBdr>
                      <w:divsChild>
                        <w:div w:id="967474677">
                          <w:marLeft w:val="0"/>
                          <w:marRight w:val="0"/>
                          <w:marTop w:val="0"/>
                          <w:marBottom w:val="0"/>
                          <w:divBdr>
                            <w:top w:val="none" w:sz="0" w:space="0" w:color="auto"/>
                            <w:left w:val="none" w:sz="0" w:space="0" w:color="auto"/>
                            <w:bottom w:val="none" w:sz="0" w:space="0" w:color="auto"/>
                            <w:right w:val="none" w:sz="0" w:space="0" w:color="auto"/>
                          </w:divBdr>
                          <w:divsChild>
                            <w:div w:id="1243375151">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269828">
      <w:bodyDiv w:val="1"/>
      <w:marLeft w:val="0"/>
      <w:marRight w:val="0"/>
      <w:marTop w:val="0"/>
      <w:marBottom w:val="0"/>
      <w:divBdr>
        <w:top w:val="none" w:sz="0" w:space="0" w:color="auto"/>
        <w:left w:val="none" w:sz="0" w:space="0" w:color="auto"/>
        <w:bottom w:val="none" w:sz="0" w:space="0" w:color="auto"/>
        <w:right w:val="none" w:sz="0" w:space="0" w:color="auto"/>
      </w:divBdr>
    </w:div>
    <w:div w:id="949555460">
      <w:bodyDiv w:val="1"/>
      <w:marLeft w:val="0"/>
      <w:marRight w:val="0"/>
      <w:marTop w:val="0"/>
      <w:marBottom w:val="0"/>
      <w:divBdr>
        <w:top w:val="none" w:sz="0" w:space="0" w:color="auto"/>
        <w:left w:val="none" w:sz="0" w:space="0" w:color="auto"/>
        <w:bottom w:val="none" w:sz="0" w:space="0" w:color="auto"/>
        <w:right w:val="none" w:sz="0" w:space="0" w:color="auto"/>
      </w:divBdr>
      <w:divsChild>
        <w:div w:id="869418445">
          <w:marLeft w:val="0"/>
          <w:marRight w:val="0"/>
          <w:marTop w:val="0"/>
          <w:marBottom w:val="0"/>
          <w:divBdr>
            <w:top w:val="none" w:sz="0" w:space="0" w:color="auto"/>
            <w:left w:val="none" w:sz="0" w:space="0" w:color="auto"/>
            <w:bottom w:val="none" w:sz="0" w:space="0" w:color="auto"/>
            <w:right w:val="none" w:sz="0" w:space="0" w:color="auto"/>
          </w:divBdr>
          <w:divsChild>
            <w:div w:id="22657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73582">
      <w:bodyDiv w:val="1"/>
      <w:marLeft w:val="0"/>
      <w:marRight w:val="0"/>
      <w:marTop w:val="0"/>
      <w:marBottom w:val="0"/>
      <w:divBdr>
        <w:top w:val="none" w:sz="0" w:space="0" w:color="auto"/>
        <w:left w:val="none" w:sz="0" w:space="0" w:color="auto"/>
        <w:bottom w:val="none" w:sz="0" w:space="0" w:color="auto"/>
        <w:right w:val="none" w:sz="0" w:space="0" w:color="auto"/>
      </w:divBdr>
      <w:divsChild>
        <w:div w:id="1292127069">
          <w:marLeft w:val="135"/>
          <w:marRight w:val="135"/>
          <w:marTop w:val="0"/>
          <w:marBottom w:val="90"/>
          <w:divBdr>
            <w:top w:val="none" w:sz="0" w:space="0" w:color="auto"/>
            <w:left w:val="none" w:sz="0" w:space="0" w:color="auto"/>
            <w:bottom w:val="none" w:sz="0" w:space="0" w:color="auto"/>
            <w:right w:val="none" w:sz="0" w:space="0" w:color="auto"/>
          </w:divBdr>
        </w:div>
        <w:div w:id="1822892798">
          <w:marLeft w:val="135"/>
          <w:marRight w:val="135"/>
          <w:marTop w:val="0"/>
          <w:marBottom w:val="90"/>
          <w:divBdr>
            <w:top w:val="none" w:sz="0" w:space="0" w:color="auto"/>
            <w:left w:val="none" w:sz="0" w:space="0" w:color="auto"/>
            <w:bottom w:val="none" w:sz="0" w:space="0" w:color="auto"/>
            <w:right w:val="none" w:sz="0" w:space="0" w:color="auto"/>
          </w:divBdr>
        </w:div>
        <w:div w:id="1979991877">
          <w:marLeft w:val="135"/>
          <w:marRight w:val="135"/>
          <w:marTop w:val="0"/>
          <w:marBottom w:val="90"/>
          <w:divBdr>
            <w:top w:val="none" w:sz="0" w:space="0" w:color="auto"/>
            <w:left w:val="none" w:sz="0" w:space="0" w:color="auto"/>
            <w:bottom w:val="none" w:sz="0" w:space="0" w:color="auto"/>
            <w:right w:val="none" w:sz="0" w:space="0" w:color="auto"/>
          </w:divBdr>
        </w:div>
      </w:divsChild>
    </w:div>
    <w:div w:id="1351034007">
      <w:bodyDiv w:val="1"/>
      <w:marLeft w:val="0"/>
      <w:marRight w:val="0"/>
      <w:marTop w:val="0"/>
      <w:marBottom w:val="0"/>
      <w:divBdr>
        <w:top w:val="none" w:sz="0" w:space="0" w:color="auto"/>
        <w:left w:val="none" w:sz="0" w:space="0" w:color="auto"/>
        <w:bottom w:val="none" w:sz="0" w:space="0" w:color="auto"/>
        <w:right w:val="none" w:sz="0" w:space="0" w:color="auto"/>
      </w:divBdr>
    </w:div>
    <w:div w:id="1851792052">
      <w:bodyDiv w:val="1"/>
      <w:marLeft w:val="0"/>
      <w:marRight w:val="0"/>
      <w:marTop w:val="0"/>
      <w:marBottom w:val="0"/>
      <w:divBdr>
        <w:top w:val="none" w:sz="0" w:space="0" w:color="auto"/>
        <w:left w:val="none" w:sz="0" w:space="0" w:color="auto"/>
        <w:bottom w:val="none" w:sz="0" w:space="0" w:color="auto"/>
        <w:right w:val="none" w:sz="0" w:space="0" w:color="auto"/>
      </w:divBdr>
      <w:divsChild>
        <w:div w:id="268584190">
          <w:marLeft w:val="135"/>
          <w:marRight w:val="135"/>
          <w:marTop w:val="0"/>
          <w:marBottom w:val="90"/>
          <w:divBdr>
            <w:top w:val="none" w:sz="0" w:space="0" w:color="auto"/>
            <w:left w:val="none" w:sz="0" w:space="0" w:color="auto"/>
            <w:bottom w:val="none" w:sz="0" w:space="0" w:color="auto"/>
            <w:right w:val="none" w:sz="0" w:space="0" w:color="auto"/>
          </w:divBdr>
        </w:div>
        <w:div w:id="1918439111">
          <w:marLeft w:val="135"/>
          <w:marRight w:val="135"/>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31</Pages>
  <Words>8347</Words>
  <Characters>47580</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Sahyoun</dc:creator>
  <cp:keywords/>
  <dc:description/>
  <cp:lastModifiedBy>HP</cp:lastModifiedBy>
  <cp:revision>13</cp:revision>
  <cp:lastPrinted>2019-07-26T02:06:00Z</cp:lastPrinted>
  <dcterms:created xsi:type="dcterms:W3CDTF">2020-02-18T01:43:00Z</dcterms:created>
  <dcterms:modified xsi:type="dcterms:W3CDTF">2020-04-23T08:37:00Z</dcterms:modified>
</cp:coreProperties>
</file>